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003FF6">
        <w:rPr>
          <w:rFonts w:ascii="Arial" w:hAnsi="Arial"/>
        </w:rPr>
        <w:t>9</w:t>
      </w:r>
      <w:r w:rsidR="00C20562">
        <w:rPr>
          <w:rFonts w:ascii="Arial" w:hAnsi="Arial"/>
        </w:rPr>
        <w:t>-A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473F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162DB9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5906AC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003FF6">
        <w:rPr>
          <w:rFonts w:ascii="Arial" w:hAnsi="Arial" w:cs="Arial"/>
        </w:rPr>
        <w:t>9</w:t>
      </w: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 w:rsidRPr="007D3E3E">
        <w:rPr>
          <w:rFonts w:ascii="Arial" w:hAnsi="Arial" w:cs="Arial"/>
        </w:rPr>
        <w:tab/>
      </w:r>
      <w:r w:rsidR="0063776C">
        <w:rPr>
          <w:rFonts w:ascii="Arial" w:hAnsi="Arial" w:cs="Arial"/>
        </w:rPr>
        <w:t>Revenue Decoupling Adjustment</w:t>
      </w:r>
      <w:r w:rsidR="00003FF6">
        <w:rPr>
          <w:rFonts w:ascii="Arial" w:hAnsi="Arial" w:cs="Arial"/>
        </w:rPr>
        <w:t xml:space="preserve"> Mechanism</w:t>
      </w:r>
    </w:p>
    <w:p w:rsidR="004F15E4" w:rsidRPr="007D3E3E" w:rsidRDefault="004F15E4" w:rsidP="004F15E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E10920" w:rsidRDefault="000335E4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0335E4">
        <w:rPr>
          <w:rFonts w:ascii="Arial" w:hAnsi="Arial" w:cs="Arial"/>
          <w:sz w:val="20"/>
          <w:szCs w:val="20"/>
        </w:rPr>
        <w:t>Decoupling Calculation (Continued):</w:t>
      </w:r>
    </w:p>
    <w:p w:rsidR="00E10920" w:rsidRDefault="00E10920">
      <w:pPr>
        <w:pStyle w:val="ListParagraph"/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9B15EB" w:rsidRDefault="009B15EB" w:rsidP="009B15EB">
      <w:pPr>
        <w:pStyle w:val="ListParagraph"/>
        <w:numPr>
          <w:ilvl w:val="0"/>
          <w:numId w:val="6"/>
        </w:numPr>
        <w:tabs>
          <w:tab w:val="left" w:pos="1080"/>
        </w:tabs>
        <w:spacing w:after="0" w:line="286" w:lineRule="exact"/>
        <w:ind w:left="1080" w:hanging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The difference resulting when the Actual Delivery Revenue is subtracted from the Allowed Delivery Revenue is accrued monthly in the RDA Balancing Account</w:t>
      </w:r>
      <w:r w:rsidR="00340CD9">
        <w:rPr>
          <w:rStyle w:val="Custom2"/>
          <w:rFonts w:cs="Arial"/>
          <w:szCs w:val="20"/>
        </w:rPr>
        <w:t>.</w:t>
      </w:r>
      <w:r w:rsidRPr="00B84755">
        <w:rPr>
          <w:rStyle w:val="Custom2"/>
          <w:rFonts w:cs="Arial"/>
          <w:szCs w:val="20"/>
        </w:rPr>
        <w:t xml:space="preserve"> </w:t>
      </w:r>
      <w:r>
        <w:rPr>
          <w:rStyle w:val="Custom2"/>
          <w:rFonts w:cs="Arial"/>
          <w:szCs w:val="20"/>
        </w:rPr>
        <w:t xml:space="preserve">The monthly amount accrued will be divided into sub-accounts so that net accruals for </w:t>
      </w:r>
      <w:r w:rsidR="000B6CA1">
        <w:rPr>
          <w:rStyle w:val="Custom2"/>
          <w:rFonts w:cs="Arial"/>
          <w:szCs w:val="20"/>
        </w:rPr>
        <w:t xml:space="preserve">Decoupled </w:t>
      </w:r>
      <w:r>
        <w:rPr>
          <w:rStyle w:val="Custom2"/>
          <w:rFonts w:cs="Arial"/>
          <w:szCs w:val="20"/>
        </w:rPr>
        <w:t xml:space="preserve">Residential </w:t>
      </w:r>
      <w:r w:rsidR="00162DB9">
        <w:rPr>
          <w:rStyle w:val="Custom2"/>
          <w:rFonts w:cs="Arial"/>
          <w:szCs w:val="20"/>
        </w:rPr>
        <w:t xml:space="preserve">Customers </w:t>
      </w:r>
      <w:r>
        <w:rPr>
          <w:rStyle w:val="Custom2"/>
          <w:rFonts w:cs="Arial"/>
          <w:szCs w:val="20"/>
        </w:rPr>
        <w:t xml:space="preserve">and </w:t>
      </w:r>
      <w:r w:rsidR="000B6CA1">
        <w:rPr>
          <w:rStyle w:val="Custom2"/>
          <w:rFonts w:cs="Arial"/>
          <w:szCs w:val="20"/>
        </w:rPr>
        <w:t xml:space="preserve">Decoupled </w:t>
      </w:r>
      <w:r>
        <w:rPr>
          <w:rStyle w:val="Custom2"/>
          <w:rFonts w:cs="Arial"/>
          <w:szCs w:val="20"/>
        </w:rPr>
        <w:t xml:space="preserve">Non-Residential Customers can be tracked separately. </w:t>
      </w:r>
      <w:r w:rsidR="00340CD9">
        <w:rPr>
          <w:rStyle w:val="Custom2"/>
          <w:rFonts w:cs="Arial"/>
          <w:szCs w:val="20"/>
        </w:rPr>
        <w:t xml:space="preserve">The sub-accounts will accrue interest at a rate equal to that determined by the Federal Energy Regulatory Commission pursuant to 18 CFR 38.19a.  </w:t>
      </w:r>
    </w:p>
    <w:p w:rsidR="009B15EB" w:rsidRDefault="009B15EB" w:rsidP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1080" w:hanging="360"/>
        <w:jc w:val="both"/>
        <w:rPr>
          <w:rFonts w:ascii="Arial" w:hAnsi="Arial" w:cs="Arial"/>
        </w:rPr>
      </w:pPr>
    </w:p>
    <w:p w:rsidR="009B15EB" w:rsidRDefault="009B15EB" w:rsidP="009B15EB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 xml:space="preserve">Monthly Allowed Delivery Revenue Per Customer:  For each group of </w:t>
      </w:r>
      <w:r w:rsidR="000D065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ustomers</w:t>
      </w:r>
      <w:r w:rsidR="00162DB9">
        <w:rPr>
          <w:rFonts w:ascii="Arial" w:hAnsi="Arial" w:cs="Arial"/>
          <w:sz w:val="20"/>
          <w:szCs w:val="20"/>
        </w:rPr>
        <w:t xml:space="preserve"> (</w:t>
      </w:r>
      <w:r w:rsidR="00340CD9">
        <w:rPr>
          <w:rFonts w:ascii="Arial" w:hAnsi="Arial" w:cs="Arial"/>
          <w:sz w:val="20"/>
          <w:szCs w:val="20"/>
        </w:rPr>
        <w:t xml:space="preserve">Decoupled </w:t>
      </w:r>
      <w:r w:rsidR="00162DB9">
        <w:rPr>
          <w:rFonts w:ascii="Arial" w:hAnsi="Arial" w:cs="Arial"/>
          <w:sz w:val="20"/>
          <w:szCs w:val="20"/>
        </w:rPr>
        <w:t xml:space="preserve">Residential Customers and </w:t>
      </w:r>
      <w:r w:rsidR="00340CD9">
        <w:rPr>
          <w:rFonts w:ascii="Arial" w:hAnsi="Arial" w:cs="Arial"/>
          <w:sz w:val="20"/>
          <w:szCs w:val="20"/>
        </w:rPr>
        <w:t xml:space="preserve">Decoupled </w:t>
      </w:r>
      <w:r w:rsidR="00162DB9">
        <w:rPr>
          <w:rFonts w:ascii="Arial" w:hAnsi="Arial" w:cs="Arial"/>
          <w:sz w:val="20"/>
          <w:szCs w:val="20"/>
        </w:rPr>
        <w:t>Non-Res</w:t>
      </w:r>
      <w:bookmarkStart w:id="0" w:name="_GoBack"/>
      <w:bookmarkEnd w:id="0"/>
      <w:r w:rsidR="00162DB9">
        <w:rPr>
          <w:rFonts w:ascii="Arial" w:hAnsi="Arial" w:cs="Arial"/>
          <w:sz w:val="20"/>
          <w:szCs w:val="20"/>
        </w:rPr>
        <w:t>idential Customers)</w:t>
      </w:r>
      <w:r>
        <w:rPr>
          <w:rFonts w:ascii="Arial" w:hAnsi="Arial" w:cs="Arial"/>
          <w:sz w:val="20"/>
          <w:szCs w:val="20"/>
        </w:rPr>
        <w:t xml:space="preserve">, the Monthly Allowed Delivery Revenue </w:t>
      </w: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Customer will be as follows:</w:t>
      </w:r>
    </w:p>
    <w:p w:rsidR="009B15EB" w:rsidRDefault="009B15EB" w:rsidP="009B15EB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D115D0" w:rsidRPr="00370096" w:rsidRDefault="00D115D0" w:rsidP="00D115D0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D115D0" w:rsidTr="00D115D0">
        <w:trPr>
          <w:trHeight w:val="291"/>
        </w:trPr>
        <w:tc>
          <w:tcPr>
            <w:tcW w:w="1301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D115D0" w:rsidRPr="00370096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45.61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47.02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48.47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49.94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42.3</w:t>
            </w:r>
            <w:r w:rsidR="000D0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43.63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44.97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46.33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35.93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37.04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38.18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39.34</w:t>
            </w: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D115D0" w:rsidRPr="005676C4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25.70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26.49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27.3</w:t>
            </w:r>
            <w:r w:rsidR="000D06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15.60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16.58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76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10.07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AA7DC6">
              <w:rPr>
                <w:rFonts w:ascii="Arial" w:hAnsi="Arial" w:cs="Arial"/>
                <w:sz w:val="20"/>
                <w:szCs w:val="20"/>
              </w:rPr>
              <w:t>1</w:t>
            </w:r>
            <w:r w:rsidR="003C6DEF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10.71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7.96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8.46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8.72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7.35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7.58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7.82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8.06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10.19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10.83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11.16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21.32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21.99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22.67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23.36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291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35.90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37.02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38.16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39.34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D0" w:rsidTr="00D115D0">
        <w:trPr>
          <w:trHeight w:val="307"/>
        </w:trPr>
        <w:tc>
          <w:tcPr>
            <w:tcW w:w="1301" w:type="dxa"/>
          </w:tcPr>
          <w:p w:rsidR="00D115D0" w:rsidRPr="005676C4" w:rsidRDefault="00D115D0" w:rsidP="00D115D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45.16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46.5</w:t>
            </w:r>
            <w:r w:rsidR="000D06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48.02</w:t>
            </w:r>
          </w:p>
        </w:tc>
        <w:tc>
          <w:tcPr>
            <w:tcW w:w="1278" w:type="dxa"/>
          </w:tcPr>
          <w:p w:rsidR="00D115D0" w:rsidRPr="00423F1C" w:rsidRDefault="00D115D0" w:rsidP="003C6DE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F1C">
              <w:rPr>
                <w:rFonts w:ascii="Arial" w:hAnsi="Arial" w:cs="Arial"/>
                <w:sz w:val="20"/>
                <w:szCs w:val="20"/>
              </w:rPr>
              <w:t>$</w:t>
            </w:r>
            <w:r w:rsidR="003C6DEF">
              <w:rPr>
                <w:rFonts w:ascii="Arial" w:hAnsi="Arial" w:cs="Arial"/>
                <w:sz w:val="20"/>
                <w:szCs w:val="20"/>
              </w:rPr>
              <w:t>49.49</w:t>
            </w:r>
          </w:p>
        </w:tc>
        <w:tc>
          <w:tcPr>
            <w:tcW w:w="1278" w:type="dxa"/>
          </w:tcPr>
          <w:p w:rsidR="00D115D0" w:rsidRPr="00423F1C" w:rsidRDefault="00D115D0" w:rsidP="00423F1C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5EB" w:rsidRDefault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D115D0" w:rsidRDefault="00D115D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9B15EB" w:rsidRDefault="009B15E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FA2E33" w:rsidRDefault="003301D8" w:rsidP="003301D8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r>
        <w:rPr>
          <w:rFonts w:ascii="Arial" w:hAnsi="Arial"/>
        </w:rPr>
        <w:t>(Continued on Sheet 1139-B)</w:t>
      </w:r>
    </w:p>
    <w:p w:rsidR="003301D8" w:rsidRDefault="003301D8" w:rsidP="00FA2E33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/>
        </w:rPr>
      </w:pPr>
    </w:p>
    <w:p w:rsidR="003301D8" w:rsidRDefault="003301D8" w:rsidP="00FA2E33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/>
        </w:rPr>
      </w:pPr>
    </w:p>
    <w:p w:rsidR="006803FD" w:rsidRPr="007D3E3E" w:rsidRDefault="00FA2E33" w:rsidP="003301D8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4F15E4" w:rsidRDefault="004F15E4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D33B56" w:rsidRDefault="00D33B56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0D0651" w:rsidRPr="00AA7F6D" w:rsidRDefault="000D0651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EA5E64" w:rsidP="004F15E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43D5C">
        <w:rPr>
          <w:rFonts w:ascii="Arial" w:hAnsi="Arial" w:cs="Arial"/>
        </w:rPr>
        <w:t>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473F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115D0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367BCB">
        <w:rPr>
          <w:rFonts w:ascii="Arial" w:hAnsi="Arial"/>
        </w:rPr>
        <w:t>May</w:t>
      </w:r>
      <w:r w:rsidR="00AA7DC6">
        <w:rPr>
          <w:rFonts w:ascii="Arial" w:hAnsi="Arial"/>
        </w:rPr>
        <w:t xml:space="preserve"> 1</w:t>
      </w:r>
      <w:r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D115D0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D115D0" w:rsidRPr="00E36E9D" w:rsidRDefault="00D115D0" w:rsidP="00D115D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D115D0" w:rsidRPr="00E36E9D" w:rsidTr="00D115D0">
        <w:trPr>
          <w:trHeight w:val="612"/>
        </w:trPr>
        <w:tc>
          <w:tcPr>
            <w:tcW w:w="828" w:type="dxa"/>
          </w:tcPr>
          <w:p w:rsidR="00D115D0" w:rsidRPr="00E36E9D" w:rsidRDefault="00473F6D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9" style="position:absolute;left:0;text-align:left;z-index:251658752" from="38pt,22.4pt" to="164.3pt,22.4pt" o:allowincell="f"/>
              </w:pict>
            </w:r>
          </w:p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D115D0" w:rsidRPr="00E36E9D" w:rsidRDefault="00D115D0" w:rsidP="00D115D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7D3E3E" w:rsidRDefault="006803FD" w:rsidP="006D726D">
      <w:pPr>
        <w:pStyle w:val="Heading2"/>
        <w:tabs>
          <w:tab w:val="right" w:pos="-270"/>
          <w:tab w:val="left" w:pos="1260"/>
          <w:tab w:val="left" w:pos="6300"/>
        </w:tabs>
        <w:jc w:val="left"/>
      </w:pPr>
    </w:p>
    <w:sectPr w:rsidR="006803FD" w:rsidRPr="007D3E3E" w:rsidSect="00DE2C9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CB" w:rsidRDefault="00367BCB">
      <w:r>
        <w:separator/>
      </w:r>
    </w:p>
  </w:endnote>
  <w:endnote w:type="continuationSeparator" w:id="0">
    <w:p w:rsidR="00367BCB" w:rsidRDefault="0036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CB" w:rsidRDefault="00367BCB">
      <w:r>
        <w:separator/>
      </w:r>
    </w:p>
  </w:footnote>
  <w:footnote w:type="continuationSeparator" w:id="0">
    <w:p w:rsidR="00367BCB" w:rsidRDefault="00367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23A1F"/>
    <w:multiLevelType w:val="hybridMultilevel"/>
    <w:tmpl w:val="1730FB6C"/>
    <w:lvl w:ilvl="0" w:tplc="D8B0782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C05C9B"/>
    <w:multiLevelType w:val="hybridMultilevel"/>
    <w:tmpl w:val="D168383A"/>
    <w:lvl w:ilvl="0" w:tplc="6884FA5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035B3F"/>
    <w:multiLevelType w:val="hybridMultilevel"/>
    <w:tmpl w:val="67FA6392"/>
    <w:lvl w:ilvl="0" w:tplc="3D707D0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03FF6"/>
    <w:rsid w:val="00005E7D"/>
    <w:rsid w:val="000062F1"/>
    <w:rsid w:val="000126DD"/>
    <w:rsid w:val="00024191"/>
    <w:rsid w:val="00025BAB"/>
    <w:rsid w:val="000335E4"/>
    <w:rsid w:val="00042B2C"/>
    <w:rsid w:val="00043D5C"/>
    <w:rsid w:val="000629A6"/>
    <w:rsid w:val="00063877"/>
    <w:rsid w:val="00086D1D"/>
    <w:rsid w:val="00092301"/>
    <w:rsid w:val="000B0A4E"/>
    <w:rsid w:val="000B6CA1"/>
    <w:rsid w:val="000D0651"/>
    <w:rsid w:val="000E296F"/>
    <w:rsid w:val="00106563"/>
    <w:rsid w:val="00106AE2"/>
    <w:rsid w:val="00122EAE"/>
    <w:rsid w:val="0012490E"/>
    <w:rsid w:val="001561F9"/>
    <w:rsid w:val="00162DB9"/>
    <w:rsid w:val="00173E07"/>
    <w:rsid w:val="00180CB4"/>
    <w:rsid w:val="00183C9E"/>
    <w:rsid w:val="0019294F"/>
    <w:rsid w:val="00194251"/>
    <w:rsid w:val="001978CF"/>
    <w:rsid w:val="001A0380"/>
    <w:rsid w:val="001B6EEA"/>
    <w:rsid w:val="00222C4F"/>
    <w:rsid w:val="00225818"/>
    <w:rsid w:val="00231A26"/>
    <w:rsid w:val="0023379F"/>
    <w:rsid w:val="002422D5"/>
    <w:rsid w:val="002459B3"/>
    <w:rsid w:val="00280B9B"/>
    <w:rsid w:val="002B06AB"/>
    <w:rsid w:val="002C373C"/>
    <w:rsid w:val="002D5369"/>
    <w:rsid w:val="002F076B"/>
    <w:rsid w:val="003301D8"/>
    <w:rsid w:val="00332215"/>
    <w:rsid w:val="00336F46"/>
    <w:rsid w:val="00340CD9"/>
    <w:rsid w:val="00356FC3"/>
    <w:rsid w:val="00367BCB"/>
    <w:rsid w:val="003808B6"/>
    <w:rsid w:val="003907FA"/>
    <w:rsid w:val="00392D44"/>
    <w:rsid w:val="003A255E"/>
    <w:rsid w:val="003C6DEF"/>
    <w:rsid w:val="003D02DD"/>
    <w:rsid w:val="003E09A3"/>
    <w:rsid w:val="00405A7A"/>
    <w:rsid w:val="0041417C"/>
    <w:rsid w:val="004156E6"/>
    <w:rsid w:val="00423F1C"/>
    <w:rsid w:val="00442B72"/>
    <w:rsid w:val="00467AF4"/>
    <w:rsid w:val="00473F6D"/>
    <w:rsid w:val="00476884"/>
    <w:rsid w:val="004A7543"/>
    <w:rsid w:val="004B7A38"/>
    <w:rsid w:val="004C095B"/>
    <w:rsid w:val="004E4095"/>
    <w:rsid w:val="004E7BAD"/>
    <w:rsid w:val="004F15E4"/>
    <w:rsid w:val="00500E2E"/>
    <w:rsid w:val="00501D56"/>
    <w:rsid w:val="005334DC"/>
    <w:rsid w:val="0054011A"/>
    <w:rsid w:val="0056161E"/>
    <w:rsid w:val="00567FE2"/>
    <w:rsid w:val="005906AC"/>
    <w:rsid w:val="00596296"/>
    <w:rsid w:val="005B2D7A"/>
    <w:rsid w:val="005F3CAA"/>
    <w:rsid w:val="00617CA1"/>
    <w:rsid w:val="006201BC"/>
    <w:rsid w:val="00622BA2"/>
    <w:rsid w:val="0063776C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48B0"/>
    <w:rsid w:val="006A6A2E"/>
    <w:rsid w:val="006A6D87"/>
    <w:rsid w:val="006B4D47"/>
    <w:rsid w:val="006C1DAD"/>
    <w:rsid w:val="006C5354"/>
    <w:rsid w:val="006D3071"/>
    <w:rsid w:val="006D6A24"/>
    <w:rsid w:val="006D726D"/>
    <w:rsid w:val="006D7BA1"/>
    <w:rsid w:val="007026D7"/>
    <w:rsid w:val="00702C3A"/>
    <w:rsid w:val="00706618"/>
    <w:rsid w:val="0071324D"/>
    <w:rsid w:val="007211E0"/>
    <w:rsid w:val="007232FA"/>
    <w:rsid w:val="00727860"/>
    <w:rsid w:val="00744A20"/>
    <w:rsid w:val="00756816"/>
    <w:rsid w:val="0077149F"/>
    <w:rsid w:val="00781CB2"/>
    <w:rsid w:val="00796DA6"/>
    <w:rsid w:val="007A191E"/>
    <w:rsid w:val="007D3E3E"/>
    <w:rsid w:val="007E271A"/>
    <w:rsid w:val="007E6F66"/>
    <w:rsid w:val="007F35FA"/>
    <w:rsid w:val="00804A79"/>
    <w:rsid w:val="0083095A"/>
    <w:rsid w:val="00834B0E"/>
    <w:rsid w:val="00843DB5"/>
    <w:rsid w:val="008723B7"/>
    <w:rsid w:val="00876DDE"/>
    <w:rsid w:val="00897C6C"/>
    <w:rsid w:val="008A3B30"/>
    <w:rsid w:val="008A607E"/>
    <w:rsid w:val="008E6D08"/>
    <w:rsid w:val="008F073A"/>
    <w:rsid w:val="00922A44"/>
    <w:rsid w:val="0092788B"/>
    <w:rsid w:val="00951B40"/>
    <w:rsid w:val="0098544A"/>
    <w:rsid w:val="009912F8"/>
    <w:rsid w:val="00995171"/>
    <w:rsid w:val="009B15EB"/>
    <w:rsid w:val="009E0616"/>
    <w:rsid w:val="00A0238C"/>
    <w:rsid w:val="00A22F1C"/>
    <w:rsid w:val="00A23C6A"/>
    <w:rsid w:val="00A262EF"/>
    <w:rsid w:val="00A302A6"/>
    <w:rsid w:val="00A35964"/>
    <w:rsid w:val="00A420DA"/>
    <w:rsid w:val="00A64F40"/>
    <w:rsid w:val="00A76DF8"/>
    <w:rsid w:val="00A9450F"/>
    <w:rsid w:val="00AA30E4"/>
    <w:rsid w:val="00AA7DC6"/>
    <w:rsid w:val="00AF3404"/>
    <w:rsid w:val="00AF4AA0"/>
    <w:rsid w:val="00B24546"/>
    <w:rsid w:val="00B252FA"/>
    <w:rsid w:val="00B27E1B"/>
    <w:rsid w:val="00B31B72"/>
    <w:rsid w:val="00B40D0C"/>
    <w:rsid w:val="00B466BA"/>
    <w:rsid w:val="00B513C0"/>
    <w:rsid w:val="00B56EB4"/>
    <w:rsid w:val="00B73527"/>
    <w:rsid w:val="00B76C03"/>
    <w:rsid w:val="00B76DB5"/>
    <w:rsid w:val="00B95E92"/>
    <w:rsid w:val="00B96495"/>
    <w:rsid w:val="00BA08F7"/>
    <w:rsid w:val="00BA0A54"/>
    <w:rsid w:val="00BA0F8D"/>
    <w:rsid w:val="00BB7E40"/>
    <w:rsid w:val="00BD455C"/>
    <w:rsid w:val="00C037A5"/>
    <w:rsid w:val="00C05CAB"/>
    <w:rsid w:val="00C20562"/>
    <w:rsid w:val="00C4313C"/>
    <w:rsid w:val="00C51F6D"/>
    <w:rsid w:val="00C537D6"/>
    <w:rsid w:val="00C54878"/>
    <w:rsid w:val="00C62627"/>
    <w:rsid w:val="00C7593E"/>
    <w:rsid w:val="00C8344C"/>
    <w:rsid w:val="00CC43CE"/>
    <w:rsid w:val="00CD43BF"/>
    <w:rsid w:val="00CE0A3A"/>
    <w:rsid w:val="00CE18DC"/>
    <w:rsid w:val="00CE24BA"/>
    <w:rsid w:val="00D115D0"/>
    <w:rsid w:val="00D33B56"/>
    <w:rsid w:val="00D45500"/>
    <w:rsid w:val="00D51DED"/>
    <w:rsid w:val="00D60808"/>
    <w:rsid w:val="00D6784A"/>
    <w:rsid w:val="00D811D8"/>
    <w:rsid w:val="00D82AEF"/>
    <w:rsid w:val="00DA57CF"/>
    <w:rsid w:val="00DC29E8"/>
    <w:rsid w:val="00DD0527"/>
    <w:rsid w:val="00DE2C9B"/>
    <w:rsid w:val="00DE4708"/>
    <w:rsid w:val="00E0561F"/>
    <w:rsid w:val="00E10920"/>
    <w:rsid w:val="00E137C9"/>
    <w:rsid w:val="00E246B7"/>
    <w:rsid w:val="00E33923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835C7"/>
    <w:rsid w:val="00F90C2A"/>
    <w:rsid w:val="00F9588F"/>
    <w:rsid w:val="00FA2E33"/>
    <w:rsid w:val="00FD2E99"/>
    <w:rsid w:val="00FF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C9B"/>
  </w:style>
  <w:style w:type="paragraph" w:styleId="Heading1">
    <w:name w:val="heading 1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DE2C9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2C9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E2C9B"/>
  </w:style>
  <w:style w:type="paragraph" w:styleId="BodyTextIndent">
    <w:name w:val="Body Text Indent"/>
    <w:basedOn w:val="Normal"/>
    <w:rsid w:val="00DE2C9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DE2C9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DE2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C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0562"/>
    <w:rPr>
      <w:sz w:val="16"/>
      <w:szCs w:val="16"/>
    </w:rPr>
  </w:style>
  <w:style w:type="paragraph" w:styleId="CommentText">
    <w:name w:val="annotation text"/>
    <w:basedOn w:val="Normal"/>
    <w:semiHidden/>
    <w:rsid w:val="00C20562"/>
  </w:style>
  <w:style w:type="character" w:customStyle="1" w:styleId="Custom2">
    <w:name w:val="Custom2"/>
    <w:basedOn w:val="DefaultParagraphFont"/>
    <w:uiPriority w:val="99"/>
    <w:rsid w:val="009B15EB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9B15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9B15E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79B1F4-5BF4-46E6-BAAF-8F0857812BD2}"/>
</file>

<file path=customXml/itemProps2.xml><?xml version="1.0" encoding="utf-8"?>
<ds:datastoreItem xmlns:ds="http://schemas.openxmlformats.org/officeDocument/2006/customXml" ds:itemID="{E55F3AD8-7AA3-4CA9-B613-FFDF1BC637A4}"/>
</file>

<file path=customXml/itemProps3.xml><?xml version="1.0" encoding="utf-8"?>
<ds:datastoreItem xmlns:ds="http://schemas.openxmlformats.org/officeDocument/2006/customXml" ds:itemID="{FA742815-2CCB-4F2A-AA6E-24D2B895D76E}"/>
</file>

<file path=customXml/itemProps4.xml><?xml version="1.0" encoding="utf-8"?>
<ds:datastoreItem xmlns:ds="http://schemas.openxmlformats.org/officeDocument/2006/customXml" ds:itemID="{F5CCCF55-923C-465C-987F-3BB03D6B74FB}"/>
</file>

<file path=customXml/itemProps5.xml><?xml version="1.0" encoding="utf-8"?>
<ds:datastoreItem xmlns:ds="http://schemas.openxmlformats.org/officeDocument/2006/customXml" ds:itemID="{CDB68676-7665-4C95-8EE3-908A74C5B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7</cp:revision>
  <cp:lastPrinted>2013-02-26T00:40:00Z</cp:lastPrinted>
  <dcterms:created xsi:type="dcterms:W3CDTF">2013-02-26T00:51:00Z</dcterms:created>
  <dcterms:modified xsi:type="dcterms:W3CDTF">2013-02-28T17:26:00Z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