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675" w:rsidRPr="00D35675" w:rsidRDefault="00D35675" w:rsidP="00D35675">
      <w:pPr>
        <w:spacing w:after="0" w:line="240" w:lineRule="auto"/>
        <w:outlineLvl w:val="2"/>
        <w:rPr>
          <w:rFonts w:eastAsia="Times New Roman" w:cs="Times New Roman"/>
          <w:b/>
          <w:bCs/>
          <w:caps/>
          <w:sz w:val="27"/>
          <w:szCs w:val="27"/>
        </w:rPr>
      </w:pPr>
      <w:r w:rsidRPr="00D35675">
        <w:rPr>
          <w:rFonts w:eastAsia="Times New Roman" w:cs="Times New Roman"/>
          <w:b/>
          <w:bCs/>
          <w:caps/>
          <w:sz w:val="27"/>
          <w:szCs w:val="27"/>
        </w:rPr>
        <w:t>Electronic Code of Federal Regulations</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5"/>
      </w:tblGrid>
      <w:tr w:rsidR="00D35675" w:rsidRPr="00D35675" w:rsidTr="00D35675">
        <w:trPr>
          <w:tblCellSpacing w:w="15" w:type="dxa"/>
          <w:jc w:val="center"/>
        </w:trPr>
        <w:tc>
          <w:tcPr>
            <w:tcW w:w="0" w:type="auto"/>
            <w:hideMark/>
          </w:tcPr>
          <w:p w:rsidR="00D35675" w:rsidRPr="00D35675" w:rsidRDefault="00D35675" w:rsidP="00D35675">
            <w:pPr>
              <w:spacing w:line="240" w:lineRule="auto"/>
              <w:jc w:val="center"/>
              <w:divId w:val="428818059"/>
              <w:rPr>
                <w:rFonts w:ascii="Arial" w:eastAsia="Times New Roman" w:hAnsi="Arial" w:cs="Arial"/>
                <w:b/>
                <w:bCs/>
                <w:color w:val="000000"/>
                <w:sz w:val="21"/>
                <w:szCs w:val="21"/>
              </w:rPr>
            </w:pPr>
            <w:hyperlink r:id="rId5" w:anchor="quest1" w:history="1">
              <w:r w:rsidRPr="00D35675">
                <w:rPr>
                  <w:rFonts w:ascii="Arial" w:eastAsia="Times New Roman" w:hAnsi="Arial" w:cs="Arial"/>
                  <w:b/>
                  <w:bCs/>
                  <w:color w:val="0000FF"/>
                  <w:sz w:val="17"/>
                  <w:szCs w:val="17"/>
                </w:rPr>
                <w:t>View past updates to the e-CFR.</w:t>
              </w:r>
              <w:r w:rsidRPr="00D35675">
                <w:rPr>
                  <w:rFonts w:ascii="Arial" w:eastAsia="Times New Roman" w:hAnsi="Arial" w:cs="Arial"/>
                  <w:b/>
                  <w:bCs/>
                  <w:color w:val="0000FF"/>
                  <w:sz w:val="17"/>
                  <w:szCs w:val="17"/>
                </w:rPr>
                <w:br/>
                <w:t>Click here to learn more.</w:t>
              </w:r>
            </w:hyperlink>
          </w:p>
          <w:p w:rsidR="00D35675" w:rsidRPr="00D35675" w:rsidRDefault="00D35675" w:rsidP="00D35675">
            <w:pPr>
              <w:spacing w:before="100" w:beforeAutospacing="1" w:after="100" w:afterAutospacing="1" w:line="240" w:lineRule="auto"/>
              <w:jc w:val="center"/>
              <w:rPr>
                <w:rFonts w:ascii="Arial" w:eastAsia="Times New Roman" w:hAnsi="Arial" w:cs="Arial"/>
                <w:b/>
                <w:bCs/>
                <w:color w:val="FF0000"/>
                <w:sz w:val="27"/>
                <w:szCs w:val="27"/>
              </w:rPr>
            </w:pPr>
            <w:r w:rsidRPr="00D35675">
              <w:rPr>
                <w:rFonts w:ascii="Arial" w:eastAsia="Times New Roman" w:hAnsi="Arial" w:cs="Arial"/>
                <w:b/>
                <w:bCs/>
                <w:color w:val="FF0000"/>
                <w:sz w:val="27"/>
                <w:szCs w:val="27"/>
              </w:rPr>
              <w:t>e-CFR data is current as of April 18, 2016</w:t>
            </w:r>
          </w:p>
        </w:tc>
      </w:tr>
    </w:tbl>
    <w:p w:rsidR="00D35675" w:rsidRPr="00D35675" w:rsidRDefault="00D35675" w:rsidP="00D35675">
      <w:pPr>
        <w:spacing w:line="240" w:lineRule="auto"/>
        <w:jc w:val="center"/>
        <w:rPr>
          <w:rFonts w:ascii="Arial" w:eastAsia="Times New Roman" w:hAnsi="Arial" w:cs="Arial"/>
          <w:vanish/>
          <w:sz w:val="20"/>
          <w:szCs w:val="20"/>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076"/>
      </w:tblGrid>
      <w:tr w:rsidR="00D35675" w:rsidRPr="00D35675" w:rsidTr="00D35675">
        <w:trPr>
          <w:tblCellSpacing w:w="15" w:type="dxa"/>
          <w:jc w:val="center"/>
        </w:trPr>
        <w:tc>
          <w:tcPr>
            <w:tcW w:w="0" w:type="auto"/>
            <w:hideMark/>
          </w:tcPr>
          <w:p w:rsidR="00D35675" w:rsidRPr="00D35675" w:rsidRDefault="00D35675" w:rsidP="00D35675">
            <w:pPr>
              <w:spacing w:before="200" w:after="100" w:afterAutospacing="1" w:line="240" w:lineRule="auto"/>
              <w:rPr>
                <w:rFonts w:ascii="Arial" w:eastAsia="Times New Roman" w:hAnsi="Arial" w:cs="Arial"/>
                <w:sz w:val="20"/>
                <w:szCs w:val="20"/>
              </w:rPr>
            </w:pPr>
            <w:hyperlink r:id="rId6" w:history="1">
              <w:r w:rsidRPr="00D35675">
                <w:rPr>
                  <w:rFonts w:ascii="Arial" w:eastAsia="Times New Roman" w:hAnsi="Arial" w:cs="Arial"/>
                  <w:color w:val="0000FF"/>
                  <w:sz w:val="17"/>
                  <w:szCs w:val="17"/>
                </w:rPr>
                <w:t>Title 18</w:t>
              </w:r>
            </w:hyperlink>
            <w:r w:rsidRPr="00D35675">
              <w:rPr>
                <w:rFonts w:ascii="Arial" w:eastAsia="Times New Roman" w:hAnsi="Arial" w:cs="Arial"/>
                <w:sz w:val="20"/>
                <w:szCs w:val="20"/>
              </w:rPr>
              <w:t xml:space="preserve"> → </w:t>
            </w:r>
            <w:hyperlink r:id="rId7" w:history="1">
              <w:r w:rsidRPr="00D35675">
                <w:rPr>
                  <w:rFonts w:ascii="Arial" w:eastAsia="Times New Roman" w:hAnsi="Arial" w:cs="Arial"/>
                  <w:color w:val="0000FF"/>
                  <w:sz w:val="17"/>
                  <w:szCs w:val="17"/>
                </w:rPr>
                <w:t>Chapter I</w:t>
              </w:r>
            </w:hyperlink>
            <w:r w:rsidRPr="00D35675">
              <w:rPr>
                <w:rFonts w:ascii="Arial" w:eastAsia="Times New Roman" w:hAnsi="Arial" w:cs="Arial"/>
                <w:sz w:val="20"/>
                <w:szCs w:val="20"/>
              </w:rPr>
              <w:t xml:space="preserve"> → </w:t>
            </w:r>
            <w:hyperlink r:id="rId8" w:history="1">
              <w:r w:rsidRPr="00D35675">
                <w:rPr>
                  <w:rFonts w:ascii="Arial" w:eastAsia="Times New Roman" w:hAnsi="Arial" w:cs="Arial"/>
                  <w:color w:val="0000FF"/>
                  <w:sz w:val="17"/>
                  <w:szCs w:val="17"/>
                </w:rPr>
                <w:t>Subchapter C</w:t>
              </w:r>
            </w:hyperlink>
            <w:r w:rsidRPr="00D35675">
              <w:rPr>
                <w:rFonts w:ascii="Arial" w:eastAsia="Times New Roman" w:hAnsi="Arial" w:cs="Arial"/>
                <w:sz w:val="20"/>
                <w:szCs w:val="20"/>
              </w:rPr>
              <w:t xml:space="preserve"> → Part 101</w:t>
            </w:r>
          </w:p>
          <w:p w:rsidR="00D35675" w:rsidRPr="00D35675" w:rsidRDefault="00D35675" w:rsidP="00D35675">
            <w:pPr>
              <w:spacing w:after="0" w:line="240" w:lineRule="auto"/>
              <w:jc w:val="center"/>
              <w:rPr>
                <w:rFonts w:ascii="Arial" w:eastAsia="Times New Roman" w:hAnsi="Arial" w:cs="Arial"/>
                <w:sz w:val="20"/>
                <w:szCs w:val="20"/>
              </w:rPr>
            </w:pPr>
            <w:r w:rsidRPr="00D35675">
              <w:rPr>
                <w:rFonts w:ascii="Arial" w:eastAsia="Times New Roman" w:hAnsi="Arial" w:cs="Arial"/>
                <w:sz w:val="20"/>
                <w:szCs w:val="20"/>
              </w:rPr>
              <w:pict>
                <v:rect id="_x0000_i1025" style="width:0;height:1.5pt" o:hralign="center" o:hrstd="t" o:hrnoshade="t" o:hr="t" fillcolor="black" stroked="f"/>
              </w:pict>
            </w:r>
          </w:p>
        </w:tc>
      </w:tr>
    </w:tbl>
    <w:p w:rsidR="00D35675" w:rsidRPr="00D35675" w:rsidRDefault="00D35675" w:rsidP="00D35675">
      <w:pPr>
        <w:spacing w:before="200" w:after="100" w:afterAutospacing="1" w:line="240" w:lineRule="auto"/>
        <w:rPr>
          <w:rFonts w:ascii="Arial" w:eastAsia="Times New Roman" w:hAnsi="Arial" w:cs="Arial"/>
          <w:sz w:val="20"/>
          <w:szCs w:val="20"/>
        </w:rPr>
      </w:pPr>
      <w:hyperlink r:id="rId9" w:history="1">
        <w:r w:rsidRPr="00D35675">
          <w:rPr>
            <w:rFonts w:ascii="Arial" w:eastAsia="Times New Roman" w:hAnsi="Arial" w:cs="Arial"/>
            <w:color w:val="0000FF"/>
            <w:sz w:val="17"/>
            <w:szCs w:val="17"/>
          </w:rPr>
          <w:t>Browse Previous</w:t>
        </w:r>
      </w:hyperlink>
      <w:r w:rsidRPr="00D35675">
        <w:rPr>
          <w:rFonts w:ascii="Arial" w:eastAsia="Times New Roman" w:hAnsi="Arial" w:cs="Arial"/>
          <w:sz w:val="20"/>
          <w:szCs w:val="20"/>
        </w:rPr>
        <w:t xml:space="preserve"> | </w:t>
      </w:r>
      <w:hyperlink r:id="rId10" w:history="1">
        <w:r w:rsidRPr="00D35675">
          <w:rPr>
            <w:rFonts w:ascii="Arial" w:eastAsia="Times New Roman" w:hAnsi="Arial" w:cs="Arial"/>
            <w:color w:val="0000FF"/>
            <w:sz w:val="17"/>
            <w:szCs w:val="17"/>
          </w:rPr>
          <w:t>Browse Next</w:t>
        </w:r>
      </w:hyperlink>
    </w:p>
    <w:p w:rsidR="00D35675" w:rsidRPr="00D35675" w:rsidRDefault="00D35675" w:rsidP="00D35675">
      <w:pPr>
        <w:spacing w:before="200" w:after="100" w:afterAutospacing="1" w:line="240" w:lineRule="auto"/>
        <w:rPr>
          <w:rFonts w:ascii="Arial" w:eastAsia="Times New Roman" w:hAnsi="Arial" w:cs="Arial"/>
          <w:sz w:val="20"/>
          <w:szCs w:val="20"/>
        </w:rPr>
      </w:pPr>
      <w:r w:rsidRPr="00D35675">
        <w:rPr>
          <w:rFonts w:ascii="Arial" w:eastAsia="Times New Roman" w:hAnsi="Arial" w:cs="Arial"/>
          <w:sz w:val="20"/>
          <w:szCs w:val="20"/>
        </w:rPr>
        <w:t xml:space="preserve">Title 18: Conservation of Power and Water Resources </w:t>
      </w:r>
    </w:p>
    <w:p w:rsidR="00D35675" w:rsidRPr="00D35675" w:rsidRDefault="00D35675" w:rsidP="00D35675">
      <w:pPr>
        <w:spacing w:after="0" w:line="240" w:lineRule="auto"/>
        <w:jc w:val="center"/>
        <w:rPr>
          <w:rFonts w:ascii="Arial" w:eastAsia="Times New Roman" w:hAnsi="Arial" w:cs="Arial"/>
          <w:sz w:val="20"/>
          <w:szCs w:val="20"/>
        </w:rPr>
      </w:pPr>
      <w:r w:rsidRPr="00D35675">
        <w:rPr>
          <w:rFonts w:ascii="Arial" w:eastAsia="Times New Roman" w:hAnsi="Arial" w:cs="Arial"/>
          <w:sz w:val="20"/>
          <w:szCs w:val="20"/>
        </w:rPr>
        <w:pict>
          <v:rect id="_x0000_i1026" style="width:0;height:1.5pt" o:hralign="center" o:hrstd="t" o:hr="t" fillcolor="#a0a0a0" stroked="f"/>
        </w:pict>
      </w:r>
    </w:p>
    <w:p w:rsidR="00D35675" w:rsidRPr="00D35675" w:rsidRDefault="00D35675" w:rsidP="00D35675">
      <w:pPr>
        <w:spacing w:before="200" w:after="100" w:line="240" w:lineRule="auto"/>
        <w:outlineLvl w:val="1"/>
        <w:rPr>
          <w:rFonts w:ascii="Arial" w:eastAsia="Times New Roman" w:hAnsi="Arial" w:cs="Arial"/>
          <w:b/>
          <w:bCs/>
          <w:sz w:val="20"/>
          <w:szCs w:val="20"/>
        </w:rPr>
      </w:pPr>
      <w:bookmarkStart w:id="0" w:name="_top"/>
      <w:bookmarkEnd w:id="0"/>
      <w:r w:rsidRPr="00D35675">
        <w:rPr>
          <w:rFonts w:ascii="Arial" w:eastAsia="Times New Roman" w:hAnsi="Arial" w:cs="Arial"/>
          <w:b/>
          <w:bCs/>
          <w:sz w:val="20"/>
          <w:szCs w:val="20"/>
        </w:rPr>
        <w:t xml:space="preserve">PART 101—UNIFORM SYSTEM OF ACCOUNTS PRESCRIBED FOR PUBLIC UTILITIES AND LICENSEES SUBJECT TO THE PROVISIONS OF THE FEDERAL POWER ACT </w:t>
      </w:r>
    </w:p>
    <w:p w:rsidR="00D35675" w:rsidRPr="00D35675" w:rsidRDefault="00D35675" w:rsidP="00D35675">
      <w:pPr>
        <w:spacing w:before="200" w:after="100" w:afterAutospacing="1" w:line="240" w:lineRule="auto"/>
        <w:ind w:firstLine="480"/>
        <w:rPr>
          <w:rFonts w:ascii="Arial" w:eastAsia="Times New Roman" w:hAnsi="Arial" w:cs="Arial"/>
          <w:sz w:val="18"/>
          <w:szCs w:val="18"/>
        </w:rPr>
      </w:pPr>
      <w:r w:rsidRPr="00D35675">
        <w:rPr>
          <w:rFonts w:ascii="Arial" w:eastAsia="Times New Roman" w:hAnsi="Arial" w:cs="Arial"/>
          <w:smallCaps/>
          <w:sz w:val="18"/>
          <w:szCs w:val="18"/>
        </w:rPr>
        <w:t>Authority:</w:t>
      </w:r>
      <w:r w:rsidRPr="00D35675">
        <w:rPr>
          <w:rFonts w:ascii="Arial" w:eastAsia="Times New Roman" w:hAnsi="Arial" w:cs="Arial"/>
          <w:sz w:val="18"/>
          <w:szCs w:val="18"/>
        </w:rPr>
        <w:t xml:space="preserve"> 16 U.S.C. 791a-825r, 2601-2645; 31 U.S.C. 9701; 42 U.S.C. 7101-7352, 7651-7651o. </w:t>
      </w:r>
    </w:p>
    <w:p w:rsidR="00D35675" w:rsidRPr="00D35675" w:rsidRDefault="00D35675" w:rsidP="00D35675">
      <w:pPr>
        <w:spacing w:before="200" w:after="100" w:afterAutospacing="1" w:line="240" w:lineRule="auto"/>
        <w:ind w:firstLine="480"/>
        <w:rPr>
          <w:rFonts w:ascii="Arial" w:eastAsia="Times New Roman" w:hAnsi="Arial" w:cs="Arial"/>
          <w:sz w:val="18"/>
          <w:szCs w:val="18"/>
        </w:rPr>
      </w:pPr>
      <w:r w:rsidRPr="00D35675">
        <w:rPr>
          <w:rFonts w:ascii="Arial" w:eastAsia="Times New Roman" w:hAnsi="Arial" w:cs="Arial"/>
          <w:smallCaps/>
          <w:sz w:val="18"/>
          <w:szCs w:val="18"/>
        </w:rPr>
        <w:t>Source:</w:t>
      </w:r>
      <w:r w:rsidRPr="00D35675">
        <w:rPr>
          <w:rFonts w:ascii="Arial" w:eastAsia="Times New Roman" w:hAnsi="Arial" w:cs="Arial"/>
          <w:sz w:val="18"/>
          <w:szCs w:val="18"/>
        </w:rPr>
        <w:t xml:space="preserve"> Order 218, 25 FR 5014, June 7, 1960, unless otherwise noted. </w:t>
      </w:r>
    </w:p>
    <w:p w:rsidR="00D35675" w:rsidRPr="00D35675" w:rsidRDefault="00D35675" w:rsidP="00D35675">
      <w:pPr>
        <w:spacing w:before="200" w:after="100" w:afterAutospacing="1" w:line="240" w:lineRule="auto"/>
        <w:ind w:firstLine="480"/>
        <w:rPr>
          <w:rFonts w:ascii="Arial" w:eastAsia="Times New Roman" w:hAnsi="Arial" w:cs="Arial"/>
          <w:sz w:val="18"/>
          <w:szCs w:val="18"/>
        </w:rPr>
      </w:pPr>
      <w:r w:rsidRPr="00D35675">
        <w:rPr>
          <w:rFonts w:ascii="Arial" w:eastAsia="Times New Roman" w:hAnsi="Arial" w:cs="Arial"/>
          <w:smallCaps/>
          <w:sz w:val="18"/>
          <w:szCs w:val="18"/>
        </w:rPr>
        <w:t>Editorial Note:</w:t>
      </w:r>
      <w:r w:rsidRPr="00D35675">
        <w:rPr>
          <w:rFonts w:ascii="Arial" w:eastAsia="Times New Roman" w:hAnsi="Arial" w:cs="Arial"/>
          <w:sz w:val="18"/>
          <w:szCs w:val="18"/>
        </w:rPr>
        <w:t xml:space="preserve"> For </w:t>
      </w:r>
      <w:r w:rsidRPr="00D35675">
        <w:rPr>
          <w:rFonts w:ascii="Arial" w:eastAsia="Times New Roman" w:hAnsi="Arial" w:cs="Arial"/>
          <w:smallCaps/>
          <w:sz w:val="18"/>
          <w:szCs w:val="18"/>
        </w:rPr>
        <w:t>Federal Register</w:t>
      </w:r>
      <w:r w:rsidRPr="00D35675">
        <w:rPr>
          <w:rFonts w:ascii="Arial" w:eastAsia="Times New Roman" w:hAnsi="Arial" w:cs="Arial"/>
          <w:sz w:val="18"/>
          <w:szCs w:val="18"/>
        </w:rPr>
        <w:t xml:space="preserve"> citations affecting part </w:t>
      </w:r>
      <w:proofErr w:type="gramStart"/>
      <w:r w:rsidRPr="00D35675">
        <w:rPr>
          <w:rFonts w:ascii="Arial" w:eastAsia="Times New Roman" w:hAnsi="Arial" w:cs="Arial"/>
          <w:sz w:val="18"/>
          <w:szCs w:val="18"/>
        </w:rPr>
        <w:t>101,</w:t>
      </w:r>
      <w:proofErr w:type="gramEnd"/>
      <w:r w:rsidRPr="00D35675">
        <w:rPr>
          <w:rFonts w:ascii="Arial" w:eastAsia="Times New Roman" w:hAnsi="Arial" w:cs="Arial"/>
          <w:sz w:val="18"/>
          <w:szCs w:val="18"/>
        </w:rPr>
        <w:t xml:space="preserve"> see the List of CFR Sections Affected, which appears in the Finding Aids section of the printed volume and at </w:t>
      </w:r>
      <w:r w:rsidRPr="00D35675">
        <w:rPr>
          <w:rFonts w:ascii="Arial" w:eastAsia="Times New Roman" w:hAnsi="Arial" w:cs="Arial"/>
          <w:i/>
          <w:iCs/>
          <w:sz w:val="18"/>
          <w:szCs w:val="18"/>
        </w:rPr>
        <w:t>www.fdsys.gov.</w:t>
      </w:r>
      <w:r w:rsidRPr="00D35675">
        <w:rPr>
          <w:rFonts w:ascii="Arial" w:eastAsia="Times New Roman" w:hAnsi="Arial" w:cs="Arial"/>
          <w:sz w:val="18"/>
          <w:szCs w:val="18"/>
        </w:rPr>
        <w:t xml:space="preserve"> </w:t>
      </w:r>
    </w:p>
    <w:p w:rsidR="00D35675" w:rsidRPr="00D35675" w:rsidRDefault="00D35675" w:rsidP="00D35675">
      <w:pPr>
        <w:spacing w:before="200" w:after="100" w:afterAutospacing="1" w:line="240" w:lineRule="auto"/>
        <w:ind w:firstLine="480"/>
        <w:rPr>
          <w:rFonts w:ascii="Arial" w:eastAsia="Times New Roman" w:hAnsi="Arial" w:cs="Arial"/>
          <w:sz w:val="18"/>
          <w:szCs w:val="18"/>
        </w:rPr>
      </w:pPr>
      <w:r w:rsidRPr="00D35675">
        <w:rPr>
          <w:rFonts w:ascii="Arial" w:eastAsia="Times New Roman" w:hAnsi="Arial" w:cs="Arial"/>
          <w:smallCaps/>
          <w:sz w:val="18"/>
          <w:szCs w:val="18"/>
        </w:rPr>
        <w:t>Effective Date Note:</w:t>
      </w:r>
      <w:r w:rsidRPr="00D35675">
        <w:rPr>
          <w:rFonts w:ascii="Arial" w:eastAsia="Times New Roman" w:hAnsi="Arial" w:cs="Arial"/>
          <w:sz w:val="18"/>
          <w:szCs w:val="18"/>
        </w:rPr>
        <w:t xml:space="preserve"> At 58 FR 18004-18006, Apr. 7, 1993, part 101 was amended by </w:t>
      </w:r>
      <w:proofErr w:type="spellStart"/>
      <w:r w:rsidRPr="00D35675">
        <w:rPr>
          <w:rFonts w:ascii="Arial" w:eastAsia="Times New Roman" w:hAnsi="Arial" w:cs="Arial"/>
          <w:sz w:val="18"/>
          <w:szCs w:val="18"/>
        </w:rPr>
        <w:t>redesignating</w:t>
      </w:r>
      <w:proofErr w:type="spellEnd"/>
      <w:r w:rsidRPr="00D35675">
        <w:rPr>
          <w:rFonts w:ascii="Arial" w:eastAsia="Times New Roman" w:hAnsi="Arial" w:cs="Arial"/>
          <w:sz w:val="18"/>
          <w:szCs w:val="18"/>
        </w:rPr>
        <w:t xml:space="preserve"> Definitions 30 through 38 as 31 through 39 and adding new Definition 30; adding paragraph 21 under the General Instructions; adding Accounts 158.1, 158.2, 182.3, and 254 under Balance Sheet Accounts; adding Accounts 407.3, 407.4, 411.8, and 411.9 under Income Accounts; and adding Account 509 under Operation and Maintenance Expense Accounts. The added text contains information collection and recordkeeping requirements and will not become effective until approval has been given by the Office of Management and Budget. </w:t>
      </w:r>
    </w:p>
    <w:p w:rsidR="00D35675" w:rsidRPr="00D35675" w:rsidRDefault="00D35675" w:rsidP="00D35675">
      <w:pPr>
        <w:spacing w:before="200" w:after="100" w:afterAutospacing="1" w:line="240" w:lineRule="auto"/>
        <w:ind w:firstLine="480"/>
        <w:rPr>
          <w:rFonts w:ascii="Arial" w:eastAsia="Times New Roman" w:hAnsi="Arial" w:cs="Arial"/>
          <w:sz w:val="18"/>
          <w:szCs w:val="18"/>
        </w:rPr>
      </w:pPr>
      <w:r w:rsidRPr="00D35675">
        <w:rPr>
          <w:rFonts w:ascii="Arial" w:eastAsia="Times New Roman" w:hAnsi="Arial" w:cs="Arial"/>
          <w:smallCaps/>
          <w:sz w:val="18"/>
          <w:szCs w:val="18"/>
        </w:rPr>
        <w:t>Note:</w:t>
      </w:r>
      <w:r w:rsidRPr="00D35675">
        <w:rPr>
          <w:rFonts w:ascii="Arial" w:eastAsia="Times New Roman" w:hAnsi="Arial" w:cs="Arial"/>
          <w:sz w:val="18"/>
          <w:szCs w:val="18"/>
        </w:rPr>
        <w:t xml:space="preserve"> Order 141, 12 FR 8503, Dec. 19, 1947, provides in part as follows: </w:t>
      </w:r>
    </w:p>
    <w:p w:rsidR="00D35675" w:rsidRPr="00D35675" w:rsidRDefault="00D35675" w:rsidP="00D35675">
      <w:pPr>
        <w:spacing w:before="100" w:beforeAutospacing="1" w:after="100" w:afterAutospacing="1" w:line="240" w:lineRule="auto"/>
        <w:ind w:firstLine="480"/>
        <w:jc w:val="center"/>
        <w:rPr>
          <w:rFonts w:ascii="Arial" w:eastAsia="Times New Roman" w:hAnsi="Arial" w:cs="Arial"/>
          <w:sz w:val="20"/>
          <w:szCs w:val="20"/>
        </w:rPr>
      </w:pPr>
      <w:proofErr w:type="gramStart"/>
      <w:r w:rsidRPr="00D35675">
        <w:rPr>
          <w:rFonts w:ascii="Arial" w:eastAsia="Times New Roman" w:hAnsi="Arial" w:cs="Arial"/>
          <w:i/>
          <w:iCs/>
          <w:sz w:val="20"/>
          <w:szCs w:val="20"/>
        </w:rPr>
        <w:t>Prescribing a system of accounts for public utilities and licensees under the Federal Power Act.</w:t>
      </w:r>
      <w:proofErr w:type="gramEnd"/>
      <w:r w:rsidRPr="00D35675">
        <w:rPr>
          <w:rFonts w:ascii="Arial" w:eastAsia="Times New Roman" w:hAnsi="Arial" w:cs="Arial"/>
          <w:sz w:val="20"/>
          <w:szCs w:val="20"/>
        </w:rPr>
        <w:t xml:space="preserve"> The Federal Power Commission acting pursuant to authority granted by the Federal Power Act, particularly sections 301(a), 304(a), and 309, and paragraph (13) of section 3, section 4(b) thereof, and finding such action necessary and appropriate for carrying out the provisions of said act, hereby adopts the accompanying system of accounts entitled “Uniform System of Accounts Prescribed for Public Utilities and Licensees Subject to the Provisions of the Federal Power Act,” and the rules and regulations contained therein; and </w:t>
      </w:r>
      <w:r w:rsidRPr="00D35675">
        <w:rPr>
          <w:rFonts w:ascii="Arial" w:eastAsia="Times New Roman" w:hAnsi="Arial" w:cs="Arial"/>
          <w:i/>
          <w:iCs/>
          <w:sz w:val="20"/>
          <w:szCs w:val="20"/>
        </w:rPr>
        <w:t>It is hereby ordered:</w:t>
      </w:r>
      <w:r w:rsidRPr="00D35675">
        <w:rPr>
          <w:rFonts w:ascii="Arial" w:eastAsia="Times New Roman" w:hAnsi="Arial" w:cs="Arial"/>
          <w:sz w:val="20"/>
          <w:szCs w:val="20"/>
        </w:rPr>
        <w:t xml:space="preserve"> </w:t>
      </w:r>
    </w:p>
    <w:p w:rsidR="00D35675" w:rsidRPr="00D35675" w:rsidRDefault="00D35675" w:rsidP="00D35675">
      <w:pPr>
        <w:spacing w:before="100" w:beforeAutospacing="1" w:after="100" w:afterAutospacing="1" w:line="240" w:lineRule="auto"/>
        <w:ind w:firstLine="480"/>
        <w:jc w:val="center"/>
        <w:rPr>
          <w:rFonts w:ascii="Arial" w:eastAsia="Times New Roman" w:hAnsi="Arial" w:cs="Arial"/>
          <w:sz w:val="20"/>
          <w:szCs w:val="20"/>
        </w:rPr>
      </w:pPr>
      <w:r w:rsidRPr="00D35675">
        <w:rPr>
          <w:rFonts w:ascii="Arial" w:eastAsia="Times New Roman" w:hAnsi="Arial" w:cs="Arial"/>
          <w:sz w:val="20"/>
          <w:szCs w:val="20"/>
        </w:rPr>
        <w:t xml:space="preserve">(a) That said system of accounts and said rules and regulations contained therein be and the same are hereby prescribed and promulgated as the system of accounts and rules and regulations of the Commission to be kept and observed by public utilities subject to the jurisdiction of the Commission and by licensees holding licenses issued by the Commission, to the extent and in the manner set forth therein; </w:t>
      </w:r>
    </w:p>
    <w:p w:rsidR="00D35675" w:rsidRPr="00D35675" w:rsidRDefault="00D35675" w:rsidP="00D35675">
      <w:pPr>
        <w:spacing w:before="100" w:beforeAutospacing="1" w:after="100" w:afterAutospacing="1" w:line="240" w:lineRule="auto"/>
        <w:ind w:firstLine="480"/>
        <w:jc w:val="center"/>
        <w:rPr>
          <w:rFonts w:ascii="Arial" w:eastAsia="Times New Roman" w:hAnsi="Arial" w:cs="Arial"/>
          <w:sz w:val="20"/>
          <w:szCs w:val="20"/>
        </w:rPr>
      </w:pPr>
      <w:r w:rsidRPr="00D35675">
        <w:rPr>
          <w:rFonts w:ascii="Arial" w:eastAsia="Times New Roman" w:hAnsi="Arial" w:cs="Arial"/>
          <w:sz w:val="20"/>
          <w:szCs w:val="20"/>
        </w:rPr>
        <w:t xml:space="preserve">(b) That said system of accounts and rules and regulations therein contained shall, as to all public utilities now subject to the jurisdiction of the Commission and as to all present licensees, become effective on January 1, 1937, and as to public utilities and licensees which may hereafter become subject </w:t>
      </w:r>
      <w:r w:rsidRPr="00D35675">
        <w:rPr>
          <w:rFonts w:ascii="Arial" w:eastAsia="Times New Roman" w:hAnsi="Arial" w:cs="Arial"/>
          <w:sz w:val="20"/>
          <w:szCs w:val="20"/>
        </w:rPr>
        <w:lastRenderedPageBreak/>
        <w:t xml:space="preserve">to the jurisdiction of the Commission, they shall become effective as of the date when such public utility becomes subject to the jurisdiction of the Commission or on the effective date of the license; </w:t>
      </w:r>
    </w:p>
    <w:p w:rsidR="00D35675" w:rsidRPr="00D35675" w:rsidRDefault="00D35675" w:rsidP="00D35675">
      <w:pPr>
        <w:spacing w:before="100" w:beforeAutospacing="1" w:after="100" w:afterAutospacing="1" w:line="240" w:lineRule="auto"/>
        <w:ind w:firstLine="480"/>
        <w:jc w:val="center"/>
        <w:rPr>
          <w:rFonts w:ascii="Arial" w:eastAsia="Times New Roman" w:hAnsi="Arial" w:cs="Arial"/>
          <w:sz w:val="20"/>
          <w:szCs w:val="20"/>
        </w:rPr>
      </w:pPr>
      <w:r w:rsidRPr="00D35675">
        <w:rPr>
          <w:rFonts w:ascii="Arial" w:eastAsia="Times New Roman" w:hAnsi="Arial" w:cs="Arial"/>
          <w:sz w:val="20"/>
          <w:szCs w:val="20"/>
        </w:rPr>
        <w:t xml:space="preserve">(c) That a copy of said system of accounts and rules and regulation contained therein be forthwith served upon each public utility subject to the jurisdiction of the Commission, and each licensee or permittee holding a license or permit from the Commission. </w:t>
      </w:r>
    </w:p>
    <w:p w:rsidR="00D35675" w:rsidRPr="00D35675" w:rsidRDefault="00D35675" w:rsidP="00D35675">
      <w:pPr>
        <w:spacing w:before="100" w:beforeAutospacing="1" w:after="100" w:afterAutospacing="1" w:line="240" w:lineRule="auto"/>
        <w:ind w:firstLine="480"/>
        <w:jc w:val="center"/>
        <w:rPr>
          <w:rFonts w:ascii="Arial" w:eastAsia="Times New Roman" w:hAnsi="Arial" w:cs="Arial"/>
          <w:sz w:val="20"/>
          <w:szCs w:val="20"/>
        </w:rPr>
      </w:pPr>
      <w:r w:rsidRPr="00D35675">
        <w:rPr>
          <w:rFonts w:ascii="Arial" w:eastAsia="Times New Roman" w:hAnsi="Arial" w:cs="Arial"/>
          <w:sz w:val="20"/>
          <w:szCs w:val="20"/>
        </w:rPr>
        <w:t xml:space="preserve">This system of accounts supersedes the system of accounts prescribed for licensees under the Federal Water Power Act; and Order No. 13, entered November 20, 1922, prescribing said system of accounts, was rescinded effective January 1, 1937. </w:t>
      </w:r>
    </w:p>
    <w:p w:rsidR="00D35675" w:rsidRPr="00D35675" w:rsidRDefault="00D35675" w:rsidP="00D35675">
      <w:pPr>
        <w:spacing w:before="100" w:beforeAutospacing="1" w:after="100" w:afterAutospacing="1" w:line="240" w:lineRule="auto"/>
        <w:ind w:firstLine="480"/>
        <w:jc w:val="center"/>
        <w:rPr>
          <w:rFonts w:ascii="Arial" w:eastAsia="Times New Roman" w:hAnsi="Arial" w:cs="Arial"/>
          <w:sz w:val="20"/>
          <w:szCs w:val="20"/>
        </w:rPr>
      </w:pPr>
      <w:proofErr w:type="gramStart"/>
      <w:r w:rsidRPr="00D35675">
        <w:rPr>
          <w:rFonts w:ascii="Arial" w:eastAsia="Times New Roman" w:hAnsi="Arial" w:cs="Arial"/>
          <w:i/>
          <w:iCs/>
          <w:sz w:val="20"/>
          <w:szCs w:val="20"/>
        </w:rPr>
        <w:t>Applicability of system of accounts.</w:t>
      </w:r>
      <w:proofErr w:type="gramEnd"/>
      <w:r w:rsidRPr="00D35675">
        <w:rPr>
          <w:rFonts w:ascii="Arial" w:eastAsia="Times New Roman" w:hAnsi="Arial" w:cs="Arial"/>
          <w:sz w:val="20"/>
          <w:szCs w:val="20"/>
        </w:rPr>
        <w:t xml:space="preserve"> This system of accounts is applicable in principle to all licensees subject to the Commission's accounting requirements under the Federal Power Act, and to all public utilities subject to the provisions of the Federal Power Act. The Commission reserves the right, however, under the provisions of section 301(a) of the Federal Power Act to classify such licensees and public utilities and to prescribe a system of classification of accounts to be kept by and which will be convenient for and meet the requirements of each class. </w:t>
      </w:r>
    </w:p>
    <w:p w:rsidR="00D35675" w:rsidRPr="00D35675" w:rsidRDefault="00D35675" w:rsidP="00D35675">
      <w:pPr>
        <w:spacing w:before="100" w:beforeAutospacing="1" w:after="100" w:afterAutospacing="1" w:line="240" w:lineRule="auto"/>
        <w:ind w:firstLine="480"/>
        <w:jc w:val="center"/>
        <w:rPr>
          <w:rFonts w:ascii="Arial" w:eastAsia="Times New Roman" w:hAnsi="Arial" w:cs="Arial"/>
          <w:sz w:val="20"/>
          <w:szCs w:val="20"/>
        </w:rPr>
      </w:pPr>
      <w:r w:rsidRPr="00D35675">
        <w:rPr>
          <w:rFonts w:ascii="Arial" w:eastAsia="Times New Roman" w:hAnsi="Arial" w:cs="Arial"/>
          <w:sz w:val="20"/>
          <w:szCs w:val="20"/>
        </w:rPr>
        <w:t xml:space="preserve">This system of accounts is applicable to public utilities, as defined in this part, and to licensees engaged in the generation and sale of electric energy for ultimate distribution to the public. </w:t>
      </w:r>
    </w:p>
    <w:p w:rsidR="00D35675" w:rsidRPr="00D35675" w:rsidRDefault="00D35675" w:rsidP="00D35675">
      <w:pPr>
        <w:spacing w:before="100" w:beforeAutospacing="1" w:after="100" w:afterAutospacing="1" w:line="240" w:lineRule="auto"/>
        <w:ind w:firstLine="480"/>
        <w:jc w:val="center"/>
        <w:rPr>
          <w:rFonts w:ascii="Arial" w:eastAsia="Times New Roman" w:hAnsi="Arial" w:cs="Arial"/>
          <w:sz w:val="20"/>
          <w:szCs w:val="20"/>
        </w:rPr>
      </w:pPr>
      <w:r w:rsidRPr="00D35675">
        <w:rPr>
          <w:rFonts w:ascii="Arial" w:eastAsia="Times New Roman" w:hAnsi="Arial" w:cs="Arial"/>
          <w:sz w:val="20"/>
          <w:szCs w:val="20"/>
        </w:rPr>
        <w:t xml:space="preserve">This system of accounts shall also apply to agencies of the United States engaged in the generation and sale of electric energy for ultimate distribution to the public, so far as may be practicable, in accordance with applicable statutes. </w:t>
      </w:r>
    </w:p>
    <w:p w:rsidR="00D35675" w:rsidRPr="00D35675" w:rsidRDefault="00D35675" w:rsidP="00D35675">
      <w:pPr>
        <w:spacing w:before="100" w:beforeAutospacing="1" w:after="100" w:afterAutospacing="1" w:line="240" w:lineRule="auto"/>
        <w:ind w:firstLine="480"/>
        <w:jc w:val="center"/>
        <w:rPr>
          <w:rFonts w:ascii="Arial" w:eastAsia="Times New Roman" w:hAnsi="Arial" w:cs="Arial"/>
          <w:sz w:val="20"/>
          <w:szCs w:val="20"/>
        </w:rPr>
      </w:pPr>
      <w:r w:rsidRPr="00D35675">
        <w:rPr>
          <w:rFonts w:ascii="Arial" w:eastAsia="Times New Roman" w:hAnsi="Arial" w:cs="Arial"/>
          <w:sz w:val="20"/>
          <w:szCs w:val="20"/>
        </w:rPr>
        <w:t>In accordance with the requirements of section 3 of the Act (49 Stat. 839; 16 U.S.C. 796(13)), the “classification of investment in road and equipment of steam roads, issue of 1914, Interstate Commerce Commission”, is published and promulgated as a part of the accounting rules and regulations of the Commission, and a copy thereof appears as part 103 of this chapter. Irrespective of any rules and regulations contained in this system of accounts, the cost of original projects licensed under the Act, and also the cost of additions thereto and betterments thereof, shall be determined under the rules and principles as defined and interpreted in said classification of the Interstate Commerce Commission so far as applicable.</w:t>
      </w:r>
    </w:p>
    <w:p w:rsidR="00D35675" w:rsidRPr="00D35675" w:rsidRDefault="00D35675" w:rsidP="00D35675">
      <w:pPr>
        <w:spacing w:before="200" w:after="100" w:afterAutospacing="1" w:line="240" w:lineRule="auto"/>
        <w:ind w:firstLine="480"/>
        <w:rPr>
          <w:rFonts w:ascii="Arial" w:eastAsia="Times New Roman" w:hAnsi="Arial" w:cs="Arial"/>
          <w:sz w:val="18"/>
          <w:szCs w:val="18"/>
        </w:rPr>
      </w:pPr>
      <w:r w:rsidRPr="00D35675">
        <w:rPr>
          <w:rFonts w:ascii="Arial" w:eastAsia="Times New Roman" w:hAnsi="Arial" w:cs="Arial"/>
          <w:smallCaps/>
          <w:sz w:val="18"/>
          <w:szCs w:val="18"/>
        </w:rPr>
        <w:t>Cross References:</w:t>
      </w:r>
      <w:r w:rsidRPr="00D35675">
        <w:rPr>
          <w:rFonts w:ascii="Arial" w:eastAsia="Times New Roman" w:hAnsi="Arial" w:cs="Arial"/>
          <w:sz w:val="18"/>
          <w:szCs w:val="18"/>
        </w:rPr>
        <w:t xml:space="preserve"> For application of uniform system of accounts to Class C and D public utilities and licensees, see part 104 of this chapter. For statements and reports, see part 141 of this chapter.</w:t>
      </w:r>
    </w:p>
    <w:p w:rsidR="00D35675" w:rsidRPr="00D35675" w:rsidRDefault="00D35675" w:rsidP="00D35675">
      <w:pPr>
        <w:spacing w:before="200" w:after="100" w:line="240" w:lineRule="auto"/>
        <w:jc w:val="center"/>
        <w:outlineLvl w:val="0"/>
        <w:rPr>
          <w:rFonts w:ascii="Arial" w:eastAsia="Times New Roman" w:hAnsi="Arial" w:cs="Arial"/>
          <w:b/>
          <w:bCs/>
          <w:kern w:val="36"/>
          <w:sz w:val="20"/>
          <w:szCs w:val="20"/>
        </w:rPr>
      </w:pPr>
      <w:r w:rsidRPr="00D35675">
        <w:rPr>
          <w:rFonts w:ascii="Arial" w:eastAsia="Times New Roman" w:hAnsi="Arial" w:cs="Arial"/>
          <w:b/>
          <w:bCs/>
          <w:kern w:val="36"/>
          <w:sz w:val="20"/>
          <w:szCs w:val="20"/>
        </w:rPr>
        <w:t>Uniform System of Accounts Prescribed for Public Utilities and Licensees Subject to the Provisions of the Federal Power Act</w:t>
      </w:r>
    </w:p>
    <w:p w:rsidR="00D35675" w:rsidRDefault="00D35675">
      <w:pPr>
        <w:rPr>
          <w:rFonts w:ascii="Arial" w:eastAsia="Times New Roman" w:hAnsi="Arial" w:cs="Arial"/>
          <w:b/>
          <w:bCs/>
          <w:kern w:val="36"/>
          <w:sz w:val="20"/>
          <w:szCs w:val="20"/>
        </w:rPr>
      </w:pPr>
      <w:r>
        <w:rPr>
          <w:rFonts w:ascii="Arial" w:eastAsia="Times New Roman" w:hAnsi="Arial" w:cs="Arial"/>
          <w:b/>
          <w:bCs/>
          <w:kern w:val="36"/>
          <w:sz w:val="20"/>
          <w:szCs w:val="20"/>
        </w:rPr>
        <w:br w:type="page"/>
      </w:r>
    </w:p>
    <w:p w:rsidR="005F28BC" w:rsidRDefault="00D35675">
      <w:r>
        <w:lastRenderedPageBreak/>
        <w:t xml:space="preserve">Excerpt </w:t>
      </w:r>
      <w:proofErr w:type="gramStart"/>
      <w:r>
        <w:t>From</w:t>
      </w:r>
      <w:proofErr w:type="gramEnd"/>
      <w:r>
        <w:t xml:space="preserve"> “General Instructions” Section of the FERC USOA:</w:t>
      </w:r>
    </w:p>
    <w:p w:rsidR="009A54ED" w:rsidRDefault="009A54ED" w:rsidP="009A54ED">
      <w:pPr>
        <w:rPr>
          <w:rFonts w:ascii="Arial" w:hAnsi="Arial" w:cs="Arial"/>
          <w:sz w:val="20"/>
          <w:szCs w:val="20"/>
        </w:rPr>
      </w:pPr>
    </w:p>
    <w:p w:rsidR="009A54ED" w:rsidRPr="009A54ED" w:rsidRDefault="009A54ED" w:rsidP="009A54ED">
      <w:pPr>
        <w:rPr>
          <w:rFonts w:cs="Times New Roman"/>
          <w:szCs w:val="24"/>
        </w:rPr>
      </w:pPr>
      <w:r w:rsidRPr="009A54ED">
        <w:rPr>
          <w:rFonts w:cs="Times New Roman"/>
          <w:szCs w:val="24"/>
        </w:rPr>
        <w:t xml:space="preserve">22. </w:t>
      </w:r>
      <w:r w:rsidRPr="009A54ED">
        <w:rPr>
          <w:rFonts w:cs="Times New Roman"/>
          <w:i/>
          <w:szCs w:val="24"/>
        </w:rPr>
        <w:t>Depreciation Accounting.</w:t>
      </w:r>
      <w:r w:rsidRPr="009A54ED">
        <w:rPr>
          <w:rFonts w:cs="Times New Roman"/>
          <w:szCs w:val="24"/>
        </w:rPr>
        <w:t xml:space="preserve"> </w:t>
      </w:r>
    </w:p>
    <w:p w:rsidR="009A54ED" w:rsidRPr="009A54ED" w:rsidRDefault="009A54ED" w:rsidP="009A54ED">
      <w:pPr>
        <w:rPr>
          <w:rFonts w:cs="Times New Roman"/>
          <w:szCs w:val="24"/>
        </w:rPr>
      </w:pPr>
    </w:p>
    <w:p w:rsidR="009A54ED" w:rsidRPr="009A54ED" w:rsidRDefault="009A54ED" w:rsidP="009A54ED">
      <w:pPr>
        <w:rPr>
          <w:rFonts w:cs="Times New Roman"/>
          <w:szCs w:val="24"/>
        </w:rPr>
      </w:pPr>
      <w:r w:rsidRPr="009A54ED">
        <w:rPr>
          <w:rFonts w:cs="Times New Roman"/>
          <w:szCs w:val="24"/>
        </w:rPr>
        <w:t xml:space="preserve">A. </w:t>
      </w:r>
      <w:r w:rsidRPr="009A54ED">
        <w:rPr>
          <w:rFonts w:cs="Times New Roman"/>
          <w:i/>
          <w:szCs w:val="24"/>
        </w:rPr>
        <w:t>Method.</w:t>
      </w:r>
      <w:r w:rsidRPr="009A54ED">
        <w:rPr>
          <w:rFonts w:cs="Times New Roman"/>
          <w:szCs w:val="24"/>
        </w:rPr>
        <w:t xml:space="preserve"> Utilities must u</w:t>
      </w:r>
      <w:bookmarkStart w:id="1" w:name="_GoBack"/>
      <w:bookmarkEnd w:id="1"/>
      <w:r w:rsidRPr="009A54ED">
        <w:rPr>
          <w:rFonts w:cs="Times New Roman"/>
          <w:szCs w:val="24"/>
        </w:rPr>
        <w:t xml:space="preserve">se a method of depreciation that allocates in a systematic and rational manner the service value of depreciable property over the service life of the property. </w:t>
      </w:r>
    </w:p>
    <w:p w:rsidR="009A54ED" w:rsidRPr="009A54ED" w:rsidRDefault="009A54ED" w:rsidP="009A54ED">
      <w:pPr>
        <w:rPr>
          <w:rFonts w:cs="Times New Roman"/>
          <w:szCs w:val="24"/>
        </w:rPr>
      </w:pPr>
    </w:p>
    <w:p w:rsidR="009A54ED" w:rsidRPr="009A54ED" w:rsidRDefault="009A54ED" w:rsidP="009A54ED">
      <w:pPr>
        <w:rPr>
          <w:rFonts w:cs="Times New Roman"/>
          <w:szCs w:val="24"/>
        </w:rPr>
      </w:pPr>
      <w:r w:rsidRPr="009A54ED">
        <w:rPr>
          <w:rFonts w:cs="Times New Roman"/>
          <w:szCs w:val="24"/>
        </w:rPr>
        <w:t xml:space="preserve">B. </w:t>
      </w:r>
      <w:r w:rsidRPr="009A54ED">
        <w:rPr>
          <w:rFonts w:cs="Times New Roman"/>
          <w:i/>
          <w:szCs w:val="24"/>
        </w:rPr>
        <w:t>Service lives.</w:t>
      </w:r>
      <w:r w:rsidRPr="009A54ED">
        <w:rPr>
          <w:rFonts w:cs="Times New Roman"/>
          <w:szCs w:val="24"/>
        </w:rPr>
        <w:t xml:space="preserve"> Estimated useful service lives of depreciable property must be supported by engineering, economic, or other depreciation studies. </w:t>
      </w:r>
    </w:p>
    <w:p w:rsidR="009A54ED" w:rsidRPr="009A54ED" w:rsidRDefault="009A54ED" w:rsidP="009A54ED">
      <w:pPr>
        <w:rPr>
          <w:rFonts w:cs="Times New Roman"/>
          <w:szCs w:val="24"/>
        </w:rPr>
      </w:pPr>
    </w:p>
    <w:p w:rsidR="00D35675" w:rsidRPr="009A54ED" w:rsidRDefault="009A54ED" w:rsidP="00D35675">
      <w:pPr>
        <w:rPr>
          <w:rFonts w:eastAsia="Times New Roman" w:cs="Times New Roman"/>
          <w:szCs w:val="24"/>
        </w:rPr>
      </w:pPr>
      <w:r w:rsidRPr="009A54ED">
        <w:rPr>
          <w:rFonts w:cs="Times New Roman"/>
          <w:szCs w:val="24"/>
        </w:rPr>
        <w:t xml:space="preserve">C. </w:t>
      </w:r>
      <w:r w:rsidRPr="009A54ED">
        <w:rPr>
          <w:rFonts w:cs="Times New Roman"/>
          <w:i/>
          <w:szCs w:val="24"/>
        </w:rPr>
        <w:t>Rate.</w:t>
      </w:r>
      <w:r w:rsidRPr="009A54ED">
        <w:rPr>
          <w:rFonts w:cs="Times New Roman"/>
          <w:szCs w:val="24"/>
        </w:rPr>
        <w:t xml:space="preserve"> Utilities must use percentage rates of depreciation that are based on a method of depreciation that allocates in a systematic and rational manner the service value of depreciable property to the service life of the property. Where composite depreciation rates are used, they should be based on the weighted average estimated useful service lives of the depreciable property comprising the composite group. </w:t>
      </w:r>
    </w:p>
    <w:sectPr w:rsidR="00D35675" w:rsidRPr="009A5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675"/>
    <w:rsid w:val="005F28BC"/>
    <w:rsid w:val="00691DA3"/>
    <w:rsid w:val="009A54ED"/>
    <w:rsid w:val="00D35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54ED"/>
    <w:pPr>
      <w:spacing w:before="100" w:beforeAutospacing="1" w:after="100" w:afterAutospacing="1" w:line="240" w:lineRule="auto"/>
      <w:ind w:firstLine="480"/>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54ED"/>
    <w:pPr>
      <w:spacing w:before="100" w:beforeAutospacing="1" w:after="100" w:afterAutospacing="1" w:line="240" w:lineRule="auto"/>
      <w:ind w:firstLine="480"/>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11396">
      <w:bodyDiv w:val="1"/>
      <w:marLeft w:val="0"/>
      <w:marRight w:val="0"/>
      <w:marTop w:val="30"/>
      <w:marBottom w:val="750"/>
      <w:divBdr>
        <w:top w:val="none" w:sz="0" w:space="0" w:color="auto"/>
        <w:left w:val="none" w:sz="0" w:space="0" w:color="auto"/>
        <w:bottom w:val="none" w:sz="0" w:space="0" w:color="auto"/>
        <w:right w:val="none" w:sz="0" w:space="0" w:color="auto"/>
      </w:divBdr>
      <w:divsChild>
        <w:div w:id="598219909">
          <w:marLeft w:val="0"/>
          <w:marRight w:val="0"/>
          <w:marTop w:val="0"/>
          <w:marBottom w:val="0"/>
          <w:divBdr>
            <w:top w:val="none" w:sz="0" w:space="0" w:color="auto"/>
            <w:left w:val="none" w:sz="0" w:space="0" w:color="auto"/>
            <w:bottom w:val="none" w:sz="0" w:space="0" w:color="auto"/>
            <w:right w:val="none" w:sz="0" w:space="0" w:color="auto"/>
          </w:divBdr>
        </w:div>
      </w:divsChild>
    </w:div>
    <w:div w:id="427388898">
      <w:bodyDiv w:val="1"/>
      <w:marLeft w:val="0"/>
      <w:marRight w:val="0"/>
      <w:marTop w:val="30"/>
      <w:marBottom w:val="750"/>
      <w:divBdr>
        <w:top w:val="none" w:sz="0" w:space="0" w:color="auto"/>
        <w:left w:val="none" w:sz="0" w:space="0" w:color="auto"/>
        <w:bottom w:val="none" w:sz="0" w:space="0" w:color="auto"/>
        <w:right w:val="none" w:sz="0" w:space="0" w:color="auto"/>
      </w:divBdr>
      <w:divsChild>
        <w:div w:id="561258166">
          <w:marLeft w:val="0"/>
          <w:marRight w:val="0"/>
          <w:marTop w:val="0"/>
          <w:marBottom w:val="0"/>
          <w:divBdr>
            <w:top w:val="none" w:sz="0" w:space="0" w:color="auto"/>
            <w:left w:val="none" w:sz="0" w:space="0" w:color="auto"/>
            <w:bottom w:val="none" w:sz="0" w:space="0" w:color="auto"/>
            <w:right w:val="none" w:sz="0" w:space="0" w:color="auto"/>
          </w:divBdr>
        </w:div>
      </w:divsChild>
    </w:div>
    <w:div w:id="842938590">
      <w:bodyDiv w:val="1"/>
      <w:marLeft w:val="0"/>
      <w:marRight w:val="0"/>
      <w:marTop w:val="30"/>
      <w:marBottom w:val="750"/>
      <w:divBdr>
        <w:top w:val="none" w:sz="0" w:space="0" w:color="auto"/>
        <w:left w:val="none" w:sz="0" w:space="0" w:color="auto"/>
        <w:bottom w:val="none" w:sz="0" w:space="0" w:color="auto"/>
        <w:right w:val="none" w:sz="0" w:space="0" w:color="auto"/>
      </w:divBdr>
      <w:divsChild>
        <w:div w:id="826283867">
          <w:marLeft w:val="0"/>
          <w:marRight w:val="0"/>
          <w:marTop w:val="0"/>
          <w:marBottom w:val="0"/>
          <w:divBdr>
            <w:top w:val="none" w:sz="0" w:space="0" w:color="auto"/>
            <w:left w:val="none" w:sz="0" w:space="0" w:color="auto"/>
            <w:bottom w:val="none" w:sz="0" w:space="0" w:color="auto"/>
            <w:right w:val="none" w:sz="0" w:space="0" w:color="auto"/>
          </w:divBdr>
        </w:div>
      </w:divsChild>
    </w:div>
    <w:div w:id="943459301">
      <w:bodyDiv w:val="1"/>
      <w:marLeft w:val="0"/>
      <w:marRight w:val="0"/>
      <w:marTop w:val="30"/>
      <w:marBottom w:val="750"/>
      <w:divBdr>
        <w:top w:val="none" w:sz="0" w:space="0" w:color="auto"/>
        <w:left w:val="none" w:sz="0" w:space="0" w:color="auto"/>
        <w:bottom w:val="none" w:sz="0" w:space="0" w:color="auto"/>
        <w:right w:val="none" w:sz="0" w:space="0" w:color="auto"/>
      </w:divBdr>
      <w:divsChild>
        <w:div w:id="1909030257">
          <w:marLeft w:val="0"/>
          <w:marRight w:val="0"/>
          <w:marTop w:val="0"/>
          <w:marBottom w:val="0"/>
          <w:divBdr>
            <w:top w:val="none" w:sz="0" w:space="0" w:color="auto"/>
            <w:left w:val="none" w:sz="0" w:space="0" w:color="auto"/>
            <w:bottom w:val="none" w:sz="0" w:space="0" w:color="auto"/>
            <w:right w:val="none" w:sz="0" w:space="0" w:color="auto"/>
          </w:divBdr>
          <w:divsChild>
            <w:div w:id="428818059">
              <w:marLeft w:val="0"/>
              <w:marRight w:val="0"/>
              <w:marTop w:val="0"/>
              <w:marBottom w:val="0"/>
              <w:divBdr>
                <w:top w:val="single" w:sz="12" w:space="4" w:color="auto"/>
                <w:left w:val="single" w:sz="12" w:space="4" w:color="auto"/>
                <w:bottom w:val="single" w:sz="12" w:space="4" w:color="auto"/>
                <w:right w:val="single" w:sz="12" w:space="4" w:color="auto"/>
              </w:divBdr>
            </w:div>
          </w:divsChild>
        </w:div>
      </w:divsChild>
    </w:div>
    <w:div w:id="1723866769">
      <w:bodyDiv w:val="1"/>
      <w:marLeft w:val="0"/>
      <w:marRight w:val="0"/>
      <w:marTop w:val="30"/>
      <w:marBottom w:val="750"/>
      <w:divBdr>
        <w:top w:val="none" w:sz="0" w:space="0" w:color="auto"/>
        <w:left w:val="none" w:sz="0" w:space="0" w:color="auto"/>
        <w:bottom w:val="none" w:sz="0" w:space="0" w:color="auto"/>
        <w:right w:val="none" w:sz="0" w:space="0" w:color="auto"/>
      </w:divBdr>
      <w:divsChild>
        <w:div w:id="442192997">
          <w:marLeft w:val="0"/>
          <w:marRight w:val="0"/>
          <w:marTop w:val="0"/>
          <w:marBottom w:val="0"/>
          <w:divBdr>
            <w:top w:val="none" w:sz="0" w:space="0" w:color="auto"/>
            <w:left w:val="none" w:sz="0" w:space="0" w:color="auto"/>
            <w:bottom w:val="none" w:sz="0" w:space="0" w:color="auto"/>
            <w:right w:val="none" w:sz="0" w:space="0" w:color="auto"/>
          </w:divBdr>
        </w:div>
      </w:divsChild>
    </w:div>
    <w:div w:id="1776249910">
      <w:bodyDiv w:val="1"/>
      <w:marLeft w:val="0"/>
      <w:marRight w:val="0"/>
      <w:marTop w:val="30"/>
      <w:marBottom w:val="750"/>
      <w:divBdr>
        <w:top w:val="none" w:sz="0" w:space="0" w:color="auto"/>
        <w:left w:val="none" w:sz="0" w:space="0" w:color="auto"/>
        <w:bottom w:val="none" w:sz="0" w:space="0" w:color="auto"/>
        <w:right w:val="none" w:sz="0" w:space="0" w:color="auto"/>
      </w:divBdr>
      <w:divsChild>
        <w:div w:id="495267940">
          <w:marLeft w:val="0"/>
          <w:marRight w:val="0"/>
          <w:marTop w:val="0"/>
          <w:marBottom w:val="0"/>
          <w:divBdr>
            <w:top w:val="none" w:sz="0" w:space="0" w:color="auto"/>
            <w:left w:val="none" w:sz="0" w:space="0" w:color="auto"/>
            <w:bottom w:val="none" w:sz="0" w:space="0" w:color="auto"/>
            <w:right w:val="none" w:sz="0" w:space="0" w:color="auto"/>
          </w:divBdr>
        </w:div>
      </w:divsChild>
    </w:div>
    <w:div w:id="2041659211">
      <w:bodyDiv w:val="1"/>
      <w:marLeft w:val="0"/>
      <w:marRight w:val="0"/>
      <w:marTop w:val="30"/>
      <w:marBottom w:val="750"/>
      <w:divBdr>
        <w:top w:val="none" w:sz="0" w:space="0" w:color="auto"/>
        <w:left w:val="none" w:sz="0" w:space="0" w:color="auto"/>
        <w:bottom w:val="none" w:sz="0" w:space="0" w:color="auto"/>
        <w:right w:val="none" w:sz="0" w:space="0" w:color="auto"/>
      </w:divBdr>
      <w:divsChild>
        <w:div w:id="1303199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text-idx?gp=&amp;SID=5fcfd3e27cbf88ea784d36354355466f&amp;mc=true&amp;tpl=/ecfrbrowse/Title18/18CIsubchapC.tpl"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ecfr.gov/cgi-bin/text-idx?gp=&amp;SID=5fcfd3e27cbf88ea784d36354355466f&amp;mc=true&amp;tpl=/ecfrbrowse/Title18/18chapterI.tpl" TargetMode="External"/><Relationship Id="rId1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http://www.ecfr.gov/cgi-bin/text-idx?gp=&amp;SID=5fcfd3e27cbf88ea784d36354355466f&amp;mc=true&amp;tpl=/ecfrbrowse/Title18/18tab_02.tpl" TargetMode="External"/><Relationship Id="rId11" Type="http://schemas.openxmlformats.org/officeDocument/2006/relationships/fontTable" Target="fontTable.xml"/><Relationship Id="rId5" Type="http://schemas.openxmlformats.org/officeDocument/2006/relationships/hyperlink" Target="http://www.ecfr.gov/cgi-bin/ECFR?SID=5fcfd3e27cbf88ea784d36354355466f&amp;mc=true&amp;page=faq" TargetMode="External"/><Relationship Id="rId15" Type="http://schemas.openxmlformats.org/officeDocument/2006/relationships/customXml" Target="../customXml/item3.xml"/><Relationship Id="rId10" Type="http://schemas.openxmlformats.org/officeDocument/2006/relationships/hyperlink" Target="http://www.ecfr.gov/cgi-bin/retrieveECFR?gp=&amp;SID=5fcfd3e27cbf88ea784d36354355466f&amp;mc=true&amp;r=PART&amp;n=pt18.1.104" TargetMode="External"/><Relationship Id="rId4" Type="http://schemas.openxmlformats.org/officeDocument/2006/relationships/webSettings" Target="webSettings.xml"/><Relationship Id="rId9" Type="http://schemas.openxmlformats.org/officeDocument/2006/relationships/hyperlink" Target="http://www.ecfr.gov/cgi-bin/retrieveECFR?gp=&amp;SID=5fcfd3e27cbf88ea784d36354355466f&amp;mc=true&amp;r=PART&amp;n=pt18.1.50"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2016-04-26T07:00:00+00:00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3E23CC3-BC88-4A02-9ECF-C521088B9051}"/>
</file>

<file path=customXml/itemProps2.xml><?xml version="1.0" encoding="utf-8"?>
<ds:datastoreItem xmlns:ds="http://schemas.openxmlformats.org/officeDocument/2006/customXml" ds:itemID="{6A7FE95D-0C34-4343-B86F-E17D1D6D0D59}"/>
</file>

<file path=customXml/itemProps3.xml><?xml version="1.0" encoding="utf-8"?>
<ds:datastoreItem xmlns:ds="http://schemas.openxmlformats.org/officeDocument/2006/customXml" ds:itemID="{EC8A9E88-0F25-4E3C-8652-4AB894763DA1}"/>
</file>

<file path=customXml/itemProps4.xml><?xml version="1.0" encoding="utf-8"?>
<ds:datastoreItem xmlns:ds="http://schemas.openxmlformats.org/officeDocument/2006/customXml" ds:itemID="{91B71EC6-1173-4283-ACCB-7ABF7497E3B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Donna</cp:lastModifiedBy>
  <cp:revision>2</cp:revision>
  <dcterms:created xsi:type="dcterms:W3CDTF">2016-04-20T20:45:00Z</dcterms:created>
  <dcterms:modified xsi:type="dcterms:W3CDTF">2016-04-20T20:45:00Z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