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8.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C4" w:rsidRDefault="00437BC4" w:rsidP="00437BC4">
      <w:pPr>
        <w:pStyle w:val="Header"/>
        <w:tabs>
          <w:tab w:val="clear" w:pos="4320"/>
          <w:tab w:val="clear" w:pos="8640"/>
          <w:tab w:val="center" w:pos="4680"/>
        </w:tabs>
        <w:jc w:val="center"/>
        <w:rPr>
          <w:b/>
          <w:bCs/>
          <w:sz w:val="24"/>
        </w:rPr>
      </w:pPr>
      <w:r>
        <w:rPr>
          <w:b/>
          <w:bCs/>
          <w:sz w:val="24"/>
        </w:rPr>
        <w:t>BEFORE THE</w:t>
      </w:r>
    </w:p>
    <w:p w:rsidR="00437BC4" w:rsidRDefault="00437BC4" w:rsidP="00437BC4">
      <w:pPr>
        <w:pStyle w:val="Header"/>
        <w:tabs>
          <w:tab w:val="clear" w:pos="4320"/>
          <w:tab w:val="clear" w:pos="8640"/>
          <w:tab w:val="center" w:pos="4680"/>
        </w:tabs>
        <w:jc w:val="center"/>
        <w:rPr>
          <w:b/>
          <w:bCs/>
          <w:sz w:val="24"/>
        </w:rPr>
      </w:pPr>
    </w:p>
    <w:p w:rsidR="00437BC4" w:rsidRDefault="00437BC4" w:rsidP="00437BC4">
      <w:pPr>
        <w:pStyle w:val="Heading1"/>
        <w:jc w:val="center"/>
        <w:rPr>
          <w:sz w:val="24"/>
        </w:rPr>
      </w:pPr>
      <w:r>
        <w:rPr>
          <w:sz w:val="24"/>
        </w:rPr>
        <w:t>WASHINGTON UTILITIES AND TRANSPORTATION COMMISSION</w:t>
      </w:r>
    </w:p>
    <w:p w:rsidR="00437BC4" w:rsidRDefault="00437BC4" w:rsidP="00437BC4">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437BC4">
        <w:trPr>
          <w:trHeight w:val="2951"/>
        </w:trPr>
        <w:tc>
          <w:tcPr>
            <w:tcW w:w="4396" w:type="dxa"/>
            <w:tcBorders>
              <w:bottom w:val="single" w:sz="4" w:space="0" w:color="auto"/>
            </w:tcBorders>
          </w:tcPr>
          <w:p w:rsidR="00437BC4" w:rsidRPr="003D3DCC" w:rsidRDefault="00437BC4" w:rsidP="00D158A0">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437BC4" w:rsidRDefault="00437BC4" w:rsidP="00D158A0">
            <w:pPr>
              <w:tabs>
                <w:tab w:val="left" w:pos="2168"/>
              </w:tabs>
            </w:pPr>
          </w:p>
          <w:p w:rsidR="00437BC4" w:rsidRDefault="00437BC4" w:rsidP="00D158A0">
            <w:pPr>
              <w:tabs>
                <w:tab w:val="left" w:pos="2168"/>
              </w:tabs>
            </w:pPr>
            <w:r>
              <w:t>PUGET SOUND ENERGY, INC., and</w:t>
            </w:r>
          </w:p>
          <w:p w:rsidR="00437BC4" w:rsidRDefault="00437BC4" w:rsidP="00D158A0">
            <w:pPr>
              <w:tabs>
                <w:tab w:val="left" w:pos="2168"/>
              </w:tabs>
            </w:pPr>
            <w:r>
              <w:t>NW ENERGY COALITION</w:t>
            </w:r>
          </w:p>
          <w:p w:rsidR="00437BC4" w:rsidRDefault="00437BC4" w:rsidP="00D158A0">
            <w:pPr>
              <w:tabs>
                <w:tab w:val="left" w:pos="2168"/>
              </w:tabs>
            </w:pPr>
          </w:p>
          <w:p w:rsidR="00437BC4" w:rsidRPr="00F90CD2" w:rsidRDefault="00437BC4" w:rsidP="00D158A0">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BE7413" w:rsidRDefault="00437BC4" w:rsidP="00D158A0">
            <w:pPr>
              <w:pStyle w:val="SingleSpacing"/>
              <w:spacing w:line="240" w:lineRule="auto"/>
              <w:rPr>
                <w:i/>
              </w:rPr>
            </w:pPr>
            <w:r w:rsidRPr="005A2AFA">
              <w:t>)</w:t>
            </w:r>
          </w:p>
        </w:tc>
        <w:tc>
          <w:tcPr>
            <w:tcW w:w="4113" w:type="dxa"/>
          </w:tcPr>
          <w:p w:rsidR="00437BC4" w:rsidRDefault="00437BC4" w:rsidP="00D158A0">
            <w:pPr>
              <w:pStyle w:val="SingleSpacing"/>
              <w:spacing w:line="240" w:lineRule="auto"/>
            </w:pPr>
            <w:bookmarkStart w:id="1" w:name="CaseNumber"/>
            <w:bookmarkEnd w:id="1"/>
          </w:p>
          <w:p w:rsidR="00437BC4" w:rsidRDefault="00437BC4" w:rsidP="00D158A0">
            <w:pPr>
              <w:pStyle w:val="SingleSpacing"/>
              <w:spacing w:line="240" w:lineRule="auto"/>
            </w:pPr>
          </w:p>
          <w:p w:rsidR="00437BC4" w:rsidRDefault="00437BC4" w:rsidP="00D158A0">
            <w:pPr>
              <w:pStyle w:val="SingleSpacing"/>
              <w:spacing w:line="240" w:lineRule="auto"/>
            </w:pPr>
          </w:p>
          <w:p w:rsidR="00437BC4" w:rsidRDefault="00437BC4" w:rsidP="00D158A0">
            <w:pPr>
              <w:pStyle w:val="SingleSpacing"/>
              <w:spacing w:line="240" w:lineRule="auto"/>
            </w:pPr>
            <w:r w:rsidRPr="007A1546">
              <w:t>DOCKET NO</w:t>
            </w:r>
            <w:r>
              <w:t>S</w:t>
            </w:r>
            <w:r w:rsidRPr="007A1546">
              <w:t xml:space="preserve">. </w:t>
            </w:r>
            <w:r w:rsidRPr="007A1546">
              <w:rPr>
                <w:bCs/>
              </w:rPr>
              <w:t>UE-</w:t>
            </w:r>
            <w:r>
              <w:t>121697/UG-121705</w:t>
            </w:r>
          </w:p>
          <w:p w:rsidR="00437BC4" w:rsidRDefault="00437BC4" w:rsidP="00D158A0">
            <w:pPr>
              <w:pStyle w:val="SingleSpacing"/>
              <w:spacing w:line="240" w:lineRule="auto"/>
            </w:pPr>
            <w:r>
              <w:t>(Consolidated)</w:t>
            </w:r>
          </w:p>
          <w:p w:rsidR="00437BC4" w:rsidRDefault="00437BC4" w:rsidP="00D158A0">
            <w:pPr>
              <w:pStyle w:val="SingleSpacing"/>
              <w:spacing w:line="240" w:lineRule="auto"/>
            </w:pPr>
          </w:p>
          <w:p w:rsidR="00437BC4" w:rsidRPr="005A2AFA" w:rsidRDefault="00437BC4" w:rsidP="00D158A0">
            <w:pPr>
              <w:pStyle w:val="SingleSpacing"/>
              <w:spacing w:line="240" w:lineRule="auto"/>
            </w:pPr>
            <w:r>
              <w:t>and</w:t>
            </w:r>
          </w:p>
        </w:tc>
      </w:tr>
    </w:tbl>
    <w:p w:rsidR="00437BC4" w:rsidRDefault="00437BC4" w:rsidP="00437BC4">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437BC4">
        <w:trPr>
          <w:trHeight w:val="2951"/>
        </w:trPr>
        <w:tc>
          <w:tcPr>
            <w:tcW w:w="4396" w:type="dxa"/>
            <w:tcBorders>
              <w:bottom w:val="single" w:sz="4" w:space="0" w:color="auto"/>
            </w:tcBorders>
          </w:tcPr>
          <w:p w:rsidR="00437BC4" w:rsidRDefault="00437BC4" w:rsidP="00D158A0">
            <w:pPr>
              <w:pStyle w:val="Footer"/>
              <w:widowControl/>
              <w:tabs>
                <w:tab w:val="clear" w:pos="4320"/>
                <w:tab w:val="clear" w:pos="8640"/>
                <w:tab w:val="left" w:pos="2160"/>
              </w:tabs>
              <w:rPr>
                <w:snapToGrid/>
              </w:rPr>
            </w:pPr>
            <w:r>
              <w:rPr>
                <w:snapToGrid/>
              </w:rPr>
              <w:t>WASHINGTON UTILITIES AND TRANSPORTATION COMMISSION,</w:t>
            </w:r>
          </w:p>
          <w:p w:rsidR="00437BC4" w:rsidRDefault="00437BC4" w:rsidP="00D158A0">
            <w:pPr>
              <w:pStyle w:val="Footer"/>
              <w:widowControl/>
              <w:tabs>
                <w:tab w:val="clear" w:pos="4320"/>
                <w:tab w:val="clear" w:pos="8640"/>
                <w:tab w:val="left" w:pos="2160"/>
              </w:tabs>
              <w:rPr>
                <w:snapToGrid/>
              </w:rPr>
            </w:pPr>
          </w:p>
          <w:p w:rsidR="00437BC4" w:rsidRDefault="00437BC4" w:rsidP="00D158A0">
            <w:pPr>
              <w:pStyle w:val="Footer"/>
              <w:widowControl/>
              <w:tabs>
                <w:tab w:val="clear" w:pos="4320"/>
                <w:tab w:val="clear" w:pos="8640"/>
                <w:tab w:val="left" w:pos="2160"/>
              </w:tabs>
              <w:ind w:firstLine="2340"/>
              <w:rPr>
                <w:snapToGrid/>
              </w:rPr>
            </w:pPr>
            <w:r>
              <w:rPr>
                <w:snapToGrid/>
              </w:rPr>
              <w:t>Complainant,</w:t>
            </w:r>
          </w:p>
          <w:p w:rsidR="00437BC4" w:rsidRDefault="00437BC4" w:rsidP="00D158A0">
            <w:pPr>
              <w:pStyle w:val="Footer"/>
              <w:widowControl/>
              <w:tabs>
                <w:tab w:val="clear" w:pos="4320"/>
                <w:tab w:val="clear" w:pos="8640"/>
                <w:tab w:val="left" w:pos="2160"/>
              </w:tabs>
              <w:ind w:firstLine="2340"/>
              <w:rPr>
                <w:snapToGrid/>
              </w:rPr>
            </w:pPr>
          </w:p>
          <w:p w:rsidR="00437BC4" w:rsidRDefault="00437BC4" w:rsidP="00D158A0">
            <w:pPr>
              <w:pStyle w:val="Footer"/>
              <w:widowControl/>
              <w:tabs>
                <w:tab w:val="clear" w:pos="4320"/>
                <w:tab w:val="clear" w:pos="8640"/>
                <w:tab w:val="left" w:pos="2160"/>
              </w:tabs>
              <w:rPr>
                <w:snapToGrid/>
              </w:rPr>
            </w:pPr>
            <w:proofErr w:type="gramStart"/>
            <w:r>
              <w:rPr>
                <w:snapToGrid/>
              </w:rPr>
              <w:t>v</w:t>
            </w:r>
            <w:proofErr w:type="gramEnd"/>
            <w:r>
              <w:rPr>
                <w:snapToGrid/>
              </w:rPr>
              <w:t>.</w:t>
            </w:r>
          </w:p>
          <w:p w:rsidR="00437BC4" w:rsidRDefault="00437BC4" w:rsidP="00D158A0">
            <w:pPr>
              <w:pStyle w:val="Footer"/>
              <w:widowControl/>
              <w:tabs>
                <w:tab w:val="clear" w:pos="4320"/>
                <w:tab w:val="clear" w:pos="8640"/>
                <w:tab w:val="left" w:pos="2160"/>
              </w:tabs>
              <w:rPr>
                <w:snapToGrid/>
              </w:rPr>
            </w:pPr>
          </w:p>
          <w:p w:rsidR="00437BC4" w:rsidRDefault="00437BC4" w:rsidP="00D158A0">
            <w:pPr>
              <w:pStyle w:val="Footer"/>
              <w:widowControl/>
              <w:tabs>
                <w:tab w:val="clear" w:pos="4320"/>
                <w:tab w:val="clear" w:pos="8640"/>
                <w:tab w:val="left" w:pos="2160"/>
              </w:tabs>
              <w:rPr>
                <w:snapToGrid/>
              </w:rPr>
            </w:pPr>
            <w:r>
              <w:rPr>
                <w:snapToGrid/>
              </w:rPr>
              <w:t>PUGET SOUND ENERGY, INC.</w:t>
            </w:r>
          </w:p>
          <w:p w:rsidR="00437BC4" w:rsidRDefault="00437BC4" w:rsidP="00D158A0">
            <w:pPr>
              <w:pStyle w:val="Footer"/>
              <w:widowControl/>
              <w:tabs>
                <w:tab w:val="clear" w:pos="4320"/>
                <w:tab w:val="clear" w:pos="8640"/>
                <w:tab w:val="left" w:pos="2160"/>
              </w:tabs>
              <w:rPr>
                <w:snapToGrid/>
              </w:rPr>
            </w:pPr>
          </w:p>
          <w:p w:rsidR="00437BC4" w:rsidRPr="00F90CD2" w:rsidRDefault="00437BC4" w:rsidP="00D158A0">
            <w:pPr>
              <w:pStyle w:val="Footer"/>
              <w:widowControl/>
              <w:tabs>
                <w:tab w:val="clear" w:pos="4320"/>
                <w:tab w:val="clear" w:pos="8640"/>
                <w:tab w:val="left" w:pos="2160"/>
              </w:tabs>
              <w:ind w:firstLine="2340"/>
              <w:rPr>
                <w:snapToGrid/>
              </w:rPr>
            </w:pPr>
            <w:r>
              <w:rPr>
                <w:snapToGrid/>
              </w:rPr>
              <w:t>Respondent.</w:t>
            </w:r>
          </w:p>
        </w:tc>
        <w:tc>
          <w:tcPr>
            <w:tcW w:w="274" w:type="dxa"/>
          </w:tcPr>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BE7413" w:rsidRDefault="00437BC4" w:rsidP="00D158A0">
            <w:pPr>
              <w:pStyle w:val="SingleSpacing"/>
              <w:spacing w:line="240" w:lineRule="auto"/>
              <w:rPr>
                <w:i/>
              </w:rPr>
            </w:pPr>
            <w:r w:rsidRPr="005A2AFA">
              <w:t>)</w:t>
            </w:r>
          </w:p>
        </w:tc>
        <w:tc>
          <w:tcPr>
            <w:tcW w:w="4113" w:type="dxa"/>
          </w:tcPr>
          <w:p w:rsidR="00437BC4" w:rsidRDefault="00437BC4" w:rsidP="00D158A0">
            <w:pPr>
              <w:pStyle w:val="SingleSpacing"/>
              <w:spacing w:line="240" w:lineRule="auto"/>
            </w:pPr>
            <w:r w:rsidRPr="007A1546">
              <w:t>DOCKET NO</w:t>
            </w:r>
            <w:r>
              <w:t>S</w:t>
            </w:r>
            <w:r w:rsidRPr="007A1546">
              <w:t xml:space="preserve">. </w:t>
            </w:r>
            <w:r w:rsidRPr="007A1546">
              <w:rPr>
                <w:bCs/>
              </w:rPr>
              <w:t>UE-</w:t>
            </w:r>
            <w:r>
              <w:t>130137/UG-130138</w:t>
            </w:r>
          </w:p>
          <w:p w:rsidR="00437BC4" w:rsidRDefault="00437BC4" w:rsidP="00D158A0">
            <w:pPr>
              <w:pStyle w:val="SingleSpacing"/>
              <w:spacing w:line="240" w:lineRule="auto"/>
            </w:pPr>
            <w:r>
              <w:t>(Consolidated)</w:t>
            </w:r>
          </w:p>
          <w:p w:rsidR="00437BC4" w:rsidRDefault="00437BC4" w:rsidP="00D158A0">
            <w:pPr>
              <w:pStyle w:val="SingleSpacing"/>
              <w:spacing w:line="240" w:lineRule="auto"/>
            </w:pPr>
          </w:p>
          <w:p w:rsidR="00437BC4" w:rsidRDefault="00437BC4" w:rsidP="00D158A0">
            <w:pPr>
              <w:pStyle w:val="SingleSpacing"/>
              <w:spacing w:line="240" w:lineRule="auto"/>
            </w:pPr>
          </w:p>
          <w:p w:rsidR="00437BC4" w:rsidRPr="005A2AFA" w:rsidRDefault="00437BC4" w:rsidP="00D158A0">
            <w:pPr>
              <w:pStyle w:val="SingleSpacing"/>
              <w:spacing w:line="240" w:lineRule="auto"/>
            </w:pPr>
          </w:p>
        </w:tc>
      </w:tr>
    </w:tbl>
    <w:p w:rsidR="00437BC4" w:rsidRDefault="00437BC4" w:rsidP="00437BC4">
      <w:pPr>
        <w:pStyle w:val="Header"/>
        <w:tabs>
          <w:tab w:val="clear" w:pos="4320"/>
          <w:tab w:val="clear" w:pos="8640"/>
          <w:tab w:val="center" w:pos="4680"/>
        </w:tabs>
        <w:rPr>
          <w:b/>
          <w:sz w:val="24"/>
          <w:szCs w:val="24"/>
        </w:rPr>
      </w:pP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r>
        <w:rPr>
          <w:b/>
          <w:sz w:val="24"/>
          <w:szCs w:val="24"/>
        </w:rPr>
        <w:t>REPLY</w:t>
      </w:r>
      <w:r w:rsidRPr="00AD56FC">
        <w:rPr>
          <w:b/>
          <w:sz w:val="24"/>
          <w:szCs w:val="24"/>
        </w:rPr>
        <w:t xml:space="preserve"> BRIEF</w:t>
      </w: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r w:rsidRPr="00AD56FC">
        <w:rPr>
          <w:b/>
          <w:sz w:val="24"/>
          <w:szCs w:val="24"/>
        </w:rPr>
        <w:t>OF</w:t>
      </w:r>
    </w:p>
    <w:p w:rsidR="00437BC4" w:rsidRDefault="00437BC4" w:rsidP="00437BC4">
      <w:pPr>
        <w:pStyle w:val="Header"/>
        <w:tabs>
          <w:tab w:val="clear" w:pos="4320"/>
          <w:tab w:val="clear" w:pos="8640"/>
          <w:tab w:val="center" w:pos="4680"/>
        </w:tabs>
        <w:jc w:val="center"/>
        <w:rPr>
          <w:b/>
          <w:sz w:val="24"/>
          <w:szCs w:val="24"/>
        </w:rPr>
      </w:pPr>
      <w:r>
        <w:rPr>
          <w:b/>
          <w:sz w:val="24"/>
          <w:szCs w:val="24"/>
        </w:rPr>
        <w:t xml:space="preserve"> </w:t>
      </w:r>
    </w:p>
    <w:p w:rsidR="00437BC4" w:rsidRPr="00AD56FC" w:rsidRDefault="00437BC4" w:rsidP="00437BC4">
      <w:pPr>
        <w:pStyle w:val="Header"/>
        <w:tabs>
          <w:tab w:val="clear" w:pos="4320"/>
          <w:tab w:val="clear" w:pos="8640"/>
          <w:tab w:val="center" w:pos="4680"/>
        </w:tabs>
        <w:jc w:val="center"/>
        <w:rPr>
          <w:b/>
          <w:sz w:val="24"/>
          <w:szCs w:val="24"/>
        </w:rPr>
      </w:pPr>
      <w:r>
        <w:rPr>
          <w:b/>
          <w:sz w:val="24"/>
          <w:szCs w:val="24"/>
        </w:rPr>
        <w:t>THE INDUSTRIAL CUSTOMERS OF NORTHWEST UTILITIES</w:t>
      </w:r>
    </w:p>
    <w:p w:rsidR="00437BC4" w:rsidRPr="00AD56FC" w:rsidRDefault="00437BC4" w:rsidP="00437BC4">
      <w:pPr>
        <w:pStyle w:val="Header"/>
        <w:tabs>
          <w:tab w:val="clear" w:pos="4320"/>
          <w:tab w:val="clear" w:pos="8640"/>
          <w:tab w:val="center" w:pos="4680"/>
        </w:tabs>
        <w:jc w:val="center"/>
        <w:rPr>
          <w:sz w:val="24"/>
          <w:szCs w:val="24"/>
        </w:rPr>
      </w:pPr>
    </w:p>
    <w:p w:rsidR="00437BC4" w:rsidRDefault="00437BC4" w:rsidP="00437BC4">
      <w:pPr>
        <w:jc w:val="center"/>
      </w:pPr>
    </w:p>
    <w:p w:rsidR="00437BC4" w:rsidRDefault="00437BC4" w:rsidP="00437BC4">
      <w:pPr>
        <w:jc w:val="center"/>
      </w:pPr>
    </w:p>
    <w:p w:rsidR="00437BC4" w:rsidRDefault="00437BC4" w:rsidP="00437BC4">
      <w:pPr>
        <w:jc w:val="center"/>
        <w:rPr>
          <w:b/>
        </w:rPr>
      </w:pPr>
      <w:r>
        <w:rPr>
          <w:b/>
        </w:rPr>
        <w:t>March 20, 2015</w:t>
      </w:r>
    </w:p>
    <w:p w:rsidR="00437BC4" w:rsidRDefault="00437BC4" w:rsidP="00437BC4">
      <w:pPr>
        <w:pStyle w:val="Header"/>
        <w:tabs>
          <w:tab w:val="clear" w:pos="4320"/>
          <w:tab w:val="clear" w:pos="8640"/>
          <w:tab w:val="center" w:pos="4680"/>
        </w:tabs>
        <w:jc w:val="center"/>
        <w:rPr>
          <w:b/>
          <w:bCs/>
          <w:sz w:val="24"/>
        </w:rPr>
      </w:pPr>
      <w:r>
        <w:rPr>
          <w:b/>
          <w:bCs/>
          <w:sz w:val="24"/>
        </w:rPr>
        <w:br w:type="page"/>
      </w:r>
    </w:p>
    <w:p w:rsidR="00437BC4" w:rsidRDefault="00437BC4" w:rsidP="00437BC4">
      <w:pPr>
        <w:pStyle w:val="BodyTextIndent"/>
        <w:spacing w:before="240" w:line="240" w:lineRule="auto"/>
        <w:ind w:firstLine="0"/>
        <w:jc w:val="center"/>
        <w:rPr>
          <w:b/>
          <w:bCs/>
          <w:sz w:val="28"/>
        </w:rPr>
        <w:sectPr w:rsidR="00437BC4">
          <w:footerReference w:type="first" r:id="rId9"/>
          <w:pgSz w:w="12240" w:h="15840"/>
          <w:pgMar w:top="1440" w:right="1440" w:bottom="1440" w:left="1440" w:header="720" w:footer="720" w:gutter="0"/>
          <w:cols w:space="720"/>
          <w:docGrid w:linePitch="360"/>
        </w:sectPr>
      </w:pPr>
    </w:p>
    <w:p w:rsidR="00437BC4" w:rsidRPr="00F106D1" w:rsidRDefault="00437BC4" w:rsidP="00437BC4">
      <w:pPr>
        <w:pStyle w:val="BodyTextIndent"/>
        <w:spacing w:after="240" w:line="240" w:lineRule="auto"/>
        <w:ind w:firstLine="0"/>
        <w:jc w:val="center"/>
        <w:rPr>
          <w:b/>
          <w:bCs/>
          <w:szCs w:val="24"/>
        </w:rPr>
      </w:pPr>
      <w:r w:rsidRPr="00F106D1">
        <w:rPr>
          <w:b/>
          <w:bCs/>
          <w:szCs w:val="24"/>
        </w:rPr>
        <w:lastRenderedPageBreak/>
        <w:t>TABLE OF CONTENTS</w:t>
      </w:r>
    </w:p>
    <w:p w:rsidR="003D2238" w:rsidRPr="00F106D1" w:rsidRDefault="003D2238" w:rsidP="003D2238">
      <w:pPr>
        <w:pStyle w:val="TOCHeading"/>
        <w:tabs>
          <w:tab w:val="right" w:leader="dot" w:pos="8640"/>
        </w:tabs>
        <w:ind w:left="1440" w:right="720"/>
        <w:jc w:val="left"/>
      </w:pPr>
      <w:r w:rsidRPr="00F106D1">
        <w:rPr>
          <w:b w:val="0"/>
        </w:rPr>
        <w:t>TABLE OF CONTENTS</w:t>
      </w:r>
      <w:r w:rsidRPr="00F106D1">
        <w:rPr>
          <w:b w:val="0"/>
        </w:rPr>
        <w:tab/>
      </w:r>
      <w:proofErr w:type="spellStart"/>
      <w:r w:rsidRPr="00F106D1">
        <w:rPr>
          <w:b w:val="0"/>
        </w:rPr>
        <w:t>i</w:t>
      </w:r>
      <w:proofErr w:type="spellEnd"/>
    </w:p>
    <w:p w:rsidR="003D2238" w:rsidRPr="00F106D1" w:rsidRDefault="003D2238" w:rsidP="003D2238">
      <w:pPr>
        <w:pStyle w:val="TOCHeading"/>
        <w:tabs>
          <w:tab w:val="right" w:leader="dot" w:pos="8640"/>
        </w:tabs>
        <w:ind w:left="1440" w:right="720"/>
        <w:jc w:val="left"/>
        <w:rPr>
          <w:b w:val="0"/>
        </w:rPr>
      </w:pPr>
      <w:r>
        <w:rPr>
          <w:b w:val="0"/>
        </w:rPr>
        <w:t>TABLE OF AUTHORITIES</w:t>
      </w:r>
      <w:r>
        <w:rPr>
          <w:b w:val="0"/>
        </w:rPr>
        <w:tab/>
        <w:t>ii</w:t>
      </w:r>
    </w:p>
    <w:p w:rsidR="003D2238" w:rsidRPr="00F106D1" w:rsidRDefault="003D2238" w:rsidP="003D2238">
      <w:pPr>
        <w:pStyle w:val="BATOAEntry"/>
        <w:tabs>
          <w:tab w:val="clear" w:pos="9360"/>
          <w:tab w:val="left" w:pos="720"/>
          <w:tab w:val="left" w:pos="1350"/>
          <w:tab w:val="right" w:leader="dot" w:pos="8640"/>
        </w:tabs>
        <w:ind w:left="1440" w:firstLine="0"/>
        <w:rPr>
          <w:noProof/>
          <w:szCs w:val="24"/>
        </w:rPr>
      </w:pPr>
      <w:r w:rsidRPr="00F106D1">
        <w:rPr>
          <w:noProof/>
          <w:szCs w:val="24"/>
        </w:rPr>
        <w:t>I. INTRODUCTION</w:t>
      </w:r>
      <w:r w:rsidRPr="00F106D1">
        <w:rPr>
          <w:noProof/>
          <w:szCs w:val="24"/>
        </w:rPr>
        <w:tab/>
      </w:r>
      <w:r>
        <w:rPr>
          <w:noProof/>
          <w:szCs w:val="24"/>
        </w:rPr>
        <w:t>1</w:t>
      </w:r>
      <w:r w:rsidRPr="00F106D1">
        <w:rPr>
          <w:noProof/>
          <w:szCs w:val="24"/>
        </w:rPr>
        <w:t xml:space="preserve"> </w:t>
      </w:r>
    </w:p>
    <w:p w:rsidR="003D2238" w:rsidRPr="00F106D1" w:rsidRDefault="003D2238" w:rsidP="003D2238">
      <w:pPr>
        <w:pStyle w:val="BATOAEntry"/>
        <w:tabs>
          <w:tab w:val="clear" w:pos="9360"/>
          <w:tab w:val="left" w:pos="720"/>
          <w:tab w:val="left" w:pos="1350"/>
          <w:tab w:val="right" w:leader="dot" w:pos="8640"/>
        </w:tabs>
        <w:ind w:left="1440" w:firstLine="0"/>
        <w:rPr>
          <w:szCs w:val="24"/>
        </w:rPr>
      </w:pPr>
      <w:r w:rsidRPr="00F106D1">
        <w:rPr>
          <w:noProof/>
          <w:szCs w:val="24"/>
        </w:rPr>
        <w:t xml:space="preserve">II. </w:t>
      </w:r>
      <w:r w:rsidRPr="00F106D1">
        <w:rPr>
          <w:szCs w:val="24"/>
        </w:rPr>
        <w:t>ARGUMENT</w:t>
      </w:r>
      <w:r w:rsidRPr="00F106D1">
        <w:rPr>
          <w:szCs w:val="24"/>
        </w:rPr>
        <w:tab/>
      </w:r>
      <w:r w:rsidR="00F241A4">
        <w:rPr>
          <w:szCs w:val="24"/>
        </w:rPr>
        <w:t>2</w:t>
      </w:r>
    </w:p>
    <w:p w:rsidR="003D2238" w:rsidRPr="00F106D1" w:rsidRDefault="003D2238" w:rsidP="003D2238">
      <w:pPr>
        <w:pStyle w:val="BATOAEntry"/>
        <w:tabs>
          <w:tab w:val="clear" w:pos="9360"/>
          <w:tab w:val="left" w:pos="1710"/>
          <w:tab w:val="left" w:pos="2340"/>
          <w:tab w:val="right" w:leader="dot" w:pos="8640"/>
        </w:tabs>
        <w:ind w:left="2340" w:hanging="900"/>
        <w:rPr>
          <w:szCs w:val="24"/>
        </w:rPr>
      </w:pPr>
      <w:r w:rsidRPr="00F106D1">
        <w:rPr>
          <w:szCs w:val="24"/>
        </w:rPr>
        <w:tab/>
        <w:t>A.</w:t>
      </w:r>
      <w:r w:rsidRPr="00F106D1">
        <w:rPr>
          <w:szCs w:val="24"/>
        </w:rPr>
        <w:tab/>
      </w:r>
      <w:r w:rsidRPr="003D2238">
        <w:rPr>
          <w:szCs w:val="24"/>
        </w:rPr>
        <w:t>The Commission Should Give More Weight to Mr. Gorman’s 2013 Results</w:t>
      </w:r>
      <w:r w:rsidRPr="00F106D1">
        <w:rPr>
          <w:szCs w:val="24"/>
        </w:rPr>
        <w:tab/>
      </w:r>
      <w:r w:rsidR="00F241A4">
        <w:rPr>
          <w:szCs w:val="24"/>
        </w:rPr>
        <w:t>2</w:t>
      </w:r>
    </w:p>
    <w:p w:rsidR="003D2238" w:rsidRPr="00F106D1" w:rsidRDefault="003D2238" w:rsidP="003D2238">
      <w:pPr>
        <w:pStyle w:val="BATOAEntry"/>
        <w:tabs>
          <w:tab w:val="clear" w:pos="9360"/>
          <w:tab w:val="left" w:pos="1350"/>
          <w:tab w:val="left" w:pos="1710"/>
          <w:tab w:val="left" w:pos="2340"/>
          <w:tab w:val="right" w:leader="dot" w:pos="8640"/>
        </w:tabs>
        <w:ind w:left="2340" w:hanging="900"/>
        <w:rPr>
          <w:szCs w:val="24"/>
        </w:rPr>
      </w:pPr>
      <w:r w:rsidRPr="00F106D1">
        <w:rPr>
          <w:szCs w:val="24"/>
        </w:rPr>
        <w:tab/>
        <w:t>B.</w:t>
      </w:r>
      <w:r w:rsidRPr="00F106D1">
        <w:rPr>
          <w:szCs w:val="24"/>
        </w:rPr>
        <w:tab/>
      </w:r>
      <w:r w:rsidRPr="003D2238">
        <w:rPr>
          <w:szCs w:val="24"/>
        </w:rPr>
        <w:t>Staff’s Initial Brief Does Not Challenge Mr. Gorman’s Recommendation</w:t>
      </w:r>
      <w:r w:rsidRPr="00F106D1">
        <w:rPr>
          <w:szCs w:val="24"/>
        </w:rPr>
        <w:tab/>
      </w:r>
      <w:r w:rsidR="00F241A4">
        <w:rPr>
          <w:szCs w:val="24"/>
        </w:rPr>
        <w:t>4</w:t>
      </w:r>
    </w:p>
    <w:p w:rsidR="003D2238" w:rsidRPr="00F106D1" w:rsidRDefault="003D2238" w:rsidP="008F26C6">
      <w:pPr>
        <w:pStyle w:val="BATOAEntry"/>
        <w:tabs>
          <w:tab w:val="clear" w:pos="9360"/>
          <w:tab w:val="right" w:leader="dot" w:pos="8640"/>
        </w:tabs>
        <w:spacing w:before="240" w:after="0"/>
        <w:ind w:left="2340" w:hanging="630"/>
        <w:rPr>
          <w:szCs w:val="24"/>
        </w:rPr>
      </w:pPr>
      <w:r>
        <w:rPr>
          <w:szCs w:val="24"/>
        </w:rPr>
        <w:t>C</w:t>
      </w:r>
      <w:r w:rsidR="008F26C6">
        <w:rPr>
          <w:szCs w:val="24"/>
        </w:rPr>
        <w:t>.</w:t>
      </w:r>
      <w:r w:rsidR="008F26C6">
        <w:rPr>
          <w:szCs w:val="24"/>
        </w:rPr>
        <w:tab/>
      </w:r>
      <w:r w:rsidRPr="003D2238">
        <w:rPr>
          <w:szCs w:val="24"/>
        </w:rPr>
        <w:t>PSE’s Criticisms of Mr. Gorman Are Unpersuasive</w:t>
      </w:r>
      <w:r w:rsidRPr="00F106D1">
        <w:rPr>
          <w:szCs w:val="24"/>
        </w:rPr>
        <w:tab/>
      </w:r>
      <w:r w:rsidR="00F241A4">
        <w:rPr>
          <w:szCs w:val="24"/>
        </w:rPr>
        <w:t>4</w:t>
      </w:r>
    </w:p>
    <w:p w:rsidR="003D2238" w:rsidRPr="00F106D1" w:rsidRDefault="003D2238" w:rsidP="003D2238">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1.</w:t>
      </w:r>
      <w:r w:rsidRPr="00F106D1">
        <w:rPr>
          <w:szCs w:val="24"/>
        </w:rPr>
        <w:tab/>
      </w:r>
      <w:r w:rsidRPr="003D2238">
        <w:rPr>
          <w:szCs w:val="24"/>
        </w:rPr>
        <w:t xml:space="preserve">PSE’s Criticisms </w:t>
      </w:r>
      <w:r w:rsidR="0004707F" w:rsidRPr="003D2238">
        <w:rPr>
          <w:szCs w:val="24"/>
        </w:rPr>
        <w:t>of</w:t>
      </w:r>
      <w:r w:rsidRPr="003D2238">
        <w:rPr>
          <w:szCs w:val="24"/>
        </w:rPr>
        <w:t xml:space="preserve"> Mr. Gorman’s Risk Premium Studies Are Without Meri</w:t>
      </w:r>
      <w:r>
        <w:rPr>
          <w:szCs w:val="24"/>
        </w:rPr>
        <w:t>t</w:t>
      </w:r>
      <w:r w:rsidRPr="00F106D1">
        <w:rPr>
          <w:szCs w:val="24"/>
        </w:rPr>
        <w:tab/>
      </w:r>
      <w:r w:rsidR="00F241A4">
        <w:rPr>
          <w:szCs w:val="24"/>
        </w:rPr>
        <w:t>5</w:t>
      </w:r>
    </w:p>
    <w:p w:rsidR="003D2238" w:rsidRDefault="003D2238" w:rsidP="003D2238">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2.</w:t>
      </w:r>
      <w:r w:rsidRPr="00F106D1">
        <w:rPr>
          <w:szCs w:val="24"/>
        </w:rPr>
        <w:tab/>
      </w:r>
      <w:r w:rsidRPr="003D2238">
        <w:rPr>
          <w:szCs w:val="24"/>
        </w:rPr>
        <w:t>P</w:t>
      </w:r>
      <w:r w:rsidR="00231DDE">
        <w:rPr>
          <w:szCs w:val="24"/>
        </w:rPr>
        <w:t>SE Cannot Justify Its Reliance o</w:t>
      </w:r>
      <w:r w:rsidRPr="003D2238">
        <w:rPr>
          <w:szCs w:val="24"/>
        </w:rPr>
        <w:t xml:space="preserve">n </w:t>
      </w:r>
      <w:r w:rsidR="00231DDE">
        <w:rPr>
          <w:szCs w:val="24"/>
        </w:rPr>
        <w:t>t</w:t>
      </w:r>
      <w:r w:rsidRPr="003D2238">
        <w:rPr>
          <w:szCs w:val="24"/>
        </w:rPr>
        <w:t>he Average ROE From Mr. Gorman’s 2013 Proxy Group</w:t>
      </w:r>
      <w:r w:rsidRPr="00F106D1">
        <w:rPr>
          <w:szCs w:val="24"/>
        </w:rPr>
        <w:tab/>
      </w:r>
      <w:r w:rsidR="00F241A4">
        <w:rPr>
          <w:szCs w:val="24"/>
        </w:rPr>
        <w:t>7</w:t>
      </w:r>
    </w:p>
    <w:p w:rsidR="003D2238" w:rsidRDefault="003D2238" w:rsidP="003D2238">
      <w:pPr>
        <w:pStyle w:val="BATOAEntry"/>
        <w:tabs>
          <w:tab w:val="clear" w:pos="9360"/>
          <w:tab w:val="left" w:pos="2340"/>
          <w:tab w:val="left" w:pos="3060"/>
          <w:tab w:val="right" w:leader="dot" w:pos="8640"/>
        </w:tabs>
        <w:spacing w:before="240" w:after="0"/>
        <w:ind w:left="3060" w:hanging="720"/>
        <w:rPr>
          <w:szCs w:val="24"/>
        </w:rPr>
      </w:pPr>
      <w:r>
        <w:rPr>
          <w:szCs w:val="24"/>
        </w:rPr>
        <w:t>3</w:t>
      </w:r>
      <w:r w:rsidRPr="00F106D1">
        <w:rPr>
          <w:szCs w:val="24"/>
        </w:rPr>
        <w:t>.</w:t>
      </w:r>
      <w:r w:rsidRPr="00F106D1">
        <w:rPr>
          <w:szCs w:val="24"/>
        </w:rPr>
        <w:tab/>
      </w:r>
      <w:r w:rsidRPr="003D2238">
        <w:rPr>
          <w:szCs w:val="24"/>
        </w:rPr>
        <w:t xml:space="preserve">PSE’s Criticism </w:t>
      </w:r>
      <w:r w:rsidR="0004707F" w:rsidRPr="003D2238">
        <w:rPr>
          <w:szCs w:val="24"/>
        </w:rPr>
        <w:t>of</w:t>
      </w:r>
      <w:r w:rsidR="00231DDE">
        <w:rPr>
          <w:szCs w:val="24"/>
        </w:rPr>
        <w:t xml:space="preserve"> Mr. Gorman’s Treatment o</w:t>
      </w:r>
      <w:r w:rsidRPr="003D2238">
        <w:rPr>
          <w:szCs w:val="24"/>
        </w:rPr>
        <w:t xml:space="preserve">f </w:t>
      </w:r>
      <w:r w:rsidR="0004707F" w:rsidRPr="003D2238">
        <w:rPr>
          <w:szCs w:val="24"/>
        </w:rPr>
        <w:t>the</w:t>
      </w:r>
      <w:r w:rsidRPr="003D2238">
        <w:rPr>
          <w:szCs w:val="24"/>
        </w:rPr>
        <w:t xml:space="preserve"> 2014 Proxy Group Is Unwarranted</w:t>
      </w:r>
      <w:r w:rsidRPr="00F106D1">
        <w:rPr>
          <w:szCs w:val="24"/>
        </w:rPr>
        <w:tab/>
      </w:r>
      <w:r w:rsidR="00F241A4">
        <w:rPr>
          <w:szCs w:val="24"/>
        </w:rPr>
        <w:t>9</w:t>
      </w:r>
    </w:p>
    <w:p w:rsidR="00F241A4" w:rsidRDefault="003D2238" w:rsidP="003D2238">
      <w:pPr>
        <w:pStyle w:val="BATOAEntry"/>
        <w:tabs>
          <w:tab w:val="clear" w:pos="9360"/>
          <w:tab w:val="left" w:pos="2340"/>
          <w:tab w:val="left" w:pos="3060"/>
          <w:tab w:val="right" w:leader="dot" w:pos="8640"/>
        </w:tabs>
        <w:spacing w:before="240" w:after="0"/>
        <w:ind w:left="3060" w:hanging="720"/>
        <w:rPr>
          <w:szCs w:val="24"/>
        </w:rPr>
      </w:pPr>
      <w:r>
        <w:rPr>
          <w:szCs w:val="24"/>
        </w:rPr>
        <w:t>4</w:t>
      </w:r>
      <w:r w:rsidRPr="00F106D1">
        <w:rPr>
          <w:szCs w:val="24"/>
        </w:rPr>
        <w:t>.</w:t>
      </w:r>
      <w:r w:rsidRPr="00F106D1">
        <w:rPr>
          <w:szCs w:val="24"/>
        </w:rPr>
        <w:tab/>
      </w:r>
      <w:r w:rsidRPr="003D2238">
        <w:rPr>
          <w:szCs w:val="24"/>
        </w:rPr>
        <w:t xml:space="preserve">PSE’s Criticism </w:t>
      </w:r>
      <w:r w:rsidR="0004707F" w:rsidRPr="003D2238">
        <w:rPr>
          <w:szCs w:val="24"/>
        </w:rPr>
        <w:t>of</w:t>
      </w:r>
      <w:r w:rsidRPr="003D2238">
        <w:rPr>
          <w:szCs w:val="24"/>
        </w:rPr>
        <w:t xml:space="preserve"> Mr. Gorman’s Credit Metric Analysis Does Not Change </w:t>
      </w:r>
      <w:r w:rsidR="0004707F" w:rsidRPr="003D2238">
        <w:rPr>
          <w:szCs w:val="24"/>
        </w:rPr>
        <w:t>the</w:t>
      </w:r>
      <w:r w:rsidRPr="003D2238">
        <w:rPr>
          <w:szCs w:val="24"/>
        </w:rPr>
        <w:t xml:space="preserve"> Conclusion </w:t>
      </w:r>
      <w:proofErr w:type="gramStart"/>
      <w:r w:rsidRPr="003D2238">
        <w:rPr>
          <w:szCs w:val="24"/>
        </w:rPr>
        <w:t>That</w:t>
      </w:r>
      <w:proofErr w:type="gramEnd"/>
      <w:r w:rsidRPr="003D2238">
        <w:rPr>
          <w:szCs w:val="24"/>
        </w:rPr>
        <w:t xml:space="preserve"> </w:t>
      </w:r>
      <w:r w:rsidR="00C94DF2">
        <w:rPr>
          <w:szCs w:val="24"/>
        </w:rPr>
        <w:t xml:space="preserve">a </w:t>
      </w:r>
      <w:r w:rsidRPr="003D2238">
        <w:rPr>
          <w:szCs w:val="24"/>
        </w:rPr>
        <w:t xml:space="preserve">9.3% ROE Is Sufficient </w:t>
      </w:r>
      <w:r w:rsidR="0004707F" w:rsidRPr="003D2238">
        <w:rPr>
          <w:szCs w:val="24"/>
        </w:rPr>
        <w:t>to Maintain the</w:t>
      </w:r>
      <w:r w:rsidRPr="003D2238">
        <w:rPr>
          <w:szCs w:val="24"/>
        </w:rPr>
        <w:t xml:space="preserve"> Company’s Financial </w:t>
      </w:r>
    </w:p>
    <w:p w:rsidR="003D2238" w:rsidRPr="00F106D1" w:rsidRDefault="00F241A4" w:rsidP="00F241A4">
      <w:pPr>
        <w:pStyle w:val="BATOAEntry"/>
        <w:tabs>
          <w:tab w:val="clear" w:pos="9360"/>
          <w:tab w:val="left" w:pos="2340"/>
          <w:tab w:val="left" w:pos="3060"/>
          <w:tab w:val="right" w:leader="dot" w:pos="8640"/>
        </w:tabs>
        <w:spacing w:after="0"/>
        <w:ind w:left="3060" w:hanging="720"/>
        <w:rPr>
          <w:szCs w:val="24"/>
        </w:rPr>
      </w:pPr>
      <w:r>
        <w:rPr>
          <w:szCs w:val="24"/>
        </w:rPr>
        <w:tab/>
      </w:r>
      <w:r w:rsidR="003D2238" w:rsidRPr="003D2238">
        <w:rPr>
          <w:szCs w:val="24"/>
        </w:rPr>
        <w:t>Integrity</w:t>
      </w:r>
      <w:r w:rsidR="003D2238" w:rsidRPr="00F106D1">
        <w:rPr>
          <w:szCs w:val="24"/>
        </w:rPr>
        <w:tab/>
      </w:r>
      <w:r>
        <w:rPr>
          <w:szCs w:val="24"/>
        </w:rPr>
        <w:t>11</w:t>
      </w:r>
    </w:p>
    <w:p w:rsidR="003D2238" w:rsidRDefault="003D2238" w:rsidP="008F26C6">
      <w:pPr>
        <w:pStyle w:val="BATOAEntry"/>
        <w:tabs>
          <w:tab w:val="clear" w:pos="9360"/>
          <w:tab w:val="right" w:leader="dot" w:pos="8640"/>
        </w:tabs>
        <w:spacing w:before="240"/>
        <w:ind w:left="2340" w:hanging="630"/>
        <w:rPr>
          <w:szCs w:val="24"/>
        </w:rPr>
      </w:pPr>
      <w:r w:rsidRPr="00F106D1">
        <w:rPr>
          <w:szCs w:val="24"/>
        </w:rPr>
        <w:t xml:space="preserve">D. </w:t>
      </w:r>
      <w:r w:rsidRPr="00F106D1">
        <w:rPr>
          <w:szCs w:val="24"/>
        </w:rPr>
        <w:tab/>
      </w:r>
      <w:r w:rsidR="00BD0639">
        <w:rPr>
          <w:szCs w:val="24"/>
        </w:rPr>
        <w:t>PSE’s Position o</w:t>
      </w:r>
      <w:r w:rsidRPr="003D2238">
        <w:rPr>
          <w:szCs w:val="24"/>
        </w:rPr>
        <w:t xml:space="preserve">n </w:t>
      </w:r>
      <w:r w:rsidR="00BD0639">
        <w:rPr>
          <w:szCs w:val="24"/>
        </w:rPr>
        <w:t>Its Earnings Sharing Mechanism I</w:t>
      </w:r>
      <w:r w:rsidRPr="003D2238">
        <w:rPr>
          <w:szCs w:val="24"/>
        </w:rPr>
        <w:t>s One-Sided and Lacks Evidentiary Support</w:t>
      </w:r>
      <w:r w:rsidRPr="00F106D1">
        <w:rPr>
          <w:szCs w:val="24"/>
        </w:rPr>
        <w:tab/>
      </w:r>
      <w:r w:rsidR="00F241A4">
        <w:rPr>
          <w:szCs w:val="24"/>
        </w:rPr>
        <w:t>12</w:t>
      </w:r>
    </w:p>
    <w:p w:rsidR="003D2238" w:rsidRPr="00F106D1" w:rsidRDefault="003D2238" w:rsidP="008F26C6">
      <w:pPr>
        <w:pStyle w:val="BATOAEntry"/>
        <w:tabs>
          <w:tab w:val="clear" w:pos="9360"/>
          <w:tab w:val="right" w:leader="dot" w:pos="8640"/>
        </w:tabs>
        <w:spacing w:before="240"/>
        <w:ind w:left="2340" w:hanging="630"/>
        <w:rPr>
          <w:szCs w:val="24"/>
        </w:rPr>
      </w:pPr>
      <w:proofErr w:type="gramStart"/>
      <w:r>
        <w:rPr>
          <w:szCs w:val="24"/>
        </w:rPr>
        <w:t>E</w:t>
      </w:r>
      <w:r w:rsidRPr="00F106D1">
        <w:rPr>
          <w:szCs w:val="24"/>
        </w:rPr>
        <w:t xml:space="preserve">. </w:t>
      </w:r>
      <w:r w:rsidRPr="00F106D1">
        <w:rPr>
          <w:szCs w:val="24"/>
        </w:rPr>
        <w:tab/>
      </w:r>
      <w:r w:rsidRPr="003D2238">
        <w:rPr>
          <w:szCs w:val="24"/>
        </w:rPr>
        <w:t>The</w:t>
      </w:r>
      <w:proofErr w:type="gramEnd"/>
      <w:r w:rsidRPr="003D2238">
        <w:rPr>
          <w:szCs w:val="24"/>
        </w:rPr>
        <w:t xml:space="preserve"> Rating Agency Reports PSE Relies on Support the Conclusion that a 9.3% ROE Will Continue to Maintain the Company’s Credit Rating</w:t>
      </w:r>
      <w:r w:rsidRPr="00F106D1">
        <w:rPr>
          <w:szCs w:val="24"/>
        </w:rPr>
        <w:tab/>
      </w:r>
      <w:r w:rsidR="00F241A4">
        <w:rPr>
          <w:szCs w:val="24"/>
        </w:rPr>
        <w:t>14</w:t>
      </w:r>
    </w:p>
    <w:p w:rsidR="003D2238" w:rsidRPr="00F106D1" w:rsidRDefault="003D2238" w:rsidP="003D2238">
      <w:pPr>
        <w:pStyle w:val="BATOAEntry"/>
        <w:tabs>
          <w:tab w:val="clear" w:pos="9360"/>
          <w:tab w:val="left" w:pos="1440"/>
          <w:tab w:val="right" w:leader="dot" w:pos="8640"/>
        </w:tabs>
        <w:ind w:left="1440" w:firstLine="0"/>
        <w:rPr>
          <w:szCs w:val="24"/>
        </w:rPr>
      </w:pPr>
      <w:r>
        <w:rPr>
          <w:szCs w:val="24"/>
        </w:rPr>
        <w:t>III</w:t>
      </w:r>
      <w:r w:rsidRPr="00F106D1">
        <w:rPr>
          <w:szCs w:val="24"/>
        </w:rPr>
        <w:t>. CONCLUSION</w:t>
      </w:r>
      <w:r w:rsidRPr="00F106D1">
        <w:rPr>
          <w:szCs w:val="24"/>
        </w:rPr>
        <w:tab/>
      </w:r>
      <w:r w:rsidR="00F241A4">
        <w:rPr>
          <w:szCs w:val="24"/>
        </w:rPr>
        <w:t>16</w:t>
      </w:r>
    </w:p>
    <w:p w:rsidR="003D2238" w:rsidRDefault="003D2238" w:rsidP="003D2238">
      <w:pPr>
        <w:jc w:val="center"/>
        <w:rPr>
          <w:b/>
        </w:rPr>
      </w:pPr>
      <w:r>
        <w:rPr>
          <w:b/>
        </w:rPr>
        <w:br w:type="page"/>
      </w:r>
    </w:p>
    <w:p w:rsidR="003D2238" w:rsidRDefault="003D2238" w:rsidP="003D2238">
      <w:pPr>
        <w:keepNext/>
        <w:spacing w:after="200"/>
        <w:jc w:val="center"/>
        <w:rPr>
          <w:b/>
          <w:bCs/>
          <w:sz w:val="28"/>
        </w:rPr>
        <w:sectPr w:rsidR="003D2238" w:rsidSect="003D2238">
          <w:footerReference w:type="default" r:id="rId10"/>
          <w:footerReference w:type="first" r:id="rId11"/>
          <w:pgSz w:w="12240" w:h="15840"/>
          <w:pgMar w:top="1440" w:right="1440" w:bottom="1440" w:left="1440" w:header="720" w:footer="720" w:gutter="0"/>
          <w:pgNumType w:fmt="lowerRoman" w:start="1"/>
          <w:cols w:space="720"/>
          <w:titlePg/>
          <w:docGrid w:linePitch="360"/>
        </w:sectPr>
      </w:pPr>
    </w:p>
    <w:p w:rsidR="003D2238" w:rsidRPr="00F106D1" w:rsidRDefault="003D2238" w:rsidP="003D2238">
      <w:pPr>
        <w:tabs>
          <w:tab w:val="left" w:pos="720"/>
          <w:tab w:val="right" w:leader="dot" w:pos="8640"/>
        </w:tabs>
        <w:spacing w:after="240"/>
        <w:jc w:val="center"/>
        <w:rPr>
          <w:b/>
          <w:color w:val="auto"/>
          <w:szCs w:val="24"/>
        </w:rPr>
      </w:pPr>
      <w:r w:rsidRPr="00F106D1">
        <w:rPr>
          <w:b/>
          <w:color w:val="auto"/>
          <w:szCs w:val="24"/>
        </w:rPr>
        <w:lastRenderedPageBreak/>
        <w:t>TABLE OF AUTHORITIES</w:t>
      </w:r>
    </w:p>
    <w:p w:rsidR="003D2238" w:rsidRPr="000D0CC3" w:rsidRDefault="003D2238" w:rsidP="003D2238">
      <w:pPr>
        <w:tabs>
          <w:tab w:val="left" w:pos="720"/>
          <w:tab w:val="right" w:leader="dot" w:pos="8640"/>
        </w:tabs>
        <w:spacing w:after="240"/>
        <w:jc w:val="center"/>
        <w:rPr>
          <w:b/>
          <w:color w:val="auto"/>
          <w:szCs w:val="24"/>
          <w:u w:val="single"/>
        </w:rPr>
      </w:pPr>
      <w:r w:rsidRPr="000D0CC3">
        <w:rPr>
          <w:b/>
          <w:color w:val="auto"/>
          <w:szCs w:val="24"/>
          <w:u w:val="single"/>
        </w:rPr>
        <w:t>Administrative Orders</w:t>
      </w:r>
    </w:p>
    <w:p w:rsidR="003D2238" w:rsidRPr="00BC5E42" w:rsidRDefault="003D2238" w:rsidP="003D2238">
      <w:pPr>
        <w:tabs>
          <w:tab w:val="right" w:leader="dot" w:pos="8640"/>
        </w:tabs>
        <w:ind w:left="1440"/>
        <w:rPr>
          <w:szCs w:val="24"/>
        </w:rPr>
      </w:pPr>
      <w:r w:rsidRPr="003D2238">
        <w:rPr>
          <w:szCs w:val="24"/>
          <w:u w:val="single"/>
        </w:rPr>
        <w:t>WUTC v. PacifiCorp</w:t>
      </w:r>
      <w:r w:rsidRPr="00BC5E42">
        <w:rPr>
          <w:szCs w:val="24"/>
        </w:rPr>
        <w:t>, Docket No. UE-100749, Order 07</w:t>
      </w:r>
    </w:p>
    <w:p w:rsidR="003D2238" w:rsidRDefault="003D2238" w:rsidP="003D2238">
      <w:pPr>
        <w:tabs>
          <w:tab w:val="right" w:leader="dot" w:pos="8640"/>
        </w:tabs>
        <w:ind w:left="1440"/>
        <w:rPr>
          <w:szCs w:val="24"/>
        </w:rPr>
      </w:pPr>
      <w:r w:rsidRPr="00BC5E42">
        <w:rPr>
          <w:szCs w:val="24"/>
        </w:rPr>
        <w:t>(May 12, 2011)</w:t>
      </w:r>
      <w:r w:rsidRPr="00F106D1">
        <w:rPr>
          <w:szCs w:val="24"/>
        </w:rPr>
        <w:tab/>
      </w:r>
      <w:r w:rsidR="00665C7D">
        <w:rPr>
          <w:szCs w:val="24"/>
        </w:rPr>
        <w:t>1</w:t>
      </w:r>
      <w:r w:rsidR="00944060">
        <w:rPr>
          <w:szCs w:val="24"/>
        </w:rPr>
        <w:t>, 13</w:t>
      </w:r>
    </w:p>
    <w:p w:rsidR="003D2238" w:rsidRPr="00BE371E" w:rsidRDefault="003D2238" w:rsidP="003D2238">
      <w:pPr>
        <w:tabs>
          <w:tab w:val="right" w:leader="dot" w:pos="8640"/>
        </w:tabs>
        <w:ind w:left="1440"/>
        <w:rPr>
          <w:szCs w:val="24"/>
        </w:rPr>
      </w:pPr>
    </w:p>
    <w:p w:rsidR="003D2238" w:rsidRPr="000D0CC3" w:rsidRDefault="003D2238" w:rsidP="003D2238">
      <w:pPr>
        <w:tabs>
          <w:tab w:val="left" w:pos="720"/>
          <w:tab w:val="right" w:leader="dot" w:pos="8640"/>
        </w:tabs>
        <w:spacing w:after="240"/>
        <w:jc w:val="center"/>
        <w:rPr>
          <w:b/>
          <w:color w:val="auto"/>
          <w:szCs w:val="24"/>
          <w:u w:val="single"/>
        </w:rPr>
      </w:pPr>
      <w:r w:rsidRPr="000D0CC3">
        <w:rPr>
          <w:b/>
          <w:color w:val="auto"/>
          <w:szCs w:val="24"/>
          <w:u w:val="single"/>
        </w:rPr>
        <w:t>Cases</w:t>
      </w:r>
    </w:p>
    <w:p w:rsidR="003D2238" w:rsidRDefault="003D2238" w:rsidP="00D540CF">
      <w:pPr>
        <w:tabs>
          <w:tab w:val="right" w:leader="dot" w:pos="8640"/>
        </w:tabs>
        <w:spacing w:after="240"/>
        <w:ind w:left="1440"/>
        <w:rPr>
          <w:szCs w:val="24"/>
        </w:rPr>
      </w:pPr>
      <w:proofErr w:type="gramStart"/>
      <w:r>
        <w:rPr>
          <w:u w:val="single"/>
        </w:rPr>
        <w:t>Fed.</w:t>
      </w:r>
      <w:proofErr w:type="gramEnd"/>
      <w:r>
        <w:rPr>
          <w:u w:val="single"/>
        </w:rPr>
        <w:t xml:space="preserve"> Signal Corp. v. Safety Factors</w:t>
      </w:r>
      <w:r>
        <w:t>, 125 Wn.2d 413 (1994)</w:t>
      </w:r>
      <w:r w:rsidRPr="00F106D1">
        <w:rPr>
          <w:szCs w:val="24"/>
        </w:rPr>
        <w:tab/>
      </w:r>
      <w:r w:rsidR="00944060">
        <w:rPr>
          <w:szCs w:val="24"/>
        </w:rPr>
        <w:t>1</w:t>
      </w:r>
    </w:p>
    <w:p w:rsidR="00944060" w:rsidRDefault="003B0EC2" w:rsidP="00944060">
      <w:pPr>
        <w:tabs>
          <w:tab w:val="right" w:leader="dot" w:pos="8640"/>
        </w:tabs>
        <w:ind w:left="1440"/>
        <w:rPr>
          <w:szCs w:val="24"/>
        </w:rPr>
      </w:pPr>
      <w:r w:rsidRPr="0054098A">
        <w:rPr>
          <w:szCs w:val="24"/>
          <w:u w:val="single"/>
        </w:rPr>
        <w:t>I</w:t>
      </w:r>
      <w:r>
        <w:rPr>
          <w:szCs w:val="24"/>
          <w:u w:val="single"/>
        </w:rPr>
        <w:t xml:space="preserve">ndus. </w:t>
      </w:r>
      <w:r w:rsidRPr="0054098A">
        <w:rPr>
          <w:szCs w:val="24"/>
          <w:u w:val="single"/>
        </w:rPr>
        <w:t>C</w:t>
      </w:r>
      <w:r>
        <w:rPr>
          <w:szCs w:val="24"/>
          <w:u w:val="single"/>
        </w:rPr>
        <w:t>ustomers o</w:t>
      </w:r>
      <w:bookmarkStart w:id="2" w:name="_GoBack"/>
      <w:bookmarkEnd w:id="2"/>
      <w:r>
        <w:rPr>
          <w:szCs w:val="24"/>
          <w:u w:val="single"/>
        </w:rPr>
        <w:t xml:space="preserve">f </w:t>
      </w:r>
      <w:r w:rsidRPr="0054098A">
        <w:rPr>
          <w:szCs w:val="24"/>
          <w:u w:val="single"/>
        </w:rPr>
        <w:t>N</w:t>
      </w:r>
      <w:r>
        <w:rPr>
          <w:szCs w:val="24"/>
          <w:u w:val="single"/>
        </w:rPr>
        <w:t xml:space="preserve">W </w:t>
      </w:r>
      <w:proofErr w:type="spellStart"/>
      <w:r w:rsidRPr="0054098A">
        <w:rPr>
          <w:szCs w:val="24"/>
          <w:u w:val="single"/>
        </w:rPr>
        <w:t>U</w:t>
      </w:r>
      <w:r>
        <w:rPr>
          <w:szCs w:val="24"/>
          <w:u w:val="single"/>
        </w:rPr>
        <w:t>tils</w:t>
      </w:r>
      <w:proofErr w:type="spellEnd"/>
      <w:r>
        <w:rPr>
          <w:szCs w:val="24"/>
          <w:u w:val="single"/>
        </w:rPr>
        <w:t>.</w:t>
      </w:r>
      <w:r w:rsidRPr="0054098A">
        <w:rPr>
          <w:szCs w:val="24"/>
          <w:u w:val="single"/>
        </w:rPr>
        <w:t xml:space="preserve"> v. WUTC</w:t>
      </w:r>
      <w:r w:rsidRPr="00F106D1">
        <w:rPr>
          <w:szCs w:val="24"/>
        </w:rPr>
        <w:t xml:space="preserve">, Thurston County Superior Court </w:t>
      </w:r>
    </w:p>
    <w:p w:rsidR="00944060" w:rsidRDefault="003B0EC2" w:rsidP="00944060">
      <w:pPr>
        <w:tabs>
          <w:tab w:val="right" w:leader="dot" w:pos="8640"/>
        </w:tabs>
        <w:ind w:left="1440"/>
        <w:rPr>
          <w:szCs w:val="24"/>
        </w:rPr>
      </w:pPr>
      <w:r w:rsidRPr="00F106D1">
        <w:rPr>
          <w:szCs w:val="24"/>
        </w:rPr>
        <w:t xml:space="preserve">Case Nos. 13-2-01576-2 and 13-2-01582-7, Order Granting in Part and </w:t>
      </w:r>
    </w:p>
    <w:p w:rsidR="003B0EC2" w:rsidRPr="00F106D1" w:rsidRDefault="003B0EC2" w:rsidP="00944060">
      <w:pPr>
        <w:tabs>
          <w:tab w:val="right" w:leader="dot" w:pos="8640"/>
        </w:tabs>
        <w:spacing w:after="240"/>
        <w:ind w:left="1440"/>
        <w:rPr>
          <w:szCs w:val="24"/>
        </w:rPr>
      </w:pPr>
      <w:r w:rsidRPr="00F106D1">
        <w:rPr>
          <w:szCs w:val="24"/>
        </w:rPr>
        <w:t>Denying in Par</w:t>
      </w:r>
      <w:r>
        <w:rPr>
          <w:szCs w:val="24"/>
        </w:rPr>
        <w:t xml:space="preserve">t Petitions for Judicial Review </w:t>
      </w:r>
      <w:r w:rsidRPr="00F106D1">
        <w:rPr>
          <w:szCs w:val="24"/>
        </w:rPr>
        <w:t>(July 25, 2014)</w:t>
      </w:r>
      <w:r>
        <w:rPr>
          <w:szCs w:val="24"/>
        </w:rPr>
        <w:tab/>
      </w:r>
      <w:r w:rsidR="00944060">
        <w:rPr>
          <w:szCs w:val="24"/>
        </w:rPr>
        <w:t>1</w:t>
      </w:r>
    </w:p>
    <w:p w:rsidR="003D2238" w:rsidRPr="000D0CC3" w:rsidRDefault="003D2238" w:rsidP="003D2238">
      <w:pPr>
        <w:spacing w:after="240"/>
        <w:ind w:left="240" w:hanging="240"/>
        <w:jc w:val="center"/>
        <w:rPr>
          <w:b/>
          <w:szCs w:val="24"/>
          <w:u w:val="single"/>
        </w:rPr>
      </w:pPr>
      <w:r w:rsidRPr="000D0CC3">
        <w:rPr>
          <w:b/>
          <w:szCs w:val="24"/>
          <w:u w:val="single"/>
        </w:rPr>
        <w:t>Statutes</w:t>
      </w:r>
    </w:p>
    <w:p w:rsidR="003D2238" w:rsidRPr="00F106D1" w:rsidRDefault="00D540CF" w:rsidP="003D2238">
      <w:pPr>
        <w:pStyle w:val="BATOAEntry"/>
        <w:tabs>
          <w:tab w:val="clear" w:pos="9360"/>
          <w:tab w:val="left" w:pos="1440"/>
          <w:tab w:val="right" w:leader="dot" w:pos="8640"/>
        </w:tabs>
        <w:ind w:left="1440" w:firstLine="0"/>
        <w:rPr>
          <w:szCs w:val="24"/>
        </w:rPr>
      </w:pPr>
      <w:r>
        <w:t>RCW § 80.28.010(1)</w:t>
      </w:r>
      <w:r w:rsidR="003D2238" w:rsidRPr="00F106D1">
        <w:rPr>
          <w:szCs w:val="24"/>
        </w:rPr>
        <w:tab/>
      </w:r>
      <w:r w:rsidR="00944060">
        <w:rPr>
          <w:szCs w:val="24"/>
        </w:rPr>
        <w:t>16</w:t>
      </w:r>
    </w:p>
    <w:p w:rsidR="00437BC4" w:rsidRPr="0021004B" w:rsidRDefault="00437BC4" w:rsidP="0021004B">
      <w:pPr>
        <w:jc w:val="center"/>
        <w:rPr>
          <w:b/>
        </w:rPr>
        <w:sectPr w:rsidR="00437BC4" w:rsidRPr="0021004B">
          <w:footerReference w:type="default" r:id="rId12"/>
          <w:footerReference w:type="first" r:id="rId13"/>
          <w:pgSz w:w="12240" w:h="15840"/>
          <w:pgMar w:top="1440" w:right="1440" w:bottom="1440" w:left="1440" w:header="720" w:footer="720" w:gutter="0"/>
          <w:pgNumType w:fmt="lowerRoman" w:start="1"/>
          <w:cols w:space="720"/>
          <w:titlePg/>
          <w:docGrid w:linePitch="360"/>
        </w:sectPr>
      </w:pPr>
    </w:p>
    <w:p w:rsidR="00437BC4" w:rsidRDefault="00437BC4" w:rsidP="00437BC4">
      <w:pPr>
        <w:rPr>
          <w:b/>
        </w:rPr>
      </w:pPr>
    </w:p>
    <w:p w:rsidR="00437BC4" w:rsidRDefault="00437BC4" w:rsidP="00437BC4">
      <w:pPr>
        <w:jc w:val="center"/>
        <w:rPr>
          <w:b/>
        </w:rPr>
        <w:sectPr w:rsidR="00437BC4">
          <w:footerReference w:type="default" r:id="rId14"/>
          <w:footerReference w:type="first" r:id="rId15"/>
          <w:type w:val="continuous"/>
          <w:pgSz w:w="12240" w:h="15840"/>
          <w:pgMar w:top="1440" w:right="1440" w:bottom="1440" w:left="1440" w:header="720" w:footer="720" w:gutter="0"/>
          <w:pgNumType w:fmt="lowerRoman"/>
          <w:cols w:space="720"/>
          <w:titlePg/>
          <w:docGrid w:linePitch="360"/>
        </w:sectPr>
      </w:pPr>
    </w:p>
    <w:p w:rsidR="00437BC4" w:rsidRDefault="00437BC4" w:rsidP="00437BC4">
      <w:pPr>
        <w:jc w:val="center"/>
      </w:pPr>
      <w:r>
        <w:rPr>
          <w:b/>
        </w:rPr>
        <w:lastRenderedPageBreak/>
        <w:t>I.</w:t>
      </w:r>
      <w:r>
        <w:rPr>
          <w:b/>
        </w:rPr>
        <w:tab/>
        <w:t>INTRODUCTION</w:t>
      </w:r>
    </w:p>
    <w:p w:rsidR="00D158A0" w:rsidRDefault="00D158A0"/>
    <w:p w:rsidR="003B0EC2" w:rsidRDefault="003B0EC2" w:rsidP="003B0EC2">
      <w:pPr>
        <w:pStyle w:val="WUTCParagraph"/>
      </w:pPr>
      <w:r>
        <w:rPr>
          <w:lang w:val="en-US"/>
        </w:rPr>
        <w:tab/>
      </w:r>
      <w:r>
        <w:t xml:space="preserve">Every initial brief filed in this proceeding with the exception of Puget Sound Energy, Inc.’s (“PSE” or the “Company”) recommends a reduction to the Company’s </w:t>
      </w:r>
      <w:r>
        <w:rPr>
          <w:lang w:val="en-US"/>
        </w:rPr>
        <w:t>return on equity (“</w:t>
      </w:r>
      <w:r>
        <w:t>ROE</w:t>
      </w:r>
      <w:r>
        <w:rPr>
          <w:lang w:val="en-US"/>
        </w:rPr>
        <w:t>”)</w:t>
      </w:r>
      <w:r>
        <w:t xml:space="preserve">.  Additionally, none of these initial briefs, including the Company’s, offers any legitimate criticism of the analyses of the Industrial Customers of Northwest Utilities’ (“ICNU”) expert, Michael Gorman, that would </w:t>
      </w:r>
      <w:r w:rsidR="00554D24">
        <w:rPr>
          <w:lang w:val="en-US"/>
        </w:rPr>
        <w:t>undermine</w:t>
      </w:r>
      <w:r>
        <w:t xml:space="preserve"> his recommendation to set PSE’s ROE at 9.3%.  The Washington Utilities and Transportation Commission’s (</w:t>
      </w:r>
      <w:r>
        <w:rPr>
          <w:lang w:val="en-US"/>
        </w:rPr>
        <w:t xml:space="preserve">“WUTC” or </w:t>
      </w:r>
      <w:r>
        <w:t>“Commission”) Staff does not discuss or challenge any of Mr. Gorman’s conclusions.  Meanwhile, PSE critiques only limited and ancillary portions of Mr. Gorman’s analyses, and as discussed below, all of these critiques are either baseless or misleading.</w:t>
      </w:r>
    </w:p>
    <w:p w:rsidR="003B0EC2" w:rsidRDefault="003B0EC2" w:rsidP="003B0EC2">
      <w:pPr>
        <w:pStyle w:val="WUTCParagraph"/>
      </w:pPr>
      <w:r w:rsidRPr="00A51687">
        <w:rPr>
          <w:lang w:val="en-US"/>
        </w:rPr>
        <w:tab/>
        <w:t>Both Staff and PSE, in fact, spend very little time at all in their Initial Briefs discussing the evidence pertaining to the Company’s ROE – the central issue in this case.  PSE devotes 11 of its 45 pages to this issue</w:t>
      </w:r>
      <w:r>
        <w:rPr>
          <w:lang w:val="en-US"/>
        </w:rPr>
        <w:t>;</w:t>
      </w:r>
      <w:r w:rsidRPr="00A51687">
        <w:rPr>
          <w:lang w:val="en-US"/>
        </w:rPr>
        <w:t xml:space="preserve"> Staff uses only two.</w:t>
      </w:r>
      <w:r w:rsidRPr="006F66BA">
        <w:rPr>
          <w:rStyle w:val="FootnoteReference"/>
          <w:u w:val="single"/>
          <w:lang w:val="en-US"/>
        </w:rPr>
        <w:footnoteReference w:id="1"/>
      </w:r>
      <w:r>
        <w:rPr>
          <w:vertAlign w:val="superscript"/>
          <w:lang w:val="en-US"/>
        </w:rPr>
        <w:t>/</w:t>
      </w:r>
      <w:r>
        <w:rPr>
          <w:lang w:val="en-US"/>
        </w:rPr>
        <w:t xml:space="preserve">  While PSE asserts that substantial evidence supports its recommended 9.8% ROE</w:t>
      </w:r>
      <w:r>
        <w:t xml:space="preserve">, because PSE bears the burden of proof in this case, </w:t>
      </w:r>
      <w:r>
        <w:rPr>
          <w:lang w:val="en-US"/>
        </w:rPr>
        <w:t>it must</w:t>
      </w:r>
      <w:r>
        <w:t xml:space="preserve"> persuade the Commission that </w:t>
      </w:r>
      <w:r>
        <w:rPr>
          <w:lang w:val="en-US"/>
        </w:rPr>
        <w:t>its evidence more reliably establishes a reasonable equity return than the recommendations of other parties</w:t>
      </w:r>
      <w:r>
        <w:t>.</w:t>
      </w:r>
      <w:r w:rsidRPr="00821E03">
        <w:rPr>
          <w:rStyle w:val="FootnoteReference"/>
          <w:u w:val="single"/>
        </w:rPr>
        <w:footnoteReference w:id="2"/>
      </w:r>
      <w:r w:rsidRPr="00A51687">
        <w:rPr>
          <w:vertAlign w:val="superscript"/>
        </w:rPr>
        <w:t>/</w:t>
      </w:r>
      <w:r>
        <w:t xml:space="preserve">  As ICNU’s Initial Brief showed, PSE’s cost of equity studies are significantly flawed in a number of respects.</w:t>
      </w:r>
      <w:r w:rsidRPr="00821E03">
        <w:rPr>
          <w:rStyle w:val="FootnoteReference"/>
          <w:u w:val="single"/>
        </w:rPr>
        <w:footnoteReference w:id="3"/>
      </w:r>
      <w:r w:rsidRPr="00A51687">
        <w:rPr>
          <w:vertAlign w:val="superscript"/>
        </w:rPr>
        <w:t>/</w:t>
      </w:r>
      <w:r>
        <w:t xml:space="preserve">  Mr. Gorman’s studies are far more transparent and reliable and show that a 9.3% ROE is commensurate with returns in enterprises having corresponding risk and is sufficient to maintain the Company’s </w:t>
      </w:r>
      <w:r>
        <w:lastRenderedPageBreak/>
        <w:t>financial integrity.</w:t>
      </w:r>
      <w:r>
        <w:rPr>
          <w:lang w:val="en-US"/>
        </w:rPr>
        <w:t xml:space="preserve">  This conclusion is supported by Mr. </w:t>
      </w:r>
      <w:proofErr w:type="spellStart"/>
      <w:r>
        <w:rPr>
          <w:lang w:val="en-US"/>
        </w:rPr>
        <w:t>Parcell’s</w:t>
      </w:r>
      <w:proofErr w:type="spellEnd"/>
      <w:r>
        <w:rPr>
          <w:lang w:val="en-US"/>
        </w:rPr>
        <w:t xml:space="preserve"> cost of equity studies and exceeds the ROE findings of Mr. Hill.</w:t>
      </w:r>
      <w:r w:rsidRPr="00B149FD">
        <w:rPr>
          <w:rStyle w:val="FootnoteReference"/>
          <w:u w:val="single"/>
          <w:lang w:val="en-US"/>
        </w:rPr>
        <w:footnoteReference w:id="4"/>
      </w:r>
      <w:proofErr w:type="gramStart"/>
      <w:r>
        <w:rPr>
          <w:vertAlign w:val="superscript"/>
          <w:lang w:val="en-US"/>
        </w:rPr>
        <w:t>/</w:t>
      </w:r>
      <w:r>
        <w:rPr>
          <w:lang w:val="en-US"/>
        </w:rPr>
        <w:t xml:space="preserve">  An</w:t>
      </w:r>
      <w:proofErr w:type="gramEnd"/>
      <w:r>
        <w:rPr>
          <w:lang w:val="en-US"/>
        </w:rPr>
        <w:t xml:space="preserve"> objective 2013 DCF analysis utilizing all of Dr. Morin’s and Mr. Gorman’s assumptions applied to a consistent proxy group further confirms Mr. Gorman’s recommendation.</w:t>
      </w:r>
      <w:r w:rsidRPr="00B149FD">
        <w:rPr>
          <w:rStyle w:val="FootnoteReference"/>
          <w:u w:val="single"/>
          <w:lang w:val="en-US"/>
        </w:rPr>
        <w:footnoteReference w:id="5"/>
      </w:r>
      <w:r>
        <w:rPr>
          <w:vertAlign w:val="superscript"/>
          <w:lang w:val="en-US"/>
        </w:rPr>
        <w:t>/</w:t>
      </w:r>
      <w:r>
        <w:rPr>
          <w:lang w:val="en-US"/>
        </w:rPr>
        <w:t xml:space="preserve">  Finally, the</w:t>
      </w:r>
      <w:r>
        <w:t xml:space="preserve"> evidence </w:t>
      </w:r>
      <w:r>
        <w:rPr>
          <w:lang w:val="en-US"/>
        </w:rPr>
        <w:t>also</w:t>
      </w:r>
      <w:r>
        <w:t xml:space="preserve"> shows that </w:t>
      </w:r>
      <w:r>
        <w:rPr>
          <w:lang w:val="en-US"/>
        </w:rPr>
        <w:t xml:space="preserve">the upper end of Staff’s recommended range is unsupportable based on Mr. </w:t>
      </w:r>
      <w:proofErr w:type="spellStart"/>
      <w:r>
        <w:rPr>
          <w:lang w:val="en-US"/>
        </w:rPr>
        <w:t>Parcell’s</w:t>
      </w:r>
      <w:proofErr w:type="spellEnd"/>
      <w:r>
        <w:rPr>
          <w:lang w:val="en-US"/>
        </w:rPr>
        <w:t xml:space="preserve"> analyses</w:t>
      </w:r>
      <w:r>
        <w:t xml:space="preserve"> </w:t>
      </w:r>
      <w:r>
        <w:rPr>
          <w:lang w:val="en-US"/>
        </w:rPr>
        <w:t xml:space="preserve">and that, therefore, Mr. </w:t>
      </w:r>
      <w:proofErr w:type="spellStart"/>
      <w:r>
        <w:rPr>
          <w:lang w:val="en-US"/>
        </w:rPr>
        <w:t>Parcell’s</w:t>
      </w:r>
      <w:proofErr w:type="spellEnd"/>
      <w:r>
        <w:rPr>
          <w:lang w:val="en-US"/>
        </w:rPr>
        <w:t xml:space="preserve"> recommended</w:t>
      </w:r>
      <w:r>
        <w:t xml:space="preserve"> 9.5% ROE, far from being the midpoint of a reasonable range, lies, at best, at the high end of this range.</w:t>
      </w:r>
      <w:r w:rsidRPr="00B149FD">
        <w:rPr>
          <w:rStyle w:val="FootnoteReference"/>
          <w:u w:val="single"/>
        </w:rPr>
        <w:footnoteReference w:id="6"/>
      </w:r>
      <w:r>
        <w:rPr>
          <w:vertAlign w:val="superscript"/>
        </w:rPr>
        <w:t>/</w:t>
      </w:r>
      <w:r>
        <w:t xml:space="preserve">  Nothing in PSE’s or Staff’s Initial Briefs calls these conclusions into question.</w:t>
      </w:r>
    </w:p>
    <w:p w:rsidR="00371DFC" w:rsidRDefault="00371DFC" w:rsidP="00371DFC">
      <w:pPr>
        <w:spacing w:line="480" w:lineRule="auto"/>
        <w:jc w:val="center"/>
      </w:pPr>
      <w:r>
        <w:rPr>
          <w:b/>
        </w:rPr>
        <w:t>II.</w:t>
      </w:r>
      <w:r>
        <w:rPr>
          <w:b/>
        </w:rPr>
        <w:tab/>
        <w:t>ARGUMENT</w:t>
      </w:r>
    </w:p>
    <w:p w:rsidR="006D468A" w:rsidRDefault="006D468A" w:rsidP="006D468A">
      <w:pPr>
        <w:spacing w:after="240"/>
        <w:ind w:left="1440" w:hanging="720"/>
      </w:pPr>
      <w:r>
        <w:rPr>
          <w:b/>
        </w:rPr>
        <w:t>A.</w:t>
      </w:r>
      <w:r>
        <w:rPr>
          <w:b/>
        </w:rPr>
        <w:tab/>
        <w:t>The Commission Should Give More Weight to Mr. Gorman’s 2013 Results.</w:t>
      </w:r>
    </w:p>
    <w:p w:rsidR="00FA624F" w:rsidRDefault="00C42A3F" w:rsidP="00BC5E42">
      <w:pPr>
        <w:pStyle w:val="WUTCParagraph"/>
      </w:pPr>
      <w:r>
        <w:rPr>
          <w:lang w:val="en-US"/>
        </w:rPr>
        <w:tab/>
      </w:r>
      <w:r w:rsidR="006D468A">
        <w:t>Both PSE and Staff argue in no uncertain terms that the “appropriate time period for the cost of equity review in this remand proceeding is the first half of 2013.”</w:t>
      </w:r>
      <w:r w:rsidR="006D468A" w:rsidRPr="006D468A">
        <w:rPr>
          <w:rStyle w:val="FootnoteReference"/>
          <w:u w:val="single"/>
        </w:rPr>
        <w:footnoteReference w:id="7"/>
      </w:r>
      <w:r w:rsidR="006D468A">
        <w:rPr>
          <w:vertAlign w:val="superscript"/>
        </w:rPr>
        <w:t>/</w:t>
      </w:r>
      <w:r w:rsidR="006D468A">
        <w:t xml:space="preserve">  Mr. Gorman was the only cost-of-capital expert in this </w:t>
      </w:r>
      <w:r w:rsidR="009F1FB3">
        <w:t>case</w:t>
      </w:r>
      <w:r w:rsidR="006D468A">
        <w:t xml:space="preserve"> that developed, and defended, a cost of equity analysis for PSE contemporaneously with this period.</w:t>
      </w:r>
      <w:r w:rsidR="00BE3DD7">
        <w:t xml:space="preserve"> </w:t>
      </w:r>
      <w:r w:rsidR="005B4E1F">
        <w:t xml:space="preserve"> </w:t>
      </w:r>
      <w:r w:rsidR="006D468A">
        <w:t xml:space="preserve">All other cost-of-capital witnesses had to perform equivalent studies retrospectively.  Mr. </w:t>
      </w:r>
      <w:proofErr w:type="spellStart"/>
      <w:r w:rsidR="006D468A">
        <w:t>Parcell</w:t>
      </w:r>
      <w:proofErr w:type="spellEnd"/>
      <w:r w:rsidR="006D468A">
        <w:t xml:space="preserve"> testified that </w:t>
      </w:r>
      <w:r w:rsidR="009F1FB3">
        <w:t xml:space="preserve">the need to perform a retrospective early 2013 analysis led him “to develop a broader range” than he otherwise would </w:t>
      </w:r>
      <w:r w:rsidR="009F1FB3">
        <w:lastRenderedPageBreak/>
        <w:t>have done.</w:t>
      </w:r>
      <w:r w:rsidR="009F1FB3" w:rsidRPr="009F1FB3">
        <w:rPr>
          <w:rStyle w:val="FootnoteReference"/>
          <w:u w:val="single"/>
        </w:rPr>
        <w:footnoteReference w:id="8"/>
      </w:r>
      <w:r w:rsidR="009F1FB3">
        <w:rPr>
          <w:vertAlign w:val="superscript"/>
        </w:rPr>
        <w:t>/</w:t>
      </w:r>
      <w:r w:rsidR="009F1FB3">
        <w:t xml:space="preserve">  Accordingly, the other witnesses’ early 2013 ROE analyses lack the precision of Mr. Gorman’s</w:t>
      </w:r>
      <w:r w:rsidR="00E33599">
        <w:t>, and therefore, should be afforded less evidentiary weight</w:t>
      </w:r>
      <w:r w:rsidR="009F1FB3">
        <w:t>.</w:t>
      </w:r>
      <w:r w:rsidR="00D158A0" w:rsidRPr="00D158A0">
        <w:t xml:space="preserve"> </w:t>
      </w:r>
      <w:r w:rsidR="00D158A0">
        <w:t xml:space="preserve"> </w:t>
      </w:r>
    </w:p>
    <w:p w:rsidR="006D468A" w:rsidRDefault="00C42A3F" w:rsidP="00BC5E42">
      <w:pPr>
        <w:pStyle w:val="WUTCParagraph"/>
      </w:pPr>
      <w:r>
        <w:rPr>
          <w:lang w:val="en-US"/>
        </w:rPr>
        <w:tab/>
      </w:r>
      <w:r w:rsidR="00D158A0">
        <w:t>Mr. Gorman’s recommended 9.3% ROE from this period was based on his highest results.</w:t>
      </w:r>
      <w:r w:rsidR="0063212E" w:rsidRPr="0063212E">
        <w:rPr>
          <w:rStyle w:val="FootnoteReference"/>
          <w:u w:val="single"/>
        </w:rPr>
        <w:footnoteReference w:id="9"/>
      </w:r>
      <w:r w:rsidR="0063212E">
        <w:rPr>
          <w:vertAlign w:val="superscript"/>
        </w:rPr>
        <w:t>/</w:t>
      </w:r>
      <w:r w:rsidR="0063212E">
        <w:t xml:space="preserve">  </w:t>
      </w:r>
      <w:r w:rsidR="00D158A0">
        <w:t>Thus, they demonstrate that PSE’s current 9.8% ROE is well above a range of reasonable returns from this period.</w:t>
      </w:r>
      <w:r w:rsidR="002D5C71">
        <w:t xml:space="preserve">  They also show that 9.5%, far from being the mid-point of a reasonable range, as Mr. </w:t>
      </w:r>
      <w:proofErr w:type="spellStart"/>
      <w:r w:rsidR="002D5C71">
        <w:t>Parcell</w:t>
      </w:r>
      <w:proofErr w:type="spellEnd"/>
      <w:r w:rsidR="002D5C71">
        <w:t xml:space="preserve"> concludes, </w:t>
      </w:r>
      <w:r w:rsidR="0063212E">
        <w:t>is, at most,</w:t>
      </w:r>
      <w:r w:rsidR="002D5C71">
        <w:t xml:space="preserve"> the highest point of what could be determined to be a reasonable range based on the </w:t>
      </w:r>
      <w:r w:rsidR="00FA624F">
        <w:t xml:space="preserve">weight of the </w:t>
      </w:r>
      <w:r w:rsidR="002D5C71">
        <w:t>evidence.</w:t>
      </w:r>
    </w:p>
    <w:p w:rsidR="009F1FB3" w:rsidRPr="00FA624F" w:rsidRDefault="00C42A3F" w:rsidP="00BC5E42">
      <w:pPr>
        <w:pStyle w:val="WUTCParagraph"/>
      </w:pPr>
      <w:r>
        <w:rPr>
          <w:lang w:val="en-US"/>
        </w:rPr>
        <w:tab/>
      </w:r>
      <w:r w:rsidR="009F1FB3">
        <w:t xml:space="preserve">Additionally, as ICNU demonstrated in its Initial Brief, it is possible to develop an objective early 2013 DCF analysis that uses a consistent proxy group and incorporates all of the data and assumptions in Mr. Gorman’s and Dr. Morin’s respective </w:t>
      </w:r>
      <w:r w:rsidR="00BE3DD7">
        <w:t xml:space="preserve">constant growth DCF </w:t>
      </w:r>
      <w:r w:rsidR="009F1FB3">
        <w:t>studies.</w:t>
      </w:r>
      <w:r w:rsidR="00BE3DD7" w:rsidRPr="00BE3DD7">
        <w:rPr>
          <w:rStyle w:val="FootnoteReference"/>
          <w:u w:val="single"/>
        </w:rPr>
        <w:footnoteReference w:id="10"/>
      </w:r>
      <w:r w:rsidR="00BE3DD7">
        <w:rPr>
          <w:vertAlign w:val="superscript"/>
        </w:rPr>
        <w:t>/</w:t>
      </w:r>
      <w:r w:rsidR="00BE3DD7">
        <w:t xml:space="preserve">  </w:t>
      </w:r>
      <w:r w:rsidR="009F1FB3">
        <w:t xml:space="preserve">The results of that analysis indicate an ROE for PSE in early 2013 of </w:t>
      </w:r>
      <w:r w:rsidR="00E33599">
        <w:t xml:space="preserve">9.22%, which supports Mr. Gorman’s 9.3% recommendation </w:t>
      </w:r>
      <w:r w:rsidR="00D158A0">
        <w:t>and provides further evidence that</w:t>
      </w:r>
      <w:r w:rsidR="00E33599">
        <w:t xml:space="preserve"> the 9.8% Dr. Morin recommends</w:t>
      </w:r>
      <w:r w:rsidR="00D158A0">
        <w:t xml:space="preserve"> is unreasonable</w:t>
      </w:r>
      <w:r w:rsidR="00E33599">
        <w:t>.</w:t>
      </w:r>
      <w:r w:rsidR="00BE3DD7" w:rsidRPr="00BE3DD7">
        <w:rPr>
          <w:rStyle w:val="FootnoteReference"/>
          <w:u w:val="single"/>
        </w:rPr>
        <w:footnoteReference w:id="11"/>
      </w:r>
      <w:r w:rsidR="00BE3DD7">
        <w:rPr>
          <w:vertAlign w:val="superscript"/>
        </w:rPr>
        <w:t>/</w:t>
      </w:r>
      <w:r w:rsidR="00BE3DD7">
        <w:t xml:space="preserve">  </w:t>
      </w:r>
      <w:r w:rsidR="00D158A0">
        <w:t>The</w:t>
      </w:r>
      <w:r w:rsidR="00E33599">
        <w:t xml:space="preserve"> result</w:t>
      </w:r>
      <w:r w:rsidR="00D158A0">
        <w:t xml:space="preserve"> of this analysis</w:t>
      </w:r>
      <w:r w:rsidR="00E33599">
        <w:t xml:space="preserve"> only decreases if the other cost-of-capital experts’ data is considered.</w:t>
      </w:r>
      <w:r w:rsidR="00BE3DD7" w:rsidRPr="00BE3DD7">
        <w:rPr>
          <w:rStyle w:val="FootnoteReference"/>
          <w:u w:val="single"/>
        </w:rPr>
        <w:footnoteReference w:id="12"/>
      </w:r>
      <w:r w:rsidR="00BE3DD7">
        <w:rPr>
          <w:vertAlign w:val="superscript"/>
        </w:rPr>
        <w:t>/</w:t>
      </w:r>
      <w:r w:rsidR="00BE3DD7">
        <w:t xml:space="preserve">  Accordingly, the substantial weight of the evidence from the early 2013 period supports Mr. Gorman’s recommended 9.3% ROE and demonstrates that a 9.8% ROE is well above the range of reasonableness.</w:t>
      </w:r>
      <w:r w:rsidR="00FA624F">
        <w:t xml:space="preserve">  Further, as discussed below and in ICNU’s Initial Brief, this conclusion does not change when considering the 2014 analyses of Dr. Morin and Mr. Gorman.</w:t>
      </w:r>
      <w:r w:rsidR="00FA624F" w:rsidRPr="00FA624F">
        <w:rPr>
          <w:rStyle w:val="FootnoteReference"/>
          <w:u w:val="single"/>
        </w:rPr>
        <w:footnoteReference w:id="13"/>
      </w:r>
      <w:r w:rsidR="00FA624F">
        <w:rPr>
          <w:vertAlign w:val="superscript"/>
        </w:rPr>
        <w:t>/</w:t>
      </w:r>
      <w:r w:rsidR="00FA624F">
        <w:t xml:space="preserve">  </w:t>
      </w:r>
    </w:p>
    <w:p w:rsidR="00554D24" w:rsidRDefault="00554D24" w:rsidP="00371DFC">
      <w:pPr>
        <w:spacing w:line="480" w:lineRule="auto"/>
        <w:ind w:firstLine="720"/>
        <w:rPr>
          <w:b/>
        </w:rPr>
      </w:pPr>
    </w:p>
    <w:p w:rsidR="00315173" w:rsidRDefault="00315173" w:rsidP="00371DFC">
      <w:pPr>
        <w:spacing w:line="480" w:lineRule="auto"/>
        <w:ind w:firstLine="720"/>
      </w:pPr>
      <w:r>
        <w:rPr>
          <w:b/>
        </w:rPr>
        <w:lastRenderedPageBreak/>
        <w:t>B.</w:t>
      </w:r>
      <w:r>
        <w:rPr>
          <w:b/>
        </w:rPr>
        <w:tab/>
        <w:t xml:space="preserve">Staff’s </w:t>
      </w:r>
      <w:r w:rsidR="007E285C">
        <w:rPr>
          <w:b/>
        </w:rPr>
        <w:t>Initial Brief</w:t>
      </w:r>
      <w:r w:rsidR="002D5C71">
        <w:rPr>
          <w:b/>
        </w:rPr>
        <w:t xml:space="preserve"> Does Not Challenge Mr. Gorman’s Recommendation</w:t>
      </w:r>
    </w:p>
    <w:p w:rsidR="007E285C" w:rsidRDefault="0008450F" w:rsidP="0008450F">
      <w:pPr>
        <w:pStyle w:val="WUTCParagraph"/>
      </w:pPr>
      <w:r>
        <w:rPr>
          <w:lang w:val="en-US"/>
        </w:rPr>
        <w:tab/>
      </w:r>
      <w:r w:rsidR="007E285C">
        <w:t xml:space="preserve">Consistent with Mr. </w:t>
      </w:r>
      <w:proofErr w:type="spellStart"/>
      <w:r w:rsidR="007E285C">
        <w:t>Parcell’s</w:t>
      </w:r>
      <w:proofErr w:type="spellEnd"/>
      <w:r w:rsidR="007E285C">
        <w:t xml:space="preserve"> recommendation, Staff’s Initial Brief recommends a 9.5% ROE for PSE.</w:t>
      </w:r>
      <w:r w:rsidR="0063212E" w:rsidRPr="0063212E">
        <w:rPr>
          <w:rStyle w:val="FootnoteReference"/>
          <w:u w:val="single"/>
        </w:rPr>
        <w:footnoteReference w:id="14"/>
      </w:r>
      <w:r w:rsidR="0063212E">
        <w:rPr>
          <w:vertAlign w:val="superscript"/>
        </w:rPr>
        <w:t>/</w:t>
      </w:r>
      <w:r w:rsidR="0063212E">
        <w:t xml:space="preserve">  </w:t>
      </w:r>
      <w:r w:rsidR="007E285C">
        <w:t xml:space="preserve">Staff does not, however, discuss or challenge Mr. Gorman’s cost of equity analyses and results.  As ICNU’s Initial Brief demonstrated, Mr. </w:t>
      </w:r>
      <w:proofErr w:type="spellStart"/>
      <w:r w:rsidR="007E285C">
        <w:t>Parcell’s</w:t>
      </w:r>
      <w:proofErr w:type="spellEnd"/>
      <w:r w:rsidR="007E285C">
        <w:t xml:space="preserve"> models contain a number of flaws and his recommended range of reasonableness is based on highly questionable assumptions that are inconsistent with decisions he has made in other proceedings.</w:t>
      </w:r>
      <w:r w:rsidR="0063212E" w:rsidRPr="0063212E">
        <w:rPr>
          <w:rStyle w:val="FootnoteReference"/>
          <w:u w:val="single"/>
        </w:rPr>
        <w:footnoteReference w:id="15"/>
      </w:r>
      <w:r w:rsidR="0063212E">
        <w:rPr>
          <w:vertAlign w:val="superscript"/>
        </w:rPr>
        <w:t>/</w:t>
      </w:r>
      <w:r w:rsidR="0063212E">
        <w:t xml:space="preserve">  </w:t>
      </w:r>
      <w:r w:rsidR="007E285C">
        <w:t xml:space="preserve">The high end of Mr. </w:t>
      </w:r>
      <w:proofErr w:type="spellStart"/>
      <w:r w:rsidR="007E285C">
        <w:t>Parcell’s</w:t>
      </w:r>
      <w:proofErr w:type="spellEnd"/>
      <w:r w:rsidR="007E285C">
        <w:t xml:space="preserve"> range</w:t>
      </w:r>
      <w:r w:rsidR="00932F0D">
        <w:t xml:space="preserve"> in particular</w:t>
      </w:r>
      <w:r w:rsidR="007E285C">
        <w:t xml:space="preserve">, which encompasses PSE’s current 9.8% ROE, is not defensible based on Mr. </w:t>
      </w:r>
      <w:proofErr w:type="spellStart"/>
      <w:r w:rsidR="007E285C">
        <w:t>Parcell’s</w:t>
      </w:r>
      <w:proofErr w:type="spellEnd"/>
      <w:r w:rsidR="007E285C">
        <w:t xml:space="preserve"> analyses.</w:t>
      </w:r>
      <w:r w:rsidR="0063212E" w:rsidRPr="0063212E">
        <w:rPr>
          <w:rStyle w:val="FootnoteReference"/>
          <w:u w:val="single"/>
        </w:rPr>
        <w:footnoteReference w:id="16"/>
      </w:r>
      <w:r w:rsidR="0063212E">
        <w:rPr>
          <w:vertAlign w:val="superscript"/>
        </w:rPr>
        <w:t>/</w:t>
      </w:r>
      <w:r w:rsidR="0063212E">
        <w:t xml:space="preserve">  </w:t>
      </w:r>
      <w:r w:rsidR="007E285C">
        <w:t>Rather, his studies far more strongly support Mr. Gorman’s recommended 9.3%</w:t>
      </w:r>
      <w:r w:rsidR="002D5C71">
        <w:t xml:space="preserve">. </w:t>
      </w:r>
      <w:r w:rsidR="007E285C">
        <w:t xml:space="preserve"> </w:t>
      </w:r>
      <w:r w:rsidR="002D5C71">
        <w:t>This</w:t>
      </w:r>
      <w:r w:rsidR="007E285C">
        <w:t xml:space="preserve"> ROE far exceeds Mr. </w:t>
      </w:r>
      <w:proofErr w:type="spellStart"/>
      <w:r w:rsidR="007E285C">
        <w:t>Parcell’s</w:t>
      </w:r>
      <w:proofErr w:type="spellEnd"/>
      <w:r w:rsidR="007E285C">
        <w:t xml:space="preserve"> CAPM results as well as the vast majority of his DCF results, and Mr. </w:t>
      </w:r>
      <w:proofErr w:type="spellStart"/>
      <w:r w:rsidR="007E285C">
        <w:t>Parcell’s</w:t>
      </w:r>
      <w:proofErr w:type="spellEnd"/>
      <w:r w:rsidR="007E285C">
        <w:t xml:space="preserve"> Comparable Earnings analysis shows that a 9.3% ROE produces a market-to-book ratio </w:t>
      </w:r>
      <w:r w:rsidR="005B4E1F">
        <w:t>well above the necessary 100%.</w:t>
      </w:r>
      <w:r w:rsidR="0063212E" w:rsidRPr="0063212E">
        <w:rPr>
          <w:rStyle w:val="FootnoteReference"/>
          <w:u w:val="single"/>
        </w:rPr>
        <w:footnoteReference w:id="17"/>
      </w:r>
      <w:r w:rsidR="0063212E">
        <w:rPr>
          <w:vertAlign w:val="superscript"/>
        </w:rPr>
        <w:t>/</w:t>
      </w:r>
      <w:r w:rsidR="0063212E">
        <w:t xml:space="preserve">  </w:t>
      </w:r>
    </w:p>
    <w:p w:rsidR="005B4E1F" w:rsidRPr="007E285C" w:rsidRDefault="0008450F" w:rsidP="0008450F">
      <w:pPr>
        <w:pStyle w:val="WUTCParagraph"/>
      </w:pPr>
      <w:r>
        <w:rPr>
          <w:lang w:val="en-US"/>
        </w:rPr>
        <w:tab/>
      </w:r>
      <w:r w:rsidR="005B4E1F">
        <w:t>The remainder of Staff’s Initial Brief is largely devoted to addressing whether decoupling’s impact on the ROE is within the scope of this proceeding.</w:t>
      </w:r>
      <w:r w:rsidR="0063212E" w:rsidRPr="0063212E">
        <w:rPr>
          <w:rStyle w:val="FootnoteReference"/>
          <w:u w:val="single"/>
        </w:rPr>
        <w:footnoteReference w:id="18"/>
      </w:r>
      <w:r w:rsidR="0063212E">
        <w:rPr>
          <w:vertAlign w:val="superscript"/>
        </w:rPr>
        <w:t>/</w:t>
      </w:r>
      <w:r w:rsidR="0063212E">
        <w:t xml:space="preserve">  </w:t>
      </w:r>
      <w:r w:rsidR="00463D4A">
        <w:t xml:space="preserve">As </w:t>
      </w:r>
      <w:r w:rsidR="005B4E1F">
        <w:t xml:space="preserve">ICNU </w:t>
      </w:r>
      <w:r w:rsidR="00463D4A">
        <w:t>argued</w:t>
      </w:r>
      <w:r w:rsidR="005B4E1F">
        <w:t xml:space="preserve"> in its Initial Brief</w:t>
      </w:r>
      <w:r w:rsidR="00463D4A">
        <w:t>, PSE’s decoupling mechanism bears on its overall level of risk, which is a primary consideration in establishing a regulated utility’s ROE.</w:t>
      </w:r>
      <w:r w:rsidR="004C57BE" w:rsidRPr="004C57BE">
        <w:rPr>
          <w:rStyle w:val="FootnoteReference"/>
          <w:u w:val="single"/>
        </w:rPr>
        <w:footnoteReference w:id="19"/>
      </w:r>
      <w:r w:rsidR="004C57BE">
        <w:rPr>
          <w:vertAlign w:val="superscript"/>
        </w:rPr>
        <w:t>/</w:t>
      </w:r>
      <w:r w:rsidR="004C57BE">
        <w:t xml:space="preserve">  </w:t>
      </w:r>
      <w:r w:rsidR="00463D4A">
        <w:t>Staff does not address this point</w:t>
      </w:r>
      <w:r w:rsidR="005B4E1F">
        <w:t>.</w:t>
      </w:r>
    </w:p>
    <w:p w:rsidR="00371DFC" w:rsidRDefault="004C77FD" w:rsidP="00371DFC">
      <w:pPr>
        <w:spacing w:line="480" w:lineRule="auto"/>
        <w:ind w:firstLine="720"/>
      </w:pPr>
      <w:r>
        <w:rPr>
          <w:b/>
        </w:rPr>
        <w:t>C</w:t>
      </w:r>
      <w:r w:rsidR="00371DFC">
        <w:rPr>
          <w:b/>
        </w:rPr>
        <w:t>.</w:t>
      </w:r>
      <w:r w:rsidR="00371DFC">
        <w:rPr>
          <w:b/>
        </w:rPr>
        <w:tab/>
        <w:t xml:space="preserve">PSE’s Criticisms of Mr. Gorman Are </w:t>
      </w:r>
      <w:r>
        <w:rPr>
          <w:b/>
        </w:rPr>
        <w:t>Unpersuasive</w:t>
      </w:r>
    </w:p>
    <w:p w:rsidR="00371DFC" w:rsidRDefault="0008450F" w:rsidP="0008450F">
      <w:pPr>
        <w:pStyle w:val="WUTCParagraph"/>
      </w:pPr>
      <w:r>
        <w:rPr>
          <w:lang w:val="en-US"/>
        </w:rPr>
        <w:tab/>
      </w:r>
      <w:r w:rsidR="00371DFC">
        <w:t xml:space="preserve">The Company criticizes four aspects of Mr. Gorman’s ROE analyses </w:t>
      </w:r>
      <w:r w:rsidR="00BE3DD7">
        <w:t>from</w:t>
      </w:r>
      <w:r w:rsidR="00371DFC">
        <w:t xml:space="preserve"> both this phase and the original phase of the proceeding.</w:t>
      </w:r>
      <w:r w:rsidR="004C57BE" w:rsidRPr="004C57BE">
        <w:rPr>
          <w:rStyle w:val="FootnoteReference"/>
          <w:u w:val="single"/>
        </w:rPr>
        <w:footnoteReference w:id="20"/>
      </w:r>
      <w:r w:rsidR="004C57BE">
        <w:rPr>
          <w:vertAlign w:val="superscript"/>
        </w:rPr>
        <w:t>/</w:t>
      </w:r>
      <w:r w:rsidR="004C57BE">
        <w:t xml:space="preserve">  </w:t>
      </w:r>
      <w:r w:rsidR="00371DFC">
        <w:t xml:space="preserve">All of these criticisms are misleading or </w:t>
      </w:r>
      <w:r w:rsidR="00371DFC">
        <w:lastRenderedPageBreak/>
        <w:t>simply baseless.  Moreover, PSE’s Initial Brief does not challenge Mr. Gorman’s CAPM studies or the substance of any of his DCF studies.</w:t>
      </w:r>
    </w:p>
    <w:p w:rsidR="00341550" w:rsidRDefault="00341550" w:rsidP="00371DFC">
      <w:pPr>
        <w:spacing w:line="480" w:lineRule="auto"/>
        <w:ind w:firstLine="1440"/>
      </w:pPr>
      <w:r>
        <w:t>1.</w:t>
      </w:r>
      <w:r>
        <w:tab/>
      </w:r>
      <w:r w:rsidR="004C57BE">
        <w:rPr>
          <w:u w:val="single"/>
        </w:rPr>
        <w:t>PSE’s criticisms of Mr. Gorman’s r</w:t>
      </w:r>
      <w:r>
        <w:rPr>
          <w:u w:val="single"/>
        </w:rPr>
        <w:t>isk premium</w:t>
      </w:r>
      <w:r w:rsidR="004C57BE">
        <w:rPr>
          <w:u w:val="single"/>
        </w:rPr>
        <w:t xml:space="preserve"> studies are without merit.</w:t>
      </w:r>
    </w:p>
    <w:p w:rsidR="00341550" w:rsidRDefault="0008450F" w:rsidP="0008450F">
      <w:pPr>
        <w:pStyle w:val="WUTCParagraph"/>
      </w:pPr>
      <w:r>
        <w:rPr>
          <w:lang w:val="en-US"/>
        </w:rPr>
        <w:tab/>
      </w:r>
      <w:r w:rsidR="00341550">
        <w:t xml:space="preserve">PSE argues that Mr. Gorman’s risk premium (“RP”) studies include a range of results that </w:t>
      </w:r>
      <w:r w:rsidR="00554D24">
        <w:rPr>
          <w:lang w:val="en-US"/>
        </w:rPr>
        <w:t>encompasses</w:t>
      </w:r>
      <w:r w:rsidR="00341550">
        <w:t xml:space="preserve"> 9.8%, and that all of Mr. Gorman’s decisions that support his ultimate RP recommendations of 9.27% in 2013 and 9.6% in 2014 are arbitrary.</w:t>
      </w:r>
      <w:r w:rsidR="004C57BE" w:rsidRPr="004C57BE">
        <w:rPr>
          <w:rStyle w:val="FootnoteReference"/>
          <w:u w:val="single"/>
        </w:rPr>
        <w:footnoteReference w:id="21"/>
      </w:r>
      <w:r w:rsidR="004C57BE">
        <w:rPr>
          <w:vertAlign w:val="superscript"/>
        </w:rPr>
        <w:t>/</w:t>
      </w:r>
      <w:r w:rsidR="004C57BE">
        <w:t xml:space="preserve">  </w:t>
      </w:r>
      <w:r w:rsidR="00341550">
        <w:t>In fact, it is PSE’s position that is arbitrary.</w:t>
      </w:r>
    </w:p>
    <w:p w:rsidR="00341550" w:rsidRDefault="0008450F" w:rsidP="0008450F">
      <w:pPr>
        <w:pStyle w:val="WUTCParagraph"/>
      </w:pPr>
      <w:r>
        <w:rPr>
          <w:lang w:val="en-US"/>
        </w:rPr>
        <w:tab/>
      </w:r>
      <w:r w:rsidR="00341550">
        <w:t xml:space="preserve">First, the Company criticizes Mr. Gorman for </w:t>
      </w:r>
      <w:r w:rsidR="00827B90">
        <w:t>selecting a specific ROE – the mid</w:t>
      </w:r>
      <w:r w:rsidR="00FA624F">
        <w:t>-</w:t>
      </w:r>
      <w:r w:rsidR="00827B90">
        <w:t>points of his ranges in 2013 and 2014 – rather than recommending the entire range.</w:t>
      </w:r>
      <w:r w:rsidR="004C57BE" w:rsidRPr="004C57BE">
        <w:rPr>
          <w:rStyle w:val="FootnoteReference"/>
          <w:u w:val="single"/>
        </w:rPr>
        <w:footnoteReference w:id="22"/>
      </w:r>
      <w:r w:rsidR="004C57BE">
        <w:rPr>
          <w:vertAlign w:val="superscript"/>
        </w:rPr>
        <w:t>/</w:t>
      </w:r>
      <w:r w:rsidR="004C57BE">
        <w:t xml:space="preserve">  </w:t>
      </w:r>
      <w:r w:rsidR="00827B90">
        <w:t xml:space="preserve">This is an odd criticism coming from </w:t>
      </w:r>
      <w:r w:rsidR="006D468A">
        <w:t>the Company</w:t>
      </w:r>
      <w:r w:rsidR="00827B90">
        <w:t>, given that its own cost-of-capital expert, Dr. Morin, did the same thing.</w:t>
      </w:r>
      <w:r w:rsidR="004C57BE" w:rsidRPr="004C57BE">
        <w:rPr>
          <w:rStyle w:val="FootnoteReference"/>
          <w:u w:val="single"/>
        </w:rPr>
        <w:footnoteReference w:id="23"/>
      </w:r>
      <w:r w:rsidR="004C57BE">
        <w:rPr>
          <w:vertAlign w:val="superscript"/>
        </w:rPr>
        <w:t>/</w:t>
      </w:r>
      <w:r w:rsidR="004C57BE">
        <w:t xml:space="preserve">  </w:t>
      </w:r>
      <w:r w:rsidR="00827B90">
        <w:t>In fact, Dr. Morin did not even attempt to develop a range, simply selecting the average of historical</w:t>
      </w:r>
      <w:r w:rsidR="00D158A0">
        <w:t xml:space="preserve"> equity</w:t>
      </w:r>
      <w:r w:rsidR="00827B90">
        <w:t xml:space="preserve"> risk premiums and adding it to his risk-free rate.</w:t>
      </w:r>
      <w:r w:rsidR="004C57BE" w:rsidRPr="004C57BE">
        <w:rPr>
          <w:rStyle w:val="FootnoteReference"/>
          <w:u w:val="single"/>
        </w:rPr>
        <w:footnoteReference w:id="24"/>
      </w:r>
      <w:r w:rsidR="004C57BE">
        <w:rPr>
          <w:vertAlign w:val="superscript"/>
        </w:rPr>
        <w:t>/</w:t>
      </w:r>
      <w:r w:rsidR="004C57BE">
        <w:t xml:space="preserve">  </w:t>
      </w:r>
      <w:r w:rsidR="00BE3DD7">
        <w:t>The point of the RP analysis is, as the name indicates, to estimate the premium investors require for assuming the additional risk embedded in an equity investment over a bond investment.</w:t>
      </w:r>
      <w:r w:rsidR="004A1829" w:rsidRPr="004A1829">
        <w:rPr>
          <w:rStyle w:val="FootnoteReference"/>
          <w:u w:val="single"/>
        </w:rPr>
        <w:footnoteReference w:id="25"/>
      </w:r>
      <w:r w:rsidR="004A1829">
        <w:rPr>
          <w:vertAlign w:val="superscript"/>
        </w:rPr>
        <w:t>/</w:t>
      </w:r>
      <w:r w:rsidR="004A1829">
        <w:t xml:space="preserve">  That premium, as applied to a specific equity security, is a specific percentage, not a range of percentages.</w:t>
      </w:r>
      <w:r w:rsidR="0080722E">
        <w:t xml:space="preserve">  By selecting the mid</w:t>
      </w:r>
      <w:r w:rsidR="00FA624F">
        <w:t>-</w:t>
      </w:r>
      <w:r w:rsidR="0080722E">
        <w:t xml:space="preserve">point of a range of the average of historical risk premiums, Mr. Gorman is choosing what he considers to be, in his expert judgment, the most likely risk premium applicable to PSE.  </w:t>
      </w:r>
      <w:r w:rsidR="00D158A0">
        <w:t>The mid</w:t>
      </w:r>
      <w:r w:rsidR="00FA624F">
        <w:t>-</w:t>
      </w:r>
      <w:r w:rsidR="00D158A0">
        <w:t>point of historical averages can hardly be said to be arbitrary.</w:t>
      </w:r>
    </w:p>
    <w:p w:rsidR="0080722E" w:rsidRDefault="0008450F" w:rsidP="0008450F">
      <w:pPr>
        <w:pStyle w:val="WUTCParagraph"/>
      </w:pPr>
      <w:r>
        <w:rPr>
          <w:lang w:val="en-US"/>
        </w:rPr>
        <w:lastRenderedPageBreak/>
        <w:tab/>
      </w:r>
      <w:r w:rsidR="0080722E">
        <w:t xml:space="preserve">Next, although not entirely clear, PSE appears to claim that, because Mr. Gorman testified that it was appropriate to give more weight to the high-end of his RP results, he should have given </w:t>
      </w:r>
      <w:r w:rsidR="0080722E">
        <w:rPr>
          <w:i/>
        </w:rPr>
        <w:t>all</w:t>
      </w:r>
      <w:r w:rsidR="0080722E">
        <w:t xml:space="preserve"> weight to these results.</w:t>
      </w:r>
      <w:r w:rsidR="004C57BE" w:rsidRPr="004C57BE">
        <w:rPr>
          <w:rStyle w:val="FootnoteReference"/>
          <w:u w:val="single"/>
        </w:rPr>
        <w:footnoteReference w:id="26"/>
      </w:r>
      <w:r w:rsidR="004C57BE">
        <w:rPr>
          <w:vertAlign w:val="superscript"/>
        </w:rPr>
        <w:t>/</w:t>
      </w:r>
      <w:r w:rsidR="004C57BE">
        <w:t xml:space="preserve">  </w:t>
      </w:r>
      <w:r w:rsidR="0080722E">
        <w:t>Nothing supports PSE’s position on this issue.  Mr. Gorman’s RP studies produced equity risk premiums as low as 8.11% that were developed from the same data as his high-end results.</w:t>
      </w:r>
      <w:r w:rsidR="004C57BE" w:rsidRPr="004C57BE">
        <w:rPr>
          <w:rStyle w:val="FootnoteReference"/>
          <w:u w:val="single"/>
        </w:rPr>
        <w:footnoteReference w:id="27"/>
      </w:r>
      <w:r w:rsidR="004C57BE">
        <w:rPr>
          <w:vertAlign w:val="superscript"/>
        </w:rPr>
        <w:t>/</w:t>
      </w:r>
      <w:r w:rsidR="004C57BE">
        <w:t xml:space="preserve">  </w:t>
      </w:r>
      <w:r w:rsidR="0080722E">
        <w:t xml:space="preserve">There is no reason </w:t>
      </w:r>
      <w:r w:rsidR="002D5C71">
        <w:t>his low-end</w:t>
      </w:r>
      <w:r w:rsidR="0080722E">
        <w:t xml:space="preserve"> results should not also be accounted for in developing an overall recommendation.  Mr. Gorman testified in his 2013 study that he chose to give 75% weight to his high-end results “given the unusually large yield spreads between Treasury bond and utility bond yields.”</w:t>
      </w:r>
      <w:r w:rsidR="0080722E" w:rsidRPr="0080722E">
        <w:rPr>
          <w:rStyle w:val="FootnoteReference"/>
          <w:u w:val="single"/>
        </w:rPr>
        <w:footnoteReference w:id="28"/>
      </w:r>
      <w:r w:rsidR="0080722E">
        <w:rPr>
          <w:vertAlign w:val="superscript"/>
        </w:rPr>
        <w:t>/</w:t>
      </w:r>
      <w:r w:rsidR="00D158A0">
        <w:t xml:space="preserve">  </w:t>
      </w:r>
      <w:r w:rsidR="0080722E">
        <w:t>He also testified in his 2014 study that “[p]</w:t>
      </w:r>
      <w:proofErr w:type="spellStart"/>
      <w:r w:rsidR="0080722E">
        <w:t>roviding</w:t>
      </w:r>
      <w:proofErr w:type="spellEnd"/>
      <w:r w:rsidR="0080722E">
        <w:t xml:space="preserve"> more weight to the high-end risk premium captures the greater market interest rate risk.”</w:t>
      </w:r>
      <w:r w:rsidR="0080722E" w:rsidRPr="0080722E">
        <w:rPr>
          <w:rStyle w:val="FootnoteReference"/>
          <w:u w:val="single"/>
        </w:rPr>
        <w:footnoteReference w:id="29"/>
      </w:r>
      <w:r w:rsidR="0080722E">
        <w:rPr>
          <w:vertAlign w:val="superscript"/>
        </w:rPr>
        <w:t>/</w:t>
      </w:r>
      <w:r w:rsidR="0080722E">
        <w:t xml:space="preserve">  </w:t>
      </w:r>
      <w:r w:rsidR="00F91EA6">
        <w:t>Thus, Mr. Gorman justifies his decision in his testimony.  In essence, PSE’s faults Mr. Gorman for doing what an expert witness is supposed to do, which is use his or her judgment.  That is precisely what Mr. Gorman did here</w:t>
      </w:r>
      <w:r w:rsidR="002D5C71">
        <w:t>,</w:t>
      </w:r>
      <w:r w:rsidR="00F91EA6">
        <w:t xml:space="preserve"> and by giving more weight to his high-end results, his judgment favors the Company.</w:t>
      </w:r>
    </w:p>
    <w:p w:rsidR="0080722E" w:rsidRDefault="0008450F" w:rsidP="0008450F">
      <w:pPr>
        <w:pStyle w:val="WUTCParagraph"/>
      </w:pPr>
      <w:r>
        <w:rPr>
          <w:lang w:val="en-US"/>
        </w:rPr>
        <w:tab/>
      </w:r>
      <w:r w:rsidR="00F91EA6">
        <w:t xml:space="preserve">Finally, PSE criticizes Mr. Gorman for considering historical equity risk premiums going back to 1986, but excluding certain of those years in developing </w:t>
      </w:r>
      <w:proofErr w:type="spellStart"/>
      <w:r w:rsidR="00E71141">
        <w:rPr>
          <w:lang w:val="en-US"/>
        </w:rPr>
        <w:t>h</w:t>
      </w:r>
      <w:r w:rsidR="00F91EA6">
        <w:t>is</w:t>
      </w:r>
      <w:proofErr w:type="spellEnd"/>
      <w:r w:rsidR="00F91EA6">
        <w:t xml:space="preserve"> ultimate RP recommendations.</w:t>
      </w:r>
      <w:r w:rsidR="002540F1" w:rsidRPr="002540F1">
        <w:rPr>
          <w:rStyle w:val="FootnoteReference"/>
          <w:u w:val="single"/>
        </w:rPr>
        <w:footnoteReference w:id="30"/>
      </w:r>
      <w:r w:rsidR="002540F1">
        <w:rPr>
          <w:vertAlign w:val="superscript"/>
        </w:rPr>
        <w:t>/</w:t>
      </w:r>
      <w:r w:rsidR="002540F1">
        <w:t xml:space="preserve">  </w:t>
      </w:r>
      <w:r w:rsidR="00F91EA6">
        <w:t xml:space="preserve">Again, there is no merit to this criticism.  By excluding certain years, Mr. Gorman simply selected the range of equity risk premiums that was most commonly reflected in the historical data to eliminate outliers </w:t>
      </w:r>
      <w:r w:rsidR="00F91EA6" w:rsidRPr="004A1829">
        <w:rPr>
          <w:i/>
        </w:rPr>
        <w:t>on both ends</w:t>
      </w:r>
      <w:r w:rsidR="00F91EA6">
        <w:t>.</w:t>
      </w:r>
      <w:r w:rsidR="002540F1" w:rsidRPr="002540F1">
        <w:rPr>
          <w:rStyle w:val="FootnoteReference"/>
          <w:u w:val="single"/>
        </w:rPr>
        <w:footnoteReference w:id="31"/>
      </w:r>
      <w:r w:rsidR="002540F1">
        <w:rPr>
          <w:vertAlign w:val="superscript"/>
        </w:rPr>
        <w:t>/</w:t>
      </w:r>
      <w:r w:rsidR="002540F1">
        <w:t xml:space="preserve">  </w:t>
      </w:r>
      <w:r w:rsidR="00F91EA6">
        <w:t xml:space="preserve">Thus, while PSE argues that Mr. </w:t>
      </w:r>
      <w:r w:rsidR="00F91EA6">
        <w:lastRenderedPageBreak/>
        <w:t>Gorman’s range “would have extended even higher” if he had used all years,</w:t>
      </w:r>
      <w:r w:rsidR="00F91EA6" w:rsidRPr="00F91EA6">
        <w:rPr>
          <w:rStyle w:val="FootnoteReference"/>
          <w:u w:val="single"/>
        </w:rPr>
        <w:footnoteReference w:id="32"/>
      </w:r>
      <w:r w:rsidR="00F91EA6">
        <w:rPr>
          <w:vertAlign w:val="superscript"/>
        </w:rPr>
        <w:t>/</w:t>
      </w:r>
      <w:r w:rsidR="00F91EA6">
        <w:t xml:space="preserve"> it is equally true that his range would have extended even lower as well.  In his 2014 study, Mr. Gorman excluded six years, three of which had equity risk premiums above his range and three of which were below.</w:t>
      </w:r>
      <w:r w:rsidR="002540F1" w:rsidRPr="002540F1">
        <w:rPr>
          <w:rStyle w:val="FootnoteReference"/>
          <w:u w:val="single"/>
        </w:rPr>
        <w:footnoteReference w:id="33"/>
      </w:r>
      <w:r w:rsidR="002540F1">
        <w:rPr>
          <w:vertAlign w:val="superscript"/>
        </w:rPr>
        <w:t>/</w:t>
      </w:r>
      <w:r w:rsidR="002540F1">
        <w:t xml:space="preserve">  </w:t>
      </w:r>
      <w:r w:rsidR="00E71141">
        <w:rPr>
          <w:lang w:val="en-US"/>
        </w:rPr>
        <w:t>The same is true for</w:t>
      </w:r>
      <w:r w:rsidR="00F91EA6">
        <w:t xml:space="preserve"> his 2013 study.</w:t>
      </w:r>
      <w:r w:rsidR="002540F1" w:rsidRPr="002540F1">
        <w:rPr>
          <w:rStyle w:val="FootnoteReference"/>
          <w:u w:val="single"/>
        </w:rPr>
        <w:footnoteReference w:id="34"/>
      </w:r>
      <w:r w:rsidR="002540F1">
        <w:rPr>
          <w:vertAlign w:val="superscript"/>
        </w:rPr>
        <w:t>/</w:t>
      </w:r>
      <w:r w:rsidR="002540F1">
        <w:t xml:space="preserve">  </w:t>
      </w:r>
      <w:r w:rsidR="00F91EA6">
        <w:t xml:space="preserve">PSE fails to explain how this is unfair or irrational.  </w:t>
      </w:r>
      <w:r w:rsidR="006276C3">
        <w:t xml:space="preserve">In fact, if one applied PSE’s logic to Dr. Morin’s historical risk premium studies, it would support ROEs as low as </w:t>
      </w:r>
      <w:r w:rsidR="006276C3" w:rsidRPr="006276C3">
        <w:rPr>
          <w:i/>
        </w:rPr>
        <w:t>negative</w:t>
      </w:r>
      <w:r w:rsidR="006276C3">
        <w:t xml:space="preserve"> 50.82</w:t>
      </w:r>
      <w:r w:rsidR="00425C27">
        <w:t>%</w:t>
      </w:r>
      <w:r w:rsidR="006276C3">
        <w:t xml:space="preserve"> in 2013 and </w:t>
      </w:r>
      <w:r w:rsidR="006276C3" w:rsidRPr="006276C3">
        <w:rPr>
          <w:i/>
        </w:rPr>
        <w:t>negative</w:t>
      </w:r>
      <w:r w:rsidR="006276C3">
        <w:t xml:space="preserve"> 50.42</w:t>
      </w:r>
      <w:r w:rsidR="00425C27">
        <w:t>%</w:t>
      </w:r>
      <w:r w:rsidR="006276C3">
        <w:t xml:space="preserve"> in 2014.</w:t>
      </w:r>
      <w:r w:rsidR="006276C3" w:rsidRPr="006276C3">
        <w:rPr>
          <w:rStyle w:val="FootnoteReference"/>
          <w:u w:val="single"/>
        </w:rPr>
        <w:footnoteReference w:id="35"/>
      </w:r>
      <w:r w:rsidR="006276C3">
        <w:rPr>
          <w:vertAlign w:val="superscript"/>
        </w:rPr>
        <w:t>/</w:t>
      </w:r>
      <w:r w:rsidR="006276C3">
        <w:t xml:space="preserve">    These are patently absurd results.</w:t>
      </w:r>
    </w:p>
    <w:p w:rsidR="006276C3" w:rsidRDefault="0008450F" w:rsidP="0008450F">
      <w:pPr>
        <w:pStyle w:val="WUTCParagraph"/>
      </w:pPr>
      <w:r>
        <w:rPr>
          <w:lang w:val="en-US"/>
        </w:rPr>
        <w:tab/>
      </w:r>
      <w:r w:rsidR="006276C3">
        <w:t>PSE’s position that a 9.8% ROE is justified simply because the highest data points in Mr. Gorman’s RP studies may encompass this ROE is without merit.  These studies also support far lower ROEs than the 9.</w:t>
      </w:r>
      <w:r w:rsidR="004A1829">
        <w:t>27</w:t>
      </w:r>
      <w:r w:rsidR="006276C3">
        <w:t>%</w:t>
      </w:r>
      <w:r w:rsidR="004A1829">
        <w:t xml:space="preserve"> and 9.6%</w:t>
      </w:r>
      <w:r w:rsidR="006276C3">
        <w:t xml:space="preserve"> Mr. Gorman recommends</w:t>
      </w:r>
      <w:r w:rsidR="004A1829">
        <w:t xml:space="preserve"> from these studies for 2013 and 2014, respectively</w:t>
      </w:r>
      <w:r w:rsidR="006276C3">
        <w:t xml:space="preserve">.  The purpose of the study, and what Mr. Gorman did, was to consider a range of possibilities and derive the most reasonable </w:t>
      </w:r>
      <w:r w:rsidR="00FA624F">
        <w:t>recommendation from the results</w:t>
      </w:r>
      <w:r w:rsidR="006276C3">
        <w:t>.</w:t>
      </w:r>
    </w:p>
    <w:p w:rsidR="006276C3" w:rsidRDefault="00D158A0" w:rsidP="006276C3">
      <w:pPr>
        <w:ind w:left="2160" w:hanging="720"/>
      </w:pPr>
      <w:r>
        <w:t>2</w:t>
      </w:r>
      <w:r w:rsidR="006276C3">
        <w:t>.</w:t>
      </w:r>
      <w:r w:rsidR="006276C3">
        <w:tab/>
      </w:r>
      <w:r w:rsidR="006276C3">
        <w:rPr>
          <w:u w:val="single"/>
        </w:rPr>
        <w:t>PSE cannot justify its reliance on the average ROE from Mr. Gorman’s 2013 proxy group.</w:t>
      </w:r>
    </w:p>
    <w:p w:rsidR="006276C3" w:rsidRDefault="006276C3" w:rsidP="006276C3">
      <w:pPr>
        <w:ind w:left="2160" w:hanging="720"/>
      </w:pPr>
    </w:p>
    <w:p w:rsidR="006276C3" w:rsidRDefault="0008450F" w:rsidP="0008450F">
      <w:pPr>
        <w:pStyle w:val="WUTCParagraph"/>
      </w:pPr>
      <w:r>
        <w:rPr>
          <w:lang w:val="en-US"/>
        </w:rPr>
        <w:tab/>
      </w:r>
      <w:r w:rsidR="006276C3">
        <w:t xml:space="preserve">PSE also asserts that the </w:t>
      </w:r>
      <w:r w:rsidR="00E95327">
        <w:t>2013 proxy group</w:t>
      </w:r>
      <w:r w:rsidR="006276C3">
        <w:t xml:space="preserve"> </w:t>
      </w:r>
      <w:r w:rsidR="00D158A0">
        <w:t xml:space="preserve">Mr. Gorman </w:t>
      </w:r>
      <w:r w:rsidR="006276C3">
        <w:t>relie</w:t>
      </w:r>
      <w:r w:rsidR="00FA624F">
        <w:t>s</w:t>
      </w:r>
      <w:r w:rsidR="006276C3">
        <w:t xml:space="preserve"> on supports</w:t>
      </w:r>
      <w:r w:rsidR="00E95327">
        <w:t xml:space="preserve"> a 9.8% ROE.</w:t>
      </w:r>
      <w:r w:rsidR="00BA1846" w:rsidRPr="00BA1846">
        <w:rPr>
          <w:rStyle w:val="FootnoteReference"/>
          <w:u w:val="single"/>
        </w:rPr>
        <w:footnoteReference w:id="36"/>
      </w:r>
      <w:r w:rsidR="00BA1846">
        <w:rPr>
          <w:vertAlign w:val="superscript"/>
        </w:rPr>
        <w:t>/</w:t>
      </w:r>
      <w:r w:rsidR="00BA1846">
        <w:t xml:space="preserve">  </w:t>
      </w:r>
      <w:r w:rsidR="00E95327">
        <w:t>PSE quotes Mr. Doyle’s testimony that the average allowed ROE in Mr. Gorman’s proxy group used in his 2013 DCF analysis is 10.08%, and thus, these “[s]</w:t>
      </w:r>
      <w:proofErr w:type="spellStart"/>
      <w:r w:rsidR="00E95327">
        <w:t>imple</w:t>
      </w:r>
      <w:proofErr w:type="spellEnd"/>
      <w:r w:rsidR="00E95327">
        <w:t xml:space="preserve"> averages … materially undermine the entire premise of his testimony and his proposed ROE.”</w:t>
      </w:r>
      <w:r w:rsidR="00BA1846" w:rsidRPr="00BA1846">
        <w:rPr>
          <w:rStyle w:val="FootnoteReference"/>
          <w:u w:val="single"/>
        </w:rPr>
        <w:footnoteReference w:id="37"/>
      </w:r>
      <w:r w:rsidR="00BA1846">
        <w:rPr>
          <w:vertAlign w:val="superscript"/>
        </w:rPr>
        <w:t>/</w:t>
      </w:r>
      <w:r w:rsidR="00BA1846">
        <w:t xml:space="preserve">  </w:t>
      </w:r>
      <w:r w:rsidR="00E95327">
        <w:t xml:space="preserve">To the </w:t>
      </w:r>
      <w:r w:rsidR="00E95327">
        <w:lastRenderedPageBreak/>
        <w:t>contrary, ICNU submits that the Company’s continued reliance on this simplistic analysis materially undermines its criticisms of Mr. Gorman’s studies.  If a reasonable ROE for a utility can be derived from simply averaging the allowed ROE</w:t>
      </w:r>
      <w:r w:rsidR="00FA624F">
        <w:t>s of other utilities, then ICNU, PSE, Staff, and Public Counsel would not need to hire experts to perform this task.</w:t>
      </w:r>
    </w:p>
    <w:p w:rsidR="00E95327" w:rsidRDefault="0008450F" w:rsidP="0008450F">
      <w:pPr>
        <w:pStyle w:val="WUTCParagraph"/>
      </w:pPr>
      <w:r>
        <w:rPr>
          <w:lang w:val="en-US"/>
        </w:rPr>
        <w:tab/>
      </w:r>
      <w:r w:rsidR="00E95327">
        <w:t xml:space="preserve">Surely, Dr. Morin himself would never approve of the Company’s argument.  In discussing the rationale for using several different methodologies for estimating a reasonable ROE, the Company’s cost-of-capital expert testified that “[n]o one single method provides the </w:t>
      </w:r>
      <w:r w:rsidR="00E95327" w:rsidRPr="00E95327">
        <w:t>necessary level of precision</w:t>
      </w:r>
      <w:r w:rsidR="00E95327">
        <w:t xml:space="preserve"> for determining a fair return ….  Reliance on any single method or preset formula is inappropriate when dealing with investor expectations because of possible measurement difficulties and vagaries in individual companies’ market data.”</w:t>
      </w:r>
      <w:r w:rsidR="00E95327" w:rsidRPr="00E95327">
        <w:rPr>
          <w:rStyle w:val="FootnoteReference"/>
          <w:u w:val="single"/>
        </w:rPr>
        <w:footnoteReference w:id="38"/>
      </w:r>
      <w:r w:rsidR="00E95327">
        <w:rPr>
          <w:vertAlign w:val="superscript"/>
        </w:rPr>
        <w:t>/</w:t>
      </w:r>
      <w:r w:rsidR="00E95327">
        <w:t xml:space="preserve">  PSE’s method of averaging allowed ROEs in the proxy group dispenses entirely with such “vagaries in individual companies’ market data.”</w:t>
      </w:r>
      <w:r w:rsidR="00524F1D">
        <w:t xml:space="preserve">  </w:t>
      </w:r>
      <w:r w:rsidR="00D158A0">
        <w:t>Furthermore, t</w:t>
      </w:r>
      <w:r w:rsidR="00524F1D">
        <w:t xml:space="preserve">he other implication from PSE’s position is that, </w:t>
      </w:r>
      <w:r w:rsidR="00D158A0">
        <w:t>ultimately</w:t>
      </w:r>
      <w:r w:rsidR="00524F1D">
        <w:t xml:space="preserve">, all utilities that were determined to be comparable to each other would have exactly the same ROEs that could never change because they would all be compared to each other based solely on that </w:t>
      </w:r>
      <w:r w:rsidR="00D158A0">
        <w:t xml:space="preserve">average </w:t>
      </w:r>
      <w:r w:rsidR="00524F1D">
        <w:t>ROE.</w:t>
      </w:r>
    </w:p>
    <w:p w:rsidR="00E95327" w:rsidRDefault="0008450F" w:rsidP="0008450F">
      <w:pPr>
        <w:pStyle w:val="WUTCParagraph"/>
      </w:pPr>
      <w:r>
        <w:rPr>
          <w:lang w:val="en-US"/>
        </w:rPr>
        <w:tab/>
      </w:r>
      <w:r w:rsidR="00E95327">
        <w:t xml:space="preserve">Notably, PSE made the same argument </w:t>
      </w:r>
      <w:r w:rsidR="00524F1D">
        <w:t xml:space="preserve">that it makes on brief here </w:t>
      </w:r>
      <w:r w:rsidR="00E95327">
        <w:t>in the original phase of these proceedings in attempting to respond to Mr. Gorman’s cost of equity analysis at that time.</w:t>
      </w:r>
      <w:r w:rsidR="00524F1D" w:rsidRPr="00E95327">
        <w:rPr>
          <w:rStyle w:val="FootnoteReference"/>
          <w:u w:val="single"/>
        </w:rPr>
        <w:footnoteReference w:id="39"/>
      </w:r>
      <w:r w:rsidR="00524F1D">
        <w:rPr>
          <w:vertAlign w:val="superscript"/>
        </w:rPr>
        <w:t>/</w:t>
      </w:r>
      <w:r w:rsidR="00E95327">
        <w:t xml:space="preserve">  It is telling that, having gone through an entire proceeding dedicated solely to ROE, this is the only response the Company can muster to Mr. Gorman’s </w:t>
      </w:r>
      <w:r w:rsidR="00524F1D">
        <w:t xml:space="preserve">2013 </w:t>
      </w:r>
      <w:r w:rsidR="00E95327">
        <w:t>DCF analys</w:t>
      </w:r>
      <w:r w:rsidR="00524F1D">
        <w:t>i</w:t>
      </w:r>
      <w:r w:rsidR="00E95327">
        <w:t xml:space="preserve">s.  </w:t>
      </w:r>
    </w:p>
    <w:p w:rsidR="00A478D0" w:rsidRDefault="00A478D0" w:rsidP="00E95327">
      <w:pPr>
        <w:ind w:left="2160" w:hanging="720"/>
      </w:pPr>
    </w:p>
    <w:p w:rsidR="00A478D0" w:rsidRDefault="00A478D0" w:rsidP="00E95327">
      <w:pPr>
        <w:ind w:left="2160" w:hanging="720"/>
      </w:pPr>
    </w:p>
    <w:p w:rsidR="00E95327" w:rsidRDefault="00E95327" w:rsidP="00E95327">
      <w:pPr>
        <w:ind w:left="2160" w:hanging="720"/>
      </w:pPr>
      <w:r>
        <w:lastRenderedPageBreak/>
        <w:t>3.</w:t>
      </w:r>
      <w:r>
        <w:tab/>
      </w:r>
      <w:r>
        <w:rPr>
          <w:u w:val="single"/>
        </w:rPr>
        <w:t>PSE’s criticism of Mr. Gorman’s treatment of the 2014 proxy group is unwarranted.</w:t>
      </w:r>
    </w:p>
    <w:p w:rsidR="00E95327" w:rsidRDefault="00E95327" w:rsidP="00E95327">
      <w:pPr>
        <w:ind w:left="2160" w:hanging="720"/>
      </w:pPr>
    </w:p>
    <w:p w:rsidR="00E95327" w:rsidRDefault="0008450F" w:rsidP="0008450F">
      <w:pPr>
        <w:pStyle w:val="WUTCParagraph"/>
      </w:pPr>
      <w:r>
        <w:rPr>
          <w:lang w:val="en-US"/>
        </w:rPr>
        <w:tab/>
      </w:r>
      <w:r w:rsidR="00524F1D">
        <w:t>PSE claims that Mr. Gorman has “</w:t>
      </w:r>
      <w:proofErr w:type="spellStart"/>
      <w:r w:rsidR="00524F1D">
        <w:t>manipulat</w:t>
      </w:r>
      <w:proofErr w:type="spellEnd"/>
      <w:r w:rsidR="00524F1D">
        <w:t>[</w:t>
      </w:r>
      <w:proofErr w:type="spellStart"/>
      <w:r w:rsidR="00524F1D">
        <w:t>ed</w:t>
      </w:r>
      <w:proofErr w:type="spellEnd"/>
      <w:r w:rsidR="00524F1D">
        <w:t>]” and “selectively discarded relevant data” in the 2014 proxy group he adopted from Dr. Morin.</w:t>
      </w:r>
      <w:r w:rsidR="00BA1846" w:rsidRPr="00BA1846">
        <w:rPr>
          <w:rStyle w:val="FootnoteReference"/>
          <w:u w:val="single"/>
        </w:rPr>
        <w:footnoteReference w:id="40"/>
      </w:r>
      <w:r w:rsidR="00BA1846">
        <w:rPr>
          <w:vertAlign w:val="superscript"/>
        </w:rPr>
        <w:t>/</w:t>
      </w:r>
      <w:r w:rsidR="00BA1846">
        <w:t xml:space="preserve">  </w:t>
      </w:r>
      <w:r w:rsidR="00524F1D">
        <w:t xml:space="preserve">The Company’s rationale for these </w:t>
      </w:r>
      <w:r w:rsidR="004A1829">
        <w:t>accusations</w:t>
      </w:r>
      <w:r w:rsidR="00524F1D">
        <w:t xml:space="preserve"> is that Mr. Gorman excluded Duke Energy from the proxy group due to its large acquisition program, but did not exclude Northwestern Energy, which also had a large acquisition program at the relevant time.</w:t>
      </w:r>
      <w:r w:rsidR="00BA1846" w:rsidRPr="00BA1846">
        <w:rPr>
          <w:rStyle w:val="FootnoteReference"/>
          <w:u w:val="single"/>
        </w:rPr>
        <w:footnoteReference w:id="41"/>
      </w:r>
      <w:r w:rsidR="00BA1846">
        <w:rPr>
          <w:vertAlign w:val="superscript"/>
        </w:rPr>
        <w:t>/</w:t>
      </w:r>
      <w:r w:rsidR="00BA1846">
        <w:t xml:space="preserve">  </w:t>
      </w:r>
      <w:r w:rsidR="00524F1D">
        <w:t>PSE claims that Mr. Gorman’s “inconsistent applications call into question the methodologies” he used.</w:t>
      </w:r>
      <w:r w:rsidR="00524F1D" w:rsidRPr="00524F1D">
        <w:rPr>
          <w:rStyle w:val="FootnoteReference"/>
          <w:u w:val="single"/>
        </w:rPr>
        <w:footnoteReference w:id="42"/>
      </w:r>
      <w:r w:rsidR="00524F1D">
        <w:rPr>
          <w:vertAlign w:val="superscript"/>
        </w:rPr>
        <w:t>/</w:t>
      </w:r>
      <w:r w:rsidR="00524F1D">
        <w:t xml:space="preserve">  </w:t>
      </w:r>
    </w:p>
    <w:p w:rsidR="00524F1D" w:rsidRPr="00BA1846" w:rsidRDefault="0008450F" w:rsidP="0008450F">
      <w:pPr>
        <w:pStyle w:val="WUTCParagraph"/>
      </w:pPr>
      <w:r>
        <w:rPr>
          <w:lang w:val="en-US"/>
        </w:rPr>
        <w:tab/>
      </w:r>
      <w:r w:rsidR="00524F1D">
        <w:t xml:space="preserve">PSE’s attempt to discredit all of Mr. Gorman’s conclusions based on this one data point is, to say the least, a stretch.  As the Company points out, Mr. Gorman testified on the stand that he was not aware of </w:t>
      </w:r>
      <w:proofErr w:type="spellStart"/>
      <w:r w:rsidR="00524F1D">
        <w:t>Northwestern’s</w:t>
      </w:r>
      <w:proofErr w:type="spellEnd"/>
      <w:r w:rsidR="00524F1D">
        <w:t xml:space="preserve"> acquisition program and that he would have excluded this company also from his 2014 DCF study had he known.</w:t>
      </w:r>
      <w:r w:rsidR="00BA1846" w:rsidRPr="00BA1846">
        <w:rPr>
          <w:rStyle w:val="FootnoteReference"/>
          <w:u w:val="single"/>
        </w:rPr>
        <w:footnoteReference w:id="43"/>
      </w:r>
      <w:r w:rsidR="00BA1846">
        <w:rPr>
          <w:vertAlign w:val="superscript"/>
        </w:rPr>
        <w:t>/</w:t>
      </w:r>
      <w:r w:rsidR="00BA1846">
        <w:t xml:space="preserve">  </w:t>
      </w:r>
      <w:r w:rsidR="00FA624F">
        <w:t>Thus, Mr. Gorman did not</w:t>
      </w:r>
      <w:r w:rsidR="00934B44">
        <w:t xml:space="preserve"> “</w:t>
      </w:r>
      <w:proofErr w:type="spellStart"/>
      <w:r w:rsidR="00934B44">
        <w:t>manipulat</w:t>
      </w:r>
      <w:proofErr w:type="spellEnd"/>
      <w:r w:rsidR="00934B44">
        <w:t>[</w:t>
      </w:r>
      <w:r w:rsidR="00FA624F">
        <w:t>e]” the data</w:t>
      </w:r>
      <w:r w:rsidR="00524F1D">
        <w:t xml:space="preserve">.  The Company does not point out any other errors Mr. Gorman made and, of course, PSE itself </w:t>
      </w:r>
      <w:r w:rsidR="00425C27">
        <w:t>filed a number of errata sheets correcting errors in its testimony before the hearing in this case, as often occurs in Commission proceedings.</w:t>
      </w:r>
      <w:r w:rsidR="00BA1846" w:rsidRPr="00BA1846">
        <w:rPr>
          <w:rStyle w:val="FootnoteReference"/>
          <w:u w:val="single"/>
        </w:rPr>
        <w:footnoteReference w:id="44"/>
      </w:r>
      <w:r w:rsidR="00BA1846">
        <w:rPr>
          <w:vertAlign w:val="superscript"/>
        </w:rPr>
        <w:t>/</w:t>
      </w:r>
      <w:r w:rsidR="00BA1846">
        <w:t xml:space="preserve">  </w:t>
      </w:r>
    </w:p>
    <w:p w:rsidR="00425C27" w:rsidRDefault="0008450F" w:rsidP="0008450F">
      <w:pPr>
        <w:pStyle w:val="WUTCParagraph"/>
      </w:pPr>
      <w:r>
        <w:rPr>
          <w:lang w:val="en-US"/>
        </w:rPr>
        <w:tab/>
      </w:r>
      <w:r w:rsidR="00425C27">
        <w:t>Notably, while PSE makes much of Mr. Gorman’s “</w:t>
      </w:r>
      <w:proofErr w:type="spellStart"/>
      <w:r w:rsidR="00425C27">
        <w:t>inconsisten</w:t>
      </w:r>
      <w:proofErr w:type="spellEnd"/>
      <w:r w:rsidR="00425C27">
        <w:t xml:space="preserve">[cy]” in not removing Northwestern Energy from the 2014 proxy group, it does not take the extra step to demonstrate the consequences of doing so.  By removing Northwestern as well as the other companies Mr. Gorman eliminated from the 2014 proxy group, which neither Dr. Morin or PSE challenges, Dr. Morin’s 2014 DCF study based on </w:t>
      </w:r>
      <w:r w:rsidR="00425C27">
        <w:rPr>
          <w:i/>
        </w:rPr>
        <w:t>Value Line</w:t>
      </w:r>
      <w:r w:rsidR="00425C27">
        <w:t xml:space="preserve"> growth rates increases from 9.43% </w:t>
      </w:r>
      <w:r w:rsidR="00425C27">
        <w:lastRenderedPageBreak/>
        <w:t>to 9.53%.</w:t>
      </w:r>
      <w:r w:rsidR="00BA1846" w:rsidRPr="00BA1846">
        <w:rPr>
          <w:rStyle w:val="FootnoteReference"/>
          <w:u w:val="single"/>
        </w:rPr>
        <w:footnoteReference w:id="45"/>
      </w:r>
      <w:r w:rsidR="00BA1846">
        <w:rPr>
          <w:vertAlign w:val="superscript"/>
        </w:rPr>
        <w:t>/</w:t>
      </w:r>
      <w:r w:rsidR="00BA1846">
        <w:t xml:space="preserve">  </w:t>
      </w:r>
      <w:r w:rsidR="00425C27">
        <w:t xml:space="preserve">Meanwhile, his 2014 DCF study based on consensus analysts’ growth rates </w:t>
      </w:r>
      <w:r w:rsidR="00425C27">
        <w:rPr>
          <w:i/>
        </w:rPr>
        <w:t>decreases</w:t>
      </w:r>
      <w:r w:rsidR="00425C27">
        <w:t xml:space="preserve"> from 9.57% to 9.35%.</w:t>
      </w:r>
      <w:r w:rsidR="00BA1846" w:rsidRPr="00BA1846">
        <w:rPr>
          <w:rStyle w:val="FootnoteReference"/>
          <w:u w:val="single"/>
        </w:rPr>
        <w:footnoteReference w:id="46"/>
      </w:r>
      <w:r w:rsidR="00BA1846">
        <w:rPr>
          <w:vertAlign w:val="superscript"/>
        </w:rPr>
        <w:t>/</w:t>
      </w:r>
      <w:r w:rsidR="00BA1846">
        <w:t xml:space="preserve">  </w:t>
      </w:r>
      <w:r w:rsidR="00425C27">
        <w:t xml:space="preserve">In other words, by removing </w:t>
      </w:r>
      <w:r w:rsidR="00554D24">
        <w:rPr>
          <w:lang w:val="en-US"/>
        </w:rPr>
        <w:t xml:space="preserve">inappropriate proxy companies, including </w:t>
      </w:r>
      <w:r w:rsidR="00425C27">
        <w:t>Northwestern</w:t>
      </w:r>
      <w:r w:rsidR="00554D24">
        <w:rPr>
          <w:lang w:val="en-US"/>
        </w:rPr>
        <w:t>,</w:t>
      </w:r>
      <w:r w:rsidR="00425C27">
        <w:t xml:space="preserve"> from the 2014 proxy group, Dr. Morin’s average ROE from his 2014 DCF studies </w:t>
      </w:r>
      <w:r w:rsidR="00425C27">
        <w:rPr>
          <w:i/>
        </w:rPr>
        <w:t>decreases</w:t>
      </w:r>
      <w:r w:rsidR="00425C27">
        <w:t xml:space="preserve"> from 9.5% to 9.44%.  Meanwhile, </w:t>
      </w:r>
      <w:r w:rsidR="00554D24">
        <w:rPr>
          <w:lang w:val="en-US"/>
        </w:rPr>
        <w:t xml:space="preserve">by removing Northwestern from </w:t>
      </w:r>
      <w:r w:rsidR="00425C27">
        <w:t xml:space="preserve">Mr. Gorman’s </w:t>
      </w:r>
      <w:r w:rsidR="00554D24">
        <w:rPr>
          <w:lang w:val="en-US"/>
        </w:rPr>
        <w:t xml:space="preserve">data, his </w:t>
      </w:r>
      <w:r w:rsidR="00425C27">
        <w:t>2014 constant growth DCF study using consensus analysts’ growth rate</w:t>
      </w:r>
      <w:r w:rsidR="00D158A0">
        <w:t>s increases from 9.36% to 9.48%,</w:t>
      </w:r>
      <w:r w:rsidR="00BA1846" w:rsidRPr="00BA1846">
        <w:rPr>
          <w:rStyle w:val="FootnoteReference"/>
          <w:u w:val="single"/>
        </w:rPr>
        <w:footnoteReference w:id="47"/>
      </w:r>
      <w:r w:rsidR="00BA1846">
        <w:rPr>
          <w:vertAlign w:val="superscript"/>
        </w:rPr>
        <w:t>/</w:t>
      </w:r>
      <w:r w:rsidR="00D158A0">
        <w:t xml:space="preserve"> and</w:t>
      </w:r>
      <w:r w:rsidR="00425C27">
        <w:t xml:space="preserve"> his 2014 constant growth DCF study using sustainable growth rates increases from 9.05% to 9.14%</w:t>
      </w:r>
      <w:r w:rsidR="00D158A0">
        <w:t>.</w:t>
      </w:r>
      <w:r w:rsidR="00D158A0" w:rsidRPr="00AB6CFD">
        <w:rPr>
          <w:rStyle w:val="FootnoteReference"/>
          <w:u w:val="single"/>
        </w:rPr>
        <w:footnoteReference w:id="48"/>
      </w:r>
      <w:r w:rsidR="00AB6CFD">
        <w:rPr>
          <w:vertAlign w:val="superscript"/>
        </w:rPr>
        <w:t>/</w:t>
      </w:r>
      <w:r w:rsidR="00D158A0">
        <w:t xml:space="preserve"> </w:t>
      </w:r>
      <w:r w:rsidR="00425C27">
        <w:t xml:space="preserve"> This means that the average of Mr. Gorman’s 2014 constant growth DCF studies increases from </w:t>
      </w:r>
      <w:r w:rsidR="00934B44">
        <w:t>9.2% to 9.31%</w:t>
      </w:r>
      <w:r w:rsidR="00D158A0">
        <w:t>, which continues to support his 9.3% recommendation</w:t>
      </w:r>
      <w:r w:rsidR="00934B44">
        <w:t xml:space="preserve">.  It also means that the average of all of Dr. Morin’s and Mr. Gorman’s </w:t>
      </w:r>
      <w:r w:rsidR="004A1829">
        <w:t>2014 constant growth DCF analyse</w:t>
      </w:r>
      <w:r w:rsidR="00934B44">
        <w:t xml:space="preserve">s increases from 9.35% to 9.37%, a negligible amount and a result that </w:t>
      </w:r>
      <w:r w:rsidR="00516A22">
        <w:t xml:space="preserve">continues to </w:t>
      </w:r>
      <w:r w:rsidR="00934B44">
        <w:t>much more strongly support Mr. Gorman’s recommended 9.3% ROE than Dr. Morin’s recommended 9.8% ROE.</w:t>
      </w:r>
    </w:p>
    <w:p w:rsidR="00934B44" w:rsidRDefault="0008450F" w:rsidP="0008450F">
      <w:pPr>
        <w:pStyle w:val="WUTCParagraph"/>
      </w:pPr>
      <w:r>
        <w:rPr>
          <w:lang w:val="en-US"/>
        </w:rPr>
        <w:tab/>
      </w:r>
      <w:r w:rsidR="00934B44">
        <w:t xml:space="preserve">Removing Northwestern from the proxy group, in other words, does not change the conclusion that a </w:t>
      </w:r>
      <w:r w:rsidR="00D158A0">
        <w:t>9.3% ROE is reasonable for PSE.  Given that none of Mr. Gorman’s or Dr. Morin’s 2014 constant growth DCF studies show an ROE above 9.53% with Northwestern removed, this also continues to support the conclusion that 9.5% is, at most, the upper bound of the range of reasonableness, and that 9.8% lies well above this range.</w:t>
      </w:r>
    </w:p>
    <w:p w:rsidR="00A478D0" w:rsidRDefault="00A478D0" w:rsidP="002D5C71">
      <w:pPr>
        <w:spacing w:after="240"/>
        <w:ind w:left="2160" w:hanging="720"/>
      </w:pPr>
    </w:p>
    <w:p w:rsidR="00A478D0" w:rsidRDefault="00A478D0" w:rsidP="002D5C71">
      <w:pPr>
        <w:spacing w:after="240"/>
        <w:ind w:left="2160" w:hanging="720"/>
      </w:pPr>
    </w:p>
    <w:p w:rsidR="00934B44" w:rsidRDefault="00B90535" w:rsidP="002D5C71">
      <w:pPr>
        <w:spacing w:after="240"/>
        <w:ind w:left="2160" w:hanging="720"/>
      </w:pPr>
      <w:r>
        <w:lastRenderedPageBreak/>
        <w:t>4.</w:t>
      </w:r>
      <w:r>
        <w:tab/>
      </w:r>
      <w:r w:rsidR="002D5C71">
        <w:rPr>
          <w:u w:val="single"/>
        </w:rPr>
        <w:t>PSE’s criticism of Mr. Gorman’s credit metric analysis does not change the conclusion that a 9.3% ROE is sufficient to maintain the Company’s financial integrity.</w:t>
      </w:r>
    </w:p>
    <w:p w:rsidR="00CF7E91" w:rsidRDefault="0008450F" w:rsidP="0008450F">
      <w:pPr>
        <w:pStyle w:val="WUTCParagraph"/>
      </w:pPr>
      <w:r>
        <w:rPr>
          <w:lang w:val="en-US"/>
        </w:rPr>
        <w:tab/>
      </w:r>
      <w:r w:rsidR="00B90535">
        <w:t>Finally, PSE argues that the Commission should “give no weight” to Mr. Gorman’s credit metric analysis used to show that a 9.3% ROE will maintain the Company’s financial integrity.</w:t>
      </w:r>
      <w:r w:rsidR="00AB6CFD" w:rsidRPr="00AB6CFD">
        <w:rPr>
          <w:rStyle w:val="FootnoteReference"/>
          <w:u w:val="single"/>
        </w:rPr>
        <w:footnoteReference w:id="49"/>
      </w:r>
      <w:r w:rsidR="00AB6CFD">
        <w:rPr>
          <w:vertAlign w:val="superscript"/>
        </w:rPr>
        <w:t>/</w:t>
      </w:r>
      <w:r w:rsidR="00AB6CFD">
        <w:t xml:space="preserve">  </w:t>
      </w:r>
      <w:r w:rsidR="00B90535">
        <w:t>The Company states that this analysis contains “numerous errors,” though it dis</w:t>
      </w:r>
      <w:r w:rsidR="00CF7E91">
        <w:t>cusses only one purported error.</w:t>
      </w:r>
      <w:r w:rsidR="00AB6CFD" w:rsidRPr="00AB6CFD">
        <w:rPr>
          <w:rStyle w:val="FootnoteReference"/>
          <w:u w:val="single"/>
        </w:rPr>
        <w:footnoteReference w:id="50"/>
      </w:r>
      <w:r w:rsidR="00AB6CFD">
        <w:rPr>
          <w:vertAlign w:val="superscript"/>
        </w:rPr>
        <w:t>/</w:t>
      </w:r>
      <w:r w:rsidR="00AB6CFD">
        <w:t xml:space="preserve">  </w:t>
      </w:r>
      <w:r w:rsidR="00CF7E91">
        <w:t>A</w:t>
      </w:r>
      <w:r w:rsidR="00B90535">
        <w:t>s PSE phrases it, “Mr. Gorman selectively included only PSE’s electric delivery rate base.”</w:t>
      </w:r>
      <w:r w:rsidR="00AB6CFD" w:rsidRPr="00AB6CFD">
        <w:rPr>
          <w:rStyle w:val="FootnoteReference"/>
          <w:u w:val="single"/>
        </w:rPr>
        <w:footnoteReference w:id="51"/>
      </w:r>
      <w:r w:rsidR="00AB6CFD">
        <w:rPr>
          <w:vertAlign w:val="superscript"/>
        </w:rPr>
        <w:t>/</w:t>
      </w:r>
      <w:r w:rsidR="00AB6CFD">
        <w:t xml:space="preserve">  </w:t>
      </w:r>
      <w:r w:rsidR="00B90535">
        <w:t>This, of course, was the rate base identified in the Company’s ERF filing that initiated this proceeding, so Mr. Gorman’s use of it was not “selective.”</w:t>
      </w:r>
      <w:r w:rsidR="00AB6CFD" w:rsidRPr="00AB6CFD">
        <w:rPr>
          <w:rStyle w:val="FootnoteReference"/>
          <w:u w:val="single"/>
        </w:rPr>
        <w:footnoteReference w:id="52"/>
      </w:r>
      <w:r w:rsidR="00AB6CFD">
        <w:rPr>
          <w:vertAlign w:val="superscript"/>
        </w:rPr>
        <w:t>/</w:t>
      </w:r>
      <w:r w:rsidR="00AB6CFD">
        <w:t xml:space="preserve">  </w:t>
      </w:r>
      <w:r w:rsidR="00B90535">
        <w:t xml:space="preserve">  </w:t>
      </w:r>
    </w:p>
    <w:p w:rsidR="00554D24" w:rsidRPr="00554D24" w:rsidRDefault="0008450F" w:rsidP="0008450F">
      <w:pPr>
        <w:pStyle w:val="WUTCParagraph"/>
      </w:pPr>
      <w:r>
        <w:rPr>
          <w:lang w:val="en-US"/>
        </w:rPr>
        <w:tab/>
      </w:r>
      <w:r w:rsidR="00B90535">
        <w:t xml:space="preserve">Still, ICNU </w:t>
      </w:r>
      <w:r w:rsidR="002D5C71">
        <w:t>does not dispute</w:t>
      </w:r>
      <w:r w:rsidR="00B90535">
        <w:t xml:space="preserve"> PSE’s assertion that “both Standard &amp; Poor’s and Moody’s analyze PSE as a combined electric and gas utility when making credit rating decisions for the company.”</w:t>
      </w:r>
      <w:r w:rsidR="00AB6CFD" w:rsidRPr="00AB6CFD">
        <w:rPr>
          <w:rStyle w:val="FootnoteReference"/>
          <w:u w:val="single"/>
        </w:rPr>
        <w:footnoteReference w:id="53"/>
      </w:r>
      <w:r w:rsidR="00AB6CFD">
        <w:rPr>
          <w:vertAlign w:val="superscript"/>
        </w:rPr>
        <w:t>/</w:t>
      </w:r>
      <w:r w:rsidR="00AB6CFD">
        <w:t xml:space="preserve">  </w:t>
      </w:r>
      <w:r w:rsidR="00B90535">
        <w:t>The Company</w:t>
      </w:r>
      <w:r w:rsidR="002D5C71">
        <w:t xml:space="preserve"> consequently</w:t>
      </w:r>
      <w:r w:rsidR="00B90535">
        <w:t xml:space="preserve"> argues that Mr. Gorman should have used $6.5 billion as the rate base, rather than $2.6 billion.</w:t>
      </w:r>
      <w:r w:rsidR="00AB6CFD" w:rsidRPr="00AB6CFD">
        <w:rPr>
          <w:rStyle w:val="FootnoteReference"/>
          <w:u w:val="single"/>
        </w:rPr>
        <w:footnoteReference w:id="54"/>
      </w:r>
      <w:r w:rsidR="00AB6CFD">
        <w:rPr>
          <w:vertAlign w:val="superscript"/>
        </w:rPr>
        <w:t>/</w:t>
      </w:r>
      <w:r w:rsidR="00AB6CFD">
        <w:t xml:space="preserve">  </w:t>
      </w:r>
      <w:r w:rsidR="00B90535">
        <w:t xml:space="preserve">The problem is that, again, the Company is content to </w:t>
      </w:r>
      <w:r w:rsidR="00554D24">
        <w:rPr>
          <w:lang w:val="en-US"/>
        </w:rPr>
        <w:t>rely on mere accusations</w:t>
      </w:r>
      <w:r w:rsidR="00B90535">
        <w:t xml:space="preserve"> </w:t>
      </w:r>
      <w:r w:rsidR="00FA624F">
        <w:t>against</w:t>
      </w:r>
      <w:r w:rsidR="00B90535">
        <w:t xml:space="preserve"> Mr. Gorman and does not take the extra step to demonstrate what impact this change actually has on the credit metric analysis.</w:t>
      </w:r>
      <w:r w:rsidR="00CF7E91">
        <w:t xml:space="preserve">  </w:t>
      </w:r>
    </w:p>
    <w:p w:rsidR="00B90535" w:rsidRDefault="00554D24" w:rsidP="0008450F">
      <w:pPr>
        <w:pStyle w:val="WUTCParagraph"/>
      </w:pPr>
      <w:r>
        <w:rPr>
          <w:lang w:val="en-US"/>
        </w:rPr>
        <w:tab/>
      </w:r>
      <w:r w:rsidR="00CF7E91">
        <w:t>By adjusting Mr. Gorman’s exhibit MPG-42 to apply a 9.3% ROE to PSE’s total rate base</w:t>
      </w:r>
      <w:r w:rsidR="002D5C71">
        <w:t xml:space="preserve"> of $6.5 billion</w:t>
      </w:r>
      <w:r w:rsidR="00CF7E91">
        <w:t>, it shows debt-to-EBITDA of 3.</w:t>
      </w:r>
      <w:r w:rsidR="004A2203">
        <w:t>7</w:t>
      </w:r>
      <w:r w:rsidR="00CF7E91">
        <w:t>x and FFO-to-Total Debt of 17%.</w:t>
      </w:r>
      <w:r w:rsidR="00AB6CFD" w:rsidRPr="00AB6CFD">
        <w:rPr>
          <w:rStyle w:val="FootnoteReference"/>
          <w:u w:val="single"/>
        </w:rPr>
        <w:footnoteReference w:id="55"/>
      </w:r>
      <w:r w:rsidR="00AB6CFD">
        <w:rPr>
          <w:vertAlign w:val="superscript"/>
        </w:rPr>
        <w:t>/</w:t>
      </w:r>
      <w:r w:rsidR="00AB6CFD">
        <w:t xml:space="preserve">  </w:t>
      </w:r>
      <w:r w:rsidR="00CF7E91">
        <w:t xml:space="preserve">Both of these metrics are within S&amp;P’s “significant” financial risk profile, which is the </w:t>
      </w:r>
      <w:r w:rsidR="00CF7E91" w:rsidRPr="002D5C71">
        <w:rPr>
          <w:i/>
        </w:rPr>
        <w:t>same</w:t>
      </w:r>
      <w:r w:rsidR="00CF7E91">
        <w:t xml:space="preserve"> </w:t>
      </w:r>
      <w:r w:rsidR="00CF7E91">
        <w:lastRenderedPageBreak/>
        <w:t>financial risk profile PSE has today.</w:t>
      </w:r>
      <w:r w:rsidR="00AB6CFD" w:rsidRPr="00AB6CFD">
        <w:rPr>
          <w:rStyle w:val="FootnoteReference"/>
          <w:u w:val="single"/>
        </w:rPr>
        <w:footnoteReference w:id="56"/>
      </w:r>
      <w:r w:rsidR="00AB6CFD">
        <w:rPr>
          <w:vertAlign w:val="superscript"/>
        </w:rPr>
        <w:t>/</w:t>
      </w:r>
      <w:r w:rsidR="00AB6CFD">
        <w:t xml:space="preserve">  </w:t>
      </w:r>
      <w:r w:rsidR="00CF7E91">
        <w:t>It is also higher than the “aggressive” financial risk profile of most utilities.</w:t>
      </w:r>
      <w:r w:rsidR="00AB6CFD" w:rsidRPr="00AB6CFD">
        <w:rPr>
          <w:rStyle w:val="FootnoteReference"/>
          <w:u w:val="single"/>
        </w:rPr>
        <w:footnoteReference w:id="57"/>
      </w:r>
      <w:r w:rsidR="00AB6CFD">
        <w:rPr>
          <w:vertAlign w:val="superscript"/>
        </w:rPr>
        <w:t>/</w:t>
      </w:r>
      <w:r w:rsidR="00AB6CFD">
        <w:t xml:space="preserve">  </w:t>
      </w:r>
      <w:r w:rsidR="00CF7E91">
        <w:t>Thus, while PSE may be able to claim that Mr. Gorman should have used total rate base rather than the rate base identified in the ERF filing, it cannot claim that doing so changes the conclusion that a 9.3% ROE is sufficient to maintain the Company’s financial integrity.</w:t>
      </w:r>
    </w:p>
    <w:p w:rsidR="00CF7E91" w:rsidRDefault="004C77FD" w:rsidP="00821E03">
      <w:pPr>
        <w:spacing w:after="240"/>
        <w:ind w:left="1440" w:hanging="720"/>
      </w:pPr>
      <w:r>
        <w:rPr>
          <w:b/>
        </w:rPr>
        <w:t>D</w:t>
      </w:r>
      <w:r w:rsidR="00CF7E91">
        <w:rPr>
          <w:b/>
        </w:rPr>
        <w:t>.</w:t>
      </w:r>
      <w:r w:rsidR="00CF7E91">
        <w:rPr>
          <w:b/>
        </w:rPr>
        <w:tab/>
        <w:t>PSE’s Position on its Earnings Sharing Mechanism</w:t>
      </w:r>
      <w:r w:rsidR="00821E03">
        <w:rPr>
          <w:b/>
        </w:rPr>
        <w:t xml:space="preserve"> is One-Sided and Lacks Evidentiary Support.</w:t>
      </w:r>
    </w:p>
    <w:p w:rsidR="00162F68" w:rsidRDefault="0008450F" w:rsidP="0008450F">
      <w:pPr>
        <w:pStyle w:val="WUTCParagraph"/>
      </w:pPr>
      <w:r>
        <w:rPr>
          <w:lang w:val="en-US"/>
        </w:rPr>
        <w:tab/>
      </w:r>
      <w:r w:rsidR="00CD4C71">
        <w:t>PSE argues that its earnings sharing mechanism “requires that PSE’s ROE be set at the high end of the range of reasonableness” because it “creates an asymmetrical earnings profile and increases PSE’s financial risk.”</w:t>
      </w:r>
      <w:r w:rsidR="00CD4C71" w:rsidRPr="00CD4C71">
        <w:rPr>
          <w:rStyle w:val="FootnoteReference"/>
          <w:u w:val="single"/>
        </w:rPr>
        <w:footnoteReference w:id="58"/>
      </w:r>
      <w:r w:rsidR="00CD4C71">
        <w:rPr>
          <w:vertAlign w:val="superscript"/>
        </w:rPr>
        <w:t>/</w:t>
      </w:r>
      <w:r w:rsidR="00CD4C71">
        <w:t xml:space="preserve">  As a threshold matter, ICNU finds PSE’s position that its financial risk is increased because its investors are not allowed to over-earn dollar-for-dollar to be rather cynical.  At most, this mechanism dampens the </w:t>
      </w:r>
      <w:r w:rsidR="00516A22">
        <w:t xml:space="preserve">potential </w:t>
      </w:r>
      <w:r w:rsidR="00CD4C71">
        <w:t xml:space="preserve">upside for the Company’s investors.  Furthermore, </w:t>
      </w:r>
      <w:r w:rsidR="00162F68">
        <w:t xml:space="preserve">even if the Commission accepted PSE’s position that its ROE should be set at the high end of the range of reasonableness due to the earnings sharing mechanism, </w:t>
      </w:r>
      <w:r w:rsidR="00D158A0">
        <w:t>this brief and ICNU’s Initial Brief show that</w:t>
      </w:r>
      <w:r w:rsidR="00162F68">
        <w:t xml:space="preserve"> the evidence in this case demonstrates that this upper bound is, at most, 9.5%, not 9.8%.</w:t>
      </w:r>
    </w:p>
    <w:p w:rsidR="00CF7E91" w:rsidRDefault="0008450F" w:rsidP="0008450F">
      <w:pPr>
        <w:pStyle w:val="WUTCParagraph"/>
      </w:pPr>
      <w:r>
        <w:rPr>
          <w:lang w:val="en-US"/>
        </w:rPr>
        <w:tab/>
      </w:r>
      <w:r w:rsidR="00162F68">
        <w:t xml:space="preserve">In fact, however, there is no evidence in this case that would warrant increasing the ROE to account for the earnings sharing mechanism.  Indeed, </w:t>
      </w:r>
      <w:r w:rsidR="00CD4C71">
        <w:t xml:space="preserve">given the Company’s position on its decoupling mechanism in this case, </w:t>
      </w:r>
      <w:r w:rsidR="00162F68">
        <w:t>PSE’s</w:t>
      </w:r>
      <w:r w:rsidR="00CD4C71">
        <w:t xml:space="preserve"> arguments with respect to the earnings sharing mechanism</w:t>
      </w:r>
      <w:r w:rsidR="00FA624F">
        <w:t xml:space="preserve"> appear inconsistent</w:t>
      </w:r>
      <w:r w:rsidR="00CD4C71">
        <w:t>.</w:t>
      </w:r>
    </w:p>
    <w:p w:rsidR="00CD4C71" w:rsidRDefault="0008450F" w:rsidP="0008450F">
      <w:pPr>
        <w:pStyle w:val="WUTCParagraph"/>
      </w:pPr>
      <w:r>
        <w:rPr>
          <w:lang w:val="en-US"/>
        </w:rPr>
        <w:lastRenderedPageBreak/>
        <w:tab/>
      </w:r>
      <w:r w:rsidR="00FA624F">
        <w:t>First, t</w:t>
      </w:r>
      <w:r w:rsidR="00CD4C71">
        <w:t>he Company states that decoupling is part of a “wide variety of non-traditional ratemaking approaches” and that “[</w:t>
      </w:r>
      <w:proofErr w:type="spellStart"/>
      <w:r w:rsidR="00CD4C71">
        <w:t>i</w:t>
      </w:r>
      <w:proofErr w:type="spellEnd"/>
      <w:r w:rsidR="00CD4C71">
        <w:t>]</w:t>
      </w:r>
      <w:proofErr w:type="spellStart"/>
      <w:r w:rsidR="00CD4C71">
        <w:t>nvestors</w:t>
      </w:r>
      <w:proofErr w:type="spellEnd"/>
      <w:r w:rsidR="00CD4C71">
        <w:t xml:space="preserve"> look at the overall regulatory environment, not at mechanisms in isolation.”</w:t>
      </w:r>
      <w:r w:rsidR="00CD4C71" w:rsidRPr="00CD4C71">
        <w:rPr>
          <w:rStyle w:val="FootnoteReference"/>
          <w:u w:val="single"/>
        </w:rPr>
        <w:footnoteReference w:id="59"/>
      </w:r>
      <w:r w:rsidR="00CD4C71">
        <w:rPr>
          <w:vertAlign w:val="superscript"/>
        </w:rPr>
        <w:t>/</w:t>
      </w:r>
      <w:r w:rsidR="00CD4C71">
        <w:t xml:space="preserve">  Thus, the Company submits that the risk-mitigating effects of decoupling are already embedded in the market-derived cost of equity for PSE.</w:t>
      </w:r>
      <w:r w:rsidR="00294C79" w:rsidRPr="00294C79">
        <w:rPr>
          <w:rStyle w:val="FootnoteReference"/>
          <w:u w:val="single"/>
        </w:rPr>
        <w:footnoteReference w:id="60"/>
      </w:r>
      <w:r w:rsidR="00294C79">
        <w:rPr>
          <w:vertAlign w:val="superscript"/>
        </w:rPr>
        <w:t>/</w:t>
      </w:r>
      <w:r w:rsidR="00294C79">
        <w:t xml:space="preserve">  Of course, investors are just as aware of PSE’s earnings sharing mechanism as they are of decoupling and the rate plan.</w:t>
      </w:r>
      <w:r w:rsidR="006D1C07" w:rsidRPr="006D1C07">
        <w:rPr>
          <w:rStyle w:val="FootnoteReference"/>
          <w:u w:val="single"/>
        </w:rPr>
        <w:footnoteReference w:id="61"/>
      </w:r>
      <w:r w:rsidR="006D1C07">
        <w:rPr>
          <w:vertAlign w:val="superscript"/>
        </w:rPr>
        <w:t>/</w:t>
      </w:r>
      <w:r w:rsidR="006D1C07">
        <w:t xml:space="preserve">  </w:t>
      </w:r>
      <w:r w:rsidR="00294C79">
        <w:t>One would think that if the Company’s risk-reducing mechanisms are embedded in market data used to derive the cost of equity, any mechanisms PSE has that may increase its risk would be similarly recognized.</w:t>
      </w:r>
    </w:p>
    <w:p w:rsidR="00294C79" w:rsidRDefault="0008450F" w:rsidP="0008450F">
      <w:pPr>
        <w:pStyle w:val="WUTCParagraph"/>
      </w:pPr>
      <w:r>
        <w:rPr>
          <w:lang w:val="en-US"/>
        </w:rPr>
        <w:tab/>
      </w:r>
      <w:r w:rsidR="00FA624F">
        <w:t>Second</w:t>
      </w:r>
      <w:r w:rsidR="00294C79">
        <w:t>, the Company is happy to sit back and “allow a reasonable time for decoupling mechanisms to be in place and evaluate their effect on cost of capital,”</w:t>
      </w:r>
      <w:r w:rsidR="00294C79" w:rsidRPr="00294C79">
        <w:rPr>
          <w:rStyle w:val="FootnoteReference"/>
          <w:u w:val="single"/>
        </w:rPr>
        <w:footnoteReference w:id="62"/>
      </w:r>
      <w:r w:rsidR="00294C79">
        <w:rPr>
          <w:vertAlign w:val="superscript"/>
        </w:rPr>
        <w:t>/</w:t>
      </w:r>
      <w:r w:rsidR="00294C79">
        <w:t xml:space="preserve"> while simultaneously arguing that the Commission should consider the earnings sharing mechanism now in developing a reasonable ROE.</w:t>
      </w:r>
      <w:r w:rsidR="00294C79" w:rsidRPr="00294C79">
        <w:rPr>
          <w:rStyle w:val="FootnoteReference"/>
          <w:u w:val="single"/>
        </w:rPr>
        <w:footnoteReference w:id="63"/>
      </w:r>
      <w:r w:rsidR="00294C79">
        <w:rPr>
          <w:vertAlign w:val="superscript"/>
        </w:rPr>
        <w:t>/</w:t>
      </w:r>
      <w:r w:rsidR="00294C79">
        <w:t xml:space="preserve">  Yet, in this proceeding, PSE has offered no “evidence actually demonstrating [</w:t>
      </w:r>
      <w:r w:rsidR="001B13D6">
        <w:t>the earnings sharing mechanism’s</w:t>
      </w:r>
      <w:r w:rsidR="00294C79">
        <w:t xml:space="preserve">] effect in practice on either </w:t>
      </w:r>
      <w:r w:rsidR="001B13D6">
        <w:t>the debt or equity markets ….”</w:t>
      </w:r>
      <w:r w:rsidR="001B13D6" w:rsidRPr="001B13D6">
        <w:rPr>
          <w:rStyle w:val="FootnoteReference"/>
          <w:u w:val="single"/>
        </w:rPr>
        <w:footnoteReference w:id="64"/>
      </w:r>
      <w:r w:rsidR="001B13D6">
        <w:rPr>
          <w:vertAlign w:val="superscript"/>
        </w:rPr>
        <w:t>/</w:t>
      </w:r>
      <w:r w:rsidR="001B13D6">
        <w:t xml:space="preserve">  </w:t>
      </w:r>
      <w:r w:rsidR="00516A22">
        <w:t>If “empirical evidence” is required to demonstrate the impact of decoupling on the cost of equity,</w:t>
      </w:r>
      <w:r w:rsidR="00FA624F" w:rsidRPr="00FA624F">
        <w:rPr>
          <w:rStyle w:val="FootnoteReference"/>
          <w:u w:val="single"/>
        </w:rPr>
        <w:footnoteReference w:id="65"/>
      </w:r>
      <w:r w:rsidR="00FA624F">
        <w:rPr>
          <w:vertAlign w:val="superscript"/>
        </w:rPr>
        <w:t>/</w:t>
      </w:r>
      <w:r w:rsidR="00FA624F">
        <w:t xml:space="preserve"> t</w:t>
      </w:r>
      <w:r w:rsidR="00516A22">
        <w:t>hen the same requirement should apply to</w:t>
      </w:r>
      <w:r w:rsidR="00294C79">
        <w:t xml:space="preserve"> the earnings sharing mechanism.</w:t>
      </w:r>
    </w:p>
    <w:p w:rsidR="001B13D6" w:rsidRDefault="0008450F" w:rsidP="0008450F">
      <w:pPr>
        <w:pStyle w:val="WUTCParagraph"/>
      </w:pPr>
      <w:r>
        <w:rPr>
          <w:lang w:val="en-US"/>
        </w:rPr>
        <w:tab/>
      </w:r>
      <w:r w:rsidR="00D360AA">
        <w:t xml:space="preserve">This is particularly the case when the </w:t>
      </w:r>
      <w:r w:rsidR="00821E03">
        <w:t xml:space="preserve">evidence of decoupling’s impact on the ROE far outweighs such evidence relating to the </w:t>
      </w:r>
      <w:r w:rsidR="00D360AA">
        <w:t>earnings sharing mechanism</w:t>
      </w:r>
      <w:r w:rsidR="00821E03">
        <w:t>.</w:t>
      </w:r>
      <w:r w:rsidR="00D360AA">
        <w:t xml:space="preserve">  </w:t>
      </w:r>
      <w:r w:rsidR="00821E03">
        <w:t>E</w:t>
      </w:r>
      <w:r w:rsidR="00D360AA">
        <w:t xml:space="preserve">very cost of </w:t>
      </w:r>
      <w:r w:rsidR="00D360AA">
        <w:lastRenderedPageBreak/>
        <w:t>capital expert in this proceeding</w:t>
      </w:r>
      <w:r w:rsidR="00821E03">
        <w:t xml:space="preserve"> agrees that decoupling is a “risk-mitigating” mechanism,</w:t>
      </w:r>
      <w:r w:rsidR="00FA624F" w:rsidRPr="00FA624F">
        <w:rPr>
          <w:rStyle w:val="FootnoteReference"/>
          <w:u w:val="single"/>
        </w:rPr>
        <w:footnoteReference w:id="66"/>
      </w:r>
      <w:r w:rsidR="00FA624F">
        <w:rPr>
          <w:vertAlign w:val="superscript"/>
        </w:rPr>
        <w:t>/</w:t>
      </w:r>
      <w:r w:rsidR="00821E03">
        <w:t xml:space="preserve"> and thus,</w:t>
      </w:r>
      <w:r w:rsidR="00D360AA">
        <w:t xml:space="preserve"> either testifies here, or has testified in the past, that </w:t>
      </w:r>
      <w:r w:rsidR="00F07D3E">
        <w:t>a regulated utility’s</w:t>
      </w:r>
      <w:r w:rsidR="00D360AA">
        <w:t xml:space="preserve"> ROE should be reduced to account for decoupling.</w:t>
      </w:r>
      <w:r w:rsidR="00032CD1" w:rsidRPr="00032CD1">
        <w:rPr>
          <w:rStyle w:val="FootnoteReference"/>
          <w:u w:val="single"/>
        </w:rPr>
        <w:footnoteReference w:id="67"/>
      </w:r>
      <w:r w:rsidR="00032CD1">
        <w:rPr>
          <w:vertAlign w:val="superscript"/>
        </w:rPr>
        <w:t>/</w:t>
      </w:r>
      <w:r w:rsidR="00162F68">
        <w:t xml:space="preserve">  The evidence </w:t>
      </w:r>
      <w:r w:rsidR="00821E03">
        <w:t xml:space="preserve">also </w:t>
      </w:r>
      <w:r w:rsidR="00162F68">
        <w:t>shows that the risk-mitigation PSE enjoys from decoupling and the rate plan is not present in the proxy group, and thus, is not reflected in the market-derived cost of equity that supports Dr. Morin’s recommended 9.8% ROE.</w:t>
      </w:r>
      <w:r w:rsidR="00032CD1" w:rsidRPr="00032CD1">
        <w:rPr>
          <w:rStyle w:val="FootnoteReference"/>
          <w:u w:val="single"/>
        </w:rPr>
        <w:footnoteReference w:id="68"/>
      </w:r>
      <w:r w:rsidR="00032CD1">
        <w:rPr>
          <w:vertAlign w:val="superscript"/>
        </w:rPr>
        <w:t>/</w:t>
      </w:r>
      <w:r w:rsidR="00D360AA">
        <w:t xml:space="preserve">  </w:t>
      </w:r>
      <w:r w:rsidR="00F078A7">
        <w:t>T</w:t>
      </w:r>
      <w:r w:rsidR="00D360AA">
        <w:t xml:space="preserve">he Brattle studies, proffered by PSE itself, </w:t>
      </w:r>
      <w:r w:rsidR="00F078A7">
        <w:t xml:space="preserve">further support the position </w:t>
      </w:r>
      <w:r w:rsidR="00D360AA">
        <w:t>that decoupling reduces the cost of equity.</w:t>
      </w:r>
      <w:r w:rsidR="00032CD1" w:rsidRPr="00032CD1">
        <w:rPr>
          <w:rStyle w:val="FootnoteReference"/>
          <w:u w:val="single"/>
        </w:rPr>
        <w:footnoteReference w:id="69"/>
      </w:r>
      <w:r w:rsidR="00032CD1">
        <w:rPr>
          <w:vertAlign w:val="superscript"/>
        </w:rPr>
        <w:t>/</w:t>
      </w:r>
      <w:r w:rsidR="00F078A7">
        <w:t xml:space="preserve">  </w:t>
      </w:r>
      <w:r w:rsidR="006D1C07">
        <w:t xml:space="preserve">Notably, while Moody’s has </w:t>
      </w:r>
      <w:r w:rsidR="00554D24">
        <w:rPr>
          <w:lang w:val="en-US"/>
        </w:rPr>
        <w:t>stated</w:t>
      </w:r>
      <w:r w:rsidR="006D1C07">
        <w:t xml:space="preserve"> that the Company’s decoupling mechanism is “credit supportive,” the agency’s discussion in the same report of the earnings sharing mechanism merely notes its existence and does not suggest that it increases the Company’s risk or is credit negative in any way.</w:t>
      </w:r>
      <w:r w:rsidR="006D1C07" w:rsidRPr="006D1C07">
        <w:rPr>
          <w:rStyle w:val="FootnoteReference"/>
          <w:u w:val="single"/>
        </w:rPr>
        <w:footnoteReference w:id="70"/>
      </w:r>
      <w:r w:rsidR="006D1C07">
        <w:rPr>
          <w:vertAlign w:val="superscript"/>
        </w:rPr>
        <w:t>/</w:t>
      </w:r>
      <w:r w:rsidR="006D1C07">
        <w:t xml:space="preserve">  </w:t>
      </w:r>
      <w:r w:rsidR="00F078A7">
        <w:t>Thus, while there is substantial evidence in this case supporting the argument that PSE-specific risk-mitigating mechanisms reduce its cost of equity, no similar evidence supports the opposite conclusion with respect to the earnings sharing mechanism.</w:t>
      </w:r>
    </w:p>
    <w:p w:rsidR="00963BF0" w:rsidRDefault="004C77FD" w:rsidP="00821E03">
      <w:pPr>
        <w:spacing w:after="240"/>
        <w:ind w:left="1440" w:hanging="720"/>
      </w:pPr>
      <w:r>
        <w:rPr>
          <w:b/>
        </w:rPr>
        <w:t>E</w:t>
      </w:r>
      <w:r w:rsidR="00963BF0">
        <w:rPr>
          <w:b/>
        </w:rPr>
        <w:t>.</w:t>
      </w:r>
      <w:r w:rsidR="00963BF0">
        <w:rPr>
          <w:b/>
        </w:rPr>
        <w:tab/>
      </w:r>
      <w:r>
        <w:rPr>
          <w:b/>
        </w:rPr>
        <w:t xml:space="preserve">The </w:t>
      </w:r>
      <w:r w:rsidR="00821E03">
        <w:rPr>
          <w:b/>
        </w:rPr>
        <w:t>Rating Agency Reports PSE Relies on Support the Conclusion that a 9.3% ROE Will Continue to Maintain the Company’s Credit Rating.</w:t>
      </w:r>
    </w:p>
    <w:p w:rsidR="00A548C6" w:rsidRDefault="0008450F" w:rsidP="0008450F">
      <w:pPr>
        <w:pStyle w:val="WUTCParagraph"/>
      </w:pPr>
      <w:r>
        <w:rPr>
          <w:lang w:val="en-US"/>
        </w:rPr>
        <w:tab/>
      </w:r>
      <w:r w:rsidR="00963BF0">
        <w:t xml:space="preserve">In a final attempt to support the </w:t>
      </w:r>
      <w:r w:rsidR="00F078A7">
        <w:t xml:space="preserve">continued </w:t>
      </w:r>
      <w:r w:rsidR="00963BF0">
        <w:t>reasonableness of the ROE the Company was awarded in 2012, PSE warns the Commission that any reduction to its ROE could have negative credit rating consequences.</w:t>
      </w:r>
      <w:r w:rsidR="006D1C07" w:rsidRPr="006D1C07">
        <w:rPr>
          <w:rStyle w:val="FootnoteReference"/>
          <w:u w:val="single"/>
        </w:rPr>
        <w:footnoteReference w:id="71"/>
      </w:r>
      <w:r w:rsidR="006D1C07">
        <w:rPr>
          <w:vertAlign w:val="superscript"/>
        </w:rPr>
        <w:t>/</w:t>
      </w:r>
      <w:r w:rsidR="006D1C07">
        <w:t xml:space="preserve">  </w:t>
      </w:r>
      <w:r w:rsidR="00963BF0">
        <w:t xml:space="preserve">The Company argues that rating agency reports make it “clear that it was the </w:t>
      </w:r>
      <w:r w:rsidR="00963BF0">
        <w:rPr>
          <w:u w:val="single"/>
        </w:rPr>
        <w:t>overall</w:t>
      </w:r>
      <w:r w:rsidR="00963BF0">
        <w:t xml:space="preserve"> regulatory package approved by the Commission in June </w:t>
      </w:r>
      <w:r w:rsidR="00963BF0">
        <w:lastRenderedPageBreak/>
        <w:t>2013 that signified to the ratings agencies an improved regulatory climate.  Backtracking on these approvals, in any way, may be viewed negatively ….”</w:t>
      </w:r>
      <w:r w:rsidR="00963BF0" w:rsidRPr="00963BF0">
        <w:rPr>
          <w:rStyle w:val="FootnoteReference"/>
          <w:u w:val="single"/>
        </w:rPr>
        <w:footnoteReference w:id="72"/>
      </w:r>
      <w:r w:rsidR="00963BF0">
        <w:rPr>
          <w:vertAlign w:val="superscript"/>
        </w:rPr>
        <w:t>/</w:t>
      </w:r>
      <w:r w:rsidR="00963BF0">
        <w:t xml:space="preserve">  </w:t>
      </w:r>
    </w:p>
    <w:p w:rsidR="00984781" w:rsidRDefault="0008450F" w:rsidP="0008450F">
      <w:pPr>
        <w:pStyle w:val="WUTCParagraph"/>
      </w:pPr>
      <w:r>
        <w:rPr>
          <w:lang w:val="en-US"/>
        </w:rPr>
        <w:tab/>
      </w:r>
      <w:r w:rsidR="00A548C6">
        <w:t>The Company’s speculative statements are not supported by the rating agency reports on which it relies.  While it quotes a Moody’s opinion that “unexpected regulatory developments or setbacks could cause us to revise the ratings outlooks for Puget and PSE downward,”</w:t>
      </w:r>
      <w:r w:rsidR="00A548C6" w:rsidRPr="00A548C6">
        <w:rPr>
          <w:rStyle w:val="FootnoteReference"/>
          <w:u w:val="single"/>
        </w:rPr>
        <w:footnoteReference w:id="73"/>
      </w:r>
      <w:r w:rsidR="00A548C6">
        <w:rPr>
          <w:vertAlign w:val="superscript"/>
        </w:rPr>
        <w:t>/</w:t>
      </w:r>
      <w:r w:rsidR="00A548C6">
        <w:t xml:space="preserve"> one struggles to think of a utility – or any company for that matter – to which that statement would not apply.  Additionally, PSE cites another Moody’s report indicating that this remand proceeding is a credit negative for the Company because “it introduces uncertainty into the ultimate revenue production of the company over the next two years.”</w:t>
      </w:r>
      <w:r w:rsidR="00A548C6" w:rsidRPr="00A548C6">
        <w:rPr>
          <w:rStyle w:val="FootnoteReference"/>
          <w:u w:val="single"/>
        </w:rPr>
        <w:footnoteReference w:id="74"/>
      </w:r>
      <w:r w:rsidR="00A548C6">
        <w:rPr>
          <w:vertAlign w:val="superscript"/>
        </w:rPr>
        <w:t>/</w:t>
      </w:r>
      <w:r w:rsidR="00A548C6">
        <w:t xml:space="preserve">  PSE fails to note, however, that, in this same report, Moody’s voices an expectation “that the WUTC will maintain revenue and ROE levels sufficient for PSE to recover its prudently evidenced costs going forward and that PSE’s improved financial profile will remain intact.”</w:t>
      </w:r>
      <w:r w:rsidR="00A548C6" w:rsidRPr="00A548C6">
        <w:rPr>
          <w:rStyle w:val="FootnoteReference"/>
          <w:u w:val="single"/>
        </w:rPr>
        <w:footnoteReference w:id="75"/>
      </w:r>
      <w:r w:rsidR="00A548C6">
        <w:rPr>
          <w:vertAlign w:val="superscript"/>
        </w:rPr>
        <w:t>/</w:t>
      </w:r>
      <w:r w:rsidR="00A548C6">
        <w:t xml:space="preserve">  The report also states that PSE’s “stable outlook reflects … our view that Washington regulation will continue to provide for the adequate and timely recovery of prudently incurred costs, </w:t>
      </w:r>
      <w:r w:rsidR="00A548C6" w:rsidRPr="00554D24">
        <w:rPr>
          <w:i/>
        </w:rPr>
        <w:t>despite</w:t>
      </w:r>
      <w:r w:rsidR="00A548C6">
        <w:t xml:space="preserve"> the potential revision to certain aspects of the company’s recent rate order.”</w:t>
      </w:r>
      <w:r w:rsidR="00A548C6" w:rsidRPr="00A548C6">
        <w:rPr>
          <w:rStyle w:val="FootnoteReference"/>
          <w:u w:val="single"/>
        </w:rPr>
        <w:footnoteReference w:id="76"/>
      </w:r>
      <w:r w:rsidR="00A548C6">
        <w:rPr>
          <w:vertAlign w:val="superscript"/>
        </w:rPr>
        <w:t>/</w:t>
      </w:r>
      <w:r w:rsidR="00A548C6">
        <w:t xml:space="preserve">  </w:t>
      </w:r>
      <w:r w:rsidR="00984781">
        <w:t xml:space="preserve">Thus, to the extent this proceeding is “credit negative” for the Company, that is only </w:t>
      </w:r>
      <w:r w:rsidR="00F078A7">
        <w:t>insofar as</w:t>
      </w:r>
      <w:r w:rsidR="00984781">
        <w:t xml:space="preserve"> it creates “uncertainty” that, theoretically, could result in “unexpected regulatory developments” that impair PSE’s ability to recover its prudently incurred costs.  Moody’s, however, makes clear that it does not expect that to happen, even with a “potential revision” to the Company’s ROE.</w:t>
      </w:r>
      <w:r w:rsidR="006D1C07" w:rsidRPr="006D1C07">
        <w:rPr>
          <w:rStyle w:val="FootnoteReference"/>
          <w:u w:val="single"/>
        </w:rPr>
        <w:footnoteReference w:id="77"/>
      </w:r>
      <w:r w:rsidR="006D1C07">
        <w:rPr>
          <w:vertAlign w:val="superscript"/>
        </w:rPr>
        <w:t>/</w:t>
      </w:r>
      <w:r w:rsidR="006D1C07">
        <w:t xml:space="preserve">  </w:t>
      </w:r>
      <w:r w:rsidR="00984781">
        <w:t xml:space="preserve">  </w:t>
      </w:r>
    </w:p>
    <w:p w:rsidR="00032CD1" w:rsidRDefault="0008450F" w:rsidP="0008450F">
      <w:pPr>
        <w:pStyle w:val="WUTCParagraph"/>
      </w:pPr>
      <w:r>
        <w:rPr>
          <w:lang w:val="en-US"/>
        </w:rPr>
        <w:lastRenderedPageBreak/>
        <w:tab/>
      </w:r>
      <w:r w:rsidR="00984781">
        <w:t>To be clear, ICNU does not, and has not, proposed that the Commission establish an ROE for PSE that is so low as to prevent the Company from recovering its prudent and reasonable costs of providing service.  Mr. Gorman’s multiple analyses demonstrate that a 9.3% ROE, far from being confiscatory, reflects the Company’s cost of equity, is commensurate with returns in enterprises having corresponding risk, and maintains its financial integrity.  That is what an allowed ROE is supposed to do</w:t>
      </w:r>
      <w:r w:rsidR="00D01982">
        <w:t>.</w:t>
      </w:r>
      <w:r w:rsidR="00792664">
        <w:t xml:space="preserve">  Indeed, Public Counsel’s witness, Mr. Hill, recommends an ROE as low as 8.65%, while Staff’s witness, Mr. </w:t>
      </w:r>
      <w:proofErr w:type="spellStart"/>
      <w:r w:rsidR="00792664">
        <w:t>Parcell</w:t>
      </w:r>
      <w:proofErr w:type="spellEnd"/>
      <w:r w:rsidR="00792664">
        <w:t>, has adopted an ROE range that extends down to 9.0%.</w:t>
      </w:r>
      <w:r w:rsidR="00792664" w:rsidRPr="00792664">
        <w:rPr>
          <w:rStyle w:val="FootnoteReference"/>
          <w:u w:val="single"/>
        </w:rPr>
        <w:footnoteReference w:id="78"/>
      </w:r>
      <w:r w:rsidR="00792664">
        <w:rPr>
          <w:vertAlign w:val="superscript"/>
        </w:rPr>
        <w:t>/</w:t>
      </w:r>
      <w:r w:rsidR="00792664">
        <w:t xml:space="preserve">  These results indicate that Mr. Gorman’s recommended 9.3% ROE is more than sufficient for the Company.  </w:t>
      </w:r>
    </w:p>
    <w:p w:rsidR="00963BF0" w:rsidRPr="00A548C6" w:rsidRDefault="0008450F" w:rsidP="0008450F">
      <w:pPr>
        <w:pStyle w:val="WUTCParagraph"/>
      </w:pPr>
      <w:r>
        <w:rPr>
          <w:lang w:val="en-US"/>
        </w:rPr>
        <w:tab/>
      </w:r>
      <w:r w:rsidR="00F078A7">
        <w:t>As ICNU’s Initial Brief showed, a 9.3% ROE applied to the Company’s currently authorized capital structure would continue to generate the highest overall rate of return of any electric utility in the State – 7.53%.</w:t>
      </w:r>
      <w:r w:rsidR="006D1C07" w:rsidRPr="006D1C07">
        <w:rPr>
          <w:rStyle w:val="FootnoteReference"/>
          <w:u w:val="single"/>
        </w:rPr>
        <w:footnoteReference w:id="79"/>
      </w:r>
      <w:r w:rsidR="006D1C07">
        <w:rPr>
          <w:vertAlign w:val="superscript"/>
        </w:rPr>
        <w:t>/</w:t>
      </w:r>
      <w:r w:rsidR="006D1C07">
        <w:t xml:space="preserve">  </w:t>
      </w:r>
      <w:r w:rsidR="00D01982">
        <w:t>T</w:t>
      </w:r>
      <w:r w:rsidR="00984781">
        <w:t>he Moody’s reports PSE cites</w:t>
      </w:r>
      <w:r w:rsidR="00D01982">
        <w:t xml:space="preserve"> indicate that such a result would be sufficient to maintain the Company’s credit rating and stable outlook</w:t>
      </w:r>
      <w:r w:rsidR="00984781">
        <w:t>.</w:t>
      </w:r>
      <w:r w:rsidR="00792664" w:rsidRPr="00792664">
        <w:rPr>
          <w:rStyle w:val="FootnoteReference"/>
          <w:u w:val="single"/>
        </w:rPr>
        <w:footnoteReference w:id="80"/>
      </w:r>
      <w:r w:rsidR="00792664">
        <w:rPr>
          <w:vertAlign w:val="superscript"/>
        </w:rPr>
        <w:t>/</w:t>
      </w:r>
      <w:r w:rsidR="00821E03">
        <w:t xml:space="preserve">  It is also sufficient to meet the statutory requirement that the Company’s rates be “just, fair, reasonable and sufficient.”</w:t>
      </w:r>
      <w:r w:rsidR="00792664" w:rsidRPr="00792664">
        <w:rPr>
          <w:rStyle w:val="FootnoteReference"/>
          <w:u w:val="single"/>
        </w:rPr>
        <w:footnoteReference w:id="81"/>
      </w:r>
      <w:r w:rsidR="00792664">
        <w:rPr>
          <w:vertAlign w:val="superscript"/>
        </w:rPr>
        <w:t>/</w:t>
      </w:r>
      <w:r w:rsidR="00792664">
        <w:t xml:space="preserve">  That is all ICNU requests.</w:t>
      </w:r>
    </w:p>
    <w:p w:rsidR="00162F68" w:rsidRDefault="00162F68" w:rsidP="00162F68">
      <w:pPr>
        <w:spacing w:line="480" w:lineRule="auto"/>
        <w:jc w:val="center"/>
      </w:pPr>
      <w:r>
        <w:rPr>
          <w:b/>
        </w:rPr>
        <w:t>III.</w:t>
      </w:r>
      <w:r>
        <w:rPr>
          <w:b/>
        </w:rPr>
        <w:tab/>
        <w:t>CONCLUSION</w:t>
      </w:r>
    </w:p>
    <w:p w:rsidR="005B4E1F" w:rsidRDefault="0008450F" w:rsidP="0008450F">
      <w:pPr>
        <w:pStyle w:val="WUTCParagraph"/>
      </w:pPr>
      <w:r>
        <w:rPr>
          <w:lang w:val="en-US"/>
        </w:rPr>
        <w:tab/>
      </w:r>
      <w:r w:rsidR="00D01982">
        <w:t xml:space="preserve">For the foregoing reasons, and as stated in ICNU’s Initial Brief, </w:t>
      </w:r>
      <w:r w:rsidR="00162F68">
        <w:t>PSE’s ROE should be reduced to 9.3% for the entirety of the rate plan</w:t>
      </w:r>
      <w:r w:rsidR="00F078A7">
        <w:t>, and in no circumstance should it be set higher than 9.5%.  This should be accompanied by a corresponding reduction to the Company’s overall rate of return to 7.53%</w:t>
      </w:r>
      <w:r w:rsidR="00162F68">
        <w:t xml:space="preserve">.  </w:t>
      </w:r>
    </w:p>
    <w:p w:rsidR="002D5C71" w:rsidRDefault="002D5C71" w:rsidP="002D5C71">
      <w:pPr>
        <w:keepNext/>
        <w:spacing w:line="480" w:lineRule="auto"/>
        <w:ind w:firstLine="1440"/>
      </w:pPr>
      <w:proofErr w:type="gramStart"/>
      <w:r>
        <w:lastRenderedPageBreak/>
        <w:t>Dated in Portland, Oregon, this 20th day of March, 2015.</w:t>
      </w:r>
      <w:proofErr w:type="gramEnd"/>
    </w:p>
    <w:p w:rsidR="002D5C71" w:rsidRDefault="002D5C71" w:rsidP="002D5C71">
      <w:pPr>
        <w:keepNext/>
        <w:spacing w:line="480" w:lineRule="auto"/>
        <w:ind w:left="2880" w:firstLine="720"/>
      </w:pPr>
      <w:r>
        <w:t>Respectfully submitted,</w:t>
      </w:r>
    </w:p>
    <w:p w:rsidR="002D5C71" w:rsidRDefault="002D5C71" w:rsidP="002D5C71">
      <w:pPr>
        <w:keepNext/>
        <w:spacing w:line="480" w:lineRule="auto"/>
        <w:ind w:firstLine="3600"/>
      </w:pPr>
      <w:r>
        <w:t>DAVISON VAN CLEVE, P.C.</w:t>
      </w:r>
    </w:p>
    <w:p w:rsidR="00805170" w:rsidRPr="00805170" w:rsidRDefault="00805170" w:rsidP="002D5C71">
      <w:pPr>
        <w:keepNext/>
        <w:ind w:firstLine="3600"/>
        <w:rPr>
          <w:i/>
          <w:u w:val="single"/>
        </w:rPr>
      </w:pPr>
      <w:r w:rsidRPr="00805170">
        <w:rPr>
          <w:i/>
          <w:u w:val="single"/>
        </w:rPr>
        <w:t>/s/ Melinda J. Davison</w:t>
      </w:r>
    </w:p>
    <w:p w:rsidR="002D5C71" w:rsidRDefault="002D5C71" w:rsidP="002D5C71">
      <w:pPr>
        <w:keepNext/>
        <w:ind w:firstLine="3600"/>
      </w:pPr>
      <w:r>
        <w:t>Melinda J. Davison</w:t>
      </w:r>
    </w:p>
    <w:p w:rsidR="002D5C71" w:rsidRDefault="002D5C71" w:rsidP="002D5C71">
      <w:pPr>
        <w:keepNext/>
        <w:ind w:firstLine="3600"/>
      </w:pPr>
      <w:r>
        <w:t>Tyler C. Pepple</w:t>
      </w:r>
    </w:p>
    <w:p w:rsidR="002D5C71" w:rsidRDefault="002D5C71" w:rsidP="002D5C71">
      <w:pPr>
        <w:keepNext/>
        <w:ind w:firstLine="3600"/>
      </w:pPr>
      <w:r>
        <w:t>333 S.W. Taylor, Suite 400</w:t>
      </w:r>
    </w:p>
    <w:p w:rsidR="002D5C71" w:rsidRDefault="002D5C71" w:rsidP="002D5C71">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2D5C71" w:rsidRDefault="002D5C71" w:rsidP="002D5C71">
      <w:pPr>
        <w:keepNext/>
        <w:ind w:firstLine="3600"/>
      </w:pPr>
      <w:r>
        <w:t>(503) 241-7242 telephone</w:t>
      </w:r>
    </w:p>
    <w:p w:rsidR="002D5C71" w:rsidRDefault="002D5C71" w:rsidP="002D5C71">
      <w:pPr>
        <w:keepNext/>
        <w:ind w:firstLine="3600"/>
      </w:pPr>
      <w:r>
        <w:t>(503) 241-8160 facsimile</w:t>
      </w:r>
    </w:p>
    <w:p w:rsidR="002D5C71" w:rsidRDefault="002D5C71" w:rsidP="002D5C71">
      <w:pPr>
        <w:ind w:left="2912" w:firstLine="688"/>
      </w:pPr>
      <w:r w:rsidRPr="007A4288">
        <w:t>mjd@dvclaw.com</w:t>
      </w:r>
    </w:p>
    <w:p w:rsidR="002D5C71" w:rsidRDefault="002D5C71" w:rsidP="002D5C71">
      <w:pPr>
        <w:ind w:left="2912" w:firstLine="688"/>
      </w:pPr>
      <w:r>
        <w:t>tcp@dvclaw.com</w:t>
      </w:r>
    </w:p>
    <w:p w:rsidR="002D5C71" w:rsidRDefault="002D5C71" w:rsidP="002D5C71">
      <w:pPr>
        <w:ind w:left="3600"/>
      </w:pPr>
      <w:r>
        <w:t xml:space="preserve">Of Attorneys for Industrial Customers </w:t>
      </w:r>
    </w:p>
    <w:p w:rsidR="002D5C71" w:rsidRPr="00D27522" w:rsidRDefault="002D5C71" w:rsidP="002D5C71">
      <w:pPr>
        <w:ind w:left="3600"/>
      </w:pPr>
      <w:r>
        <w:t>of Northwest Utilities</w:t>
      </w:r>
    </w:p>
    <w:p w:rsidR="002D5C71" w:rsidRPr="00162F68" w:rsidRDefault="002D5C71" w:rsidP="00F07D3E">
      <w:pPr>
        <w:spacing w:line="480" w:lineRule="auto"/>
        <w:ind w:firstLine="1440"/>
      </w:pPr>
    </w:p>
    <w:sectPr w:rsidR="002D5C71" w:rsidRPr="00162F68" w:rsidSect="00A867BA">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07" w:rsidRDefault="006D1C07" w:rsidP="00137388">
      <w:r>
        <w:separator/>
      </w:r>
    </w:p>
  </w:endnote>
  <w:endnote w:type="continuationSeparator" w:id="0">
    <w:p w:rsidR="006D1C07" w:rsidRDefault="006D1C07" w:rsidP="0013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Default="006D1C07" w:rsidP="00D158A0">
    <w:pPr>
      <w:pStyle w:val="Footer"/>
    </w:pPr>
  </w:p>
  <w:p w:rsidR="006D1C07" w:rsidRPr="00C726A4" w:rsidRDefault="006D1C07" w:rsidP="00D158A0">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 INITIAL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38" w:rsidRPr="00C726A4" w:rsidRDefault="003D2238" w:rsidP="00CF0DD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t xml:space="preserve"> </w:t>
    </w:r>
    <w:r>
      <w:rPr>
        <w:rStyle w:val="PageNumber"/>
      </w:rPr>
      <w:t xml:space="preserve">– INITIAL BRIEF OF </w:t>
    </w:r>
    <w:r>
      <w:t>ICNU</w:t>
    </w:r>
  </w:p>
  <w:p w:rsidR="003D2238" w:rsidRDefault="003D2238" w:rsidP="00CF0DD1">
    <w:pPr>
      <w:jc w:val="center"/>
      <w:rPr>
        <w:rFonts w:ascii="EngraversGothic BT" w:hAnsi="EngraversGothic BT"/>
        <w:sz w:val="16"/>
      </w:rPr>
    </w:pPr>
  </w:p>
  <w:p w:rsidR="003D2238" w:rsidRPr="00245197" w:rsidRDefault="003D2238" w:rsidP="00CF0DD1">
    <w:pPr>
      <w:jc w:val="center"/>
      <w:rPr>
        <w:sz w:val="16"/>
      </w:rPr>
    </w:pPr>
    <w:r w:rsidRPr="00245197">
      <w:rPr>
        <w:sz w:val="16"/>
      </w:rPr>
      <w:t>DAVISON VAN CLEVE, P.C.</w:t>
    </w:r>
  </w:p>
  <w:p w:rsidR="003D2238" w:rsidRPr="00245197" w:rsidRDefault="003D2238" w:rsidP="00CF0DD1">
    <w:pPr>
      <w:tabs>
        <w:tab w:val="center" w:pos="4680"/>
      </w:tabs>
      <w:jc w:val="center"/>
      <w:rPr>
        <w:sz w:val="16"/>
      </w:rPr>
    </w:pPr>
    <w:r w:rsidRPr="00245197">
      <w:rPr>
        <w:sz w:val="16"/>
      </w:rPr>
      <w:t>333 SW Taylor, Suite 400</w:t>
    </w:r>
  </w:p>
  <w:p w:rsidR="003D2238" w:rsidRPr="00245197" w:rsidRDefault="003D2238" w:rsidP="00CF0DD1">
    <w:pPr>
      <w:tabs>
        <w:tab w:val="center" w:pos="4680"/>
      </w:tabs>
      <w:jc w:val="center"/>
      <w:rPr>
        <w:sz w:val="16"/>
      </w:rPr>
    </w:pPr>
    <w:r w:rsidRPr="00245197">
      <w:rPr>
        <w:sz w:val="16"/>
      </w:rPr>
      <w:t>Portland, OR 97204</w:t>
    </w:r>
  </w:p>
  <w:p w:rsidR="003D2238" w:rsidRDefault="003D2238" w:rsidP="00CF0DD1">
    <w:pPr>
      <w:pStyle w:val="Footer"/>
      <w:jc w:val="center"/>
    </w:pPr>
    <w:r w:rsidRPr="00245197">
      <w:rPr>
        <w:sz w:val="16"/>
      </w:rPr>
      <w:t>Telephone (503) 241-7242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38" w:rsidRDefault="003D2238" w:rsidP="00C926CF">
    <w:pPr>
      <w:pStyle w:val="Footer"/>
    </w:pPr>
  </w:p>
  <w:p w:rsidR="003D2238" w:rsidRPr="00C726A4" w:rsidRDefault="003D2238"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45A6">
      <w:rPr>
        <w:rStyle w:val="PageNumber"/>
        <w:noProof/>
      </w:rPr>
      <w:t>i</w:t>
    </w:r>
    <w:r>
      <w:rPr>
        <w:rStyle w:val="PageNumber"/>
      </w:rPr>
      <w:fldChar w:fldCharType="end"/>
    </w:r>
    <w:r>
      <w:rPr>
        <w:rStyle w:val="PageNumber"/>
      </w:rPr>
      <w:t xml:space="preserve"> – </w:t>
    </w:r>
    <w:r w:rsidR="00231DDE">
      <w:rPr>
        <w:rStyle w:val="PageNumber"/>
      </w:rPr>
      <w:t>REPLY</w:t>
    </w:r>
    <w:r>
      <w:rPr>
        <w:rStyle w:val="PageNumber"/>
      </w:rPr>
      <w:t xml:space="preserve"> BRIEF OF </w:t>
    </w:r>
    <w:r>
      <w:t>ICNU</w:t>
    </w:r>
  </w:p>
  <w:p w:rsidR="003D2238" w:rsidRDefault="003D2238" w:rsidP="00C926CF">
    <w:pPr>
      <w:jc w:val="center"/>
      <w:rPr>
        <w:rFonts w:ascii="EngraversGothic BT" w:hAnsi="EngraversGothic BT"/>
        <w:sz w:val="16"/>
      </w:rPr>
    </w:pPr>
  </w:p>
  <w:p w:rsidR="003D2238" w:rsidRPr="00245197" w:rsidRDefault="003D2238" w:rsidP="00C926CF">
    <w:pPr>
      <w:jc w:val="center"/>
      <w:rPr>
        <w:sz w:val="16"/>
      </w:rPr>
    </w:pPr>
    <w:r w:rsidRPr="00245197">
      <w:rPr>
        <w:sz w:val="16"/>
      </w:rPr>
      <w:t>DAVISON VAN CLEVE, P.C.</w:t>
    </w:r>
  </w:p>
  <w:p w:rsidR="003D2238" w:rsidRPr="00245197" w:rsidRDefault="003D2238" w:rsidP="00C926CF">
    <w:pPr>
      <w:tabs>
        <w:tab w:val="center" w:pos="4680"/>
      </w:tabs>
      <w:jc w:val="center"/>
      <w:rPr>
        <w:sz w:val="16"/>
      </w:rPr>
    </w:pPr>
    <w:r w:rsidRPr="00245197">
      <w:rPr>
        <w:sz w:val="16"/>
      </w:rPr>
      <w:t>333 SW Taylor, Suite 400</w:t>
    </w:r>
  </w:p>
  <w:p w:rsidR="003D2238" w:rsidRPr="00245197" w:rsidRDefault="003D2238" w:rsidP="00C926CF">
    <w:pPr>
      <w:tabs>
        <w:tab w:val="center" w:pos="4680"/>
      </w:tabs>
      <w:jc w:val="center"/>
      <w:rPr>
        <w:sz w:val="16"/>
      </w:rPr>
    </w:pPr>
    <w:r w:rsidRPr="00245197">
      <w:rPr>
        <w:sz w:val="16"/>
      </w:rPr>
      <w:t>Portland, OR 97204</w:t>
    </w:r>
  </w:p>
  <w:p w:rsidR="003D2238" w:rsidRDefault="003D2238" w:rsidP="00C926CF">
    <w:pPr>
      <w:pStyle w:val="Footer"/>
      <w:jc w:val="center"/>
    </w:pPr>
    <w:r w:rsidRPr="00245197">
      <w:rPr>
        <w:sz w:val="16"/>
      </w:rPr>
      <w:t>Telephone (503) 241-7242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Pr="00C726A4" w:rsidRDefault="006D1C07" w:rsidP="00D158A0">
    <w:pPr>
      <w:pStyle w:val="Footer"/>
      <w:rPr>
        <w:rStyle w:val="PageNumber"/>
        <w:snapToGrid/>
        <w:color w:val="000000"/>
      </w:rPr>
    </w:pPr>
    <w:r>
      <w:t xml:space="preserve">PAGE </w:t>
    </w:r>
    <w:r>
      <w:rPr>
        <w:rStyle w:val="PageNumber"/>
      </w:rPr>
      <w:fldChar w:fldCharType="begin"/>
    </w:r>
    <w:r>
      <w:rPr>
        <w:rStyle w:val="PageNumber"/>
      </w:rPr>
      <w:instrText xml:space="preserve"> PAGE </w:instrText>
    </w:r>
    <w:r>
      <w:rPr>
        <w:rStyle w:val="PageNumber"/>
      </w:rPr>
      <w:fldChar w:fldCharType="separate"/>
    </w:r>
    <w:r w:rsidR="00D540CF">
      <w:rPr>
        <w:rStyle w:val="PageNumber"/>
        <w:noProof/>
      </w:rPr>
      <w:t>ii</w:t>
    </w:r>
    <w:r>
      <w:rPr>
        <w:rStyle w:val="PageNumber"/>
      </w:rPr>
      <w:fldChar w:fldCharType="end"/>
    </w:r>
    <w:r>
      <w:t xml:space="preserve"> </w:t>
    </w:r>
    <w:r>
      <w:rPr>
        <w:rStyle w:val="PageNumber"/>
      </w:rPr>
      <w:t xml:space="preserve">– INITIAL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p w:rsidR="00DB41D5" w:rsidRDefault="00DB41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Default="006D1C07" w:rsidP="00D158A0">
    <w:pPr>
      <w:pStyle w:val="Footer"/>
    </w:pPr>
  </w:p>
  <w:p w:rsidR="006D1C07" w:rsidRPr="00C726A4" w:rsidRDefault="006D1C07" w:rsidP="00D158A0">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45A6">
      <w:rPr>
        <w:rStyle w:val="PageNumber"/>
        <w:noProof/>
      </w:rPr>
      <w:t>i</w:t>
    </w:r>
    <w:r>
      <w:rPr>
        <w:rStyle w:val="PageNumber"/>
      </w:rPr>
      <w:fldChar w:fldCharType="end"/>
    </w:r>
    <w:r w:rsidR="0021004B">
      <w:rPr>
        <w:rStyle w:val="PageNumber"/>
      </w:rPr>
      <w:t>i</w:t>
    </w:r>
    <w:r>
      <w:rPr>
        <w:rStyle w:val="PageNumber"/>
      </w:rPr>
      <w:t xml:space="preserve"> – REPLY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p w:rsidR="00DB41D5" w:rsidRDefault="00DB41D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Pr="00C726A4" w:rsidRDefault="006D1C07" w:rsidP="00D158A0">
    <w:pPr>
      <w:pStyle w:val="Footer"/>
      <w:rPr>
        <w:rStyle w:val="PageNumber"/>
        <w:snapToGrid/>
        <w:color w:val="00000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 xml:space="preserve"> – INITIAL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Pr="00C726A4" w:rsidRDefault="006D1C07" w:rsidP="00D158A0">
    <w:pPr>
      <w:pStyle w:val="Footer"/>
      <w:rPr>
        <w:rStyle w:val="PageNumber"/>
        <w:snapToGrid/>
        <w:color w:val="000000"/>
      </w:rPr>
    </w:pPr>
    <w:r>
      <w:t xml:space="preserve">PAGE </w:t>
    </w:r>
    <w:r>
      <w:rPr>
        <w:rStyle w:val="PageNumber"/>
      </w:rPr>
      <w:fldChar w:fldCharType="begin"/>
    </w:r>
    <w:r>
      <w:rPr>
        <w:rStyle w:val="PageNumber"/>
      </w:rPr>
      <w:instrText xml:space="preserve"> PAGE </w:instrText>
    </w:r>
    <w:r>
      <w:rPr>
        <w:rStyle w:val="PageNumber"/>
      </w:rPr>
      <w:fldChar w:fldCharType="separate"/>
    </w:r>
    <w:r w:rsidR="0021004B">
      <w:rPr>
        <w:rStyle w:val="PageNumber"/>
        <w:noProof/>
      </w:rPr>
      <w:t>ii</w:t>
    </w:r>
    <w:r>
      <w:rPr>
        <w:rStyle w:val="PageNumber"/>
      </w:rPr>
      <w:fldChar w:fldCharType="end"/>
    </w:r>
    <w:r>
      <w:rPr>
        <w:rStyle w:val="PageNumber"/>
      </w:rPr>
      <w:t xml:space="preserve"> – REPLY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Default="006D1C07" w:rsidP="00D158A0">
    <w:pPr>
      <w:pStyle w:val="Footer"/>
    </w:pPr>
  </w:p>
  <w:p w:rsidR="006D1C07" w:rsidRPr="00C726A4" w:rsidRDefault="006D1C07" w:rsidP="00D158A0">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45A6">
      <w:rPr>
        <w:rStyle w:val="PageNumber"/>
        <w:noProof/>
      </w:rPr>
      <w:t>1</w:t>
    </w:r>
    <w:r>
      <w:rPr>
        <w:rStyle w:val="PageNumber"/>
      </w:rPr>
      <w:fldChar w:fldCharType="end"/>
    </w:r>
    <w:r>
      <w:rPr>
        <w:rStyle w:val="PageNumber"/>
      </w:rPr>
      <w:t xml:space="preserve"> – </w:t>
    </w:r>
    <w:r w:rsidR="00090828">
      <w:rPr>
        <w:rStyle w:val="PageNumber"/>
      </w:rPr>
      <w:t>REPLY</w:t>
    </w:r>
    <w:r>
      <w:rPr>
        <w:rStyle w:val="PageNumber"/>
      </w:rPr>
      <w:t xml:space="preserve">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07" w:rsidRDefault="006D1C07" w:rsidP="00137388">
      <w:r>
        <w:separator/>
      </w:r>
    </w:p>
  </w:footnote>
  <w:footnote w:type="continuationSeparator" w:id="0">
    <w:p w:rsidR="006D1C07" w:rsidRDefault="006D1C07" w:rsidP="00137388">
      <w:r>
        <w:continuationSeparator/>
      </w:r>
    </w:p>
  </w:footnote>
  <w:footnote w:id="1">
    <w:p w:rsidR="003B0EC2" w:rsidRPr="006F66BA" w:rsidRDefault="003B0EC2" w:rsidP="003B0EC2">
      <w:pPr>
        <w:pStyle w:val="FootnoteText"/>
      </w:pPr>
      <w:r w:rsidRPr="006F66BA">
        <w:rPr>
          <w:rStyle w:val="FootnoteReference"/>
          <w:u w:val="single"/>
        </w:rPr>
        <w:footnoteRef/>
      </w:r>
      <w:r>
        <w:rPr>
          <w:vertAlign w:val="superscript"/>
        </w:rPr>
        <w:t>/</w:t>
      </w:r>
      <w:r w:rsidRPr="006F66BA">
        <w:t xml:space="preserve"> </w:t>
      </w:r>
      <w:r w:rsidRPr="006F66BA">
        <w:tab/>
      </w:r>
      <w:r>
        <w:t>PSE Initial Br. ¶¶ 26-49; Staff Initial Br. ¶¶ 12-15.</w:t>
      </w:r>
    </w:p>
  </w:footnote>
  <w:footnote w:id="2">
    <w:p w:rsidR="003B0EC2" w:rsidRPr="00821E03" w:rsidRDefault="003B0EC2" w:rsidP="003B0EC2">
      <w:pPr>
        <w:pStyle w:val="FootnoteText"/>
        <w:ind w:left="720" w:hanging="720"/>
      </w:pPr>
      <w:r w:rsidRPr="00821E03">
        <w:rPr>
          <w:rStyle w:val="FootnoteReference"/>
          <w:u w:val="single"/>
        </w:rPr>
        <w:footnoteRef/>
      </w:r>
      <w:r>
        <w:rPr>
          <w:vertAlign w:val="superscript"/>
        </w:rPr>
        <w:t>/</w:t>
      </w:r>
      <w:r w:rsidRPr="00821E03">
        <w:t xml:space="preserve"> </w:t>
      </w:r>
      <w:r w:rsidRPr="00821E03">
        <w:tab/>
      </w:r>
      <w:r>
        <w:t xml:space="preserve">ICNU Initial Br. ¶¶ 13-18; </w:t>
      </w:r>
      <w:r>
        <w:rPr>
          <w:u w:val="single"/>
        </w:rPr>
        <w:t xml:space="preserve">Fed. </w:t>
      </w:r>
      <w:proofErr w:type="gramStart"/>
      <w:r>
        <w:rPr>
          <w:u w:val="single"/>
        </w:rPr>
        <w:t>Signal Corp. v. Safety Factors</w:t>
      </w:r>
      <w:r>
        <w:t xml:space="preserve">, 125 Wn.2d 413, 433 (1994); </w:t>
      </w:r>
      <w:r w:rsidRPr="0054098A">
        <w:rPr>
          <w:szCs w:val="24"/>
          <w:u w:val="single"/>
        </w:rPr>
        <w:t>I</w:t>
      </w:r>
      <w:r>
        <w:rPr>
          <w:szCs w:val="24"/>
          <w:u w:val="single"/>
        </w:rPr>
        <w:t xml:space="preserve">ndus. </w:t>
      </w:r>
      <w:r w:rsidRPr="0054098A">
        <w:rPr>
          <w:szCs w:val="24"/>
          <w:u w:val="single"/>
        </w:rPr>
        <w:t>C</w:t>
      </w:r>
      <w:r>
        <w:rPr>
          <w:szCs w:val="24"/>
          <w:u w:val="single"/>
        </w:rPr>
        <w:t xml:space="preserve">ustomers of </w:t>
      </w:r>
      <w:r w:rsidRPr="0054098A">
        <w:rPr>
          <w:szCs w:val="24"/>
          <w:u w:val="single"/>
        </w:rPr>
        <w:t>N</w:t>
      </w:r>
      <w:r>
        <w:rPr>
          <w:szCs w:val="24"/>
          <w:u w:val="single"/>
        </w:rPr>
        <w:t xml:space="preserve">W </w:t>
      </w:r>
      <w:proofErr w:type="spellStart"/>
      <w:r w:rsidRPr="0054098A">
        <w:rPr>
          <w:szCs w:val="24"/>
          <w:u w:val="single"/>
        </w:rPr>
        <w:t>U</w:t>
      </w:r>
      <w:r>
        <w:rPr>
          <w:szCs w:val="24"/>
          <w:u w:val="single"/>
        </w:rPr>
        <w:t>tils</w:t>
      </w:r>
      <w:proofErr w:type="spellEnd"/>
      <w:r>
        <w:rPr>
          <w:szCs w:val="24"/>
          <w:u w:val="single"/>
        </w:rPr>
        <w:t>.</w:t>
      </w:r>
      <w:proofErr w:type="gramEnd"/>
      <w:r w:rsidRPr="0054098A">
        <w:rPr>
          <w:szCs w:val="24"/>
          <w:u w:val="single"/>
        </w:rPr>
        <w:t xml:space="preserve"> v. WUTC</w:t>
      </w:r>
      <w:r w:rsidRPr="00F106D1">
        <w:rPr>
          <w:szCs w:val="24"/>
        </w:rPr>
        <w:t xml:space="preserve">, Thurston County Superior Court Case Nos. 13-2-01576-2 and 13-2-01582-7, Order Granting in Part and Denying in Part Petitions for Judicial Review </w:t>
      </w:r>
      <w:r>
        <w:rPr>
          <w:szCs w:val="24"/>
        </w:rPr>
        <w:t xml:space="preserve">at 2 </w:t>
      </w:r>
      <w:r w:rsidRPr="00F106D1">
        <w:rPr>
          <w:szCs w:val="24"/>
        </w:rPr>
        <w:t>(July 25, 2014)</w:t>
      </w:r>
      <w:r>
        <w:rPr>
          <w:szCs w:val="24"/>
        </w:rPr>
        <w:t>;</w:t>
      </w:r>
      <w:r>
        <w:t xml:space="preserve"> </w:t>
      </w:r>
      <w:r>
        <w:rPr>
          <w:u w:val="single"/>
        </w:rPr>
        <w:t>WUTC v. PacifiCorp</w:t>
      </w:r>
      <w:r>
        <w:t>, Docket No. UE-100749, Order 07 ¶ 26 (May 12, 2011).</w:t>
      </w:r>
    </w:p>
  </w:footnote>
  <w:footnote w:id="3">
    <w:p w:rsidR="003B0EC2" w:rsidRPr="00821E03" w:rsidRDefault="003B0EC2" w:rsidP="003B0EC2">
      <w:pPr>
        <w:pStyle w:val="FootnoteText"/>
        <w:rPr>
          <w:u w:val="single"/>
        </w:rPr>
      </w:pPr>
      <w:r w:rsidRPr="00821E03">
        <w:rPr>
          <w:rStyle w:val="FootnoteReference"/>
          <w:u w:val="single"/>
        </w:rPr>
        <w:footnoteRef/>
      </w:r>
      <w:r>
        <w:rPr>
          <w:vertAlign w:val="superscript"/>
        </w:rPr>
        <w:t>/</w:t>
      </w:r>
      <w:r w:rsidRPr="00821E03">
        <w:t xml:space="preserve"> </w:t>
      </w:r>
      <w:r w:rsidRPr="00821E03">
        <w:tab/>
      </w:r>
      <w:r>
        <w:t>ICNU Initial Br. ¶¶ 26-39.</w:t>
      </w:r>
    </w:p>
  </w:footnote>
  <w:footnote w:id="4">
    <w:p w:rsidR="003B0EC2" w:rsidRPr="00B149FD" w:rsidRDefault="003B0EC2" w:rsidP="003B0EC2">
      <w:pPr>
        <w:pStyle w:val="FootnoteText"/>
        <w:ind w:left="720" w:hanging="720"/>
      </w:pPr>
      <w:r w:rsidRPr="00B149FD">
        <w:rPr>
          <w:rStyle w:val="FootnoteReference"/>
          <w:u w:val="single"/>
        </w:rPr>
        <w:footnoteRef/>
      </w:r>
      <w:r>
        <w:rPr>
          <w:vertAlign w:val="superscript"/>
        </w:rPr>
        <w:t>/</w:t>
      </w:r>
      <w:r w:rsidRPr="00B149FD">
        <w:t xml:space="preserve"> </w:t>
      </w:r>
      <w:r w:rsidRPr="00B149FD">
        <w:tab/>
      </w:r>
      <w:proofErr w:type="spellStart"/>
      <w:r>
        <w:t>Parcell</w:t>
      </w:r>
      <w:proofErr w:type="spellEnd"/>
      <w:r>
        <w:t xml:space="preserve">, </w:t>
      </w:r>
      <w:proofErr w:type="spellStart"/>
      <w:r>
        <w:t>Exh</w:t>
      </w:r>
      <w:proofErr w:type="spellEnd"/>
      <w:r>
        <w:t xml:space="preserve">. No.__(DCP-1T) at 17:13-16, 22:8-10, 25:8-13 (showing DCF and CAPM results significantly below 9.3% and Comparable Earnings results indicating a 9.3% ROE yields market-to-book ratios well above 100%);  Hill, </w:t>
      </w:r>
      <w:proofErr w:type="spellStart"/>
      <w:r>
        <w:t>Exh</w:t>
      </w:r>
      <w:proofErr w:type="spellEnd"/>
      <w:r>
        <w:t>. No._</w:t>
      </w:r>
      <w:proofErr w:type="gramStart"/>
      <w:r>
        <w:t>_(</w:t>
      </w:r>
      <w:proofErr w:type="gramEnd"/>
      <w:r>
        <w:t>SGH-2T) at 44:1-8 (recommending 9.0% ROE for PSE before accounting for decoupling).</w:t>
      </w:r>
    </w:p>
  </w:footnote>
  <w:footnote w:id="5">
    <w:p w:rsidR="003B0EC2" w:rsidRPr="00B149FD" w:rsidRDefault="003B0EC2" w:rsidP="003B0EC2">
      <w:pPr>
        <w:pStyle w:val="FootnoteText"/>
        <w:rPr>
          <w:u w:val="single"/>
        </w:rPr>
      </w:pPr>
      <w:r w:rsidRPr="00B149FD">
        <w:rPr>
          <w:rStyle w:val="FootnoteReference"/>
          <w:u w:val="single"/>
        </w:rPr>
        <w:footnoteRef/>
      </w:r>
      <w:r>
        <w:rPr>
          <w:vertAlign w:val="superscript"/>
        </w:rPr>
        <w:t>/</w:t>
      </w:r>
      <w:r w:rsidRPr="00B149FD">
        <w:t xml:space="preserve"> </w:t>
      </w:r>
      <w:r w:rsidRPr="00B149FD">
        <w:tab/>
      </w:r>
      <w:r>
        <w:t>ICNU Initial Br. ¶¶ 54-57.</w:t>
      </w:r>
    </w:p>
  </w:footnote>
  <w:footnote w:id="6">
    <w:p w:rsidR="003B0EC2" w:rsidRPr="00B149FD" w:rsidRDefault="003B0EC2" w:rsidP="003B0EC2">
      <w:pPr>
        <w:pStyle w:val="FootnoteText"/>
        <w:ind w:left="720" w:hanging="720"/>
      </w:pPr>
      <w:r w:rsidRPr="00B149FD">
        <w:rPr>
          <w:rStyle w:val="FootnoteReference"/>
          <w:u w:val="single"/>
        </w:rPr>
        <w:footnoteRef/>
      </w:r>
      <w:r>
        <w:rPr>
          <w:vertAlign w:val="superscript"/>
        </w:rPr>
        <w:t>/</w:t>
      </w:r>
      <w:r w:rsidRPr="00B149FD">
        <w:t xml:space="preserve"> </w:t>
      </w:r>
      <w:r w:rsidRPr="00B149FD">
        <w:tab/>
      </w:r>
      <w:r>
        <w:rPr>
          <w:u w:val="single"/>
        </w:rPr>
        <w:t>Id.</w:t>
      </w:r>
      <w:r>
        <w:t xml:space="preserve"> ¶¶ 40-53.</w:t>
      </w:r>
    </w:p>
  </w:footnote>
  <w:footnote w:id="7">
    <w:p w:rsidR="006D1C07" w:rsidRPr="006D468A" w:rsidRDefault="006D1C07" w:rsidP="006D468A">
      <w:pPr>
        <w:pStyle w:val="FootnoteText"/>
        <w:ind w:left="720" w:hanging="720"/>
        <w:rPr>
          <w:u w:val="single"/>
        </w:rPr>
      </w:pPr>
      <w:r w:rsidRPr="006D468A">
        <w:rPr>
          <w:rStyle w:val="FootnoteReference"/>
          <w:u w:val="single"/>
        </w:rPr>
        <w:footnoteRef/>
      </w:r>
      <w:r>
        <w:rPr>
          <w:vertAlign w:val="superscript"/>
        </w:rPr>
        <w:t>/</w:t>
      </w:r>
      <w:r w:rsidRPr="006D468A">
        <w:t xml:space="preserve"> </w:t>
      </w:r>
      <w:r w:rsidRPr="006D468A">
        <w:tab/>
      </w:r>
      <w:r>
        <w:t>PSE Initial Br. ¶ 21; Staff Initial Br. ¶ 11 (“it is appropriate to authorize a return on equity that would have been applicable in the first quarter of 2013”).</w:t>
      </w:r>
    </w:p>
  </w:footnote>
  <w:footnote w:id="8">
    <w:p w:rsidR="006D1C07" w:rsidRPr="009F1FB3" w:rsidRDefault="006D1C07">
      <w:pPr>
        <w:pStyle w:val="FootnoteText"/>
        <w:rPr>
          <w:u w:val="single"/>
        </w:rPr>
      </w:pPr>
      <w:r w:rsidRPr="009F1FB3">
        <w:rPr>
          <w:rStyle w:val="FootnoteReference"/>
          <w:u w:val="single"/>
        </w:rPr>
        <w:footnoteRef/>
      </w:r>
      <w:r>
        <w:rPr>
          <w:vertAlign w:val="superscript"/>
        </w:rPr>
        <w:t>/</w:t>
      </w:r>
      <w:r w:rsidRPr="009F1FB3">
        <w:t xml:space="preserve"> </w:t>
      </w:r>
      <w:r w:rsidRPr="009F1FB3">
        <w:tab/>
      </w:r>
      <w:proofErr w:type="spellStart"/>
      <w:r>
        <w:t>Parcell</w:t>
      </w:r>
      <w:proofErr w:type="spellEnd"/>
      <w:r>
        <w:t>, Tr. 602:21-24.</w:t>
      </w:r>
    </w:p>
  </w:footnote>
  <w:footnote w:id="9">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Ex. No._</w:t>
      </w:r>
      <w:proofErr w:type="gramStart"/>
      <w:r>
        <w:t>_(</w:t>
      </w:r>
      <w:proofErr w:type="gramEnd"/>
      <w:r>
        <w:t>MPG-3) at 31 (table 3).</w:t>
      </w:r>
    </w:p>
  </w:footnote>
  <w:footnote w:id="10">
    <w:p w:rsidR="006D1C07" w:rsidRPr="00BE3DD7" w:rsidRDefault="006D1C07">
      <w:pPr>
        <w:pStyle w:val="FootnoteText"/>
        <w:rPr>
          <w:u w:val="single"/>
        </w:rPr>
      </w:pPr>
      <w:r w:rsidRPr="00BE3DD7">
        <w:rPr>
          <w:rStyle w:val="FootnoteReference"/>
          <w:u w:val="single"/>
        </w:rPr>
        <w:footnoteRef/>
      </w:r>
      <w:r>
        <w:rPr>
          <w:vertAlign w:val="superscript"/>
        </w:rPr>
        <w:t>/</w:t>
      </w:r>
      <w:r w:rsidRPr="00BE3DD7">
        <w:t xml:space="preserve"> </w:t>
      </w:r>
      <w:r w:rsidRPr="00BE3DD7">
        <w:tab/>
      </w:r>
      <w:r>
        <w:t>ICNU Initial Br. ¶¶ 54-57.</w:t>
      </w:r>
    </w:p>
  </w:footnote>
  <w:footnote w:id="11">
    <w:p w:rsidR="006D1C07" w:rsidRPr="00BE3DD7" w:rsidRDefault="006D1C07">
      <w:pPr>
        <w:pStyle w:val="FootnoteText"/>
        <w:rPr>
          <w:u w:val="single"/>
        </w:rPr>
      </w:pPr>
      <w:r w:rsidRPr="00BE3DD7">
        <w:rPr>
          <w:rStyle w:val="FootnoteReference"/>
          <w:u w:val="single"/>
        </w:rPr>
        <w:footnoteRef/>
      </w:r>
      <w:r>
        <w:rPr>
          <w:vertAlign w:val="superscript"/>
        </w:rPr>
        <w:t>/</w:t>
      </w:r>
      <w:r w:rsidRPr="00BE3DD7">
        <w:t xml:space="preserve"> </w:t>
      </w:r>
      <w:r w:rsidRPr="00BE3DD7">
        <w:tab/>
      </w:r>
      <w:r>
        <w:rPr>
          <w:u w:val="single"/>
        </w:rPr>
        <w:t>Id.</w:t>
      </w:r>
      <w:r>
        <w:t xml:space="preserve"> ¶ 56.</w:t>
      </w:r>
    </w:p>
  </w:footnote>
  <w:footnote w:id="12">
    <w:p w:rsidR="006D1C07" w:rsidRPr="00BE3DD7" w:rsidRDefault="006D1C07">
      <w:pPr>
        <w:pStyle w:val="FootnoteText"/>
        <w:rPr>
          <w:u w:val="single"/>
        </w:rPr>
      </w:pPr>
      <w:r w:rsidRPr="00BE3DD7">
        <w:rPr>
          <w:rStyle w:val="FootnoteReference"/>
          <w:u w:val="single"/>
        </w:rPr>
        <w:footnoteRef/>
      </w:r>
      <w:r>
        <w:rPr>
          <w:vertAlign w:val="superscript"/>
        </w:rPr>
        <w:t>/</w:t>
      </w:r>
      <w:r w:rsidRPr="00BE3DD7">
        <w:t xml:space="preserve"> </w:t>
      </w:r>
      <w:r w:rsidRPr="00BE3DD7">
        <w:tab/>
      </w:r>
      <w:r>
        <w:rPr>
          <w:u w:val="single"/>
        </w:rPr>
        <w:t>Id.</w:t>
      </w:r>
    </w:p>
  </w:footnote>
  <w:footnote w:id="13">
    <w:p w:rsidR="00FA624F" w:rsidRPr="00FA624F" w:rsidRDefault="00FA624F">
      <w:pPr>
        <w:pStyle w:val="FootnoteText"/>
      </w:pPr>
      <w:r w:rsidRPr="00FA624F">
        <w:rPr>
          <w:rStyle w:val="FootnoteReference"/>
          <w:u w:val="single"/>
        </w:rPr>
        <w:footnoteRef/>
      </w:r>
      <w:r>
        <w:rPr>
          <w:vertAlign w:val="superscript"/>
        </w:rPr>
        <w:t>/</w:t>
      </w:r>
      <w:r w:rsidRPr="00FA624F">
        <w:t xml:space="preserve"> </w:t>
      </w:r>
      <w:r w:rsidRPr="00FA624F">
        <w:tab/>
      </w:r>
      <w:r>
        <w:rPr>
          <w:u w:val="single"/>
        </w:rPr>
        <w:t>Infra</w:t>
      </w:r>
      <w:r w:rsidR="00554D24">
        <w:t>,</w:t>
      </w:r>
      <w:r>
        <w:t xml:space="preserve"> </w:t>
      </w:r>
      <w:r w:rsidR="00554D24">
        <w:t>¶¶ 19-20</w:t>
      </w:r>
      <w:r>
        <w:t>; ICNU Initial Br. ¶¶ 24, 29-30, 33-35, 37-39.</w:t>
      </w:r>
    </w:p>
  </w:footnote>
  <w:footnote w:id="14">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Staff Initial Br. ¶ 2.</w:t>
      </w:r>
    </w:p>
  </w:footnote>
  <w:footnote w:id="15">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ICNU Initial Br. ¶¶ 40-53.</w:t>
      </w:r>
    </w:p>
  </w:footnote>
  <w:footnote w:id="16">
    <w:p w:rsidR="006D1C07" w:rsidRPr="0063212E" w:rsidRDefault="006D1C07">
      <w:pPr>
        <w:pStyle w:val="FootnoteText"/>
      </w:pPr>
      <w:r w:rsidRPr="0063212E">
        <w:rPr>
          <w:rStyle w:val="FootnoteReference"/>
          <w:u w:val="single"/>
        </w:rPr>
        <w:footnoteRef/>
      </w:r>
      <w:r>
        <w:rPr>
          <w:vertAlign w:val="superscript"/>
        </w:rPr>
        <w:t>/</w:t>
      </w:r>
      <w:r w:rsidRPr="0063212E">
        <w:t xml:space="preserve"> </w:t>
      </w:r>
      <w:r w:rsidRPr="0063212E">
        <w:tab/>
      </w:r>
      <w:r>
        <w:rPr>
          <w:u w:val="single"/>
        </w:rPr>
        <w:t>Id.</w:t>
      </w:r>
      <w:r>
        <w:t xml:space="preserve"> ¶¶ 41-48.</w:t>
      </w:r>
    </w:p>
  </w:footnote>
  <w:footnote w:id="17">
    <w:p w:rsidR="006D1C07" w:rsidRPr="0063212E" w:rsidRDefault="006D1C07">
      <w:pPr>
        <w:pStyle w:val="FootnoteText"/>
      </w:pPr>
      <w:r w:rsidRPr="0063212E">
        <w:rPr>
          <w:rStyle w:val="FootnoteReference"/>
          <w:u w:val="single"/>
        </w:rPr>
        <w:footnoteRef/>
      </w:r>
      <w:r>
        <w:rPr>
          <w:vertAlign w:val="superscript"/>
        </w:rPr>
        <w:t>/</w:t>
      </w:r>
      <w:r w:rsidRPr="0063212E">
        <w:t xml:space="preserve"> </w:t>
      </w:r>
      <w:r w:rsidRPr="0063212E">
        <w:tab/>
      </w:r>
      <w:r>
        <w:rPr>
          <w:u w:val="single"/>
        </w:rPr>
        <w:t>Id.</w:t>
      </w:r>
      <w:r>
        <w:t xml:space="preserve"> ¶¶ 51-53; </w:t>
      </w:r>
      <w:proofErr w:type="spellStart"/>
      <w:r>
        <w:t>Parcell</w:t>
      </w:r>
      <w:proofErr w:type="spellEnd"/>
      <w:r>
        <w:t xml:space="preserve">, </w:t>
      </w:r>
      <w:proofErr w:type="spellStart"/>
      <w:r>
        <w:t>Exh</w:t>
      </w:r>
      <w:proofErr w:type="spellEnd"/>
      <w:r>
        <w:t>. No._</w:t>
      </w:r>
      <w:proofErr w:type="gramStart"/>
      <w:r>
        <w:t>_(</w:t>
      </w:r>
      <w:proofErr w:type="gramEnd"/>
      <w:r>
        <w:t>DCP-1T) at 22:7-10, 17:13-16, 25:8-13, 26:21-27:1.</w:t>
      </w:r>
    </w:p>
  </w:footnote>
  <w:footnote w:id="18">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Staff Initial Br. ¶¶ 1, 6-8, 16-18.</w:t>
      </w:r>
    </w:p>
  </w:footnote>
  <w:footnote w:id="19">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ICNU Initial Br. ¶¶ 61-65.</w:t>
      </w:r>
    </w:p>
  </w:footnote>
  <w:footnote w:id="20">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PSE Initial Br. ¶¶ 34-41.</w:t>
      </w:r>
    </w:p>
  </w:footnote>
  <w:footnote w:id="21">
    <w:p w:rsidR="006D1C07" w:rsidRPr="004C57BE" w:rsidRDefault="006D1C07">
      <w:pPr>
        <w:pStyle w:val="FootnoteText"/>
      </w:pPr>
      <w:r w:rsidRPr="004C57BE">
        <w:rPr>
          <w:rStyle w:val="FootnoteReference"/>
          <w:u w:val="single"/>
        </w:rPr>
        <w:footnoteRef/>
      </w:r>
      <w:r>
        <w:rPr>
          <w:vertAlign w:val="superscript"/>
        </w:rPr>
        <w:t>/</w:t>
      </w:r>
      <w:r w:rsidRPr="004C57BE">
        <w:t xml:space="preserve"> </w:t>
      </w:r>
      <w:r w:rsidRPr="004C57BE">
        <w:tab/>
      </w:r>
      <w:r>
        <w:rPr>
          <w:u w:val="single"/>
        </w:rPr>
        <w:t>Id.</w:t>
      </w:r>
      <w:r>
        <w:t xml:space="preserve"> ¶¶ 34-37.</w:t>
      </w:r>
    </w:p>
  </w:footnote>
  <w:footnote w:id="22">
    <w:p w:rsidR="006D1C07" w:rsidRPr="004C57BE" w:rsidRDefault="006D1C07">
      <w:pPr>
        <w:pStyle w:val="FootnoteText"/>
      </w:pPr>
      <w:r w:rsidRPr="004C57BE">
        <w:rPr>
          <w:rStyle w:val="FootnoteReference"/>
          <w:u w:val="single"/>
        </w:rPr>
        <w:footnoteRef/>
      </w:r>
      <w:r>
        <w:rPr>
          <w:vertAlign w:val="superscript"/>
        </w:rPr>
        <w:t>/</w:t>
      </w:r>
      <w:r w:rsidRPr="004C57BE">
        <w:t xml:space="preserve"> </w:t>
      </w:r>
      <w:r w:rsidRPr="004C57BE">
        <w:tab/>
      </w:r>
      <w:r>
        <w:rPr>
          <w:u w:val="single"/>
        </w:rPr>
        <w:t>Id.</w:t>
      </w:r>
      <w:r>
        <w:t xml:space="preserve"> ¶ 36.</w:t>
      </w:r>
    </w:p>
  </w:footnote>
  <w:footnote w:id="23">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 xml:space="preserve">Morin, </w:t>
      </w:r>
      <w:proofErr w:type="spellStart"/>
      <w:r>
        <w:t>Exh</w:t>
      </w:r>
      <w:proofErr w:type="spellEnd"/>
      <w:r>
        <w:t>. No._</w:t>
      </w:r>
      <w:proofErr w:type="gramStart"/>
      <w:r>
        <w:t>_(</w:t>
      </w:r>
      <w:proofErr w:type="gramEnd"/>
      <w:r>
        <w:t>RAM-1T) at 55:1-6, 57:6-11.</w:t>
      </w:r>
    </w:p>
  </w:footnote>
  <w:footnote w:id="24">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rPr>
          <w:u w:val="single"/>
        </w:rPr>
        <w:t>Id.</w:t>
      </w:r>
    </w:p>
  </w:footnote>
  <w:footnote w:id="25">
    <w:p w:rsidR="006D1C07" w:rsidRPr="004A1829" w:rsidRDefault="006D1C07">
      <w:pPr>
        <w:pStyle w:val="FootnoteText"/>
        <w:rPr>
          <w:u w:val="single"/>
        </w:rPr>
      </w:pPr>
      <w:r w:rsidRPr="004A1829">
        <w:rPr>
          <w:rStyle w:val="FootnoteReference"/>
          <w:u w:val="single"/>
        </w:rPr>
        <w:footnoteRef/>
      </w:r>
      <w:r>
        <w:rPr>
          <w:vertAlign w:val="superscript"/>
        </w:rPr>
        <w:t>/</w:t>
      </w:r>
      <w:r w:rsidRPr="004A1829">
        <w:t xml:space="preserve"> </w:t>
      </w:r>
      <w:r w:rsidRPr="004A1829">
        <w:tab/>
      </w:r>
      <w:r>
        <w:t xml:space="preserve">Gorman, </w:t>
      </w:r>
      <w:proofErr w:type="spellStart"/>
      <w:r>
        <w:t>Exh</w:t>
      </w:r>
      <w:proofErr w:type="spellEnd"/>
      <w:r>
        <w:t xml:space="preserve"> No._</w:t>
      </w:r>
      <w:proofErr w:type="gramStart"/>
      <w:r>
        <w:t>_(</w:t>
      </w:r>
      <w:proofErr w:type="gramEnd"/>
      <w:r>
        <w:t>MPG-25T) at 24:5-11.</w:t>
      </w:r>
    </w:p>
  </w:footnote>
  <w:footnote w:id="26">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PSE Initial Br. ¶¶ 35, 37.</w:t>
      </w:r>
    </w:p>
  </w:footnote>
  <w:footnote w:id="27">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proofErr w:type="spellStart"/>
      <w:r>
        <w:t>Ex</w:t>
      </w:r>
      <w:r w:rsidR="00A478D0">
        <w:t>h</w:t>
      </w:r>
      <w:proofErr w:type="spellEnd"/>
      <w:r>
        <w:t>. No._</w:t>
      </w:r>
      <w:proofErr w:type="gramStart"/>
      <w:r>
        <w:t>_(</w:t>
      </w:r>
      <w:proofErr w:type="gramEnd"/>
      <w:r>
        <w:t>MPG-3) at 25:12-15.</w:t>
      </w:r>
    </w:p>
  </w:footnote>
  <w:footnote w:id="28">
    <w:p w:rsidR="006D1C07" w:rsidRPr="0080722E" w:rsidRDefault="006D1C07">
      <w:pPr>
        <w:pStyle w:val="FootnoteText"/>
        <w:rPr>
          <w:u w:val="single"/>
        </w:rPr>
      </w:pPr>
      <w:r w:rsidRPr="0080722E">
        <w:rPr>
          <w:rStyle w:val="FootnoteReference"/>
          <w:u w:val="single"/>
        </w:rPr>
        <w:footnoteRef/>
      </w:r>
      <w:r>
        <w:rPr>
          <w:vertAlign w:val="superscript"/>
        </w:rPr>
        <w:t>/</w:t>
      </w:r>
      <w:r w:rsidRPr="0080722E">
        <w:t xml:space="preserve"> </w:t>
      </w:r>
      <w:r w:rsidRPr="0080722E">
        <w:tab/>
      </w:r>
      <w:r w:rsidR="00A478D0">
        <w:rPr>
          <w:u w:val="single"/>
        </w:rPr>
        <w:t>Id.</w:t>
      </w:r>
      <w:r>
        <w:t xml:space="preserve"> at 25:18-19.</w:t>
      </w:r>
    </w:p>
  </w:footnote>
  <w:footnote w:id="29">
    <w:p w:rsidR="006D1C07" w:rsidRPr="0080722E" w:rsidRDefault="006D1C07">
      <w:pPr>
        <w:pStyle w:val="FootnoteText"/>
        <w:rPr>
          <w:u w:val="single"/>
        </w:rPr>
      </w:pPr>
      <w:r w:rsidRPr="0080722E">
        <w:rPr>
          <w:rStyle w:val="FootnoteReference"/>
          <w:u w:val="single"/>
        </w:rPr>
        <w:footnoteRef/>
      </w:r>
      <w:r>
        <w:rPr>
          <w:vertAlign w:val="superscript"/>
        </w:rPr>
        <w:t>/</w:t>
      </w:r>
      <w:r w:rsidRPr="0080722E">
        <w:t xml:space="preserve"> </w:t>
      </w:r>
      <w:r w:rsidRPr="0080722E">
        <w:tab/>
      </w:r>
      <w:r>
        <w:t xml:space="preserve">Gorman, </w:t>
      </w:r>
      <w:proofErr w:type="spellStart"/>
      <w:r>
        <w:t>Exh</w:t>
      </w:r>
      <w:proofErr w:type="spellEnd"/>
      <w:r>
        <w:t>. No._</w:t>
      </w:r>
      <w:proofErr w:type="gramStart"/>
      <w:r>
        <w:t>_(</w:t>
      </w:r>
      <w:proofErr w:type="gramEnd"/>
      <w:r>
        <w:t>MPG-25T) at 29:21-22.</w:t>
      </w:r>
    </w:p>
  </w:footnote>
  <w:footnote w:id="30">
    <w:p w:rsidR="006D1C07" w:rsidRPr="002540F1" w:rsidRDefault="006D1C07">
      <w:pPr>
        <w:pStyle w:val="FootnoteText"/>
        <w:rPr>
          <w:u w:val="single"/>
        </w:rPr>
      </w:pPr>
      <w:r w:rsidRPr="002540F1">
        <w:rPr>
          <w:rStyle w:val="FootnoteReference"/>
          <w:u w:val="single"/>
        </w:rPr>
        <w:footnoteRef/>
      </w:r>
      <w:r>
        <w:rPr>
          <w:vertAlign w:val="superscript"/>
        </w:rPr>
        <w:t>/</w:t>
      </w:r>
      <w:r w:rsidRPr="002540F1">
        <w:t xml:space="preserve"> </w:t>
      </w:r>
      <w:r w:rsidRPr="002540F1">
        <w:tab/>
      </w:r>
      <w:r>
        <w:t>PSE Initial Br. ¶ 37.</w:t>
      </w:r>
    </w:p>
  </w:footnote>
  <w:footnote w:id="31">
    <w:p w:rsidR="006D1C07" w:rsidRPr="002540F1" w:rsidRDefault="006D1C07">
      <w:pPr>
        <w:pStyle w:val="FootnoteText"/>
        <w:rPr>
          <w:u w:val="single"/>
        </w:rPr>
      </w:pPr>
      <w:r w:rsidRPr="002540F1">
        <w:rPr>
          <w:rStyle w:val="FootnoteReference"/>
          <w:u w:val="single"/>
        </w:rPr>
        <w:footnoteRef/>
      </w:r>
      <w:r>
        <w:rPr>
          <w:vertAlign w:val="superscript"/>
        </w:rPr>
        <w:t>/</w:t>
      </w:r>
      <w:r w:rsidRPr="002540F1">
        <w:t xml:space="preserve"> </w:t>
      </w:r>
      <w:r w:rsidRPr="002540F1">
        <w:tab/>
      </w:r>
      <w:r>
        <w:t xml:space="preserve">Gorman, </w:t>
      </w:r>
      <w:proofErr w:type="spellStart"/>
      <w:r>
        <w:t>Exh</w:t>
      </w:r>
      <w:proofErr w:type="spellEnd"/>
      <w:r>
        <w:t>. Nos. _</w:t>
      </w:r>
      <w:proofErr w:type="gramStart"/>
      <w:r>
        <w:t>_(</w:t>
      </w:r>
      <w:proofErr w:type="gramEnd"/>
      <w:r>
        <w:t>MPG-3) at 22:21-22, (MPG-25T) at 25:19-20, (MPG-17) and (MPG-36).</w:t>
      </w:r>
    </w:p>
  </w:footnote>
  <w:footnote w:id="32">
    <w:p w:rsidR="006D1C07" w:rsidRPr="00F91EA6" w:rsidRDefault="006D1C07">
      <w:pPr>
        <w:pStyle w:val="FootnoteText"/>
        <w:rPr>
          <w:u w:val="single"/>
        </w:rPr>
      </w:pPr>
      <w:r w:rsidRPr="00F91EA6">
        <w:rPr>
          <w:rStyle w:val="FootnoteReference"/>
          <w:u w:val="single"/>
        </w:rPr>
        <w:footnoteRef/>
      </w:r>
      <w:r>
        <w:rPr>
          <w:vertAlign w:val="superscript"/>
        </w:rPr>
        <w:t>/</w:t>
      </w:r>
      <w:r w:rsidRPr="00F91EA6">
        <w:t xml:space="preserve"> </w:t>
      </w:r>
      <w:r w:rsidRPr="00F91EA6">
        <w:tab/>
      </w:r>
      <w:r>
        <w:t>PSE Initial Br. ¶ 37.</w:t>
      </w:r>
    </w:p>
  </w:footnote>
  <w:footnote w:id="33">
    <w:p w:rsidR="006D1C07" w:rsidRPr="002540F1" w:rsidRDefault="006D1C07">
      <w:pPr>
        <w:pStyle w:val="FootnoteText"/>
        <w:rPr>
          <w:u w:val="single"/>
        </w:rPr>
      </w:pPr>
      <w:r w:rsidRPr="002540F1">
        <w:rPr>
          <w:rStyle w:val="FootnoteReference"/>
          <w:u w:val="single"/>
        </w:rPr>
        <w:footnoteRef/>
      </w:r>
      <w:r>
        <w:rPr>
          <w:vertAlign w:val="superscript"/>
        </w:rPr>
        <w:t>/</w:t>
      </w:r>
      <w:r w:rsidRPr="002540F1">
        <w:t xml:space="preserve"> </w:t>
      </w:r>
      <w:r w:rsidRPr="002540F1">
        <w:tab/>
      </w:r>
      <w:r>
        <w:t xml:space="preserve">Gorman, </w:t>
      </w:r>
      <w:proofErr w:type="spellStart"/>
      <w:r>
        <w:t>Exh</w:t>
      </w:r>
      <w:proofErr w:type="spellEnd"/>
      <w:r>
        <w:t>. No._</w:t>
      </w:r>
      <w:proofErr w:type="gramStart"/>
      <w:r>
        <w:t>_(</w:t>
      </w:r>
      <w:proofErr w:type="gramEnd"/>
      <w:r>
        <w:t xml:space="preserve">MPG-25T) at 25:19-20; </w:t>
      </w:r>
      <w:proofErr w:type="spellStart"/>
      <w:r>
        <w:t>Exh</w:t>
      </w:r>
      <w:proofErr w:type="spellEnd"/>
      <w:r>
        <w:t>. No._</w:t>
      </w:r>
      <w:proofErr w:type="gramStart"/>
      <w:r>
        <w:t>_(</w:t>
      </w:r>
      <w:proofErr w:type="gramEnd"/>
      <w:r>
        <w:t>MPG-36).</w:t>
      </w:r>
    </w:p>
  </w:footnote>
  <w:footnote w:id="34">
    <w:p w:rsidR="006D1C07" w:rsidRPr="002540F1" w:rsidRDefault="006D1C07" w:rsidP="002540F1">
      <w:pPr>
        <w:pStyle w:val="FootnoteText"/>
        <w:ind w:left="720" w:hanging="720"/>
        <w:rPr>
          <w:u w:val="single"/>
        </w:rPr>
      </w:pPr>
      <w:r w:rsidRPr="002540F1">
        <w:rPr>
          <w:rStyle w:val="FootnoteReference"/>
          <w:u w:val="single"/>
        </w:rPr>
        <w:footnoteRef/>
      </w:r>
      <w:r>
        <w:rPr>
          <w:vertAlign w:val="superscript"/>
        </w:rPr>
        <w:t>/</w:t>
      </w:r>
      <w:r w:rsidRPr="002540F1">
        <w:t xml:space="preserve"> </w:t>
      </w:r>
      <w:r w:rsidRPr="002540F1">
        <w:tab/>
      </w:r>
      <w:proofErr w:type="spellStart"/>
      <w:r>
        <w:t>Exh</w:t>
      </w:r>
      <w:proofErr w:type="spellEnd"/>
      <w:r>
        <w:t>. No._</w:t>
      </w:r>
      <w:proofErr w:type="gramStart"/>
      <w:r>
        <w:t>_(</w:t>
      </w:r>
      <w:proofErr w:type="gramEnd"/>
      <w:r>
        <w:t xml:space="preserve">MPG-3) at 22:21-22; </w:t>
      </w:r>
      <w:proofErr w:type="spellStart"/>
      <w:r>
        <w:t>Exh</w:t>
      </w:r>
      <w:proofErr w:type="spellEnd"/>
      <w:r>
        <w:t>. No._</w:t>
      </w:r>
      <w:proofErr w:type="gramStart"/>
      <w:r>
        <w:t>_(</w:t>
      </w:r>
      <w:proofErr w:type="gramEnd"/>
      <w:r>
        <w:t>MPG-17</w:t>
      </w:r>
      <w:r w:rsidR="00E71141">
        <w:t>)</w:t>
      </w:r>
      <w:r>
        <w:t>.</w:t>
      </w:r>
    </w:p>
  </w:footnote>
  <w:footnote w:id="35">
    <w:p w:rsidR="006D1C07" w:rsidRPr="006276C3" w:rsidRDefault="006D1C07" w:rsidP="006276C3">
      <w:pPr>
        <w:pStyle w:val="FootnoteText"/>
        <w:ind w:left="720" w:hanging="720"/>
        <w:rPr>
          <w:u w:val="single"/>
        </w:rPr>
      </w:pPr>
      <w:r w:rsidRPr="006276C3">
        <w:rPr>
          <w:rStyle w:val="FootnoteReference"/>
          <w:u w:val="single"/>
        </w:rPr>
        <w:footnoteRef/>
      </w:r>
      <w:r>
        <w:rPr>
          <w:vertAlign w:val="superscript"/>
        </w:rPr>
        <w:t>/</w:t>
      </w:r>
      <w:r w:rsidRPr="006276C3">
        <w:t xml:space="preserve"> </w:t>
      </w:r>
      <w:r w:rsidRPr="006276C3">
        <w:tab/>
      </w:r>
      <w:r>
        <w:t xml:space="preserve">These results are derived by adding Dr. Morin’s risk-free rates of 4.6% in 2013 and 5.0% in 2014 to the equity risk premium in 2008 of -55.42 shown in </w:t>
      </w:r>
      <w:proofErr w:type="spellStart"/>
      <w:r>
        <w:t>Exh</w:t>
      </w:r>
      <w:proofErr w:type="spellEnd"/>
      <w:r>
        <w:t>. Nos._</w:t>
      </w:r>
      <w:proofErr w:type="gramStart"/>
      <w:r>
        <w:t>_(</w:t>
      </w:r>
      <w:proofErr w:type="gramEnd"/>
      <w:r>
        <w:t>RAM-8) and (RAM-14).</w:t>
      </w:r>
    </w:p>
  </w:footnote>
  <w:footnote w:id="36">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r>
        <w:t>PSE Initial Br. ¶¶38-39.</w:t>
      </w:r>
    </w:p>
  </w:footnote>
  <w:footnote w:id="37">
    <w:p w:rsidR="006D1C07" w:rsidRPr="00BA1846" w:rsidRDefault="006D1C07">
      <w:pPr>
        <w:pStyle w:val="FootnoteText"/>
      </w:pPr>
      <w:r w:rsidRPr="00BA1846">
        <w:rPr>
          <w:rStyle w:val="FootnoteReference"/>
          <w:u w:val="single"/>
        </w:rPr>
        <w:footnoteRef/>
      </w:r>
      <w:r>
        <w:rPr>
          <w:vertAlign w:val="superscript"/>
        </w:rPr>
        <w:t>/</w:t>
      </w:r>
      <w:r w:rsidRPr="00BA1846">
        <w:t xml:space="preserve"> </w:t>
      </w:r>
      <w:r w:rsidRPr="00BA1846">
        <w:tab/>
      </w:r>
      <w:r>
        <w:rPr>
          <w:u w:val="single"/>
        </w:rPr>
        <w:t>Id.</w:t>
      </w:r>
      <w:r>
        <w:t xml:space="preserve"> ¶ 38 (quoting Doyle, </w:t>
      </w:r>
      <w:proofErr w:type="spellStart"/>
      <w:r>
        <w:t>Exh</w:t>
      </w:r>
      <w:proofErr w:type="spellEnd"/>
      <w:r>
        <w:t>. No._</w:t>
      </w:r>
      <w:proofErr w:type="gramStart"/>
      <w:r>
        <w:t>_(</w:t>
      </w:r>
      <w:proofErr w:type="gramEnd"/>
      <w:r>
        <w:t>DAD-1T) at 7:1-6.</w:t>
      </w:r>
    </w:p>
  </w:footnote>
  <w:footnote w:id="38">
    <w:p w:rsidR="006D1C07" w:rsidRPr="00E95327" w:rsidRDefault="006D1C07">
      <w:pPr>
        <w:pStyle w:val="FootnoteText"/>
        <w:rPr>
          <w:u w:val="single"/>
        </w:rPr>
      </w:pPr>
      <w:r w:rsidRPr="00E95327">
        <w:rPr>
          <w:rStyle w:val="FootnoteReference"/>
          <w:u w:val="single"/>
        </w:rPr>
        <w:footnoteRef/>
      </w:r>
      <w:r>
        <w:rPr>
          <w:vertAlign w:val="superscript"/>
        </w:rPr>
        <w:t>/</w:t>
      </w:r>
      <w:r w:rsidRPr="00E95327">
        <w:t xml:space="preserve"> </w:t>
      </w:r>
      <w:r w:rsidRPr="00E95327">
        <w:tab/>
      </w:r>
      <w:r>
        <w:t xml:space="preserve">Morin, </w:t>
      </w:r>
      <w:proofErr w:type="spellStart"/>
      <w:r>
        <w:t>Exh</w:t>
      </w:r>
      <w:proofErr w:type="spellEnd"/>
      <w:r>
        <w:t>. No._</w:t>
      </w:r>
      <w:proofErr w:type="gramStart"/>
      <w:r>
        <w:t>_(</w:t>
      </w:r>
      <w:proofErr w:type="gramEnd"/>
      <w:r>
        <w:t>RAM-1T) at 12:6-10.</w:t>
      </w:r>
    </w:p>
  </w:footnote>
  <w:footnote w:id="39">
    <w:p w:rsidR="006D1C07" w:rsidRPr="00E95327" w:rsidRDefault="006D1C07" w:rsidP="00524F1D">
      <w:pPr>
        <w:pStyle w:val="FootnoteText"/>
        <w:rPr>
          <w:u w:val="single"/>
        </w:rPr>
      </w:pPr>
      <w:r w:rsidRPr="00E95327">
        <w:rPr>
          <w:rStyle w:val="FootnoteReference"/>
          <w:u w:val="single"/>
        </w:rPr>
        <w:footnoteRef/>
      </w:r>
      <w:r>
        <w:rPr>
          <w:vertAlign w:val="superscript"/>
        </w:rPr>
        <w:t>/</w:t>
      </w:r>
      <w:r w:rsidRPr="00E95327">
        <w:t xml:space="preserve"> </w:t>
      </w:r>
      <w:r w:rsidRPr="00E95327">
        <w:tab/>
      </w:r>
      <w:r>
        <w:t>Order 07 ¶ 56.</w:t>
      </w:r>
    </w:p>
  </w:footnote>
  <w:footnote w:id="40">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r>
        <w:t>PSE Initial Br. ¶ 40.</w:t>
      </w:r>
    </w:p>
  </w:footnote>
  <w:footnote w:id="41">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r>
        <w:rPr>
          <w:u w:val="single"/>
        </w:rPr>
        <w:t>Id.</w:t>
      </w:r>
    </w:p>
  </w:footnote>
  <w:footnote w:id="42">
    <w:p w:rsidR="006D1C07" w:rsidRPr="00524F1D" w:rsidRDefault="006D1C07">
      <w:pPr>
        <w:pStyle w:val="FootnoteText"/>
        <w:rPr>
          <w:u w:val="single"/>
        </w:rPr>
      </w:pPr>
      <w:r w:rsidRPr="00524F1D">
        <w:rPr>
          <w:rStyle w:val="FootnoteReference"/>
          <w:u w:val="single"/>
        </w:rPr>
        <w:footnoteRef/>
      </w:r>
      <w:r>
        <w:rPr>
          <w:vertAlign w:val="superscript"/>
        </w:rPr>
        <w:t>/</w:t>
      </w:r>
      <w:r w:rsidRPr="00524F1D">
        <w:t xml:space="preserve"> </w:t>
      </w:r>
      <w:r w:rsidRPr="00524F1D">
        <w:tab/>
      </w:r>
      <w:r>
        <w:rPr>
          <w:u w:val="single"/>
        </w:rPr>
        <w:t>Id.</w:t>
      </w:r>
    </w:p>
  </w:footnote>
  <w:footnote w:id="43">
    <w:p w:rsidR="006D1C07" w:rsidRPr="00BA1846" w:rsidRDefault="006D1C07">
      <w:pPr>
        <w:pStyle w:val="FootnoteText"/>
      </w:pPr>
      <w:r w:rsidRPr="00BA1846">
        <w:rPr>
          <w:rStyle w:val="FootnoteReference"/>
          <w:u w:val="single"/>
        </w:rPr>
        <w:footnoteRef/>
      </w:r>
      <w:r>
        <w:rPr>
          <w:vertAlign w:val="superscript"/>
        </w:rPr>
        <w:t>/</w:t>
      </w:r>
      <w:r w:rsidRPr="00BA1846">
        <w:t xml:space="preserve"> </w:t>
      </w:r>
      <w:r w:rsidRPr="00BA1846">
        <w:tab/>
      </w:r>
      <w:r>
        <w:rPr>
          <w:u w:val="single"/>
        </w:rPr>
        <w:t>Id.</w:t>
      </w:r>
      <w:r>
        <w:t>; Gorman, Tr. 695:13-696:14.</w:t>
      </w:r>
    </w:p>
  </w:footnote>
  <w:footnote w:id="44">
    <w:p w:rsidR="006D1C07" w:rsidRPr="00BA1846" w:rsidRDefault="006D1C07">
      <w:pPr>
        <w:pStyle w:val="FootnoteText"/>
      </w:pPr>
      <w:r w:rsidRPr="00BA1846">
        <w:rPr>
          <w:rStyle w:val="FootnoteReference"/>
          <w:u w:val="single"/>
        </w:rPr>
        <w:footnoteRef/>
      </w:r>
      <w:r>
        <w:rPr>
          <w:vertAlign w:val="superscript"/>
        </w:rPr>
        <w:t>/</w:t>
      </w:r>
      <w:r w:rsidRPr="00BA1846">
        <w:t xml:space="preserve"> </w:t>
      </w:r>
      <w:r w:rsidRPr="00BA1846">
        <w:tab/>
      </w:r>
      <w:r>
        <w:rPr>
          <w:u w:val="single"/>
        </w:rPr>
        <w:t>See</w:t>
      </w:r>
      <w:r>
        <w:t xml:space="preserve"> Docket Nos. </w:t>
      </w:r>
      <w:proofErr w:type="gramStart"/>
      <w:r>
        <w:t xml:space="preserve">UE-121697 </w:t>
      </w:r>
      <w:r>
        <w:rPr>
          <w:i/>
        </w:rPr>
        <w:t>et al.</w:t>
      </w:r>
      <w:r>
        <w:t xml:space="preserve">, PSE Revisions to Testimony and Exhibits (Feb. </w:t>
      </w:r>
      <w:r w:rsidR="00E71141">
        <w:t xml:space="preserve">5 &amp; </w:t>
      </w:r>
      <w:r>
        <w:t>10, 2015).</w:t>
      </w:r>
      <w:proofErr w:type="gramEnd"/>
    </w:p>
  </w:footnote>
  <w:footnote w:id="45">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proofErr w:type="spellStart"/>
      <w:r>
        <w:t>Exh</w:t>
      </w:r>
      <w:proofErr w:type="spellEnd"/>
      <w:r>
        <w:t>. No._</w:t>
      </w:r>
      <w:proofErr w:type="gramStart"/>
      <w:r>
        <w:t>_(</w:t>
      </w:r>
      <w:proofErr w:type="gramEnd"/>
      <w:r>
        <w:t>RAM-10) at 2.</w:t>
      </w:r>
    </w:p>
  </w:footnote>
  <w:footnote w:id="46">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proofErr w:type="spellStart"/>
      <w:r>
        <w:t>Exh</w:t>
      </w:r>
      <w:proofErr w:type="spellEnd"/>
      <w:r>
        <w:t>. No._</w:t>
      </w:r>
      <w:proofErr w:type="gramStart"/>
      <w:r>
        <w:t>_(</w:t>
      </w:r>
      <w:proofErr w:type="gramEnd"/>
      <w:r>
        <w:t>RAM-11) at 2.</w:t>
      </w:r>
    </w:p>
  </w:footnote>
  <w:footnote w:id="47">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proofErr w:type="spellStart"/>
      <w:r>
        <w:t>Exh</w:t>
      </w:r>
      <w:proofErr w:type="spellEnd"/>
      <w:r>
        <w:t>. No._</w:t>
      </w:r>
      <w:proofErr w:type="gramStart"/>
      <w:r>
        <w:t>_(</w:t>
      </w:r>
      <w:proofErr w:type="gramEnd"/>
      <w:r>
        <w:t>MPG-29).</w:t>
      </w:r>
    </w:p>
  </w:footnote>
  <w:footnote w:id="48">
    <w:p w:rsidR="006D1C07" w:rsidRDefault="006D1C07" w:rsidP="00AB6CFD">
      <w:pPr>
        <w:pStyle w:val="FootnoteText"/>
        <w:ind w:left="720" w:hanging="720"/>
      </w:pPr>
      <w:r>
        <w:rPr>
          <w:rStyle w:val="FootnoteReference"/>
        </w:rPr>
        <w:footnoteRef/>
      </w:r>
      <w:r>
        <w:t xml:space="preserve"> </w:t>
      </w:r>
      <w:r>
        <w:tab/>
      </w:r>
      <w:proofErr w:type="spellStart"/>
      <w:proofErr w:type="gramStart"/>
      <w:r>
        <w:t>Exh</w:t>
      </w:r>
      <w:proofErr w:type="spellEnd"/>
      <w:r>
        <w:t>.</w:t>
      </w:r>
      <w:proofErr w:type="gramEnd"/>
      <w:r>
        <w:t xml:space="preserve"> No._</w:t>
      </w:r>
      <w:proofErr w:type="gramStart"/>
      <w:r>
        <w:t>_(</w:t>
      </w:r>
      <w:proofErr w:type="gramEnd"/>
      <w:r>
        <w:t xml:space="preserve">MPG-32).  Mr. Gorman’s 2014 multi-stage DCF model increases from 8.64 to 8.69%.  </w:t>
      </w:r>
      <w:proofErr w:type="spellStart"/>
      <w:proofErr w:type="gramStart"/>
      <w:r>
        <w:t>Exh</w:t>
      </w:r>
      <w:proofErr w:type="spellEnd"/>
      <w:r>
        <w:t>.</w:t>
      </w:r>
      <w:proofErr w:type="gramEnd"/>
      <w:r>
        <w:t xml:space="preserve"> No._</w:t>
      </w:r>
      <w:proofErr w:type="gramStart"/>
      <w:r>
        <w:t>_(</w:t>
      </w:r>
      <w:proofErr w:type="gramEnd"/>
      <w:r>
        <w:t>MPG-34).</w:t>
      </w:r>
    </w:p>
  </w:footnote>
  <w:footnote w:id="49">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t>PSE Initial Br. ¶ 41.</w:t>
      </w:r>
    </w:p>
  </w:footnote>
  <w:footnote w:id="50">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rPr>
          <w:u w:val="single"/>
        </w:rPr>
        <w:t>Id.</w:t>
      </w:r>
    </w:p>
  </w:footnote>
  <w:footnote w:id="51">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rPr>
          <w:u w:val="single"/>
        </w:rPr>
        <w:t>Id.</w:t>
      </w:r>
    </w:p>
  </w:footnote>
  <w:footnote w:id="52">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proofErr w:type="spellStart"/>
      <w:r>
        <w:t>Exh</w:t>
      </w:r>
      <w:proofErr w:type="spellEnd"/>
      <w:r>
        <w:t>. No._</w:t>
      </w:r>
      <w:proofErr w:type="gramStart"/>
      <w:r>
        <w:t>_(</w:t>
      </w:r>
      <w:proofErr w:type="gramEnd"/>
      <w:r>
        <w:t>MPG-42) (line 1).</w:t>
      </w:r>
    </w:p>
  </w:footnote>
  <w:footnote w:id="53">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t>PSE Initial Br. ¶ 41.</w:t>
      </w:r>
    </w:p>
  </w:footnote>
  <w:footnote w:id="54">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rPr>
          <w:u w:val="single"/>
        </w:rPr>
        <w:t>Id.</w:t>
      </w:r>
    </w:p>
  </w:footnote>
  <w:footnote w:id="55">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proofErr w:type="spellStart"/>
      <w:r>
        <w:t>Exh</w:t>
      </w:r>
      <w:proofErr w:type="spellEnd"/>
      <w:r>
        <w:t>. No._</w:t>
      </w:r>
      <w:proofErr w:type="gramStart"/>
      <w:r>
        <w:t>_(</w:t>
      </w:r>
      <w:proofErr w:type="gramEnd"/>
      <w:r>
        <w:t>MPG-42).</w:t>
      </w:r>
    </w:p>
  </w:footnote>
  <w:footnote w:id="56">
    <w:p w:rsidR="006D1C07" w:rsidRPr="00AB6CFD" w:rsidRDefault="006D1C07">
      <w:pPr>
        <w:pStyle w:val="FootnoteText"/>
      </w:pPr>
      <w:r w:rsidRPr="00AB6CFD">
        <w:rPr>
          <w:rStyle w:val="FootnoteReference"/>
          <w:u w:val="single"/>
        </w:rPr>
        <w:footnoteRef/>
      </w:r>
      <w:r>
        <w:rPr>
          <w:vertAlign w:val="superscript"/>
        </w:rPr>
        <w:t>/</w:t>
      </w:r>
      <w:r w:rsidRPr="00AB6CFD">
        <w:t xml:space="preserve"> </w:t>
      </w:r>
      <w:r w:rsidRPr="00AB6CFD">
        <w:tab/>
      </w:r>
      <w:r>
        <w:rPr>
          <w:u w:val="single"/>
        </w:rPr>
        <w:t>Id.</w:t>
      </w:r>
      <w:r>
        <w:t xml:space="preserve">; Gorman, </w:t>
      </w:r>
      <w:proofErr w:type="spellStart"/>
      <w:r>
        <w:t>Exh</w:t>
      </w:r>
      <w:proofErr w:type="spellEnd"/>
      <w:r>
        <w:t>. No._</w:t>
      </w:r>
      <w:proofErr w:type="gramStart"/>
      <w:r>
        <w:t>_(</w:t>
      </w:r>
      <w:proofErr w:type="gramEnd"/>
      <w:r>
        <w:t>MPG-25T) at 37:10-13.</w:t>
      </w:r>
    </w:p>
  </w:footnote>
  <w:footnote w:id="57">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t xml:space="preserve">Gorman, </w:t>
      </w:r>
      <w:proofErr w:type="spellStart"/>
      <w:r>
        <w:t>Exh</w:t>
      </w:r>
      <w:proofErr w:type="spellEnd"/>
      <w:r>
        <w:t>. No._</w:t>
      </w:r>
      <w:proofErr w:type="gramStart"/>
      <w:r>
        <w:t>_(</w:t>
      </w:r>
      <w:proofErr w:type="gramEnd"/>
      <w:r>
        <w:t>MPG-25T) at 37:10-13.</w:t>
      </w:r>
    </w:p>
  </w:footnote>
  <w:footnote w:id="58">
    <w:p w:rsidR="006D1C07" w:rsidRPr="00CD4C71" w:rsidRDefault="006D1C07">
      <w:pPr>
        <w:pStyle w:val="FootnoteText"/>
        <w:rPr>
          <w:u w:val="single"/>
        </w:rPr>
      </w:pPr>
      <w:r w:rsidRPr="00CD4C71">
        <w:rPr>
          <w:rStyle w:val="FootnoteReference"/>
          <w:u w:val="single"/>
        </w:rPr>
        <w:footnoteRef/>
      </w:r>
      <w:r>
        <w:rPr>
          <w:vertAlign w:val="superscript"/>
        </w:rPr>
        <w:t>/</w:t>
      </w:r>
      <w:r w:rsidRPr="00CD4C71">
        <w:t xml:space="preserve"> </w:t>
      </w:r>
      <w:r w:rsidRPr="00CD4C71">
        <w:tab/>
      </w:r>
      <w:r>
        <w:t>PSE Initial Br. ¶¶ 50, 53.</w:t>
      </w:r>
    </w:p>
  </w:footnote>
  <w:footnote w:id="59">
    <w:p w:rsidR="006D1C07" w:rsidRPr="00CD4C71" w:rsidRDefault="006D1C07">
      <w:pPr>
        <w:pStyle w:val="FootnoteText"/>
        <w:rPr>
          <w:u w:val="single"/>
        </w:rPr>
      </w:pPr>
      <w:r w:rsidRPr="00CD4C71">
        <w:rPr>
          <w:rStyle w:val="FootnoteReference"/>
          <w:u w:val="single"/>
        </w:rPr>
        <w:footnoteRef/>
      </w:r>
      <w:r>
        <w:rPr>
          <w:vertAlign w:val="superscript"/>
        </w:rPr>
        <w:t>/</w:t>
      </w:r>
      <w:r w:rsidRPr="00CD4C71">
        <w:t xml:space="preserve"> </w:t>
      </w:r>
      <w:r w:rsidRPr="00CD4C71">
        <w:tab/>
      </w:r>
      <w:r>
        <w:rPr>
          <w:u w:val="single"/>
        </w:rPr>
        <w:t>Id.</w:t>
      </w:r>
      <w:r>
        <w:t xml:space="preserve"> ¶ 73.</w:t>
      </w:r>
    </w:p>
  </w:footnote>
  <w:footnote w:id="60">
    <w:p w:rsidR="006D1C07" w:rsidRPr="00294C79" w:rsidRDefault="006D1C07">
      <w:pPr>
        <w:pStyle w:val="FootnoteText"/>
        <w:rPr>
          <w:u w:val="single"/>
        </w:rPr>
      </w:pPr>
      <w:r w:rsidRPr="00294C79">
        <w:rPr>
          <w:rStyle w:val="FootnoteReference"/>
          <w:u w:val="single"/>
        </w:rPr>
        <w:footnoteRef/>
      </w:r>
      <w:r>
        <w:rPr>
          <w:vertAlign w:val="superscript"/>
        </w:rPr>
        <w:t>/</w:t>
      </w:r>
      <w:r w:rsidRPr="00294C79">
        <w:t xml:space="preserve"> </w:t>
      </w:r>
      <w:r w:rsidRPr="00294C79">
        <w:tab/>
      </w:r>
      <w:r>
        <w:rPr>
          <w:u w:val="single"/>
        </w:rPr>
        <w:t>Id.</w:t>
      </w:r>
      <w:r>
        <w:t xml:space="preserve"> ¶ 76.</w:t>
      </w:r>
    </w:p>
  </w:footnote>
  <w:footnote w:id="61">
    <w:p w:rsidR="006D1C07" w:rsidRPr="006D1C07" w:rsidRDefault="006D1C07">
      <w:pPr>
        <w:pStyle w:val="FootnoteText"/>
      </w:pPr>
      <w:r w:rsidRPr="006D1C07">
        <w:rPr>
          <w:rStyle w:val="FootnoteReference"/>
          <w:u w:val="single"/>
        </w:rPr>
        <w:footnoteRef/>
      </w:r>
      <w:r>
        <w:rPr>
          <w:vertAlign w:val="superscript"/>
        </w:rPr>
        <w:t>/</w:t>
      </w:r>
      <w:r w:rsidRPr="006D1C07">
        <w:t xml:space="preserve"> </w:t>
      </w:r>
      <w:r w:rsidRPr="006D1C07">
        <w:tab/>
      </w:r>
      <w:r>
        <w:rPr>
          <w:u w:val="single"/>
        </w:rPr>
        <w:t>See</w:t>
      </w:r>
      <w:r>
        <w:t xml:space="preserve"> </w:t>
      </w:r>
      <w:proofErr w:type="spellStart"/>
      <w:r>
        <w:t>Exh</w:t>
      </w:r>
      <w:proofErr w:type="spellEnd"/>
      <w:r>
        <w:t>. No._</w:t>
      </w:r>
      <w:proofErr w:type="gramStart"/>
      <w:r>
        <w:t>_(</w:t>
      </w:r>
      <w:proofErr w:type="gramEnd"/>
      <w:r>
        <w:t>MPG-45CX) at 2 (Moody’s report discussing the earnings sharing mechanism).</w:t>
      </w:r>
    </w:p>
  </w:footnote>
  <w:footnote w:id="62">
    <w:p w:rsidR="006D1C07" w:rsidRPr="00294C79" w:rsidRDefault="006D1C07">
      <w:pPr>
        <w:pStyle w:val="FootnoteText"/>
        <w:rPr>
          <w:u w:val="single"/>
        </w:rPr>
      </w:pPr>
      <w:r w:rsidRPr="00294C79">
        <w:rPr>
          <w:rStyle w:val="FootnoteReference"/>
          <w:u w:val="single"/>
        </w:rPr>
        <w:footnoteRef/>
      </w:r>
      <w:r>
        <w:rPr>
          <w:vertAlign w:val="superscript"/>
        </w:rPr>
        <w:t>/</w:t>
      </w:r>
      <w:r w:rsidRPr="00294C79">
        <w:t xml:space="preserve"> </w:t>
      </w:r>
      <w:r w:rsidRPr="00294C79">
        <w:tab/>
      </w:r>
      <w:r>
        <w:t>PSE Initial Br. ¶ 57.</w:t>
      </w:r>
    </w:p>
  </w:footnote>
  <w:footnote w:id="63">
    <w:p w:rsidR="006D1C07" w:rsidRPr="00294C79" w:rsidRDefault="006D1C07">
      <w:pPr>
        <w:pStyle w:val="FootnoteText"/>
        <w:rPr>
          <w:u w:val="single"/>
        </w:rPr>
      </w:pPr>
      <w:r w:rsidRPr="00294C79">
        <w:rPr>
          <w:rStyle w:val="FootnoteReference"/>
          <w:u w:val="single"/>
        </w:rPr>
        <w:footnoteRef/>
      </w:r>
      <w:r>
        <w:rPr>
          <w:vertAlign w:val="superscript"/>
        </w:rPr>
        <w:t>/</w:t>
      </w:r>
      <w:r w:rsidRPr="00294C79">
        <w:t xml:space="preserve"> </w:t>
      </w:r>
      <w:r w:rsidRPr="00294C79">
        <w:tab/>
      </w:r>
      <w:r w:rsidR="00A478D0">
        <w:rPr>
          <w:u w:val="single"/>
        </w:rPr>
        <w:t>Id.</w:t>
      </w:r>
      <w:r>
        <w:t xml:space="preserve"> ¶ 50.</w:t>
      </w:r>
    </w:p>
  </w:footnote>
  <w:footnote w:id="64">
    <w:p w:rsidR="006D1C07" w:rsidRPr="001B13D6" w:rsidRDefault="006D1C07">
      <w:pPr>
        <w:pStyle w:val="FootnoteText"/>
        <w:rPr>
          <w:u w:val="single"/>
        </w:rPr>
      </w:pPr>
      <w:r w:rsidRPr="001B13D6">
        <w:rPr>
          <w:rStyle w:val="FootnoteReference"/>
          <w:u w:val="single"/>
        </w:rPr>
        <w:footnoteRef/>
      </w:r>
      <w:r>
        <w:rPr>
          <w:vertAlign w:val="superscript"/>
        </w:rPr>
        <w:t>/</w:t>
      </w:r>
      <w:r w:rsidRPr="001B13D6">
        <w:t xml:space="preserve"> </w:t>
      </w:r>
      <w:r w:rsidRPr="001B13D6">
        <w:tab/>
      </w:r>
      <w:r>
        <w:t xml:space="preserve">Order 07 ¶ 104.  </w:t>
      </w:r>
    </w:p>
  </w:footnote>
  <w:footnote w:id="65">
    <w:p w:rsidR="00FA624F" w:rsidRPr="00FA624F" w:rsidRDefault="00FA624F">
      <w:pPr>
        <w:pStyle w:val="FootnoteText"/>
      </w:pPr>
      <w:r w:rsidRPr="00FA624F">
        <w:rPr>
          <w:rStyle w:val="FootnoteReference"/>
          <w:u w:val="single"/>
        </w:rPr>
        <w:footnoteRef/>
      </w:r>
      <w:r>
        <w:rPr>
          <w:vertAlign w:val="superscript"/>
        </w:rPr>
        <w:t>/</w:t>
      </w:r>
      <w:r w:rsidRPr="00FA624F">
        <w:t xml:space="preserve"> </w:t>
      </w:r>
      <w:r w:rsidRPr="00FA624F">
        <w:tab/>
      </w:r>
      <w:r>
        <w:rPr>
          <w:u w:val="single"/>
        </w:rPr>
        <w:t>Id.</w:t>
      </w:r>
      <w:r>
        <w:t xml:space="preserve"> ¶ 103.</w:t>
      </w:r>
    </w:p>
  </w:footnote>
  <w:footnote w:id="66">
    <w:p w:rsidR="00FA624F" w:rsidRPr="00FA624F" w:rsidRDefault="00FA624F">
      <w:pPr>
        <w:pStyle w:val="FootnoteText"/>
        <w:rPr>
          <w:u w:val="single"/>
        </w:rPr>
      </w:pPr>
      <w:r w:rsidRPr="00FA624F">
        <w:rPr>
          <w:rStyle w:val="FootnoteReference"/>
          <w:u w:val="single"/>
        </w:rPr>
        <w:footnoteRef/>
      </w:r>
      <w:r>
        <w:rPr>
          <w:vertAlign w:val="superscript"/>
        </w:rPr>
        <w:t>/</w:t>
      </w:r>
      <w:r w:rsidRPr="00FA624F">
        <w:t xml:space="preserve"> </w:t>
      </w:r>
      <w:r w:rsidRPr="00FA624F">
        <w:tab/>
      </w:r>
      <w:r>
        <w:t xml:space="preserve">Morin, </w:t>
      </w:r>
      <w:proofErr w:type="spellStart"/>
      <w:r>
        <w:t>Exh</w:t>
      </w:r>
      <w:proofErr w:type="spellEnd"/>
      <w:r>
        <w:t>. No._</w:t>
      </w:r>
      <w:proofErr w:type="gramStart"/>
      <w:r>
        <w:t>_(</w:t>
      </w:r>
      <w:proofErr w:type="gramEnd"/>
      <w:r>
        <w:t>RAM-16T) at 29:8-9; Morin, Tr. 686:8-12.</w:t>
      </w:r>
    </w:p>
  </w:footnote>
  <w:footnote w:id="67">
    <w:p w:rsidR="00032CD1" w:rsidRPr="00032CD1" w:rsidRDefault="00032CD1" w:rsidP="00032CD1">
      <w:pPr>
        <w:pStyle w:val="FootnoteText"/>
        <w:ind w:left="720" w:hanging="720"/>
        <w:rPr>
          <w:u w:val="single"/>
        </w:rPr>
      </w:pPr>
      <w:r w:rsidRPr="00032CD1">
        <w:rPr>
          <w:rStyle w:val="FootnoteReference"/>
          <w:u w:val="single"/>
        </w:rPr>
        <w:footnoteRef/>
      </w:r>
      <w:r>
        <w:rPr>
          <w:vertAlign w:val="superscript"/>
        </w:rPr>
        <w:t>/</w:t>
      </w:r>
      <w:r w:rsidRPr="00032CD1">
        <w:t xml:space="preserve"> </w:t>
      </w:r>
      <w:r w:rsidRPr="00032CD1">
        <w:tab/>
      </w:r>
      <w:r>
        <w:t xml:space="preserve">Gorman, </w:t>
      </w:r>
      <w:proofErr w:type="spellStart"/>
      <w:r>
        <w:t>Exh</w:t>
      </w:r>
      <w:proofErr w:type="spellEnd"/>
      <w:r>
        <w:t>. No._</w:t>
      </w:r>
      <w:proofErr w:type="gramStart"/>
      <w:r>
        <w:t>_(</w:t>
      </w:r>
      <w:proofErr w:type="gramEnd"/>
      <w:r>
        <w:t xml:space="preserve">MPG-25T) at 4:1-5:6; Hill, </w:t>
      </w:r>
      <w:proofErr w:type="spellStart"/>
      <w:r>
        <w:t>Exh</w:t>
      </w:r>
      <w:proofErr w:type="spellEnd"/>
      <w:r>
        <w:t>. No._</w:t>
      </w:r>
      <w:proofErr w:type="gramStart"/>
      <w:r>
        <w:t>_(</w:t>
      </w:r>
      <w:proofErr w:type="gramEnd"/>
      <w:r>
        <w:t xml:space="preserve">SGH-2T) at 83:17-123:17; </w:t>
      </w:r>
      <w:proofErr w:type="spellStart"/>
      <w:r>
        <w:t>Exh</w:t>
      </w:r>
      <w:proofErr w:type="spellEnd"/>
      <w:r>
        <w:t>. Nos._</w:t>
      </w:r>
      <w:proofErr w:type="gramStart"/>
      <w:r>
        <w:t>_(</w:t>
      </w:r>
      <w:proofErr w:type="gramEnd"/>
      <w:r>
        <w:t xml:space="preserve">RAM-25CX) and (RAM-26CX); </w:t>
      </w:r>
      <w:proofErr w:type="spellStart"/>
      <w:r>
        <w:t>Exh</w:t>
      </w:r>
      <w:proofErr w:type="spellEnd"/>
      <w:r>
        <w:t>. No._</w:t>
      </w:r>
      <w:proofErr w:type="gramStart"/>
      <w:r>
        <w:t>_(</w:t>
      </w:r>
      <w:proofErr w:type="gramEnd"/>
      <w:r>
        <w:t>SGH-23CX).</w:t>
      </w:r>
    </w:p>
  </w:footnote>
  <w:footnote w:id="68">
    <w:p w:rsidR="00032CD1" w:rsidRPr="00032CD1" w:rsidRDefault="00032CD1">
      <w:pPr>
        <w:pStyle w:val="FootnoteText"/>
        <w:rPr>
          <w:u w:val="single"/>
        </w:rPr>
      </w:pPr>
      <w:r w:rsidRPr="00032CD1">
        <w:rPr>
          <w:rStyle w:val="FootnoteReference"/>
          <w:u w:val="single"/>
        </w:rPr>
        <w:footnoteRef/>
      </w:r>
      <w:r>
        <w:rPr>
          <w:vertAlign w:val="superscript"/>
        </w:rPr>
        <w:t>/</w:t>
      </w:r>
      <w:r w:rsidRPr="00032CD1">
        <w:t xml:space="preserve"> </w:t>
      </w:r>
      <w:r w:rsidRPr="00032CD1">
        <w:tab/>
      </w:r>
      <w:r>
        <w:t>ICNU Initial Br. ¶¶ 66-74.</w:t>
      </w:r>
    </w:p>
  </w:footnote>
  <w:footnote w:id="69">
    <w:p w:rsidR="00032CD1" w:rsidRPr="00032CD1" w:rsidRDefault="00032CD1">
      <w:pPr>
        <w:pStyle w:val="FootnoteText"/>
      </w:pPr>
      <w:r w:rsidRPr="00032CD1">
        <w:rPr>
          <w:rStyle w:val="FootnoteReference"/>
          <w:u w:val="single"/>
        </w:rPr>
        <w:footnoteRef/>
      </w:r>
      <w:r>
        <w:rPr>
          <w:vertAlign w:val="superscript"/>
        </w:rPr>
        <w:t>/</w:t>
      </w:r>
      <w:r w:rsidRPr="00032CD1">
        <w:t xml:space="preserve"> </w:t>
      </w:r>
      <w:r w:rsidRPr="00032CD1">
        <w:tab/>
      </w:r>
      <w:r>
        <w:rPr>
          <w:u w:val="single"/>
        </w:rPr>
        <w:t>Id.</w:t>
      </w:r>
      <w:r>
        <w:t xml:space="preserve"> ¶¶ 75-83.</w:t>
      </w:r>
    </w:p>
  </w:footnote>
  <w:footnote w:id="70">
    <w:p w:rsidR="006D1C07" w:rsidRPr="006D1C07" w:rsidRDefault="006D1C07">
      <w:pPr>
        <w:pStyle w:val="FootnoteText"/>
      </w:pPr>
      <w:r w:rsidRPr="006D1C07">
        <w:rPr>
          <w:rStyle w:val="FootnoteReference"/>
          <w:u w:val="single"/>
        </w:rPr>
        <w:footnoteRef/>
      </w:r>
      <w:r>
        <w:rPr>
          <w:vertAlign w:val="superscript"/>
        </w:rPr>
        <w:t>/</w:t>
      </w:r>
      <w:r w:rsidRPr="006D1C07">
        <w:t xml:space="preserve"> </w:t>
      </w:r>
      <w:r w:rsidRPr="006D1C07">
        <w:tab/>
      </w:r>
      <w:proofErr w:type="spellStart"/>
      <w:r>
        <w:t>Exh</w:t>
      </w:r>
      <w:proofErr w:type="spellEnd"/>
      <w:r>
        <w:t>. No._</w:t>
      </w:r>
      <w:proofErr w:type="gramStart"/>
      <w:r>
        <w:t>_(</w:t>
      </w:r>
      <w:proofErr w:type="gramEnd"/>
      <w:r>
        <w:t>MPG-45CX) at 2.</w:t>
      </w:r>
    </w:p>
  </w:footnote>
  <w:footnote w:id="71">
    <w:p w:rsidR="006D1C07" w:rsidRPr="006D1C07" w:rsidRDefault="006D1C07">
      <w:pPr>
        <w:pStyle w:val="FootnoteText"/>
        <w:rPr>
          <w:u w:val="single"/>
        </w:rPr>
      </w:pPr>
      <w:r w:rsidRPr="006D1C07">
        <w:rPr>
          <w:rStyle w:val="FootnoteReference"/>
          <w:u w:val="single"/>
        </w:rPr>
        <w:footnoteRef/>
      </w:r>
      <w:r>
        <w:rPr>
          <w:vertAlign w:val="superscript"/>
        </w:rPr>
        <w:t>/</w:t>
      </w:r>
      <w:r w:rsidRPr="006D1C07">
        <w:t xml:space="preserve"> </w:t>
      </w:r>
      <w:r w:rsidRPr="006D1C07">
        <w:tab/>
      </w:r>
      <w:r>
        <w:t>PSE Initial Br. ¶¶ 79-81.</w:t>
      </w:r>
    </w:p>
  </w:footnote>
  <w:footnote w:id="72">
    <w:p w:rsidR="006D1C07" w:rsidRPr="00963BF0" w:rsidRDefault="006D1C07">
      <w:pPr>
        <w:pStyle w:val="FootnoteText"/>
        <w:rPr>
          <w:u w:val="single"/>
        </w:rPr>
      </w:pPr>
      <w:r w:rsidRPr="00963BF0">
        <w:rPr>
          <w:rStyle w:val="FootnoteReference"/>
          <w:u w:val="single"/>
        </w:rPr>
        <w:footnoteRef/>
      </w:r>
      <w:r>
        <w:rPr>
          <w:vertAlign w:val="superscript"/>
        </w:rPr>
        <w:t>/</w:t>
      </w:r>
      <w:r w:rsidRPr="00963BF0">
        <w:t xml:space="preserve"> </w:t>
      </w:r>
      <w:r w:rsidRPr="00963BF0">
        <w:tab/>
      </w:r>
      <w:r>
        <w:rPr>
          <w:u w:val="single"/>
        </w:rPr>
        <w:t>Id.</w:t>
      </w:r>
      <w:r>
        <w:t xml:space="preserve"> ¶ 81 (emphasis in original).</w:t>
      </w:r>
    </w:p>
  </w:footnote>
  <w:footnote w:id="73">
    <w:p w:rsidR="006D1C07" w:rsidRPr="00A548C6" w:rsidRDefault="006D1C07">
      <w:pPr>
        <w:pStyle w:val="FootnoteText"/>
        <w:rPr>
          <w:u w:val="single"/>
        </w:rPr>
      </w:pPr>
      <w:r w:rsidRPr="00A548C6">
        <w:rPr>
          <w:rStyle w:val="FootnoteReference"/>
          <w:u w:val="single"/>
        </w:rPr>
        <w:footnoteRef/>
      </w:r>
      <w:r>
        <w:rPr>
          <w:vertAlign w:val="superscript"/>
        </w:rPr>
        <w:t>/</w:t>
      </w:r>
      <w:r w:rsidRPr="00A548C6">
        <w:t xml:space="preserve"> </w:t>
      </w:r>
      <w:r w:rsidRPr="00A548C6">
        <w:tab/>
      </w:r>
      <w:r>
        <w:rPr>
          <w:u w:val="single"/>
        </w:rPr>
        <w:t>Id.</w:t>
      </w:r>
      <w:r>
        <w:t xml:space="preserve"> ¶ 80 (quoting </w:t>
      </w:r>
      <w:proofErr w:type="spellStart"/>
      <w:r>
        <w:t>Exh</w:t>
      </w:r>
      <w:proofErr w:type="spellEnd"/>
      <w:r>
        <w:t>. No._</w:t>
      </w:r>
      <w:proofErr w:type="gramStart"/>
      <w:r>
        <w:t>_(</w:t>
      </w:r>
      <w:proofErr w:type="gramEnd"/>
      <w:r>
        <w:t>DCP-18CX)).</w:t>
      </w:r>
    </w:p>
  </w:footnote>
  <w:footnote w:id="74">
    <w:p w:rsidR="006D1C07" w:rsidRPr="00A548C6" w:rsidRDefault="006D1C07">
      <w:pPr>
        <w:pStyle w:val="FootnoteText"/>
      </w:pPr>
      <w:r w:rsidRPr="00A548C6">
        <w:rPr>
          <w:rStyle w:val="FootnoteReference"/>
          <w:u w:val="single"/>
        </w:rPr>
        <w:footnoteRef/>
      </w:r>
      <w:r>
        <w:rPr>
          <w:vertAlign w:val="superscript"/>
        </w:rPr>
        <w:t>/</w:t>
      </w:r>
      <w:r w:rsidRPr="00A548C6">
        <w:t xml:space="preserve"> </w:t>
      </w:r>
      <w:r w:rsidRPr="00A548C6">
        <w:tab/>
      </w:r>
      <w:r>
        <w:rPr>
          <w:u w:val="single"/>
        </w:rPr>
        <w:t>Id.</w:t>
      </w:r>
      <w:r>
        <w:t xml:space="preserve"> (quoting </w:t>
      </w:r>
      <w:proofErr w:type="spellStart"/>
      <w:r>
        <w:t>Exh</w:t>
      </w:r>
      <w:proofErr w:type="spellEnd"/>
      <w:r>
        <w:t>. No._</w:t>
      </w:r>
      <w:proofErr w:type="gramStart"/>
      <w:r>
        <w:t>_(</w:t>
      </w:r>
      <w:proofErr w:type="gramEnd"/>
      <w:r>
        <w:t>MPG-45CX)).</w:t>
      </w:r>
    </w:p>
  </w:footnote>
  <w:footnote w:id="75">
    <w:p w:rsidR="006D1C07" w:rsidRPr="00A548C6" w:rsidRDefault="006D1C07">
      <w:pPr>
        <w:pStyle w:val="FootnoteText"/>
        <w:rPr>
          <w:u w:val="single"/>
        </w:rPr>
      </w:pPr>
      <w:r w:rsidRPr="00A548C6">
        <w:rPr>
          <w:rStyle w:val="FootnoteReference"/>
          <w:u w:val="single"/>
        </w:rPr>
        <w:footnoteRef/>
      </w:r>
      <w:r>
        <w:rPr>
          <w:vertAlign w:val="superscript"/>
        </w:rPr>
        <w:t>/</w:t>
      </w:r>
      <w:r w:rsidRPr="00A548C6">
        <w:t xml:space="preserve"> </w:t>
      </w:r>
      <w:r w:rsidRPr="00A548C6">
        <w:tab/>
      </w:r>
      <w:proofErr w:type="spellStart"/>
      <w:r>
        <w:t>Exh</w:t>
      </w:r>
      <w:proofErr w:type="spellEnd"/>
      <w:r>
        <w:t>. No._</w:t>
      </w:r>
      <w:proofErr w:type="gramStart"/>
      <w:r>
        <w:t>_(</w:t>
      </w:r>
      <w:proofErr w:type="gramEnd"/>
      <w:r>
        <w:t>MPG-45CX) at 3.</w:t>
      </w:r>
    </w:p>
  </w:footnote>
  <w:footnote w:id="76">
    <w:p w:rsidR="006D1C07" w:rsidRPr="00984781" w:rsidRDefault="006D1C07">
      <w:pPr>
        <w:pStyle w:val="FootnoteText"/>
      </w:pPr>
      <w:r w:rsidRPr="00A548C6">
        <w:rPr>
          <w:rStyle w:val="FootnoteReference"/>
          <w:u w:val="single"/>
        </w:rPr>
        <w:footnoteRef/>
      </w:r>
      <w:r>
        <w:rPr>
          <w:vertAlign w:val="superscript"/>
        </w:rPr>
        <w:t>/</w:t>
      </w:r>
      <w:r w:rsidRPr="00A548C6">
        <w:t xml:space="preserve"> </w:t>
      </w:r>
      <w:r w:rsidRPr="00A548C6">
        <w:tab/>
      </w:r>
      <w:r>
        <w:rPr>
          <w:u w:val="single"/>
        </w:rPr>
        <w:t>Id.</w:t>
      </w:r>
      <w:r>
        <w:t xml:space="preserve"> at 4</w:t>
      </w:r>
      <w:r w:rsidR="00554D24">
        <w:t xml:space="preserve"> (emphasis added)</w:t>
      </w:r>
      <w:r>
        <w:t>.</w:t>
      </w:r>
    </w:p>
  </w:footnote>
  <w:footnote w:id="77">
    <w:p w:rsidR="006D1C07" w:rsidRPr="006D1C07" w:rsidRDefault="006D1C07">
      <w:pPr>
        <w:pStyle w:val="FootnoteText"/>
        <w:rPr>
          <w:u w:val="single"/>
        </w:rPr>
      </w:pPr>
      <w:r w:rsidRPr="006D1C07">
        <w:rPr>
          <w:rStyle w:val="FootnoteReference"/>
          <w:u w:val="single"/>
        </w:rPr>
        <w:footnoteRef/>
      </w:r>
      <w:r>
        <w:rPr>
          <w:vertAlign w:val="superscript"/>
        </w:rPr>
        <w:t>/</w:t>
      </w:r>
      <w:r w:rsidRPr="006D1C07">
        <w:t xml:space="preserve"> </w:t>
      </w:r>
      <w:r w:rsidRPr="006D1C07">
        <w:tab/>
      </w:r>
      <w:r>
        <w:rPr>
          <w:u w:val="single"/>
        </w:rPr>
        <w:t>Id.</w:t>
      </w:r>
    </w:p>
  </w:footnote>
  <w:footnote w:id="78">
    <w:p w:rsidR="00792664" w:rsidRPr="00792664" w:rsidRDefault="00792664">
      <w:pPr>
        <w:pStyle w:val="FootnoteText"/>
        <w:rPr>
          <w:u w:val="single"/>
        </w:rPr>
      </w:pPr>
      <w:r w:rsidRPr="00792664">
        <w:rPr>
          <w:rStyle w:val="FootnoteReference"/>
          <w:u w:val="single"/>
        </w:rPr>
        <w:footnoteRef/>
      </w:r>
      <w:r>
        <w:rPr>
          <w:vertAlign w:val="superscript"/>
        </w:rPr>
        <w:t>/</w:t>
      </w:r>
      <w:r w:rsidRPr="00792664">
        <w:t xml:space="preserve"> </w:t>
      </w:r>
      <w:r w:rsidRPr="00792664">
        <w:tab/>
      </w:r>
      <w:r>
        <w:t xml:space="preserve">Hill, </w:t>
      </w:r>
      <w:proofErr w:type="spellStart"/>
      <w:r>
        <w:t>Exh</w:t>
      </w:r>
      <w:proofErr w:type="spellEnd"/>
      <w:r>
        <w:t>. No._</w:t>
      </w:r>
      <w:proofErr w:type="gramStart"/>
      <w:r>
        <w:t>_(</w:t>
      </w:r>
      <w:proofErr w:type="gramEnd"/>
      <w:r>
        <w:t xml:space="preserve">SGH-2T) at 44:3-8; </w:t>
      </w:r>
      <w:proofErr w:type="spellStart"/>
      <w:r>
        <w:t>Parcell</w:t>
      </w:r>
      <w:proofErr w:type="spellEnd"/>
      <w:r>
        <w:t xml:space="preserve">, </w:t>
      </w:r>
      <w:proofErr w:type="spellStart"/>
      <w:r>
        <w:t>Exh</w:t>
      </w:r>
      <w:proofErr w:type="spellEnd"/>
      <w:r>
        <w:t>. No._</w:t>
      </w:r>
      <w:proofErr w:type="gramStart"/>
      <w:r>
        <w:t>_(</w:t>
      </w:r>
      <w:proofErr w:type="gramEnd"/>
      <w:r>
        <w:t>DCP-1T) at 27:21-22.</w:t>
      </w:r>
    </w:p>
  </w:footnote>
  <w:footnote w:id="79">
    <w:p w:rsidR="006D1C07" w:rsidRPr="006D1C07" w:rsidRDefault="006D1C07">
      <w:pPr>
        <w:pStyle w:val="FootnoteText"/>
        <w:rPr>
          <w:u w:val="single"/>
        </w:rPr>
      </w:pPr>
      <w:r w:rsidRPr="006D1C07">
        <w:rPr>
          <w:rStyle w:val="FootnoteReference"/>
          <w:u w:val="single"/>
        </w:rPr>
        <w:footnoteRef/>
      </w:r>
      <w:r>
        <w:rPr>
          <w:vertAlign w:val="superscript"/>
        </w:rPr>
        <w:t>/</w:t>
      </w:r>
      <w:r w:rsidRPr="006D1C07">
        <w:t xml:space="preserve"> </w:t>
      </w:r>
      <w:r w:rsidRPr="006D1C07">
        <w:tab/>
      </w:r>
      <w:r w:rsidR="00032CD1">
        <w:t xml:space="preserve">ICNU Initial Br. ¶ 60; </w:t>
      </w:r>
      <w:proofErr w:type="spellStart"/>
      <w:r w:rsidR="00032CD1">
        <w:t>Exh</w:t>
      </w:r>
      <w:proofErr w:type="spellEnd"/>
      <w:r w:rsidR="00032CD1">
        <w:t>. No._</w:t>
      </w:r>
      <w:proofErr w:type="gramStart"/>
      <w:r w:rsidR="00032CD1">
        <w:t>_(</w:t>
      </w:r>
      <w:proofErr w:type="gramEnd"/>
      <w:r w:rsidR="00032CD1">
        <w:t>MPG-26).</w:t>
      </w:r>
    </w:p>
  </w:footnote>
  <w:footnote w:id="80">
    <w:p w:rsidR="00792664" w:rsidRPr="00792664" w:rsidRDefault="00792664">
      <w:pPr>
        <w:pStyle w:val="FootnoteText"/>
        <w:rPr>
          <w:u w:val="single"/>
        </w:rPr>
      </w:pPr>
      <w:r w:rsidRPr="00792664">
        <w:rPr>
          <w:rStyle w:val="FootnoteReference"/>
          <w:u w:val="single"/>
        </w:rPr>
        <w:footnoteRef/>
      </w:r>
      <w:r>
        <w:rPr>
          <w:vertAlign w:val="superscript"/>
        </w:rPr>
        <w:t>/</w:t>
      </w:r>
      <w:r w:rsidRPr="00792664">
        <w:t xml:space="preserve"> </w:t>
      </w:r>
      <w:r w:rsidRPr="00792664">
        <w:tab/>
      </w:r>
      <w:proofErr w:type="spellStart"/>
      <w:r>
        <w:t>Exh</w:t>
      </w:r>
      <w:proofErr w:type="spellEnd"/>
      <w:r>
        <w:t>. No._</w:t>
      </w:r>
      <w:proofErr w:type="gramStart"/>
      <w:r>
        <w:t>_(</w:t>
      </w:r>
      <w:proofErr w:type="gramEnd"/>
      <w:r>
        <w:t>MPG-45CX) at 4.</w:t>
      </w:r>
    </w:p>
  </w:footnote>
  <w:footnote w:id="81">
    <w:p w:rsidR="00792664" w:rsidRPr="00792664" w:rsidRDefault="00792664">
      <w:pPr>
        <w:pStyle w:val="FootnoteText"/>
        <w:rPr>
          <w:u w:val="single"/>
        </w:rPr>
      </w:pPr>
      <w:r w:rsidRPr="00792664">
        <w:rPr>
          <w:rStyle w:val="FootnoteReference"/>
          <w:u w:val="single"/>
        </w:rPr>
        <w:footnoteRef/>
      </w:r>
      <w:r>
        <w:rPr>
          <w:vertAlign w:val="superscript"/>
        </w:rPr>
        <w:t>/</w:t>
      </w:r>
      <w:r w:rsidRPr="00792664">
        <w:t xml:space="preserve"> </w:t>
      </w:r>
      <w:r w:rsidRPr="00792664">
        <w:tab/>
      </w:r>
      <w:r>
        <w:t>RCW § 80.28.010(1).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42504250">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7BC4"/>
    <w:rsid w:val="000015B0"/>
    <w:rsid w:val="00032CD1"/>
    <w:rsid w:val="00041527"/>
    <w:rsid w:val="0004707F"/>
    <w:rsid w:val="0008450F"/>
    <w:rsid w:val="00090828"/>
    <w:rsid w:val="001052A3"/>
    <w:rsid w:val="00137388"/>
    <w:rsid w:val="0014421C"/>
    <w:rsid w:val="00146B85"/>
    <w:rsid w:val="00162F68"/>
    <w:rsid w:val="001A0210"/>
    <w:rsid w:val="001B13D6"/>
    <w:rsid w:val="0021004B"/>
    <w:rsid w:val="00231DDE"/>
    <w:rsid w:val="00233F9C"/>
    <w:rsid w:val="002540F1"/>
    <w:rsid w:val="002826ED"/>
    <w:rsid w:val="00294C79"/>
    <w:rsid w:val="002D5C71"/>
    <w:rsid w:val="002E45A6"/>
    <w:rsid w:val="00315173"/>
    <w:rsid w:val="00341550"/>
    <w:rsid w:val="00356808"/>
    <w:rsid w:val="00371DFC"/>
    <w:rsid w:val="00385D77"/>
    <w:rsid w:val="003B0EC2"/>
    <w:rsid w:val="003D08E7"/>
    <w:rsid w:val="003D2238"/>
    <w:rsid w:val="00410733"/>
    <w:rsid w:val="00425C27"/>
    <w:rsid w:val="00437BC4"/>
    <w:rsid w:val="00463D4A"/>
    <w:rsid w:val="0049215C"/>
    <w:rsid w:val="004A1829"/>
    <w:rsid w:val="004A2203"/>
    <w:rsid w:val="004C57BE"/>
    <w:rsid w:val="004C77FD"/>
    <w:rsid w:val="004E4D9B"/>
    <w:rsid w:val="00516A22"/>
    <w:rsid w:val="00524F1D"/>
    <w:rsid w:val="00554D24"/>
    <w:rsid w:val="00583B6F"/>
    <w:rsid w:val="005B4E1F"/>
    <w:rsid w:val="005E4BC1"/>
    <w:rsid w:val="006276C3"/>
    <w:rsid w:val="0063212E"/>
    <w:rsid w:val="00665C7D"/>
    <w:rsid w:val="006D1C07"/>
    <w:rsid w:val="006D468A"/>
    <w:rsid w:val="00792664"/>
    <w:rsid w:val="007E285C"/>
    <w:rsid w:val="00805170"/>
    <w:rsid w:val="0080722E"/>
    <w:rsid w:val="00821E03"/>
    <w:rsid w:val="00827B90"/>
    <w:rsid w:val="008E6CA0"/>
    <w:rsid w:val="008F26C6"/>
    <w:rsid w:val="00932F0D"/>
    <w:rsid w:val="00934B44"/>
    <w:rsid w:val="00944060"/>
    <w:rsid w:val="00963BF0"/>
    <w:rsid w:val="00984781"/>
    <w:rsid w:val="009D0437"/>
    <w:rsid w:val="009F1FB3"/>
    <w:rsid w:val="00A478D0"/>
    <w:rsid w:val="00A548C6"/>
    <w:rsid w:val="00A70439"/>
    <w:rsid w:val="00A867BA"/>
    <w:rsid w:val="00AB6CFD"/>
    <w:rsid w:val="00B2008D"/>
    <w:rsid w:val="00B86CA6"/>
    <w:rsid w:val="00B90535"/>
    <w:rsid w:val="00BA1846"/>
    <w:rsid w:val="00BC5E42"/>
    <w:rsid w:val="00BD0639"/>
    <w:rsid w:val="00BE3DD7"/>
    <w:rsid w:val="00C101A1"/>
    <w:rsid w:val="00C11BEE"/>
    <w:rsid w:val="00C42A3F"/>
    <w:rsid w:val="00C7599F"/>
    <w:rsid w:val="00C94DF2"/>
    <w:rsid w:val="00CC6A24"/>
    <w:rsid w:val="00CD4C71"/>
    <w:rsid w:val="00CF7E91"/>
    <w:rsid w:val="00D01982"/>
    <w:rsid w:val="00D158A0"/>
    <w:rsid w:val="00D360AA"/>
    <w:rsid w:val="00D431C6"/>
    <w:rsid w:val="00D540CF"/>
    <w:rsid w:val="00DB41D5"/>
    <w:rsid w:val="00E33599"/>
    <w:rsid w:val="00E71141"/>
    <w:rsid w:val="00E95327"/>
    <w:rsid w:val="00F078A7"/>
    <w:rsid w:val="00F07D3E"/>
    <w:rsid w:val="00F2064E"/>
    <w:rsid w:val="00F241A4"/>
    <w:rsid w:val="00F7709B"/>
    <w:rsid w:val="00F91EA6"/>
    <w:rsid w:val="00FA6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C4"/>
    <w:rPr>
      <w:rFonts w:eastAsia="Times New Roman"/>
      <w:color w:val="000000"/>
      <w:szCs w:val="20"/>
    </w:rPr>
  </w:style>
  <w:style w:type="paragraph" w:styleId="Heading1">
    <w:name w:val="heading 1"/>
    <w:basedOn w:val="Normal"/>
    <w:next w:val="Normal"/>
    <w:link w:val="Heading1Char"/>
    <w:qFormat/>
    <w:rsid w:val="00437BC4"/>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C4"/>
    <w:rPr>
      <w:rFonts w:eastAsia="Times New Roman"/>
      <w:b/>
      <w:snapToGrid w:val="0"/>
      <w:sz w:val="28"/>
      <w:szCs w:val="20"/>
    </w:rPr>
  </w:style>
  <w:style w:type="paragraph" w:styleId="Footer">
    <w:name w:val="footer"/>
    <w:basedOn w:val="Normal"/>
    <w:link w:val="FooterChar"/>
    <w:uiPriority w:val="99"/>
    <w:rsid w:val="00437BC4"/>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437BC4"/>
    <w:rPr>
      <w:rFonts w:eastAsia="Times New Roman"/>
      <w:snapToGrid w:val="0"/>
      <w:szCs w:val="20"/>
    </w:rPr>
  </w:style>
  <w:style w:type="paragraph" w:styleId="Header">
    <w:name w:val="header"/>
    <w:basedOn w:val="Normal"/>
    <w:link w:val="HeaderChar"/>
    <w:uiPriority w:val="99"/>
    <w:rsid w:val="00437BC4"/>
    <w:pPr>
      <w:tabs>
        <w:tab w:val="center" w:pos="4320"/>
        <w:tab w:val="right" w:pos="8640"/>
      </w:tabs>
    </w:pPr>
    <w:rPr>
      <w:color w:val="auto"/>
      <w:sz w:val="20"/>
    </w:rPr>
  </w:style>
  <w:style w:type="character" w:customStyle="1" w:styleId="HeaderChar">
    <w:name w:val="Header Char"/>
    <w:basedOn w:val="DefaultParagraphFont"/>
    <w:link w:val="Header"/>
    <w:uiPriority w:val="99"/>
    <w:rsid w:val="00437BC4"/>
    <w:rPr>
      <w:rFonts w:eastAsia="Times New Roman"/>
      <w:sz w:val="20"/>
      <w:szCs w:val="20"/>
    </w:rPr>
  </w:style>
  <w:style w:type="paragraph" w:customStyle="1" w:styleId="SingleSpacing">
    <w:name w:val="Single Spacing"/>
    <w:basedOn w:val="Normal"/>
    <w:rsid w:val="00437BC4"/>
    <w:pPr>
      <w:spacing w:line="254" w:lineRule="exact"/>
    </w:pPr>
    <w:rPr>
      <w:color w:val="auto"/>
    </w:rPr>
  </w:style>
  <w:style w:type="character" w:styleId="PageNumber">
    <w:name w:val="page number"/>
    <w:basedOn w:val="DefaultParagraphFont"/>
    <w:uiPriority w:val="99"/>
    <w:rsid w:val="00437BC4"/>
  </w:style>
  <w:style w:type="paragraph" w:styleId="BodyTextIndent">
    <w:name w:val="Body Text Indent"/>
    <w:basedOn w:val="Normal"/>
    <w:link w:val="BodyTextIndentChar"/>
    <w:rsid w:val="00437BC4"/>
    <w:pPr>
      <w:spacing w:line="480" w:lineRule="auto"/>
      <w:ind w:firstLine="720"/>
    </w:pPr>
    <w:rPr>
      <w:snapToGrid w:val="0"/>
      <w:color w:val="auto"/>
    </w:rPr>
  </w:style>
  <w:style w:type="character" w:customStyle="1" w:styleId="BodyTextIndentChar">
    <w:name w:val="Body Text Indent Char"/>
    <w:basedOn w:val="DefaultParagraphFont"/>
    <w:link w:val="BodyTextIndent"/>
    <w:rsid w:val="00437BC4"/>
    <w:rPr>
      <w:rFonts w:eastAsia="Times New Roman"/>
      <w:snapToGrid w:val="0"/>
      <w:szCs w:val="20"/>
    </w:rPr>
  </w:style>
  <w:style w:type="paragraph" w:styleId="TOCHeading">
    <w:name w:val="TOC Heading"/>
    <w:basedOn w:val="Normal"/>
    <w:uiPriority w:val="39"/>
    <w:qFormat/>
    <w:rsid w:val="00437BC4"/>
    <w:pPr>
      <w:spacing w:after="240"/>
      <w:jc w:val="center"/>
    </w:pPr>
    <w:rPr>
      <w:b/>
      <w:color w:val="auto"/>
      <w:szCs w:val="24"/>
    </w:rPr>
  </w:style>
  <w:style w:type="paragraph" w:customStyle="1" w:styleId="BATOAEntry">
    <w:name w:val="BA TOA Entry"/>
    <w:basedOn w:val="Normal"/>
    <w:link w:val="BATOAEntryChar"/>
    <w:uiPriority w:val="99"/>
    <w:rsid w:val="00437BC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37BC4"/>
    <w:rPr>
      <w:rFonts w:eastAsia="Times New Roman"/>
      <w:szCs w:val="20"/>
    </w:rPr>
  </w:style>
  <w:style w:type="paragraph" w:styleId="FootnoteText">
    <w:name w:val="footnote text"/>
    <w:basedOn w:val="Normal"/>
    <w:link w:val="FootnoteTextChar"/>
    <w:uiPriority w:val="99"/>
    <w:semiHidden/>
    <w:unhideWhenUsed/>
    <w:rsid w:val="00137388"/>
    <w:rPr>
      <w:sz w:val="20"/>
    </w:rPr>
  </w:style>
  <w:style w:type="character" w:customStyle="1" w:styleId="FootnoteTextChar">
    <w:name w:val="Footnote Text Char"/>
    <w:basedOn w:val="DefaultParagraphFont"/>
    <w:link w:val="FootnoteText"/>
    <w:uiPriority w:val="99"/>
    <w:semiHidden/>
    <w:rsid w:val="00137388"/>
    <w:rPr>
      <w:rFonts w:eastAsia="Times New Roman"/>
      <w:color w:val="000000"/>
      <w:sz w:val="20"/>
      <w:szCs w:val="20"/>
    </w:rPr>
  </w:style>
  <w:style w:type="character" w:styleId="FootnoteReference">
    <w:name w:val="footnote reference"/>
    <w:basedOn w:val="DefaultParagraphFont"/>
    <w:uiPriority w:val="99"/>
    <w:semiHidden/>
    <w:unhideWhenUsed/>
    <w:rsid w:val="00137388"/>
    <w:rPr>
      <w:vertAlign w:val="superscript"/>
    </w:rPr>
  </w:style>
  <w:style w:type="paragraph" w:styleId="BalloonText">
    <w:name w:val="Balloon Text"/>
    <w:basedOn w:val="Normal"/>
    <w:link w:val="BalloonTextChar"/>
    <w:uiPriority w:val="99"/>
    <w:semiHidden/>
    <w:unhideWhenUsed/>
    <w:rsid w:val="004A2203"/>
    <w:rPr>
      <w:rFonts w:ascii="Tahoma" w:hAnsi="Tahoma" w:cs="Tahoma"/>
      <w:sz w:val="16"/>
      <w:szCs w:val="16"/>
    </w:rPr>
  </w:style>
  <w:style w:type="character" w:customStyle="1" w:styleId="BalloonTextChar">
    <w:name w:val="Balloon Text Char"/>
    <w:basedOn w:val="DefaultParagraphFont"/>
    <w:link w:val="BalloonText"/>
    <w:uiPriority w:val="99"/>
    <w:semiHidden/>
    <w:rsid w:val="004A2203"/>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CC6A24"/>
    <w:rPr>
      <w:sz w:val="16"/>
      <w:szCs w:val="16"/>
    </w:rPr>
  </w:style>
  <w:style w:type="paragraph" w:styleId="CommentText">
    <w:name w:val="annotation text"/>
    <w:basedOn w:val="Normal"/>
    <w:link w:val="CommentTextChar"/>
    <w:uiPriority w:val="99"/>
    <w:semiHidden/>
    <w:unhideWhenUsed/>
    <w:rsid w:val="00CC6A24"/>
    <w:rPr>
      <w:sz w:val="20"/>
    </w:rPr>
  </w:style>
  <w:style w:type="character" w:customStyle="1" w:styleId="CommentTextChar">
    <w:name w:val="Comment Text Char"/>
    <w:basedOn w:val="DefaultParagraphFont"/>
    <w:link w:val="CommentText"/>
    <w:uiPriority w:val="99"/>
    <w:semiHidden/>
    <w:rsid w:val="00CC6A24"/>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C6A24"/>
    <w:rPr>
      <w:b/>
      <w:bCs/>
    </w:rPr>
  </w:style>
  <w:style w:type="character" w:customStyle="1" w:styleId="CommentSubjectChar">
    <w:name w:val="Comment Subject Char"/>
    <w:basedOn w:val="CommentTextChar"/>
    <w:link w:val="CommentSubject"/>
    <w:uiPriority w:val="99"/>
    <w:semiHidden/>
    <w:rsid w:val="00CC6A24"/>
    <w:rPr>
      <w:rFonts w:eastAsia="Times New Roman"/>
      <w:b/>
      <w:bCs/>
      <w:color w:val="000000"/>
      <w:sz w:val="20"/>
      <w:szCs w:val="20"/>
    </w:rPr>
  </w:style>
  <w:style w:type="paragraph" w:customStyle="1" w:styleId="WUTCParagraph">
    <w:name w:val="WUTC Paragraph"/>
    <w:basedOn w:val="Normal"/>
    <w:link w:val="WUTCParagraphChar"/>
    <w:qFormat/>
    <w:rsid w:val="0008450F"/>
    <w:pPr>
      <w:numPr>
        <w:numId w:val="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08450F"/>
    <w:rPr>
      <w:rFonts w:eastAsia="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C4"/>
    <w:rPr>
      <w:rFonts w:eastAsia="Times New Roman"/>
      <w:color w:val="000000"/>
      <w:szCs w:val="20"/>
    </w:rPr>
  </w:style>
  <w:style w:type="paragraph" w:styleId="Heading1">
    <w:name w:val="heading 1"/>
    <w:basedOn w:val="Normal"/>
    <w:next w:val="Normal"/>
    <w:link w:val="Heading1Char"/>
    <w:qFormat/>
    <w:rsid w:val="00437BC4"/>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C4"/>
    <w:rPr>
      <w:rFonts w:eastAsia="Times New Roman"/>
      <w:b/>
      <w:snapToGrid w:val="0"/>
      <w:sz w:val="28"/>
      <w:szCs w:val="20"/>
    </w:rPr>
  </w:style>
  <w:style w:type="paragraph" w:styleId="Footer">
    <w:name w:val="footer"/>
    <w:basedOn w:val="Normal"/>
    <w:link w:val="FooterChar"/>
    <w:uiPriority w:val="99"/>
    <w:rsid w:val="00437BC4"/>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437BC4"/>
    <w:rPr>
      <w:rFonts w:eastAsia="Times New Roman"/>
      <w:snapToGrid w:val="0"/>
      <w:szCs w:val="20"/>
    </w:rPr>
  </w:style>
  <w:style w:type="paragraph" w:styleId="Header">
    <w:name w:val="header"/>
    <w:basedOn w:val="Normal"/>
    <w:link w:val="HeaderChar"/>
    <w:uiPriority w:val="99"/>
    <w:rsid w:val="00437BC4"/>
    <w:pPr>
      <w:tabs>
        <w:tab w:val="center" w:pos="4320"/>
        <w:tab w:val="right" w:pos="8640"/>
      </w:tabs>
    </w:pPr>
    <w:rPr>
      <w:color w:val="auto"/>
      <w:sz w:val="20"/>
    </w:rPr>
  </w:style>
  <w:style w:type="character" w:customStyle="1" w:styleId="HeaderChar">
    <w:name w:val="Header Char"/>
    <w:basedOn w:val="DefaultParagraphFont"/>
    <w:link w:val="Header"/>
    <w:uiPriority w:val="99"/>
    <w:rsid w:val="00437BC4"/>
    <w:rPr>
      <w:rFonts w:eastAsia="Times New Roman"/>
      <w:sz w:val="20"/>
      <w:szCs w:val="20"/>
    </w:rPr>
  </w:style>
  <w:style w:type="paragraph" w:customStyle="1" w:styleId="SingleSpacing">
    <w:name w:val="Single Spacing"/>
    <w:basedOn w:val="Normal"/>
    <w:rsid w:val="00437BC4"/>
    <w:pPr>
      <w:spacing w:line="254" w:lineRule="exact"/>
    </w:pPr>
    <w:rPr>
      <w:color w:val="auto"/>
    </w:rPr>
  </w:style>
  <w:style w:type="character" w:styleId="PageNumber">
    <w:name w:val="page number"/>
    <w:basedOn w:val="DefaultParagraphFont"/>
    <w:uiPriority w:val="99"/>
    <w:rsid w:val="00437BC4"/>
  </w:style>
  <w:style w:type="paragraph" w:styleId="BodyTextIndent">
    <w:name w:val="Body Text Indent"/>
    <w:basedOn w:val="Normal"/>
    <w:link w:val="BodyTextIndentChar"/>
    <w:rsid w:val="00437BC4"/>
    <w:pPr>
      <w:spacing w:line="480" w:lineRule="auto"/>
      <w:ind w:firstLine="720"/>
    </w:pPr>
    <w:rPr>
      <w:snapToGrid w:val="0"/>
      <w:color w:val="auto"/>
      <w:lang w:val="x-none" w:eastAsia="x-none"/>
    </w:rPr>
  </w:style>
  <w:style w:type="character" w:customStyle="1" w:styleId="BodyTextIndentChar">
    <w:name w:val="Body Text Indent Char"/>
    <w:basedOn w:val="DefaultParagraphFont"/>
    <w:link w:val="BodyTextIndent"/>
    <w:rsid w:val="00437BC4"/>
    <w:rPr>
      <w:rFonts w:eastAsia="Times New Roman"/>
      <w:snapToGrid w:val="0"/>
      <w:szCs w:val="20"/>
      <w:lang w:val="x-none" w:eastAsia="x-none"/>
    </w:rPr>
  </w:style>
  <w:style w:type="paragraph" w:styleId="TOCHeading">
    <w:name w:val="TOC Heading"/>
    <w:basedOn w:val="Normal"/>
    <w:uiPriority w:val="39"/>
    <w:qFormat/>
    <w:rsid w:val="00437BC4"/>
    <w:pPr>
      <w:spacing w:after="240"/>
      <w:jc w:val="center"/>
    </w:pPr>
    <w:rPr>
      <w:b/>
      <w:color w:val="auto"/>
      <w:szCs w:val="24"/>
    </w:rPr>
  </w:style>
  <w:style w:type="paragraph" w:customStyle="1" w:styleId="BATOAEntry">
    <w:name w:val="BA TOA Entry"/>
    <w:basedOn w:val="Normal"/>
    <w:link w:val="BATOAEntryChar"/>
    <w:uiPriority w:val="99"/>
    <w:rsid w:val="00437BC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37BC4"/>
    <w:rPr>
      <w:rFonts w:eastAsia="Times New Roman"/>
      <w:szCs w:val="20"/>
    </w:rPr>
  </w:style>
  <w:style w:type="paragraph" w:styleId="FootnoteText">
    <w:name w:val="footnote text"/>
    <w:basedOn w:val="Normal"/>
    <w:link w:val="FootnoteTextChar"/>
    <w:uiPriority w:val="99"/>
    <w:semiHidden/>
    <w:unhideWhenUsed/>
    <w:rsid w:val="00137388"/>
    <w:rPr>
      <w:sz w:val="20"/>
    </w:rPr>
  </w:style>
  <w:style w:type="character" w:customStyle="1" w:styleId="FootnoteTextChar">
    <w:name w:val="Footnote Text Char"/>
    <w:basedOn w:val="DefaultParagraphFont"/>
    <w:link w:val="FootnoteText"/>
    <w:uiPriority w:val="99"/>
    <w:semiHidden/>
    <w:rsid w:val="00137388"/>
    <w:rPr>
      <w:rFonts w:eastAsia="Times New Roman"/>
      <w:color w:val="000000"/>
      <w:sz w:val="20"/>
      <w:szCs w:val="20"/>
    </w:rPr>
  </w:style>
  <w:style w:type="character" w:styleId="FootnoteReference">
    <w:name w:val="footnote reference"/>
    <w:basedOn w:val="DefaultParagraphFont"/>
    <w:uiPriority w:val="99"/>
    <w:semiHidden/>
    <w:unhideWhenUsed/>
    <w:rsid w:val="00137388"/>
    <w:rPr>
      <w:vertAlign w:val="superscript"/>
    </w:rPr>
  </w:style>
  <w:style w:type="paragraph" w:styleId="BalloonText">
    <w:name w:val="Balloon Text"/>
    <w:basedOn w:val="Normal"/>
    <w:link w:val="BalloonTextChar"/>
    <w:uiPriority w:val="99"/>
    <w:semiHidden/>
    <w:unhideWhenUsed/>
    <w:rsid w:val="004A2203"/>
    <w:rPr>
      <w:rFonts w:ascii="Tahoma" w:hAnsi="Tahoma" w:cs="Tahoma"/>
      <w:sz w:val="16"/>
      <w:szCs w:val="16"/>
    </w:rPr>
  </w:style>
  <w:style w:type="character" w:customStyle="1" w:styleId="BalloonTextChar">
    <w:name w:val="Balloon Text Char"/>
    <w:basedOn w:val="DefaultParagraphFont"/>
    <w:link w:val="BalloonText"/>
    <w:uiPriority w:val="99"/>
    <w:semiHidden/>
    <w:rsid w:val="004A220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D95B3A-5ACD-4FE1-B327-88F94D3CD64B}"/>
</file>

<file path=customXml/itemProps2.xml><?xml version="1.0" encoding="utf-8"?>
<ds:datastoreItem xmlns:ds="http://schemas.openxmlformats.org/officeDocument/2006/customXml" ds:itemID="{FCBB23A4-6735-4330-A604-A4B0FEB6AFDC}"/>
</file>

<file path=customXml/itemProps3.xml><?xml version="1.0" encoding="utf-8"?>
<ds:datastoreItem xmlns:ds="http://schemas.openxmlformats.org/officeDocument/2006/customXml" ds:itemID="{3E3C8D37-4512-4871-8949-F132A726DE35}"/>
</file>

<file path=customXml/itemProps4.xml><?xml version="1.0" encoding="utf-8"?>
<ds:datastoreItem xmlns:ds="http://schemas.openxmlformats.org/officeDocument/2006/customXml" ds:itemID="{0627295E-C6D3-40B8-B20B-E0F211022F05}"/>
</file>

<file path=customXml/itemProps5.xml><?xml version="1.0" encoding="utf-8"?>
<ds:datastoreItem xmlns:ds="http://schemas.openxmlformats.org/officeDocument/2006/customXml" ds:itemID="{5BD8DAB5-E56F-4E84-A7E4-79891FA01E2D}"/>
</file>

<file path=docProps/app.xml><?xml version="1.0" encoding="utf-8"?>
<Properties xmlns="http://schemas.openxmlformats.org/officeDocument/2006/extended-properties" xmlns:vt="http://schemas.openxmlformats.org/officeDocument/2006/docPropsVTypes">
  <Template>Normal</Template>
  <TotalTime>511</TotalTime>
  <Pages>20</Pages>
  <Words>4102</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32</cp:revision>
  <cp:lastPrinted>2015-03-19T22:28:00Z</cp:lastPrinted>
  <dcterms:created xsi:type="dcterms:W3CDTF">2015-03-12T16:17:00Z</dcterms:created>
  <dcterms:modified xsi:type="dcterms:W3CDTF">2015-03-20T18:15:00Z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