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91E" w:rsidRDefault="005A491E" w:rsidP="006730D4">
      <w:pPr>
        <w:pStyle w:val="Question"/>
        <w:jc w:val="left"/>
        <w:rPr>
          <w:rFonts w:ascii="Times New Roman" w:hAnsi="Times New Roman"/>
        </w:rPr>
      </w:pPr>
      <w:r>
        <w:rPr>
          <w:rFonts w:ascii="Times New Roman" w:hAnsi="Times New Roman"/>
        </w:rPr>
        <w:t>Q.</w:t>
      </w:r>
      <w:r>
        <w:rPr>
          <w:rFonts w:ascii="Times New Roman" w:hAnsi="Times New Roman"/>
        </w:rPr>
        <w:tab/>
        <w:t>Are you the same R. Bryce Dalley that previously provided testimony in this docket?</w:t>
      </w:r>
    </w:p>
    <w:p w:rsidR="00FE766D" w:rsidRDefault="005A491E" w:rsidP="006730D4">
      <w:pPr>
        <w:pStyle w:val="Answer"/>
        <w:spacing w:after="0"/>
        <w:jc w:val="left"/>
      </w:pPr>
      <w:r>
        <w:t>Yes.</w:t>
      </w:r>
    </w:p>
    <w:p w:rsidR="00332281" w:rsidRDefault="004B665C" w:rsidP="006730D4">
      <w:pPr>
        <w:pStyle w:val="Answer"/>
        <w:numPr>
          <w:ilvl w:val="0"/>
          <w:numId w:val="0"/>
        </w:numPr>
        <w:spacing w:after="0"/>
        <w:ind w:left="720" w:hanging="720"/>
        <w:jc w:val="left"/>
        <w:rPr>
          <w:b/>
        </w:rPr>
      </w:pPr>
      <w:r>
        <w:rPr>
          <w:b/>
        </w:rPr>
        <w:t>Q.</w:t>
      </w:r>
      <w:r>
        <w:rPr>
          <w:b/>
        </w:rPr>
        <w:tab/>
        <w:t>What is the purpose of your testimony?</w:t>
      </w:r>
    </w:p>
    <w:p w:rsidR="008E10F1" w:rsidRDefault="004B665C" w:rsidP="006730D4">
      <w:pPr>
        <w:pStyle w:val="Answer"/>
        <w:numPr>
          <w:ilvl w:val="0"/>
          <w:numId w:val="0"/>
        </w:numPr>
        <w:spacing w:after="0"/>
        <w:ind w:left="720" w:hanging="720"/>
        <w:jc w:val="left"/>
      </w:pPr>
      <w:r>
        <w:t>A.</w:t>
      </w:r>
      <w:r>
        <w:tab/>
        <w:t>My</w:t>
      </w:r>
      <w:r w:rsidR="00A63705">
        <w:t xml:space="preserve"> </w:t>
      </w:r>
      <w:r>
        <w:t xml:space="preserve">testimony </w:t>
      </w:r>
      <w:r w:rsidR="00A20953">
        <w:t xml:space="preserve">addresses three key areas.  First, I present the Company’s earned returns for calendar years 2009 and 2010 as reported to the </w:t>
      </w:r>
      <w:r w:rsidR="003D15DF">
        <w:t>Washington Utilities and Transportation Commission (the Commission)</w:t>
      </w:r>
      <w:r w:rsidR="00A20953">
        <w:t xml:space="preserve"> in the Company’s </w:t>
      </w:r>
      <w:r w:rsidR="00C04A2C">
        <w:t xml:space="preserve">annual Commission </w:t>
      </w:r>
      <w:r w:rsidR="007C27ED">
        <w:t>B</w:t>
      </w:r>
      <w:r w:rsidR="00C04A2C">
        <w:t xml:space="preserve">asis </w:t>
      </w:r>
      <w:r w:rsidR="007C27ED">
        <w:t>R</w:t>
      </w:r>
      <w:r w:rsidR="00C04A2C">
        <w:t>eports</w:t>
      </w:r>
      <w:r w:rsidR="00A20953">
        <w:t>.  Second, I discuss the Company’s methodologies for allocating renewable energy credits (REC</w:t>
      </w:r>
      <w:r w:rsidR="00A63705">
        <w:t>s</w:t>
      </w:r>
      <w:r w:rsidR="00A20953">
        <w:t>) and associated revenues.  Finally, I sponsor and explain the Company</w:t>
      </w:r>
      <w:r w:rsidR="00157F75">
        <w:t>’s</w:t>
      </w:r>
      <w:r w:rsidR="00A20953">
        <w:t xml:space="preserve"> proposal for a REC tracking mechanism going forward.</w:t>
      </w:r>
      <w:bookmarkStart w:id="0" w:name="OLE_LINK1"/>
      <w:bookmarkStart w:id="1" w:name="OLE_LINK2"/>
    </w:p>
    <w:p w:rsidR="008E10F1" w:rsidRDefault="008E10F1" w:rsidP="006730D4">
      <w:pPr>
        <w:pStyle w:val="Heading2"/>
        <w:jc w:val="left"/>
      </w:pPr>
      <w:r>
        <w:t xml:space="preserve">Overview of Company’s </w:t>
      </w:r>
      <w:r w:rsidR="00074ECF">
        <w:t xml:space="preserve">Washington </w:t>
      </w:r>
      <w:r w:rsidR="007C27ED">
        <w:t>Comm</w:t>
      </w:r>
      <w:r w:rsidR="00074ECF">
        <w:t>ission Basis Reports</w:t>
      </w:r>
    </w:p>
    <w:p w:rsidR="008E10F1" w:rsidRDefault="008E10F1" w:rsidP="006730D4">
      <w:pPr>
        <w:spacing w:line="480" w:lineRule="auto"/>
        <w:ind w:left="720" w:hanging="720"/>
        <w:rPr>
          <w:b/>
          <w:bCs/>
        </w:rPr>
      </w:pPr>
      <w:r>
        <w:rPr>
          <w:b/>
          <w:bCs/>
        </w:rPr>
        <w:t>Q.</w:t>
      </w:r>
      <w:r>
        <w:rPr>
          <w:b/>
          <w:bCs/>
        </w:rPr>
        <w:tab/>
      </w:r>
      <w:r w:rsidR="00C04A2C">
        <w:rPr>
          <w:b/>
          <w:bCs/>
        </w:rPr>
        <w:t>Please describe the</w:t>
      </w:r>
      <w:r w:rsidR="009D0D2A">
        <w:rPr>
          <w:b/>
          <w:bCs/>
        </w:rPr>
        <w:t xml:space="preserve"> </w:t>
      </w:r>
      <w:r w:rsidR="00074ECF">
        <w:rPr>
          <w:b/>
          <w:bCs/>
        </w:rPr>
        <w:t>Company’s earnings as reported in the 2009 and 2010 Commission Basis Reports.</w:t>
      </w:r>
    </w:p>
    <w:p w:rsidR="00A01100" w:rsidRDefault="008E10F1" w:rsidP="006730D4">
      <w:pPr>
        <w:spacing w:line="480" w:lineRule="auto"/>
        <w:ind w:left="720" w:hanging="720"/>
        <w:rPr>
          <w:bCs/>
        </w:rPr>
      </w:pPr>
      <w:r w:rsidRPr="00E70EE2">
        <w:rPr>
          <w:bCs/>
        </w:rPr>
        <w:t>A.</w:t>
      </w:r>
      <w:r w:rsidRPr="00E70EE2">
        <w:rPr>
          <w:bCs/>
        </w:rPr>
        <w:tab/>
      </w:r>
      <w:bookmarkEnd w:id="0"/>
      <w:bookmarkEnd w:id="1"/>
      <w:r w:rsidR="00FF130F">
        <w:rPr>
          <w:bCs/>
        </w:rPr>
        <w:t>As shown in Exhibit No.___(RBD-26), i</w:t>
      </w:r>
      <w:r w:rsidR="00074ECF">
        <w:rPr>
          <w:bCs/>
        </w:rPr>
        <w:t xml:space="preserve">n 2009 and 2010 the Company’s return on </w:t>
      </w:r>
      <w:r w:rsidR="00A01100">
        <w:rPr>
          <w:bCs/>
        </w:rPr>
        <w:t>equity</w:t>
      </w:r>
      <w:r w:rsidR="00074ECF">
        <w:rPr>
          <w:bCs/>
        </w:rPr>
        <w:t xml:space="preserve"> (RO</w:t>
      </w:r>
      <w:r w:rsidR="00A01100">
        <w:rPr>
          <w:bCs/>
        </w:rPr>
        <w:t>E</w:t>
      </w:r>
      <w:r w:rsidR="00074ECF">
        <w:rPr>
          <w:bCs/>
        </w:rPr>
        <w:t>)</w:t>
      </w:r>
      <w:r w:rsidR="003F213F">
        <w:rPr>
          <w:bCs/>
        </w:rPr>
        <w:t xml:space="preserve"> in Washington</w:t>
      </w:r>
      <w:r w:rsidR="00074ECF">
        <w:rPr>
          <w:bCs/>
        </w:rPr>
        <w:t xml:space="preserve"> was </w:t>
      </w:r>
      <w:r w:rsidR="00A01100">
        <w:rPr>
          <w:bCs/>
        </w:rPr>
        <w:t>5.28</w:t>
      </w:r>
      <w:r w:rsidR="008E6037">
        <w:rPr>
          <w:bCs/>
        </w:rPr>
        <w:t xml:space="preserve"> percent</w:t>
      </w:r>
      <w:r w:rsidR="003F213F">
        <w:rPr>
          <w:bCs/>
        </w:rPr>
        <w:t xml:space="preserve"> and </w:t>
      </w:r>
      <w:r w:rsidR="00A01100">
        <w:rPr>
          <w:bCs/>
        </w:rPr>
        <w:t>6.69</w:t>
      </w:r>
      <w:r w:rsidR="008E6037">
        <w:rPr>
          <w:bCs/>
        </w:rPr>
        <w:t xml:space="preserve"> percent</w:t>
      </w:r>
      <w:r w:rsidR="003F213F">
        <w:rPr>
          <w:bCs/>
        </w:rPr>
        <w:t xml:space="preserve"> respectively</w:t>
      </w:r>
      <w:r w:rsidR="00A63705">
        <w:rPr>
          <w:bCs/>
        </w:rPr>
        <w:t>.</w:t>
      </w:r>
      <w:r w:rsidR="003F213F">
        <w:rPr>
          <w:rStyle w:val="FootnoteReference"/>
          <w:bCs/>
        </w:rPr>
        <w:footnoteReference w:id="1"/>
      </w:r>
      <w:r w:rsidR="003F213F">
        <w:rPr>
          <w:bCs/>
        </w:rPr>
        <w:t xml:space="preserve">  These returns are</w:t>
      </w:r>
      <w:r w:rsidR="00074ECF">
        <w:rPr>
          <w:bCs/>
        </w:rPr>
        <w:t xml:space="preserve"> significantly less than the </w:t>
      </w:r>
      <w:r w:rsidR="003F213F">
        <w:rPr>
          <w:bCs/>
        </w:rPr>
        <w:t xml:space="preserve">current </w:t>
      </w:r>
      <w:r w:rsidR="00074ECF">
        <w:rPr>
          <w:bCs/>
        </w:rPr>
        <w:t xml:space="preserve">authorized </w:t>
      </w:r>
      <w:r w:rsidR="00A01100">
        <w:rPr>
          <w:bCs/>
        </w:rPr>
        <w:t>ROE</w:t>
      </w:r>
      <w:r w:rsidR="00074ECF">
        <w:rPr>
          <w:bCs/>
        </w:rPr>
        <w:t xml:space="preserve"> </w:t>
      </w:r>
      <w:r w:rsidR="00A01100">
        <w:rPr>
          <w:bCs/>
        </w:rPr>
        <w:t>of 9.8</w:t>
      </w:r>
      <w:r w:rsidR="008E6037">
        <w:rPr>
          <w:bCs/>
        </w:rPr>
        <w:t xml:space="preserve"> percent</w:t>
      </w:r>
      <w:r w:rsidR="003F213F">
        <w:rPr>
          <w:bCs/>
        </w:rPr>
        <w:t xml:space="preserve"> established by the Commission in </w:t>
      </w:r>
      <w:r w:rsidR="0011618C">
        <w:t xml:space="preserve">Order 06 </w:t>
      </w:r>
      <w:r w:rsidR="00790806">
        <w:t>(Order) in this docket</w:t>
      </w:r>
      <w:r w:rsidR="003F213F">
        <w:rPr>
          <w:bCs/>
        </w:rPr>
        <w:t>.</w:t>
      </w:r>
    </w:p>
    <w:p w:rsidR="00A01100" w:rsidRPr="00F165E7" w:rsidRDefault="005E03D7" w:rsidP="006730D4">
      <w:pPr>
        <w:spacing w:line="480" w:lineRule="auto"/>
        <w:ind w:left="720" w:hanging="720"/>
        <w:rPr>
          <w:b/>
          <w:bCs/>
        </w:rPr>
      </w:pPr>
      <w:r w:rsidRPr="005E03D7">
        <w:rPr>
          <w:b/>
          <w:bCs/>
        </w:rPr>
        <w:t>Q.</w:t>
      </w:r>
      <w:r w:rsidRPr="005E03D7">
        <w:rPr>
          <w:b/>
          <w:bCs/>
        </w:rPr>
        <w:tab/>
        <w:t xml:space="preserve">Do these earning levels include </w:t>
      </w:r>
      <w:r w:rsidR="00F165E7">
        <w:rPr>
          <w:b/>
          <w:bCs/>
        </w:rPr>
        <w:t xml:space="preserve">the impact of </w:t>
      </w:r>
      <w:r w:rsidRPr="005E03D7">
        <w:rPr>
          <w:b/>
          <w:bCs/>
        </w:rPr>
        <w:t>REC revenues?</w:t>
      </w:r>
    </w:p>
    <w:p w:rsidR="00750E93" w:rsidRDefault="00A01100" w:rsidP="006730D4">
      <w:pPr>
        <w:spacing w:line="480" w:lineRule="auto"/>
        <w:ind w:left="720" w:hanging="720"/>
        <w:rPr>
          <w:bCs/>
        </w:rPr>
      </w:pPr>
      <w:r>
        <w:rPr>
          <w:bCs/>
        </w:rPr>
        <w:t>A.</w:t>
      </w:r>
      <w:r>
        <w:rPr>
          <w:bCs/>
        </w:rPr>
        <w:tab/>
        <w:t xml:space="preserve">Yes.  The 2009 and 2010 earnings </w:t>
      </w:r>
      <w:r w:rsidR="003D15DF">
        <w:rPr>
          <w:bCs/>
        </w:rPr>
        <w:t xml:space="preserve">referenced above </w:t>
      </w:r>
      <w:r w:rsidR="00F165E7">
        <w:rPr>
          <w:bCs/>
        </w:rPr>
        <w:t>reflect</w:t>
      </w:r>
      <w:r>
        <w:rPr>
          <w:bCs/>
        </w:rPr>
        <w:t xml:space="preserve"> approximately $4.8 million</w:t>
      </w:r>
      <w:r w:rsidR="00F165E7">
        <w:rPr>
          <w:bCs/>
        </w:rPr>
        <w:t xml:space="preserve"> a</w:t>
      </w:r>
      <w:r w:rsidR="00750E93">
        <w:rPr>
          <w:bCs/>
        </w:rPr>
        <w:t>nd approximately</w:t>
      </w:r>
      <w:r w:rsidR="00F165E7">
        <w:rPr>
          <w:bCs/>
        </w:rPr>
        <w:t xml:space="preserve"> $7.8 million of Washington-allocated REC revenues </w:t>
      </w:r>
      <w:r w:rsidR="00F165E7">
        <w:rPr>
          <w:bCs/>
        </w:rPr>
        <w:lastRenderedPageBreak/>
        <w:t>respectively.</w:t>
      </w:r>
      <w:r w:rsidR="001000F2">
        <w:rPr>
          <w:rStyle w:val="FootnoteReference"/>
          <w:bCs/>
        </w:rPr>
        <w:footnoteReference w:id="2"/>
      </w:r>
      <w:r w:rsidR="009D6792">
        <w:rPr>
          <w:bCs/>
        </w:rPr>
        <w:t xml:space="preserve"> </w:t>
      </w:r>
    </w:p>
    <w:p w:rsidR="00750E93" w:rsidRDefault="005E03D7" w:rsidP="006730D4">
      <w:pPr>
        <w:spacing w:line="480" w:lineRule="auto"/>
        <w:ind w:left="720" w:hanging="720"/>
        <w:rPr>
          <w:b/>
          <w:bCs/>
        </w:rPr>
      </w:pPr>
      <w:r w:rsidRPr="005E03D7">
        <w:rPr>
          <w:b/>
          <w:bCs/>
        </w:rPr>
        <w:t>Q.</w:t>
      </w:r>
      <w:r w:rsidRPr="005E03D7">
        <w:rPr>
          <w:b/>
          <w:bCs/>
        </w:rPr>
        <w:tab/>
        <w:t xml:space="preserve">What would be the impact on </w:t>
      </w:r>
      <w:r w:rsidR="00750E93">
        <w:rPr>
          <w:b/>
          <w:bCs/>
        </w:rPr>
        <w:t xml:space="preserve">the Company’s Washington’s </w:t>
      </w:r>
      <w:r w:rsidRPr="005E03D7">
        <w:rPr>
          <w:b/>
          <w:bCs/>
        </w:rPr>
        <w:t>earnings of removing REC revenues from the 2009 and 2010 results?</w:t>
      </w:r>
    </w:p>
    <w:p w:rsidR="00750E93" w:rsidRPr="00750E93" w:rsidRDefault="005E03D7" w:rsidP="006730D4">
      <w:pPr>
        <w:spacing w:line="480" w:lineRule="auto"/>
        <w:ind w:left="720" w:hanging="720"/>
        <w:rPr>
          <w:bCs/>
        </w:rPr>
      </w:pPr>
      <w:r w:rsidRPr="005E03D7">
        <w:rPr>
          <w:bCs/>
        </w:rPr>
        <w:t>A.</w:t>
      </w:r>
      <w:r w:rsidRPr="005E03D7">
        <w:rPr>
          <w:bCs/>
        </w:rPr>
        <w:tab/>
      </w:r>
      <w:r w:rsidR="00750E93">
        <w:rPr>
          <w:bCs/>
        </w:rPr>
        <w:t>Removing $4.8 million of Washington-</w:t>
      </w:r>
      <w:r w:rsidRPr="005E03D7">
        <w:rPr>
          <w:bCs/>
        </w:rPr>
        <w:t xml:space="preserve">allocated REC revenues from </w:t>
      </w:r>
      <w:r w:rsidR="00750E93">
        <w:rPr>
          <w:bCs/>
        </w:rPr>
        <w:t xml:space="preserve">the 2009 </w:t>
      </w:r>
      <w:r w:rsidRPr="005E03D7">
        <w:rPr>
          <w:bCs/>
        </w:rPr>
        <w:t xml:space="preserve">results would reduce the </w:t>
      </w:r>
      <w:r w:rsidR="00750E93">
        <w:rPr>
          <w:bCs/>
        </w:rPr>
        <w:t xml:space="preserve">ROE </w:t>
      </w:r>
      <w:r w:rsidR="00EE0903">
        <w:rPr>
          <w:bCs/>
        </w:rPr>
        <w:t xml:space="preserve">by approximately </w:t>
      </w:r>
      <w:r w:rsidR="00EF4EE5">
        <w:rPr>
          <w:bCs/>
        </w:rPr>
        <w:t>79 basis points</w:t>
      </w:r>
      <w:r w:rsidR="00EE0903">
        <w:rPr>
          <w:bCs/>
        </w:rPr>
        <w:t xml:space="preserve"> to 4.</w:t>
      </w:r>
      <w:r w:rsidR="00EF4EE5">
        <w:rPr>
          <w:bCs/>
        </w:rPr>
        <w:t xml:space="preserve">49 </w:t>
      </w:r>
      <w:r w:rsidR="008E6037">
        <w:rPr>
          <w:bCs/>
        </w:rPr>
        <w:t>percent</w:t>
      </w:r>
      <w:r w:rsidR="00750E93">
        <w:rPr>
          <w:bCs/>
        </w:rPr>
        <w:t xml:space="preserve">.  Similarly, removing $7.8 million of Washington-allocated REC revenue from the 2010 results would reduce the ROE by approximately </w:t>
      </w:r>
      <w:r w:rsidR="00EF4EE5">
        <w:rPr>
          <w:bCs/>
        </w:rPr>
        <w:t>128 basis points</w:t>
      </w:r>
      <w:r w:rsidR="00750E93">
        <w:rPr>
          <w:bCs/>
        </w:rPr>
        <w:t xml:space="preserve"> to </w:t>
      </w:r>
      <w:r w:rsidR="008E6037">
        <w:rPr>
          <w:bCs/>
        </w:rPr>
        <w:t>5.41 percent</w:t>
      </w:r>
      <w:r w:rsidR="00750E93">
        <w:rPr>
          <w:bCs/>
        </w:rPr>
        <w:t xml:space="preserve">. </w:t>
      </w:r>
    </w:p>
    <w:p w:rsidR="00A20953" w:rsidRPr="00A20953" w:rsidRDefault="00A20953" w:rsidP="006730D4">
      <w:pPr>
        <w:spacing w:line="480" w:lineRule="auto"/>
        <w:ind w:left="720" w:hanging="720"/>
        <w:rPr>
          <w:b/>
          <w:bCs/>
        </w:rPr>
      </w:pPr>
      <w:r w:rsidRPr="00A20953">
        <w:rPr>
          <w:b/>
          <w:bCs/>
        </w:rPr>
        <w:t>Allocation of REC revenues</w:t>
      </w:r>
    </w:p>
    <w:p w:rsidR="004951A3" w:rsidRPr="004951A3" w:rsidRDefault="004951A3" w:rsidP="003F2C63">
      <w:pPr>
        <w:spacing w:line="480" w:lineRule="auto"/>
        <w:ind w:left="720" w:hanging="720"/>
        <w:rPr>
          <w:b/>
        </w:rPr>
      </w:pPr>
      <w:r w:rsidRPr="004951A3">
        <w:rPr>
          <w:b/>
        </w:rPr>
        <w:t>Q.</w:t>
      </w:r>
      <w:r w:rsidRPr="004951A3">
        <w:rPr>
          <w:b/>
        </w:rPr>
        <w:tab/>
        <w:t>Please explain how the Company allocates RECs and REC revenue among its six states.</w:t>
      </w:r>
    </w:p>
    <w:p w:rsidR="004951A3" w:rsidRDefault="004951A3" w:rsidP="006730D4">
      <w:pPr>
        <w:spacing w:line="480" w:lineRule="auto"/>
        <w:ind w:left="720" w:hanging="720"/>
      </w:pPr>
      <w:r>
        <w:t>A.</w:t>
      </w:r>
      <w:r>
        <w:tab/>
      </w:r>
      <w:r w:rsidR="00A20953" w:rsidRPr="00901CA1">
        <w:t>Each PacifiCorp state receives an allocation of the RECs generated by Company</w:t>
      </w:r>
      <w:r w:rsidR="00A20953">
        <w:t>-</w:t>
      </w:r>
      <w:r w:rsidR="00A20953" w:rsidRPr="00901CA1">
        <w:t xml:space="preserve">owned renewable resources or acquired through power purchase agreements for the resources reflected in rates in the state. </w:t>
      </w:r>
      <w:r w:rsidR="00A20953">
        <w:t xml:space="preserve"> </w:t>
      </w:r>
      <w:r w:rsidR="00A20953" w:rsidRPr="00901CA1">
        <w:t xml:space="preserve">RECs are allocated using the System Generation (SG) factor under the Revised Protocol </w:t>
      </w:r>
      <w:r w:rsidR="003D15DF">
        <w:t xml:space="preserve">allocation </w:t>
      </w:r>
      <w:r w:rsidR="00A20953" w:rsidRPr="00901CA1">
        <w:t xml:space="preserve">methodology and the </w:t>
      </w:r>
      <w:r w:rsidR="003D15DF">
        <w:t>Control Area Generation West (</w:t>
      </w:r>
      <w:r w:rsidR="00A20953">
        <w:t>CAGW</w:t>
      </w:r>
      <w:r w:rsidR="003D15DF">
        <w:t>)</w:t>
      </w:r>
      <w:r w:rsidR="00A20953" w:rsidRPr="00901CA1">
        <w:t xml:space="preserve"> factor under the </w:t>
      </w:r>
      <w:r w:rsidR="00A20953">
        <w:t>W</w:t>
      </w:r>
      <w:r>
        <w:t xml:space="preserve">est </w:t>
      </w:r>
      <w:r w:rsidR="00A20953">
        <w:t>C</w:t>
      </w:r>
      <w:r>
        <w:t xml:space="preserve">ontrol </w:t>
      </w:r>
      <w:r w:rsidR="00A20953">
        <w:t>A</w:t>
      </w:r>
      <w:r>
        <w:t>rea (WCA)</w:t>
      </w:r>
      <w:r w:rsidR="00A20953" w:rsidRPr="00901CA1">
        <w:t xml:space="preserve"> methodology.  </w:t>
      </w:r>
    </w:p>
    <w:p w:rsidR="004951A3" w:rsidRPr="004951A3" w:rsidRDefault="004951A3" w:rsidP="006730D4">
      <w:pPr>
        <w:spacing w:line="480" w:lineRule="auto"/>
        <w:ind w:left="720" w:hanging="720"/>
        <w:rPr>
          <w:b/>
        </w:rPr>
      </w:pPr>
      <w:r w:rsidRPr="004951A3">
        <w:rPr>
          <w:b/>
        </w:rPr>
        <w:t>Q.</w:t>
      </w:r>
      <w:r w:rsidRPr="004951A3">
        <w:rPr>
          <w:b/>
        </w:rPr>
        <w:tab/>
        <w:t>Please explain the rationale for the use of these factors.</w:t>
      </w:r>
    </w:p>
    <w:p w:rsidR="004951A3" w:rsidRDefault="004951A3" w:rsidP="006730D4">
      <w:pPr>
        <w:spacing w:line="480" w:lineRule="auto"/>
        <w:ind w:left="720" w:hanging="720"/>
      </w:pPr>
      <w:r>
        <w:t>A.</w:t>
      </w:r>
      <w:r>
        <w:tab/>
      </w:r>
      <w:r w:rsidR="00A20953" w:rsidRPr="00901CA1">
        <w:t xml:space="preserve">This allocation ensures that the allocation of </w:t>
      </w:r>
      <w:r w:rsidR="001B14F1">
        <w:t>REC</w:t>
      </w:r>
      <w:r w:rsidR="009D6792">
        <w:t>s</w:t>
      </w:r>
      <w:r w:rsidR="001B14F1">
        <w:t xml:space="preserve"> </w:t>
      </w:r>
      <w:r w:rsidR="00A20953" w:rsidRPr="00901CA1">
        <w:t xml:space="preserve">is consistent with the allocation of resource costs.  Under both the Revised Protocol and the WCA, the SG and CAGW factors are used to allocate the fixed </w:t>
      </w:r>
      <w:r w:rsidR="003D15DF">
        <w:t xml:space="preserve">and variable </w:t>
      </w:r>
      <w:r w:rsidR="00A20953" w:rsidRPr="00901CA1">
        <w:t xml:space="preserve">costs of </w:t>
      </w:r>
      <w:r w:rsidR="00A20953" w:rsidRPr="00901CA1">
        <w:lastRenderedPageBreak/>
        <w:t>renewable resources</w:t>
      </w:r>
      <w:r w:rsidR="003D15DF">
        <w:t>.</w:t>
      </w:r>
      <w:r>
        <w:t xml:space="preserve"> </w:t>
      </w:r>
      <w:r w:rsidR="00B85069">
        <w:t xml:space="preserve"> </w:t>
      </w:r>
      <w:r w:rsidRPr="00901CA1">
        <w:t>Initially, PacifiCorp uses forecast allocation factors to approximate the allocation of RECs to each state.  Forecast allocation factors are updated to actual historical factors during the second quarter of the following year, once actual load data is finalized.</w:t>
      </w:r>
    </w:p>
    <w:p w:rsidR="004951A3" w:rsidRPr="00BB50FF" w:rsidRDefault="004951A3" w:rsidP="006730D4">
      <w:pPr>
        <w:spacing w:line="480" w:lineRule="auto"/>
        <w:rPr>
          <w:b/>
        </w:rPr>
      </w:pPr>
      <w:r w:rsidRPr="00BB50FF">
        <w:rPr>
          <w:b/>
        </w:rPr>
        <w:t>Q.</w:t>
      </w:r>
      <w:r w:rsidRPr="00BB50FF">
        <w:rPr>
          <w:b/>
        </w:rPr>
        <w:tab/>
        <w:t>What allocation methodology does the Company use in Washington?</w:t>
      </w:r>
    </w:p>
    <w:p w:rsidR="00123660" w:rsidRDefault="004951A3" w:rsidP="006730D4">
      <w:pPr>
        <w:spacing w:line="480" w:lineRule="auto"/>
        <w:ind w:left="720" w:hanging="720"/>
      </w:pPr>
      <w:r>
        <w:t>A.</w:t>
      </w:r>
      <w:r>
        <w:tab/>
      </w:r>
      <w:r w:rsidR="00A20953" w:rsidRPr="00901CA1">
        <w:t xml:space="preserve">PacifiCorp employs the WCA inter-jurisdictional allocation methodology for the purpose of allocating its costs </w:t>
      </w:r>
      <w:r w:rsidR="00BB50FF">
        <w:t xml:space="preserve">and revenues </w:t>
      </w:r>
      <w:r w:rsidR="00A20953" w:rsidRPr="00901CA1">
        <w:t>to customers in the state of Washington.  The C</w:t>
      </w:r>
      <w:r w:rsidR="00BB50FF">
        <w:t>ommission</w:t>
      </w:r>
      <w:r w:rsidR="00A20953" w:rsidRPr="00901CA1">
        <w:t xml:space="preserve"> approved the WCA allocation methodology in Order 08, </w:t>
      </w:r>
      <w:r w:rsidR="00BB50FF">
        <w:t xml:space="preserve">in </w:t>
      </w:r>
      <w:r w:rsidR="00A20953" w:rsidRPr="00901CA1">
        <w:t xml:space="preserve">Docket UE-061546.  The west control area includes California, Oregon and Washington.  Generation assigned to the west control area includes resources located within the west control area or with physical capability to deliver energy into the west control area.  </w:t>
      </w:r>
    </w:p>
    <w:p w:rsidR="004D7CAD" w:rsidRDefault="00123660" w:rsidP="006730D4">
      <w:pPr>
        <w:spacing w:line="480" w:lineRule="auto"/>
        <w:ind w:left="720" w:firstLine="720"/>
      </w:pPr>
      <w:r>
        <w:t>Consistent with this methodology</w:t>
      </w:r>
      <w:r w:rsidR="00A20953" w:rsidRPr="00901CA1">
        <w:t xml:space="preserve">, </w:t>
      </w:r>
      <w:r w:rsidR="00041307">
        <w:t xml:space="preserve">revenues from </w:t>
      </w:r>
      <w:r w:rsidR="00A20953" w:rsidRPr="00901CA1">
        <w:t>RECs generated by renewable resources that have been found prudent and used and useful for service to Washington customers are allocated to Washington based on the CAGW factor.  As such, Washington does not receive an allocation of RECs</w:t>
      </w:r>
      <w:r>
        <w:t xml:space="preserve"> or REC revenues</w:t>
      </w:r>
      <w:r w:rsidR="00A20953" w:rsidRPr="00901CA1">
        <w:t xml:space="preserve"> associated with renewable resources that have not been included in rates in Washington</w:t>
      </w:r>
      <w:r w:rsidR="00A20953">
        <w:t xml:space="preserve"> -</w:t>
      </w:r>
      <w:r w:rsidR="00A20953" w:rsidRPr="00901CA1">
        <w:t xml:space="preserve"> those located in the east control area.</w:t>
      </w:r>
      <w:r w:rsidR="00A20953" w:rsidRPr="00901CA1">
        <w:rPr>
          <w:vertAlign w:val="superscript"/>
        </w:rPr>
        <w:footnoteReference w:id="3"/>
      </w:r>
      <w:r w:rsidR="00A20953" w:rsidRPr="00901CA1">
        <w:t xml:space="preserve">   </w:t>
      </w:r>
    </w:p>
    <w:p w:rsidR="00BB50FF" w:rsidRPr="00BB50FF" w:rsidRDefault="00BB50FF" w:rsidP="006730D4">
      <w:pPr>
        <w:spacing w:line="480" w:lineRule="auto"/>
        <w:ind w:left="720" w:hanging="720"/>
        <w:rPr>
          <w:b/>
        </w:rPr>
      </w:pPr>
      <w:r w:rsidRPr="00BB50FF">
        <w:rPr>
          <w:b/>
        </w:rPr>
        <w:t>Q.</w:t>
      </w:r>
      <w:r w:rsidRPr="00BB50FF">
        <w:rPr>
          <w:b/>
        </w:rPr>
        <w:tab/>
        <w:t>What allocation methodology does the Company use in its other five jurisdictions?</w:t>
      </w:r>
    </w:p>
    <w:p w:rsidR="00BB50FF" w:rsidRDefault="00BB50FF" w:rsidP="006730D4">
      <w:pPr>
        <w:spacing w:line="480" w:lineRule="auto"/>
        <w:ind w:left="720" w:hanging="720"/>
      </w:pPr>
      <w:r>
        <w:t>A.</w:t>
      </w:r>
      <w:r>
        <w:tab/>
      </w:r>
      <w:r w:rsidR="00A20953" w:rsidRPr="00901CA1">
        <w:t>PacifiCorp employs the Revised Protocol inter-jurisdictional allocation methodology for purpose of allocating its costs to PacifiCorp customers in California, Idaho, Oregon, Utah, and Wyoming.  RECs associated with all renewable resources are allocated t</w:t>
      </w:r>
      <w:r w:rsidR="00A20953">
        <w:t xml:space="preserve">o these states based on the </w:t>
      </w:r>
      <w:r w:rsidR="00A20953" w:rsidRPr="00901CA1">
        <w:t xml:space="preserve">SG factor.  </w:t>
      </w:r>
    </w:p>
    <w:p w:rsidR="00BB50FF" w:rsidRPr="00BB50FF" w:rsidRDefault="00BB50FF" w:rsidP="006730D4">
      <w:pPr>
        <w:spacing w:line="480" w:lineRule="auto"/>
        <w:ind w:left="720" w:hanging="720"/>
        <w:rPr>
          <w:b/>
        </w:rPr>
      </w:pPr>
      <w:r w:rsidRPr="00BB50FF">
        <w:rPr>
          <w:b/>
        </w:rPr>
        <w:t>Q.</w:t>
      </w:r>
      <w:r w:rsidRPr="00BB50FF">
        <w:rPr>
          <w:b/>
        </w:rPr>
        <w:tab/>
        <w:t>What are the implications for RECs due to the use of a different allocation methodology in Washington as compared to the rest of the states?</w:t>
      </w:r>
    </w:p>
    <w:p w:rsidR="00A20953" w:rsidRDefault="00BB50FF" w:rsidP="006730D4">
      <w:pPr>
        <w:spacing w:line="480" w:lineRule="auto"/>
        <w:ind w:left="720" w:hanging="720"/>
      </w:pPr>
      <w:r>
        <w:t>A.</w:t>
      </w:r>
      <w:r>
        <w:tab/>
      </w:r>
      <w:r w:rsidR="00A20953" w:rsidRPr="00901CA1">
        <w:t xml:space="preserve">The application of different allocation methodologies </w:t>
      </w:r>
      <w:r>
        <w:t xml:space="preserve">results in an over-allocation of RECs and REC revenue associated with resources in the west control area and an under-allocation of RECs and REC revenue associated with resources in the east control area.  </w:t>
      </w:r>
      <w:r w:rsidR="00A20953" w:rsidRPr="00901CA1">
        <w:t xml:space="preserve">Although the different allocation methods among states require additional tracking, consistent with </w:t>
      </w:r>
      <w:r w:rsidR="00A20953">
        <w:t xml:space="preserve">the </w:t>
      </w:r>
      <w:r w:rsidR="00A20953" w:rsidRPr="008D5E13">
        <w:t xml:space="preserve">Western Renewable Energy Generation Information System </w:t>
      </w:r>
      <w:r w:rsidR="00A20953">
        <w:t>(</w:t>
      </w:r>
      <w:r w:rsidR="00A20953" w:rsidRPr="00901CA1">
        <w:t>WREGIS</w:t>
      </w:r>
      <w:r w:rsidR="00A20953">
        <w:t>)</w:t>
      </w:r>
      <w:r w:rsidR="00A20953" w:rsidRPr="00901CA1">
        <w:t xml:space="preserve"> and state </w:t>
      </w:r>
      <w:r w:rsidR="00A20953">
        <w:t>renewable portfolio standard (</w:t>
      </w:r>
      <w:r w:rsidR="00A20953" w:rsidRPr="00901CA1">
        <w:t>RPS</w:t>
      </w:r>
      <w:r w:rsidR="00A20953">
        <w:t>)</w:t>
      </w:r>
      <w:r w:rsidR="00A20953" w:rsidRPr="00901CA1">
        <w:t xml:space="preserve"> requirements, under no circumstances will any RECs be double-counted as adherence to the WREGIS Operating Rules eliminates that possibility.</w:t>
      </w:r>
    </w:p>
    <w:p w:rsidR="00A20953" w:rsidRPr="00BB50FF" w:rsidRDefault="00BB50FF" w:rsidP="006730D4">
      <w:pPr>
        <w:spacing w:line="480" w:lineRule="auto"/>
        <w:ind w:left="720" w:hanging="720"/>
        <w:rPr>
          <w:b/>
        </w:rPr>
      </w:pPr>
      <w:r w:rsidRPr="00BB50FF">
        <w:rPr>
          <w:b/>
        </w:rPr>
        <w:t>Q.</w:t>
      </w:r>
      <w:r w:rsidRPr="00BB50FF">
        <w:rPr>
          <w:b/>
        </w:rPr>
        <w:tab/>
        <w:t xml:space="preserve">How long has the Company employed the </w:t>
      </w:r>
      <w:r w:rsidR="001B14F1">
        <w:rPr>
          <w:b/>
        </w:rPr>
        <w:t xml:space="preserve">use of the West Control Area </w:t>
      </w:r>
      <w:r w:rsidRPr="00BB50FF">
        <w:rPr>
          <w:b/>
        </w:rPr>
        <w:t xml:space="preserve">allocation methodology described above? </w:t>
      </w:r>
    </w:p>
    <w:p w:rsidR="0047235D" w:rsidRDefault="00BB50FF" w:rsidP="006730D4">
      <w:pPr>
        <w:spacing w:line="480" w:lineRule="auto"/>
        <w:ind w:left="720" w:hanging="720"/>
      </w:pPr>
      <w:r>
        <w:t>A.</w:t>
      </w:r>
      <w:r>
        <w:tab/>
      </w:r>
      <w:r w:rsidR="00520681">
        <w:t xml:space="preserve">For purposes of </w:t>
      </w:r>
      <w:r w:rsidR="00FA122C">
        <w:t xml:space="preserve">determining Washington’s share of </w:t>
      </w:r>
      <w:r w:rsidR="00520681">
        <w:t>REC revenue</w:t>
      </w:r>
      <w:r w:rsidR="00FA122C">
        <w:t>s</w:t>
      </w:r>
      <w:r w:rsidR="00520681">
        <w:t xml:space="preserve">, </w:t>
      </w:r>
      <w:r w:rsidR="00FA122C">
        <w:t xml:space="preserve">the Company has applied Washington’s CAGW </w:t>
      </w:r>
      <w:r w:rsidR="0047235D">
        <w:t>percentage</w:t>
      </w:r>
      <w:r w:rsidR="00FA122C">
        <w:t xml:space="preserve"> to </w:t>
      </w:r>
      <w:r w:rsidR="0047235D">
        <w:t>actual</w:t>
      </w:r>
      <w:r w:rsidR="00FA122C">
        <w:t xml:space="preserve"> REC revenues from the sale of RECs from west control area resources.  T</w:t>
      </w:r>
      <w:r w:rsidR="00520681">
        <w:t>his method was first applied in the December 31, 2009, Quarterly REC Revenue Report, and was applied in each subsequent Quarterly REC Revenue Report.</w:t>
      </w:r>
      <w:r w:rsidR="00520681">
        <w:rPr>
          <w:rStyle w:val="FootnoteReference"/>
        </w:rPr>
        <w:footnoteReference w:id="4"/>
      </w:r>
      <w:r w:rsidR="00520681">
        <w:t xml:space="preserve">  In addition, this allocation method was applied in the 2009 Commission Basis Report filed April 30, 2010 and the 2010 Commission Basis Report filed April 29, 2011, discussed above.  Finally, this allocation method was applied in the Company’s rebuttal filing in this docket.</w:t>
      </w:r>
    </w:p>
    <w:p w:rsidR="00396EA1" w:rsidRDefault="001F0FFB" w:rsidP="006730D4">
      <w:pPr>
        <w:spacing w:line="480" w:lineRule="auto"/>
        <w:ind w:left="720" w:firstLine="720"/>
      </w:pPr>
      <w:r>
        <w:t>Additionally</w:t>
      </w:r>
      <w:r w:rsidR="00016D30">
        <w:t xml:space="preserve">, </w:t>
      </w:r>
      <w:r>
        <w:t>an</w:t>
      </w:r>
      <w:r w:rsidR="00016D30">
        <w:t xml:space="preserve"> explanation </w:t>
      </w:r>
      <w:r>
        <w:t xml:space="preserve">of the allocation method </w:t>
      </w:r>
      <w:r w:rsidR="00016D30">
        <w:t xml:space="preserve">was previously provided to </w:t>
      </w:r>
      <w:r w:rsidR="00E74BA1">
        <w:t>Staff</w:t>
      </w:r>
      <w:r w:rsidR="00016D30">
        <w:t xml:space="preserve">, Public Counsel, and ICNU on December 31, 2009, in compliance with the following term of the Stipulation adopted in </w:t>
      </w:r>
      <w:r w:rsidR="008F2A4B">
        <w:t xml:space="preserve">the Company’s 2009 general rate case, Docket </w:t>
      </w:r>
      <w:r w:rsidR="00016D30">
        <w:t>UE-090205:</w:t>
      </w:r>
    </w:p>
    <w:p w:rsidR="00016D30" w:rsidRDefault="00016D30" w:rsidP="00285DDC">
      <w:pPr>
        <w:tabs>
          <w:tab w:val="left" w:pos="1440"/>
        </w:tabs>
        <w:ind w:left="1440"/>
      </w:pPr>
      <w:r>
        <w:t>“</w:t>
      </w:r>
      <w:r w:rsidRPr="00901CA1">
        <w:t>The Company agrees to provide a report prior to January 1, 2010 that includes: (1) an explanation of how Renewable Energy Credits (“RECs”) and associated costs and/or revenues are allocated among PacifiCorp’s six states; (2) an explanation of how the Company determines proper disposition of RECs on a total-company and state-by-state basis; and (3) a detailed accounting of the total-company RECs that were sold and the total-company RECs that were retained for each year from calendar year 2005 through June 2009.</w:t>
      </w:r>
      <w:r>
        <w:t>”</w:t>
      </w:r>
    </w:p>
    <w:p w:rsidR="00566A1A" w:rsidRPr="00901CA1" w:rsidRDefault="00566A1A" w:rsidP="001E6F73">
      <w:pPr>
        <w:suppressLineNumbers/>
        <w:tabs>
          <w:tab w:val="left" w:pos="720"/>
        </w:tabs>
        <w:ind w:left="720"/>
      </w:pPr>
    </w:p>
    <w:p w:rsidR="00EA4D93" w:rsidRPr="00EA4D93" w:rsidRDefault="00EA4D93" w:rsidP="006730D4">
      <w:pPr>
        <w:spacing w:line="480" w:lineRule="auto"/>
        <w:rPr>
          <w:b/>
        </w:rPr>
      </w:pPr>
      <w:r w:rsidRPr="00EA4D93">
        <w:rPr>
          <w:b/>
        </w:rPr>
        <w:t>Q.</w:t>
      </w:r>
      <w:r w:rsidRPr="00EA4D93">
        <w:rPr>
          <w:b/>
        </w:rPr>
        <w:tab/>
        <w:t>Has any party ever taken issue with this allocation approach?</w:t>
      </w:r>
    </w:p>
    <w:p w:rsidR="00A20953" w:rsidRPr="00EA4D93" w:rsidRDefault="00EA4D93" w:rsidP="006730D4">
      <w:pPr>
        <w:spacing w:line="480" w:lineRule="auto"/>
        <w:ind w:left="720" w:hanging="720"/>
      </w:pPr>
      <w:r>
        <w:t>A.</w:t>
      </w:r>
      <w:r>
        <w:tab/>
        <w:t>No.</w:t>
      </w:r>
      <w:r w:rsidR="00016D30">
        <w:t xml:space="preserve">  </w:t>
      </w:r>
      <w:r w:rsidR="00E74BA1">
        <w:t>Although it appears Staff</w:t>
      </w:r>
      <w:r w:rsidR="004A33A7">
        <w:t xml:space="preserve"> is now proposing an alternative allocation of historical revenues based on its </w:t>
      </w:r>
      <w:r w:rsidR="00E74BA1">
        <w:t xml:space="preserve">filing </w:t>
      </w:r>
      <w:r w:rsidR="004A33A7">
        <w:t xml:space="preserve">with the Commission on May 24, 2011. </w:t>
      </w:r>
    </w:p>
    <w:p w:rsidR="00A20953" w:rsidRPr="00016D30" w:rsidRDefault="00A20953" w:rsidP="006730D4">
      <w:pPr>
        <w:spacing w:line="480" w:lineRule="auto"/>
        <w:rPr>
          <w:b/>
        </w:rPr>
      </w:pPr>
      <w:r w:rsidRPr="00EA4D93">
        <w:rPr>
          <w:b/>
        </w:rPr>
        <w:t>REC Proceeds After January 1, 2010</w:t>
      </w:r>
    </w:p>
    <w:p w:rsidR="00C411E3" w:rsidRPr="00033AC2" w:rsidRDefault="005E03D7" w:rsidP="006730D4">
      <w:pPr>
        <w:spacing w:line="480" w:lineRule="auto"/>
        <w:ind w:left="630" w:hanging="630"/>
        <w:rPr>
          <w:b/>
        </w:rPr>
      </w:pPr>
      <w:r w:rsidRPr="005E03D7">
        <w:rPr>
          <w:b/>
        </w:rPr>
        <w:t>Q.</w:t>
      </w:r>
      <w:r w:rsidRPr="005E03D7">
        <w:rPr>
          <w:b/>
        </w:rPr>
        <w:tab/>
        <w:t xml:space="preserve">Have you applied the allocation methodology described above as part of the detailed accounting of REC revenues sponsored by </w:t>
      </w:r>
      <w:r w:rsidR="00A95805">
        <w:rPr>
          <w:b/>
        </w:rPr>
        <w:t xml:space="preserve">Ms. </w:t>
      </w:r>
      <w:r w:rsidRPr="005E03D7">
        <w:rPr>
          <w:b/>
        </w:rPr>
        <w:t>Kusters?</w:t>
      </w:r>
    </w:p>
    <w:p w:rsidR="00A20953" w:rsidRDefault="00C411E3" w:rsidP="006730D4">
      <w:pPr>
        <w:spacing w:line="480" w:lineRule="auto"/>
        <w:ind w:left="720" w:hanging="720"/>
      </w:pPr>
      <w:r>
        <w:t>A.</w:t>
      </w:r>
      <w:r>
        <w:tab/>
        <w:t xml:space="preserve">Yes.  </w:t>
      </w:r>
      <w:r w:rsidR="00A20953">
        <w:t xml:space="preserve">The allocation methodology discussed above is applied to the subtotal of </w:t>
      </w:r>
      <w:r w:rsidR="00041307">
        <w:t xml:space="preserve">actual </w:t>
      </w:r>
      <w:r w:rsidR="00A20953">
        <w:t xml:space="preserve">REC revenues from west control area resources to calculate Washington’s allocated share of </w:t>
      </w:r>
      <w:r w:rsidR="00FA122C">
        <w:t xml:space="preserve">2010 </w:t>
      </w:r>
      <w:r w:rsidR="00A20953">
        <w:t>REC revenues.  This i</w:t>
      </w:r>
      <w:r>
        <w:t xml:space="preserve">s shown on the final line of </w:t>
      </w:r>
      <w:r w:rsidR="0047235D">
        <w:t xml:space="preserve">Confidential </w:t>
      </w:r>
      <w:r>
        <w:t xml:space="preserve">Exhibit </w:t>
      </w:r>
      <w:r w:rsidR="0047235D">
        <w:t>No.___(</w:t>
      </w:r>
      <w:r w:rsidR="00CE70FF" w:rsidRPr="00FF3AD9">
        <w:t>SJK-3</w:t>
      </w:r>
      <w:r w:rsidR="00FF3AD9" w:rsidRPr="00FF3AD9">
        <w:t>C</w:t>
      </w:r>
      <w:r w:rsidR="0047235D">
        <w:t>).</w:t>
      </w:r>
      <w:r w:rsidR="00A20953">
        <w:t xml:space="preserve"> </w:t>
      </w:r>
    </w:p>
    <w:p w:rsidR="00A20953" w:rsidRPr="00E914BA" w:rsidRDefault="00656B53" w:rsidP="006730D4">
      <w:pPr>
        <w:spacing w:line="480" w:lineRule="auto"/>
        <w:rPr>
          <w:b/>
        </w:rPr>
      </w:pPr>
      <w:r>
        <w:rPr>
          <w:b/>
        </w:rPr>
        <w:t xml:space="preserve">REC Revenue </w:t>
      </w:r>
      <w:r w:rsidR="00A20953" w:rsidRPr="00E914BA">
        <w:rPr>
          <w:b/>
        </w:rPr>
        <w:t>Tracking Mechanism Going Forward</w:t>
      </w:r>
    </w:p>
    <w:p w:rsidR="00A20953" w:rsidRPr="00C411E3" w:rsidRDefault="00C411E3" w:rsidP="006730D4">
      <w:pPr>
        <w:spacing w:line="480" w:lineRule="auto"/>
        <w:ind w:left="720" w:hanging="720"/>
        <w:rPr>
          <w:b/>
        </w:rPr>
      </w:pPr>
      <w:r w:rsidRPr="00C411E3">
        <w:rPr>
          <w:b/>
        </w:rPr>
        <w:t>Q.</w:t>
      </w:r>
      <w:r w:rsidRPr="00C411E3">
        <w:rPr>
          <w:b/>
        </w:rPr>
        <w:tab/>
        <w:t>Please provide an overview of the Company’s proposal for a REC tracking mechanism going forward.</w:t>
      </w:r>
    </w:p>
    <w:p w:rsidR="00A20953" w:rsidRDefault="00C411E3" w:rsidP="006730D4">
      <w:pPr>
        <w:spacing w:line="480" w:lineRule="auto"/>
        <w:ind w:left="720" w:hanging="720"/>
      </w:pPr>
      <w:r>
        <w:t>A.</w:t>
      </w:r>
      <w:r>
        <w:tab/>
      </w:r>
      <w:r w:rsidR="00A20953">
        <w:t>The Company’s detailed proposal for operation of the REC tracking mechanism going forward focuses on two key elements: (1) the annual process for reconciliation, and (2) the method for calculating Washington-allocated REC revenues.</w:t>
      </w:r>
    </w:p>
    <w:p w:rsidR="00A20953" w:rsidRPr="006E1784" w:rsidRDefault="00C411E3" w:rsidP="006730D4">
      <w:pPr>
        <w:spacing w:line="480" w:lineRule="auto"/>
        <w:ind w:left="720" w:hanging="720"/>
        <w:rPr>
          <w:b/>
        </w:rPr>
      </w:pPr>
      <w:r w:rsidRPr="006E1784">
        <w:rPr>
          <w:b/>
        </w:rPr>
        <w:t>Q.</w:t>
      </w:r>
      <w:r w:rsidRPr="006E1784">
        <w:rPr>
          <w:b/>
        </w:rPr>
        <w:tab/>
        <w:t>What does the Company propose with respect to the reconciliation process?</w:t>
      </w:r>
    </w:p>
    <w:p w:rsidR="00A20953" w:rsidRDefault="00C411E3" w:rsidP="006730D4">
      <w:pPr>
        <w:spacing w:line="480" w:lineRule="auto"/>
        <w:ind w:left="720" w:hanging="720"/>
      </w:pPr>
      <w:r>
        <w:t>A.</w:t>
      </w:r>
      <w:r>
        <w:tab/>
      </w:r>
      <w:r w:rsidR="00A20953">
        <w:t>Paragraphs 205 and 206 of the Order provide direction to the Company with respect to the reconciliation process:</w:t>
      </w:r>
    </w:p>
    <w:p w:rsidR="00A20953" w:rsidRPr="008C7C17" w:rsidRDefault="00A20953" w:rsidP="00285DDC">
      <w:pPr>
        <w:ind w:left="1440"/>
      </w:pPr>
      <w:r>
        <w:t>“</w:t>
      </w:r>
      <w:r w:rsidRPr="008C7C17">
        <w:t>At the end of the rate year, PacifiCorp will be required to submit a full accounting of REC proceeds actually received during the preceding 12 months.  This accounting will be considered in light of other information to determine if the amount of credits that should have been returned to customers exceeds or fall short of the estimated $4.8 million upon which the initial bill credits are based.  In other words, the Commission will authorize a true-up of the initial credits that can be reconciled as credits are paid during the following 12 months.</w:t>
      </w:r>
    </w:p>
    <w:p w:rsidR="00A20953" w:rsidRPr="008C7C17" w:rsidRDefault="00A20953" w:rsidP="00285DDC">
      <w:pPr>
        <w:suppressLineNumbers/>
        <w:ind w:left="1440"/>
      </w:pPr>
    </w:p>
    <w:p w:rsidR="00FE766D" w:rsidRDefault="00A20953" w:rsidP="00285DDC">
      <w:pPr>
        <w:ind w:left="1440"/>
      </w:pPr>
      <w:r w:rsidRPr="008C7C17">
        <w:t>At the end of the rate year and each subsequent annual period after the end of the rate year, PacifiCorp will be required to provide an e</w:t>
      </w:r>
      <w:r>
        <w:t xml:space="preserve">stimate of the REC proceeds it </w:t>
      </w:r>
      <w:r w:rsidRPr="008C7C17">
        <w:t>expects to receive during the following 12 months.  This is the amount on which credits during that period will be based.  As at the conclusion of the initial period there will be a true-up at the end of e</w:t>
      </w:r>
      <w:r>
        <w:t>ach subsequent 12 month period.”</w:t>
      </w:r>
    </w:p>
    <w:p w:rsidR="007577F0" w:rsidRDefault="007577F0" w:rsidP="007577F0">
      <w:pPr>
        <w:suppressLineNumbers/>
        <w:ind w:left="720"/>
      </w:pPr>
    </w:p>
    <w:p w:rsidR="00C411E3" w:rsidRDefault="00B852AC" w:rsidP="006730D4">
      <w:pPr>
        <w:spacing w:line="480" w:lineRule="auto"/>
        <w:ind w:left="720"/>
      </w:pPr>
      <w:r>
        <w:tab/>
      </w:r>
      <w:r w:rsidR="00A20953">
        <w:t xml:space="preserve">Although the Order ties the annual true-up to the rate year in this proceeding (April 3, 2011 through April 2, 2012), the Company respectfully requests that the Commission </w:t>
      </w:r>
      <w:r w:rsidR="00A1254D">
        <w:t xml:space="preserve">modify </w:t>
      </w:r>
      <w:r w:rsidR="00A63705">
        <w:t>the Order</w:t>
      </w:r>
      <w:r w:rsidR="00A1254D">
        <w:t xml:space="preserve"> to</w:t>
      </w:r>
      <w:r w:rsidR="00E60BEB">
        <w:t xml:space="preserve"> </w:t>
      </w:r>
      <w:r w:rsidR="00A20953">
        <w:t xml:space="preserve">allow REC accounting and tracker true-ups to be based on a calendar year beginning in 2012.  </w:t>
      </w:r>
    </w:p>
    <w:p w:rsidR="00C411E3" w:rsidRPr="00C411E3" w:rsidRDefault="00C411E3" w:rsidP="006730D4">
      <w:pPr>
        <w:spacing w:line="480" w:lineRule="auto"/>
        <w:rPr>
          <w:b/>
        </w:rPr>
      </w:pPr>
      <w:r w:rsidRPr="00C411E3">
        <w:rPr>
          <w:b/>
        </w:rPr>
        <w:t>Q.</w:t>
      </w:r>
      <w:r w:rsidRPr="00C411E3">
        <w:rPr>
          <w:b/>
        </w:rPr>
        <w:tab/>
        <w:t>What would be the timing of the Company’s reconciliation filings?</w:t>
      </w:r>
    </w:p>
    <w:p w:rsidR="00A20953" w:rsidRDefault="00C411E3" w:rsidP="006730D4">
      <w:pPr>
        <w:spacing w:line="480" w:lineRule="auto"/>
      </w:pPr>
      <w:r>
        <w:t>A.</w:t>
      </w:r>
      <w:r>
        <w:tab/>
      </w:r>
      <w:r w:rsidR="00A20953">
        <w:t>The Company proposes the following:</w:t>
      </w:r>
    </w:p>
    <w:p w:rsidR="00A20953" w:rsidRDefault="00A20953" w:rsidP="006730D4">
      <w:pPr>
        <w:pStyle w:val="ListParagraph"/>
        <w:widowControl/>
        <w:numPr>
          <w:ilvl w:val="0"/>
          <w:numId w:val="7"/>
        </w:numPr>
        <w:adjustRightInd/>
        <w:spacing w:line="480" w:lineRule="auto"/>
        <w:jc w:val="left"/>
        <w:textAlignment w:val="auto"/>
      </w:pPr>
      <w:r w:rsidRPr="00A67A8A">
        <w:t xml:space="preserve">By May 1, 2012, PacifiCorp will submit a full accounting of </w:t>
      </w:r>
      <w:r>
        <w:t>REC revenues</w:t>
      </w:r>
      <w:r w:rsidRPr="00A67A8A">
        <w:t xml:space="preserve"> actually received from April 1, 2011 through December 31, 2011.  </w:t>
      </w:r>
      <w:r>
        <w:t>In each subsequent year, the accounting of actual REC revenues will be provided for the full calendar year.</w:t>
      </w:r>
    </w:p>
    <w:p w:rsidR="00A20953" w:rsidRPr="00A67A8A" w:rsidRDefault="00A20953" w:rsidP="006730D4">
      <w:pPr>
        <w:pStyle w:val="ListParagraph"/>
        <w:widowControl/>
        <w:numPr>
          <w:ilvl w:val="0"/>
          <w:numId w:val="7"/>
        </w:numPr>
        <w:adjustRightInd/>
        <w:spacing w:line="480" w:lineRule="auto"/>
        <w:jc w:val="left"/>
        <w:textAlignment w:val="auto"/>
      </w:pPr>
      <w:r w:rsidRPr="00A67A8A">
        <w:t xml:space="preserve">By May 1, 2012, PacifiCorp will also provide an estimate of the REC proceeds it expects to receive </w:t>
      </w:r>
      <w:r>
        <w:t>for calendar year 2012.  In each subsequent year, an estimate for that subsequent calendar year will be provided.</w:t>
      </w:r>
    </w:p>
    <w:p w:rsidR="00A20953" w:rsidRDefault="00A20953" w:rsidP="006730D4">
      <w:pPr>
        <w:pStyle w:val="ListParagraph"/>
        <w:widowControl/>
        <w:numPr>
          <w:ilvl w:val="0"/>
          <w:numId w:val="7"/>
        </w:numPr>
        <w:adjustRightInd/>
        <w:spacing w:line="480" w:lineRule="auto"/>
        <w:jc w:val="left"/>
        <w:textAlignment w:val="auto"/>
      </w:pPr>
      <w:r>
        <w:t>The Company proposes to accrue interest on any positive or negative balance in the tracker at the Company’s authorized weighted average cost of capital (WACC).  Under the Order, this results in a 7.81</w:t>
      </w:r>
      <w:r w:rsidR="00FF3AD9">
        <w:t xml:space="preserve"> percent</w:t>
      </w:r>
      <w:r>
        <w:t xml:space="preserve"> interest rate.</w:t>
      </w:r>
    </w:p>
    <w:p w:rsidR="00A20953" w:rsidRPr="00C411E3" w:rsidRDefault="00C411E3" w:rsidP="006730D4">
      <w:pPr>
        <w:spacing w:line="480" w:lineRule="auto"/>
        <w:rPr>
          <w:b/>
        </w:rPr>
      </w:pPr>
      <w:r w:rsidRPr="00C411E3">
        <w:rPr>
          <w:b/>
        </w:rPr>
        <w:t>Q.</w:t>
      </w:r>
      <w:r w:rsidRPr="00C411E3">
        <w:rPr>
          <w:b/>
        </w:rPr>
        <w:tab/>
        <w:t>How would rate changes be implemented?</w:t>
      </w:r>
    </w:p>
    <w:p w:rsidR="00A20953" w:rsidRDefault="00C411E3" w:rsidP="006730D4">
      <w:pPr>
        <w:spacing w:line="480" w:lineRule="auto"/>
        <w:ind w:left="720" w:hanging="720"/>
      </w:pPr>
      <w:r>
        <w:t>A.</w:t>
      </w:r>
      <w:r>
        <w:tab/>
      </w:r>
      <w:r w:rsidR="00A20953">
        <w:t>The Company proposes to file an advice letter on May 1 of each year to</w:t>
      </w:r>
      <w:r w:rsidR="00A20953" w:rsidRPr="00CC64C7">
        <w:t xml:space="preserve"> increase or decrease the </w:t>
      </w:r>
      <w:r w:rsidR="00A20953">
        <w:t xml:space="preserve">renewable energy revenue adjustment </w:t>
      </w:r>
      <w:r w:rsidR="00A20953" w:rsidRPr="00CC64C7">
        <w:t xml:space="preserve">credit in Schedule 95 to reflect the true-up for the </w:t>
      </w:r>
      <w:r w:rsidR="00157F75">
        <w:t>prior</w:t>
      </w:r>
      <w:r w:rsidR="00A20953" w:rsidRPr="00CC64C7">
        <w:t xml:space="preserve"> period and the estimate of future proceeds</w:t>
      </w:r>
      <w:r w:rsidR="00A20953">
        <w:t>.  The advice letter filing would then be reviewed by parties and approved at a Commission public meeting</w:t>
      </w:r>
      <w:r w:rsidR="00A20953" w:rsidRPr="00CC64C7">
        <w:t>.</w:t>
      </w:r>
    </w:p>
    <w:p w:rsidR="00A20953" w:rsidRPr="006E1784" w:rsidRDefault="006E1784" w:rsidP="006730D4">
      <w:pPr>
        <w:spacing w:line="480" w:lineRule="auto"/>
        <w:ind w:left="720" w:hanging="720"/>
        <w:rPr>
          <w:b/>
        </w:rPr>
      </w:pPr>
      <w:r w:rsidRPr="006E1784">
        <w:rPr>
          <w:b/>
        </w:rPr>
        <w:t>Q.</w:t>
      </w:r>
      <w:r w:rsidRPr="006E1784">
        <w:rPr>
          <w:b/>
        </w:rPr>
        <w:tab/>
        <w:t>Please explain the Company’s proposal for the c</w:t>
      </w:r>
      <w:r w:rsidR="00A20953" w:rsidRPr="006E1784">
        <w:rPr>
          <w:b/>
        </w:rPr>
        <w:t>alculati</w:t>
      </w:r>
      <w:r w:rsidRPr="006E1784">
        <w:rPr>
          <w:b/>
        </w:rPr>
        <w:t>on of Washington-allocated REC r</w:t>
      </w:r>
      <w:r w:rsidR="00A20953" w:rsidRPr="006E1784">
        <w:rPr>
          <w:b/>
        </w:rPr>
        <w:t>evenues</w:t>
      </w:r>
      <w:r w:rsidRPr="006E1784">
        <w:rPr>
          <w:b/>
        </w:rPr>
        <w:t xml:space="preserve"> going forward.</w:t>
      </w:r>
    </w:p>
    <w:p w:rsidR="00A20953" w:rsidRDefault="006E1784" w:rsidP="006730D4">
      <w:pPr>
        <w:spacing w:line="480" w:lineRule="auto"/>
        <w:ind w:left="720" w:hanging="720"/>
      </w:pPr>
      <w:r>
        <w:t>A.</w:t>
      </w:r>
      <w:r>
        <w:tab/>
      </w:r>
      <w:r w:rsidR="00A20953">
        <w:t xml:space="preserve">Beginning in 2011, the Company will hold RECs for compliance with the Washington RPS, which means that fewer Washington-allocated RECs will be available for sale.  As discussed above, the difference between the Revised Protocol and WCA allocation methodologies also creates complexities.  For RPS compliance, a REC cannot be used more than once, or for more than one state.  While in the past, the Company was not restricted from over-allocating REC </w:t>
      </w:r>
      <w:r w:rsidR="00A20953" w:rsidRPr="000212CB">
        <w:rPr>
          <w:u w:val="single"/>
        </w:rPr>
        <w:t>revenues</w:t>
      </w:r>
      <w:r w:rsidR="00A20953">
        <w:t>, under state RPS requirements, it is precluded from over-allocating the actual RECs.  The calculation of revenues to be allocated to Washington under the REC tracking mechanism is designed to address this restriction.</w:t>
      </w:r>
      <w:r>
        <w:t xml:space="preserve">  A sample calculation of the REC tracking mechanism is provided in Confidential Exhibit </w:t>
      </w:r>
      <w:r w:rsidR="00504F1D" w:rsidRPr="00A63705">
        <w:t>No.___(RBD-2</w:t>
      </w:r>
      <w:r w:rsidR="00FF130F">
        <w:t>7</w:t>
      </w:r>
      <w:r w:rsidR="00504F1D" w:rsidRPr="00A63705">
        <w:t>C)</w:t>
      </w:r>
      <w:r w:rsidRPr="00A63705">
        <w:t>.</w:t>
      </w:r>
    </w:p>
    <w:p w:rsidR="00A20953" w:rsidRPr="006E1784" w:rsidRDefault="006E1784" w:rsidP="006730D4">
      <w:pPr>
        <w:spacing w:line="480" w:lineRule="auto"/>
        <w:rPr>
          <w:b/>
        </w:rPr>
      </w:pPr>
      <w:r w:rsidRPr="006E1784">
        <w:rPr>
          <w:b/>
        </w:rPr>
        <w:t>Q.</w:t>
      </w:r>
      <w:r w:rsidRPr="006E1784">
        <w:rPr>
          <w:b/>
        </w:rPr>
        <w:tab/>
        <w:t xml:space="preserve">Please describe this </w:t>
      </w:r>
      <w:r>
        <w:rPr>
          <w:b/>
        </w:rPr>
        <w:t xml:space="preserve">Confidential </w:t>
      </w:r>
      <w:r w:rsidRPr="006E1784">
        <w:rPr>
          <w:b/>
        </w:rPr>
        <w:t>Exhibit.</w:t>
      </w:r>
    </w:p>
    <w:p w:rsidR="00A20953" w:rsidRPr="0047196C" w:rsidRDefault="006E1784" w:rsidP="006730D4">
      <w:pPr>
        <w:spacing w:line="480" w:lineRule="auto"/>
        <w:ind w:left="720" w:hanging="720"/>
      </w:pPr>
      <w:r>
        <w:t>A.</w:t>
      </w:r>
      <w:r>
        <w:tab/>
      </w:r>
      <w:r w:rsidR="00A20953">
        <w:t xml:space="preserve">Page 2 and 3 of the Confidential </w:t>
      </w:r>
      <w:r>
        <w:t>Exhibit</w:t>
      </w:r>
      <w:r w:rsidR="00A20953">
        <w:t xml:space="preserve"> provide the calculation of Washington-allocated REC revenues associated with west control area resources that are eligible for compliance with the Washington RPS.  Pages 4 and 5 of the Confidential </w:t>
      </w:r>
      <w:r>
        <w:t>Exhibit</w:t>
      </w:r>
      <w:r w:rsidR="00A20953">
        <w:t xml:space="preserve"> provide the calculation of Washington-allocated REC revenues associated with west control area resources that are not eligible for compliance with the Washington RPS.  A small portion of these resources are eligible for compliance with the Oregon and/or California RPS.  </w:t>
      </w:r>
      <w:r w:rsidR="00A20953" w:rsidRPr="0047196C">
        <w:t xml:space="preserve">Due to the difference between the rate period and the calendar year, for 2011 and 2012, the data is </w:t>
      </w:r>
      <w:r w:rsidR="00A20953">
        <w:t>reflected in two columns for each year;</w:t>
      </w:r>
      <w:r w:rsidR="00A20953" w:rsidRPr="0047196C">
        <w:t xml:space="preserve"> a three-month period from January to March and a</w:t>
      </w:r>
      <w:r w:rsidR="00A20953">
        <w:t xml:space="preserve"> nine-month period from April to December.</w:t>
      </w:r>
    </w:p>
    <w:p w:rsidR="00A20953" w:rsidRPr="006E1784" w:rsidRDefault="006E1784" w:rsidP="006730D4">
      <w:pPr>
        <w:spacing w:line="480" w:lineRule="auto"/>
        <w:rPr>
          <w:b/>
        </w:rPr>
      </w:pPr>
      <w:r w:rsidRPr="006E1784">
        <w:rPr>
          <w:b/>
        </w:rPr>
        <w:t>Q.</w:t>
      </w:r>
      <w:r w:rsidRPr="006E1784">
        <w:rPr>
          <w:b/>
        </w:rPr>
        <w:tab/>
        <w:t>How are the RPS-Eligible RECs treated under the Company’s proposal?</w:t>
      </w:r>
    </w:p>
    <w:p w:rsidR="00A20953" w:rsidRDefault="006E1784" w:rsidP="006730D4">
      <w:pPr>
        <w:spacing w:line="480" w:lineRule="auto"/>
        <w:ind w:left="720" w:hanging="720"/>
      </w:pPr>
      <w:r>
        <w:t>A.</w:t>
      </w:r>
      <w:r>
        <w:tab/>
      </w:r>
      <w:r w:rsidR="00A20953" w:rsidRPr="0047196C">
        <w:t>Page 2, lines 1-5 show the total forecast generation and RECs from W</w:t>
      </w:r>
      <w:r w:rsidR="00A20953">
        <w:t>ashington</w:t>
      </w:r>
      <w:r w:rsidR="00A20953" w:rsidRPr="0047196C">
        <w:t xml:space="preserve"> RPS-eligible resources.  Lines 7-11 </w:t>
      </w:r>
      <w:r w:rsidR="00A20953">
        <w:t xml:space="preserve">apply </w:t>
      </w:r>
      <w:r w:rsidR="00A178DD">
        <w:t xml:space="preserve">Washington’s </w:t>
      </w:r>
      <w:r w:rsidR="00A20953">
        <w:t xml:space="preserve">CAGW allocation factor to the forecast generation to calculate </w:t>
      </w:r>
      <w:r w:rsidR="00A20953" w:rsidRPr="0047196C">
        <w:t>the Washington-allocated RECs from W</w:t>
      </w:r>
      <w:r w:rsidR="00A20953">
        <w:t>ashington</w:t>
      </w:r>
      <w:r w:rsidR="00A20953" w:rsidRPr="0047196C">
        <w:t xml:space="preserve"> RPS-eligible resources by year.</w:t>
      </w:r>
      <w:r>
        <w:t xml:space="preserve"> </w:t>
      </w:r>
      <w:r w:rsidR="00B85069">
        <w:t xml:space="preserve"> </w:t>
      </w:r>
      <w:r w:rsidR="00A20953" w:rsidRPr="000A3AEC">
        <w:t>Washington’s RPS</w:t>
      </w:r>
      <w:r w:rsidR="007577F0">
        <w:t xml:space="preserve"> requires utilities to provide three</w:t>
      </w:r>
      <w:r w:rsidR="00031947">
        <w:t xml:space="preserve"> percent</w:t>
      </w:r>
      <w:r w:rsidR="00A20953" w:rsidRPr="000A3AEC">
        <w:t xml:space="preserve"> of the average prior two years retail sales from eligible renewable resources by January 1</w:t>
      </w:r>
      <w:r w:rsidR="00A20953" w:rsidRPr="000A3AEC">
        <w:rPr>
          <w:vertAlign w:val="superscript"/>
        </w:rPr>
        <w:t>st</w:t>
      </w:r>
      <w:r w:rsidR="00A20953" w:rsidRPr="000A3AEC">
        <w:t xml:space="preserve"> of compliance years 2012 through 2015.  Line 13 </w:t>
      </w:r>
      <w:r w:rsidR="00A20953">
        <w:t xml:space="preserve">shows </w:t>
      </w:r>
      <w:r w:rsidR="00A20953" w:rsidRPr="000A3AEC">
        <w:t>the RPS requirements based on load forecasts</w:t>
      </w:r>
      <w:r w:rsidR="00A20953">
        <w:t xml:space="preserve"> shown in the tables at the bottom of the page</w:t>
      </w:r>
      <w:r w:rsidR="00A20953" w:rsidRPr="000A3AEC">
        <w:t>.</w:t>
      </w:r>
      <w:r>
        <w:t xml:space="preserve">  </w:t>
      </w:r>
      <w:r w:rsidR="00A20953">
        <w:t xml:space="preserve">Line 15 shows the actual RECs that are available to be allocated to Washington for Washington RPS-eligible resources based on the Revised Protocol.  </w:t>
      </w:r>
      <w:r w:rsidR="00A20953" w:rsidRPr="00AC73E3">
        <w:t>To ensure compliance</w:t>
      </w:r>
      <w:r w:rsidR="00A20953">
        <w:t xml:space="preserve"> with the RPS</w:t>
      </w:r>
      <w:r w:rsidR="00A20953" w:rsidRPr="00AC73E3">
        <w:t xml:space="preserve">, the Company will make a below-the-line </w:t>
      </w:r>
      <w:r w:rsidR="009920A7">
        <w:t>purchase</w:t>
      </w:r>
      <w:r w:rsidR="00A20953" w:rsidRPr="00AC73E3">
        <w:t xml:space="preserve"> for the difference between the Washington RPS compliance requirement and the estimated Washington eligible RECs using the Revised Protocol</w:t>
      </w:r>
      <w:r w:rsidR="00A20953">
        <w:t xml:space="preserve"> </w:t>
      </w:r>
      <w:r w:rsidR="00A20953" w:rsidRPr="00AC73E3">
        <w:t>allocation method</w:t>
      </w:r>
      <w:r w:rsidR="00A20953">
        <w:t xml:space="preserve"> (SG Factor)</w:t>
      </w:r>
      <w:r w:rsidR="00041307">
        <w:t>, as shown on line 16</w:t>
      </w:r>
      <w:r w:rsidR="00A20953" w:rsidRPr="00AC73E3">
        <w:t>.</w:t>
      </w:r>
      <w:r>
        <w:t xml:space="preserve">  </w:t>
      </w:r>
      <w:r w:rsidR="00A20953">
        <w:t xml:space="preserve">Line 19 shows the </w:t>
      </w:r>
      <w:r w:rsidR="00A20953" w:rsidRPr="00AC73E3">
        <w:t>Company</w:t>
      </w:r>
      <w:r w:rsidR="00A20953">
        <w:t>’s</w:t>
      </w:r>
      <w:r w:rsidR="00A20953" w:rsidRPr="00AC73E3">
        <w:t xml:space="preserve"> estimates </w:t>
      </w:r>
      <w:r w:rsidR="00A20953">
        <w:t>of Washington’s allocation of “pseudo</w:t>
      </w:r>
      <w:r w:rsidR="00A20953" w:rsidRPr="00AC73E3">
        <w:t xml:space="preserve"> RECs</w:t>
      </w:r>
      <w:r w:rsidR="00F657E7">
        <w:t>”</w:t>
      </w:r>
      <w:r w:rsidR="00F657E7">
        <w:rPr>
          <w:rStyle w:val="FootnoteReference"/>
        </w:rPr>
        <w:footnoteReference w:id="5"/>
      </w:r>
      <w:r w:rsidR="00F657E7" w:rsidRPr="00AC73E3">
        <w:t xml:space="preserve"> </w:t>
      </w:r>
      <w:r w:rsidR="00A20953" w:rsidRPr="00AC73E3">
        <w:t>in excess of its annual compliance target</w:t>
      </w:r>
      <w:r w:rsidR="00A20953">
        <w:t xml:space="preserve">s for 2012 through 2015. </w:t>
      </w:r>
      <w:r>
        <w:t xml:space="preserve"> </w:t>
      </w:r>
      <w:r w:rsidR="00A20953" w:rsidRPr="002C2072">
        <w:t xml:space="preserve">The </w:t>
      </w:r>
      <w:r w:rsidR="00A20953">
        <w:t>percentage</w:t>
      </w:r>
      <w:r w:rsidR="00A20953" w:rsidRPr="002C2072">
        <w:t xml:space="preserve"> of </w:t>
      </w:r>
      <w:r w:rsidR="00A20953">
        <w:t xml:space="preserve">Washington’s pseudo </w:t>
      </w:r>
      <w:r w:rsidR="00A20953" w:rsidRPr="002C2072">
        <w:t xml:space="preserve">excess RECs </w:t>
      </w:r>
      <w:r w:rsidR="00A20953">
        <w:t>“</w:t>
      </w:r>
      <w:r w:rsidR="00A20953" w:rsidRPr="002C2072">
        <w:t>sold</w:t>
      </w:r>
      <w:r w:rsidR="00A20953">
        <w:t>”</w:t>
      </w:r>
      <w:r w:rsidR="00A20953" w:rsidRPr="002C2072">
        <w:t xml:space="preserve"> is determined by taking the </w:t>
      </w:r>
      <w:r w:rsidR="00A20953">
        <w:t xml:space="preserve">actual eligible </w:t>
      </w:r>
      <w:r w:rsidR="00041307">
        <w:t xml:space="preserve">west control area </w:t>
      </w:r>
      <w:r w:rsidR="00A20953">
        <w:t>RECs sold</w:t>
      </w:r>
      <w:r w:rsidR="00A20953" w:rsidRPr="002C2072">
        <w:t xml:space="preserve"> divided by the total </w:t>
      </w:r>
      <w:r w:rsidR="00A20953">
        <w:t xml:space="preserve">eligible </w:t>
      </w:r>
      <w:r w:rsidR="00041307">
        <w:t>west control area</w:t>
      </w:r>
      <w:r w:rsidR="00041307" w:rsidRPr="002C2072">
        <w:t xml:space="preserve"> </w:t>
      </w:r>
      <w:r w:rsidR="00A20953" w:rsidRPr="002C2072">
        <w:t>RECs</w:t>
      </w:r>
      <w:r w:rsidR="00A20953">
        <w:t xml:space="preserve"> available for sale</w:t>
      </w:r>
      <w:r w:rsidR="00A20953" w:rsidRPr="002C2072">
        <w:t>.</w:t>
      </w:r>
      <w:r w:rsidR="00A20953">
        <w:t xml:space="preserve"> </w:t>
      </w:r>
      <w:r w:rsidR="00B85069">
        <w:t xml:space="preserve"> </w:t>
      </w:r>
      <w:r w:rsidR="00A20953">
        <w:t xml:space="preserve">This percentage is then applied to Washington’s pseudo excess RECs. </w:t>
      </w:r>
      <w:r w:rsidR="00B85069">
        <w:t xml:space="preserve"> </w:t>
      </w:r>
      <w:r w:rsidR="00A20953">
        <w:t>The percentage of actual RECs sold is calculated on Page 3.</w:t>
      </w:r>
      <w:r>
        <w:t xml:space="preserve">  </w:t>
      </w:r>
      <w:r w:rsidR="00A20953">
        <w:t>The total Washington revenue credit from eligible resources is</w:t>
      </w:r>
      <w:r w:rsidR="00A20953" w:rsidRPr="002C2072">
        <w:t xml:space="preserve"> computed using the actual average REC price</w:t>
      </w:r>
      <w:r w:rsidR="00A20953">
        <w:t xml:space="preserve"> from </w:t>
      </w:r>
      <w:r w:rsidR="00041307">
        <w:t xml:space="preserve">west control area </w:t>
      </w:r>
      <w:r w:rsidR="00A20953">
        <w:t>eligible resources (also calculated on Page 3)</w:t>
      </w:r>
      <w:r w:rsidR="00A20953" w:rsidRPr="002C2072">
        <w:t xml:space="preserve"> multiplied by the c</w:t>
      </w:r>
      <w:r w:rsidR="00A20953">
        <w:t>alculated pseudo</w:t>
      </w:r>
      <w:r w:rsidR="00A20953" w:rsidRPr="002C2072">
        <w:t xml:space="preserve"> excess </w:t>
      </w:r>
      <w:r w:rsidR="00A20953">
        <w:t>RECs sold.  This calculation is shown on lines 19-26.</w:t>
      </w:r>
    </w:p>
    <w:p w:rsidR="00A20953" w:rsidRPr="006E1784" w:rsidRDefault="006E1784" w:rsidP="006730D4">
      <w:pPr>
        <w:spacing w:line="480" w:lineRule="auto"/>
        <w:rPr>
          <w:b/>
        </w:rPr>
      </w:pPr>
      <w:r w:rsidRPr="006E1784">
        <w:rPr>
          <w:b/>
        </w:rPr>
        <w:t>Q.</w:t>
      </w:r>
      <w:r w:rsidRPr="006E1784">
        <w:rPr>
          <w:b/>
        </w:rPr>
        <w:tab/>
        <w:t>How is the Company proposing to treat RPS Non-Eligible RECs?</w:t>
      </w:r>
    </w:p>
    <w:p w:rsidR="00A20953" w:rsidRDefault="006E1784" w:rsidP="006730D4">
      <w:pPr>
        <w:spacing w:line="480" w:lineRule="auto"/>
        <w:ind w:left="720" w:hanging="720"/>
      </w:pPr>
      <w:r>
        <w:t>A.</w:t>
      </w:r>
      <w:r>
        <w:tab/>
      </w:r>
      <w:r w:rsidR="00A20953">
        <w:t xml:space="preserve">To the extent the Company is able to make sales of </w:t>
      </w:r>
      <w:r w:rsidR="001B14F1">
        <w:t xml:space="preserve">Washington </w:t>
      </w:r>
      <w:r w:rsidR="00A20953">
        <w:t xml:space="preserve">RPS non-eligible RECs in the future, the calculation of Washington’s allocated share of the revenues will be done in the same manner as described above for RPS eligible RECs.  </w:t>
      </w:r>
      <w:r w:rsidR="00EF4EE5">
        <w:t xml:space="preserve">As discussed </w:t>
      </w:r>
      <w:r w:rsidR="009920A7">
        <w:t>in the testimony of Ms. Kusters, d</w:t>
      </w:r>
      <w:r w:rsidR="00A20953">
        <w:t>ue to the limited size of the market for RPS non-eligible RECs, at this time, the Company does not forecast any sales in the future.</w:t>
      </w:r>
    </w:p>
    <w:p w:rsidR="004B665C" w:rsidRDefault="004B665C" w:rsidP="006730D4">
      <w:pPr>
        <w:spacing w:line="480" w:lineRule="auto"/>
        <w:ind w:left="720" w:hanging="720"/>
        <w:rPr>
          <w:b/>
        </w:rPr>
      </w:pPr>
      <w:r>
        <w:rPr>
          <w:b/>
        </w:rPr>
        <w:t>Q.</w:t>
      </w:r>
      <w:r>
        <w:rPr>
          <w:b/>
        </w:rPr>
        <w:tab/>
        <w:t>Does this conclude your testimony?</w:t>
      </w:r>
    </w:p>
    <w:p w:rsidR="005642A7" w:rsidRDefault="004B665C" w:rsidP="006730D4">
      <w:pPr>
        <w:pStyle w:val="Answer"/>
        <w:numPr>
          <w:ilvl w:val="0"/>
          <w:numId w:val="0"/>
        </w:numPr>
        <w:spacing w:after="0"/>
        <w:ind w:left="720" w:hanging="720"/>
        <w:jc w:val="left"/>
      </w:pPr>
      <w:r>
        <w:t>A.</w:t>
      </w:r>
      <w:r>
        <w:tab/>
        <w:t xml:space="preserve">Yes. </w:t>
      </w:r>
    </w:p>
    <w:sectPr w:rsidR="005642A7" w:rsidSect="00A35980">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FAB" w:rsidRDefault="00CD3FAB">
      <w:r>
        <w:separator/>
      </w:r>
    </w:p>
  </w:endnote>
  <w:endnote w:type="continuationSeparator" w:id="0">
    <w:p w:rsidR="00CD3FAB" w:rsidRDefault="00CD3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ld">
    <w:altName w:val="Times"/>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570" w:rsidRDefault="00C705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CD4" w:rsidRDefault="00814512">
    <w:pPr>
      <w:pStyle w:val="Footer"/>
      <w:tabs>
        <w:tab w:val="clear" w:pos="9360"/>
        <w:tab w:val="right" w:pos="8640"/>
      </w:tabs>
      <w:rPr>
        <w:rStyle w:val="PageNumber"/>
      </w:rPr>
    </w:pPr>
    <w:r>
      <w:rPr>
        <w:rStyle w:val="PageNumber"/>
      </w:rPr>
      <w:t xml:space="preserve">Phase II Direct </w:t>
    </w:r>
    <w:r w:rsidR="005A491E">
      <w:rPr>
        <w:rStyle w:val="PageNumber"/>
      </w:rPr>
      <w:t xml:space="preserve">Testimony of R. Bryce Dalley     </w:t>
    </w:r>
    <w:r>
      <w:rPr>
        <w:rStyle w:val="PageNumber"/>
      </w:rPr>
      <w:tab/>
      <w:t xml:space="preserve">             </w:t>
    </w:r>
    <w:r w:rsidR="005A491E">
      <w:rPr>
        <w:rStyle w:val="PageNumber"/>
      </w:rPr>
      <w:t>Exhibit No.___(RBD-25T)</w:t>
    </w:r>
  </w:p>
  <w:p w:rsidR="005A491E" w:rsidRDefault="005A491E" w:rsidP="005A491E">
    <w:pPr>
      <w:pStyle w:val="Footer"/>
      <w:jc w:val="right"/>
    </w:pPr>
    <w:r>
      <w:rPr>
        <w:rStyle w:val="PageNumber"/>
      </w:rPr>
      <w:t xml:space="preserve">Page </w:t>
    </w:r>
    <w:r w:rsidR="00A23927">
      <w:rPr>
        <w:rStyle w:val="PageNumber"/>
      </w:rPr>
      <w:fldChar w:fldCharType="begin"/>
    </w:r>
    <w:r>
      <w:rPr>
        <w:rStyle w:val="PageNumber"/>
      </w:rPr>
      <w:instrText xml:space="preserve"> PAGE </w:instrText>
    </w:r>
    <w:r w:rsidR="00A23927">
      <w:rPr>
        <w:rStyle w:val="PageNumber"/>
      </w:rPr>
      <w:fldChar w:fldCharType="separate"/>
    </w:r>
    <w:r w:rsidR="00C70570">
      <w:rPr>
        <w:rStyle w:val="PageNumber"/>
        <w:noProof/>
      </w:rPr>
      <w:t>1</w:t>
    </w:r>
    <w:r w:rsidR="00A23927">
      <w:rPr>
        <w:rStyle w:val="PageNumber"/>
      </w:rPr>
      <w:fldChar w:fldCharType="end"/>
    </w:r>
  </w:p>
  <w:p w:rsidR="00016D30" w:rsidRDefault="00016D30">
    <w:pPr>
      <w:pStyle w:val="Footer"/>
      <w:rPr>
        <w:rStyle w:val="PageNumb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570" w:rsidRDefault="00C705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FAB" w:rsidRDefault="00CD3FAB">
      <w:r>
        <w:separator/>
      </w:r>
    </w:p>
  </w:footnote>
  <w:footnote w:type="continuationSeparator" w:id="0">
    <w:p w:rsidR="00CD3FAB" w:rsidRDefault="00CD3FAB">
      <w:r>
        <w:continuationSeparator/>
      </w:r>
    </w:p>
  </w:footnote>
  <w:footnote w:id="1">
    <w:p w:rsidR="00FE766D" w:rsidRDefault="003F213F" w:rsidP="006730D4">
      <w:pPr>
        <w:pStyle w:val="FootnoteText"/>
        <w:spacing w:after="0"/>
        <w:ind w:firstLine="0"/>
        <w:jc w:val="left"/>
        <w:rPr>
          <w:sz w:val="20"/>
        </w:rPr>
      </w:pPr>
      <w:r w:rsidRPr="006730D4">
        <w:rPr>
          <w:rStyle w:val="FootnoteReference"/>
          <w:sz w:val="20"/>
        </w:rPr>
        <w:footnoteRef/>
      </w:r>
      <w:r w:rsidRPr="006730D4">
        <w:rPr>
          <w:sz w:val="20"/>
        </w:rPr>
        <w:t xml:space="preserve"> </w:t>
      </w:r>
      <w:r w:rsidR="00FE766D" w:rsidRPr="006730D4">
        <w:rPr>
          <w:sz w:val="20"/>
        </w:rPr>
        <w:t>ROEs shown above are reflected on a restated basis, which include Commission ordered adjustments.  The Company’s reported per books ROE in Washington in 2009 and 2010 was 6.13</w:t>
      </w:r>
      <w:r w:rsidR="00D67102" w:rsidRPr="006730D4">
        <w:rPr>
          <w:sz w:val="20"/>
        </w:rPr>
        <w:t xml:space="preserve"> percent</w:t>
      </w:r>
      <w:r w:rsidR="00FE766D" w:rsidRPr="006730D4">
        <w:rPr>
          <w:sz w:val="20"/>
        </w:rPr>
        <w:t xml:space="preserve"> and 4.59</w:t>
      </w:r>
      <w:r w:rsidR="00D67102" w:rsidRPr="006730D4">
        <w:rPr>
          <w:sz w:val="20"/>
        </w:rPr>
        <w:t xml:space="preserve"> percent</w:t>
      </w:r>
      <w:r w:rsidR="00FE766D" w:rsidRPr="006730D4">
        <w:rPr>
          <w:sz w:val="20"/>
        </w:rPr>
        <w:t xml:space="preserve"> respectively.</w:t>
      </w:r>
    </w:p>
    <w:p w:rsidR="00285DDC" w:rsidRPr="006730D4" w:rsidRDefault="00285DDC" w:rsidP="006730D4">
      <w:pPr>
        <w:pStyle w:val="FootnoteText"/>
        <w:spacing w:after="0"/>
        <w:ind w:firstLine="0"/>
        <w:jc w:val="left"/>
        <w:rPr>
          <w:sz w:val="20"/>
        </w:rPr>
      </w:pPr>
    </w:p>
  </w:footnote>
  <w:footnote w:id="2">
    <w:p w:rsidR="00FE766D" w:rsidRDefault="00FE766D" w:rsidP="000A5B06">
      <w:pPr>
        <w:pStyle w:val="FootnoteText"/>
        <w:spacing w:after="0"/>
        <w:ind w:firstLine="0"/>
        <w:jc w:val="left"/>
        <w:rPr>
          <w:bCs/>
          <w:sz w:val="20"/>
        </w:rPr>
      </w:pPr>
      <w:r w:rsidRPr="00FE766D">
        <w:rPr>
          <w:rStyle w:val="FootnoteReference"/>
          <w:sz w:val="20"/>
        </w:rPr>
        <w:footnoteRef/>
      </w:r>
      <w:r w:rsidRPr="00FE766D">
        <w:rPr>
          <w:sz w:val="20"/>
        </w:rPr>
        <w:t xml:space="preserve"> </w:t>
      </w:r>
      <w:r w:rsidRPr="00FE766D">
        <w:rPr>
          <w:bCs/>
          <w:sz w:val="20"/>
        </w:rPr>
        <w:t xml:space="preserve">The Washington-allocated REC revenues reflected in these periods were calculated by applying Washington’s </w:t>
      </w:r>
      <w:r w:rsidR="00A63705">
        <w:rPr>
          <w:bCs/>
          <w:sz w:val="20"/>
        </w:rPr>
        <w:t xml:space="preserve">CAGW </w:t>
      </w:r>
      <w:r w:rsidRPr="00FE766D">
        <w:rPr>
          <w:bCs/>
          <w:sz w:val="20"/>
        </w:rPr>
        <w:t xml:space="preserve">factor to revenues from REC sales from west control area resources.  This allocation methodology is consistent with the 2009 and 2010 allocation of revenues provided by </w:t>
      </w:r>
      <w:r w:rsidR="00A95805">
        <w:rPr>
          <w:bCs/>
          <w:sz w:val="20"/>
        </w:rPr>
        <w:t>Company witness</w:t>
      </w:r>
      <w:r w:rsidRPr="00FE766D">
        <w:rPr>
          <w:bCs/>
          <w:sz w:val="20"/>
        </w:rPr>
        <w:t xml:space="preserve"> </w:t>
      </w:r>
      <w:r w:rsidR="00A95805">
        <w:rPr>
          <w:bCs/>
          <w:sz w:val="20"/>
        </w:rPr>
        <w:t xml:space="preserve">Stacey J. </w:t>
      </w:r>
      <w:r w:rsidRPr="00FE766D">
        <w:rPr>
          <w:bCs/>
          <w:sz w:val="20"/>
        </w:rPr>
        <w:t>Kusters in Confidential Exhibit No.___(SJK-2C) and Confidential Exhibit No.___(SJK-3C).</w:t>
      </w:r>
    </w:p>
    <w:p w:rsidR="00285DDC" w:rsidRPr="00FE766D" w:rsidRDefault="00285DDC" w:rsidP="000A5B06">
      <w:pPr>
        <w:pStyle w:val="FootnoteText"/>
        <w:spacing w:after="0"/>
        <w:ind w:firstLine="0"/>
        <w:jc w:val="left"/>
        <w:rPr>
          <w:sz w:val="20"/>
        </w:rPr>
      </w:pPr>
    </w:p>
  </w:footnote>
  <w:footnote w:id="3">
    <w:p w:rsidR="00016D30" w:rsidRDefault="00016D30" w:rsidP="000A5B06">
      <w:pPr>
        <w:pStyle w:val="FootnoteText"/>
        <w:spacing w:after="0"/>
        <w:ind w:firstLine="0"/>
        <w:rPr>
          <w:sz w:val="20"/>
        </w:rPr>
      </w:pPr>
      <w:r w:rsidRPr="000A5B06">
        <w:rPr>
          <w:rStyle w:val="FootnoteReference"/>
          <w:sz w:val="20"/>
        </w:rPr>
        <w:footnoteRef/>
      </w:r>
      <w:r w:rsidR="00FF3AD9" w:rsidRPr="000A5B06">
        <w:rPr>
          <w:sz w:val="20"/>
        </w:rPr>
        <w:t xml:space="preserve"> </w:t>
      </w:r>
      <w:r w:rsidR="00FE766D" w:rsidRPr="000A5B06">
        <w:rPr>
          <w:sz w:val="20"/>
        </w:rPr>
        <w:t>Similarly, Oregon does not receive an allocation of RECs or REC revenues associated with the Rolling Hills wind resource because it is not included in rate base in Oregon.</w:t>
      </w:r>
      <w:r w:rsidRPr="000A5B06">
        <w:rPr>
          <w:sz w:val="20"/>
        </w:rPr>
        <w:t xml:space="preserve"> </w:t>
      </w:r>
    </w:p>
    <w:p w:rsidR="00285DDC" w:rsidRPr="000A5B06" w:rsidRDefault="00285DDC" w:rsidP="000A5B06">
      <w:pPr>
        <w:pStyle w:val="FootnoteText"/>
        <w:spacing w:after="0"/>
        <w:ind w:firstLine="0"/>
        <w:rPr>
          <w:sz w:val="20"/>
        </w:rPr>
      </w:pPr>
    </w:p>
  </w:footnote>
  <w:footnote w:id="4">
    <w:p w:rsidR="00FE766D" w:rsidRDefault="00FE766D" w:rsidP="000A5B06">
      <w:pPr>
        <w:pStyle w:val="FootnoteText"/>
        <w:spacing w:after="0"/>
        <w:ind w:firstLine="0"/>
        <w:jc w:val="left"/>
        <w:rPr>
          <w:sz w:val="20"/>
        </w:rPr>
      </w:pPr>
      <w:r w:rsidRPr="00FE766D">
        <w:rPr>
          <w:rStyle w:val="FootnoteReference"/>
          <w:sz w:val="20"/>
        </w:rPr>
        <w:footnoteRef/>
      </w:r>
      <w:r w:rsidRPr="00FE766D">
        <w:rPr>
          <w:sz w:val="20"/>
        </w:rPr>
        <w:t xml:space="preserve"> Subsequent reports were provided to </w:t>
      </w:r>
      <w:r w:rsidR="00B5140F" w:rsidRPr="00B5140F">
        <w:rPr>
          <w:sz w:val="20"/>
        </w:rPr>
        <w:t xml:space="preserve">the </w:t>
      </w:r>
      <w:r w:rsidRPr="00FE766D">
        <w:rPr>
          <w:sz w:val="20"/>
        </w:rPr>
        <w:t>staff of the Washington Utilities and Transportation Commission (Staff), the Public Counsel Section of the Washington State Attorney General’s Office (Public Counsel)</w:t>
      </w:r>
      <w:r w:rsidR="00B5140F">
        <w:rPr>
          <w:sz w:val="20"/>
        </w:rPr>
        <w:t xml:space="preserve"> </w:t>
      </w:r>
      <w:r w:rsidRPr="00FE766D">
        <w:rPr>
          <w:sz w:val="20"/>
        </w:rPr>
        <w:t>and the Industrial C</w:t>
      </w:r>
      <w:r w:rsidR="00B5140F">
        <w:rPr>
          <w:sz w:val="20"/>
        </w:rPr>
        <w:t xml:space="preserve">ustomers of Northwest Utilities </w:t>
      </w:r>
      <w:r w:rsidRPr="00FE766D">
        <w:rPr>
          <w:sz w:val="20"/>
        </w:rPr>
        <w:t>(ICNU) on July 28, 2010, October 29, 2010, February 1, 2011, April 29, 2011 and July 29, 2011.</w:t>
      </w:r>
    </w:p>
    <w:p w:rsidR="00285DDC" w:rsidRPr="00FE766D" w:rsidRDefault="00285DDC" w:rsidP="000A5B06">
      <w:pPr>
        <w:pStyle w:val="FootnoteText"/>
        <w:spacing w:after="0"/>
        <w:ind w:firstLine="0"/>
        <w:jc w:val="left"/>
        <w:rPr>
          <w:sz w:val="20"/>
        </w:rPr>
      </w:pPr>
    </w:p>
  </w:footnote>
  <w:footnote w:id="5">
    <w:p w:rsidR="00FE766D" w:rsidRDefault="00FE766D" w:rsidP="006A66B7">
      <w:pPr>
        <w:pStyle w:val="FootnoteText"/>
        <w:spacing w:after="0"/>
        <w:ind w:firstLine="0"/>
        <w:rPr>
          <w:sz w:val="20"/>
        </w:rPr>
      </w:pPr>
      <w:r w:rsidRPr="00FE766D">
        <w:rPr>
          <w:rStyle w:val="FootnoteReference"/>
          <w:sz w:val="20"/>
        </w:rPr>
        <w:footnoteRef/>
      </w:r>
      <w:r w:rsidRPr="00FE766D">
        <w:rPr>
          <w:sz w:val="20"/>
        </w:rPr>
        <w:t xml:space="preserve"> As discussed above, because the Company cannot allocate more than 100 percent of actual RECs, pseudo RECs are the difference between Washington’s allocation of RECs using the SG factor and the CAGW factor.</w:t>
      </w:r>
    </w:p>
    <w:p w:rsidR="00285DDC" w:rsidRPr="00FE766D" w:rsidRDefault="00285DDC" w:rsidP="006A66B7">
      <w:pPr>
        <w:pStyle w:val="FootnoteText"/>
        <w:spacing w:after="0"/>
        <w:ind w:firstLine="0"/>
        <w:rPr>
          <w:sz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570" w:rsidRDefault="00C705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570" w:rsidRDefault="00C705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570" w:rsidRDefault="00C705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72B1"/>
    <w:multiLevelType w:val="hybridMultilevel"/>
    <w:tmpl w:val="87043DF0"/>
    <w:lvl w:ilvl="0" w:tplc="B27CAE16">
      <w:start w:val="1"/>
      <w:numFmt w:val="none"/>
      <w:pStyle w:val="TBGTestimonyA"/>
      <w:lvlText w:val="A."/>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5">
      <w:start w:val="1"/>
      <w:numFmt w:val="upperLetter"/>
      <w:lvlText w:val="%2."/>
      <w:lvlJc w:val="left"/>
      <w:pPr>
        <w:tabs>
          <w:tab w:val="num" w:pos="1800"/>
        </w:tabs>
        <w:ind w:left="1800" w:hanging="360"/>
      </w:pPr>
      <w:rPr>
        <w:rFonts w:hint="default"/>
        <w:b/>
        <w:i w:val="0"/>
      </w:rPr>
    </w:lvl>
    <w:lvl w:ilvl="2" w:tplc="04090001">
      <w:start w:val="1"/>
      <w:numFmt w:val="bullet"/>
      <w:lvlText w:val=""/>
      <w:lvlJc w:val="left"/>
      <w:pPr>
        <w:tabs>
          <w:tab w:val="num" w:pos="2700"/>
        </w:tabs>
        <w:ind w:left="2700"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AD6EDF"/>
    <w:multiLevelType w:val="hybridMultilevel"/>
    <w:tmpl w:val="7DB8839C"/>
    <w:lvl w:ilvl="0" w:tplc="6776AECA">
      <w:start w:val="1"/>
      <w:numFmt w:val="none"/>
      <w:pStyle w:val="TBGTestimonyQ"/>
      <w:lvlText w:val="%1Q."/>
      <w:lvlJc w:val="left"/>
      <w:pPr>
        <w:tabs>
          <w:tab w:val="num" w:pos="840"/>
        </w:tabs>
        <w:ind w:left="840" w:hanging="720"/>
      </w:pPr>
      <w:rPr>
        <w:rFonts w:hint="default"/>
      </w:rPr>
    </w:lvl>
    <w:lvl w:ilvl="1" w:tplc="52E45B94">
      <w:start w:val="1"/>
      <w:numFmt w:val="none"/>
      <w:lvlText w:val="%2A."/>
      <w:lvlJc w:val="left"/>
      <w:pPr>
        <w:tabs>
          <w:tab w:val="num" w:pos="1368"/>
        </w:tabs>
        <w:ind w:left="1368" w:hanging="720"/>
      </w:pPr>
      <w:rPr>
        <w:rFonts w:hint="default"/>
      </w:rPr>
    </w:lvl>
    <w:lvl w:ilvl="2" w:tplc="679E8652">
      <w:start w:val="17"/>
      <w:numFmt w:val="upperLetter"/>
      <w:lvlText w:val="%3."/>
      <w:lvlJc w:val="left"/>
      <w:pPr>
        <w:tabs>
          <w:tab w:val="num" w:pos="1200"/>
        </w:tabs>
        <w:ind w:left="1200" w:hanging="360"/>
      </w:pPr>
      <w:rPr>
        <w:rFonts w:hint="default"/>
      </w:rPr>
    </w:lvl>
    <w:lvl w:ilvl="3" w:tplc="B1E062FE">
      <w:start w:val="8"/>
      <w:numFmt w:val="upperRoman"/>
      <w:lvlText w:val="%4."/>
      <w:lvlJc w:val="left"/>
      <w:pPr>
        <w:tabs>
          <w:tab w:val="num" w:pos="3528"/>
        </w:tabs>
        <w:ind w:left="3528" w:hanging="720"/>
      </w:pPr>
      <w:rPr>
        <w:rFonts w:hint="default"/>
      </w:r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3">
    <w:nsid w:val="233E482C"/>
    <w:multiLevelType w:val="hybridMultilevel"/>
    <w:tmpl w:val="297A8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E020A23"/>
    <w:multiLevelType w:val="multilevel"/>
    <w:tmpl w:val="FE906110"/>
    <w:styleLink w:val="StyleOutlinenumbered"/>
    <w:lvl w:ilvl="0">
      <w:start w:val="1"/>
      <w:numFmt w:val="upperRoman"/>
      <w:lvlText w:val="%1.  "/>
      <w:lvlJc w:val="left"/>
      <w:pPr>
        <w:tabs>
          <w:tab w:val="num" w:pos="360"/>
        </w:tabs>
        <w:ind w:left="360" w:hanging="360"/>
      </w:pPr>
      <w:rPr>
        <w:rFonts w:ascii="Arial" w:hAnsi="Arial"/>
        <w:sz w:val="22"/>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3600"/>
        </w:tabs>
        <w:ind w:left="2880" w:hanging="360"/>
      </w:pPr>
      <w:rPr>
        <w:rFonts w:ascii="Symbol" w:hAnsi="Symbol"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69301EF4"/>
    <w:multiLevelType w:val="hybridMultilevel"/>
    <w:tmpl w:val="DB32A52A"/>
    <w:lvl w:ilvl="0" w:tplc="5C78F0D8">
      <w:start w:val="1"/>
      <w:numFmt w:val="none"/>
      <w:pStyle w:val="Answer"/>
      <w:lvlText w:val="%1A."/>
      <w:lvlJc w:val="left"/>
      <w:pPr>
        <w:tabs>
          <w:tab w:val="num" w:pos="720"/>
        </w:tabs>
        <w:ind w:left="720" w:hanging="720"/>
      </w:pPr>
      <w:rPr>
        <w:rFonts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TrackMoves/>
  <w:defaultTabStop w:val="720"/>
  <w:drawingGridHorizontalSpacing w:val="120"/>
  <w:displayHorizontalDrawingGridEvery w:val="2"/>
  <w:characterSpacingControl w:val="doNotCompress"/>
  <w:hdrShapeDefaults>
    <o:shapedefaults v:ext="edit" spidmax="37889"/>
  </w:hdrShapeDefaults>
  <w:footnotePr>
    <w:footnote w:id="-1"/>
    <w:footnote w:id="0"/>
  </w:footnotePr>
  <w:endnotePr>
    <w:endnote w:id="-1"/>
    <w:endnote w:id="0"/>
  </w:endnotePr>
  <w:compat/>
  <w:rsids>
    <w:rsidRoot w:val="00895C4C"/>
    <w:rsid w:val="00000E8D"/>
    <w:rsid w:val="00016D30"/>
    <w:rsid w:val="00031947"/>
    <w:rsid w:val="00033AC2"/>
    <w:rsid w:val="00034FB0"/>
    <w:rsid w:val="00041307"/>
    <w:rsid w:val="00041CAD"/>
    <w:rsid w:val="000659A4"/>
    <w:rsid w:val="00072A7F"/>
    <w:rsid w:val="00074ECF"/>
    <w:rsid w:val="00083A71"/>
    <w:rsid w:val="000867BE"/>
    <w:rsid w:val="000A5B06"/>
    <w:rsid w:val="000B1AB4"/>
    <w:rsid w:val="000C4530"/>
    <w:rsid w:val="000F0785"/>
    <w:rsid w:val="000F6638"/>
    <w:rsid w:val="001000F2"/>
    <w:rsid w:val="00104E9E"/>
    <w:rsid w:val="0011618C"/>
    <w:rsid w:val="00123660"/>
    <w:rsid w:val="00125E14"/>
    <w:rsid w:val="0013278A"/>
    <w:rsid w:val="0013608D"/>
    <w:rsid w:val="00145BEE"/>
    <w:rsid w:val="00157F75"/>
    <w:rsid w:val="00171F93"/>
    <w:rsid w:val="00175DAF"/>
    <w:rsid w:val="00184F02"/>
    <w:rsid w:val="00185BBE"/>
    <w:rsid w:val="001B14F1"/>
    <w:rsid w:val="001E57E6"/>
    <w:rsid w:val="001E6F73"/>
    <w:rsid w:val="001F0FFB"/>
    <w:rsid w:val="001F4220"/>
    <w:rsid w:val="002128C0"/>
    <w:rsid w:val="00225036"/>
    <w:rsid w:val="00267915"/>
    <w:rsid w:val="00273537"/>
    <w:rsid w:val="00275D51"/>
    <w:rsid w:val="00285DDC"/>
    <w:rsid w:val="002860F7"/>
    <w:rsid w:val="002B3721"/>
    <w:rsid w:val="002E4291"/>
    <w:rsid w:val="002F4518"/>
    <w:rsid w:val="003301C0"/>
    <w:rsid w:val="00332281"/>
    <w:rsid w:val="003638D7"/>
    <w:rsid w:val="00373A75"/>
    <w:rsid w:val="00390D7F"/>
    <w:rsid w:val="00396EA1"/>
    <w:rsid w:val="003A2295"/>
    <w:rsid w:val="003B067E"/>
    <w:rsid w:val="003C1DE9"/>
    <w:rsid w:val="003C43A4"/>
    <w:rsid w:val="003D0D27"/>
    <w:rsid w:val="003D15DF"/>
    <w:rsid w:val="003D2695"/>
    <w:rsid w:val="003F14C4"/>
    <w:rsid w:val="003F213F"/>
    <w:rsid w:val="003F2C63"/>
    <w:rsid w:val="00443FDB"/>
    <w:rsid w:val="0047235D"/>
    <w:rsid w:val="00480B90"/>
    <w:rsid w:val="004935F0"/>
    <w:rsid w:val="004951A3"/>
    <w:rsid w:val="004A33A7"/>
    <w:rsid w:val="004A5424"/>
    <w:rsid w:val="004A7CC2"/>
    <w:rsid w:val="004B665C"/>
    <w:rsid w:val="004C0A04"/>
    <w:rsid w:val="004D0570"/>
    <w:rsid w:val="004D7CAD"/>
    <w:rsid w:val="00504F1D"/>
    <w:rsid w:val="00504FC8"/>
    <w:rsid w:val="00511761"/>
    <w:rsid w:val="00514727"/>
    <w:rsid w:val="00520681"/>
    <w:rsid w:val="00551D2D"/>
    <w:rsid w:val="00552157"/>
    <w:rsid w:val="005642A7"/>
    <w:rsid w:val="00566A1A"/>
    <w:rsid w:val="00572DBD"/>
    <w:rsid w:val="005A0810"/>
    <w:rsid w:val="005A491E"/>
    <w:rsid w:val="005D5D69"/>
    <w:rsid w:val="005E03D7"/>
    <w:rsid w:val="005E380F"/>
    <w:rsid w:val="005F79B8"/>
    <w:rsid w:val="00607E2B"/>
    <w:rsid w:val="00611880"/>
    <w:rsid w:val="00611BF1"/>
    <w:rsid w:val="006307B9"/>
    <w:rsid w:val="006320A0"/>
    <w:rsid w:val="00645AFE"/>
    <w:rsid w:val="00656B53"/>
    <w:rsid w:val="00664DF3"/>
    <w:rsid w:val="006730D4"/>
    <w:rsid w:val="00677D47"/>
    <w:rsid w:val="0068059E"/>
    <w:rsid w:val="006A152B"/>
    <w:rsid w:val="006A66B7"/>
    <w:rsid w:val="006B27CA"/>
    <w:rsid w:val="006E1784"/>
    <w:rsid w:val="006E3BF6"/>
    <w:rsid w:val="006F52BC"/>
    <w:rsid w:val="00720EFE"/>
    <w:rsid w:val="00750E93"/>
    <w:rsid w:val="007577F0"/>
    <w:rsid w:val="00761EEF"/>
    <w:rsid w:val="00786442"/>
    <w:rsid w:val="00790806"/>
    <w:rsid w:val="007C27ED"/>
    <w:rsid w:val="007C4AB3"/>
    <w:rsid w:val="007C54D3"/>
    <w:rsid w:val="00814512"/>
    <w:rsid w:val="00825D56"/>
    <w:rsid w:val="008272AD"/>
    <w:rsid w:val="00863E5D"/>
    <w:rsid w:val="008641D4"/>
    <w:rsid w:val="00870DB5"/>
    <w:rsid w:val="0087454D"/>
    <w:rsid w:val="00882B67"/>
    <w:rsid w:val="00892623"/>
    <w:rsid w:val="00895C4C"/>
    <w:rsid w:val="008970CD"/>
    <w:rsid w:val="008A0B30"/>
    <w:rsid w:val="008C1879"/>
    <w:rsid w:val="008C1F42"/>
    <w:rsid w:val="008E10F1"/>
    <w:rsid w:val="008E6037"/>
    <w:rsid w:val="008F2A4B"/>
    <w:rsid w:val="00912A73"/>
    <w:rsid w:val="00927098"/>
    <w:rsid w:val="00927B55"/>
    <w:rsid w:val="0094447E"/>
    <w:rsid w:val="00945816"/>
    <w:rsid w:val="009505AF"/>
    <w:rsid w:val="009651C9"/>
    <w:rsid w:val="0097523F"/>
    <w:rsid w:val="009920A7"/>
    <w:rsid w:val="00997030"/>
    <w:rsid w:val="009D0D2A"/>
    <w:rsid w:val="009D6792"/>
    <w:rsid w:val="009D753C"/>
    <w:rsid w:val="00A01100"/>
    <w:rsid w:val="00A112E6"/>
    <w:rsid w:val="00A1254D"/>
    <w:rsid w:val="00A178DD"/>
    <w:rsid w:val="00A20953"/>
    <w:rsid w:val="00A23927"/>
    <w:rsid w:val="00A35980"/>
    <w:rsid w:val="00A475C2"/>
    <w:rsid w:val="00A63705"/>
    <w:rsid w:val="00A71DDD"/>
    <w:rsid w:val="00A95232"/>
    <w:rsid w:val="00A95805"/>
    <w:rsid w:val="00AD04FB"/>
    <w:rsid w:val="00AF117C"/>
    <w:rsid w:val="00B5140F"/>
    <w:rsid w:val="00B64D9A"/>
    <w:rsid w:val="00B664D9"/>
    <w:rsid w:val="00B85069"/>
    <w:rsid w:val="00B852AC"/>
    <w:rsid w:val="00B8709D"/>
    <w:rsid w:val="00B94E1C"/>
    <w:rsid w:val="00BB0D51"/>
    <w:rsid w:val="00BB50FF"/>
    <w:rsid w:val="00C04A2C"/>
    <w:rsid w:val="00C074D5"/>
    <w:rsid w:val="00C109BD"/>
    <w:rsid w:val="00C336A8"/>
    <w:rsid w:val="00C40224"/>
    <w:rsid w:val="00C411E3"/>
    <w:rsid w:val="00C45CD4"/>
    <w:rsid w:val="00C70570"/>
    <w:rsid w:val="00C81236"/>
    <w:rsid w:val="00CB6B20"/>
    <w:rsid w:val="00CB6B56"/>
    <w:rsid w:val="00CC6E67"/>
    <w:rsid w:val="00CD3FAB"/>
    <w:rsid w:val="00CE23AC"/>
    <w:rsid w:val="00CE70FF"/>
    <w:rsid w:val="00CF183B"/>
    <w:rsid w:val="00CF4355"/>
    <w:rsid w:val="00D07232"/>
    <w:rsid w:val="00D272D4"/>
    <w:rsid w:val="00D33A40"/>
    <w:rsid w:val="00D40EDD"/>
    <w:rsid w:val="00D42C4B"/>
    <w:rsid w:val="00D67102"/>
    <w:rsid w:val="00DE2DD1"/>
    <w:rsid w:val="00DF4C1B"/>
    <w:rsid w:val="00E353A3"/>
    <w:rsid w:val="00E5141E"/>
    <w:rsid w:val="00E56D5D"/>
    <w:rsid w:val="00E57F3B"/>
    <w:rsid w:val="00E60BEB"/>
    <w:rsid w:val="00E74BA1"/>
    <w:rsid w:val="00E914BA"/>
    <w:rsid w:val="00E9612B"/>
    <w:rsid w:val="00EA4D93"/>
    <w:rsid w:val="00EC4BF7"/>
    <w:rsid w:val="00EC7680"/>
    <w:rsid w:val="00ED3111"/>
    <w:rsid w:val="00EE0903"/>
    <w:rsid w:val="00EF0CE6"/>
    <w:rsid w:val="00EF4EE5"/>
    <w:rsid w:val="00F046D8"/>
    <w:rsid w:val="00F165E7"/>
    <w:rsid w:val="00F47AA4"/>
    <w:rsid w:val="00F657E7"/>
    <w:rsid w:val="00F677FF"/>
    <w:rsid w:val="00F94165"/>
    <w:rsid w:val="00FA122C"/>
    <w:rsid w:val="00FA20A3"/>
    <w:rsid w:val="00FA4BF9"/>
    <w:rsid w:val="00FA559C"/>
    <w:rsid w:val="00FB099A"/>
    <w:rsid w:val="00FB2DBE"/>
    <w:rsid w:val="00FB603C"/>
    <w:rsid w:val="00FB6161"/>
    <w:rsid w:val="00FC6FAB"/>
    <w:rsid w:val="00FD05A7"/>
    <w:rsid w:val="00FD4A72"/>
    <w:rsid w:val="00FE20DC"/>
    <w:rsid w:val="00FE766D"/>
    <w:rsid w:val="00FF130F"/>
    <w:rsid w:val="00FF3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53C"/>
    <w:pPr>
      <w:widowControl w:val="0"/>
      <w:autoSpaceDE w:val="0"/>
      <w:autoSpaceDN w:val="0"/>
    </w:pPr>
    <w:rPr>
      <w:rFonts w:ascii="Times New Roman" w:eastAsia="Times New Roman" w:hAnsi="Times New Roman"/>
      <w:sz w:val="24"/>
      <w:szCs w:val="24"/>
      <w:lang w:eastAsia="en-US"/>
    </w:rPr>
  </w:style>
  <w:style w:type="paragraph" w:styleId="Heading1">
    <w:name w:val="heading 1"/>
    <w:basedOn w:val="Normal"/>
    <w:next w:val="Normal"/>
    <w:link w:val="Heading1Char"/>
    <w:qFormat/>
    <w:rsid w:val="008E10F1"/>
    <w:pPr>
      <w:keepNext/>
      <w:tabs>
        <w:tab w:val="left" w:pos="720"/>
      </w:tabs>
      <w:autoSpaceDE/>
      <w:autoSpaceDN/>
      <w:adjustRightInd w:val="0"/>
      <w:spacing w:line="480" w:lineRule="auto"/>
      <w:ind w:left="720" w:hanging="720"/>
      <w:jc w:val="both"/>
      <w:textAlignment w:val="baseline"/>
      <w:outlineLvl w:val="0"/>
    </w:pPr>
  </w:style>
  <w:style w:type="paragraph" w:styleId="Heading2">
    <w:name w:val="heading 2"/>
    <w:basedOn w:val="Normal"/>
    <w:next w:val="Normal"/>
    <w:link w:val="Heading2Char"/>
    <w:qFormat/>
    <w:rsid w:val="008E10F1"/>
    <w:pPr>
      <w:keepNext/>
      <w:tabs>
        <w:tab w:val="left" w:pos="720"/>
      </w:tabs>
      <w:autoSpaceDE/>
      <w:autoSpaceDN/>
      <w:adjustRightInd w:val="0"/>
      <w:spacing w:line="480" w:lineRule="auto"/>
      <w:jc w:val="both"/>
      <w:textAlignment w:val="baseline"/>
      <w:outlineLvl w:val="1"/>
    </w:pPr>
    <w:rPr>
      <w:b/>
      <w:bCs/>
    </w:rPr>
  </w:style>
  <w:style w:type="paragraph" w:styleId="Heading3">
    <w:name w:val="heading 3"/>
    <w:basedOn w:val="Normal"/>
    <w:next w:val="Normal"/>
    <w:link w:val="Heading3Char"/>
    <w:qFormat/>
    <w:rsid w:val="008E10F1"/>
    <w:pPr>
      <w:keepNext/>
      <w:tabs>
        <w:tab w:val="left" w:pos="720"/>
      </w:tabs>
      <w:autoSpaceDE/>
      <w:autoSpaceDN/>
      <w:adjustRightInd w:val="0"/>
      <w:spacing w:line="480" w:lineRule="auto"/>
      <w:ind w:left="720" w:hanging="720"/>
      <w:jc w:val="both"/>
      <w:textAlignment w:val="baseline"/>
      <w:outlineLvl w:val="2"/>
    </w:pPr>
    <w:rPr>
      <w:b/>
      <w:bCs/>
    </w:rPr>
  </w:style>
  <w:style w:type="paragraph" w:styleId="Heading4">
    <w:name w:val="heading 4"/>
    <w:basedOn w:val="Normal"/>
    <w:next w:val="Normal"/>
    <w:link w:val="Heading4Char"/>
    <w:qFormat/>
    <w:rsid w:val="008E10F1"/>
    <w:pPr>
      <w:keepNext/>
      <w:tabs>
        <w:tab w:val="left" w:pos="720"/>
      </w:tabs>
      <w:autoSpaceDE/>
      <w:autoSpaceDN/>
      <w:adjustRightInd w:val="0"/>
      <w:spacing w:line="480" w:lineRule="auto"/>
      <w:ind w:left="720"/>
      <w:jc w:val="both"/>
      <w:textAlignment w:val="baseline"/>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753C"/>
    <w:pPr>
      <w:tabs>
        <w:tab w:val="center" w:pos="4680"/>
        <w:tab w:val="right" w:pos="9360"/>
      </w:tabs>
    </w:pPr>
  </w:style>
  <w:style w:type="character" w:customStyle="1" w:styleId="FooterChar">
    <w:name w:val="Footer Char"/>
    <w:basedOn w:val="DefaultParagraphFont"/>
    <w:link w:val="Footer"/>
    <w:rsid w:val="009D753C"/>
    <w:rPr>
      <w:rFonts w:ascii="Times New Roman" w:eastAsia="Times New Roman" w:hAnsi="Times New Roman" w:cs="Times New Roman"/>
      <w:sz w:val="24"/>
      <w:szCs w:val="24"/>
    </w:rPr>
  </w:style>
  <w:style w:type="character" w:styleId="PageNumber">
    <w:name w:val="page number"/>
    <w:basedOn w:val="DefaultParagraphFont"/>
    <w:rsid w:val="009D753C"/>
  </w:style>
  <w:style w:type="paragraph" w:styleId="FootnoteText">
    <w:name w:val="footnote text"/>
    <w:basedOn w:val="Normal"/>
    <w:link w:val="FootnoteTextChar"/>
    <w:uiPriority w:val="99"/>
    <w:rsid w:val="009D753C"/>
    <w:pPr>
      <w:spacing w:after="120"/>
      <w:ind w:firstLine="720"/>
      <w:jc w:val="both"/>
    </w:pPr>
    <w:rPr>
      <w:szCs w:val="20"/>
    </w:rPr>
  </w:style>
  <w:style w:type="character" w:customStyle="1" w:styleId="FootnoteTextChar">
    <w:name w:val="Footnote Text Char"/>
    <w:basedOn w:val="DefaultParagraphFont"/>
    <w:link w:val="FootnoteText"/>
    <w:uiPriority w:val="99"/>
    <w:rsid w:val="009D753C"/>
    <w:rPr>
      <w:rFonts w:ascii="Times New Roman" w:eastAsia="Times New Roman" w:hAnsi="Times New Roman" w:cs="Times New Roman"/>
      <w:sz w:val="24"/>
      <w:szCs w:val="20"/>
    </w:rPr>
  </w:style>
  <w:style w:type="character" w:styleId="LineNumber">
    <w:name w:val="line number"/>
    <w:basedOn w:val="DefaultParagraphFont"/>
    <w:rsid w:val="009D753C"/>
    <w:rPr>
      <w:rFonts w:ascii="Times New Roman" w:hAnsi="Times New Roman"/>
      <w:sz w:val="24"/>
    </w:rPr>
  </w:style>
  <w:style w:type="character" w:styleId="FootnoteReference">
    <w:name w:val="footnote reference"/>
    <w:basedOn w:val="DefaultParagraphFont"/>
    <w:uiPriority w:val="99"/>
    <w:rsid w:val="009D753C"/>
    <w:rPr>
      <w:vertAlign w:val="superscript"/>
    </w:rPr>
  </w:style>
  <w:style w:type="character" w:styleId="Hyperlink">
    <w:name w:val="Hyperlink"/>
    <w:basedOn w:val="DefaultParagraphFont"/>
    <w:rsid w:val="009D753C"/>
    <w:rPr>
      <w:color w:val="0000FF"/>
      <w:u w:val="single"/>
    </w:rPr>
  </w:style>
  <w:style w:type="character" w:styleId="CommentReference">
    <w:name w:val="annotation reference"/>
    <w:basedOn w:val="DefaultParagraphFont"/>
    <w:semiHidden/>
    <w:rsid w:val="009D753C"/>
    <w:rPr>
      <w:sz w:val="16"/>
      <w:szCs w:val="16"/>
    </w:rPr>
  </w:style>
  <w:style w:type="paragraph" w:styleId="CommentText">
    <w:name w:val="annotation text"/>
    <w:basedOn w:val="Normal"/>
    <w:link w:val="CommentTextChar"/>
    <w:semiHidden/>
    <w:rsid w:val="009D753C"/>
    <w:pPr>
      <w:widowControl/>
      <w:autoSpaceDE/>
      <w:autoSpaceDN/>
      <w:spacing w:line="240" w:lineRule="exact"/>
    </w:pPr>
    <w:rPr>
      <w:sz w:val="20"/>
      <w:szCs w:val="20"/>
    </w:rPr>
  </w:style>
  <w:style w:type="character" w:customStyle="1" w:styleId="CommentTextChar">
    <w:name w:val="Comment Text Char"/>
    <w:basedOn w:val="DefaultParagraphFont"/>
    <w:link w:val="CommentText"/>
    <w:semiHidden/>
    <w:rsid w:val="009D753C"/>
    <w:rPr>
      <w:rFonts w:ascii="Times New Roman" w:eastAsia="Times New Roman" w:hAnsi="Times New Roman" w:cs="Times New Roman"/>
      <w:sz w:val="20"/>
      <w:szCs w:val="20"/>
    </w:rPr>
  </w:style>
  <w:style w:type="paragraph" w:customStyle="1" w:styleId="Question">
    <w:name w:val="Question"/>
    <w:basedOn w:val="Normal"/>
    <w:next w:val="Answer"/>
    <w:rsid w:val="009D753C"/>
    <w:pPr>
      <w:keepNext/>
      <w:widowControl/>
      <w:spacing w:line="480" w:lineRule="auto"/>
      <w:ind w:left="720" w:hanging="720"/>
      <w:jc w:val="both"/>
    </w:pPr>
    <w:rPr>
      <w:rFonts w:ascii="Times New Roman Bold" w:hAnsi="Times New Roman Bold"/>
      <w:b/>
    </w:rPr>
  </w:style>
  <w:style w:type="paragraph" w:customStyle="1" w:styleId="Answer">
    <w:name w:val="Answer"/>
    <w:basedOn w:val="Normal"/>
    <w:next w:val="Normal"/>
    <w:link w:val="AnswerChar1"/>
    <w:qFormat/>
    <w:rsid w:val="009D753C"/>
    <w:pPr>
      <w:widowControl/>
      <w:numPr>
        <w:numId w:val="1"/>
      </w:numPr>
      <w:spacing w:after="240" w:line="480" w:lineRule="auto"/>
      <w:jc w:val="both"/>
    </w:pPr>
  </w:style>
  <w:style w:type="paragraph" w:styleId="BalloonText">
    <w:name w:val="Balloon Text"/>
    <w:basedOn w:val="Normal"/>
    <w:link w:val="BalloonTextChar"/>
    <w:semiHidden/>
    <w:unhideWhenUsed/>
    <w:rsid w:val="009D753C"/>
    <w:rPr>
      <w:rFonts w:ascii="Tahoma" w:hAnsi="Tahoma" w:cs="Tahoma"/>
      <w:sz w:val="16"/>
      <w:szCs w:val="16"/>
    </w:rPr>
  </w:style>
  <w:style w:type="character" w:customStyle="1" w:styleId="BalloonTextChar">
    <w:name w:val="Balloon Text Char"/>
    <w:basedOn w:val="DefaultParagraphFont"/>
    <w:link w:val="BalloonText"/>
    <w:semiHidden/>
    <w:rsid w:val="009D753C"/>
    <w:rPr>
      <w:rFonts w:ascii="Tahoma" w:eastAsia="Times New Roman" w:hAnsi="Tahoma" w:cs="Tahoma"/>
      <w:sz w:val="16"/>
      <w:szCs w:val="16"/>
    </w:rPr>
  </w:style>
  <w:style w:type="paragraph" w:styleId="BodyTextIndent">
    <w:name w:val="Body Text Indent"/>
    <w:basedOn w:val="Normal"/>
    <w:link w:val="BodyTextIndentChar"/>
    <w:rsid w:val="009D753C"/>
    <w:pPr>
      <w:tabs>
        <w:tab w:val="left" w:pos="720"/>
      </w:tabs>
      <w:autoSpaceDE/>
      <w:autoSpaceDN/>
      <w:adjustRightInd w:val="0"/>
      <w:spacing w:line="480" w:lineRule="auto"/>
      <w:jc w:val="both"/>
      <w:textAlignment w:val="baseline"/>
    </w:pPr>
  </w:style>
  <w:style w:type="character" w:customStyle="1" w:styleId="BodyTextIndentChar">
    <w:name w:val="Body Text Indent Char"/>
    <w:basedOn w:val="DefaultParagraphFont"/>
    <w:link w:val="BodyTextIndent"/>
    <w:rsid w:val="009D753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unhideWhenUsed/>
    <w:rsid w:val="009D753C"/>
    <w:pPr>
      <w:widowControl w:val="0"/>
      <w:autoSpaceDE w:val="0"/>
      <w:autoSpaceDN w:val="0"/>
      <w:spacing w:line="240" w:lineRule="auto"/>
    </w:pPr>
    <w:rPr>
      <w:b/>
      <w:bCs/>
    </w:rPr>
  </w:style>
  <w:style w:type="character" w:customStyle="1" w:styleId="CommentSubjectChar">
    <w:name w:val="Comment Subject Char"/>
    <w:basedOn w:val="CommentTextChar"/>
    <w:link w:val="CommentSubject"/>
    <w:semiHidden/>
    <w:rsid w:val="009D753C"/>
    <w:rPr>
      <w:b/>
      <w:bCs/>
    </w:rPr>
  </w:style>
  <w:style w:type="character" w:customStyle="1" w:styleId="DeltaViewInsertion">
    <w:name w:val="DeltaView Insertion"/>
    <w:uiPriority w:val="99"/>
    <w:rsid w:val="00892623"/>
    <w:rPr>
      <w:color w:val="0000FF"/>
      <w:u w:val="double"/>
    </w:rPr>
  </w:style>
  <w:style w:type="character" w:customStyle="1" w:styleId="AnswerChar1">
    <w:name w:val="Answer Char1"/>
    <w:basedOn w:val="DefaultParagraphFont"/>
    <w:link w:val="Answer"/>
    <w:rsid w:val="00892623"/>
    <w:rPr>
      <w:rFonts w:ascii="Times New Roman" w:eastAsia="Times New Roman" w:hAnsi="Times New Roman"/>
      <w:sz w:val="24"/>
      <w:szCs w:val="24"/>
      <w:lang w:eastAsia="en-US"/>
    </w:rPr>
  </w:style>
  <w:style w:type="paragraph" w:styleId="BodyTextIndent2">
    <w:name w:val="Body Text Indent 2"/>
    <w:basedOn w:val="Normal"/>
    <w:link w:val="BodyTextIndent2Char"/>
    <w:unhideWhenUsed/>
    <w:rsid w:val="008E10F1"/>
    <w:pPr>
      <w:spacing w:after="120" w:line="480" w:lineRule="auto"/>
      <w:ind w:left="360"/>
    </w:pPr>
  </w:style>
  <w:style w:type="character" w:customStyle="1" w:styleId="BodyTextIndent2Char">
    <w:name w:val="Body Text Indent 2 Char"/>
    <w:basedOn w:val="DefaultParagraphFont"/>
    <w:link w:val="BodyTextIndent2"/>
    <w:semiHidden/>
    <w:rsid w:val="008E10F1"/>
    <w:rPr>
      <w:rFonts w:ascii="Times New Roman" w:eastAsia="Times New Roman" w:hAnsi="Times New Roman"/>
      <w:sz w:val="24"/>
      <w:szCs w:val="24"/>
    </w:rPr>
  </w:style>
  <w:style w:type="character" w:customStyle="1" w:styleId="Heading1Char">
    <w:name w:val="Heading 1 Char"/>
    <w:basedOn w:val="DefaultParagraphFont"/>
    <w:link w:val="Heading1"/>
    <w:rsid w:val="008E10F1"/>
    <w:rPr>
      <w:rFonts w:ascii="Times New Roman" w:eastAsia="Times New Roman" w:hAnsi="Times New Roman"/>
      <w:sz w:val="24"/>
      <w:szCs w:val="24"/>
    </w:rPr>
  </w:style>
  <w:style w:type="character" w:customStyle="1" w:styleId="Heading2Char">
    <w:name w:val="Heading 2 Char"/>
    <w:basedOn w:val="DefaultParagraphFont"/>
    <w:link w:val="Heading2"/>
    <w:rsid w:val="008E10F1"/>
    <w:rPr>
      <w:rFonts w:ascii="Times New Roman" w:eastAsia="Times New Roman" w:hAnsi="Times New Roman"/>
      <w:b/>
      <w:bCs/>
      <w:sz w:val="24"/>
      <w:szCs w:val="24"/>
    </w:rPr>
  </w:style>
  <w:style w:type="character" w:customStyle="1" w:styleId="Heading3Char">
    <w:name w:val="Heading 3 Char"/>
    <w:basedOn w:val="DefaultParagraphFont"/>
    <w:link w:val="Heading3"/>
    <w:rsid w:val="008E10F1"/>
    <w:rPr>
      <w:rFonts w:ascii="Times New Roman" w:eastAsia="Times New Roman" w:hAnsi="Times New Roman"/>
      <w:b/>
      <w:bCs/>
      <w:sz w:val="24"/>
      <w:szCs w:val="24"/>
    </w:rPr>
  </w:style>
  <w:style w:type="character" w:customStyle="1" w:styleId="Heading4Char">
    <w:name w:val="Heading 4 Char"/>
    <w:basedOn w:val="DefaultParagraphFont"/>
    <w:link w:val="Heading4"/>
    <w:rsid w:val="008E10F1"/>
    <w:rPr>
      <w:rFonts w:ascii="Times New Roman" w:eastAsia="Times New Roman" w:hAnsi="Times New Roman"/>
      <w:b/>
      <w:bCs/>
      <w:sz w:val="24"/>
      <w:szCs w:val="24"/>
    </w:rPr>
  </w:style>
  <w:style w:type="numbering" w:customStyle="1" w:styleId="StyleOutlinenumbered">
    <w:name w:val="Style Outline numbered"/>
    <w:basedOn w:val="NoList"/>
    <w:rsid w:val="008E10F1"/>
    <w:pPr>
      <w:numPr>
        <w:numId w:val="2"/>
      </w:numPr>
    </w:pPr>
  </w:style>
  <w:style w:type="paragraph" w:styleId="Header">
    <w:name w:val="header"/>
    <w:basedOn w:val="Normal"/>
    <w:link w:val="HeaderChar"/>
    <w:rsid w:val="008E10F1"/>
    <w:pPr>
      <w:tabs>
        <w:tab w:val="center" w:pos="4320"/>
        <w:tab w:val="right" w:pos="8640"/>
      </w:tabs>
      <w:autoSpaceDE/>
      <w:autoSpaceDN/>
      <w:adjustRightInd w:val="0"/>
      <w:spacing w:line="360" w:lineRule="atLeast"/>
      <w:jc w:val="both"/>
      <w:textAlignment w:val="baseline"/>
    </w:pPr>
  </w:style>
  <w:style w:type="character" w:customStyle="1" w:styleId="HeaderChar">
    <w:name w:val="Header Char"/>
    <w:basedOn w:val="DefaultParagraphFont"/>
    <w:link w:val="Header"/>
    <w:rsid w:val="008E10F1"/>
    <w:rPr>
      <w:rFonts w:ascii="Times New Roman" w:eastAsia="Times New Roman" w:hAnsi="Times New Roman"/>
      <w:sz w:val="24"/>
      <w:szCs w:val="24"/>
    </w:rPr>
  </w:style>
  <w:style w:type="paragraph" w:styleId="BodyText">
    <w:name w:val="Body Text"/>
    <w:basedOn w:val="Normal"/>
    <w:link w:val="BodyTextChar"/>
    <w:rsid w:val="008E10F1"/>
    <w:pPr>
      <w:tabs>
        <w:tab w:val="left" w:pos="720"/>
      </w:tabs>
      <w:autoSpaceDE/>
      <w:autoSpaceDN/>
      <w:adjustRightInd w:val="0"/>
      <w:spacing w:line="480" w:lineRule="auto"/>
      <w:jc w:val="both"/>
      <w:textAlignment w:val="baseline"/>
    </w:pPr>
  </w:style>
  <w:style w:type="character" w:customStyle="1" w:styleId="BodyTextChar">
    <w:name w:val="Body Text Char"/>
    <w:basedOn w:val="DefaultParagraphFont"/>
    <w:link w:val="BodyText"/>
    <w:rsid w:val="008E10F1"/>
    <w:rPr>
      <w:rFonts w:ascii="Times New Roman" w:eastAsia="Times New Roman" w:hAnsi="Times New Roman"/>
      <w:sz w:val="24"/>
      <w:szCs w:val="24"/>
    </w:rPr>
  </w:style>
  <w:style w:type="paragraph" w:styleId="DocumentMap">
    <w:name w:val="Document Map"/>
    <w:basedOn w:val="Normal"/>
    <w:link w:val="DocumentMapChar"/>
    <w:semiHidden/>
    <w:rsid w:val="008E10F1"/>
    <w:pPr>
      <w:shd w:val="clear" w:color="auto" w:fill="000080"/>
      <w:autoSpaceDE/>
      <w:autoSpaceDN/>
      <w:adjustRightInd w:val="0"/>
      <w:spacing w:line="360" w:lineRule="atLeast"/>
      <w:jc w:val="both"/>
      <w:textAlignment w:val="baseline"/>
    </w:pPr>
    <w:rPr>
      <w:rFonts w:ascii="Tahoma" w:hAnsi="Tahoma" w:cs="Tahoma"/>
      <w:sz w:val="20"/>
      <w:szCs w:val="20"/>
    </w:rPr>
  </w:style>
  <w:style w:type="character" w:customStyle="1" w:styleId="DocumentMapChar">
    <w:name w:val="Document Map Char"/>
    <w:basedOn w:val="DefaultParagraphFont"/>
    <w:link w:val="DocumentMap"/>
    <w:semiHidden/>
    <w:rsid w:val="008E10F1"/>
    <w:rPr>
      <w:rFonts w:ascii="Tahoma" w:eastAsia="Times New Roman" w:hAnsi="Tahoma" w:cs="Tahoma"/>
      <w:shd w:val="clear" w:color="auto" w:fill="000080"/>
    </w:rPr>
  </w:style>
  <w:style w:type="paragraph" w:customStyle="1" w:styleId="answer0">
    <w:name w:val="answer"/>
    <w:basedOn w:val="Normal"/>
    <w:rsid w:val="008E10F1"/>
    <w:pPr>
      <w:autoSpaceDE/>
      <w:autoSpaceDN/>
      <w:adjustRightInd w:val="0"/>
      <w:spacing w:before="120" w:after="120" w:line="480" w:lineRule="auto"/>
      <w:ind w:left="720" w:hanging="720"/>
      <w:jc w:val="both"/>
      <w:textAlignment w:val="baseline"/>
    </w:pPr>
  </w:style>
  <w:style w:type="paragraph" w:customStyle="1" w:styleId="CharChar2CharCharCharChar">
    <w:name w:val="Char Char2 Char Char Char Char"/>
    <w:basedOn w:val="Normal"/>
    <w:rsid w:val="008E10F1"/>
    <w:pPr>
      <w:widowControl/>
      <w:autoSpaceDE/>
      <w:autoSpaceDN/>
      <w:spacing w:after="160" w:line="240" w:lineRule="exact"/>
    </w:pPr>
    <w:rPr>
      <w:rFonts w:ascii="Verdana" w:hAnsi="Verdana" w:cs="Verdana"/>
      <w:sz w:val="20"/>
      <w:szCs w:val="20"/>
    </w:rPr>
  </w:style>
  <w:style w:type="paragraph" w:customStyle="1" w:styleId="CharCharCharCharCharCharCharChar">
    <w:name w:val="Char Char Char Char Char Char Char Char"/>
    <w:basedOn w:val="Normal"/>
    <w:rsid w:val="008E10F1"/>
    <w:pPr>
      <w:widowControl/>
      <w:autoSpaceDE/>
      <w:autoSpaceDN/>
      <w:spacing w:after="160" w:line="240" w:lineRule="exact"/>
    </w:pPr>
    <w:rPr>
      <w:rFonts w:ascii="Verdana" w:hAnsi="Verdana" w:cs="Verdana"/>
      <w:sz w:val="20"/>
      <w:szCs w:val="20"/>
    </w:rPr>
  </w:style>
  <w:style w:type="paragraph" w:customStyle="1" w:styleId="CharChar">
    <w:name w:val="Char Char"/>
    <w:basedOn w:val="Normal"/>
    <w:rsid w:val="008E10F1"/>
    <w:pPr>
      <w:widowControl/>
      <w:autoSpaceDE/>
      <w:autoSpaceDN/>
      <w:spacing w:after="160" w:line="240" w:lineRule="exact"/>
    </w:pPr>
    <w:rPr>
      <w:rFonts w:ascii="Verdana" w:hAnsi="Verdana" w:cs="Verdana"/>
      <w:sz w:val="20"/>
      <w:szCs w:val="20"/>
    </w:rPr>
  </w:style>
  <w:style w:type="paragraph" w:customStyle="1" w:styleId="CharCharCharCharCharChar">
    <w:name w:val="Char Char Char Char Char Char"/>
    <w:basedOn w:val="Normal"/>
    <w:rsid w:val="008E10F1"/>
    <w:pPr>
      <w:autoSpaceDE/>
      <w:autoSpaceDN/>
      <w:adjustRightInd w:val="0"/>
      <w:spacing w:after="160" w:line="240" w:lineRule="exact"/>
      <w:jc w:val="both"/>
      <w:textAlignment w:val="baseline"/>
    </w:pPr>
    <w:rPr>
      <w:rFonts w:ascii="Verdana" w:hAnsi="Verdana"/>
      <w:sz w:val="20"/>
      <w:szCs w:val="20"/>
    </w:rPr>
  </w:style>
  <w:style w:type="paragraph" w:styleId="BodyTextIndent3">
    <w:name w:val="Body Text Indent 3"/>
    <w:basedOn w:val="Normal"/>
    <w:link w:val="BodyTextIndent3Char"/>
    <w:rsid w:val="008E10F1"/>
    <w:pPr>
      <w:widowControl/>
      <w:autoSpaceDE/>
      <w:autoSpaceDN/>
      <w:spacing w:after="120"/>
      <w:ind w:left="360"/>
    </w:pPr>
    <w:rPr>
      <w:sz w:val="16"/>
      <w:szCs w:val="16"/>
    </w:rPr>
  </w:style>
  <w:style w:type="character" w:customStyle="1" w:styleId="BodyTextIndent3Char">
    <w:name w:val="Body Text Indent 3 Char"/>
    <w:basedOn w:val="DefaultParagraphFont"/>
    <w:link w:val="BodyTextIndent3"/>
    <w:rsid w:val="008E10F1"/>
    <w:rPr>
      <w:rFonts w:ascii="Times New Roman" w:eastAsia="Times New Roman" w:hAnsi="Times New Roman"/>
      <w:sz w:val="16"/>
      <w:szCs w:val="16"/>
    </w:rPr>
  </w:style>
  <w:style w:type="paragraph" w:customStyle="1" w:styleId="CharChar2CharCharCharCharCharCharChar">
    <w:name w:val="Char Char2 Char Char Char Char Char Char Char"/>
    <w:basedOn w:val="Normal"/>
    <w:rsid w:val="008E10F1"/>
    <w:pPr>
      <w:widowControl/>
      <w:autoSpaceDE/>
      <w:autoSpaceDN/>
      <w:spacing w:after="160" w:line="240" w:lineRule="exact"/>
    </w:pPr>
    <w:rPr>
      <w:rFonts w:ascii="Verdana" w:hAnsi="Verdana"/>
      <w:sz w:val="20"/>
      <w:szCs w:val="20"/>
    </w:rPr>
  </w:style>
  <w:style w:type="paragraph" w:styleId="ListParagraph">
    <w:name w:val="List Paragraph"/>
    <w:basedOn w:val="Normal"/>
    <w:uiPriority w:val="34"/>
    <w:qFormat/>
    <w:rsid w:val="008E10F1"/>
    <w:pPr>
      <w:autoSpaceDE/>
      <w:autoSpaceDN/>
      <w:adjustRightInd w:val="0"/>
      <w:spacing w:line="360" w:lineRule="atLeast"/>
      <w:ind w:left="720"/>
      <w:contextualSpacing/>
      <w:jc w:val="both"/>
      <w:textAlignment w:val="baseline"/>
    </w:pPr>
  </w:style>
  <w:style w:type="paragraph" w:customStyle="1" w:styleId="CharCharCharCharChar">
    <w:name w:val="Char Char Char Char Char"/>
    <w:basedOn w:val="Normal"/>
    <w:rsid w:val="008E10F1"/>
    <w:pPr>
      <w:autoSpaceDE/>
      <w:autoSpaceDN/>
      <w:adjustRightInd w:val="0"/>
      <w:spacing w:after="160" w:line="240" w:lineRule="exact"/>
      <w:jc w:val="both"/>
      <w:textAlignment w:val="baseline"/>
    </w:pPr>
    <w:rPr>
      <w:rFonts w:ascii="Verdana" w:hAnsi="Verdana"/>
      <w:sz w:val="20"/>
      <w:szCs w:val="20"/>
    </w:rPr>
  </w:style>
  <w:style w:type="paragraph" w:styleId="BodyText2">
    <w:name w:val="Body Text 2"/>
    <w:basedOn w:val="Normal"/>
    <w:link w:val="BodyText2Char"/>
    <w:rsid w:val="008E10F1"/>
    <w:pPr>
      <w:autoSpaceDE/>
      <w:autoSpaceDN/>
      <w:adjustRightInd w:val="0"/>
      <w:spacing w:after="120" w:line="480" w:lineRule="auto"/>
      <w:jc w:val="both"/>
      <w:textAlignment w:val="baseline"/>
    </w:pPr>
  </w:style>
  <w:style w:type="character" w:customStyle="1" w:styleId="BodyText2Char">
    <w:name w:val="Body Text 2 Char"/>
    <w:basedOn w:val="DefaultParagraphFont"/>
    <w:link w:val="BodyText2"/>
    <w:rsid w:val="008E10F1"/>
    <w:rPr>
      <w:rFonts w:ascii="Times New Roman" w:eastAsia="Times New Roman" w:hAnsi="Times New Roman"/>
      <w:sz w:val="24"/>
      <w:szCs w:val="24"/>
    </w:rPr>
  </w:style>
  <w:style w:type="paragraph" w:customStyle="1" w:styleId="Default">
    <w:name w:val="Default"/>
    <w:rsid w:val="008E10F1"/>
    <w:pPr>
      <w:autoSpaceDE w:val="0"/>
      <w:autoSpaceDN w:val="0"/>
      <w:adjustRightInd w:val="0"/>
    </w:pPr>
    <w:rPr>
      <w:rFonts w:ascii="Times New Roman" w:eastAsia="Times New Roman" w:hAnsi="Times New Roman"/>
      <w:color w:val="000000"/>
      <w:sz w:val="24"/>
      <w:szCs w:val="24"/>
      <w:lang w:eastAsia="zh-CN"/>
    </w:rPr>
  </w:style>
  <w:style w:type="paragraph" w:customStyle="1" w:styleId="NormalTBGOneandahalfspacing">
    <w:name w:val="Normal TBG One and a half spacing"/>
    <w:basedOn w:val="Normal"/>
    <w:link w:val="NormalTBGOneandahalfspacingChar"/>
    <w:rsid w:val="008E10F1"/>
    <w:pPr>
      <w:widowControl/>
      <w:autoSpaceDE/>
      <w:autoSpaceDN/>
      <w:spacing w:line="360" w:lineRule="auto"/>
      <w:jc w:val="both"/>
    </w:pPr>
    <w:rPr>
      <w:szCs w:val="20"/>
    </w:rPr>
  </w:style>
  <w:style w:type="paragraph" w:customStyle="1" w:styleId="TBGTestimonyA">
    <w:name w:val="TBG Testimony A."/>
    <w:basedOn w:val="Normal"/>
    <w:next w:val="TBGTestimonyQ"/>
    <w:link w:val="TBGTestimonyACharChar"/>
    <w:autoRedefine/>
    <w:rsid w:val="008E10F1"/>
    <w:pPr>
      <w:numPr>
        <w:numId w:val="4"/>
      </w:numPr>
      <w:autoSpaceDE/>
      <w:autoSpaceDN/>
      <w:spacing w:line="480" w:lineRule="auto"/>
      <w:jc w:val="both"/>
    </w:pPr>
    <w:rPr>
      <w:szCs w:val="20"/>
    </w:rPr>
  </w:style>
  <w:style w:type="paragraph" w:customStyle="1" w:styleId="TBGTestimonyQ">
    <w:name w:val="TBG Testimony Q."/>
    <w:basedOn w:val="Normal"/>
    <w:next w:val="TBGTestimonyA"/>
    <w:autoRedefine/>
    <w:rsid w:val="008E10F1"/>
    <w:pPr>
      <w:keepNext/>
      <w:widowControl/>
      <w:numPr>
        <w:numId w:val="3"/>
      </w:numPr>
      <w:tabs>
        <w:tab w:val="clear" w:pos="840"/>
        <w:tab w:val="num" w:pos="720"/>
      </w:tabs>
      <w:autoSpaceDE/>
      <w:autoSpaceDN/>
      <w:spacing w:after="240" w:line="360" w:lineRule="auto"/>
      <w:ind w:left="720"/>
      <w:jc w:val="both"/>
    </w:pPr>
    <w:rPr>
      <w:rFonts w:ascii="Times New Roman Bold" w:hAnsi="Times New Roman Bold"/>
      <w:b/>
      <w:szCs w:val="20"/>
    </w:rPr>
  </w:style>
  <w:style w:type="character" w:customStyle="1" w:styleId="NormalTBGOneandahalfspacingChar">
    <w:name w:val="Normal TBG One and a half spacing Char"/>
    <w:link w:val="NormalTBGOneandahalfspacing"/>
    <w:rsid w:val="008E10F1"/>
    <w:rPr>
      <w:rFonts w:ascii="Times New Roman" w:eastAsia="Times New Roman" w:hAnsi="Times New Roman"/>
      <w:sz w:val="24"/>
    </w:rPr>
  </w:style>
  <w:style w:type="character" w:customStyle="1" w:styleId="TBGTestimonyACharChar">
    <w:name w:val="TBG Testimony A. Char Char"/>
    <w:link w:val="TBGTestimonyA"/>
    <w:rsid w:val="008E10F1"/>
    <w:rPr>
      <w:rFonts w:ascii="Times New Roman" w:eastAsia="Times New Roman" w:hAnsi="Times New Roman"/>
      <w:sz w:val="24"/>
      <w:lang w:eastAsia="en-US"/>
    </w:rPr>
  </w:style>
  <w:style w:type="paragraph" w:styleId="NormalWeb">
    <w:name w:val="Normal (Web)"/>
    <w:basedOn w:val="Normal"/>
    <w:uiPriority w:val="99"/>
    <w:unhideWhenUsed/>
    <w:rsid w:val="008E10F1"/>
    <w:pPr>
      <w:widowControl/>
      <w:autoSpaceDE/>
      <w:autoSpaceDN/>
      <w:spacing w:before="100" w:beforeAutospacing="1" w:after="100" w:afterAutospacing="1"/>
    </w:pPr>
  </w:style>
  <w:style w:type="paragraph" w:customStyle="1" w:styleId="Answercontinued">
    <w:name w:val="Answer continued"/>
    <w:basedOn w:val="Answer"/>
    <w:rsid w:val="008E10F1"/>
    <w:pPr>
      <w:numPr>
        <w:numId w:val="0"/>
      </w:numPr>
      <w:spacing w:after="0"/>
      <w:ind w:left="720" w:firstLine="720"/>
    </w:pPr>
    <w:rPr>
      <w:rFonts w:eastAsia="Calibri"/>
    </w:rPr>
  </w:style>
  <w:style w:type="paragraph" w:styleId="Revision">
    <w:name w:val="Revision"/>
    <w:hidden/>
    <w:uiPriority w:val="99"/>
    <w:semiHidden/>
    <w:rsid w:val="00A20953"/>
    <w:rPr>
      <w:rFonts w:ascii="Times" w:eastAsia="Times" w:hAnsi="Times"/>
      <w:sz w:val="24"/>
      <w:lang w:eastAsia="en-US"/>
    </w:rPr>
  </w:style>
</w:styles>
</file>

<file path=word/webSettings.xml><?xml version="1.0" encoding="utf-8"?>
<w:webSettings xmlns:r="http://schemas.openxmlformats.org/officeDocument/2006/relationships" xmlns:w="http://schemas.openxmlformats.org/wordprocessingml/2006/main">
  <w:divs>
    <w:div w:id="140136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2011-08-08T07:00:00+00:00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AEFEE3A-A5E7-43BD-BF3F-A930D328C02B}"/>
</file>

<file path=customXml/itemProps2.xml><?xml version="1.0" encoding="utf-8"?>
<ds:datastoreItem xmlns:ds="http://schemas.openxmlformats.org/officeDocument/2006/customXml" ds:itemID="{CAE76FFE-8BF0-4A24-BAB5-0AC3BDE09AF0}"/>
</file>

<file path=customXml/itemProps3.xml><?xml version="1.0" encoding="utf-8"?>
<ds:datastoreItem xmlns:ds="http://schemas.openxmlformats.org/officeDocument/2006/customXml" ds:itemID="{213A6FF9-C6C3-4E82-A628-E326B37D9D3D}"/>
</file>

<file path=customXml/itemProps4.xml><?xml version="1.0" encoding="utf-8"?>
<ds:datastoreItem xmlns:ds="http://schemas.openxmlformats.org/officeDocument/2006/customXml" ds:itemID="{529B53B7-FD39-4288-8FFA-DF72AACBC4D5}"/>
</file>

<file path=docProps/app.xml><?xml version="1.0" encoding="utf-8"?>
<Properties xmlns="http://schemas.openxmlformats.org/officeDocument/2006/extended-properties" xmlns:vt="http://schemas.openxmlformats.org/officeDocument/2006/docPropsVTypes">
  <Template>Normal.dotm</Template>
  <TotalTime>0</TotalTime>
  <Pages>10</Pages>
  <Words>2127</Words>
  <Characters>12129</Characters>
  <Application>Microsoft Office Word</Application>
  <DocSecurity>0</DocSecurity>
  <Lines>101</Lines>
  <Paragraphs>28</Paragraphs>
  <ScaleCrop>false</ScaleCrop>
  <Company/>
  <LinksUpToDate>false</LinksUpToDate>
  <CharactersWithSpaces>14228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2011-08-08T18:20:00Z</dcterms:created>
  <dcterms:modified xsi:type="dcterms:W3CDTF">2011-08-08T18:20:00Z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