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B0" w:rsidRDefault="00034FB0" w:rsidP="006C45C4">
      <w:pPr>
        <w:pStyle w:val="Question"/>
        <w:jc w:val="left"/>
        <w:rPr>
          <w:rFonts w:ascii="Times New Roman" w:hAnsi="Times New Roman"/>
        </w:rPr>
      </w:pPr>
      <w:r>
        <w:rPr>
          <w:rFonts w:ascii="Times New Roman" w:hAnsi="Times New Roman"/>
        </w:rPr>
        <w:t>Q.</w:t>
      </w:r>
      <w:r>
        <w:rPr>
          <w:rFonts w:ascii="Times New Roman" w:hAnsi="Times New Roman"/>
        </w:rPr>
        <w:tab/>
      </w:r>
      <w:r w:rsidRPr="003F6354">
        <w:t>Please state y</w:t>
      </w:r>
      <w:r>
        <w:t>o</w:t>
      </w:r>
      <w:r w:rsidRPr="003F6354">
        <w:t>ur nam</w:t>
      </w:r>
      <w:r w:rsidR="0020118B">
        <w:t xml:space="preserve">e, business address and </w:t>
      </w:r>
      <w:r>
        <w:t>position</w:t>
      </w:r>
      <w:r w:rsidR="0020118B">
        <w:t xml:space="preserve"> with PacifiCorp or “the Company”</w:t>
      </w:r>
      <w:r>
        <w:t>.</w:t>
      </w:r>
    </w:p>
    <w:p w:rsidR="0031365E" w:rsidRPr="0031365E" w:rsidRDefault="00034FB0" w:rsidP="006C45C4">
      <w:pPr>
        <w:pStyle w:val="Answer"/>
        <w:spacing w:after="0"/>
        <w:jc w:val="left"/>
      </w:pPr>
      <w:r>
        <w:t xml:space="preserve">My name is </w:t>
      </w:r>
      <w:r w:rsidR="00E15BB7">
        <w:t>Stacey J</w:t>
      </w:r>
      <w:r w:rsidR="006C45C4">
        <w:t xml:space="preserve">. </w:t>
      </w:r>
      <w:r w:rsidR="00E15BB7">
        <w:t>Kusters</w:t>
      </w:r>
      <w:r w:rsidR="006C45C4">
        <w:t xml:space="preserve">.  </w:t>
      </w:r>
      <w:r>
        <w:t>My business address is 825 NE Multnomah</w:t>
      </w:r>
      <w:r w:rsidR="006C45C4">
        <w:t xml:space="preserve"> Street</w:t>
      </w:r>
      <w:r>
        <w:t xml:space="preserve">, Suite </w:t>
      </w:r>
      <w:r w:rsidR="00522053">
        <w:t>600</w:t>
      </w:r>
      <w:r>
        <w:t>, Portland, Oregon 97232</w:t>
      </w:r>
      <w:r w:rsidR="006C45C4">
        <w:t xml:space="preserve">.  </w:t>
      </w:r>
      <w:r>
        <w:t xml:space="preserve">I am </w:t>
      </w:r>
      <w:r w:rsidR="00E15BB7">
        <w:t>Director of Origination in Comme</w:t>
      </w:r>
      <w:r w:rsidR="0020118B">
        <w:t xml:space="preserve">rcial and Trading for </w:t>
      </w:r>
      <w:r w:rsidR="006F52BC">
        <w:t>the Company</w:t>
      </w:r>
      <w:r>
        <w:t>.</w:t>
      </w:r>
    </w:p>
    <w:p w:rsidR="00034FB0" w:rsidRDefault="00034FB0" w:rsidP="006C45C4">
      <w:pPr>
        <w:pStyle w:val="Question"/>
        <w:jc w:val="left"/>
        <w:rPr>
          <w:rFonts w:ascii="Times New Roman" w:hAnsi="Times New Roman"/>
        </w:rPr>
      </w:pPr>
      <w:r>
        <w:rPr>
          <w:rFonts w:ascii="Times New Roman" w:hAnsi="Times New Roman"/>
        </w:rPr>
        <w:t>Q.</w:t>
      </w:r>
      <w:r>
        <w:rPr>
          <w:rFonts w:ascii="Times New Roman" w:hAnsi="Times New Roman"/>
        </w:rPr>
        <w:tab/>
      </w:r>
      <w:r w:rsidR="006C45C4">
        <w:rPr>
          <w:rFonts w:ascii="Times New Roman" w:hAnsi="Times New Roman"/>
        </w:rPr>
        <w:t>Please describe your education</w:t>
      </w:r>
      <w:r>
        <w:rPr>
          <w:rFonts w:ascii="Times New Roman" w:hAnsi="Times New Roman"/>
        </w:rPr>
        <w:t xml:space="preserve"> and business background.</w:t>
      </w:r>
    </w:p>
    <w:p w:rsidR="0001061A" w:rsidRDefault="005A16F4" w:rsidP="005A16F4">
      <w:pPr>
        <w:pStyle w:val="Answer"/>
        <w:numPr>
          <w:ilvl w:val="0"/>
          <w:numId w:val="0"/>
        </w:numPr>
        <w:spacing w:after="0"/>
        <w:ind w:left="720" w:hanging="720"/>
        <w:jc w:val="left"/>
      </w:pPr>
      <w:r>
        <w:t>A.</w:t>
      </w:r>
      <w:r>
        <w:tab/>
      </w:r>
      <w:r w:rsidR="0001061A">
        <w:t>I hold a B.A</w:t>
      </w:r>
      <w:r w:rsidR="006C45C4">
        <w:t xml:space="preserve">. </w:t>
      </w:r>
      <w:r w:rsidR="0001061A">
        <w:t xml:space="preserve">in political science from Simon Fraser </w:t>
      </w:r>
      <w:r w:rsidR="000906F3">
        <w:t xml:space="preserve">University </w:t>
      </w:r>
      <w:r w:rsidR="0001061A">
        <w:t xml:space="preserve">and an </w:t>
      </w:r>
      <w:r w:rsidR="00B36758">
        <w:t>EMBA fr</w:t>
      </w:r>
      <w:r w:rsidR="0001061A">
        <w:t>om the University of British Columbia</w:t>
      </w:r>
      <w:r w:rsidR="006C45C4">
        <w:t xml:space="preserve">.  </w:t>
      </w:r>
      <w:r w:rsidR="0001061A">
        <w:t>I joined PacifiCorp Energy in January 2001 as a manager of origination and assumed my current position as Director of Origination in 2006</w:t>
      </w:r>
      <w:r w:rsidR="006C45C4">
        <w:t xml:space="preserve">.  </w:t>
      </w:r>
      <w:r w:rsidR="0001061A">
        <w:t xml:space="preserve">From 1996 to 2001, I was </w:t>
      </w:r>
      <w:r w:rsidR="00B36758">
        <w:t xml:space="preserve">employed at Powerex, the marketing arm for BC Hydro </w:t>
      </w:r>
      <w:r w:rsidR="0031365E">
        <w:t xml:space="preserve">in Vancouver, British Columbia </w:t>
      </w:r>
      <w:r w:rsidR="00B36758">
        <w:t xml:space="preserve">as </w:t>
      </w:r>
      <w:r w:rsidR="008B7A5B">
        <w:t xml:space="preserve">the </w:t>
      </w:r>
      <w:r w:rsidR="0001061A">
        <w:t xml:space="preserve">marketing </w:t>
      </w:r>
      <w:r w:rsidR="00B36758">
        <w:t xml:space="preserve">manager </w:t>
      </w:r>
      <w:r w:rsidR="0039567B">
        <w:t xml:space="preserve">to develop the </w:t>
      </w:r>
      <w:r w:rsidR="00B36758">
        <w:t>Northwest and California</w:t>
      </w:r>
      <w:r w:rsidR="0039567B">
        <w:t xml:space="preserve"> regions</w:t>
      </w:r>
      <w:r w:rsidR="006C45C4">
        <w:t xml:space="preserve">.  </w:t>
      </w:r>
      <w:r w:rsidR="0001061A">
        <w:t xml:space="preserve">I held various positions at Powerex, </w:t>
      </w:r>
      <w:r w:rsidR="0039567B">
        <w:t xml:space="preserve">which </w:t>
      </w:r>
      <w:r w:rsidR="0001061A">
        <w:t>includ</w:t>
      </w:r>
      <w:r w:rsidR="0039567B">
        <w:t>ed</w:t>
      </w:r>
      <w:r w:rsidR="0001061A">
        <w:t xml:space="preserve"> business </w:t>
      </w:r>
      <w:r w:rsidR="0020118B">
        <w:t>development,</w:t>
      </w:r>
      <w:r w:rsidR="00B36758">
        <w:t xml:space="preserve"> energy trading</w:t>
      </w:r>
      <w:r w:rsidR="0031365E">
        <w:t xml:space="preserve"> and origination</w:t>
      </w:r>
      <w:r w:rsidR="006C45C4">
        <w:t xml:space="preserve">.  </w:t>
      </w:r>
      <w:r w:rsidR="00B36758">
        <w:t xml:space="preserve">In addition </w:t>
      </w:r>
      <w:r w:rsidR="0031365E">
        <w:t xml:space="preserve">to my positions, </w:t>
      </w:r>
      <w:r w:rsidR="00B36758">
        <w:t xml:space="preserve">I </w:t>
      </w:r>
      <w:r w:rsidR="0031365E">
        <w:t xml:space="preserve">also </w:t>
      </w:r>
      <w:r w:rsidR="003F538B">
        <w:t xml:space="preserve">represented Powerex </w:t>
      </w:r>
      <w:r w:rsidR="00B36758">
        <w:t xml:space="preserve">on </w:t>
      </w:r>
      <w:r w:rsidR="000906F3">
        <w:t xml:space="preserve">the board of </w:t>
      </w:r>
      <w:r w:rsidR="0001061A">
        <w:t xml:space="preserve">both the California Independent Operator </w:t>
      </w:r>
      <w:r w:rsidR="000906F3">
        <w:t xml:space="preserve">(CAISO) </w:t>
      </w:r>
      <w:r w:rsidR="0001061A">
        <w:t xml:space="preserve">and the </w:t>
      </w:r>
      <w:r w:rsidR="000906F3">
        <w:t xml:space="preserve">California </w:t>
      </w:r>
      <w:r w:rsidR="0001061A">
        <w:t>Power Exchange</w:t>
      </w:r>
      <w:r w:rsidR="000906F3">
        <w:t xml:space="preserve"> (CalPX)</w:t>
      </w:r>
      <w:r w:rsidR="00521E9F">
        <w:t xml:space="preserve"> </w:t>
      </w:r>
      <w:r w:rsidR="0031365E">
        <w:t xml:space="preserve">from </w:t>
      </w:r>
      <w:r w:rsidR="00B36758">
        <w:t xml:space="preserve">1999 </w:t>
      </w:r>
      <w:r w:rsidR="0031365E">
        <w:t xml:space="preserve">through January 1, </w:t>
      </w:r>
      <w:r w:rsidR="00B36758">
        <w:t>200</w:t>
      </w:r>
      <w:r w:rsidR="0031365E">
        <w:t>1</w:t>
      </w:r>
      <w:r w:rsidR="006C45C4">
        <w:t xml:space="preserve">.  </w:t>
      </w:r>
    </w:p>
    <w:p w:rsidR="00544E85" w:rsidRPr="00F74D06" w:rsidRDefault="00544E85" w:rsidP="006C45C4">
      <w:pPr>
        <w:rPr>
          <w:b/>
        </w:rPr>
      </w:pPr>
      <w:r w:rsidRPr="00F74D06">
        <w:rPr>
          <w:b/>
        </w:rPr>
        <w:t>Q.</w:t>
      </w:r>
      <w:r w:rsidRPr="00F74D06">
        <w:rPr>
          <w:b/>
        </w:rPr>
        <w:tab/>
        <w:t>Please explain your responsibilities as PacifiCorp’s Director of Origination</w:t>
      </w:r>
      <w:r w:rsidR="006C45C4">
        <w:rPr>
          <w:b/>
        </w:rPr>
        <w:t xml:space="preserve">.  </w:t>
      </w:r>
    </w:p>
    <w:p w:rsidR="00AE4E8F" w:rsidRPr="00AE4E8F" w:rsidRDefault="00AE4E8F" w:rsidP="006C45C4">
      <w:pPr>
        <w:suppressLineNumbers/>
      </w:pPr>
    </w:p>
    <w:p w:rsidR="00804249" w:rsidRDefault="00544E85" w:rsidP="006C45C4">
      <w:pPr>
        <w:pStyle w:val="Answer"/>
        <w:numPr>
          <w:ilvl w:val="0"/>
          <w:numId w:val="0"/>
        </w:numPr>
        <w:spacing w:after="0"/>
        <w:ind w:left="720" w:hanging="720"/>
        <w:jc w:val="left"/>
      </w:pPr>
      <w:r>
        <w:t>A.</w:t>
      </w:r>
      <w:r>
        <w:tab/>
      </w:r>
      <w:r w:rsidR="0001061A">
        <w:t xml:space="preserve">I manage </w:t>
      </w:r>
      <w:r w:rsidR="000906F3">
        <w:t xml:space="preserve">the </w:t>
      </w:r>
      <w:r w:rsidR="0001061A">
        <w:t xml:space="preserve">procurement of new generation resources, </w:t>
      </w:r>
      <w:r w:rsidR="002A1453">
        <w:t>contract</w:t>
      </w:r>
      <w:r w:rsidR="00B36758">
        <w:t xml:space="preserve"> administration, market forecast group, </w:t>
      </w:r>
      <w:r w:rsidR="0001061A">
        <w:t>the integrated resource plan (IRP)</w:t>
      </w:r>
      <w:r w:rsidR="00F123A5">
        <w:t>,</w:t>
      </w:r>
      <w:r w:rsidR="0001061A">
        <w:t xml:space="preserve"> and structuring and pricing</w:t>
      </w:r>
      <w:r w:rsidR="006C45C4">
        <w:t xml:space="preserve">.  </w:t>
      </w:r>
      <w:r w:rsidR="0001061A">
        <w:t xml:space="preserve">Most relevant to this docket, I </w:t>
      </w:r>
      <w:r w:rsidR="001A7FDE">
        <w:t xml:space="preserve">manage </w:t>
      </w:r>
      <w:r w:rsidR="0001061A">
        <w:t>PacifiCorp’s renewable energy credit (REC or RECs) portfolio</w:t>
      </w:r>
      <w:r w:rsidR="00F123A5">
        <w:t xml:space="preserve"> (</w:t>
      </w:r>
      <w:r w:rsidR="00BF0417">
        <w:t>also known as the</w:t>
      </w:r>
      <w:r w:rsidR="00F123A5">
        <w:t xml:space="preserve"> “green book”)</w:t>
      </w:r>
      <w:r w:rsidR="0001061A">
        <w:t xml:space="preserve">, including </w:t>
      </w:r>
      <w:r w:rsidR="00975BF7">
        <w:t>the sale</w:t>
      </w:r>
      <w:r w:rsidR="0001061A">
        <w:t xml:space="preserve"> of RECs in excess of compliance</w:t>
      </w:r>
      <w:r w:rsidR="00521E9F">
        <w:t xml:space="preserve"> </w:t>
      </w:r>
      <w:r w:rsidR="0001061A">
        <w:t>requirements.</w:t>
      </w:r>
    </w:p>
    <w:p w:rsidR="00FC08EF" w:rsidRDefault="00FC08EF" w:rsidP="006C45C4">
      <w:pPr>
        <w:pStyle w:val="Question"/>
        <w:jc w:val="left"/>
        <w:sectPr w:rsidR="00FC08EF" w:rsidSect="006C45C4">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800" w:bottom="1440" w:left="1800" w:header="720" w:footer="720" w:gutter="0"/>
          <w:lnNumType w:countBy="1"/>
          <w:pgNumType w:start="1"/>
          <w:cols w:space="720"/>
          <w:docGrid w:linePitch="360"/>
        </w:sectPr>
      </w:pPr>
    </w:p>
    <w:p w:rsidR="0020118B" w:rsidRDefault="0020118B" w:rsidP="006C45C4">
      <w:pPr>
        <w:pStyle w:val="Question"/>
        <w:jc w:val="left"/>
      </w:pPr>
      <w:r>
        <w:lastRenderedPageBreak/>
        <w:t>Purpose of Testimony</w:t>
      </w:r>
    </w:p>
    <w:p w:rsidR="00332281" w:rsidRDefault="004B665C" w:rsidP="006C45C4">
      <w:pPr>
        <w:pStyle w:val="Question"/>
        <w:jc w:val="left"/>
        <w:rPr>
          <w:b w:val="0"/>
        </w:rPr>
      </w:pPr>
      <w:r>
        <w:t>Q.</w:t>
      </w:r>
      <w:r>
        <w:tab/>
        <w:t xml:space="preserve">What is the purpose of your </w:t>
      </w:r>
      <w:r w:rsidRPr="00544E85">
        <w:rPr>
          <w:rFonts w:ascii="Times New Roman" w:hAnsi="Times New Roman"/>
        </w:rPr>
        <w:t>testimony</w:t>
      </w:r>
      <w:r>
        <w:t>?</w:t>
      </w:r>
    </w:p>
    <w:p w:rsidR="00544E85" w:rsidRDefault="004B665C" w:rsidP="006C45C4">
      <w:pPr>
        <w:pStyle w:val="Answer"/>
        <w:numPr>
          <w:ilvl w:val="0"/>
          <w:numId w:val="0"/>
        </w:numPr>
        <w:spacing w:after="0"/>
        <w:ind w:left="720" w:hanging="720"/>
        <w:jc w:val="left"/>
      </w:pPr>
      <w:r>
        <w:t>A.</w:t>
      </w:r>
      <w:r>
        <w:tab/>
        <w:t xml:space="preserve">My testimony </w:t>
      </w:r>
      <w:r w:rsidR="00A20953">
        <w:t xml:space="preserve">addresses </w:t>
      </w:r>
      <w:r w:rsidR="008B7A5B">
        <w:t>f</w:t>
      </w:r>
      <w:r w:rsidR="00BF0417">
        <w:t>our</w:t>
      </w:r>
      <w:r w:rsidR="00521E9F">
        <w:t xml:space="preserve"> </w:t>
      </w:r>
      <w:r w:rsidR="00A20953">
        <w:t>key areas</w:t>
      </w:r>
      <w:r w:rsidR="00544E85">
        <w:t>:</w:t>
      </w:r>
    </w:p>
    <w:p w:rsidR="00BC24F8" w:rsidRDefault="00BC24F8" w:rsidP="00BC24F8">
      <w:pPr>
        <w:pStyle w:val="Answer"/>
        <w:numPr>
          <w:ilvl w:val="0"/>
          <w:numId w:val="11"/>
        </w:numPr>
        <w:spacing w:after="0"/>
        <w:ind w:left="1080"/>
        <w:jc w:val="left"/>
        <w:sectPr w:rsidR="00BC24F8" w:rsidSect="00FC08EF">
          <w:headerReference w:type="default" r:id="rId13"/>
          <w:footerReference w:type="default" r:id="rId14"/>
          <w:type w:val="continuous"/>
          <w:pgSz w:w="12240" w:h="15840" w:code="1"/>
          <w:pgMar w:top="1440" w:right="1800" w:bottom="1440" w:left="1800" w:header="720" w:footer="720" w:gutter="0"/>
          <w:lnNumType w:countBy="1"/>
          <w:pgNumType w:start="1"/>
          <w:cols w:space="720"/>
          <w:docGrid w:linePitch="360"/>
        </w:sectPr>
      </w:pPr>
    </w:p>
    <w:p w:rsidR="00544E85" w:rsidRDefault="00A20953" w:rsidP="00BC24F8">
      <w:pPr>
        <w:pStyle w:val="Answer"/>
        <w:numPr>
          <w:ilvl w:val="0"/>
          <w:numId w:val="11"/>
        </w:numPr>
        <w:spacing w:after="0"/>
        <w:ind w:left="1080"/>
        <w:jc w:val="left"/>
      </w:pPr>
      <w:r w:rsidRPr="00D661EE">
        <w:lastRenderedPageBreak/>
        <w:t xml:space="preserve">First, I present </w:t>
      </w:r>
      <w:r w:rsidR="001C12A2">
        <w:t xml:space="preserve">general </w:t>
      </w:r>
      <w:r w:rsidR="004F5712">
        <w:t xml:space="preserve">background on the sales of RECs and </w:t>
      </w:r>
      <w:r w:rsidRPr="00D661EE">
        <w:t xml:space="preserve">the Company’s </w:t>
      </w:r>
      <w:r w:rsidR="002A1453" w:rsidRPr="00D661EE">
        <w:t>policy</w:t>
      </w:r>
      <w:r w:rsidR="002A1453">
        <w:t xml:space="preserve"> governing</w:t>
      </w:r>
      <w:r w:rsidR="004F5712">
        <w:t xml:space="preserve"> such sales.</w:t>
      </w:r>
    </w:p>
    <w:p w:rsidR="00BF0417" w:rsidDel="00BF0417" w:rsidRDefault="00A20953" w:rsidP="00BC24F8">
      <w:pPr>
        <w:pStyle w:val="Answer"/>
        <w:numPr>
          <w:ilvl w:val="0"/>
          <w:numId w:val="11"/>
        </w:numPr>
        <w:spacing w:after="0"/>
        <w:ind w:left="1080"/>
        <w:jc w:val="left"/>
      </w:pPr>
      <w:r>
        <w:t xml:space="preserve">Second, I </w:t>
      </w:r>
      <w:r w:rsidR="00E15BB7">
        <w:t xml:space="preserve">explain </w:t>
      </w:r>
      <w:r w:rsidR="00C30C92">
        <w:t>the</w:t>
      </w:r>
      <w:r w:rsidR="00521E9F">
        <w:t xml:space="preserve"> </w:t>
      </w:r>
      <w:r w:rsidR="00C30C92">
        <w:t xml:space="preserve">market dynamics </w:t>
      </w:r>
      <w:r w:rsidR="00BF0417">
        <w:t>for REC sales from 2009 to the present, and explain the challenges REC markets face going forward.</w:t>
      </w:r>
    </w:p>
    <w:p w:rsidR="00782D55" w:rsidRDefault="00BF0417" w:rsidP="00BC24F8">
      <w:pPr>
        <w:pStyle w:val="Answer"/>
        <w:numPr>
          <w:ilvl w:val="0"/>
          <w:numId w:val="11"/>
        </w:numPr>
        <w:spacing w:after="0"/>
        <w:ind w:left="1080"/>
        <w:jc w:val="left"/>
      </w:pPr>
      <w:r>
        <w:t>Third</w:t>
      </w:r>
      <w:r w:rsidR="00A20953">
        <w:t xml:space="preserve">, </w:t>
      </w:r>
      <w:r w:rsidR="00782D55">
        <w:t xml:space="preserve">I </w:t>
      </w:r>
      <w:r w:rsidR="000E455F">
        <w:t xml:space="preserve">sponsor and explain </w:t>
      </w:r>
      <w:r w:rsidR="00782D55">
        <w:t>th</w:t>
      </w:r>
      <w:r w:rsidR="000E455F">
        <w:t>re</w:t>
      </w:r>
      <w:r w:rsidR="00782D55">
        <w:t xml:space="preserve">e Confidential </w:t>
      </w:r>
      <w:r w:rsidR="000E455F">
        <w:t>Exhibits that provide the detailed accounting of REC revenues beginning January 1, 2009</w:t>
      </w:r>
      <w:r w:rsidR="006C45C4">
        <w:t xml:space="preserve">.  </w:t>
      </w:r>
      <w:r w:rsidR="000E455F">
        <w:t>These Exhibits were also a</w:t>
      </w:r>
      <w:r w:rsidR="00782D55">
        <w:t>ttachments to the Company’s May 24, 2011 compliance filing.</w:t>
      </w:r>
    </w:p>
    <w:p w:rsidR="00544E85" w:rsidRDefault="00782D55" w:rsidP="00BC24F8">
      <w:pPr>
        <w:pStyle w:val="Answer"/>
        <w:numPr>
          <w:ilvl w:val="0"/>
          <w:numId w:val="11"/>
        </w:numPr>
        <w:spacing w:after="0"/>
        <w:ind w:left="1080"/>
        <w:jc w:val="left"/>
      </w:pPr>
      <w:r>
        <w:t xml:space="preserve">Fourth, </w:t>
      </w:r>
      <w:r w:rsidR="00A20953">
        <w:t xml:space="preserve">I explain </w:t>
      </w:r>
      <w:r w:rsidR="00C30C92">
        <w:t xml:space="preserve">the </w:t>
      </w:r>
      <w:r w:rsidR="00A20953">
        <w:t>Company</w:t>
      </w:r>
      <w:r w:rsidR="007B33BB">
        <w:t>’s</w:t>
      </w:r>
      <w:r w:rsidR="00E3507A">
        <w:t xml:space="preserve"> </w:t>
      </w:r>
      <w:r w:rsidR="003F538B">
        <w:t xml:space="preserve">methodology for </w:t>
      </w:r>
      <w:r w:rsidR="007B33BB">
        <w:t>a</w:t>
      </w:r>
      <w:r w:rsidR="002E2CF9">
        <w:t>llocating</w:t>
      </w:r>
      <w:r w:rsidR="00E3507A">
        <w:t xml:space="preserve"> </w:t>
      </w:r>
      <w:r w:rsidR="007B7B6B">
        <w:t>RECs</w:t>
      </w:r>
      <w:r w:rsidR="007B33BB">
        <w:t xml:space="preserve"> to contracts</w:t>
      </w:r>
      <w:r w:rsidR="00F123A5">
        <w:t>, including</w:t>
      </w:r>
      <w:r w:rsidR="004A07EF" w:rsidRPr="007B7B6B">
        <w:t xml:space="preserve"> after</w:t>
      </w:r>
      <w:r w:rsidR="00F123A5">
        <w:t>-</w:t>
      </w:r>
      <w:r w:rsidR="004A07EF" w:rsidRPr="007B7B6B">
        <w:t>the</w:t>
      </w:r>
      <w:r w:rsidR="00F123A5">
        <w:t>-</w:t>
      </w:r>
      <w:r w:rsidR="004A07EF" w:rsidRPr="007B7B6B">
        <w:t>fact</w:t>
      </w:r>
      <w:r w:rsidR="00E3507A">
        <w:t xml:space="preserve"> </w:t>
      </w:r>
      <w:r w:rsidR="008B7A5B">
        <w:t>match</w:t>
      </w:r>
      <w:r w:rsidR="00F123A5">
        <w:t>ing</w:t>
      </w:r>
      <w:r w:rsidR="00E3507A">
        <w:t xml:space="preserve"> </w:t>
      </w:r>
      <w:r w:rsidR="003F538B">
        <w:t>from the green book</w:t>
      </w:r>
      <w:r w:rsidR="004A07EF" w:rsidRPr="007B7B6B">
        <w:t xml:space="preserve"> to the contract</w:t>
      </w:r>
      <w:r w:rsidR="007B7B6B" w:rsidRPr="007B7B6B">
        <w:t>s</w:t>
      </w:r>
      <w:r w:rsidR="006C45C4">
        <w:t xml:space="preserve">.  </w:t>
      </w:r>
    </w:p>
    <w:p w:rsidR="00F74D06" w:rsidRDefault="004F5712" w:rsidP="006C45C4">
      <w:pPr>
        <w:ind w:left="720" w:hanging="720"/>
        <w:rPr>
          <w:b/>
        </w:rPr>
      </w:pPr>
      <w:bookmarkStart w:id="0" w:name="OLE_LINK1"/>
      <w:bookmarkStart w:id="1" w:name="OLE_LINK2"/>
      <w:r>
        <w:rPr>
          <w:b/>
        </w:rPr>
        <w:t xml:space="preserve">Background and </w:t>
      </w:r>
      <w:r w:rsidR="00F74D06">
        <w:rPr>
          <w:b/>
        </w:rPr>
        <w:t>Policy on REC Sales</w:t>
      </w:r>
    </w:p>
    <w:p w:rsidR="00F74D06" w:rsidRDefault="00F74D06" w:rsidP="00BC24F8">
      <w:pPr>
        <w:suppressLineNumbers/>
        <w:ind w:left="720" w:hanging="720"/>
        <w:rPr>
          <w:b/>
        </w:rPr>
      </w:pPr>
    </w:p>
    <w:p w:rsidR="00862F81" w:rsidRDefault="0051168C" w:rsidP="006C45C4">
      <w:pPr>
        <w:ind w:left="720" w:hanging="720"/>
        <w:rPr>
          <w:b/>
        </w:rPr>
      </w:pPr>
      <w:r>
        <w:rPr>
          <w:b/>
        </w:rPr>
        <w:t>Q.</w:t>
      </w:r>
      <w:r>
        <w:rPr>
          <w:b/>
        </w:rPr>
        <w:tab/>
        <w:t>Please provide general background on how RECs are marketed and sold.</w:t>
      </w:r>
    </w:p>
    <w:p w:rsidR="0051168C" w:rsidRDefault="0051168C" w:rsidP="00BC24F8">
      <w:pPr>
        <w:suppressLineNumbers/>
        <w:ind w:left="720" w:hanging="720"/>
        <w:rPr>
          <w:b/>
        </w:rPr>
      </w:pPr>
    </w:p>
    <w:p w:rsidR="0051168C" w:rsidRDefault="0051168C" w:rsidP="006C45C4">
      <w:pPr>
        <w:spacing w:line="480" w:lineRule="auto"/>
        <w:ind w:left="720" w:hanging="720"/>
      </w:pPr>
      <w:r w:rsidRPr="0051168C">
        <w:t>A.</w:t>
      </w:r>
      <w:r>
        <w:tab/>
        <w:t xml:space="preserve">In general, </w:t>
      </w:r>
      <w:r w:rsidRPr="0051168C">
        <w:t>REC sales are completed in one of two ways: 1) the sale of a bundled product (firm system energy and RECs); or 2) an unbundled product (</w:t>
      </w:r>
      <w:r w:rsidR="002B52DC">
        <w:t xml:space="preserve">REC only without energy, </w:t>
      </w:r>
      <w:r w:rsidRPr="0051168C">
        <w:t>firm or contingent)</w:t>
      </w:r>
      <w:r w:rsidR="006C45C4">
        <w:t xml:space="preserve">.  </w:t>
      </w:r>
      <w:r w:rsidRPr="0051168C">
        <w:t xml:space="preserve">Typically, the </w:t>
      </w:r>
      <w:r w:rsidR="000E455F">
        <w:t xml:space="preserve">sale of a </w:t>
      </w:r>
      <w:r w:rsidRPr="0051168C">
        <w:t>bundled product requires lengthy negotiations due to the highly structured nature of such transactions</w:t>
      </w:r>
      <w:r w:rsidR="006C45C4">
        <w:t xml:space="preserve">.  </w:t>
      </w:r>
      <w:r w:rsidRPr="0051168C">
        <w:t>REC sales made on a forward looking basis are typically more lucrative than after</w:t>
      </w:r>
      <w:r w:rsidR="00D25ED9">
        <w:t>-</w:t>
      </w:r>
      <w:r w:rsidRPr="0051168C">
        <w:t>the</w:t>
      </w:r>
      <w:r w:rsidR="00D25ED9">
        <w:t>-</w:t>
      </w:r>
      <w:r w:rsidRPr="0051168C">
        <w:t>fact REC sales</w:t>
      </w:r>
      <w:r w:rsidR="00D25ED9">
        <w:t xml:space="preserve"> from inventory</w:t>
      </w:r>
      <w:r>
        <w:t>,</w:t>
      </w:r>
      <w:r w:rsidRPr="0051168C">
        <w:t xml:space="preserve"> but also carry a higher degree of risk for the seller due to the potential for liquidated damages </w:t>
      </w:r>
      <w:r w:rsidR="00D25ED9">
        <w:t xml:space="preserve">if the </w:t>
      </w:r>
      <w:r w:rsidR="00D25ED9">
        <w:lastRenderedPageBreak/>
        <w:t xml:space="preserve">forward delivery is not completed </w:t>
      </w:r>
      <w:r w:rsidRPr="0051168C">
        <w:t>(often as high as $50 per MWh)</w:t>
      </w:r>
      <w:r w:rsidR="00BC24F8">
        <w:t xml:space="preserve">. </w:t>
      </w:r>
      <w:r w:rsidRPr="0051168C">
        <w:t xml:space="preserve"> </w:t>
      </w:r>
      <w:r w:rsidR="00BF0417">
        <w:t>Hist</w:t>
      </w:r>
      <w:r w:rsidR="003F2D22">
        <w:t>o</w:t>
      </w:r>
      <w:r w:rsidR="00BF0417">
        <w:t>r</w:t>
      </w:r>
      <w:r w:rsidR="003F2D22">
        <w:t>i</w:t>
      </w:r>
      <w:r w:rsidR="00BF0417">
        <w:t>cally, t</w:t>
      </w:r>
      <w:r w:rsidRPr="0051168C">
        <w:t>he Company</w:t>
      </w:r>
      <w:r w:rsidR="00521E9F">
        <w:t xml:space="preserve"> </w:t>
      </w:r>
      <w:r w:rsidRPr="0051168C">
        <w:t>has executed primarily bundled product</w:t>
      </w:r>
      <w:r w:rsidR="00521E9F">
        <w:t xml:space="preserve"> </w:t>
      </w:r>
      <w:r w:rsidR="005170A6">
        <w:t xml:space="preserve">forward </w:t>
      </w:r>
      <w:r w:rsidR="0075184C">
        <w:t>sales</w:t>
      </w:r>
      <w:r w:rsidRPr="0051168C">
        <w:t xml:space="preserve">, which allow the Company </w:t>
      </w:r>
      <w:r w:rsidR="000E455F">
        <w:t xml:space="preserve">and its customers </w:t>
      </w:r>
      <w:r w:rsidRPr="0051168C">
        <w:t>to receive the highest value for RECs</w:t>
      </w:r>
      <w:r w:rsidR="006C45C4">
        <w:t xml:space="preserve">.  </w:t>
      </w:r>
    </w:p>
    <w:p w:rsidR="00CF572E" w:rsidRDefault="00CF572E" w:rsidP="006C45C4">
      <w:pPr>
        <w:spacing w:line="480" w:lineRule="auto"/>
        <w:ind w:left="720" w:hanging="720"/>
        <w:rPr>
          <w:b/>
        </w:rPr>
        <w:sectPr w:rsidR="00CF572E" w:rsidSect="00FC08EF">
          <w:headerReference w:type="default" r:id="rId15"/>
          <w:footerReference w:type="default" r:id="rId16"/>
          <w:type w:val="continuous"/>
          <w:pgSz w:w="12240" w:h="15840" w:code="1"/>
          <w:pgMar w:top="1440" w:right="1800" w:bottom="1440" w:left="1800" w:header="720" w:footer="720" w:gutter="0"/>
          <w:lnNumType w:countBy="1"/>
          <w:pgNumType w:start="1"/>
          <w:cols w:space="720"/>
          <w:docGrid w:linePitch="360"/>
        </w:sectPr>
      </w:pPr>
    </w:p>
    <w:p w:rsidR="0075184C" w:rsidRPr="004F5712" w:rsidRDefault="0075184C" w:rsidP="006C45C4">
      <w:pPr>
        <w:spacing w:line="480" w:lineRule="auto"/>
        <w:ind w:left="720" w:hanging="720"/>
        <w:rPr>
          <w:b/>
        </w:rPr>
      </w:pPr>
      <w:r w:rsidRPr="004F5712">
        <w:rPr>
          <w:b/>
        </w:rPr>
        <w:lastRenderedPageBreak/>
        <w:t>Q.</w:t>
      </w:r>
      <w:r w:rsidRPr="004F5712">
        <w:rPr>
          <w:b/>
        </w:rPr>
        <w:tab/>
        <w:t>P</w:t>
      </w:r>
      <w:r w:rsidR="004F5712" w:rsidRPr="004F5712">
        <w:rPr>
          <w:b/>
        </w:rPr>
        <w:t>l</w:t>
      </w:r>
      <w:r w:rsidRPr="004F5712">
        <w:rPr>
          <w:b/>
        </w:rPr>
        <w:t xml:space="preserve">ease describe some of the challenges in </w:t>
      </w:r>
      <w:r w:rsidR="004F5712" w:rsidRPr="004F5712">
        <w:rPr>
          <w:b/>
        </w:rPr>
        <w:t>executing forward REC sales</w:t>
      </w:r>
      <w:r w:rsidR="006C45C4">
        <w:rPr>
          <w:b/>
        </w:rPr>
        <w:t xml:space="preserve">.  </w:t>
      </w:r>
    </w:p>
    <w:p w:rsidR="00862F81" w:rsidRPr="0051168C" w:rsidRDefault="004F5712" w:rsidP="006C45C4">
      <w:pPr>
        <w:spacing w:line="480" w:lineRule="auto"/>
        <w:ind w:left="720" w:hanging="720"/>
      </w:pPr>
      <w:r>
        <w:t>A.</w:t>
      </w:r>
      <w:r>
        <w:tab/>
      </w:r>
      <w:r w:rsidR="0075184C" w:rsidRPr="0051168C">
        <w:t>The ability to realize forward REC sales is highly dependent on: 1) the actual volumes of generation from variable energy resources (</w:t>
      </w:r>
      <w:r w:rsidR="0075184C" w:rsidRPr="0051168C">
        <w:rPr>
          <w:i/>
        </w:rPr>
        <w:t>i.e.</w:t>
      </w:r>
      <w:r w:rsidR="0075184C" w:rsidRPr="0051168C">
        <w:t>, wind and hydro resources); 2) the willingness of a limited pool of counterparties to transact at any given point in time</w:t>
      </w:r>
      <w:r w:rsidR="005170A6">
        <w:t>; and 3) the willingness of applicable regulators to approve transactions</w:t>
      </w:r>
      <w:r w:rsidR="00DB61CC">
        <w:t xml:space="preserve">. </w:t>
      </w:r>
      <w:r w:rsidR="0075184C" w:rsidRPr="0051168C">
        <w:t xml:space="preserve"> In addition to the fact that wind and hydro resources are weather-dependent, operational factors can also result in production variances (</w:t>
      </w:r>
      <w:r w:rsidR="0075184C" w:rsidRPr="0051168C">
        <w:rPr>
          <w:i/>
        </w:rPr>
        <w:t>i.e.</w:t>
      </w:r>
      <w:r w:rsidR="0075184C" w:rsidRPr="0051168C">
        <w:t>, curtailments by the transmission provider and/or planned and unplanned outages).</w:t>
      </w:r>
    </w:p>
    <w:p w:rsidR="004F5712" w:rsidRDefault="00E15BB7" w:rsidP="006C45C4">
      <w:pPr>
        <w:spacing w:line="480" w:lineRule="auto"/>
        <w:ind w:left="720" w:hanging="720"/>
        <w:rPr>
          <w:b/>
        </w:rPr>
      </w:pPr>
      <w:r w:rsidRPr="003D1CA7">
        <w:rPr>
          <w:b/>
        </w:rPr>
        <w:t>Q.</w:t>
      </w:r>
      <w:r w:rsidRPr="003D1CA7">
        <w:rPr>
          <w:b/>
        </w:rPr>
        <w:tab/>
      </w:r>
      <w:r w:rsidR="004F5712">
        <w:rPr>
          <w:b/>
        </w:rPr>
        <w:t>Has the Company developed a policy for REC sales to facilitate s</w:t>
      </w:r>
      <w:r w:rsidR="001364FB">
        <w:rPr>
          <w:b/>
        </w:rPr>
        <w:t>uch sales, while managing risk?</w:t>
      </w:r>
    </w:p>
    <w:p w:rsidR="00544E85" w:rsidRDefault="00E15BB7" w:rsidP="006C45C4">
      <w:pPr>
        <w:spacing w:line="480" w:lineRule="auto"/>
        <w:ind w:left="720" w:hanging="720"/>
      </w:pPr>
      <w:r>
        <w:t>A.</w:t>
      </w:r>
      <w:r>
        <w:tab/>
      </w:r>
      <w:bookmarkStart w:id="2" w:name="OLE_LINK3"/>
      <w:r w:rsidR="004F5712">
        <w:t>Yes</w:t>
      </w:r>
      <w:r w:rsidR="006C45C4">
        <w:t xml:space="preserve">.  </w:t>
      </w:r>
      <w:r>
        <w:t xml:space="preserve">The Company’s policy </w:t>
      </w:r>
      <w:r w:rsidR="00D661EE">
        <w:t xml:space="preserve">allows for sale of RECs within </w:t>
      </w:r>
      <w:r w:rsidR="004F5712">
        <w:t xml:space="preserve">clearly </w:t>
      </w:r>
      <w:r w:rsidR="00544E85">
        <w:t xml:space="preserve">defined </w:t>
      </w:r>
      <w:r w:rsidR="00D661EE">
        <w:t>limit</w:t>
      </w:r>
      <w:r w:rsidR="004F5712">
        <w:t>s</w:t>
      </w:r>
      <w:r w:rsidR="006C45C4">
        <w:t xml:space="preserve">.  </w:t>
      </w:r>
      <w:r w:rsidR="007D365A">
        <w:t>T</w:t>
      </w:r>
      <w:r w:rsidR="00544E85">
        <w:t xml:space="preserve">he Company may </w:t>
      </w:r>
      <w:r w:rsidR="00D661EE" w:rsidRPr="00F41EF7">
        <w:t xml:space="preserve">sell on a firm forward basis no more than </w:t>
      </w:r>
      <w:r w:rsidR="00D661EE">
        <w:t>75 percent</w:t>
      </w:r>
      <w:r w:rsidR="00D661EE" w:rsidRPr="00F41EF7">
        <w:t xml:space="preserve"> of the forward estimated output of production of RECs generated by company assets</w:t>
      </w:r>
      <w:r w:rsidR="00DB61CC">
        <w:t xml:space="preserve">. </w:t>
      </w:r>
      <w:r w:rsidR="00544E85">
        <w:t xml:space="preserve"> The Company may sell</w:t>
      </w:r>
      <w:r w:rsidR="00521E9F">
        <w:t xml:space="preserve"> </w:t>
      </w:r>
      <w:r w:rsidR="00D661EE" w:rsidRPr="00F41EF7">
        <w:t>up to 100</w:t>
      </w:r>
      <w:r w:rsidR="00D661EE">
        <w:t xml:space="preserve"> percent</w:t>
      </w:r>
      <w:r w:rsidR="00D661EE" w:rsidRPr="00F41EF7">
        <w:t xml:space="preserve"> of </w:t>
      </w:r>
      <w:r w:rsidR="00D661EE">
        <w:t xml:space="preserve">the </w:t>
      </w:r>
      <w:r w:rsidR="00D661EE" w:rsidRPr="00F41EF7">
        <w:t xml:space="preserve">estimated output on a production contingent basis (unit contingent), provided that </w:t>
      </w:r>
      <w:r w:rsidR="00D661EE">
        <w:t xml:space="preserve">on a monthly basis, </w:t>
      </w:r>
      <w:r w:rsidR="00D661EE" w:rsidRPr="00F41EF7">
        <w:t xml:space="preserve">any sales of unit contingent output </w:t>
      </w:r>
      <w:r w:rsidR="00D661EE">
        <w:t>are</w:t>
      </w:r>
      <w:r w:rsidR="00D661EE" w:rsidRPr="00F41EF7">
        <w:t xml:space="preserve"> subtracted from the forward estimated output </w:t>
      </w:r>
      <w:r w:rsidR="00D661EE">
        <w:t>that is subject to the 75 percent</w:t>
      </w:r>
      <w:r w:rsidR="00D661EE" w:rsidRPr="00F41EF7">
        <w:t xml:space="preserve"> restriction for firm forward sales</w:t>
      </w:r>
      <w:r w:rsidR="006C45C4">
        <w:t xml:space="preserve">.  </w:t>
      </w:r>
      <w:r w:rsidR="00262AA5">
        <w:t xml:space="preserve">These limitations are designed to protect against the risk of non-delivery and associated liquidated damages </w:t>
      </w:r>
      <w:r w:rsidR="002A1453">
        <w:t>penalties</w:t>
      </w:r>
      <w:r w:rsidR="00262AA5">
        <w:t xml:space="preserve"> attendant in the forward sales of RECs</w:t>
      </w:r>
      <w:r w:rsidR="00DB61CC">
        <w:t xml:space="preserve">. </w:t>
      </w:r>
    </w:p>
    <w:p w:rsidR="0070134B" w:rsidRDefault="0070134B" w:rsidP="0070134B">
      <w:pPr>
        <w:suppressLineNumbers/>
        <w:spacing w:line="480" w:lineRule="auto"/>
        <w:ind w:left="720" w:hanging="720"/>
      </w:pPr>
    </w:p>
    <w:p w:rsidR="006B47DE" w:rsidRPr="004F5712" w:rsidRDefault="006B47DE" w:rsidP="006C45C4">
      <w:pPr>
        <w:spacing w:line="480" w:lineRule="auto"/>
        <w:rPr>
          <w:b/>
        </w:rPr>
      </w:pPr>
      <w:r w:rsidRPr="004F5712">
        <w:rPr>
          <w:b/>
        </w:rPr>
        <w:lastRenderedPageBreak/>
        <w:t>Q.</w:t>
      </w:r>
      <w:r w:rsidRPr="004F5712">
        <w:rPr>
          <w:b/>
        </w:rPr>
        <w:tab/>
        <w:t xml:space="preserve">Are there other </w:t>
      </w:r>
      <w:r w:rsidR="00262AA5">
        <w:rPr>
          <w:b/>
        </w:rPr>
        <w:t xml:space="preserve">risk-related </w:t>
      </w:r>
      <w:r w:rsidRPr="004F5712">
        <w:rPr>
          <w:b/>
        </w:rPr>
        <w:t xml:space="preserve">limitations on the </w:t>
      </w:r>
      <w:r w:rsidR="00262AA5">
        <w:rPr>
          <w:b/>
        </w:rPr>
        <w:t xml:space="preserve">Company’s </w:t>
      </w:r>
      <w:r w:rsidRPr="004F5712">
        <w:rPr>
          <w:b/>
        </w:rPr>
        <w:t xml:space="preserve">sale of RECs? </w:t>
      </w:r>
    </w:p>
    <w:p w:rsidR="00CF572E" w:rsidRDefault="006B47DE" w:rsidP="006C45C4">
      <w:pPr>
        <w:spacing w:line="480" w:lineRule="auto"/>
        <w:ind w:left="720" w:hanging="720"/>
        <w:sectPr w:rsidR="00CF572E" w:rsidSect="00FC08EF">
          <w:footerReference w:type="default" r:id="rId17"/>
          <w:type w:val="continuous"/>
          <w:pgSz w:w="12240" w:h="15840" w:code="1"/>
          <w:pgMar w:top="1440" w:right="1800" w:bottom="1440" w:left="1800" w:header="720" w:footer="720" w:gutter="0"/>
          <w:lnNumType w:countBy="1"/>
          <w:pgNumType w:start="1"/>
          <w:cols w:space="720"/>
          <w:docGrid w:linePitch="360"/>
        </w:sectPr>
      </w:pPr>
      <w:r>
        <w:t>A</w:t>
      </w:r>
      <w:r w:rsidR="001364FB">
        <w:t>.</w:t>
      </w:r>
      <w:r>
        <w:tab/>
        <w:t>Yes</w:t>
      </w:r>
      <w:r w:rsidR="006C45C4">
        <w:t xml:space="preserve">.  </w:t>
      </w:r>
      <w:r>
        <w:t>T</w:t>
      </w:r>
      <w:r w:rsidR="00D661EE">
        <w:t xml:space="preserve">he </w:t>
      </w:r>
      <w:r w:rsidR="007D365A">
        <w:t>C</w:t>
      </w:r>
      <w:r w:rsidR="00D661EE">
        <w:t xml:space="preserve">ompany’s policy </w:t>
      </w:r>
      <w:r w:rsidR="00E15BB7">
        <w:t xml:space="preserve">does not </w:t>
      </w:r>
      <w:r w:rsidR="007D365A">
        <w:t>permit</w:t>
      </w:r>
      <w:r w:rsidR="00521E9F">
        <w:t xml:space="preserve"> </w:t>
      </w:r>
      <w:r w:rsidR="00E15BB7" w:rsidRPr="00F41EF7">
        <w:t>transaction</w:t>
      </w:r>
      <w:r w:rsidR="00E15BB7">
        <w:t xml:space="preserve">s </w:t>
      </w:r>
      <w:r w:rsidR="00F123A5">
        <w:t xml:space="preserve">that </w:t>
      </w:r>
      <w:r w:rsidR="00E15BB7" w:rsidRPr="00F41EF7">
        <w:t xml:space="preserve">cause the REC position </w:t>
      </w:r>
      <w:r w:rsidR="00E15BB7">
        <w:t>in the green book to be short</w:t>
      </w:r>
      <w:r>
        <w:t xml:space="preserve"> (</w:t>
      </w:r>
      <w:r w:rsidRPr="00262AA5">
        <w:rPr>
          <w:i/>
        </w:rPr>
        <w:t>i.e</w:t>
      </w:r>
      <w:r w:rsidR="00DB61CC">
        <w:rPr>
          <w:i/>
        </w:rPr>
        <w:t>.</w:t>
      </w:r>
      <w:r w:rsidR="006C45C4">
        <w:rPr>
          <w:i/>
        </w:rPr>
        <w:t xml:space="preserve"> </w:t>
      </w:r>
      <w:r>
        <w:t>where REC</w:t>
      </w:r>
      <w:r w:rsidR="00862F81">
        <w:t>s</w:t>
      </w:r>
      <w:r>
        <w:t xml:space="preserve"> sales exceed REC</w:t>
      </w:r>
      <w:r w:rsidR="00862F81">
        <w:t>s generated</w:t>
      </w:r>
      <w:r>
        <w:t>)</w:t>
      </w:r>
      <w:r w:rsidR="006C45C4">
        <w:t xml:space="preserve">.  </w:t>
      </w:r>
      <w:r w:rsidR="00E15BB7" w:rsidRPr="00F41EF7">
        <w:t xml:space="preserve">If the REC position becomes passively short </w:t>
      </w:r>
      <w:r w:rsidR="007D365A">
        <w:t>(</w:t>
      </w:r>
      <w:r w:rsidR="00E15BB7" w:rsidRPr="00F41EF7">
        <w:t>due</w:t>
      </w:r>
      <w:r w:rsidR="007D365A">
        <w:t>, for example,</w:t>
      </w:r>
      <w:r w:rsidR="00E15BB7" w:rsidRPr="00F41EF7">
        <w:t xml:space="preserve"> to a </w:t>
      </w:r>
    </w:p>
    <w:p w:rsidR="00E15BB7" w:rsidRDefault="00A10EA9" w:rsidP="006C45C4">
      <w:pPr>
        <w:spacing w:line="480" w:lineRule="auto"/>
        <w:ind w:left="720" w:hanging="720"/>
      </w:pPr>
      <w:r>
        <w:lastRenderedPageBreak/>
        <w:tab/>
      </w:r>
      <w:r w:rsidR="00E15BB7" w:rsidRPr="00F41EF7">
        <w:t>generation forecast change</w:t>
      </w:r>
      <w:r w:rsidR="007D365A">
        <w:t>,</w:t>
      </w:r>
      <w:r w:rsidR="00E15BB7" w:rsidRPr="00F41EF7">
        <w:t xml:space="preserve"> variance from predicted to actual generation, or a change to or new REC program or applicable law</w:t>
      </w:r>
      <w:r w:rsidR="007D365A">
        <w:t>)</w:t>
      </w:r>
      <w:r w:rsidR="00E3507A">
        <w:t xml:space="preserve">, the position </w:t>
      </w:r>
      <w:r w:rsidR="007B7B6B">
        <w:t xml:space="preserve">must be </w:t>
      </w:r>
      <w:r w:rsidR="00F123A5">
        <w:t>brought</w:t>
      </w:r>
      <w:r w:rsidR="00E3507A">
        <w:t xml:space="preserve"> </w:t>
      </w:r>
      <w:r w:rsidR="007B7B6B">
        <w:t>back in</w:t>
      </w:r>
      <w:r w:rsidR="00E15BB7" w:rsidRPr="00F41EF7">
        <w:t>to</w:t>
      </w:r>
      <w:r w:rsidR="007D365A">
        <w:t xml:space="preserve"> balance </w:t>
      </w:r>
      <w:r w:rsidR="00E15BB7" w:rsidRPr="00F41EF7">
        <w:t xml:space="preserve">within </w:t>
      </w:r>
      <w:r w:rsidR="007A36BD">
        <w:t xml:space="preserve">60 calendar </w:t>
      </w:r>
      <w:r w:rsidR="00E15BB7" w:rsidRPr="00F41EF7">
        <w:t>day</w:t>
      </w:r>
      <w:r w:rsidR="00EF46CA">
        <w:t>s</w:t>
      </w:r>
      <w:r w:rsidR="006C45C4">
        <w:t xml:space="preserve">.  </w:t>
      </w:r>
      <w:bookmarkEnd w:id="2"/>
    </w:p>
    <w:p w:rsidR="00262AA5" w:rsidRDefault="00262AA5" w:rsidP="006C45C4">
      <w:pPr>
        <w:ind w:left="720" w:hanging="720"/>
        <w:rPr>
          <w:b/>
        </w:rPr>
      </w:pPr>
      <w:r>
        <w:rPr>
          <w:b/>
        </w:rPr>
        <w:t>Analysis of REC Markets</w:t>
      </w:r>
    </w:p>
    <w:p w:rsidR="00262AA5" w:rsidRDefault="00262AA5" w:rsidP="00DB61CC">
      <w:pPr>
        <w:suppressLineNumbers/>
        <w:ind w:left="720" w:hanging="720"/>
        <w:rPr>
          <w:b/>
        </w:rPr>
      </w:pPr>
    </w:p>
    <w:p w:rsidR="003F2D22" w:rsidRPr="0075184C" w:rsidRDefault="003F2D22" w:rsidP="006C45C4">
      <w:pPr>
        <w:spacing w:line="480" w:lineRule="auto"/>
        <w:ind w:left="720" w:hanging="720"/>
        <w:rPr>
          <w:b/>
        </w:rPr>
      </w:pPr>
      <w:r w:rsidRPr="0075184C">
        <w:rPr>
          <w:b/>
        </w:rPr>
        <w:t>Q.</w:t>
      </w:r>
      <w:r w:rsidRPr="0075184C">
        <w:rPr>
          <w:b/>
        </w:rPr>
        <w:tab/>
        <w:t>Please provide an overview of the REC market</w:t>
      </w:r>
      <w:r w:rsidR="006C45C4">
        <w:rPr>
          <w:b/>
        </w:rPr>
        <w:t xml:space="preserve">.  </w:t>
      </w:r>
    </w:p>
    <w:p w:rsidR="003F2D22" w:rsidRDefault="003F2D22" w:rsidP="006C45C4">
      <w:pPr>
        <w:spacing w:line="480" w:lineRule="auto"/>
        <w:ind w:left="720" w:hanging="720"/>
      </w:pPr>
      <w:r>
        <w:t>A.</w:t>
      </w:r>
      <w:r>
        <w:tab/>
      </w:r>
      <w:r w:rsidRPr="0051168C">
        <w:t xml:space="preserve">The REC market </w:t>
      </w:r>
      <w:r>
        <w:t>has been and continues to be</w:t>
      </w:r>
      <w:r w:rsidRPr="0051168C">
        <w:t xml:space="preserve"> volatile and unpredictable</w:t>
      </w:r>
      <w:r w:rsidR="006C45C4">
        <w:t xml:space="preserve">.  </w:t>
      </w:r>
      <w:r w:rsidRPr="0051168C">
        <w:t>The overall REC market has limited market depth with little to no price transparency</w:t>
      </w:r>
      <w:r w:rsidR="006C45C4">
        <w:t xml:space="preserve">.  </w:t>
      </w:r>
      <w:r w:rsidRPr="0051168C">
        <w:t xml:space="preserve">REC transactions are </w:t>
      </w:r>
      <w:r>
        <w:t>usually</w:t>
      </w:r>
      <w:r w:rsidRPr="0051168C">
        <w:t xml:space="preserve"> completed bilaterally and not via an established trading platform, such as a broker, where specific, timely market information can be obtained</w:t>
      </w:r>
      <w:r w:rsidR="006C45C4">
        <w:t xml:space="preserve">.  </w:t>
      </w:r>
      <w:r w:rsidRPr="0051168C">
        <w:t>Additionally, REC buyers and sellers are not typically engaged in seeking transactions at the same level throughout the year, but rather transact only a few times each year</w:t>
      </w:r>
      <w:r w:rsidR="00DB61CC">
        <w:t xml:space="preserve">. </w:t>
      </w:r>
      <w:r w:rsidRPr="0051168C">
        <w:t xml:space="preserve"> This means the REC market is mostly opportunistic</w:t>
      </w:r>
      <w:r w:rsidR="006C45C4">
        <w:t xml:space="preserve">.  </w:t>
      </w:r>
      <w:r w:rsidRPr="0051168C">
        <w:t xml:space="preserve">REC market volatility </w:t>
      </w:r>
      <w:r>
        <w:t>is also caused by unc</w:t>
      </w:r>
      <w:r w:rsidRPr="0051168C">
        <w:t xml:space="preserve">ertain </w:t>
      </w:r>
      <w:r>
        <w:t xml:space="preserve">or changing </w:t>
      </w:r>
      <w:r w:rsidRPr="0051168C">
        <w:t xml:space="preserve">state </w:t>
      </w:r>
      <w:r>
        <w:t>renewable portfolio standard (</w:t>
      </w:r>
      <w:r w:rsidRPr="0051168C">
        <w:t>RPS</w:t>
      </w:r>
      <w:r>
        <w:t>)</w:t>
      </w:r>
      <w:r w:rsidRPr="0051168C">
        <w:t xml:space="preserve"> policy developments in </w:t>
      </w:r>
      <w:r>
        <w:t>California, as I describe in more detail below</w:t>
      </w:r>
      <w:r w:rsidR="006C45C4">
        <w:t xml:space="preserve">.  </w:t>
      </w:r>
    </w:p>
    <w:p w:rsidR="003F2D22" w:rsidRDefault="00E15BB7" w:rsidP="006C45C4">
      <w:pPr>
        <w:spacing w:line="480" w:lineRule="auto"/>
        <w:ind w:left="720" w:hanging="720"/>
        <w:rPr>
          <w:b/>
        </w:rPr>
      </w:pPr>
      <w:r w:rsidRPr="003D1CA7">
        <w:rPr>
          <w:b/>
        </w:rPr>
        <w:t>Q.</w:t>
      </w:r>
      <w:r w:rsidRPr="003D1CA7">
        <w:rPr>
          <w:b/>
        </w:rPr>
        <w:tab/>
      </w:r>
      <w:r w:rsidR="001C12A2">
        <w:rPr>
          <w:b/>
        </w:rPr>
        <w:t>What is the primary market for REC sales in the W</w:t>
      </w:r>
      <w:r w:rsidR="00002489">
        <w:rPr>
          <w:b/>
        </w:rPr>
        <w:t xml:space="preserve">estern </w:t>
      </w:r>
      <w:r w:rsidR="001C12A2">
        <w:rPr>
          <w:b/>
        </w:rPr>
        <w:t>E</w:t>
      </w:r>
      <w:r w:rsidR="00002489">
        <w:rPr>
          <w:b/>
        </w:rPr>
        <w:t>lectric Coordinating Council (WECC)</w:t>
      </w:r>
      <w:r w:rsidR="001C12A2">
        <w:rPr>
          <w:b/>
        </w:rPr>
        <w:t xml:space="preserve">? </w:t>
      </w:r>
    </w:p>
    <w:p w:rsidR="00345294" w:rsidRDefault="00522053" w:rsidP="006C45C4">
      <w:pPr>
        <w:spacing w:line="480" w:lineRule="auto"/>
        <w:ind w:left="720" w:hanging="720"/>
      </w:pPr>
      <w:r>
        <w:t>A.</w:t>
      </w:r>
      <w:r>
        <w:tab/>
      </w:r>
      <w:r w:rsidR="007A36BD">
        <w:t xml:space="preserve">The primary market for REC </w:t>
      </w:r>
      <w:r w:rsidR="001C12A2">
        <w:t xml:space="preserve">sales </w:t>
      </w:r>
      <w:r w:rsidR="007A36BD">
        <w:t xml:space="preserve">is </w:t>
      </w:r>
      <w:r w:rsidR="00F123A5">
        <w:t xml:space="preserve">the </w:t>
      </w:r>
      <w:r w:rsidR="007A36BD">
        <w:t>California</w:t>
      </w:r>
      <w:r w:rsidR="002B73F7">
        <w:t xml:space="preserve"> compliance market</w:t>
      </w:r>
      <w:r w:rsidR="006C45C4">
        <w:t xml:space="preserve">.  </w:t>
      </w:r>
      <w:r w:rsidR="002B73F7">
        <w:t xml:space="preserve">There is a </w:t>
      </w:r>
      <w:r w:rsidR="00EF293E">
        <w:t>small</w:t>
      </w:r>
      <w:r w:rsidR="002B73F7">
        <w:t xml:space="preserve"> voluntary market </w:t>
      </w:r>
      <w:r w:rsidR="00ED1EBB">
        <w:t xml:space="preserve">in </w:t>
      </w:r>
      <w:r w:rsidR="002B73F7">
        <w:t xml:space="preserve">which </w:t>
      </w:r>
      <w:r w:rsidR="0031365E">
        <w:t xml:space="preserve">the Company </w:t>
      </w:r>
      <w:r w:rsidR="009A3B3E">
        <w:t>has made some sales</w:t>
      </w:r>
      <w:r w:rsidR="00F123A5">
        <w:t xml:space="preserve">, </w:t>
      </w:r>
      <w:r w:rsidR="00975BF7">
        <w:t>but such</w:t>
      </w:r>
      <w:r w:rsidR="00F123A5">
        <w:t xml:space="preserve"> </w:t>
      </w:r>
      <w:r w:rsidR="00F123A5">
        <w:lastRenderedPageBreak/>
        <w:t>sales</w:t>
      </w:r>
      <w:r w:rsidR="002B73F7">
        <w:t xml:space="preserve"> are limited and are at a lower price than the California compliance market</w:t>
      </w:r>
      <w:r w:rsidR="006C45C4">
        <w:t xml:space="preserve">.  </w:t>
      </w:r>
    </w:p>
    <w:p w:rsidR="001C12A2" w:rsidRDefault="001C12A2" w:rsidP="006C45C4">
      <w:pPr>
        <w:spacing w:line="480" w:lineRule="auto"/>
        <w:ind w:left="720" w:hanging="720"/>
        <w:rPr>
          <w:b/>
        </w:rPr>
      </w:pPr>
      <w:r>
        <w:rPr>
          <w:b/>
        </w:rPr>
        <w:t>Q.</w:t>
      </w:r>
      <w:r>
        <w:rPr>
          <w:b/>
        </w:rPr>
        <w:tab/>
        <w:t>Has the California R</w:t>
      </w:r>
      <w:r w:rsidR="00ED1EBB">
        <w:rPr>
          <w:b/>
        </w:rPr>
        <w:t xml:space="preserve">EC market undergone recent and significant changes? </w:t>
      </w:r>
    </w:p>
    <w:p w:rsidR="00F27FB9" w:rsidRDefault="00ED1EBB" w:rsidP="006C45C4">
      <w:pPr>
        <w:spacing w:line="480" w:lineRule="auto"/>
        <w:ind w:left="720" w:hanging="720"/>
        <w:sectPr w:rsidR="00F27FB9" w:rsidSect="00FC08EF">
          <w:footerReference w:type="default" r:id="rId18"/>
          <w:type w:val="continuous"/>
          <w:pgSz w:w="12240" w:h="15840" w:code="1"/>
          <w:pgMar w:top="1440" w:right="1800" w:bottom="1440" w:left="1800" w:header="720" w:footer="720" w:gutter="0"/>
          <w:lnNumType w:countBy="1"/>
          <w:pgNumType w:start="1"/>
          <w:cols w:space="720"/>
          <w:docGrid w:linePitch="360"/>
        </w:sectPr>
      </w:pPr>
      <w:r w:rsidRPr="00ED1EBB">
        <w:t>A.</w:t>
      </w:r>
      <w:r w:rsidRPr="00ED1EBB">
        <w:tab/>
        <w:t>Yes</w:t>
      </w:r>
      <w:r w:rsidR="006C45C4">
        <w:t xml:space="preserve">.  </w:t>
      </w:r>
      <w:r>
        <w:t xml:space="preserve">In March 2010, the California Public Utilities Commission (CPUC) stayed approval of any REC contracts by the California investor-owned utilities </w:t>
      </w:r>
    </w:p>
    <w:p w:rsidR="00002489" w:rsidRDefault="00A10EA9" w:rsidP="006C45C4">
      <w:pPr>
        <w:spacing w:line="480" w:lineRule="auto"/>
        <w:ind w:left="720" w:hanging="720"/>
      </w:pPr>
      <w:r>
        <w:lastRenderedPageBreak/>
        <w:tab/>
      </w:r>
      <w:r w:rsidR="00ED1EBB">
        <w:t>(IOUs) for use of out of state resources</w:t>
      </w:r>
      <w:r w:rsidR="006C45C4">
        <w:t xml:space="preserve">.  </w:t>
      </w:r>
      <w:r w:rsidR="00D47141">
        <w:t>Throughout 2010 and into early 2011, the CPUC issued several decisions on the use of out of state resources by compliance entities, including all California IOUs and energy service providers.</w:t>
      </w:r>
    </w:p>
    <w:p w:rsidR="00002489" w:rsidRDefault="00D47141" w:rsidP="006C45C4">
      <w:pPr>
        <w:spacing w:line="480" w:lineRule="auto"/>
        <w:ind w:left="720" w:firstLine="720"/>
      </w:pPr>
      <w:r>
        <w:t xml:space="preserve">In </w:t>
      </w:r>
      <w:r w:rsidR="005B3AF0">
        <w:t xml:space="preserve">April </w:t>
      </w:r>
      <w:r>
        <w:t>2011, Senate Bill No</w:t>
      </w:r>
      <w:r w:rsidR="00DB61CC">
        <w:t xml:space="preserve">. </w:t>
      </w:r>
      <w:r>
        <w:t>2 (“SB 2x”) was enacted</w:t>
      </w:r>
      <w:r w:rsidR="00002489">
        <w:t>,</w:t>
      </w:r>
      <w:r>
        <w:t xml:space="preserve"> revising California’s RPS</w:t>
      </w:r>
      <w:r w:rsidR="006C45C4">
        <w:t xml:space="preserve">.  </w:t>
      </w:r>
      <w:r w:rsidRPr="008641D4">
        <w:t>SB 2x w</w:t>
      </w:r>
      <w:r>
        <w:t>ill</w:t>
      </w:r>
      <w:r w:rsidRPr="008641D4">
        <w:t xml:space="preserve"> become effective on the 91</w:t>
      </w:r>
      <w:r w:rsidRPr="008641D4">
        <w:rPr>
          <w:vertAlign w:val="superscript"/>
        </w:rPr>
        <w:t>st</w:t>
      </w:r>
      <w:r w:rsidRPr="008641D4">
        <w:t xml:space="preserve"> day following close of the First Extraordinary Session</w:t>
      </w:r>
      <w:r>
        <w:t>, a date that is not yet known</w:t>
      </w:r>
      <w:r w:rsidR="006C45C4">
        <w:t xml:space="preserve">.  </w:t>
      </w:r>
      <w:r>
        <w:t xml:space="preserve">  </w:t>
      </w:r>
    </w:p>
    <w:p w:rsidR="00ED1EBB" w:rsidRDefault="00D47141" w:rsidP="006C45C4">
      <w:pPr>
        <w:spacing w:line="480" w:lineRule="auto"/>
        <w:ind w:left="720" w:firstLine="720"/>
      </w:pPr>
      <w:r>
        <w:t>G</w:t>
      </w:r>
      <w:r w:rsidR="00727338">
        <w:t xml:space="preserve">uidelines for REC sales into the </w:t>
      </w:r>
      <w:r w:rsidR="00ED1EBB">
        <w:t xml:space="preserve">California market </w:t>
      </w:r>
      <w:r w:rsidR="00727338">
        <w:t>have</w:t>
      </w:r>
      <w:r w:rsidR="00521E9F">
        <w:t xml:space="preserve"> </w:t>
      </w:r>
      <w:r w:rsidR="003F2D22">
        <w:t>remained</w:t>
      </w:r>
      <w:r w:rsidR="00D77114">
        <w:t xml:space="preserve"> uncertain</w:t>
      </w:r>
      <w:r>
        <w:t xml:space="preserve"> throughout this time period</w:t>
      </w:r>
      <w:r w:rsidR="00D77114">
        <w:t xml:space="preserve"> and transactions involving out of state RECs have stalled</w:t>
      </w:r>
      <w:r w:rsidR="006C45C4">
        <w:t xml:space="preserve">.  </w:t>
      </w:r>
      <w:r w:rsidR="00D77114">
        <w:t xml:space="preserve">  </w:t>
      </w:r>
    </w:p>
    <w:p w:rsidR="001C12A2" w:rsidRPr="00ED1EBB" w:rsidRDefault="00ED1EBB" w:rsidP="006C45C4">
      <w:pPr>
        <w:spacing w:line="480" w:lineRule="auto"/>
        <w:ind w:left="720" w:hanging="720"/>
        <w:rPr>
          <w:b/>
        </w:rPr>
      </w:pPr>
      <w:r w:rsidRPr="00ED1EBB">
        <w:rPr>
          <w:b/>
        </w:rPr>
        <w:t>Q</w:t>
      </w:r>
      <w:r w:rsidR="006C45C4">
        <w:rPr>
          <w:b/>
        </w:rPr>
        <w:t xml:space="preserve">.  </w:t>
      </w:r>
      <w:r w:rsidRPr="00ED1EBB">
        <w:rPr>
          <w:b/>
        </w:rPr>
        <w:tab/>
        <w:t xml:space="preserve">Did the Company execute REC sales in the California REC market prior to March 2010?  </w:t>
      </w:r>
    </w:p>
    <w:p w:rsidR="00ED1EBB" w:rsidRDefault="001364FB" w:rsidP="006C45C4">
      <w:pPr>
        <w:spacing w:line="480" w:lineRule="auto"/>
        <w:ind w:left="720" w:hanging="720"/>
      </w:pPr>
      <w:r>
        <w:t>A.</w:t>
      </w:r>
      <w:r>
        <w:tab/>
      </w:r>
      <w:r w:rsidR="00ED1EBB">
        <w:t>Yes</w:t>
      </w:r>
      <w:r w:rsidR="00DB61CC">
        <w:t xml:space="preserve">. </w:t>
      </w:r>
      <w:r w:rsidR="00ED1EBB">
        <w:t xml:space="preserve"> These </w:t>
      </w:r>
      <w:r w:rsidR="00F123A5">
        <w:t xml:space="preserve">sales </w:t>
      </w:r>
      <w:r w:rsidR="006F2C47">
        <w:t>contracts were structured as a bundled product</w:t>
      </w:r>
      <w:r w:rsidR="00521E9F">
        <w:t xml:space="preserve"> </w:t>
      </w:r>
      <w:r w:rsidR="00F123A5">
        <w:t xml:space="preserve">that </w:t>
      </w:r>
      <w:r w:rsidR="006F2C47">
        <w:t xml:space="preserve">required </w:t>
      </w:r>
      <w:r w:rsidR="00ED1EBB">
        <w:t>the Company</w:t>
      </w:r>
      <w:r w:rsidR="00521E9F">
        <w:t xml:space="preserve"> </w:t>
      </w:r>
      <w:r w:rsidR="00D661EE">
        <w:t xml:space="preserve">to </w:t>
      </w:r>
      <w:r w:rsidR="006F2C47">
        <w:t xml:space="preserve">schedule </w:t>
      </w:r>
      <w:r w:rsidR="002B52DC">
        <w:t xml:space="preserve">system </w:t>
      </w:r>
      <w:r w:rsidR="006F2C47">
        <w:t>energy bundled with a REC</w:t>
      </w:r>
      <w:r w:rsidR="006C45C4">
        <w:t xml:space="preserve">.  </w:t>
      </w:r>
      <w:r w:rsidR="00DD2336">
        <w:t xml:space="preserve">The </w:t>
      </w:r>
      <w:r w:rsidR="00ED1EBB">
        <w:t xml:space="preserve">Company’s </w:t>
      </w:r>
      <w:r w:rsidR="00DD2336">
        <w:t xml:space="preserve">contracts </w:t>
      </w:r>
      <w:r w:rsidR="007A36BD">
        <w:t xml:space="preserve">in 2009 </w:t>
      </w:r>
      <w:r w:rsidR="00DD2336">
        <w:t>with San Diego</w:t>
      </w:r>
      <w:r w:rsidR="002B73F7">
        <w:t xml:space="preserve"> Gas and Electric</w:t>
      </w:r>
      <w:r w:rsidR="00C206CE">
        <w:t xml:space="preserve"> (SDG&amp;E)</w:t>
      </w:r>
      <w:r w:rsidR="00DD2336">
        <w:t xml:space="preserve">, Pacific Gas and Electric </w:t>
      </w:r>
      <w:r w:rsidR="00C206CE">
        <w:t xml:space="preserve">(PG&amp;E) </w:t>
      </w:r>
      <w:r w:rsidR="00DD2336">
        <w:t xml:space="preserve">and Southern California Edison </w:t>
      </w:r>
      <w:r w:rsidR="00C206CE">
        <w:t xml:space="preserve">(SCE) </w:t>
      </w:r>
      <w:r w:rsidR="00F123A5">
        <w:t xml:space="preserve">were approved prior to the issuance of the CPUC approval moratorium, and </w:t>
      </w:r>
      <w:r w:rsidR="00DD2336">
        <w:t xml:space="preserve">are all grandfathered </w:t>
      </w:r>
      <w:r w:rsidR="002B73F7">
        <w:t xml:space="preserve">as </w:t>
      </w:r>
      <w:r w:rsidR="00DD2336">
        <w:t xml:space="preserve">bundled </w:t>
      </w:r>
      <w:r w:rsidR="00C206CE">
        <w:t>product</w:t>
      </w:r>
      <w:r w:rsidR="00D661EE">
        <w:t xml:space="preserve"> transactions</w:t>
      </w:r>
      <w:r w:rsidR="00F123A5">
        <w:t>.</w:t>
      </w:r>
    </w:p>
    <w:p w:rsidR="0070134B" w:rsidRDefault="0070134B" w:rsidP="0070134B">
      <w:pPr>
        <w:suppressLineNumbers/>
        <w:spacing w:line="480" w:lineRule="auto"/>
        <w:ind w:left="720" w:hanging="720"/>
      </w:pPr>
    </w:p>
    <w:p w:rsidR="0070134B" w:rsidRDefault="0070134B" w:rsidP="0070134B">
      <w:pPr>
        <w:suppressLineNumbers/>
        <w:spacing w:line="480" w:lineRule="auto"/>
        <w:ind w:left="720" w:hanging="720"/>
      </w:pPr>
    </w:p>
    <w:p w:rsidR="00ED1EBB" w:rsidRPr="00727338" w:rsidRDefault="00727338" w:rsidP="006C45C4">
      <w:pPr>
        <w:spacing w:line="480" w:lineRule="auto"/>
        <w:ind w:left="720" w:hanging="720"/>
        <w:rPr>
          <w:b/>
        </w:rPr>
      </w:pPr>
      <w:r w:rsidRPr="00727338">
        <w:rPr>
          <w:b/>
        </w:rPr>
        <w:lastRenderedPageBreak/>
        <w:t>Q.</w:t>
      </w:r>
      <w:r w:rsidRPr="00727338">
        <w:rPr>
          <w:b/>
        </w:rPr>
        <w:tab/>
        <w:t xml:space="preserve">In the current California REC market, would these same sales be considered bundled sales? </w:t>
      </w:r>
    </w:p>
    <w:p w:rsidR="00CF572E" w:rsidRDefault="00727338" w:rsidP="006C45C4">
      <w:pPr>
        <w:spacing w:line="480" w:lineRule="auto"/>
        <w:ind w:left="720" w:hanging="720"/>
        <w:sectPr w:rsidR="00CF572E" w:rsidSect="00FC08EF">
          <w:footerReference w:type="default" r:id="rId19"/>
          <w:type w:val="continuous"/>
          <w:pgSz w:w="12240" w:h="15840" w:code="1"/>
          <w:pgMar w:top="1440" w:right="1800" w:bottom="1440" w:left="1800" w:header="720" w:footer="720" w:gutter="0"/>
          <w:lnNumType w:countBy="1"/>
          <w:pgNumType w:start="1"/>
          <w:cols w:space="720"/>
          <w:docGrid w:linePitch="360"/>
        </w:sectPr>
      </w:pPr>
      <w:r>
        <w:t>A.</w:t>
      </w:r>
      <w:r>
        <w:tab/>
        <w:t>No</w:t>
      </w:r>
      <w:r w:rsidR="006C45C4">
        <w:t xml:space="preserve">.  </w:t>
      </w:r>
      <w:r w:rsidR="00F123A5">
        <w:t>I</w:t>
      </w:r>
      <w:r w:rsidR="002B73F7">
        <w:t>f executed today</w:t>
      </w:r>
      <w:r w:rsidR="00F123A5">
        <w:t>, such contracts</w:t>
      </w:r>
      <w:r w:rsidR="002B73F7">
        <w:t xml:space="preserve"> would be deemed </w:t>
      </w:r>
      <w:r w:rsidR="00C206CE">
        <w:t xml:space="preserve">as a non-bundled product or a </w:t>
      </w:r>
      <w:r w:rsidR="00521E9F">
        <w:t>tradable</w:t>
      </w:r>
      <w:r w:rsidR="00F123A5">
        <w:t xml:space="preserve"> renewable energy credit (</w:t>
      </w:r>
      <w:r w:rsidR="002B73F7">
        <w:t>TREC</w:t>
      </w:r>
      <w:r w:rsidR="00F123A5">
        <w:t>)</w:t>
      </w:r>
      <w:r w:rsidR="00521E9F">
        <w:t xml:space="preserve"> </w:t>
      </w:r>
      <w:r>
        <w:t xml:space="preserve">sale </w:t>
      </w:r>
      <w:r w:rsidR="00F123A5">
        <w:t xml:space="preserve">pursuant to applicable CPUC rulings, </w:t>
      </w:r>
      <w:r w:rsidR="009308CC">
        <w:t xml:space="preserve">because the </w:t>
      </w:r>
      <w:r w:rsidR="00F123A5">
        <w:t>generation resource</w:t>
      </w:r>
      <w:r w:rsidR="00521E9F">
        <w:t xml:space="preserve"> </w:t>
      </w:r>
      <w:r w:rsidR="009308CC">
        <w:t>is outside of California</w:t>
      </w:r>
      <w:r w:rsidR="00735322">
        <w:t>,</w:t>
      </w:r>
      <w:r w:rsidR="009308CC">
        <w:t xml:space="preserve"> and </w:t>
      </w:r>
      <w:r w:rsidR="00735322">
        <w:t xml:space="preserve">energy delivery </w:t>
      </w:r>
      <w:r w:rsidR="002B73F7">
        <w:t xml:space="preserve">can be met with replacement energy </w:t>
      </w:r>
      <w:r w:rsidR="00011C06">
        <w:t>that</w:t>
      </w:r>
      <w:r w:rsidR="00E3507A">
        <w:t xml:space="preserve"> </w:t>
      </w:r>
      <w:r w:rsidR="009308CC">
        <w:t>is not dynamically scheduled</w:t>
      </w:r>
      <w:r w:rsidR="002B73F7">
        <w:t xml:space="preserve"> or </w:t>
      </w:r>
    </w:p>
    <w:p w:rsidR="003C0774" w:rsidRDefault="00CF572E" w:rsidP="006C45C4">
      <w:pPr>
        <w:spacing w:line="480" w:lineRule="auto"/>
        <w:ind w:left="720" w:hanging="720"/>
      </w:pPr>
      <w:r>
        <w:tab/>
      </w:r>
      <w:r w:rsidR="002B73F7">
        <w:t>located in California</w:t>
      </w:r>
      <w:r w:rsidR="006C45C4">
        <w:t xml:space="preserve">.  </w:t>
      </w:r>
      <w:r w:rsidR="00D47141">
        <w:t>Under currently applicable rules, all resources under contract that are not grandfathered and are from resources located outside of California are deemed to be TRECs</w:t>
      </w:r>
      <w:r w:rsidR="006C45C4">
        <w:t xml:space="preserve">.  </w:t>
      </w:r>
    </w:p>
    <w:p w:rsidR="00D47141" w:rsidRPr="000758B2" w:rsidRDefault="00D47141" w:rsidP="006C45C4">
      <w:pPr>
        <w:spacing w:line="480" w:lineRule="auto"/>
        <w:ind w:left="720" w:hanging="720"/>
        <w:rPr>
          <w:b/>
        </w:rPr>
      </w:pPr>
      <w:r w:rsidRPr="000758B2">
        <w:rPr>
          <w:b/>
        </w:rPr>
        <w:t>Q.</w:t>
      </w:r>
      <w:r w:rsidRPr="000758B2">
        <w:rPr>
          <w:b/>
        </w:rPr>
        <w:tab/>
        <w:t xml:space="preserve">Why is this important? </w:t>
      </w:r>
    </w:p>
    <w:p w:rsidR="001364FB" w:rsidRDefault="00D47141" w:rsidP="006C45C4">
      <w:pPr>
        <w:spacing w:line="480" w:lineRule="auto"/>
        <w:ind w:left="720" w:hanging="720"/>
      </w:pPr>
      <w:r>
        <w:t>A.</w:t>
      </w:r>
      <w:r>
        <w:tab/>
        <w:t xml:space="preserve">Under current regulations and </w:t>
      </w:r>
      <w:r w:rsidR="00002489">
        <w:t xml:space="preserve">under </w:t>
      </w:r>
      <w:r>
        <w:t>SB 2x, California IOUs have limitations on the amount of TRECs that can be used for RPS compliance</w:t>
      </w:r>
      <w:r w:rsidR="006C45C4">
        <w:t xml:space="preserve">.  </w:t>
      </w:r>
      <w:r>
        <w:t xml:space="preserve">From the information the Company has reviewed, all three of the California IOUs have reached their TREC limitation through 2015, limiting the demand for </w:t>
      </w:r>
      <w:r w:rsidR="00011C06">
        <w:t xml:space="preserve">RECs from </w:t>
      </w:r>
      <w:r>
        <w:t>resources outside of California in the California compliance market</w:t>
      </w:r>
      <w:r w:rsidR="006C45C4">
        <w:t xml:space="preserve">.  </w:t>
      </w:r>
    </w:p>
    <w:p w:rsidR="00727338" w:rsidRDefault="00727338" w:rsidP="006C45C4">
      <w:pPr>
        <w:spacing w:line="480" w:lineRule="auto"/>
        <w:ind w:left="720" w:hanging="720"/>
        <w:rPr>
          <w:b/>
        </w:rPr>
      </w:pPr>
      <w:r>
        <w:rPr>
          <w:b/>
        </w:rPr>
        <w:t>Q.</w:t>
      </w:r>
      <w:r>
        <w:rPr>
          <w:b/>
        </w:rPr>
        <w:tab/>
        <w:t>What is required to implement SB 2x and what are the associated timelines?</w:t>
      </w:r>
    </w:p>
    <w:p w:rsidR="0083122B" w:rsidRDefault="00727338" w:rsidP="006C45C4">
      <w:pPr>
        <w:spacing w:line="480" w:lineRule="auto"/>
        <w:ind w:left="720" w:hanging="720"/>
      </w:pPr>
      <w:r>
        <w:t>A.</w:t>
      </w:r>
      <w:r>
        <w:tab/>
        <w:t>The legislation requires implementation by the California Energy Commission (CEC</w:t>
      </w:r>
      <w:r w:rsidR="00D77114">
        <w:t>)</w:t>
      </w:r>
      <w:r>
        <w:t xml:space="preserve">, </w:t>
      </w:r>
      <w:r w:rsidR="0083122B">
        <w:t>the Califor</w:t>
      </w:r>
      <w:r w:rsidR="001364FB">
        <w:t>nia Air Resources Board (CARB) </w:t>
      </w:r>
      <w:r>
        <w:t>and the CPUC</w:t>
      </w:r>
      <w:r w:rsidR="00DB61CC">
        <w:t xml:space="preserve">. </w:t>
      </w:r>
      <w:r>
        <w:t xml:space="preserve"> The full implementation process is anticipated to t</w:t>
      </w:r>
      <w:r w:rsidR="00DB61CC">
        <w:t>ake approximately 18 months to two</w:t>
      </w:r>
      <w:r>
        <w:t xml:space="preserve"> years</w:t>
      </w:r>
      <w:r w:rsidR="0083122B">
        <w:t>.</w:t>
      </w:r>
    </w:p>
    <w:p w:rsidR="00727338" w:rsidRDefault="00727338" w:rsidP="006C45C4">
      <w:pPr>
        <w:spacing w:line="480" w:lineRule="auto"/>
        <w:ind w:left="720" w:hanging="720"/>
        <w:rPr>
          <w:b/>
        </w:rPr>
      </w:pPr>
      <w:r>
        <w:rPr>
          <w:b/>
        </w:rPr>
        <w:t>Q.</w:t>
      </w:r>
      <w:r>
        <w:rPr>
          <w:b/>
        </w:rPr>
        <w:tab/>
        <w:t xml:space="preserve">How will SB 2x impact the </w:t>
      </w:r>
      <w:r w:rsidR="00E376EE">
        <w:rPr>
          <w:b/>
        </w:rPr>
        <w:t>California REC market in the near-term</w:t>
      </w:r>
      <w:r>
        <w:rPr>
          <w:b/>
        </w:rPr>
        <w:t>?</w:t>
      </w:r>
    </w:p>
    <w:p w:rsidR="00DB61CC" w:rsidRDefault="00727338" w:rsidP="00B70F02">
      <w:pPr>
        <w:spacing w:line="480" w:lineRule="auto"/>
        <w:ind w:left="720" w:hanging="720"/>
      </w:pPr>
      <w:r>
        <w:t>A.</w:t>
      </w:r>
      <w:r>
        <w:tab/>
        <w:t xml:space="preserve">SB 2x and most particularly its pending effective date and the three separate state agency rulemakings with respect to its implementation, have continued the </w:t>
      </w:r>
      <w:r w:rsidR="00011C06">
        <w:t>disruption of</w:t>
      </w:r>
      <w:r>
        <w:t xml:space="preserve"> the California REC market</w:t>
      </w:r>
      <w:r w:rsidR="00011C06">
        <w:t xml:space="preserve"> ongoing since March 2010</w:t>
      </w:r>
      <w:r w:rsidR="006C45C4">
        <w:t xml:space="preserve">.  </w:t>
      </w:r>
      <w:r>
        <w:t>Even though the rulemakings at the three state agencies are now underway, they are proceeding under a cloud of uncertainty given SB 2x’s not-yet-effective status</w:t>
      </w:r>
      <w:r w:rsidR="006C45C4">
        <w:t xml:space="preserve">. </w:t>
      </w:r>
      <w:r>
        <w:t xml:space="preserve"> </w:t>
      </w:r>
      <w:r w:rsidR="00E376EE">
        <w:t xml:space="preserve">It is impossible for market participants to reliably predict </w:t>
      </w:r>
      <w:r w:rsidR="00BF0417">
        <w:t>the timi</w:t>
      </w:r>
      <w:r w:rsidR="0083122B">
        <w:t xml:space="preserve">ng and substance of </w:t>
      </w:r>
      <w:r w:rsidR="00E376EE">
        <w:t xml:space="preserve">final </w:t>
      </w:r>
      <w:r w:rsidR="0083122B">
        <w:t xml:space="preserve">implementation </w:t>
      </w:r>
      <w:r w:rsidR="00E376EE">
        <w:t>decisions</w:t>
      </w:r>
      <w:r w:rsidR="006C45C4">
        <w:t xml:space="preserve">.  </w:t>
      </w:r>
    </w:p>
    <w:p w:rsidR="00F27FB9" w:rsidRDefault="00F27FB9" w:rsidP="006C45C4">
      <w:pPr>
        <w:spacing w:line="480" w:lineRule="auto"/>
        <w:ind w:left="720" w:hanging="720"/>
        <w:rPr>
          <w:b/>
        </w:rPr>
        <w:sectPr w:rsidR="00F27FB9" w:rsidSect="00FC08EF">
          <w:headerReference w:type="default" r:id="rId20"/>
          <w:footerReference w:type="default" r:id="rId21"/>
          <w:type w:val="continuous"/>
          <w:pgSz w:w="12240" w:h="15840" w:code="1"/>
          <w:pgMar w:top="1440" w:right="1800" w:bottom="1440" w:left="1800" w:header="720" w:footer="720" w:gutter="0"/>
          <w:lnNumType w:countBy="1"/>
          <w:pgNumType w:start="1"/>
          <w:cols w:space="720"/>
          <w:docGrid w:linePitch="360"/>
        </w:sectPr>
      </w:pPr>
    </w:p>
    <w:p w:rsidR="00727338" w:rsidRDefault="00727338" w:rsidP="006C45C4">
      <w:pPr>
        <w:spacing w:line="480" w:lineRule="auto"/>
        <w:ind w:left="720" w:hanging="720"/>
        <w:rPr>
          <w:b/>
        </w:rPr>
      </w:pPr>
      <w:r>
        <w:rPr>
          <w:b/>
        </w:rPr>
        <w:t>Q.</w:t>
      </w:r>
      <w:r>
        <w:rPr>
          <w:b/>
        </w:rPr>
        <w:tab/>
      </w:r>
      <w:r w:rsidR="00002489">
        <w:rPr>
          <w:b/>
        </w:rPr>
        <w:t xml:space="preserve">Do the </w:t>
      </w:r>
      <w:r>
        <w:rPr>
          <w:b/>
        </w:rPr>
        <w:t>three California IOUs</w:t>
      </w:r>
      <w:r w:rsidR="00002489">
        <w:rPr>
          <w:b/>
        </w:rPr>
        <w:t xml:space="preserve"> have pending </w:t>
      </w:r>
      <w:r>
        <w:rPr>
          <w:b/>
        </w:rPr>
        <w:t>R</w:t>
      </w:r>
      <w:r w:rsidR="002B52DC">
        <w:rPr>
          <w:b/>
        </w:rPr>
        <w:t xml:space="preserve">equest </w:t>
      </w:r>
      <w:r>
        <w:rPr>
          <w:b/>
        </w:rPr>
        <w:t>F</w:t>
      </w:r>
      <w:r w:rsidR="002B52DC">
        <w:rPr>
          <w:b/>
        </w:rPr>
        <w:t xml:space="preserve">or </w:t>
      </w:r>
      <w:r>
        <w:rPr>
          <w:b/>
        </w:rPr>
        <w:t>P</w:t>
      </w:r>
      <w:r w:rsidR="002B52DC">
        <w:rPr>
          <w:b/>
        </w:rPr>
        <w:t>roposal</w:t>
      </w:r>
      <w:r>
        <w:rPr>
          <w:b/>
        </w:rPr>
        <w:t xml:space="preserve">s for renewable resources? </w:t>
      </w:r>
    </w:p>
    <w:p w:rsidR="00E376EE" w:rsidRDefault="00727338" w:rsidP="006C45C4">
      <w:pPr>
        <w:spacing w:line="480" w:lineRule="auto"/>
        <w:ind w:left="720" w:hanging="720"/>
        <w:rPr>
          <w:b/>
        </w:rPr>
      </w:pPr>
      <w:r>
        <w:t>A.</w:t>
      </w:r>
      <w:r>
        <w:tab/>
        <w:t>Yes</w:t>
      </w:r>
      <w:r w:rsidR="006C45C4">
        <w:t xml:space="preserve">.  </w:t>
      </w:r>
      <w:r w:rsidR="00AE53F3">
        <w:t>H</w:t>
      </w:r>
      <w:r>
        <w:t xml:space="preserve">owever, due to the uncertainty around the effective date of SB 2x and the </w:t>
      </w:r>
      <w:r w:rsidR="00011C06">
        <w:t xml:space="preserve">outcome of </w:t>
      </w:r>
      <w:r>
        <w:t xml:space="preserve">pending rulemakings, there is some reason to believe that the </w:t>
      </w:r>
      <w:r w:rsidR="002B52DC">
        <w:t>request for proposals (</w:t>
      </w:r>
      <w:r>
        <w:t>RFPs</w:t>
      </w:r>
      <w:r w:rsidR="002B52DC">
        <w:t>)</w:t>
      </w:r>
      <w:r>
        <w:t xml:space="preserve"> will be more informational for the California IOUs than real</w:t>
      </w:r>
      <w:r w:rsidR="0045578C">
        <w:t>,</w:t>
      </w:r>
      <w:r>
        <w:t xml:space="preserve"> at least for the near future</w:t>
      </w:r>
      <w:r w:rsidR="006C45C4">
        <w:t xml:space="preserve">.  </w:t>
      </w:r>
      <w:r w:rsidR="00002489">
        <w:t>While the Company is participating in these RFPs, it is</w:t>
      </w:r>
      <w:r>
        <w:t xml:space="preserve"> not optimistic that any transactions will occur under the RFPs until the later part of 2012</w:t>
      </w:r>
      <w:r w:rsidR="006C45C4">
        <w:t xml:space="preserve">.  </w:t>
      </w:r>
    </w:p>
    <w:p w:rsidR="00727338" w:rsidRPr="00B94E1C" w:rsidRDefault="00727338" w:rsidP="006C45C4">
      <w:pPr>
        <w:spacing w:line="480" w:lineRule="auto"/>
        <w:ind w:left="720" w:hanging="720"/>
        <w:rPr>
          <w:b/>
        </w:rPr>
      </w:pPr>
      <w:r w:rsidRPr="00B94E1C">
        <w:rPr>
          <w:b/>
        </w:rPr>
        <w:t>Q.</w:t>
      </w:r>
      <w:r w:rsidRPr="00B94E1C">
        <w:rPr>
          <w:b/>
        </w:rPr>
        <w:tab/>
        <w:t>If the Company cannot participate in the California market</w:t>
      </w:r>
      <w:r>
        <w:rPr>
          <w:b/>
        </w:rPr>
        <w:t>,</w:t>
      </w:r>
      <w:r w:rsidR="00521E9F">
        <w:rPr>
          <w:b/>
        </w:rPr>
        <w:t xml:space="preserve"> </w:t>
      </w:r>
      <w:r>
        <w:rPr>
          <w:b/>
        </w:rPr>
        <w:t xml:space="preserve">in </w:t>
      </w:r>
      <w:r w:rsidRPr="00B94E1C">
        <w:rPr>
          <w:b/>
        </w:rPr>
        <w:t>which markets will it participate?</w:t>
      </w:r>
    </w:p>
    <w:p w:rsidR="00002489" w:rsidRDefault="00727338" w:rsidP="006C45C4">
      <w:pPr>
        <w:spacing w:line="480" w:lineRule="auto"/>
        <w:ind w:left="720" w:hanging="720"/>
      </w:pPr>
      <w:r>
        <w:t>A.</w:t>
      </w:r>
      <w:r>
        <w:tab/>
        <w:t>The voluntary market for REC sales is likely to be the only other market</w:t>
      </w:r>
      <w:r w:rsidR="00E376EE">
        <w:t xml:space="preserve"> available to the Company</w:t>
      </w:r>
      <w:r w:rsidR="00DB61CC">
        <w:t xml:space="preserve">. </w:t>
      </w:r>
      <w:r w:rsidR="00002489">
        <w:t xml:space="preserve"> Prevailing prices in this market are currently between</w:t>
      </w:r>
      <w:r w:rsidR="00002489" w:rsidRPr="000131A1">
        <w:t xml:space="preserve"> </w:t>
      </w:r>
      <w:r w:rsidR="000131A1" w:rsidRPr="000131A1">
        <w:rPr>
          <w:highlight w:val="black"/>
        </w:rPr>
        <w:t>__</w:t>
      </w:r>
      <w:r w:rsidR="00002489">
        <w:t xml:space="preserve"> and </w:t>
      </w:r>
      <w:r w:rsidR="000131A1" w:rsidRPr="000131A1">
        <w:rPr>
          <w:highlight w:val="black"/>
        </w:rPr>
        <w:t>__</w:t>
      </w:r>
      <w:r w:rsidR="00002489">
        <w:t xml:space="preserve"> per megawatt hour</w:t>
      </w:r>
      <w:r w:rsidR="006C45C4">
        <w:t xml:space="preserve">.  </w:t>
      </w:r>
      <w:r w:rsidR="003577E4">
        <w:t>The Company’s REC revenue forecast in Confidential Exhibit No.___(SJK-4C) for 2011 and 2012 reflects a combination of current market dynamics and prices, as well as the effects of the grandfathered contracts discussed above.</w:t>
      </w:r>
    </w:p>
    <w:p w:rsidR="00230C4D" w:rsidRPr="000A7ED1" w:rsidRDefault="00230C4D" w:rsidP="006C45C4">
      <w:pPr>
        <w:spacing w:line="480" w:lineRule="auto"/>
        <w:ind w:left="720" w:hanging="720"/>
        <w:rPr>
          <w:b/>
        </w:rPr>
      </w:pPr>
      <w:r w:rsidRPr="000A7ED1">
        <w:rPr>
          <w:b/>
        </w:rPr>
        <w:t>Q.</w:t>
      </w:r>
      <w:r w:rsidRPr="000A7ED1">
        <w:rPr>
          <w:b/>
        </w:rPr>
        <w:tab/>
        <w:t xml:space="preserve">Are there other opportunities </w:t>
      </w:r>
      <w:r>
        <w:rPr>
          <w:b/>
        </w:rPr>
        <w:t>beyond</w:t>
      </w:r>
      <w:r w:rsidRPr="000A7ED1">
        <w:rPr>
          <w:b/>
        </w:rPr>
        <w:t xml:space="preserve"> the br</w:t>
      </w:r>
      <w:bookmarkStart w:id="3" w:name="_GoBack"/>
      <w:bookmarkEnd w:id="3"/>
      <w:r w:rsidRPr="000A7ED1">
        <w:rPr>
          <w:b/>
        </w:rPr>
        <w:t>oker market?</w:t>
      </w:r>
    </w:p>
    <w:p w:rsidR="00230C4D" w:rsidRDefault="00230C4D" w:rsidP="006C45C4">
      <w:pPr>
        <w:spacing w:line="480" w:lineRule="auto"/>
        <w:ind w:left="720" w:hanging="720"/>
      </w:pPr>
      <w:r>
        <w:t>A.</w:t>
      </w:r>
      <w:r>
        <w:tab/>
      </w:r>
      <w:r w:rsidR="0031365E">
        <w:t>Not at this time</w:t>
      </w:r>
      <w:r w:rsidR="006C45C4">
        <w:t xml:space="preserve">.  </w:t>
      </w:r>
      <w:r w:rsidR="00F123A5">
        <w:t>T</w:t>
      </w:r>
      <w:r>
        <w:t xml:space="preserve">he </w:t>
      </w:r>
      <w:r w:rsidR="003577E4">
        <w:t xml:space="preserve">REC </w:t>
      </w:r>
      <w:r>
        <w:t xml:space="preserve">market has very few participants, </w:t>
      </w:r>
      <w:r w:rsidR="00975BF7">
        <w:t>is not</w:t>
      </w:r>
      <w:r>
        <w:t xml:space="preserve"> transparent, and </w:t>
      </w:r>
      <w:r w:rsidR="00F123A5">
        <w:t xml:space="preserve">transactions </w:t>
      </w:r>
      <w:r>
        <w:t>are on either a bilateral basis or through responding to requests for proposals issued by other utilities</w:t>
      </w:r>
      <w:r w:rsidR="006C45C4">
        <w:t xml:space="preserve">.  </w:t>
      </w:r>
      <w:r w:rsidR="0031365E">
        <w:t>The Company is participating</w:t>
      </w:r>
      <w:r w:rsidR="003F2D22">
        <w:t xml:space="preserve"> in all</w:t>
      </w:r>
      <w:r w:rsidR="0031365E">
        <w:t xml:space="preserve"> potential </w:t>
      </w:r>
      <w:r w:rsidR="003F2D22">
        <w:t xml:space="preserve">sales </w:t>
      </w:r>
      <w:r w:rsidR="0031365E">
        <w:t>opportunities</w:t>
      </w:r>
      <w:r w:rsidR="00F123A5">
        <w:t xml:space="preserve"> as they arise</w:t>
      </w:r>
      <w:r w:rsidR="003F2D22">
        <w:t>, but these are currently quite limited</w:t>
      </w:r>
      <w:r w:rsidR="00F123A5">
        <w:t>.</w:t>
      </w:r>
    </w:p>
    <w:p w:rsidR="00230C4D" w:rsidRPr="009308CC" w:rsidRDefault="00230C4D" w:rsidP="006C45C4">
      <w:pPr>
        <w:spacing w:line="480" w:lineRule="auto"/>
        <w:ind w:left="720" w:hanging="720"/>
        <w:rPr>
          <w:b/>
        </w:rPr>
      </w:pPr>
      <w:r w:rsidRPr="009308CC">
        <w:rPr>
          <w:b/>
        </w:rPr>
        <w:t>Q.</w:t>
      </w:r>
      <w:r w:rsidRPr="009308CC">
        <w:rPr>
          <w:b/>
        </w:rPr>
        <w:tab/>
      </w:r>
      <w:r w:rsidR="003F2D22">
        <w:rPr>
          <w:b/>
        </w:rPr>
        <w:t xml:space="preserve">Did the Company </w:t>
      </w:r>
      <w:r w:rsidR="0045578C">
        <w:rPr>
          <w:b/>
        </w:rPr>
        <w:t xml:space="preserve">also </w:t>
      </w:r>
      <w:r w:rsidR="003F2D22">
        <w:rPr>
          <w:b/>
        </w:rPr>
        <w:t xml:space="preserve">transact with </w:t>
      </w:r>
      <w:r w:rsidRPr="009308CC">
        <w:rPr>
          <w:b/>
        </w:rPr>
        <w:t>Nevada Power</w:t>
      </w:r>
      <w:r w:rsidR="003F2D22">
        <w:rPr>
          <w:b/>
        </w:rPr>
        <w:t xml:space="preserve"> for the sales of RECs?</w:t>
      </w:r>
    </w:p>
    <w:p w:rsidR="00CF572E" w:rsidRDefault="00230C4D" w:rsidP="006C45C4">
      <w:pPr>
        <w:spacing w:line="480" w:lineRule="auto"/>
        <w:ind w:left="720" w:hanging="720"/>
        <w:sectPr w:rsidR="00CF572E" w:rsidSect="00FC08EF">
          <w:headerReference w:type="default" r:id="rId22"/>
          <w:footerReference w:type="default" r:id="rId23"/>
          <w:type w:val="continuous"/>
          <w:pgSz w:w="12240" w:h="15840" w:code="1"/>
          <w:pgMar w:top="1440" w:right="1800" w:bottom="1440" w:left="1800" w:header="720" w:footer="720" w:gutter="0"/>
          <w:lnNumType w:countBy="1"/>
          <w:pgNumType w:start="1"/>
          <w:cols w:space="720"/>
          <w:docGrid w:linePitch="360"/>
        </w:sectPr>
      </w:pPr>
      <w:r>
        <w:t>A.</w:t>
      </w:r>
      <w:r>
        <w:tab/>
        <w:t>Yes</w:t>
      </w:r>
      <w:r w:rsidR="0083280D">
        <w:t xml:space="preserve">. </w:t>
      </w:r>
      <w:r w:rsidR="0045578C">
        <w:t xml:space="preserve"> The Company initially contracted with Nevada Power in December 2009 </w:t>
      </w:r>
    </w:p>
    <w:p w:rsidR="00230C4D" w:rsidRDefault="00A10EA9" w:rsidP="006C45C4">
      <w:pPr>
        <w:spacing w:line="480" w:lineRule="auto"/>
        <w:ind w:left="720" w:hanging="720"/>
      </w:pPr>
      <w:r>
        <w:tab/>
      </w:r>
      <w:r w:rsidR="0045578C">
        <w:t>and again in February 2011</w:t>
      </w:r>
      <w:r w:rsidR="006C45C4">
        <w:t xml:space="preserve">.  </w:t>
      </w:r>
      <w:r w:rsidR="0045578C">
        <w:t>H</w:t>
      </w:r>
      <w:r w:rsidR="0031365E">
        <w:t xml:space="preserve">owever, </w:t>
      </w:r>
      <w:r w:rsidR="009308CC">
        <w:t xml:space="preserve">the </w:t>
      </w:r>
      <w:r w:rsidR="00C206CE">
        <w:t>Nevada Power (</w:t>
      </w:r>
      <w:r w:rsidR="009308CC" w:rsidRPr="00522053">
        <w:t>NV Energy</w:t>
      </w:r>
      <w:r w:rsidR="00C206CE">
        <w:t>)</w:t>
      </w:r>
      <w:r w:rsidR="009308CC">
        <w:t xml:space="preserve"> contract </w:t>
      </w:r>
      <w:r w:rsidR="002B73F7">
        <w:t xml:space="preserve">is limited to </w:t>
      </w:r>
      <w:r w:rsidR="009308CC">
        <w:t xml:space="preserve">a pool of resources that are </w:t>
      </w:r>
      <w:r w:rsidR="00C206CE">
        <w:t xml:space="preserve">located </w:t>
      </w:r>
      <w:r w:rsidR="009308CC">
        <w:t>only on the east side</w:t>
      </w:r>
      <w:r w:rsidR="0045578C">
        <w:t xml:space="preserve"> – resources that are not included in rate base in Washington</w:t>
      </w:r>
      <w:r w:rsidR="009308CC">
        <w:t>.</w:t>
      </w:r>
    </w:p>
    <w:p w:rsidR="009308CC" w:rsidRPr="002A1D65" w:rsidRDefault="009308CC" w:rsidP="006C45C4">
      <w:pPr>
        <w:spacing w:line="480" w:lineRule="auto"/>
        <w:ind w:left="720" w:hanging="720"/>
        <w:rPr>
          <w:b/>
        </w:rPr>
      </w:pPr>
      <w:r w:rsidRPr="002A1D65">
        <w:rPr>
          <w:b/>
        </w:rPr>
        <w:t>Q.</w:t>
      </w:r>
      <w:r w:rsidRPr="002A1D65">
        <w:rPr>
          <w:b/>
        </w:rPr>
        <w:tab/>
        <w:t xml:space="preserve">Why does the NV Energy Contract limit the pool of resources to only east side resources? </w:t>
      </w:r>
    </w:p>
    <w:p w:rsidR="003C0774" w:rsidRDefault="009308CC" w:rsidP="006C45C4">
      <w:pPr>
        <w:spacing w:line="480" w:lineRule="auto"/>
        <w:ind w:left="720" w:hanging="720"/>
      </w:pPr>
      <w:r>
        <w:t>A.</w:t>
      </w:r>
      <w:r>
        <w:tab/>
        <w:t xml:space="preserve">NV Energy requires that the company deliver system energy </w:t>
      </w:r>
      <w:r w:rsidR="00EF46CA">
        <w:t xml:space="preserve">that is scheduled from a PacifiCorp Balancing Authority area (BAA) to a NV Energy intertie point, and </w:t>
      </w:r>
      <w:r w:rsidR="002B73F7">
        <w:t xml:space="preserve">on an after the fact basis </w:t>
      </w:r>
      <w:r w:rsidR="00EF46CA">
        <w:t>is deemed to be</w:t>
      </w:r>
      <w:r w:rsidR="002B73F7">
        <w:t xml:space="preserve"> generated by a </w:t>
      </w:r>
      <w:r>
        <w:t>pool o</w:t>
      </w:r>
      <w:r w:rsidR="002B73F7">
        <w:t xml:space="preserve">f </w:t>
      </w:r>
      <w:r w:rsidR="00EF46CA">
        <w:t>eligible renewable resources located in the same BAA</w:t>
      </w:r>
      <w:r w:rsidR="006C45C4">
        <w:t xml:space="preserve">.  </w:t>
      </w:r>
      <w:r w:rsidR="00EF46CA">
        <w:t>NV Energy’s requirements limited PacifiCorp’s contract system energy deliveries to only the east side intertie points</w:t>
      </w:r>
      <w:r w:rsidR="006C45C4">
        <w:t xml:space="preserve">.  </w:t>
      </w:r>
      <w:r>
        <w:t xml:space="preserve">The contract requires monthly reconciliation of metered data to match the generation output from </w:t>
      </w:r>
      <w:r w:rsidRPr="009E2ED0">
        <w:t>the thirty</w:t>
      </w:r>
      <w:r w:rsidR="00EF46CA" w:rsidRPr="009E2ED0">
        <w:t>-four</w:t>
      </w:r>
      <w:r w:rsidR="00521E9F">
        <w:t xml:space="preserve"> </w:t>
      </w:r>
      <w:r w:rsidR="0085521A" w:rsidRPr="009E2ED0">
        <w:t xml:space="preserve">renewable </w:t>
      </w:r>
      <w:r w:rsidRPr="009E2ED0">
        <w:t xml:space="preserve">resources in the pool </w:t>
      </w:r>
      <w:r w:rsidR="00D8326E">
        <w:t xml:space="preserve">of resources </w:t>
      </w:r>
      <w:r w:rsidRPr="009E2ED0">
        <w:t>only</w:t>
      </w:r>
      <w:r>
        <w:t xml:space="preserve"> on the east side</w:t>
      </w:r>
      <w:r w:rsidR="006C45C4">
        <w:t xml:space="preserve">.  </w:t>
      </w:r>
    </w:p>
    <w:p w:rsidR="003F2D22" w:rsidRDefault="003F2D22" w:rsidP="006C45C4">
      <w:pPr>
        <w:spacing w:line="480" w:lineRule="auto"/>
        <w:ind w:left="720" w:hanging="720"/>
        <w:rPr>
          <w:b/>
        </w:rPr>
      </w:pPr>
      <w:r>
        <w:rPr>
          <w:b/>
        </w:rPr>
        <w:t xml:space="preserve">Detailed </w:t>
      </w:r>
      <w:r w:rsidR="0045578C">
        <w:rPr>
          <w:b/>
        </w:rPr>
        <w:t>Accounting of REC Revenues</w:t>
      </w:r>
    </w:p>
    <w:p w:rsidR="00E15BB7" w:rsidRDefault="00E15BB7" w:rsidP="006C45C4">
      <w:pPr>
        <w:spacing w:line="480" w:lineRule="auto"/>
        <w:ind w:left="720" w:hanging="720"/>
      </w:pPr>
      <w:r w:rsidRPr="003D1CA7">
        <w:rPr>
          <w:b/>
        </w:rPr>
        <w:t>Q.</w:t>
      </w:r>
      <w:r w:rsidRPr="003D1CA7">
        <w:rPr>
          <w:b/>
        </w:rPr>
        <w:tab/>
      </w:r>
      <w:r w:rsidR="00496869">
        <w:rPr>
          <w:b/>
        </w:rPr>
        <w:t>Please e</w:t>
      </w:r>
      <w:r w:rsidRPr="003D1CA7">
        <w:rPr>
          <w:b/>
        </w:rPr>
        <w:t xml:space="preserve">xplain </w:t>
      </w:r>
      <w:r w:rsidR="00893839">
        <w:rPr>
          <w:b/>
        </w:rPr>
        <w:t>Confidential Exhibit No.___(SJK-2C)</w:t>
      </w:r>
      <w:r w:rsidR="006C45C4">
        <w:rPr>
          <w:b/>
        </w:rPr>
        <w:t xml:space="preserve">.  </w:t>
      </w:r>
    </w:p>
    <w:p w:rsidR="00F27FB9" w:rsidRDefault="00E15BB7" w:rsidP="006C45C4">
      <w:pPr>
        <w:spacing w:line="480" w:lineRule="auto"/>
        <w:ind w:left="720" w:hanging="720"/>
        <w:sectPr w:rsidR="00F27FB9" w:rsidSect="00FC08EF">
          <w:headerReference w:type="default" r:id="rId24"/>
          <w:footerReference w:type="default" r:id="rId25"/>
          <w:type w:val="continuous"/>
          <w:pgSz w:w="12240" w:h="15840" w:code="1"/>
          <w:pgMar w:top="1440" w:right="1800" w:bottom="1440" w:left="1800" w:header="720" w:footer="720" w:gutter="0"/>
          <w:lnNumType w:countBy="1"/>
          <w:pgNumType w:start="1"/>
          <w:cols w:space="720"/>
          <w:docGrid w:linePitch="360"/>
        </w:sectPr>
      </w:pPr>
      <w:r>
        <w:t>A.</w:t>
      </w:r>
      <w:r>
        <w:tab/>
      </w:r>
      <w:r w:rsidR="00496869">
        <w:t xml:space="preserve">Confidential </w:t>
      </w:r>
      <w:r w:rsidR="00893839">
        <w:t>Exhibit No.___(SJK-2</w:t>
      </w:r>
      <w:r w:rsidR="00482F8C">
        <w:t>C</w:t>
      </w:r>
      <w:r w:rsidR="00893839">
        <w:t>)</w:t>
      </w:r>
      <w:r w:rsidR="00675861">
        <w:t xml:space="preserve"> provides a detailed accounting of REC revenues received for calendar year 2009</w:t>
      </w:r>
      <w:r w:rsidR="006C45C4">
        <w:t xml:space="preserve">.  </w:t>
      </w:r>
      <w:r w:rsidR="00675861">
        <w:t xml:space="preserve">It contains three </w:t>
      </w:r>
      <w:r w:rsidR="00893839">
        <w:t>tables</w:t>
      </w:r>
      <w:r w:rsidR="006C45C4">
        <w:t xml:space="preserve">.  </w:t>
      </w:r>
      <w:r w:rsidR="00675861">
        <w:t>Page 1 provides a summary table of actual REC revenues by month and by resource for calendar year 2009</w:t>
      </w:r>
      <w:r w:rsidR="006C45C4">
        <w:t xml:space="preserve">.  </w:t>
      </w:r>
      <w:r w:rsidR="00675861">
        <w:t>This information is provided on a total company basis for all of the Company’s RECs sales, including sales related to renewable resources that are not included in the Company’s Washington rate</w:t>
      </w:r>
      <w:r w:rsidR="00496869">
        <w:t>s</w:t>
      </w:r>
      <w:r w:rsidR="00675861">
        <w:t xml:space="preserve"> under the West Control Area (</w:t>
      </w:r>
      <w:r w:rsidR="00522053">
        <w:t>W</w:t>
      </w:r>
      <w:r w:rsidR="00675861">
        <w:t>CA) allocation methodology</w:t>
      </w:r>
      <w:r w:rsidR="006C45C4">
        <w:t xml:space="preserve">.  </w:t>
      </w:r>
      <w:r w:rsidR="00675861">
        <w:t>The table provides the resource subtotals by control area and then as allocated to Washington which is further discuss</w:t>
      </w:r>
      <w:r w:rsidR="00893839">
        <w:t>ed</w:t>
      </w:r>
      <w:r w:rsidR="00675861">
        <w:t xml:space="preserve"> in </w:t>
      </w:r>
      <w:r w:rsidR="00893839">
        <w:t xml:space="preserve">the </w:t>
      </w:r>
    </w:p>
    <w:p w:rsidR="00496869" w:rsidRDefault="00A10EA9" w:rsidP="006C45C4">
      <w:pPr>
        <w:spacing w:line="480" w:lineRule="auto"/>
        <w:ind w:left="720" w:hanging="720"/>
      </w:pPr>
      <w:r>
        <w:tab/>
      </w:r>
      <w:r w:rsidR="00E80656">
        <w:t xml:space="preserve">phase II direct </w:t>
      </w:r>
      <w:r w:rsidR="00893839">
        <w:t>testimony of Company witness</w:t>
      </w:r>
      <w:r w:rsidR="00675861">
        <w:t xml:space="preserve"> R</w:t>
      </w:r>
      <w:r w:rsidR="0083280D">
        <w:t xml:space="preserve">. </w:t>
      </w:r>
      <w:r w:rsidR="00675861">
        <w:t>Bryce Dalley</w:t>
      </w:r>
      <w:r w:rsidR="006C45C4">
        <w:t xml:space="preserve">.  </w:t>
      </w:r>
    </w:p>
    <w:p w:rsidR="00496869" w:rsidRDefault="00496869" w:rsidP="006C45C4">
      <w:pPr>
        <w:spacing w:line="480" w:lineRule="auto"/>
        <w:ind w:left="720" w:hanging="720"/>
      </w:pPr>
      <w:r>
        <w:tab/>
      </w:r>
      <w:r>
        <w:tab/>
      </w:r>
      <w:r w:rsidR="00675861">
        <w:t>Page 2 provides a summary table of the actual number of RECs sold by month and by resource for calendar year 2009</w:t>
      </w:r>
      <w:r w:rsidR="006C45C4">
        <w:t xml:space="preserve">.  </w:t>
      </w:r>
      <w:r w:rsidR="00675861">
        <w:t xml:space="preserve">The table’s format matches that of Page 1 and provides </w:t>
      </w:r>
      <w:r w:rsidR="00527533">
        <w:t>megawatt-hours</w:t>
      </w:r>
      <w:r w:rsidR="00675861">
        <w:t xml:space="preserve"> on a total company basis, a contro</w:t>
      </w:r>
      <w:r w:rsidR="005F609F">
        <w:t>l area basis and a Washington-</w:t>
      </w:r>
      <w:r w:rsidR="00675861">
        <w:t>allocated basis</w:t>
      </w:r>
      <w:r w:rsidR="006C45C4">
        <w:t xml:space="preserve">.  </w:t>
      </w:r>
    </w:p>
    <w:p w:rsidR="00522053" w:rsidRDefault="00675861" w:rsidP="006C45C4">
      <w:pPr>
        <w:spacing w:line="480" w:lineRule="auto"/>
        <w:ind w:left="720" w:firstLine="720"/>
      </w:pPr>
      <w:r>
        <w:t>Page</w:t>
      </w:r>
      <w:r w:rsidR="00893839">
        <w:t>s</w:t>
      </w:r>
      <w:r>
        <w:t xml:space="preserve"> 3 through 11 provide transaction details by contract by month for calendar year 2009</w:t>
      </w:r>
      <w:r w:rsidR="00522053">
        <w:t>,</w:t>
      </w:r>
      <w:r>
        <w:t xml:space="preserve"> including the contract number, the name of the entity who is the counter party, the resource from which the REC was generated, the location and type of resource by control are</w:t>
      </w:r>
      <w:r w:rsidR="00527533">
        <w:t>a</w:t>
      </w:r>
      <w:r>
        <w:t xml:space="preserve">, the vintage of the REC that was sold, the </w:t>
      </w:r>
      <w:r w:rsidR="00E126A8">
        <w:t xml:space="preserve">month </w:t>
      </w:r>
      <w:r>
        <w:t>in which the transaction was recorded in the Company</w:t>
      </w:r>
      <w:r w:rsidR="00527533">
        <w:t>’s</w:t>
      </w:r>
      <w:r>
        <w:t xml:space="preserve"> accounting system, the REC price, the quantity of REC</w:t>
      </w:r>
      <w:r w:rsidR="00527533">
        <w:t>s</w:t>
      </w:r>
      <w:r>
        <w:t xml:space="preserve"> sold, and the total dollars from the transactions</w:t>
      </w:r>
      <w:r w:rsidR="006C45C4">
        <w:t xml:space="preserve">.  </w:t>
      </w:r>
    </w:p>
    <w:p w:rsidR="00553529" w:rsidRDefault="00553529" w:rsidP="006C45C4">
      <w:pPr>
        <w:spacing w:line="480" w:lineRule="auto"/>
        <w:ind w:left="720" w:hanging="720"/>
        <w:rPr>
          <w:b/>
        </w:rPr>
      </w:pPr>
      <w:r w:rsidRPr="003D1CA7">
        <w:rPr>
          <w:b/>
        </w:rPr>
        <w:t>Q.</w:t>
      </w:r>
      <w:r w:rsidRPr="003D1CA7">
        <w:rPr>
          <w:b/>
        </w:rPr>
        <w:tab/>
      </w:r>
      <w:r w:rsidR="00496869">
        <w:rPr>
          <w:b/>
        </w:rPr>
        <w:t>Please e</w:t>
      </w:r>
      <w:r w:rsidRPr="003D1CA7">
        <w:rPr>
          <w:b/>
        </w:rPr>
        <w:t>xplain C</w:t>
      </w:r>
      <w:r>
        <w:rPr>
          <w:b/>
        </w:rPr>
        <w:t xml:space="preserve">onfidential </w:t>
      </w:r>
      <w:r w:rsidR="00893839">
        <w:rPr>
          <w:b/>
        </w:rPr>
        <w:t>Exhibit No.___(SJK-3C)</w:t>
      </w:r>
      <w:r w:rsidR="006C45C4">
        <w:rPr>
          <w:b/>
        </w:rPr>
        <w:t xml:space="preserve">.  </w:t>
      </w:r>
    </w:p>
    <w:p w:rsidR="004A07EF" w:rsidRDefault="005740E9" w:rsidP="006C45C4">
      <w:pPr>
        <w:spacing w:line="480" w:lineRule="auto"/>
        <w:ind w:left="720" w:hanging="720"/>
      </w:pPr>
      <w:r w:rsidRPr="005740E9">
        <w:t>A.</w:t>
      </w:r>
      <w:r w:rsidR="00553529">
        <w:rPr>
          <w:b/>
        </w:rPr>
        <w:tab/>
      </w:r>
      <w:r w:rsidR="00893839">
        <w:t>This Exhibit</w:t>
      </w:r>
      <w:r w:rsidR="00553529">
        <w:t xml:space="preserve"> provides a detailed accounting of REC revenues received for calendar year 2010</w:t>
      </w:r>
      <w:r w:rsidR="006C45C4">
        <w:t xml:space="preserve">.  </w:t>
      </w:r>
      <w:r w:rsidR="00553529">
        <w:t xml:space="preserve">It contains the same information as described </w:t>
      </w:r>
      <w:r w:rsidR="00893839">
        <w:t>above</w:t>
      </w:r>
      <w:r w:rsidR="006C45C4">
        <w:t xml:space="preserve">.  </w:t>
      </w:r>
    </w:p>
    <w:p w:rsidR="00553529" w:rsidRDefault="00553529" w:rsidP="006C45C4">
      <w:pPr>
        <w:spacing w:line="480" w:lineRule="auto"/>
        <w:ind w:left="720" w:hanging="720"/>
        <w:rPr>
          <w:b/>
        </w:rPr>
      </w:pPr>
      <w:r>
        <w:rPr>
          <w:b/>
        </w:rPr>
        <w:t>Q</w:t>
      </w:r>
      <w:r w:rsidR="00496869">
        <w:rPr>
          <w:b/>
        </w:rPr>
        <w:t>.</w:t>
      </w:r>
      <w:r>
        <w:rPr>
          <w:b/>
        </w:rPr>
        <w:tab/>
      </w:r>
      <w:r w:rsidR="00496869">
        <w:rPr>
          <w:b/>
        </w:rPr>
        <w:t>Please e</w:t>
      </w:r>
      <w:r w:rsidRPr="003D1CA7">
        <w:rPr>
          <w:b/>
        </w:rPr>
        <w:t>xplain C</w:t>
      </w:r>
      <w:r>
        <w:rPr>
          <w:b/>
        </w:rPr>
        <w:t xml:space="preserve">onfidential </w:t>
      </w:r>
      <w:r w:rsidR="00893839">
        <w:rPr>
          <w:b/>
        </w:rPr>
        <w:t>Exhibit No.___(SJK-4C).</w:t>
      </w:r>
    </w:p>
    <w:p w:rsidR="00496869" w:rsidRDefault="006D1536" w:rsidP="006C45C4">
      <w:pPr>
        <w:spacing w:line="480" w:lineRule="auto"/>
        <w:ind w:left="720" w:hanging="720"/>
        <w:rPr>
          <w:b/>
        </w:rPr>
      </w:pPr>
      <w:r w:rsidRPr="006D1536">
        <w:t>A.</w:t>
      </w:r>
      <w:r w:rsidRPr="006D1536">
        <w:tab/>
      </w:r>
      <w:r w:rsidR="00496869" w:rsidRPr="00496869">
        <w:t>Th</w:t>
      </w:r>
      <w:r w:rsidR="00893839">
        <w:t xml:space="preserve">is Exhibit </w:t>
      </w:r>
      <w:r w:rsidR="00496869" w:rsidRPr="00496869">
        <w:t>provide</w:t>
      </w:r>
      <w:r w:rsidR="00893839">
        <w:t>s</w:t>
      </w:r>
      <w:r w:rsidR="00496869" w:rsidRPr="00496869">
        <w:t xml:space="preserve"> a forecast of REC Revenues received from January 1, 2011 through March 31, 2012</w:t>
      </w:r>
      <w:r w:rsidR="00496869">
        <w:t xml:space="preserve"> (a</w:t>
      </w:r>
      <w:r w:rsidR="00496869" w:rsidRPr="00496869">
        <w:t>lthough the rate effective period technically ends on April 2, 2012, for practical reasons, the Company rounded the forecast to the end of March 2012</w:t>
      </w:r>
      <w:r w:rsidR="00496869">
        <w:t>)</w:t>
      </w:r>
      <w:r w:rsidR="00496869" w:rsidRPr="00496869">
        <w:t>.</w:t>
      </w:r>
    </w:p>
    <w:p w:rsidR="00F27FB9" w:rsidRDefault="00893839" w:rsidP="006C45C4">
      <w:pPr>
        <w:spacing w:line="480" w:lineRule="auto"/>
        <w:ind w:left="720" w:firstLine="720"/>
        <w:sectPr w:rsidR="00F27FB9" w:rsidSect="00FC08EF">
          <w:footerReference w:type="default" r:id="rId26"/>
          <w:type w:val="continuous"/>
          <w:pgSz w:w="12240" w:h="15840" w:code="1"/>
          <w:pgMar w:top="1440" w:right="1800" w:bottom="1440" w:left="1800" w:header="720" w:footer="720" w:gutter="0"/>
          <w:lnNumType w:countBy="1"/>
          <w:pgNumType w:start="1"/>
          <w:cols w:space="720"/>
          <w:docGrid w:linePitch="360"/>
        </w:sectPr>
      </w:pPr>
      <w:r>
        <w:t>The Confidential Exhibit</w:t>
      </w:r>
      <w:r w:rsidR="00E3507A">
        <w:t xml:space="preserve"> </w:t>
      </w:r>
      <w:r>
        <w:t>contains</w:t>
      </w:r>
      <w:r w:rsidR="00E3507A">
        <w:t xml:space="preserve"> </w:t>
      </w:r>
      <w:r w:rsidR="006D1536" w:rsidRPr="006D1536">
        <w:t xml:space="preserve">two </w:t>
      </w:r>
      <w:r>
        <w:t>tables</w:t>
      </w:r>
      <w:r w:rsidR="006C45C4">
        <w:t xml:space="preserve">.  </w:t>
      </w:r>
      <w:r w:rsidR="006D1536" w:rsidRPr="006D1536">
        <w:t>Page 1 provides the total forecast REC revenues by month and by resource</w:t>
      </w:r>
      <w:r w:rsidR="006C45C4">
        <w:t xml:space="preserve">.  </w:t>
      </w:r>
      <w:r w:rsidR="006D1536">
        <w:t>The estimated sales volumes are based on the number of RECs generated each month that are forecast</w:t>
      </w:r>
      <w:r w:rsidR="005B3AF0">
        <w:t>ed</w:t>
      </w:r>
      <w:r w:rsidR="00227938">
        <w:t xml:space="preserve"> to be</w:t>
      </w:r>
    </w:p>
    <w:p w:rsidR="00496869" w:rsidRDefault="006D1536" w:rsidP="00227938">
      <w:pPr>
        <w:spacing w:line="480" w:lineRule="auto"/>
        <w:ind w:left="720"/>
      </w:pPr>
      <w:r>
        <w:t>sold at some time during the calendar year</w:t>
      </w:r>
      <w:r w:rsidR="006C45C4">
        <w:t xml:space="preserve">.  </w:t>
      </w:r>
      <w:r>
        <w:t>Given the complexities of the contracts and the variability of generation, it is not possible for the Company to precisely forecast in which month the REC will be sold and/or the REC revenue realized</w:t>
      </w:r>
      <w:r w:rsidR="006C45C4">
        <w:t xml:space="preserve">.  </w:t>
      </w:r>
      <w:r>
        <w:t>Page 2 provides the total forecast number of RECs sold by month and by resource</w:t>
      </w:r>
      <w:r w:rsidR="006C45C4">
        <w:t xml:space="preserve">.  </w:t>
      </w:r>
      <w:r>
        <w:t>The table format and approach matches that of Page 1</w:t>
      </w:r>
      <w:r w:rsidR="006C45C4">
        <w:t xml:space="preserve">.  </w:t>
      </w:r>
    </w:p>
    <w:p w:rsidR="001364FB" w:rsidRDefault="00893839" w:rsidP="006C45C4">
      <w:pPr>
        <w:spacing w:line="480" w:lineRule="auto"/>
        <w:ind w:left="720" w:firstLine="720"/>
      </w:pPr>
      <w:r>
        <w:t>Mr</w:t>
      </w:r>
      <w:r w:rsidR="0083280D">
        <w:t>.</w:t>
      </w:r>
      <w:r w:rsidR="006C45C4">
        <w:t xml:space="preserve"> </w:t>
      </w:r>
      <w:r>
        <w:t xml:space="preserve">Dalley sponsors </w:t>
      </w:r>
      <w:r w:rsidR="00482F8C">
        <w:t xml:space="preserve">Confidential </w:t>
      </w:r>
      <w:r>
        <w:t>Exhibit No.___(RBD-</w:t>
      </w:r>
      <w:r w:rsidR="00482F8C">
        <w:t>2</w:t>
      </w:r>
      <w:r w:rsidR="00A90219">
        <w:t>7</w:t>
      </w:r>
      <w:r>
        <w:t>C), which</w:t>
      </w:r>
      <w:r w:rsidR="006D1536">
        <w:t xml:space="preserve"> provides the forecast of REC revenues on a Washington</w:t>
      </w:r>
      <w:r w:rsidR="00482F8C">
        <w:t>-</w:t>
      </w:r>
      <w:r w:rsidR="006D1536">
        <w:t xml:space="preserve">allocated basis for the </w:t>
      </w:r>
      <w:r w:rsidR="003F538B">
        <w:t>period</w:t>
      </w:r>
      <w:r w:rsidR="006D1536">
        <w:t xml:space="preserve"> January 1, 2011 through March 31, 2012</w:t>
      </w:r>
      <w:r w:rsidR="006C45C4">
        <w:t xml:space="preserve">.  </w:t>
      </w:r>
      <w:r w:rsidR="006D1536">
        <w:t xml:space="preserve">The updated forecast was developed based on the terms and </w:t>
      </w:r>
      <w:r w:rsidR="003F538B">
        <w:t>conditions</w:t>
      </w:r>
      <w:r w:rsidR="006D1536">
        <w:t xml:space="preserve"> of the executed contracts, as well as a “best guess” on future potential sales during the forecast period</w:t>
      </w:r>
      <w:r w:rsidR="00496869">
        <w:t>, given all of the REC market uncertainties I outlined above</w:t>
      </w:r>
      <w:r w:rsidR="006C45C4">
        <w:t xml:space="preserve">.  </w:t>
      </w:r>
    </w:p>
    <w:p w:rsidR="002B2D39" w:rsidRDefault="002B2D39" w:rsidP="006C45C4">
      <w:pPr>
        <w:spacing w:line="480" w:lineRule="auto"/>
        <w:rPr>
          <w:b/>
        </w:rPr>
      </w:pPr>
      <w:r>
        <w:rPr>
          <w:b/>
        </w:rPr>
        <w:t>A</w:t>
      </w:r>
      <w:r w:rsidR="002E2CF9">
        <w:rPr>
          <w:b/>
        </w:rPr>
        <w:t>llocation</w:t>
      </w:r>
      <w:r w:rsidR="00E3507A">
        <w:rPr>
          <w:b/>
        </w:rPr>
        <w:t xml:space="preserve"> </w:t>
      </w:r>
      <w:r>
        <w:rPr>
          <w:b/>
        </w:rPr>
        <w:t>of RECs</w:t>
      </w:r>
      <w:r w:rsidR="00B86578">
        <w:rPr>
          <w:b/>
        </w:rPr>
        <w:t xml:space="preserve"> to Sales Contracts</w:t>
      </w:r>
    </w:p>
    <w:p w:rsidR="00E15BB7" w:rsidRPr="003D1CA7" w:rsidRDefault="00E15BB7" w:rsidP="006C45C4">
      <w:pPr>
        <w:spacing w:line="480" w:lineRule="auto"/>
        <w:ind w:left="720" w:hanging="720"/>
        <w:rPr>
          <w:b/>
        </w:rPr>
      </w:pPr>
      <w:r w:rsidRPr="003D1CA7">
        <w:rPr>
          <w:b/>
        </w:rPr>
        <w:t>Q.</w:t>
      </w:r>
      <w:r w:rsidRPr="003D1CA7">
        <w:rPr>
          <w:b/>
        </w:rPr>
        <w:tab/>
      </w:r>
      <w:r w:rsidR="002B2D39">
        <w:rPr>
          <w:b/>
        </w:rPr>
        <w:t>H</w:t>
      </w:r>
      <w:r w:rsidRPr="003D1CA7">
        <w:rPr>
          <w:b/>
        </w:rPr>
        <w:t xml:space="preserve">ow </w:t>
      </w:r>
      <w:r w:rsidR="002B2D39">
        <w:rPr>
          <w:b/>
        </w:rPr>
        <w:t>does the Company a</w:t>
      </w:r>
      <w:r w:rsidR="002E2CF9">
        <w:rPr>
          <w:b/>
        </w:rPr>
        <w:t>llocate</w:t>
      </w:r>
      <w:r w:rsidR="00E3507A">
        <w:rPr>
          <w:b/>
        </w:rPr>
        <w:t xml:space="preserve"> </w:t>
      </w:r>
      <w:r w:rsidRPr="003D1CA7">
        <w:rPr>
          <w:b/>
        </w:rPr>
        <w:t xml:space="preserve">resources </w:t>
      </w:r>
      <w:r w:rsidR="002B2D39">
        <w:rPr>
          <w:b/>
        </w:rPr>
        <w:t>to supply its REC sales</w:t>
      </w:r>
      <w:r w:rsidR="00FB6BDE">
        <w:rPr>
          <w:b/>
        </w:rPr>
        <w:t xml:space="preserve"> </w:t>
      </w:r>
      <w:r>
        <w:rPr>
          <w:b/>
        </w:rPr>
        <w:t>contracts?</w:t>
      </w:r>
    </w:p>
    <w:p w:rsidR="002B2D39" w:rsidRDefault="00E15BB7" w:rsidP="006C45C4">
      <w:pPr>
        <w:spacing w:line="480" w:lineRule="auto"/>
        <w:ind w:left="720" w:hanging="720"/>
      </w:pPr>
      <w:r>
        <w:t>A.</w:t>
      </w:r>
      <w:r>
        <w:tab/>
      </w:r>
      <w:r w:rsidR="002B2D39">
        <w:t>The a</w:t>
      </w:r>
      <w:r w:rsidR="002E2CF9">
        <w:t>llocation</w:t>
      </w:r>
      <w:r w:rsidR="002B2D39">
        <w:t xml:space="preserve"> of resources to RECs sales contract occurs after the fact in the Company’s gree</w:t>
      </w:r>
      <w:r w:rsidR="001364FB">
        <w:t>n book</w:t>
      </w:r>
      <w:r w:rsidR="006C45C4">
        <w:t xml:space="preserve">.  </w:t>
      </w:r>
      <w:r w:rsidR="008E715F">
        <w:t>The Company</w:t>
      </w:r>
      <w:r w:rsidR="00E126A8">
        <w:t>’s</w:t>
      </w:r>
      <w:r w:rsidR="008E715F">
        <w:t xml:space="preserve"> overall philosophy is to </w:t>
      </w:r>
      <w:r w:rsidR="00527533">
        <w:t>a</w:t>
      </w:r>
      <w:r w:rsidR="002E2CF9">
        <w:t>llocate</w:t>
      </w:r>
      <w:r w:rsidR="00E3507A">
        <w:t xml:space="preserve"> </w:t>
      </w:r>
      <w:r w:rsidR="008B7A5B">
        <w:t>REC</w:t>
      </w:r>
      <w:r w:rsidR="00E126A8">
        <w:t>s</w:t>
      </w:r>
      <w:r w:rsidR="008B7A5B">
        <w:t xml:space="preserve"> from resources </w:t>
      </w:r>
      <w:r w:rsidR="008E715F">
        <w:t>on a prorate</w:t>
      </w:r>
      <w:r w:rsidR="00E126A8">
        <w:t>d</w:t>
      </w:r>
      <w:r w:rsidR="008E715F">
        <w:t xml:space="preserve"> basis </w:t>
      </w:r>
      <w:r w:rsidR="008B7A5B">
        <w:t xml:space="preserve">to contracts </w:t>
      </w:r>
      <w:r w:rsidR="008E715F">
        <w:t>regardless of price</w:t>
      </w:r>
      <w:r w:rsidR="006C45C4">
        <w:t xml:space="preserve">.  </w:t>
      </w:r>
      <w:r w:rsidR="008E715F">
        <w:t>However, because the counterparty often imposes restrictions on what resources can and cannot be included in a resource pool</w:t>
      </w:r>
      <w:r w:rsidR="002B2D39">
        <w:t>,</w:t>
      </w:r>
      <w:r w:rsidR="008E715F">
        <w:t xml:space="preserve"> an optimization of those resources is required in order to fill specific contract pools</w:t>
      </w:r>
      <w:r w:rsidR="006C45C4">
        <w:t xml:space="preserve">.  </w:t>
      </w:r>
      <w:r w:rsidR="002B2D39">
        <w:t xml:space="preserve">The Company uses </w:t>
      </w:r>
      <w:r w:rsidR="008E715F">
        <w:t>a waterfall approach</w:t>
      </w:r>
      <w:r w:rsidR="00B3065E">
        <w:t xml:space="preserve"> by resource</w:t>
      </w:r>
      <w:r w:rsidR="006C45C4">
        <w:t xml:space="preserve">.  </w:t>
      </w:r>
    </w:p>
    <w:p w:rsidR="002B2D39" w:rsidRPr="002B2D39" w:rsidRDefault="002B2D39" w:rsidP="006C45C4">
      <w:pPr>
        <w:spacing w:line="480" w:lineRule="auto"/>
        <w:ind w:left="720" w:hanging="720"/>
        <w:rPr>
          <w:b/>
        </w:rPr>
      </w:pPr>
      <w:r w:rsidRPr="002B2D39">
        <w:rPr>
          <w:b/>
        </w:rPr>
        <w:t>Q.</w:t>
      </w:r>
      <w:r w:rsidRPr="002B2D39">
        <w:rPr>
          <w:b/>
        </w:rPr>
        <w:tab/>
        <w:t>Please explain</w:t>
      </w:r>
      <w:r w:rsidR="006C45C4">
        <w:rPr>
          <w:b/>
        </w:rPr>
        <w:t xml:space="preserve">.  </w:t>
      </w:r>
    </w:p>
    <w:p w:rsidR="00F27FB9" w:rsidRDefault="002B2D39" w:rsidP="006C45C4">
      <w:pPr>
        <w:spacing w:line="480" w:lineRule="auto"/>
        <w:ind w:left="720" w:hanging="720"/>
        <w:sectPr w:rsidR="00F27FB9" w:rsidSect="00FC08EF">
          <w:footerReference w:type="default" r:id="rId27"/>
          <w:type w:val="continuous"/>
          <w:pgSz w:w="12240" w:h="15840" w:code="1"/>
          <w:pgMar w:top="1440" w:right="1800" w:bottom="1440" w:left="1800" w:header="720" w:footer="720" w:gutter="0"/>
          <w:lnNumType w:countBy="1"/>
          <w:pgNumType w:start="1"/>
          <w:cols w:space="720"/>
          <w:docGrid w:linePitch="360"/>
        </w:sectPr>
      </w:pPr>
      <w:r>
        <w:t>A.</w:t>
      </w:r>
      <w:r>
        <w:tab/>
      </w:r>
      <w:r w:rsidR="00E15BB7">
        <w:t xml:space="preserve">In </w:t>
      </w:r>
      <w:r w:rsidR="00E126A8">
        <w:t>a</w:t>
      </w:r>
      <w:r w:rsidR="002E2CF9">
        <w:t>llocating</w:t>
      </w:r>
      <w:r w:rsidR="00E3507A">
        <w:t xml:space="preserve"> </w:t>
      </w:r>
      <w:r>
        <w:t>Company</w:t>
      </w:r>
      <w:r w:rsidR="00E15BB7">
        <w:t xml:space="preserve"> RECs </w:t>
      </w:r>
      <w:r>
        <w:t>to contracts, the Company first looks at</w:t>
      </w:r>
      <w:r w:rsidR="00E15BB7">
        <w:t xml:space="preserve"> the </w:t>
      </w:r>
      <w:r w:rsidR="008A2AEA">
        <w:t xml:space="preserve">resource </w:t>
      </w:r>
      <w:r w:rsidR="00E15BB7">
        <w:t>pools that are available in each contract</w:t>
      </w:r>
      <w:r w:rsidR="006C45C4">
        <w:t xml:space="preserve">.  </w:t>
      </w:r>
      <w:r w:rsidR="00B3065E">
        <w:t>For example in 2009</w:t>
      </w:r>
      <w:r w:rsidR="00522053">
        <w:t>,</w:t>
      </w:r>
      <w:r w:rsidR="00B3065E">
        <w:t xml:space="preserve"> the </w:t>
      </w:r>
      <w:r w:rsidR="00E15BB7">
        <w:t xml:space="preserve">original </w:t>
      </w:r>
      <w:r w:rsidR="00EF46CA">
        <w:t xml:space="preserve">pool </w:t>
      </w:r>
    </w:p>
    <w:p w:rsidR="002B2D39" w:rsidRDefault="00227938" w:rsidP="006C45C4">
      <w:pPr>
        <w:spacing w:line="480" w:lineRule="auto"/>
        <w:ind w:left="720" w:hanging="720"/>
      </w:pPr>
      <w:r>
        <w:tab/>
      </w:r>
      <w:r w:rsidR="00B3065E">
        <w:t xml:space="preserve">of resources </w:t>
      </w:r>
      <w:r w:rsidR="00E15BB7">
        <w:t xml:space="preserve">was established because only four resources at the time were certified </w:t>
      </w:r>
      <w:r w:rsidR="00F123A5">
        <w:t xml:space="preserve">as eligible renewable resources </w:t>
      </w:r>
      <w:r w:rsidR="00E15BB7">
        <w:t xml:space="preserve">by the </w:t>
      </w:r>
      <w:r w:rsidR="00EF46CA">
        <w:t>CEC</w:t>
      </w:r>
      <w:r w:rsidR="006C45C4">
        <w:t xml:space="preserve">.  </w:t>
      </w:r>
      <w:r w:rsidR="00B3065E">
        <w:t xml:space="preserve">These four resources were </w:t>
      </w:r>
      <w:r w:rsidR="00EF46CA">
        <w:t xml:space="preserve">initially </w:t>
      </w:r>
      <w:r w:rsidR="00B3065E">
        <w:t xml:space="preserve">allocated to the </w:t>
      </w:r>
      <w:r w:rsidR="00522053">
        <w:t xml:space="preserve">SDG&amp;E </w:t>
      </w:r>
      <w:r w:rsidR="00E15BB7">
        <w:t>contract</w:t>
      </w:r>
      <w:r w:rsidR="006C45C4">
        <w:t xml:space="preserve">.  </w:t>
      </w:r>
      <w:r w:rsidR="00B3065E">
        <w:t xml:space="preserve">As additional resources were approved </w:t>
      </w:r>
      <w:r w:rsidR="00F123A5">
        <w:t xml:space="preserve">as eligible </w:t>
      </w:r>
      <w:r w:rsidR="00B3065E">
        <w:t>by the CEC</w:t>
      </w:r>
      <w:r w:rsidR="00F123A5">
        <w:t>,</w:t>
      </w:r>
      <w:r w:rsidR="00B3065E">
        <w:t xml:space="preserve"> they were allocated to the SCE and the PG&amp;E </w:t>
      </w:r>
      <w:r w:rsidR="00E16263">
        <w:t xml:space="preserve">resource </w:t>
      </w:r>
      <w:r w:rsidR="00B3065E">
        <w:t>pool contracts providing as much flexibility from the Company</w:t>
      </w:r>
      <w:r w:rsidR="00F123A5">
        <w:t>’s</w:t>
      </w:r>
      <w:r w:rsidR="00B3065E">
        <w:t xml:space="preserve"> perspective to </w:t>
      </w:r>
      <w:r w:rsidR="00F123A5">
        <w:t xml:space="preserve">maximize </w:t>
      </w:r>
      <w:r w:rsidR="00B3065E">
        <w:t>use</w:t>
      </w:r>
      <w:r w:rsidR="00F123A5">
        <w:t xml:space="preserve"> of</w:t>
      </w:r>
      <w:r w:rsidR="00B3065E">
        <w:t xml:space="preserve"> as many </w:t>
      </w:r>
      <w:r w:rsidR="00F123A5">
        <w:t xml:space="preserve">CEC-approved </w:t>
      </w:r>
      <w:r w:rsidR="00B3065E">
        <w:t>resources</w:t>
      </w:r>
      <w:r w:rsidR="006C45C4">
        <w:t xml:space="preserve">.  </w:t>
      </w:r>
    </w:p>
    <w:p w:rsidR="002B2D39" w:rsidRDefault="002A1453" w:rsidP="006C45C4">
      <w:pPr>
        <w:spacing w:line="480" w:lineRule="auto"/>
        <w:ind w:left="720" w:firstLine="720"/>
      </w:pPr>
      <w:r>
        <w:t>T</w:t>
      </w:r>
      <w:r w:rsidR="00B3065E">
        <w:t>he</w:t>
      </w:r>
      <w:r w:rsidR="00E15BB7">
        <w:t xml:space="preserve"> allocation of RECs in 2009 through 2010</w:t>
      </w:r>
      <w:r w:rsidR="00D33EEF">
        <w:t xml:space="preserve"> went to the </w:t>
      </w:r>
      <w:r w:rsidR="00E15BB7">
        <w:t>SDG&amp;E contract</w:t>
      </w:r>
      <w:r w:rsidR="00D33EEF">
        <w:t xml:space="preserve"> first</w:t>
      </w:r>
      <w:r w:rsidR="00E15BB7">
        <w:t xml:space="preserve"> (since the pool of resources was limited to four)</w:t>
      </w:r>
      <w:r w:rsidR="006C45C4">
        <w:t xml:space="preserve">.  </w:t>
      </w:r>
      <w:r w:rsidR="00D33EEF">
        <w:t>Next, eligible east-side RECs were allocated to the NV Energy contract</w:t>
      </w:r>
      <w:r w:rsidR="00364759">
        <w:t xml:space="preserve">. </w:t>
      </w:r>
      <w:r w:rsidR="00D33EEF">
        <w:t xml:space="preserve"> The</w:t>
      </w:r>
      <w:r w:rsidR="00E3507A">
        <w:t xml:space="preserve"> </w:t>
      </w:r>
      <w:r w:rsidR="00D33EEF">
        <w:t xml:space="preserve">eligible </w:t>
      </w:r>
      <w:r w:rsidR="00B3065E">
        <w:t xml:space="preserve">remaining </w:t>
      </w:r>
      <w:r w:rsidR="00D33EEF">
        <w:t>RECs</w:t>
      </w:r>
      <w:r w:rsidR="00E15BB7">
        <w:t xml:space="preserve"> were optimized and applied to each of the SCE and PG&amp;E transactions</w:t>
      </w:r>
      <w:r w:rsidR="006C45C4">
        <w:t xml:space="preserve">.  </w:t>
      </w:r>
      <w:r w:rsidR="00D33EEF">
        <w:t xml:space="preserve"> T</w:t>
      </w:r>
      <w:r w:rsidR="00E15BB7">
        <w:t xml:space="preserve">hese two contracts were executed after </w:t>
      </w:r>
      <w:r w:rsidR="00F123A5">
        <w:t xml:space="preserve">the </w:t>
      </w:r>
      <w:r w:rsidR="00E15BB7">
        <w:t>SDG&amp;E</w:t>
      </w:r>
      <w:r w:rsidR="00F123A5">
        <w:t xml:space="preserve"> contract,</w:t>
      </w:r>
      <w:r w:rsidR="00E15BB7">
        <w:t xml:space="preserve"> and additional resources had been certified</w:t>
      </w:r>
      <w:r w:rsidR="00F123A5">
        <w:t>,</w:t>
      </w:r>
      <w:r w:rsidR="00E15BB7">
        <w:t xml:space="preserve"> allowing the pool </w:t>
      </w:r>
      <w:r w:rsidR="00F123A5">
        <w:t xml:space="preserve">for </w:t>
      </w:r>
      <w:r w:rsidR="00E15BB7">
        <w:t>each of these contracts to include more resources</w:t>
      </w:r>
      <w:r w:rsidR="006C45C4">
        <w:t xml:space="preserve">.  </w:t>
      </w:r>
    </w:p>
    <w:p w:rsidR="001364FB" w:rsidRDefault="00E15BB7" w:rsidP="006C45C4">
      <w:pPr>
        <w:spacing w:line="480" w:lineRule="auto"/>
        <w:ind w:left="720" w:firstLine="720"/>
      </w:pPr>
      <w:r>
        <w:t xml:space="preserve">After the RECs are allocated to these three </w:t>
      </w:r>
      <w:r w:rsidR="00B3065E">
        <w:t xml:space="preserve">California </w:t>
      </w:r>
      <w:r>
        <w:t>contracts</w:t>
      </w:r>
      <w:r w:rsidR="00F123A5">
        <w:t>,</w:t>
      </w:r>
      <w:r>
        <w:t xml:space="preserve"> the rest of the contracts are optimized with the remaining RECs from the eligible marketable resources</w:t>
      </w:r>
      <w:r w:rsidR="006C45C4">
        <w:t xml:space="preserve">.  </w:t>
      </w:r>
      <w:r>
        <w:t>Starting in 2011</w:t>
      </w:r>
      <w:r w:rsidR="00522053">
        <w:t>,</w:t>
      </w:r>
      <w:r w:rsidR="002A1D65">
        <w:t xml:space="preserve">the </w:t>
      </w:r>
      <w:r>
        <w:t xml:space="preserve">SDG&amp;E contract </w:t>
      </w:r>
      <w:r w:rsidR="002A1D65">
        <w:t xml:space="preserve">expired </w:t>
      </w:r>
      <w:r>
        <w:t xml:space="preserve">and therefore the methodology changed to allocating </w:t>
      </w:r>
      <w:r w:rsidR="00893839">
        <w:t xml:space="preserve">east-side </w:t>
      </w:r>
      <w:r>
        <w:t xml:space="preserve">RECs to </w:t>
      </w:r>
      <w:r w:rsidR="00F123A5">
        <w:t xml:space="preserve">the </w:t>
      </w:r>
      <w:r>
        <w:t xml:space="preserve">NV Energy contract first, </w:t>
      </w:r>
      <w:r w:rsidR="00F123A5">
        <w:t xml:space="preserve">and </w:t>
      </w:r>
      <w:r>
        <w:t xml:space="preserve">then to </w:t>
      </w:r>
      <w:r w:rsidR="00893839">
        <w:t xml:space="preserve">RECs to </w:t>
      </w:r>
      <w:r w:rsidR="00B3065E">
        <w:t xml:space="preserve">the </w:t>
      </w:r>
      <w:r>
        <w:t xml:space="preserve">SCE and PG&amp;E contracts, from each of eligible </w:t>
      </w:r>
      <w:r w:rsidR="00E16263">
        <w:t xml:space="preserve">resource </w:t>
      </w:r>
      <w:r>
        <w:t>pools associated with each of the contracts</w:t>
      </w:r>
      <w:r w:rsidR="006C45C4">
        <w:t xml:space="preserve">.  </w:t>
      </w:r>
    </w:p>
    <w:p w:rsidR="00F27FB9" w:rsidRDefault="00E15BB7" w:rsidP="006C45C4">
      <w:pPr>
        <w:spacing w:line="480" w:lineRule="auto"/>
        <w:ind w:left="720" w:firstLine="720"/>
        <w:sectPr w:rsidR="00F27FB9" w:rsidSect="00FC08EF">
          <w:footerReference w:type="default" r:id="rId28"/>
          <w:type w:val="continuous"/>
          <w:pgSz w:w="12240" w:h="15840" w:code="1"/>
          <w:pgMar w:top="1440" w:right="1800" w:bottom="1440" w:left="1800" w:header="720" w:footer="720" w:gutter="0"/>
          <w:lnNumType w:countBy="1"/>
          <w:pgNumType w:start="1"/>
          <w:cols w:space="720"/>
          <w:docGrid w:linePitch="360"/>
        </w:sectPr>
      </w:pPr>
      <w:r>
        <w:t>Allocations are made to the NV Energy contract first because unlike the PG&amp;E and SCE contracts</w:t>
      </w:r>
      <w:r w:rsidR="00F123A5">
        <w:t>, the NV Energy</w:t>
      </w:r>
      <w:r>
        <w:t xml:space="preserve"> contract is restrictive</w:t>
      </w:r>
      <w:r w:rsidR="00F123A5">
        <w:t>, allowing</w:t>
      </w:r>
      <w:r>
        <w:t xml:space="preserve"> only RECs </w:t>
      </w:r>
      <w:r w:rsidR="00B3065E">
        <w:t xml:space="preserve">generated by the pool of resources in the </w:t>
      </w:r>
      <w:r>
        <w:t xml:space="preserve">same month as </w:t>
      </w:r>
      <w:r w:rsidR="00B3065E">
        <w:t>the system e</w:t>
      </w:r>
      <w:r>
        <w:t>nergy</w:t>
      </w:r>
      <w:r w:rsidR="00521E9F">
        <w:t xml:space="preserve"> </w:t>
      </w:r>
      <w:r w:rsidR="00B3065E">
        <w:t>delivered</w:t>
      </w:r>
      <w:r w:rsidR="006C45C4">
        <w:t xml:space="preserve">.  </w:t>
      </w:r>
      <w:r>
        <w:t xml:space="preserve">RECs </w:t>
      </w:r>
      <w:r w:rsidR="00F123A5">
        <w:t xml:space="preserve">deliveries </w:t>
      </w:r>
      <w:r>
        <w:t xml:space="preserve">for </w:t>
      </w:r>
      <w:r w:rsidR="00D33EEF">
        <w:t xml:space="preserve">the </w:t>
      </w:r>
      <w:r>
        <w:t xml:space="preserve">PG&amp;E and SCE </w:t>
      </w:r>
      <w:r w:rsidR="005B3AF0">
        <w:t>contracts</w:t>
      </w:r>
      <w:r w:rsidR="00521E9F">
        <w:t xml:space="preserve"> </w:t>
      </w:r>
      <w:r>
        <w:t xml:space="preserve">can use RECs that </w:t>
      </w:r>
    </w:p>
    <w:p w:rsidR="00E15BB7" w:rsidRDefault="00E15BB7" w:rsidP="00227938">
      <w:pPr>
        <w:spacing w:line="480" w:lineRule="auto"/>
        <w:ind w:left="720"/>
      </w:pPr>
      <w:r>
        <w:t>are generated in the same year as the delivered energy</w:t>
      </w:r>
      <w:r w:rsidR="00521E9F">
        <w:t xml:space="preserve"> </w:t>
      </w:r>
      <w:r w:rsidR="00F123A5">
        <w:t xml:space="preserve">although </w:t>
      </w:r>
      <w:r w:rsidR="00B3065E">
        <w:t xml:space="preserve">limited to the timelines associated with </w:t>
      </w:r>
      <w:r w:rsidR="00EF46CA">
        <w:t xml:space="preserve">Western Renewable </w:t>
      </w:r>
      <w:r w:rsidR="00975BF7">
        <w:t>Energy</w:t>
      </w:r>
      <w:r w:rsidR="00EF46CA">
        <w:t xml:space="preserve"> Generation Information System (</w:t>
      </w:r>
      <w:r w:rsidR="00B3065E" w:rsidRPr="00EF46CA">
        <w:t>W</w:t>
      </w:r>
      <w:r w:rsidR="00EF46CA">
        <w:t>R</w:t>
      </w:r>
      <w:r w:rsidR="00B3065E" w:rsidRPr="00EF46CA">
        <w:t>EGIS</w:t>
      </w:r>
      <w:r w:rsidR="00EF46CA">
        <w:t>)</w:t>
      </w:r>
      <w:r w:rsidR="006C45C4">
        <w:t xml:space="preserve">.  </w:t>
      </w:r>
      <w:r>
        <w:t>After allocating the RECs for these three contracts</w:t>
      </w:r>
      <w:r w:rsidR="00F123A5">
        <w:t>, the Company</w:t>
      </w:r>
      <w:r w:rsidR="00B3065E">
        <w:t xml:space="preserve"> allocate</w:t>
      </w:r>
      <w:r w:rsidR="00F123A5">
        <w:t>s</w:t>
      </w:r>
      <w:r w:rsidR="00B3065E">
        <w:t xml:space="preserve"> the RECs to comply </w:t>
      </w:r>
      <w:r w:rsidR="002A1D65">
        <w:t xml:space="preserve">with </w:t>
      </w:r>
      <w:r w:rsidR="00E126A8">
        <w:t>any remaining</w:t>
      </w:r>
      <w:r w:rsidR="00521E9F">
        <w:t xml:space="preserve"> </w:t>
      </w:r>
      <w:r w:rsidR="00B3065E">
        <w:t>contracts</w:t>
      </w:r>
      <w:r w:rsidR="006C45C4">
        <w:t xml:space="preserve">.  </w:t>
      </w:r>
    </w:p>
    <w:p w:rsidR="00E15BB7" w:rsidRDefault="00520EB6" w:rsidP="006C45C4">
      <w:pPr>
        <w:spacing w:line="480" w:lineRule="auto"/>
        <w:rPr>
          <w:b/>
        </w:rPr>
      </w:pPr>
      <w:r>
        <w:rPr>
          <w:b/>
        </w:rPr>
        <w:t>Q.</w:t>
      </w:r>
      <w:r>
        <w:rPr>
          <w:b/>
        </w:rPr>
        <w:tab/>
        <w:t xml:space="preserve">Does this conclude your testimony? </w:t>
      </w:r>
    </w:p>
    <w:p w:rsidR="00520EB6" w:rsidRPr="00496869" w:rsidRDefault="00520EB6" w:rsidP="006C45C4">
      <w:pPr>
        <w:spacing w:line="480" w:lineRule="auto"/>
      </w:pPr>
      <w:r w:rsidRPr="00496869">
        <w:t>A.</w:t>
      </w:r>
      <w:r w:rsidRPr="00496869">
        <w:tab/>
        <w:t>Yes</w:t>
      </w:r>
      <w:r w:rsidR="006C45C4">
        <w:t xml:space="preserve">.  </w:t>
      </w:r>
    </w:p>
    <w:bookmarkEnd w:id="0"/>
    <w:bookmarkEnd w:id="1"/>
    <w:p w:rsidR="00E15BB7" w:rsidRPr="00E15BB7" w:rsidRDefault="00E15BB7" w:rsidP="00364759">
      <w:pPr>
        <w:suppressLineNumbers/>
      </w:pPr>
    </w:p>
    <w:sectPr w:rsidR="00E15BB7" w:rsidRPr="00E15BB7" w:rsidSect="00FC08EF">
      <w:footerReference w:type="default" r:id="rId29"/>
      <w:type w:val="continuous"/>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72E" w:rsidRDefault="00CF572E">
      <w:r>
        <w:separator/>
      </w:r>
    </w:p>
  </w:endnote>
  <w:endnote w:type="continuationSeparator" w:id="0">
    <w:p w:rsidR="00CF572E" w:rsidRDefault="00CF5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altName w:val="Times"/>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F5" w:rsidRDefault="00B74AF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EA9" w:rsidRDefault="000131A1" w:rsidP="003817AC">
    <w:pPr>
      <w:pStyle w:val="Footer"/>
      <w:tabs>
        <w:tab w:val="clear" w:pos="9360"/>
        <w:tab w:val="right" w:pos="8640"/>
      </w:tabs>
    </w:pPr>
    <w:r>
      <w:rPr>
        <w:rStyle w:val="PageNumber"/>
      </w:rPr>
      <w:t>Redacted</w:t>
    </w:r>
    <w:r w:rsidR="00A10EA9">
      <w:rPr>
        <w:rStyle w:val="PageNumber"/>
      </w:rPr>
      <w:t xml:space="preserve"> Phase II Direct Testimony of Stacey J. Kusters </w:t>
    </w:r>
    <w:r w:rsidR="00A10EA9">
      <w:rPr>
        <w:rStyle w:val="PageNumber"/>
      </w:rPr>
      <w:tab/>
    </w:r>
    <w:r w:rsidR="00A10EA9">
      <w:t>Exhibit No.___(SJK-1CT)</w:t>
    </w:r>
  </w:p>
  <w:p w:rsidR="00A10EA9" w:rsidRDefault="00B70F02" w:rsidP="003817AC">
    <w:pPr>
      <w:pStyle w:val="Footer"/>
      <w:tabs>
        <w:tab w:val="clear" w:pos="9360"/>
        <w:tab w:val="right" w:pos="8640"/>
      </w:tabs>
      <w:jc w:val="right"/>
      <w:rPr>
        <w:rStyle w:val="PageNumber"/>
      </w:rPr>
    </w:pPr>
    <w:r>
      <w:tab/>
    </w:r>
    <w:r>
      <w:tab/>
      <w:t>Page 8</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B9" w:rsidRDefault="000131A1" w:rsidP="003817AC">
    <w:pPr>
      <w:pStyle w:val="Footer"/>
      <w:tabs>
        <w:tab w:val="clear" w:pos="9360"/>
        <w:tab w:val="right" w:pos="8640"/>
      </w:tabs>
    </w:pPr>
    <w:r>
      <w:rPr>
        <w:rStyle w:val="PageNumber"/>
      </w:rPr>
      <w:t>Redacted</w:t>
    </w:r>
    <w:r w:rsidR="00F27FB9">
      <w:rPr>
        <w:rStyle w:val="PageNumber"/>
      </w:rPr>
      <w:t xml:space="preserve"> Phase II Direct Testimony of Stacey J. Kusters </w:t>
    </w:r>
    <w:r w:rsidR="00F27FB9">
      <w:rPr>
        <w:rStyle w:val="PageNumber"/>
      </w:rPr>
      <w:tab/>
    </w:r>
    <w:r w:rsidR="00F27FB9">
      <w:t>Exhibit No.___(SJK-1CT)</w:t>
    </w:r>
  </w:p>
  <w:p w:rsidR="00F27FB9" w:rsidRDefault="00F27FB9" w:rsidP="003817AC">
    <w:pPr>
      <w:pStyle w:val="Footer"/>
      <w:tabs>
        <w:tab w:val="clear" w:pos="9360"/>
        <w:tab w:val="right" w:pos="8640"/>
      </w:tabs>
      <w:jc w:val="right"/>
      <w:rPr>
        <w:rStyle w:val="PageNumber"/>
      </w:rPr>
    </w:pPr>
    <w:r>
      <w:tab/>
    </w:r>
    <w:r>
      <w:tab/>
      <w:t xml:space="preserve">Page </w:t>
    </w:r>
    <w:r w:rsidR="00B70F02">
      <w:t>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B9" w:rsidRDefault="000131A1" w:rsidP="003817AC">
    <w:pPr>
      <w:pStyle w:val="Footer"/>
      <w:tabs>
        <w:tab w:val="clear" w:pos="9360"/>
        <w:tab w:val="right" w:pos="8640"/>
      </w:tabs>
    </w:pPr>
    <w:r>
      <w:rPr>
        <w:rStyle w:val="PageNumber"/>
      </w:rPr>
      <w:t>Redacted</w:t>
    </w:r>
    <w:r w:rsidR="00F27FB9">
      <w:rPr>
        <w:rStyle w:val="PageNumber"/>
      </w:rPr>
      <w:t xml:space="preserve"> Phase II Direct Testimony of Stacey J. Kusters </w:t>
    </w:r>
    <w:r w:rsidR="00F27FB9">
      <w:rPr>
        <w:rStyle w:val="PageNumber"/>
      </w:rPr>
      <w:tab/>
    </w:r>
    <w:r w:rsidR="00F27FB9">
      <w:t>Exhibit No.___(SJK-1CT)</w:t>
    </w:r>
  </w:p>
  <w:p w:rsidR="00F27FB9" w:rsidRDefault="00B70F02" w:rsidP="003817AC">
    <w:pPr>
      <w:pStyle w:val="Footer"/>
      <w:tabs>
        <w:tab w:val="clear" w:pos="9360"/>
        <w:tab w:val="right" w:pos="8640"/>
      </w:tabs>
      <w:jc w:val="right"/>
      <w:rPr>
        <w:rStyle w:val="PageNumber"/>
      </w:rPr>
    </w:pPr>
    <w:r>
      <w:tab/>
    </w:r>
    <w:r>
      <w:tab/>
      <w:t>Page 10</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B9" w:rsidRDefault="000131A1" w:rsidP="003817AC">
    <w:pPr>
      <w:pStyle w:val="Footer"/>
      <w:tabs>
        <w:tab w:val="clear" w:pos="9360"/>
        <w:tab w:val="right" w:pos="8640"/>
      </w:tabs>
    </w:pPr>
    <w:r>
      <w:rPr>
        <w:rStyle w:val="PageNumber"/>
      </w:rPr>
      <w:t>Redacted</w:t>
    </w:r>
    <w:r w:rsidR="00F27FB9">
      <w:rPr>
        <w:rStyle w:val="PageNumber"/>
      </w:rPr>
      <w:t xml:space="preserve"> Phase II Direct Testimony of Stacey J. Kusters </w:t>
    </w:r>
    <w:r w:rsidR="00F27FB9">
      <w:rPr>
        <w:rStyle w:val="PageNumber"/>
      </w:rPr>
      <w:tab/>
    </w:r>
    <w:r w:rsidR="00F27FB9">
      <w:t>Exhibit No.___(SJK-1CT)</w:t>
    </w:r>
  </w:p>
  <w:p w:rsidR="00F27FB9" w:rsidRDefault="00B70F02" w:rsidP="003817AC">
    <w:pPr>
      <w:pStyle w:val="Footer"/>
      <w:tabs>
        <w:tab w:val="clear" w:pos="9360"/>
        <w:tab w:val="right" w:pos="8640"/>
      </w:tabs>
      <w:jc w:val="right"/>
      <w:rPr>
        <w:rStyle w:val="PageNumber"/>
      </w:rPr>
    </w:pPr>
    <w:r>
      <w:tab/>
    </w:r>
    <w:r>
      <w:tab/>
      <w:t>Page 11</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B9" w:rsidRDefault="000131A1" w:rsidP="003817AC">
    <w:pPr>
      <w:pStyle w:val="Footer"/>
      <w:tabs>
        <w:tab w:val="clear" w:pos="9360"/>
        <w:tab w:val="right" w:pos="8640"/>
      </w:tabs>
    </w:pPr>
    <w:r>
      <w:rPr>
        <w:rStyle w:val="PageNumber"/>
      </w:rPr>
      <w:t>Redacted</w:t>
    </w:r>
    <w:r w:rsidR="00F27FB9">
      <w:rPr>
        <w:rStyle w:val="PageNumber"/>
      </w:rPr>
      <w:t xml:space="preserve"> Phase II Direct Testimony of Stacey J. Kusters </w:t>
    </w:r>
    <w:r w:rsidR="00F27FB9">
      <w:rPr>
        <w:rStyle w:val="PageNumber"/>
      </w:rPr>
      <w:tab/>
    </w:r>
    <w:r w:rsidR="00F27FB9">
      <w:t>Exhibit No.___(SJK-1CT)</w:t>
    </w:r>
  </w:p>
  <w:p w:rsidR="00F27FB9" w:rsidRDefault="00B70F02" w:rsidP="003817AC">
    <w:pPr>
      <w:pStyle w:val="Footer"/>
      <w:tabs>
        <w:tab w:val="clear" w:pos="9360"/>
        <w:tab w:val="right" w:pos="8640"/>
      </w:tabs>
      <w:jc w:val="right"/>
      <w:rPr>
        <w:rStyle w:val="PageNumber"/>
      </w:rPr>
    </w:pPr>
    <w:r>
      <w:tab/>
    </w:r>
    <w:r>
      <w:tab/>
      <w:t>Page 12</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B9" w:rsidRDefault="00F27FB9" w:rsidP="003817AC">
    <w:pPr>
      <w:pStyle w:val="Footer"/>
      <w:tabs>
        <w:tab w:val="clear" w:pos="9360"/>
        <w:tab w:val="right" w:pos="8640"/>
      </w:tabs>
    </w:pPr>
    <w:r>
      <w:rPr>
        <w:rStyle w:val="PageNumber"/>
      </w:rPr>
      <w:t xml:space="preserve">Confidential Phase II Direct Testimony of Stacey J. Kusters </w:t>
    </w:r>
    <w:r>
      <w:rPr>
        <w:rStyle w:val="PageNumber"/>
      </w:rPr>
      <w:tab/>
    </w:r>
    <w:r>
      <w:t>Exhibit No.___(SJK-1CT)</w:t>
    </w:r>
  </w:p>
  <w:p w:rsidR="00F27FB9" w:rsidRDefault="00F27FB9" w:rsidP="003817AC">
    <w:pPr>
      <w:pStyle w:val="Footer"/>
      <w:tabs>
        <w:tab w:val="clear" w:pos="9360"/>
        <w:tab w:val="right" w:pos="8640"/>
      </w:tabs>
      <w:jc w:val="right"/>
      <w:rPr>
        <w:rStyle w:val="PageNumber"/>
      </w:rPr>
    </w:pPr>
    <w:r>
      <w:tab/>
    </w:r>
    <w:r>
      <w:tab/>
      <w:t>Page 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2E" w:rsidRDefault="000131A1" w:rsidP="003817AC">
    <w:pPr>
      <w:pStyle w:val="Footer"/>
      <w:tabs>
        <w:tab w:val="clear" w:pos="9360"/>
        <w:tab w:val="right" w:pos="8640"/>
      </w:tabs>
    </w:pPr>
    <w:r>
      <w:rPr>
        <w:rStyle w:val="PageNumber"/>
      </w:rPr>
      <w:t>Redacted</w:t>
    </w:r>
    <w:r w:rsidR="00CF572E">
      <w:rPr>
        <w:rStyle w:val="PageNumber"/>
      </w:rPr>
      <w:t xml:space="preserve"> Phase II Direct Testimony of Stacey J. Kusters </w:t>
    </w:r>
    <w:r w:rsidR="00CF572E">
      <w:rPr>
        <w:rStyle w:val="PageNumber"/>
      </w:rPr>
      <w:tab/>
    </w:r>
    <w:r w:rsidR="00CF572E">
      <w:t>Exhibit No.___(SJK-1CT)</w:t>
    </w:r>
  </w:p>
  <w:p w:rsidR="00CF572E" w:rsidRDefault="00CF572E" w:rsidP="003817AC">
    <w:pPr>
      <w:pStyle w:val="Footer"/>
      <w:tabs>
        <w:tab w:val="clear" w:pos="9360"/>
        <w:tab w:val="right" w:pos="8640"/>
      </w:tabs>
      <w:jc w:val="right"/>
      <w:rPr>
        <w:rStyle w:val="PageNumber"/>
      </w:rPr>
    </w:pPr>
    <w:r>
      <w:tab/>
    </w:r>
    <w:r>
      <w:tab/>
      <w:t xml:space="preserve">Page </w:t>
    </w:r>
    <w:fldSimple w:instr=" PAGE   \* MERGEFORMAT ">
      <w:r w:rsidR="00B74AF5">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F5" w:rsidRDefault="00B74AF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02" w:rsidRDefault="000131A1" w:rsidP="003817AC">
    <w:pPr>
      <w:pStyle w:val="Footer"/>
      <w:tabs>
        <w:tab w:val="clear" w:pos="9360"/>
        <w:tab w:val="right" w:pos="8640"/>
      </w:tabs>
    </w:pPr>
    <w:r>
      <w:rPr>
        <w:rStyle w:val="PageNumber"/>
      </w:rPr>
      <w:t>Redacted</w:t>
    </w:r>
    <w:r w:rsidR="00B70F02">
      <w:rPr>
        <w:rStyle w:val="PageNumber"/>
      </w:rPr>
      <w:t xml:space="preserve"> Phase II Direct Testimony of Stacey J. Kusters </w:t>
    </w:r>
    <w:r w:rsidR="00B70F02">
      <w:rPr>
        <w:rStyle w:val="PageNumber"/>
      </w:rPr>
      <w:tab/>
    </w:r>
    <w:r w:rsidR="00B70F02">
      <w:t>Exhibit No.___(SJK-1CT)</w:t>
    </w:r>
  </w:p>
  <w:p w:rsidR="00B70F02" w:rsidRDefault="00B70F02" w:rsidP="003817AC">
    <w:pPr>
      <w:pStyle w:val="Footer"/>
      <w:tabs>
        <w:tab w:val="clear" w:pos="9360"/>
        <w:tab w:val="right" w:pos="8640"/>
      </w:tabs>
      <w:jc w:val="right"/>
      <w:rPr>
        <w:rStyle w:val="PageNumber"/>
      </w:rPr>
    </w:pPr>
    <w:r>
      <w:tab/>
    </w:r>
    <w:r>
      <w:tab/>
      <w:t>Page 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2E" w:rsidRDefault="000131A1" w:rsidP="003817AC">
    <w:pPr>
      <w:pStyle w:val="Footer"/>
      <w:tabs>
        <w:tab w:val="clear" w:pos="9360"/>
        <w:tab w:val="right" w:pos="8640"/>
      </w:tabs>
    </w:pPr>
    <w:r>
      <w:rPr>
        <w:rStyle w:val="PageNumber"/>
      </w:rPr>
      <w:t>Redacted</w:t>
    </w:r>
    <w:r w:rsidR="00CF572E">
      <w:rPr>
        <w:rStyle w:val="PageNumber"/>
      </w:rPr>
      <w:t xml:space="preserve"> Phase II Direct Testimony of Stacey J. Kusters </w:t>
    </w:r>
    <w:r w:rsidR="00CF572E">
      <w:rPr>
        <w:rStyle w:val="PageNumber"/>
      </w:rPr>
      <w:tab/>
    </w:r>
    <w:r w:rsidR="00CF572E">
      <w:t>Exhibit No.___(SJK-1CT)</w:t>
    </w:r>
  </w:p>
  <w:p w:rsidR="00CF572E" w:rsidRDefault="00CF572E" w:rsidP="003817AC">
    <w:pPr>
      <w:pStyle w:val="Footer"/>
      <w:tabs>
        <w:tab w:val="clear" w:pos="9360"/>
        <w:tab w:val="right" w:pos="8640"/>
      </w:tabs>
      <w:jc w:val="right"/>
      <w:rPr>
        <w:rStyle w:val="PageNumber"/>
      </w:rPr>
    </w:pPr>
    <w:r>
      <w:tab/>
    </w:r>
    <w:r>
      <w:tab/>
    </w:r>
    <w:r w:rsidR="00B70F02">
      <w:t>Page 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2E" w:rsidRDefault="000131A1" w:rsidP="003817AC">
    <w:pPr>
      <w:pStyle w:val="Footer"/>
      <w:tabs>
        <w:tab w:val="clear" w:pos="9360"/>
        <w:tab w:val="right" w:pos="8640"/>
      </w:tabs>
    </w:pPr>
    <w:r>
      <w:rPr>
        <w:rStyle w:val="PageNumber"/>
      </w:rPr>
      <w:t>Redacted</w:t>
    </w:r>
    <w:r w:rsidR="00CF572E">
      <w:rPr>
        <w:rStyle w:val="PageNumber"/>
      </w:rPr>
      <w:t xml:space="preserve"> Phase II Direct Testimony of Stacey J. Kusters </w:t>
    </w:r>
    <w:r w:rsidR="00CF572E">
      <w:rPr>
        <w:rStyle w:val="PageNumber"/>
      </w:rPr>
      <w:tab/>
    </w:r>
    <w:r w:rsidR="00CF572E">
      <w:t>Exhibit No.___(SJK-1CT)</w:t>
    </w:r>
  </w:p>
  <w:p w:rsidR="00CF572E" w:rsidRDefault="00B70F02" w:rsidP="003817AC">
    <w:pPr>
      <w:pStyle w:val="Footer"/>
      <w:tabs>
        <w:tab w:val="clear" w:pos="9360"/>
        <w:tab w:val="right" w:pos="8640"/>
      </w:tabs>
      <w:jc w:val="right"/>
      <w:rPr>
        <w:rStyle w:val="PageNumber"/>
      </w:rPr>
    </w:pPr>
    <w:r>
      <w:tab/>
    </w:r>
    <w:r>
      <w:tab/>
      <w:t>Page 4</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2E" w:rsidRDefault="000131A1" w:rsidP="003817AC">
    <w:pPr>
      <w:pStyle w:val="Footer"/>
      <w:tabs>
        <w:tab w:val="clear" w:pos="9360"/>
        <w:tab w:val="right" w:pos="8640"/>
      </w:tabs>
    </w:pPr>
    <w:r>
      <w:rPr>
        <w:rStyle w:val="PageNumber"/>
      </w:rPr>
      <w:t>Redacted</w:t>
    </w:r>
    <w:r w:rsidR="00CF572E">
      <w:rPr>
        <w:rStyle w:val="PageNumber"/>
      </w:rPr>
      <w:t xml:space="preserve"> Phase II Direct Testimony of Stacey J. Kusters </w:t>
    </w:r>
    <w:r w:rsidR="00CF572E">
      <w:rPr>
        <w:rStyle w:val="PageNumber"/>
      </w:rPr>
      <w:tab/>
    </w:r>
    <w:r w:rsidR="00CF572E">
      <w:t>Exhibit No.___(SJK-1CT)</w:t>
    </w:r>
  </w:p>
  <w:p w:rsidR="00CF572E" w:rsidRDefault="00B70F02" w:rsidP="003817AC">
    <w:pPr>
      <w:pStyle w:val="Footer"/>
      <w:tabs>
        <w:tab w:val="clear" w:pos="9360"/>
        <w:tab w:val="right" w:pos="8640"/>
      </w:tabs>
      <w:jc w:val="right"/>
      <w:rPr>
        <w:rStyle w:val="PageNumber"/>
      </w:rPr>
    </w:pPr>
    <w:r>
      <w:tab/>
    </w:r>
    <w:r>
      <w:tab/>
      <w:t>Page 5</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B9" w:rsidRDefault="000131A1" w:rsidP="003817AC">
    <w:pPr>
      <w:pStyle w:val="Footer"/>
      <w:tabs>
        <w:tab w:val="clear" w:pos="9360"/>
        <w:tab w:val="right" w:pos="8640"/>
      </w:tabs>
    </w:pPr>
    <w:r>
      <w:rPr>
        <w:rStyle w:val="PageNumber"/>
      </w:rPr>
      <w:t>Redacted</w:t>
    </w:r>
    <w:r w:rsidR="00F27FB9">
      <w:rPr>
        <w:rStyle w:val="PageNumber"/>
      </w:rPr>
      <w:t xml:space="preserve"> Phase II Direct Testimony of Stacey J. Kusters </w:t>
    </w:r>
    <w:r w:rsidR="00F27FB9">
      <w:rPr>
        <w:rStyle w:val="PageNumber"/>
      </w:rPr>
      <w:tab/>
    </w:r>
    <w:r w:rsidR="00F27FB9">
      <w:t>Exhibit No.___(SJK-1CT)</w:t>
    </w:r>
  </w:p>
  <w:p w:rsidR="00F27FB9" w:rsidRDefault="00B70F02" w:rsidP="003817AC">
    <w:pPr>
      <w:pStyle w:val="Footer"/>
      <w:tabs>
        <w:tab w:val="clear" w:pos="9360"/>
        <w:tab w:val="right" w:pos="8640"/>
      </w:tabs>
      <w:jc w:val="right"/>
      <w:rPr>
        <w:rStyle w:val="PageNumber"/>
      </w:rPr>
    </w:pPr>
    <w:r>
      <w:tab/>
    </w:r>
    <w:r>
      <w:tab/>
      <w:t>Page 6</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2E" w:rsidRDefault="000131A1" w:rsidP="003817AC">
    <w:pPr>
      <w:pStyle w:val="Footer"/>
      <w:tabs>
        <w:tab w:val="clear" w:pos="9360"/>
        <w:tab w:val="right" w:pos="8640"/>
      </w:tabs>
    </w:pPr>
    <w:r>
      <w:rPr>
        <w:rStyle w:val="PageNumber"/>
      </w:rPr>
      <w:t>Redacted</w:t>
    </w:r>
    <w:r w:rsidR="00CF572E">
      <w:rPr>
        <w:rStyle w:val="PageNumber"/>
      </w:rPr>
      <w:t xml:space="preserve"> Phase II Direct Testimony of Stacey J. Kusters </w:t>
    </w:r>
    <w:r w:rsidR="00CF572E">
      <w:rPr>
        <w:rStyle w:val="PageNumber"/>
      </w:rPr>
      <w:tab/>
    </w:r>
    <w:r w:rsidR="00CF572E">
      <w:t>Exhibit No.___(SJK-1CT)</w:t>
    </w:r>
  </w:p>
  <w:p w:rsidR="00CF572E" w:rsidRDefault="00B70F02" w:rsidP="003817AC">
    <w:pPr>
      <w:pStyle w:val="Footer"/>
      <w:tabs>
        <w:tab w:val="clear" w:pos="9360"/>
        <w:tab w:val="right" w:pos="8640"/>
      </w:tabs>
      <w:jc w:val="right"/>
      <w:rPr>
        <w:rStyle w:val="PageNumber"/>
      </w:rPr>
    </w:pPr>
    <w:r>
      <w:tab/>
    </w:r>
    <w:r>
      <w:tab/>
      <w:t>Page 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72E" w:rsidRDefault="00CF572E">
      <w:r>
        <w:separator/>
      </w:r>
    </w:p>
  </w:footnote>
  <w:footnote w:type="continuationSeparator" w:id="0">
    <w:p w:rsidR="00CF572E" w:rsidRDefault="00CF5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F5" w:rsidRDefault="00B74A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2E" w:rsidRDefault="00CF572E" w:rsidP="006C45C4">
    <w:pPr>
      <w:pStyle w:val="Header"/>
      <w:spacing w:line="240" w:lineRule="auto"/>
      <w:jc w:val="right"/>
    </w:pPr>
    <w:r>
      <w:t xml:space="preserve">Confidential Subject to the Terms </w:t>
    </w:r>
  </w:p>
  <w:p w:rsidR="00CF572E" w:rsidRDefault="00CF572E" w:rsidP="006C45C4">
    <w:pPr>
      <w:pStyle w:val="Header"/>
      <w:spacing w:line="240" w:lineRule="auto"/>
      <w:jc w:val="right"/>
    </w:pPr>
    <w:r>
      <w:t>of the Protective Order in WUTC Docket UE-100749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F5" w:rsidRDefault="00B74AF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EF" w:rsidRPr="00FC08EF" w:rsidRDefault="00FC08EF" w:rsidP="00FC08E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2E" w:rsidRPr="00BC24F8" w:rsidRDefault="00CF572E" w:rsidP="00BC24F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02" w:rsidRDefault="00B70F02" w:rsidP="00B70F02">
    <w:pPr>
      <w:pStyle w:val="Header"/>
      <w:spacing w:line="240" w:lineRule="auto"/>
      <w:jc w:val="right"/>
    </w:pPr>
    <w:r>
      <w:t xml:space="preserve">Confidential Subject to the Terms </w:t>
    </w:r>
  </w:p>
  <w:p w:rsidR="00CF572E" w:rsidRPr="00CF572E" w:rsidRDefault="00B70F02" w:rsidP="00B70F02">
    <w:pPr>
      <w:pStyle w:val="Header"/>
      <w:spacing w:line="240" w:lineRule="auto"/>
      <w:jc w:val="right"/>
    </w:pPr>
    <w:r>
      <w:t>of the Protective Order in WUTC Docket UE-100749</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B9" w:rsidRPr="00B70F02" w:rsidRDefault="00F27FB9" w:rsidP="00B70F0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2E" w:rsidRPr="00CF572E" w:rsidRDefault="00CF572E" w:rsidP="00CF57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2B1"/>
    <w:multiLevelType w:val="hybridMultilevel"/>
    <w:tmpl w:val="87043DF0"/>
    <w:lvl w:ilvl="0" w:tplc="B27CAE16">
      <w:start w:val="1"/>
      <w:numFmt w:val="none"/>
      <w:pStyle w:val="TBGTestimonyA"/>
      <w:lvlText w:val="A."/>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5">
      <w:start w:val="1"/>
      <w:numFmt w:val="upperLetter"/>
      <w:lvlText w:val="%2."/>
      <w:lvlJc w:val="left"/>
      <w:pPr>
        <w:tabs>
          <w:tab w:val="num" w:pos="1800"/>
        </w:tabs>
        <w:ind w:left="1800" w:hanging="360"/>
      </w:pPr>
      <w:rPr>
        <w:rFonts w:hint="default"/>
        <w:b/>
        <w:i w:val="0"/>
      </w:rPr>
    </w:lvl>
    <w:lvl w:ilvl="2" w:tplc="04090001">
      <w:start w:val="1"/>
      <w:numFmt w:val="bullet"/>
      <w:lvlText w:val=""/>
      <w:lvlJc w:val="left"/>
      <w:pPr>
        <w:tabs>
          <w:tab w:val="num" w:pos="2700"/>
        </w:tabs>
        <w:ind w:left="2700" w:hanging="360"/>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D6EDF"/>
    <w:multiLevelType w:val="hybridMultilevel"/>
    <w:tmpl w:val="7DB8839C"/>
    <w:lvl w:ilvl="0" w:tplc="6776AECA">
      <w:start w:val="1"/>
      <w:numFmt w:val="none"/>
      <w:pStyle w:val="TBGTestimonyQ"/>
      <w:lvlText w:val="%1Q."/>
      <w:lvlJc w:val="left"/>
      <w:pPr>
        <w:tabs>
          <w:tab w:val="num" w:pos="840"/>
        </w:tabs>
        <w:ind w:left="840" w:hanging="720"/>
      </w:pPr>
      <w:rPr>
        <w:rFonts w:hint="default"/>
      </w:rPr>
    </w:lvl>
    <w:lvl w:ilvl="1" w:tplc="52E45B94">
      <w:start w:val="1"/>
      <w:numFmt w:val="none"/>
      <w:lvlText w:val="%2A."/>
      <w:lvlJc w:val="left"/>
      <w:pPr>
        <w:tabs>
          <w:tab w:val="num" w:pos="1368"/>
        </w:tabs>
        <w:ind w:left="1368" w:hanging="720"/>
      </w:pPr>
      <w:rPr>
        <w:rFonts w:hint="default"/>
      </w:rPr>
    </w:lvl>
    <w:lvl w:ilvl="2" w:tplc="679E8652">
      <w:start w:val="17"/>
      <w:numFmt w:val="upperLetter"/>
      <w:lvlText w:val="%3."/>
      <w:lvlJc w:val="left"/>
      <w:pPr>
        <w:tabs>
          <w:tab w:val="num" w:pos="1200"/>
        </w:tabs>
        <w:ind w:left="1200" w:hanging="360"/>
      </w:pPr>
      <w:rPr>
        <w:rFonts w:hint="default"/>
      </w:rPr>
    </w:lvl>
    <w:lvl w:ilvl="3" w:tplc="B1E062FE">
      <w:start w:val="8"/>
      <w:numFmt w:val="upperRoman"/>
      <w:lvlText w:val="%4."/>
      <w:lvlJc w:val="left"/>
      <w:pPr>
        <w:tabs>
          <w:tab w:val="num" w:pos="3528"/>
        </w:tabs>
        <w:ind w:left="3528" w:hanging="720"/>
      </w:pPr>
      <w:rPr>
        <w:rFonts w:hint="default"/>
      </w:r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
    <w:nsid w:val="233E482C"/>
    <w:multiLevelType w:val="hybridMultilevel"/>
    <w:tmpl w:val="297A8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020A23"/>
    <w:multiLevelType w:val="multilevel"/>
    <w:tmpl w:val="FE906110"/>
    <w:styleLink w:val="StyleOutlinenumbered"/>
    <w:lvl w:ilvl="0">
      <w:start w:val="1"/>
      <w:numFmt w:val="upperRoman"/>
      <w:lvlText w:val="%1.  "/>
      <w:lvlJc w:val="left"/>
      <w:pPr>
        <w:tabs>
          <w:tab w:val="num" w:pos="360"/>
        </w:tabs>
        <w:ind w:left="360" w:hanging="360"/>
      </w:pPr>
      <w:rPr>
        <w:rFonts w:ascii="Arial" w:hAnsi="Arial"/>
        <w:sz w:val="22"/>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3600"/>
        </w:tabs>
        <w:ind w:left="2880" w:hanging="360"/>
      </w:pPr>
      <w:rPr>
        <w:rFonts w:ascii="Symbol" w:hAnsi="Symbol"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69301EF4"/>
    <w:multiLevelType w:val="hybridMultilevel"/>
    <w:tmpl w:val="DB32A52A"/>
    <w:lvl w:ilvl="0" w:tplc="5C78F0D8">
      <w:start w:val="1"/>
      <w:numFmt w:val="none"/>
      <w:pStyle w:val="Answer"/>
      <w:lvlText w:val="%1A."/>
      <w:lvlJc w:val="left"/>
      <w:pPr>
        <w:tabs>
          <w:tab w:val="num" w:pos="720"/>
        </w:tabs>
        <w:ind w:left="720" w:hanging="720"/>
      </w:pPr>
      <w:rPr>
        <w:rFont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97520E"/>
    <w:multiLevelType w:val="hybridMultilevel"/>
    <w:tmpl w:val="59F4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7"/>
  </w:num>
  <w:num w:numId="6">
    <w:abstractNumId w:val="1"/>
  </w:num>
  <w:num w:numId="7">
    <w:abstractNumId w:val="3"/>
  </w:num>
  <w:num w:numId="8">
    <w:abstractNumId w:val="5"/>
  </w:num>
  <w:num w:numId="9">
    <w:abstractNumId w:val="5"/>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895C4C"/>
    <w:rsid w:val="00000CB7"/>
    <w:rsid w:val="00000E8D"/>
    <w:rsid w:val="00002489"/>
    <w:rsid w:val="0001061A"/>
    <w:rsid w:val="00011C06"/>
    <w:rsid w:val="000131A1"/>
    <w:rsid w:val="0001652F"/>
    <w:rsid w:val="00016D30"/>
    <w:rsid w:val="0002023E"/>
    <w:rsid w:val="000221AE"/>
    <w:rsid w:val="00024D4F"/>
    <w:rsid w:val="000337BD"/>
    <w:rsid w:val="00034FB0"/>
    <w:rsid w:val="000438EB"/>
    <w:rsid w:val="00062126"/>
    <w:rsid w:val="000659A4"/>
    <w:rsid w:val="000758B2"/>
    <w:rsid w:val="0008052B"/>
    <w:rsid w:val="00083A71"/>
    <w:rsid w:val="00085B60"/>
    <w:rsid w:val="000867BE"/>
    <w:rsid w:val="000906F3"/>
    <w:rsid w:val="000964EA"/>
    <w:rsid w:val="000A59D5"/>
    <w:rsid w:val="000B1AB4"/>
    <w:rsid w:val="000E1361"/>
    <w:rsid w:val="000E455F"/>
    <w:rsid w:val="0011520F"/>
    <w:rsid w:val="00116651"/>
    <w:rsid w:val="0012388B"/>
    <w:rsid w:val="00125E14"/>
    <w:rsid w:val="0013278A"/>
    <w:rsid w:val="001337E3"/>
    <w:rsid w:val="0013608D"/>
    <w:rsid w:val="001364FB"/>
    <w:rsid w:val="00145BEE"/>
    <w:rsid w:val="00171F93"/>
    <w:rsid w:val="00175DAF"/>
    <w:rsid w:val="00177D7C"/>
    <w:rsid w:val="00184F02"/>
    <w:rsid w:val="00185BBE"/>
    <w:rsid w:val="001A6484"/>
    <w:rsid w:val="001A7FDE"/>
    <w:rsid w:val="001B3336"/>
    <w:rsid w:val="001B6425"/>
    <w:rsid w:val="001C12A2"/>
    <w:rsid w:val="0020118B"/>
    <w:rsid w:val="00207DFD"/>
    <w:rsid w:val="002128C0"/>
    <w:rsid w:val="00225036"/>
    <w:rsid w:val="00227938"/>
    <w:rsid w:val="00230C4D"/>
    <w:rsid w:val="00235602"/>
    <w:rsid w:val="002570D2"/>
    <w:rsid w:val="00262AA5"/>
    <w:rsid w:val="00275D51"/>
    <w:rsid w:val="002860F7"/>
    <w:rsid w:val="002875E0"/>
    <w:rsid w:val="002A1453"/>
    <w:rsid w:val="002A1D65"/>
    <w:rsid w:val="002A5E84"/>
    <w:rsid w:val="002B2D39"/>
    <w:rsid w:val="002B2E73"/>
    <w:rsid w:val="002B3721"/>
    <w:rsid w:val="002B52DC"/>
    <w:rsid w:val="002B73F7"/>
    <w:rsid w:val="002E2CF9"/>
    <w:rsid w:val="002F4518"/>
    <w:rsid w:val="0031365E"/>
    <w:rsid w:val="00332281"/>
    <w:rsid w:val="00337B6A"/>
    <w:rsid w:val="00345294"/>
    <w:rsid w:val="003462A2"/>
    <w:rsid w:val="003577E4"/>
    <w:rsid w:val="003638D7"/>
    <w:rsid w:val="00364759"/>
    <w:rsid w:val="003725EC"/>
    <w:rsid w:val="003817AC"/>
    <w:rsid w:val="0038253D"/>
    <w:rsid w:val="00390D7F"/>
    <w:rsid w:val="0039567B"/>
    <w:rsid w:val="003A35C7"/>
    <w:rsid w:val="003A45A2"/>
    <w:rsid w:val="003B067E"/>
    <w:rsid w:val="003B2A5C"/>
    <w:rsid w:val="003B35E6"/>
    <w:rsid w:val="003C0774"/>
    <w:rsid w:val="003C43A4"/>
    <w:rsid w:val="003D0D27"/>
    <w:rsid w:val="003D2695"/>
    <w:rsid w:val="003D5C4F"/>
    <w:rsid w:val="003F14C4"/>
    <w:rsid w:val="003F2D22"/>
    <w:rsid w:val="003F538B"/>
    <w:rsid w:val="004209EF"/>
    <w:rsid w:val="00442DAF"/>
    <w:rsid w:val="004434CA"/>
    <w:rsid w:val="00443FDB"/>
    <w:rsid w:val="0045578C"/>
    <w:rsid w:val="00482F8C"/>
    <w:rsid w:val="004935F0"/>
    <w:rsid w:val="004951A3"/>
    <w:rsid w:val="004966B4"/>
    <w:rsid w:val="00496869"/>
    <w:rsid w:val="004A07EF"/>
    <w:rsid w:val="004A5424"/>
    <w:rsid w:val="004B665C"/>
    <w:rsid w:val="004C0A04"/>
    <w:rsid w:val="004C1D19"/>
    <w:rsid w:val="004D0570"/>
    <w:rsid w:val="004F5712"/>
    <w:rsid w:val="005039F3"/>
    <w:rsid w:val="00504FC8"/>
    <w:rsid w:val="0051168C"/>
    <w:rsid w:val="00511761"/>
    <w:rsid w:val="00514727"/>
    <w:rsid w:val="00515E8E"/>
    <w:rsid w:val="005170A6"/>
    <w:rsid w:val="00520EB6"/>
    <w:rsid w:val="00521E9F"/>
    <w:rsid w:val="00522053"/>
    <w:rsid w:val="00527533"/>
    <w:rsid w:val="00544E85"/>
    <w:rsid w:val="00551D2D"/>
    <w:rsid w:val="00552157"/>
    <w:rsid w:val="00553529"/>
    <w:rsid w:val="005642A7"/>
    <w:rsid w:val="00572DBD"/>
    <w:rsid w:val="005740E9"/>
    <w:rsid w:val="005A16F4"/>
    <w:rsid w:val="005B3AF0"/>
    <w:rsid w:val="005D4B86"/>
    <w:rsid w:val="005E00BD"/>
    <w:rsid w:val="005E380F"/>
    <w:rsid w:val="005F42E2"/>
    <w:rsid w:val="005F609F"/>
    <w:rsid w:val="005F79B8"/>
    <w:rsid w:val="00607E2B"/>
    <w:rsid w:val="00611BF1"/>
    <w:rsid w:val="006307B9"/>
    <w:rsid w:val="00631B8C"/>
    <w:rsid w:val="006320A0"/>
    <w:rsid w:val="00645AFE"/>
    <w:rsid w:val="00664DF3"/>
    <w:rsid w:val="00675861"/>
    <w:rsid w:val="00677D47"/>
    <w:rsid w:val="0068059E"/>
    <w:rsid w:val="006B27CA"/>
    <w:rsid w:val="006B47DE"/>
    <w:rsid w:val="006C45C4"/>
    <w:rsid w:val="006D1536"/>
    <w:rsid w:val="006E1784"/>
    <w:rsid w:val="006E3BF6"/>
    <w:rsid w:val="006F1058"/>
    <w:rsid w:val="006F2C47"/>
    <w:rsid w:val="006F52BC"/>
    <w:rsid w:val="006F5BF4"/>
    <w:rsid w:val="0070134B"/>
    <w:rsid w:val="0070410A"/>
    <w:rsid w:val="00720EFE"/>
    <w:rsid w:val="00727338"/>
    <w:rsid w:val="00735322"/>
    <w:rsid w:val="0075184C"/>
    <w:rsid w:val="00761EEF"/>
    <w:rsid w:val="007662D5"/>
    <w:rsid w:val="00782D55"/>
    <w:rsid w:val="00784E27"/>
    <w:rsid w:val="00786442"/>
    <w:rsid w:val="007A36BD"/>
    <w:rsid w:val="007B33BB"/>
    <w:rsid w:val="007B7B6B"/>
    <w:rsid w:val="007C14DD"/>
    <w:rsid w:val="007C4AB3"/>
    <w:rsid w:val="007D365A"/>
    <w:rsid w:val="007D366C"/>
    <w:rsid w:val="007D3702"/>
    <w:rsid w:val="007E50D4"/>
    <w:rsid w:val="00804249"/>
    <w:rsid w:val="00825D56"/>
    <w:rsid w:val="008272AD"/>
    <w:rsid w:val="0083122B"/>
    <w:rsid w:val="0083280D"/>
    <w:rsid w:val="0085521A"/>
    <w:rsid w:val="0085708C"/>
    <w:rsid w:val="00862F81"/>
    <w:rsid w:val="00863E5D"/>
    <w:rsid w:val="008641D4"/>
    <w:rsid w:val="008677B5"/>
    <w:rsid w:val="0088167B"/>
    <w:rsid w:val="00882B67"/>
    <w:rsid w:val="00892623"/>
    <w:rsid w:val="00893839"/>
    <w:rsid w:val="00893E1C"/>
    <w:rsid w:val="0089466C"/>
    <w:rsid w:val="00894AB8"/>
    <w:rsid w:val="00895C4C"/>
    <w:rsid w:val="008970CD"/>
    <w:rsid w:val="008A2AEA"/>
    <w:rsid w:val="008B7A5B"/>
    <w:rsid w:val="008C1879"/>
    <w:rsid w:val="008C1F42"/>
    <w:rsid w:val="008E10F1"/>
    <w:rsid w:val="008E715F"/>
    <w:rsid w:val="00907063"/>
    <w:rsid w:val="00912A73"/>
    <w:rsid w:val="00927B55"/>
    <w:rsid w:val="009308CC"/>
    <w:rsid w:val="009346AC"/>
    <w:rsid w:val="00936297"/>
    <w:rsid w:val="00945816"/>
    <w:rsid w:val="009505AF"/>
    <w:rsid w:val="009647DB"/>
    <w:rsid w:val="009651C9"/>
    <w:rsid w:val="009723C1"/>
    <w:rsid w:val="00975BF7"/>
    <w:rsid w:val="00982676"/>
    <w:rsid w:val="00995E38"/>
    <w:rsid w:val="00997030"/>
    <w:rsid w:val="009A3B3E"/>
    <w:rsid w:val="009D753C"/>
    <w:rsid w:val="009E1996"/>
    <w:rsid w:val="009E2ED0"/>
    <w:rsid w:val="009E7120"/>
    <w:rsid w:val="00A101A3"/>
    <w:rsid w:val="00A10EA9"/>
    <w:rsid w:val="00A10FF5"/>
    <w:rsid w:val="00A112E6"/>
    <w:rsid w:val="00A1561C"/>
    <w:rsid w:val="00A200C0"/>
    <w:rsid w:val="00A20953"/>
    <w:rsid w:val="00A330E1"/>
    <w:rsid w:val="00A345F2"/>
    <w:rsid w:val="00A35980"/>
    <w:rsid w:val="00A44CC1"/>
    <w:rsid w:val="00A475C2"/>
    <w:rsid w:val="00A71DDD"/>
    <w:rsid w:val="00A90219"/>
    <w:rsid w:val="00AA184B"/>
    <w:rsid w:val="00AB5036"/>
    <w:rsid w:val="00AD04FB"/>
    <w:rsid w:val="00AE4E8F"/>
    <w:rsid w:val="00AE53F3"/>
    <w:rsid w:val="00AF07C8"/>
    <w:rsid w:val="00AF117C"/>
    <w:rsid w:val="00B3065E"/>
    <w:rsid w:val="00B36758"/>
    <w:rsid w:val="00B42B52"/>
    <w:rsid w:val="00B60021"/>
    <w:rsid w:val="00B64D9A"/>
    <w:rsid w:val="00B664D9"/>
    <w:rsid w:val="00B70F02"/>
    <w:rsid w:val="00B73F8C"/>
    <w:rsid w:val="00B74AF5"/>
    <w:rsid w:val="00B86578"/>
    <w:rsid w:val="00B8709D"/>
    <w:rsid w:val="00B94E1C"/>
    <w:rsid w:val="00B950F4"/>
    <w:rsid w:val="00BB0D51"/>
    <w:rsid w:val="00BB50FF"/>
    <w:rsid w:val="00BC24F8"/>
    <w:rsid w:val="00BD08B3"/>
    <w:rsid w:val="00BE3E1D"/>
    <w:rsid w:val="00BF0417"/>
    <w:rsid w:val="00C109BD"/>
    <w:rsid w:val="00C206CE"/>
    <w:rsid w:val="00C30C92"/>
    <w:rsid w:val="00C40224"/>
    <w:rsid w:val="00C411E3"/>
    <w:rsid w:val="00C51F10"/>
    <w:rsid w:val="00C81236"/>
    <w:rsid w:val="00C84AFC"/>
    <w:rsid w:val="00CA00C7"/>
    <w:rsid w:val="00CA51F4"/>
    <w:rsid w:val="00CB2906"/>
    <w:rsid w:val="00CB6B56"/>
    <w:rsid w:val="00CE23AC"/>
    <w:rsid w:val="00CF4355"/>
    <w:rsid w:val="00CF572E"/>
    <w:rsid w:val="00CF7BD4"/>
    <w:rsid w:val="00D05651"/>
    <w:rsid w:val="00D15D3E"/>
    <w:rsid w:val="00D25ED9"/>
    <w:rsid w:val="00D272D4"/>
    <w:rsid w:val="00D335C6"/>
    <w:rsid w:val="00D33A40"/>
    <w:rsid w:val="00D33EEF"/>
    <w:rsid w:val="00D35AC9"/>
    <w:rsid w:val="00D40EDD"/>
    <w:rsid w:val="00D47141"/>
    <w:rsid w:val="00D61543"/>
    <w:rsid w:val="00D661EE"/>
    <w:rsid w:val="00D77114"/>
    <w:rsid w:val="00D8003E"/>
    <w:rsid w:val="00D8326E"/>
    <w:rsid w:val="00DB61CC"/>
    <w:rsid w:val="00DD2336"/>
    <w:rsid w:val="00DE2DD1"/>
    <w:rsid w:val="00DE3FC0"/>
    <w:rsid w:val="00DE55FA"/>
    <w:rsid w:val="00DF4C1B"/>
    <w:rsid w:val="00E126A8"/>
    <w:rsid w:val="00E15BB7"/>
    <w:rsid w:val="00E16263"/>
    <w:rsid w:val="00E16E2C"/>
    <w:rsid w:val="00E30962"/>
    <w:rsid w:val="00E3507A"/>
    <w:rsid w:val="00E353A3"/>
    <w:rsid w:val="00E35A52"/>
    <w:rsid w:val="00E376EE"/>
    <w:rsid w:val="00E43591"/>
    <w:rsid w:val="00E461E1"/>
    <w:rsid w:val="00E57F3B"/>
    <w:rsid w:val="00E80656"/>
    <w:rsid w:val="00E914BA"/>
    <w:rsid w:val="00E9612B"/>
    <w:rsid w:val="00EA4D93"/>
    <w:rsid w:val="00EC43E5"/>
    <w:rsid w:val="00EC7680"/>
    <w:rsid w:val="00ED1EBB"/>
    <w:rsid w:val="00ED3111"/>
    <w:rsid w:val="00ED4677"/>
    <w:rsid w:val="00EF0CE6"/>
    <w:rsid w:val="00EF293E"/>
    <w:rsid w:val="00EF46CA"/>
    <w:rsid w:val="00F123A5"/>
    <w:rsid w:val="00F2278D"/>
    <w:rsid w:val="00F27FB9"/>
    <w:rsid w:val="00F41336"/>
    <w:rsid w:val="00F47AA4"/>
    <w:rsid w:val="00F51CD9"/>
    <w:rsid w:val="00F5361E"/>
    <w:rsid w:val="00F546D1"/>
    <w:rsid w:val="00F677FF"/>
    <w:rsid w:val="00F74D06"/>
    <w:rsid w:val="00F7610B"/>
    <w:rsid w:val="00F7664A"/>
    <w:rsid w:val="00F94165"/>
    <w:rsid w:val="00FA20A3"/>
    <w:rsid w:val="00FA4BF9"/>
    <w:rsid w:val="00FB2DBE"/>
    <w:rsid w:val="00FB603C"/>
    <w:rsid w:val="00FB6161"/>
    <w:rsid w:val="00FB6BDE"/>
    <w:rsid w:val="00FC08EF"/>
    <w:rsid w:val="00FD05A7"/>
    <w:rsid w:val="00FE20DC"/>
    <w:rsid w:val="00FE6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53C"/>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qFormat/>
    <w:rsid w:val="008E10F1"/>
    <w:pPr>
      <w:keepNext/>
      <w:tabs>
        <w:tab w:val="left" w:pos="720"/>
      </w:tabs>
      <w:autoSpaceDE/>
      <w:autoSpaceDN/>
      <w:adjustRightInd w:val="0"/>
      <w:spacing w:line="480" w:lineRule="auto"/>
      <w:ind w:left="720" w:hanging="720"/>
      <w:jc w:val="both"/>
      <w:textAlignment w:val="baseline"/>
      <w:outlineLvl w:val="0"/>
    </w:pPr>
  </w:style>
  <w:style w:type="paragraph" w:styleId="Heading2">
    <w:name w:val="heading 2"/>
    <w:basedOn w:val="Normal"/>
    <w:next w:val="Normal"/>
    <w:link w:val="Heading2Char"/>
    <w:qFormat/>
    <w:rsid w:val="008E10F1"/>
    <w:pPr>
      <w:keepNext/>
      <w:tabs>
        <w:tab w:val="left" w:pos="720"/>
      </w:tabs>
      <w:autoSpaceDE/>
      <w:autoSpaceDN/>
      <w:adjustRightInd w:val="0"/>
      <w:spacing w:line="480" w:lineRule="auto"/>
      <w:jc w:val="both"/>
      <w:textAlignment w:val="baseline"/>
      <w:outlineLvl w:val="1"/>
    </w:pPr>
    <w:rPr>
      <w:b/>
      <w:bCs/>
    </w:rPr>
  </w:style>
  <w:style w:type="paragraph" w:styleId="Heading3">
    <w:name w:val="heading 3"/>
    <w:basedOn w:val="Normal"/>
    <w:next w:val="Normal"/>
    <w:link w:val="Heading3Char"/>
    <w:qFormat/>
    <w:rsid w:val="008E10F1"/>
    <w:pPr>
      <w:keepNext/>
      <w:tabs>
        <w:tab w:val="left" w:pos="720"/>
      </w:tabs>
      <w:autoSpaceDE/>
      <w:autoSpaceDN/>
      <w:adjustRightInd w:val="0"/>
      <w:spacing w:line="480" w:lineRule="auto"/>
      <w:ind w:left="720" w:hanging="720"/>
      <w:jc w:val="both"/>
      <w:textAlignment w:val="baseline"/>
      <w:outlineLvl w:val="2"/>
    </w:pPr>
    <w:rPr>
      <w:b/>
      <w:bCs/>
    </w:rPr>
  </w:style>
  <w:style w:type="paragraph" w:styleId="Heading4">
    <w:name w:val="heading 4"/>
    <w:basedOn w:val="Normal"/>
    <w:next w:val="Normal"/>
    <w:link w:val="Heading4Char"/>
    <w:qFormat/>
    <w:rsid w:val="008E10F1"/>
    <w:pPr>
      <w:keepNext/>
      <w:tabs>
        <w:tab w:val="left" w:pos="720"/>
      </w:tabs>
      <w:autoSpaceDE/>
      <w:autoSpaceDN/>
      <w:adjustRightInd w:val="0"/>
      <w:spacing w:line="480" w:lineRule="auto"/>
      <w:ind w:left="720"/>
      <w:jc w:val="both"/>
      <w:textAlignment w:val="baseline"/>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753C"/>
    <w:pPr>
      <w:tabs>
        <w:tab w:val="center" w:pos="4680"/>
        <w:tab w:val="right" w:pos="9360"/>
      </w:tabs>
    </w:pPr>
  </w:style>
  <w:style w:type="character" w:customStyle="1" w:styleId="FooterChar">
    <w:name w:val="Footer Char"/>
    <w:basedOn w:val="DefaultParagraphFont"/>
    <w:link w:val="Footer"/>
    <w:rsid w:val="009D753C"/>
    <w:rPr>
      <w:rFonts w:ascii="Times New Roman" w:eastAsia="Times New Roman" w:hAnsi="Times New Roman" w:cs="Times New Roman"/>
      <w:sz w:val="24"/>
      <w:szCs w:val="24"/>
    </w:rPr>
  </w:style>
  <w:style w:type="character" w:styleId="PageNumber">
    <w:name w:val="page number"/>
    <w:basedOn w:val="DefaultParagraphFont"/>
    <w:rsid w:val="009D753C"/>
  </w:style>
  <w:style w:type="paragraph" w:styleId="FootnoteText">
    <w:name w:val="footnote text"/>
    <w:basedOn w:val="Normal"/>
    <w:link w:val="FootnoteTextChar"/>
    <w:rsid w:val="009D753C"/>
    <w:pPr>
      <w:spacing w:after="120"/>
      <w:ind w:firstLine="720"/>
      <w:jc w:val="both"/>
    </w:pPr>
    <w:rPr>
      <w:szCs w:val="20"/>
    </w:rPr>
  </w:style>
  <w:style w:type="character" w:customStyle="1" w:styleId="FootnoteTextChar">
    <w:name w:val="Footnote Text Char"/>
    <w:basedOn w:val="DefaultParagraphFont"/>
    <w:link w:val="FootnoteText"/>
    <w:rsid w:val="009D753C"/>
    <w:rPr>
      <w:rFonts w:ascii="Times New Roman" w:eastAsia="Times New Roman" w:hAnsi="Times New Roman" w:cs="Times New Roman"/>
      <w:sz w:val="24"/>
      <w:szCs w:val="20"/>
    </w:rPr>
  </w:style>
  <w:style w:type="character" w:styleId="LineNumber">
    <w:name w:val="line number"/>
    <w:basedOn w:val="DefaultParagraphFont"/>
    <w:rsid w:val="009D753C"/>
    <w:rPr>
      <w:rFonts w:ascii="Times New Roman" w:hAnsi="Times New Roman"/>
      <w:sz w:val="24"/>
    </w:rPr>
  </w:style>
  <w:style w:type="character" w:styleId="FootnoteReference">
    <w:name w:val="footnote reference"/>
    <w:basedOn w:val="DefaultParagraphFont"/>
    <w:uiPriority w:val="99"/>
    <w:rsid w:val="009D753C"/>
    <w:rPr>
      <w:vertAlign w:val="superscript"/>
    </w:rPr>
  </w:style>
  <w:style w:type="character" w:styleId="Hyperlink">
    <w:name w:val="Hyperlink"/>
    <w:basedOn w:val="DefaultParagraphFont"/>
    <w:uiPriority w:val="99"/>
    <w:rsid w:val="009D753C"/>
    <w:rPr>
      <w:color w:val="0000FF"/>
      <w:u w:val="single"/>
    </w:rPr>
  </w:style>
  <w:style w:type="character" w:styleId="CommentReference">
    <w:name w:val="annotation reference"/>
    <w:basedOn w:val="DefaultParagraphFont"/>
    <w:semiHidden/>
    <w:rsid w:val="009D753C"/>
    <w:rPr>
      <w:sz w:val="16"/>
      <w:szCs w:val="16"/>
    </w:rPr>
  </w:style>
  <w:style w:type="paragraph" w:styleId="CommentText">
    <w:name w:val="annotation text"/>
    <w:basedOn w:val="Normal"/>
    <w:link w:val="CommentTextChar"/>
    <w:semiHidden/>
    <w:rsid w:val="009D753C"/>
    <w:pPr>
      <w:widowControl/>
      <w:autoSpaceDE/>
      <w:autoSpaceDN/>
      <w:spacing w:line="240" w:lineRule="exact"/>
    </w:pPr>
    <w:rPr>
      <w:sz w:val="20"/>
      <w:szCs w:val="20"/>
    </w:rPr>
  </w:style>
  <w:style w:type="character" w:customStyle="1" w:styleId="CommentTextChar">
    <w:name w:val="Comment Text Char"/>
    <w:basedOn w:val="DefaultParagraphFont"/>
    <w:link w:val="CommentText"/>
    <w:semiHidden/>
    <w:rsid w:val="009D753C"/>
    <w:rPr>
      <w:rFonts w:ascii="Times New Roman" w:eastAsia="Times New Roman" w:hAnsi="Times New Roman" w:cs="Times New Roman"/>
      <w:sz w:val="20"/>
      <w:szCs w:val="20"/>
    </w:rPr>
  </w:style>
  <w:style w:type="paragraph" w:customStyle="1" w:styleId="Question">
    <w:name w:val="Question"/>
    <w:basedOn w:val="Normal"/>
    <w:next w:val="Answer"/>
    <w:rsid w:val="009D753C"/>
    <w:pPr>
      <w:keepNext/>
      <w:widowControl/>
      <w:spacing w:line="480" w:lineRule="auto"/>
      <w:ind w:left="720" w:hanging="720"/>
      <w:jc w:val="both"/>
    </w:pPr>
    <w:rPr>
      <w:rFonts w:ascii="Times New Roman Bold" w:hAnsi="Times New Roman Bold"/>
      <w:b/>
    </w:rPr>
  </w:style>
  <w:style w:type="paragraph" w:customStyle="1" w:styleId="Answer">
    <w:name w:val="Answer"/>
    <w:basedOn w:val="Normal"/>
    <w:next w:val="Normal"/>
    <w:link w:val="AnswerChar1"/>
    <w:qFormat/>
    <w:rsid w:val="009D753C"/>
    <w:pPr>
      <w:widowControl/>
      <w:numPr>
        <w:numId w:val="1"/>
      </w:numPr>
      <w:spacing w:after="240" w:line="480" w:lineRule="auto"/>
      <w:jc w:val="both"/>
    </w:pPr>
  </w:style>
  <w:style w:type="paragraph" w:styleId="BalloonText">
    <w:name w:val="Balloon Text"/>
    <w:basedOn w:val="Normal"/>
    <w:link w:val="BalloonTextChar"/>
    <w:semiHidden/>
    <w:unhideWhenUsed/>
    <w:rsid w:val="009D753C"/>
    <w:rPr>
      <w:rFonts w:ascii="Tahoma" w:hAnsi="Tahoma" w:cs="Tahoma"/>
      <w:sz w:val="16"/>
      <w:szCs w:val="16"/>
    </w:rPr>
  </w:style>
  <w:style w:type="character" w:customStyle="1" w:styleId="BalloonTextChar">
    <w:name w:val="Balloon Text Char"/>
    <w:basedOn w:val="DefaultParagraphFont"/>
    <w:link w:val="BalloonText"/>
    <w:semiHidden/>
    <w:rsid w:val="009D753C"/>
    <w:rPr>
      <w:rFonts w:ascii="Tahoma" w:eastAsia="Times New Roman" w:hAnsi="Tahoma" w:cs="Tahoma"/>
      <w:sz w:val="16"/>
      <w:szCs w:val="16"/>
    </w:rPr>
  </w:style>
  <w:style w:type="paragraph" w:styleId="BodyTextIndent">
    <w:name w:val="Body Text Indent"/>
    <w:basedOn w:val="Normal"/>
    <w:link w:val="BodyTextIndentChar"/>
    <w:rsid w:val="009D753C"/>
    <w:pPr>
      <w:tabs>
        <w:tab w:val="left" w:pos="720"/>
      </w:tabs>
      <w:autoSpaceDE/>
      <w:autoSpaceDN/>
      <w:adjustRightInd w:val="0"/>
      <w:spacing w:line="480" w:lineRule="auto"/>
      <w:jc w:val="both"/>
      <w:textAlignment w:val="baseline"/>
    </w:pPr>
  </w:style>
  <w:style w:type="character" w:customStyle="1" w:styleId="BodyTextIndentChar">
    <w:name w:val="Body Text Indent Char"/>
    <w:basedOn w:val="DefaultParagraphFont"/>
    <w:link w:val="BodyTextIndent"/>
    <w:rsid w:val="009D753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9D753C"/>
    <w:pPr>
      <w:widowControl w:val="0"/>
      <w:autoSpaceDE w:val="0"/>
      <w:autoSpaceDN w:val="0"/>
      <w:spacing w:line="240" w:lineRule="auto"/>
    </w:pPr>
    <w:rPr>
      <w:b/>
      <w:bCs/>
    </w:rPr>
  </w:style>
  <w:style w:type="character" w:customStyle="1" w:styleId="CommentSubjectChar">
    <w:name w:val="Comment Subject Char"/>
    <w:basedOn w:val="CommentTextChar"/>
    <w:link w:val="CommentSubject"/>
    <w:semiHidden/>
    <w:rsid w:val="009D753C"/>
    <w:rPr>
      <w:rFonts w:ascii="Times New Roman" w:eastAsia="Times New Roman" w:hAnsi="Times New Roman" w:cs="Times New Roman"/>
      <w:b/>
      <w:bCs/>
      <w:sz w:val="20"/>
      <w:szCs w:val="20"/>
    </w:rPr>
  </w:style>
  <w:style w:type="character" w:customStyle="1" w:styleId="DeltaViewInsertion">
    <w:name w:val="DeltaView Insertion"/>
    <w:uiPriority w:val="99"/>
    <w:rsid w:val="00892623"/>
    <w:rPr>
      <w:color w:val="0000FF"/>
      <w:u w:val="double"/>
    </w:rPr>
  </w:style>
  <w:style w:type="character" w:customStyle="1" w:styleId="AnswerChar1">
    <w:name w:val="Answer Char1"/>
    <w:basedOn w:val="DefaultParagraphFont"/>
    <w:link w:val="Answer"/>
    <w:rsid w:val="00892623"/>
    <w:rPr>
      <w:rFonts w:ascii="Times New Roman" w:eastAsia="Times New Roman" w:hAnsi="Times New Roman"/>
      <w:sz w:val="24"/>
      <w:szCs w:val="24"/>
      <w:lang w:eastAsia="en-US"/>
    </w:rPr>
  </w:style>
  <w:style w:type="paragraph" w:styleId="BodyTextIndent2">
    <w:name w:val="Body Text Indent 2"/>
    <w:basedOn w:val="Normal"/>
    <w:link w:val="BodyTextIndent2Char"/>
    <w:unhideWhenUsed/>
    <w:rsid w:val="008E10F1"/>
    <w:pPr>
      <w:spacing w:after="120" w:line="480" w:lineRule="auto"/>
      <w:ind w:left="360"/>
    </w:pPr>
  </w:style>
  <w:style w:type="character" w:customStyle="1" w:styleId="BodyTextIndent2Char">
    <w:name w:val="Body Text Indent 2 Char"/>
    <w:basedOn w:val="DefaultParagraphFont"/>
    <w:link w:val="BodyTextIndent2"/>
    <w:semiHidden/>
    <w:rsid w:val="008E10F1"/>
    <w:rPr>
      <w:rFonts w:ascii="Times New Roman" w:eastAsia="Times New Roman" w:hAnsi="Times New Roman"/>
      <w:sz w:val="24"/>
      <w:szCs w:val="24"/>
    </w:rPr>
  </w:style>
  <w:style w:type="character" w:customStyle="1" w:styleId="Heading1Char">
    <w:name w:val="Heading 1 Char"/>
    <w:basedOn w:val="DefaultParagraphFont"/>
    <w:link w:val="Heading1"/>
    <w:rsid w:val="008E10F1"/>
    <w:rPr>
      <w:rFonts w:ascii="Times New Roman" w:eastAsia="Times New Roman" w:hAnsi="Times New Roman"/>
      <w:sz w:val="24"/>
      <w:szCs w:val="24"/>
    </w:rPr>
  </w:style>
  <w:style w:type="character" w:customStyle="1" w:styleId="Heading2Char">
    <w:name w:val="Heading 2 Char"/>
    <w:basedOn w:val="DefaultParagraphFont"/>
    <w:link w:val="Heading2"/>
    <w:rsid w:val="008E10F1"/>
    <w:rPr>
      <w:rFonts w:ascii="Times New Roman" w:eastAsia="Times New Roman" w:hAnsi="Times New Roman"/>
      <w:b/>
      <w:bCs/>
      <w:sz w:val="24"/>
      <w:szCs w:val="24"/>
    </w:rPr>
  </w:style>
  <w:style w:type="character" w:customStyle="1" w:styleId="Heading3Char">
    <w:name w:val="Heading 3 Char"/>
    <w:basedOn w:val="DefaultParagraphFont"/>
    <w:link w:val="Heading3"/>
    <w:rsid w:val="008E10F1"/>
    <w:rPr>
      <w:rFonts w:ascii="Times New Roman" w:eastAsia="Times New Roman" w:hAnsi="Times New Roman"/>
      <w:b/>
      <w:bCs/>
      <w:sz w:val="24"/>
      <w:szCs w:val="24"/>
    </w:rPr>
  </w:style>
  <w:style w:type="character" w:customStyle="1" w:styleId="Heading4Char">
    <w:name w:val="Heading 4 Char"/>
    <w:basedOn w:val="DefaultParagraphFont"/>
    <w:link w:val="Heading4"/>
    <w:rsid w:val="008E10F1"/>
    <w:rPr>
      <w:rFonts w:ascii="Times New Roman" w:eastAsia="Times New Roman" w:hAnsi="Times New Roman"/>
      <w:b/>
      <w:bCs/>
      <w:sz w:val="24"/>
      <w:szCs w:val="24"/>
    </w:rPr>
  </w:style>
  <w:style w:type="numbering" w:customStyle="1" w:styleId="StyleOutlinenumbered">
    <w:name w:val="Style Outline numbered"/>
    <w:basedOn w:val="NoList"/>
    <w:rsid w:val="008E10F1"/>
    <w:pPr>
      <w:numPr>
        <w:numId w:val="2"/>
      </w:numPr>
    </w:pPr>
  </w:style>
  <w:style w:type="paragraph" w:styleId="Header">
    <w:name w:val="header"/>
    <w:basedOn w:val="Normal"/>
    <w:link w:val="HeaderChar"/>
    <w:rsid w:val="008E10F1"/>
    <w:pPr>
      <w:tabs>
        <w:tab w:val="center" w:pos="4320"/>
        <w:tab w:val="right" w:pos="8640"/>
      </w:tabs>
      <w:autoSpaceDE/>
      <w:autoSpaceDN/>
      <w:adjustRightInd w:val="0"/>
      <w:spacing w:line="360" w:lineRule="atLeast"/>
      <w:jc w:val="both"/>
      <w:textAlignment w:val="baseline"/>
    </w:pPr>
  </w:style>
  <w:style w:type="character" w:customStyle="1" w:styleId="HeaderChar">
    <w:name w:val="Header Char"/>
    <w:basedOn w:val="DefaultParagraphFont"/>
    <w:link w:val="Header"/>
    <w:rsid w:val="008E10F1"/>
    <w:rPr>
      <w:rFonts w:ascii="Times New Roman" w:eastAsia="Times New Roman" w:hAnsi="Times New Roman"/>
      <w:sz w:val="24"/>
      <w:szCs w:val="24"/>
    </w:rPr>
  </w:style>
  <w:style w:type="paragraph" w:styleId="BodyText">
    <w:name w:val="Body Text"/>
    <w:basedOn w:val="Normal"/>
    <w:link w:val="BodyTextChar"/>
    <w:rsid w:val="008E10F1"/>
    <w:pPr>
      <w:tabs>
        <w:tab w:val="left" w:pos="720"/>
      </w:tabs>
      <w:autoSpaceDE/>
      <w:autoSpaceDN/>
      <w:adjustRightInd w:val="0"/>
      <w:spacing w:line="480" w:lineRule="auto"/>
      <w:jc w:val="both"/>
      <w:textAlignment w:val="baseline"/>
    </w:pPr>
  </w:style>
  <w:style w:type="character" w:customStyle="1" w:styleId="BodyTextChar">
    <w:name w:val="Body Text Char"/>
    <w:basedOn w:val="DefaultParagraphFont"/>
    <w:link w:val="BodyText"/>
    <w:rsid w:val="008E10F1"/>
    <w:rPr>
      <w:rFonts w:ascii="Times New Roman" w:eastAsia="Times New Roman" w:hAnsi="Times New Roman"/>
      <w:sz w:val="24"/>
      <w:szCs w:val="24"/>
    </w:rPr>
  </w:style>
  <w:style w:type="paragraph" w:styleId="DocumentMap">
    <w:name w:val="Document Map"/>
    <w:basedOn w:val="Normal"/>
    <w:link w:val="DocumentMapChar"/>
    <w:semiHidden/>
    <w:rsid w:val="008E10F1"/>
    <w:pPr>
      <w:shd w:val="clear" w:color="auto" w:fill="000080"/>
      <w:autoSpaceDE/>
      <w:autoSpaceDN/>
      <w:adjustRightInd w:val="0"/>
      <w:spacing w:line="360" w:lineRule="atLeast"/>
      <w:jc w:val="both"/>
      <w:textAlignment w:val="baseline"/>
    </w:pPr>
    <w:rPr>
      <w:rFonts w:ascii="Tahoma" w:hAnsi="Tahoma" w:cs="Tahoma"/>
      <w:sz w:val="20"/>
      <w:szCs w:val="20"/>
    </w:rPr>
  </w:style>
  <w:style w:type="character" w:customStyle="1" w:styleId="DocumentMapChar">
    <w:name w:val="Document Map Char"/>
    <w:basedOn w:val="DefaultParagraphFont"/>
    <w:link w:val="DocumentMap"/>
    <w:semiHidden/>
    <w:rsid w:val="008E10F1"/>
    <w:rPr>
      <w:rFonts w:ascii="Tahoma" w:eastAsia="Times New Roman" w:hAnsi="Tahoma" w:cs="Tahoma"/>
      <w:shd w:val="clear" w:color="auto" w:fill="000080"/>
    </w:rPr>
  </w:style>
  <w:style w:type="paragraph" w:customStyle="1" w:styleId="answer0">
    <w:name w:val="answer"/>
    <w:basedOn w:val="Normal"/>
    <w:rsid w:val="008E10F1"/>
    <w:pPr>
      <w:autoSpaceDE/>
      <w:autoSpaceDN/>
      <w:adjustRightInd w:val="0"/>
      <w:spacing w:before="120" w:after="120" w:line="480" w:lineRule="auto"/>
      <w:ind w:left="720" w:hanging="720"/>
      <w:jc w:val="both"/>
      <w:textAlignment w:val="baseline"/>
    </w:pPr>
  </w:style>
  <w:style w:type="paragraph" w:customStyle="1" w:styleId="CharChar2CharCharCharChar">
    <w:name w:val="Char Char2 Char Char Char Char"/>
    <w:basedOn w:val="Normal"/>
    <w:rsid w:val="008E10F1"/>
    <w:pPr>
      <w:widowControl/>
      <w:autoSpaceDE/>
      <w:autoSpaceDN/>
      <w:spacing w:after="160" w:line="240" w:lineRule="exact"/>
    </w:pPr>
    <w:rPr>
      <w:rFonts w:ascii="Verdana" w:hAnsi="Verdana" w:cs="Verdana"/>
      <w:sz w:val="20"/>
      <w:szCs w:val="20"/>
    </w:rPr>
  </w:style>
  <w:style w:type="paragraph" w:customStyle="1" w:styleId="CharCharCharCharCharCharCharChar">
    <w:name w:val="Char Char Char Char Char Char Char Char"/>
    <w:basedOn w:val="Normal"/>
    <w:rsid w:val="008E10F1"/>
    <w:pPr>
      <w:widowControl/>
      <w:autoSpaceDE/>
      <w:autoSpaceDN/>
      <w:spacing w:after="160" w:line="240" w:lineRule="exact"/>
    </w:pPr>
    <w:rPr>
      <w:rFonts w:ascii="Verdana" w:hAnsi="Verdana" w:cs="Verdana"/>
      <w:sz w:val="20"/>
      <w:szCs w:val="20"/>
    </w:rPr>
  </w:style>
  <w:style w:type="paragraph" w:customStyle="1" w:styleId="CharChar">
    <w:name w:val="Char Char"/>
    <w:basedOn w:val="Normal"/>
    <w:rsid w:val="008E10F1"/>
    <w:pPr>
      <w:widowControl/>
      <w:autoSpaceDE/>
      <w:autoSpaceDN/>
      <w:spacing w:after="160" w:line="240" w:lineRule="exact"/>
    </w:pPr>
    <w:rPr>
      <w:rFonts w:ascii="Verdana" w:hAnsi="Verdana" w:cs="Verdana"/>
      <w:sz w:val="20"/>
      <w:szCs w:val="20"/>
    </w:rPr>
  </w:style>
  <w:style w:type="paragraph" w:customStyle="1" w:styleId="CharCharCharCharCharChar">
    <w:name w:val="Char Char Char Char Char Char"/>
    <w:basedOn w:val="Normal"/>
    <w:rsid w:val="008E10F1"/>
    <w:pPr>
      <w:autoSpaceDE/>
      <w:autoSpaceDN/>
      <w:adjustRightInd w:val="0"/>
      <w:spacing w:after="160" w:line="240" w:lineRule="exact"/>
      <w:jc w:val="both"/>
      <w:textAlignment w:val="baseline"/>
    </w:pPr>
    <w:rPr>
      <w:rFonts w:ascii="Verdana" w:hAnsi="Verdana"/>
      <w:sz w:val="20"/>
      <w:szCs w:val="20"/>
    </w:rPr>
  </w:style>
  <w:style w:type="paragraph" w:styleId="BodyTextIndent3">
    <w:name w:val="Body Text Indent 3"/>
    <w:basedOn w:val="Normal"/>
    <w:link w:val="BodyTextIndent3Char"/>
    <w:rsid w:val="008E10F1"/>
    <w:pPr>
      <w:widowControl/>
      <w:autoSpaceDE/>
      <w:autoSpaceDN/>
      <w:spacing w:after="120"/>
      <w:ind w:left="360"/>
    </w:pPr>
    <w:rPr>
      <w:sz w:val="16"/>
      <w:szCs w:val="16"/>
    </w:rPr>
  </w:style>
  <w:style w:type="character" w:customStyle="1" w:styleId="BodyTextIndent3Char">
    <w:name w:val="Body Text Indent 3 Char"/>
    <w:basedOn w:val="DefaultParagraphFont"/>
    <w:link w:val="BodyTextIndent3"/>
    <w:rsid w:val="008E10F1"/>
    <w:rPr>
      <w:rFonts w:ascii="Times New Roman" w:eastAsia="Times New Roman" w:hAnsi="Times New Roman"/>
      <w:sz w:val="16"/>
      <w:szCs w:val="16"/>
    </w:rPr>
  </w:style>
  <w:style w:type="paragraph" w:customStyle="1" w:styleId="CharChar2CharCharCharCharCharCharChar">
    <w:name w:val="Char Char2 Char Char Char Char Char Char Char"/>
    <w:basedOn w:val="Normal"/>
    <w:rsid w:val="008E10F1"/>
    <w:pPr>
      <w:widowControl/>
      <w:autoSpaceDE/>
      <w:autoSpaceDN/>
      <w:spacing w:after="160" w:line="240" w:lineRule="exact"/>
    </w:pPr>
    <w:rPr>
      <w:rFonts w:ascii="Verdana" w:hAnsi="Verdana"/>
      <w:sz w:val="20"/>
      <w:szCs w:val="20"/>
    </w:rPr>
  </w:style>
  <w:style w:type="paragraph" w:styleId="ListParagraph">
    <w:name w:val="List Paragraph"/>
    <w:basedOn w:val="Normal"/>
    <w:uiPriority w:val="34"/>
    <w:qFormat/>
    <w:rsid w:val="008E10F1"/>
    <w:pPr>
      <w:autoSpaceDE/>
      <w:autoSpaceDN/>
      <w:adjustRightInd w:val="0"/>
      <w:spacing w:line="360" w:lineRule="atLeast"/>
      <w:ind w:left="720"/>
      <w:contextualSpacing/>
      <w:jc w:val="both"/>
      <w:textAlignment w:val="baseline"/>
    </w:pPr>
  </w:style>
  <w:style w:type="paragraph" w:customStyle="1" w:styleId="CharCharCharCharChar">
    <w:name w:val="Char Char Char Char Char"/>
    <w:basedOn w:val="Normal"/>
    <w:rsid w:val="008E10F1"/>
    <w:pPr>
      <w:autoSpaceDE/>
      <w:autoSpaceDN/>
      <w:adjustRightInd w:val="0"/>
      <w:spacing w:after="160" w:line="240" w:lineRule="exact"/>
      <w:jc w:val="both"/>
      <w:textAlignment w:val="baseline"/>
    </w:pPr>
    <w:rPr>
      <w:rFonts w:ascii="Verdana" w:hAnsi="Verdana"/>
      <w:sz w:val="20"/>
      <w:szCs w:val="20"/>
    </w:rPr>
  </w:style>
  <w:style w:type="paragraph" w:styleId="BodyText2">
    <w:name w:val="Body Text 2"/>
    <w:basedOn w:val="Normal"/>
    <w:link w:val="BodyText2Char"/>
    <w:rsid w:val="008E10F1"/>
    <w:pPr>
      <w:autoSpaceDE/>
      <w:autoSpaceDN/>
      <w:adjustRightInd w:val="0"/>
      <w:spacing w:after="120" w:line="480" w:lineRule="auto"/>
      <w:jc w:val="both"/>
      <w:textAlignment w:val="baseline"/>
    </w:pPr>
  </w:style>
  <w:style w:type="character" w:customStyle="1" w:styleId="BodyText2Char">
    <w:name w:val="Body Text 2 Char"/>
    <w:basedOn w:val="DefaultParagraphFont"/>
    <w:link w:val="BodyText2"/>
    <w:rsid w:val="008E10F1"/>
    <w:rPr>
      <w:rFonts w:ascii="Times New Roman" w:eastAsia="Times New Roman" w:hAnsi="Times New Roman"/>
      <w:sz w:val="24"/>
      <w:szCs w:val="24"/>
    </w:rPr>
  </w:style>
  <w:style w:type="paragraph" w:customStyle="1" w:styleId="Default">
    <w:name w:val="Default"/>
    <w:rsid w:val="008E10F1"/>
    <w:pPr>
      <w:autoSpaceDE w:val="0"/>
      <w:autoSpaceDN w:val="0"/>
      <w:adjustRightInd w:val="0"/>
    </w:pPr>
    <w:rPr>
      <w:rFonts w:ascii="Times New Roman" w:eastAsia="Times New Roman" w:hAnsi="Times New Roman"/>
      <w:color w:val="000000"/>
      <w:sz w:val="24"/>
      <w:szCs w:val="24"/>
      <w:lang w:eastAsia="zh-CN"/>
    </w:rPr>
  </w:style>
  <w:style w:type="paragraph" w:customStyle="1" w:styleId="NormalTBGOneandahalfspacing">
    <w:name w:val="Normal TBG One and a half spacing"/>
    <w:basedOn w:val="Normal"/>
    <w:link w:val="NormalTBGOneandahalfspacingChar"/>
    <w:rsid w:val="008E10F1"/>
    <w:pPr>
      <w:widowControl/>
      <w:autoSpaceDE/>
      <w:autoSpaceDN/>
      <w:spacing w:line="360" w:lineRule="auto"/>
      <w:jc w:val="both"/>
    </w:pPr>
    <w:rPr>
      <w:szCs w:val="20"/>
    </w:rPr>
  </w:style>
  <w:style w:type="paragraph" w:customStyle="1" w:styleId="TBGTestimonyA">
    <w:name w:val="TBG Testimony A."/>
    <w:basedOn w:val="Normal"/>
    <w:next w:val="TBGTestimonyQ"/>
    <w:link w:val="TBGTestimonyACharChar"/>
    <w:autoRedefine/>
    <w:rsid w:val="008E10F1"/>
    <w:pPr>
      <w:numPr>
        <w:numId w:val="4"/>
      </w:numPr>
      <w:autoSpaceDE/>
      <w:autoSpaceDN/>
      <w:spacing w:line="480" w:lineRule="auto"/>
      <w:jc w:val="both"/>
    </w:pPr>
    <w:rPr>
      <w:szCs w:val="20"/>
    </w:rPr>
  </w:style>
  <w:style w:type="paragraph" w:customStyle="1" w:styleId="TBGTestimonyQ">
    <w:name w:val="TBG Testimony Q."/>
    <w:basedOn w:val="Normal"/>
    <w:next w:val="TBGTestimonyA"/>
    <w:autoRedefine/>
    <w:rsid w:val="008E10F1"/>
    <w:pPr>
      <w:keepNext/>
      <w:widowControl/>
      <w:numPr>
        <w:numId w:val="3"/>
      </w:numPr>
      <w:tabs>
        <w:tab w:val="clear" w:pos="840"/>
        <w:tab w:val="num" w:pos="720"/>
      </w:tabs>
      <w:autoSpaceDE/>
      <w:autoSpaceDN/>
      <w:spacing w:after="240" w:line="360" w:lineRule="auto"/>
      <w:ind w:left="720"/>
      <w:jc w:val="both"/>
    </w:pPr>
    <w:rPr>
      <w:rFonts w:ascii="Times New Roman Bold" w:hAnsi="Times New Roman Bold"/>
      <w:b/>
      <w:szCs w:val="20"/>
    </w:rPr>
  </w:style>
  <w:style w:type="character" w:customStyle="1" w:styleId="NormalTBGOneandahalfspacingChar">
    <w:name w:val="Normal TBG One and a half spacing Char"/>
    <w:link w:val="NormalTBGOneandahalfspacing"/>
    <w:rsid w:val="008E10F1"/>
    <w:rPr>
      <w:rFonts w:ascii="Times New Roman" w:eastAsia="Times New Roman" w:hAnsi="Times New Roman"/>
      <w:sz w:val="24"/>
    </w:rPr>
  </w:style>
  <w:style w:type="character" w:customStyle="1" w:styleId="TBGTestimonyACharChar">
    <w:name w:val="TBG Testimony A. Char Char"/>
    <w:link w:val="TBGTestimonyA"/>
    <w:rsid w:val="008E10F1"/>
    <w:rPr>
      <w:rFonts w:ascii="Times New Roman" w:eastAsia="Times New Roman" w:hAnsi="Times New Roman"/>
      <w:sz w:val="24"/>
      <w:lang w:eastAsia="en-US"/>
    </w:rPr>
  </w:style>
  <w:style w:type="paragraph" w:styleId="NormalWeb">
    <w:name w:val="Normal (Web)"/>
    <w:basedOn w:val="Normal"/>
    <w:uiPriority w:val="99"/>
    <w:unhideWhenUsed/>
    <w:rsid w:val="008E10F1"/>
    <w:pPr>
      <w:widowControl/>
      <w:autoSpaceDE/>
      <w:autoSpaceDN/>
      <w:spacing w:before="100" w:beforeAutospacing="1" w:after="100" w:afterAutospacing="1"/>
    </w:pPr>
  </w:style>
  <w:style w:type="paragraph" w:customStyle="1" w:styleId="Answercontinued">
    <w:name w:val="Answer continued"/>
    <w:basedOn w:val="Answer"/>
    <w:rsid w:val="008E10F1"/>
    <w:pPr>
      <w:numPr>
        <w:numId w:val="0"/>
      </w:numPr>
      <w:spacing w:after="0"/>
      <w:ind w:left="720" w:firstLine="720"/>
    </w:pPr>
    <w:rPr>
      <w:rFonts w:eastAsia="Calibri"/>
    </w:rPr>
  </w:style>
  <w:style w:type="paragraph" w:styleId="Revision">
    <w:name w:val="Revision"/>
    <w:hidden/>
    <w:uiPriority w:val="99"/>
    <w:semiHidden/>
    <w:rsid w:val="00A20953"/>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53C"/>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qFormat/>
    <w:rsid w:val="008E10F1"/>
    <w:pPr>
      <w:keepNext/>
      <w:tabs>
        <w:tab w:val="left" w:pos="720"/>
      </w:tabs>
      <w:autoSpaceDE/>
      <w:autoSpaceDN/>
      <w:adjustRightInd w:val="0"/>
      <w:spacing w:line="480" w:lineRule="auto"/>
      <w:ind w:left="720" w:hanging="720"/>
      <w:jc w:val="both"/>
      <w:textAlignment w:val="baseline"/>
      <w:outlineLvl w:val="0"/>
    </w:pPr>
  </w:style>
  <w:style w:type="paragraph" w:styleId="Heading2">
    <w:name w:val="heading 2"/>
    <w:basedOn w:val="Normal"/>
    <w:next w:val="Normal"/>
    <w:link w:val="Heading2Char"/>
    <w:qFormat/>
    <w:rsid w:val="008E10F1"/>
    <w:pPr>
      <w:keepNext/>
      <w:tabs>
        <w:tab w:val="left" w:pos="720"/>
      </w:tabs>
      <w:autoSpaceDE/>
      <w:autoSpaceDN/>
      <w:adjustRightInd w:val="0"/>
      <w:spacing w:line="480" w:lineRule="auto"/>
      <w:jc w:val="both"/>
      <w:textAlignment w:val="baseline"/>
      <w:outlineLvl w:val="1"/>
    </w:pPr>
    <w:rPr>
      <w:b/>
      <w:bCs/>
    </w:rPr>
  </w:style>
  <w:style w:type="paragraph" w:styleId="Heading3">
    <w:name w:val="heading 3"/>
    <w:basedOn w:val="Normal"/>
    <w:next w:val="Normal"/>
    <w:link w:val="Heading3Char"/>
    <w:qFormat/>
    <w:rsid w:val="008E10F1"/>
    <w:pPr>
      <w:keepNext/>
      <w:tabs>
        <w:tab w:val="left" w:pos="720"/>
      </w:tabs>
      <w:autoSpaceDE/>
      <w:autoSpaceDN/>
      <w:adjustRightInd w:val="0"/>
      <w:spacing w:line="480" w:lineRule="auto"/>
      <w:ind w:left="720" w:hanging="720"/>
      <w:jc w:val="both"/>
      <w:textAlignment w:val="baseline"/>
      <w:outlineLvl w:val="2"/>
    </w:pPr>
    <w:rPr>
      <w:b/>
      <w:bCs/>
    </w:rPr>
  </w:style>
  <w:style w:type="paragraph" w:styleId="Heading4">
    <w:name w:val="heading 4"/>
    <w:basedOn w:val="Normal"/>
    <w:next w:val="Normal"/>
    <w:link w:val="Heading4Char"/>
    <w:qFormat/>
    <w:rsid w:val="008E10F1"/>
    <w:pPr>
      <w:keepNext/>
      <w:tabs>
        <w:tab w:val="left" w:pos="720"/>
      </w:tabs>
      <w:autoSpaceDE/>
      <w:autoSpaceDN/>
      <w:adjustRightInd w:val="0"/>
      <w:spacing w:line="480" w:lineRule="auto"/>
      <w:ind w:left="720"/>
      <w:jc w:val="both"/>
      <w:textAlignment w:val="baseline"/>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753C"/>
    <w:pPr>
      <w:tabs>
        <w:tab w:val="center" w:pos="4680"/>
        <w:tab w:val="right" w:pos="9360"/>
      </w:tabs>
    </w:pPr>
  </w:style>
  <w:style w:type="character" w:customStyle="1" w:styleId="FooterChar">
    <w:name w:val="Footer Char"/>
    <w:basedOn w:val="DefaultParagraphFont"/>
    <w:link w:val="Footer"/>
    <w:rsid w:val="009D753C"/>
    <w:rPr>
      <w:rFonts w:ascii="Times New Roman" w:eastAsia="Times New Roman" w:hAnsi="Times New Roman" w:cs="Times New Roman"/>
      <w:sz w:val="24"/>
      <w:szCs w:val="24"/>
    </w:rPr>
  </w:style>
  <w:style w:type="character" w:styleId="PageNumber">
    <w:name w:val="page number"/>
    <w:basedOn w:val="DefaultParagraphFont"/>
    <w:rsid w:val="009D753C"/>
  </w:style>
  <w:style w:type="paragraph" w:styleId="FootnoteText">
    <w:name w:val="footnote text"/>
    <w:basedOn w:val="Normal"/>
    <w:link w:val="FootnoteTextChar"/>
    <w:rsid w:val="009D753C"/>
    <w:pPr>
      <w:spacing w:after="120"/>
      <w:ind w:firstLine="720"/>
      <w:jc w:val="both"/>
    </w:pPr>
    <w:rPr>
      <w:szCs w:val="20"/>
    </w:rPr>
  </w:style>
  <w:style w:type="character" w:customStyle="1" w:styleId="FootnoteTextChar">
    <w:name w:val="Footnote Text Char"/>
    <w:basedOn w:val="DefaultParagraphFont"/>
    <w:link w:val="FootnoteText"/>
    <w:rsid w:val="009D753C"/>
    <w:rPr>
      <w:rFonts w:ascii="Times New Roman" w:eastAsia="Times New Roman" w:hAnsi="Times New Roman" w:cs="Times New Roman"/>
      <w:sz w:val="24"/>
      <w:szCs w:val="20"/>
    </w:rPr>
  </w:style>
  <w:style w:type="character" w:styleId="LineNumber">
    <w:name w:val="line number"/>
    <w:basedOn w:val="DefaultParagraphFont"/>
    <w:rsid w:val="009D753C"/>
    <w:rPr>
      <w:rFonts w:ascii="Times New Roman" w:hAnsi="Times New Roman"/>
      <w:sz w:val="24"/>
    </w:rPr>
  </w:style>
  <w:style w:type="character" w:styleId="FootnoteReference">
    <w:name w:val="footnote reference"/>
    <w:basedOn w:val="DefaultParagraphFont"/>
    <w:uiPriority w:val="99"/>
    <w:rsid w:val="009D753C"/>
    <w:rPr>
      <w:vertAlign w:val="superscript"/>
    </w:rPr>
  </w:style>
  <w:style w:type="character" w:styleId="Hyperlink">
    <w:name w:val="Hyperlink"/>
    <w:basedOn w:val="DefaultParagraphFont"/>
    <w:uiPriority w:val="99"/>
    <w:rsid w:val="009D753C"/>
    <w:rPr>
      <w:color w:val="0000FF"/>
      <w:u w:val="single"/>
    </w:rPr>
  </w:style>
  <w:style w:type="character" w:styleId="CommentReference">
    <w:name w:val="annotation reference"/>
    <w:basedOn w:val="DefaultParagraphFont"/>
    <w:semiHidden/>
    <w:rsid w:val="009D753C"/>
    <w:rPr>
      <w:sz w:val="16"/>
      <w:szCs w:val="16"/>
    </w:rPr>
  </w:style>
  <w:style w:type="paragraph" w:styleId="CommentText">
    <w:name w:val="annotation text"/>
    <w:basedOn w:val="Normal"/>
    <w:link w:val="CommentTextChar"/>
    <w:semiHidden/>
    <w:rsid w:val="009D753C"/>
    <w:pPr>
      <w:widowControl/>
      <w:autoSpaceDE/>
      <w:autoSpaceDN/>
      <w:spacing w:line="240" w:lineRule="exact"/>
    </w:pPr>
    <w:rPr>
      <w:sz w:val="20"/>
      <w:szCs w:val="20"/>
    </w:rPr>
  </w:style>
  <w:style w:type="character" w:customStyle="1" w:styleId="CommentTextChar">
    <w:name w:val="Comment Text Char"/>
    <w:basedOn w:val="DefaultParagraphFont"/>
    <w:link w:val="CommentText"/>
    <w:semiHidden/>
    <w:rsid w:val="009D753C"/>
    <w:rPr>
      <w:rFonts w:ascii="Times New Roman" w:eastAsia="Times New Roman" w:hAnsi="Times New Roman" w:cs="Times New Roman"/>
      <w:sz w:val="20"/>
      <w:szCs w:val="20"/>
    </w:rPr>
  </w:style>
  <w:style w:type="paragraph" w:customStyle="1" w:styleId="Question">
    <w:name w:val="Question"/>
    <w:basedOn w:val="Normal"/>
    <w:next w:val="Answer"/>
    <w:rsid w:val="009D753C"/>
    <w:pPr>
      <w:keepNext/>
      <w:widowControl/>
      <w:spacing w:line="480" w:lineRule="auto"/>
      <w:ind w:left="720" w:hanging="720"/>
      <w:jc w:val="both"/>
    </w:pPr>
    <w:rPr>
      <w:rFonts w:ascii="Times New Roman Bold" w:hAnsi="Times New Roman Bold"/>
      <w:b/>
    </w:rPr>
  </w:style>
  <w:style w:type="paragraph" w:customStyle="1" w:styleId="Answer">
    <w:name w:val="Answer"/>
    <w:basedOn w:val="Normal"/>
    <w:next w:val="Normal"/>
    <w:link w:val="AnswerChar1"/>
    <w:qFormat/>
    <w:rsid w:val="009D753C"/>
    <w:pPr>
      <w:widowControl/>
      <w:numPr>
        <w:numId w:val="1"/>
      </w:numPr>
      <w:spacing w:after="240" w:line="480" w:lineRule="auto"/>
      <w:jc w:val="both"/>
    </w:pPr>
  </w:style>
  <w:style w:type="paragraph" w:styleId="BalloonText">
    <w:name w:val="Balloon Text"/>
    <w:basedOn w:val="Normal"/>
    <w:link w:val="BalloonTextChar"/>
    <w:semiHidden/>
    <w:unhideWhenUsed/>
    <w:rsid w:val="009D753C"/>
    <w:rPr>
      <w:rFonts w:ascii="Tahoma" w:hAnsi="Tahoma" w:cs="Tahoma"/>
      <w:sz w:val="16"/>
      <w:szCs w:val="16"/>
    </w:rPr>
  </w:style>
  <w:style w:type="character" w:customStyle="1" w:styleId="BalloonTextChar">
    <w:name w:val="Balloon Text Char"/>
    <w:basedOn w:val="DefaultParagraphFont"/>
    <w:link w:val="BalloonText"/>
    <w:semiHidden/>
    <w:rsid w:val="009D753C"/>
    <w:rPr>
      <w:rFonts w:ascii="Tahoma" w:eastAsia="Times New Roman" w:hAnsi="Tahoma" w:cs="Tahoma"/>
      <w:sz w:val="16"/>
      <w:szCs w:val="16"/>
    </w:rPr>
  </w:style>
  <w:style w:type="paragraph" w:styleId="BodyTextIndent">
    <w:name w:val="Body Text Indent"/>
    <w:basedOn w:val="Normal"/>
    <w:link w:val="BodyTextIndentChar"/>
    <w:rsid w:val="009D753C"/>
    <w:pPr>
      <w:tabs>
        <w:tab w:val="left" w:pos="720"/>
      </w:tabs>
      <w:autoSpaceDE/>
      <w:autoSpaceDN/>
      <w:adjustRightInd w:val="0"/>
      <w:spacing w:line="480" w:lineRule="auto"/>
      <w:jc w:val="both"/>
      <w:textAlignment w:val="baseline"/>
    </w:pPr>
  </w:style>
  <w:style w:type="character" w:customStyle="1" w:styleId="BodyTextIndentChar">
    <w:name w:val="Body Text Indent Char"/>
    <w:basedOn w:val="DefaultParagraphFont"/>
    <w:link w:val="BodyTextIndent"/>
    <w:rsid w:val="009D753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9D753C"/>
    <w:pPr>
      <w:widowControl w:val="0"/>
      <w:autoSpaceDE w:val="0"/>
      <w:autoSpaceDN w:val="0"/>
      <w:spacing w:line="240" w:lineRule="auto"/>
    </w:pPr>
    <w:rPr>
      <w:b/>
      <w:bCs/>
    </w:rPr>
  </w:style>
  <w:style w:type="character" w:customStyle="1" w:styleId="CommentSubjectChar">
    <w:name w:val="Comment Subject Char"/>
    <w:basedOn w:val="CommentTextChar"/>
    <w:link w:val="CommentSubject"/>
    <w:semiHidden/>
    <w:rsid w:val="009D753C"/>
    <w:rPr>
      <w:rFonts w:ascii="Times New Roman" w:eastAsia="Times New Roman" w:hAnsi="Times New Roman" w:cs="Times New Roman"/>
      <w:b/>
      <w:bCs/>
      <w:sz w:val="20"/>
      <w:szCs w:val="20"/>
    </w:rPr>
  </w:style>
  <w:style w:type="character" w:customStyle="1" w:styleId="DeltaViewInsertion">
    <w:name w:val="DeltaView Insertion"/>
    <w:uiPriority w:val="99"/>
    <w:rsid w:val="00892623"/>
    <w:rPr>
      <w:color w:val="0000FF"/>
      <w:u w:val="double"/>
    </w:rPr>
  </w:style>
  <w:style w:type="character" w:customStyle="1" w:styleId="AnswerChar1">
    <w:name w:val="Answer Char1"/>
    <w:basedOn w:val="DefaultParagraphFont"/>
    <w:link w:val="Answer"/>
    <w:rsid w:val="00892623"/>
    <w:rPr>
      <w:rFonts w:ascii="Times New Roman" w:eastAsia="Times New Roman" w:hAnsi="Times New Roman"/>
      <w:sz w:val="24"/>
      <w:szCs w:val="24"/>
      <w:lang w:eastAsia="en-US"/>
    </w:rPr>
  </w:style>
  <w:style w:type="paragraph" w:styleId="BodyTextIndent2">
    <w:name w:val="Body Text Indent 2"/>
    <w:basedOn w:val="Normal"/>
    <w:link w:val="BodyTextIndent2Char"/>
    <w:unhideWhenUsed/>
    <w:rsid w:val="008E10F1"/>
    <w:pPr>
      <w:spacing w:after="120" w:line="480" w:lineRule="auto"/>
      <w:ind w:left="360"/>
    </w:pPr>
  </w:style>
  <w:style w:type="character" w:customStyle="1" w:styleId="BodyTextIndent2Char">
    <w:name w:val="Body Text Indent 2 Char"/>
    <w:basedOn w:val="DefaultParagraphFont"/>
    <w:link w:val="BodyTextIndent2"/>
    <w:semiHidden/>
    <w:rsid w:val="008E10F1"/>
    <w:rPr>
      <w:rFonts w:ascii="Times New Roman" w:eastAsia="Times New Roman" w:hAnsi="Times New Roman"/>
      <w:sz w:val="24"/>
      <w:szCs w:val="24"/>
    </w:rPr>
  </w:style>
  <w:style w:type="character" w:customStyle="1" w:styleId="Heading1Char">
    <w:name w:val="Heading 1 Char"/>
    <w:basedOn w:val="DefaultParagraphFont"/>
    <w:link w:val="Heading1"/>
    <w:rsid w:val="008E10F1"/>
    <w:rPr>
      <w:rFonts w:ascii="Times New Roman" w:eastAsia="Times New Roman" w:hAnsi="Times New Roman"/>
      <w:sz w:val="24"/>
      <w:szCs w:val="24"/>
    </w:rPr>
  </w:style>
  <w:style w:type="character" w:customStyle="1" w:styleId="Heading2Char">
    <w:name w:val="Heading 2 Char"/>
    <w:basedOn w:val="DefaultParagraphFont"/>
    <w:link w:val="Heading2"/>
    <w:rsid w:val="008E10F1"/>
    <w:rPr>
      <w:rFonts w:ascii="Times New Roman" w:eastAsia="Times New Roman" w:hAnsi="Times New Roman"/>
      <w:b/>
      <w:bCs/>
      <w:sz w:val="24"/>
      <w:szCs w:val="24"/>
    </w:rPr>
  </w:style>
  <w:style w:type="character" w:customStyle="1" w:styleId="Heading3Char">
    <w:name w:val="Heading 3 Char"/>
    <w:basedOn w:val="DefaultParagraphFont"/>
    <w:link w:val="Heading3"/>
    <w:rsid w:val="008E10F1"/>
    <w:rPr>
      <w:rFonts w:ascii="Times New Roman" w:eastAsia="Times New Roman" w:hAnsi="Times New Roman"/>
      <w:b/>
      <w:bCs/>
      <w:sz w:val="24"/>
      <w:szCs w:val="24"/>
    </w:rPr>
  </w:style>
  <w:style w:type="character" w:customStyle="1" w:styleId="Heading4Char">
    <w:name w:val="Heading 4 Char"/>
    <w:basedOn w:val="DefaultParagraphFont"/>
    <w:link w:val="Heading4"/>
    <w:rsid w:val="008E10F1"/>
    <w:rPr>
      <w:rFonts w:ascii="Times New Roman" w:eastAsia="Times New Roman" w:hAnsi="Times New Roman"/>
      <w:b/>
      <w:bCs/>
      <w:sz w:val="24"/>
      <w:szCs w:val="24"/>
    </w:rPr>
  </w:style>
  <w:style w:type="numbering" w:customStyle="1" w:styleId="StyleOutlinenumbered">
    <w:name w:val="Style Outline numbered"/>
    <w:basedOn w:val="NoList"/>
    <w:rsid w:val="008E10F1"/>
    <w:pPr>
      <w:numPr>
        <w:numId w:val="2"/>
      </w:numPr>
    </w:pPr>
  </w:style>
  <w:style w:type="paragraph" w:styleId="Header">
    <w:name w:val="header"/>
    <w:basedOn w:val="Normal"/>
    <w:link w:val="HeaderChar"/>
    <w:rsid w:val="008E10F1"/>
    <w:pPr>
      <w:tabs>
        <w:tab w:val="center" w:pos="4320"/>
        <w:tab w:val="right" w:pos="8640"/>
      </w:tabs>
      <w:autoSpaceDE/>
      <w:autoSpaceDN/>
      <w:adjustRightInd w:val="0"/>
      <w:spacing w:line="360" w:lineRule="atLeast"/>
      <w:jc w:val="both"/>
      <w:textAlignment w:val="baseline"/>
    </w:pPr>
  </w:style>
  <w:style w:type="character" w:customStyle="1" w:styleId="HeaderChar">
    <w:name w:val="Header Char"/>
    <w:basedOn w:val="DefaultParagraphFont"/>
    <w:link w:val="Header"/>
    <w:rsid w:val="008E10F1"/>
    <w:rPr>
      <w:rFonts w:ascii="Times New Roman" w:eastAsia="Times New Roman" w:hAnsi="Times New Roman"/>
      <w:sz w:val="24"/>
      <w:szCs w:val="24"/>
    </w:rPr>
  </w:style>
  <w:style w:type="paragraph" w:styleId="BodyText">
    <w:name w:val="Body Text"/>
    <w:basedOn w:val="Normal"/>
    <w:link w:val="BodyTextChar"/>
    <w:rsid w:val="008E10F1"/>
    <w:pPr>
      <w:tabs>
        <w:tab w:val="left" w:pos="720"/>
      </w:tabs>
      <w:autoSpaceDE/>
      <w:autoSpaceDN/>
      <w:adjustRightInd w:val="0"/>
      <w:spacing w:line="480" w:lineRule="auto"/>
      <w:jc w:val="both"/>
      <w:textAlignment w:val="baseline"/>
    </w:pPr>
  </w:style>
  <w:style w:type="character" w:customStyle="1" w:styleId="BodyTextChar">
    <w:name w:val="Body Text Char"/>
    <w:basedOn w:val="DefaultParagraphFont"/>
    <w:link w:val="BodyText"/>
    <w:rsid w:val="008E10F1"/>
    <w:rPr>
      <w:rFonts w:ascii="Times New Roman" w:eastAsia="Times New Roman" w:hAnsi="Times New Roman"/>
      <w:sz w:val="24"/>
      <w:szCs w:val="24"/>
    </w:rPr>
  </w:style>
  <w:style w:type="paragraph" w:styleId="DocumentMap">
    <w:name w:val="Document Map"/>
    <w:basedOn w:val="Normal"/>
    <w:link w:val="DocumentMapChar"/>
    <w:semiHidden/>
    <w:rsid w:val="008E10F1"/>
    <w:pPr>
      <w:shd w:val="clear" w:color="auto" w:fill="000080"/>
      <w:autoSpaceDE/>
      <w:autoSpaceDN/>
      <w:adjustRightInd w:val="0"/>
      <w:spacing w:line="360" w:lineRule="atLeast"/>
      <w:jc w:val="both"/>
      <w:textAlignment w:val="baseline"/>
    </w:pPr>
    <w:rPr>
      <w:rFonts w:ascii="Tahoma" w:hAnsi="Tahoma" w:cs="Tahoma"/>
      <w:sz w:val="20"/>
      <w:szCs w:val="20"/>
    </w:rPr>
  </w:style>
  <w:style w:type="character" w:customStyle="1" w:styleId="DocumentMapChar">
    <w:name w:val="Document Map Char"/>
    <w:basedOn w:val="DefaultParagraphFont"/>
    <w:link w:val="DocumentMap"/>
    <w:semiHidden/>
    <w:rsid w:val="008E10F1"/>
    <w:rPr>
      <w:rFonts w:ascii="Tahoma" w:eastAsia="Times New Roman" w:hAnsi="Tahoma" w:cs="Tahoma"/>
      <w:shd w:val="clear" w:color="auto" w:fill="000080"/>
    </w:rPr>
  </w:style>
  <w:style w:type="paragraph" w:customStyle="1" w:styleId="answer0">
    <w:name w:val="answer"/>
    <w:basedOn w:val="Normal"/>
    <w:rsid w:val="008E10F1"/>
    <w:pPr>
      <w:autoSpaceDE/>
      <w:autoSpaceDN/>
      <w:adjustRightInd w:val="0"/>
      <w:spacing w:before="120" w:after="120" w:line="480" w:lineRule="auto"/>
      <w:ind w:left="720" w:hanging="720"/>
      <w:jc w:val="both"/>
      <w:textAlignment w:val="baseline"/>
    </w:pPr>
  </w:style>
  <w:style w:type="paragraph" w:customStyle="1" w:styleId="CharChar2CharCharCharChar">
    <w:name w:val="Char Char2 Char Char Char Char"/>
    <w:basedOn w:val="Normal"/>
    <w:rsid w:val="008E10F1"/>
    <w:pPr>
      <w:widowControl/>
      <w:autoSpaceDE/>
      <w:autoSpaceDN/>
      <w:spacing w:after="160" w:line="240" w:lineRule="exact"/>
    </w:pPr>
    <w:rPr>
      <w:rFonts w:ascii="Verdana" w:hAnsi="Verdana" w:cs="Verdana"/>
      <w:sz w:val="20"/>
      <w:szCs w:val="20"/>
    </w:rPr>
  </w:style>
  <w:style w:type="paragraph" w:customStyle="1" w:styleId="CharCharCharCharCharCharCharChar">
    <w:name w:val="Char Char Char Char Char Char Char Char"/>
    <w:basedOn w:val="Normal"/>
    <w:rsid w:val="008E10F1"/>
    <w:pPr>
      <w:widowControl/>
      <w:autoSpaceDE/>
      <w:autoSpaceDN/>
      <w:spacing w:after="160" w:line="240" w:lineRule="exact"/>
    </w:pPr>
    <w:rPr>
      <w:rFonts w:ascii="Verdana" w:hAnsi="Verdana" w:cs="Verdana"/>
      <w:sz w:val="20"/>
      <w:szCs w:val="20"/>
    </w:rPr>
  </w:style>
  <w:style w:type="paragraph" w:customStyle="1" w:styleId="CharChar">
    <w:name w:val="Char Char"/>
    <w:basedOn w:val="Normal"/>
    <w:rsid w:val="008E10F1"/>
    <w:pPr>
      <w:widowControl/>
      <w:autoSpaceDE/>
      <w:autoSpaceDN/>
      <w:spacing w:after="160" w:line="240" w:lineRule="exact"/>
    </w:pPr>
    <w:rPr>
      <w:rFonts w:ascii="Verdana" w:hAnsi="Verdana" w:cs="Verdana"/>
      <w:sz w:val="20"/>
      <w:szCs w:val="20"/>
    </w:rPr>
  </w:style>
  <w:style w:type="paragraph" w:customStyle="1" w:styleId="CharCharCharCharCharChar">
    <w:name w:val="Char Char Char Char Char Char"/>
    <w:basedOn w:val="Normal"/>
    <w:rsid w:val="008E10F1"/>
    <w:pPr>
      <w:autoSpaceDE/>
      <w:autoSpaceDN/>
      <w:adjustRightInd w:val="0"/>
      <w:spacing w:after="160" w:line="240" w:lineRule="exact"/>
      <w:jc w:val="both"/>
      <w:textAlignment w:val="baseline"/>
    </w:pPr>
    <w:rPr>
      <w:rFonts w:ascii="Verdana" w:hAnsi="Verdana"/>
      <w:sz w:val="20"/>
      <w:szCs w:val="20"/>
    </w:rPr>
  </w:style>
  <w:style w:type="paragraph" w:styleId="BodyTextIndent3">
    <w:name w:val="Body Text Indent 3"/>
    <w:basedOn w:val="Normal"/>
    <w:link w:val="BodyTextIndent3Char"/>
    <w:rsid w:val="008E10F1"/>
    <w:pPr>
      <w:widowControl/>
      <w:autoSpaceDE/>
      <w:autoSpaceDN/>
      <w:spacing w:after="120"/>
      <w:ind w:left="360"/>
    </w:pPr>
    <w:rPr>
      <w:sz w:val="16"/>
      <w:szCs w:val="16"/>
    </w:rPr>
  </w:style>
  <w:style w:type="character" w:customStyle="1" w:styleId="BodyTextIndent3Char">
    <w:name w:val="Body Text Indent 3 Char"/>
    <w:basedOn w:val="DefaultParagraphFont"/>
    <w:link w:val="BodyTextIndent3"/>
    <w:rsid w:val="008E10F1"/>
    <w:rPr>
      <w:rFonts w:ascii="Times New Roman" w:eastAsia="Times New Roman" w:hAnsi="Times New Roman"/>
      <w:sz w:val="16"/>
      <w:szCs w:val="16"/>
    </w:rPr>
  </w:style>
  <w:style w:type="paragraph" w:customStyle="1" w:styleId="CharChar2CharCharCharCharCharCharChar">
    <w:name w:val="Char Char2 Char Char Char Char Char Char Char"/>
    <w:basedOn w:val="Normal"/>
    <w:rsid w:val="008E10F1"/>
    <w:pPr>
      <w:widowControl/>
      <w:autoSpaceDE/>
      <w:autoSpaceDN/>
      <w:spacing w:after="160" w:line="240" w:lineRule="exact"/>
    </w:pPr>
    <w:rPr>
      <w:rFonts w:ascii="Verdana" w:hAnsi="Verdana"/>
      <w:sz w:val="20"/>
      <w:szCs w:val="20"/>
    </w:rPr>
  </w:style>
  <w:style w:type="paragraph" w:styleId="ListParagraph">
    <w:name w:val="List Paragraph"/>
    <w:basedOn w:val="Normal"/>
    <w:uiPriority w:val="34"/>
    <w:qFormat/>
    <w:rsid w:val="008E10F1"/>
    <w:pPr>
      <w:autoSpaceDE/>
      <w:autoSpaceDN/>
      <w:adjustRightInd w:val="0"/>
      <w:spacing w:line="360" w:lineRule="atLeast"/>
      <w:ind w:left="720"/>
      <w:contextualSpacing/>
      <w:jc w:val="both"/>
      <w:textAlignment w:val="baseline"/>
    </w:pPr>
  </w:style>
  <w:style w:type="paragraph" w:customStyle="1" w:styleId="CharCharCharCharChar">
    <w:name w:val="Char Char Char Char Char"/>
    <w:basedOn w:val="Normal"/>
    <w:rsid w:val="008E10F1"/>
    <w:pPr>
      <w:autoSpaceDE/>
      <w:autoSpaceDN/>
      <w:adjustRightInd w:val="0"/>
      <w:spacing w:after="160" w:line="240" w:lineRule="exact"/>
      <w:jc w:val="both"/>
      <w:textAlignment w:val="baseline"/>
    </w:pPr>
    <w:rPr>
      <w:rFonts w:ascii="Verdana" w:hAnsi="Verdana"/>
      <w:sz w:val="20"/>
      <w:szCs w:val="20"/>
    </w:rPr>
  </w:style>
  <w:style w:type="paragraph" w:styleId="BodyText2">
    <w:name w:val="Body Text 2"/>
    <w:basedOn w:val="Normal"/>
    <w:link w:val="BodyText2Char"/>
    <w:rsid w:val="008E10F1"/>
    <w:pPr>
      <w:autoSpaceDE/>
      <w:autoSpaceDN/>
      <w:adjustRightInd w:val="0"/>
      <w:spacing w:after="120" w:line="480" w:lineRule="auto"/>
      <w:jc w:val="both"/>
      <w:textAlignment w:val="baseline"/>
    </w:pPr>
  </w:style>
  <w:style w:type="character" w:customStyle="1" w:styleId="BodyText2Char">
    <w:name w:val="Body Text 2 Char"/>
    <w:basedOn w:val="DefaultParagraphFont"/>
    <w:link w:val="BodyText2"/>
    <w:rsid w:val="008E10F1"/>
    <w:rPr>
      <w:rFonts w:ascii="Times New Roman" w:eastAsia="Times New Roman" w:hAnsi="Times New Roman"/>
      <w:sz w:val="24"/>
      <w:szCs w:val="24"/>
    </w:rPr>
  </w:style>
  <w:style w:type="paragraph" w:customStyle="1" w:styleId="Default">
    <w:name w:val="Default"/>
    <w:rsid w:val="008E10F1"/>
    <w:pPr>
      <w:autoSpaceDE w:val="0"/>
      <w:autoSpaceDN w:val="0"/>
      <w:adjustRightInd w:val="0"/>
    </w:pPr>
    <w:rPr>
      <w:rFonts w:ascii="Times New Roman" w:eastAsia="Times New Roman" w:hAnsi="Times New Roman"/>
      <w:color w:val="000000"/>
      <w:sz w:val="24"/>
      <w:szCs w:val="24"/>
      <w:lang w:eastAsia="zh-CN"/>
    </w:rPr>
  </w:style>
  <w:style w:type="paragraph" w:customStyle="1" w:styleId="NormalTBGOneandahalfspacing">
    <w:name w:val="Normal TBG One and a half spacing"/>
    <w:basedOn w:val="Normal"/>
    <w:link w:val="NormalTBGOneandahalfspacingChar"/>
    <w:rsid w:val="008E10F1"/>
    <w:pPr>
      <w:widowControl/>
      <w:autoSpaceDE/>
      <w:autoSpaceDN/>
      <w:spacing w:line="360" w:lineRule="auto"/>
      <w:jc w:val="both"/>
    </w:pPr>
    <w:rPr>
      <w:szCs w:val="20"/>
    </w:rPr>
  </w:style>
  <w:style w:type="paragraph" w:customStyle="1" w:styleId="TBGTestimonyA">
    <w:name w:val="TBG Testimony A."/>
    <w:basedOn w:val="Normal"/>
    <w:next w:val="TBGTestimonyQ"/>
    <w:link w:val="TBGTestimonyACharChar"/>
    <w:autoRedefine/>
    <w:rsid w:val="008E10F1"/>
    <w:pPr>
      <w:numPr>
        <w:numId w:val="4"/>
      </w:numPr>
      <w:autoSpaceDE/>
      <w:autoSpaceDN/>
      <w:spacing w:line="480" w:lineRule="auto"/>
      <w:jc w:val="both"/>
    </w:pPr>
    <w:rPr>
      <w:szCs w:val="20"/>
    </w:rPr>
  </w:style>
  <w:style w:type="paragraph" w:customStyle="1" w:styleId="TBGTestimonyQ">
    <w:name w:val="TBG Testimony Q."/>
    <w:basedOn w:val="Normal"/>
    <w:next w:val="TBGTestimonyA"/>
    <w:autoRedefine/>
    <w:rsid w:val="008E10F1"/>
    <w:pPr>
      <w:keepNext/>
      <w:widowControl/>
      <w:numPr>
        <w:numId w:val="3"/>
      </w:numPr>
      <w:tabs>
        <w:tab w:val="clear" w:pos="840"/>
        <w:tab w:val="num" w:pos="720"/>
      </w:tabs>
      <w:autoSpaceDE/>
      <w:autoSpaceDN/>
      <w:spacing w:after="240" w:line="360" w:lineRule="auto"/>
      <w:ind w:left="720"/>
      <w:jc w:val="both"/>
    </w:pPr>
    <w:rPr>
      <w:rFonts w:ascii="Times New Roman Bold" w:hAnsi="Times New Roman Bold"/>
      <w:b/>
      <w:szCs w:val="20"/>
    </w:rPr>
  </w:style>
  <w:style w:type="character" w:customStyle="1" w:styleId="NormalTBGOneandahalfspacingChar">
    <w:name w:val="Normal TBG One and a half spacing Char"/>
    <w:link w:val="NormalTBGOneandahalfspacing"/>
    <w:rsid w:val="008E10F1"/>
    <w:rPr>
      <w:rFonts w:ascii="Times New Roman" w:eastAsia="Times New Roman" w:hAnsi="Times New Roman"/>
      <w:sz w:val="24"/>
    </w:rPr>
  </w:style>
  <w:style w:type="character" w:customStyle="1" w:styleId="TBGTestimonyACharChar">
    <w:name w:val="TBG Testimony A. Char Char"/>
    <w:link w:val="TBGTestimonyA"/>
    <w:rsid w:val="008E10F1"/>
    <w:rPr>
      <w:rFonts w:ascii="Times New Roman" w:eastAsia="Times New Roman" w:hAnsi="Times New Roman"/>
      <w:sz w:val="24"/>
      <w:lang w:eastAsia="en-US"/>
    </w:rPr>
  </w:style>
  <w:style w:type="paragraph" w:styleId="NormalWeb">
    <w:name w:val="Normal (Web)"/>
    <w:basedOn w:val="Normal"/>
    <w:uiPriority w:val="99"/>
    <w:unhideWhenUsed/>
    <w:rsid w:val="008E10F1"/>
    <w:pPr>
      <w:widowControl/>
      <w:autoSpaceDE/>
      <w:autoSpaceDN/>
      <w:spacing w:before="100" w:beforeAutospacing="1" w:after="100" w:afterAutospacing="1"/>
    </w:pPr>
  </w:style>
  <w:style w:type="paragraph" w:customStyle="1" w:styleId="Answercontinued">
    <w:name w:val="Answer continued"/>
    <w:basedOn w:val="Answer"/>
    <w:rsid w:val="008E10F1"/>
    <w:pPr>
      <w:numPr>
        <w:numId w:val="0"/>
      </w:numPr>
      <w:spacing w:after="0"/>
      <w:ind w:left="720" w:firstLine="720"/>
    </w:pPr>
    <w:rPr>
      <w:rFonts w:eastAsia="Calibri"/>
    </w:rPr>
  </w:style>
  <w:style w:type="paragraph" w:styleId="Revision">
    <w:name w:val="Revision"/>
    <w:hidden/>
    <w:uiPriority w:val="99"/>
    <w:semiHidden/>
    <w:rsid w:val="00A20953"/>
    <w:rPr>
      <w:rFonts w:ascii="Times" w:eastAsia="Times" w:hAnsi="Times"/>
      <w:sz w:val="24"/>
    </w:rPr>
  </w:style>
</w:styles>
</file>

<file path=word/webSettings.xml><?xml version="1.0" encoding="utf-8"?>
<w:webSettings xmlns:r="http://schemas.openxmlformats.org/officeDocument/2006/relationships" xmlns:w="http://schemas.openxmlformats.org/wordprocessingml/2006/main">
  <w:divs>
    <w:div w:id="14013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3.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2011-08-08T07:00:00+00:00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A5D21-A22B-4AF6-AABC-CA7BEFE3ED9C}"/>
</file>

<file path=customXml/itemProps2.xml><?xml version="1.0" encoding="utf-8"?>
<ds:datastoreItem xmlns:ds="http://schemas.openxmlformats.org/officeDocument/2006/customXml" ds:itemID="{21C7A640-EF95-452F-8BEA-1343353CF64E}"/>
</file>

<file path=customXml/itemProps3.xml><?xml version="1.0" encoding="utf-8"?>
<ds:datastoreItem xmlns:ds="http://schemas.openxmlformats.org/officeDocument/2006/customXml" ds:itemID="{D9561099-6187-473B-A2E9-43B19432F583}"/>
</file>

<file path=customXml/itemProps4.xml><?xml version="1.0" encoding="utf-8"?>
<ds:datastoreItem xmlns:ds="http://schemas.openxmlformats.org/officeDocument/2006/customXml" ds:itemID="{8EFB3EA4-6FAB-499D-8511-BDB3921E7CFB}"/>
</file>

<file path=docProps/app.xml><?xml version="1.0" encoding="utf-8"?>
<Properties xmlns="http://schemas.openxmlformats.org/officeDocument/2006/extended-properties" xmlns:vt="http://schemas.openxmlformats.org/officeDocument/2006/docPropsVTypes">
  <Template>Normal.dotm</Template>
  <TotalTime>0</TotalTime>
  <Pages>12</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2011-08-08T16:37:00Z</dcterms:created>
  <dcterms:modified xsi:type="dcterms:W3CDTF">2011-08-08T18:21:00Z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