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93458" w14:textId="77777777" w:rsidR="000D75D7" w:rsidRDefault="00D1545F" w:rsidP="000D75D7">
      <w:pPr>
        <w:rPr>
          <w:rFonts w:asciiTheme="majorHAnsi" w:hAnsiTheme="majorHAnsi"/>
        </w:rPr>
      </w:pPr>
      <w:bookmarkStart w:id="0" w:name="_GoBack"/>
      <w:bookmarkEnd w:id="0"/>
      <w:r>
        <w:rPr>
          <w:rFonts w:asciiTheme="majorHAnsi" w:hAnsiTheme="majorHAnsi"/>
        </w:rPr>
        <w:t>February 1, 2016</w:t>
      </w:r>
    </w:p>
    <w:p w14:paraId="7B29BB28" w14:textId="77777777" w:rsidR="000D75D7" w:rsidRDefault="000D75D7" w:rsidP="000D75D7">
      <w:pPr>
        <w:rPr>
          <w:rFonts w:asciiTheme="majorHAnsi" w:hAnsiTheme="majorHAnsi"/>
        </w:rPr>
      </w:pPr>
    </w:p>
    <w:p w14:paraId="0AFDDE4B" w14:textId="77777777" w:rsidR="000D75D7" w:rsidRDefault="000D75D7" w:rsidP="000D75D7">
      <w:pPr>
        <w:rPr>
          <w:rFonts w:asciiTheme="majorHAnsi" w:hAnsiTheme="majorHAnsi"/>
        </w:rPr>
      </w:pPr>
      <w:r>
        <w:rPr>
          <w:rFonts w:asciiTheme="majorHAnsi" w:hAnsiTheme="majorHAnsi"/>
        </w:rPr>
        <w:t>Steven V. King</w:t>
      </w:r>
    </w:p>
    <w:p w14:paraId="484595AC" w14:textId="77777777" w:rsidR="000D75D7" w:rsidRDefault="000D75D7" w:rsidP="000D75D7">
      <w:pPr>
        <w:rPr>
          <w:rFonts w:asciiTheme="majorHAnsi" w:hAnsiTheme="majorHAnsi"/>
        </w:rPr>
      </w:pPr>
      <w:r>
        <w:rPr>
          <w:rFonts w:asciiTheme="majorHAnsi" w:hAnsiTheme="majorHAnsi"/>
        </w:rPr>
        <w:t>Executive Director and Secretary</w:t>
      </w:r>
    </w:p>
    <w:p w14:paraId="308BCAB1" w14:textId="77777777" w:rsidR="000D75D7" w:rsidRDefault="000D75D7" w:rsidP="000D75D7">
      <w:pPr>
        <w:rPr>
          <w:rFonts w:asciiTheme="majorHAnsi" w:hAnsiTheme="majorHAnsi"/>
        </w:rPr>
      </w:pPr>
      <w:r>
        <w:rPr>
          <w:rFonts w:asciiTheme="majorHAnsi" w:hAnsiTheme="majorHAnsi"/>
        </w:rPr>
        <w:t>Washington Utilities and Transportation Commission</w:t>
      </w:r>
    </w:p>
    <w:p w14:paraId="7DEBAEA8" w14:textId="77777777" w:rsidR="000D75D7" w:rsidRDefault="000D75D7" w:rsidP="000D75D7">
      <w:pPr>
        <w:rPr>
          <w:rFonts w:asciiTheme="majorHAnsi" w:hAnsiTheme="majorHAnsi"/>
        </w:rPr>
      </w:pPr>
      <w:r>
        <w:rPr>
          <w:rFonts w:asciiTheme="majorHAnsi" w:hAnsiTheme="majorHAnsi"/>
        </w:rPr>
        <w:t>P.O. Box 47250</w:t>
      </w:r>
    </w:p>
    <w:p w14:paraId="55985260" w14:textId="77777777" w:rsidR="000D75D7" w:rsidRDefault="000D75D7" w:rsidP="000D75D7">
      <w:pPr>
        <w:rPr>
          <w:rFonts w:asciiTheme="majorHAnsi" w:hAnsiTheme="majorHAnsi"/>
        </w:rPr>
      </w:pPr>
      <w:r>
        <w:rPr>
          <w:rFonts w:asciiTheme="majorHAnsi" w:hAnsiTheme="majorHAnsi"/>
        </w:rPr>
        <w:t>1300 S. Evergreen Park Drive S.W.</w:t>
      </w:r>
    </w:p>
    <w:p w14:paraId="4F9D03B7" w14:textId="77777777" w:rsidR="000D75D7" w:rsidRDefault="000D75D7" w:rsidP="000D75D7">
      <w:pPr>
        <w:rPr>
          <w:rFonts w:asciiTheme="majorHAnsi" w:hAnsiTheme="majorHAnsi"/>
        </w:rPr>
      </w:pPr>
      <w:r>
        <w:rPr>
          <w:rFonts w:asciiTheme="majorHAnsi" w:hAnsiTheme="majorHAnsi"/>
        </w:rPr>
        <w:t>Olympia, WA 98504-7250</w:t>
      </w:r>
    </w:p>
    <w:p w14:paraId="55A47153" w14:textId="77777777" w:rsidR="00E5553F" w:rsidRDefault="00E5553F" w:rsidP="000D75D7">
      <w:pPr>
        <w:rPr>
          <w:rFonts w:asciiTheme="majorHAnsi" w:hAnsiTheme="majorHAnsi"/>
        </w:rPr>
      </w:pPr>
    </w:p>
    <w:p w14:paraId="209C61EF" w14:textId="77777777" w:rsidR="00E5553F" w:rsidRDefault="00E5553F" w:rsidP="000D75D7">
      <w:pPr>
        <w:rPr>
          <w:rFonts w:asciiTheme="majorHAnsi" w:hAnsiTheme="majorHAnsi"/>
        </w:rPr>
      </w:pPr>
    </w:p>
    <w:p w14:paraId="2A65CD11" w14:textId="77777777" w:rsidR="000D75D7" w:rsidRDefault="000D75D7" w:rsidP="000D75D7">
      <w:pPr>
        <w:rPr>
          <w:rFonts w:asciiTheme="majorHAnsi" w:hAnsiTheme="majorHAnsi"/>
          <w:b/>
        </w:rPr>
      </w:pPr>
      <w:r>
        <w:rPr>
          <w:rFonts w:asciiTheme="majorHAnsi" w:hAnsiTheme="majorHAnsi"/>
        </w:rPr>
        <w:tab/>
      </w:r>
      <w:r>
        <w:rPr>
          <w:rFonts w:asciiTheme="majorHAnsi" w:hAnsiTheme="majorHAnsi"/>
          <w:b/>
        </w:rPr>
        <w:t xml:space="preserve">RE: Comments of Renewable Northwest </w:t>
      </w:r>
    </w:p>
    <w:p w14:paraId="1E78C458" w14:textId="17EB9D2F" w:rsidR="000D75D7" w:rsidRDefault="000D75D7" w:rsidP="000D75D7">
      <w:pPr>
        <w:ind w:left="720"/>
        <w:rPr>
          <w:rFonts w:asciiTheme="majorHAnsi" w:hAnsiTheme="majorHAnsi"/>
          <w:i/>
        </w:rPr>
      </w:pPr>
      <w:r>
        <w:rPr>
          <w:rFonts w:asciiTheme="majorHAnsi" w:hAnsiTheme="majorHAnsi"/>
          <w:b/>
        </w:rPr>
        <w:t>Docket UE-</w:t>
      </w:r>
      <w:r w:rsidR="00F733B2">
        <w:rPr>
          <w:rFonts w:asciiTheme="majorHAnsi" w:hAnsiTheme="majorHAnsi"/>
          <w:b/>
        </w:rPr>
        <w:t>14117</w:t>
      </w:r>
      <w:r w:rsidR="00EC039B">
        <w:rPr>
          <w:rFonts w:asciiTheme="majorHAnsi" w:hAnsiTheme="majorHAnsi"/>
          <w:b/>
        </w:rPr>
        <w:t>0</w:t>
      </w:r>
      <w:r>
        <w:rPr>
          <w:rFonts w:asciiTheme="majorHAnsi" w:hAnsiTheme="majorHAnsi"/>
          <w:b/>
        </w:rPr>
        <w:t>—</w:t>
      </w:r>
      <w:r>
        <w:rPr>
          <w:rFonts w:asciiTheme="majorHAnsi" w:hAnsiTheme="majorHAnsi"/>
          <w:i/>
        </w:rPr>
        <w:t xml:space="preserve">Commission’s </w:t>
      </w:r>
      <w:r w:rsidR="00EC039B">
        <w:rPr>
          <w:rFonts w:asciiTheme="majorHAnsi" w:hAnsiTheme="majorHAnsi"/>
          <w:i/>
        </w:rPr>
        <w:t>January 6, 2016 Amen</w:t>
      </w:r>
      <w:r w:rsidR="00402B61">
        <w:rPr>
          <w:rFonts w:asciiTheme="majorHAnsi" w:hAnsiTheme="majorHAnsi"/>
          <w:i/>
        </w:rPr>
        <w:t>d</w:t>
      </w:r>
      <w:r w:rsidR="00EC039B">
        <w:rPr>
          <w:rFonts w:asciiTheme="majorHAnsi" w:hAnsiTheme="majorHAnsi"/>
          <w:i/>
        </w:rPr>
        <w:t>ed</w:t>
      </w:r>
      <w:r>
        <w:rPr>
          <w:rFonts w:asciiTheme="majorHAnsi" w:hAnsiTheme="majorHAnsi"/>
          <w:i/>
        </w:rPr>
        <w:t xml:space="preserve"> Notice of Opportunity to File Written Comments on </w:t>
      </w:r>
      <w:r w:rsidR="00EC039B">
        <w:rPr>
          <w:rFonts w:asciiTheme="majorHAnsi" w:hAnsiTheme="majorHAnsi"/>
          <w:i/>
        </w:rPr>
        <w:t xml:space="preserve">Puget Sound Energy </w:t>
      </w:r>
      <w:r>
        <w:rPr>
          <w:rFonts w:asciiTheme="majorHAnsi" w:hAnsiTheme="majorHAnsi"/>
          <w:i/>
        </w:rPr>
        <w:t>2015 Integrated Resource Plan.</w:t>
      </w:r>
    </w:p>
    <w:p w14:paraId="1A111C2B" w14:textId="77777777" w:rsidR="00EC039B" w:rsidRDefault="00EC039B" w:rsidP="000D75D7">
      <w:pPr>
        <w:ind w:left="720"/>
        <w:rPr>
          <w:rFonts w:asciiTheme="majorHAnsi" w:hAnsiTheme="majorHAnsi"/>
          <w:i/>
        </w:rPr>
      </w:pPr>
    </w:p>
    <w:p w14:paraId="1D7259F1" w14:textId="77777777" w:rsidR="00976F13" w:rsidRDefault="00EC039B" w:rsidP="00976F13">
      <w:pPr>
        <w:pStyle w:val="ListParagraph"/>
        <w:widowControl w:val="0"/>
        <w:numPr>
          <w:ilvl w:val="0"/>
          <w:numId w:val="2"/>
        </w:numPr>
        <w:autoSpaceDE w:val="0"/>
        <w:autoSpaceDN w:val="0"/>
        <w:adjustRightInd w:val="0"/>
        <w:spacing w:after="240"/>
        <w:jc w:val="center"/>
        <w:outlineLvl w:val="0"/>
        <w:rPr>
          <w:b/>
          <w:u w:val="single"/>
          <w:lang w:val="en-GB"/>
        </w:rPr>
      </w:pPr>
      <w:r w:rsidRPr="008A2B5F">
        <w:rPr>
          <w:b/>
          <w:u w:val="single"/>
          <w:lang w:val="en-GB"/>
        </w:rPr>
        <w:t>INTRODUCTION</w:t>
      </w:r>
    </w:p>
    <w:p w14:paraId="46F12E7E" w14:textId="198EC503" w:rsidR="004D74DF" w:rsidRDefault="009A486C" w:rsidP="00013728">
      <w:pPr>
        <w:widowControl w:val="0"/>
        <w:autoSpaceDE w:val="0"/>
        <w:autoSpaceDN w:val="0"/>
        <w:adjustRightInd w:val="0"/>
        <w:spacing w:after="240"/>
        <w:outlineLvl w:val="0"/>
        <w:rPr>
          <w:lang w:val="en-GB"/>
        </w:rPr>
      </w:pPr>
      <w:r>
        <w:rPr>
          <w:lang w:val="en-GB"/>
        </w:rPr>
        <w:t>Renewable Northwest is grateful to the Washington Utilities and Transportation Commission (“UTC” or “the Commission”) for the opportunity to file written comments on the Puget Sound Energy 2</w:t>
      </w:r>
      <w:r w:rsidR="00D545AC">
        <w:rPr>
          <w:lang w:val="en-GB"/>
        </w:rPr>
        <w:t>015 Integrated Resource Plan (‘</w:t>
      </w:r>
      <w:r>
        <w:rPr>
          <w:lang w:val="en-GB"/>
        </w:rPr>
        <w:t xml:space="preserve">IRP”). </w:t>
      </w:r>
      <w:r w:rsidR="009875A1">
        <w:rPr>
          <w:lang w:val="en-GB"/>
        </w:rPr>
        <w:t xml:space="preserve">Renewable Northwest would like to </w:t>
      </w:r>
      <w:r>
        <w:rPr>
          <w:lang w:val="en-GB"/>
        </w:rPr>
        <w:t>begin by acknowledging</w:t>
      </w:r>
      <w:r w:rsidR="009875A1">
        <w:rPr>
          <w:lang w:val="en-GB"/>
        </w:rPr>
        <w:t xml:space="preserve"> the open channels of communication that </w:t>
      </w:r>
      <w:r w:rsidR="003D5274">
        <w:rPr>
          <w:lang w:val="en-GB"/>
        </w:rPr>
        <w:t xml:space="preserve">Puget Sound Energy (“PSE” or “the company”) </w:t>
      </w:r>
      <w:r w:rsidR="009875A1">
        <w:rPr>
          <w:lang w:val="en-GB"/>
        </w:rPr>
        <w:t>maintained throughout the planning process. While Renewable Northwest did not necessarily agree with all of the assu</w:t>
      </w:r>
      <w:r>
        <w:rPr>
          <w:lang w:val="en-GB"/>
        </w:rPr>
        <w:t xml:space="preserve">mptions made by PSE in its </w:t>
      </w:r>
      <w:r w:rsidR="00D545AC">
        <w:rPr>
          <w:lang w:val="en-GB"/>
        </w:rPr>
        <w:t>IRP</w:t>
      </w:r>
      <w:r w:rsidR="009875A1">
        <w:rPr>
          <w:lang w:val="en-GB"/>
        </w:rPr>
        <w:t xml:space="preserve">, </w:t>
      </w:r>
      <w:r w:rsidR="003D5274">
        <w:rPr>
          <w:lang w:val="en-GB"/>
        </w:rPr>
        <w:t xml:space="preserve">PSE encouraged suggestions and considered feedback. </w:t>
      </w:r>
      <w:r w:rsidR="009875A1">
        <w:rPr>
          <w:lang w:val="en-GB"/>
        </w:rPr>
        <w:t xml:space="preserve">Renewable Northwest would like to note in particular the collaborative efforts </w:t>
      </w:r>
      <w:r w:rsidR="00D545AC">
        <w:rPr>
          <w:lang w:val="en-GB"/>
        </w:rPr>
        <w:t>that led to</w:t>
      </w:r>
      <w:r w:rsidR="00CC5955">
        <w:rPr>
          <w:lang w:val="en-GB"/>
        </w:rPr>
        <w:t xml:space="preserve"> consideration of Montana wind as a potential supply-side resource.</w:t>
      </w:r>
    </w:p>
    <w:p w14:paraId="3F0CD8A6" w14:textId="2147E5B9" w:rsidR="003D5274" w:rsidRDefault="00CC5955" w:rsidP="00013728">
      <w:pPr>
        <w:rPr>
          <w:lang w:val="en-GB"/>
        </w:rPr>
      </w:pPr>
      <w:r>
        <w:rPr>
          <w:lang w:val="en-GB"/>
        </w:rPr>
        <w:t>PSE’s Electric Action Plan states</w:t>
      </w:r>
      <w:r w:rsidR="003D5274">
        <w:rPr>
          <w:lang w:val="en-GB"/>
        </w:rPr>
        <w:t xml:space="preserve"> that</w:t>
      </w:r>
      <w:r>
        <w:rPr>
          <w:lang w:val="en-GB"/>
        </w:rPr>
        <w:t xml:space="preserve"> </w:t>
      </w:r>
      <w:r w:rsidR="00D545AC">
        <w:t>“[e]</w:t>
      </w:r>
      <w:r>
        <w:t>nergy efficiency and demand-response additions appear sufficient to meet incremental capacity need until 2021”.</w:t>
      </w:r>
      <w:r>
        <w:rPr>
          <w:rStyle w:val="FootnoteReference"/>
        </w:rPr>
        <w:footnoteReference w:id="1"/>
      </w:r>
      <w:r>
        <w:t xml:space="preserve"> </w:t>
      </w:r>
      <w:r w:rsidR="00B82FA9">
        <w:t xml:space="preserve">Its </w:t>
      </w:r>
      <w:r>
        <w:t>201</w:t>
      </w:r>
      <w:r w:rsidR="00013728">
        <w:t>5</w:t>
      </w:r>
      <w:r>
        <w:t xml:space="preserve"> IRP </w:t>
      </w:r>
      <w:r w:rsidR="00D545AC">
        <w:t xml:space="preserve">calls for </w:t>
      </w:r>
      <w:r w:rsidR="006D66E3" w:rsidRPr="00976F13">
        <w:t>411 MW of energy efficiency by 2021</w:t>
      </w:r>
      <w:r w:rsidR="006D66E3">
        <w:t xml:space="preserve"> </w:t>
      </w:r>
      <w:r w:rsidR="003D5274">
        <w:t>and notes</w:t>
      </w:r>
      <w:r w:rsidR="006D66E3">
        <w:t xml:space="preserve"> the need to develop and implement a “demand-response acquisition process” followed by a Request for Proposal (“RFP”) in the same time frame</w:t>
      </w:r>
      <w:r w:rsidR="006D66E3" w:rsidRPr="00976F13">
        <w:t>.</w:t>
      </w:r>
      <w:r w:rsidR="006D66E3">
        <w:rPr>
          <w:rStyle w:val="FootnoteReference"/>
        </w:rPr>
        <w:footnoteReference w:id="2"/>
      </w:r>
      <w:r w:rsidR="00094E14">
        <w:t xml:space="preserve"> </w:t>
      </w:r>
      <w:r>
        <w:t xml:space="preserve">Looking </w:t>
      </w:r>
      <w:r w:rsidR="003D5274">
        <w:t xml:space="preserve">at a </w:t>
      </w:r>
      <w:r>
        <w:t>slightly longer</w:t>
      </w:r>
      <w:r w:rsidR="003D5274">
        <w:t xml:space="preserve"> period</w:t>
      </w:r>
      <w:r>
        <w:t>, the company adds that</w:t>
      </w:r>
      <w:r w:rsidR="00B82FA9">
        <w:t>,</w:t>
      </w:r>
      <w:r>
        <w:t xml:space="preserve"> </w:t>
      </w:r>
      <w:r w:rsidR="003D5274">
        <w:t xml:space="preserve">while </w:t>
      </w:r>
      <w:r w:rsidR="00094E14">
        <w:t>it</w:t>
      </w:r>
      <w:r>
        <w:t xml:space="preserve"> need</w:t>
      </w:r>
      <w:r w:rsidR="00094E14">
        <w:t>s</w:t>
      </w:r>
      <w:r>
        <w:t xml:space="preserve"> to acquire approximately “</w:t>
      </w:r>
      <w:r w:rsidRPr="00976F13">
        <w:t xml:space="preserve">275 MW of </w:t>
      </w:r>
      <w:r>
        <w:t>firm, dispatchable generation (most likely natural gas plants)” in the next 7 years</w:t>
      </w:r>
      <w:r w:rsidR="00351404">
        <w:rPr>
          <w:rStyle w:val="FootnoteReference"/>
        </w:rPr>
        <w:footnoteReference w:id="3"/>
      </w:r>
      <w:r w:rsidR="00094E14">
        <w:t xml:space="preserve">, </w:t>
      </w:r>
      <w:r w:rsidR="003D5274">
        <w:t xml:space="preserve">it does not need </w:t>
      </w:r>
      <w:r w:rsidR="00094E14">
        <w:t>a</w:t>
      </w:r>
      <w:r w:rsidR="00976F13" w:rsidRPr="00976F13">
        <w:t>dditional renewables until 2023</w:t>
      </w:r>
      <w:r w:rsidR="00094E14">
        <w:t>.</w:t>
      </w:r>
      <w:r w:rsidR="00860F0A">
        <w:rPr>
          <w:rStyle w:val="FootnoteReference"/>
        </w:rPr>
        <w:footnoteReference w:id="4"/>
      </w:r>
      <w:r w:rsidR="00976F13" w:rsidRPr="00976F13">
        <w:t xml:space="preserve"> </w:t>
      </w:r>
      <w:r w:rsidR="00094E14">
        <w:t>Renewable Northwest applauds PSE’s focus on energy efficiency and demand response in its Electric Plan. As the company acknowledges, they were unfortunately unable to update their assumptions on flexibility in this IRP cycle</w:t>
      </w:r>
      <w:r w:rsidR="003D5274">
        <w:t>. T</w:t>
      </w:r>
      <w:r w:rsidR="00094E14">
        <w:t>herefore</w:t>
      </w:r>
      <w:r w:rsidR="003D5274">
        <w:t>,</w:t>
      </w:r>
      <w:r w:rsidR="00094E14">
        <w:t xml:space="preserve"> it is appropriate and fortunate that their Electric Action Plan focused on </w:t>
      </w:r>
      <w:r w:rsidR="00136A65">
        <w:t xml:space="preserve">reducing and controlling demand rather than </w:t>
      </w:r>
      <w:r w:rsidR="00136A65">
        <w:lastRenderedPageBreak/>
        <w:t xml:space="preserve">building supply-side resources, especially because </w:t>
      </w:r>
      <w:r w:rsidR="00860F0A">
        <w:t>“initial estimates of intrahour flexibility values could significantly affect the least-cost mix of resources”.</w:t>
      </w:r>
      <w:r w:rsidR="00860F0A">
        <w:rPr>
          <w:rStyle w:val="FootnoteReference"/>
        </w:rPr>
        <w:footnoteReference w:id="5"/>
      </w:r>
      <w:r w:rsidR="00860F0A">
        <w:t xml:space="preserve"> </w:t>
      </w:r>
      <w:r w:rsidR="00136A65">
        <w:t xml:space="preserve">Renewable Northwest looks forward to working with PSE to ensure that intrahour flexibility becomes an integral part of the company’s analytical capabilities in </w:t>
      </w:r>
      <w:r w:rsidR="00860F0A">
        <w:t>the 2017 planning cycle.</w:t>
      </w:r>
    </w:p>
    <w:p w14:paraId="6AE03C1B" w14:textId="77777777" w:rsidR="003D5274" w:rsidRDefault="003D5274" w:rsidP="00013728">
      <w:pPr>
        <w:rPr>
          <w:b/>
          <w:u w:val="single"/>
          <w:lang w:val="en-GB"/>
        </w:rPr>
      </w:pPr>
    </w:p>
    <w:p w14:paraId="376ED5EA" w14:textId="3804FBA0" w:rsidR="00EA29C2" w:rsidRDefault="009817A7" w:rsidP="009817A7">
      <w:pPr>
        <w:widowControl w:val="0"/>
        <w:autoSpaceDE w:val="0"/>
        <w:autoSpaceDN w:val="0"/>
        <w:adjustRightInd w:val="0"/>
        <w:spacing w:after="240"/>
        <w:outlineLvl w:val="0"/>
        <w:rPr>
          <w:lang w:val="en-GB"/>
        </w:rPr>
      </w:pPr>
      <w:r>
        <w:rPr>
          <w:lang w:val="en-GB"/>
        </w:rPr>
        <w:t>In these comments</w:t>
      </w:r>
      <w:r w:rsidR="00B82FA9">
        <w:rPr>
          <w:lang w:val="en-GB"/>
        </w:rPr>
        <w:t>,</w:t>
      </w:r>
      <w:r>
        <w:rPr>
          <w:lang w:val="en-GB"/>
        </w:rPr>
        <w:t xml:space="preserve"> Renewable Northwest will address the importance of ensuring that </w:t>
      </w:r>
      <w:r w:rsidR="00B82FA9">
        <w:rPr>
          <w:lang w:val="en-GB"/>
        </w:rPr>
        <w:t xml:space="preserve">PSE keeps up to date its </w:t>
      </w:r>
      <w:r>
        <w:rPr>
          <w:lang w:val="en-GB"/>
        </w:rPr>
        <w:t xml:space="preserve">renewable resource assumptions </w:t>
      </w:r>
      <w:r w:rsidR="00EA29C2">
        <w:rPr>
          <w:lang w:val="en-GB"/>
        </w:rPr>
        <w:t xml:space="preserve">(Section </w:t>
      </w:r>
      <w:r w:rsidR="00EA29C2">
        <w:rPr>
          <w:lang w:val="en-GB"/>
        </w:rPr>
        <w:fldChar w:fldCharType="begin"/>
      </w:r>
      <w:r w:rsidR="00EA29C2">
        <w:rPr>
          <w:lang w:val="en-GB"/>
        </w:rPr>
        <w:instrText xml:space="preserve"> REF _Ref315949530 \n \h </w:instrText>
      </w:r>
      <w:r w:rsidR="00EA29C2">
        <w:rPr>
          <w:lang w:val="en-GB"/>
        </w:rPr>
      </w:r>
      <w:r w:rsidR="00EA29C2">
        <w:rPr>
          <w:lang w:val="en-GB"/>
        </w:rPr>
        <w:fldChar w:fldCharType="separate"/>
      </w:r>
      <w:r w:rsidR="0073664D">
        <w:rPr>
          <w:lang w:val="en-GB"/>
        </w:rPr>
        <w:t>II</w:t>
      </w:r>
      <w:r w:rsidR="00EA29C2">
        <w:rPr>
          <w:lang w:val="en-GB"/>
        </w:rPr>
        <w:fldChar w:fldCharType="end"/>
      </w:r>
      <w:r w:rsidR="00EA29C2">
        <w:rPr>
          <w:lang w:val="en-GB"/>
        </w:rPr>
        <w:t>). T</w:t>
      </w:r>
      <w:r>
        <w:rPr>
          <w:lang w:val="en-GB"/>
        </w:rPr>
        <w:t xml:space="preserve">he costs and projected </w:t>
      </w:r>
      <w:r w:rsidR="00EA29C2">
        <w:rPr>
          <w:lang w:val="en-GB"/>
        </w:rPr>
        <w:t>cost</w:t>
      </w:r>
      <w:r w:rsidR="00082D05">
        <w:rPr>
          <w:lang w:val="en-GB"/>
        </w:rPr>
        <w:t>s</w:t>
      </w:r>
      <w:r w:rsidR="00EA29C2">
        <w:rPr>
          <w:lang w:val="en-GB"/>
        </w:rPr>
        <w:t xml:space="preserve"> </w:t>
      </w:r>
      <w:r>
        <w:rPr>
          <w:lang w:val="en-GB"/>
        </w:rPr>
        <w:t>of renewable technologies can fall signifi</w:t>
      </w:r>
      <w:r w:rsidR="00EA29C2">
        <w:rPr>
          <w:lang w:val="en-GB"/>
        </w:rPr>
        <w:t xml:space="preserve">cantly during a planning cycle. </w:t>
      </w:r>
      <w:r w:rsidR="00013728">
        <w:t xml:space="preserve">Hence, keeping renewable resource assumptions up to date is especially important as renewable technologies become comparable to thermal resources </w:t>
      </w:r>
      <w:r w:rsidR="00D61D9C">
        <w:rPr>
          <w:lang w:val="en-GB"/>
        </w:rPr>
        <w:t xml:space="preserve">(Section </w:t>
      </w:r>
      <w:r w:rsidR="00D61D9C">
        <w:rPr>
          <w:lang w:val="en-GB"/>
        </w:rPr>
        <w:fldChar w:fldCharType="begin"/>
      </w:r>
      <w:r w:rsidR="00D61D9C">
        <w:rPr>
          <w:lang w:val="en-GB"/>
        </w:rPr>
        <w:instrText xml:space="preserve"> REF _Ref315949530 \n \h </w:instrText>
      </w:r>
      <w:r w:rsidR="00D61D9C">
        <w:rPr>
          <w:lang w:val="en-GB"/>
        </w:rPr>
      </w:r>
      <w:r w:rsidR="00D61D9C">
        <w:rPr>
          <w:lang w:val="en-GB"/>
        </w:rPr>
        <w:fldChar w:fldCharType="separate"/>
      </w:r>
      <w:r w:rsidR="0073664D">
        <w:rPr>
          <w:lang w:val="en-GB"/>
        </w:rPr>
        <w:t>II</w:t>
      </w:r>
      <w:r w:rsidR="00D61D9C">
        <w:rPr>
          <w:lang w:val="en-GB"/>
        </w:rPr>
        <w:fldChar w:fldCharType="end"/>
      </w:r>
      <w:r w:rsidR="00D61D9C">
        <w:rPr>
          <w:lang w:val="en-GB"/>
        </w:rPr>
        <w:t xml:space="preserve">). </w:t>
      </w:r>
      <w:r w:rsidR="00B82FA9">
        <w:rPr>
          <w:lang w:val="en-GB"/>
        </w:rPr>
        <w:t>Additionally</w:t>
      </w:r>
      <w:r>
        <w:rPr>
          <w:lang w:val="en-GB"/>
        </w:rPr>
        <w:t xml:space="preserve">, Renewable Northwest will explore the role </w:t>
      </w:r>
      <w:r w:rsidR="005C0179">
        <w:rPr>
          <w:lang w:val="en-GB"/>
        </w:rPr>
        <w:t xml:space="preserve">of </w:t>
      </w:r>
      <w:r>
        <w:rPr>
          <w:lang w:val="en-GB"/>
        </w:rPr>
        <w:t>variable resources in terms of their ability</w:t>
      </w:r>
      <w:r w:rsidR="005C0179">
        <w:rPr>
          <w:lang w:val="en-GB"/>
        </w:rPr>
        <w:t xml:space="preserve"> to </w:t>
      </w:r>
      <w:r>
        <w:rPr>
          <w:lang w:val="en-GB"/>
        </w:rPr>
        <w:t xml:space="preserve">contribute to resource adequacy. </w:t>
      </w:r>
      <w:r w:rsidR="00D61D9C">
        <w:rPr>
          <w:lang w:val="en-GB"/>
        </w:rPr>
        <w:t xml:space="preserve">PSE currently models solar as having 0% capacity value, potentially ignoring the contribution of solar to system adequacy (Section </w:t>
      </w:r>
      <w:r w:rsidR="00D61D9C">
        <w:rPr>
          <w:lang w:val="en-GB"/>
        </w:rPr>
        <w:fldChar w:fldCharType="begin"/>
      </w:r>
      <w:r w:rsidR="00D61D9C">
        <w:rPr>
          <w:lang w:val="en-GB"/>
        </w:rPr>
        <w:instrText xml:space="preserve"> REF _Ref315814354 \n \h </w:instrText>
      </w:r>
      <w:r w:rsidR="00D61D9C">
        <w:rPr>
          <w:lang w:val="en-GB"/>
        </w:rPr>
      </w:r>
      <w:r w:rsidR="00D61D9C">
        <w:rPr>
          <w:lang w:val="en-GB"/>
        </w:rPr>
        <w:fldChar w:fldCharType="separate"/>
      </w:r>
      <w:r w:rsidR="0073664D">
        <w:rPr>
          <w:lang w:val="en-GB"/>
        </w:rPr>
        <w:t>III</w:t>
      </w:r>
      <w:r w:rsidR="00D61D9C">
        <w:rPr>
          <w:lang w:val="en-GB"/>
        </w:rPr>
        <w:fldChar w:fldCharType="end"/>
      </w:r>
      <w:r w:rsidR="00D61D9C">
        <w:rPr>
          <w:lang w:val="en-GB"/>
        </w:rPr>
        <w:t xml:space="preserve">). </w:t>
      </w:r>
      <w:r>
        <w:rPr>
          <w:lang w:val="en-GB"/>
        </w:rPr>
        <w:t xml:space="preserve">Renewable Northwest </w:t>
      </w:r>
      <w:r w:rsidR="009A486C">
        <w:rPr>
          <w:lang w:val="en-GB"/>
        </w:rPr>
        <w:t>will</w:t>
      </w:r>
      <w:r w:rsidR="00FE1790">
        <w:rPr>
          <w:lang w:val="en-GB"/>
        </w:rPr>
        <w:t xml:space="preserve"> then</w:t>
      </w:r>
      <w:r w:rsidR="009A486C">
        <w:rPr>
          <w:lang w:val="en-GB"/>
        </w:rPr>
        <w:t xml:space="preserve"> address concerns relating to PSE</w:t>
      </w:r>
      <w:r w:rsidR="00D61D9C">
        <w:rPr>
          <w:lang w:val="en-GB"/>
        </w:rPr>
        <w:t xml:space="preserve"> making late changes to resource adequacy metrics</w:t>
      </w:r>
      <w:r w:rsidR="00863A2D">
        <w:rPr>
          <w:lang w:val="en-GB"/>
        </w:rPr>
        <w:t>.</w:t>
      </w:r>
      <w:r w:rsidR="00D61D9C">
        <w:rPr>
          <w:lang w:val="en-GB"/>
        </w:rPr>
        <w:t xml:space="preserve"> PSE shifted from using Loss of Load Probability to Expected Unserved Energy, potentially leading to resource selection</w:t>
      </w:r>
      <w:r w:rsidR="005C0179">
        <w:rPr>
          <w:lang w:val="en-GB"/>
        </w:rPr>
        <w:t>s</w:t>
      </w:r>
      <w:r w:rsidR="00D61D9C">
        <w:rPr>
          <w:lang w:val="en-GB"/>
        </w:rPr>
        <w:t xml:space="preserve"> that focus on reducing the length of reliability events rather than eliminating them (Section </w:t>
      </w:r>
      <w:r w:rsidR="00D61D9C">
        <w:rPr>
          <w:lang w:val="en-GB"/>
        </w:rPr>
        <w:fldChar w:fldCharType="begin"/>
      </w:r>
      <w:r w:rsidR="00D61D9C">
        <w:rPr>
          <w:lang w:val="en-GB"/>
        </w:rPr>
        <w:instrText xml:space="preserve"> REF _Ref315949622 \n \h </w:instrText>
      </w:r>
      <w:r w:rsidR="00D61D9C">
        <w:rPr>
          <w:lang w:val="en-GB"/>
        </w:rPr>
      </w:r>
      <w:r w:rsidR="00D61D9C">
        <w:rPr>
          <w:lang w:val="en-GB"/>
        </w:rPr>
        <w:fldChar w:fldCharType="separate"/>
      </w:r>
      <w:r w:rsidR="0073664D">
        <w:rPr>
          <w:lang w:val="en-GB"/>
        </w:rPr>
        <w:t>IV</w:t>
      </w:r>
      <w:r w:rsidR="00D61D9C">
        <w:rPr>
          <w:lang w:val="en-GB"/>
        </w:rPr>
        <w:fldChar w:fldCharType="end"/>
      </w:r>
      <w:r w:rsidR="00D61D9C">
        <w:rPr>
          <w:lang w:val="en-GB"/>
        </w:rPr>
        <w:t xml:space="preserve">). </w:t>
      </w:r>
      <w:r w:rsidR="00FE1790">
        <w:rPr>
          <w:lang w:val="en-GB"/>
        </w:rPr>
        <w:t>Before concluding, Renewable Northwest will discuss PSE’s study into the effects of a high penetration of distributed solar on their system</w:t>
      </w:r>
      <w:r w:rsidR="00D61D9C">
        <w:rPr>
          <w:lang w:val="en-GB"/>
        </w:rPr>
        <w:t>, highlighting that Washington state is in a position to maximize the reliability benefits of solar</w:t>
      </w:r>
      <w:r w:rsidR="00EA29C2">
        <w:rPr>
          <w:lang w:val="en-GB"/>
        </w:rPr>
        <w:t xml:space="preserve"> (Section </w:t>
      </w:r>
      <w:r w:rsidR="00EA29C2">
        <w:rPr>
          <w:lang w:val="en-GB"/>
        </w:rPr>
        <w:fldChar w:fldCharType="begin"/>
      </w:r>
      <w:r w:rsidR="00EA29C2">
        <w:rPr>
          <w:lang w:val="en-GB"/>
        </w:rPr>
        <w:instrText xml:space="preserve"> REF _Ref315949948 \n \h </w:instrText>
      </w:r>
      <w:r w:rsidR="00EA29C2">
        <w:rPr>
          <w:lang w:val="en-GB"/>
        </w:rPr>
      </w:r>
      <w:r w:rsidR="00EA29C2">
        <w:rPr>
          <w:lang w:val="en-GB"/>
        </w:rPr>
        <w:fldChar w:fldCharType="separate"/>
      </w:r>
      <w:r w:rsidR="0073664D">
        <w:rPr>
          <w:lang w:val="en-GB"/>
        </w:rPr>
        <w:t>V</w:t>
      </w:r>
      <w:r w:rsidR="00EA29C2">
        <w:rPr>
          <w:lang w:val="en-GB"/>
        </w:rPr>
        <w:fldChar w:fldCharType="end"/>
      </w:r>
      <w:r w:rsidR="00EA29C2">
        <w:rPr>
          <w:lang w:val="en-GB"/>
        </w:rPr>
        <w:t>)</w:t>
      </w:r>
      <w:r w:rsidR="005C0179">
        <w:rPr>
          <w:lang w:val="en-GB"/>
        </w:rPr>
        <w:t>.</w:t>
      </w:r>
    </w:p>
    <w:p w14:paraId="32114075" w14:textId="77777777" w:rsidR="009817A7" w:rsidRPr="009817A7" w:rsidRDefault="00D61D9C" w:rsidP="009817A7">
      <w:pPr>
        <w:widowControl w:val="0"/>
        <w:autoSpaceDE w:val="0"/>
        <w:autoSpaceDN w:val="0"/>
        <w:adjustRightInd w:val="0"/>
        <w:spacing w:after="240"/>
        <w:outlineLvl w:val="0"/>
        <w:rPr>
          <w:lang w:val="en-GB"/>
        </w:rPr>
      </w:pPr>
      <w:r>
        <w:rPr>
          <w:lang w:val="en-GB"/>
        </w:rPr>
        <w:t xml:space="preserve">Renewable Northwest recommends that the Commission use docket </w:t>
      </w:r>
      <w:r w:rsidR="00EA29C2">
        <w:rPr>
          <w:lang w:val="en-GB"/>
        </w:rPr>
        <w:t>UE-131885, “</w:t>
      </w:r>
      <w:r w:rsidR="00EA29C2" w:rsidRPr="00696FDC">
        <w:rPr>
          <w:lang w:val="en-GB"/>
        </w:rPr>
        <w:t>Investigation of the Costs and Ben</w:t>
      </w:r>
      <w:r w:rsidR="00EA29C2">
        <w:rPr>
          <w:lang w:val="en-GB"/>
        </w:rPr>
        <w:t xml:space="preserve">efits of Distributed Generation”, to explore the </w:t>
      </w:r>
      <w:r w:rsidR="005C0179">
        <w:rPr>
          <w:lang w:val="en-GB"/>
        </w:rPr>
        <w:t>capacity and reliability topics</w:t>
      </w:r>
      <w:r w:rsidR="00EA29C2">
        <w:rPr>
          <w:lang w:val="en-GB"/>
        </w:rPr>
        <w:t xml:space="preserve"> highlighted by PSE’s 2015 IRP, namely: capacity contribution of variable resources; impacts of different reliability metrics on resource decisions; and, technologies and policies to ensure distributed solar becomes a grid asset in Washington. </w:t>
      </w:r>
    </w:p>
    <w:p w14:paraId="5AE2A929" w14:textId="6998F664" w:rsidR="00875116" w:rsidRPr="008A2B5F" w:rsidRDefault="00875116" w:rsidP="00875116">
      <w:pPr>
        <w:pStyle w:val="ListParagraph"/>
        <w:widowControl w:val="0"/>
        <w:numPr>
          <w:ilvl w:val="0"/>
          <w:numId w:val="2"/>
        </w:numPr>
        <w:autoSpaceDE w:val="0"/>
        <w:autoSpaceDN w:val="0"/>
        <w:adjustRightInd w:val="0"/>
        <w:spacing w:after="240"/>
        <w:jc w:val="center"/>
        <w:outlineLvl w:val="0"/>
        <w:rPr>
          <w:b/>
          <w:u w:val="single"/>
          <w:lang w:val="en-GB"/>
        </w:rPr>
      </w:pPr>
      <w:bookmarkStart w:id="1" w:name="_Ref315949530"/>
      <w:r>
        <w:rPr>
          <w:b/>
          <w:u w:val="single"/>
          <w:lang w:val="en-GB"/>
        </w:rPr>
        <w:t>RESOURCE COSTS FOR WIND AND SOLAR NEED UPDATING MORE FREQUENTLY</w:t>
      </w:r>
      <w:bookmarkEnd w:id="1"/>
    </w:p>
    <w:p w14:paraId="44806FDF" w14:textId="3DBD7784" w:rsidR="009C4EC2" w:rsidRPr="009C4EC2" w:rsidRDefault="00013728" w:rsidP="00976F13">
      <w:pPr>
        <w:rPr>
          <w:bCs/>
        </w:rPr>
      </w:pPr>
      <w:r>
        <w:rPr>
          <w:lang w:val="en-GB"/>
        </w:rPr>
        <w:t>The costs and projected cost</w:t>
      </w:r>
      <w:r w:rsidR="00082D05">
        <w:rPr>
          <w:lang w:val="en-GB"/>
        </w:rPr>
        <w:t>s</w:t>
      </w:r>
      <w:r>
        <w:rPr>
          <w:lang w:val="en-GB"/>
        </w:rPr>
        <w:t xml:space="preserve"> of renewable technologies can fall significantly during </w:t>
      </w:r>
      <w:r w:rsidR="00486C12">
        <w:rPr>
          <w:lang w:val="en-GB"/>
        </w:rPr>
        <w:t>an</w:t>
      </w:r>
      <w:r>
        <w:rPr>
          <w:lang w:val="en-GB"/>
        </w:rPr>
        <w:t xml:space="preserve"> IRP planning cycle. </w:t>
      </w:r>
      <w:r>
        <w:t>Hence, keeping renewable resource assumptions up to date is especially important as renewable technologies become comparable to thermal resources</w:t>
      </w:r>
      <w:r>
        <w:rPr>
          <w:bCs/>
        </w:rPr>
        <w:t>.</w:t>
      </w:r>
      <w:r w:rsidR="009C4EC2">
        <w:rPr>
          <w:bCs/>
        </w:rPr>
        <w:t xml:space="preserve"> Renewable Northwest recommends the Commission encourage PSE to use the most up-to-date resource costs in their final IRP and </w:t>
      </w:r>
      <w:r w:rsidR="00B9519A">
        <w:rPr>
          <w:bCs/>
        </w:rPr>
        <w:t xml:space="preserve">to </w:t>
      </w:r>
      <w:r w:rsidR="009C4EC2">
        <w:rPr>
          <w:bCs/>
        </w:rPr>
        <w:t>also anticipate the falling costs of renewable resources out into the timeline of the Electric Action Plan and beyond.</w:t>
      </w:r>
    </w:p>
    <w:p w14:paraId="0E50A005" w14:textId="77777777" w:rsidR="009C4EC2" w:rsidRDefault="009C4EC2" w:rsidP="00976F13">
      <w:pPr>
        <w:rPr>
          <w:b/>
          <w:bCs/>
          <w:u w:val="single"/>
        </w:rPr>
      </w:pPr>
    </w:p>
    <w:p w14:paraId="4617A9C5" w14:textId="77777777" w:rsidR="00B9519A" w:rsidRDefault="00B9519A" w:rsidP="009C4EC2">
      <w:pPr>
        <w:rPr>
          <w:b/>
          <w:bCs/>
          <w:u w:val="single"/>
        </w:rPr>
      </w:pPr>
    </w:p>
    <w:p w14:paraId="14D8CF20" w14:textId="77777777" w:rsidR="00B9519A" w:rsidRDefault="00B9519A" w:rsidP="009C4EC2">
      <w:pPr>
        <w:rPr>
          <w:b/>
          <w:bCs/>
          <w:u w:val="single"/>
        </w:rPr>
      </w:pPr>
    </w:p>
    <w:p w14:paraId="5C8EA8F5" w14:textId="77777777" w:rsidR="00B9519A" w:rsidRDefault="00B9519A" w:rsidP="009C4EC2">
      <w:pPr>
        <w:rPr>
          <w:b/>
          <w:bCs/>
          <w:u w:val="single"/>
        </w:rPr>
      </w:pPr>
    </w:p>
    <w:p w14:paraId="67F4B0E5" w14:textId="77777777" w:rsidR="00B9519A" w:rsidRDefault="00B9519A" w:rsidP="009C4EC2">
      <w:pPr>
        <w:rPr>
          <w:b/>
          <w:bCs/>
          <w:u w:val="single"/>
        </w:rPr>
      </w:pPr>
    </w:p>
    <w:p w14:paraId="31331EA1" w14:textId="77777777" w:rsidR="009C4EC2" w:rsidRDefault="009C4EC2" w:rsidP="009C4EC2">
      <w:pPr>
        <w:rPr>
          <w:b/>
          <w:bCs/>
          <w:u w:val="single"/>
        </w:rPr>
      </w:pPr>
      <w:r>
        <w:rPr>
          <w:b/>
          <w:bCs/>
          <w:u w:val="single"/>
        </w:rPr>
        <w:t>WASHINGTON WIND</w:t>
      </w:r>
    </w:p>
    <w:p w14:paraId="112ACD60" w14:textId="77777777" w:rsidR="00B9519A" w:rsidRPr="009C4EC2" w:rsidRDefault="00B9519A" w:rsidP="009C4EC2">
      <w:pPr>
        <w:rPr>
          <w:b/>
          <w:bCs/>
          <w:u w:val="single"/>
        </w:rPr>
      </w:pPr>
    </w:p>
    <w:p w14:paraId="321588E8" w14:textId="6D0142A1" w:rsidR="009C4EC2" w:rsidRPr="00976F13" w:rsidRDefault="009C4EC2" w:rsidP="008504F8">
      <w:r>
        <w:rPr>
          <w:bCs/>
        </w:rPr>
        <w:t>For Washington wind</w:t>
      </w:r>
      <w:r w:rsidR="00B9519A">
        <w:rPr>
          <w:bCs/>
        </w:rPr>
        <w:t xml:space="preserve"> </w:t>
      </w:r>
      <w:r>
        <w:t xml:space="preserve">(based on </w:t>
      </w:r>
      <w:r w:rsidR="00013728">
        <w:t xml:space="preserve">a </w:t>
      </w:r>
      <w:r>
        <w:t>100 MW</w:t>
      </w:r>
      <w:r w:rsidR="00013728">
        <w:t xml:space="preserve"> system</w:t>
      </w:r>
      <w:r>
        <w:t xml:space="preserve">, 34% capacity </w:t>
      </w:r>
      <w:r w:rsidR="00B9519A">
        <w:t>f</w:t>
      </w:r>
      <w:r>
        <w:t>actor, and 8% capacity c</w:t>
      </w:r>
      <w:r w:rsidR="00976F13" w:rsidRPr="00976F13">
        <w:t>redit)</w:t>
      </w:r>
      <w:r w:rsidR="00FE1790">
        <w:t>, PSE assumed a capita</w:t>
      </w:r>
      <w:r>
        <w:t>l cost of 1,968 $/kW</w:t>
      </w:r>
      <w:r w:rsidR="005D12B8">
        <w:rPr>
          <w:rStyle w:val="FootnoteReference"/>
        </w:rPr>
        <w:footnoteReference w:id="6"/>
      </w:r>
      <w:r>
        <w:t xml:space="preserve"> and determined a Levelized Cost of E</w:t>
      </w:r>
      <w:r w:rsidR="005D12B8">
        <w:t xml:space="preserve">nergy </w:t>
      </w:r>
      <w:r>
        <w:t>(</w:t>
      </w:r>
      <w:r w:rsidR="00FE1790">
        <w:t>“</w:t>
      </w:r>
      <w:r>
        <w:t>LCOE</w:t>
      </w:r>
      <w:r w:rsidR="00FE1790">
        <w:t>”</w:t>
      </w:r>
      <w:r>
        <w:t xml:space="preserve">) of </w:t>
      </w:r>
      <w:r w:rsidR="005D12B8">
        <w:t>88 $/M</w:t>
      </w:r>
      <w:r w:rsidR="00976F13" w:rsidRPr="00976F13">
        <w:t>W</w:t>
      </w:r>
      <w:r w:rsidR="005D12B8">
        <w:t>h</w:t>
      </w:r>
      <w:r w:rsidR="00976F13" w:rsidRPr="00976F13">
        <w:t>.</w:t>
      </w:r>
      <w:r w:rsidR="005D12B8">
        <w:rPr>
          <w:rStyle w:val="FootnoteReference"/>
        </w:rPr>
        <w:footnoteReference w:id="7"/>
      </w:r>
      <w:r>
        <w:t xml:space="preserve"> Based on</w:t>
      </w:r>
      <w:r w:rsidR="00976F13" w:rsidRPr="00976F13">
        <w:t xml:space="preserve"> these assumptions, PSE co</w:t>
      </w:r>
      <w:r w:rsidR="000B146A">
        <w:t xml:space="preserve">ncluded that </w:t>
      </w:r>
      <w:r>
        <w:t>Washington</w:t>
      </w:r>
      <w:r w:rsidR="000B146A">
        <w:t xml:space="preserve"> wind would</w:t>
      </w:r>
      <w:r w:rsidR="00976F13" w:rsidRPr="00976F13">
        <w:t xml:space="preserve"> </w:t>
      </w:r>
      <w:r>
        <w:t xml:space="preserve">only </w:t>
      </w:r>
      <w:r w:rsidR="00976F13" w:rsidRPr="00976F13">
        <w:t>be comparable to market</w:t>
      </w:r>
      <w:r>
        <w:t xml:space="preserve"> purchases</w:t>
      </w:r>
      <w:r w:rsidR="00976F13" w:rsidRPr="00976F13">
        <w:t xml:space="preserve"> (</w:t>
      </w:r>
      <w:r>
        <w:t>assumed to be flat in real terms at 50 $/MWh) if it had</w:t>
      </w:r>
      <w:r w:rsidR="00976F13" w:rsidRPr="00976F13">
        <w:t xml:space="preserve"> a capacity factor of 65%.</w:t>
      </w:r>
      <w:r w:rsidR="000B146A">
        <w:rPr>
          <w:rStyle w:val="FootnoteReference"/>
        </w:rPr>
        <w:footnoteReference w:id="8"/>
      </w:r>
      <w:r>
        <w:t xml:space="preserve"> </w:t>
      </w:r>
      <w:r w:rsidR="008504F8">
        <w:t>For contrast, c</w:t>
      </w:r>
      <w:r w:rsidRPr="00976F13">
        <w:t>urrent national averages for wind</w:t>
      </w:r>
      <w:r w:rsidR="00B9519A">
        <w:t>,</w:t>
      </w:r>
      <w:r w:rsidR="008504F8">
        <w:t xml:space="preserve"> published in November 2015</w:t>
      </w:r>
      <w:r w:rsidR="00B9519A">
        <w:t>,</w:t>
      </w:r>
      <w:r w:rsidRPr="00976F13">
        <w:t xml:space="preserve"> range from 1250–1700 $/kW and 32–77 $/MWh without </w:t>
      </w:r>
      <w:r w:rsidR="008504F8">
        <w:t>the federal tax credits</w:t>
      </w:r>
      <w:r w:rsidR="00B9519A">
        <w:t>,</w:t>
      </w:r>
      <w:r w:rsidRPr="00976F13">
        <w:t xml:space="preserve"> and </w:t>
      </w:r>
      <w:r w:rsidR="00B9519A">
        <w:t xml:space="preserve">from </w:t>
      </w:r>
      <w:r w:rsidRPr="00976F13">
        <w:t xml:space="preserve">14–63 $/MWh </w:t>
      </w:r>
      <w:r w:rsidR="008504F8">
        <w:t>with federal tax credits</w:t>
      </w:r>
      <w:r w:rsidRPr="00976F13">
        <w:t>.</w:t>
      </w:r>
      <w:r>
        <w:rPr>
          <w:rStyle w:val="FootnoteReference"/>
        </w:rPr>
        <w:footnoteReference w:id="9"/>
      </w:r>
      <w:r w:rsidR="00532B0E">
        <w:t xml:space="preserve">  Clearly, Washington wind would be more comparable to market prices if </w:t>
      </w:r>
      <w:r w:rsidR="00B9519A">
        <w:t xml:space="preserve">PSE used </w:t>
      </w:r>
      <w:r w:rsidR="00532B0E">
        <w:t>more up to date capital costs.</w:t>
      </w:r>
    </w:p>
    <w:p w14:paraId="7F320C7C" w14:textId="77777777" w:rsidR="00976F13" w:rsidRDefault="00976F13" w:rsidP="009C4EC2"/>
    <w:p w14:paraId="3E15F9F1" w14:textId="77777777" w:rsidR="009C4EC2" w:rsidRDefault="00532B0E" w:rsidP="009C4EC2">
      <w:pPr>
        <w:rPr>
          <w:b/>
          <w:u w:val="single"/>
        </w:rPr>
      </w:pPr>
      <w:r w:rsidRPr="00532B0E">
        <w:rPr>
          <w:b/>
          <w:u w:val="single"/>
        </w:rPr>
        <w:t>MONTANA WIND</w:t>
      </w:r>
    </w:p>
    <w:p w14:paraId="6C2266FE" w14:textId="77777777" w:rsidR="00532B0E" w:rsidRDefault="00532B0E" w:rsidP="009C4EC2">
      <w:pPr>
        <w:rPr>
          <w:b/>
          <w:u w:val="single"/>
        </w:rPr>
      </w:pPr>
    </w:p>
    <w:p w14:paraId="7ED6134F" w14:textId="420C948A" w:rsidR="00976F13" w:rsidRDefault="00532B0E" w:rsidP="00FF649C">
      <w:r>
        <w:t>Renewable Northwest applauds PSE for working with other stakeholders to get more accurate resource assumptions for Montana wind, in particular with regard to the resource’s capacity credit.</w:t>
      </w:r>
      <w:r w:rsidR="00F338A2">
        <w:t xml:space="preserve"> PSE modeled Montana wind under a variety of scenarios, assuming 41% capacity factor and 55% capacity c</w:t>
      </w:r>
      <w:r w:rsidR="00FF649C">
        <w:t>redit</w:t>
      </w:r>
      <w:r w:rsidR="00F338A2">
        <w:t>.</w:t>
      </w:r>
      <w:r w:rsidR="00EE6690">
        <w:rPr>
          <w:rStyle w:val="FootnoteReference"/>
        </w:rPr>
        <w:footnoteReference w:id="10"/>
      </w:r>
      <w:r w:rsidR="00FF649C">
        <w:t xml:space="preserve"> PSE’s lowest cost Montana wind scenario was linked to the retirement o</w:t>
      </w:r>
      <w:r w:rsidR="00FE1790">
        <w:t xml:space="preserve">f Colstrip (“Scenario A”), and </w:t>
      </w:r>
      <w:r w:rsidR="00976F13" w:rsidRPr="00976F13">
        <w:t xml:space="preserve">foresaw the need for an upgrade to the current NorthWestern Line from the </w:t>
      </w:r>
      <w:r w:rsidR="00FF649C">
        <w:t xml:space="preserve">modeled Montana </w:t>
      </w:r>
      <w:r w:rsidR="00976F13" w:rsidRPr="00976F13">
        <w:t xml:space="preserve">wind facility (hypothetically located in eastern MT around Judith </w:t>
      </w:r>
      <w:r w:rsidR="00FF649C">
        <w:t>Gap).</w:t>
      </w:r>
      <w:r w:rsidR="00FF649C">
        <w:rPr>
          <w:rStyle w:val="FootnoteReference"/>
        </w:rPr>
        <w:footnoteReference w:id="11"/>
      </w:r>
      <w:r w:rsidR="00FF649C">
        <w:t xml:space="preserve"> </w:t>
      </w:r>
      <w:r w:rsidR="00B9519A">
        <w:t xml:space="preserve">PSE estimated that these updates would cost </w:t>
      </w:r>
      <w:r w:rsidR="00FF649C">
        <w:t xml:space="preserve">around $32.4 million and </w:t>
      </w:r>
      <w:r w:rsidR="00B9519A">
        <w:t>would add</w:t>
      </w:r>
      <w:r w:rsidR="00FF649C">
        <w:t xml:space="preserve"> 122 $/kW to Montana wind</w:t>
      </w:r>
      <w:r w:rsidR="00976F13" w:rsidRPr="00976F13">
        <w:t xml:space="preserve"> capital costs.</w:t>
      </w:r>
      <w:r w:rsidR="004D7636">
        <w:rPr>
          <w:rStyle w:val="FootnoteReference"/>
        </w:rPr>
        <w:footnoteReference w:id="12"/>
      </w:r>
      <w:r w:rsidR="00976F13" w:rsidRPr="00976F13">
        <w:t xml:space="preserve"> </w:t>
      </w:r>
      <w:r w:rsidR="00013728">
        <w:t>Under Scenario A, M</w:t>
      </w:r>
      <w:r w:rsidR="00082D05">
        <w:t>ontana</w:t>
      </w:r>
      <w:r w:rsidR="00013728">
        <w:t xml:space="preserve"> wind capital costs were</w:t>
      </w:r>
      <w:r w:rsidR="00976F13" w:rsidRPr="00101D05">
        <w:t xml:space="preserve"> 2,061 $/kW</w:t>
      </w:r>
      <w:r w:rsidR="00101D05">
        <w:rPr>
          <w:rStyle w:val="FootnoteReference"/>
        </w:rPr>
        <w:footnoteReference w:id="13"/>
      </w:r>
      <w:r w:rsidR="00976F13" w:rsidRPr="00101D05">
        <w:t xml:space="preserve">, </w:t>
      </w:r>
      <w:r w:rsidR="00013728">
        <w:t xml:space="preserve">with an LCOE of </w:t>
      </w:r>
      <w:r w:rsidR="00976F13" w:rsidRPr="00101D05">
        <w:t>91 $/MWh</w:t>
      </w:r>
      <w:r w:rsidR="00101D05">
        <w:t xml:space="preserve"> (see </w:t>
      </w:r>
      <w:r w:rsidR="00101D05">
        <w:fldChar w:fldCharType="begin"/>
      </w:r>
      <w:r w:rsidR="00101D05">
        <w:instrText xml:space="preserve"> REF _Ref315809793 \h </w:instrText>
      </w:r>
      <w:r w:rsidR="00101D05">
        <w:fldChar w:fldCharType="separate"/>
      </w:r>
      <w:r w:rsidR="0073664D" w:rsidRPr="00082D05">
        <w:rPr>
          <w:sz w:val="20"/>
          <w:szCs w:val="20"/>
        </w:rPr>
        <w:t xml:space="preserve">Figure </w:t>
      </w:r>
      <w:r w:rsidR="0073664D">
        <w:rPr>
          <w:noProof/>
          <w:sz w:val="20"/>
          <w:szCs w:val="20"/>
        </w:rPr>
        <w:t>1</w:t>
      </w:r>
      <w:r w:rsidR="00101D05">
        <w:fldChar w:fldCharType="end"/>
      </w:r>
      <w:r w:rsidR="00101D05">
        <w:t>)</w:t>
      </w:r>
      <w:r w:rsidR="00976F13" w:rsidRPr="00101D05">
        <w:t>.</w:t>
      </w:r>
      <w:r w:rsidR="00B9519A">
        <w:t xml:space="preserve"> </w:t>
      </w:r>
      <w:r w:rsidR="00976F13" w:rsidRPr="00976F13">
        <w:t>With these assumptions, PSE concluded that M</w:t>
      </w:r>
      <w:r w:rsidR="00FF649C">
        <w:t>ontana</w:t>
      </w:r>
      <w:r w:rsidR="00976F13" w:rsidRPr="00976F13">
        <w:t xml:space="preserve"> wind would be comparable to market (</w:t>
      </w:r>
      <w:r w:rsidR="00FF649C">
        <w:t xml:space="preserve">assumed to be flat in real terms </w:t>
      </w:r>
      <w:r w:rsidR="00976F13" w:rsidRPr="00976F13">
        <w:t>at 50 $/MWh) at a capacity factor of 80%</w:t>
      </w:r>
      <w:r w:rsidR="00617C66">
        <w:t xml:space="preserve">, as can be see in </w:t>
      </w:r>
      <w:r w:rsidR="00617C66">
        <w:fldChar w:fldCharType="begin"/>
      </w:r>
      <w:r w:rsidR="00617C66">
        <w:instrText xml:space="preserve"> REF _Ref315809793 \h </w:instrText>
      </w:r>
      <w:r w:rsidR="00617C66">
        <w:fldChar w:fldCharType="separate"/>
      </w:r>
      <w:r w:rsidR="0073664D" w:rsidRPr="00082D05">
        <w:rPr>
          <w:sz w:val="20"/>
          <w:szCs w:val="20"/>
        </w:rPr>
        <w:t xml:space="preserve">Figure </w:t>
      </w:r>
      <w:r w:rsidR="0073664D">
        <w:rPr>
          <w:noProof/>
          <w:sz w:val="20"/>
          <w:szCs w:val="20"/>
        </w:rPr>
        <w:t>1</w:t>
      </w:r>
      <w:r w:rsidR="00617C66">
        <w:fldChar w:fldCharType="end"/>
      </w:r>
      <w:r w:rsidR="00976F13" w:rsidRPr="00976F13">
        <w:t>.</w:t>
      </w:r>
      <w:r w:rsidR="00F12173">
        <w:rPr>
          <w:rStyle w:val="FootnoteReference"/>
        </w:rPr>
        <w:footnoteReference w:id="14"/>
      </w:r>
    </w:p>
    <w:p w14:paraId="75AFB369" w14:textId="77777777" w:rsidR="00FF649C" w:rsidRDefault="00FF649C" w:rsidP="00FF649C"/>
    <w:p w14:paraId="7082AAC5" w14:textId="77777777" w:rsidR="00FF649C" w:rsidRDefault="00FF649C" w:rsidP="00FF649C">
      <w:pPr>
        <w:keepNext/>
      </w:pPr>
      <w:r>
        <w:rPr>
          <w:noProof/>
        </w:rPr>
        <w:drawing>
          <wp:inline distT="0" distB="0" distL="0" distR="0" wp14:anchorId="12426653" wp14:editId="185C3E98">
            <wp:extent cx="5503492" cy="2820112"/>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31" b="3370"/>
                    <a:stretch/>
                  </pic:blipFill>
                  <pic:spPr bwMode="auto">
                    <a:xfrm>
                      <a:off x="0" y="0"/>
                      <a:ext cx="5504542" cy="28206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FDE297F" w14:textId="77777777" w:rsidR="00FF649C" w:rsidRPr="00082D05" w:rsidRDefault="00FF649C" w:rsidP="00FF649C">
      <w:pPr>
        <w:pStyle w:val="Caption"/>
        <w:rPr>
          <w:color w:val="auto"/>
          <w:sz w:val="20"/>
          <w:szCs w:val="20"/>
        </w:rPr>
      </w:pPr>
      <w:bookmarkStart w:id="2" w:name="_Ref315809793"/>
      <w:r w:rsidRPr="00082D05">
        <w:rPr>
          <w:color w:val="auto"/>
          <w:sz w:val="20"/>
          <w:szCs w:val="20"/>
        </w:rPr>
        <w:t xml:space="preserve">Figure </w:t>
      </w:r>
      <w:r w:rsidR="00013728" w:rsidRPr="00082D05">
        <w:rPr>
          <w:color w:val="auto"/>
          <w:sz w:val="20"/>
          <w:szCs w:val="20"/>
        </w:rPr>
        <w:fldChar w:fldCharType="begin"/>
      </w:r>
      <w:r w:rsidR="00013728" w:rsidRPr="00082D05">
        <w:rPr>
          <w:color w:val="auto"/>
          <w:sz w:val="20"/>
          <w:szCs w:val="20"/>
        </w:rPr>
        <w:instrText xml:space="preserve"> SEQ Figure \* ARABIC </w:instrText>
      </w:r>
      <w:r w:rsidR="00013728" w:rsidRPr="00082D05">
        <w:rPr>
          <w:color w:val="auto"/>
          <w:sz w:val="20"/>
          <w:szCs w:val="20"/>
        </w:rPr>
        <w:fldChar w:fldCharType="separate"/>
      </w:r>
      <w:r w:rsidR="0073664D">
        <w:rPr>
          <w:noProof/>
          <w:color w:val="auto"/>
          <w:sz w:val="20"/>
          <w:szCs w:val="20"/>
        </w:rPr>
        <w:t>1</w:t>
      </w:r>
      <w:r w:rsidR="00013728" w:rsidRPr="00082D05">
        <w:rPr>
          <w:noProof/>
          <w:color w:val="auto"/>
          <w:sz w:val="20"/>
          <w:szCs w:val="20"/>
        </w:rPr>
        <w:fldChar w:fldCharType="end"/>
      </w:r>
      <w:bookmarkEnd w:id="2"/>
      <w:r w:rsidRPr="00082D05">
        <w:rPr>
          <w:color w:val="auto"/>
          <w:sz w:val="20"/>
          <w:szCs w:val="20"/>
        </w:rPr>
        <w:t>—Levelized costs and capacity factors compared, Montana wind, Washington wind and Market price.</w:t>
      </w:r>
      <w:r w:rsidRPr="00082D05">
        <w:rPr>
          <w:rStyle w:val="FootnoteReference"/>
          <w:color w:val="auto"/>
          <w:sz w:val="20"/>
          <w:szCs w:val="20"/>
        </w:rPr>
        <w:footnoteReference w:id="15"/>
      </w:r>
    </w:p>
    <w:p w14:paraId="68EAD68F" w14:textId="7CDEB447" w:rsidR="00976F13" w:rsidRPr="00976F13" w:rsidRDefault="008140CE" w:rsidP="00CE4F26">
      <w:r>
        <w:t>Montana wind was also modeled with Colstrip remaining in operation (“Scenario D”)</w:t>
      </w:r>
      <w:r w:rsidR="00FB56BE">
        <w:t xml:space="preserve">, </w:t>
      </w:r>
      <w:r>
        <w:t xml:space="preserve">which PSE modeled as requiring </w:t>
      </w:r>
      <w:r w:rsidR="00FB56BE">
        <w:t xml:space="preserve">a </w:t>
      </w:r>
      <w:r w:rsidR="00976F13" w:rsidRPr="00976F13">
        <w:t xml:space="preserve">new line from facility to Broadview, </w:t>
      </w:r>
      <w:r w:rsidR="00B9519A">
        <w:t xml:space="preserve">and an </w:t>
      </w:r>
      <w:r w:rsidR="00976F13" w:rsidRPr="00976F13">
        <w:t>upgrade on Colstrip line to Garrison, totaling $723 million</w:t>
      </w:r>
      <w:r w:rsidR="00B9519A">
        <w:t xml:space="preserve"> and</w:t>
      </w:r>
      <w:r w:rsidR="00976F13" w:rsidRPr="00976F13">
        <w:t xml:space="preserve"> adding 2,728 $/kW to </w:t>
      </w:r>
      <w:r w:rsidR="00CE4F26">
        <w:t xml:space="preserve">Montana wind </w:t>
      </w:r>
      <w:r w:rsidR="00976F13" w:rsidRPr="00976F13">
        <w:t>capital costs.</w:t>
      </w:r>
      <w:r w:rsidR="00DD7B16">
        <w:rPr>
          <w:rStyle w:val="FootnoteReference"/>
        </w:rPr>
        <w:footnoteReference w:id="16"/>
      </w:r>
      <w:r w:rsidR="00976F13" w:rsidRPr="00976F13">
        <w:t xml:space="preserve"> </w:t>
      </w:r>
      <w:r w:rsidR="00013728">
        <w:t xml:space="preserve">Scenario D resulted in capital costs for Montana wind of </w:t>
      </w:r>
      <w:r w:rsidR="00976F13" w:rsidRPr="00976F13">
        <w:t xml:space="preserve">4,913 $/kW </w:t>
      </w:r>
      <w:r w:rsidR="00013728">
        <w:t xml:space="preserve">with a LCOE of </w:t>
      </w:r>
      <w:r w:rsidR="00976F13" w:rsidRPr="00976F13">
        <w:t>177 $/MWh and was identified as PSE's "MT wind base case".</w:t>
      </w:r>
      <w:r w:rsidR="00060D6A">
        <w:rPr>
          <w:rStyle w:val="FootnoteReference"/>
        </w:rPr>
        <w:footnoteReference w:id="17"/>
      </w:r>
      <w:r w:rsidR="00CE4F26">
        <w:t xml:space="preserve"> </w:t>
      </w:r>
      <w:r w:rsidR="00976F13" w:rsidRPr="00976F13">
        <w:t>With these assumptions, PSE concluded that M</w:t>
      </w:r>
      <w:r w:rsidR="00013728">
        <w:t>ontana</w:t>
      </w:r>
      <w:r w:rsidR="00976F13" w:rsidRPr="00976F13">
        <w:t xml:space="preserve"> wind would never be comparable to market (at </w:t>
      </w:r>
      <w:r w:rsidR="00013728">
        <w:t xml:space="preserve">market price of </w:t>
      </w:r>
      <w:r w:rsidR="00976F13" w:rsidRPr="00976F13">
        <w:t>50 $/MWh).</w:t>
      </w:r>
      <w:r w:rsidR="00DD7B16">
        <w:rPr>
          <w:rStyle w:val="FootnoteReference"/>
        </w:rPr>
        <w:footnoteReference w:id="18"/>
      </w:r>
    </w:p>
    <w:p w14:paraId="14361B98" w14:textId="77777777" w:rsidR="00CE4F26" w:rsidRDefault="00CE4F26" w:rsidP="00CE4F26"/>
    <w:p w14:paraId="7ACD626B" w14:textId="028D0381" w:rsidR="00FB56BE" w:rsidRDefault="00CE4F26" w:rsidP="00D37866">
      <w:r>
        <w:t>Upon request by interest</w:t>
      </w:r>
      <w:r w:rsidR="00AA158E">
        <w:t>ed</w:t>
      </w:r>
      <w:r>
        <w:t xml:space="preserve"> parties, PSE modeled “</w:t>
      </w:r>
      <w:r w:rsidR="00976F13" w:rsidRPr="00976F13">
        <w:t>Sensitivity H</w:t>
      </w:r>
      <w:r>
        <w:t>”</w:t>
      </w:r>
      <w:r w:rsidR="00AA158E">
        <w:t xml:space="preserve"> which </w:t>
      </w:r>
      <w:r w:rsidR="00976F13" w:rsidRPr="00976F13">
        <w:t xml:space="preserve">assumed a total capital cost </w:t>
      </w:r>
      <w:r w:rsidR="00AA158E">
        <w:t xml:space="preserve">for Montana wind </w:t>
      </w:r>
      <w:r w:rsidR="00976F13" w:rsidRPr="00976F13">
        <w:t>of 2,381 $/kW, and did not require a new line to Broadview.</w:t>
      </w:r>
      <w:r w:rsidR="007C4101">
        <w:rPr>
          <w:rStyle w:val="FootnoteReference"/>
        </w:rPr>
        <w:footnoteReference w:id="19"/>
      </w:r>
      <w:r w:rsidR="00D37866">
        <w:t xml:space="preserve"> Under this assumption, </w:t>
      </w:r>
      <w:r w:rsidR="00976F13" w:rsidRPr="00976F13">
        <w:t>adding MT wind in 2023</w:t>
      </w:r>
      <w:r w:rsidR="00B9519A">
        <w:t>,</w:t>
      </w:r>
      <w:r w:rsidR="00976F13" w:rsidRPr="00976F13">
        <w:t xml:space="preserve"> </w:t>
      </w:r>
      <w:r w:rsidR="00D37866">
        <w:t>instead of Washington wind</w:t>
      </w:r>
      <w:r w:rsidR="00B9519A">
        <w:t>,</w:t>
      </w:r>
      <w:r w:rsidR="00D37866">
        <w:t xml:space="preserve"> would </w:t>
      </w:r>
      <w:r w:rsidR="00FB56BE">
        <w:t>cost</w:t>
      </w:r>
      <w:r w:rsidR="00976F13" w:rsidRPr="00976F13">
        <w:t xml:space="preserve"> an </w:t>
      </w:r>
      <w:r w:rsidR="00B9519A">
        <w:t>additional</w:t>
      </w:r>
      <w:r w:rsidR="00B9519A" w:rsidRPr="00976F13">
        <w:t xml:space="preserve"> </w:t>
      </w:r>
      <w:r w:rsidR="00976F13" w:rsidRPr="00976F13">
        <w:t>$184 million.</w:t>
      </w:r>
      <w:r w:rsidR="007C4101">
        <w:rPr>
          <w:rStyle w:val="FootnoteReference"/>
        </w:rPr>
        <w:footnoteReference w:id="20"/>
      </w:r>
      <w:r w:rsidR="00D37866">
        <w:t xml:space="preserve"> This a</w:t>
      </w:r>
      <w:r w:rsidR="00976F13" w:rsidRPr="00976F13">
        <w:t>nalysis assumes that Eastern MT wind does not qualify</w:t>
      </w:r>
      <w:r w:rsidR="00FB56BE">
        <w:t xml:space="preserve"> as an eligible resource for</w:t>
      </w:r>
      <w:r w:rsidR="00976F13" w:rsidRPr="00976F13">
        <w:t xml:space="preserve"> </w:t>
      </w:r>
      <w:r w:rsidR="00FB56BE">
        <w:t>Washington’s renewable portfolio standard</w:t>
      </w:r>
      <w:r w:rsidR="00D37866">
        <w:t>.</w:t>
      </w:r>
    </w:p>
    <w:p w14:paraId="344598A9" w14:textId="77777777" w:rsidR="00FB56BE" w:rsidRDefault="00FB56BE" w:rsidP="00D37866"/>
    <w:p w14:paraId="6CFE538C" w14:textId="37027014" w:rsidR="00D37866" w:rsidRDefault="00D37866" w:rsidP="00D37866">
      <w:r w:rsidRPr="00976F13">
        <w:t xml:space="preserve">RCW 19.285.030(12)(a) defines an eligible resource as </w:t>
      </w:r>
      <w:r w:rsidR="002D549C">
        <w:t xml:space="preserve">one </w:t>
      </w:r>
      <w:r w:rsidRPr="00976F13">
        <w:t>(i) "located in the Pacific Northwest" (i.e. west of the continental div</w:t>
      </w:r>
      <w:r w:rsidR="00EA53EB">
        <w:t>ide and in the Columbia R</w:t>
      </w:r>
      <w:r w:rsidRPr="00976F13">
        <w:t xml:space="preserve">iver drainage basin) </w:t>
      </w:r>
      <w:r w:rsidR="002D549C">
        <w:t>or</w:t>
      </w:r>
      <w:r w:rsidR="002D549C" w:rsidRPr="00976F13">
        <w:t xml:space="preserve"> </w:t>
      </w:r>
      <w:r w:rsidR="002D549C">
        <w:t xml:space="preserve">one where </w:t>
      </w:r>
      <w:r w:rsidRPr="00976F13">
        <w:t>(ii) "the electricity from the facility is delivered into Washington state on a real-time basis without shaping, storage, or integration services".</w:t>
      </w:r>
      <w:r w:rsidR="00555B83">
        <w:rPr>
          <w:rStyle w:val="FootnoteReference"/>
        </w:rPr>
        <w:footnoteReference w:id="21"/>
      </w:r>
      <w:r>
        <w:t xml:space="preserve"> </w:t>
      </w:r>
      <w:r w:rsidR="00105B23">
        <w:t xml:space="preserve">Regarding the wind resources in Montana, </w:t>
      </w:r>
      <w:r>
        <w:t xml:space="preserve">PSE stated that </w:t>
      </w:r>
      <w:r w:rsidR="00555B83">
        <w:t>“[m]</w:t>
      </w:r>
      <w:r>
        <w:t>ost of the prime wind resources are outside the footprint defined by the law”.</w:t>
      </w:r>
      <w:r>
        <w:rPr>
          <w:rStyle w:val="FootnoteReference"/>
        </w:rPr>
        <w:footnoteReference w:id="22"/>
      </w:r>
      <w:r>
        <w:t xml:space="preserve"> </w:t>
      </w:r>
      <w:r w:rsidR="00105B23">
        <w:t>Whether that is the case or not</w:t>
      </w:r>
      <w:r>
        <w:t>, eligible Montana wind could have been modeled by considering a location in western Montana</w:t>
      </w:r>
      <w:r w:rsidR="00EA53EB">
        <w:t xml:space="preserve"> </w:t>
      </w:r>
      <w:r w:rsidR="002D549C">
        <w:t>(</w:t>
      </w:r>
      <w:r w:rsidR="00EA53EB">
        <w:t>to comply with RCW 19.285.030 (12)(a)(i)</w:t>
      </w:r>
      <w:r w:rsidR="002D549C">
        <w:t>)</w:t>
      </w:r>
      <w:r w:rsidR="00EA53EB">
        <w:t xml:space="preserve"> or by assuming the Bonneville Power Administration (“BPA”) provided dynamic scheduling across their system </w:t>
      </w:r>
      <w:r w:rsidR="002D549C">
        <w:t>(</w:t>
      </w:r>
      <w:r w:rsidR="00EA53EB">
        <w:t>to comply with RCW 19.285.030 (12)(a)(ii)</w:t>
      </w:r>
      <w:r w:rsidR="002D549C">
        <w:t>)</w:t>
      </w:r>
      <w:r w:rsidR="00EA53EB">
        <w:t xml:space="preserve">. </w:t>
      </w:r>
    </w:p>
    <w:p w14:paraId="73D81EFD" w14:textId="77777777" w:rsidR="00B74F03" w:rsidRDefault="00B74F03" w:rsidP="00D37866"/>
    <w:p w14:paraId="4529B6F0" w14:textId="77777777" w:rsidR="00B74F03" w:rsidRPr="00976F13" w:rsidRDefault="00B74F03" w:rsidP="00B74F03">
      <w:r>
        <w:t>Renewable Northwest recommends that the Commission encourage PSE to use the most up-to-date resource assumptions for renewable resources. Given the anticipated need for eligible renewable resources in 2023, the falling cost of renewable resources compared to natural gas, and ongoing discussions surrounding the operation of Colstrip, Renewable Northwest looks forward to working with PSE to ensure that wind resources, including those from Montana, are fully explored in the 2017 IRP cycle.</w:t>
      </w:r>
    </w:p>
    <w:p w14:paraId="6C5BE5BC" w14:textId="77777777" w:rsidR="00B74F03" w:rsidRDefault="00B74F03" w:rsidP="00D37866"/>
    <w:p w14:paraId="048A4557" w14:textId="5BD40ADF" w:rsidR="00A332CE" w:rsidRDefault="00A332CE" w:rsidP="004B2A4B"/>
    <w:p w14:paraId="4792C670" w14:textId="77777777" w:rsidR="00A332CE" w:rsidRDefault="00A332CE" w:rsidP="00A332CE">
      <w:pPr>
        <w:keepNext/>
      </w:pPr>
      <w:r>
        <w:rPr>
          <w:noProof/>
        </w:rPr>
        <w:drawing>
          <wp:inline distT="0" distB="0" distL="0" distR="0" wp14:anchorId="25DA08CA" wp14:editId="5A283F17">
            <wp:extent cx="5942274" cy="4275085"/>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700" cy="4276111"/>
                    </a:xfrm>
                    <a:prstGeom prst="rect">
                      <a:avLst/>
                    </a:prstGeom>
                    <a:noFill/>
                    <a:ln>
                      <a:noFill/>
                    </a:ln>
                  </pic:spPr>
                </pic:pic>
              </a:graphicData>
            </a:graphic>
          </wp:inline>
        </w:drawing>
      </w:r>
    </w:p>
    <w:p w14:paraId="24DAAB84" w14:textId="70B1F77B" w:rsidR="00B74F03" w:rsidRDefault="00A332CE" w:rsidP="0073664D">
      <w:pPr>
        <w:pStyle w:val="Caption"/>
      </w:pPr>
      <w:bookmarkStart w:id="3" w:name="_Ref315815749"/>
      <w:bookmarkStart w:id="4" w:name="_Ref315815006"/>
      <w:r w:rsidRPr="00082D05">
        <w:rPr>
          <w:color w:val="auto"/>
          <w:sz w:val="20"/>
          <w:szCs w:val="20"/>
        </w:rPr>
        <w:t xml:space="preserve">Figure </w:t>
      </w:r>
      <w:r w:rsidR="00013728" w:rsidRPr="00082D05">
        <w:rPr>
          <w:color w:val="auto"/>
          <w:sz w:val="20"/>
          <w:szCs w:val="20"/>
        </w:rPr>
        <w:fldChar w:fldCharType="begin"/>
      </w:r>
      <w:r w:rsidR="00013728" w:rsidRPr="00082D05">
        <w:rPr>
          <w:color w:val="auto"/>
          <w:sz w:val="20"/>
          <w:szCs w:val="20"/>
        </w:rPr>
        <w:instrText xml:space="preserve"> SEQ Figure \* ARABIC </w:instrText>
      </w:r>
      <w:r w:rsidR="00013728" w:rsidRPr="00082D05">
        <w:rPr>
          <w:color w:val="auto"/>
          <w:sz w:val="20"/>
          <w:szCs w:val="20"/>
        </w:rPr>
        <w:fldChar w:fldCharType="separate"/>
      </w:r>
      <w:r w:rsidR="0073664D">
        <w:rPr>
          <w:noProof/>
          <w:color w:val="auto"/>
          <w:sz w:val="20"/>
          <w:szCs w:val="20"/>
        </w:rPr>
        <w:t>2</w:t>
      </w:r>
      <w:r w:rsidR="00013728" w:rsidRPr="00082D05">
        <w:rPr>
          <w:noProof/>
          <w:color w:val="auto"/>
          <w:sz w:val="20"/>
          <w:szCs w:val="20"/>
        </w:rPr>
        <w:fldChar w:fldCharType="end"/>
      </w:r>
      <w:bookmarkEnd w:id="3"/>
      <w:r w:rsidRPr="00082D05">
        <w:rPr>
          <w:color w:val="auto"/>
          <w:sz w:val="20"/>
          <w:szCs w:val="20"/>
        </w:rPr>
        <w:t>—Levelized revenue requirement component breakdown for wind and solar.</w:t>
      </w:r>
      <w:r w:rsidRPr="00082D05">
        <w:rPr>
          <w:rStyle w:val="FootnoteReference"/>
          <w:color w:val="auto"/>
          <w:sz w:val="20"/>
          <w:szCs w:val="20"/>
        </w:rPr>
        <w:footnoteReference w:id="23"/>
      </w:r>
      <w:bookmarkEnd w:id="4"/>
    </w:p>
    <w:p w14:paraId="69538A3D" w14:textId="77777777" w:rsidR="00D65A27" w:rsidRDefault="00D65A27" w:rsidP="00D65A27">
      <w:pPr>
        <w:rPr>
          <w:b/>
          <w:bCs/>
          <w:u w:val="single"/>
        </w:rPr>
      </w:pPr>
      <w:r>
        <w:rPr>
          <w:b/>
          <w:bCs/>
          <w:u w:val="single"/>
        </w:rPr>
        <w:t xml:space="preserve">UTILITY SCALE </w:t>
      </w:r>
      <w:r w:rsidRPr="00976F13">
        <w:rPr>
          <w:b/>
          <w:bCs/>
          <w:u w:val="single"/>
        </w:rPr>
        <w:t>SOLAR</w:t>
      </w:r>
      <w:r>
        <w:rPr>
          <w:b/>
          <w:bCs/>
          <w:u w:val="single"/>
        </w:rPr>
        <w:t xml:space="preserve"> PV</w:t>
      </w:r>
    </w:p>
    <w:p w14:paraId="44EB32E2" w14:textId="77777777" w:rsidR="00D65A27" w:rsidRPr="00976F13" w:rsidRDefault="00D65A27" w:rsidP="00D65A27"/>
    <w:p w14:paraId="0E0BD116" w14:textId="77777777" w:rsidR="00D65A27" w:rsidRDefault="00D65A27" w:rsidP="00D65A27">
      <w:r>
        <w:t>Assuming</w:t>
      </w:r>
      <w:r w:rsidRPr="00976F13">
        <w:t xml:space="preserve"> </w:t>
      </w:r>
      <w:r>
        <w:t xml:space="preserve">a </w:t>
      </w:r>
      <w:r w:rsidRPr="00976F13">
        <w:t>20 MW</w:t>
      </w:r>
      <w:r>
        <w:t xml:space="preserve"> solar PV system with 20% capacity factor and 0% capacity credit (see section </w:t>
      </w:r>
      <w:r>
        <w:fldChar w:fldCharType="begin"/>
      </w:r>
      <w:r>
        <w:instrText xml:space="preserve"> REF _Ref315814354 \r \h </w:instrText>
      </w:r>
      <w:r>
        <w:fldChar w:fldCharType="separate"/>
      </w:r>
      <w:r w:rsidR="0073664D">
        <w:t>III</w:t>
      </w:r>
      <w:r>
        <w:fldChar w:fldCharType="end"/>
      </w:r>
      <w:r>
        <w:t xml:space="preserve"> on the capacity credit assumption), </w:t>
      </w:r>
      <w:r w:rsidRPr="00976F13">
        <w:t>PSE </w:t>
      </w:r>
      <w:r>
        <w:t xml:space="preserve">estimated the </w:t>
      </w:r>
      <w:r w:rsidRPr="00976F13">
        <w:t xml:space="preserve">capital cost </w:t>
      </w:r>
      <w:r>
        <w:t>of utility scale solar PV to be</w:t>
      </w:r>
      <w:r w:rsidRPr="00976F13">
        <w:t xml:space="preserve"> 2,535 $/kW</w:t>
      </w:r>
      <w:r>
        <w:rPr>
          <w:rStyle w:val="FootnoteReference"/>
        </w:rPr>
        <w:footnoteReference w:id="24"/>
      </w:r>
      <w:r w:rsidRPr="00976F13">
        <w:t xml:space="preserve"> </w:t>
      </w:r>
      <w:r>
        <w:t>with</w:t>
      </w:r>
      <w:r w:rsidRPr="00976F13">
        <w:t xml:space="preserve"> a levelized cost of energy of 165 $/MWh.</w:t>
      </w:r>
      <w:r>
        <w:rPr>
          <w:rStyle w:val="FootnoteReference"/>
        </w:rPr>
        <w:footnoteReference w:id="25"/>
      </w:r>
      <w:r>
        <w:t xml:space="preserve"> </w:t>
      </w:r>
      <w:r w:rsidRPr="00976F13">
        <w:t>National averages</w:t>
      </w:r>
      <w:r>
        <w:t xml:space="preserve"> for utility scale solar</w:t>
      </w:r>
      <w:r w:rsidRPr="00976F13">
        <w:t xml:space="preserve"> are at a maximum of 1750 $/kW, with an LCOE of 70 $/MWh</w:t>
      </w:r>
      <w:r>
        <w:t xml:space="preserve"> (without federal tax credits)</w:t>
      </w:r>
      <w:r w:rsidRPr="00976F13">
        <w:t>.</w:t>
      </w:r>
      <w:r>
        <w:rPr>
          <w:rStyle w:val="FootnoteReference"/>
        </w:rPr>
        <w:footnoteReference w:id="26"/>
      </w:r>
      <w:r>
        <w:t xml:space="preserve"> As can be seen from </w:t>
      </w:r>
      <w:r w:rsidRPr="008E0280">
        <w:fldChar w:fldCharType="begin"/>
      </w:r>
      <w:r w:rsidRPr="008E0280">
        <w:instrText xml:space="preserve"> REF _Ref315815749 \h </w:instrText>
      </w:r>
      <w:r w:rsidRPr="008E0280">
        <w:fldChar w:fldCharType="separate"/>
      </w:r>
      <w:r w:rsidR="0073664D" w:rsidRPr="00082D05">
        <w:rPr>
          <w:sz w:val="20"/>
          <w:szCs w:val="20"/>
        </w:rPr>
        <w:t xml:space="preserve">Figure </w:t>
      </w:r>
      <w:r w:rsidR="0073664D">
        <w:rPr>
          <w:noProof/>
          <w:sz w:val="20"/>
          <w:szCs w:val="20"/>
        </w:rPr>
        <w:t>2</w:t>
      </w:r>
      <w:r w:rsidRPr="008E0280">
        <w:fldChar w:fldCharType="end"/>
      </w:r>
      <w:r w:rsidRPr="008E0280">
        <w:t xml:space="preserve">, </w:t>
      </w:r>
      <w:r>
        <w:t>PSE’s assumption for the capital cost component of the solar LCOE (137 $/MWh) is almost twice the entire high-end of the national average LCOE (70 $/MWh). As with wind resources, this high estimation of utility scale solar PV capital costs again highlights the need for ensuring up to date utility scale solar PV costs.</w:t>
      </w:r>
    </w:p>
    <w:p w14:paraId="41233134" w14:textId="77777777" w:rsidR="00B74F03" w:rsidRPr="00B74F03" w:rsidRDefault="00B74F03" w:rsidP="00B74F03"/>
    <w:p w14:paraId="7E23820F" w14:textId="77777777" w:rsidR="00875116" w:rsidRDefault="00875116" w:rsidP="00875116">
      <w:pPr>
        <w:pStyle w:val="ListParagraph"/>
        <w:widowControl w:val="0"/>
        <w:numPr>
          <w:ilvl w:val="0"/>
          <w:numId w:val="2"/>
        </w:numPr>
        <w:autoSpaceDE w:val="0"/>
        <w:autoSpaceDN w:val="0"/>
        <w:adjustRightInd w:val="0"/>
        <w:spacing w:after="240"/>
        <w:jc w:val="center"/>
        <w:outlineLvl w:val="0"/>
        <w:rPr>
          <w:b/>
          <w:u w:val="single"/>
          <w:lang w:val="en-GB"/>
        </w:rPr>
      </w:pPr>
      <w:bookmarkStart w:id="5" w:name="_Ref315814354"/>
      <w:r>
        <w:rPr>
          <w:b/>
          <w:u w:val="single"/>
          <w:lang w:val="en-GB"/>
        </w:rPr>
        <w:t>SOLAR CONTRIBUTES TO SYSTEM ADEQUACY EVEN IF IT DOES NOT GENERATE IN THE PEAK HOUR</w:t>
      </w:r>
      <w:bookmarkEnd w:id="5"/>
      <w:r>
        <w:rPr>
          <w:b/>
          <w:u w:val="single"/>
          <w:lang w:val="en-GB"/>
        </w:rPr>
        <w:t xml:space="preserve"> </w:t>
      </w:r>
    </w:p>
    <w:p w14:paraId="3341886A" w14:textId="6FD71CF2" w:rsidR="00462523" w:rsidRPr="002444AB" w:rsidRDefault="006555DC" w:rsidP="00462523">
      <w:pPr>
        <w:widowControl w:val="0"/>
        <w:autoSpaceDE w:val="0"/>
        <w:autoSpaceDN w:val="0"/>
        <w:adjustRightInd w:val="0"/>
        <w:spacing w:after="240"/>
        <w:outlineLvl w:val="0"/>
        <w:rPr>
          <w:b/>
          <w:u w:val="single"/>
          <w:lang w:val="en-GB"/>
        </w:rPr>
      </w:pPr>
      <w:r>
        <w:t xml:space="preserve">PSE modeled utility scale solar PV </w:t>
      </w:r>
      <w:r w:rsidR="00A23B27">
        <w:t xml:space="preserve">assuming </w:t>
      </w:r>
      <w:r>
        <w:t>0% capacity credit.</w:t>
      </w:r>
      <w:r>
        <w:rPr>
          <w:rStyle w:val="FootnoteReference"/>
        </w:rPr>
        <w:footnoteReference w:id="27"/>
      </w:r>
      <w:r w:rsidRPr="00976F13">
        <w:t xml:space="preserve"> </w:t>
      </w:r>
      <w:r>
        <w:t xml:space="preserve">This </w:t>
      </w:r>
      <w:r w:rsidR="00A23B27">
        <w:t xml:space="preserve">assumption </w:t>
      </w:r>
      <w:r>
        <w:t>is based upon the assertion that</w:t>
      </w:r>
      <w:r w:rsidR="00633371">
        <w:t>,</w:t>
      </w:r>
      <w:r>
        <w:t xml:space="preserve"> because PSE’s peak load hour is in </w:t>
      </w:r>
      <w:r w:rsidR="00486C12">
        <w:t>winter</w:t>
      </w:r>
      <w:r>
        <w:t xml:space="preserve"> during the dark, solar is unable to contribute any firm capacity.</w:t>
      </w:r>
      <w:r>
        <w:rPr>
          <w:b/>
          <w:u w:val="single"/>
          <w:lang w:val="en-GB"/>
        </w:rPr>
        <w:t xml:space="preserve"> </w:t>
      </w:r>
      <w:r w:rsidR="00991C14">
        <w:t xml:space="preserve"> The </w:t>
      </w:r>
      <w:r w:rsidR="00976F13" w:rsidRPr="00976F13">
        <w:t>N</w:t>
      </w:r>
      <w:r w:rsidR="00991C14">
        <w:t>ational Renewable Energy Laboratory (“NRE</w:t>
      </w:r>
      <w:r w:rsidR="002444AB">
        <w:t>L</w:t>
      </w:r>
      <w:r w:rsidR="00991C14">
        <w:t>”)</w:t>
      </w:r>
      <w:r w:rsidR="00976F13" w:rsidRPr="00976F13">
        <w:t xml:space="preserve"> identif</w:t>
      </w:r>
      <w:r w:rsidR="003E4489">
        <w:t>ied</w:t>
      </w:r>
      <w:r w:rsidR="00976F13" w:rsidRPr="00976F13">
        <w:t xml:space="preserve"> two types of capacity credit: ope</w:t>
      </w:r>
      <w:r>
        <w:t>rational and system adequacy.  </w:t>
      </w:r>
      <w:r w:rsidR="00E120A7">
        <w:rPr>
          <w:lang w:val="en-GB"/>
        </w:rPr>
        <w:t xml:space="preserve">NREL’s </w:t>
      </w:r>
      <w:r w:rsidR="00E120A7" w:rsidRPr="00462523">
        <w:rPr>
          <w:lang w:val="en-GB"/>
        </w:rPr>
        <w:t>Michael Milligan, PhD.</w:t>
      </w:r>
      <w:r w:rsidR="00E120A7">
        <w:rPr>
          <w:lang w:val="en-GB"/>
        </w:rPr>
        <w:t xml:space="preserve"> </w:t>
      </w:r>
      <w:r w:rsidR="00E120A7" w:rsidRPr="00462523">
        <w:rPr>
          <w:lang w:val="en-GB"/>
        </w:rPr>
        <w:t xml:space="preserve">characterized </w:t>
      </w:r>
      <w:r w:rsidR="00E120A7">
        <w:rPr>
          <w:lang w:val="en-GB"/>
        </w:rPr>
        <w:t>these</w:t>
      </w:r>
      <w:r w:rsidR="00E120A7" w:rsidRPr="00462523">
        <w:rPr>
          <w:lang w:val="en-GB"/>
        </w:rPr>
        <w:t xml:space="preserve"> </w:t>
      </w:r>
      <w:r w:rsidR="00462523" w:rsidRPr="00462523">
        <w:rPr>
          <w:lang w:val="en-GB"/>
        </w:rPr>
        <w:t xml:space="preserve">two types of capacity credit in a publically available presentation </w:t>
      </w:r>
      <w:r w:rsidR="00E120A7">
        <w:rPr>
          <w:lang w:val="en-GB"/>
        </w:rPr>
        <w:t>that he gave</w:t>
      </w:r>
      <w:r w:rsidR="00E120A7" w:rsidRPr="00462523">
        <w:rPr>
          <w:lang w:val="en-GB"/>
        </w:rPr>
        <w:t xml:space="preserve"> </w:t>
      </w:r>
      <w:r w:rsidR="00462523" w:rsidRPr="00462523">
        <w:rPr>
          <w:lang w:val="en-GB"/>
        </w:rPr>
        <w:t xml:space="preserve">to the </w:t>
      </w:r>
      <w:r w:rsidR="00462523" w:rsidRPr="00462523">
        <w:t>Utility Variable-Generation Integration Group in June 2014.</w:t>
      </w:r>
      <w:r w:rsidR="00462523" w:rsidRPr="00462523">
        <w:rPr>
          <w:vertAlign w:val="superscript"/>
        </w:rPr>
        <w:footnoteReference w:id="28"/>
      </w:r>
      <w:r w:rsidR="00462523" w:rsidRPr="00462523">
        <w:t xml:space="preserve"> </w:t>
      </w:r>
      <w:r w:rsidR="00462523" w:rsidRPr="00462523">
        <w:rPr>
          <w:lang w:val="en-GB"/>
        </w:rPr>
        <w:t>Operational capacity value is concerned with how much capacity a variable generator will produce at a given date or time.</w:t>
      </w:r>
      <w:r w:rsidR="00462523" w:rsidRPr="00462523">
        <w:rPr>
          <w:vertAlign w:val="superscript"/>
          <w:lang w:val="en-GB"/>
        </w:rPr>
        <w:footnoteReference w:id="29"/>
      </w:r>
      <w:r w:rsidR="00462523" w:rsidRPr="00462523">
        <w:rPr>
          <w:lang w:val="en-GB"/>
        </w:rPr>
        <w:t xml:space="preserve"> System adequacy capacity value</w:t>
      </w:r>
      <w:r w:rsidR="00E120A7">
        <w:rPr>
          <w:lang w:val="en-GB"/>
        </w:rPr>
        <w:t>, on the other hand,</w:t>
      </w:r>
      <w:r w:rsidR="00462523" w:rsidRPr="00462523">
        <w:rPr>
          <w:lang w:val="en-GB"/>
        </w:rPr>
        <w:t xml:space="preserve"> is concerned with whether there is enough installed capacity in a certain year to reliably serve load.</w:t>
      </w:r>
      <w:r w:rsidR="00462523" w:rsidRPr="00462523">
        <w:rPr>
          <w:vertAlign w:val="superscript"/>
          <w:lang w:val="en-GB"/>
        </w:rPr>
        <w:footnoteReference w:id="30"/>
      </w:r>
      <w:r w:rsidR="00462523" w:rsidRPr="00462523">
        <w:rPr>
          <w:lang w:val="en-GB"/>
        </w:rPr>
        <w:t xml:space="preserve"> </w:t>
      </w:r>
      <w:r w:rsidR="00462523" w:rsidRPr="00462523">
        <w:t>These two views of capacity value are described as “</w:t>
      </w:r>
      <w:r w:rsidR="00A23B27">
        <w:t>t</w:t>
      </w:r>
      <w:r w:rsidR="00462523" w:rsidRPr="00462523">
        <w:t>wo very different questions”.</w:t>
      </w:r>
      <w:r w:rsidR="00462523" w:rsidRPr="00462523">
        <w:rPr>
          <w:vertAlign w:val="superscript"/>
        </w:rPr>
        <w:footnoteReference w:id="31"/>
      </w:r>
      <w:r w:rsidR="002444AB">
        <w:rPr>
          <w:b/>
          <w:u w:val="single"/>
          <w:lang w:val="en-GB"/>
        </w:rPr>
        <w:t xml:space="preserve"> </w:t>
      </w:r>
      <w:r w:rsidR="00462523">
        <w:rPr>
          <w:lang w:val="en-GB"/>
        </w:rPr>
        <w:t xml:space="preserve">When presenting to the </w:t>
      </w:r>
      <w:r w:rsidR="005B0B36">
        <w:rPr>
          <w:lang w:val="en-GB"/>
        </w:rPr>
        <w:t xml:space="preserve">Oregon Public Utility </w:t>
      </w:r>
      <w:r w:rsidR="00462523">
        <w:rPr>
          <w:lang w:val="en-GB"/>
        </w:rPr>
        <w:t xml:space="preserve">Commission on “Methods to Model and Calculate Capacity Contributions of Variable Generation” on August 17, 2015, </w:t>
      </w:r>
      <w:r w:rsidR="00A23B27">
        <w:rPr>
          <w:lang w:val="en-GB"/>
        </w:rPr>
        <w:t xml:space="preserve">Dr. Milligan </w:t>
      </w:r>
      <w:r w:rsidR="005B0B36">
        <w:rPr>
          <w:lang w:val="en-GB"/>
        </w:rPr>
        <w:t>stated that “</w:t>
      </w:r>
      <w:r w:rsidR="00462523">
        <w:rPr>
          <w:lang w:val="en-GB"/>
        </w:rPr>
        <w:t>A generator contributes to resource adequacy if it reduces the LOLP in some or all hours or days”.</w:t>
      </w:r>
      <w:r w:rsidR="005B0B36">
        <w:rPr>
          <w:rStyle w:val="FootnoteReference"/>
          <w:lang w:val="en-GB"/>
        </w:rPr>
        <w:footnoteReference w:id="32"/>
      </w:r>
    </w:p>
    <w:p w14:paraId="741B13DC" w14:textId="62C4B909" w:rsidR="00462523" w:rsidRDefault="002444AB" w:rsidP="00462523">
      <w:pPr>
        <w:widowControl w:val="0"/>
        <w:autoSpaceDE w:val="0"/>
        <w:autoSpaceDN w:val="0"/>
        <w:adjustRightInd w:val="0"/>
        <w:spacing w:after="240"/>
        <w:outlineLvl w:val="0"/>
        <w:rPr>
          <w:lang w:val="en-GB"/>
        </w:rPr>
      </w:pPr>
      <w:r>
        <w:rPr>
          <w:lang w:val="en-GB"/>
        </w:rPr>
        <w:t>Renewable Northwest recommends that the Commission explore the different ways that solar can</w:t>
      </w:r>
      <w:r w:rsidR="004077A7">
        <w:rPr>
          <w:lang w:val="en-GB"/>
        </w:rPr>
        <w:t xml:space="preserve"> contribute to capacity, whether operationally or in terms of system capacity, </w:t>
      </w:r>
      <w:r w:rsidR="00E120A7">
        <w:rPr>
          <w:lang w:val="en-GB"/>
        </w:rPr>
        <w:t>so</w:t>
      </w:r>
      <w:r w:rsidR="004077A7">
        <w:rPr>
          <w:lang w:val="en-GB"/>
        </w:rPr>
        <w:t xml:space="preserve"> that solar systems’ contribution to capacity can be value</w:t>
      </w:r>
      <w:r w:rsidR="00E120A7">
        <w:rPr>
          <w:lang w:val="en-GB"/>
        </w:rPr>
        <w:t>d</w:t>
      </w:r>
      <w:r w:rsidR="004077A7">
        <w:rPr>
          <w:lang w:val="en-GB"/>
        </w:rPr>
        <w:t xml:space="preserve"> appropriately in the IRP process. Once again, the Commission’s “</w:t>
      </w:r>
      <w:r w:rsidR="004077A7" w:rsidRPr="00696FDC">
        <w:rPr>
          <w:lang w:val="en-GB"/>
        </w:rPr>
        <w:t>Investigation of the Costs and Ben</w:t>
      </w:r>
      <w:r w:rsidR="004077A7">
        <w:rPr>
          <w:lang w:val="en-GB"/>
        </w:rPr>
        <w:t xml:space="preserve">efits of Distributed Generation” (UE-131883) would be a suitable place to explore these issues. </w:t>
      </w:r>
    </w:p>
    <w:p w14:paraId="4DD5D874" w14:textId="77777777" w:rsidR="00875116" w:rsidRPr="008A2B5F" w:rsidRDefault="00875116" w:rsidP="00976F13">
      <w:pPr>
        <w:pStyle w:val="ListParagraph"/>
        <w:widowControl w:val="0"/>
        <w:autoSpaceDE w:val="0"/>
        <w:autoSpaceDN w:val="0"/>
        <w:adjustRightInd w:val="0"/>
        <w:spacing w:after="240"/>
        <w:ind w:left="1080"/>
        <w:outlineLvl w:val="0"/>
        <w:rPr>
          <w:b/>
          <w:u w:val="single"/>
          <w:lang w:val="en-GB"/>
        </w:rPr>
      </w:pPr>
    </w:p>
    <w:p w14:paraId="1FDDCBF6" w14:textId="77777777" w:rsidR="00875116" w:rsidRPr="008A2B5F" w:rsidRDefault="00875116" w:rsidP="00875116">
      <w:pPr>
        <w:pStyle w:val="ListParagraph"/>
        <w:widowControl w:val="0"/>
        <w:numPr>
          <w:ilvl w:val="0"/>
          <w:numId w:val="2"/>
        </w:numPr>
        <w:autoSpaceDE w:val="0"/>
        <w:autoSpaceDN w:val="0"/>
        <w:adjustRightInd w:val="0"/>
        <w:spacing w:after="240"/>
        <w:outlineLvl w:val="0"/>
        <w:rPr>
          <w:b/>
          <w:u w:val="single"/>
          <w:lang w:val="en-GB"/>
        </w:rPr>
      </w:pPr>
      <w:bookmarkStart w:id="6" w:name="_Ref315949622"/>
      <w:r>
        <w:rPr>
          <w:b/>
          <w:u w:val="single"/>
          <w:lang w:val="en-GB"/>
        </w:rPr>
        <w:t>CHANGES TO RESOURCE ADEQUACY METRICS SHOULD NOT HAPPEN CLOSE TO THE END OF THE IR</w:t>
      </w:r>
      <w:r w:rsidR="00976F13">
        <w:rPr>
          <w:b/>
          <w:u w:val="single"/>
          <w:lang w:val="en-GB"/>
        </w:rPr>
        <w:t>P</w:t>
      </w:r>
      <w:bookmarkEnd w:id="6"/>
    </w:p>
    <w:p w14:paraId="1AE64C79" w14:textId="4B13D519" w:rsidR="00E03C6F" w:rsidRDefault="00976F13" w:rsidP="00E03C6F">
      <w:pPr>
        <w:rPr>
          <w:lang w:val="en-GB"/>
        </w:rPr>
      </w:pPr>
      <w:r w:rsidRPr="00976F13">
        <w:t>Since 2009</w:t>
      </w:r>
      <w:r w:rsidR="00E120A7">
        <w:t>,</w:t>
      </w:r>
      <w:r w:rsidRPr="00976F13">
        <w:t> PSE has calculated the capacity contribution of different resources using the Incremental Capacity Equivalent (</w:t>
      </w:r>
      <w:r w:rsidR="004703E6">
        <w:t>“</w:t>
      </w:r>
      <w:r w:rsidRPr="00976F13">
        <w:t>ICE</w:t>
      </w:r>
      <w:r w:rsidR="004703E6">
        <w:t>”</w:t>
      </w:r>
      <w:r w:rsidRPr="00976F13">
        <w:t>) method</w:t>
      </w:r>
      <w:r w:rsidR="00E120A7">
        <w:t>. This method</w:t>
      </w:r>
      <w:r w:rsidRPr="00976F13">
        <w:t xml:space="preserve"> compares a resource to a combined cycle</w:t>
      </w:r>
      <w:r w:rsidR="00A23B27">
        <w:t xml:space="preserve"> natural gas plant</w:t>
      </w:r>
      <w:r w:rsidRPr="00976F13">
        <w:t>.</w:t>
      </w:r>
      <w:r w:rsidR="003D44A1">
        <w:rPr>
          <w:rStyle w:val="FootnoteReference"/>
        </w:rPr>
        <w:footnoteReference w:id="33"/>
      </w:r>
      <w:r w:rsidRPr="00976F13">
        <w:t xml:space="preserve"> Originally</w:t>
      </w:r>
      <w:r w:rsidR="00E120A7">
        <w:t>,</w:t>
      </w:r>
      <w:r w:rsidRPr="00976F13">
        <w:t xml:space="preserve"> this </w:t>
      </w:r>
      <w:r w:rsidR="00505CCD">
        <w:t xml:space="preserve">comparison </w:t>
      </w:r>
      <w:r w:rsidRPr="00976F13">
        <w:t>was achieved by adjusting the system with the new resource to achieve a 5% loss of load probability (</w:t>
      </w:r>
      <w:r w:rsidR="004703E6">
        <w:t>“</w:t>
      </w:r>
      <w:r w:rsidRPr="00976F13">
        <w:t>LOLP</w:t>
      </w:r>
      <w:r w:rsidR="00486C12">
        <w:t>”)</w:t>
      </w:r>
      <w:r w:rsidRPr="00976F13">
        <w:t>.</w:t>
      </w:r>
      <w:r w:rsidR="009875A1">
        <w:rPr>
          <w:rStyle w:val="FootnoteReference"/>
        </w:rPr>
        <w:footnoteReference w:id="34"/>
      </w:r>
      <w:r w:rsidR="005B0B36">
        <w:t xml:space="preserve"> </w:t>
      </w:r>
      <w:r w:rsidR="004703E6">
        <w:rPr>
          <w:lang w:val="en-GB"/>
        </w:rPr>
        <w:t>LOLP</w:t>
      </w:r>
      <w:r w:rsidR="00E03C6F" w:rsidRPr="004703E6">
        <w:rPr>
          <w:lang w:val="en-GB"/>
        </w:rPr>
        <w:t xml:space="preserve"> and loss of load expectation (“LOLE”)</w:t>
      </w:r>
      <w:r w:rsidR="004703E6">
        <w:rPr>
          <w:lang w:val="en-GB"/>
        </w:rPr>
        <w:t xml:space="preserve"> are t</w:t>
      </w:r>
      <w:r w:rsidR="004703E6" w:rsidRPr="004703E6">
        <w:rPr>
          <w:lang w:val="en-GB"/>
        </w:rPr>
        <w:t>wo of the most commonly used metrics for system adequacy</w:t>
      </w:r>
      <w:r w:rsidR="00E03C6F" w:rsidRPr="004703E6">
        <w:rPr>
          <w:lang w:val="en-GB"/>
        </w:rPr>
        <w:t>.</w:t>
      </w:r>
      <w:r w:rsidR="00E03C6F" w:rsidRPr="004703E6">
        <w:rPr>
          <w:rStyle w:val="FootnoteReference"/>
          <w:lang w:val="en-GB"/>
        </w:rPr>
        <w:footnoteReference w:id="35"/>
      </w:r>
      <w:r w:rsidR="00E03C6F" w:rsidRPr="004703E6">
        <w:rPr>
          <w:lang w:val="en-GB"/>
        </w:rPr>
        <w:t xml:space="preserve"> The LOLP is the probability of a loss of load event in which the system load is greater than available generating capacity during a given time period.</w:t>
      </w:r>
      <w:r w:rsidR="00E03C6F" w:rsidRPr="004703E6">
        <w:rPr>
          <w:rStyle w:val="FootnoteReference"/>
          <w:lang w:val="en-GB"/>
        </w:rPr>
        <w:footnoteReference w:id="36"/>
      </w:r>
      <w:r w:rsidR="00E03C6F" w:rsidRPr="004703E6">
        <w:rPr>
          <w:lang w:val="en-GB"/>
        </w:rPr>
        <w:t xml:space="preserve">  The LOLE is the sum of LOLPs during a planning period, usually one year, and gives the expected number of time periods in which a loss of load event occurs (for example 0.1 days per year).</w:t>
      </w:r>
      <w:r w:rsidR="00E03C6F" w:rsidRPr="004703E6">
        <w:rPr>
          <w:rStyle w:val="FootnoteReference"/>
          <w:lang w:val="en-GB"/>
        </w:rPr>
        <w:footnoteReference w:id="37"/>
      </w:r>
    </w:p>
    <w:p w14:paraId="101088F7" w14:textId="77777777" w:rsidR="00E120A7" w:rsidRPr="004703E6" w:rsidRDefault="00E120A7" w:rsidP="00E03C6F"/>
    <w:p w14:paraId="65631863" w14:textId="04526766" w:rsidR="00075FBA" w:rsidRDefault="005B0B36" w:rsidP="00E03C6F">
      <w:r>
        <w:t xml:space="preserve">In September </w:t>
      </w:r>
      <w:r w:rsidR="00976F13" w:rsidRPr="00976F13">
        <w:t>2015</w:t>
      </w:r>
      <w:r w:rsidR="00E120A7">
        <w:t>,</w:t>
      </w:r>
      <w:r w:rsidR="00976F13" w:rsidRPr="00976F13">
        <w:t> PSE announce</w:t>
      </w:r>
      <w:r w:rsidR="00E120A7">
        <w:t>d that</w:t>
      </w:r>
      <w:r w:rsidR="00976F13" w:rsidRPr="00976F13">
        <w:t xml:space="preserve"> they would shift </w:t>
      </w:r>
      <w:r w:rsidR="004703E6">
        <w:t xml:space="preserve">to using </w:t>
      </w:r>
      <w:r w:rsidR="004703E6" w:rsidRPr="00976F13">
        <w:t>Expected Unserved Energy (</w:t>
      </w:r>
      <w:r w:rsidR="004703E6">
        <w:t>“</w:t>
      </w:r>
      <w:r w:rsidR="004703E6" w:rsidRPr="00976F13">
        <w:t>EUE</w:t>
      </w:r>
      <w:r w:rsidR="004703E6">
        <w:t>”</w:t>
      </w:r>
      <w:r w:rsidR="004703E6" w:rsidRPr="00976F13">
        <w:t>)</w:t>
      </w:r>
      <w:r w:rsidR="004703E6">
        <w:t xml:space="preserve"> as a reliability metric instead of LOLP</w:t>
      </w:r>
      <w:r w:rsidR="00976F13" w:rsidRPr="00976F13">
        <w:t xml:space="preserve">. </w:t>
      </w:r>
      <w:r w:rsidR="00075FBA">
        <w:t>EUE measures the magnitude of potential load curtailments, while LOLP focuses on eliminating or reducing the frequency or occurrence of reliability events. Part of the purpose of IRPs is to determine what resources to build and when to build them. Focusing resource adequacy on EUE would mean resources could be chose</w:t>
      </w:r>
      <w:r w:rsidR="007C2FBA">
        <w:t>n</w:t>
      </w:r>
      <w:r w:rsidR="00075FBA">
        <w:t xml:space="preserve"> for the sole </w:t>
      </w:r>
      <w:r w:rsidR="007C2FBA">
        <w:t>purpose of making a reliability</w:t>
      </w:r>
      <w:r w:rsidR="00075FBA">
        <w:t xml:space="preserve"> </w:t>
      </w:r>
      <w:r w:rsidR="007C2FBA">
        <w:t xml:space="preserve">event </w:t>
      </w:r>
      <w:r w:rsidR="00075FBA">
        <w:t xml:space="preserve">shorter or less severe. This </w:t>
      </w:r>
      <w:r w:rsidR="00E120A7">
        <w:t xml:space="preserve">capacity resource </w:t>
      </w:r>
      <w:r w:rsidR="00075FBA">
        <w:t>would not be as a effective as one chose</w:t>
      </w:r>
      <w:r w:rsidR="007C2FBA">
        <w:t xml:space="preserve">n based on LOLP metrics that are </w:t>
      </w:r>
      <w:r w:rsidR="00075FBA">
        <w:t>capable of eliminating the occurrence of a reliability event altogether.</w:t>
      </w:r>
    </w:p>
    <w:p w14:paraId="25AB71B2" w14:textId="77777777" w:rsidR="00875116" w:rsidRDefault="00875116" w:rsidP="00E03C6F"/>
    <w:p w14:paraId="3D358A70" w14:textId="77777777" w:rsidR="007C2FBA" w:rsidRDefault="007C2FBA" w:rsidP="007C2FBA">
      <w:pPr>
        <w:widowControl w:val="0"/>
        <w:autoSpaceDE w:val="0"/>
        <w:autoSpaceDN w:val="0"/>
        <w:adjustRightInd w:val="0"/>
        <w:spacing w:after="240"/>
        <w:outlineLvl w:val="0"/>
        <w:rPr>
          <w:lang w:val="en-GB"/>
        </w:rPr>
      </w:pPr>
      <w:r>
        <w:rPr>
          <w:lang w:val="en-GB"/>
        </w:rPr>
        <w:t xml:space="preserve">As discussed in section </w:t>
      </w:r>
      <w:r>
        <w:rPr>
          <w:lang w:val="en-GB"/>
        </w:rPr>
        <w:fldChar w:fldCharType="begin"/>
      </w:r>
      <w:r>
        <w:rPr>
          <w:lang w:val="en-GB"/>
        </w:rPr>
        <w:instrText xml:space="preserve"> REF _Ref315814354 \n \h </w:instrText>
      </w:r>
      <w:r>
        <w:rPr>
          <w:lang w:val="en-GB"/>
        </w:rPr>
      </w:r>
      <w:r>
        <w:rPr>
          <w:lang w:val="en-GB"/>
        </w:rPr>
        <w:fldChar w:fldCharType="separate"/>
      </w:r>
      <w:r w:rsidR="0073664D">
        <w:rPr>
          <w:lang w:val="en-GB"/>
        </w:rPr>
        <w:t>III</w:t>
      </w:r>
      <w:r>
        <w:rPr>
          <w:lang w:val="en-GB"/>
        </w:rPr>
        <w:fldChar w:fldCharType="end"/>
      </w:r>
      <w:r>
        <w:rPr>
          <w:lang w:val="en-GB"/>
        </w:rPr>
        <w:t>, Renewable Northwest recommends that the Commission use docket UE-131883, “</w:t>
      </w:r>
      <w:r w:rsidRPr="00696FDC">
        <w:rPr>
          <w:lang w:val="en-GB"/>
        </w:rPr>
        <w:t>Investigation of the Costs and Ben</w:t>
      </w:r>
      <w:r>
        <w:rPr>
          <w:lang w:val="en-GB"/>
        </w:rPr>
        <w:t>efits of Distributed Generation”</w:t>
      </w:r>
      <w:r w:rsidR="00EA29C2">
        <w:rPr>
          <w:lang w:val="en-GB"/>
        </w:rPr>
        <w:t>,</w:t>
      </w:r>
      <w:r>
        <w:rPr>
          <w:lang w:val="en-GB"/>
        </w:rPr>
        <w:t xml:space="preserve"> to explore the role of different reliability metrics and the impact they can have on IRPs.</w:t>
      </w:r>
    </w:p>
    <w:p w14:paraId="4A0CBD2F" w14:textId="77777777" w:rsidR="00D61D9C" w:rsidRPr="008A2B5F" w:rsidRDefault="00D61D9C" w:rsidP="00D61D9C">
      <w:pPr>
        <w:pStyle w:val="ListParagraph"/>
        <w:widowControl w:val="0"/>
        <w:numPr>
          <w:ilvl w:val="0"/>
          <w:numId w:val="2"/>
        </w:numPr>
        <w:autoSpaceDE w:val="0"/>
        <w:autoSpaceDN w:val="0"/>
        <w:adjustRightInd w:val="0"/>
        <w:spacing w:after="240"/>
        <w:outlineLvl w:val="0"/>
        <w:rPr>
          <w:b/>
          <w:u w:val="single"/>
          <w:lang w:val="en-GB"/>
        </w:rPr>
      </w:pPr>
      <w:bookmarkStart w:id="7" w:name="_Ref315949948"/>
      <w:r>
        <w:rPr>
          <w:b/>
          <w:u w:val="single"/>
          <w:lang w:val="en-GB"/>
        </w:rPr>
        <w:t>WASHINGTON STATE HAS THE OPPORTUNITY TO GET AHEAD OF THE CURVE ON DISTRIBUTED SOLAR</w:t>
      </w:r>
      <w:bookmarkEnd w:id="7"/>
    </w:p>
    <w:p w14:paraId="65C28D63" w14:textId="53F49D8B" w:rsidR="00D61D9C" w:rsidRDefault="00D61D9C" w:rsidP="00D61D9C">
      <w:r w:rsidRPr="00E50587">
        <w:t xml:space="preserve">Renewable Northwest </w:t>
      </w:r>
      <w:r>
        <w:t>welcomes PSE’s study into high levels of distributed solar generati</w:t>
      </w:r>
      <w:r w:rsidRPr="00E50587">
        <w:t xml:space="preserve">on, presented in Appendix M of their 2016 IRP. </w:t>
      </w:r>
      <w:r w:rsidRPr="00E50587">
        <w:rPr>
          <w:rStyle w:val="FootnoteReference"/>
          <w:b/>
        </w:rPr>
        <w:footnoteReference w:id="38"/>
      </w:r>
      <w:r w:rsidRPr="00E50587">
        <w:t xml:space="preserve"> For their study</w:t>
      </w:r>
      <w:r>
        <w:t>,</w:t>
      </w:r>
      <w:r w:rsidRPr="00E50587">
        <w:t xml:space="preserve"> PSE assumed that</w:t>
      </w:r>
      <w:r w:rsidR="00505CCD">
        <w:t xml:space="preserve"> for residential customers, </w:t>
      </w:r>
      <w:r w:rsidRPr="00E50587">
        <w:t xml:space="preserve">40% of </w:t>
      </w:r>
      <w:r w:rsidR="00505CCD">
        <w:t>houses</w:t>
      </w:r>
      <w:r w:rsidR="00505CCD" w:rsidRPr="00E50587">
        <w:t xml:space="preserve"> </w:t>
      </w:r>
      <w:r w:rsidR="00505CCD">
        <w:t>h</w:t>
      </w:r>
      <w:r w:rsidRPr="00E50587">
        <w:t>ad a 5kW</w:t>
      </w:r>
      <w:r w:rsidR="00505CCD">
        <w:t xml:space="preserve"> system</w:t>
      </w:r>
      <w:r w:rsidRPr="00E50587">
        <w:t>, and</w:t>
      </w:r>
      <w:r w:rsidR="00505CCD">
        <w:t xml:space="preserve"> for existing commercial buildings, </w:t>
      </w:r>
      <w:r w:rsidRPr="00E50587">
        <w:t xml:space="preserve">70% of </w:t>
      </w:r>
      <w:r w:rsidR="00505CCD">
        <w:t>roof space was assumed to be available</w:t>
      </w:r>
      <w:r w:rsidR="00082D05">
        <w:t xml:space="preserve"> for solar</w:t>
      </w:r>
      <w:r w:rsidR="00505CCD">
        <w:t xml:space="preserve">, limited to </w:t>
      </w:r>
      <w:r w:rsidRPr="00E50587">
        <w:t>200</w:t>
      </w:r>
      <w:r w:rsidR="00505CCD">
        <w:t xml:space="preserve"> </w:t>
      </w:r>
      <w:r w:rsidRPr="00E50587">
        <w:t xml:space="preserve">kW </w:t>
      </w:r>
      <w:r w:rsidR="00505CCD">
        <w:t>per building</w:t>
      </w:r>
      <w:r w:rsidRPr="00E50587">
        <w:t>.</w:t>
      </w:r>
      <w:r>
        <w:rPr>
          <w:rStyle w:val="FootnoteReference"/>
        </w:rPr>
        <w:footnoteReference w:id="39"/>
      </w:r>
      <w:r>
        <w:t xml:space="preserve"> Th</w:t>
      </w:r>
      <w:r w:rsidR="00E120A7">
        <w:t xml:space="preserve">ese assumptions </w:t>
      </w:r>
      <w:r>
        <w:t>equated to solar PV circuit penetrations in PSE’s study of between 9% and 135%.</w:t>
      </w:r>
      <w:r>
        <w:rPr>
          <w:rStyle w:val="FootnoteReference"/>
        </w:rPr>
        <w:footnoteReference w:id="40"/>
      </w:r>
      <w:r>
        <w:t xml:space="preserve"> For comparison, Washington’s neighboring state, Oregon, has approximately 0.5% solar capacity as a percentage of system peak and Hawaii has over 12%</w:t>
      </w:r>
      <w:r w:rsidR="00E120A7">
        <w:t>.</w:t>
      </w:r>
      <w:r>
        <w:t xml:space="preserve"> </w:t>
      </w:r>
      <w:r w:rsidR="00E120A7">
        <w:t xml:space="preserve">In fact, </w:t>
      </w:r>
      <w:r>
        <w:t>Washington did not appear in the list of the top twelve states by penetration.</w:t>
      </w:r>
      <w:r>
        <w:rPr>
          <w:rStyle w:val="FootnoteReference"/>
        </w:rPr>
        <w:footnoteReference w:id="41"/>
      </w:r>
    </w:p>
    <w:p w14:paraId="73B6FC95" w14:textId="77777777" w:rsidR="00D61D9C" w:rsidRDefault="00D61D9C" w:rsidP="00D61D9C"/>
    <w:p w14:paraId="4E04D65D" w14:textId="6A4CB8E8" w:rsidR="00D61D9C" w:rsidRDefault="00D61D9C" w:rsidP="00D61D9C">
      <w:r>
        <w:t xml:space="preserve">In </w:t>
      </w:r>
      <w:r w:rsidR="00E120A7">
        <w:t xml:space="preserve">their </w:t>
      </w:r>
      <w:r>
        <w:t>conclusion to their investigation</w:t>
      </w:r>
      <w:r w:rsidR="00E120A7">
        <w:t>,</w:t>
      </w:r>
      <w:r>
        <w:t xml:space="preserve"> PSE cite</w:t>
      </w:r>
      <w:r w:rsidR="00E120A7">
        <w:t>s</w:t>
      </w:r>
      <w:r>
        <w:t xml:space="preserve"> potential issues surrounding customer voltage, line losses, and feeder effects.</w:t>
      </w:r>
      <w:r>
        <w:rPr>
          <w:rStyle w:val="FootnoteReference"/>
        </w:rPr>
        <w:footnoteReference w:id="42"/>
      </w:r>
      <w:r>
        <w:t xml:space="preserve"> Many such issues have been encountered and ameliorated by state’s that have actually encountered high penetrations of solar, such as Hawaii.</w:t>
      </w:r>
      <w:r>
        <w:rPr>
          <w:rStyle w:val="FootnoteReference"/>
        </w:rPr>
        <w:footnoteReference w:id="43"/>
      </w:r>
      <w:r>
        <w:t xml:space="preserve"> Hawaiian Electric recommended </w:t>
      </w:r>
      <w:r w:rsidR="00E120A7">
        <w:t xml:space="preserve">that </w:t>
      </w:r>
      <w:r>
        <w:t>states with lower penetrations “[g]et ahead of the curve” and “[c]onsider DER [“distributed energy resources”] as a grid asset”.</w:t>
      </w:r>
      <w:r>
        <w:rPr>
          <w:rStyle w:val="FootnoteReference"/>
        </w:rPr>
        <w:footnoteReference w:id="44"/>
      </w:r>
      <w:r>
        <w:t xml:space="preserve"> Hawaii Electric suggests that solutions to distributed renewable energy integration at high levels of penetration include the use of emerging technologies</w:t>
      </w:r>
      <w:r w:rsidR="00E120A7">
        <w:t xml:space="preserve">, </w:t>
      </w:r>
      <w:r>
        <w:t>in particular smart inverters</w:t>
      </w:r>
      <w:r w:rsidR="00E120A7">
        <w:t xml:space="preserve">, </w:t>
      </w:r>
      <w:r>
        <w:t>and customer options such as demand response.</w:t>
      </w:r>
      <w:r>
        <w:rPr>
          <w:rStyle w:val="FootnoteReference"/>
        </w:rPr>
        <w:footnoteReference w:id="45"/>
      </w:r>
    </w:p>
    <w:p w14:paraId="2AA09FE7" w14:textId="77777777" w:rsidR="00D61D9C" w:rsidRDefault="00D61D9C" w:rsidP="00D61D9C">
      <w:pPr>
        <w:rPr>
          <w:b/>
          <w:u w:val="single"/>
        </w:rPr>
      </w:pPr>
    </w:p>
    <w:p w14:paraId="6F232CE5" w14:textId="77777777" w:rsidR="00D61D9C" w:rsidRPr="00354B8E" w:rsidRDefault="00D61D9C" w:rsidP="00D61D9C">
      <w:pPr>
        <w:widowControl w:val="0"/>
        <w:autoSpaceDE w:val="0"/>
        <w:autoSpaceDN w:val="0"/>
        <w:adjustRightInd w:val="0"/>
        <w:spacing w:after="240"/>
        <w:outlineLvl w:val="0"/>
        <w:rPr>
          <w:lang w:val="en-GB"/>
        </w:rPr>
      </w:pPr>
      <w:r>
        <w:rPr>
          <w:lang w:val="en-GB"/>
        </w:rPr>
        <w:t>Renewable Northwest suggests that the unresolved Commission “</w:t>
      </w:r>
      <w:r w:rsidRPr="00696FDC">
        <w:rPr>
          <w:lang w:val="en-GB"/>
        </w:rPr>
        <w:t>Investigation of the Costs and Ben</w:t>
      </w:r>
      <w:r>
        <w:rPr>
          <w:lang w:val="en-GB"/>
        </w:rPr>
        <w:t xml:space="preserve">efits of Distributed Generation” (UE-131883) would be a suitable place to explore recommendations that would minimize the costs and maximize the benefits of distributed generation. As a relatively low solar penetration state, Washington is in a position to learn from the experiences of high penetration states and </w:t>
      </w:r>
      <w:r w:rsidR="00A62645">
        <w:rPr>
          <w:lang w:val="en-GB"/>
        </w:rPr>
        <w:t>“</w:t>
      </w:r>
      <w:r>
        <w:rPr>
          <w:lang w:val="en-GB"/>
        </w:rPr>
        <w:t>piggy-back</w:t>
      </w:r>
      <w:r w:rsidR="00A62645">
        <w:rPr>
          <w:lang w:val="en-GB"/>
        </w:rPr>
        <w:t>”</w:t>
      </w:r>
      <w:r>
        <w:rPr>
          <w:lang w:val="en-GB"/>
        </w:rPr>
        <w:t xml:space="preserve"> on those states’ market developments in technologies such as smart inverters.</w:t>
      </w:r>
    </w:p>
    <w:p w14:paraId="337E2E13" w14:textId="77777777" w:rsidR="00EC039B" w:rsidRPr="00D00A73" w:rsidRDefault="00EC039B" w:rsidP="00EC039B"/>
    <w:p w14:paraId="0ABA6380" w14:textId="77777777" w:rsidR="00EC039B" w:rsidRPr="008A2B5F" w:rsidRDefault="00EC039B" w:rsidP="00EC039B">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CONCLUSION</w:t>
      </w:r>
    </w:p>
    <w:p w14:paraId="2B87DBC0" w14:textId="77777777" w:rsidR="00626599" w:rsidRDefault="005C0179" w:rsidP="005C0179">
      <w:pPr>
        <w:widowControl w:val="0"/>
        <w:autoSpaceDE w:val="0"/>
        <w:autoSpaceDN w:val="0"/>
        <w:adjustRightInd w:val="0"/>
        <w:spacing w:after="240"/>
        <w:outlineLvl w:val="0"/>
        <w:rPr>
          <w:lang w:val="en-GB"/>
        </w:rPr>
      </w:pPr>
      <w:r>
        <w:rPr>
          <w:lang w:val="en-GB"/>
        </w:rPr>
        <w:t>Renewable Northwest is grateful to the Commission for the opportunity to comment on PSE’s 2015 IRP, and we would like to thank the company for being receptive to feedback and suggestions. This IRP cycle hig</w:t>
      </w:r>
      <w:r w:rsidR="00626599">
        <w:rPr>
          <w:lang w:val="en-GB"/>
        </w:rPr>
        <w:t xml:space="preserve">hlighted many important issues relating </w:t>
      </w:r>
      <w:r>
        <w:rPr>
          <w:lang w:val="en-GB"/>
        </w:rPr>
        <w:t>to renewable resources</w:t>
      </w:r>
      <w:r w:rsidR="00A62645">
        <w:rPr>
          <w:lang w:val="en-GB"/>
        </w:rPr>
        <w:t>,</w:t>
      </w:r>
      <w:r w:rsidR="00626599">
        <w:rPr>
          <w:lang w:val="en-GB"/>
        </w:rPr>
        <w:t xml:space="preserve"> specifically with regard to costs, capacity contribution, and reliability</w:t>
      </w:r>
      <w:r>
        <w:rPr>
          <w:lang w:val="en-GB"/>
        </w:rPr>
        <w:t>.</w:t>
      </w:r>
    </w:p>
    <w:p w14:paraId="16061BB6" w14:textId="30D8D0A8" w:rsidR="00626599" w:rsidRPr="00626599" w:rsidRDefault="005C0179" w:rsidP="00626599">
      <w:pPr>
        <w:widowControl w:val="0"/>
        <w:autoSpaceDE w:val="0"/>
        <w:autoSpaceDN w:val="0"/>
        <w:adjustRightInd w:val="0"/>
        <w:spacing w:after="240"/>
        <w:outlineLvl w:val="0"/>
        <w:rPr>
          <w:lang w:val="en-GB"/>
        </w:rPr>
      </w:pPr>
      <w:r>
        <w:rPr>
          <w:lang w:val="en-GB"/>
        </w:rPr>
        <w:t>As the costs of renewable technologies continue to fall and become comparable to thermal resources</w:t>
      </w:r>
      <w:r w:rsidR="00626599">
        <w:rPr>
          <w:lang w:val="en-GB"/>
        </w:rPr>
        <w:t xml:space="preserve">, it is essential that up </w:t>
      </w:r>
      <w:r w:rsidR="002D3A3D">
        <w:rPr>
          <w:lang w:val="en-GB"/>
        </w:rPr>
        <w:t>to date resource costs and cost</w:t>
      </w:r>
      <w:r w:rsidR="00626599">
        <w:rPr>
          <w:lang w:val="en-GB"/>
        </w:rPr>
        <w:t xml:space="preserve"> projections are used. </w:t>
      </w:r>
      <w:r w:rsidR="00626599">
        <w:t>Given the anticipated need for eligible renewable resources in 2023, and the ongoing discussions surrounding the operation of Colstrip, Renewable Northwest looks forward to working with PSE to ensure that wind resources, including those from Montana, are fully explored in the 2017 IRP cycle.</w:t>
      </w:r>
    </w:p>
    <w:p w14:paraId="0361C91F" w14:textId="068B4621" w:rsidR="005C0179" w:rsidRPr="009817A7" w:rsidRDefault="00626599" w:rsidP="005C0179">
      <w:pPr>
        <w:widowControl w:val="0"/>
        <w:autoSpaceDE w:val="0"/>
        <w:autoSpaceDN w:val="0"/>
        <w:adjustRightInd w:val="0"/>
        <w:spacing w:after="240"/>
        <w:outlineLvl w:val="0"/>
        <w:rPr>
          <w:lang w:val="en-GB"/>
        </w:rPr>
      </w:pPr>
      <w:r>
        <w:rPr>
          <w:lang w:val="en-GB"/>
        </w:rPr>
        <w:t xml:space="preserve">Finally, </w:t>
      </w:r>
      <w:r w:rsidR="005C0179">
        <w:rPr>
          <w:lang w:val="en-GB"/>
        </w:rPr>
        <w:t>Renewable Northwest recommends that the Commission use docket UE-131885, “</w:t>
      </w:r>
      <w:r w:rsidR="005C0179" w:rsidRPr="00696FDC">
        <w:rPr>
          <w:lang w:val="en-GB"/>
        </w:rPr>
        <w:t>Investigation of the Costs and Ben</w:t>
      </w:r>
      <w:r w:rsidR="005C0179">
        <w:rPr>
          <w:lang w:val="en-GB"/>
        </w:rPr>
        <w:t>efits of Distributed Generation”, to explore the capacity and reliability topics highlighted by PSE’s 2015 IRP, namely: capacity contribution of variable resources</w:t>
      </w:r>
      <w:r>
        <w:rPr>
          <w:lang w:val="en-GB"/>
        </w:rPr>
        <w:t xml:space="preserve"> and their contribution to system adequacy</w:t>
      </w:r>
      <w:r w:rsidR="005C0179">
        <w:rPr>
          <w:lang w:val="en-GB"/>
        </w:rPr>
        <w:t xml:space="preserve">; impacts of different reliability metrics on resource </w:t>
      </w:r>
      <w:r>
        <w:rPr>
          <w:lang w:val="en-GB"/>
        </w:rPr>
        <w:t>decisions with regard to PSE’s shift from Loss of Load Probability to Expected Unserved Energy</w:t>
      </w:r>
      <w:r w:rsidR="005C0179">
        <w:rPr>
          <w:lang w:val="en-GB"/>
        </w:rPr>
        <w:t>; and, technologies and policies</w:t>
      </w:r>
      <w:r w:rsidR="00A62645">
        <w:rPr>
          <w:lang w:val="en-GB"/>
        </w:rPr>
        <w:t>, in particular smart inverters,</w:t>
      </w:r>
      <w:r w:rsidR="005C0179">
        <w:rPr>
          <w:lang w:val="en-GB"/>
        </w:rPr>
        <w:t xml:space="preserve"> to ensure </w:t>
      </w:r>
      <w:r w:rsidR="00A62645">
        <w:rPr>
          <w:lang w:val="en-GB"/>
        </w:rPr>
        <w:t xml:space="preserve">that </w:t>
      </w:r>
      <w:r w:rsidR="005C0179">
        <w:rPr>
          <w:lang w:val="en-GB"/>
        </w:rPr>
        <w:t>distributed solar becomes a grid asset in Washington</w:t>
      </w:r>
      <w:r>
        <w:rPr>
          <w:lang w:val="en-GB"/>
        </w:rPr>
        <w:t>.</w:t>
      </w:r>
    </w:p>
    <w:p w14:paraId="54082974" w14:textId="280E261F" w:rsidR="00EC039B" w:rsidRDefault="00EC039B" w:rsidP="00EC039B">
      <w:r>
        <w:t>/s</w:t>
      </w:r>
      <w:r w:rsidR="00A62645">
        <w:t xml:space="preserve">/ </w:t>
      </w:r>
      <w:r w:rsidRPr="00D00A73">
        <w:t xml:space="preserve">Michael </w:t>
      </w:r>
      <w:r>
        <w:t xml:space="preserve">H </w:t>
      </w:r>
      <w:r w:rsidRPr="00D00A73">
        <w:t>O’Brien</w:t>
      </w:r>
    </w:p>
    <w:p w14:paraId="582B17FD" w14:textId="77777777" w:rsidR="00EC039B" w:rsidRPr="00D00A73" w:rsidRDefault="00EC039B" w:rsidP="00EC039B"/>
    <w:p w14:paraId="08441E61" w14:textId="77777777" w:rsidR="00EC039B" w:rsidRPr="00D00A73" w:rsidRDefault="00EC039B" w:rsidP="00EC039B">
      <w:r>
        <w:t>(michael@renewablenw</w:t>
      </w:r>
      <w:r w:rsidRPr="00D00A73">
        <w:t>.org)</w:t>
      </w:r>
    </w:p>
    <w:p w14:paraId="384E1E12" w14:textId="77777777" w:rsidR="00EC039B" w:rsidRPr="00D00A73" w:rsidRDefault="00EC039B" w:rsidP="00EC039B">
      <w:r>
        <w:t>Renewable Northwest</w:t>
      </w:r>
    </w:p>
    <w:p w14:paraId="27E4602C" w14:textId="77777777" w:rsidR="00EC039B" w:rsidRPr="00D00A73" w:rsidRDefault="00EC039B" w:rsidP="00EC039B">
      <w:r w:rsidRPr="00D00A73">
        <w:t>421 SW 6th Avenue, Suite 1125</w:t>
      </w:r>
    </w:p>
    <w:p w14:paraId="7F4A4455" w14:textId="77777777" w:rsidR="00EC039B" w:rsidRPr="00D00A73" w:rsidRDefault="00EC039B" w:rsidP="00EC039B">
      <w:r w:rsidRPr="00D00A73">
        <w:t>Portland, OR 97204</w:t>
      </w:r>
    </w:p>
    <w:p w14:paraId="65D407F6" w14:textId="73FE2F95" w:rsidR="00E11215" w:rsidRPr="005B0B36" w:rsidRDefault="00EC039B">
      <w:pPr>
        <w:rPr>
          <w:rFonts w:asciiTheme="majorHAnsi" w:hAnsiTheme="majorHAnsi"/>
          <w:i/>
        </w:rPr>
      </w:pPr>
      <w:r w:rsidRPr="00D00A73">
        <w:t>503-223-4544</w:t>
      </w:r>
    </w:p>
    <w:sectPr w:rsidR="00E11215" w:rsidRPr="005B0B36" w:rsidSect="00D545AC">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7B0B" w14:textId="77777777" w:rsidR="00082D05" w:rsidRDefault="00082D05" w:rsidP="000D75D7">
      <w:r>
        <w:separator/>
      </w:r>
    </w:p>
  </w:endnote>
  <w:endnote w:type="continuationSeparator" w:id="0">
    <w:p w14:paraId="21920046" w14:textId="77777777" w:rsidR="00082D05" w:rsidRDefault="00082D05" w:rsidP="000D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D1C69" w14:textId="77777777" w:rsidR="00082D05" w:rsidRDefault="00082D05" w:rsidP="00F73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7A2AA" w14:textId="77777777" w:rsidR="00082D05" w:rsidRDefault="001B0DAC" w:rsidP="008951BF">
    <w:pPr>
      <w:pStyle w:val="Footer"/>
      <w:ind w:right="360"/>
    </w:pPr>
    <w:sdt>
      <w:sdtPr>
        <w:id w:val="969400743"/>
        <w:placeholder>
          <w:docPart w:val="E468B9EC41F70247BA09641BB9141EDA"/>
        </w:placeholder>
        <w:temporary/>
        <w:showingPlcHdr/>
      </w:sdtPr>
      <w:sdtEndPr/>
      <w:sdtContent>
        <w:r w:rsidR="00082D05">
          <w:t>[Type text]</w:t>
        </w:r>
      </w:sdtContent>
    </w:sdt>
    <w:r w:rsidR="00082D05">
      <w:ptab w:relativeTo="margin" w:alignment="center" w:leader="none"/>
    </w:r>
    <w:sdt>
      <w:sdtPr>
        <w:id w:val="969400748"/>
        <w:placeholder>
          <w:docPart w:val="06EB8EB7E1BE4943B1B5CB3ED113E358"/>
        </w:placeholder>
        <w:temporary/>
        <w:showingPlcHdr/>
      </w:sdtPr>
      <w:sdtEndPr/>
      <w:sdtContent>
        <w:r w:rsidR="00082D05">
          <w:t>[Type text]</w:t>
        </w:r>
      </w:sdtContent>
    </w:sdt>
    <w:r w:rsidR="00082D05">
      <w:ptab w:relativeTo="margin" w:alignment="right" w:leader="none"/>
    </w:r>
    <w:sdt>
      <w:sdtPr>
        <w:id w:val="969400753"/>
        <w:placeholder>
          <w:docPart w:val="9703CBFF38C8AD4B8CAB1E585AF509D2"/>
        </w:placeholder>
        <w:temporary/>
        <w:showingPlcHdr/>
      </w:sdtPr>
      <w:sdtEndPr/>
      <w:sdtContent>
        <w:r w:rsidR="00082D0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016F" w14:textId="77777777" w:rsidR="00082D05" w:rsidRDefault="00082D05" w:rsidP="00F73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DAC">
      <w:rPr>
        <w:rStyle w:val="PageNumber"/>
        <w:noProof/>
      </w:rPr>
      <w:t>1</w:t>
    </w:r>
    <w:r>
      <w:rPr>
        <w:rStyle w:val="PageNumber"/>
      </w:rPr>
      <w:fldChar w:fldCharType="end"/>
    </w:r>
  </w:p>
  <w:p w14:paraId="0819F0C5" w14:textId="67D02661" w:rsidR="00082D05" w:rsidRDefault="00F733B2" w:rsidP="008951BF">
    <w:pPr>
      <w:pStyle w:val="Footer"/>
      <w:ind w:right="360"/>
    </w:pPr>
    <w:r>
      <w:t>UE-14117</w:t>
    </w:r>
    <w:r w:rsidR="00082D05">
      <w:t>0 / Renewable Northwest / February 1, 2016</w:t>
    </w:r>
    <w:r w:rsidR="00082D05">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2458C" w14:textId="77777777" w:rsidR="00082D05" w:rsidRDefault="00082D05" w:rsidP="000D75D7">
      <w:r>
        <w:separator/>
      </w:r>
    </w:p>
  </w:footnote>
  <w:footnote w:type="continuationSeparator" w:id="0">
    <w:p w14:paraId="6AD1B795" w14:textId="77777777" w:rsidR="00082D05" w:rsidRDefault="00082D05" w:rsidP="000D75D7">
      <w:r>
        <w:continuationSeparator/>
      </w:r>
    </w:p>
  </w:footnote>
  <w:footnote w:id="1">
    <w:p w14:paraId="53B6F40B" w14:textId="77777777" w:rsidR="00082D05" w:rsidRDefault="00082D05" w:rsidP="00CC5955">
      <w:pPr>
        <w:pStyle w:val="FootnoteText"/>
      </w:pPr>
      <w:r>
        <w:rPr>
          <w:rStyle w:val="FootnoteReference"/>
        </w:rPr>
        <w:footnoteRef/>
      </w:r>
      <w:r>
        <w:t xml:space="preserve"> PSE, 2015 Integrated Resource Plan, Chapter 6—Executive Summary, p1-10</w:t>
      </w:r>
    </w:p>
  </w:footnote>
  <w:footnote w:id="2">
    <w:p w14:paraId="2CBD3824" w14:textId="77777777" w:rsidR="00082D05" w:rsidRDefault="00082D05" w:rsidP="006D66E3">
      <w:pPr>
        <w:pStyle w:val="FootnoteText"/>
      </w:pPr>
      <w:r>
        <w:rPr>
          <w:rStyle w:val="FootnoteReference"/>
        </w:rPr>
        <w:footnoteRef/>
      </w:r>
      <w:r>
        <w:t xml:space="preserve"> PSE, 2015 Integrated Resource Plan, Chapter 6—Executive Summary, p1-10</w:t>
      </w:r>
    </w:p>
  </w:footnote>
  <w:footnote w:id="3">
    <w:p w14:paraId="721F975D" w14:textId="77777777" w:rsidR="00082D05" w:rsidRDefault="00082D05">
      <w:pPr>
        <w:pStyle w:val="FootnoteText"/>
      </w:pPr>
      <w:r>
        <w:rPr>
          <w:rStyle w:val="FootnoteReference"/>
        </w:rPr>
        <w:footnoteRef/>
      </w:r>
      <w:r>
        <w:t xml:space="preserve"> PSE, 2015 Integrated Resource Plan, Chapter 1—Executive Summary, p1-2</w:t>
      </w:r>
    </w:p>
  </w:footnote>
  <w:footnote w:id="4">
    <w:p w14:paraId="40FEC644" w14:textId="77777777" w:rsidR="00082D05" w:rsidRDefault="00082D05">
      <w:pPr>
        <w:pStyle w:val="FootnoteText"/>
      </w:pPr>
      <w:r>
        <w:rPr>
          <w:rStyle w:val="FootnoteReference"/>
        </w:rPr>
        <w:footnoteRef/>
      </w:r>
      <w:r>
        <w:t xml:space="preserve"> PSE, 2015 Integrated Resource Plan, Chapter 6—Executive Summary, p1-10</w:t>
      </w:r>
    </w:p>
  </w:footnote>
  <w:footnote w:id="5">
    <w:p w14:paraId="090905BC" w14:textId="77777777" w:rsidR="00082D05" w:rsidRDefault="00082D05">
      <w:pPr>
        <w:pStyle w:val="FootnoteText"/>
      </w:pPr>
      <w:r>
        <w:rPr>
          <w:rStyle w:val="FootnoteReference"/>
        </w:rPr>
        <w:footnoteRef/>
      </w:r>
      <w:r>
        <w:t xml:space="preserve"> PSE, 2015 Integrated Resource Plan, Chapter 6—Executive Summary, p1-11</w:t>
      </w:r>
    </w:p>
  </w:footnote>
  <w:footnote w:id="6">
    <w:p w14:paraId="3A2DA768" w14:textId="77777777" w:rsidR="00082D05" w:rsidRDefault="00082D05" w:rsidP="005D12B8">
      <w:pPr>
        <w:pStyle w:val="FootnoteText"/>
      </w:pPr>
      <w:r>
        <w:rPr>
          <w:rStyle w:val="FootnoteReference"/>
        </w:rPr>
        <w:footnoteRef/>
      </w:r>
      <w:r>
        <w:t xml:space="preserve"> Puget Sound Energy, 2015 Integrated Resource Plan, Appendix D— Electric Resource and Alternatives, pD-41</w:t>
      </w:r>
    </w:p>
    <w:p w14:paraId="047C1DC5" w14:textId="77777777" w:rsidR="00082D05" w:rsidRDefault="00082D05" w:rsidP="005D12B8">
      <w:pPr>
        <w:pStyle w:val="FootnoteText"/>
      </w:pPr>
      <w:r w:rsidRPr="005D12B8">
        <w:t>http://pse.com/aboutpse/EnergySupply/Pages/Resource-Planning.aspx</w:t>
      </w:r>
    </w:p>
  </w:footnote>
  <w:footnote w:id="7">
    <w:p w14:paraId="288ED201" w14:textId="77777777" w:rsidR="00082D05" w:rsidRDefault="00082D05" w:rsidP="005D12B8">
      <w:pPr>
        <w:pStyle w:val="FootnoteText"/>
      </w:pPr>
      <w:r>
        <w:rPr>
          <w:rStyle w:val="FootnoteReference"/>
        </w:rPr>
        <w:footnoteRef/>
      </w:r>
      <w:r>
        <w:t xml:space="preserve"> PSE, 2015 Integrated Resource Plan, Chapter 6—Electric Analysis, p6-51 </w:t>
      </w:r>
    </w:p>
  </w:footnote>
  <w:footnote w:id="8">
    <w:p w14:paraId="0A1B3620" w14:textId="77777777" w:rsidR="00082D05" w:rsidRDefault="00082D05">
      <w:pPr>
        <w:pStyle w:val="FootnoteText"/>
      </w:pPr>
      <w:r>
        <w:rPr>
          <w:rStyle w:val="FootnoteReference"/>
        </w:rPr>
        <w:footnoteRef/>
      </w:r>
      <w:r>
        <w:t xml:space="preserve"> PSE, 2015 Integrated Resource Plan, Chapter 6—Electric Analysis, p6-78</w:t>
      </w:r>
    </w:p>
  </w:footnote>
  <w:footnote w:id="9">
    <w:p w14:paraId="50F82139" w14:textId="6BD00E13" w:rsidR="00082D05" w:rsidRDefault="00082D05" w:rsidP="009C4EC2">
      <w:pPr>
        <w:pStyle w:val="FootnoteText"/>
      </w:pPr>
      <w:r>
        <w:rPr>
          <w:rStyle w:val="FootnoteReference"/>
        </w:rPr>
        <w:footnoteRef/>
      </w:r>
      <w:r>
        <w:t xml:space="preserve"> Lazard, Levelized Cost of Energy Analysis—V</w:t>
      </w:r>
      <w:r w:rsidR="00486C12">
        <w:t>ersion 9.0, November 2015, p 4.</w:t>
      </w:r>
      <w:r w:rsidRPr="00060D6A">
        <w:t>www.lazard.com/media/2390/lazards-levelized-cost-of-energy-analysis-90.pdf</w:t>
      </w:r>
    </w:p>
  </w:footnote>
  <w:footnote w:id="10">
    <w:p w14:paraId="5A1F5901" w14:textId="77777777" w:rsidR="00082D05" w:rsidRDefault="00082D05">
      <w:pPr>
        <w:pStyle w:val="FootnoteText"/>
      </w:pPr>
      <w:r>
        <w:rPr>
          <w:rStyle w:val="FootnoteReference"/>
        </w:rPr>
        <w:footnoteRef/>
      </w:r>
      <w:r>
        <w:t xml:space="preserve"> PSE, 2015 Integrated Resource Plan, Appendix D— Electric Resource and Alternatives, pD-41</w:t>
      </w:r>
    </w:p>
  </w:footnote>
  <w:footnote w:id="11">
    <w:p w14:paraId="7FA65845" w14:textId="77777777" w:rsidR="00082D05" w:rsidRDefault="00082D05" w:rsidP="00FF649C">
      <w:pPr>
        <w:pStyle w:val="FootnoteText"/>
      </w:pPr>
      <w:r>
        <w:rPr>
          <w:rStyle w:val="FootnoteReference"/>
        </w:rPr>
        <w:footnoteRef/>
      </w:r>
      <w:r>
        <w:t xml:space="preserve"> PSE, 2015 Integrated Resource Plan, Chapter 6—Electric Analysis, p6-77</w:t>
      </w:r>
    </w:p>
  </w:footnote>
  <w:footnote w:id="12">
    <w:p w14:paraId="2B955843" w14:textId="77777777" w:rsidR="00082D05" w:rsidRDefault="00082D05">
      <w:pPr>
        <w:pStyle w:val="FootnoteText"/>
      </w:pPr>
      <w:r>
        <w:rPr>
          <w:rStyle w:val="FootnoteReference"/>
        </w:rPr>
        <w:footnoteRef/>
      </w:r>
      <w:r>
        <w:t xml:space="preserve"> PSE, 2015 Integrated Resource Plan, Chapter 6—Electric Analysis, p6-77</w:t>
      </w:r>
    </w:p>
  </w:footnote>
  <w:footnote w:id="13">
    <w:p w14:paraId="1B67CC4C" w14:textId="77777777" w:rsidR="00082D05" w:rsidRDefault="00082D05">
      <w:pPr>
        <w:pStyle w:val="FootnoteText"/>
      </w:pPr>
      <w:r>
        <w:rPr>
          <w:rStyle w:val="FootnoteReference"/>
        </w:rPr>
        <w:footnoteRef/>
      </w:r>
      <w:r>
        <w:t xml:space="preserve"> PSE, 2015 IRP Advisory Group, March 20, 2015, Slide 49</w:t>
      </w:r>
    </w:p>
    <w:p w14:paraId="78153DCC" w14:textId="77777777" w:rsidR="00082D05" w:rsidRDefault="00082D05">
      <w:pPr>
        <w:pStyle w:val="FootnoteText"/>
      </w:pPr>
      <w:r w:rsidRPr="00101D05">
        <w:t>http://pse.com/aboutpse/EnergySupply/Documents/IRPAG_Presentation_2015-03-20.pdf</w:t>
      </w:r>
    </w:p>
  </w:footnote>
  <w:footnote w:id="14">
    <w:p w14:paraId="61F0B22B" w14:textId="77777777" w:rsidR="00082D05" w:rsidRDefault="00082D05">
      <w:pPr>
        <w:pStyle w:val="FootnoteText"/>
      </w:pPr>
      <w:r>
        <w:rPr>
          <w:rStyle w:val="FootnoteReference"/>
        </w:rPr>
        <w:footnoteRef/>
      </w:r>
      <w:r>
        <w:t xml:space="preserve"> PSE, 2015 Integrated Resource Plan, Chapter 6—Electric Analysis, p6-78</w:t>
      </w:r>
    </w:p>
  </w:footnote>
  <w:footnote w:id="15">
    <w:p w14:paraId="69F00D96" w14:textId="77777777" w:rsidR="00082D05" w:rsidRDefault="00082D05">
      <w:pPr>
        <w:pStyle w:val="FootnoteText"/>
      </w:pPr>
      <w:r>
        <w:rPr>
          <w:rStyle w:val="FootnoteReference"/>
        </w:rPr>
        <w:footnoteRef/>
      </w:r>
      <w:r>
        <w:t xml:space="preserve"> PSE, 2015 Integrated Resource Plan, Chapter 6—Electric Analysis, Figure 6-45</w:t>
      </w:r>
    </w:p>
  </w:footnote>
  <w:footnote w:id="16">
    <w:p w14:paraId="394617E6" w14:textId="77777777" w:rsidR="00082D05" w:rsidRDefault="00082D05">
      <w:pPr>
        <w:pStyle w:val="FootnoteText"/>
      </w:pPr>
      <w:r>
        <w:rPr>
          <w:rStyle w:val="FootnoteReference"/>
        </w:rPr>
        <w:footnoteRef/>
      </w:r>
      <w:r>
        <w:t xml:space="preserve"> PSE, 2015 Integrated Resource Plan, Chapter 6—Electric Analysis, p6-77</w:t>
      </w:r>
    </w:p>
  </w:footnote>
  <w:footnote w:id="17">
    <w:p w14:paraId="510F9551" w14:textId="79746D8C" w:rsidR="00082D05" w:rsidRDefault="00082D05">
      <w:pPr>
        <w:pStyle w:val="FootnoteText"/>
      </w:pPr>
      <w:r>
        <w:rPr>
          <w:rStyle w:val="FootnoteReference"/>
        </w:rPr>
        <w:footnoteRef/>
      </w:r>
      <w:r>
        <w:t xml:space="preserve"> PSE, 2015 Integrated Resource Plan, Chapter 6—Electric Analysis, p6-78,79</w:t>
      </w:r>
    </w:p>
  </w:footnote>
  <w:footnote w:id="18">
    <w:p w14:paraId="5DE01832" w14:textId="77777777" w:rsidR="00082D05" w:rsidRDefault="00082D05">
      <w:pPr>
        <w:pStyle w:val="FootnoteText"/>
      </w:pPr>
      <w:r>
        <w:rPr>
          <w:rStyle w:val="FootnoteReference"/>
        </w:rPr>
        <w:footnoteRef/>
      </w:r>
      <w:r>
        <w:t xml:space="preserve"> PSE, 2015 Integrated Resource Plan, Chapter 6—Electric Analysis, p6-78</w:t>
      </w:r>
    </w:p>
  </w:footnote>
  <w:footnote w:id="19">
    <w:p w14:paraId="790D12D9" w14:textId="77777777" w:rsidR="00082D05" w:rsidRDefault="00082D05">
      <w:pPr>
        <w:pStyle w:val="FootnoteText"/>
      </w:pPr>
      <w:r>
        <w:rPr>
          <w:rStyle w:val="FootnoteReference"/>
        </w:rPr>
        <w:footnoteRef/>
      </w:r>
      <w:r>
        <w:t xml:space="preserve"> PSE, 2015 Integrated Resource Plan, Chapter 6—Electric Analysis, p6-76</w:t>
      </w:r>
    </w:p>
  </w:footnote>
  <w:footnote w:id="20">
    <w:p w14:paraId="05990320" w14:textId="77777777" w:rsidR="00082D05" w:rsidRDefault="00082D05">
      <w:pPr>
        <w:pStyle w:val="FootnoteText"/>
      </w:pPr>
      <w:r>
        <w:rPr>
          <w:rStyle w:val="FootnoteReference"/>
        </w:rPr>
        <w:footnoteRef/>
      </w:r>
      <w:r>
        <w:t xml:space="preserve"> PSE, 2015 Integrated Resource Plan, Chapter 6—Electric Analysis, p6-80  </w:t>
      </w:r>
    </w:p>
  </w:footnote>
  <w:footnote w:id="21">
    <w:p w14:paraId="5A199281" w14:textId="77777777" w:rsidR="00082D05" w:rsidRDefault="00082D05">
      <w:pPr>
        <w:pStyle w:val="FootnoteText"/>
      </w:pPr>
      <w:r>
        <w:rPr>
          <w:rStyle w:val="FootnoteReference"/>
        </w:rPr>
        <w:footnoteRef/>
      </w:r>
      <w:r>
        <w:t xml:space="preserve"> </w:t>
      </w:r>
      <w:r w:rsidRPr="00976F13">
        <w:t xml:space="preserve">RCW 19.285.030 </w:t>
      </w:r>
      <w:r w:rsidRPr="00555B83">
        <w:t>http://app.leg.wa.gov/rcw/default.aspx?cite=19.285.030</w:t>
      </w:r>
    </w:p>
  </w:footnote>
  <w:footnote w:id="22">
    <w:p w14:paraId="22163B54" w14:textId="77777777" w:rsidR="00082D05" w:rsidRDefault="00082D05" w:rsidP="00D37866">
      <w:pPr>
        <w:pStyle w:val="FootnoteText"/>
      </w:pPr>
      <w:r>
        <w:rPr>
          <w:rStyle w:val="FootnoteReference"/>
        </w:rPr>
        <w:footnoteRef/>
      </w:r>
      <w:r>
        <w:t xml:space="preserve"> PSE, 2015 Integrated Resource Plan, Chapter 6—Electric Analysis, p6-76</w:t>
      </w:r>
    </w:p>
  </w:footnote>
  <w:footnote w:id="23">
    <w:p w14:paraId="1DC67791" w14:textId="77777777" w:rsidR="00082D05" w:rsidRDefault="00082D05">
      <w:pPr>
        <w:pStyle w:val="FootnoteText"/>
      </w:pPr>
      <w:r>
        <w:rPr>
          <w:rStyle w:val="FootnoteReference"/>
        </w:rPr>
        <w:footnoteRef/>
      </w:r>
      <w:r>
        <w:t xml:space="preserve"> PSE, 2015 Integrated Resource Plan, Appendix D—Electric Analysis, p6-51</w:t>
      </w:r>
    </w:p>
  </w:footnote>
  <w:footnote w:id="24">
    <w:p w14:paraId="7660E951" w14:textId="77777777" w:rsidR="00D65A27" w:rsidRDefault="00D65A27" w:rsidP="00D65A27">
      <w:pPr>
        <w:pStyle w:val="FootnoteText"/>
      </w:pPr>
      <w:r>
        <w:rPr>
          <w:rStyle w:val="FootnoteReference"/>
        </w:rPr>
        <w:footnoteRef/>
      </w:r>
      <w:r>
        <w:t xml:space="preserve"> PSE, 2015 Integrated Resource Plan, Appendix D—Electric Analysis, p6-76</w:t>
      </w:r>
    </w:p>
  </w:footnote>
  <w:footnote w:id="25">
    <w:p w14:paraId="7EE3CEB2" w14:textId="509F088A" w:rsidR="00D65A27" w:rsidRDefault="00D65A27" w:rsidP="00D65A27">
      <w:pPr>
        <w:pStyle w:val="FootnoteText"/>
      </w:pPr>
      <w:r>
        <w:rPr>
          <w:rStyle w:val="FootnoteReference"/>
        </w:rPr>
        <w:footnoteRef/>
      </w:r>
      <w:r>
        <w:t xml:space="preserve"> </w:t>
      </w:r>
      <w:r w:rsidR="008E0280">
        <w:t>PSE, 2015 Integrated Resource Plan, Chapter 6—Electric Analysis, p6-51</w:t>
      </w:r>
    </w:p>
  </w:footnote>
  <w:footnote w:id="26">
    <w:p w14:paraId="047D6FB0" w14:textId="0C363262" w:rsidR="00D65A27" w:rsidRDefault="00D65A27" w:rsidP="00D65A27">
      <w:pPr>
        <w:pStyle w:val="FootnoteText"/>
      </w:pPr>
      <w:r>
        <w:rPr>
          <w:rStyle w:val="FootnoteReference"/>
        </w:rPr>
        <w:footnoteRef/>
      </w:r>
      <w:r>
        <w:t xml:space="preserve"> Lazard, Levelized Cost of Energy Analysis—Version 9.0, November 2015, p 4.</w:t>
      </w:r>
      <w:r w:rsidRPr="00060D6A">
        <w:t>www.lazard.com/media/2390/lazards-levelized-cost-of-energy-analysis-90.pdf</w:t>
      </w:r>
    </w:p>
  </w:footnote>
  <w:footnote w:id="27">
    <w:p w14:paraId="61E5C985" w14:textId="77777777" w:rsidR="00082D05" w:rsidRDefault="00082D05" w:rsidP="006555DC">
      <w:pPr>
        <w:pStyle w:val="FootnoteText"/>
      </w:pPr>
      <w:r>
        <w:rPr>
          <w:rStyle w:val="FootnoteReference"/>
        </w:rPr>
        <w:footnoteRef/>
      </w:r>
      <w:r>
        <w:t xml:space="preserve"> PSE, 2015 Integrated Resource Plan, Appendix D—Electric Analysis, p6-76</w:t>
      </w:r>
    </w:p>
  </w:footnote>
  <w:footnote w:id="28">
    <w:p w14:paraId="4770D6F9" w14:textId="77777777" w:rsidR="00082D05" w:rsidRDefault="00082D05" w:rsidP="00462523">
      <w:pPr>
        <w:pStyle w:val="FootnoteText"/>
      </w:pPr>
      <w:r>
        <w:rPr>
          <w:rStyle w:val="FootnoteReference"/>
        </w:rPr>
        <w:footnoteRef/>
      </w:r>
      <w:r>
        <w:t xml:space="preserve"> Utility Variable-Generation Integration Group, Capacity Value of Variable Generation, June 2014, Slide 3, </w:t>
      </w:r>
      <w:r w:rsidRPr="004F5FAF">
        <w:t>www.uwig.org/shortcourse2014/Session-6-Milligan.pdf</w:t>
      </w:r>
    </w:p>
  </w:footnote>
  <w:footnote w:id="29">
    <w:p w14:paraId="4EF3D843" w14:textId="029B8EF8" w:rsidR="00082D05" w:rsidRDefault="00082D05" w:rsidP="00462523">
      <w:pPr>
        <w:pStyle w:val="FootnoteText"/>
      </w:pPr>
      <w:r>
        <w:rPr>
          <w:rStyle w:val="FootnoteReference"/>
        </w:rPr>
        <w:footnoteRef/>
      </w:r>
      <w:r>
        <w:t xml:space="preserve"> Utility Variable-Generation Integration Group, Capacity Value of Variable Generation, June 2014, Slide 3, </w:t>
      </w:r>
      <w:r w:rsidRPr="004F5FAF">
        <w:t>www.uwig.org/shortcourse2014/Session-6-Milligan.pdf</w:t>
      </w:r>
    </w:p>
  </w:footnote>
  <w:footnote w:id="30">
    <w:p w14:paraId="7BBC58F4" w14:textId="77777777" w:rsidR="00082D05" w:rsidRDefault="00082D05" w:rsidP="00462523">
      <w:pPr>
        <w:pStyle w:val="FootnoteText"/>
      </w:pPr>
      <w:r>
        <w:rPr>
          <w:rStyle w:val="FootnoteReference"/>
        </w:rPr>
        <w:footnoteRef/>
      </w:r>
      <w:r>
        <w:t xml:space="preserve"> Ibid.</w:t>
      </w:r>
    </w:p>
  </w:footnote>
  <w:footnote w:id="31">
    <w:p w14:paraId="03AD87F3" w14:textId="77777777" w:rsidR="00082D05" w:rsidRDefault="00082D05" w:rsidP="00462523">
      <w:pPr>
        <w:pStyle w:val="FootnoteText"/>
      </w:pPr>
      <w:r>
        <w:rPr>
          <w:rStyle w:val="FootnoteReference"/>
        </w:rPr>
        <w:footnoteRef/>
      </w:r>
      <w:r>
        <w:t xml:space="preserve"> Ibid.</w:t>
      </w:r>
    </w:p>
  </w:footnote>
  <w:footnote w:id="32">
    <w:p w14:paraId="334519C5" w14:textId="77777777" w:rsidR="00082D05" w:rsidRDefault="00082D05">
      <w:pPr>
        <w:pStyle w:val="FootnoteText"/>
      </w:pPr>
      <w:r>
        <w:rPr>
          <w:rStyle w:val="FootnoteReference"/>
        </w:rPr>
        <w:footnoteRef/>
      </w:r>
      <w:r>
        <w:t xml:space="preserve"> Michael Milligan, Ph.D., Methods to Model and Calculate Capacity Contributions of Variable Generation, OPUC, August 17, 2015, Slide 9 (p95 of pdf). </w:t>
      </w:r>
      <w:r w:rsidRPr="004077A7">
        <w:t>http://edocs.puc.state.or.us/efdocs/HTB/um1719htb142830.pdf</w:t>
      </w:r>
    </w:p>
  </w:footnote>
  <w:footnote w:id="33">
    <w:p w14:paraId="7CFA5FA6" w14:textId="77777777" w:rsidR="00082D05" w:rsidRDefault="00082D05" w:rsidP="003D44A1">
      <w:pPr>
        <w:pStyle w:val="FootnoteText"/>
      </w:pPr>
      <w:r>
        <w:rPr>
          <w:rStyle w:val="FootnoteReference"/>
        </w:rPr>
        <w:footnoteRef/>
      </w:r>
      <w:r>
        <w:t xml:space="preserve"> PSE, 2015 IRP Advisory Group, September 11, 2015, Slide 28, </w:t>
      </w:r>
      <w:r w:rsidRPr="004077A7">
        <w:t>http://pse.com/aboutpse/EnergySupply/Documents/IRPAG_Presentation_2015-09-11.pdf</w:t>
      </w:r>
    </w:p>
  </w:footnote>
  <w:footnote w:id="34">
    <w:p w14:paraId="2C344F47" w14:textId="77777777" w:rsidR="00082D05" w:rsidRDefault="00082D05">
      <w:pPr>
        <w:pStyle w:val="FootnoteText"/>
      </w:pPr>
      <w:r>
        <w:rPr>
          <w:rStyle w:val="FootnoteReference"/>
        </w:rPr>
        <w:footnoteRef/>
      </w:r>
      <w:r>
        <w:t xml:space="preserve"> PSE, 2015 IRP Advisory Group, September 11, 2015, Slide 28-30, </w:t>
      </w:r>
      <w:r w:rsidRPr="004077A7">
        <w:t>http://pse.com/aboutpse/EnergySupply/Documents/IRPAG_Presentation_2015-09-11.pdf</w:t>
      </w:r>
    </w:p>
  </w:footnote>
  <w:footnote w:id="35">
    <w:p w14:paraId="6DD226E4" w14:textId="77777777" w:rsidR="00082D05" w:rsidRDefault="00082D05" w:rsidP="00E03C6F">
      <w:pPr>
        <w:pStyle w:val="FootnoteText"/>
      </w:pPr>
      <w:r>
        <w:rPr>
          <w:rStyle w:val="FootnoteReference"/>
        </w:rPr>
        <w:footnoteRef/>
      </w:r>
      <w:r>
        <w:t xml:space="preserve"> Michael Milligan, Ph.D., Methods to Model and Calculate Capacity Contributions of Variable Generation, OPUC, August 17, 2015, Slides 7–9. (p 93-95 of pdf) </w:t>
      </w:r>
      <w:r w:rsidRPr="004077A7">
        <w:t>http://pse.com/aboutpse/EnergySupply/Documents/IRPAG_Presentation_2015-09-11.pdf</w:t>
      </w:r>
    </w:p>
    <w:p w14:paraId="322AD956" w14:textId="77777777" w:rsidR="00082D05" w:rsidRDefault="00082D05" w:rsidP="00E03C6F">
      <w:pPr>
        <w:pStyle w:val="FootnoteText"/>
      </w:pPr>
      <w:r w:rsidRPr="004A411F">
        <w:t>http://edocs.puc.state.or.us/efdocs/HTB/um1719htb142830.pdf</w:t>
      </w:r>
    </w:p>
  </w:footnote>
  <w:footnote w:id="36">
    <w:p w14:paraId="30E09049" w14:textId="7DBE6503" w:rsidR="00082D05" w:rsidRDefault="00082D05" w:rsidP="00E03C6F">
      <w:pPr>
        <w:pStyle w:val="FootnoteText"/>
      </w:pPr>
      <w:r>
        <w:rPr>
          <w:rStyle w:val="FootnoteReference"/>
        </w:rPr>
        <w:footnoteRef/>
      </w:r>
      <w:r>
        <w:t xml:space="preserve"> National Renewable Energy Laboratory, “Comparison of Capacity Value Methods for Photovoltaics in the Western</w:t>
      </w:r>
      <w:r w:rsidR="00486C12">
        <w:t xml:space="preserve"> United States”, July 2012, p 2</w:t>
      </w:r>
    </w:p>
  </w:footnote>
  <w:footnote w:id="37">
    <w:p w14:paraId="320C0468" w14:textId="77777777" w:rsidR="00082D05" w:rsidRDefault="00082D05" w:rsidP="00E03C6F">
      <w:pPr>
        <w:pStyle w:val="FootnoteText"/>
      </w:pPr>
      <w:r>
        <w:rPr>
          <w:rStyle w:val="FootnoteReference"/>
        </w:rPr>
        <w:footnoteRef/>
      </w:r>
      <w:r>
        <w:t xml:space="preserve"> Ibid.</w:t>
      </w:r>
    </w:p>
  </w:footnote>
  <w:footnote w:id="38">
    <w:p w14:paraId="1211D2FD" w14:textId="77777777" w:rsidR="00082D05" w:rsidRDefault="00082D05" w:rsidP="00D61D9C">
      <w:pPr>
        <w:pStyle w:val="FootnoteText"/>
      </w:pPr>
      <w:r>
        <w:rPr>
          <w:rStyle w:val="FootnoteReference"/>
        </w:rPr>
        <w:footnoteRef/>
      </w:r>
      <w:r>
        <w:t xml:space="preserve"> PSE, 2015 Integrated Resource Plan, Appendix M—Distributed Solar</w:t>
      </w:r>
    </w:p>
  </w:footnote>
  <w:footnote w:id="39">
    <w:p w14:paraId="50D7F925" w14:textId="77777777" w:rsidR="00082D05" w:rsidRDefault="00082D05" w:rsidP="00D61D9C">
      <w:pPr>
        <w:pStyle w:val="FootnoteText"/>
      </w:pPr>
      <w:r>
        <w:rPr>
          <w:rStyle w:val="FootnoteReference"/>
        </w:rPr>
        <w:footnoteRef/>
      </w:r>
      <w:r>
        <w:t xml:space="preserve"> PSE, 2015 Integrated Resource Plan, Appendix M—Distributed Solar, pM-5</w:t>
      </w:r>
    </w:p>
  </w:footnote>
  <w:footnote w:id="40">
    <w:p w14:paraId="087DD3FD" w14:textId="77777777" w:rsidR="00082D05" w:rsidRDefault="00082D05" w:rsidP="00D61D9C">
      <w:pPr>
        <w:pStyle w:val="FootnoteText"/>
      </w:pPr>
      <w:r>
        <w:rPr>
          <w:rStyle w:val="FootnoteReference"/>
        </w:rPr>
        <w:footnoteRef/>
      </w:r>
      <w:r>
        <w:t xml:space="preserve"> PSE, 2015 Integrated Resource Plan, Appendix M—Distributed Solar, pM-5</w:t>
      </w:r>
    </w:p>
  </w:footnote>
  <w:footnote w:id="41">
    <w:p w14:paraId="5E3A58B1" w14:textId="77777777" w:rsidR="00082D05" w:rsidRDefault="00082D05" w:rsidP="00D61D9C">
      <w:pPr>
        <w:pStyle w:val="FootnoteText"/>
      </w:pPr>
      <w:r>
        <w:rPr>
          <w:rStyle w:val="FootnoteReference"/>
        </w:rPr>
        <w:footnoteRef/>
      </w:r>
      <w:r>
        <w:t xml:space="preserve"> Oregon Public Utility Commission, UM 1716: Resource Value of Solar—Reliability Workshop, January 19, 2016, SolarCity Presentation, Slide 145 </w:t>
      </w:r>
      <w:r w:rsidRPr="00F92CCB">
        <w:t>http://edocs.puc.state.or.us/efdocs/HAH/um1716hah101819.pdf</w:t>
      </w:r>
    </w:p>
  </w:footnote>
  <w:footnote w:id="42">
    <w:p w14:paraId="7F695896" w14:textId="77777777" w:rsidR="00082D05" w:rsidRDefault="00082D05" w:rsidP="00D61D9C">
      <w:pPr>
        <w:pStyle w:val="FootnoteText"/>
      </w:pPr>
      <w:r>
        <w:rPr>
          <w:rStyle w:val="FootnoteReference"/>
        </w:rPr>
        <w:footnoteRef/>
      </w:r>
      <w:r>
        <w:t xml:space="preserve"> PSE, 2015 Integrated Resource Plan, Appendix M—Distributed Solar, pM-22</w:t>
      </w:r>
    </w:p>
  </w:footnote>
  <w:footnote w:id="43">
    <w:p w14:paraId="07786DFA" w14:textId="77777777" w:rsidR="00082D05" w:rsidRDefault="00082D05" w:rsidP="00D61D9C">
      <w:pPr>
        <w:pStyle w:val="FootnoteText"/>
      </w:pPr>
      <w:r>
        <w:rPr>
          <w:rStyle w:val="FootnoteReference"/>
        </w:rPr>
        <w:footnoteRef/>
      </w:r>
      <w:r>
        <w:t xml:space="preserve"> Oregon Public Utility Commission, UM 1716: Resource Value of Solar—Reliability Workshop, January 19, 2016, Hawaiian Electric Presentation, Slide 59 onwards. </w:t>
      </w:r>
      <w:r w:rsidRPr="00F92CCB">
        <w:t>http://edocs.puc.state.or.us/efdocs/HAH/um1716hah101819.pdf</w:t>
      </w:r>
    </w:p>
  </w:footnote>
  <w:footnote w:id="44">
    <w:p w14:paraId="321FD07C" w14:textId="0DD2E270" w:rsidR="00082D05" w:rsidRDefault="00082D05" w:rsidP="00D61D9C">
      <w:pPr>
        <w:pStyle w:val="FootnoteText"/>
      </w:pPr>
      <w:r>
        <w:rPr>
          <w:rStyle w:val="FootnoteReference"/>
        </w:rPr>
        <w:footnoteRef/>
      </w:r>
      <w:r>
        <w:t xml:space="preserve"> Oregon Public Utility Commission, UM 1716: Resource Value of Solar—Reliability Workshop, January 19, 2016, Hawaiian </w:t>
      </w:r>
      <w:r w:rsidR="00486C12">
        <w:t>Electric Presentation, Slide 83</w:t>
      </w:r>
      <w:r>
        <w:t xml:space="preserve"> </w:t>
      </w:r>
    </w:p>
  </w:footnote>
  <w:footnote w:id="45">
    <w:p w14:paraId="098DF586" w14:textId="1D8DD128" w:rsidR="00082D05" w:rsidRDefault="00082D05" w:rsidP="00D61D9C">
      <w:pPr>
        <w:pStyle w:val="FootnoteText"/>
      </w:pPr>
      <w:r>
        <w:rPr>
          <w:rStyle w:val="FootnoteReference"/>
        </w:rPr>
        <w:footnoteRef/>
      </w:r>
      <w:r>
        <w:t xml:space="preserve"> Oregon Public Utility Commission, UM 1716: Resource Value of Solar—Reliability Workshop, January 19, 2016, Hawaiian E</w:t>
      </w:r>
      <w:r w:rsidR="00486C12">
        <w:t>lectric Presentation, Slide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61DF"/>
    <w:multiLevelType w:val="hybridMultilevel"/>
    <w:tmpl w:val="25B8672E"/>
    <w:lvl w:ilvl="0" w:tplc="EE001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37D2"/>
    <w:multiLevelType w:val="multilevel"/>
    <w:tmpl w:val="5BB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57C9"/>
    <w:multiLevelType w:val="multilevel"/>
    <w:tmpl w:val="18F6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A5815"/>
    <w:multiLevelType w:val="multilevel"/>
    <w:tmpl w:val="B76A1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73839"/>
    <w:multiLevelType w:val="multilevel"/>
    <w:tmpl w:val="55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75EB5"/>
    <w:multiLevelType w:val="multilevel"/>
    <w:tmpl w:val="2D4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82393"/>
    <w:multiLevelType w:val="multilevel"/>
    <w:tmpl w:val="C978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702B9"/>
    <w:multiLevelType w:val="multilevel"/>
    <w:tmpl w:val="2C9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064A6"/>
    <w:multiLevelType w:val="multilevel"/>
    <w:tmpl w:val="E124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B6931"/>
    <w:multiLevelType w:val="multilevel"/>
    <w:tmpl w:val="AAC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35"/>
    <w:rsid w:val="00003280"/>
    <w:rsid w:val="00011146"/>
    <w:rsid w:val="00013728"/>
    <w:rsid w:val="0003216C"/>
    <w:rsid w:val="000504F2"/>
    <w:rsid w:val="00060D6A"/>
    <w:rsid w:val="00062471"/>
    <w:rsid w:val="00063A7E"/>
    <w:rsid w:val="00075FBA"/>
    <w:rsid w:val="00080990"/>
    <w:rsid w:val="00082D05"/>
    <w:rsid w:val="00084711"/>
    <w:rsid w:val="00094E14"/>
    <w:rsid w:val="000960F3"/>
    <w:rsid w:val="000B146A"/>
    <w:rsid w:val="000C3245"/>
    <w:rsid w:val="000D75D7"/>
    <w:rsid w:val="000E4753"/>
    <w:rsid w:val="00101D05"/>
    <w:rsid w:val="00105B23"/>
    <w:rsid w:val="00113542"/>
    <w:rsid w:val="00121216"/>
    <w:rsid w:val="001322F0"/>
    <w:rsid w:val="00136A65"/>
    <w:rsid w:val="001679C8"/>
    <w:rsid w:val="001966A0"/>
    <w:rsid w:val="001A7806"/>
    <w:rsid w:val="001B0DAC"/>
    <w:rsid w:val="001B78FF"/>
    <w:rsid w:val="001C00D3"/>
    <w:rsid w:val="001C0F34"/>
    <w:rsid w:val="001D092D"/>
    <w:rsid w:val="001D647C"/>
    <w:rsid w:val="001F670C"/>
    <w:rsid w:val="00200A51"/>
    <w:rsid w:val="0020660A"/>
    <w:rsid w:val="00210CAB"/>
    <w:rsid w:val="002219F8"/>
    <w:rsid w:val="002403E5"/>
    <w:rsid w:val="002444AB"/>
    <w:rsid w:val="002728AC"/>
    <w:rsid w:val="0027528E"/>
    <w:rsid w:val="00276F64"/>
    <w:rsid w:val="002A3547"/>
    <w:rsid w:val="002D1721"/>
    <w:rsid w:val="002D3A3D"/>
    <w:rsid w:val="002D549C"/>
    <w:rsid w:val="002E09E0"/>
    <w:rsid w:val="002E1B83"/>
    <w:rsid w:val="00303A35"/>
    <w:rsid w:val="0031222D"/>
    <w:rsid w:val="0031591B"/>
    <w:rsid w:val="00325E93"/>
    <w:rsid w:val="00333555"/>
    <w:rsid w:val="0034463F"/>
    <w:rsid w:val="00351404"/>
    <w:rsid w:val="003520B0"/>
    <w:rsid w:val="00354B8E"/>
    <w:rsid w:val="003555F3"/>
    <w:rsid w:val="00381780"/>
    <w:rsid w:val="00383129"/>
    <w:rsid w:val="003837FA"/>
    <w:rsid w:val="003C1B3A"/>
    <w:rsid w:val="003C31DC"/>
    <w:rsid w:val="003D44A1"/>
    <w:rsid w:val="003D5274"/>
    <w:rsid w:val="003D5756"/>
    <w:rsid w:val="003E4489"/>
    <w:rsid w:val="003F4A8B"/>
    <w:rsid w:val="00402B61"/>
    <w:rsid w:val="004077A7"/>
    <w:rsid w:val="004133AD"/>
    <w:rsid w:val="004378B6"/>
    <w:rsid w:val="00442300"/>
    <w:rsid w:val="00444A38"/>
    <w:rsid w:val="00462523"/>
    <w:rsid w:val="004703E6"/>
    <w:rsid w:val="00486C12"/>
    <w:rsid w:val="004A09E9"/>
    <w:rsid w:val="004A279A"/>
    <w:rsid w:val="004A411F"/>
    <w:rsid w:val="004B2A4B"/>
    <w:rsid w:val="004B73C9"/>
    <w:rsid w:val="004D5647"/>
    <w:rsid w:val="004D74DF"/>
    <w:rsid w:val="004D7636"/>
    <w:rsid w:val="004E6454"/>
    <w:rsid w:val="00505CCD"/>
    <w:rsid w:val="005175E5"/>
    <w:rsid w:val="00532B0E"/>
    <w:rsid w:val="005412F3"/>
    <w:rsid w:val="00541E96"/>
    <w:rsid w:val="00555B83"/>
    <w:rsid w:val="005676EC"/>
    <w:rsid w:val="005818E0"/>
    <w:rsid w:val="005824E7"/>
    <w:rsid w:val="0058359B"/>
    <w:rsid w:val="00590F63"/>
    <w:rsid w:val="0059239A"/>
    <w:rsid w:val="005A74DD"/>
    <w:rsid w:val="005B0B36"/>
    <w:rsid w:val="005B26D0"/>
    <w:rsid w:val="005C0179"/>
    <w:rsid w:val="005C3411"/>
    <w:rsid w:val="005D12B8"/>
    <w:rsid w:val="005D4154"/>
    <w:rsid w:val="005E4ADD"/>
    <w:rsid w:val="005F6223"/>
    <w:rsid w:val="00617C66"/>
    <w:rsid w:val="00626599"/>
    <w:rsid w:val="00633371"/>
    <w:rsid w:val="00642151"/>
    <w:rsid w:val="00654136"/>
    <w:rsid w:val="006543A0"/>
    <w:rsid w:val="006555DC"/>
    <w:rsid w:val="00672C42"/>
    <w:rsid w:val="00683C02"/>
    <w:rsid w:val="00684947"/>
    <w:rsid w:val="0068630C"/>
    <w:rsid w:val="00696FDC"/>
    <w:rsid w:val="006A248E"/>
    <w:rsid w:val="006A7B15"/>
    <w:rsid w:val="006C0CD2"/>
    <w:rsid w:val="006D66E3"/>
    <w:rsid w:val="006F1DEB"/>
    <w:rsid w:val="006F3F1A"/>
    <w:rsid w:val="006F7E22"/>
    <w:rsid w:val="0073664D"/>
    <w:rsid w:val="00743E17"/>
    <w:rsid w:val="0074544A"/>
    <w:rsid w:val="007475E5"/>
    <w:rsid w:val="007627E5"/>
    <w:rsid w:val="007826FB"/>
    <w:rsid w:val="007843B4"/>
    <w:rsid w:val="00786746"/>
    <w:rsid w:val="007A1D85"/>
    <w:rsid w:val="007B46E2"/>
    <w:rsid w:val="007C2FBA"/>
    <w:rsid w:val="007C4101"/>
    <w:rsid w:val="007F4B1A"/>
    <w:rsid w:val="008140CE"/>
    <w:rsid w:val="00815312"/>
    <w:rsid w:val="00834DEB"/>
    <w:rsid w:val="0084722C"/>
    <w:rsid w:val="00847CBC"/>
    <w:rsid w:val="008504F8"/>
    <w:rsid w:val="00860F0A"/>
    <w:rsid w:val="00863A2D"/>
    <w:rsid w:val="00875116"/>
    <w:rsid w:val="008951BF"/>
    <w:rsid w:val="008A2B5F"/>
    <w:rsid w:val="008A6FAA"/>
    <w:rsid w:val="008B3C6E"/>
    <w:rsid w:val="008B75DA"/>
    <w:rsid w:val="008C4DC4"/>
    <w:rsid w:val="008C5197"/>
    <w:rsid w:val="008E0280"/>
    <w:rsid w:val="008E0A87"/>
    <w:rsid w:val="008E4DC3"/>
    <w:rsid w:val="009167FB"/>
    <w:rsid w:val="009178F6"/>
    <w:rsid w:val="0092282C"/>
    <w:rsid w:val="00926DE1"/>
    <w:rsid w:val="00935CC8"/>
    <w:rsid w:val="009377FF"/>
    <w:rsid w:val="009448E2"/>
    <w:rsid w:val="009554DC"/>
    <w:rsid w:val="0096026D"/>
    <w:rsid w:val="00961516"/>
    <w:rsid w:val="009742D8"/>
    <w:rsid w:val="00976F13"/>
    <w:rsid w:val="009817A7"/>
    <w:rsid w:val="009875A1"/>
    <w:rsid w:val="00991C14"/>
    <w:rsid w:val="009A486C"/>
    <w:rsid w:val="009A63CE"/>
    <w:rsid w:val="009B2F02"/>
    <w:rsid w:val="009C4EC2"/>
    <w:rsid w:val="009E35A8"/>
    <w:rsid w:val="00A23B27"/>
    <w:rsid w:val="00A332CE"/>
    <w:rsid w:val="00A36043"/>
    <w:rsid w:val="00A40D37"/>
    <w:rsid w:val="00A62645"/>
    <w:rsid w:val="00A63751"/>
    <w:rsid w:val="00A7580F"/>
    <w:rsid w:val="00A85C39"/>
    <w:rsid w:val="00AA158E"/>
    <w:rsid w:val="00AC0F95"/>
    <w:rsid w:val="00B36F7D"/>
    <w:rsid w:val="00B74F03"/>
    <w:rsid w:val="00B829CE"/>
    <w:rsid w:val="00B82FA9"/>
    <w:rsid w:val="00B9045C"/>
    <w:rsid w:val="00B937BC"/>
    <w:rsid w:val="00B9519A"/>
    <w:rsid w:val="00B95472"/>
    <w:rsid w:val="00B95F97"/>
    <w:rsid w:val="00BA4FCB"/>
    <w:rsid w:val="00BC57DA"/>
    <w:rsid w:val="00BD72EB"/>
    <w:rsid w:val="00BE6B4F"/>
    <w:rsid w:val="00BE71C9"/>
    <w:rsid w:val="00BF0748"/>
    <w:rsid w:val="00C16B58"/>
    <w:rsid w:val="00C42B44"/>
    <w:rsid w:val="00C539DC"/>
    <w:rsid w:val="00C80E83"/>
    <w:rsid w:val="00C942F0"/>
    <w:rsid w:val="00C9771D"/>
    <w:rsid w:val="00CA3F5F"/>
    <w:rsid w:val="00CC5955"/>
    <w:rsid w:val="00CD1E11"/>
    <w:rsid w:val="00CE14F4"/>
    <w:rsid w:val="00CE2547"/>
    <w:rsid w:val="00CE4F26"/>
    <w:rsid w:val="00CF484A"/>
    <w:rsid w:val="00D1545F"/>
    <w:rsid w:val="00D16131"/>
    <w:rsid w:val="00D209A7"/>
    <w:rsid w:val="00D329BF"/>
    <w:rsid w:val="00D37866"/>
    <w:rsid w:val="00D40522"/>
    <w:rsid w:val="00D545AC"/>
    <w:rsid w:val="00D61D9C"/>
    <w:rsid w:val="00D65A27"/>
    <w:rsid w:val="00D6703F"/>
    <w:rsid w:val="00D772BD"/>
    <w:rsid w:val="00D909B9"/>
    <w:rsid w:val="00D96158"/>
    <w:rsid w:val="00DA2FFD"/>
    <w:rsid w:val="00DA3AB3"/>
    <w:rsid w:val="00DB113B"/>
    <w:rsid w:val="00DB4182"/>
    <w:rsid w:val="00DD7B16"/>
    <w:rsid w:val="00E03C6F"/>
    <w:rsid w:val="00E11215"/>
    <w:rsid w:val="00E120A7"/>
    <w:rsid w:val="00E2409D"/>
    <w:rsid w:val="00E456A3"/>
    <w:rsid w:val="00E50587"/>
    <w:rsid w:val="00E5553F"/>
    <w:rsid w:val="00EA29C2"/>
    <w:rsid w:val="00EA53EB"/>
    <w:rsid w:val="00EC039B"/>
    <w:rsid w:val="00ED0556"/>
    <w:rsid w:val="00ED5605"/>
    <w:rsid w:val="00EE6690"/>
    <w:rsid w:val="00EF624B"/>
    <w:rsid w:val="00F12173"/>
    <w:rsid w:val="00F338A2"/>
    <w:rsid w:val="00F733B2"/>
    <w:rsid w:val="00F73A2C"/>
    <w:rsid w:val="00F80277"/>
    <w:rsid w:val="00F81D3F"/>
    <w:rsid w:val="00F92CCB"/>
    <w:rsid w:val="00FB1D48"/>
    <w:rsid w:val="00FB56BE"/>
    <w:rsid w:val="00FD1CDB"/>
    <w:rsid w:val="00FE1790"/>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EA64B1"/>
  <w14:defaultImageDpi w14:val="300"/>
  <w15:docId w15:val="{23E83D9A-7530-4B7D-810B-47F706E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D7"/>
    <w:pPr>
      <w:tabs>
        <w:tab w:val="center" w:pos="4320"/>
        <w:tab w:val="right" w:pos="8640"/>
      </w:tabs>
    </w:pPr>
  </w:style>
  <w:style w:type="character" w:customStyle="1" w:styleId="HeaderChar">
    <w:name w:val="Header Char"/>
    <w:basedOn w:val="DefaultParagraphFont"/>
    <w:link w:val="Header"/>
    <w:uiPriority w:val="99"/>
    <w:rsid w:val="000D75D7"/>
  </w:style>
  <w:style w:type="paragraph" w:styleId="Footer">
    <w:name w:val="footer"/>
    <w:basedOn w:val="Normal"/>
    <w:link w:val="FooterChar"/>
    <w:uiPriority w:val="99"/>
    <w:unhideWhenUsed/>
    <w:rsid w:val="000D75D7"/>
    <w:pPr>
      <w:tabs>
        <w:tab w:val="center" w:pos="4320"/>
        <w:tab w:val="right" w:pos="8640"/>
      </w:tabs>
    </w:pPr>
  </w:style>
  <w:style w:type="character" w:customStyle="1" w:styleId="FooterChar">
    <w:name w:val="Footer Char"/>
    <w:basedOn w:val="DefaultParagraphFont"/>
    <w:link w:val="Footer"/>
    <w:uiPriority w:val="99"/>
    <w:rsid w:val="000D75D7"/>
  </w:style>
  <w:style w:type="paragraph" w:styleId="FootnoteText">
    <w:name w:val="footnote text"/>
    <w:basedOn w:val="Normal"/>
    <w:link w:val="FootnoteTextChar"/>
    <w:uiPriority w:val="99"/>
    <w:unhideWhenUsed/>
    <w:rsid w:val="009A63CE"/>
  </w:style>
  <w:style w:type="character" w:customStyle="1" w:styleId="FootnoteTextChar">
    <w:name w:val="Footnote Text Char"/>
    <w:basedOn w:val="DefaultParagraphFont"/>
    <w:link w:val="FootnoteText"/>
    <w:uiPriority w:val="99"/>
    <w:rsid w:val="009A63CE"/>
  </w:style>
  <w:style w:type="character" w:styleId="FootnoteReference">
    <w:name w:val="footnote reference"/>
    <w:basedOn w:val="DefaultParagraphFont"/>
    <w:uiPriority w:val="99"/>
    <w:unhideWhenUsed/>
    <w:rsid w:val="009A63CE"/>
    <w:rPr>
      <w:vertAlign w:val="superscript"/>
    </w:rPr>
  </w:style>
  <w:style w:type="paragraph" w:styleId="NormalWeb">
    <w:name w:val="Normal (Web)"/>
    <w:basedOn w:val="Normal"/>
    <w:uiPriority w:val="99"/>
    <w:semiHidden/>
    <w:unhideWhenUsed/>
    <w:rsid w:val="00E1121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A2B5F"/>
    <w:pPr>
      <w:ind w:left="720"/>
      <w:contextualSpacing/>
    </w:pPr>
  </w:style>
  <w:style w:type="paragraph" w:styleId="BalloonText">
    <w:name w:val="Balloon Text"/>
    <w:basedOn w:val="Normal"/>
    <w:link w:val="BalloonTextChar"/>
    <w:uiPriority w:val="99"/>
    <w:semiHidden/>
    <w:unhideWhenUsed/>
    <w:rsid w:val="00C42B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B44"/>
    <w:rPr>
      <w:rFonts w:ascii="Lucida Grande" w:hAnsi="Lucida Grande" w:cs="Lucida Grande"/>
      <w:sz w:val="18"/>
      <w:szCs w:val="18"/>
    </w:rPr>
  </w:style>
  <w:style w:type="paragraph" w:styleId="Caption">
    <w:name w:val="caption"/>
    <w:basedOn w:val="Normal"/>
    <w:next w:val="Normal"/>
    <w:uiPriority w:val="35"/>
    <w:unhideWhenUsed/>
    <w:qFormat/>
    <w:rsid w:val="007627E5"/>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47CBC"/>
    <w:rPr>
      <w:sz w:val="18"/>
      <w:szCs w:val="18"/>
    </w:rPr>
  </w:style>
  <w:style w:type="paragraph" w:styleId="CommentText">
    <w:name w:val="annotation text"/>
    <w:basedOn w:val="Normal"/>
    <w:link w:val="CommentTextChar"/>
    <w:uiPriority w:val="99"/>
    <w:semiHidden/>
    <w:unhideWhenUsed/>
    <w:rsid w:val="00847CBC"/>
  </w:style>
  <w:style w:type="character" w:customStyle="1" w:styleId="CommentTextChar">
    <w:name w:val="Comment Text Char"/>
    <w:basedOn w:val="DefaultParagraphFont"/>
    <w:link w:val="CommentText"/>
    <w:uiPriority w:val="99"/>
    <w:semiHidden/>
    <w:rsid w:val="00847CBC"/>
  </w:style>
  <w:style w:type="paragraph" w:styleId="CommentSubject">
    <w:name w:val="annotation subject"/>
    <w:basedOn w:val="CommentText"/>
    <w:next w:val="CommentText"/>
    <w:link w:val="CommentSubjectChar"/>
    <w:uiPriority w:val="99"/>
    <w:semiHidden/>
    <w:unhideWhenUsed/>
    <w:rsid w:val="00847CBC"/>
    <w:rPr>
      <w:b/>
      <w:bCs/>
      <w:sz w:val="20"/>
      <w:szCs w:val="20"/>
    </w:rPr>
  </w:style>
  <w:style w:type="character" w:customStyle="1" w:styleId="CommentSubjectChar">
    <w:name w:val="Comment Subject Char"/>
    <w:basedOn w:val="CommentTextChar"/>
    <w:link w:val="CommentSubject"/>
    <w:uiPriority w:val="99"/>
    <w:semiHidden/>
    <w:rsid w:val="00847CBC"/>
    <w:rPr>
      <w:b/>
      <w:bCs/>
      <w:sz w:val="20"/>
      <w:szCs w:val="20"/>
    </w:rPr>
  </w:style>
  <w:style w:type="character" w:styleId="PageNumber">
    <w:name w:val="page number"/>
    <w:basedOn w:val="DefaultParagraphFont"/>
    <w:uiPriority w:val="99"/>
    <w:semiHidden/>
    <w:unhideWhenUsed/>
    <w:rsid w:val="008951BF"/>
  </w:style>
  <w:style w:type="character" w:styleId="Hyperlink">
    <w:name w:val="Hyperlink"/>
    <w:basedOn w:val="DefaultParagraphFont"/>
    <w:uiPriority w:val="99"/>
    <w:unhideWhenUsed/>
    <w:rsid w:val="00DA3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20087">
      <w:bodyDiv w:val="1"/>
      <w:marLeft w:val="0"/>
      <w:marRight w:val="0"/>
      <w:marTop w:val="0"/>
      <w:marBottom w:val="0"/>
      <w:divBdr>
        <w:top w:val="none" w:sz="0" w:space="0" w:color="auto"/>
        <w:left w:val="none" w:sz="0" w:space="0" w:color="auto"/>
        <w:bottom w:val="none" w:sz="0" w:space="0" w:color="auto"/>
        <w:right w:val="none" w:sz="0" w:space="0" w:color="auto"/>
      </w:divBdr>
      <w:divsChild>
        <w:div w:id="2058429334">
          <w:marLeft w:val="0"/>
          <w:marRight w:val="0"/>
          <w:marTop w:val="0"/>
          <w:marBottom w:val="0"/>
          <w:divBdr>
            <w:top w:val="none" w:sz="0" w:space="0" w:color="auto"/>
            <w:left w:val="none" w:sz="0" w:space="0" w:color="auto"/>
            <w:bottom w:val="none" w:sz="0" w:space="0" w:color="auto"/>
            <w:right w:val="none" w:sz="0" w:space="0" w:color="auto"/>
          </w:divBdr>
          <w:divsChild>
            <w:div w:id="644626460">
              <w:marLeft w:val="0"/>
              <w:marRight w:val="0"/>
              <w:marTop w:val="0"/>
              <w:marBottom w:val="0"/>
              <w:divBdr>
                <w:top w:val="none" w:sz="0" w:space="0" w:color="auto"/>
                <w:left w:val="none" w:sz="0" w:space="0" w:color="auto"/>
                <w:bottom w:val="none" w:sz="0" w:space="0" w:color="auto"/>
                <w:right w:val="none" w:sz="0" w:space="0" w:color="auto"/>
              </w:divBdr>
            </w:div>
          </w:divsChild>
        </w:div>
        <w:div w:id="861673425">
          <w:marLeft w:val="0"/>
          <w:marRight w:val="0"/>
          <w:marTop w:val="0"/>
          <w:marBottom w:val="0"/>
          <w:divBdr>
            <w:top w:val="none" w:sz="0" w:space="0" w:color="auto"/>
            <w:left w:val="none" w:sz="0" w:space="0" w:color="auto"/>
            <w:bottom w:val="none" w:sz="0" w:space="0" w:color="auto"/>
            <w:right w:val="none" w:sz="0" w:space="0" w:color="auto"/>
          </w:divBdr>
        </w:div>
        <w:div w:id="956330768">
          <w:marLeft w:val="0"/>
          <w:marRight w:val="0"/>
          <w:marTop w:val="0"/>
          <w:marBottom w:val="0"/>
          <w:divBdr>
            <w:top w:val="none" w:sz="0" w:space="0" w:color="auto"/>
            <w:left w:val="none" w:sz="0" w:space="0" w:color="auto"/>
            <w:bottom w:val="none" w:sz="0" w:space="0" w:color="auto"/>
            <w:right w:val="none" w:sz="0" w:space="0" w:color="auto"/>
          </w:divBdr>
        </w:div>
        <w:div w:id="236983132">
          <w:marLeft w:val="0"/>
          <w:marRight w:val="0"/>
          <w:marTop w:val="0"/>
          <w:marBottom w:val="0"/>
          <w:divBdr>
            <w:top w:val="none" w:sz="0" w:space="0" w:color="auto"/>
            <w:left w:val="none" w:sz="0" w:space="0" w:color="auto"/>
            <w:bottom w:val="none" w:sz="0" w:space="0" w:color="auto"/>
            <w:right w:val="none" w:sz="0" w:space="0" w:color="auto"/>
          </w:divBdr>
        </w:div>
        <w:div w:id="1114789663">
          <w:marLeft w:val="0"/>
          <w:marRight w:val="0"/>
          <w:marTop w:val="0"/>
          <w:marBottom w:val="0"/>
          <w:divBdr>
            <w:top w:val="none" w:sz="0" w:space="0" w:color="auto"/>
            <w:left w:val="none" w:sz="0" w:space="0" w:color="auto"/>
            <w:bottom w:val="none" w:sz="0" w:space="0" w:color="auto"/>
            <w:right w:val="none" w:sz="0" w:space="0" w:color="auto"/>
          </w:divBdr>
        </w:div>
        <w:div w:id="327369596">
          <w:marLeft w:val="0"/>
          <w:marRight w:val="0"/>
          <w:marTop w:val="0"/>
          <w:marBottom w:val="0"/>
          <w:divBdr>
            <w:top w:val="none" w:sz="0" w:space="0" w:color="auto"/>
            <w:left w:val="none" w:sz="0" w:space="0" w:color="auto"/>
            <w:bottom w:val="none" w:sz="0" w:space="0" w:color="auto"/>
            <w:right w:val="none" w:sz="0" w:space="0" w:color="auto"/>
          </w:divBdr>
          <w:divsChild>
            <w:div w:id="851795705">
              <w:marLeft w:val="0"/>
              <w:marRight w:val="0"/>
              <w:marTop w:val="0"/>
              <w:marBottom w:val="0"/>
              <w:divBdr>
                <w:top w:val="none" w:sz="0" w:space="0" w:color="auto"/>
                <w:left w:val="none" w:sz="0" w:space="0" w:color="auto"/>
                <w:bottom w:val="none" w:sz="0" w:space="0" w:color="auto"/>
                <w:right w:val="none" w:sz="0" w:space="0" w:color="auto"/>
              </w:divBdr>
              <w:divsChild>
                <w:div w:id="35938395">
                  <w:marLeft w:val="0"/>
                  <w:marRight w:val="0"/>
                  <w:marTop w:val="0"/>
                  <w:marBottom w:val="0"/>
                  <w:divBdr>
                    <w:top w:val="none" w:sz="0" w:space="0" w:color="auto"/>
                    <w:left w:val="none" w:sz="0" w:space="0" w:color="auto"/>
                    <w:bottom w:val="none" w:sz="0" w:space="0" w:color="auto"/>
                    <w:right w:val="none" w:sz="0" w:space="0" w:color="auto"/>
                  </w:divBdr>
                </w:div>
              </w:divsChild>
            </w:div>
            <w:div w:id="7810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1285">
      <w:bodyDiv w:val="1"/>
      <w:marLeft w:val="0"/>
      <w:marRight w:val="0"/>
      <w:marTop w:val="0"/>
      <w:marBottom w:val="0"/>
      <w:divBdr>
        <w:top w:val="none" w:sz="0" w:space="0" w:color="auto"/>
        <w:left w:val="none" w:sz="0" w:space="0" w:color="auto"/>
        <w:bottom w:val="none" w:sz="0" w:space="0" w:color="auto"/>
        <w:right w:val="none" w:sz="0" w:space="0" w:color="auto"/>
      </w:divBdr>
    </w:div>
    <w:div w:id="599535134">
      <w:bodyDiv w:val="1"/>
      <w:marLeft w:val="0"/>
      <w:marRight w:val="0"/>
      <w:marTop w:val="0"/>
      <w:marBottom w:val="0"/>
      <w:divBdr>
        <w:top w:val="none" w:sz="0" w:space="0" w:color="auto"/>
        <w:left w:val="none" w:sz="0" w:space="0" w:color="auto"/>
        <w:bottom w:val="none" w:sz="0" w:space="0" w:color="auto"/>
        <w:right w:val="none" w:sz="0" w:space="0" w:color="auto"/>
      </w:divBdr>
      <w:divsChild>
        <w:div w:id="34039980">
          <w:marLeft w:val="0"/>
          <w:marRight w:val="0"/>
          <w:marTop w:val="0"/>
          <w:marBottom w:val="0"/>
          <w:divBdr>
            <w:top w:val="none" w:sz="0" w:space="0" w:color="auto"/>
            <w:left w:val="none" w:sz="0" w:space="0" w:color="auto"/>
            <w:bottom w:val="none" w:sz="0" w:space="0" w:color="auto"/>
            <w:right w:val="none" w:sz="0" w:space="0" w:color="auto"/>
          </w:divBdr>
        </w:div>
      </w:divsChild>
    </w:div>
    <w:div w:id="613445286">
      <w:bodyDiv w:val="1"/>
      <w:marLeft w:val="0"/>
      <w:marRight w:val="0"/>
      <w:marTop w:val="0"/>
      <w:marBottom w:val="0"/>
      <w:divBdr>
        <w:top w:val="none" w:sz="0" w:space="0" w:color="auto"/>
        <w:left w:val="none" w:sz="0" w:space="0" w:color="auto"/>
        <w:bottom w:val="none" w:sz="0" w:space="0" w:color="auto"/>
        <w:right w:val="none" w:sz="0" w:space="0" w:color="auto"/>
      </w:divBdr>
    </w:div>
    <w:div w:id="613486871">
      <w:bodyDiv w:val="1"/>
      <w:marLeft w:val="0"/>
      <w:marRight w:val="0"/>
      <w:marTop w:val="0"/>
      <w:marBottom w:val="0"/>
      <w:divBdr>
        <w:top w:val="none" w:sz="0" w:space="0" w:color="auto"/>
        <w:left w:val="none" w:sz="0" w:space="0" w:color="auto"/>
        <w:bottom w:val="none" w:sz="0" w:space="0" w:color="auto"/>
        <w:right w:val="none" w:sz="0" w:space="0" w:color="auto"/>
      </w:divBdr>
      <w:divsChild>
        <w:div w:id="374280897">
          <w:marLeft w:val="0"/>
          <w:marRight w:val="0"/>
          <w:marTop w:val="0"/>
          <w:marBottom w:val="0"/>
          <w:divBdr>
            <w:top w:val="none" w:sz="0" w:space="0" w:color="auto"/>
            <w:left w:val="none" w:sz="0" w:space="0" w:color="auto"/>
            <w:bottom w:val="none" w:sz="0" w:space="0" w:color="auto"/>
            <w:right w:val="none" w:sz="0" w:space="0" w:color="auto"/>
          </w:divBdr>
          <w:divsChild>
            <w:div w:id="572473719">
              <w:marLeft w:val="0"/>
              <w:marRight w:val="0"/>
              <w:marTop w:val="0"/>
              <w:marBottom w:val="0"/>
              <w:divBdr>
                <w:top w:val="none" w:sz="0" w:space="0" w:color="auto"/>
                <w:left w:val="none" w:sz="0" w:space="0" w:color="auto"/>
                <w:bottom w:val="none" w:sz="0" w:space="0" w:color="auto"/>
                <w:right w:val="none" w:sz="0" w:space="0" w:color="auto"/>
              </w:divBdr>
            </w:div>
          </w:divsChild>
        </w:div>
        <w:div w:id="45300493">
          <w:marLeft w:val="0"/>
          <w:marRight w:val="0"/>
          <w:marTop w:val="0"/>
          <w:marBottom w:val="0"/>
          <w:divBdr>
            <w:top w:val="none" w:sz="0" w:space="0" w:color="auto"/>
            <w:left w:val="none" w:sz="0" w:space="0" w:color="auto"/>
            <w:bottom w:val="none" w:sz="0" w:space="0" w:color="auto"/>
            <w:right w:val="none" w:sz="0" w:space="0" w:color="auto"/>
          </w:divBdr>
        </w:div>
        <w:div w:id="23025152">
          <w:marLeft w:val="0"/>
          <w:marRight w:val="0"/>
          <w:marTop w:val="0"/>
          <w:marBottom w:val="0"/>
          <w:divBdr>
            <w:top w:val="none" w:sz="0" w:space="0" w:color="auto"/>
            <w:left w:val="none" w:sz="0" w:space="0" w:color="auto"/>
            <w:bottom w:val="none" w:sz="0" w:space="0" w:color="auto"/>
            <w:right w:val="none" w:sz="0" w:space="0" w:color="auto"/>
          </w:divBdr>
        </w:div>
        <w:div w:id="1721007730">
          <w:marLeft w:val="0"/>
          <w:marRight w:val="0"/>
          <w:marTop w:val="0"/>
          <w:marBottom w:val="0"/>
          <w:divBdr>
            <w:top w:val="none" w:sz="0" w:space="0" w:color="auto"/>
            <w:left w:val="none" w:sz="0" w:space="0" w:color="auto"/>
            <w:bottom w:val="none" w:sz="0" w:space="0" w:color="auto"/>
            <w:right w:val="none" w:sz="0" w:space="0" w:color="auto"/>
          </w:divBdr>
        </w:div>
        <w:div w:id="177429472">
          <w:marLeft w:val="0"/>
          <w:marRight w:val="0"/>
          <w:marTop w:val="0"/>
          <w:marBottom w:val="0"/>
          <w:divBdr>
            <w:top w:val="none" w:sz="0" w:space="0" w:color="auto"/>
            <w:left w:val="none" w:sz="0" w:space="0" w:color="auto"/>
            <w:bottom w:val="none" w:sz="0" w:space="0" w:color="auto"/>
            <w:right w:val="none" w:sz="0" w:space="0" w:color="auto"/>
          </w:divBdr>
        </w:div>
        <w:div w:id="977683765">
          <w:marLeft w:val="0"/>
          <w:marRight w:val="0"/>
          <w:marTop w:val="0"/>
          <w:marBottom w:val="0"/>
          <w:divBdr>
            <w:top w:val="none" w:sz="0" w:space="0" w:color="auto"/>
            <w:left w:val="none" w:sz="0" w:space="0" w:color="auto"/>
            <w:bottom w:val="none" w:sz="0" w:space="0" w:color="auto"/>
            <w:right w:val="none" w:sz="0" w:space="0" w:color="auto"/>
          </w:divBdr>
          <w:divsChild>
            <w:div w:id="1075393863">
              <w:marLeft w:val="0"/>
              <w:marRight w:val="0"/>
              <w:marTop w:val="0"/>
              <w:marBottom w:val="0"/>
              <w:divBdr>
                <w:top w:val="none" w:sz="0" w:space="0" w:color="auto"/>
                <w:left w:val="none" w:sz="0" w:space="0" w:color="auto"/>
                <w:bottom w:val="none" w:sz="0" w:space="0" w:color="auto"/>
                <w:right w:val="none" w:sz="0" w:space="0" w:color="auto"/>
              </w:divBdr>
              <w:divsChild>
                <w:div w:id="1989164031">
                  <w:marLeft w:val="0"/>
                  <w:marRight w:val="0"/>
                  <w:marTop w:val="0"/>
                  <w:marBottom w:val="0"/>
                  <w:divBdr>
                    <w:top w:val="none" w:sz="0" w:space="0" w:color="auto"/>
                    <w:left w:val="none" w:sz="0" w:space="0" w:color="auto"/>
                    <w:bottom w:val="none" w:sz="0" w:space="0" w:color="auto"/>
                    <w:right w:val="none" w:sz="0" w:space="0" w:color="auto"/>
                  </w:divBdr>
                </w:div>
              </w:divsChild>
            </w:div>
            <w:div w:id="3699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2876">
      <w:bodyDiv w:val="1"/>
      <w:marLeft w:val="0"/>
      <w:marRight w:val="0"/>
      <w:marTop w:val="0"/>
      <w:marBottom w:val="0"/>
      <w:divBdr>
        <w:top w:val="none" w:sz="0" w:space="0" w:color="auto"/>
        <w:left w:val="none" w:sz="0" w:space="0" w:color="auto"/>
        <w:bottom w:val="none" w:sz="0" w:space="0" w:color="auto"/>
        <w:right w:val="none" w:sz="0" w:space="0" w:color="auto"/>
      </w:divBdr>
    </w:div>
    <w:div w:id="703989940">
      <w:bodyDiv w:val="1"/>
      <w:marLeft w:val="0"/>
      <w:marRight w:val="0"/>
      <w:marTop w:val="0"/>
      <w:marBottom w:val="0"/>
      <w:divBdr>
        <w:top w:val="none" w:sz="0" w:space="0" w:color="auto"/>
        <w:left w:val="none" w:sz="0" w:space="0" w:color="auto"/>
        <w:bottom w:val="none" w:sz="0" w:space="0" w:color="auto"/>
        <w:right w:val="none" w:sz="0" w:space="0" w:color="auto"/>
      </w:divBdr>
    </w:div>
    <w:div w:id="836462399">
      <w:bodyDiv w:val="1"/>
      <w:marLeft w:val="0"/>
      <w:marRight w:val="0"/>
      <w:marTop w:val="0"/>
      <w:marBottom w:val="0"/>
      <w:divBdr>
        <w:top w:val="none" w:sz="0" w:space="0" w:color="auto"/>
        <w:left w:val="none" w:sz="0" w:space="0" w:color="auto"/>
        <w:bottom w:val="none" w:sz="0" w:space="0" w:color="auto"/>
        <w:right w:val="none" w:sz="0" w:space="0" w:color="auto"/>
      </w:divBdr>
    </w:div>
    <w:div w:id="860779524">
      <w:bodyDiv w:val="1"/>
      <w:marLeft w:val="0"/>
      <w:marRight w:val="0"/>
      <w:marTop w:val="0"/>
      <w:marBottom w:val="0"/>
      <w:divBdr>
        <w:top w:val="none" w:sz="0" w:space="0" w:color="auto"/>
        <w:left w:val="none" w:sz="0" w:space="0" w:color="auto"/>
        <w:bottom w:val="none" w:sz="0" w:space="0" w:color="auto"/>
        <w:right w:val="none" w:sz="0" w:space="0" w:color="auto"/>
      </w:divBdr>
    </w:div>
    <w:div w:id="895118364">
      <w:bodyDiv w:val="1"/>
      <w:marLeft w:val="0"/>
      <w:marRight w:val="0"/>
      <w:marTop w:val="0"/>
      <w:marBottom w:val="0"/>
      <w:divBdr>
        <w:top w:val="none" w:sz="0" w:space="0" w:color="auto"/>
        <w:left w:val="none" w:sz="0" w:space="0" w:color="auto"/>
        <w:bottom w:val="none" w:sz="0" w:space="0" w:color="auto"/>
        <w:right w:val="none" w:sz="0" w:space="0" w:color="auto"/>
      </w:divBdr>
    </w:div>
    <w:div w:id="1002971615">
      <w:bodyDiv w:val="1"/>
      <w:marLeft w:val="0"/>
      <w:marRight w:val="0"/>
      <w:marTop w:val="0"/>
      <w:marBottom w:val="0"/>
      <w:divBdr>
        <w:top w:val="none" w:sz="0" w:space="0" w:color="auto"/>
        <w:left w:val="none" w:sz="0" w:space="0" w:color="auto"/>
        <w:bottom w:val="none" w:sz="0" w:space="0" w:color="auto"/>
        <w:right w:val="none" w:sz="0" w:space="0" w:color="auto"/>
      </w:divBdr>
    </w:div>
    <w:div w:id="1174492943">
      <w:bodyDiv w:val="1"/>
      <w:marLeft w:val="0"/>
      <w:marRight w:val="0"/>
      <w:marTop w:val="0"/>
      <w:marBottom w:val="0"/>
      <w:divBdr>
        <w:top w:val="none" w:sz="0" w:space="0" w:color="auto"/>
        <w:left w:val="none" w:sz="0" w:space="0" w:color="auto"/>
        <w:bottom w:val="none" w:sz="0" w:space="0" w:color="auto"/>
        <w:right w:val="none" w:sz="0" w:space="0" w:color="auto"/>
      </w:divBdr>
    </w:div>
    <w:div w:id="1212814192">
      <w:bodyDiv w:val="1"/>
      <w:marLeft w:val="0"/>
      <w:marRight w:val="0"/>
      <w:marTop w:val="0"/>
      <w:marBottom w:val="0"/>
      <w:divBdr>
        <w:top w:val="none" w:sz="0" w:space="0" w:color="auto"/>
        <w:left w:val="none" w:sz="0" w:space="0" w:color="auto"/>
        <w:bottom w:val="none" w:sz="0" w:space="0" w:color="auto"/>
        <w:right w:val="none" w:sz="0" w:space="0" w:color="auto"/>
      </w:divBdr>
      <w:divsChild>
        <w:div w:id="978848123">
          <w:marLeft w:val="0"/>
          <w:marRight w:val="0"/>
          <w:marTop w:val="0"/>
          <w:marBottom w:val="0"/>
          <w:divBdr>
            <w:top w:val="none" w:sz="0" w:space="0" w:color="auto"/>
            <w:left w:val="none" w:sz="0" w:space="0" w:color="auto"/>
            <w:bottom w:val="none" w:sz="0" w:space="0" w:color="auto"/>
            <w:right w:val="none" w:sz="0" w:space="0" w:color="auto"/>
          </w:divBdr>
          <w:divsChild>
            <w:div w:id="94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709">
      <w:bodyDiv w:val="1"/>
      <w:marLeft w:val="0"/>
      <w:marRight w:val="0"/>
      <w:marTop w:val="0"/>
      <w:marBottom w:val="0"/>
      <w:divBdr>
        <w:top w:val="none" w:sz="0" w:space="0" w:color="auto"/>
        <w:left w:val="none" w:sz="0" w:space="0" w:color="auto"/>
        <w:bottom w:val="none" w:sz="0" w:space="0" w:color="auto"/>
        <w:right w:val="none" w:sz="0" w:space="0" w:color="auto"/>
      </w:divBdr>
    </w:div>
    <w:div w:id="1312514923">
      <w:bodyDiv w:val="1"/>
      <w:marLeft w:val="0"/>
      <w:marRight w:val="0"/>
      <w:marTop w:val="0"/>
      <w:marBottom w:val="0"/>
      <w:divBdr>
        <w:top w:val="none" w:sz="0" w:space="0" w:color="auto"/>
        <w:left w:val="none" w:sz="0" w:space="0" w:color="auto"/>
        <w:bottom w:val="none" w:sz="0" w:space="0" w:color="auto"/>
        <w:right w:val="none" w:sz="0" w:space="0" w:color="auto"/>
      </w:divBdr>
      <w:divsChild>
        <w:div w:id="1037848350">
          <w:marLeft w:val="0"/>
          <w:marRight w:val="0"/>
          <w:marTop w:val="0"/>
          <w:marBottom w:val="0"/>
          <w:divBdr>
            <w:top w:val="none" w:sz="0" w:space="0" w:color="auto"/>
            <w:left w:val="none" w:sz="0" w:space="0" w:color="auto"/>
            <w:bottom w:val="none" w:sz="0" w:space="0" w:color="auto"/>
            <w:right w:val="none" w:sz="0" w:space="0" w:color="auto"/>
          </w:divBdr>
        </w:div>
      </w:divsChild>
    </w:div>
    <w:div w:id="1397824995">
      <w:bodyDiv w:val="1"/>
      <w:marLeft w:val="0"/>
      <w:marRight w:val="0"/>
      <w:marTop w:val="0"/>
      <w:marBottom w:val="0"/>
      <w:divBdr>
        <w:top w:val="none" w:sz="0" w:space="0" w:color="auto"/>
        <w:left w:val="none" w:sz="0" w:space="0" w:color="auto"/>
        <w:bottom w:val="none" w:sz="0" w:space="0" w:color="auto"/>
        <w:right w:val="none" w:sz="0" w:space="0" w:color="auto"/>
      </w:divBdr>
    </w:div>
    <w:div w:id="1405639185">
      <w:bodyDiv w:val="1"/>
      <w:marLeft w:val="0"/>
      <w:marRight w:val="0"/>
      <w:marTop w:val="0"/>
      <w:marBottom w:val="0"/>
      <w:divBdr>
        <w:top w:val="none" w:sz="0" w:space="0" w:color="auto"/>
        <w:left w:val="none" w:sz="0" w:space="0" w:color="auto"/>
        <w:bottom w:val="none" w:sz="0" w:space="0" w:color="auto"/>
        <w:right w:val="none" w:sz="0" w:space="0" w:color="auto"/>
      </w:divBdr>
    </w:div>
    <w:div w:id="1470366892">
      <w:bodyDiv w:val="1"/>
      <w:marLeft w:val="0"/>
      <w:marRight w:val="0"/>
      <w:marTop w:val="0"/>
      <w:marBottom w:val="0"/>
      <w:divBdr>
        <w:top w:val="none" w:sz="0" w:space="0" w:color="auto"/>
        <w:left w:val="none" w:sz="0" w:space="0" w:color="auto"/>
        <w:bottom w:val="none" w:sz="0" w:space="0" w:color="auto"/>
        <w:right w:val="none" w:sz="0" w:space="0" w:color="auto"/>
      </w:divBdr>
    </w:div>
    <w:div w:id="1485852720">
      <w:bodyDiv w:val="1"/>
      <w:marLeft w:val="0"/>
      <w:marRight w:val="0"/>
      <w:marTop w:val="0"/>
      <w:marBottom w:val="0"/>
      <w:divBdr>
        <w:top w:val="none" w:sz="0" w:space="0" w:color="auto"/>
        <w:left w:val="none" w:sz="0" w:space="0" w:color="auto"/>
        <w:bottom w:val="none" w:sz="0" w:space="0" w:color="auto"/>
        <w:right w:val="none" w:sz="0" w:space="0" w:color="auto"/>
      </w:divBdr>
    </w:div>
    <w:div w:id="1648240152">
      <w:bodyDiv w:val="1"/>
      <w:marLeft w:val="0"/>
      <w:marRight w:val="0"/>
      <w:marTop w:val="0"/>
      <w:marBottom w:val="0"/>
      <w:divBdr>
        <w:top w:val="none" w:sz="0" w:space="0" w:color="auto"/>
        <w:left w:val="none" w:sz="0" w:space="0" w:color="auto"/>
        <w:bottom w:val="none" w:sz="0" w:space="0" w:color="auto"/>
        <w:right w:val="none" w:sz="0" w:space="0" w:color="auto"/>
      </w:divBdr>
    </w:div>
    <w:div w:id="1661304299">
      <w:bodyDiv w:val="1"/>
      <w:marLeft w:val="0"/>
      <w:marRight w:val="0"/>
      <w:marTop w:val="0"/>
      <w:marBottom w:val="0"/>
      <w:divBdr>
        <w:top w:val="none" w:sz="0" w:space="0" w:color="auto"/>
        <w:left w:val="none" w:sz="0" w:space="0" w:color="auto"/>
        <w:bottom w:val="none" w:sz="0" w:space="0" w:color="auto"/>
        <w:right w:val="none" w:sz="0" w:space="0" w:color="auto"/>
      </w:divBdr>
    </w:div>
    <w:div w:id="1840996625">
      <w:bodyDiv w:val="1"/>
      <w:marLeft w:val="0"/>
      <w:marRight w:val="0"/>
      <w:marTop w:val="0"/>
      <w:marBottom w:val="0"/>
      <w:divBdr>
        <w:top w:val="none" w:sz="0" w:space="0" w:color="auto"/>
        <w:left w:val="none" w:sz="0" w:space="0" w:color="auto"/>
        <w:bottom w:val="none" w:sz="0" w:space="0" w:color="auto"/>
        <w:right w:val="none" w:sz="0" w:space="0" w:color="auto"/>
      </w:divBdr>
    </w:div>
    <w:div w:id="1875726323">
      <w:bodyDiv w:val="1"/>
      <w:marLeft w:val="0"/>
      <w:marRight w:val="0"/>
      <w:marTop w:val="0"/>
      <w:marBottom w:val="0"/>
      <w:divBdr>
        <w:top w:val="none" w:sz="0" w:space="0" w:color="auto"/>
        <w:left w:val="none" w:sz="0" w:space="0" w:color="auto"/>
        <w:bottom w:val="none" w:sz="0" w:space="0" w:color="auto"/>
        <w:right w:val="none" w:sz="0" w:space="0" w:color="auto"/>
      </w:divBdr>
      <w:divsChild>
        <w:div w:id="2133934548">
          <w:marLeft w:val="0"/>
          <w:marRight w:val="0"/>
          <w:marTop w:val="0"/>
          <w:marBottom w:val="0"/>
          <w:divBdr>
            <w:top w:val="none" w:sz="0" w:space="0" w:color="auto"/>
            <w:left w:val="none" w:sz="0" w:space="0" w:color="auto"/>
            <w:bottom w:val="none" w:sz="0" w:space="0" w:color="auto"/>
            <w:right w:val="none" w:sz="0" w:space="0" w:color="auto"/>
          </w:divBdr>
          <w:divsChild>
            <w:div w:id="8189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074">
      <w:bodyDiv w:val="1"/>
      <w:marLeft w:val="0"/>
      <w:marRight w:val="0"/>
      <w:marTop w:val="0"/>
      <w:marBottom w:val="0"/>
      <w:divBdr>
        <w:top w:val="none" w:sz="0" w:space="0" w:color="auto"/>
        <w:left w:val="none" w:sz="0" w:space="0" w:color="auto"/>
        <w:bottom w:val="none" w:sz="0" w:space="0" w:color="auto"/>
        <w:right w:val="none" w:sz="0" w:space="0" w:color="auto"/>
      </w:divBdr>
    </w:div>
    <w:div w:id="2100517441">
      <w:bodyDiv w:val="1"/>
      <w:marLeft w:val="0"/>
      <w:marRight w:val="0"/>
      <w:marTop w:val="0"/>
      <w:marBottom w:val="0"/>
      <w:divBdr>
        <w:top w:val="none" w:sz="0" w:space="0" w:color="auto"/>
        <w:left w:val="none" w:sz="0" w:space="0" w:color="auto"/>
        <w:bottom w:val="none" w:sz="0" w:space="0" w:color="auto"/>
        <w:right w:val="none" w:sz="0" w:space="0" w:color="auto"/>
      </w:divBdr>
      <w:divsChild>
        <w:div w:id="639157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68B9EC41F70247BA09641BB9141EDA"/>
        <w:category>
          <w:name w:val="General"/>
          <w:gallery w:val="placeholder"/>
        </w:category>
        <w:types>
          <w:type w:val="bbPlcHdr"/>
        </w:types>
        <w:behaviors>
          <w:behavior w:val="content"/>
        </w:behaviors>
        <w:guid w:val="{9B2834FA-C97D-8740-A6AD-29902018B70B}"/>
      </w:docPartPr>
      <w:docPartBody>
        <w:p w:rsidR="005A0BE0" w:rsidRDefault="005A0BE0" w:rsidP="005A0BE0">
          <w:pPr>
            <w:pStyle w:val="E468B9EC41F70247BA09641BB9141EDA"/>
          </w:pPr>
          <w:r>
            <w:t>[Type text]</w:t>
          </w:r>
        </w:p>
      </w:docPartBody>
    </w:docPart>
    <w:docPart>
      <w:docPartPr>
        <w:name w:val="06EB8EB7E1BE4943B1B5CB3ED113E358"/>
        <w:category>
          <w:name w:val="General"/>
          <w:gallery w:val="placeholder"/>
        </w:category>
        <w:types>
          <w:type w:val="bbPlcHdr"/>
        </w:types>
        <w:behaviors>
          <w:behavior w:val="content"/>
        </w:behaviors>
        <w:guid w:val="{2242C39E-3C1C-9A4A-AC0D-A55AB6200E47}"/>
      </w:docPartPr>
      <w:docPartBody>
        <w:p w:rsidR="005A0BE0" w:rsidRDefault="005A0BE0" w:rsidP="005A0BE0">
          <w:pPr>
            <w:pStyle w:val="06EB8EB7E1BE4943B1B5CB3ED113E358"/>
          </w:pPr>
          <w:r>
            <w:t>[Type text]</w:t>
          </w:r>
        </w:p>
      </w:docPartBody>
    </w:docPart>
    <w:docPart>
      <w:docPartPr>
        <w:name w:val="9703CBFF38C8AD4B8CAB1E585AF509D2"/>
        <w:category>
          <w:name w:val="General"/>
          <w:gallery w:val="placeholder"/>
        </w:category>
        <w:types>
          <w:type w:val="bbPlcHdr"/>
        </w:types>
        <w:behaviors>
          <w:behavior w:val="content"/>
        </w:behaviors>
        <w:guid w:val="{A799C355-95DD-5441-B144-38E9CBE1A5CC}"/>
      </w:docPartPr>
      <w:docPartBody>
        <w:p w:rsidR="005A0BE0" w:rsidRDefault="005A0BE0" w:rsidP="005A0BE0">
          <w:pPr>
            <w:pStyle w:val="9703CBFF38C8AD4B8CAB1E585AF509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E0"/>
    <w:rsid w:val="004434F9"/>
    <w:rsid w:val="005A0BE0"/>
    <w:rsid w:val="0091484F"/>
    <w:rsid w:val="00AA6FEF"/>
    <w:rsid w:val="00B528DE"/>
    <w:rsid w:val="00CB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8B9EC41F70247BA09641BB9141EDA">
    <w:name w:val="E468B9EC41F70247BA09641BB9141EDA"/>
    <w:rsid w:val="005A0BE0"/>
  </w:style>
  <w:style w:type="paragraph" w:customStyle="1" w:styleId="06EB8EB7E1BE4943B1B5CB3ED113E358">
    <w:name w:val="06EB8EB7E1BE4943B1B5CB3ED113E358"/>
    <w:rsid w:val="005A0BE0"/>
  </w:style>
  <w:style w:type="paragraph" w:customStyle="1" w:styleId="9703CBFF38C8AD4B8CAB1E585AF509D2">
    <w:name w:val="9703CBFF38C8AD4B8CAB1E585AF509D2"/>
    <w:rsid w:val="005A0BE0"/>
  </w:style>
  <w:style w:type="paragraph" w:customStyle="1" w:styleId="C114F5726D0E8A4F8FFBFFAA45E5BE57">
    <w:name w:val="C114F5726D0E8A4F8FFBFFAA45E5BE57"/>
    <w:rsid w:val="005A0BE0"/>
  </w:style>
  <w:style w:type="paragraph" w:customStyle="1" w:styleId="A0EBBB4140FEF84DA75EDA1B52396F83">
    <w:name w:val="A0EBBB4140FEF84DA75EDA1B52396F83"/>
    <w:rsid w:val="005A0BE0"/>
  </w:style>
  <w:style w:type="paragraph" w:customStyle="1" w:styleId="42CB593A0DAAD046AA5B722CBF697B82">
    <w:name w:val="42CB593A0DAAD046AA5B722CBF697B82"/>
    <w:rsid w:val="005A0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B92B1D-42F2-4259-89CE-6A326D8284D2}"/>
</file>

<file path=customXml/itemProps2.xml><?xml version="1.0" encoding="utf-8"?>
<ds:datastoreItem xmlns:ds="http://schemas.openxmlformats.org/officeDocument/2006/customXml" ds:itemID="{8CF85818-BDE7-4003-9918-18D67C8795D2}"/>
</file>

<file path=customXml/itemProps3.xml><?xml version="1.0" encoding="utf-8"?>
<ds:datastoreItem xmlns:ds="http://schemas.openxmlformats.org/officeDocument/2006/customXml" ds:itemID="{F4E64316-A921-4CC4-BF5E-82BFE10BA7D8}"/>
</file>

<file path=customXml/itemProps4.xml><?xml version="1.0" encoding="utf-8"?>
<ds:datastoreItem xmlns:ds="http://schemas.openxmlformats.org/officeDocument/2006/customXml" ds:itemID="{A3B00D39-B2E9-4D7B-B668-EF724FB564F9}"/>
</file>

<file path=customXml/itemProps5.xml><?xml version="1.0" encoding="utf-8"?>
<ds:datastoreItem xmlns:ds="http://schemas.openxmlformats.org/officeDocument/2006/customXml" ds:itemID="{89AB00B3-068E-4F62-BCE9-B1331DC1511A}"/>
</file>

<file path=docProps/app.xml><?xml version="1.0" encoding="utf-8"?>
<Properties xmlns="http://schemas.openxmlformats.org/officeDocument/2006/extended-properties" xmlns:vt="http://schemas.openxmlformats.org/officeDocument/2006/docPropsVTypes">
  <Template>Normal</Template>
  <TotalTime>1</TotalTime>
  <Pages>9</Pages>
  <Words>2546</Words>
  <Characters>14517</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Rollman, Courtney (UTC)</cp:lastModifiedBy>
  <cp:revision>2</cp:revision>
  <cp:lastPrinted>2016-02-02T00:42:00Z</cp:lastPrinted>
  <dcterms:created xsi:type="dcterms:W3CDTF">2016-02-02T17:34:00Z</dcterms:created>
  <dcterms:modified xsi:type="dcterms:W3CDTF">2016-02-02T17:34:00Z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