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6B2" w:rsidRPr="00E56FB1" w:rsidRDefault="008856B2" w:rsidP="008856B2">
      <w:pPr>
        <w:spacing w:after="0" w:line="360" w:lineRule="auto"/>
        <w:jc w:val="center"/>
        <w:rPr>
          <w:sz w:val="32"/>
          <w:szCs w:val="32"/>
        </w:rPr>
      </w:pPr>
      <w:bookmarkStart w:id="0" w:name="_GoBack"/>
      <w:bookmarkEnd w:id="0"/>
      <w:r w:rsidRPr="00E56FB1">
        <w:rPr>
          <w:sz w:val="32"/>
          <w:szCs w:val="32"/>
        </w:rPr>
        <w:t>Supplemental Comments of Jonathan Powell</w:t>
      </w:r>
    </w:p>
    <w:p w:rsidR="008856B2" w:rsidRPr="00E56FB1" w:rsidRDefault="008856B2" w:rsidP="008856B2">
      <w:pPr>
        <w:spacing w:after="0" w:line="360" w:lineRule="auto"/>
        <w:jc w:val="center"/>
        <w:rPr>
          <w:sz w:val="32"/>
          <w:szCs w:val="32"/>
        </w:rPr>
      </w:pPr>
      <w:r w:rsidRPr="00E56FB1">
        <w:rPr>
          <w:sz w:val="32"/>
          <w:szCs w:val="32"/>
        </w:rPr>
        <w:t xml:space="preserve">In </w:t>
      </w:r>
      <w:r w:rsidR="0061063C">
        <w:rPr>
          <w:sz w:val="32"/>
          <w:szCs w:val="32"/>
        </w:rPr>
        <w:t xml:space="preserve">Dockets </w:t>
      </w:r>
      <w:r w:rsidRPr="00E56FB1">
        <w:rPr>
          <w:sz w:val="32"/>
          <w:szCs w:val="32"/>
        </w:rPr>
        <w:t>UE-132045 and UG-132046</w:t>
      </w:r>
    </w:p>
    <w:p w:rsidR="008856B2" w:rsidRPr="00E56FB1" w:rsidRDefault="008856B2" w:rsidP="008856B2">
      <w:pPr>
        <w:spacing w:after="0" w:line="360" w:lineRule="auto"/>
        <w:jc w:val="center"/>
        <w:rPr>
          <w:sz w:val="32"/>
          <w:szCs w:val="32"/>
        </w:rPr>
      </w:pPr>
      <w:r w:rsidRPr="00E56FB1">
        <w:rPr>
          <w:sz w:val="32"/>
          <w:szCs w:val="32"/>
        </w:rPr>
        <w:t>Avista Utilities Biennial Conservation Report</w:t>
      </w:r>
    </w:p>
    <w:p w:rsidR="008856B2" w:rsidRPr="00E56FB1" w:rsidRDefault="008856B2" w:rsidP="008856B2">
      <w:pPr>
        <w:spacing w:after="0" w:line="360" w:lineRule="auto"/>
        <w:jc w:val="center"/>
        <w:rPr>
          <w:sz w:val="24"/>
          <w:szCs w:val="24"/>
        </w:rPr>
      </w:pPr>
      <w:r w:rsidRPr="00E56FB1">
        <w:rPr>
          <w:sz w:val="24"/>
          <w:szCs w:val="24"/>
        </w:rPr>
        <w:t xml:space="preserve">Submitted </w:t>
      </w:r>
      <w:r w:rsidR="00CF4E00" w:rsidRPr="00E56FB1">
        <w:rPr>
          <w:sz w:val="24"/>
          <w:szCs w:val="24"/>
        </w:rPr>
        <w:t xml:space="preserve">September </w:t>
      </w:r>
      <w:r w:rsidR="00B95F63" w:rsidRPr="00E56FB1">
        <w:rPr>
          <w:sz w:val="24"/>
          <w:szCs w:val="24"/>
        </w:rPr>
        <w:t>12th</w:t>
      </w:r>
      <w:r w:rsidRPr="00E56FB1">
        <w:rPr>
          <w:sz w:val="24"/>
          <w:szCs w:val="24"/>
        </w:rPr>
        <w:t>, 2016</w:t>
      </w:r>
    </w:p>
    <w:p w:rsidR="008856B2" w:rsidRPr="00E56FB1" w:rsidRDefault="008856B2" w:rsidP="008856B2">
      <w:pPr>
        <w:spacing w:after="0" w:line="360" w:lineRule="auto"/>
      </w:pP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On July 19th, 2016 Mr. Lynn Anderson and I submitted joint comments in </w:t>
      </w:r>
      <w:r w:rsidR="0046285B" w:rsidRPr="00E56FB1">
        <w:rPr>
          <w:sz w:val="24"/>
          <w:szCs w:val="24"/>
        </w:rPr>
        <w:t>the Avista Utilities docket</w:t>
      </w:r>
      <w:r w:rsidR="001A2036">
        <w:rPr>
          <w:sz w:val="24"/>
          <w:szCs w:val="24"/>
        </w:rPr>
        <w:t>s</w:t>
      </w:r>
      <w:r w:rsidR="0046285B" w:rsidRPr="00E56FB1">
        <w:rPr>
          <w:sz w:val="24"/>
          <w:szCs w:val="24"/>
        </w:rPr>
        <w:t xml:space="preserve"> </w:t>
      </w:r>
      <w:r w:rsidRPr="00E56FB1">
        <w:rPr>
          <w:sz w:val="24"/>
          <w:szCs w:val="24"/>
        </w:rPr>
        <w:t>UE-132045</w:t>
      </w:r>
      <w:r w:rsidR="001A2036">
        <w:rPr>
          <w:sz w:val="24"/>
          <w:szCs w:val="24"/>
        </w:rPr>
        <w:t xml:space="preserve"> and UG-132046</w:t>
      </w:r>
      <w:r w:rsidRPr="00E56FB1">
        <w:rPr>
          <w:sz w:val="24"/>
          <w:szCs w:val="24"/>
        </w:rPr>
        <w:t>.  Within those comments we expressed concern regarding three issues:</w:t>
      </w:r>
    </w:p>
    <w:p w:rsidR="008856B2" w:rsidRPr="00E56FB1" w:rsidRDefault="008856B2" w:rsidP="008856B2">
      <w:pPr>
        <w:spacing w:after="0" w:line="360" w:lineRule="auto"/>
        <w:rPr>
          <w:sz w:val="24"/>
          <w:szCs w:val="24"/>
        </w:rPr>
      </w:pPr>
    </w:p>
    <w:p w:rsidR="008856B2" w:rsidRPr="00E56FB1" w:rsidRDefault="008856B2" w:rsidP="008856B2">
      <w:pPr>
        <w:pStyle w:val="ListParagraph"/>
        <w:numPr>
          <w:ilvl w:val="0"/>
          <w:numId w:val="1"/>
        </w:numPr>
        <w:spacing w:after="0" w:line="360" w:lineRule="auto"/>
        <w:rPr>
          <w:sz w:val="24"/>
          <w:szCs w:val="24"/>
        </w:rPr>
      </w:pPr>
      <w:r w:rsidRPr="00E56FB1">
        <w:rPr>
          <w:sz w:val="24"/>
          <w:szCs w:val="24"/>
        </w:rPr>
        <w:t>Analytical issues regarding what Avista termed a “database error”</w:t>
      </w:r>
      <w:r w:rsidRPr="00E56FB1">
        <w:rPr>
          <w:sz w:val="24"/>
          <w:szCs w:val="24"/>
          <w:vertAlign w:val="superscript"/>
        </w:rPr>
        <w:t>1</w:t>
      </w:r>
      <w:r w:rsidRPr="00E56FB1">
        <w:rPr>
          <w:sz w:val="24"/>
          <w:szCs w:val="24"/>
        </w:rPr>
        <w:t xml:space="preserve"> as well as inconsistencies between the Biennial Conservation Report (BCR) and the work papers submitted in support of that document.</w:t>
      </w:r>
    </w:p>
    <w:p w:rsidR="008856B2" w:rsidRPr="00E56FB1" w:rsidRDefault="00A162F4" w:rsidP="008856B2">
      <w:pPr>
        <w:pStyle w:val="ListParagraph"/>
        <w:numPr>
          <w:ilvl w:val="0"/>
          <w:numId w:val="1"/>
        </w:numPr>
        <w:spacing w:after="0" w:line="360" w:lineRule="auto"/>
        <w:rPr>
          <w:sz w:val="24"/>
          <w:szCs w:val="24"/>
        </w:rPr>
      </w:pPr>
      <w:r>
        <w:rPr>
          <w:sz w:val="24"/>
          <w:szCs w:val="24"/>
        </w:rPr>
        <w:t>Concern regarding</w:t>
      </w:r>
      <w:r w:rsidR="008856B2" w:rsidRPr="00E56FB1">
        <w:rPr>
          <w:sz w:val="24"/>
          <w:szCs w:val="24"/>
        </w:rPr>
        <w:t xml:space="preserve"> </w:t>
      </w:r>
      <w:proofErr w:type="spellStart"/>
      <w:r w:rsidR="008856B2" w:rsidRPr="00E56FB1">
        <w:rPr>
          <w:sz w:val="24"/>
          <w:szCs w:val="24"/>
        </w:rPr>
        <w:t>Avista’s</w:t>
      </w:r>
      <w:proofErr w:type="spellEnd"/>
      <w:r w:rsidR="008856B2" w:rsidRPr="00E56FB1">
        <w:rPr>
          <w:sz w:val="24"/>
          <w:szCs w:val="24"/>
        </w:rPr>
        <w:t xml:space="preserve"> lack of transparency and disclosure within UE-132045.</w:t>
      </w:r>
    </w:p>
    <w:p w:rsidR="008856B2" w:rsidRPr="00E56FB1" w:rsidRDefault="00A162F4" w:rsidP="008856B2">
      <w:pPr>
        <w:pStyle w:val="ListParagraph"/>
        <w:numPr>
          <w:ilvl w:val="0"/>
          <w:numId w:val="1"/>
        </w:numPr>
        <w:spacing w:after="0" w:line="360" w:lineRule="auto"/>
        <w:rPr>
          <w:sz w:val="24"/>
          <w:szCs w:val="24"/>
        </w:rPr>
      </w:pPr>
      <w:r>
        <w:rPr>
          <w:sz w:val="24"/>
          <w:szCs w:val="24"/>
        </w:rPr>
        <w:t>Concern</w:t>
      </w:r>
      <w:r w:rsidR="001A2036">
        <w:rPr>
          <w:sz w:val="24"/>
          <w:szCs w:val="24"/>
        </w:rPr>
        <w:t xml:space="preserve"> regarding</w:t>
      </w:r>
      <w:r w:rsidR="008856B2" w:rsidRPr="00E56FB1">
        <w:rPr>
          <w:sz w:val="24"/>
          <w:szCs w:val="24"/>
        </w:rPr>
        <w:t xml:space="preserve"> the lack of adequate independence within the </w:t>
      </w:r>
      <w:r w:rsidR="001A2036">
        <w:rPr>
          <w:sz w:val="24"/>
          <w:szCs w:val="24"/>
        </w:rPr>
        <w:t xml:space="preserve">management of the </w:t>
      </w:r>
      <w:r w:rsidR="008856B2" w:rsidRPr="00E56FB1">
        <w:rPr>
          <w:sz w:val="24"/>
          <w:szCs w:val="24"/>
        </w:rPr>
        <w:t xml:space="preserve">evaluation process leading up to the BCR, </w:t>
      </w:r>
      <w:r w:rsidR="000C4C5A" w:rsidRPr="00E56FB1">
        <w:rPr>
          <w:sz w:val="24"/>
          <w:szCs w:val="24"/>
        </w:rPr>
        <w:t>specifically the observation tha</w:t>
      </w:r>
      <w:r w:rsidR="008856B2" w:rsidRPr="00E56FB1">
        <w:rPr>
          <w:sz w:val="24"/>
          <w:szCs w:val="24"/>
        </w:rPr>
        <w:t xml:space="preserve">t the evaluation was managed </w:t>
      </w:r>
      <w:r>
        <w:rPr>
          <w:sz w:val="24"/>
          <w:szCs w:val="24"/>
        </w:rPr>
        <w:t>within</w:t>
      </w:r>
      <w:r w:rsidR="008856B2" w:rsidRPr="00E56FB1">
        <w:rPr>
          <w:sz w:val="24"/>
          <w:szCs w:val="24"/>
        </w:rPr>
        <w:t xml:space="preserve"> the </w:t>
      </w:r>
      <w:r w:rsidR="00F06A8D" w:rsidRPr="00E56FB1">
        <w:rPr>
          <w:sz w:val="24"/>
          <w:szCs w:val="24"/>
        </w:rPr>
        <w:t xml:space="preserve">same </w:t>
      </w:r>
      <w:r w:rsidR="008856B2" w:rsidRPr="00E56FB1">
        <w:rPr>
          <w:sz w:val="24"/>
          <w:szCs w:val="24"/>
        </w:rPr>
        <w:t>department that w</w:t>
      </w:r>
      <w:r>
        <w:rPr>
          <w:sz w:val="24"/>
          <w:szCs w:val="24"/>
        </w:rPr>
        <w:t>as</w:t>
      </w:r>
      <w:r w:rsidR="008856B2" w:rsidRPr="00E56FB1">
        <w:rPr>
          <w:sz w:val="24"/>
          <w:szCs w:val="24"/>
        </w:rPr>
        <w:t xml:space="preserve"> being evaluated</w:t>
      </w:r>
      <w:r w:rsidR="000C4C5A" w:rsidRPr="00E56FB1">
        <w:rPr>
          <w:sz w:val="24"/>
          <w:szCs w:val="24"/>
        </w:rPr>
        <w:t>.</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Since the submittal of those original comments there have been additional findings impacting both UE-132045 and UG-132046 which validate our concerns </w:t>
      </w:r>
      <w:r w:rsidR="002C7528" w:rsidRPr="00E56FB1">
        <w:rPr>
          <w:sz w:val="24"/>
          <w:szCs w:val="24"/>
        </w:rPr>
        <w:t>of insufficient</w:t>
      </w:r>
      <w:r w:rsidRPr="00E56FB1">
        <w:rPr>
          <w:sz w:val="24"/>
          <w:szCs w:val="24"/>
        </w:rPr>
        <w:t xml:space="preserve"> transparency and independence.  It is the purpose of these supplemental comments to describe how these recent findings relate to </w:t>
      </w:r>
      <w:r w:rsidR="003928F1">
        <w:rPr>
          <w:sz w:val="24"/>
          <w:szCs w:val="24"/>
        </w:rPr>
        <w:t>the concerns expressed by Mr. Anderson and myself in our earlier comments</w:t>
      </w:r>
      <w:r w:rsidRPr="00E56FB1">
        <w:rPr>
          <w:sz w:val="24"/>
          <w:szCs w:val="24"/>
        </w:rPr>
        <w:t>.  It is hoped that this additional clarity will create the opportunity for the development of a</w:t>
      </w:r>
      <w:r w:rsidR="00D72E82">
        <w:rPr>
          <w:sz w:val="24"/>
          <w:szCs w:val="24"/>
        </w:rPr>
        <w:t>n effective</w:t>
      </w:r>
      <w:r w:rsidR="000C4C5A" w:rsidRPr="00E56FB1">
        <w:rPr>
          <w:sz w:val="24"/>
          <w:szCs w:val="24"/>
        </w:rPr>
        <w:t xml:space="preserve"> and </w:t>
      </w:r>
      <w:r w:rsidR="00D72E82">
        <w:rPr>
          <w:sz w:val="24"/>
          <w:szCs w:val="24"/>
        </w:rPr>
        <w:t>durable</w:t>
      </w:r>
      <w:r w:rsidR="000C4C5A" w:rsidRPr="00E56FB1">
        <w:rPr>
          <w:sz w:val="24"/>
          <w:szCs w:val="24"/>
        </w:rPr>
        <w:t xml:space="preserve"> solution to these</w:t>
      </w:r>
      <w:r w:rsidRPr="00E56FB1">
        <w:rPr>
          <w:sz w:val="24"/>
          <w:szCs w:val="24"/>
        </w:rPr>
        <w:t xml:space="preserve"> </w:t>
      </w:r>
      <w:r w:rsidR="00D72E82">
        <w:rPr>
          <w:sz w:val="24"/>
          <w:szCs w:val="24"/>
        </w:rPr>
        <w:t>recurring</w:t>
      </w:r>
      <w:r w:rsidRPr="00E56FB1">
        <w:rPr>
          <w:sz w:val="24"/>
          <w:szCs w:val="24"/>
        </w:rPr>
        <w:t xml:space="preserve"> issue</w:t>
      </w:r>
      <w:r w:rsidR="000C4C5A" w:rsidRPr="00E56FB1">
        <w:rPr>
          <w:sz w:val="24"/>
          <w:szCs w:val="24"/>
        </w:rPr>
        <w:t>s</w:t>
      </w:r>
      <w:r w:rsidRPr="00E56FB1">
        <w:rPr>
          <w:sz w:val="24"/>
          <w:szCs w:val="24"/>
        </w:rPr>
        <w:t>.</w:t>
      </w:r>
    </w:p>
    <w:p w:rsidR="008856B2" w:rsidRPr="00E56FB1" w:rsidRDefault="008856B2" w:rsidP="008856B2">
      <w:pPr>
        <w:spacing w:after="0" w:line="360" w:lineRule="auto"/>
        <w:rPr>
          <w:sz w:val="24"/>
          <w:szCs w:val="24"/>
        </w:rPr>
      </w:pPr>
    </w:p>
    <w:p w:rsidR="00F06A8D" w:rsidRPr="00E56FB1" w:rsidRDefault="00F06A8D"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Through the diligent work of Staff several deficiencies within the evaluation have been identified.  Thes</w:t>
      </w:r>
      <w:r w:rsidR="000C4C5A" w:rsidRPr="00E56FB1">
        <w:rPr>
          <w:sz w:val="24"/>
          <w:szCs w:val="24"/>
        </w:rPr>
        <w:t xml:space="preserve">e include, but are probably </w:t>
      </w:r>
      <w:r w:rsidRPr="00E56FB1">
        <w:rPr>
          <w:sz w:val="24"/>
          <w:szCs w:val="24"/>
        </w:rPr>
        <w:t>not limited to:</w:t>
      </w:r>
    </w:p>
    <w:p w:rsidR="008856B2" w:rsidRPr="00E56FB1" w:rsidRDefault="008856B2" w:rsidP="008856B2">
      <w:pPr>
        <w:pStyle w:val="ListParagraph"/>
        <w:numPr>
          <w:ilvl w:val="0"/>
          <w:numId w:val="2"/>
        </w:numPr>
        <w:spacing w:after="0" w:line="360" w:lineRule="auto"/>
        <w:rPr>
          <w:sz w:val="24"/>
          <w:szCs w:val="24"/>
        </w:rPr>
      </w:pPr>
      <w:r w:rsidRPr="00E56FB1">
        <w:rPr>
          <w:sz w:val="24"/>
          <w:szCs w:val="24"/>
        </w:rPr>
        <w:lastRenderedPageBreak/>
        <w:t xml:space="preserve">The </w:t>
      </w:r>
      <w:r w:rsidR="00CF4E00" w:rsidRPr="00E56FB1">
        <w:rPr>
          <w:sz w:val="24"/>
          <w:szCs w:val="24"/>
        </w:rPr>
        <w:t>failure</w:t>
      </w:r>
      <w:r w:rsidRPr="00E56FB1">
        <w:rPr>
          <w:sz w:val="24"/>
          <w:szCs w:val="24"/>
        </w:rPr>
        <w:t xml:space="preserve"> to apply</w:t>
      </w:r>
      <w:r w:rsidR="006C4F21" w:rsidRPr="00E56FB1">
        <w:rPr>
          <w:sz w:val="24"/>
          <w:szCs w:val="24"/>
        </w:rPr>
        <w:t>, where applicable,</w:t>
      </w:r>
      <w:r w:rsidRPr="00E56FB1">
        <w:rPr>
          <w:sz w:val="24"/>
          <w:szCs w:val="24"/>
        </w:rPr>
        <w:t xml:space="preserve"> the unit energy savings (UES) developed by the Northwest Power and </w:t>
      </w:r>
      <w:r w:rsidR="00A162F4">
        <w:rPr>
          <w:sz w:val="24"/>
          <w:szCs w:val="24"/>
        </w:rPr>
        <w:t>Conservation</w:t>
      </w:r>
      <w:r w:rsidR="003928F1">
        <w:rPr>
          <w:sz w:val="24"/>
          <w:szCs w:val="24"/>
        </w:rPr>
        <w:t xml:space="preserve"> Council</w:t>
      </w:r>
      <w:r w:rsidRPr="00E56FB1">
        <w:rPr>
          <w:sz w:val="24"/>
          <w:szCs w:val="24"/>
        </w:rPr>
        <w:t xml:space="preserve"> Regional Technical Forum (RTF</w:t>
      </w:r>
      <w:r w:rsidR="006C4F21" w:rsidRPr="00E56FB1">
        <w:rPr>
          <w:sz w:val="24"/>
          <w:szCs w:val="24"/>
        </w:rPr>
        <w:t>)</w:t>
      </w:r>
      <w:r w:rsidRPr="00E56FB1">
        <w:rPr>
          <w:sz w:val="24"/>
          <w:szCs w:val="24"/>
        </w:rPr>
        <w:t xml:space="preserve"> as committed to within </w:t>
      </w:r>
      <w:proofErr w:type="spellStart"/>
      <w:r w:rsidR="003928F1">
        <w:rPr>
          <w:sz w:val="24"/>
          <w:szCs w:val="24"/>
        </w:rPr>
        <w:t>Avista’s</w:t>
      </w:r>
      <w:proofErr w:type="spellEnd"/>
      <w:r w:rsidRPr="00E56FB1">
        <w:rPr>
          <w:sz w:val="24"/>
          <w:szCs w:val="24"/>
        </w:rPr>
        <w:t xml:space="preserve"> 2014-2015 Biennial Conservation Plan</w:t>
      </w:r>
      <w:r w:rsidR="006C4F21" w:rsidRPr="00E56FB1">
        <w:rPr>
          <w:sz w:val="24"/>
          <w:szCs w:val="24"/>
        </w:rPr>
        <w:t xml:space="preserve"> (BCP)</w:t>
      </w:r>
      <w:r w:rsidR="00CF4E00" w:rsidRPr="00E56FB1">
        <w:rPr>
          <w:sz w:val="24"/>
          <w:szCs w:val="24"/>
        </w:rPr>
        <w:t xml:space="preserve"> </w:t>
      </w:r>
      <w:r w:rsidR="006C4F21" w:rsidRPr="00E56FB1">
        <w:rPr>
          <w:sz w:val="24"/>
          <w:szCs w:val="24"/>
        </w:rPr>
        <w:t xml:space="preserve">filed as part of </w:t>
      </w:r>
      <w:r w:rsidR="00CF4E00" w:rsidRPr="00E56FB1">
        <w:rPr>
          <w:sz w:val="24"/>
          <w:szCs w:val="24"/>
        </w:rPr>
        <w:t>UE-132045.</w:t>
      </w:r>
    </w:p>
    <w:p w:rsidR="008856B2" w:rsidRPr="00E56FB1" w:rsidRDefault="008856B2" w:rsidP="008856B2">
      <w:pPr>
        <w:pStyle w:val="ListParagraph"/>
        <w:numPr>
          <w:ilvl w:val="0"/>
          <w:numId w:val="2"/>
        </w:numPr>
        <w:spacing w:after="0" w:line="360" w:lineRule="auto"/>
        <w:rPr>
          <w:sz w:val="24"/>
          <w:szCs w:val="24"/>
        </w:rPr>
      </w:pPr>
      <w:r w:rsidRPr="00E56FB1">
        <w:rPr>
          <w:sz w:val="24"/>
          <w:szCs w:val="24"/>
        </w:rPr>
        <w:t xml:space="preserve">The failure to follow through on a commitment to complete a process evaluation of the organizational changes that occurred within </w:t>
      </w:r>
      <w:proofErr w:type="spellStart"/>
      <w:r w:rsidRPr="00E56FB1">
        <w:rPr>
          <w:sz w:val="24"/>
          <w:szCs w:val="24"/>
        </w:rPr>
        <w:t>Avista’s</w:t>
      </w:r>
      <w:proofErr w:type="spellEnd"/>
      <w:r w:rsidRPr="00E56FB1">
        <w:rPr>
          <w:sz w:val="24"/>
          <w:szCs w:val="24"/>
        </w:rPr>
        <w:t xml:space="preserve"> demand-side management (DSM) department during the 2014-</w:t>
      </w:r>
      <w:r w:rsidR="002C7528" w:rsidRPr="00E56FB1">
        <w:rPr>
          <w:sz w:val="24"/>
          <w:szCs w:val="24"/>
        </w:rPr>
        <w:t xml:space="preserve">2015 </w:t>
      </w:r>
      <w:proofErr w:type="gramStart"/>
      <w:r w:rsidR="002C7528" w:rsidRPr="00E56FB1">
        <w:rPr>
          <w:sz w:val="24"/>
          <w:szCs w:val="24"/>
        </w:rPr>
        <w:t>biennium</w:t>
      </w:r>
      <w:proofErr w:type="gramEnd"/>
      <w:r w:rsidR="002C7528" w:rsidRPr="00E56FB1">
        <w:rPr>
          <w:sz w:val="24"/>
          <w:szCs w:val="24"/>
        </w:rPr>
        <w:t>.</w:t>
      </w:r>
    </w:p>
    <w:p w:rsidR="008856B2" w:rsidRPr="00E56FB1" w:rsidRDefault="008856B2" w:rsidP="008856B2">
      <w:pPr>
        <w:pStyle w:val="ListParagraph"/>
        <w:numPr>
          <w:ilvl w:val="0"/>
          <w:numId w:val="2"/>
        </w:numPr>
        <w:spacing w:after="0" w:line="360" w:lineRule="auto"/>
        <w:rPr>
          <w:sz w:val="24"/>
          <w:szCs w:val="24"/>
        </w:rPr>
      </w:pPr>
      <w:r w:rsidRPr="00E56FB1">
        <w:rPr>
          <w:sz w:val="24"/>
          <w:szCs w:val="24"/>
        </w:rPr>
        <w:t xml:space="preserve">The </w:t>
      </w:r>
      <w:r w:rsidR="00F32388" w:rsidRPr="00E56FB1">
        <w:rPr>
          <w:sz w:val="24"/>
          <w:szCs w:val="24"/>
        </w:rPr>
        <w:t>failure to</w:t>
      </w:r>
      <w:r w:rsidRPr="00E56FB1">
        <w:rPr>
          <w:sz w:val="24"/>
          <w:szCs w:val="24"/>
        </w:rPr>
        <w:t xml:space="preserve"> follow through on a commitment to provide a status report on </w:t>
      </w:r>
      <w:proofErr w:type="spellStart"/>
      <w:r w:rsidRPr="00E56FB1">
        <w:rPr>
          <w:sz w:val="24"/>
          <w:szCs w:val="24"/>
        </w:rPr>
        <w:t>Avista’s</w:t>
      </w:r>
      <w:proofErr w:type="spellEnd"/>
      <w:r w:rsidRPr="00E56FB1">
        <w:rPr>
          <w:sz w:val="24"/>
          <w:szCs w:val="24"/>
        </w:rPr>
        <w:t xml:space="preserve"> progress towards addressing the recommendations made by the external evaluator at the close of the previous biennium.    </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During the August 12</w:t>
      </w:r>
      <w:r w:rsidRPr="00E56FB1">
        <w:rPr>
          <w:sz w:val="24"/>
          <w:szCs w:val="24"/>
          <w:vertAlign w:val="superscript"/>
        </w:rPr>
        <w:t>th</w:t>
      </w:r>
      <w:r w:rsidRPr="00E56FB1">
        <w:rPr>
          <w:sz w:val="24"/>
          <w:szCs w:val="24"/>
        </w:rPr>
        <w:t xml:space="preserve">, 2016 </w:t>
      </w:r>
      <w:r w:rsidR="00F06A8D" w:rsidRPr="00E56FB1">
        <w:rPr>
          <w:sz w:val="24"/>
          <w:szCs w:val="24"/>
        </w:rPr>
        <w:t>O</w:t>
      </w:r>
      <w:r w:rsidRPr="00E56FB1">
        <w:rPr>
          <w:sz w:val="24"/>
          <w:szCs w:val="24"/>
        </w:rPr>
        <w:t xml:space="preserve">pen </w:t>
      </w:r>
      <w:r w:rsidR="00F06A8D" w:rsidRPr="00E56FB1">
        <w:rPr>
          <w:sz w:val="24"/>
          <w:szCs w:val="24"/>
        </w:rPr>
        <w:t>M</w:t>
      </w:r>
      <w:r w:rsidRPr="00E56FB1">
        <w:rPr>
          <w:sz w:val="24"/>
          <w:szCs w:val="24"/>
        </w:rPr>
        <w:t xml:space="preserve">eeting the Commission posed questions aimed at determining if these deficiencies were the result of misunderstandings or if they represented an ongoing pattern of behavior.  </w:t>
      </w:r>
      <w:r w:rsidR="006C4F21" w:rsidRPr="00E56FB1">
        <w:rPr>
          <w:sz w:val="24"/>
          <w:szCs w:val="24"/>
        </w:rPr>
        <w:t>At the time, t</w:t>
      </w:r>
      <w:r w:rsidR="002C7528" w:rsidRPr="00E56FB1">
        <w:rPr>
          <w:sz w:val="24"/>
          <w:szCs w:val="24"/>
        </w:rPr>
        <w:t xml:space="preserve">here was no discussion of the lack of </w:t>
      </w:r>
      <w:r w:rsidR="003928F1">
        <w:rPr>
          <w:sz w:val="24"/>
          <w:szCs w:val="24"/>
        </w:rPr>
        <w:t>communication to the Advisory Group</w:t>
      </w:r>
      <w:r w:rsidR="002C7528" w:rsidRPr="00E56FB1">
        <w:rPr>
          <w:sz w:val="24"/>
          <w:szCs w:val="24"/>
        </w:rPr>
        <w:t xml:space="preserve"> </w:t>
      </w:r>
      <w:r w:rsidR="003928F1">
        <w:rPr>
          <w:sz w:val="24"/>
          <w:szCs w:val="24"/>
        </w:rPr>
        <w:t>or the failure to provide an</w:t>
      </w:r>
      <w:r w:rsidR="00990225" w:rsidRPr="00E56FB1">
        <w:rPr>
          <w:sz w:val="24"/>
          <w:szCs w:val="24"/>
        </w:rPr>
        <w:t xml:space="preserve"> </w:t>
      </w:r>
      <w:r w:rsidR="00D72E82">
        <w:rPr>
          <w:sz w:val="24"/>
          <w:szCs w:val="24"/>
        </w:rPr>
        <w:t xml:space="preserve">opportunity for </w:t>
      </w:r>
      <w:r w:rsidR="00990225" w:rsidRPr="00E56FB1">
        <w:rPr>
          <w:sz w:val="24"/>
          <w:szCs w:val="24"/>
        </w:rPr>
        <w:t xml:space="preserve">Advisory Group discussion </w:t>
      </w:r>
      <w:r w:rsidR="002C7528" w:rsidRPr="00E56FB1">
        <w:rPr>
          <w:sz w:val="24"/>
          <w:szCs w:val="24"/>
        </w:rPr>
        <w:t>of the discontinuance of the use of RTF UES</w:t>
      </w:r>
      <w:r w:rsidR="0017085A" w:rsidRPr="00E56FB1">
        <w:rPr>
          <w:sz w:val="24"/>
          <w:szCs w:val="24"/>
        </w:rPr>
        <w:t xml:space="preserve"> values</w:t>
      </w:r>
      <w:r w:rsidR="002C7528" w:rsidRPr="00E56FB1">
        <w:rPr>
          <w:sz w:val="24"/>
          <w:szCs w:val="24"/>
        </w:rPr>
        <w:t xml:space="preserve">.  </w:t>
      </w:r>
      <w:r w:rsidRPr="00E56FB1">
        <w:rPr>
          <w:sz w:val="24"/>
          <w:szCs w:val="24"/>
        </w:rPr>
        <w:t>The frequency</w:t>
      </w:r>
      <w:r w:rsidR="00990225" w:rsidRPr="00E56FB1">
        <w:rPr>
          <w:sz w:val="24"/>
          <w:szCs w:val="24"/>
        </w:rPr>
        <w:t xml:space="preserve"> and</w:t>
      </w:r>
      <w:r w:rsidRPr="00E56FB1">
        <w:rPr>
          <w:sz w:val="24"/>
          <w:szCs w:val="24"/>
        </w:rPr>
        <w:t xml:space="preserve"> clarity </w:t>
      </w:r>
      <w:r w:rsidR="00990225" w:rsidRPr="00E56FB1">
        <w:rPr>
          <w:sz w:val="24"/>
          <w:szCs w:val="24"/>
        </w:rPr>
        <w:t>of the</w:t>
      </w:r>
      <w:r w:rsidRPr="00E56FB1">
        <w:rPr>
          <w:sz w:val="24"/>
          <w:szCs w:val="24"/>
        </w:rPr>
        <w:t xml:space="preserve"> Company</w:t>
      </w:r>
      <w:r w:rsidR="00990225" w:rsidRPr="00E56FB1">
        <w:rPr>
          <w:sz w:val="24"/>
          <w:szCs w:val="24"/>
        </w:rPr>
        <w:t>’s</w:t>
      </w:r>
      <w:r w:rsidRPr="00E56FB1">
        <w:rPr>
          <w:sz w:val="24"/>
          <w:szCs w:val="24"/>
        </w:rPr>
        <w:t xml:space="preserve"> affirmation of these commitments make it difficult to attribute these lapses in communication to </w:t>
      </w:r>
      <w:r w:rsidR="002C7528" w:rsidRPr="00E56FB1">
        <w:rPr>
          <w:sz w:val="24"/>
          <w:szCs w:val="24"/>
        </w:rPr>
        <w:t>mere</w:t>
      </w:r>
      <w:r w:rsidRPr="00E56FB1">
        <w:rPr>
          <w:sz w:val="24"/>
          <w:szCs w:val="24"/>
        </w:rPr>
        <w:t xml:space="preserve"> misunderstandings or forgetfulness.  This is particularly true given the number of issues that have arisen within the Company’s Biennial Conservation Report and the recognition that these occurred less than a year </w:t>
      </w:r>
      <w:r w:rsidR="003928F1">
        <w:rPr>
          <w:sz w:val="24"/>
          <w:szCs w:val="24"/>
        </w:rPr>
        <w:t>after</w:t>
      </w:r>
      <w:r w:rsidRPr="00E56FB1">
        <w:rPr>
          <w:sz w:val="24"/>
          <w:szCs w:val="24"/>
        </w:rPr>
        <w:t xml:space="preserve"> a deep discussion of the expectations in regard to future transparency and communication issues</w:t>
      </w:r>
      <w:r w:rsidR="002135C8" w:rsidRPr="00E56FB1">
        <w:rPr>
          <w:sz w:val="24"/>
          <w:szCs w:val="24"/>
        </w:rPr>
        <w:t xml:space="preserve"> within UE-151148</w:t>
      </w:r>
      <w:r w:rsidRPr="00E56FB1">
        <w:rPr>
          <w:sz w:val="24"/>
          <w:szCs w:val="24"/>
        </w:rPr>
        <w:t xml:space="preserve">.  </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These issues are</w:t>
      </w:r>
      <w:r w:rsidR="00990225" w:rsidRPr="00E56FB1">
        <w:rPr>
          <w:sz w:val="24"/>
          <w:szCs w:val="24"/>
        </w:rPr>
        <w:t xml:space="preserve"> illustrated through the review</w:t>
      </w:r>
      <w:r w:rsidRPr="00E56FB1">
        <w:rPr>
          <w:sz w:val="24"/>
          <w:szCs w:val="24"/>
        </w:rPr>
        <w:t xml:space="preserve"> to follow.  All references are based upon publically available documents, though critical elements of the findings were only discovered through </w:t>
      </w:r>
      <w:r w:rsidR="00990225" w:rsidRPr="00E56FB1">
        <w:rPr>
          <w:sz w:val="24"/>
          <w:szCs w:val="24"/>
        </w:rPr>
        <w:t xml:space="preserve">the </w:t>
      </w:r>
      <w:r w:rsidR="005E0518">
        <w:rPr>
          <w:sz w:val="24"/>
          <w:szCs w:val="24"/>
        </w:rPr>
        <w:t xml:space="preserve">review of </w:t>
      </w:r>
      <w:r w:rsidRPr="00E56FB1">
        <w:rPr>
          <w:sz w:val="24"/>
          <w:szCs w:val="24"/>
        </w:rPr>
        <w:t>confidential work papers</w:t>
      </w:r>
      <w:r w:rsidR="005E0518">
        <w:rPr>
          <w:sz w:val="24"/>
          <w:szCs w:val="24"/>
        </w:rPr>
        <w:t xml:space="preserve"> by Staff</w:t>
      </w:r>
      <w:r w:rsidRPr="00E56FB1">
        <w:rPr>
          <w:sz w:val="24"/>
          <w:szCs w:val="24"/>
        </w:rPr>
        <w:t>.</w:t>
      </w:r>
    </w:p>
    <w:p w:rsidR="008856B2" w:rsidRPr="00E56FB1" w:rsidRDefault="008856B2" w:rsidP="008856B2">
      <w:pPr>
        <w:spacing w:after="0" w:line="360" w:lineRule="auto"/>
        <w:rPr>
          <w:sz w:val="24"/>
          <w:szCs w:val="24"/>
        </w:rPr>
      </w:pPr>
    </w:p>
    <w:p w:rsidR="005B547D" w:rsidRDefault="005B547D" w:rsidP="008856B2">
      <w:pPr>
        <w:spacing w:after="0" w:line="360" w:lineRule="auto"/>
        <w:rPr>
          <w:sz w:val="24"/>
          <w:szCs w:val="24"/>
          <w:u w:val="single"/>
        </w:rPr>
      </w:pPr>
    </w:p>
    <w:p w:rsidR="008856B2" w:rsidRPr="00E56FB1" w:rsidRDefault="008856B2" w:rsidP="008856B2">
      <w:pPr>
        <w:spacing w:after="0" w:line="360" w:lineRule="auto"/>
        <w:rPr>
          <w:sz w:val="24"/>
          <w:szCs w:val="24"/>
        </w:rPr>
      </w:pPr>
      <w:r w:rsidRPr="00E56FB1">
        <w:rPr>
          <w:sz w:val="24"/>
          <w:szCs w:val="24"/>
        </w:rPr>
        <w:t xml:space="preserve">The Company’s first filing in the UE-132045 docket was the </w:t>
      </w:r>
      <w:r w:rsidR="006C4F21" w:rsidRPr="00E56FB1">
        <w:rPr>
          <w:sz w:val="24"/>
          <w:szCs w:val="24"/>
        </w:rPr>
        <w:t>Biennial Conservation Plan</w:t>
      </w:r>
      <w:r w:rsidRPr="00E56FB1">
        <w:rPr>
          <w:sz w:val="24"/>
          <w:szCs w:val="24"/>
        </w:rPr>
        <w:t xml:space="preserve"> outlining the process </w:t>
      </w:r>
      <w:r w:rsidR="006C4F21" w:rsidRPr="00E56FB1">
        <w:rPr>
          <w:sz w:val="24"/>
          <w:szCs w:val="24"/>
        </w:rPr>
        <w:t xml:space="preserve">leading to the proposed </w:t>
      </w:r>
      <w:r w:rsidRPr="00E56FB1">
        <w:rPr>
          <w:sz w:val="24"/>
          <w:szCs w:val="24"/>
        </w:rPr>
        <w:t xml:space="preserve">acquisition target </w:t>
      </w:r>
      <w:r w:rsidR="00054E4C">
        <w:rPr>
          <w:sz w:val="24"/>
          <w:szCs w:val="24"/>
        </w:rPr>
        <w:t xml:space="preserve">and </w:t>
      </w:r>
      <w:r w:rsidR="006C4F21" w:rsidRPr="00E56FB1">
        <w:rPr>
          <w:sz w:val="24"/>
          <w:szCs w:val="24"/>
        </w:rPr>
        <w:t xml:space="preserve">documenting several important </w:t>
      </w:r>
      <w:r w:rsidRPr="00E56FB1">
        <w:rPr>
          <w:sz w:val="24"/>
          <w:szCs w:val="24"/>
        </w:rPr>
        <w:lastRenderedPageBreak/>
        <w:t xml:space="preserve">commitments for the </w:t>
      </w:r>
      <w:r w:rsidR="002C7528" w:rsidRPr="00E56FB1">
        <w:rPr>
          <w:sz w:val="24"/>
          <w:szCs w:val="24"/>
        </w:rPr>
        <w:t>2014-2015</w:t>
      </w:r>
      <w:r w:rsidRPr="00E56FB1">
        <w:rPr>
          <w:sz w:val="24"/>
          <w:szCs w:val="24"/>
        </w:rPr>
        <w:t xml:space="preserve"> </w:t>
      </w:r>
      <w:proofErr w:type="gramStart"/>
      <w:r w:rsidRPr="00E56FB1">
        <w:rPr>
          <w:sz w:val="24"/>
          <w:szCs w:val="24"/>
        </w:rPr>
        <w:t>biennium</w:t>
      </w:r>
      <w:proofErr w:type="gramEnd"/>
      <w:r w:rsidRPr="00E56FB1">
        <w:rPr>
          <w:sz w:val="24"/>
          <w:szCs w:val="24"/>
        </w:rPr>
        <w:t>.  Within Appendix B of th</w:t>
      </w:r>
      <w:r w:rsidR="005517AA" w:rsidRPr="00E56FB1">
        <w:rPr>
          <w:sz w:val="24"/>
          <w:szCs w:val="24"/>
        </w:rPr>
        <w:t>e</w:t>
      </w:r>
      <w:r w:rsidRPr="00E56FB1">
        <w:rPr>
          <w:sz w:val="24"/>
          <w:szCs w:val="24"/>
        </w:rPr>
        <w:t xml:space="preserve"> BCP </w:t>
      </w:r>
      <w:r w:rsidR="005517AA" w:rsidRPr="00E56FB1">
        <w:rPr>
          <w:sz w:val="24"/>
          <w:szCs w:val="24"/>
        </w:rPr>
        <w:t>document</w:t>
      </w:r>
      <w:r w:rsidRPr="00E56FB1">
        <w:rPr>
          <w:sz w:val="24"/>
          <w:szCs w:val="24"/>
        </w:rPr>
        <w:t xml:space="preserve"> the Company noted that there were 12 meetings of the </w:t>
      </w:r>
      <w:r w:rsidR="005517AA" w:rsidRPr="00E56FB1">
        <w:rPr>
          <w:sz w:val="24"/>
          <w:szCs w:val="24"/>
        </w:rPr>
        <w:t xml:space="preserve">DSM </w:t>
      </w:r>
      <w:r w:rsidRPr="00E56FB1">
        <w:rPr>
          <w:sz w:val="24"/>
          <w:szCs w:val="24"/>
        </w:rPr>
        <w:t xml:space="preserve">Advisory Group </w:t>
      </w:r>
      <w:r w:rsidR="005517AA" w:rsidRPr="00E56FB1">
        <w:rPr>
          <w:sz w:val="24"/>
          <w:szCs w:val="24"/>
        </w:rPr>
        <w:t>as well as</w:t>
      </w:r>
      <w:r w:rsidRPr="00E56FB1">
        <w:rPr>
          <w:sz w:val="24"/>
          <w:szCs w:val="24"/>
        </w:rPr>
        <w:t xml:space="preserve"> two meetings with the </w:t>
      </w:r>
      <w:r w:rsidR="002C7528" w:rsidRPr="00E56FB1">
        <w:rPr>
          <w:sz w:val="24"/>
          <w:szCs w:val="24"/>
        </w:rPr>
        <w:t xml:space="preserve">Technical Advisory Committee established to oversee the </w:t>
      </w:r>
      <w:r w:rsidR="00CF4E00" w:rsidRPr="00E56FB1">
        <w:rPr>
          <w:sz w:val="24"/>
          <w:szCs w:val="24"/>
        </w:rPr>
        <w:t xml:space="preserve">then in-progress </w:t>
      </w:r>
      <w:r w:rsidR="002C7528" w:rsidRPr="00E56FB1">
        <w:rPr>
          <w:sz w:val="24"/>
          <w:szCs w:val="24"/>
        </w:rPr>
        <w:t>el</w:t>
      </w:r>
      <w:r w:rsidRPr="00E56FB1">
        <w:rPr>
          <w:sz w:val="24"/>
          <w:szCs w:val="24"/>
        </w:rPr>
        <w:t xml:space="preserve">ectric Integrated Resource Plan.  It is documented that five of these meetings contained specific </w:t>
      </w:r>
      <w:r w:rsidR="00CF4E00" w:rsidRPr="00E56FB1">
        <w:rPr>
          <w:sz w:val="24"/>
          <w:szCs w:val="24"/>
        </w:rPr>
        <w:t xml:space="preserve">and detailed </w:t>
      </w:r>
      <w:r w:rsidRPr="00E56FB1">
        <w:rPr>
          <w:sz w:val="24"/>
          <w:szCs w:val="24"/>
        </w:rPr>
        <w:t>discussions of the use of UES</w:t>
      </w:r>
      <w:r w:rsidR="0017085A" w:rsidRPr="00E56FB1">
        <w:rPr>
          <w:sz w:val="24"/>
          <w:szCs w:val="24"/>
        </w:rPr>
        <w:t xml:space="preserve"> values</w:t>
      </w:r>
      <w:r w:rsidRPr="00E56FB1">
        <w:rPr>
          <w:sz w:val="24"/>
          <w:szCs w:val="24"/>
        </w:rPr>
        <w:t xml:space="preserve"> for the following biennium and the development of a Technical Reference Manual (TRM) to document the UES</w:t>
      </w:r>
      <w:r w:rsidR="0017085A" w:rsidRPr="00E56FB1">
        <w:rPr>
          <w:sz w:val="24"/>
          <w:szCs w:val="24"/>
        </w:rPr>
        <w:t xml:space="preserve"> values</w:t>
      </w:r>
      <w:r w:rsidRPr="00E56FB1">
        <w:rPr>
          <w:sz w:val="24"/>
          <w:szCs w:val="24"/>
        </w:rPr>
        <w:t xml:space="preserve"> of individual measures</w:t>
      </w:r>
      <w:r w:rsidR="00306EDF">
        <w:rPr>
          <w:sz w:val="24"/>
          <w:szCs w:val="24"/>
        </w:rPr>
        <w:t>.</w:t>
      </w:r>
      <w:r w:rsidRPr="00E56FB1">
        <w:rPr>
          <w:sz w:val="24"/>
          <w:szCs w:val="24"/>
          <w:vertAlign w:val="superscript"/>
        </w:rPr>
        <w:t>2</w:t>
      </w:r>
    </w:p>
    <w:p w:rsidR="008856B2" w:rsidRPr="00E56FB1" w:rsidRDefault="008856B2" w:rsidP="008856B2">
      <w:pPr>
        <w:spacing w:after="0" w:line="360" w:lineRule="auto"/>
        <w:rPr>
          <w:sz w:val="24"/>
          <w:szCs w:val="24"/>
        </w:rPr>
      </w:pPr>
    </w:p>
    <w:p w:rsidR="002C7528" w:rsidRPr="00E56FB1" w:rsidRDefault="008856B2" w:rsidP="008856B2">
      <w:pPr>
        <w:spacing w:after="0" w:line="360" w:lineRule="auto"/>
        <w:rPr>
          <w:sz w:val="24"/>
          <w:szCs w:val="24"/>
        </w:rPr>
      </w:pPr>
      <w:r w:rsidRPr="00E56FB1">
        <w:rPr>
          <w:sz w:val="24"/>
          <w:szCs w:val="24"/>
        </w:rPr>
        <w:t xml:space="preserve">Additionally the Company filed an Appendix C to the BCP, </w:t>
      </w:r>
      <w:r w:rsidR="002C7528" w:rsidRPr="00E56FB1">
        <w:rPr>
          <w:sz w:val="24"/>
          <w:szCs w:val="24"/>
        </w:rPr>
        <w:t>filename</w:t>
      </w:r>
      <w:r w:rsidRPr="00E56FB1">
        <w:rPr>
          <w:sz w:val="24"/>
          <w:szCs w:val="24"/>
        </w:rPr>
        <w:t xml:space="preserve"> “Fixed UES list for 2014-2015 Avista BCP”</w:t>
      </w:r>
      <w:r w:rsidR="00306EDF">
        <w:rPr>
          <w:sz w:val="24"/>
          <w:szCs w:val="24"/>
        </w:rPr>
        <w:t>.</w:t>
      </w:r>
      <w:r w:rsidRPr="00E56FB1">
        <w:rPr>
          <w:sz w:val="24"/>
          <w:szCs w:val="24"/>
          <w:vertAlign w:val="superscript"/>
        </w:rPr>
        <w:t>3</w:t>
      </w:r>
      <w:r w:rsidRPr="00E56FB1">
        <w:rPr>
          <w:sz w:val="24"/>
          <w:szCs w:val="24"/>
        </w:rPr>
        <w:t xml:space="preserve">  The first sentence of th</w:t>
      </w:r>
      <w:r w:rsidR="00054E4C">
        <w:rPr>
          <w:sz w:val="24"/>
          <w:szCs w:val="24"/>
        </w:rPr>
        <w:t>at</w:t>
      </w:r>
      <w:r w:rsidRPr="00E56FB1">
        <w:rPr>
          <w:sz w:val="24"/>
          <w:szCs w:val="24"/>
        </w:rPr>
        <w:t xml:space="preserve"> </w:t>
      </w:r>
      <w:r w:rsidR="002135C8" w:rsidRPr="00E56FB1">
        <w:rPr>
          <w:sz w:val="24"/>
          <w:szCs w:val="24"/>
        </w:rPr>
        <w:t>A</w:t>
      </w:r>
      <w:r w:rsidRPr="00E56FB1">
        <w:rPr>
          <w:sz w:val="24"/>
          <w:szCs w:val="24"/>
        </w:rPr>
        <w:t>ppendix states that “Avista references the Regional Technical Forum as its primary resource for unit energy savings (UES) values”</w:t>
      </w:r>
      <w:r w:rsidRPr="00E56FB1">
        <w:rPr>
          <w:sz w:val="24"/>
          <w:szCs w:val="24"/>
          <w:vertAlign w:val="superscript"/>
        </w:rPr>
        <w:t>4</w:t>
      </w:r>
      <w:r w:rsidRPr="00E56FB1">
        <w:rPr>
          <w:sz w:val="24"/>
          <w:szCs w:val="24"/>
        </w:rPr>
        <w:t xml:space="preserve"> and goes on to state that “These values will remain fixed …”</w:t>
      </w:r>
      <w:r w:rsidR="00306EDF">
        <w:rPr>
          <w:sz w:val="24"/>
          <w:szCs w:val="24"/>
        </w:rPr>
        <w:t>.</w:t>
      </w:r>
      <w:r w:rsidRPr="00E56FB1">
        <w:rPr>
          <w:sz w:val="24"/>
          <w:szCs w:val="24"/>
          <w:vertAlign w:val="superscript"/>
        </w:rPr>
        <w:t>5</w:t>
      </w:r>
      <w:r w:rsidRPr="00E56FB1">
        <w:rPr>
          <w:sz w:val="24"/>
          <w:szCs w:val="24"/>
        </w:rPr>
        <w:t xml:space="preserve">  </w:t>
      </w:r>
    </w:p>
    <w:p w:rsidR="00226479" w:rsidRPr="00E56FB1" w:rsidRDefault="00226479"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Clearly there was a robust and well-documented discussion </w:t>
      </w:r>
      <w:r w:rsidR="005517AA" w:rsidRPr="00E56FB1">
        <w:rPr>
          <w:sz w:val="24"/>
          <w:szCs w:val="24"/>
        </w:rPr>
        <w:t xml:space="preserve">leading to a clear </w:t>
      </w:r>
      <w:r w:rsidR="00D72E82">
        <w:rPr>
          <w:sz w:val="24"/>
          <w:szCs w:val="24"/>
        </w:rPr>
        <w:t>mutual understanding</w:t>
      </w:r>
      <w:r w:rsidR="005517AA" w:rsidRPr="00E56FB1">
        <w:rPr>
          <w:sz w:val="24"/>
          <w:szCs w:val="24"/>
        </w:rPr>
        <w:t xml:space="preserve"> </w:t>
      </w:r>
      <w:r w:rsidRPr="00E56FB1">
        <w:rPr>
          <w:sz w:val="24"/>
          <w:szCs w:val="24"/>
        </w:rPr>
        <w:t>regarding the use of RTF UES</w:t>
      </w:r>
      <w:r w:rsidR="0017085A" w:rsidRPr="00E56FB1">
        <w:rPr>
          <w:sz w:val="24"/>
          <w:szCs w:val="24"/>
        </w:rPr>
        <w:t xml:space="preserve"> values</w:t>
      </w:r>
      <w:r w:rsidRPr="00E56FB1">
        <w:rPr>
          <w:sz w:val="24"/>
          <w:szCs w:val="24"/>
        </w:rPr>
        <w:t xml:space="preserve"> within the evaluation of the </w:t>
      </w:r>
      <w:r w:rsidR="002C7528" w:rsidRPr="00E56FB1">
        <w:rPr>
          <w:sz w:val="24"/>
          <w:szCs w:val="24"/>
        </w:rPr>
        <w:t xml:space="preserve">2014-2015 </w:t>
      </w:r>
      <w:proofErr w:type="gramStart"/>
      <w:r w:rsidR="002C7528" w:rsidRPr="00E56FB1">
        <w:rPr>
          <w:sz w:val="24"/>
          <w:szCs w:val="24"/>
        </w:rPr>
        <w:t>biennium</w:t>
      </w:r>
      <w:proofErr w:type="gramEnd"/>
      <w:r w:rsidRPr="00E56FB1">
        <w:rPr>
          <w:sz w:val="24"/>
          <w:szCs w:val="24"/>
        </w:rPr>
        <w:t>.</w:t>
      </w:r>
      <w:r w:rsidR="00990225" w:rsidRPr="00E56FB1">
        <w:rPr>
          <w:sz w:val="24"/>
          <w:szCs w:val="24"/>
        </w:rPr>
        <w:t xml:space="preserve">  </w:t>
      </w:r>
    </w:p>
    <w:p w:rsidR="008856B2" w:rsidRPr="00E56FB1" w:rsidRDefault="008856B2" w:rsidP="008856B2">
      <w:pPr>
        <w:spacing w:after="0" w:line="360" w:lineRule="auto"/>
        <w:rPr>
          <w:sz w:val="24"/>
          <w:szCs w:val="24"/>
        </w:rPr>
      </w:pPr>
    </w:p>
    <w:p w:rsidR="002135C8" w:rsidRPr="00E56FB1" w:rsidRDefault="002135C8" w:rsidP="002135C8">
      <w:pPr>
        <w:spacing w:after="0" w:line="360" w:lineRule="auto"/>
        <w:rPr>
          <w:sz w:val="24"/>
          <w:szCs w:val="24"/>
        </w:rPr>
      </w:pPr>
      <w:r w:rsidRPr="00E56FB1">
        <w:rPr>
          <w:sz w:val="24"/>
          <w:szCs w:val="24"/>
        </w:rPr>
        <w:t>The</w:t>
      </w:r>
      <w:r w:rsidR="00054E4C">
        <w:rPr>
          <w:sz w:val="24"/>
          <w:szCs w:val="24"/>
        </w:rPr>
        <w:t>se</w:t>
      </w:r>
      <w:r w:rsidRPr="00E56FB1">
        <w:rPr>
          <w:sz w:val="24"/>
          <w:szCs w:val="24"/>
        </w:rPr>
        <w:t xml:space="preserve"> commitments regarding the application</w:t>
      </w:r>
      <w:r w:rsidR="00D72E82">
        <w:rPr>
          <w:sz w:val="24"/>
          <w:szCs w:val="24"/>
        </w:rPr>
        <w:t xml:space="preserve"> of RTF UES values were </w:t>
      </w:r>
      <w:r w:rsidRPr="00E56FB1">
        <w:rPr>
          <w:sz w:val="24"/>
          <w:szCs w:val="24"/>
        </w:rPr>
        <w:t xml:space="preserve">communicated to </w:t>
      </w:r>
      <w:proofErr w:type="spellStart"/>
      <w:r w:rsidRPr="00E56FB1">
        <w:rPr>
          <w:sz w:val="24"/>
          <w:szCs w:val="24"/>
        </w:rPr>
        <w:t>Avista’s</w:t>
      </w:r>
      <w:proofErr w:type="spellEnd"/>
      <w:r w:rsidRPr="00E56FB1">
        <w:rPr>
          <w:sz w:val="24"/>
          <w:szCs w:val="24"/>
        </w:rPr>
        <w:t xml:space="preserve"> external evaluation team through interviews completed in February 2015</w:t>
      </w:r>
      <w:r w:rsidR="00306EDF">
        <w:rPr>
          <w:sz w:val="24"/>
          <w:szCs w:val="24"/>
        </w:rPr>
        <w:t>.</w:t>
      </w:r>
      <w:r w:rsidR="001C3626" w:rsidRPr="00E56FB1">
        <w:rPr>
          <w:sz w:val="24"/>
          <w:szCs w:val="24"/>
          <w:vertAlign w:val="superscript"/>
        </w:rPr>
        <w:t>6</w:t>
      </w:r>
    </w:p>
    <w:p w:rsidR="002135C8" w:rsidRPr="00E56FB1" w:rsidRDefault="002135C8"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The Company submitted </w:t>
      </w:r>
      <w:r w:rsidR="00322753" w:rsidRPr="00E56FB1">
        <w:rPr>
          <w:sz w:val="24"/>
          <w:szCs w:val="24"/>
        </w:rPr>
        <w:t>an</w:t>
      </w:r>
      <w:r w:rsidRPr="00E56FB1">
        <w:rPr>
          <w:sz w:val="24"/>
          <w:szCs w:val="24"/>
        </w:rPr>
        <w:t xml:space="preserve"> impact evaluation performed by Nexant as Appendix A to the Biennial Conservation Report (BCR).  A quick word search of the words ‘RTF’ and ‘UES’ lead to 23 paragraphs discussing the application of the RTF UES</w:t>
      </w:r>
      <w:r w:rsidR="0017085A" w:rsidRPr="00E56FB1">
        <w:rPr>
          <w:sz w:val="24"/>
          <w:szCs w:val="24"/>
        </w:rPr>
        <w:t xml:space="preserve"> values</w:t>
      </w:r>
      <w:r w:rsidRPr="00E56FB1">
        <w:rPr>
          <w:sz w:val="24"/>
          <w:szCs w:val="24"/>
        </w:rPr>
        <w:t xml:space="preserve"> within the </w:t>
      </w:r>
      <w:proofErr w:type="gramStart"/>
      <w:r w:rsidRPr="00E56FB1">
        <w:rPr>
          <w:sz w:val="24"/>
          <w:szCs w:val="24"/>
        </w:rPr>
        <w:t>evaluation</w:t>
      </w:r>
      <w:r w:rsidR="00306EDF">
        <w:rPr>
          <w:sz w:val="24"/>
          <w:szCs w:val="24"/>
        </w:rPr>
        <w:t>.</w:t>
      </w:r>
      <w:r w:rsidR="001C3626" w:rsidRPr="00E56FB1">
        <w:rPr>
          <w:sz w:val="24"/>
          <w:szCs w:val="24"/>
          <w:vertAlign w:val="superscript"/>
        </w:rPr>
        <w:t>7</w:t>
      </w:r>
      <w:r w:rsidRPr="00E56FB1">
        <w:rPr>
          <w:sz w:val="24"/>
          <w:szCs w:val="24"/>
        </w:rPr>
        <w:t xml:space="preserve">  </w:t>
      </w:r>
      <w:r w:rsidR="00990225" w:rsidRPr="00E56FB1">
        <w:rPr>
          <w:sz w:val="24"/>
          <w:szCs w:val="24"/>
        </w:rPr>
        <w:t>A</w:t>
      </w:r>
      <w:proofErr w:type="gramEnd"/>
      <w:r w:rsidRPr="00E56FB1">
        <w:rPr>
          <w:sz w:val="24"/>
          <w:szCs w:val="24"/>
        </w:rPr>
        <w:t xml:space="preserve"> few of these statements, each from a different paragraph, reflect both the results of the Nexant review of </w:t>
      </w:r>
      <w:proofErr w:type="spellStart"/>
      <w:r w:rsidRPr="00E56FB1">
        <w:rPr>
          <w:sz w:val="24"/>
          <w:szCs w:val="24"/>
        </w:rPr>
        <w:t>Avista’s</w:t>
      </w:r>
      <w:proofErr w:type="spellEnd"/>
      <w:r w:rsidRPr="00E56FB1">
        <w:rPr>
          <w:sz w:val="24"/>
          <w:szCs w:val="24"/>
        </w:rPr>
        <w:t xml:space="preserve"> preliminary claim as well as how the Nexant evaluation team proceeded towards a calculation of verified acquisition.</w:t>
      </w:r>
    </w:p>
    <w:p w:rsidR="008856B2" w:rsidRPr="00E56FB1" w:rsidRDefault="008856B2" w:rsidP="008856B2">
      <w:pPr>
        <w:spacing w:after="0" w:line="360" w:lineRule="auto"/>
        <w:rPr>
          <w:sz w:val="24"/>
          <w:szCs w:val="24"/>
        </w:rPr>
      </w:pPr>
    </w:p>
    <w:p w:rsidR="008856B2" w:rsidRPr="00E56FB1" w:rsidRDefault="008856B2" w:rsidP="008856B2">
      <w:pPr>
        <w:pStyle w:val="ListParagraph"/>
        <w:numPr>
          <w:ilvl w:val="0"/>
          <w:numId w:val="3"/>
        </w:numPr>
        <w:spacing w:after="0" w:line="360" w:lineRule="auto"/>
        <w:rPr>
          <w:sz w:val="24"/>
          <w:szCs w:val="24"/>
        </w:rPr>
      </w:pPr>
      <w:r w:rsidRPr="00E56FB1">
        <w:rPr>
          <w:sz w:val="24"/>
          <w:szCs w:val="24"/>
        </w:rPr>
        <w:t xml:space="preserve"> “For prescriptive projects the evaluation team determined that RTF deemed savings values were being applied in most cases”</w:t>
      </w:r>
      <w:r w:rsidR="00306EDF">
        <w:rPr>
          <w:sz w:val="24"/>
          <w:szCs w:val="24"/>
        </w:rPr>
        <w:t>.</w:t>
      </w:r>
      <w:r w:rsidR="001C3626" w:rsidRPr="00E56FB1">
        <w:rPr>
          <w:sz w:val="24"/>
          <w:szCs w:val="24"/>
          <w:vertAlign w:val="superscript"/>
        </w:rPr>
        <w:t>8</w:t>
      </w:r>
    </w:p>
    <w:p w:rsidR="008856B2" w:rsidRPr="00E56FB1" w:rsidRDefault="008856B2" w:rsidP="008856B2">
      <w:pPr>
        <w:pStyle w:val="ListParagraph"/>
        <w:numPr>
          <w:ilvl w:val="0"/>
          <w:numId w:val="3"/>
        </w:numPr>
        <w:spacing w:after="0" w:line="360" w:lineRule="auto"/>
        <w:rPr>
          <w:sz w:val="24"/>
          <w:szCs w:val="24"/>
        </w:rPr>
      </w:pPr>
      <w:r w:rsidRPr="00E56FB1">
        <w:rPr>
          <w:sz w:val="24"/>
          <w:szCs w:val="24"/>
        </w:rPr>
        <w:lastRenderedPageBreak/>
        <w:t>“In cases where the measure had an approved RTF UES value, the evaluation team’s effort focused on verifying the quality and quantity of installation to apply the RTF UES values to”</w:t>
      </w:r>
      <w:r w:rsidR="00306EDF">
        <w:rPr>
          <w:sz w:val="24"/>
          <w:szCs w:val="24"/>
        </w:rPr>
        <w:t>.</w:t>
      </w:r>
      <w:r w:rsidR="001C3626" w:rsidRPr="00E56FB1">
        <w:rPr>
          <w:sz w:val="24"/>
          <w:szCs w:val="24"/>
          <w:vertAlign w:val="superscript"/>
        </w:rPr>
        <w:t>9</w:t>
      </w:r>
    </w:p>
    <w:p w:rsidR="008856B2" w:rsidRPr="00E56FB1" w:rsidRDefault="008856B2" w:rsidP="008856B2">
      <w:pPr>
        <w:pStyle w:val="ListParagraph"/>
        <w:numPr>
          <w:ilvl w:val="0"/>
          <w:numId w:val="3"/>
        </w:numPr>
        <w:spacing w:after="0" w:line="360" w:lineRule="auto"/>
        <w:rPr>
          <w:sz w:val="24"/>
          <w:szCs w:val="24"/>
        </w:rPr>
      </w:pPr>
      <w:r w:rsidRPr="00E56FB1">
        <w:rPr>
          <w:sz w:val="24"/>
          <w:szCs w:val="24"/>
        </w:rPr>
        <w:t>“The evaluation team applied deemed energy savings as published by the Regional Technical Forum (RTF) where appropriate”</w:t>
      </w:r>
      <w:r w:rsidR="00306EDF">
        <w:rPr>
          <w:sz w:val="24"/>
          <w:szCs w:val="24"/>
        </w:rPr>
        <w:t>.</w:t>
      </w:r>
      <w:r w:rsidR="001C3626" w:rsidRPr="00E56FB1">
        <w:rPr>
          <w:sz w:val="24"/>
          <w:szCs w:val="24"/>
          <w:vertAlign w:val="superscript"/>
        </w:rPr>
        <w:t>10</w:t>
      </w:r>
    </w:p>
    <w:p w:rsidR="008856B2" w:rsidRPr="00E56FB1" w:rsidRDefault="008856B2" w:rsidP="008856B2">
      <w:pPr>
        <w:pStyle w:val="ListParagraph"/>
        <w:numPr>
          <w:ilvl w:val="0"/>
          <w:numId w:val="3"/>
        </w:numPr>
        <w:spacing w:after="0" w:line="360" w:lineRule="auto"/>
        <w:rPr>
          <w:sz w:val="24"/>
          <w:szCs w:val="24"/>
        </w:rPr>
      </w:pPr>
      <w:r w:rsidRPr="00E56FB1">
        <w:rPr>
          <w:sz w:val="24"/>
          <w:szCs w:val="24"/>
        </w:rPr>
        <w:t>“… the evaluation team reviewed the relevant RTF workbooks and the reported measure savings, verifying eligibility and appropriate application of RTF savings values for each project in the sample”</w:t>
      </w:r>
      <w:r w:rsidR="00306EDF">
        <w:rPr>
          <w:sz w:val="24"/>
          <w:szCs w:val="24"/>
        </w:rPr>
        <w:t>.</w:t>
      </w:r>
      <w:r w:rsidRPr="00E56FB1">
        <w:rPr>
          <w:sz w:val="24"/>
          <w:szCs w:val="24"/>
          <w:vertAlign w:val="superscript"/>
        </w:rPr>
        <w:t>1</w:t>
      </w:r>
      <w:r w:rsidR="001C3626" w:rsidRPr="00E56FB1">
        <w:rPr>
          <w:sz w:val="24"/>
          <w:szCs w:val="24"/>
          <w:vertAlign w:val="superscript"/>
        </w:rPr>
        <w:t>1</w:t>
      </w:r>
    </w:p>
    <w:p w:rsidR="008856B2" w:rsidRPr="00E56FB1" w:rsidRDefault="008856B2" w:rsidP="008856B2">
      <w:pPr>
        <w:pStyle w:val="ListParagraph"/>
        <w:numPr>
          <w:ilvl w:val="0"/>
          <w:numId w:val="3"/>
        </w:numPr>
        <w:spacing w:after="0" w:line="360" w:lineRule="auto"/>
        <w:rPr>
          <w:sz w:val="24"/>
          <w:szCs w:val="24"/>
        </w:rPr>
      </w:pPr>
      <w:r w:rsidRPr="00E56FB1">
        <w:rPr>
          <w:sz w:val="24"/>
          <w:szCs w:val="24"/>
        </w:rPr>
        <w:t>“The evaluation team determined that RTF deemed savings values were being applied in most cases”</w:t>
      </w:r>
      <w:r w:rsidR="00306EDF">
        <w:rPr>
          <w:sz w:val="24"/>
          <w:szCs w:val="24"/>
        </w:rPr>
        <w:t>.</w:t>
      </w:r>
      <w:r w:rsidRPr="00E56FB1">
        <w:rPr>
          <w:sz w:val="24"/>
          <w:szCs w:val="24"/>
          <w:vertAlign w:val="superscript"/>
        </w:rPr>
        <w:t>1</w:t>
      </w:r>
      <w:r w:rsidR="001C3626" w:rsidRPr="00E56FB1">
        <w:rPr>
          <w:sz w:val="24"/>
          <w:szCs w:val="24"/>
          <w:vertAlign w:val="superscript"/>
        </w:rPr>
        <w:t>2</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Based upon the aforementioned </w:t>
      </w:r>
      <w:r w:rsidR="00D72E82">
        <w:rPr>
          <w:sz w:val="24"/>
          <w:szCs w:val="24"/>
        </w:rPr>
        <w:t xml:space="preserve">well-documented </w:t>
      </w:r>
      <w:r w:rsidRPr="00E56FB1">
        <w:rPr>
          <w:sz w:val="24"/>
          <w:szCs w:val="24"/>
        </w:rPr>
        <w:t xml:space="preserve">commitment by Avista within their BCP and the language </w:t>
      </w:r>
      <w:r w:rsidR="00322753" w:rsidRPr="00E56FB1">
        <w:rPr>
          <w:sz w:val="24"/>
          <w:szCs w:val="24"/>
        </w:rPr>
        <w:t xml:space="preserve">within the Nexant impact evaluation filed along with the Company’s </w:t>
      </w:r>
      <w:r w:rsidRPr="00E56FB1">
        <w:rPr>
          <w:sz w:val="24"/>
          <w:szCs w:val="24"/>
        </w:rPr>
        <w:t xml:space="preserve">BCR it would be </w:t>
      </w:r>
      <w:r w:rsidR="005517AA" w:rsidRPr="00E56FB1">
        <w:rPr>
          <w:sz w:val="24"/>
          <w:szCs w:val="24"/>
        </w:rPr>
        <w:t>reasonable</w:t>
      </w:r>
      <w:r w:rsidRPr="00E56FB1">
        <w:rPr>
          <w:sz w:val="24"/>
          <w:szCs w:val="24"/>
        </w:rPr>
        <w:t xml:space="preserve"> to conclude that the RTF UES</w:t>
      </w:r>
      <w:r w:rsidR="0017085A" w:rsidRPr="00E56FB1">
        <w:rPr>
          <w:sz w:val="24"/>
          <w:szCs w:val="24"/>
        </w:rPr>
        <w:t xml:space="preserve"> values</w:t>
      </w:r>
      <w:r w:rsidRPr="00E56FB1">
        <w:rPr>
          <w:sz w:val="24"/>
          <w:szCs w:val="24"/>
        </w:rPr>
        <w:t xml:space="preserve"> were applied as originally agreed.  </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It was not until Staff found that the Company had chosen</w:t>
      </w:r>
      <w:r w:rsidR="00F54603" w:rsidRPr="00E56FB1">
        <w:rPr>
          <w:sz w:val="24"/>
          <w:szCs w:val="24"/>
        </w:rPr>
        <w:t>, in the words of Staff,</w:t>
      </w:r>
      <w:r w:rsidRPr="00E56FB1">
        <w:rPr>
          <w:sz w:val="24"/>
          <w:szCs w:val="24"/>
        </w:rPr>
        <w:t xml:space="preserve"> </w:t>
      </w:r>
      <w:r w:rsidR="00F54603" w:rsidRPr="00E56FB1">
        <w:rPr>
          <w:sz w:val="24"/>
          <w:szCs w:val="24"/>
        </w:rPr>
        <w:t xml:space="preserve">to </w:t>
      </w:r>
      <w:r w:rsidRPr="00E56FB1">
        <w:rPr>
          <w:sz w:val="24"/>
          <w:szCs w:val="24"/>
        </w:rPr>
        <w:t>“… abandon its position with regard to using locked UES values for reporting savings this biennium”</w:t>
      </w:r>
      <w:r w:rsidRPr="00E56FB1">
        <w:rPr>
          <w:sz w:val="24"/>
          <w:szCs w:val="24"/>
          <w:vertAlign w:val="superscript"/>
        </w:rPr>
        <w:t>1</w:t>
      </w:r>
      <w:r w:rsidR="001C3626" w:rsidRPr="00E56FB1">
        <w:rPr>
          <w:sz w:val="24"/>
          <w:szCs w:val="24"/>
          <w:vertAlign w:val="superscript"/>
        </w:rPr>
        <w:t>3</w:t>
      </w:r>
      <w:r w:rsidRPr="00E56FB1">
        <w:rPr>
          <w:sz w:val="24"/>
          <w:szCs w:val="24"/>
        </w:rPr>
        <w:t xml:space="preserve"> despite the full awareness that this commitment had been “… memorialized in multiple documents entered into the record during the target setting process”</w:t>
      </w:r>
      <w:r w:rsidR="001C3626" w:rsidRPr="00E56FB1">
        <w:rPr>
          <w:sz w:val="24"/>
          <w:szCs w:val="24"/>
          <w:vertAlign w:val="superscript"/>
        </w:rPr>
        <w:t>14</w:t>
      </w:r>
      <w:r w:rsidRPr="00E56FB1">
        <w:rPr>
          <w:sz w:val="24"/>
          <w:szCs w:val="24"/>
        </w:rPr>
        <w:t xml:space="preserve"> that it became known that this core element of the evaluation methodology had</w:t>
      </w:r>
      <w:r w:rsidRPr="00656487">
        <w:rPr>
          <w:sz w:val="24"/>
          <w:szCs w:val="24"/>
        </w:rPr>
        <w:t xml:space="preserve"> not</w:t>
      </w:r>
      <w:r w:rsidRPr="00E56FB1">
        <w:rPr>
          <w:sz w:val="24"/>
          <w:szCs w:val="24"/>
        </w:rPr>
        <w:t xml:space="preserve"> been applied as agreed to within the</w:t>
      </w:r>
      <w:r w:rsidR="00990225" w:rsidRPr="00E56FB1">
        <w:rPr>
          <w:sz w:val="24"/>
          <w:szCs w:val="24"/>
        </w:rPr>
        <w:t xml:space="preserve"> BCP and implied within the BCR.</w:t>
      </w:r>
    </w:p>
    <w:p w:rsidR="00322753" w:rsidRPr="00E56FB1" w:rsidRDefault="00322753" w:rsidP="008856B2">
      <w:pPr>
        <w:spacing w:after="0" w:line="360" w:lineRule="auto"/>
        <w:rPr>
          <w:sz w:val="24"/>
          <w:szCs w:val="24"/>
        </w:rPr>
      </w:pPr>
    </w:p>
    <w:p w:rsidR="00322753" w:rsidRPr="00E56FB1" w:rsidRDefault="00322753" w:rsidP="008856B2">
      <w:pPr>
        <w:spacing w:after="0" w:line="360" w:lineRule="auto"/>
        <w:rPr>
          <w:sz w:val="24"/>
          <w:szCs w:val="24"/>
        </w:rPr>
      </w:pPr>
      <w:r w:rsidRPr="00E56FB1">
        <w:rPr>
          <w:sz w:val="24"/>
          <w:szCs w:val="24"/>
        </w:rPr>
        <w:t xml:space="preserve">Since </w:t>
      </w:r>
      <w:r w:rsidR="00C57731" w:rsidRPr="00E56FB1">
        <w:rPr>
          <w:sz w:val="24"/>
          <w:szCs w:val="24"/>
        </w:rPr>
        <w:t>this discovery by Staff</w:t>
      </w:r>
      <w:r w:rsidRPr="00E56FB1">
        <w:rPr>
          <w:sz w:val="24"/>
          <w:szCs w:val="24"/>
        </w:rPr>
        <w:t xml:space="preserve">, the Company has agreed to recalculate their acquisition </w:t>
      </w:r>
      <w:r w:rsidR="005E0518">
        <w:rPr>
          <w:sz w:val="24"/>
          <w:szCs w:val="24"/>
        </w:rPr>
        <w:t>utilizing</w:t>
      </w:r>
      <w:r w:rsidRPr="00E56FB1">
        <w:rPr>
          <w:sz w:val="24"/>
          <w:szCs w:val="24"/>
        </w:rPr>
        <w:t xml:space="preserve"> the previously agreed </w:t>
      </w:r>
      <w:r w:rsidR="00C57731" w:rsidRPr="00E56FB1">
        <w:rPr>
          <w:sz w:val="24"/>
          <w:szCs w:val="24"/>
        </w:rPr>
        <w:t xml:space="preserve">upon </w:t>
      </w:r>
      <w:r w:rsidR="005E0518">
        <w:rPr>
          <w:sz w:val="24"/>
          <w:szCs w:val="24"/>
        </w:rPr>
        <w:t>methodology</w:t>
      </w:r>
      <w:r w:rsidRPr="00E56FB1">
        <w:rPr>
          <w:sz w:val="24"/>
          <w:szCs w:val="24"/>
        </w:rPr>
        <w:t xml:space="preserve">.  </w:t>
      </w:r>
      <w:r w:rsidR="00D72E82">
        <w:rPr>
          <w:sz w:val="24"/>
          <w:szCs w:val="24"/>
        </w:rPr>
        <w:t>These calculations are not available to the public</w:t>
      </w:r>
      <w:r w:rsidR="00656487">
        <w:rPr>
          <w:sz w:val="24"/>
          <w:szCs w:val="24"/>
        </w:rPr>
        <w:t xml:space="preserve"> but are </w:t>
      </w:r>
      <w:r w:rsidR="00D72E82">
        <w:rPr>
          <w:sz w:val="24"/>
          <w:szCs w:val="24"/>
        </w:rPr>
        <w:t xml:space="preserve">currently under review by </w:t>
      </w:r>
      <w:r w:rsidRPr="00E56FB1">
        <w:rPr>
          <w:sz w:val="24"/>
          <w:szCs w:val="24"/>
        </w:rPr>
        <w:t xml:space="preserve">Staff.  However, the objectionable issue is </w:t>
      </w:r>
      <w:r w:rsidR="005517AA" w:rsidRPr="00E56FB1">
        <w:rPr>
          <w:sz w:val="24"/>
          <w:szCs w:val="24"/>
        </w:rPr>
        <w:t xml:space="preserve">by no means limited </w:t>
      </w:r>
      <w:r w:rsidR="00F54603" w:rsidRPr="00E56FB1">
        <w:rPr>
          <w:sz w:val="24"/>
          <w:szCs w:val="24"/>
        </w:rPr>
        <w:t xml:space="preserve">to </w:t>
      </w:r>
      <w:r w:rsidRPr="00E56FB1">
        <w:rPr>
          <w:sz w:val="24"/>
          <w:szCs w:val="24"/>
        </w:rPr>
        <w:t xml:space="preserve">the </w:t>
      </w:r>
      <w:r w:rsidR="005517AA" w:rsidRPr="00E56FB1">
        <w:rPr>
          <w:sz w:val="24"/>
          <w:szCs w:val="24"/>
        </w:rPr>
        <w:t xml:space="preserve">calculation of </w:t>
      </w:r>
      <w:r w:rsidR="00656487">
        <w:rPr>
          <w:sz w:val="24"/>
          <w:szCs w:val="24"/>
        </w:rPr>
        <w:t xml:space="preserve">the </w:t>
      </w:r>
      <w:r w:rsidR="005517AA" w:rsidRPr="00E56FB1">
        <w:rPr>
          <w:sz w:val="24"/>
          <w:szCs w:val="24"/>
        </w:rPr>
        <w:t>energy efficiency acquisition</w:t>
      </w:r>
      <w:r w:rsidR="00F54603" w:rsidRPr="00E56FB1">
        <w:rPr>
          <w:sz w:val="24"/>
          <w:szCs w:val="24"/>
        </w:rPr>
        <w:t xml:space="preserve"> itself</w:t>
      </w:r>
      <w:r w:rsidRPr="00E56FB1">
        <w:rPr>
          <w:sz w:val="24"/>
          <w:szCs w:val="24"/>
        </w:rPr>
        <w:t xml:space="preserve"> but </w:t>
      </w:r>
      <w:r w:rsidR="00F54603" w:rsidRPr="00E56FB1">
        <w:rPr>
          <w:sz w:val="24"/>
          <w:szCs w:val="24"/>
        </w:rPr>
        <w:t xml:space="preserve">also </w:t>
      </w:r>
      <w:r w:rsidRPr="00E56FB1">
        <w:rPr>
          <w:sz w:val="24"/>
          <w:szCs w:val="24"/>
        </w:rPr>
        <w:t>the lack of transparency associated with the decision to enact drastic changes to the evaluation withou</w:t>
      </w:r>
      <w:r w:rsidR="001A4172" w:rsidRPr="00E56FB1">
        <w:rPr>
          <w:sz w:val="24"/>
          <w:szCs w:val="24"/>
        </w:rPr>
        <w:t xml:space="preserve">t communicating these revisions </w:t>
      </w:r>
      <w:r w:rsidR="005517AA" w:rsidRPr="00E56FB1">
        <w:rPr>
          <w:sz w:val="24"/>
          <w:szCs w:val="24"/>
        </w:rPr>
        <w:t>to the</w:t>
      </w:r>
      <w:r w:rsidR="001A4172" w:rsidRPr="00E56FB1">
        <w:rPr>
          <w:sz w:val="24"/>
          <w:szCs w:val="24"/>
        </w:rPr>
        <w:t xml:space="preserve"> Advisory Group </w:t>
      </w:r>
      <w:r w:rsidR="005517AA" w:rsidRPr="00E56FB1">
        <w:rPr>
          <w:sz w:val="24"/>
          <w:szCs w:val="24"/>
        </w:rPr>
        <w:t xml:space="preserve">or involving them </w:t>
      </w:r>
      <w:r w:rsidR="001A4172" w:rsidRPr="00E56FB1">
        <w:rPr>
          <w:sz w:val="24"/>
          <w:szCs w:val="24"/>
        </w:rPr>
        <w:t xml:space="preserve">in the decision-making process. </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lastRenderedPageBreak/>
        <w:t xml:space="preserve">As all parties </w:t>
      </w:r>
      <w:r w:rsidR="00322753" w:rsidRPr="00E56FB1">
        <w:rPr>
          <w:sz w:val="24"/>
          <w:szCs w:val="24"/>
        </w:rPr>
        <w:t>are</w:t>
      </w:r>
      <w:r w:rsidRPr="00E56FB1">
        <w:rPr>
          <w:sz w:val="24"/>
          <w:szCs w:val="24"/>
        </w:rPr>
        <w:t xml:space="preserve"> fully aware, the Washington Administrative Code (WAC) 480-109-110 requires that “A utility must maintain and </w:t>
      </w:r>
      <w:r w:rsidR="003F5E23" w:rsidRPr="00E56FB1">
        <w:rPr>
          <w:sz w:val="24"/>
          <w:szCs w:val="24"/>
        </w:rPr>
        <w:t>use</w:t>
      </w:r>
      <w:r w:rsidRPr="00E56FB1">
        <w:rPr>
          <w:sz w:val="24"/>
          <w:szCs w:val="24"/>
        </w:rPr>
        <w:t xml:space="preserve"> an external conservation advisory group of stakeholders to advise the utility on conservation issues including but not limited to</w:t>
      </w:r>
      <w:r w:rsidR="00322753" w:rsidRPr="00E56FB1">
        <w:rPr>
          <w:sz w:val="24"/>
          <w:szCs w:val="24"/>
        </w:rPr>
        <w:t>” and that subsection (c</w:t>
      </w:r>
      <w:r w:rsidR="001A4172" w:rsidRPr="00E56FB1">
        <w:rPr>
          <w:sz w:val="24"/>
          <w:szCs w:val="24"/>
        </w:rPr>
        <w:t xml:space="preserve">) </w:t>
      </w:r>
      <w:r w:rsidRPr="00E56FB1">
        <w:rPr>
          <w:sz w:val="24"/>
          <w:szCs w:val="24"/>
        </w:rPr>
        <w:t xml:space="preserve">extends that </w:t>
      </w:r>
      <w:r w:rsidR="00322753" w:rsidRPr="00E56FB1">
        <w:rPr>
          <w:sz w:val="24"/>
          <w:szCs w:val="24"/>
        </w:rPr>
        <w:t xml:space="preserve">requirement </w:t>
      </w:r>
      <w:r w:rsidRPr="00E56FB1">
        <w:rPr>
          <w:sz w:val="24"/>
          <w:szCs w:val="24"/>
        </w:rPr>
        <w:t>to the “Modification of existing, or development of new evaluation, measurement, and verification methods”</w:t>
      </w:r>
      <w:r w:rsidR="00306EDF">
        <w:rPr>
          <w:sz w:val="24"/>
          <w:szCs w:val="24"/>
        </w:rPr>
        <w:t>.</w:t>
      </w:r>
      <w:r w:rsidRPr="00E56FB1">
        <w:rPr>
          <w:sz w:val="24"/>
          <w:szCs w:val="24"/>
          <w:vertAlign w:val="superscript"/>
        </w:rPr>
        <w:t>1</w:t>
      </w:r>
      <w:r w:rsidR="001C3626" w:rsidRPr="00E56FB1">
        <w:rPr>
          <w:sz w:val="24"/>
          <w:szCs w:val="24"/>
          <w:vertAlign w:val="superscript"/>
        </w:rPr>
        <w:t>5</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These WAC requirements should be well known to all parties given the lengthy discussion that occurred within UE-151148 in the aftermath of the Company’s failure to communicate </w:t>
      </w:r>
      <w:r w:rsidR="003F5E23" w:rsidRPr="00E56FB1">
        <w:rPr>
          <w:sz w:val="24"/>
          <w:szCs w:val="24"/>
        </w:rPr>
        <w:t xml:space="preserve">what </w:t>
      </w:r>
      <w:r w:rsidR="003928F1">
        <w:rPr>
          <w:sz w:val="24"/>
          <w:szCs w:val="24"/>
        </w:rPr>
        <w:t>became</w:t>
      </w:r>
      <w:r w:rsidR="003F5E23" w:rsidRPr="00E56FB1">
        <w:rPr>
          <w:sz w:val="24"/>
          <w:szCs w:val="24"/>
        </w:rPr>
        <w:t xml:space="preserve"> known as </w:t>
      </w:r>
      <w:r w:rsidRPr="00E56FB1">
        <w:rPr>
          <w:sz w:val="24"/>
          <w:szCs w:val="24"/>
        </w:rPr>
        <w:t>the ‘Opower hiatus’</w:t>
      </w:r>
      <w:r w:rsidRPr="00E56FB1">
        <w:rPr>
          <w:sz w:val="24"/>
          <w:szCs w:val="24"/>
          <w:vertAlign w:val="superscript"/>
        </w:rPr>
        <w:t>1</w:t>
      </w:r>
      <w:r w:rsidR="001C3626" w:rsidRPr="00E56FB1">
        <w:rPr>
          <w:sz w:val="24"/>
          <w:szCs w:val="24"/>
          <w:vertAlign w:val="superscript"/>
        </w:rPr>
        <w:t>6</w:t>
      </w:r>
      <w:r w:rsidRPr="00E56FB1">
        <w:rPr>
          <w:sz w:val="24"/>
          <w:szCs w:val="24"/>
        </w:rPr>
        <w:t xml:space="preserve"> to the Advisory Group in a timely manner.  Within that docket a bench </w:t>
      </w:r>
      <w:r w:rsidR="001A4172" w:rsidRPr="00E56FB1">
        <w:rPr>
          <w:sz w:val="24"/>
          <w:szCs w:val="24"/>
        </w:rPr>
        <w:t xml:space="preserve">request was issued to which </w:t>
      </w:r>
      <w:r w:rsidRPr="00E56FB1">
        <w:rPr>
          <w:sz w:val="24"/>
          <w:szCs w:val="24"/>
        </w:rPr>
        <w:t>Mr. Kevin Christie responded for the Company.  That response indicated that:</w:t>
      </w:r>
    </w:p>
    <w:p w:rsidR="008856B2" w:rsidRPr="00E56FB1" w:rsidRDefault="008856B2" w:rsidP="008856B2">
      <w:pPr>
        <w:spacing w:after="0" w:line="360" w:lineRule="auto"/>
        <w:ind w:left="720"/>
        <w:rPr>
          <w:sz w:val="24"/>
          <w:szCs w:val="24"/>
        </w:rPr>
      </w:pPr>
      <w:r w:rsidRPr="00E56FB1">
        <w:rPr>
          <w:sz w:val="24"/>
          <w:szCs w:val="24"/>
        </w:rPr>
        <w:t>“</w:t>
      </w:r>
      <w:proofErr w:type="spellStart"/>
      <w:r w:rsidRPr="00E56FB1">
        <w:rPr>
          <w:sz w:val="24"/>
          <w:szCs w:val="24"/>
        </w:rPr>
        <w:t>Avista’s</w:t>
      </w:r>
      <w:proofErr w:type="spellEnd"/>
      <w:r w:rsidRPr="00E56FB1">
        <w:rPr>
          <w:sz w:val="24"/>
          <w:szCs w:val="24"/>
        </w:rPr>
        <w:t xml:space="preserve"> leadership takes all Commission rules and State statutes seriously and has a strict policy to adhere to the laws and rules that govern the Energy Efficiency Programs.  Avista Energy Efficiency management has reviewed these rules and is committed to full compliance with WAC 480-109, including 480-109-110 related to the Commission’s standard practice regarding the use of conservation advisory groups”</w:t>
      </w:r>
      <w:r w:rsidR="00306EDF">
        <w:rPr>
          <w:sz w:val="24"/>
          <w:szCs w:val="24"/>
        </w:rPr>
        <w:t>.</w:t>
      </w:r>
      <w:r w:rsidRPr="00E56FB1">
        <w:rPr>
          <w:sz w:val="24"/>
          <w:szCs w:val="24"/>
          <w:vertAlign w:val="superscript"/>
        </w:rPr>
        <w:t>1</w:t>
      </w:r>
      <w:r w:rsidR="001C3626" w:rsidRPr="00E56FB1">
        <w:rPr>
          <w:sz w:val="24"/>
          <w:szCs w:val="24"/>
          <w:vertAlign w:val="superscript"/>
        </w:rPr>
        <w:t>7</w:t>
      </w:r>
    </w:p>
    <w:p w:rsidR="008856B2" w:rsidRPr="00E56FB1" w:rsidRDefault="008856B2" w:rsidP="008856B2">
      <w:pPr>
        <w:spacing w:after="0" w:line="360" w:lineRule="auto"/>
        <w:rPr>
          <w:sz w:val="24"/>
          <w:szCs w:val="24"/>
        </w:rPr>
      </w:pPr>
    </w:p>
    <w:p w:rsidR="008856B2" w:rsidRPr="00E56FB1" w:rsidRDefault="001A4172" w:rsidP="008856B2">
      <w:pPr>
        <w:spacing w:after="0" w:line="360" w:lineRule="auto"/>
        <w:rPr>
          <w:sz w:val="24"/>
          <w:szCs w:val="24"/>
        </w:rPr>
      </w:pPr>
      <w:r w:rsidRPr="00E56FB1">
        <w:rPr>
          <w:sz w:val="24"/>
          <w:szCs w:val="24"/>
        </w:rPr>
        <w:t xml:space="preserve">Other responses to the Bench Requests indicated a focused attentiveness to understanding and complying </w:t>
      </w:r>
      <w:r w:rsidR="00F54603" w:rsidRPr="00E56FB1">
        <w:rPr>
          <w:sz w:val="24"/>
          <w:szCs w:val="24"/>
        </w:rPr>
        <w:t>with</w:t>
      </w:r>
      <w:r w:rsidRPr="00E56FB1">
        <w:rPr>
          <w:sz w:val="24"/>
          <w:szCs w:val="24"/>
        </w:rPr>
        <w:t xml:space="preserve"> all aspects of the WAC and Commission Orders.  </w:t>
      </w:r>
      <w:r w:rsidR="008856B2" w:rsidRPr="00E56FB1">
        <w:rPr>
          <w:sz w:val="24"/>
          <w:szCs w:val="24"/>
        </w:rPr>
        <w:t xml:space="preserve">The Commission recognized the Company’s renewed commitment </w:t>
      </w:r>
      <w:r w:rsidR="003928F1">
        <w:rPr>
          <w:sz w:val="24"/>
          <w:szCs w:val="24"/>
        </w:rPr>
        <w:t xml:space="preserve">to regulatory compliance </w:t>
      </w:r>
      <w:r w:rsidR="008856B2" w:rsidRPr="00E56FB1">
        <w:rPr>
          <w:sz w:val="24"/>
          <w:szCs w:val="24"/>
        </w:rPr>
        <w:t xml:space="preserve">by stating that “Mr. Christie’s testimony demonstrates that since the July 30, 2015, </w:t>
      </w:r>
      <w:r w:rsidR="006A7287" w:rsidRPr="00E56FB1">
        <w:rPr>
          <w:sz w:val="24"/>
          <w:szCs w:val="24"/>
        </w:rPr>
        <w:t>O</w:t>
      </w:r>
      <w:r w:rsidR="008856B2" w:rsidRPr="00E56FB1">
        <w:rPr>
          <w:sz w:val="24"/>
          <w:szCs w:val="24"/>
        </w:rPr>
        <w:t xml:space="preserve">pen </w:t>
      </w:r>
      <w:r w:rsidR="006A7287" w:rsidRPr="00E56FB1">
        <w:rPr>
          <w:sz w:val="24"/>
          <w:szCs w:val="24"/>
        </w:rPr>
        <w:t>M</w:t>
      </w:r>
      <w:r w:rsidR="008856B2" w:rsidRPr="00E56FB1">
        <w:rPr>
          <w:sz w:val="24"/>
          <w:szCs w:val="24"/>
        </w:rPr>
        <w:t>eeting, Avista has continued to work on rectifying the concerns raised by Staff and Public Counsel”</w:t>
      </w:r>
      <w:r w:rsidR="00306EDF">
        <w:rPr>
          <w:sz w:val="24"/>
          <w:szCs w:val="24"/>
        </w:rPr>
        <w:t>.</w:t>
      </w:r>
      <w:r w:rsidR="008856B2" w:rsidRPr="00E56FB1">
        <w:rPr>
          <w:sz w:val="24"/>
          <w:szCs w:val="24"/>
          <w:vertAlign w:val="superscript"/>
        </w:rPr>
        <w:t>1</w:t>
      </w:r>
      <w:r w:rsidR="001C3626" w:rsidRPr="00E56FB1">
        <w:rPr>
          <w:sz w:val="24"/>
          <w:szCs w:val="24"/>
          <w:vertAlign w:val="superscript"/>
        </w:rPr>
        <w:t>8</w:t>
      </w:r>
      <w:r w:rsidR="008856B2" w:rsidRPr="00E56FB1">
        <w:rPr>
          <w:sz w:val="24"/>
          <w:szCs w:val="24"/>
        </w:rPr>
        <w:t xml:space="preserve">  </w:t>
      </w:r>
    </w:p>
    <w:p w:rsidR="00322753" w:rsidRPr="00E56FB1" w:rsidRDefault="00322753"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Additionally, </w:t>
      </w:r>
      <w:r w:rsidR="000F0BE7" w:rsidRPr="00E56FB1">
        <w:rPr>
          <w:sz w:val="24"/>
          <w:szCs w:val="24"/>
        </w:rPr>
        <w:t xml:space="preserve">in the </w:t>
      </w:r>
      <w:r w:rsidRPr="00E56FB1">
        <w:rPr>
          <w:sz w:val="24"/>
          <w:szCs w:val="24"/>
        </w:rPr>
        <w:t xml:space="preserve">joint testimony of Mr. Brad </w:t>
      </w:r>
      <w:proofErr w:type="spellStart"/>
      <w:r w:rsidRPr="00E56FB1">
        <w:rPr>
          <w:sz w:val="24"/>
          <w:szCs w:val="24"/>
        </w:rPr>
        <w:t>Cebulko</w:t>
      </w:r>
      <w:proofErr w:type="spellEnd"/>
      <w:r w:rsidRPr="00E56FB1">
        <w:rPr>
          <w:sz w:val="24"/>
          <w:szCs w:val="24"/>
        </w:rPr>
        <w:t xml:space="preserve"> and Ms. Mary Kimball in support of the multiparty settlement in UE-151148, their assessment of the Company’s awareness of these requirements at that time was that “The Company has not demonstrated a lack of familiarity with WAC 480-109 and the Commission’s standard practice regarding the use of conservation advisory </w:t>
      </w:r>
      <w:r w:rsidRPr="00656487">
        <w:rPr>
          <w:sz w:val="24"/>
          <w:szCs w:val="24"/>
        </w:rPr>
        <w:t>groups since July 2015”</w:t>
      </w:r>
      <w:r w:rsidR="00306EDF" w:rsidRPr="00656487">
        <w:rPr>
          <w:sz w:val="24"/>
          <w:szCs w:val="24"/>
        </w:rPr>
        <w:t>.</w:t>
      </w:r>
      <w:r w:rsidR="001C3626" w:rsidRPr="00E56FB1">
        <w:rPr>
          <w:sz w:val="24"/>
          <w:szCs w:val="24"/>
          <w:vertAlign w:val="superscript"/>
        </w:rPr>
        <w:t>19</w:t>
      </w:r>
    </w:p>
    <w:p w:rsidR="008856B2" w:rsidRPr="00E56FB1" w:rsidRDefault="008856B2" w:rsidP="008856B2">
      <w:pPr>
        <w:spacing w:after="0" w:line="360" w:lineRule="auto"/>
        <w:rPr>
          <w:sz w:val="24"/>
          <w:szCs w:val="24"/>
        </w:rPr>
      </w:pPr>
    </w:p>
    <w:p w:rsidR="003F5E23" w:rsidRPr="00E56FB1" w:rsidRDefault="008856B2" w:rsidP="008856B2">
      <w:pPr>
        <w:spacing w:after="0" w:line="360" w:lineRule="auto"/>
        <w:rPr>
          <w:sz w:val="24"/>
          <w:szCs w:val="24"/>
        </w:rPr>
      </w:pPr>
      <w:r w:rsidRPr="00E56FB1">
        <w:rPr>
          <w:sz w:val="24"/>
          <w:szCs w:val="24"/>
        </w:rPr>
        <w:lastRenderedPageBreak/>
        <w:t>This seems to leave no doubt that the Company, in the aftermath of the UE-151148 discussion of the</w:t>
      </w:r>
      <w:r w:rsidR="00D72E82">
        <w:rPr>
          <w:sz w:val="24"/>
          <w:szCs w:val="24"/>
        </w:rPr>
        <w:t>ir failure to communicate issues relat</w:t>
      </w:r>
      <w:r w:rsidR="003928F1">
        <w:rPr>
          <w:sz w:val="24"/>
          <w:szCs w:val="24"/>
        </w:rPr>
        <w:t>ed</w:t>
      </w:r>
      <w:r w:rsidR="00D72E82">
        <w:rPr>
          <w:sz w:val="24"/>
          <w:szCs w:val="24"/>
        </w:rPr>
        <w:t xml:space="preserve"> to the </w:t>
      </w:r>
      <w:r w:rsidRPr="00E56FB1">
        <w:rPr>
          <w:sz w:val="24"/>
          <w:szCs w:val="24"/>
        </w:rPr>
        <w:t>‘Opower hiatus’, was fully aware of their responsibilities under WAC 480-109-110.  Since the application of the RTF UES</w:t>
      </w:r>
      <w:r w:rsidR="00990225" w:rsidRPr="00E56FB1">
        <w:rPr>
          <w:sz w:val="24"/>
          <w:szCs w:val="24"/>
        </w:rPr>
        <w:t xml:space="preserve"> values</w:t>
      </w:r>
      <w:r w:rsidRPr="00E56FB1">
        <w:rPr>
          <w:sz w:val="24"/>
          <w:szCs w:val="24"/>
        </w:rPr>
        <w:t xml:space="preserve"> was a</w:t>
      </w:r>
      <w:r w:rsidR="003F5E23" w:rsidRPr="00E56FB1">
        <w:rPr>
          <w:sz w:val="24"/>
          <w:szCs w:val="24"/>
        </w:rPr>
        <w:t xml:space="preserve">n important and deeply </w:t>
      </w:r>
      <w:r w:rsidRPr="00E56FB1">
        <w:rPr>
          <w:sz w:val="24"/>
          <w:szCs w:val="24"/>
        </w:rPr>
        <w:t xml:space="preserve">discussed issue leading to a </w:t>
      </w:r>
      <w:r w:rsidR="003F5E23" w:rsidRPr="00E56FB1">
        <w:rPr>
          <w:sz w:val="24"/>
          <w:szCs w:val="24"/>
        </w:rPr>
        <w:t>well-</w:t>
      </w:r>
      <w:r w:rsidRPr="00E56FB1">
        <w:rPr>
          <w:sz w:val="24"/>
          <w:szCs w:val="24"/>
        </w:rPr>
        <w:t xml:space="preserve">documented common understanding of the approach to be </w:t>
      </w:r>
      <w:r w:rsidR="003F5E23" w:rsidRPr="00E56FB1">
        <w:rPr>
          <w:sz w:val="24"/>
          <w:szCs w:val="24"/>
        </w:rPr>
        <w:t>applied</w:t>
      </w:r>
      <w:r w:rsidRPr="00E56FB1">
        <w:rPr>
          <w:sz w:val="24"/>
          <w:szCs w:val="24"/>
        </w:rPr>
        <w:t xml:space="preserve"> within the BCR, the abandonment of that approach should have triggered a</w:t>
      </w:r>
      <w:r w:rsidR="00D72E82">
        <w:rPr>
          <w:sz w:val="24"/>
          <w:szCs w:val="24"/>
        </w:rPr>
        <w:t>n</w:t>
      </w:r>
      <w:r w:rsidRPr="00E56FB1">
        <w:rPr>
          <w:sz w:val="24"/>
          <w:szCs w:val="24"/>
        </w:rPr>
        <w:t xml:space="preserve"> announcement </w:t>
      </w:r>
      <w:r w:rsidR="00D72E82">
        <w:rPr>
          <w:sz w:val="24"/>
          <w:szCs w:val="24"/>
        </w:rPr>
        <w:t xml:space="preserve">to the Advisory Group </w:t>
      </w:r>
      <w:r w:rsidR="003F5E23" w:rsidRPr="00E56FB1">
        <w:rPr>
          <w:sz w:val="24"/>
          <w:szCs w:val="24"/>
        </w:rPr>
        <w:t>of the Company’s intentions</w:t>
      </w:r>
      <w:r w:rsidR="003928F1">
        <w:rPr>
          <w:sz w:val="24"/>
          <w:szCs w:val="24"/>
        </w:rPr>
        <w:t xml:space="preserve">, </w:t>
      </w:r>
      <w:r w:rsidR="003F5E23" w:rsidRPr="00E56FB1">
        <w:rPr>
          <w:sz w:val="24"/>
          <w:szCs w:val="24"/>
        </w:rPr>
        <w:t xml:space="preserve">an opportunity for an in-depth </w:t>
      </w:r>
      <w:r w:rsidR="00656487">
        <w:rPr>
          <w:sz w:val="24"/>
          <w:szCs w:val="24"/>
        </w:rPr>
        <w:t xml:space="preserve">Advisory Group </w:t>
      </w:r>
      <w:r w:rsidR="003F5E23" w:rsidRPr="00E56FB1">
        <w:rPr>
          <w:sz w:val="24"/>
          <w:szCs w:val="24"/>
        </w:rPr>
        <w:t>discussion</w:t>
      </w:r>
      <w:r w:rsidR="003928F1">
        <w:rPr>
          <w:sz w:val="24"/>
          <w:szCs w:val="24"/>
        </w:rPr>
        <w:t>,</w:t>
      </w:r>
      <w:r w:rsidR="003F5E23" w:rsidRPr="00E56FB1">
        <w:rPr>
          <w:sz w:val="24"/>
          <w:szCs w:val="24"/>
        </w:rPr>
        <w:t xml:space="preserve"> </w:t>
      </w:r>
      <w:r w:rsidR="00D72E82">
        <w:rPr>
          <w:sz w:val="24"/>
          <w:szCs w:val="24"/>
        </w:rPr>
        <w:t>and</w:t>
      </w:r>
      <w:r w:rsidR="003F5E23" w:rsidRPr="00E56FB1">
        <w:rPr>
          <w:sz w:val="24"/>
          <w:szCs w:val="24"/>
        </w:rPr>
        <w:t xml:space="preserve"> </w:t>
      </w:r>
      <w:r w:rsidRPr="00E56FB1">
        <w:rPr>
          <w:sz w:val="24"/>
          <w:szCs w:val="24"/>
        </w:rPr>
        <w:t xml:space="preserve">a clear statement within the BCR filing itself.  </w:t>
      </w:r>
    </w:p>
    <w:p w:rsidR="003F5E23" w:rsidRPr="00E56FB1" w:rsidRDefault="003F5E23" w:rsidP="008856B2">
      <w:pPr>
        <w:spacing w:after="0" w:line="360" w:lineRule="auto"/>
        <w:rPr>
          <w:sz w:val="24"/>
          <w:szCs w:val="24"/>
        </w:rPr>
      </w:pPr>
    </w:p>
    <w:p w:rsidR="008856B2" w:rsidRPr="00E56FB1" w:rsidRDefault="003F5E23" w:rsidP="008856B2">
      <w:pPr>
        <w:spacing w:after="0" w:line="360" w:lineRule="auto"/>
        <w:rPr>
          <w:sz w:val="24"/>
          <w:szCs w:val="24"/>
        </w:rPr>
      </w:pPr>
      <w:r w:rsidRPr="00E56FB1">
        <w:rPr>
          <w:sz w:val="24"/>
          <w:szCs w:val="24"/>
        </w:rPr>
        <w:t xml:space="preserve">It is disappointing that such </w:t>
      </w:r>
      <w:r w:rsidR="00AB562B" w:rsidRPr="00E56FB1">
        <w:rPr>
          <w:sz w:val="24"/>
          <w:szCs w:val="24"/>
        </w:rPr>
        <w:t>communication</w:t>
      </w:r>
      <w:r w:rsidRPr="00E56FB1">
        <w:rPr>
          <w:sz w:val="24"/>
          <w:szCs w:val="24"/>
        </w:rPr>
        <w:t xml:space="preserve"> did not occur, </w:t>
      </w:r>
      <w:r w:rsidR="003928F1">
        <w:rPr>
          <w:sz w:val="24"/>
          <w:szCs w:val="24"/>
        </w:rPr>
        <w:t xml:space="preserve">particularly since this could be interpreted as being </w:t>
      </w:r>
      <w:r w:rsidR="00FC478E">
        <w:rPr>
          <w:sz w:val="24"/>
          <w:szCs w:val="24"/>
        </w:rPr>
        <w:t xml:space="preserve">indicative of a dismissive </w:t>
      </w:r>
      <w:r w:rsidRPr="00E56FB1">
        <w:rPr>
          <w:sz w:val="24"/>
          <w:szCs w:val="24"/>
        </w:rPr>
        <w:t xml:space="preserve">attitude on the part of the Company to follow-through on their </w:t>
      </w:r>
      <w:r w:rsidR="00AB562B" w:rsidRPr="00E56FB1">
        <w:rPr>
          <w:sz w:val="24"/>
          <w:szCs w:val="24"/>
        </w:rPr>
        <w:t xml:space="preserve">recent </w:t>
      </w:r>
      <w:r w:rsidRPr="00E56FB1">
        <w:rPr>
          <w:sz w:val="24"/>
          <w:szCs w:val="24"/>
        </w:rPr>
        <w:t>commitments and legal responsibilities in regards to the transparency of the regulatory process</w:t>
      </w:r>
      <w:r w:rsidR="003928F1">
        <w:rPr>
          <w:sz w:val="24"/>
          <w:szCs w:val="24"/>
        </w:rPr>
        <w:t xml:space="preserve"> and communication with the Advisory Group</w:t>
      </w:r>
      <w:r w:rsidRPr="00E56FB1">
        <w:rPr>
          <w:sz w:val="24"/>
          <w:szCs w:val="24"/>
        </w:rPr>
        <w:t>.</w:t>
      </w:r>
    </w:p>
    <w:p w:rsidR="008856B2" w:rsidRPr="00E56FB1" w:rsidRDefault="008856B2" w:rsidP="008856B2">
      <w:pPr>
        <w:spacing w:after="0" w:line="360" w:lineRule="auto"/>
        <w:rPr>
          <w:sz w:val="24"/>
          <w:szCs w:val="24"/>
        </w:rPr>
      </w:pPr>
    </w:p>
    <w:p w:rsidR="003F5E23" w:rsidRPr="00E56FB1" w:rsidRDefault="003F5E23"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In two similar </w:t>
      </w:r>
      <w:r w:rsidR="003F5E23" w:rsidRPr="00E56FB1">
        <w:rPr>
          <w:sz w:val="24"/>
          <w:szCs w:val="24"/>
        </w:rPr>
        <w:t>issues involving the transparency theme</w:t>
      </w:r>
      <w:r w:rsidRPr="00E56FB1">
        <w:rPr>
          <w:sz w:val="24"/>
          <w:szCs w:val="24"/>
        </w:rPr>
        <w:t>, the Company has failed to follow through on the commitment to (1) perform an evaluation of the Company’s organizational changes during the 2014-2015 biennium as well as to (2) complete a status report of the Company’s progress in responding to the recommendations expressed by the external evaluator in the previous biennium, and in particular approaches to improving the quality control in the implementation of large site-specific projects</w:t>
      </w:r>
      <w:r w:rsidR="00306EDF">
        <w:rPr>
          <w:sz w:val="24"/>
          <w:szCs w:val="24"/>
        </w:rPr>
        <w:t>.</w:t>
      </w:r>
      <w:r w:rsidR="001C3626" w:rsidRPr="00E56FB1">
        <w:rPr>
          <w:sz w:val="24"/>
          <w:szCs w:val="24"/>
          <w:vertAlign w:val="superscript"/>
        </w:rPr>
        <w:t>20</w:t>
      </w:r>
      <w:r w:rsidR="001A4172" w:rsidRPr="00E56FB1">
        <w:rPr>
          <w:sz w:val="24"/>
          <w:szCs w:val="24"/>
        </w:rPr>
        <w:t xml:space="preserve"> </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The expectations of the Advisory Group could not have been more clearly stated than </w:t>
      </w:r>
      <w:r w:rsidR="00226479" w:rsidRPr="00E56FB1">
        <w:rPr>
          <w:sz w:val="24"/>
          <w:szCs w:val="24"/>
        </w:rPr>
        <w:t xml:space="preserve">in </w:t>
      </w:r>
      <w:r w:rsidRPr="00E56FB1">
        <w:rPr>
          <w:sz w:val="24"/>
          <w:szCs w:val="24"/>
        </w:rPr>
        <w:t xml:space="preserve">the following paragraph within the </w:t>
      </w:r>
      <w:r w:rsidR="00F54603" w:rsidRPr="00E56FB1">
        <w:rPr>
          <w:sz w:val="24"/>
          <w:szCs w:val="24"/>
        </w:rPr>
        <w:t xml:space="preserve">January 2016 </w:t>
      </w:r>
      <w:r w:rsidRPr="00E56FB1">
        <w:rPr>
          <w:sz w:val="24"/>
          <w:szCs w:val="24"/>
        </w:rPr>
        <w:t xml:space="preserve">joint testimony of Mr. </w:t>
      </w:r>
      <w:proofErr w:type="spellStart"/>
      <w:r w:rsidRPr="00E56FB1">
        <w:rPr>
          <w:sz w:val="24"/>
          <w:szCs w:val="24"/>
        </w:rPr>
        <w:t>Cebulko</w:t>
      </w:r>
      <w:proofErr w:type="spellEnd"/>
      <w:r w:rsidRPr="00E56FB1">
        <w:rPr>
          <w:sz w:val="24"/>
          <w:szCs w:val="24"/>
        </w:rPr>
        <w:t xml:space="preserve"> and Ms. Kimball in support of the UE-151148 multiparty settlement:</w:t>
      </w:r>
    </w:p>
    <w:p w:rsidR="008856B2" w:rsidRPr="00E56FB1" w:rsidRDefault="008856B2" w:rsidP="008856B2">
      <w:pPr>
        <w:spacing w:after="0" w:line="360" w:lineRule="auto"/>
        <w:ind w:left="720"/>
        <w:rPr>
          <w:sz w:val="24"/>
          <w:szCs w:val="24"/>
        </w:rPr>
      </w:pPr>
      <w:r w:rsidRPr="00E56FB1">
        <w:rPr>
          <w:sz w:val="24"/>
          <w:szCs w:val="24"/>
        </w:rPr>
        <w:t xml:space="preserve">“Notably, as part of the filing, Avista will provide the process evaluation conducted by its independent third-party evaluator, Nexant.   The process evaluation will include a review of the organizational structure of </w:t>
      </w:r>
      <w:proofErr w:type="spellStart"/>
      <w:r w:rsidRPr="00E56FB1">
        <w:rPr>
          <w:sz w:val="24"/>
          <w:szCs w:val="24"/>
        </w:rPr>
        <w:t>Avista’s</w:t>
      </w:r>
      <w:proofErr w:type="spellEnd"/>
      <w:r w:rsidRPr="00E56FB1">
        <w:rPr>
          <w:sz w:val="24"/>
          <w:szCs w:val="24"/>
        </w:rPr>
        <w:t xml:space="preserve"> DSM program and, importantly, will follow-up on recommendations and findings from the prior process evaluation for 2012-2013 conducted by Cadmus.  Staff and Public Counsel look forward to review of that </w:t>
      </w:r>
      <w:r w:rsidRPr="00E56FB1">
        <w:rPr>
          <w:sz w:val="24"/>
          <w:szCs w:val="24"/>
        </w:rPr>
        <w:lastRenderedPageBreak/>
        <w:t>process evaluation once it is completed, and anticipate that Avista will engage its Conservation Advisory Group on any major findings and recommendations as it considers any organizational or implementation changes as a result of that evaluation”</w:t>
      </w:r>
      <w:r w:rsidR="00306EDF">
        <w:rPr>
          <w:sz w:val="24"/>
          <w:szCs w:val="24"/>
        </w:rPr>
        <w:t>.</w:t>
      </w:r>
      <w:r w:rsidRPr="00E56FB1">
        <w:rPr>
          <w:sz w:val="24"/>
          <w:szCs w:val="24"/>
          <w:vertAlign w:val="superscript"/>
        </w:rPr>
        <w:t>2</w:t>
      </w:r>
      <w:r w:rsidR="001C3626" w:rsidRPr="00E56FB1">
        <w:rPr>
          <w:sz w:val="24"/>
          <w:szCs w:val="24"/>
          <w:vertAlign w:val="superscript"/>
        </w:rPr>
        <w:t>1</w:t>
      </w:r>
      <w:r w:rsidRPr="00E56FB1">
        <w:rPr>
          <w:sz w:val="24"/>
          <w:szCs w:val="24"/>
        </w:rPr>
        <w:t xml:space="preserve">  </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If circumstances changed in the interim such that either or both of these two work products, for any reason, would no longer be constructive</w:t>
      </w:r>
      <w:r w:rsidR="001A4172" w:rsidRPr="00E56FB1">
        <w:rPr>
          <w:sz w:val="24"/>
          <w:szCs w:val="24"/>
        </w:rPr>
        <w:t>,</w:t>
      </w:r>
      <w:r w:rsidRPr="00E56FB1">
        <w:rPr>
          <w:sz w:val="24"/>
          <w:szCs w:val="24"/>
        </w:rPr>
        <w:t xml:space="preserve"> the Company </w:t>
      </w:r>
      <w:r w:rsidR="00804788" w:rsidRPr="00E56FB1">
        <w:rPr>
          <w:sz w:val="24"/>
          <w:szCs w:val="24"/>
        </w:rPr>
        <w:t xml:space="preserve">retained the option to revise </w:t>
      </w:r>
      <w:r w:rsidRPr="00E56FB1">
        <w:rPr>
          <w:sz w:val="24"/>
          <w:szCs w:val="24"/>
        </w:rPr>
        <w:t xml:space="preserve">the evaluation plan.  However per the </w:t>
      </w:r>
      <w:r w:rsidR="00A97FDA" w:rsidRPr="00E56FB1">
        <w:rPr>
          <w:sz w:val="24"/>
          <w:szCs w:val="24"/>
        </w:rPr>
        <w:t xml:space="preserve">previously discussed </w:t>
      </w:r>
      <w:r w:rsidRPr="00E56FB1">
        <w:rPr>
          <w:sz w:val="24"/>
          <w:szCs w:val="24"/>
        </w:rPr>
        <w:t xml:space="preserve">requirements of WAC 480-109-110, the Company </w:t>
      </w:r>
      <w:r w:rsidR="00804788" w:rsidRPr="00E56FB1">
        <w:rPr>
          <w:sz w:val="24"/>
          <w:szCs w:val="24"/>
        </w:rPr>
        <w:t>would be</w:t>
      </w:r>
      <w:r w:rsidRPr="00E56FB1">
        <w:rPr>
          <w:sz w:val="24"/>
          <w:szCs w:val="24"/>
        </w:rPr>
        <w:t xml:space="preserve"> required to notify the Advisory G</w:t>
      </w:r>
      <w:r w:rsidR="00804788" w:rsidRPr="00E56FB1">
        <w:rPr>
          <w:sz w:val="24"/>
          <w:szCs w:val="24"/>
        </w:rPr>
        <w:t>roup of the change in direction</w:t>
      </w:r>
      <w:r w:rsidR="007336C9" w:rsidRPr="00E56FB1">
        <w:rPr>
          <w:sz w:val="24"/>
          <w:szCs w:val="24"/>
        </w:rPr>
        <w:t xml:space="preserve">.  </w:t>
      </w:r>
      <w:r w:rsidR="00A97FDA" w:rsidRPr="00E56FB1">
        <w:rPr>
          <w:sz w:val="24"/>
          <w:szCs w:val="24"/>
        </w:rPr>
        <w:t>In an outcome similar to that which was previously discussed regarding the use of RTF UES values, n</w:t>
      </w:r>
      <w:r w:rsidR="007336C9" w:rsidRPr="00E56FB1">
        <w:rPr>
          <w:sz w:val="24"/>
          <w:szCs w:val="24"/>
        </w:rPr>
        <w:t>o such communication occurred.</w:t>
      </w:r>
      <w:r w:rsidR="00A97FDA" w:rsidRPr="00E56FB1">
        <w:rPr>
          <w:sz w:val="24"/>
          <w:szCs w:val="24"/>
        </w:rPr>
        <w:t xml:space="preserve">  The Company only provided these two important work products </w:t>
      </w:r>
      <w:r w:rsidR="005E0518">
        <w:rPr>
          <w:sz w:val="24"/>
          <w:szCs w:val="24"/>
        </w:rPr>
        <w:t xml:space="preserve">specifically requested by members of the Advisory Group and agreed to by the Company </w:t>
      </w:r>
      <w:r w:rsidR="00A97FDA" w:rsidRPr="00E56FB1">
        <w:rPr>
          <w:sz w:val="24"/>
          <w:szCs w:val="24"/>
        </w:rPr>
        <w:t>after their omission was noted as part of the review of the BCR filing.</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When viewed in its totality it seems implausible to conclude that these </w:t>
      </w:r>
      <w:r w:rsidR="005E0518">
        <w:rPr>
          <w:sz w:val="24"/>
          <w:szCs w:val="24"/>
        </w:rPr>
        <w:t>recurring</w:t>
      </w:r>
      <w:r w:rsidR="00A97FDA" w:rsidRPr="00E56FB1">
        <w:rPr>
          <w:sz w:val="24"/>
          <w:szCs w:val="24"/>
        </w:rPr>
        <w:t xml:space="preserve"> </w:t>
      </w:r>
      <w:r w:rsidRPr="00E56FB1">
        <w:rPr>
          <w:sz w:val="24"/>
          <w:szCs w:val="24"/>
        </w:rPr>
        <w:t xml:space="preserve">failures </w:t>
      </w:r>
      <w:r w:rsidR="005E0518">
        <w:rPr>
          <w:sz w:val="24"/>
          <w:szCs w:val="24"/>
        </w:rPr>
        <w:t>in</w:t>
      </w:r>
      <w:r w:rsidRPr="00E56FB1">
        <w:rPr>
          <w:sz w:val="24"/>
          <w:szCs w:val="24"/>
        </w:rPr>
        <w:t xml:space="preserve"> communication and transparency mandated by WAC 480-109-110, </w:t>
      </w:r>
      <w:r w:rsidR="005E0518" w:rsidRPr="00E56FB1">
        <w:rPr>
          <w:sz w:val="24"/>
          <w:szCs w:val="24"/>
        </w:rPr>
        <w:t>affirmed within the multiparty settlement to UE-151148</w:t>
      </w:r>
      <w:r w:rsidR="005E0518">
        <w:rPr>
          <w:sz w:val="24"/>
          <w:szCs w:val="24"/>
        </w:rPr>
        <w:t xml:space="preserve">, and </w:t>
      </w:r>
      <w:r w:rsidR="000F0BE7" w:rsidRPr="00E56FB1">
        <w:rPr>
          <w:sz w:val="24"/>
          <w:szCs w:val="24"/>
        </w:rPr>
        <w:t xml:space="preserve">reiterated in </w:t>
      </w:r>
      <w:r w:rsidRPr="00E56FB1">
        <w:rPr>
          <w:sz w:val="24"/>
          <w:szCs w:val="24"/>
        </w:rPr>
        <w:t xml:space="preserve">Order </w:t>
      </w:r>
      <w:r w:rsidR="000F0BE7" w:rsidRPr="00E56FB1">
        <w:rPr>
          <w:sz w:val="24"/>
          <w:szCs w:val="24"/>
        </w:rPr>
        <w:t>4 of UE-1</w:t>
      </w:r>
      <w:r w:rsidR="00670BA3" w:rsidRPr="00E56FB1">
        <w:rPr>
          <w:sz w:val="24"/>
          <w:szCs w:val="24"/>
        </w:rPr>
        <w:t>51148</w:t>
      </w:r>
      <w:r w:rsidR="000F0BE7" w:rsidRPr="00E56FB1">
        <w:rPr>
          <w:sz w:val="24"/>
          <w:szCs w:val="24"/>
        </w:rPr>
        <w:t xml:space="preserve"> </w:t>
      </w:r>
      <w:r w:rsidRPr="00E56FB1">
        <w:rPr>
          <w:sz w:val="24"/>
          <w:szCs w:val="24"/>
        </w:rPr>
        <w:t>and have all stemmed from repeated</w:t>
      </w:r>
      <w:r w:rsidR="003C28B9">
        <w:rPr>
          <w:sz w:val="24"/>
          <w:szCs w:val="24"/>
        </w:rPr>
        <w:t xml:space="preserve"> but</w:t>
      </w:r>
      <w:r w:rsidR="00EC7E84">
        <w:rPr>
          <w:sz w:val="24"/>
          <w:szCs w:val="24"/>
        </w:rPr>
        <w:t xml:space="preserve"> unrelated</w:t>
      </w:r>
      <w:r w:rsidRPr="00E56FB1">
        <w:rPr>
          <w:sz w:val="24"/>
          <w:szCs w:val="24"/>
        </w:rPr>
        <w:t xml:space="preserve"> misunderstandings.  The contention that these are misunderstandings is particularly unlikely </w:t>
      </w:r>
      <w:r w:rsidR="000F0BE7" w:rsidRPr="00E56FB1">
        <w:rPr>
          <w:sz w:val="24"/>
          <w:szCs w:val="24"/>
        </w:rPr>
        <w:t xml:space="preserve">given the </w:t>
      </w:r>
      <w:r w:rsidRPr="00E56FB1">
        <w:rPr>
          <w:sz w:val="24"/>
          <w:szCs w:val="24"/>
        </w:rPr>
        <w:t>deep discussion and clear commitments made in the aftermath of the ‘Opower hiatus’ communication difficulties and the Company’s clear commitment to remain in full compliance with WAC 480-109-110 to the point of stressing that the requirements would be incorporated into weekly staff meetings.</w:t>
      </w:r>
    </w:p>
    <w:p w:rsidR="008856B2" w:rsidRPr="00E56FB1" w:rsidRDefault="008856B2" w:rsidP="008856B2">
      <w:pPr>
        <w:spacing w:after="0" w:line="360" w:lineRule="auto"/>
        <w:rPr>
          <w:sz w:val="24"/>
          <w:szCs w:val="24"/>
        </w:rPr>
      </w:pPr>
    </w:p>
    <w:p w:rsidR="00206407" w:rsidRPr="00E56FB1" w:rsidRDefault="008856B2" w:rsidP="008856B2">
      <w:pPr>
        <w:spacing w:after="0" w:line="360" w:lineRule="auto"/>
        <w:rPr>
          <w:sz w:val="24"/>
          <w:szCs w:val="24"/>
        </w:rPr>
      </w:pPr>
      <w:r w:rsidRPr="00E56FB1">
        <w:rPr>
          <w:sz w:val="24"/>
          <w:szCs w:val="24"/>
        </w:rPr>
        <w:t xml:space="preserve">On July 29th, 2016 Avista submitted reply comments to the joint comments of Mr. Anderson and </w:t>
      </w:r>
      <w:proofErr w:type="gramStart"/>
      <w:r w:rsidRPr="00E56FB1">
        <w:rPr>
          <w:sz w:val="24"/>
          <w:szCs w:val="24"/>
        </w:rPr>
        <w:t>myself</w:t>
      </w:r>
      <w:proofErr w:type="gramEnd"/>
      <w:r w:rsidRPr="00E56FB1">
        <w:rPr>
          <w:sz w:val="24"/>
          <w:szCs w:val="24"/>
        </w:rPr>
        <w:t xml:space="preserve">.  Within those reply comments they </w:t>
      </w:r>
      <w:r w:rsidR="00487D3D" w:rsidRPr="00E56FB1">
        <w:rPr>
          <w:sz w:val="24"/>
          <w:szCs w:val="24"/>
        </w:rPr>
        <w:t xml:space="preserve">partially </w:t>
      </w:r>
      <w:r w:rsidRPr="00E56FB1">
        <w:rPr>
          <w:sz w:val="24"/>
          <w:szCs w:val="24"/>
        </w:rPr>
        <w:t xml:space="preserve">responded to the transparency concerns expressed within our original comments by reporting </w:t>
      </w:r>
      <w:r w:rsidR="007336C9" w:rsidRPr="00E56FB1">
        <w:rPr>
          <w:sz w:val="24"/>
          <w:szCs w:val="24"/>
        </w:rPr>
        <w:t xml:space="preserve">at great length </w:t>
      </w:r>
      <w:r w:rsidRPr="00E56FB1">
        <w:rPr>
          <w:sz w:val="24"/>
          <w:szCs w:val="24"/>
        </w:rPr>
        <w:t xml:space="preserve">the many meetings, conference calls, webinars and newsletters as evidence of their level of involvement with the Advisory Group.  The Company additionally pointed out that they had added three members to their Advisory Group and were experiencing increased attendance at Advisory </w:t>
      </w:r>
      <w:r w:rsidRPr="00E56FB1">
        <w:rPr>
          <w:sz w:val="24"/>
          <w:szCs w:val="24"/>
        </w:rPr>
        <w:lastRenderedPageBreak/>
        <w:t>Group meetings</w:t>
      </w:r>
      <w:r w:rsidR="00306EDF">
        <w:rPr>
          <w:sz w:val="24"/>
          <w:szCs w:val="24"/>
        </w:rPr>
        <w:t>.</w:t>
      </w:r>
      <w:r w:rsidRPr="00E56FB1">
        <w:rPr>
          <w:sz w:val="24"/>
          <w:szCs w:val="24"/>
          <w:vertAlign w:val="superscript"/>
        </w:rPr>
        <w:t>2</w:t>
      </w:r>
      <w:r w:rsidR="001C3626" w:rsidRPr="00E56FB1">
        <w:rPr>
          <w:sz w:val="24"/>
          <w:szCs w:val="24"/>
          <w:vertAlign w:val="superscript"/>
        </w:rPr>
        <w:t>2</w:t>
      </w:r>
      <w:r w:rsidRPr="00E56FB1">
        <w:rPr>
          <w:sz w:val="24"/>
          <w:szCs w:val="24"/>
        </w:rPr>
        <w:t xml:space="preserve">  Yet despite the frequency and attendance at these meetings, the Company did not inform the Advisory Group of the Opower hiatus, the decision to not apply RTF UES</w:t>
      </w:r>
      <w:r w:rsidR="0017085A" w:rsidRPr="00E56FB1">
        <w:rPr>
          <w:sz w:val="24"/>
          <w:szCs w:val="24"/>
        </w:rPr>
        <w:t xml:space="preserve"> values</w:t>
      </w:r>
      <w:r w:rsidRPr="00E56FB1">
        <w:rPr>
          <w:sz w:val="24"/>
          <w:szCs w:val="24"/>
        </w:rPr>
        <w:t xml:space="preserve">, the deletion of the process evaluation of the </w:t>
      </w:r>
      <w:r w:rsidR="008F2898" w:rsidRPr="00E56FB1">
        <w:rPr>
          <w:sz w:val="24"/>
          <w:szCs w:val="24"/>
        </w:rPr>
        <w:t xml:space="preserve">DSM </w:t>
      </w:r>
      <w:r w:rsidR="00EC7E84">
        <w:rPr>
          <w:sz w:val="24"/>
          <w:szCs w:val="24"/>
        </w:rPr>
        <w:t>organization</w:t>
      </w:r>
      <w:r w:rsidRPr="00E56FB1">
        <w:rPr>
          <w:sz w:val="24"/>
          <w:szCs w:val="24"/>
        </w:rPr>
        <w:t xml:space="preserve"> </w:t>
      </w:r>
      <w:r w:rsidR="008F2898" w:rsidRPr="00E56FB1">
        <w:rPr>
          <w:sz w:val="24"/>
          <w:szCs w:val="24"/>
        </w:rPr>
        <w:t>and revisions to that organization n</w:t>
      </w:r>
      <w:r w:rsidRPr="00E56FB1">
        <w:rPr>
          <w:sz w:val="24"/>
          <w:szCs w:val="24"/>
        </w:rPr>
        <w:t>or the deletion of a status report on the recommendations of the external evaluator</w:t>
      </w:r>
      <w:r w:rsidR="008F2898" w:rsidRPr="00E56FB1">
        <w:rPr>
          <w:sz w:val="24"/>
          <w:szCs w:val="24"/>
        </w:rPr>
        <w:t xml:space="preserve"> in the previous biennium</w:t>
      </w:r>
      <w:r w:rsidRPr="00E56FB1">
        <w:rPr>
          <w:sz w:val="24"/>
          <w:szCs w:val="24"/>
        </w:rPr>
        <w:t xml:space="preserve">. </w:t>
      </w:r>
      <w:r w:rsidR="00AB562B" w:rsidRPr="00E56FB1">
        <w:rPr>
          <w:sz w:val="24"/>
          <w:szCs w:val="24"/>
        </w:rPr>
        <w:t xml:space="preserve"> </w:t>
      </w:r>
    </w:p>
    <w:p w:rsidR="00206407" w:rsidRPr="005B547D" w:rsidRDefault="00206407" w:rsidP="008856B2">
      <w:pPr>
        <w:spacing w:after="0" w:line="360" w:lineRule="auto"/>
        <w:rPr>
          <w:sz w:val="24"/>
          <w:szCs w:val="24"/>
        </w:rPr>
      </w:pPr>
    </w:p>
    <w:p w:rsidR="008856B2" w:rsidRPr="005B547D" w:rsidRDefault="00206407" w:rsidP="009A5515">
      <w:pPr>
        <w:spacing w:after="0" w:line="360" w:lineRule="auto"/>
        <w:rPr>
          <w:sz w:val="24"/>
          <w:szCs w:val="24"/>
        </w:rPr>
      </w:pPr>
      <w:r w:rsidRPr="005B547D">
        <w:rPr>
          <w:sz w:val="24"/>
          <w:szCs w:val="24"/>
        </w:rPr>
        <w:t>It is apparent that</w:t>
      </w:r>
      <w:r w:rsidR="00AB562B" w:rsidRPr="005B547D">
        <w:rPr>
          <w:sz w:val="24"/>
          <w:szCs w:val="24"/>
        </w:rPr>
        <w:t xml:space="preserve"> the frequency of contact</w:t>
      </w:r>
      <w:r w:rsidRPr="005B547D">
        <w:rPr>
          <w:sz w:val="24"/>
          <w:szCs w:val="24"/>
        </w:rPr>
        <w:t xml:space="preserve">, meeting attendance and </w:t>
      </w:r>
      <w:r w:rsidR="00AB562B" w:rsidRPr="005B547D">
        <w:rPr>
          <w:sz w:val="24"/>
          <w:szCs w:val="24"/>
        </w:rPr>
        <w:t xml:space="preserve">the size of the Advisory Group is an insufficient metric upon which to base a conclusion regarding the Company’s compliance with </w:t>
      </w:r>
      <w:r w:rsidRPr="005B547D">
        <w:rPr>
          <w:sz w:val="24"/>
          <w:szCs w:val="24"/>
        </w:rPr>
        <w:t xml:space="preserve">the WAC and other regulatory </w:t>
      </w:r>
      <w:r w:rsidR="00EC7E84" w:rsidRPr="005B547D">
        <w:rPr>
          <w:sz w:val="24"/>
          <w:szCs w:val="24"/>
        </w:rPr>
        <w:t>commitments</w:t>
      </w:r>
      <w:r w:rsidRPr="005B547D">
        <w:rPr>
          <w:sz w:val="24"/>
          <w:szCs w:val="24"/>
        </w:rPr>
        <w:t xml:space="preserve"> </w:t>
      </w:r>
      <w:r w:rsidR="003928F1">
        <w:rPr>
          <w:sz w:val="24"/>
          <w:szCs w:val="24"/>
        </w:rPr>
        <w:t>towards</w:t>
      </w:r>
      <w:r w:rsidRPr="005B547D">
        <w:rPr>
          <w:sz w:val="24"/>
          <w:szCs w:val="24"/>
        </w:rPr>
        <w:t xml:space="preserve"> communication and transparency.  </w:t>
      </w:r>
      <w:r w:rsidR="008856B2" w:rsidRPr="005B547D">
        <w:rPr>
          <w:sz w:val="24"/>
          <w:szCs w:val="24"/>
        </w:rPr>
        <w:t xml:space="preserve">The clarity of the Company’s commitments, the opportunity to implement a mid-course correction towards higher transparency as a result of the UE-151148 discussion and the many opportunities that the Company had to inform the Advisory Group of these changes </w:t>
      </w:r>
      <w:r w:rsidRPr="005B547D">
        <w:rPr>
          <w:sz w:val="24"/>
          <w:szCs w:val="24"/>
        </w:rPr>
        <w:t>is a strong argument</w:t>
      </w:r>
      <w:r w:rsidR="008856B2" w:rsidRPr="005B547D">
        <w:rPr>
          <w:sz w:val="24"/>
          <w:szCs w:val="24"/>
        </w:rPr>
        <w:t xml:space="preserve"> against </w:t>
      </w:r>
      <w:r w:rsidR="00804788" w:rsidRPr="005B547D">
        <w:rPr>
          <w:sz w:val="24"/>
          <w:szCs w:val="24"/>
        </w:rPr>
        <w:t>the</w:t>
      </w:r>
      <w:r w:rsidR="008856B2" w:rsidRPr="005B547D">
        <w:rPr>
          <w:sz w:val="24"/>
          <w:szCs w:val="24"/>
        </w:rPr>
        <w:t xml:space="preserve"> conclusion that these failure</w:t>
      </w:r>
      <w:r w:rsidR="00487D3D" w:rsidRPr="005B547D">
        <w:rPr>
          <w:sz w:val="24"/>
          <w:szCs w:val="24"/>
        </w:rPr>
        <w:t>s</w:t>
      </w:r>
      <w:r w:rsidR="008856B2" w:rsidRPr="005B547D">
        <w:rPr>
          <w:sz w:val="24"/>
          <w:szCs w:val="24"/>
        </w:rPr>
        <w:t xml:space="preserve"> to communicate </w:t>
      </w:r>
      <w:r w:rsidR="00EC7E84" w:rsidRPr="005B547D">
        <w:rPr>
          <w:sz w:val="24"/>
          <w:szCs w:val="24"/>
        </w:rPr>
        <w:t>are</w:t>
      </w:r>
      <w:r w:rsidR="008856B2" w:rsidRPr="005B547D">
        <w:rPr>
          <w:sz w:val="24"/>
          <w:szCs w:val="24"/>
        </w:rPr>
        <w:t xml:space="preserve"> anything other than </w:t>
      </w:r>
      <w:r w:rsidR="00EC7E84" w:rsidRPr="005B547D">
        <w:rPr>
          <w:sz w:val="24"/>
          <w:szCs w:val="24"/>
        </w:rPr>
        <w:t>the</w:t>
      </w:r>
      <w:r w:rsidR="008856B2" w:rsidRPr="005B547D">
        <w:rPr>
          <w:sz w:val="24"/>
          <w:szCs w:val="24"/>
        </w:rPr>
        <w:t xml:space="preserve"> product of a systematic deficiency.  </w:t>
      </w:r>
    </w:p>
    <w:p w:rsidR="008856B2" w:rsidRPr="005B547D" w:rsidRDefault="008856B2" w:rsidP="009A5515">
      <w:pPr>
        <w:spacing w:after="0" w:line="360" w:lineRule="auto"/>
        <w:rPr>
          <w:sz w:val="24"/>
          <w:szCs w:val="24"/>
        </w:rPr>
      </w:pPr>
    </w:p>
    <w:p w:rsidR="009A5515" w:rsidRPr="005B547D" w:rsidRDefault="00EC7E84" w:rsidP="009A5515">
      <w:pPr>
        <w:spacing w:after="0" w:line="360" w:lineRule="auto"/>
        <w:rPr>
          <w:sz w:val="24"/>
          <w:szCs w:val="24"/>
        </w:rPr>
      </w:pPr>
      <w:r w:rsidRPr="005B547D">
        <w:rPr>
          <w:sz w:val="24"/>
          <w:szCs w:val="24"/>
        </w:rPr>
        <w:t>Notably t</w:t>
      </w:r>
      <w:r w:rsidR="009A5515" w:rsidRPr="005B547D">
        <w:rPr>
          <w:sz w:val="24"/>
          <w:szCs w:val="24"/>
        </w:rPr>
        <w:t xml:space="preserve">he process evaluation </w:t>
      </w:r>
      <w:r w:rsidR="005B57C7" w:rsidRPr="005B547D">
        <w:rPr>
          <w:sz w:val="24"/>
          <w:szCs w:val="24"/>
        </w:rPr>
        <w:t>itself</w:t>
      </w:r>
      <w:r w:rsidR="009A5515" w:rsidRPr="005B547D">
        <w:rPr>
          <w:sz w:val="24"/>
          <w:szCs w:val="24"/>
        </w:rPr>
        <w:t xml:space="preserve"> contains an incorrect recollection that the shift towards the independent management of the evaluation process was a consequence of I-937 requirements</w:t>
      </w:r>
      <w:r w:rsidR="00A97FDA" w:rsidRPr="005B547D">
        <w:rPr>
          <w:sz w:val="24"/>
          <w:szCs w:val="24"/>
        </w:rPr>
        <w:t>; and th</w:t>
      </w:r>
      <w:r w:rsidR="00206407" w:rsidRPr="005B547D">
        <w:rPr>
          <w:sz w:val="24"/>
          <w:szCs w:val="24"/>
        </w:rPr>
        <w:t>is</w:t>
      </w:r>
      <w:r w:rsidR="00A97FDA" w:rsidRPr="005B547D">
        <w:rPr>
          <w:sz w:val="24"/>
          <w:szCs w:val="24"/>
        </w:rPr>
        <w:t xml:space="preserve"> inaccuracy is highly relevant to the issues being addressed within this docket</w:t>
      </w:r>
      <w:r w:rsidR="009A5515" w:rsidRPr="005B547D">
        <w:rPr>
          <w:sz w:val="24"/>
          <w:szCs w:val="24"/>
        </w:rPr>
        <w:t xml:space="preserve">.  The shift towards independent evaluation management was the </w:t>
      </w:r>
      <w:r w:rsidRPr="005B547D">
        <w:rPr>
          <w:sz w:val="24"/>
          <w:szCs w:val="24"/>
        </w:rPr>
        <w:t>consequence</w:t>
      </w:r>
      <w:r w:rsidR="009A5515" w:rsidRPr="005B547D">
        <w:rPr>
          <w:sz w:val="24"/>
          <w:szCs w:val="24"/>
        </w:rPr>
        <w:t xml:space="preserve"> of an extensive year-long Commission-ordered Collaborative process to address deficiencies found within the Company’s previous non-independent approach to evaluation management</w:t>
      </w:r>
      <w:r w:rsidR="00306EDF">
        <w:rPr>
          <w:sz w:val="24"/>
          <w:szCs w:val="24"/>
        </w:rPr>
        <w:t>.</w:t>
      </w:r>
      <w:r w:rsidR="009A5515" w:rsidRPr="005B547D">
        <w:rPr>
          <w:sz w:val="24"/>
          <w:szCs w:val="24"/>
          <w:vertAlign w:val="superscript"/>
        </w:rPr>
        <w:t>2</w:t>
      </w:r>
      <w:r w:rsidR="001C3626" w:rsidRPr="005B547D">
        <w:rPr>
          <w:sz w:val="24"/>
          <w:szCs w:val="24"/>
          <w:vertAlign w:val="superscript"/>
        </w:rPr>
        <w:t>3</w:t>
      </w:r>
      <w:r w:rsidR="009A5515" w:rsidRPr="005B547D">
        <w:rPr>
          <w:sz w:val="24"/>
          <w:szCs w:val="24"/>
        </w:rPr>
        <w:t xml:space="preserve">  That is also the process that generated the Company’s Evaluation, Measurement and Verification </w:t>
      </w:r>
      <w:r w:rsidR="00525BD5" w:rsidRPr="005B547D">
        <w:rPr>
          <w:sz w:val="24"/>
          <w:szCs w:val="24"/>
        </w:rPr>
        <w:t xml:space="preserve">(EM&amp;V) </w:t>
      </w:r>
      <w:r w:rsidR="009A5515" w:rsidRPr="005B547D">
        <w:rPr>
          <w:sz w:val="24"/>
          <w:szCs w:val="24"/>
        </w:rPr>
        <w:t>Framework document</w:t>
      </w:r>
      <w:r w:rsidR="00831522" w:rsidRPr="005B547D">
        <w:rPr>
          <w:sz w:val="24"/>
          <w:szCs w:val="24"/>
        </w:rPr>
        <w:t>,</w:t>
      </w:r>
      <w:r w:rsidR="009A5515" w:rsidRPr="005B547D">
        <w:rPr>
          <w:sz w:val="24"/>
          <w:szCs w:val="24"/>
        </w:rPr>
        <w:t xml:space="preserve"> which defines independence and established key evaluation commitments for the futu</w:t>
      </w:r>
      <w:r w:rsidR="00525BD5" w:rsidRPr="005B547D">
        <w:rPr>
          <w:sz w:val="24"/>
          <w:szCs w:val="24"/>
        </w:rPr>
        <w:t>re, a document which asserts that “Sound evaluation of energy efficiency programs requires transparency and independence”</w:t>
      </w:r>
      <w:r w:rsidR="00306EDF">
        <w:rPr>
          <w:sz w:val="24"/>
          <w:szCs w:val="24"/>
        </w:rPr>
        <w:t>.</w:t>
      </w:r>
      <w:r w:rsidR="00525BD5" w:rsidRPr="005B547D">
        <w:rPr>
          <w:sz w:val="24"/>
          <w:szCs w:val="24"/>
          <w:vertAlign w:val="superscript"/>
        </w:rPr>
        <w:t>2</w:t>
      </w:r>
      <w:r w:rsidR="001C3626" w:rsidRPr="005B547D">
        <w:rPr>
          <w:sz w:val="24"/>
          <w:szCs w:val="24"/>
          <w:vertAlign w:val="superscript"/>
        </w:rPr>
        <w:t>4</w:t>
      </w:r>
    </w:p>
    <w:p w:rsidR="00EC7E84" w:rsidRPr="005B547D" w:rsidRDefault="00EC7E84" w:rsidP="009A5515">
      <w:pPr>
        <w:spacing w:after="0" w:line="360" w:lineRule="auto"/>
        <w:rPr>
          <w:sz w:val="24"/>
          <w:szCs w:val="24"/>
        </w:rPr>
      </w:pPr>
    </w:p>
    <w:p w:rsidR="00EC7E84" w:rsidRPr="005B547D" w:rsidRDefault="00EC7E84" w:rsidP="009A5515">
      <w:pPr>
        <w:spacing w:after="0" w:line="360" w:lineRule="auto"/>
        <w:rPr>
          <w:sz w:val="24"/>
          <w:szCs w:val="24"/>
        </w:rPr>
      </w:pPr>
      <w:r w:rsidRPr="005B547D">
        <w:rPr>
          <w:sz w:val="24"/>
          <w:szCs w:val="24"/>
        </w:rPr>
        <w:t>Though the tone of the process evaluation was quite favorable towards the Company’s position, it did omit interviews completed and offered that would have conflicted with that narrative.</w:t>
      </w:r>
    </w:p>
    <w:p w:rsidR="009A5515" w:rsidRPr="005B547D" w:rsidRDefault="009A5515" w:rsidP="009A5515">
      <w:pPr>
        <w:spacing w:after="0" w:line="360" w:lineRule="auto"/>
        <w:rPr>
          <w:sz w:val="24"/>
          <w:szCs w:val="24"/>
        </w:rPr>
      </w:pPr>
    </w:p>
    <w:p w:rsidR="008856B2" w:rsidRPr="00E56FB1" w:rsidRDefault="008856B2" w:rsidP="009A5515">
      <w:pPr>
        <w:spacing w:after="0" w:line="360" w:lineRule="auto"/>
        <w:rPr>
          <w:sz w:val="24"/>
          <w:szCs w:val="24"/>
        </w:rPr>
      </w:pPr>
      <w:r w:rsidRPr="005B547D">
        <w:rPr>
          <w:sz w:val="24"/>
          <w:szCs w:val="24"/>
        </w:rPr>
        <w:t xml:space="preserve">The concerns regarding transparency and independent evaluation that Mr. Anderson and I expressed in </w:t>
      </w:r>
      <w:r w:rsidRPr="00E56FB1">
        <w:rPr>
          <w:sz w:val="24"/>
          <w:szCs w:val="24"/>
        </w:rPr>
        <w:t xml:space="preserve">our original July 19th, 2016 written comments seem prophetic given the issues that have come to light since that time.  </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Th</w:t>
      </w:r>
      <w:r w:rsidR="00347EFD" w:rsidRPr="00E56FB1">
        <w:rPr>
          <w:sz w:val="24"/>
          <w:szCs w:val="24"/>
        </w:rPr>
        <w:t>e</w:t>
      </w:r>
      <w:r w:rsidR="00831522" w:rsidRPr="00E56FB1">
        <w:rPr>
          <w:sz w:val="24"/>
          <w:szCs w:val="24"/>
        </w:rPr>
        <w:t xml:space="preserve"> management of evaluation by an</w:t>
      </w:r>
      <w:r w:rsidR="00347EFD" w:rsidRPr="00E56FB1">
        <w:rPr>
          <w:sz w:val="24"/>
          <w:szCs w:val="24"/>
        </w:rPr>
        <w:t xml:space="preserve"> internally independent team ended with the </w:t>
      </w:r>
      <w:r w:rsidRPr="00E56FB1">
        <w:rPr>
          <w:sz w:val="24"/>
          <w:szCs w:val="24"/>
        </w:rPr>
        <w:t>organization</w:t>
      </w:r>
      <w:r w:rsidR="00206407" w:rsidRPr="00E56FB1">
        <w:rPr>
          <w:sz w:val="24"/>
          <w:szCs w:val="24"/>
        </w:rPr>
        <w:t>al</w:t>
      </w:r>
      <w:r w:rsidRPr="00E56FB1">
        <w:rPr>
          <w:sz w:val="24"/>
          <w:szCs w:val="24"/>
        </w:rPr>
        <w:t xml:space="preserve"> changes that occurred within the 2014-2015 biennium.  Given that the</w:t>
      </w:r>
      <w:r w:rsidR="00347EFD" w:rsidRPr="00E56FB1">
        <w:rPr>
          <w:sz w:val="24"/>
          <w:szCs w:val="24"/>
        </w:rPr>
        <w:t xml:space="preserve"> several</w:t>
      </w:r>
      <w:r w:rsidRPr="00E56FB1">
        <w:rPr>
          <w:sz w:val="24"/>
          <w:szCs w:val="24"/>
        </w:rPr>
        <w:t xml:space="preserve"> lapses in transparency </w:t>
      </w:r>
      <w:r w:rsidR="00347EFD" w:rsidRPr="00E56FB1">
        <w:rPr>
          <w:sz w:val="24"/>
          <w:szCs w:val="24"/>
        </w:rPr>
        <w:t xml:space="preserve">noted within this process </w:t>
      </w:r>
      <w:r w:rsidRPr="00E56FB1">
        <w:rPr>
          <w:sz w:val="24"/>
          <w:szCs w:val="24"/>
        </w:rPr>
        <w:t xml:space="preserve">began to occur almost immediately after the shift to a less independent approach </w:t>
      </w:r>
      <w:r w:rsidR="00206407" w:rsidRPr="00E56FB1">
        <w:rPr>
          <w:sz w:val="24"/>
          <w:szCs w:val="24"/>
        </w:rPr>
        <w:t>of</w:t>
      </w:r>
      <w:r w:rsidRPr="00E56FB1">
        <w:rPr>
          <w:sz w:val="24"/>
          <w:szCs w:val="24"/>
        </w:rPr>
        <w:t xml:space="preserve"> </w:t>
      </w:r>
      <w:proofErr w:type="spellStart"/>
      <w:r w:rsidRPr="00E56FB1">
        <w:rPr>
          <w:sz w:val="24"/>
          <w:szCs w:val="24"/>
        </w:rPr>
        <w:t>Avista’s</w:t>
      </w:r>
      <w:proofErr w:type="spellEnd"/>
      <w:r w:rsidRPr="00E56FB1">
        <w:rPr>
          <w:sz w:val="24"/>
          <w:szCs w:val="24"/>
        </w:rPr>
        <w:t xml:space="preserve"> management of the evaluation, there is reasonable cause to hypothesize that there </w:t>
      </w:r>
      <w:r w:rsidR="007336C9" w:rsidRPr="00E56FB1">
        <w:rPr>
          <w:sz w:val="24"/>
          <w:szCs w:val="24"/>
        </w:rPr>
        <w:t>is</w:t>
      </w:r>
      <w:r w:rsidRPr="00E56FB1">
        <w:rPr>
          <w:sz w:val="24"/>
          <w:szCs w:val="24"/>
        </w:rPr>
        <w:t xml:space="preserve"> a causal relationship between the </w:t>
      </w:r>
      <w:r w:rsidR="00804788" w:rsidRPr="00E56FB1">
        <w:rPr>
          <w:sz w:val="24"/>
          <w:szCs w:val="24"/>
        </w:rPr>
        <w:t xml:space="preserve">termination of </w:t>
      </w:r>
      <w:r w:rsidR="005B547D">
        <w:rPr>
          <w:sz w:val="24"/>
          <w:szCs w:val="24"/>
        </w:rPr>
        <w:t>the</w:t>
      </w:r>
      <w:r w:rsidR="00804788" w:rsidRPr="00E56FB1">
        <w:rPr>
          <w:sz w:val="24"/>
          <w:szCs w:val="24"/>
        </w:rPr>
        <w:t xml:space="preserve"> independent management of the evaluation process</w:t>
      </w:r>
      <w:r w:rsidRPr="00E56FB1">
        <w:rPr>
          <w:sz w:val="24"/>
          <w:szCs w:val="24"/>
        </w:rPr>
        <w:t xml:space="preserve"> and the </w:t>
      </w:r>
      <w:r w:rsidR="00804788" w:rsidRPr="00E56FB1">
        <w:rPr>
          <w:sz w:val="24"/>
          <w:szCs w:val="24"/>
        </w:rPr>
        <w:t xml:space="preserve">many recent failures in </w:t>
      </w:r>
      <w:r w:rsidRPr="00E56FB1">
        <w:rPr>
          <w:sz w:val="24"/>
          <w:szCs w:val="24"/>
        </w:rPr>
        <w:t xml:space="preserve">transparency </w:t>
      </w:r>
      <w:r w:rsidR="00804788" w:rsidRPr="00E56FB1">
        <w:rPr>
          <w:sz w:val="24"/>
          <w:szCs w:val="24"/>
        </w:rPr>
        <w:t>and communication</w:t>
      </w:r>
      <w:r w:rsidRPr="00E56FB1">
        <w:rPr>
          <w:sz w:val="24"/>
          <w:szCs w:val="24"/>
        </w:rPr>
        <w:t xml:space="preserve">.  </w:t>
      </w:r>
    </w:p>
    <w:p w:rsidR="007C536B" w:rsidRPr="00E56FB1" w:rsidRDefault="007C536B" w:rsidP="008856B2">
      <w:pPr>
        <w:rPr>
          <w:sz w:val="24"/>
          <w:szCs w:val="24"/>
        </w:rPr>
      </w:pPr>
    </w:p>
    <w:p w:rsidR="009A5515" w:rsidRPr="00E56FB1" w:rsidRDefault="009A5515">
      <w:pPr>
        <w:rPr>
          <w:sz w:val="24"/>
          <w:szCs w:val="24"/>
        </w:rPr>
      </w:pPr>
    </w:p>
    <w:p w:rsidR="00C52D9A" w:rsidRDefault="00C52D9A">
      <w:pPr>
        <w:rPr>
          <w:b/>
          <w:sz w:val="24"/>
          <w:szCs w:val="24"/>
          <w:u w:val="single"/>
        </w:rPr>
      </w:pPr>
      <w:r>
        <w:rPr>
          <w:b/>
          <w:sz w:val="24"/>
          <w:szCs w:val="24"/>
          <w:u w:val="single"/>
        </w:rPr>
        <w:br w:type="page"/>
      </w:r>
    </w:p>
    <w:p w:rsidR="008856B2" w:rsidRPr="00E56FB1" w:rsidRDefault="009A5515" w:rsidP="008856B2">
      <w:pPr>
        <w:spacing w:after="0" w:line="360" w:lineRule="auto"/>
        <w:rPr>
          <w:b/>
          <w:sz w:val="24"/>
          <w:szCs w:val="24"/>
          <w:u w:val="single"/>
        </w:rPr>
      </w:pPr>
      <w:r w:rsidRPr="00E56FB1">
        <w:rPr>
          <w:b/>
          <w:sz w:val="24"/>
          <w:szCs w:val="24"/>
          <w:u w:val="single"/>
        </w:rPr>
        <w:lastRenderedPageBreak/>
        <w:t>Endnotes</w:t>
      </w:r>
    </w:p>
    <w:p w:rsidR="008856B2" w:rsidRPr="00E56FB1" w:rsidRDefault="008856B2" w:rsidP="008856B2">
      <w:pPr>
        <w:spacing w:after="120"/>
        <w:ind w:left="540" w:hanging="540"/>
        <w:rPr>
          <w:sz w:val="24"/>
          <w:szCs w:val="24"/>
        </w:rPr>
      </w:pPr>
      <w:r w:rsidRPr="00E56FB1">
        <w:rPr>
          <w:sz w:val="24"/>
          <w:szCs w:val="24"/>
        </w:rPr>
        <w:t>1.</w:t>
      </w:r>
      <w:r w:rsidRPr="00E56FB1">
        <w:rPr>
          <w:sz w:val="24"/>
          <w:szCs w:val="24"/>
        </w:rPr>
        <w:tab/>
        <w:t xml:space="preserve">From a July 14th, 2016 e-mail from Mike Dillon, </w:t>
      </w:r>
      <w:proofErr w:type="spellStart"/>
      <w:r w:rsidRPr="00E56FB1">
        <w:rPr>
          <w:sz w:val="24"/>
          <w:szCs w:val="24"/>
        </w:rPr>
        <w:t>Avista’s</w:t>
      </w:r>
      <w:proofErr w:type="spellEnd"/>
      <w:r w:rsidRPr="00E56FB1">
        <w:rPr>
          <w:sz w:val="24"/>
          <w:szCs w:val="24"/>
        </w:rPr>
        <w:t xml:space="preserve"> DSM Planning and Analytics Manager.</w:t>
      </w:r>
    </w:p>
    <w:p w:rsidR="008856B2" w:rsidRPr="00FC2F72" w:rsidRDefault="008856B2" w:rsidP="008856B2">
      <w:pPr>
        <w:spacing w:after="120"/>
        <w:ind w:left="540" w:hanging="540"/>
        <w:rPr>
          <w:sz w:val="24"/>
          <w:szCs w:val="24"/>
        </w:rPr>
      </w:pPr>
      <w:r w:rsidRPr="00E56FB1">
        <w:rPr>
          <w:sz w:val="24"/>
          <w:szCs w:val="24"/>
        </w:rPr>
        <w:t>2.</w:t>
      </w:r>
      <w:r w:rsidRPr="00E56FB1">
        <w:rPr>
          <w:sz w:val="24"/>
          <w:szCs w:val="24"/>
        </w:rPr>
        <w:tab/>
      </w:r>
      <w:r w:rsidRPr="00FC2F72">
        <w:rPr>
          <w:sz w:val="24"/>
          <w:szCs w:val="24"/>
        </w:rPr>
        <w:t>Appendix B to the 2014-2015 Biennial Conservation Plan, docket UE-151148, filed Nov 1 2013.</w:t>
      </w:r>
    </w:p>
    <w:p w:rsidR="003009C0" w:rsidRPr="00FC2F72" w:rsidRDefault="008856B2" w:rsidP="008856B2">
      <w:pPr>
        <w:spacing w:after="120"/>
        <w:ind w:left="540" w:hanging="540"/>
        <w:rPr>
          <w:sz w:val="24"/>
          <w:szCs w:val="24"/>
        </w:rPr>
      </w:pPr>
      <w:r w:rsidRPr="00FC2F72">
        <w:rPr>
          <w:sz w:val="24"/>
          <w:szCs w:val="24"/>
        </w:rPr>
        <w:t>3.</w:t>
      </w:r>
      <w:r w:rsidRPr="00FC2F72">
        <w:rPr>
          <w:sz w:val="24"/>
          <w:szCs w:val="24"/>
        </w:rPr>
        <w:tab/>
      </w:r>
      <w:r w:rsidR="00FC2F72" w:rsidRPr="00FC2F72">
        <w:rPr>
          <w:sz w:val="24"/>
          <w:szCs w:val="24"/>
        </w:rPr>
        <w:t xml:space="preserve">Appendix </w:t>
      </w:r>
      <w:r w:rsidR="00FC2F72" w:rsidRPr="00FC2F72">
        <w:rPr>
          <w:sz w:val="24"/>
          <w:szCs w:val="24"/>
        </w:rPr>
        <w:t>C</w:t>
      </w:r>
      <w:r w:rsidR="00FC2F72" w:rsidRPr="00FC2F72">
        <w:rPr>
          <w:sz w:val="24"/>
          <w:szCs w:val="24"/>
        </w:rPr>
        <w:t xml:space="preserve"> to the 2014-2015 Biennial Conservation Plan, docket UE-151148, filed Nov 1 2013.</w:t>
      </w:r>
    </w:p>
    <w:p w:rsidR="008856B2" w:rsidRPr="00FC2F72" w:rsidRDefault="003009C0" w:rsidP="008856B2">
      <w:pPr>
        <w:spacing w:after="120"/>
        <w:ind w:left="540" w:hanging="540"/>
        <w:rPr>
          <w:sz w:val="24"/>
          <w:szCs w:val="24"/>
        </w:rPr>
      </w:pPr>
      <w:r w:rsidRPr="00FC2F72">
        <w:rPr>
          <w:sz w:val="24"/>
          <w:szCs w:val="24"/>
        </w:rPr>
        <w:t>4.</w:t>
      </w:r>
      <w:r w:rsidRPr="00FC2F72">
        <w:rPr>
          <w:sz w:val="24"/>
          <w:szCs w:val="24"/>
        </w:rPr>
        <w:tab/>
      </w:r>
      <w:r w:rsidRPr="00FC2F72">
        <w:rPr>
          <w:i/>
          <w:sz w:val="24"/>
          <w:szCs w:val="24"/>
        </w:rPr>
        <w:t>Id</w:t>
      </w:r>
      <w:r w:rsidRPr="00FC2F72">
        <w:rPr>
          <w:sz w:val="24"/>
          <w:szCs w:val="24"/>
        </w:rPr>
        <w:t>.</w:t>
      </w:r>
      <w:r w:rsidR="008856B2" w:rsidRPr="00FC2F72">
        <w:rPr>
          <w:sz w:val="24"/>
          <w:szCs w:val="24"/>
        </w:rPr>
        <w:tab/>
      </w:r>
    </w:p>
    <w:p w:rsidR="008856B2" w:rsidRPr="00FC2F72" w:rsidRDefault="008856B2" w:rsidP="008856B2">
      <w:pPr>
        <w:spacing w:after="120"/>
        <w:ind w:left="540" w:hanging="540"/>
        <w:rPr>
          <w:sz w:val="24"/>
          <w:szCs w:val="24"/>
        </w:rPr>
      </w:pPr>
      <w:r w:rsidRPr="00FC2F72">
        <w:rPr>
          <w:sz w:val="24"/>
          <w:szCs w:val="24"/>
        </w:rPr>
        <w:t>5.</w:t>
      </w:r>
      <w:r w:rsidRPr="00FC2F72">
        <w:rPr>
          <w:sz w:val="24"/>
          <w:szCs w:val="24"/>
        </w:rPr>
        <w:tab/>
      </w:r>
      <w:r w:rsidRPr="00FC2F72">
        <w:rPr>
          <w:i/>
          <w:sz w:val="24"/>
          <w:szCs w:val="24"/>
        </w:rPr>
        <w:t>Id</w:t>
      </w:r>
      <w:r w:rsidR="001C3626" w:rsidRPr="00FC2F72">
        <w:rPr>
          <w:sz w:val="24"/>
          <w:szCs w:val="24"/>
        </w:rPr>
        <w:t>.</w:t>
      </w:r>
    </w:p>
    <w:p w:rsidR="001C3626" w:rsidRPr="00E56FB1" w:rsidRDefault="001C3626" w:rsidP="008856B2">
      <w:pPr>
        <w:spacing w:after="120"/>
        <w:ind w:left="540" w:hanging="540"/>
        <w:rPr>
          <w:sz w:val="24"/>
          <w:szCs w:val="24"/>
        </w:rPr>
      </w:pPr>
      <w:r w:rsidRPr="00FC2F72">
        <w:rPr>
          <w:sz w:val="24"/>
          <w:szCs w:val="24"/>
        </w:rPr>
        <w:t>6.</w:t>
      </w:r>
      <w:r w:rsidRPr="00FC2F72">
        <w:rPr>
          <w:sz w:val="24"/>
          <w:szCs w:val="24"/>
        </w:rPr>
        <w:tab/>
        <w:t>Intervi</w:t>
      </w:r>
      <w:r w:rsidR="005517AA" w:rsidRPr="00FC2F72">
        <w:rPr>
          <w:sz w:val="24"/>
          <w:szCs w:val="24"/>
        </w:rPr>
        <w:t>ew notes were acquired by Staff and contain extensive discussions of the commitment</w:t>
      </w:r>
      <w:r w:rsidR="005517AA" w:rsidRPr="00E56FB1">
        <w:rPr>
          <w:sz w:val="24"/>
          <w:szCs w:val="24"/>
        </w:rPr>
        <w:t xml:space="preserve"> to use the RTF UES values in all circumstances where they are applicable.</w:t>
      </w:r>
    </w:p>
    <w:p w:rsidR="008856B2" w:rsidRPr="00E56FB1" w:rsidRDefault="001C3626" w:rsidP="008856B2">
      <w:pPr>
        <w:spacing w:after="120"/>
        <w:ind w:left="540" w:hanging="540"/>
        <w:rPr>
          <w:sz w:val="24"/>
          <w:szCs w:val="24"/>
        </w:rPr>
      </w:pPr>
      <w:r w:rsidRPr="00E56FB1">
        <w:rPr>
          <w:sz w:val="24"/>
          <w:szCs w:val="24"/>
        </w:rPr>
        <w:t>7</w:t>
      </w:r>
      <w:r w:rsidR="008856B2" w:rsidRPr="00E56FB1">
        <w:rPr>
          <w:sz w:val="24"/>
          <w:szCs w:val="24"/>
        </w:rPr>
        <w:t>.</w:t>
      </w:r>
      <w:r w:rsidR="008856B2" w:rsidRPr="00E56FB1">
        <w:rPr>
          <w:sz w:val="24"/>
          <w:szCs w:val="24"/>
        </w:rPr>
        <w:tab/>
        <w:t xml:space="preserve">Appendix A to </w:t>
      </w:r>
      <w:proofErr w:type="spellStart"/>
      <w:r w:rsidR="008856B2" w:rsidRPr="00E56FB1">
        <w:rPr>
          <w:sz w:val="24"/>
          <w:szCs w:val="24"/>
        </w:rPr>
        <w:t>Avista’s</w:t>
      </w:r>
      <w:proofErr w:type="spellEnd"/>
      <w:r w:rsidR="008856B2" w:rsidRPr="00E56FB1">
        <w:rPr>
          <w:sz w:val="24"/>
          <w:szCs w:val="24"/>
        </w:rPr>
        <w:t xml:space="preserve"> June 1</w:t>
      </w:r>
      <w:r w:rsidR="008856B2" w:rsidRPr="00E56FB1">
        <w:rPr>
          <w:sz w:val="24"/>
          <w:szCs w:val="24"/>
          <w:vertAlign w:val="superscript"/>
        </w:rPr>
        <w:t>st</w:t>
      </w:r>
      <w:r w:rsidR="008856B2" w:rsidRPr="00E56FB1">
        <w:rPr>
          <w:sz w:val="24"/>
          <w:szCs w:val="24"/>
        </w:rPr>
        <w:t>, 2016 filing in docket UE-132045 entitled “Impact Evaluation of Washington Electric 2014-2015 Energy Efficiency Programs” by Nexant.  Paragraphs referring to the use of RTF UES</w:t>
      </w:r>
      <w:r w:rsidR="00990225" w:rsidRPr="00E56FB1">
        <w:rPr>
          <w:sz w:val="24"/>
          <w:szCs w:val="24"/>
        </w:rPr>
        <w:t xml:space="preserve"> values</w:t>
      </w:r>
      <w:r w:rsidR="008856B2" w:rsidRPr="00E56FB1">
        <w:rPr>
          <w:sz w:val="24"/>
          <w:szCs w:val="24"/>
        </w:rPr>
        <w:t xml:space="preserve"> were found on pages 5, 6, 24, 36, 36, 48, 49, 50, 50, 50, 53, 57, 59, 74, 75, 81, 82, 116, 117, 118, 152, 153 and D-5.  Repetitive page references indicate more than one paragraph reference on the same page.</w:t>
      </w:r>
    </w:p>
    <w:p w:rsidR="008856B2" w:rsidRPr="00E56FB1" w:rsidRDefault="001C3626" w:rsidP="008856B2">
      <w:pPr>
        <w:spacing w:after="120"/>
        <w:ind w:left="540" w:hanging="540"/>
        <w:rPr>
          <w:sz w:val="24"/>
          <w:szCs w:val="24"/>
        </w:rPr>
      </w:pPr>
      <w:r w:rsidRPr="00E56FB1">
        <w:rPr>
          <w:sz w:val="24"/>
          <w:szCs w:val="24"/>
        </w:rPr>
        <w:t>8</w:t>
      </w:r>
      <w:r w:rsidR="008856B2" w:rsidRPr="00E56FB1">
        <w:rPr>
          <w:sz w:val="24"/>
          <w:szCs w:val="24"/>
        </w:rPr>
        <w:t>.</w:t>
      </w:r>
      <w:r w:rsidR="008856B2" w:rsidRPr="00E56FB1">
        <w:rPr>
          <w:sz w:val="24"/>
          <w:szCs w:val="24"/>
        </w:rPr>
        <w:tab/>
      </w:r>
      <w:r w:rsidR="008856B2" w:rsidRPr="00E56FB1">
        <w:rPr>
          <w:i/>
          <w:sz w:val="24"/>
          <w:szCs w:val="24"/>
        </w:rPr>
        <w:t>Id</w:t>
      </w:r>
      <w:r w:rsidR="008856B2" w:rsidRPr="00E56FB1">
        <w:rPr>
          <w:sz w:val="24"/>
          <w:szCs w:val="24"/>
        </w:rPr>
        <w:t>. at page 5.</w:t>
      </w:r>
    </w:p>
    <w:p w:rsidR="008856B2" w:rsidRPr="00E56FB1" w:rsidRDefault="001C3626" w:rsidP="008856B2">
      <w:pPr>
        <w:spacing w:after="120"/>
        <w:ind w:left="540" w:hanging="540"/>
        <w:rPr>
          <w:sz w:val="24"/>
          <w:szCs w:val="24"/>
        </w:rPr>
      </w:pPr>
      <w:r w:rsidRPr="00E56FB1">
        <w:rPr>
          <w:sz w:val="24"/>
          <w:szCs w:val="24"/>
        </w:rPr>
        <w:t>9</w:t>
      </w:r>
      <w:r w:rsidR="008856B2" w:rsidRPr="00E56FB1">
        <w:rPr>
          <w:sz w:val="24"/>
          <w:szCs w:val="24"/>
        </w:rPr>
        <w:t>.</w:t>
      </w:r>
      <w:r w:rsidR="008856B2" w:rsidRPr="00E56FB1">
        <w:rPr>
          <w:sz w:val="24"/>
          <w:szCs w:val="24"/>
        </w:rPr>
        <w:tab/>
      </w:r>
      <w:r w:rsidR="008856B2" w:rsidRPr="00E56FB1">
        <w:rPr>
          <w:i/>
          <w:sz w:val="24"/>
          <w:szCs w:val="24"/>
        </w:rPr>
        <w:t>Id</w:t>
      </w:r>
      <w:r w:rsidR="008856B2" w:rsidRPr="00E56FB1">
        <w:rPr>
          <w:sz w:val="24"/>
          <w:szCs w:val="24"/>
        </w:rPr>
        <w:t>. at page 36.</w:t>
      </w:r>
    </w:p>
    <w:p w:rsidR="008856B2" w:rsidRPr="00E56FB1" w:rsidRDefault="001C3626" w:rsidP="008856B2">
      <w:pPr>
        <w:spacing w:after="120"/>
        <w:ind w:left="540" w:hanging="540"/>
        <w:rPr>
          <w:sz w:val="24"/>
          <w:szCs w:val="24"/>
        </w:rPr>
      </w:pPr>
      <w:r w:rsidRPr="00E56FB1">
        <w:rPr>
          <w:sz w:val="24"/>
          <w:szCs w:val="24"/>
        </w:rPr>
        <w:t>10</w:t>
      </w:r>
      <w:r w:rsidR="008856B2" w:rsidRPr="00E56FB1">
        <w:rPr>
          <w:sz w:val="24"/>
          <w:szCs w:val="24"/>
        </w:rPr>
        <w:t>.</w:t>
      </w:r>
      <w:r w:rsidR="008856B2" w:rsidRPr="00E56FB1">
        <w:rPr>
          <w:sz w:val="24"/>
          <w:szCs w:val="24"/>
        </w:rPr>
        <w:tab/>
      </w:r>
      <w:r w:rsidR="008856B2" w:rsidRPr="00E56FB1">
        <w:rPr>
          <w:i/>
          <w:sz w:val="24"/>
          <w:szCs w:val="24"/>
        </w:rPr>
        <w:t>Id</w:t>
      </w:r>
      <w:r w:rsidR="008856B2" w:rsidRPr="00E56FB1">
        <w:rPr>
          <w:sz w:val="24"/>
          <w:szCs w:val="24"/>
        </w:rPr>
        <w:t>. at page 49.</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1</w:t>
      </w:r>
      <w:r w:rsidRPr="00E56FB1">
        <w:rPr>
          <w:sz w:val="24"/>
          <w:szCs w:val="24"/>
        </w:rPr>
        <w:t>.</w:t>
      </w:r>
      <w:r w:rsidRPr="00E56FB1">
        <w:rPr>
          <w:sz w:val="24"/>
          <w:szCs w:val="24"/>
        </w:rPr>
        <w:tab/>
      </w:r>
      <w:r w:rsidRPr="00E56FB1">
        <w:rPr>
          <w:i/>
          <w:sz w:val="24"/>
          <w:szCs w:val="24"/>
        </w:rPr>
        <w:t>Id</w:t>
      </w:r>
      <w:r w:rsidRPr="00E56FB1">
        <w:rPr>
          <w:sz w:val="24"/>
          <w:szCs w:val="24"/>
        </w:rPr>
        <w:t xml:space="preserve">. at page </w:t>
      </w:r>
      <w:proofErr w:type="spellStart"/>
      <w:r w:rsidRPr="00E56FB1">
        <w:rPr>
          <w:sz w:val="24"/>
          <w:szCs w:val="24"/>
        </w:rPr>
        <w:t>page</w:t>
      </w:r>
      <w:proofErr w:type="spellEnd"/>
      <w:r w:rsidRPr="00E56FB1">
        <w:rPr>
          <w:sz w:val="24"/>
          <w:szCs w:val="24"/>
        </w:rPr>
        <w:t xml:space="preserve"> 50.</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2</w:t>
      </w:r>
      <w:r w:rsidRPr="00E56FB1">
        <w:rPr>
          <w:sz w:val="24"/>
          <w:szCs w:val="24"/>
        </w:rPr>
        <w:t>.</w:t>
      </w:r>
      <w:r w:rsidRPr="00E56FB1">
        <w:rPr>
          <w:sz w:val="24"/>
          <w:szCs w:val="24"/>
        </w:rPr>
        <w:tab/>
      </w:r>
      <w:r w:rsidRPr="00E56FB1">
        <w:rPr>
          <w:i/>
          <w:sz w:val="24"/>
          <w:szCs w:val="24"/>
        </w:rPr>
        <w:t>Id</w:t>
      </w:r>
      <w:r w:rsidRPr="00E56FB1">
        <w:rPr>
          <w:sz w:val="24"/>
          <w:szCs w:val="24"/>
        </w:rPr>
        <w:t xml:space="preserve">. at page </w:t>
      </w:r>
      <w:proofErr w:type="spellStart"/>
      <w:r w:rsidRPr="00E56FB1">
        <w:rPr>
          <w:sz w:val="24"/>
          <w:szCs w:val="24"/>
        </w:rPr>
        <w:t>page</w:t>
      </w:r>
      <w:proofErr w:type="spellEnd"/>
      <w:r w:rsidRPr="00E56FB1">
        <w:rPr>
          <w:sz w:val="24"/>
          <w:szCs w:val="24"/>
        </w:rPr>
        <w:t xml:space="preserve"> 152.</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3</w:t>
      </w:r>
      <w:r w:rsidRPr="00E56FB1">
        <w:rPr>
          <w:sz w:val="24"/>
          <w:szCs w:val="24"/>
        </w:rPr>
        <w:t>.</w:t>
      </w:r>
      <w:r w:rsidRPr="00E56FB1">
        <w:rPr>
          <w:sz w:val="24"/>
          <w:szCs w:val="24"/>
        </w:rPr>
        <w:tab/>
        <w:t>Staff comments in UE-</w:t>
      </w:r>
      <w:proofErr w:type="gramStart"/>
      <w:r w:rsidRPr="00E56FB1">
        <w:rPr>
          <w:sz w:val="24"/>
          <w:szCs w:val="24"/>
        </w:rPr>
        <w:t>132045,</w:t>
      </w:r>
      <w:proofErr w:type="gramEnd"/>
      <w:r w:rsidRPr="00E56FB1">
        <w:rPr>
          <w:sz w:val="24"/>
          <w:szCs w:val="24"/>
        </w:rPr>
        <w:t xml:space="preserve"> filed July 21, 2016, page 13.</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4</w:t>
      </w:r>
      <w:r w:rsidRPr="00E56FB1">
        <w:rPr>
          <w:sz w:val="24"/>
          <w:szCs w:val="24"/>
        </w:rPr>
        <w:t>.</w:t>
      </w:r>
      <w:r w:rsidRPr="00E56FB1">
        <w:rPr>
          <w:sz w:val="24"/>
          <w:szCs w:val="24"/>
        </w:rPr>
        <w:tab/>
      </w:r>
      <w:r w:rsidRPr="00E56FB1">
        <w:rPr>
          <w:i/>
          <w:sz w:val="24"/>
          <w:szCs w:val="24"/>
        </w:rPr>
        <w:t>Id</w:t>
      </w:r>
      <w:r w:rsidR="002749E0">
        <w:rPr>
          <w:sz w:val="24"/>
          <w:szCs w:val="24"/>
        </w:rPr>
        <w:t>.</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5</w:t>
      </w:r>
      <w:r w:rsidRPr="00E56FB1">
        <w:rPr>
          <w:sz w:val="24"/>
          <w:szCs w:val="24"/>
        </w:rPr>
        <w:t>.</w:t>
      </w:r>
      <w:r w:rsidRPr="00E56FB1">
        <w:rPr>
          <w:sz w:val="24"/>
          <w:szCs w:val="24"/>
        </w:rPr>
        <w:tab/>
        <w:t xml:space="preserve">WAC 480-109-110 </w:t>
      </w:r>
      <w:proofErr w:type="gramStart"/>
      <w:r w:rsidRPr="00E56FB1">
        <w:rPr>
          <w:sz w:val="24"/>
          <w:szCs w:val="24"/>
        </w:rPr>
        <w:t>( c</w:t>
      </w:r>
      <w:proofErr w:type="gramEnd"/>
      <w:r w:rsidRPr="00E56FB1">
        <w:rPr>
          <w:sz w:val="24"/>
          <w:szCs w:val="24"/>
        </w:rPr>
        <w:t xml:space="preserve"> ).</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6</w:t>
      </w:r>
      <w:r w:rsidRPr="00E56FB1">
        <w:rPr>
          <w:sz w:val="24"/>
          <w:szCs w:val="24"/>
        </w:rPr>
        <w:t>.</w:t>
      </w:r>
      <w:r w:rsidRPr="00E56FB1">
        <w:rPr>
          <w:sz w:val="24"/>
          <w:szCs w:val="24"/>
        </w:rPr>
        <w:tab/>
        <w:t>The term ‘Opower hiatus’ was coined in reference to the eight month cessation of home energy reports to Avista customers.</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7</w:t>
      </w:r>
      <w:r w:rsidRPr="00E56FB1">
        <w:rPr>
          <w:sz w:val="24"/>
          <w:szCs w:val="24"/>
        </w:rPr>
        <w:t>.</w:t>
      </w:r>
      <w:r w:rsidRPr="00E56FB1">
        <w:rPr>
          <w:sz w:val="24"/>
          <w:szCs w:val="24"/>
        </w:rPr>
        <w:tab/>
        <w:t>The Avista testimony of Mr. Kevin Christie’s in support of the multiparty settlement to UE-151148, page 4.</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8</w:t>
      </w:r>
      <w:r w:rsidRPr="00E56FB1">
        <w:rPr>
          <w:sz w:val="24"/>
          <w:szCs w:val="24"/>
        </w:rPr>
        <w:t>.</w:t>
      </w:r>
      <w:r w:rsidRPr="00E56FB1">
        <w:rPr>
          <w:sz w:val="24"/>
          <w:szCs w:val="24"/>
        </w:rPr>
        <w:tab/>
        <w:t xml:space="preserve">Order 4, UE-151148, page 7, item #21.   </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9</w:t>
      </w:r>
      <w:r w:rsidRPr="00E56FB1">
        <w:rPr>
          <w:sz w:val="24"/>
          <w:szCs w:val="24"/>
        </w:rPr>
        <w:t>.</w:t>
      </w:r>
      <w:r w:rsidRPr="00E56FB1">
        <w:rPr>
          <w:sz w:val="24"/>
          <w:szCs w:val="24"/>
        </w:rPr>
        <w:tab/>
        <w:t xml:space="preserve">The joint testimony of Mr. Brad </w:t>
      </w:r>
      <w:proofErr w:type="spellStart"/>
      <w:r w:rsidRPr="00E56FB1">
        <w:rPr>
          <w:sz w:val="24"/>
          <w:szCs w:val="24"/>
        </w:rPr>
        <w:t>Cebulko</w:t>
      </w:r>
      <w:proofErr w:type="spellEnd"/>
      <w:r w:rsidRPr="00E56FB1">
        <w:rPr>
          <w:sz w:val="24"/>
          <w:szCs w:val="24"/>
        </w:rPr>
        <w:t xml:space="preserve"> and Ms. Mary Kimball in support of the multiparty settlement to UE-151148, page 8.</w:t>
      </w:r>
    </w:p>
    <w:p w:rsidR="008856B2" w:rsidRPr="00E56FB1" w:rsidRDefault="001C3626" w:rsidP="008856B2">
      <w:pPr>
        <w:spacing w:after="120"/>
        <w:ind w:left="540" w:hanging="540"/>
        <w:rPr>
          <w:sz w:val="24"/>
          <w:szCs w:val="24"/>
        </w:rPr>
      </w:pPr>
      <w:r w:rsidRPr="00E56FB1">
        <w:rPr>
          <w:sz w:val="24"/>
          <w:szCs w:val="24"/>
        </w:rPr>
        <w:lastRenderedPageBreak/>
        <w:t>20</w:t>
      </w:r>
      <w:r w:rsidR="008856B2" w:rsidRPr="00E56FB1">
        <w:rPr>
          <w:sz w:val="24"/>
          <w:szCs w:val="24"/>
        </w:rPr>
        <w:t>.</w:t>
      </w:r>
      <w:r w:rsidR="008856B2" w:rsidRPr="00E56FB1">
        <w:rPr>
          <w:sz w:val="24"/>
          <w:szCs w:val="24"/>
        </w:rPr>
        <w:tab/>
        <w:t>Referencing a Nexant work plan entitled the “Evaluation Work Plan for 2014-2015 Demand-Side Management Programs” dated January 15</w:t>
      </w:r>
      <w:r w:rsidR="008856B2" w:rsidRPr="00E56FB1">
        <w:rPr>
          <w:sz w:val="24"/>
          <w:szCs w:val="24"/>
          <w:vertAlign w:val="superscript"/>
        </w:rPr>
        <w:t>th</w:t>
      </w:r>
      <w:r w:rsidR="008856B2" w:rsidRPr="00E56FB1">
        <w:rPr>
          <w:sz w:val="24"/>
          <w:szCs w:val="24"/>
        </w:rPr>
        <w:t>, 2015, and subsequently distributed to the Advisory Group, stating that “The evaluation team intends to consider and build from findings and recommendations from the prior evaluations completed for Avista” (page 10).  The work plan goes on to say that “We will use these interviews as a “check-in” to learn about any mid-year program changes, market developments, and further perceptions or reflections regarding the Avista organizational changes” on page 39</w:t>
      </w:r>
      <w:r w:rsidR="003009C0">
        <w:rPr>
          <w:sz w:val="24"/>
          <w:szCs w:val="24"/>
        </w:rPr>
        <w:t xml:space="preserve"> of that document</w:t>
      </w:r>
      <w:r w:rsidR="008856B2" w:rsidRPr="00E56FB1">
        <w:rPr>
          <w:sz w:val="24"/>
          <w:szCs w:val="24"/>
        </w:rPr>
        <w:t>.</w:t>
      </w:r>
    </w:p>
    <w:p w:rsidR="008856B2" w:rsidRPr="00E56FB1" w:rsidRDefault="008856B2" w:rsidP="008856B2">
      <w:pPr>
        <w:spacing w:after="120"/>
        <w:ind w:left="540" w:hanging="540"/>
        <w:rPr>
          <w:sz w:val="24"/>
          <w:szCs w:val="24"/>
        </w:rPr>
      </w:pPr>
      <w:r w:rsidRPr="00E56FB1">
        <w:rPr>
          <w:sz w:val="24"/>
          <w:szCs w:val="24"/>
        </w:rPr>
        <w:t>2</w:t>
      </w:r>
      <w:r w:rsidR="001C3626" w:rsidRPr="00E56FB1">
        <w:rPr>
          <w:sz w:val="24"/>
          <w:szCs w:val="24"/>
        </w:rPr>
        <w:t>1</w:t>
      </w:r>
      <w:r w:rsidRPr="00E56FB1">
        <w:rPr>
          <w:sz w:val="24"/>
          <w:szCs w:val="24"/>
        </w:rPr>
        <w:t>.</w:t>
      </w:r>
      <w:r w:rsidRPr="00E56FB1">
        <w:rPr>
          <w:sz w:val="24"/>
          <w:szCs w:val="24"/>
        </w:rPr>
        <w:tab/>
        <w:t xml:space="preserve">The joint testimony of Mr. Brad </w:t>
      </w:r>
      <w:proofErr w:type="spellStart"/>
      <w:r w:rsidRPr="00E56FB1">
        <w:rPr>
          <w:sz w:val="24"/>
          <w:szCs w:val="24"/>
        </w:rPr>
        <w:t>Cebulko</w:t>
      </w:r>
      <w:proofErr w:type="spellEnd"/>
      <w:r w:rsidRPr="00E56FB1">
        <w:rPr>
          <w:sz w:val="24"/>
          <w:szCs w:val="24"/>
        </w:rPr>
        <w:t xml:space="preserve"> and Ms. Mary Kimball in support of the multiparty settlement to UE-151148, page 7.</w:t>
      </w:r>
    </w:p>
    <w:p w:rsidR="008856B2" w:rsidRPr="00E56FB1" w:rsidRDefault="008856B2" w:rsidP="008856B2">
      <w:pPr>
        <w:spacing w:after="120"/>
        <w:ind w:left="540" w:hanging="540"/>
        <w:rPr>
          <w:sz w:val="24"/>
          <w:szCs w:val="24"/>
        </w:rPr>
      </w:pPr>
      <w:r w:rsidRPr="00E56FB1">
        <w:rPr>
          <w:sz w:val="24"/>
          <w:szCs w:val="24"/>
        </w:rPr>
        <w:t>2</w:t>
      </w:r>
      <w:r w:rsidR="001C3626" w:rsidRPr="00E56FB1">
        <w:rPr>
          <w:sz w:val="24"/>
          <w:szCs w:val="24"/>
        </w:rPr>
        <w:t>2</w:t>
      </w:r>
      <w:r w:rsidRPr="00E56FB1">
        <w:rPr>
          <w:sz w:val="24"/>
          <w:szCs w:val="24"/>
        </w:rPr>
        <w:t>.</w:t>
      </w:r>
      <w:r w:rsidRPr="00E56FB1">
        <w:rPr>
          <w:sz w:val="24"/>
          <w:szCs w:val="24"/>
        </w:rPr>
        <w:tab/>
        <w:t xml:space="preserve">Referencing </w:t>
      </w:r>
      <w:proofErr w:type="spellStart"/>
      <w:r w:rsidRPr="00E56FB1">
        <w:rPr>
          <w:sz w:val="24"/>
          <w:szCs w:val="24"/>
        </w:rPr>
        <w:t>Avista’s</w:t>
      </w:r>
      <w:proofErr w:type="spellEnd"/>
      <w:r w:rsidRPr="00E56FB1">
        <w:rPr>
          <w:sz w:val="24"/>
          <w:szCs w:val="24"/>
        </w:rPr>
        <w:t xml:space="preserve"> reply </w:t>
      </w:r>
      <w:proofErr w:type="gramStart"/>
      <w:r w:rsidRPr="00E56FB1">
        <w:rPr>
          <w:sz w:val="24"/>
          <w:szCs w:val="24"/>
        </w:rPr>
        <w:t>comments,</w:t>
      </w:r>
      <w:proofErr w:type="gramEnd"/>
      <w:r w:rsidRPr="00E56FB1">
        <w:rPr>
          <w:sz w:val="24"/>
          <w:szCs w:val="24"/>
        </w:rPr>
        <w:t xml:space="preserve"> dated July 29</w:t>
      </w:r>
      <w:r w:rsidRPr="00E56FB1">
        <w:rPr>
          <w:sz w:val="24"/>
          <w:szCs w:val="24"/>
          <w:vertAlign w:val="superscript"/>
        </w:rPr>
        <w:t>th</w:t>
      </w:r>
      <w:r w:rsidRPr="00E56FB1">
        <w:rPr>
          <w:sz w:val="24"/>
          <w:szCs w:val="24"/>
        </w:rPr>
        <w:t>, 2016, in UE-132045 and UE-132046, page 2.</w:t>
      </w:r>
    </w:p>
    <w:p w:rsidR="008856B2" w:rsidRPr="00E56FB1" w:rsidRDefault="008856B2" w:rsidP="008856B2">
      <w:pPr>
        <w:spacing w:after="120"/>
        <w:ind w:left="540" w:hanging="540"/>
        <w:rPr>
          <w:sz w:val="24"/>
          <w:szCs w:val="24"/>
        </w:rPr>
      </w:pPr>
      <w:r w:rsidRPr="00E56FB1">
        <w:rPr>
          <w:sz w:val="24"/>
          <w:szCs w:val="24"/>
        </w:rPr>
        <w:t>2</w:t>
      </w:r>
      <w:r w:rsidR="001C3626" w:rsidRPr="00E56FB1">
        <w:rPr>
          <w:sz w:val="24"/>
          <w:szCs w:val="24"/>
        </w:rPr>
        <w:t>3</w:t>
      </w:r>
      <w:r w:rsidRPr="00E56FB1">
        <w:rPr>
          <w:sz w:val="24"/>
          <w:szCs w:val="24"/>
        </w:rPr>
        <w:t>.</w:t>
      </w:r>
      <w:r w:rsidRPr="00E56FB1">
        <w:rPr>
          <w:sz w:val="24"/>
          <w:szCs w:val="24"/>
        </w:rPr>
        <w:tab/>
      </w:r>
      <w:r w:rsidR="003009C0">
        <w:rPr>
          <w:sz w:val="24"/>
          <w:szCs w:val="24"/>
        </w:rPr>
        <w:t xml:space="preserve">Referencing </w:t>
      </w:r>
      <w:r w:rsidRPr="00E56FB1">
        <w:rPr>
          <w:sz w:val="24"/>
          <w:szCs w:val="24"/>
        </w:rPr>
        <w:t xml:space="preserve">Order 10, UG-060518, </w:t>
      </w:r>
      <w:proofErr w:type="gramStart"/>
      <w:r w:rsidRPr="00E56FB1">
        <w:rPr>
          <w:sz w:val="24"/>
          <w:szCs w:val="24"/>
        </w:rPr>
        <w:t>page</w:t>
      </w:r>
      <w:proofErr w:type="gramEnd"/>
      <w:r w:rsidRPr="00E56FB1">
        <w:rPr>
          <w:sz w:val="24"/>
          <w:szCs w:val="24"/>
        </w:rPr>
        <w:t xml:space="preserve"> 120, #304. </w:t>
      </w:r>
    </w:p>
    <w:p w:rsidR="00525BD5" w:rsidRPr="00E56FB1" w:rsidRDefault="00525BD5" w:rsidP="0037006A">
      <w:pPr>
        <w:tabs>
          <w:tab w:val="left" w:pos="2070"/>
        </w:tabs>
        <w:spacing w:after="120"/>
        <w:ind w:left="540" w:hanging="540"/>
        <w:rPr>
          <w:sz w:val="24"/>
          <w:szCs w:val="24"/>
        </w:rPr>
      </w:pPr>
      <w:r w:rsidRPr="00E56FB1">
        <w:rPr>
          <w:sz w:val="24"/>
          <w:szCs w:val="24"/>
        </w:rPr>
        <w:t>2</w:t>
      </w:r>
      <w:r w:rsidR="001C3626" w:rsidRPr="00E56FB1">
        <w:rPr>
          <w:sz w:val="24"/>
          <w:szCs w:val="24"/>
        </w:rPr>
        <w:t>4</w:t>
      </w:r>
      <w:r w:rsidRPr="00E56FB1">
        <w:rPr>
          <w:sz w:val="24"/>
          <w:szCs w:val="24"/>
        </w:rPr>
        <w:t>.</w:t>
      </w:r>
      <w:r w:rsidRPr="00E56FB1">
        <w:rPr>
          <w:sz w:val="24"/>
          <w:szCs w:val="24"/>
        </w:rPr>
        <w:tab/>
        <w:t xml:space="preserve">Avista </w:t>
      </w:r>
      <w:r w:rsidR="0037006A" w:rsidRPr="00E56FB1">
        <w:rPr>
          <w:sz w:val="24"/>
          <w:szCs w:val="24"/>
        </w:rPr>
        <w:t xml:space="preserve">Utilities </w:t>
      </w:r>
      <w:r w:rsidRPr="00E56FB1">
        <w:rPr>
          <w:sz w:val="24"/>
          <w:szCs w:val="24"/>
        </w:rPr>
        <w:t xml:space="preserve">Evaluation, Measurement and Verification Framework, </w:t>
      </w:r>
      <w:r w:rsidR="00A502B9">
        <w:rPr>
          <w:sz w:val="24"/>
          <w:szCs w:val="24"/>
        </w:rPr>
        <w:t>page 16</w:t>
      </w:r>
      <w:r w:rsidR="0037006A" w:rsidRPr="00E56FB1">
        <w:rPr>
          <w:sz w:val="24"/>
          <w:szCs w:val="24"/>
        </w:rPr>
        <w:t>, filed in response to Washington Utilities and Transportation Commission’s Order from Docket Nos. UE-090134 and UG-090135 and UG-060518, Consolidated.</w:t>
      </w:r>
    </w:p>
    <w:p w:rsidR="0037006A" w:rsidRPr="00E56FB1" w:rsidRDefault="0037006A" w:rsidP="008856B2">
      <w:pPr>
        <w:spacing w:after="120"/>
        <w:ind w:left="540" w:hanging="540"/>
        <w:rPr>
          <w:sz w:val="24"/>
          <w:szCs w:val="24"/>
        </w:rPr>
      </w:pPr>
    </w:p>
    <w:p w:rsidR="0037006A" w:rsidRPr="00E56FB1" w:rsidRDefault="0037006A" w:rsidP="008856B2">
      <w:pPr>
        <w:spacing w:after="120"/>
        <w:ind w:left="540" w:hanging="540"/>
        <w:rPr>
          <w:sz w:val="24"/>
          <w:szCs w:val="24"/>
        </w:rPr>
      </w:pPr>
    </w:p>
    <w:p w:rsidR="0037006A" w:rsidRPr="00E56FB1" w:rsidRDefault="0037006A" w:rsidP="001C3626">
      <w:pPr>
        <w:spacing w:after="120"/>
        <w:rPr>
          <w:sz w:val="24"/>
          <w:szCs w:val="24"/>
        </w:rPr>
      </w:pPr>
    </w:p>
    <w:p w:rsidR="008856B2" w:rsidRPr="00E56FB1" w:rsidRDefault="008856B2" w:rsidP="008856B2">
      <w:pPr>
        <w:spacing w:after="120"/>
        <w:rPr>
          <w:sz w:val="24"/>
          <w:szCs w:val="24"/>
        </w:rPr>
      </w:pPr>
    </w:p>
    <w:p w:rsidR="001A7F64" w:rsidRPr="00E56FB1" w:rsidRDefault="00607008" w:rsidP="008856B2"/>
    <w:sectPr w:rsidR="001A7F64" w:rsidRPr="00E56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31D"/>
    <w:multiLevelType w:val="hybridMultilevel"/>
    <w:tmpl w:val="29D2C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C570B"/>
    <w:multiLevelType w:val="hybridMultilevel"/>
    <w:tmpl w:val="F35E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931CA5"/>
    <w:multiLevelType w:val="hybridMultilevel"/>
    <w:tmpl w:val="4426C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B2"/>
    <w:rsid w:val="00054E4C"/>
    <w:rsid w:val="00097C16"/>
    <w:rsid w:val="000C4C5A"/>
    <w:rsid w:val="000F0BE7"/>
    <w:rsid w:val="0017085A"/>
    <w:rsid w:val="00173C29"/>
    <w:rsid w:val="001A2036"/>
    <w:rsid w:val="001A4172"/>
    <w:rsid w:val="001C3626"/>
    <w:rsid w:val="00200018"/>
    <w:rsid w:val="00206407"/>
    <w:rsid w:val="002135C8"/>
    <w:rsid w:val="00226479"/>
    <w:rsid w:val="002749E0"/>
    <w:rsid w:val="002C7528"/>
    <w:rsid w:val="003009C0"/>
    <w:rsid w:val="00306EDF"/>
    <w:rsid w:val="00322753"/>
    <w:rsid w:val="00347EFD"/>
    <w:rsid w:val="0037006A"/>
    <w:rsid w:val="003928F1"/>
    <w:rsid w:val="003C28B9"/>
    <w:rsid w:val="003E5B6C"/>
    <w:rsid w:val="003F48D5"/>
    <w:rsid w:val="003F5E23"/>
    <w:rsid w:val="004274E9"/>
    <w:rsid w:val="0046285B"/>
    <w:rsid w:val="00487D3D"/>
    <w:rsid w:val="004F1D9D"/>
    <w:rsid w:val="004F4EAD"/>
    <w:rsid w:val="00525BD5"/>
    <w:rsid w:val="005517AA"/>
    <w:rsid w:val="005B547D"/>
    <w:rsid w:val="005B57C7"/>
    <w:rsid w:val="005E0518"/>
    <w:rsid w:val="00602422"/>
    <w:rsid w:val="00607008"/>
    <w:rsid w:val="0061063C"/>
    <w:rsid w:val="00656487"/>
    <w:rsid w:val="00670BA3"/>
    <w:rsid w:val="006A7287"/>
    <w:rsid w:val="006C4F21"/>
    <w:rsid w:val="006D2C6C"/>
    <w:rsid w:val="00710820"/>
    <w:rsid w:val="007336C9"/>
    <w:rsid w:val="007B535A"/>
    <w:rsid w:val="007C536B"/>
    <w:rsid w:val="007F05CE"/>
    <w:rsid w:val="007F22FB"/>
    <w:rsid w:val="00804788"/>
    <w:rsid w:val="00831522"/>
    <w:rsid w:val="008856B2"/>
    <w:rsid w:val="008F2898"/>
    <w:rsid w:val="00990225"/>
    <w:rsid w:val="009A5515"/>
    <w:rsid w:val="00A162F4"/>
    <w:rsid w:val="00A502B9"/>
    <w:rsid w:val="00A50859"/>
    <w:rsid w:val="00A67B07"/>
    <w:rsid w:val="00A95E44"/>
    <w:rsid w:val="00A97FDA"/>
    <w:rsid w:val="00AB562B"/>
    <w:rsid w:val="00B9282A"/>
    <w:rsid w:val="00B95F63"/>
    <w:rsid w:val="00C52D9A"/>
    <w:rsid w:val="00C57731"/>
    <w:rsid w:val="00CF4E00"/>
    <w:rsid w:val="00D72E82"/>
    <w:rsid w:val="00E56FB1"/>
    <w:rsid w:val="00E75AD4"/>
    <w:rsid w:val="00EC7E84"/>
    <w:rsid w:val="00F06A8D"/>
    <w:rsid w:val="00F244F1"/>
    <w:rsid w:val="00F32388"/>
    <w:rsid w:val="00F32444"/>
    <w:rsid w:val="00F54603"/>
    <w:rsid w:val="00F613DF"/>
    <w:rsid w:val="00FC2F72"/>
    <w:rsid w:val="00FC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6B2"/>
    <w:pPr>
      <w:ind w:left="720"/>
      <w:contextualSpacing/>
    </w:pPr>
  </w:style>
  <w:style w:type="paragraph" w:styleId="BalloonText">
    <w:name w:val="Balloon Text"/>
    <w:basedOn w:val="Normal"/>
    <w:link w:val="BalloonTextChar"/>
    <w:uiPriority w:val="99"/>
    <w:semiHidden/>
    <w:unhideWhenUsed/>
    <w:rsid w:val="00370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6B2"/>
    <w:pPr>
      <w:ind w:left="720"/>
      <w:contextualSpacing/>
    </w:pPr>
  </w:style>
  <w:style w:type="paragraph" w:styleId="BalloonText">
    <w:name w:val="Balloon Text"/>
    <w:basedOn w:val="Normal"/>
    <w:link w:val="BalloonTextChar"/>
    <w:uiPriority w:val="99"/>
    <w:semiHidden/>
    <w:unhideWhenUsed/>
    <w:rsid w:val="00370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2016-09-13T07:00:00+00:00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02EAC1-8166-458E-A1FA-25451B78EE14}"/>
</file>

<file path=customXml/itemProps2.xml><?xml version="1.0" encoding="utf-8"?>
<ds:datastoreItem xmlns:ds="http://schemas.openxmlformats.org/officeDocument/2006/customXml" ds:itemID="{1A4271AF-DFBE-4695-A59C-A01EA2FD4288}"/>
</file>

<file path=customXml/itemProps3.xml><?xml version="1.0" encoding="utf-8"?>
<ds:datastoreItem xmlns:ds="http://schemas.openxmlformats.org/officeDocument/2006/customXml" ds:itemID="{75405BD0-7C77-4C23-8951-3800AEE462C4}"/>
</file>

<file path=customXml/itemProps4.xml><?xml version="1.0" encoding="utf-8"?>
<ds:datastoreItem xmlns:ds="http://schemas.openxmlformats.org/officeDocument/2006/customXml" ds:itemID="{BF5ECEBD-F925-4B64-A6E4-084C42936A4F}"/>
</file>

<file path=docProps/app.xml><?xml version="1.0" encoding="utf-8"?>
<Properties xmlns="http://schemas.openxmlformats.org/officeDocument/2006/extended-properties" xmlns:vt="http://schemas.openxmlformats.org/officeDocument/2006/docPropsVTypes">
  <Template>Normal</Template>
  <TotalTime>0</TotalTime>
  <Pages>11</Pages>
  <Words>2889</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2016-09-12T17:41:00Z</cp:lastPrinted>
  <dcterms:created xsi:type="dcterms:W3CDTF">2016-09-12T18:16:00Z</dcterms:created>
  <dcterms:modified xsi:type="dcterms:W3CDTF">2016-09-12T18:16:00Z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_docset_NoMedatataSyncRequired">
    <vt:lpwstr>False</vt:lpwstr>
  </property>
</Properties>
</file>