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0FE" w:rsidRPr="007D5EB2" w:rsidRDefault="008D10FE" w:rsidP="005E58E3">
      <w:pPr>
        <w:pStyle w:val="Header"/>
        <w:tabs>
          <w:tab w:val="clear" w:pos="4320"/>
          <w:tab w:val="clear" w:pos="8640"/>
        </w:tabs>
        <w:rPr>
          <w:rFonts w:ascii="Times New Roman" w:hAnsi="Times New Roman"/>
        </w:rPr>
      </w:pPr>
      <w:bookmarkStart w:id="0" w:name="_GoBack"/>
      <w:bookmarkEnd w:id="0"/>
      <w:r w:rsidRPr="007D5EB2">
        <w:rPr>
          <w:rFonts w:ascii="Times New Roman" w:hAnsi="Times New Roman"/>
        </w:rPr>
        <w:t>BEFORE THE WASHINGTON UTILITIES AND TRANSPORTATION COMMISSION</w:t>
      </w:r>
    </w:p>
    <w:p w:rsidR="008D10FE" w:rsidRPr="007D5EB2" w:rsidRDefault="008D10FE" w:rsidP="008D10FE">
      <w:pPr>
        <w:pStyle w:val="Header"/>
        <w:rPr>
          <w:rFonts w:ascii="Times New Roman" w:hAnsi="Times New Roman"/>
        </w:rPr>
      </w:pPr>
    </w:p>
    <w:tbl>
      <w:tblPr>
        <w:tblW w:w="9180" w:type="dxa"/>
        <w:tblInd w:w="124" w:type="dxa"/>
        <w:tblLayout w:type="fixed"/>
        <w:tblCellMar>
          <w:left w:w="124" w:type="dxa"/>
          <w:right w:w="124" w:type="dxa"/>
        </w:tblCellMar>
        <w:tblLook w:val="0000" w:firstRow="0" w:lastRow="0" w:firstColumn="0" w:lastColumn="0" w:noHBand="0" w:noVBand="0"/>
      </w:tblPr>
      <w:tblGrid>
        <w:gridCol w:w="4410"/>
        <w:gridCol w:w="4770"/>
      </w:tblGrid>
      <w:tr w:rsidR="008D10FE" w:rsidRPr="007D5EB2" w:rsidTr="007C4AC1">
        <w:tc>
          <w:tcPr>
            <w:tcW w:w="4410" w:type="dxa"/>
            <w:tcBorders>
              <w:top w:val="single" w:sz="6" w:space="0" w:color="FFFFFF"/>
              <w:left w:val="single" w:sz="6" w:space="0" w:color="FFFFFF"/>
              <w:bottom w:val="single" w:sz="7" w:space="0" w:color="000000"/>
              <w:right w:val="single" w:sz="6" w:space="0" w:color="FFFFFF"/>
            </w:tcBorders>
          </w:tcPr>
          <w:p w:rsidR="008D10FE" w:rsidRPr="007D5EB2" w:rsidRDefault="008D10FE" w:rsidP="007C4AC1">
            <w:pPr>
              <w:rPr>
                <w:rFonts w:ascii="Times New Roman" w:hAnsi="Times New Roman" w:cs="Times New Roman"/>
                <w:sz w:val="24"/>
                <w:szCs w:val="24"/>
              </w:rPr>
            </w:pPr>
            <w:r w:rsidRPr="007D5EB2">
              <w:rPr>
                <w:rFonts w:ascii="Times New Roman" w:hAnsi="Times New Roman" w:cs="Times New Roman"/>
                <w:sz w:val="24"/>
                <w:szCs w:val="24"/>
              </w:rPr>
              <w:t>WASHINGTON UTILITIES AND TRANSPORTATION COMMISSION,</w:t>
            </w:r>
          </w:p>
          <w:p w:rsidR="008D10FE" w:rsidRPr="007D5EB2" w:rsidRDefault="008D10FE" w:rsidP="007C4AC1">
            <w:pPr>
              <w:rPr>
                <w:rFonts w:ascii="Times New Roman" w:hAnsi="Times New Roman" w:cs="Times New Roman"/>
                <w:sz w:val="24"/>
                <w:szCs w:val="24"/>
              </w:rPr>
            </w:pPr>
          </w:p>
          <w:p w:rsidR="008D10FE" w:rsidRPr="007D5EB2" w:rsidRDefault="008D10FE" w:rsidP="007C4AC1">
            <w:pPr>
              <w:rPr>
                <w:rFonts w:ascii="Times New Roman" w:hAnsi="Times New Roman" w:cs="Times New Roman"/>
                <w:sz w:val="24"/>
                <w:szCs w:val="24"/>
              </w:rPr>
            </w:pPr>
            <w:r w:rsidRPr="007D5EB2">
              <w:rPr>
                <w:rFonts w:ascii="Times New Roman" w:hAnsi="Times New Roman" w:cs="Times New Roman"/>
                <w:sz w:val="24"/>
                <w:szCs w:val="24"/>
              </w:rPr>
              <w:tab/>
            </w:r>
            <w:r w:rsidRPr="007D5EB2">
              <w:rPr>
                <w:rFonts w:ascii="Times New Roman" w:hAnsi="Times New Roman" w:cs="Times New Roman"/>
                <w:sz w:val="24"/>
                <w:szCs w:val="24"/>
              </w:rPr>
              <w:tab/>
              <w:t>Complainant,</w:t>
            </w:r>
          </w:p>
          <w:p w:rsidR="008D10FE" w:rsidRPr="007D5EB2" w:rsidRDefault="008D10FE" w:rsidP="007C4AC1">
            <w:pPr>
              <w:rPr>
                <w:rFonts w:ascii="Times New Roman" w:hAnsi="Times New Roman" w:cs="Times New Roman"/>
                <w:sz w:val="24"/>
                <w:szCs w:val="24"/>
              </w:rPr>
            </w:pPr>
          </w:p>
          <w:p w:rsidR="008D10FE" w:rsidRPr="007D5EB2" w:rsidRDefault="008D10FE" w:rsidP="007C4AC1">
            <w:pPr>
              <w:rPr>
                <w:rFonts w:ascii="Times New Roman" w:hAnsi="Times New Roman" w:cs="Times New Roman"/>
                <w:sz w:val="24"/>
                <w:szCs w:val="24"/>
              </w:rPr>
            </w:pPr>
            <w:r w:rsidRPr="007D5EB2">
              <w:rPr>
                <w:rFonts w:ascii="Times New Roman" w:hAnsi="Times New Roman" w:cs="Times New Roman"/>
                <w:sz w:val="24"/>
                <w:szCs w:val="24"/>
              </w:rPr>
              <w:t>v.</w:t>
            </w:r>
          </w:p>
          <w:p w:rsidR="008D10FE" w:rsidRPr="007D5EB2" w:rsidRDefault="008D10FE" w:rsidP="007C4AC1">
            <w:pPr>
              <w:rPr>
                <w:rFonts w:ascii="Times New Roman" w:hAnsi="Times New Roman" w:cs="Times New Roman"/>
                <w:sz w:val="24"/>
                <w:szCs w:val="24"/>
              </w:rPr>
            </w:pPr>
          </w:p>
          <w:p w:rsidR="008D10FE" w:rsidRPr="007D5EB2" w:rsidRDefault="008D10FE" w:rsidP="007C4AC1">
            <w:pPr>
              <w:rPr>
                <w:rFonts w:ascii="Times New Roman" w:hAnsi="Times New Roman" w:cs="Times New Roman"/>
                <w:sz w:val="24"/>
                <w:szCs w:val="24"/>
              </w:rPr>
            </w:pPr>
            <w:r w:rsidRPr="007D5EB2">
              <w:rPr>
                <w:rFonts w:ascii="Times New Roman" w:hAnsi="Times New Roman" w:cs="Times New Roman"/>
                <w:sz w:val="24"/>
                <w:szCs w:val="24"/>
              </w:rPr>
              <w:t>WASTE CONTROL, INC.,</w:t>
            </w:r>
          </w:p>
          <w:p w:rsidR="008D10FE" w:rsidRPr="007D5EB2" w:rsidRDefault="008D10FE" w:rsidP="007C4AC1">
            <w:pPr>
              <w:rPr>
                <w:rFonts w:ascii="Times New Roman" w:hAnsi="Times New Roman" w:cs="Times New Roman"/>
                <w:sz w:val="24"/>
                <w:szCs w:val="24"/>
              </w:rPr>
            </w:pPr>
          </w:p>
          <w:p w:rsidR="008D10FE" w:rsidRPr="007D5EB2" w:rsidRDefault="008D10FE" w:rsidP="007C4AC1">
            <w:pPr>
              <w:rPr>
                <w:rFonts w:ascii="Times New Roman" w:hAnsi="Times New Roman" w:cs="Times New Roman"/>
                <w:sz w:val="24"/>
                <w:szCs w:val="24"/>
              </w:rPr>
            </w:pPr>
            <w:r w:rsidRPr="007D5EB2">
              <w:rPr>
                <w:rFonts w:ascii="Times New Roman" w:hAnsi="Times New Roman" w:cs="Times New Roman"/>
                <w:sz w:val="24"/>
                <w:szCs w:val="24"/>
              </w:rPr>
              <w:tab/>
            </w:r>
            <w:r w:rsidRPr="007D5EB2">
              <w:rPr>
                <w:rFonts w:ascii="Times New Roman" w:hAnsi="Times New Roman" w:cs="Times New Roman"/>
                <w:sz w:val="24"/>
                <w:szCs w:val="24"/>
              </w:rPr>
              <w:tab/>
              <w:t>Respondent.</w:t>
            </w:r>
          </w:p>
          <w:p w:rsidR="008D10FE" w:rsidRPr="007D5EB2" w:rsidRDefault="008D10FE" w:rsidP="007C4AC1">
            <w:pPr>
              <w:rPr>
                <w:rFonts w:ascii="Times New Roman" w:hAnsi="Times New Roman" w:cs="Times New Roman"/>
                <w:sz w:val="24"/>
                <w:szCs w:val="24"/>
              </w:rPr>
            </w:pPr>
          </w:p>
        </w:tc>
        <w:tc>
          <w:tcPr>
            <w:tcW w:w="4770" w:type="dxa"/>
            <w:tcBorders>
              <w:top w:val="single" w:sz="6" w:space="0" w:color="FFFFFF"/>
              <w:left w:val="single" w:sz="7" w:space="0" w:color="000000"/>
              <w:bottom w:val="single" w:sz="6" w:space="0" w:color="FFFFFF"/>
              <w:right w:val="single" w:sz="6" w:space="0" w:color="FFFFFF"/>
            </w:tcBorders>
          </w:tcPr>
          <w:p w:rsidR="008D10FE" w:rsidRPr="007D5EB2" w:rsidRDefault="008D10FE" w:rsidP="007C4AC1">
            <w:pPr>
              <w:ind w:left="506"/>
              <w:rPr>
                <w:rFonts w:ascii="Times New Roman" w:hAnsi="Times New Roman" w:cs="Times New Roman"/>
                <w:sz w:val="24"/>
                <w:szCs w:val="24"/>
              </w:rPr>
            </w:pPr>
            <w:r w:rsidRPr="007D5EB2">
              <w:rPr>
                <w:rFonts w:ascii="Times New Roman" w:hAnsi="Times New Roman" w:cs="Times New Roman"/>
                <w:sz w:val="24"/>
                <w:szCs w:val="24"/>
              </w:rPr>
              <w:t>DOCKET TG-131794</w:t>
            </w:r>
          </w:p>
          <w:p w:rsidR="008D10FE" w:rsidRPr="007D5EB2" w:rsidRDefault="008D10FE" w:rsidP="007C4AC1">
            <w:pPr>
              <w:ind w:left="506"/>
              <w:rPr>
                <w:rFonts w:ascii="Times New Roman" w:hAnsi="Times New Roman" w:cs="Times New Roman"/>
                <w:sz w:val="24"/>
                <w:szCs w:val="24"/>
              </w:rPr>
            </w:pPr>
          </w:p>
          <w:p w:rsidR="008D10FE" w:rsidRPr="007D5EB2" w:rsidRDefault="009515A0" w:rsidP="009E0915">
            <w:pPr>
              <w:pStyle w:val="BodyTextIndent2"/>
              <w:ind w:left="506"/>
              <w:rPr>
                <w:rFonts w:ascii="Times New Roman" w:hAnsi="Times New Roman"/>
              </w:rPr>
            </w:pPr>
            <w:r>
              <w:rPr>
                <w:rFonts w:ascii="Times New Roman" w:hAnsi="Times New Roman"/>
              </w:rPr>
              <w:t xml:space="preserve">WASTE CONTROL, INC.’S RESPONSE TO </w:t>
            </w:r>
            <w:r w:rsidR="009E0915">
              <w:rPr>
                <w:rFonts w:ascii="Times New Roman" w:hAnsi="Times New Roman"/>
              </w:rPr>
              <w:t xml:space="preserve">COMMISSION STAFF’S </w:t>
            </w:r>
            <w:r w:rsidR="007D5EB2" w:rsidRPr="007D5EB2">
              <w:rPr>
                <w:rFonts w:ascii="Times New Roman" w:hAnsi="Times New Roman"/>
              </w:rPr>
              <w:t>MOTION</w:t>
            </w:r>
            <w:r w:rsidR="001A5AE0" w:rsidRPr="007D5EB2">
              <w:rPr>
                <w:rFonts w:ascii="Times New Roman" w:hAnsi="Times New Roman"/>
              </w:rPr>
              <w:t xml:space="preserve"> </w:t>
            </w:r>
            <w:r w:rsidR="007D5EB2" w:rsidRPr="007D5EB2">
              <w:rPr>
                <w:rFonts w:ascii="Times New Roman" w:hAnsi="Times New Roman"/>
              </w:rPr>
              <w:t xml:space="preserve">TO DISMISS </w:t>
            </w:r>
            <w:r w:rsidR="009E0915">
              <w:rPr>
                <w:rFonts w:ascii="Times New Roman" w:hAnsi="Times New Roman"/>
              </w:rPr>
              <w:t>TARIFF FILING</w:t>
            </w:r>
          </w:p>
        </w:tc>
      </w:tr>
    </w:tbl>
    <w:p w:rsidR="008D10FE" w:rsidRDefault="008D10FE" w:rsidP="008D10FE">
      <w:pPr>
        <w:pStyle w:val="Header"/>
        <w:rPr>
          <w:rFonts w:ascii="Times New Roman" w:hAnsi="Times New Roman"/>
        </w:rPr>
      </w:pPr>
    </w:p>
    <w:p w:rsidR="00574109" w:rsidRPr="007D5EB2" w:rsidRDefault="00574109" w:rsidP="005E58E3">
      <w:pPr>
        <w:pStyle w:val="Header"/>
        <w:tabs>
          <w:tab w:val="clear" w:pos="4320"/>
          <w:tab w:val="clear" w:pos="8640"/>
        </w:tabs>
        <w:jc w:val="center"/>
        <w:rPr>
          <w:rFonts w:ascii="Times New Roman" w:hAnsi="Times New Roman"/>
          <w:b/>
        </w:rPr>
      </w:pPr>
      <w:r w:rsidRPr="007D5EB2">
        <w:rPr>
          <w:rFonts w:ascii="Times New Roman" w:hAnsi="Times New Roman"/>
          <w:b/>
        </w:rPr>
        <w:t xml:space="preserve">I.  </w:t>
      </w:r>
      <w:r w:rsidR="009515A0">
        <w:rPr>
          <w:rFonts w:ascii="Times New Roman" w:hAnsi="Times New Roman"/>
          <w:b/>
        </w:rPr>
        <w:t>COMPANY RESPONSE</w:t>
      </w:r>
    </w:p>
    <w:p w:rsidR="00574109" w:rsidRPr="007D5EB2" w:rsidRDefault="00574109" w:rsidP="00574109">
      <w:pPr>
        <w:pStyle w:val="Header"/>
        <w:jc w:val="center"/>
        <w:rPr>
          <w:rFonts w:ascii="Times New Roman" w:hAnsi="Times New Roman"/>
          <w:b/>
        </w:rPr>
      </w:pPr>
    </w:p>
    <w:p w:rsidR="009515A0" w:rsidRDefault="009515A0" w:rsidP="009515A0">
      <w:pPr>
        <w:pStyle w:val="ListParagraph"/>
        <w:numPr>
          <w:ilvl w:val="0"/>
          <w:numId w:val="1"/>
        </w:numPr>
        <w:spacing w:line="480" w:lineRule="auto"/>
        <w:ind w:left="0" w:hanging="720"/>
        <w:rPr>
          <w:rFonts w:ascii="Times New Roman" w:hAnsi="Times New Roman" w:cs="Times New Roman"/>
          <w:sz w:val="24"/>
          <w:szCs w:val="24"/>
        </w:rPr>
      </w:pPr>
      <w:r>
        <w:rPr>
          <w:rFonts w:ascii="Times New Roman" w:hAnsi="Times New Roman" w:cs="Times New Roman"/>
          <w:sz w:val="24"/>
          <w:szCs w:val="24"/>
        </w:rPr>
        <w:t xml:space="preserve">Waste Control, Inc. (hereinafter “the Company” </w:t>
      </w:r>
      <w:r w:rsidR="002E48D5">
        <w:rPr>
          <w:rFonts w:ascii="Times New Roman" w:hAnsi="Times New Roman" w:cs="Times New Roman"/>
          <w:sz w:val="24"/>
          <w:szCs w:val="24"/>
        </w:rPr>
        <w:t xml:space="preserve">or </w:t>
      </w:r>
      <w:r w:rsidR="00D76200">
        <w:rPr>
          <w:rFonts w:ascii="Times New Roman" w:hAnsi="Times New Roman" w:cs="Times New Roman"/>
          <w:sz w:val="24"/>
          <w:szCs w:val="24"/>
        </w:rPr>
        <w:t>“Waste Control”</w:t>
      </w:r>
      <w:r>
        <w:rPr>
          <w:rFonts w:ascii="Times New Roman" w:hAnsi="Times New Roman" w:cs="Times New Roman"/>
          <w:sz w:val="24"/>
          <w:szCs w:val="24"/>
        </w:rPr>
        <w:t xml:space="preserve">), </w:t>
      </w:r>
      <w:r w:rsidR="003D19EB">
        <w:rPr>
          <w:rFonts w:ascii="Times New Roman" w:hAnsi="Times New Roman" w:cs="Times New Roman"/>
          <w:sz w:val="24"/>
          <w:szCs w:val="24"/>
        </w:rPr>
        <w:t xml:space="preserve">by counsel, </w:t>
      </w:r>
      <w:r>
        <w:rPr>
          <w:rFonts w:ascii="Times New Roman" w:hAnsi="Times New Roman" w:cs="Times New Roman"/>
          <w:sz w:val="24"/>
          <w:szCs w:val="24"/>
        </w:rPr>
        <w:t xml:space="preserve">pursuant to </w:t>
      </w:r>
      <w:r w:rsidR="007D5EB2" w:rsidRPr="007D5EB2">
        <w:rPr>
          <w:rFonts w:ascii="Times New Roman" w:hAnsi="Times New Roman" w:cs="Times New Roman"/>
          <w:sz w:val="24"/>
          <w:szCs w:val="24"/>
        </w:rPr>
        <w:t>WAC 480-07-380</w:t>
      </w:r>
      <w:r>
        <w:rPr>
          <w:rFonts w:ascii="Times New Roman" w:hAnsi="Times New Roman" w:cs="Times New Roman"/>
          <w:sz w:val="24"/>
          <w:szCs w:val="24"/>
        </w:rPr>
        <w:t>(1)(c), files the following Response to the Staff’s Motion to Dismiss in this matter.</w:t>
      </w:r>
    </w:p>
    <w:p w:rsidR="009515A0" w:rsidRPr="009515A0" w:rsidRDefault="009515A0" w:rsidP="009515A0">
      <w:pPr>
        <w:pStyle w:val="ListParagraph"/>
        <w:spacing w:line="480" w:lineRule="auto"/>
        <w:ind w:left="0"/>
        <w:jc w:val="center"/>
        <w:rPr>
          <w:rFonts w:ascii="Times New Roman" w:hAnsi="Times New Roman" w:cs="Times New Roman"/>
          <w:b/>
          <w:sz w:val="24"/>
          <w:szCs w:val="24"/>
        </w:rPr>
      </w:pPr>
      <w:r w:rsidRPr="009515A0">
        <w:rPr>
          <w:rFonts w:ascii="Times New Roman" w:hAnsi="Times New Roman" w:cs="Times New Roman"/>
          <w:b/>
          <w:sz w:val="24"/>
          <w:szCs w:val="24"/>
        </w:rPr>
        <w:t>II.  FACTS SURROUNDING THIS MOTION</w:t>
      </w:r>
    </w:p>
    <w:p w:rsidR="00264B00" w:rsidRDefault="00264B00" w:rsidP="009515A0">
      <w:pPr>
        <w:pStyle w:val="ListParagraph"/>
        <w:numPr>
          <w:ilvl w:val="0"/>
          <w:numId w:val="1"/>
        </w:numPr>
        <w:spacing w:line="480" w:lineRule="auto"/>
        <w:ind w:left="0" w:hanging="720"/>
        <w:rPr>
          <w:rFonts w:ascii="Times New Roman" w:hAnsi="Times New Roman" w:cs="Times New Roman"/>
          <w:sz w:val="24"/>
          <w:szCs w:val="24"/>
        </w:rPr>
      </w:pPr>
      <w:r>
        <w:rPr>
          <w:rFonts w:ascii="Times New Roman" w:hAnsi="Times New Roman" w:cs="Times New Roman"/>
          <w:sz w:val="24"/>
          <w:szCs w:val="24"/>
        </w:rPr>
        <w:t xml:space="preserve">On February 18, 2014, </w:t>
      </w:r>
      <w:r w:rsidR="009515A0">
        <w:rPr>
          <w:rFonts w:ascii="Times New Roman" w:hAnsi="Times New Roman" w:cs="Times New Roman"/>
          <w:sz w:val="24"/>
          <w:szCs w:val="24"/>
        </w:rPr>
        <w:t xml:space="preserve">under the </w:t>
      </w:r>
      <w:r>
        <w:rPr>
          <w:rFonts w:ascii="Times New Roman" w:hAnsi="Times New Roman" w:cs="Times New Roman"/>
          <w:sz w:val="24"/>
          <w:szCs w:val="24"/>
        </w:rPr>
        <w:t xml:space="preserve">prior </w:t>
      </w:r>
      <w:r w:rsidR="009515A0">
        <w:rPr>
          <w:rFonts w:ascii="Times New Roman" w:hAnsi="Times New Roman" w:cs="Times New Roman"/>
          <w:sz w:val="24"/>
          <w:szCs w:val="24"/>
        </w:rPr>
        <w:t xml:space="preserve">Administrative Law Judge’s Prehearing Order No. 3 in this matter, and the </w:t>
      </w:r>
      <w:r w:rsidR="003D19EB">
        <w:rPr>
          <w:rFonts w:ascii="Times New Roman" w:hAnsi="Times New Roman" w:cs="Times New Roman"/>
          <w:sz w:val="24"/>
          <w:szCs w:val="24"/>
        </w:rPr>
        <w:t>E</w:t>
      </w:r>
      <w:r w:rsidR="009C256B">
        <w:rPr>
          <w:rFonts w:ascii="Times New Roman" w:hAnsi="Times New Roman" w:cs="Times New Roman"/>
          <w:sz w:val="24"/>
          <w:szCs w:val="24"/>
        </w:rPr>
        <w:t xml:space="preserve">rrata </w:t>
      </w:r>
      <w:r w:rsidR="009515A0">
        <w:rPr>
          <w:rFonts w:ascii="Times New Roman" w:hAnsi="Times New Roman" w:cs="Times New Roman"/>
          <w:sz w:val="24"/>
          <w:szCs w:val="24"/>
        </w:rPr>
        <w:t xml:space="preserve">scheduling </w:t>
      </w:r>
      <w:r w:rsidR="009A67A3">
        <w:rPr>
          <w:rFonts w:ascii="Times New Roman" w:hAnsi="Times New Roman" w:cs="Times New Roman"/>
          <w:sz w:val="24"/>
          <w:szCs w:val="24"/>
        </w:rPr>
        <w:t>letter/</w:t>
      </w:r>
      <w:r w:rsidR="00F674F7">
        <w:rPr>
          <w:rFonts w:ascii="Times New Roman" w:hAnsi="Times New Roman" w:cs="Times New Roman"/>
          <w:sz w:val="24"/>
          <w:szCs w:val="24"/>
        </w:rPr>
        <w:t xml:space="preserve">order </w:t>
      </w:r>
      <w:r w:rsidR="009C256B">
        <w:rPr>
          <w:rFonts w:ascii="Times New Roman" w:hAnsi="Times New Roman" w:cs="Times New Roman"/>
          <w:sz w:val="24"/>
          <w:szCs w:val="24"/>
        </w:rPr>
        <w:t xml:space="preserve">entered </w:t>
      </w:r>
      <w:r w:rsidR="009515A0">
        <w:rPr>
          <w:rFonts w:ascii="Times New Roman" w:hAnsi="Times New Roman" w:cs="Times New Roman"/>
          <w:sz w:val="24"/>
          <w:szCs w:val="24"/>
        </w:rPr>
        <w:t>by substituted Administrative La</w:t>
      </w:r>
      <w:r w:rsidR="00F674F7">
        <w:rPr>
          <w:rFonts w:ascii="Times New Roman" w:hAnsi="Times New Roman" w:cs="Times New Roman"/>
          <w:sz w:val="24"/>
          <w:szCs w:val="24"/>
        </w:rPr>
        <w:t>w</w:t>
      </w:r>
      <w:r w:rsidR="00A051EF">
        <w:rPr>
          <w:rFonts w:ascii="Times New Roman" w:hAnsi="Times New Roman" w:cs="Times New Roman"/>
          <w:sz w:val="24"/>
          <w:szCs w:val="24"/>
        </w:rPr>
        <w:t xml:space="preserve"> Judge, Marguerite Friedlander </w:t>
      </w:r>
      <w:r w:rsidR="009515A0">
        <w:rPr>
          <w:rFonts w:ascii="Times New Roman" w:hAnsi="Times New Roman" w:cs="Times New Roman"/>
          <w:sz w:val="24"/>
          <w:szCs w:val="24"/>
        </w:rPr>
        <w:t xml:space="preserve">on February 12, 2014, </w:t>
      </w:r>
      <w:r>
        <w:rPr>
          <w:rFonts w:ascii="Times New Roman" w:hAnsi="Times New Roman" w:cs="Times New Roman"/>
          <w:sz w:val="24"/>
          <w:szCs w:val="24"/>
        </w:rPr>
        <w:t xml:space="preserve">WCI </w:t>
      </w:r>
      <w:r w:rsidR="009515A0">
        <w:rPr>
          <w:rFonts w:ascii="Times New Roman" w:hAnsi="Times New Roman" w:cs="Times New Roman"/>
          <w:sz w:val="24"/>
          <w:szCs w:val="24"/>
        </w:rPr>
        <w:t xml:space="preserve">filed its direct case in this matter.  Included in that filing was an exhibit identified as </w:t>
      </w:r>
      <w:r w:rsidR="003D19EB">
        <w:rPr>
          <w:rFonts w:ascii="Times New Roman" w:hAnsi="Times New Roman" w:cs="Times New Roman"/>
          <w:sz w:val="24"/>
          <w:szCs w:val="24"/>
        </w:rPr>
        <w:t>N</w:t>
      </w:r>
      <w:r w:rsidR="00F674F7">
        <w:rPr>
          <w:rFonts w:ascii="Times New Roman" w:hAnsi="Times New Roman" w:cs="Times New Roman"/>
          <w:sz w:val="24"/>
          <w:szCs w:val="24"/>
        </w:rPr>
        <w:t xml:space="preserve">o. </w:t>
      </w:r>
      <w:r w:rsidR="009515A0">
        <w:rPr>
          <w:rFonts w:ascii="Times New Roman" w:hAnsi="Times New Roman" w:cs="Times New Roman"/>
          <w:sz w:val="24"/>
          <w:szCs w:val="24"/>
        </w:rPr>
        <w:t xml:space="preserve">JD-2 which was the Company’s September 23, 2013 </w:t>
      </w:r>
      <w:r w:rsidR="00F674F7">
        <w:rPr>
          <w:rFonts w:ascii="Times New Roman" w:hAnsi="Times New Roman" w:cs="Times New Roman"/>
          <w:sz w:val="24"/>
          <w:szCs w:val="24"/>
        </w:rPr>
        <w:t xml:space="preserve">electronic </w:t>
      </w:r>
      <w:r w:rsidR="009515A0">
        <w:rPr>
          <w:rFonts w:ascii="Times New Roman" w:hAnsi="Times New Roman" w:cs="Times New Roman"/>
          <w:sz w:val="24"/>
          <w:szCs w:val="24"/>
        </w:rPr>
        <w:t>general rate case filing pursuant to WAC 4</w:t>
      </w:r>
      <w:r w:rsidR="003D19EB">
        <w:rPr>
          <w:rFonts w:ascii="Times New Roman" w:hAnsi="Times New Roman" w:cs="Times New Roman"/>
          <w:sz w:val="24"/>
          <w:szCs w:val="24"/>
        </w:rPr>
        <w:t>80-07-520.</w:t>
      </w:r>
      <w:r w:rsidR="003D19EB">
        <w:rPr>
          <w:rStyle w:val="FootnoteReference"/>
          <w:rFonts w:ascii="Times New Roman" w:hAnsi="Times New Roman" w:cs="Times New Roman"/>
          <w:sz w:val="24"/>
          <w:szCs w:val="24"/>
        </w:rPr>
        <w:footnoteReference w:id="1"/>
      </w:r>
    </w:p>
    <w:p w:rsidR="00264B00" w:rsidRDefault="009515A0" w:rsidP="009515A0">
      <w:pPr>
        <w:pStyle w:val="ListParagraph"/>
        <w:numPr>
          <w:ilvl w:val="0"/>
          <w:numId w:val="1"/>
        </w:numPr>
        <w:spacing w:line="480" w:lineRule="auto"/>
        <w:ind w:left="0" w:hanging="720"/>
        <w:rPr>
          <w:rFonts w:ascii="Times New Roman" w:hAnsi="Times New Roman" w:cs="Times New Roman"/>
          <w:sz w:val="24"/>
          <w:szCs w:val="24"/>
        </w:rPr>
      </w:pPr>
      <w:r>
        <w:rPr>
          <w:rFonts w:ascii="Times New Roman" w:hAnsi="Times New Roman" w:cs="Times New Roman"/>
          <w:sz w:val="24"/>
          <w:szCs w:val="24"/>
        </w:rPr>
        <w:t>As noted in the prefiled testimony of Ja</w:t>
      </w:r>
      <w:r w:rsidR="00F92A24">
        <w:rPr>
          <w:rFonts w:ascii="Times New Roman" w:hAnsi="Times New Roman" w:cs="Times New Roman"/>
          <w:sz w:val="24"/>
          <w:szCs w:val="24"/>
        </w:rPr>
        <w:t xml:space="preserve">cqueline </w:t>
      </w:r>
      <w:r>
        <w:rPr>
          <w:rFonts w:ascii="Times New Roman" w:hAnsi="Times New Roman" w:cs="Times New Roman"/>
          <w:sz w:val="24"/>
          <w:szCs w:val="24"/>
        </w:rPr>
        <w:t>Davis</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this </w:t>
      </w:r>
      <w:r w:rsidR="003A4751">
        <w:rPr>
          <w:rFonts w:ascii="Times New Roman" w:hAnsi="Times New Roman" w:cs="Times New Roman"/>
          <w:sz w:val="24"/>
          <w:szCs w:val="24"/>
        </w:rPr>
        <w:t xml:space="preserve">general rate </w:t>
      </w:r>
      <w:r>
        <w:rPr>
          <w:rFonts w:ascii="Times New Roman" w:hAnsi="Times New Roman" w:cs="Times New Roman"/>
          <w:sz w:val="24"/>
          <w:szCs w:val="24"/>
        </w:rPr>
        <w:t xml:space="preserve">filing </w:t>
      </w:r>
      <w:r w:rsidR="00264B00">
        <w:rPr>
          <w:rFonts w:ascii="Times New Roman" w:hAnsi="Times New Roman" w:cs="Times New Roman"/>
          <w:sz w:val="24"/>
          <w:szCs w:val="24"/>
        </w:rPr>
        <w:t xml:space="preserve">has therefore </w:t>
      </w:r>
      <w:r>
        <w:rPr>
          <w:rFonts w:ascii="Times New Roman" w:hAnsi="Times New Roman" w:cs="Times New Roman"/>
          <w:sz w:val="24"/>
          <w:szCs w:val="24"/>
        </w:rPr>
        <w:t xml:space="preserve">been </w:t>
      </w:r>
      <w:r w:rsidR="00F674F7">
        <w:rPr>
          <w:rFonts w:ascii="Times New Roman" w:hAnsi="Times New Roman" w:cs="Times New Roman"/>
          <w:sz w:val="24"/>
          <w:szCs w:val="24"/>
        </w:rPr>
        <w:t xml:space="preserve">previously </w:t>
      </w:r>
      <w:r>
        <w:rPr>
          <w:rFonts w:ascii="Times New Roman" w:hAnsi="Times New Roman" w:cs="Times New Roman"/>
          <w:sz w:val="24"/>
          <w:szCs w:val="24"/>
        </w:rPr>
        <w:t>subject to extensive audit, data requests, site visits and review by the Commission Staff</w:t>
      </w:r>
      <w:r w:rsidR="003A4751">
        <w:rPr>
          <w:rFonts w:ascii="Times New Roman" w:hAnsi="Times New Roman" w:cs="Times New Roman"/>
          <w:sz w:val="24"/>
          <w:szCs w:val="24"/>
        </w:rPr>
        <w:t xml:space="preserve"> since September</w:t>
      </w:r>
      <w:r>
        <w:rPr>
          <w:rFonts w:ascii="Times New Roman" w:hAnsi="Times New Roman" w:cs="Times New Roman"/>
          <w:sz w:val="24"/>
          <w:szCs w:val="24"/>
        </w:rPr>
        <w:t xml:space="preserve">.  Indeed, at the Commission’s Open Meeting on </w:t>
      </w:r>
      <w:r>
        <w:rPr>
          <w:rFonts w:ascii="Times New Roman" w:hAnsi="Times New Roman" w:cs="Times New Roman"/>
          <w:sz w:val="24"/>
          <w:szCs w:val="24"/>
        </w:rPr>
        <w:lastRenderedPageBreak/>
        <w:t xml:space="preserve">November 27, 2013, the Staff representative </w:t>
      </w:r>
      <w:r w:rsidR="00264B00">
        <w:rPr>
          <w:rFonts w:ascii="Times New Roman" w:hAnsi="Times New Roman" w:cs="Times New Roman"/>
          <w:sz w:val="24"/>
          <w:szCs w:val="24"/>
        </w:rPr>
        <w:t xml:space="preserve">was asked by the Commissioners </w:t>
      </w:r>
      <w:r w:rsidR="00F674F7">
        <w:rPr>
          <w:rFonts w:ascii="Times New Roman" w:hAnsi="Times New Roman" w:cs="Times New Roman"/>
          <w:sz w:val="24"/>
          <w:szCs w:val="24"/>
        </w:rPr>
        <w:t>about the rate filing, (</w:t>
      </w:r>
      <w:r>
        <w:rPr>
          <w:rFonts w:ascii="Times New Roman" w:hAnsi="Times New Roman" w:cs="Times New Roman"/>
          <w:sz w:val="24"/>
          <w:szCs w:val="24"/>
        </w:rPr>
        <w:t xml:space="preserve">which </w:t>
      </w:r>
      <w:r w:rsidR="009C256B">
        <w:rPr>
          <w:rFonts w:ascii="Times New Roman" w:hAnsi="Times New Roman" w:cs="Times New Roman"/>
          <w:sz w:val="24"/>
          <w:szCs w:val="24"/>
        </w:rPr>
        <w:t xml:space="preserve">was recommended for suspension), </w:t>
      </w:r>
      <w:r w:rsidR="000B7705">
        <w:rPr>
          <w:rFonts w:ascii="Times New Roman" w:hAnsi="Times New Roman" w:cs="Times New Roman"/>
          <w:sz w:val="24"/>
          <w:szCs w:val="24"/>
        </w:rPr>
        <w:t xml:space="preserve">who </w:t>
      </w:r>
      <w:r w:rsidR="009C256B">
        <w:rPr>
          <w:rFonts w:ascii="Times New Roman" w:hAnsi="Times New Roman" w:cs="Times New Roman"/>
          <w:sz w:val="24"/>
          <w:szCs w:val="24"/>
        </w:rPr>
        <w:t xml:space="preserve">indicated that </w:t>
      </w:r>
      <w:r>
        <w:rPr>
          <w:rFonts w:ascii="Times New Roman" w:hAnsi="Times New Roman" w:cs="Times New Roman"/>
          <w:sz w:val="24"/>
          <w:szCs w:val="24"/>
        </w:rPr>
        <w:t xml:space="preserve">only a few issues remained and that the Staff and the Company were hopeful the matter could be resolved </w:t>
      </w:r>
      <w:r w:rsidR="00264B00">
        <w:rPr>
          <w:rFonts w:ascii="Times New Roman" w:hAnsi="Times New Roman" w:cs="Times New Roman"/>
          <w:sz w:val="24"/>
          <w:szCs w:val="24"/>
        </w:rPr>
        <w:t xml:space="preserve">expeditiously and return to an Open Meeting </w:t>
      </w:r>
      <w:r w:rsidR="009C256B">
        <w:rPr>
          <w:rFonts w:ascii="Times New Roman" w:hAnsi="Times New Roman" w:cs="Times New Roman"/>
          <w:sz w:val="24"/>
          <w:szCs w:val="24"/>
        </w:rPr>
        <w:t xml:space="preserve">Agenda </w:t>
      </w:r>
      <w:r w:rsidR="00264B00">
        <w:rPr>
          <w:rFonts w:ascii="Times New Roman" w:hAnsi="Times New Roman" w:cs="Times New Roman"/>
          <w:sz w:val="24"/>
          <w:szCs w:val="24"/>
        </w:rPr>
        <w:t>for approval.</w:t>
      </w:r>
    </w:p>
    <w:p w:rsidR="009515A0" w:rsidRDefault="009515A0" w:rsidP="009515A0">
      <w:pPr>
        <w:pStyle w:val="ListParagraph"/>
        <w:numPr>
          <w:ilvl w:val="0"/>
          <w:numId w:val="1"/>
        </w:numPr>
        <w:spacing w:line="480" w:lineRule="auto"/>
        <w:ind w:left="0" w:hanging="720"/>
        <w:rPr>
          <w:rFonts w:ascii="Times New Roman" w:hAnsi="Times New Roman" w:cs="Times New Roman"/>
          <w:sz w:val="24"/>
          <w:szCs w:val="24"/>
        </w:rPr>
      </w:pPr>
      <w:r>
        <w:rPr>
          <w:rFonts w:ascii="Times New Roman" w:hAnsi="Times New Roman" w:cs="Times New Roman"/>
          <w:sz w:val="24"/>
          <w:szCs w:val="24"/>
        </w:rPr>
        <w:t xml:space="preserve">In short, </w:t>
      </w:r>
      <w:r w:rsidR="00264B00">
        <w:rPr>
          <w:rFonts w:ascii="Times New Roman" w:hAnsi="Times New Roman" w:cs="Times New Roman"/>
          <w:sz w:val="24"/>
          <w:szCs w:val="24"/>
        </w:rPr>
        <w:t xml:space="preserve">Exhibit No. </w:t>
      </w:r>
      <w:r>
        <w:rPr>
          <w:rFonts w:ascii="Times New Roman" w:hAnsi="Times New Roman" w:cs="Times New Roman"/>
          <w:sz w:val="24"/>
          <w:szCs w:val="24"/>
        </w:rPr>
        <w:t xml:space="preserve">JD-2, which will be </w:t>
      </w:r>
      <w:r w:rsidR="00F674F7">
        <w:rPr>
          <w:rFonts w:ascii="Times New Roman" w:hAnsi="Times New Roman" w:cs="Times New Roman"/>
          <w:sz w:val="24"/>
          <w:szCs w:val="24"/>
        </w:rPr>
        <w:t xml:space="preserve">formally </w:t>
      </w:r>
      <w:r>
        <w:rPr>
          <w:rFonts w:ascii="Times New Roman" w:hAnsi="Times New Roman" w:cs="Times New Roman"/>
          <w:sz w:val="24"/>
          <w:szCs w:val="24"/>
        </w:rPr>
        <w:t xml:space="preserve">offered into evidence at the </w:t>
      </w:r>
      <w:r w:rsidR="00F674F7">
        <w:rPr>
          <w:rFonts w:ascii="Times New Roman" w:hAnsi="Times New Roman" w:cs="Times New Roman"/>
          <w:sz w:val="24"/>
          <w:szCs w:val="24"/>
        </w:rPr>
        <w:t>h</w:t>
      </w:r>
      <w:r>
        <w:rPr>
          <w:rFonts w:ascii="Times New Roman" w:hAnsi="Times New Roman" w:cs="Times New Roman"/>
          <w:sz w:val="24"/>
          <w:szCs w:val="24"/>
        </w:rPr>
        <w:t>earing</w:t>
      </w:r>
      <w:r w:rsidR="00DD2273">
        <w:rPr>
          <w:rFonts w:ascii="Times New Roman" w:hAnsi="Times New Roman" w:cs="Times New Roman"/>
          <w:sz w:val="24"/>
          <w:szCs w:val="24"/>
        </w:rPr>
        <w:t xml:space="preserve"> on this matter on May 13, 2014, </w:t>
      </w:r>
      <w:r w:rsidR="00264B00">
        <w:rPr>
          <w:rFonts w:ascii="Times New Roman" w:hAnsi="Times New Roman" w:cs="Times New Roman"/>
          <w:sz w:val="24"/>
          <w:szCs w:val="24"/>
        </w:rPr>
        <w:t>was the Company’s originally-filed and subsequently-</w:t>
      </w:r>
      <w:r w:rsidR="009C256B">
        <w:rPr>
          <w:rFonts w:ascii="Times New Roman" w:hAnsi="Times New Roman" w:cs="Times New Roman"/>
          <w:sz w:val="24"/>
          <w:szCs w:val="24"/>
        </w:rPr>
        <w:t xml:space="preserve">reviewed </w:t>
      </w:r>
      <w:r w:rsidR="00264B00">
        <w:rPr>
          <w:rFonts w:ascii="Times New Roman" w:hAnsi="Times New Roman" w:cs="Times New Roman"/>
          <w:sz w:val="24"/>
          <w:szCs w:val="24"/>
        </w:rPr>
        <w:t xml:space="preserve">general rate </w:t>
      </w:r>
      <w:r>
        <w:rPr>
          <w:rFonts w:ascii="Times New Roman" w:hAnsi="Times New Roman" w:cs="Times New Roman"/>
          <w:sz w:val="24"/>
          <w:szCs w:val="24"/>
        </w:rPr>
        <w:t xml:space="preserve">case in chief.  </w:t>
      </w:r>
      <w:r w:rsidR="009C256B">
        <w:rPr>
          <w:rFonts w:ascii="Times New Roman" w:hAnsi="Times New Roman" w:cs="Times New Roman"/>
          <w:sz w:val="24"/>
          <w:szCs w:val="24"/>
        </w:rPr>
        <w:t>T</w:t>
      </w:r>
      <w:r>
        <w:rPr>
          <w:rFonts w:ascii="Times New Roman" w:hAnsi="Times New Roman" w:cs="Times New Roman"/>
          <w:sz w:val="24"/>
          <w:szCs w:val="24"/>
        </w:rPr>
        <w:t>he</w:t>
      </w:r>
      <w:r w:rsidR="009C256B">
        <w:rPr>
          <w:rFonts w:ascii="Times New Roman" w:hAnsi="Times New Roman" w:cs="Times New Roman"/>
          <w:sz w:val="24"/>
          <w:szCs w:val="24"/>
        </w:rPr>
        <w:t xml:space="preserve"> </w:t>
      </w:r>
      <w:r w:rsidR="003A4751">
        <w:rPr>
          <w:rFonts w:ascii="Times New Roman" w:hAnsi="Times New Roman" w:cs="Times New Roman"/>
          <w:sz w:val="24"/>
          <w:szCs w:val="24"/>
        </w:rPr>
        <w:t xml:space="preserve">whole </w:t>
      </w:r>
      <w:r>
        <w:rPr>
          <w:rFonts w:ascii="Times New Roman" w:hAnsi="Times New Roman" w:cs="Times New Roman"/>
          <w:sz w:val="24"/>
          <w:szCs w:val="24"/>
        </w:rPr>
        <w:t xml:space="preserve">issue of solid waste general rate cases being </w:t>
      </w:r>
      <w:r w:rsidR="00F674F7">
        <w:rPr>
          <w:rFonts w:ascii="Times New Roman" w:hAnsi="Times New Roman" w:cs="Times New Roman"/>
          <w:sz w:val="24"/>
          <w:szCs w:val="24"/>
        </w:rPr>
        <w:t xml:space="preserve">procedurally </w:t>
      </w:r>
      <w:r>
        <w:rPr>
          <w:rFonts w:ascii="Times New Roman" w:hAnsi="Times New Roman" w:cs="Times New Roman"/>
          <w:sz w:val="24"/>
          <w:szCs w:val="24"/>
        </w:rPr>
        <w:t xml:space="preserve">anomalous in terms of their prefiled and subsequent audit status as opposed to utility cases, </w:t>
      </w:r>
      <w:r w:rsidR="009C256B">
        <w:rPr>
          <w:rFonts w:ascii="Times New Roman" w:hAnsi="Times New Roman" w:cs="Times New Roman"/>
          <w:sz w:val="24"/>
          <w:szCs w:val="24"/>
        </w:rPr>
        <w:t>(</w:t>
      </w:r>
      <w:r w:rsidR="003D19EB">
        <w:rPr>
          <w:rFonts w:ascii="Times New Roman" w:hAnsi="Times New Roman" w:cs="Times New Roman"/>
          <w:sz w:val="24"/>
          <w:szCs w:val="24"/>
        </w:rPr>
        <w:t xml:space="preserve">the latter of </w:t>
      </w:r>
      <w:r w:rsidR="00264B00">
        <w:rPr>
          <w:rFonts w:ascii="Times New Roman" w:hAnsi="Times New Roman" w:cs="Times New Roman"/>
          <w:sz w:val="24"/>
          <w:szCs w:val="24"/>
        </w:rPr>
        <w:t xml:space="preserve">which the Staff and all parties </w:t>
      </w:r>
      <w:r w:rsidR="003D19EB">
        <w:rPr>
          <w:rFonts w:ascii="Times New Roman" w:hAnsi="Times New Roman" w:cs="Times New Roman"/>
          <w:sz w:val="24"/>
          <w:szCs w:val="24"/>
        </w:rPr>
        <w:t xml:space="preserve">simultaneously </w:t>
      </w:r>
      <w:r w:rsidR="00264B00">
        <w:rPr>
          <w:rFonts w:ascii="Times New Roman" w:hAnsi="Times New Roman" w:cs="Times New Roman"/>
          <w:sz w:val="24"/>
          <w:szCs w:val="24"/>
        </w:rPr>
        <w:t>see for the first time on the prefiling date</w:t>
      </w:r>
      <w:r w:rsidR="009C256B">
        <w:rPr>
          <w:rFonts w:ascii="Times New Roman" w:hAnsi="Times New Roman" w:cs="Times New Roman"/>
          <w:sz w:val="24"/>
          <w:szCs w:val="24"/>
        </w:rPr>
        <w:t>)</w:t>
      </w:r>
      <w:r w:rsidR="00264B00">
        <w:rPr>
          <w:rFonts w:ascii="Times New Roman" w:hAnsi="Times New Roman" w:cs="Times New Roman"/>
          <w:sz w:val="24"/>
          <w:szCs w:val="24"/>
        </w:rPr>
        <w:t xml:space="preserve">, </w:t>
      </w:r>
      <w:r>
        <w:rPr>
          <w:rFonts w:ascii="Times New Roman" w:hAnsi="Times New Roman" w:cs="Times New Roman"/>
          <w:sz w:val="24"/>
          <w:szCs w:val="24"/>
        </w:rPr>
        <w:t xml:space="preserve">was </w:t>
      </w:r>
      <w:r w:rsidR="000B7705">
        <w:rPr>
          <w:rFonts w:ascii="Times New Roman" w:hAnsi="Times New Roman" w:cs="Times New Roman"/>
          <w:sz w:val="24"/>
          <w:szCs w:val="24"/>
        </w:rPr>
        <w:t xml:space="preserve">actually </w:t>
      </w:r>
      <w:r w:rsidR="00071CF6">
        <w:rPr>
          <w:rFonts w:ascii="Times New Roman" w:hAnsi="Times New Roman" w:cs="Times New Roman"/>
          <w:sz w:val="24"/>
          <w:szCs w:val="24"/>
        </w:rPr>
        <w:t xml:space="preserve">the subject of an email </w:t>
      </w:r>
      <w:r w:rsidR="00456241">
        <w:rPr>
          <w:rFonts w:ascii="Times New Roman" w:hAnsi="Times New Roman" w:cs="Times New Roman"/>
          <w:sz w:val="24"/>
          <w:szCs w:val="24"/>
        </w:rPr>
        <w:t xml:space="preserve">from the Company’s counsel to Staff and Intervenor counsel </w:t>
      </w:r>
      <w:r w:rsidR="00071CF6">
        <w:rPr>
          <w:rFonts w:ascii="Times New Roman" w:hAnsi="Times New Roman" w:cs="Times New Roman"/>
          <w:sz w:val="24"/>
          <w:szCs w:val="24"/>
        </w:rPr>
        <w:t xml:space="preserve">on February 6, 2014 and </w:t>
      </w:r>
      <w:r>
        <w:rPr>
          <w:rFonts w:ascii="Times New Roman" w:hAnsi="Times New Roman" w:cs="Times New Roman"/>
          <w:sz w:val="24"/>
          <w:szCs w:val="24"/>
        </w:rPr>
        <w:t xml:space="preserve">an express </w:t>
      </w:r>
      <w:r w:rsidR="003A4751">
        <w:rPr>
          <w:rFonts w:ascii="Times New Roman" w:hAnsi="Times New Roman" w:cs="Times New Roman"/>
          <w:sz w:val="24"/>
          <w:szCs w:val="24"/>
        </w:rPr>
        <w:t xml:space="preserve">topic </w:t>
      </w:r>
      <w:r w:rsidR="009C256B">
        <w:rPr>
          <w:rFonts w:ascii="Times New Roman" w:hAnsi="Times New Roman" w:cs="Times New Roman"/>
          <w:sz w:val="24"/>
          <w:szCs w:val="24"/>
        </w:rPr>
        <w:t xml:space="preserve">of </w:t>
      </w:r>
      <w:r>
        <w:rPr>
          <w:rFonts w:ascii="Times New Roman" w:hAnsi="Times New Roman" w:cs="Times New Roman"/>
          <w:sz w:val="24"/>
          <w:szCs w:val="24"/>
        </w:rPr>
        <w:t xml:space="preserve">a </w:t>
      </w:r>
      <w:r w:rsidR="00264B00">
        <w:rPr>
          <w:rFonts w:ascii="Times New Roman" w:hAnsi="Times New Roman" w:cs="Times New Roman"/>
          <w:sz w:val="24"/>
          <w:szCs w:val="24"/>
        </w:rPr>
        <w:t xml:space="preserve">telephone </w:t>
      </w:r>
      <w:r>
        <w:rPr>
          <w:rFonts w:ascii="Times New Roman" w:hAnsi="Times New Roman" w:cs="Times New Roman"/>
          <w:sz w:val="24"/>
          <w:szCs w:val="24"/>
        </w:rPr>
        <w:t xml:space="preserve">status conference between the Administrative Law Judge and counsel for the parties on </w:t>
      </w:r>
      <w:r w:rsidR="00F92A24">
        <w:rPr>
          <w:rFonts w:ascii="Times New Roman" w:hAnsi="Times New Roman" w:cs="Times New Roman"/>
          <w:sz w:val="24"/>
          <w:szCs w:val="24"/>
        </w:rPr>
        <w:t xml:space="preserve">February 10, 2014.  In that call, </w:t>
      </w:r>
      <w:r>
        <w:rPr>
          <w:rFonts w:ascii="Times New Roman" w:hAnsi="Times New Roman" w:cs="Times New Roman"/>
          <w:sz w:val="24"/>
          <w:szCs w:val="24"/>
        </w:rPr>
        <w:t xml:space="preserve">the parties agreed that the rate case as </w:t>
      </w:r>
      <w:r w:rsidR="00F92A24">
        <w:rPr>
          <w:rFonts w:ascii="Times New Roman" w:hAnsi="Times New Roman" w:cs="Times New Roman"/>
          <w:sz w:val="24"/>
          <w:szCs w:val="24"/>
        </w:rPr>
        <w:t xml:space="preserve">previously </w:t>
      </w:r>
      <w:r>
        <w:rPr>
          <w:rFonts w:ascii="Times New Roman" w:hAnsi="Times New Roman" w:cs="Times New Roman"/>
          <w:sz w:val="24"/>
          <w:szCs w:val="24"/>
        </w:rPr>
        <w:t xml:space="preserve">filed would be identified as an exhibit and not subsequently </w:t>
      </w:r>
      <w:r w:rsidR="009C256B">
        <w:rPr>
          <w:rFonts w:ascii="Times New Roman" w:hAnsi="Times New Roman" w:cs="Times New Roman"/>
          <w:sz w:val="24"/>
          <w:szCs w:val="24"/>
        </w:rPr>
        <w:t xml:space="preserve">paper </w:t>
      </w:r>
      <w:r>
        <w:rPr>
          <w:rFonts w:ascii="Times New Roman" w:hAnsi="Times New Roman" w:cs="Times New Roman"/>
          <w:sz w:val="24"/>
          <w:szCs w:val="24"/>
        </w:rPr>
        <w:t>filed with the rate case prefiled testimony and exhibi</w:t>
      </w:r>
      <w:r w:rsidR="00264B00">
        <w:rPr>
          <w:rFonts w:ascii="Times New Roman" w:hAnsi="Times New Roman" w:cs="Times New Roman"/>
          <w:sz w:val="24"/>
          <w:szCs w:val="24"/>
        </w:rPr>
        <w:t xml:space="preserve">ts to avoid </w:t>
      </w:r>
      <w:r w:rsidR="000B7705">
        <w:rPr>
          <w:rFonts w:ascii="Times New Roman" w:hAnsi="Times New Roman" w:cs="Times New Roman"/>
          <w:sz w:val="24"/>
          <w:szCs w:val="24"/>
        </w:rPr>
        <w:t xml:space="preserve">any possible </w:t>
      </w:r>
      <w:r w:rsidR="00264B00">
        <w:rPr>
          <w:rFonts w:ascii="Times New Roman" w:hAnsi="Times New Roman" w:cs="Times New Roman"/>
          <w:sz w:val="24"/>
          <w:szCs w:val="24"/>
        </w:rPr>
        <w:t xml:space="preserve">confusion.  In that conference, the parties </w:t>
      </w:r>
      <w:r w:rsidR="00F92A24">
        <w:rPr>
          <w:rFonts w:ascii="Times New Roman" w:hAnsi="Times New Roman" w:cs="Times New Roman"/>
          <w:sz w:val="24"/>
          <w:szCs w:val="24"/>
        </w:rPr>
        <w:t xml:space="preserve">also </w:t>
      </w:r>
      <w:r w:rsidR="00F674F7">
        <w:rPr>
          <w:rFonts w:ascii="Times New Roman" w:hAnsi="Times New Roman" w:cs="Times New Roman"/>
          <w:sz w:val="24"/>
          <w:szCs w:val="24"/>
        </w:rPr>
        <w:t xml:space="preserve">appeared </w:t>
      </w:r>
      <w:r w:rsidR="00264B00">
        <w:rPr>
          <w:rFonts w:ascii="Times New Roman" w:hAnsi="Times New Roman" w:cs="Times New Roman"/>
          <w:sz w:val="24"/>
          <w:szCs w:val="24"/>
        </w:rPr>
        <w:t xml:space="preserve">to </w:t>
      </w:r>
      <w:r>
        <w:rPr>
          <w:rFonts w:ascii="Times New Roman" w:hAnsi="Times New Roman" w:cs="Times New Roman"/>
          <w:sz w:val="24"/>
          <w:szCs w:val="24"/>
        </w:rPr>
        <w:t xml:space="preserve">acknowledge the fact that solid waste general rate cases under RCW 81.04 and WAC 480-07-520 are </w:t>
      </w:r>
      <w:r w:rsidR="003D19EB">
        <w:rPr>
          <w:rFonts w:ascii="Times New Roman" w:hAnsi="Times New Roman" w:cs="Times New Roman"/>
          <w:sz w:val="24"/>
          <w:szCs w:val="24"/>
        </w:rPr>
        <w:t xml:space="preserve">quite </w:t>
      </w:r>
      <w:r>
        <w:rPr>
          <w:rFonts w:ascii="Times New Roman" w:hAnsi="Times New Roman" w:cs="Times New Roman"/>
          <w:sz w:val="24"/>
          <w:szCs w:val="24"/>
        </w:rPr>
        <w:t xml:space="preserve">different procedurally </w:t>
      </w:r>
      <w:r w:rsidR="003D19EB">
        <w:rPr>
          <w:rFonts w:ascii="Times New Roman" w:hAnsi="Times New Roman" w:cs="Times New Roman"/>
          <w:sz w:val="24"/>
          <w:szCs w:val="24"/>
        </w:rPr>
        <w:t xml:space="preserve">from </w:t>
      </w:r>
      <w:r>
        <w:rPr>
          <w:rFonts w:ascii="Times New Roman" w:hAnsi="Times New Roman" w:cs="Times New Roman"/>
          <w:sz w:val="24"/>
          <w:szCs w:val="24"/>
        </w:rPr>
        <w:t xml:space="preserve">utility cases such as energy and natural gas cases </w:t>
      </w:r>
      <w:r w:rsidR="00264B00">
        <w:rPr>
          <w:rFonts w:ascii="Times New Roman" w:hAnsi="Times New Roman" w:cs="Times New Roman"/>
          <w:sz w:val="24"/>
          <w:szCs w:val="24"/>
        </w:rPr>
        <w:t xml:space="preserve">owing largely to the fact </w:t>
      </w:r>
      <w:r>
        <w:rPr>
          <w:rFonts w:ascii="Times New Roman" w:hAnsi="Times New Roman" w:cs="Times New Roman"/>
          <w:sz w:val="24"/>
          <w:szCs w:val="24"/>
        </w:rPr>
        <w:t xml:space="preserve">that the prefiling of testimony </w:t>
      </w:r>
      <w:r w:rsidR="003A4751">
        <w:rPr>
          <w:rFonts w:ascii="Times New Roman" w:hAnsi="Times New Roman" w:cs="Times New Roman"/>
          <w:sz w:val="24"/>
          <w:szCs w:val="24"/>
        </w:rPr>
        <w:t xml:space="preserve">in the latter cases </w:t>
      </w:r>
      <w:r w:rsidR="003D19EB">
        <w:rPr>
          <w:rFonts w:ascii="Times New Roman" w:hAnsi="Times New Roman" w:cs="Times New Roman"/>
          <w:sz w:val="24"/>
          <w:szCs w:val="24"/>
        </w:rPr>
        <w:t xml:space="preserve">for the first time </w:t>
      </w:r>
      <w:r w:rsidR="00F92A24">
        <w:rPr>
          <w:rFonts w:ascii="Times New Roman" w:hAnsi="Times New Roman" w:cs="Times New Roman"/>
          <w:sz w:val="24"/>
          <w:szCs w:val="24"/>
        </w:rPr>
        <w:t xml:space="preserve">includes </w:t>
      </w:r>
      <w:r>
        <w:rPr>
          <w:rFonts w:ascii="Times New Roman" w:hAnsi="Times New Roman" w:cs="Times New Roman"/>
          <w:sz w:val="24"/>
          <w:szCs w:val="24"/>
        </w:rPr>
        <w:t>the Company’s proposal for general rate increases</w:t>
      </w:r>
      <w:r w:rsidR="000B7705">
        <w:rPr>
          <w:rFonts w:ascii="Times New Roman" w:hAnsi="Times New Roman" w:cs="Times New Roman"/>
          <w:sz w:val="24"/>
          <w:szCs w:val="24"/>
        </w:rPr>
        <w:t xml:space="preserve"> and revised tariffs</w:t>
      </w:r>
      <w:r>
        <w:rPr>
          <w:rFonts w:ascii="Times New Roman" w:hAnsi="Times New Roman" w:cs="Times New Roman"/>
          <w:sz w:val="24"/>
          <w:szCs w:val="24"/>
        </w:rPr>
        <w:t>.</w:t>
      </w:r>
      <w:r w:rsidR="009C256B">
        <w:rPr>
          <w:rStyle w:val="FootnoteReference"/>
          <w:rFonts w:ascii="Times New Roman" w:hAnsi="Times New Roman" w:cs="Times New Roman"/>
          <w:sz w:val="24"/>
          <w:szCs w:val="24"/>
        </w:rPr>
        <w:footnoteReference w:id="3"/>
      </w:r>
    </w:p>
    <w:p w:rsidR="002D1072" w:rsidRPr="009A67A3" w:rsidRDefault="002D1072" w:rsidP="002D1072">
      <w:pPr>
        <w:pStyle w:val="ListParagraph"/>
        <w:spacing w:line="480" w:lineRule="auto"/>
        <w:ind w:left="0"/>
        <w:jc w:val="center"/>
        <w:rPr>
          <w:rFonts w:ascii="Times New Roman" w:hAnsi="Times New Roman" w:cs="Times New Roman"/>
          <w:b/>
          <w:sz w:val="24"/>
          <w:szCs w:val="24"/>
        </w:rPr>
      </w:pPr>
      <w:r w:rsidRPr="009A67A3">
        <w:rPr>
          <w:rFonts w:ascii="Times New Roman" w:hAnsi="Times New Roman" w:cs="Times New Roman"/>
          <w:b/>
          <w:sz w:val="24"/>
          <w:szCs w:val="24"/>
        </w:rPr>
        <w:lastRenderedPageBreak/>
        <w:t>III.  LEGAL ARGUMENT</w:t>
      </w:r>
    </w:p>
    <w:p w:rsidR="002D1072" w:rsidRDefault="002D1072" w:rsidP="002D1072">
      <w:pPr>
        <w:pStyle w:val="ListParagraph"/>
        <w:ind w:left="0"/>
        <w:rPr>
          <w:rFonts w:ascii="Times New Roman" w:hAnsi="Times New Roman" w:cs="Times New Roman"/>
          <w:b/>
          <w:sz w:val="24"/>
          <w:szCs w:val="24"/>
        </w:rPr>
      </w:pPr>
      <w:r>
        <w:rPr>
          <w:rFonts w:ascii="Times New Roman" w:hAnsi="Times New Roman" w:cs="Times New Roman"/>
          <w:b/>
          <w:sz w:val="24"/>
          <w:szCs w:val="24"/>
        </w:rPr>
        <w:t>A.</w:t>
      </w:r>
      <w:r>
        <w:rPr>
          <w:rFonts w:ascii="Times New Roman" w:hAnsi="Times New Roman" w:cs="Times New Roman"/>
          <w:b/>
          <w:sz w:val="24"/>
          <w:szCs w:val="24"/>
        </w:rPr>
        <w:tab/>
      </w:r>
      <w:r w:rsidR="004B1970" w:rsidRPr="004B1970">
        <w:rPr>
          <w:rFonts w:ascii="Times New Roman" w:hAnsi="Times New Roman" w:cs="Times New Roman"/>
          <w:b/>
          <w:sz w:val="24"/>
          <w:szCs w:val="24"/>
        </w:rPr>
        <w:t>J</w:t>
      </w:r>
      <w:r w:rsidR="003A4751">
        <w:rPr>
          <w:rFonts w:ascii="Times New Roman" w:hAnsi="Times New Roman" w:cs="Times New Roman"/>
          <w:b/>
          <w:sz w:val="24"/>
          <w:szCs w:val="24"/>
        </w:rPr>
        <w:t xml:space="preserve">udicial Standards for </w:t>
      </w:r>
      <w:r>
        <w:rPr>
          <w:rFonts w:ascii="Times New Roman" w:hAnsi="Times New Roman" w:cs="Times New Roman"/>
          <w:b/>
          <w:sz w:val="24"/>
          <w:szCs w:val="24"/>
        </w:rPr>
        <w:t>Review of Motions for Dismissal/Judgment on the Pleadings</w:t>
      </w:r>
      <w:r w:rsidR="00025C19">
        <w:rPr>
          <w:rFonts w:ascii="Times New Roman" w:hAnsi="Times New Roman" w:cs="Times New Roman"/>
          <w:b/>
          <w:sz w:val="24"/>
          <w:szCs w:val="24"/>
        </w:rPr>
        <w:t xml:space="preserve"> are Highly Favorable to a Respondent</w:t>
      </w:r>
      <w:r>
        <w:rPr>
          <w:rFonts w:ascii="Times New Roman" w:hAnsi="Times New Roman" w:cs="Times New Roman"/>
          <w:b/>
          <w:sz w:val="24"/>
          <w:szCs w:val="24"/>
        </w:rPr>
        <w:t>.</w:t>
      </w:r>
    </w:p>
    <w:p w:rsidR="004B1970" w:rsidRDefault="004B1970" w:rsidP="004B1970">
      <w:pPr>
        <w:rPr>
          <w:rFonts w:ascii="Times New Roman" w:hAnsi="Times New Roman" w:cs="Times New Roman"/>
          <w:sz w:val="24"/>
          <w:szCs w:val="24"/>
        </w:rPr>
      </w:pPr>
    </w:p>
    <w:p w:rsidR="004B1970" w:rsidRDefault="004B1970" w:rsidP="004B1970">
      <w:pPr>
        <w:pStyle w:val="ListParagraph"/>
        <w:numPr>
          <w:ilvl w:val="0"/>
          <w:numId w:val="1"/>
        </w:numPr>
        <w:spacing w:line="480" w:lineRule="auto"/>
        <w:ind w:left="0" w:hanging="720"/>
        <w:rPr>
          <w:rFonts w:ascii="Times New Roman" w:hAnsi="Times New Roman" w:cs="Times New Roman"/>
          <w:sz w:val="24"/>
          <w:szCs w:val="24"/>
        </w:rPr>
      </w:pPr>
      <w:r>
        <w:rPr>
          <w:rFonts w:ascii="Times New Roman" w:hAnsi="Times New Roman" w:cs="Times New Roman"/>
          <w:sz w:val="24"/>
          <w:szCs w:val="24"/>
        </w:rPr>
        <w:t>WAC 480-07-380(1)(a) expressly notes the Commission’s consideration of “</w:t>
      </w:r>
      <w:r w:rsidR="000B7705">
        <w:rPr>
          <w:rFonts w:ascii="Times New Roman" w:hAnsi="Times New Roman" w:cs="Times New Roman"/>
          <w:sz w:val="24"/>
          <w:szCs w:val="24"/>
        </w:rPr>
        <w:t xml:space="preserve">… </w:t>
      </w:r>
      <w:r>
        <w:rPr>
          <w:rFonts w:ascii="Times New Roman" w:hAnsi="Times New Roman" w:cs="Times New Roman"/>
          <w:sz w:val="24"/>
          <w:szCs w:val="24"/>
        </w:rPr>
        <w:t>the standards applicable to a motion made under CR 12(b)(6) and 12(c) of the Washington Superior court’s civil rules in ruling on a motion made under this subsection.”  A CR 12(b)(6) motion is a motion to dismiss for failure to state a claim upon which relief can be granted while a CR 12(c) motion is one for judgment on the pleadings</w:t>
      </w:r>
      <w:r w:rsidR="000B7705">
        <w:rPr>
          <w:rFonts w:ascii="Times New Roman" w:hAnsi="Times New Roman" w:cs="Times New Roman"/>
          <w:sz w:val="24"/>
          <w:szCs w:val="24"/>
        </w:rPr>
        <w:t xml:space="preserve">.  </w:t>
      </w:r>
      <w:r w:rsidR="005313B8">
        <w:rPr>
          <w:rFonts w:ascii="Times New Roman" w:hAnsi="Times New Roman" w:cs="Times New Roman"/>
          <w:sz w:val="24"/>
          <w:szCs w:val="24"/>
        </w:rPr>
        <w:t>“</w:t>
      </w:r>
      <w:r w:rsidR="000B7705">
        <w:rPr>
          <w:rFonts w:ascii="Times New Roman" w:hAnsi="Times New Roman" w:cs="Times New Roman"/>
          <w:sz w:val="24"/>
          <w:szCs w:val="24"/>
        </w:rPr>
        <w:t>[A]</w:t>
      </w:r>
      <w:r>
        <w:rPr>
          <w:rFonts w:ascii="Times New Roman" w:hAnsi="Times New Roman" w:cs="Times New Roman"/>
          <w:sz w:val="24"/>
          <w:szCs w:val="24"/>
        </w:rPr>
        <w:t>lthough generally raised at different times,</w:t>
      </w:r>
      <w:r w:rsidR="005313B8">
        <w:rPr>
          <w:rFonts w:ascii="Times New Roman" w:hAnsi="Times New Roman" w:cs="Times New Roman"/>
          <w:sz w:val="24"/>
          <w:szCs w:val="24"/>
        </w:rPr>
        <w:t>”</w:t>
      </w:r>
      <w:r>
        <w:rPr>
          <w:rFonts w:ascii="Times New Roman" w:hAnsi="Times New Roman" w:cs="Times New Roman"/>
          <w:sz w:val="24"/>
          <w:szCs w:val="24"/>
        </w:rPr>
        <w:t xml:space="preserve"> the two motions “generally raise identical issues.”  </w:t>
      </w:r>
      <w:r w:rsidRPr="004B1970">
        <w:rPr>
          <w:rFonts w:ascii="Times New Roman" w:hAnsi="Times New Roman" w:cs="Times New Roman"/>
          <w:i/>
          <w:sz w:val="24"/>
          <w:szCs w:val="24"/>
        </w:rPr>
        <w:t>Suleiman v. Lasher</w:t>
      </w:r>
      <w:r w:rsidRPr="004B1970">
        <w:rPr>
          <w:rFonts w:ascii="Times New Roman" w:hAnsi="Times New Roman" w:cs="Times New Roman"/>
          <w:sz w:val="24"/>
          <w:szCs w:val="24"/>
        </w:rPr>
        <w:t xml:space="preserve">, 48 Wn. App. 373, 376, 739 P.2d 712 (1987); </w:t>
      </w:r>
      <w:r w:rsidRPr="004B1970">
        <w:rPr>
          <w:rFonts w:ascii="Times New Roman" w:hAnsi="Times New Roman" w:cs="Times New Roman"/>
          <w:i/>
          <w:sz w:val="24"/>
          <w:szCs w:val="24"/>
        </w:rPr>
        <w:t>see also Gaspar v. Peshastin Hi-Up Growers</w:t>
      </w:r>
      <w:r w:rsidRPr="004B1970">
        <w:rPr>
          <w:rFonts w:ascii="Times New Roman" w:hAnsi="Times New Roman" w:cs="Times New Roman"/>
          <w:sz w:val="24"/>
          <w:szCs w:val="24"/>
        </w:rPr>
        <w:t xml:space="preserve">, 131 Wn. App. 630, 128 P.3d 627 (2006) (citing </w:t>
      </w:r>
      <w:r w:rsidRPr="004B1970">
        <w:rPr>
          <w:rFonts w:ascii="Times New Roman" w:hAnsi="Times New Roman" w:cs="Times New Roman"/>
          <w:i/>
          <w:sz w:val="24"/>
          <w:szCs w:val="24"/>
        </w:rPr>
        <w:t>Suleiman</w:t>
      </w:r>
      <w:r w:rsidRPr="004B1970">
        <w:rPr>
          <w:rFonts w:ascii="Times New Roman" w:hAnsi="Times New Roman" w:cs="Times New Roman"/>
          <w:sz w:val="24"/>
          <w:szCs w:val="24"/>
        </w:rPr>
        <w:t xml:space="preserve"> for this proposition</w:t>
      </w:r>
      <w:r>
        <w:rPr>
          <w:rFonts w:ascii="Times New Roman" w:hAnsi="Times New Roman" w:cs="Times New Roman"/>
          <w:sz w:val="24"/>
          <w:szCs w:val="24"/>
        </w:rPr>
        <w:t>).</w:t>
      </w:r>
    </w:p>
    <w:p w:rsidR="004B1970" w:rsidRDefault="004B1970" w:rsidP="004B1970">
      <w:pPr>
        <w:pStyle w:val="ListParagraph"/>
        <w:numPr>
          <w:ilvl w:val="0"/>
          <w:numId w:val="1"/>
        </w:numPr>
        <w:spacing w:line="480" w:lineRule="auto"/>
        <w:ind w:left="0" w:hanging="720"/>
        <w:rPr>
          <w:rFonts w:ascii="Times New Roman" w:hAnsi="Times New Roman" w:cs="Times New Roman"/>
          <w:sz w:val="24"/>
          <w:szCs w:val="24"/>
        </w:rPr>
      </w:pPr>
      <w:r w:rsidRPr="004B1970">
        <w:rPr>
          <w:rFonts w:ascii="Times New Roman" w:hAnsi="Times New Roman" w:cs="Times New Roman"/>
          <w:sz w:val="24"/>
          <w:szCs w:val="24"/>
        </w:rPr>
        <w:t xml:space="preserve">For purposes of CR 12(b)(6) and 12(c), Washington courts “should grant a motion to dismiss . . . only if it appears beyond doubt that the plaintiff cannot prove any set of facts, consistent with the complaint, justifying recovery.”  </w:t>
      </w:r>
      <w:r w:rsidRPr="004B1970">
        <w:rPr>
          <w:rFonts w:ascii="Times New Roman" w:hAnsi="Times New Roman" w:cs="Times New Roman"/>
          <w:i/>
          <w:sz w:val="24"/>
          <w:szCs w:val="24"/>
        </w:rPr>
        <w:t>Hipple v. McFaddin</w:t>
      </w:r>
      <w:r w:rsidRPr="004B1970">
        <w:rPr>
          <w:rFonts w:ascii="Times New Roman" w:hAnsi="Times New Roman" w:cs="Times New Roman"/>
          <w:sz w:val="24"/>
          <w:szCs w:val="24"/>
        </w:rPr>
        <w:t xml:space="preserve">, 161 Wn. App. 550, 556, 255 P.3d 730 (2011).  “A CR 12(b)(6) motion should be granted ‘sparingly and with care’ and ‘only in the unusual case in which plaintiff includes allegations that show on the face of the complaint that there is some insuperable bar to relief.’”  </w:t>
      </w:r>
      <w:r w:rsidRPr="004B1970">
        <w:rPr>
          <w:rFonts w:ascii="Times New Roman" w:hAnsi="Times New Roman" w:cs="Times New Roman"/>
          <w:i/>
          <w:sz w:val="24"/>
          <w:szCs w:val="24"/>
        </w:rPr>
        <w:t>Holiday Resort Cmty. Ass’n v. Echo Lake Assocs., LLC</w:t>
      </w:r>
      <w:r w:rsidRPr="004B1970">
        <w:rPr>
          <w:rFonts w:ascii="Times New Roman" w:hAnsi="Times New Roman" w:cs="Times New Roman"/>
          <w:sz w:val="24"/>
          <w:szCs w:val="24"/>
        </w:rPr>
        <w:t xml:space="preserve">, 134 Wn. App. 210, 218, 135 P.3d 499 (2006) (quoting </w:t>
      </w:r>
      <w:r w:rsidRPr="004B1970">
        <w:rPr>
          <w:rFonts w:ascii="Times New Roman" w:hAnsi="Times New Roman" w:cs="Times New Roman"/>
          <w:i/>
          <w:sz w:val="24"/>
          <w:szCs w:val="24"/>
        </w:rPr>
        <w:t>Tenore v. AT&amp;T Wireless Srvs</w:t>
      </w:r>
      <w:r w:rsidRPr="004B1970">
        <w:rPr>
          <w:rFonts w:ascii="Times New Roman" w:hAnsi="Times New Roman" w:cs="Times New Roman"/>
          <w:sz w:val="24"/>
          <w:szCs w:val="24"/>
        </w:rPr>
        <w:t xml:space="preserve">., 136 Wn.2d 322, 330, 962 P.2d 104 (1998)). “For the purposes of this analysis, a plaintiff’s allegations are presumed to be true and a court may consider hypothetical facts not included in the record.”  </w:t>
      </w:r>
      <w:r w:rsidRPr="004B1970">
        <w:rPr>
          <w:rFonts w:ascii="Times New Roman" w:hAnsi="Times New Roman" w:cs="Times New Roman"/>
          <w:i/>
          <w:sz w:val="24"/>
          <w:szCs w:val="24"/>
        </w:rPr>
        <w:t>Hipple</w:t>
      </w:r>
      <w:r>
        <w:rPr>
          <w:rFonts w:ascii="Times New Roman" w:hAnsi="Times New Roman" w:cs="Times New Roman"/>
          <w:sz w:val="24"/>
          <w:szCs w:val="24"/>
        </w:rPr>
        <w:t>, 161 Wn. App. at 557.</w:t>
      </w:r>
    </w:p>
    <w:p w:rsidR="004B1970" w:rsidRDefault="004B1970" w:rsidP="004B1970">
      <w:pPr>
        <w:pStyle w:val="ListParagraph"/>
        <w:numPr>
          <w:ilvl w:val="0"/>
          <w:numId w:val="1"/>
        </w:numPr>
        <w:spacing w:line="480" w:lineRule="auto"/>
        <w:ind w:left="0" w:hanging="720"/>
        <w:rPr>
          <w:rFonts w:ascii="Times New Roman" w:hAnsi="Times New Roman" w:cs="Times New Roman"/>
          <w:sz w:val="24"/>
          <w:szCs w:val="24"/>
        </w:rPr>
      </w:pPr>
      <w:r w:rsidRPr="004B1970">
        <w:rPr>
          <w:rFonts w:ascii="Times New Roman" w:hAnsi="Times New Roman" w:cs="Times New Roman"/>
          <w:sz w:val="24"/>
          <w:szCs w:val="24"/>
        </w:rPr>
        <w:t xml:space="preserve">“On a 12(b)(6) motion, a challenge to the legal sufficiency of the plaintiff’s allegations must be denied unless no state of facts which plaintiff could prove, consistent with the complaint, </w:t>
      </w:r>
      <w:r w:rsidRPr="004B1970">
        <w:rPr>
          <w:rFonts w:ascii="Times New Roman" w:hAnsi="Times New Roman" w:cs="Times New Roman"/>
          <w:sz w:val="24"/>
          <w:szCs w:val="24"/>
        </w:rPr>
        <w:lastRenderedPageBreak/>
        <w:t xml:space="preserve">would entitle the plaintiff to relief on the claim.”  </w:t>
      </w:r>
      <w:r w:rsidRPr="004B1970">
        <w:rPr>
          <w:rFonts w:ascii="Times New Roman" w:hAnsi="Times New Roman" w:cs="Times New Roman"/>
          <w:i/>
          <w:sz w:val="24"/>
          <w:szCs w:val="24"/>
        </w:rPr>
        <w:t>Halvorson v. Dahl</w:t>
      </w:r>
      <w:r w:rsidRPr="004B1970">
        <w:rPr>
          <w:rFonts w:ascii="Times New Roman" w:hAnsi="Times New Roman" w:cs="Times New Roman"/>
          <w:sz w:val="24"/>
          <w:szCs w:val="24"/>
        </w:rPr>
        <w:t xml:space="preserve">, 89 Wn.2d 673, 674, 574 P.2d 1190 (1978).  “This weeds out complaints where, even if what the plaintiff alleges is true, the law does not provide a remedy.” </w:t>
      </w:r>
      <w:r w:rsidRPr="004B1970">
        <w:rPr>
          <w:rFonts w:ascii="Times New Roman" w:hAnsi="Times New Roman" w:cs="Times New Roman"/>
          <w:i/>
          <w:sz w:val="24"/>
          <w:szCs w:val="24"/>
        </w:rPr>
        <w:t>McCurry v. Chevy Chase Bank, FSB</w:t>
      </w:r>
      <w:r w:rsidRPr="004B1970">
        <w:rPr>
          <w:rFonts w:ascii="Times New Roman" w:hAnsi="Times New Roman" w:cs="Times New Roman"/>
          <w:sz w:val="24"/>
          <w:szCs w:val="24"/>
        </w:rPr>
        <w:t xml:space="preserve">, 169 Wn.2d 96, 101, 233 P.3d 861 (2010).  “Because the legal standard is whether any state of facts supporting a valid claim can be conceived, there can be no prejudice or unfairness to a defendant if a court considers specific allegations of the plaintiff to aid in the evaluation of the legal sufficiency of plaintiff’s claim.”  </w:t>
      </w:r>
      <w:r w:rsidRPr="004B1970">
        <w:rPr>
          <w:rFonts w:ascii="Times New Roman" w:hAnsi="Times New Roman" w:cs="Times New Roman"/>
          <w:i/>
          <w:sz w:val="24"/>
          <w:szCs w:val="24"/>
        </w:rPr>
        <w:t>Halvorson</w:t>
      </w:r>
      <w:r w:rsidRPr="004B1970">
        <w:rPr>
          <w:rFonts w:ascii="Times New Roman" w:hAnsi="Times New Roman" w:cs="Times New Roman"/>
          <w:sz w:val="24"/>
          <w:szCs w:val="24"/>
        </w:rPr>
        <w:t xml:space="preserve">, 89 Wn.2d at 675.  Further, “[i]n considering </w:t>
      </w:r>
      <w:r w:rsidR="005313B8">
        <w:rPr>
          <w:rFonts w:ascii="Times New Roman" w:hAnsi="Times New Roman" w:cs="Times New Roman"/>
          <w:sz w:val="24"/>
          <w:szCs w:val="24"/>
        </w:rPr>
        <w:t>a CR 12(b)(</w:t>
      </w:r>
      <w:r w:rsidRPr="004B1970">
        <w:rPr>
          <w:rFonts w:ascii="Times New Roman" w:hAnsi="Times New Roman" w:cs="Times New Roman"/>
          <w:sz w:val="24"/>
          <w:szCs w:val="24"/>
        </w:rPr>
        <w:t>6</w:t>
      </w:r>
      <w:r w:rsidR="005313B8">
        <w:rPr>
          <w:rFonts w:ascii="Times New Roman" w:hAnsi="Times New Roman" w:cs="Times New Roman"/>
          <w:sz w:val="24"/>
          <w:szCs w:val="24"/>
        </w:rPr>
        <w:t xml:space="preserve">) </w:t>
      </w:r>
      <w:r w:rsidRPr="004B1970">
        <w:rPr>
          <w:rFonts w:ascii="Times New Roman" w:hAnsi="Times New Roman" w:cs="Times New Roman"/>
          <w:sz w:val="24"/>
          <w:szCs w:val="24"/>
        </w:rPr>
        <w:t xml:space="preserve">motion, [a] court may take judicial notice of matters of public record.”  </w:t>
      </w:r>
      <w:r w:rsidRPr="004B1970">
        <w:rPr>
          <w:rFonts w:ascii="Times New Roman" w:hAnsi="Times New Roman" w:cs="Times New Roman"/>
          <w:i/>
          <w:sz w:val="24"/>
          <w:szCs w:val="24"/>
        </w:rPr>
        <w:t>Berge v. Gorton</w:t>
      </w:r>
      <w:r w:rsidRPr="004B1970">
        <w:rPr>
          <w:rFonts w:ascii="Times New Roman" w:hAnsi="Times New Roman" w:cs="Times New Roman"/>
          <w:sz w:val="24"/>
          <w:szCs w:val="24"/>
        </w:rPr>
        <w:t xml:space="preserve">, 88 Wn.2d </w:t>
      </w:r>
      <w:r>
        <w:rPr>
          <w:rFonts w:ascii="Times New Roman" w:hAnsi="Times New Roman" w:cs="Times New Roman"/>
          <w:sz w:val="24"/>
          <w:szCs w:val="24"/>
        </w:rPr>
        <w:t>756, 763, 567 P.2d 187 (1977).</w:t>
      </w:r>
      <w:r w:rsidR="005313B8">
        <w:rPr>
          <w:rStyle w:val="FootnoteReference"/>
          <w:rFonts w:ascii="Times New Roman" w:hAnsi="Times New Roman" w:cs="Times New Roman"/>
          <w:sz w:val="24"/>
          <w:szCs w:val="24"/>
        </w:rPr>
        <w:footnoteReference w:id="4"/>
      </w:r>
    </w:p>
    <w:p w:rsidR="004B1970" w:rsidRDefault="004B1970" w:rsidP="004B1970">
      <w:pPr>
        <w:pStyle w:val="ListParagraph"/>
        <w:numPr>
          <w:ilvl w:val="0"/>
          <w:numId w:val="1"/>
        </w:numPr>
        <w:spacing w:line="480" w:lineRule="auto"/>
        <w:ind w:left="0" w:hanging="720"/>
        <w:rPr>
          <w:rFonts w:ascii="Times New Roman" w:hAnsi="Times New Roman" w:cs="Times New Roman"/>
          <w:sz w:val="24"/>
          <w:szCs w:val="24"/>
        </w:rPr>
      </w:pPr>
      <w:r>
        <w:rPr>
          <w:rFonts w:ascii="Times New Roman" w:hAnsi="Times New Roman" w:cs="Times New Roman"/>
          <w:sz w:val="24"/>
          <w:szCs w:val="24"/>
        </w:rPr>
        <w:t xml:space="preserve">Here, </w:t>
      </w:r>
      <w:r w:rsidR="00F92A24">
        <w:rPr>
          <w:rFonts w:ascii="Times New Roman" w:hAnsi="Times New Roman" w:cs="Times New Roman"/>
          <w:sz w:val="24"/>
          <w:szCs w:val="24"/>
        </w:rPr>
        <w:t>again</w:t>
      </w:r>
      <w:r>
        <w:rPr>
          <w:rFonts w:ascii="Times New Roman" w:hAnsi="Times New Roman" w:cs="Times New Roman"/>
          <w:sz w:val="24"/>
          <w:szCs w:val="24"/>
        </w:rPr>
        <w:t xml:space="preserve">, the Company has prefiled its </w:t>
      </w:r>
      <w:r w:rsidR="005313B8">
        <w:rPr>
          <w:rFonts w:ascii="Times New Roman" w:hAnsi="Times New Roman" w:cs="Times New Roman"/>
          <w:sz w:val="24"/>
          <w:szCs w:val="24"/>
        </w:rPr>
        <w:t xml:space="preserve">September 23 </w:t>
      </w:r>
      <w:r>
        <w:rPr>
          <w:rFonts w:ascii="Times New Roman" w:hAnsi="Times New Roman" w:cs="Times New Roman"/>
          <w:sz w:val="24"/>
          <w:szCs w:val="24"/>
        </w:rPr>
        <w:t xml:space="preserve">general rate case, identified same as an exhibit and </w:t>
      </w:r>
      <w:r w:rsidR="005313B8">
        <w:rPr>
          <w:rFonts w:ascii="Times New Roman" w:hAnsi="Times New Roman" w:cs="Times New Roman"/>
          <w:sz w:val="24"/>
          <w:szCs w:val="24"/>
        </w:rPr>
        <w:t xml:space="preserve">focused its </w:t>
      </w:r>
      <w:r>
        <w:rPr>
          <w:rFonts w:ascii="Times New Roman" w:hAnsi="Times New Roman" w:cs="Times New Roman"/>
          <w:sz w:val="24"/>
          <w:szCs w:val="24"/>
        </w:rPr>
        <w:t xml:space="preserve">prefiled testimony </w:t>
      </w:r>
      <w:r w:rsidR="005313B8">
        <w:rPr>
          <w:rFonts w:ascii="Times New Roman" w:hAnsi="Times New Roman" w:cs="Times New Roman"/>
          <w:sz w:val="24"/>
          <w:szCs w:val="24"/>
        </w:rPr>
        <w:t xml:space="preserve">in support of </w:t>
      </w:r>
      <w:r>
        <w:rPr>
          <w:rFonts w:ascii="Times New Roman" w:hAnsi="Times New Roman" w:cs="Times New Roman"/>
          <w:sz w:val="24"/>
          <w:szCs w:val="24"/>
        </w:rPr>
        <w:t xml:space="preserve">its understanding of the present disputed items in this filing.  Under the standards articulated above by </w:t>
      </w:r>
      <w:r w:rsidRPr="004B1970">
        <w:rPr>
          <w:rFonts w:ascii="Times New Roman" w:hAnsi="Times New Roman" w:cs="Times New Roman"/>
          <w:sz w:val="24"/>
          <w:szCs w:val="24"/>
        </w:rPr>
        <w:t xml:space="preserve">Washington </w:t>
      </w:r>
      <w:r>
        <w:rPr>
          <w:rFonts w:ascii="Times New Roman" w:hAnsi="Times New Roman" w:cs="Times New Roman"/>
          <w:sz w:val="24"/>
          <w:szCs w:val="24"/>
        </w:rPr>
        <w:t>courts and the Commission, it would be error t</w:t>
      </w:r>
      <w:r w:rsidR="000B7705">
        <w:rPr>
          <w:rFonts w:ascii="Times New Roman" w:hAnsi="Times New Roman" w:cs="Times New Roman"/>
          <w:sz w:val="24"/>
          <w:szCs w:val="24"/>
        </w:rPr>
        <w:t xml:space="preserve">o grant a motion to dismiss and, </w:t>
      </w:r>
      <w:r>
        <w:rPr>
          <w:rFonts w:ascii="Times New Roman" w:hAnsi="Times New Roman" w:cs="Times New Roman"/>
          <w:sz w:val="24"/>
          <w:szCs w:val="24"/>
        </w:rPr>
        <w:t xml:space="preserve">as discussed </w:t>
      </w:r>
      <w:r>
        <w:rPr>
          <w:rFonts w:ascii="Times New Roman" w:hAnsi="Times New Roman" w:cs="Times New Roman"/>
          <w:i/>
          <w:sz w:val="24"/>
          <w:szCs w:val="24"/>
        </w:rPr>
        <w:t>infra</w:t>
      </w:r>
      <w:r w:rsidR="000B7705">
        <w:rPr>
          <w:rFonts w:ascii="Times New Roman" w:hAnsi="Times New Roman" w:cs="Times New Roman"/>
          <w:sz w:val="24"/>
          <w:szCs w:val="24"/>
        </w:rPr>
        <w:t xml:space="preserve">, </w:t>
      </w:r>
      <w:r>
        <w:rPr>
          <w:rFonts w:ascii="Times New Roman" w:hAnsi="Times New Roman" w:cs="Times New Roman"/>
          <w:sz w:val="24"/>
          <w:szCs w:val="24"/>
        </w:rPr>
        <w:t xml:space="preserve">would only unnecessarily compound and extenuate the time </w:t>
      </w:r>
      <w:r w:rsidR="000B7705">
        <w:rPr>
          <w:rFonts w:ascii="Times New Roman" w:hAnsi="Times New Roman" w:cs="Times New Roman"/>
          <w:sz w:val="24"/>
          <w:szCs w:val="24"/>
        </w:rPr>
        <w:t xml:space="preserve">and financial </w:t>
      </w:r>
      <w:r>
        <w:rPr>
          <w:rFonts w:ascii="Times New Roman" w:hAnsi="Times New Roman" w:cs="Times New Roman"/>
          <w:sz w:val="24"/>
          <w:szCs w:val="24"/>
        </w:rPr>
        <w:t>circumstance</w:t>
      </w:r>
      <w:r w:rsidR="003A4751">
        <w:rPr>
          <w:rFonts w:ascii="Times New Roman" w:hAnsi="Times New Roman" w:cs="Times New Roman"/>
          <w:sz w:val="24"/>
          <w:szCs w:val="24"/>
        </w:rPr>
        <w:t>s</w:t>
      </w:r>
      <w:r>
        <w:rPr>
          <w:rFonts w:ascii="Times New Roman" w:hAnsi="Times New Roman" w:cs="Times New Roman"/>
          <w:sz w:val="24"/>
          <w:szCs w:val="24"/>
        </w:rPr>
        <w:t xml:space="preserve"> and other a</w:t>
      </w:r>
      <w:r w:rsidR="000B7705">
        <w:rPr>
          <w:rFonts w:ascii="Times New Roman" w:hAnsi="Times New Roman" w:cs="Times New Roman"/>
          <w:sz w:val="24"/>
          <w:szCs w:val="24"/>
        </w:rPr>
        <w:t>dverse factors the Company</w:t>
      </w:r>
      <w:r w:rsidR="003A4751">
        <w:rPr>
          <w:rFonts w:ascii="Times New Roman" w:hAnsi="Times New Roman" w:cs="Times New Roman"/>
          <w:sz w:val="24"/>
          <w:szCs w:val="24"/>
        </w:rPr>
        <w:t xml:space="preserve"> </w:t>
      </w:r>
      <w:r w:rsidR="000B7705">
        <w:rPr>
          <w:rFonts w:ascii="Times New Roman" w:hAnsi="Times New Roman" w:cs="Times New Roman"/>
          <w:sz w:val="24"/>
          <w:szCs w:val="24"/>
        </w:rPr>
        <w:t xml:space="preserve">believes </w:t>
      </w:r>
      <w:r w:rsidR="003A4751">
        <w:rPr>
          <w:rFonts w:ascii="Times New Roman" w:hAnsi="Times New Roman" w:cs="Times New Roman"/>
          <w:sz w:val="24"/>
          <w:szCs w:val="24"/>
        </w:rPr>
        <w:t xml:space="preserve">it and its </w:t>
      </w:r>
      <w:r w:rsidR="000B7705">
        <w:rPr>
          <w:rFonts w:ascii="Times New Roman" w:hAnsi="Times New Roman" w:cs="Times New Roman"/>
          <w:sz w:val="24"/>
          <w:szCs w:val="24"/>
        </w:rPr>
        <w:t xml:space="preserve">ratepayers </w:t>
      </w:r>
      <w:r>
        <w:rPr>
          <w:rFonts w:ascii="Times New Roman" w:hAnsi="Times New Roman" w:cs="Times New Roman"/>
          <w:sz w:val="24"/>
          <w:szCs w:val="24"/>
        </w:rPr>
        <w:t xml:space="preserve">are </w:t>
      </w:r>
      <w:r w:rsidR="003A4751">
        <w:rPr>
          <w:rFonts w:ascii="Times New Roman" w:hAnsi="Times New Roman" w:cs="Times New Roman"/>
          <w:sz w:val="24"/>
          <w:szCs w:val="24"/>
        </w:rPr>
        <w:t xml:space="preserve">both </w:t>
      </w:r>
      <w:r w:rsidR="000B7705">
        <w:rPr>
          <w:rFonts w:ascii="Times New Roman" w:hAnsi="Times New Roman" w:cs="Times New Roman"/>
          <w:sz w:val="24"/>
          <w:szCs w:val="24"/>
        </w:rPr>
        <w:t xml:space="preserve">incurring </w:t>
      </w:r>
      <w:r>
        <w:rPr>
          <w:rFonts w:ascii="Times New Roman" w:hAnsi="Times New Roman" w:cs="Times New Roman"/>
          <w:sz w:val="24"/>
          <w:szCs w:val="24"/>
        </w:rPr>
        <w:t>through this process.</w:t>
      </w:r>
    </w:p>
    <w:p w:rsidR="002D1072" w:rsidRPr="002D1072" w:rsidRDefault="002D1072" w:rsidP="002D1072">
      <w:pPr>
        <w:pStyle w:val="ListParagraph"/>
        <w:spacing w:line="480" w:lineRule="auto"/>
        <w:ind w:left="0"/>
        <w:rPr>
          <w:rFonts w:ascii="Times New Roman" w:hAnsi="Times New Roman" w:cs="Times New Roman"/>
          <w:b/>
          <w:sz w:val="24"/>
          <w:szCs w:val="24"/>
        </w:rPr>
      </w:pPr>
      <w:r w:rsidRPr="002D1072">
        <w:rPr>
          <w:rFonts w:ascii="Times New Roman" w:hAnsi="Times New Roman" w:cs="Times New Roman"/>
          <w:b/>
          <w:sz w:val="24"/>
          <w:szCs w:val="24"/>
        </w:rPr>
        <w:t>B.</w:t>
      </w:r>
      <w:r w:rsidRPr="002D1072">
        <w:rPr>
          <w:rFonts w:ascii="Times New Roman" w:hAnsi="Times New Roman" w:cs="Times New Roman"/>
          <w:b/>
          <w:sz w:val="24"/>
          <w:szCs w:val="24"/>
        </w:rPr>
        <w:tab/>
        <w:t>Commission Authorities Opposing Dismissal.</w:t>
      </w:r>
    </w:p>
    <w:p w:rsidR="000B7705" w:rsidRDefault="002D1072" w:rsidP="004B1970">
      <w:pPr>
        <w:pStyle w:val="ListParagraph"/>
        <w:numPr>
          <w:ilvl w:val="0"/>
          <w:numId w:val="1"/>
        </w:numPr>
        <w:spacing w:line="480" w:lineRule="auto"/>
        <w:ind w:left="0" w:hanging="720"/>
        <w:rPr>
          <w:rFonts w:ascii="Times New Roman" w:hAnsi="Times New Roman" w:cs="Times New Roman"/>
          <w:sz w:val="24"/>
          <w:szCs w:val="24"/>
        </w:rPr>
      </w:pPr>
      <w:r>
        <w:rPr>
          <w:rFonts w:ascii="Times New Roman" w:hAnsi="Times New Roman" w:cs="Times New Roman"/>
          <w:sz w:val="24"/>
          <w:szCs w:val="24"/>
        </w:rPr>
        <w:t>The Commission has had previous occasion to reject Staff Motions to Dismiss where prima facie showings h</w:t>
      </w:r>
      <w:r w:rsidR="00F92A24">
        <w:rPr>
          <w:rFonts w:ascii="Times New Roman" w:hAnsi="Times New Roman" w:cs="Times New Roman"/>
          <w:sz w:val="24"/>
          <w:szCs w:val="24"/>
        </w:rPr>
        <w:t xml:space="preserve">ave been made and </w:t>
      </w:r>
      <w:r w:rsidR="003A4751">
        <w:rPr>
          <w:rFonts w:ascii="Times New Roman" w:hAnsi="Times New Roman" w:cs="Times New Roman"/>
          <w:sz w:val="24"/>
          <w:szCs w:val="24"/>
        </w:rPr>
        <w:t xml:space="preserve">to </w:t>
      </w:r>
      <w:r w:rsidR="00F92A24">
        <w:rPr>
          <w:rFonts w:ascii="Times New Roman" w:hAnsi="Times New Roman" w:cs="Times New Roman"/>
          <w:sz w:val="24"/>
          <w:szCs w:val="24"/>
        </w:rPr>
        <w:t xml:space="preserve">distinguish </w:t>
      </w:r>
      <w:r>
        <w:rPr>
          <w:rFonts w:ascii="Times New Roman" w:hAnsi="Times New Roman" w:cs="Times New Roman"/>
          <w:sz w:val="24"/>
          <w:szCs w:val="24"/>
        </w:rPr>
        <w:t xml:space="preserve">the favorable standard against which </w:t>
      </w:r>
      <w:r w:rsidR="00025C19">
        <w:rPr>
          <w:rFonts w:ascii="Times New Roman" w:hAnsi="Times New Roman" w:cs="Times New Roman"/>
          <w:sz w:val="24"/>
          <w:szCs w:val="24"/>
        </w:rPr>
        <w:t xml:space="preserve">a </w:t>
      </w:r>
      <w:r>
        <w:rPr>
          <w:rFonts w:ascii="Times New Roman" w:hAnsi="Times New Roman" w:cs="Times New Roman"/>
          <w:sz w:val="24"/>
          <w:szCs w:val="24"/>
        </w:rPr>
        <w:t xml:space="preserve">respondent’s rate case is evaluated under a motion to dismiss standard from that of the burden of proof at the subsequent rate case hearing.  </w:t>
      </w:r>
      <w:r>
        <w:rPr>
          <w:rFonts w:ascii="Times New Roman" w:hAnsi="Times New Roman" w:cs="Times New Roman"/>
          <w:i/>
          <w:sz w:val="24"/>
          <w:szCs w:val="24"/>
        </w:rPr>
        <w:t>See</w:t>
      </w:r>
      <w:r>
        <w:rPr>
          <w:rFonts w:ascii="Times New Roman" w:hAnsi="Times New Roman" w:cs="Times New Roman"/>
          <w:sz w:val="24"/>
          <w:szCs w:val="24"/>
        </w:rPr>
        <w:t xml:space="preserve">, </w:t>
      </w:r>
      <w:r w:rsidRPr="00025C19">
        <w:rPr>
          <w:rFonts w:ascii="Times New Roman" w:hAnsi="Times New Roman" w:cs="Times New Roman"/>
          <w:i/>
          <w:sz w:val="24"/>
          <w:szCs w:val="24"/>
        </w:rPr>
        <w:t xml:space="preserve">i.e., WUTC v. Verizon Northwest, </w:t>
      </w:r>
      <w:r w:rsidRPr="00025C19">
        <w:rPr>
          <w:rFonts w:ascii="Times New Roman" w:hAnsi="Times New Roman" w:cs="Times New Roman"/>
          <w:i/>
          <w:sz w:val="24"/>
          <w:szCs w:val="24"/>
        </w:rPr>
        <w:lastRenderedPageBreak/>
        <w:t>Inc.</w:t>
      </w:r>
      <w:r>
        <w:rPr>
          <w:rFonts w:ascii="Times New Roman" w:hAnsi="Times New Roman" w:cs="Times New Roman"/>
          <w:sz w:val="24"/>
          <w:szCs w:val="24"/>
        </w:rPr>
        <w:t>, Docket No. UT-0</w:t>
      </w:r>
      <w:r w:rsidR="003A4751">
        <w:rPr>
          <w:rFonts w:ascii="Times New Roman" w:hAnsi="Times New Roman" w:cs="Times New Roman"/>
          <w:sz w:val="24"/>
          <w:szCs w:val="24"/>
        </w:rPr>
        <w:t xml:space="preserve">40788, Order No. 5 (July, 2004).  </w:t>
      </w:r>
      <w:r>
        <w:rPr>
          <w:rFonts w:ascii="Times New Roman" w:hAnsi="Times New Roman" w:cs="Times New Roman"/>
          <w:sz w:val="24"/>
          <w:szCs w:val="24"/>
        </w:rPr>
        <w:t xml:space="preserve">(“Our ruling is that Verizon has demonstrated enough of a </w:t>
      </w:r>
      <w:r>
        <w:rPr>
          <w:rFonts w:ascii="Times New Roman" w:hAnsi="Times New Roman" w:cs="Times New Roman"/>
          <w:i/>
          <w:sz w:val="24"/>
          <w:szCs w:val="24"/>
        </w:rPr>
        <w:t>prima facie</w:t>
      </w:r>
      <w:r>
        <w:rPr>
          <w:rFonts w:ascii="Times New Roman" w:hAnsi="Times New Roman" w:cs="Times New Roman"/>
          <w:sz w:val="24"/>
          <w:szCs w:val="24"/>
        </w:rPr>
        <w:t xml:space="preserve"> case to allow it to proceed to hearing – sufficient evidence that, if t</w:t>
      </w:r>
      <w:r w:rsidR="00025C19">
        <w:rPr>
          <w:rFonts w:ascii="Times New Roman" w:hAnsi="Times New Roman" w:cs="Times New Roman"/>
          <w:sz w:val="24"/>
          <w:szCs w:val="24"/>
        </w:rPr>
        <w:t xml:space="preserve">rue </w:t>
      </w:r>
      <w:r>
        <w:rPr>
          <w:rFonts w:ascii="Times New Roman" w:hAnsi="Times New Roman" w:cs="Times New Roman"/>
          <w:sz w:val="24"/>
          <w:szCs w:val="24"/>
        </w:rPr>
        <w:t xml:space="preserve">in the perspective </w:t>
      </w:r>
      <w:r w:rsidR="00025C19">
        <w:rPr>
          <w:rFonts w:ascii="Times New Roman" w:hAnsi="Times New Roman" w:cs="Times New Roman"/>
          <w:sz w:val="24"/>
          <w:szCs w:val="24"/>
        </w:rPr>
        <w:t xml:space="preserve">most favorable to Verizon, the </w:t>
      </w:r>
      <w:r>
        <w:rPr>
          <w:rFonts w:ascii="Times New Roman" w:hAnsi="Times New Roman" w:cs="Times New Roman"/>
          <w:sz w:val="24"/>
          <w:szCs w:val="24"/>
        </w:rPr>
        <w:t>facts could support some level of interim rates.  If Verizon fails to carry its burden fully at hearing, it may receive less than the requested amount, or no relief at all.”).</w:t>
      </w:r>
      <w:r w:rsidR="003A4751">
        <w:rPr>
          <w:rStyle w:val="FootnoteReference"/>
          <w:rFonts w:ascii="Times New Roman" w:hAnsi="Times New Roman" w:cs="Times New Roman"/>
          <w:sz w:val="24"/>
          <w:szCs w:val="24"/>
        </w:rPr>
        <w:footnoteReference w:id="5"/>
      </w:r>
    </w:p>
    <w:p w:rsidR="00025C19" w:rsidRDefault="002D1072" w:rsidP="004B1970">
      <w:pPr>
        <w:pStyle w:val="ListParagraph"/>
        <w:numPr>
          <w:ilvl w:val="0"/>
          <w:numId w:val="1"/>
        </w:numPr>
        <w:spacing w:line="480" w:lineRule="auto"/>
        <w:ind w:left="0" w:hanging="720"/>
        <w:rPr>
          <w:rFonts w:ascii="Times New Roman" w:hAnsi="Times New Roman" w:cs="Times New Roman"/>
          <w:sz w:val="24"/>
          <w:szCs w:val="24"/>
        </w:rPr>
      </w:pPr>
      <w:r>
        <w:rPr>
          <w:rFonts w:ascii="Times New Roman" w:hAnsi="Times New Roman" w:cs="Times New Roman"/>
          <w:sz w:val="24"/>
          <w:szCs w:val="24"/>
        </w:rPr>
        <w:t xml:space="preserve">The </w:t>
      </w:r>
      <w:r w:rsidR="009A67A3">
        <w:rPr>
          <w:rFonts w:ascii="Times New Roman" w:hAnsi="Times New Roman" w:cs="Times New Roman"/>
          <w:sz w:val="24"/>
          <w:szCs w:val="24"/>
        </w:rPr>
        <w:t>single case cited by Staff in support of its motion here is inapposite factually</w:t>
      </w:r>
      <w:r w:rsidR="00025C19">
        <w:rPr>
          <w:rFonts w:ascii="Times New Roman" w:hAnsi="Times New Roman" w:cs="Times New Roman"/>
          <w:sz w:val="24"/>
          <w:szCs w:val="24"/>
        </w:rPr>
        <w:t xml:space="preserve">:  </w:t>
      </w:r>
      <w:r w:rsidR="009A67A3" w:rsidRPr="009A67A3">
        <w:rPr>
          <w:rFonts w:ascii="Times New Roman" w:hAnsi="Times New Roman" w:cs="Times New Roman"/>
          <w:i/>
          <w:sz w:val="24"/>
          <w:szCs w:val="24"/>
        </w:rPr>
        <w:t>Washington Utilities and Transportation Commission</w:t>
      </w:r>
      <w:r w:rsidR="009A67A3">
        <w:rPr>
          <w:rFonts w:ascii="Times New Roman" w:hAnsi="Times New Roman" w:cs="Times New Roman"/>
          <w:i/>
          <w:sz w:val="24"/>
          <w:szCs w:val="24"/>
        </w:rPr>
        <w:t xml:space="preserve"> v. Puget Sound Energy, Inc.</w:t>
      </w:r>
      <w:r w:rsidR="009A67A3">
        <w:rPr>
          <w:rFonts w:ascii="Times New Roman" w:hAnsi="Times New Roman" w:cs="Times New Roman"/>
          <w:sz w:val="24"/>
          <w:szCs w:val="24"/>
        </w:rPr>
        <w:t xml:space="preserve">, Docket No.:  UE-011163 and UE-011170, Order No. 6 (Oct., 2001).  There, PSE filed for interim rate relief, </w:t>
      </w:r>
      <w:r w:rsidR="00025C19">
        <w:rPr>
          <w:rFonts w:ascii="Times New Roman" w:hAnsi="Times New Roman" w:cs="Times New Roman"/>
          <w:sz w:val="24"/>
          <w:szCs w:val="24"/>
        </w:rPr>
        <w:t xml:space="preserve">and </w:t>
      </w:r>
      <w:r w:rsidR="009A67A3">
        <w:rPr>
          <w:rFonts w:ascii="Times New Roman" w:hAnsi="Times New Roman" w:cs="Times New Roman"/>
          <w:sz w:val="24"/>
          <w:szCs w:val="24"/>
        </w:rPr>
        <w:t xml:space="preserve">apparently did not follow the general rate case rules at WAC 480-07-510, provided no </w:t>
      </w:r>
      <w:r w:rsidR="00025C19">
        <w:rPr>
          <w:rFonts w:ascii="Times New Roman" w:hAnsi="Times New Roman" w:cs="Times New Roman"/>
          <w:sz w:val="24"/>
          <w:szCs w:val="24"/>
        </w:rPr>
        <w:t xml:space="preserve">formal </w:t>
      </w:r>
      <w:r w:rsidR="009A67A3">
        <w:rPr>
          <w:rFonts w:ascii="Times New Roman" w:hAnsi="Times New Roman" w:cs="Times New Roman"/>
          <w:sz w:val="24"/>
          <w:szCs w:val="24"/>
        </w:rPr>
        <w:t>res</w:t>
      </w:r>
      <w:r w:rsidR="0079661C">
        <w:rPr>
          <w:rFonts w:ascii="Times New Roman" w:hAnsi="Times New Roman" w:cs="Times New Roman"/>
          <w:sz w:val="24"/>
          <w:szCs w:val="24"/>
        </w:rPr>
        <w:t xml:space="preserve">ults of operations and sought an expedited </w:t>
      </w:r>
      <w:r w:rsidR="009A67A3">
        <w:rPr>
          <w:rFonts w:ascii="Times New Roman" w:hAnsi="Times New Roman" w:cs="Times New Roman"/>
          <w:sz w:val="24"/>
          <w:szCs w:val="24"/>
        </w:rPr>
        <w:t>hearing due to alleged financial urgency, pledging it would file a general rate</w:t>
      </w:r>
      <w:r w:rsidR="00025C19">
        <w:rPr>
          <w:rFonts w:ascii="Times New Roman" w:hAnsi="Times New Roman" w:cs="Times New Roman"/>
          <w:sz w:val="24"/>
          <w:szCs w:val="24"/>
        </w:rPr>
        <w:t xml:space="preserve"> </w:t>
      </w:r>
      <w:r w:rsidR="003A4751">
        <w:rPr>
          <w:rFonts w:ascii="Times New Roman" w:hAnsi="Times New Roman" w:cs="Times New Roman"/>
          <w:sz w:val="24"/>
          <w:szCs w:val="24"/>
        </w:rPr>
        <w:t xml:space="preserve">case within three months.  That </w:t>
      </w:r>
      <w:r w:rsidR="009A67A3">
        <w:rPr>
          <w:rFonts w:ascii="Times New Roman" w:hAnsi="Times New Roman" w:cs="Times New Roman"/>
          <w:sz w:val="24"/>
          <w:szCs w:val="24"/>
        </w:rPr>
        <w:t>Order not only focuses on the showing required for emergency rate relief but occurred in an apparent factual vacuum not pres</w:t>
      </w:r>
      <w:r w:rsidR="00025C19">
        <w:rPr>
          <w:rFonts w:ascii="Times New Roman" w:hAnsi="Times New Roman" w:cs="Times New Roman"/>
          <w:sz w:val="24"/>
          <w:szCs w:val="24"/>
        </w:rPr>
        <w:t xml:space="preserve">ent here.  In the instant case as noted, </w:t>
      </w:r>
      <w:r w:rsidR="009A67A3">
        <w:rPr>
          <w:rFonts w:ascii="Times New Roman" w:hAnsi="Times New Roman" w:cs="Times New Roman"/>
          <w:sz w:val="24"/>
          <w:szCs w:val="24"/>
        </w:rPr>
        <w:t>there has been a general rate case filed consistent with applicable rule (WAC 480-07-520) and there has been extensive discovery, audit review</w:t>
      </w:r>
      <w:r w:rsidR="00025C19">
        <w:rPr>
          <w:rFonts w:ascii="Times New Roman" w:hAnsi="Times New Roman" w:cs="Times New Roman"/>
          <w:sz w:val="24"/>
          <w:szCs w:val="24"/>
        </w:rPr>
        <w:t xml:space="preserve">, notice to all affected customers, a cost of service study (not required by current rule), </w:t>
      </w:r>
      <w:r w:rsidR="009A67A3">
        <w:rPr>
          <w:rFonts w:ascii="Times New Roman" w:hAnsi="Times New Roman" w:cs="Times New Roman"/>
          <w:sz w:val="24"/>
          <w:szCs w:val="24"/>
        </w:rPr>
        <w:t xml:space="preserve"> and now prefiled direct testimony concentrating on the Company’s perception </w:t>
      </w:r>
      <w:r w:rsidR="00025C19">
        <w:rPr>
          <w:rFonts w:ascii="Times New Roman" w:hAnsi="Times New Roman" w:cs="Times New Roman"/>
          <w:sz w:val="24"/>
          <w:szCs w:val="24"/>
        </w:rPr>
        <w:t xml:space="preserve">of </w:t>
      </w:r>
      <w:r w:rsidR="009A67A3">
        <w:rPr>
          <w:rFonts w:ascii="Times New Roman" w:hAnsi="Times New Roman" w:cs="Times New Roman"/>
          <w:sz w:val="24"/>
          <w:szCs w:val="24"/>
        </w:rPr>
        <w:t>disputed accounting adjustments</w:t>
      </w:r>
      <w:r w:rsidR="00025C19">
        <w:rPr>
          <w:rFonts w:ascii="Times New Roman" w:hAnsi="Times New Roman" w:cs="Times New Roman"/>
          <w:sz w:val="24"/>
          <w:szCs w:val="24"/>
        </w:rPr>
        <w:t>, none of which were apparently provided in the 2001 PSE cited case by the Staff</w:t>
      </w:r>
      <w:r w:rsidR="009A67A3">
        <w:rPr>
          <w:rFonts w:ascii="Times New Roman" w:hAnsi="Times New Roman" w:cs="Times New Roman"/>
          <w:sz w:val="24"/>
          <w:szCs w:val="24"/>
        </w:rPr>
        <w:t>.</w:t>
      </w:r>
    </w:p>
    <w:p w:rsidR="002D1072" w:rsidRDefault="009A67A3" w:rsidP="004B1970">
      <w:pPr>
        <w:pStyle w:val="ListParagraph"/>
        <w:numPr>
          <w:ilvl w:val="0"/>
          <w:numId w:val="1"/>
        </w:numPr>
        <w:spacing w:line="480" w:lineRule="auto"/>
        <w:ind w:left="0" w:hanging="720"/>
        <w:rPr>
          <w:rFonts w:ascii="Times New Roman" w:hAnsi="Times New Roman" w:cs="Times New Roman"/>
          <w:sz w:val="24"/>
          <w:szCs w:val="24"/>
        </w:rPr>
      </w:pPr>
      <w:r>
        <w:rPr>
          <w:rFonts w:ascii="Times New Roman" w:hAnsi="Times New Roman" w:cs="Times New Roman"/>
          <w:sz w:val="24"/>
          <w:szCs w:val="24"/>
        </w:rPr>
        <w:t xml:space="preserve">While Staff objects to the </w:t>
      </w:r>
      <w:r w:rsidRPr="0079661C">
        <w:rPr>
          <w:rFonts w:ascii="Times New Roman" w:hAnsi="Times New Roman" w:cs="Times New Roman"/>
          <w:sz w:val="24"/>
          <w:szCs w:val="24"/>
          <w:u w:val="single"/>
        </w:rPr>
        <w:t>form</w:t>
      </w:r>
      <w:r>
        <w:rPr>
          <w:rFonts w:ascii="Times New Roman" w:hAnsi="Times New Roman" w:cs="Times New Roman"/>
          <w:sz w:val="24"/>
          <w:szCs w:val="24"/>
        </w:rPr>
        <w:t xml:space="preserve"> of th</w:t>
      </w:r>
      <w:r w:rsidR="00025C19">
        <w:rPr>
          <w:rFonts w:ascii="Times New Roman" w:hAnsi="Times New Roman" w:cs="Times New Roman"/>
          <w:sz w:val="24"/>
          <w:szCs w:val="24"/>
        </w:rPr>
        <w:t xml:space="preserve">e Company’s </w:t>
      </w:r>
      <w:r>
        <w:rPr>
          <w:rFonts w:ascii="Times New Roman" w:hAnsi="Times New Roman" w:cs="Times New Roman"/>
          <w:sz w:val="24"/>
          <w:szCs w:val="24"/>
        </w:rPr>
        <w:t xml:space="preserve">prefiled testimony, it cannot </w:t>
      </w:r>
      <w:r w:rsidR="00025C19">
        <w:rPr>
          <w:rFonts w:ascii="Times New Roman" w:hAnsi="Times New Roman" w:cs="Times New Roman"/>
          <w:sz w:val="24"/>
          <w:szCs w:val="24"/>
        </w:rPr>
        <w:t xml:space="preserve">here </w:t>
      </w:r>
      <w:r>
        <w:rPr>
          <w:rFonts w:ascii="Times New Roman" w:hAnsi="Times New Roman" w:cs="Times New Roman"/>
          <w:sz w:val="24"/>
          <w:szCs w:val="24"/>
        </w:rPr>
        <w:t xml:space="preserve">rely on the cited </w:t>
      </w:r>
      <w:r w:rsidRPr="00025C19">
        <w:rPr>
          <w:rFonts w:ascii="Times New Roman" w:hAnsi="Times New Roman" w:cs="Times New Roman"/>
          <w:i/>
          <w:sz w:val="24"/>
          <w:szCs w:val="24"/>
        </w:rPr>
        <w:t>Puget Sound Energy</w:t>
      </w:r>
      <w:r>
        <w:rPr>
          <w:rFonts w:ascii="Times New Roman" w:hAnsi="Times New Roman" w:cs="Times New Roman"/>
          <w:sz w:val="24"/>
          <w:szCs w:val="24"/>
        </w:rPr>
        <w:t xml:space="preserve"> </w:t>
      </w:r>
      <w:r w:rsidR="00025C19">
        <w:rPr>
          <w:rFonts w:ascii="Times New Roman" w:hAnsi="Times New Roman" w:cs="Times New Roman"/>
          <w:sz w:val="24"/>
          <w:szCs w:val="24"/>
        </w:rPr>
        <w:t>O</w:t>
      </w:r>
      <w:r>
        <w:rPr>
          <w:rFonts w:ascii="Times New Roman" w:hAnsi="Times New Roman" w:cs="Times New Roman"/>
          <w:sz w:val="24"/>
          <w:szCs w:val="24"/>
        </w:rPr>
        <w:t xml:space="preserve">rder to discredit the </w:t>
      </w:r>
      <w:r>
        <w:rPr>
          <w:rFonts w:ascii="Times New Roman" w:hAnsi="Times New Roman" w:cs="Times New Roman"/>
          <w:sz w:val="24"/>
          <w:szCs w:val="24"/>
          <w:u w:val="single"/>
        </w:rPr>
        <w:t>substantive sufficiency</w:t>
      </w:r>
      <w:r w:rsidR="00025C19">
        <w:rPr>
          <w:rFonts w:ascii="Times New Roman" w:hAnsi="Times New Roman" w:cs="Times New Roman"/>
          <w:sz w:val="24"/>
          <w:szCs w:val="24"/>
        </w:rPr>
        <w:t xml:space="preserve"> of that evidence </w:t>
      </w:r>
      <w:r w:rsidR="00F92A24">
        <w:rPr>
          <w:rFonts w:ascii="Times New Roman" w:hAnsi="Times New Roman" w:cs="Times New Roman"/>
          <w:sz w:val="24"/>
          <w:szCs w:val="24"/>
        </w:rPr>
        <w:t xml:space="preserve">in a </w:t>
      </w:r>
      <w:r w:rsidR="00356E37">
        <w:rPr>
          <w:rFonts w:ascii="Times New Roman" w:hAnsi="Times New Roman" w:cs="Times New Roman"/>
          <w:sz w:val="24"/>
          <w:szCs w:val="24"/>
        </w:rPr>
        <w:t xml:space="preserve">preemptory </w:t>
      </w:r>
      <w:r w:rsidR="00F92A24">
        <w:rPr>
          <w:rFonts w:ascii="Times New Roman" w:hAnsi="Times New Roman" w:cs="Times New Roman"/>
          <w:sz w:val="24"/>
          <w:szCs w:val="24"/>
        </w:rPr>
        <w:t xml:space="preserve">motion to dismiss </w:t>
      </w:r>
      <w:r w:rsidR="00025C19">
        <w:rPr>
          <w:rFonts w:ascii="Times New Roman" w:hAnsi="Times New Roman" w:cs="Times New Roman"/>
          <w:sz w:val="24"/>
          <w:szCs w:val="24"/>
        </w:rPr>
        <w:t xml:space="preserve">and, by so doing, </w:t>
      </w:r>
      <w:r>
        <w:rPr>
          <w:rFonts w:ascii="Times New Roman" w:hAnsi="Times New Roman" w:cs="Times New Roman"/>
          <w:sz w:val="24"/>
          <w:szCs w:val="24"/>
        </w:rPr>
        <w:t xml:space="preserve">misapplies both the judicial and agency case law in supporting its </w:t>
      </w:r>
      <w:r w:rsidR="00F92A24">
        <w:rPr>
          <w:rFonts w:ascii="Times New Roman" w:hAnsi="Times New Roman" w:cs="Times New Roman"/>
          <w:sz w:val="24"/>
          <w:szCs w:val="24"/>
        </w:rPr>
        <w:t xml:space="preserve">summary </w:t>
      </w:r>
      <w:r>
        <w:rPr>
          <w:rFonts w:ascii="Times New Roman" w:hAnsi="Times New Roman" w:cs="Times New Roman"/>
          <w:sz w:val="24"/>
          <w:szCs w:val="24"/>
        </w:rPr>
        <w:t>dismissal effort.</w:t>
      </w:r>
    </w:p>
    <w:p w:rsidR="00CC5BE7" w:rsidRDefault="00CC5BE7" w:rsidP="00CC5BE7">
      <w:pPr>
        <w:pStyle w:val="ListParagraph"/>
        <w:spacing w:line="480" w:lineRule="auto"/>
        <w:ind w:left="0"/>
        <w:rPr>
          <w:rFonts w:ascii="Times New Roman" w:hAnsi="Times New Roman" w:cs="Times New Roman"/>
          <w:sz w:val="24"/>
          <w:szCs w:val="24"/>
        </w:rPr>
      </w:pPr>
    </w:p>
    <w:p w:rsidR="007D5EB2" w:rsidRDefault="009515A0" w:rsidP="007D5EB2">
      <w:pPr>
        <w:jc w:val="center"/>
        <w:rPr>
          <w:rFonts w:ascii="Times New Roman" w:hAnsi="Times New Roman" w:cs="Times New Roman"/>
          <w:b/>
          <w:sz w:val="24"/>
          <w:szCs w:val="24"/>
        </w:rPr>
      </w:pPr>
      <w:r>
        <w:rPr>
          <w:rFonts w:ascii="Times New Roman" w:hAnsi="Times New Roman" w:cs="Times New Roman"/>
          <w:b/>
          <w:sz w:val="24"/>
          <w:szCs w:val="24"/>
        </w:rPr>
        <w:lastRenderedPageBreak/>
        <w:t>I</w:t>
      </w:r>
      <w:r w:rsidR="001268CF">
        <w:rPr>
          <w:rFonts w:ascii="Times New Roman" w:hAnsi="Times New Roman" w:cs="Times New Roman"/>
          <w:b/>
          <w:sz w:val="24"/>
          <w:szCs w:val="24"/>
        </w:rPr>
        <w:t>V</w:t>
      </w:r>
      <w:r w:rsidR="00152DE9" w:rsidRPr="007D5EB2">
        <w:rPr>
          <w:rFonts w:ascii="Times New Roman" w:hAnsi="Times New Roman" w:cs="Times New Roman"/>
          <w:b/>
          <w:sz w:val="24"/>
          <w:szCs w:val="24"/>
        </w:rPr>
        <w:t xml:space="preserve">. </w:t>
      </w:r>
      <w:r w:rsidR="00025C19">
        <w:rPr>
          <w:rFonts w:ascii="Times New Roman" w:hAnsi="Times New Roman" w:cs="Times New Roman"/>
          <w:b/>
          <w:sz w:val="24"/>
          <w:szCs w:val="24"/>
        </w:rPr>
        <w:t xml:space="preserve">ADDITIONAL </w:t>
      </w:r>
      <w:r w:rsidR="00152DE9">
        <w:rPr>
          <w:rFonts w:ascii="Times New Roman" w:hAnsi="Times New Roman" w:cs="Times New Roman"/>
          <w:b/>
          <w:sz w:val="24"/>
          <w:szCs w:val="24"/>
        </w:rPr>
        <w:t>ARGUMENT</w:t>
      </w:r>
      <w:r>
        <w:rPr>
          <w:rFonts w:ascii="Times New Roman" w:hAnsi="Times New Roman" w:cs="Times New Roman"/>
          <w:b/>
          <w:sz w:val="24"/>
          <w:szCs w:val="24"/>
        </w:rPr>
        <w:t xml:space="preserve"> IN OPPOSITION TO </w:t>
      </w:r>
      <w:r w:rsidR="00025C19">
        <w:rPr>
          <w:rFonts w:ascii="Times New Roman" w:hAnsi="Times New Roman" w:cs="Times New Roman"/>
          <w:b/>
          <w:sz w:val="24"/>
          <w:szCs w:val="24"/>
        </w:rPr>
        <w:t xml:space="preserve">THE </w:t>
      </w:r>
      <w:r>
        <w:rPr>
          <w:rFonts w:ascii="Times New Roman" w:hAnsi="Times New Roman" w:cs="Times New Roman"/>
          <w:b/>
          <w:sz w:val="24"/>
          <w:szCs w:val="24"/>
        </w:rPr>
        <w:t>MOTION TO DISMISS</w:t>
      </w:r>
    </w:p>
    <w:p w:rsidR="007D5EB2" w:rsidRPr="007D5EB2" w:rsidRDefault="007D5EB2" w:rsidP="007D5EB2">
      <w:pPr>
        <w:jc w:val="center"/>
        <w:rPr>
          <w:rFonts w:ascii="Times New Roman" w:hAnsi="Times New Roman" w:cs="Times New Roman"/>
          <w:b/>
          <w:sz w:val="24"/>
          <w:szCs w:val="24"/>
        </w:rPr>
      </w:pPr>
    </w:p>
    <w:p w:rsidR="007D5EB2" w:rsidRDefault="007D5EB2" w:rsidP="007D5EB2">
      <w:pPr>
        <w:rPr>
          <w:rFonts w:ascii="Times New Roman" w:hAnsi="Times New Roman" w:cs="Times New Roman"/>
          <w:b/>
          <w:sz w:val="24"/>
          <w:szCs w:val="24"/>
        </w:rPr>
      </w:pPr>
      <w:r>
        <w:rPr>
          <w:rFonts w:ascii="Times New Roman" w:hAnsi="Times New Roman" w:cs="Times New Roman"/>
          <w:b/>
          <w:sz w:val="24"/>
          <w:szCs w:val="24"/>
        </w:rPr>
        <w:t>A</w:t>
      </w:r>
      <w:r w:rsidRPr="007D5EB2">
        <w:rPr>
          <w:rFonts w:ascii="Times New Roman" w:hAnsi="Times New Roman" w:cs="Times New Roman"/>
          <w:b/>
          <w:sz w:val="24"/>
          <w:szCs w:val="24"/>
        </w:rPr>
        <w:t>.</w:t>
      </w:r>
      <w:r>
        <w:rPr>
          <w:rFonts w:ascii="Times New Roman" w:hAnsi="Times New Roman" w:cs="Times New Roman"/>
          <w:b/>
          <w:sz w:val="24"/>
          <w:szCs w:val="24"/>
        </w:rPr>
        <w:tab/>
      </w:r>
      <w:r w:rsidR="009515A0">
        <w:rPr>
          <w:rFonts w:ascii="Times New Roman" w:hAnsi="Times New Roman" w:cs="Times New Roman"/>
          <w:b/>
          <w:sz w:val="24"/>
          <w:szCs w:val="24"/>
        </w:rPr>
        <w:t xml:space="preserve">The </w:t>
      </w:r>
      <w:r w:rsidR="00F674F7">
        <w:rPr>
          <w:rFonts w:ascii="Times New Roman" w:hAnsi="Times New Roman" w:cs="Times New Roman"/>
          <w:b/>
          <w:sz w:val="24"/>
          <w:szCs w:val="24"/>
        </w:rPr>
        <w:t xml:space="preserve">Staff </w:t>
      </w:r>
      <w:r w:rsidR="00F672DC">
        <w:rPr>
          <w:rFonts w:ascii="Times New Roman" w:hAnsi="Times New Roman" w:cs="Times New Roman"/>
          <w:b/>
          <w:sz w:val="24"/>
          <w:szCs w:val="24"/>
        </w:rPr>
        <w:t xml:space="preserve">Fails to Cite </w:t>
      </w:r>
      <w:r w:rsidR="00F674F7">
        <w:rPr>
          <w:rFonts w:ascii="Times New Roman" w:hAnsi="Times New Roman" w:cs="Times New Roman"/>
          <w:b/>
          <w:sz w:val="24"/>
          <w:szCs w:val="24"/>
        </w:rPr>
        <w:t xml:space="preserve">to </w:t>
      </w:r>
      <w:r w:rsidR="00F672DC">
        <w:rPr>
          <w:rFonts w:ascii="Times New Roman" w:hAnsi="Times New Roman" w:cs="Times New Roman"/>
          <w:b/>
          <w:sz w:val="24"/>
          <w:szCs w:val="24"/>
        </w:rPr>
        <w:t xml:space="preserve">a </w:t>
      </w:r>
      <w:r w:rsidR="00F674F7">
        <w:rPr>
          <w:rFonts w:ascii="Times New Roman" w:hAnsi="Times New Roman" w:cs="Times New Roman"/>
          <w:b/>
          <w:sz w:val="24"/>
          <w:szCs w:val="24"/>
        </w:rPr>
        <w:t xml:space="preserve">Procedural Rule </w:t>
      </w:r>
      <w:r w:rsidR="009C256B">
        <w:rPr>
          <w:rFonts w:ascii="Times New Roman" w:hAnsi="Times New Roman" w:cs="Times New Roman"/>
          <w:b/>
          <w:sz w:val="24"/>
          <w:szCs w:val="24"/>
        </w:rPr>
        <w:t xml:space="preserve">Mandating a </w:t>
      </w:r>
      <w:r w:rsidR="00F674F7">
        <w:rPr>
          <w:rFonts w:ascii="Times New Roman" w:hAnsi="Times New Roman" w:cs="Times New Roman"/>
          <w:b/>
          <w:sz w:val="24"/>
          <w:szCs w:val="24"/>
        </w:rPr>
        <w:t>T</w:t>
      </w:r>
      <w:r w:rsidR="009C256B">
        <w:rPr>
          <w:rFonts w:ascii="Times New Roman" w:hAnsi="Times New Roman" w:cs="Times New Roman"/>
          <w:b/>
          <w:sz w:val="24"/>
          <w:szCs w:val="24"/>
        </w:rPr>
        <w:t>estimonial S</w:t>
      </w:r>
      <w:r w:rsidR="000B7705">
        <w:rPr>
          <w:rFonts w:ascii="Times New Roman" w:hAnsi="Times New Roman" w:cs="Times New Roman"/>
          <w:b/>
          <w:sz w:val="24"/>
          <w:szCs w:val="24"/>
        </w:rPr>
        <w:t>up</w:t>
      </w:r>
      <w:r w:rsidR="00F92A24">
        <w:rPr>
          <w:rFonts w:ascii="Times New Roman" w:hAnsi="Times New Roman" w:cs="Times New Roman"/>
          <w:b/>
          <w:sz w:val="24"/>
          <w:szCs w:val="24"/>
        </w:rPr>
        <w:t>port Requirement for Previously-</w:t>
      </w:r>
      <w:r w:rsidR="000B7705">
        <w:rPr>
          <w:rFonts w:ascii="Times New Roman" w:hAnsi="Times New Roman" w:cs="Times New Roman"/>
          <w:b/>
          <w:sz w:val="24"/>
          <w:szCs w:val="24"/>
        </w:rPr>
        <w:t xml:space="preserve">Filed </w:t>
      </w:r>
      <w:r w:rsidR="009C256B">
        <w:rPr>
          <w:rFonts w:ascii="Times New Roman" w:hAnsi="Times New Roman" w:cs="Times New Roman"/>
          <w:b/>
          <w:sz w:val="24"/>
          <w:szCs w:val="24"/>
        </w:rPr>
        <w:t>and Staff-</w:t>
      </w:r>
      <w:r w:rsidR="00F674F7">
        <w:rPr>
          <w:rFonts w:ascii="Times New Roman" w:hAnsi="Times New Roman" w:cs="Times New Roman"/>
          <w:b/>
          <w:sz w:val="24"/>
          <w:szCs w:val="24"/>
        </w:rPr>
        <w:t>Reviewed Solid Waste General Rate Cases.</w:t>
      </w:r>
    </w:p>
    <w:p w:rsidR="007D5EB2" w:rsidRDefault="007D5EB2" w:rsidP="007D5EB2">
      <w:pPr>
        <w:rPr>
          <w:rFonts w:ascii="Times New Roman" w:hAnsi="Times New Roman" w:cs="Times New Roman"/>
          <w:sz w:val="24"/>
          <w:szCs w:val="24"/>
        </w:rPr>
      </w:pPr>
    </w:p>
    <w:p w:rsidR="009515A0" w:rsidRDefault="009515A0" w:rsidP="005E58E3">
      <w:pPr>
        <w:pStyle w:val="ListParagraph"/>
        <w:numPr>
          <w:ilvl w:val="0"/>
          <w:numId w:val="1"/>
        </w:numPr>
        <w:spacing w:line="480" w:lineRule="auto"/>
        <w:ind w:left="0" w:hanging="720"/>
        <w:rPr>
          <w:rFonts w:ascii="Times New Roman" w:hAnsi="Times New Roman" w:cs="Times New Roman"/>
          <w:sz w:val="24"/>
          <w:szCs w:val="24"/>
        </w:rPr>
      </w:pPr>
      <w:r>
        <w:rPr>
          <w:rFonts w:ascii="Times New Roman" w:hAnsi="Times New Roman" w:cs="Times New Roman"/>
          <w:sz w:val="24"/>
          <w:szCs w:val="24"/>
        </w:rPr>
        <w:t xml:space="preserve">Order No. 3, as revised on February 12, 2014, addressed the </w:t>
      </w:r>
      <w:r w:rsidR="0079661C">
        <w:rPr>
          <w:rFonts w:ascii="Times New Roman" w:hAnsi="Times New Roman" w:cs="Times New Roman"/>
          <w:sz w:val="24"/>
          <w:szCs w:val="24"/>
        </w:rPr>
        <w:t>over</w:t>
      </w:r>
      <w:r w:rsidR="008A7301">
        <w:rPr>
          <w:rFonts w:ascii="Times New Roman" w:hAnsi="Times New Roman" w:cs="Times New Roman"/>
          <w:sz w:val="24"/>
          <w:szCs w:val="24"/>
        </w:rPr>
        <w:t>all</w:t>
      </w:r>
      <w:r w:rsidR="0079661C">
        <w:rPr>
          <w:rFonts w:ascii="Times New Roman" w:hAnsi="Times New Roman" w:cs="Times New Roman"/>
          <w:sz w:val="24"/>
          <w:szCs w:val="24"/>
        </w:rPr>
        <w:t xml:space="preserve"> </w:t>
      </w:r>
      <w:r>
        <w:rPr>
          <w:rFonts w:ascii="Times New Roman" w:hAnsi="Times New Roman" w:cs="Times New Roman"/>
          <w:sz w:val="24"/>
          <w:szCs w:val="24"/>
        </w:rPr>
        <w:t xml:space="preserve">distribution of evidence and various scheduling matters in this proceeding.  </w:t>
      </w:r>
      <w:r w:rsidR="00F674F7">
        <w:rPr>
          <w:rFonts w:ascii="Times New Roman" w:hAnsi="Times New Roman" w:cs="Times New Roman"/>
          <w:sz w:val="24"/>
          <w:szCs w:val="24"/>
        </w:rPr>
        <w:t>W</w:t>
      </w:r>
      <w:r>
        <w:rPr>
          <w:rFonts w:ascii="Times New Roman" w:hAnsi="Times New Roman" w:cs="Times New Roman"/>
          <w:sz w:val="24"/>
          <w:szCs w:val="24"/>
        </w:rPr>
        <w:t>hile</w:t>
      </w:r>
      <w:r w:rsidR="00F674F7">
        <w:rPr>
          <w:rFonts w:ascii="Times New Roman" w:hAnsi="Times New Roman" w:cs="Times New Roman"/>
          <w:sz w:val="24"/>
          <w:szCs w:val="24"/>
        </w:rPr>
        <w:t xml:space="preserve"> </w:t>
      </w:r>
      <w:r>
        <w:rPr>
          <w:rFonts w:ascii="Times New Roman" w:hAnsi="Times New Roman" w:cs="Times New Roman"/>
          <w:sz w:val="24"/>
          <w:szCs w:val="24"/>
        </w:rPr>
        <w:t>Prehearing Conference Order No. 3 reference</w:t>
      </w:r>
      <w:r w:rsidR="00F674F7">
        <w:rPr>
          <w:rFonts w:ascii="Times New Roman" w:hAnsi="Times New Roman" w:cs="Times New Roman"/>
          <w:sz w:val="24"/>
          <w:szCs w:val="24"/>
        </w:rPr>
        <w:t>d</w:t>
      </w:r>
      <w:r w:rsidR="00025C19">
        <w:rPr>
          <w:rFonts w:ascii="Times New Roman" w:hAnsi="Times New Roman" w:cs="Times New Roman"/>
          <w:sz w:val="24"/>
          <w:szCs w:val="24"/>
        </w:rPr>
        <w:t xml:space="preserve"> WAC 480-07-460, that provision, </w:t>
      </w:r>
      <w:r>
        <w:rPr>
          <w:rFonts w:ascii="Times New Roman" w:hAnsi="Times New Roman" w:cs="Times New Roman"/>
          <w:sz w:val="24"/>
          <w:szCs w:val="24"/>
        </w:rPr>
        <w:t>in relevant part</w:t>
      </w:r>
      <w:r w:rsidR="00025C19">
        <w:rPr>
          <w:rFonts w:ascii="Times New Roman" w:hAnsi="Times New Roman" w:cs="Times New Roman"/>
          <w:sz w:val="24"/>
          <w:szCs w:val="24"/>
        </w:rPr>
        <w:t xml:space="preserve"> provides</w:t>
      </w:r>
      <w:r>
        <w:rPr>
          <w:rFonts w:ascii="Times New Roman" w:hAnsi="Times New Roman" w:cs="Times New Roman"/>
          <w:sz w:val="24"/>
          <w:szCs w:val="24"/>
        </w:rPr>
        <w:t>:</w:t>
      </w:r>
    </w:p>
    <w:p w:rsidR="008F378B" w:rsidRDefault="008F378B" w:rsidP="008F378B">
      <w:pPr>
        <w:pStyle w:val="ListParagraph"/>
        <w:ind w:right="828"/>
        <w:rPr>
          <w:rFonts w:ascii="Times New Roman" w:hAnsi="Times New Roman" w:cs="Times New Roman"/>
          <w:sz w:val="24"/>
          <w:szCs w:val="24"/>
        </w:rPr>
      </w:pPr>
      <w:r w:rsidRPr="008F378B">
        <w:rPr>
          <w:rFonts w:ascii="Times New Roman" w:hAnsi="Times New Roman" w:cs="Times New Roman"/>
          <w:sz w:val="24"/>
          <w:szCs w:val="24"/>
        </w:rPr>
        <w:t>(1)</w:t>
      </w:r>
      <w:r>
        <w:rPr>
          <w:rFonts w:ascii="Times New Roman" w:hAnsi="Times New Roman" w:cs="Times New Roman"/>
          <w:sz w:val="24"/>
          <w:szCs w:val="24"/>
        </w:rPr>
        <w:tab/>
      </w:r>
      <w:r w:rsidRPr="00264B00">
        <w:rPr>
          <w:rFonts w:ascii="Times New Roman" w:hAnsi="Times New Roman" w:cs="Times New Roman"/>
          <w:b/>
          <w:sz w:val="24"/>
          <w:szCs w:val="24"/>
        </w:rPr>
        <w:t>Predistribution of evidence</w:t>
      </w:r>
      <w:r w:rsidRPr="008F378B">
        <w:rPr>
          <w:rFonts w:ascii="Times New Roman" w:hAnsi="Times New Roman" w:cs="Times New Roman"/>
          <w:sz w:val="24"/>
          <w:szCs w:val="24"/>
        </w:rPr>
        <w:t>. The commission may require parties to distribute their proposed evidence to other parties before the start of the evidentiary hearing. In general rate proceedings for electric, natural gas, pipeline, and telecommunications companies, the petitioner must prefile its proposed direct testimony and exhibits at the time it files its rate increase request, in accordance with WAC 480-07-510</w:t>
      </w:r>
      <w:r w:rsidR="0079661C">
        <w:rPr>
          <w:rFonts w:ascii="Times New Roman" w:hAnsi="Times New Roman" w:cs="Times New Roman"/>
          <w:sz w:val="24"/>
          <w:szCs w:val="24"/>
        </w:rPr>
        <w:t>…</w:t>
      </w:r>
    </w:p>
    <w:p w:rsidR="008F378B" w:rsidRPr="008F378B" w:rsidRDefault="008F378B" w:rsidP="008F378B">
      <w:pPr>
        <w:pStyle w:val="ListParagraph"/>
        <w:ind w:right="828"/>
        <w:rPr>
          <w:rFonts w:ascii="Times New Roman" w:hAnsi="Times New Roman" w:cs="Times New Roman"/>
          <w:sz w:val="24"/>
          <w:szCs w:val="24"/>
        </w:rPr>
      </w:pPr>
    </w:p>
    <w:p w:rsidR="009515A0" w:rsidRDefault="008F378B" w:rsidP="005E58E3">
      <w:pPr>
        <w:pStyle w:val="ListParagraph"/>
        <w:numPr>
          <w:ilvl w:val="0"/>
          <w:numId w:val="1"/>
        </w:numPr>
        <w:spacing w:line="480" w:lineRule="auto"/>
        <w:ind w:left="0" w:hanging="720"/>
        <w:rPr>
          <w:rFonts w:ascii="Times New Roman" w:hAnsi="Times New Roman" w:cs="Times New Roman"/>
          <w:sz w:val="24"/>
          <w:szCs w:val="24"/>
        </w:rPr>
      </w:pPr>
      <w:r>
        <w:rPr>
          <w:rFonts w:ascii="Times New Roman" w:hAnsi="Times New Roman" w:cs="Times New Roman"/>
          <w:sz w:val="24"/>
          <w:szCs w:val="24"/>
        </w:rPr>
        <w:t xml:space="preserve">Clearly, the Commission’s procedural rules recognize the </w:t>
      </w:r>
      <w:r w:rsidR="009C256B">
        <w:rPr>
          <w:rFonts w:ascii="Times New Roman" w:hAnsi="Times New Roman" w:cs="Times New Roman"/>
          <w:sz w:val="24"/>
          <w:szCs w:val="24"/>
        </w:rPr>
        <w:t xml:space="preserve">rather </w:t>
      </w:r>
      <w:r>
        <w:rPr>
          <w:rFonts w:ascii="Times New Roman" w:hAnsi="Times New Roman" w:cs="Times New Roman"/>
          <w:sz w:val="24"/>
          <w:szCs w:val="24"/>
        </w:rPr>
        <w:t xml:space="preserve">anomalous </w:t>
      </w:r>
      <w:r w:rsidR="00025C19">
        <w:rPr>
          <w:rFonts w:ascii="Times New Roman" w:hAnsi="Times New Roman" w:cs="Times New Roman"/>
          <w:sz w:val="24"/>
          <w:szCs w:val="24"/>
        </w:rPr>
        <w:t xml:space="preserve">present </w:t>
      </w:r>
      <w:r>
        <w:rPr>
          <w:rFonts w:ascii="Times New Roman" w:hAnsi="Times New Roman" w:cs="Times New Roman"/>
          <w:sz w:val="24"/>
          <w:szCs w:val="24"/>
        </w:rPr>
        <w:t xml:space="preserve">position </w:t>
      </w:r>
      <w:r w:rsidR="00264B00">
        <w:rPr>
          <w:rFonts w:ascii="Times New Roman" w:hAnsi="Times New Roman" w:cs="Times New Roman"/>
          <w:sz w:val="24"/>
          <w:szCs w:val="24"/>
        </w:rPr>
        <w:t xml:space="preserve">by noting </w:t>
      </w:r>
      <w:r>
        <w:rPr>
          <w:rFonts w:ascii="Times New Roman" w:hAnsi="Times New Roman" w:cs="Times New Roman"/>
          <w:sz w:val="24"/>
          <w:szCs w:val="24"/>
        </w:rPr>
        <w:t xml:space="preserve">where </w:t>
      </w:r>
      <w:r w:rsidR="009C256B">
        <w:rPr>
          <w:rFonts w:ascii="Times New Roman" w:hAnsi="Times New Roman" w:cs="Times New Roman"/>
          <w:sz w:val="24"/>
          <w:szCs w:val="24"/>
        </w:rPr>
        <w:t xml:space="preserve">and when </w:t>
      </w:r>
      <w:r>
        <w:rPr>
          <w:rFonts w:ascii="Times New Roman" w:hAnsi="Times New Roman" w:cs="Times New Roman"/>
          <w:sz w:val="24"/>
          <w:szCs w:val="24"/>
        </w:rPr>
        <w:t>all but solid waste and transportation com</w:t>
      </w:r>
      <w:r w:rsidR="00264B00">
        <w:rPr>
          <w:rFonts w:ascii="Times New Roman" w:hAnsi="Times New Roman" w:cs="Times New Roman"/>
          <w:sz w:val="24"/>
          <w:szCs w:val="24"/>
        </w:rPr>
        <w:t xml:space="preserve">panies file their case in chief:  </w:t>
      </w:r>
      <w:r>
        <w:rPr>
          <w:rFonts w:ascii="Times New Roman" w:hAnsi="Times New Roman" w:cs="Times New Roman"/>
          <w:sz w:val="24"/>
          <w:szCs w:val="24"/>
        </w:rPr>
        <w:t>at the point of filing exhibits and prefiled testimony.  Indeed, WAC 480-07-</w:t>
      </w:r>
      <w:r w:rsidR="00025C19">
        <w:rPr>
          <w:rFonts w:ascii="Times New Roman" w:hAnsi="Times New Roman" w:cs="Times New Roman"/>
          <w:sz w:val="24"/>
          <w:szCs w:val="24"/>
        </w:rPr>
        <w:t>4</w:t>
      </w:r>
      <w:r>
        <w:rPr>
          <w:rFonts w:ascii="Times New Roman" w:hAnsi="Times New Roman" w:cs="Times New Roman"/>
          <w:sz w:val="24"/>
          <w:szCs w:val="24"/>
        </w:rPr>
        <w:t xml:space="preserve">60(1) omits </w:t>
      </w:r>
      <w:r w:rsidR="003A4751">
        <w:rPr>
          <w:rFonts w:ascii="Times New Roman" w:hAnsi="Times New Roman" w:cs="Times New Roman"/>
          <w:sz w:val="24"/>
          <w:szCs w:val="24"/>
        </w:rPr>
        <w:t xml:space="preserve">any reference to solid waste at all </w:t>
      </w:r>
      <w:r w:rsidR="009C256B">
        <w:rPr>
          <w:rFonts w:ascii="Times New Roman" w:hAnsi="Times New Roman" w:cs="Times New Roman"/>
          <w:sz w:val="24"/>
          <w:szCs w:val="24"/>
        </w:rPr>
        <w:t xml:space="preserve">as </w:t>
      </w:r>
      <w:r>
        <w:rPr>
          <w:rFonts w:ascii="Times New Roman" w:hAnsi="Times New Roman" w:cs="Times New Roman"/>
          <w:sz w:val="24"/>
          <w:szCs w:val="24"/>
        </w:rPr>
        <w:t>subject to the</w:t>
      </w:r>
      <w:r w:rsidR="00264B00">
        <w:rPr>
          <w:rFonts w:ascii="Times New Roman" w:hAnsi="Times New Roman" w:cs="Times New Roman"/>
          <w:sz w:val="24"/>
          <w:szCs w:val="24"/>
        </w:rPr>
        <w:t>se</w:t>
      </w:r>
      <w:r w:rsidR="000B7705">
        <w:rPr>
          <w:rFonts w:ascii="Times New Roman" w:hAnsi="Times New Roman" w:cs="Times New Roman"/>
          <w:sz w:val="24"/>
          <w:szCs w:val="24"/>
        </w:rPr>
        <w:t xml:space="preserve"> generalized requirements.  W</w:t>
      </w:r>
      <w:r>
        <w:rPr>
          <w:rFonts w:ascii="Times New Roman" w:hAnsi="Times New Roman" w:cs="Times New Roman"/>
          <w:sz w:val="24"/>
          <w:szCs w:val="24"/>
        </w:rPr>
        <w:t>hile</w:t>
      </w:r>
      <w:r w:rsidR="000B7705">
        <w:rPr>
          <w:rFonts w:ascii="Times New Roman" w:hAnsi="Times New Roman" w:cs="Times New Roman"/>
          <w:sz w:val="24"/>
          <w:szCs w:val="24"/>
        </w:rPr>
        <w:t xml:space="preserve"> </w:t>
      </w:r>
      <w:r>
        <w:rPr>
          <w:rFonts w:ascii="Times New Roman" w:hAnsi="Times New Roman" w:cs="Times New Roman"/>
          <w:sz w:val="24"/>
          <w:szCs w:val="24"/>
        </w:rPr>
        <w:t>Order No. 3 references submitting exhibits pursuant to the rule, that implicitly refer</w:t>
      </w:r>
      <w:r w:rsidR="00264B00">
        <w:rPr>
          <w:rFonts w:ascii="Times New Roman" w:hAnsi="Times New Roman" w:cs="Times New Roman"/>
          <w:sz w:val="24"/>
          <w:szCs w:val="24"/>
        </w:rPr>
        <w:t xml:space="preserve">red </w:t>
      </w:r>
      <w:r w:rsidR="009C256B">
        <w:rPr>
          <w:rFonts w:ascii="Times New Roman" w:hAnsi="Times New Roman" w:cs="Times New Roman"/>
          <w:sz w:val="24"/>
          <w:szCs w:val="24"/>
        </w:rPr>
        <w:t xml:space="preserve">to </w:t>
      </w:r>
      <w:r w:rsidR="00025C19">
        <w:rPr>
          <w:rFonts w:ascii="Times New Roman" w:hAnsi="Times New Roman" w:cs="Times New Roman"/>
          <w:sz w:val="24"/>
          <w:szCs w:val="24"/>
        </w:rPr>
        <w:t xml:space="preserve">technical </w:t>
      </w:r>
      <w:r w:rsidR="009C256B">
        <w:rPr>
          <w:rFonts w:ascii="Times New Roman" w:hAnsi="Times New Roman" w:cs="Times New Roman"/>
          <w:sz w:val="24"/>
          <w:szCs w:val="24"/>
        </w:rPr>
        <w:t xml:space="preserve">formatting, exhibit </w:t>
      </w:r>
      <w:r>
        <w:rPr>
          <w:rFonts w:ascii="Times New Roman" w:hAnsi="Times New Roman" w:cs="Times New Roman"/>
          <w:sz w:val="24"/>
          <w:szCs w:val="24"/>
        </w:rPr>
        <w:t xml:space="preserve">distributions and </w:t>
      </w:r>
      <w:r w:rsidR="00025C19">
        <w:rPr>
          <w:rFonts w:ascii="Times New Roman" w:hAnsi="Times New Roman" w:cs="Times New Roman"/>
          <w:sz w:val="24"/>
          <w:szCs w:val="24"/>
        </w:rPr>
        <w:t xml:space="preserve">other such </w:t>
      </w:r>
      <w:r>
        <w:rPr>
          <w:rFonts w:ascii="Times New Roman" w:hAnsi="Times New Roman" w:cs="Times New Roman"/>
          <w:sz w:val="24"/>
          <w:szCs w:val="24"/>
        </w:rPr>
        <w:t>requirements in the rule and could not, in fact, engraft an additional Title 81 industry</w:t>
      </w:r>
      <w:r w:rsidR="00264B00">
        <w:rPr>
          <w:rFonts w:ascii="Times New Roman" w:hAnsi="Times New Roman" w:cs="Times New Roman"/>
          <w:sz w:val="24"/>
          <w:szCs w:val="24"/>
        </w:rPr>
        <w:t xml:space="preserve">’s applicability </w:t>
      </w:r>
      <w:r w:rsidR="000B7705">
        <w:rPr>
          <w:rFonts w:ascii="Times New Roman" w:hAnsi="Times New Roman" w:cs="Times New Roman"/>
          <w:sz w:val="24"/>
          <w:szCs w:val="24"/>
        </w:rPr>
        <w:t xml:space="preserve">onto </w:t>
      </w:r>
      <w:r>
        <w:rPr>
          <w:rFonts w:ascii="Times New Roman" w:hAnsi="Times New Roman" w:cs="Times New Roman"/>
          <w:sz w:val="24"/>
          <w:szCs w:val="24"/>
        </w:rPr>
        <w:t>the current rule.  In</w:t>
      </w:r>
      <w:r w:rsidR="009C256B">
        <w:rPr>
          <w:rFonts w:ascii="Times New Roman" w:hAnsi="Times New Roman" w:cs="Times New Roman"/>
          <w:sz w:val="24"/>
          <w:szCs w:val="24"/>
        </w:rPr>
        <w:t xml:space="preserve">deed, while pipeline companies regulated </w:t>
      </w:r>
      <w:r>
        <w:rPr>
          <w:rFonts w:ascii="Times New Roman" w:hAnsi="Times New Roman" w:cs="Times New Roman"/>
          <w:sz w:val="24"/>
          <w:szCs w:val="24"/>
        </w:rPr>
        <w:t xml:space="preserve">under Title 81.88 </w:t>
      </w:r>
      <w:r w:rsidR="009C256B">
        <w:rPr>
          <w:rFonts w:ascii="Times New Roman" w:hAnsi="Times New Roman" w:cs="Times New Roman"/>
          <w:sz w:val="24"/>
          <w:szCs w:val="24"/>
        </w:rPr>
        <w:t xml:space="preserve">RCW </w:t>
      </w:r>
      <w:r>
        <w:rPr>
          <w:rFonts w:ascii="Times New Roman" w:hAnsi="Times New Roman" w:cs="Times New Roman"/>
          <w:sz w:val="24"/>
          <w:szCs w:val="24"/>
        </w:rPr>
        <w:t xml:space="preserve">are referenced in the language cited above, there is no reference to solid waste, commercial ferry or </w:t>
      </w:r>
      <w:r w:rsidR="009C256B">
        <w:rPr>
          <w:rFonts w:ascii="Times New Roman" w:hAnsi="Times New Roman" w:cs="Times New Roman"/>
          <w:sz w:val="24"/>
          <w:szCs w:val="24"/>
        </w:rPr>
        <w:t xml:space="preserve">any </w:t>
      </w:r>
      <w:r>
        <w:rPr>
          <w:rFonts w:ascii="Times New Roman" w:hAnsi="Times New Roman" w:cs="Times New Roman"/>
          <w:sz w:val="24"/>
          <w:szCs w:val="24"/>
        </w:rPr>
        <w:t xml:space="preserve">other </w:t>
      </w:r>
      <w:r>
        <w:rPr>
          <w:rFonts w:ascii="Times New Roman" w:hAnsi="Times New Roman" w:cs="Times New Roman"/>
          <w:sz w:val="24"/>
          <w:szCs w:val="24"/>
        </w:rPr>
        <w:lastRenderedPageBreak/>
        <w:t xml:space="preserve">transportation industry companies </w:t>
      </w:r>
      <w:r w:rsidR="009C256B">
        <w:rPr>
          <w:rFonts w:ascii="Times New Roman" w:hAnsi="Times New Roman" w:cs="Times New Roman"/>
          <w:sz w:val="24"/>
          <w:szCs w:val="24"/>
        </w:rPr>
        <w:t xml:space="preserve">economically </w:t>
      </w:r>
      <w:r>
        <w:rPr>
          <w:rFonts w:ascii="Times New Roman" w:hAnsi="Times New Roman" w:cs="Times New Roman"/>
          <w:sz w:val="24"/>
          <w:szCs w:val="24"/>
        </w:rPr>
        <w:t>regulated by the Commission</w:t>
      </w:r>
      <w:r w:rsidR="00264B00">
        <w:rPr>
          <w:rFonts w:ascii="Times New Roman" w:hAnsi="Times New Roman" w:cs="Times New Roman"/>
          <w:sz w:val="24"/>
          <w:szCs w:val="24"/>
        </w:rPr>
        <w:t xml:space="preserve"> under Title 81</w:t>
      </w:r>
      <w:r w:rsidR="009C256B">
        <w:rPr>
          <w:rFonts w:ascii="Times New Roman" w:hAnsi="Times New Roman" w:cs="Times New Roman"/>
          <w:sz w:val="24"/>
          <w:szCs w:val="24"/>
        </w:rPr>
        <w:t xml:space="preserve"> RCW</w:t>
      </w:r>
      <w:r>
        <w:rPr>
          <w:rFonts w:ascii="Times New Roman" w:hAnsi="Times New Roman" w:cs="Times New Roman"/>
          <w:sz w:val="24"/>
          <w:szCs w:val="24"/>
        </w:rPr>
        <w:t>.</w:t>
      </w:r>
      <w:r w:rsidR="001F34DF">
        <w:rPr>
          <w:rStyle w:val="FootnoteReference"/>
          <w:rFonts w:ascii="Times New Roman" w:hAnsi="Times New Roman" w:cs="Times New Roman"/>
          <w:sz w:val="24"/>
          <w:szCs w:val="24"/>
        </w:rPr>
        <w:footnoteReference w:id="6"/>
      </w:r>
    </w:p>
    <w:p w:rsidR="008F378B" w:rsidRDefault="008F378B" w:rsidP="005E58E3">
      <w:pPr>
        <w:pStyle w:val="ListParagraph"/>
        <w:numPr>
          <w:ilvl w:val="0"/>
          <w:numId w:val="1"/>
        </w:numPr>
        <w:spacing w:line="480" w:lineRule="auto"/>
        <w:ind w:left="0" w:hanging="720"/>
        <w:rPr>
          <w:rFonts w:ascii="Times New Roman" w:hAnsi="Times New Roman" w:cs="Times New Roman"/>
          <w:sz w:val="24"/>
          <w:szCs w:val="24"/>
        </w:rPr>
      </w:pPr>
      <w:r>
        <w:rPr>
          <w:rFonts w:ascii="Times New Roman" w:hAnsi="Times New Roman" w:cs="Times New Roman"/>
          <w:sz w:val="24"/>
          <w:szCs w:val="24"/>
        </w:rPr>
        <w:t xml:space="preserve">The above is not to suggest the Company, in submitting its prefiled evidence, ignored </w:t>
      </w:r>
      <w:r w:rsidR="00264B00">
        <w:rPr>
          <w:rFonts w:ascii="Times New Roman" w:hAnsi="Times New Roman" w:cs="Times New Roman"/>
          <w:sz w:val="24"/>
          <w:szCs w:val="24"/>
        </w:rPr>
        <w:t xml:space="preserve">or disregarded </w:t>
      </w:r>
      <w:r>
        <w:rPr>
          <w:rFonts w:ascii="Times New Roman" w:hAnsi="Times New Roman" w:cs="Times New Roman"/>
          <w:sz w:val="24"/>
          <w:szCs w:val="24"/>
        </w:rPr>
        <w:t xml:space="preserve">the Commission’s </w:t>
      </w:r>
      <w:r w:rsidR="002D1072">
        <w:rPr>
          <w:rFonts w:ascii="Times New Roman" w:hAnsi="Times New Roman" w:cs="Times New Roman"/>
          <w:sz w:val="24"/>
          <w:szCs w:val="24"/>
        </w:rPr>
        <w:t xml:space="preserve">existing </w:t>
      </w:r>
      <w:r w:rsidR="00264B00">
        <w:rPr>
          <w:rFonts w:ascii="Times New Roman" w:hAnsi="Times New Roman" w:cs="Times New Roman"/>
          <w:sz w:val="24"/>
          <w:szCs w:val="24"/>
        </w:rPr>
        <w:t xml:space="preserve">procedural </w:t>
      </w:r>
      <w:r>
        <w:rPr>
          <w:rFonts w:ascii="Times New Roman" w:hAnsi="Times New Roman" w:cs="Times New Roman"/>
          <w:sz w:val="24"/>
          <w:szCs w:val="24"/>
        </w:rPr>
        <w:t xml:space="preserve">rules, but simply </w:t>
      </w:r>
      <w:r w:rsidR="00264B00">
        <w:rPr>
          <w:rFonts w:ascii="Times New Roman" w:hAnsi="Times New Roman" w:cs="Times New Roman"/>
          <w:sz w:val="24"/>
          <w:szCs w:val="24"/>
        </w:rPr>
        <w:t xml:space="preserve">to note </w:t>
      </w:r>
      <w:r>
        <w:rPr>
          <w:rFonts w:ascii="Times New Roman" w:hAnsi="Times New Roman" w:cs="Times New Roman"/>
          <w:sz w:val="24"/>
          <w:szCs w:val="24"/>
        </w:rPr>
        <w:t xml:space="preserve">that the existing rules do not appear to govern the substantive nature of what must be filed when </w:t>
      </w:r>
      <w:r w:rsidR="001F34DF">
        <w:rPr>
          <w:rFonts w:ascii="Times New Roman" w:hAnsi="Times New Roman" w:cs="Times New Roman"/>
          <w:sz w:val="24"/>
          <w:szCs w:val="24"/>
        </w:rPr>
        <w:t xml:space="preserve">a solid waste </w:t>
      </w:r>
      <w:r w:rsidR="002D1072">
        <w:rPr>
          <w:rFonts w:ascii="Times New Roman" w:hAnsi="Times New Roman" w:cs="Times New Roman"/>
          <w:sz w:val="24"/>
          <w:szCs w:val="24"/>
        </w:rPr>
        <w:t>c</w:t>
      </w:r>
      <w:r>
        <w:rPr>
          <w:rFonts w:ascii="Times New Roman" w:hAnsi="Times New Roman" w:cs="Times New Roman"/>
          <w:sz w:val="24"/>
          <w:szCs w:val="24"/>
        </w:rPr>
        <w:t xml:space="preserve">ompany files its </w:t>
      </w:r>
      <w:r w:rsidR="00F674F7">
        <w:rPr>
          <w:rFonts w:ascii="Times New Roman" w:hAnsi="Times New Roman" w:cs="Times New Roman"/>
          <w:sz w:val="24"/>
          <w:szCs w:val="24"/>
        </w:rPr>
        <w:t xml:space="preserve">testimonial </w:t>
      </w:r>
      <w:r w:rsidR="009C256B">
        <w:rPr>
          <w:rFonts w:ascii="Times New Roman" w:hAnsi="Times New Roman" w:cs="Times New Roman"/>
          <w:sz w:val="24"/>
          <w:szCs w:val="24"/>
        </w:rPr>
        <w:t xml:space="preserve">direct </w:t>
      </w:r>
      <w:r>
        <w:rPr>
          <w:rFonts w:ascii="Times New Roman" w:hAnsi="Times New Roman" w:cs="Times New Roman"/>
          <w:sz w:val="24"/>
          <w:szCs w:val="24"/>
        </w:rPr>
        <w:t>case.  Moreover, the Co</w:t>
      </w:r>
      <w:r w:rsidR="009C256B">
        <w:rPr>
          <w:rFonts w:ascii="Times New Roman" w:hAnsi="Times New Roman" w:cs="Times New Roman"/>
          <w:sz w:val="24"/>
          <w:szCs w:val="24"/>
        </w:rPr>
        <w:t>mpany identified its originally-</w:t>
      </w:r>
      <w:r>
        <w:rPr>
          <w:rFonts w:ascii="Times New Roman" w:hAnsi="Times New Roman" w:cs="Times New Roman"/>
          <w:sz w:val="24"/>
          <w:szCs w:val="24"/>
        </w:rPr>
        <w:t xml:space="preserve">filed </w:t>
      </w:r>
      <w:r w:rsidR="001F34DF">
        <w:rPr>
          <w:rFonts w:ascii="Times New Roman" w:hAnsi="Times New Roman" w:cs="Times New Roman"/>
          <w:sz w:val="24"/>
          <w:szCs w:val="24"/>
        </w:rPr>
        <w:t xml:space="preserve">rate </w:t>
      </w:r>
      <w:r>
        <w:rPr>
          <w:rFonts w:ascii="Times New Roman" w:hAnsi="Times New Roman" w:cs="Times New Roman"/>
          <w:sz w:val="24"/>
          <w:szCs w:val="24"/>
        </w:rPr>
        <w:t xml:space="preserve">case in chief as a prospective exhibit and fully intends to refer </w:t>
      </w:r>
      <w:r w:rsidR="002D1072">
        <w:rPr>
          <w:rFonts w:ascii="Times New Roman" w:hAnsi="Times New Roman" w:cs="Times New Roman"/>
          <w:sz w:val="24"/>
          <w:szCs w:val="24"/>
        </w:rPr>
        <w:t xml:space="preserve">to </w:t>
      </w:r>
      <w:r w:rsidR="001F34DF">
        <w:rPr>
          <w:rFonts w:ascii="Times New Roman" w:hAnsi="Times New Roman" w:cs="Times New Roman"/>
          <w:sz w:val="24"/>
          <w:szCs w:val="24"/>
        </w:rPr>
        <w:t xml:space="preserve">and develop foundational testimony on that Exhibit </w:t>
      </w:r>
      <w:r>
        <w:rPr>
          <w:rFonts w:ascii="Times New Roman" w:hAnsi="Times New Roman" w:cs="Times New Roman"/>
          <w:sz w:val="24"/>
          <w:szCs w:val="24"/>
        </w:rPr>
        <w:t xml:space="preserve">at hearing.  In addition, despite the </w:t>
      </w:r>
      <w:r w:rsidR="001F34DF">
        <w:rPr>
          <w:rFonts w:ascii="Times New Roman" w:hAnsi="Times New Roman" w:cs="Times New Roman"/>
          <w:sz w:val="24"/>
          <w:szCs w:val="24"/>
        </w:rPr>
        <w:t xml:space="preserve">contrary </w:t>
      </w:r>
      <w:r>
        <w:rPr>
          <w:rFonts w:ascii="Times New Roman" w:hAnsi="Times New Roman" w:cs="Times New Roman"/>
          <w:sz w:val="24"/>
          <w:szCs w:val="24"/>
        </w:rPr>
        <w:t>reference in Staff’s a</w:t>
      </w:r>
      <w:r w:rsidR="00DD2273">
        <w:rPr>
          <w:rFonts w:ascii="Times New Roman" w:hAnsi="Times New Roman" w:cs="Times New Roman"/>
          <w:sz w:val="24"/>
          <w:szCs w:val="24"/>
        </w:rPr>
        <w:t xml:space="preserve">rgument at </w:t>
      </w:r>
      <w:r w:rsidR="00DB5C8A" w:rsidRPr="00DB5C8A">
        <w:rPr>
          <w:rFonts w:ascii="Times New Roman" w:hAnsi="Times New Roman" w:cs="Times New Roman"/>
          <w:sz w:val="24"/>
          <w:szCs w:val="24"/>
        </w:rPr>
        <w:t>¶</w:t>
      </w:r>
      <w:r w:rsidR="00DB5C8A">
        <w:rPr>
          <w:rFonts w:ascii="Times New Roman" w:hAnsi="Times New Roman" w:cs="Times New Roman"/>
          <w:sz w:val="24"/>
          <w:szCs w:val="24"/>
        </w:rPr>
        <w:t xml:space="preserve"> </w:t>
      </w:r>
      <w:r w:rsidR="00DD2273">
        <w:rPr>
          <w:rFonts w:ascii="Times New Roman" w:hAnsi="Times New Roman" w:cs="Times New Roman"/>
          <w:sz w:val="24"/>
          <w:szCs w:val="24"/>
        </w:rPr>
        <w:t xml:space="preserve">5, page 2 of its Motion, the Company did not assume that the Staff “will not or cannot oppose any adjustment Staff has </w:t>
      </w:r>
      <w:r w:rsidR="001F34DF">
        <w:rPr>
          <w:rFonts w:ascii="Times New Roman" w:hAnsi="Times New Roman" w:cs="Times New Roman"/>
          <w:sz w:val="24"/>
          <w:szCs w:val="24"/>
        </w:rPr>
        <w:t xml:space="preserve">not </w:t>
      </w:r>
      <w:r w:rsidR="00DD2273">
        <w:rPr>
          <w:rFonts w:ascii="Times New Roman" w:hAnsi="Times New Roman" w:cs="Times New Roman"/>
          <w:sz w:val="24"/>
          <w:szCs w:val="24"/>
        </w:rPr>
        <w:t xml:space="preserve">opposed earlier in </w:t>
      </w:r>
      <w:r w:rsidR="00D76200">
        <w:rPr>
          <w:rFonts w:ascii="Times New Roman" w:hAnsi="Times New Roman" w:cs="Times New Roman"/>
          <w:sz w:val="24"/>
          <w:szCs w:val="24"/>
        </w:rPr>
        <w:t xml:space="preserve">its </w:t>
      </w:r>
      <w:r w:rsidR="00DD2273">
        <w:rPr>
          <w:rFonts w:ascii="Times New Roman" w:hAnsi="Times New Roman" w:cs="Times New Roman"/>
          <w:sz w:val="24"/>
          <w:szCs w:val="24"/>
        </w:rPr>
        <w:t>review of this filing</w:t>
      </w:r>
      <w:r w:rsidR="00D76200">
        <w:rPr>
          <w:rFonts w:ascii="Times New Roman" w:hAnsi="Times New Roman" w:cs="Times New Roman"/>
          <w:sz w:val="24"/>
          <w:szCs w:val="24"/>
        </w:rPr>
        <w:t>…</w:t>
      </w:r>
      <w:r w:rsidR="00025C19">
        <w:rPr>
          <w:rFonts w:ascii="Times New Roman" w:hAnsi="Times New Roman" w:cs="Times New Roman"/>
          <w:sz w:val="24"/>
          <w:szCs w:val="24"/>
        </w:rPr>
        <w:t>”</w:t>
      </w:r>
      <w:r w:rsidR="00D76200">
        <w:rPr>
          <w:rStyle w:val="FootnoteReference"/>
          <w:rFonts w:ascii="Times New Roman" w:hAnsi="Times New Roman" w:cs="Times New Roman"/>
          <w:sz w:val="24"/>
          <w:szCs w:val="24"/>
        </w:rPr>
        <w:footnoteReference w:id="7"/>
      </w:r>
      <w:r w:rsidR="00025C19">
        <w:rPr>
          <w:rFonts w:ascii="Times New Roman" w:hAnsi="Times New Roman" w:cs="Times New Roman"/>
          <w:sz w:val="24"/>
          <w:szCs w:val="24"/>
        </w:rPr>
        <w:t xml:space="preserve">  I</w:t>
      </w:r>
      <w:r w:rsidR="00DD2273">
        <w:rPr>
          <w:rFonts w:ascii="Times New Roman" w:hAnsi="Times New Roman" w:cs="Times New Roman"/>
          <w:sz w:val="24"/>
          <w:szCs w:val="24"/>
        </w:rPr>
        <w:t xml:space="preserve">ndeed, </w:t>
      </w:r>
      <w:r w:rsidR="00025C19">
        <w:rPr>
          <w:rFonts w:ascii="Times New Roman" w:hAnsi="Times New Roman" w:cs="Times New Roman"/>
          <w:sz w:val="24"/>
          <w:szCs w:val="24"/>
        </w:rPr>
        <w:t xml:space="preserve">it </w:t>
      </w:r>
      <w:r w:rsidR="001F34DF">
        <w:rPr>
          <w:rFonts w:ascii="Times New Roman" w:hAnsi="Times New Roman" w:cs="Times New Roman"/>
          <w:sz w:val="24"/>
          <w:szCs w:val="24"/>
        </w:rPr>
        <w:t xml:space="preserve">expressly </w:t>
      </w:r>
      <w:r w:rsidR="00DD2273">
        <w:rPr>
          <w:rFonts w:ascii="Times New Roman" w:hAnsi="Times New Roman" w:cs="Times New Roman"/>
          <w:sz w:val="24"/>
          <w:szCs w:val="24"/>
        </w:rPr>
        <w:t xml:space="preserve">alluded </w:t>
      </w:r>
      <w:r w:rsidR="00F674F7">
        <w:rPr>
          <w:rFonts w:ascii="Times New Roman" w:hAnsi="Times New Roman" w:cs="Times New Roman"/>
          <w:sz w:val="24"/>
          <w:szCs w:val="24"/>
        </w:rPr>
        <w:t xml:space="preserve">in </w:t>
      </w:r>
      <w:r w:rsidR="00F92A24">
        <w:rPr>
          <w:rFonts w:ascii="Times New Roman" w:hAnsi="Times New Roman" w:cs="Times New Roman"/>
          <w:sz w:val="24"/>
          <w:szCs w:val="24"/>
        </w:rPr>
        <w:t xml:space="preserve">that </w:t>
      </w:r>
      <w:r w:rsidR="00F674F7">
        <w:rPr>
          <w:rFonts w:ascii="Times New Roman" w:hAnsi="Times New Roman" w:cs="Times New Roman"/>
          <w:sz w:val="24"/>
          <w:szCs w:val="24"/>
        </w:rPr>
        <w:t xml:space="preserve">testimony </w:t>
      </w:r>
      <w:r w:rsidR="00DD2273">
        <w:rPr>
          <w:rFonts w:ascii="Times New Roman" w:hAnsi="Times New Roman" w:cs="Times New Roman"/>
          <w:sz w:val="24"/>
          <w:szCs w:val="24"/>
        </w:rPr>
        <w:t xml:space="preserve">to the Staff’s </w:t>
      </w:r>
      <w:r w:rsidR="00F674F7">
        <w:rPr>
          <w:rFonts w:ascii="Times New Roman" w:hAnsi="Times New Roman" w:cs="Times New Roman"/>
          <w:sz w:val="24"/>
          <w:szCs w:val="24"/>
        </w:rPr>
        <w:t xml:space="preserve">prospective </w:t>
      </w:r>
      <w:r w:rsidR="003A4751">
        <w:rPr>
          <w:rFonts w:ascii="Times New Roman" w:hAnsi="Times New Roman" w:cs="Times New Roman"/>
          <w:sz w:val="24"/>
          <w:szCs w:val="24"/>
        </w:rPr>
        <w:t xml:space="preserve">filed </w:t>
      </w:r>
      <w:r w:rsidR="00DD2273">
        <w:rPr>
          <w:rFonts w:ascii="Times New Roman" w:hAnsi="Times New Roman" w:cs="Times New Roman"/>
          <w:sz w:val="24"/>
          <w:szCs w:val="24"/>
        </w:rPr>
        <w:t xml:space="preserve">case where it allowed for other </w:t>
      </w:r>
      <w:r w:rsidR="00025C19">
        <w:rPr>
          <w:rFonts w:ascii="Times New Roman" w:hAnsi="Times New Roman" w:cs="Times New Roman"/>
          <w:sz w:val="24"/>
          <w:szCs w:val="24"/>
        </w:rPr>
        <w:t xml:space="preserve">potential </w:t>
      </w:r>
      <w:r w:rsidR="00DD2273">
        <w:rPr>
          <w:rFonts w:ascii="Times New Roman" w:hAnsi="Times New Roman" w:cs="Times New Roman"/>
          <w:sz w:val="24"/>
          <w:szCs w:val="24"/>
        </w:rPr>
        <w:t xml:space="preserve">accounting adjustments or disputes not referred to in the Company’s filed rate case </w:t>
      </w:r>
      <w:r w:rsidR="009C256B">
        <w:rPr>
          <w:rFonts w:ascii="Times New Roman" w:hAnsi="Times New Roman" w:cs="Times New Roman"/>
          <w:sz w:val="24"/>
          <w:szCs w:val="24"/>
        </w:rPr>
        <w:t xml:space="preserve">which </w:t>
      </w:r>
      <w:r w:rsidR="00F674F7">
        <w:rPr>
          <w:rFonts w:ascii="Times New Roman" w:hAnsi="Times New Roman" w:cs="Times New Roman"/>
          <w:sz w:val="24"/>
          <w:szCs w:val="24"/>
        </w:rPr>
        <w:t>could well be addressed or developed</w:t>
      </w:r>
      <w:r w:rsidR="003A4751">
        <w:rPr>
          <w:rFonts w:ascii="Times New Roman" w:hAnsi="Times New Roman" w:cs="Times New Roman"/>
          <w:sz w:val="24"/>
          <w:szCs w:val="24"/>
        </w:rPr>
        <w:t xml:space="preserve"> in Staff’s March 28 filing</w:t>
      </w:r>
      <w:r w:rsidR="00F674F7">
        <w:rPr>
          <w:rFonts w:ascii="Times New Roman" w:hAnsi="Times New Roman" w:cs="Times New Roman"/>
          <w:sz w:val="24"/>
          <w:szCs w:val="24"/>
        </w:rPr>
        <w:t>.</w:t>
      </w:r>
      <w:r w:rsidR="00F674F7">
        <w:rPr>
          <w:rStyle w:val="FootnoteReference"/>
          <w:rFonts w:ascii="Times New Roman" w:hAnsi="Times New Roman" w:cs="Times New Roman"/>
          <w:sz w:val="24"/>
          <w:szCs w:val="24"/>
        </w:rPr>
        <w:footnoteReference w:id="8"/>
      </w:r>
    </w:p>
    <w:p w:rsidR="002E48D5" w:rsidRPr="002E48D5" w:rsidRDefault="002E48D5" w:rsidP="002E48D5">
      <w:pPr>
        <w:spacing w:line="480" w:lineRule="auto"/>
        <w:rPr>
          <w:rFonts w:ascii="Times New Roman" w:hAnsi="Times New Roman" w:cs="Times New Roman"/>
          <w:sz w:val="24"/>
          <w:szCs w:val="24"/>
        </w:rPr>
      </w:pPr>
    </w:p>
    <w:p w:rsidR="009C256B" w:rsidRDefault="009C256B" w:rsidP="009C256B">
      <w:pPr>
        <w:pStyle w:val="ListParagraph"/>
        <w:ind w:left="0"/>
        <w:rPr>
          <w:rFonts w:ascii="Times New Roman" w:hAnsi="Times New Roman" w:cs="Times New Roman"/>
          <w:b/>
          <w:sz w:val="24"/>
          <w:szCs w:val="24"/>
        </w:rPr>
      </w:pPr>
      <w:r w:rsidRPr="009C256B">
        <w:rPr>
          <w:rFonts w:ascii="Times New Roman" w:hAnsi="Times New Roman" w:cs="Times New Roman"/>
          <w:b/>
          <w:sz w:val="24"/>
          <w:szCs w:val="24"/>
        </w:rPr>
        <w:t>B.</w:t>
      </w:r>
      <w:r w:rsidRPr="009C256B">
        <w:rPr>
          <w:rFonts w:ascii="Times New Roman" w:hAnsi="Times New Roman" w:cs="Times New Roman"/>
          <w:b/>
          <w:sz w:val="24"/>
          <w:szCs w:val="24"/>
        </w:rPr>
        <w:tab/>
        <w:t xml:space="preserve">The Company is Not Overlooking its Statutory and </w:t>
      </w:r>
      <w:r w:rsidR="00D76200">
        <w:rPr>
          <w:rFonts w:ascii="Times New Roman" w:hAnsi="Times New Roman" w:cs="Times New Roman"/>
          <w:b/>
          <w:sz w:val="24"/>
          <w:szCs w:val="24"/>
        </w:rPr>
        <w:t xml:space="preserve">Regulatory Burden in Formatting </w:t>
      </w:r>
      <w:r w:rsidRPr="009C256B">
        <w:rPr>
          <w:rFonts w:ascii="Times New Roman" w:hAnsi="Times New Roman" w:cs="Times New Roman"/>
          <w:b/>
          <w:sz w:val="24"/>
          <w:szCs w:val="24"/>
        </w:rPr>
        <w:t xml:space="preserve">its General Rate Case in this Fashion, nor is it Foreclosing Staff or the Commission </w:t>
      </w:r>
      <w:r w:rsidR="00F672DC">
        <w:rPr>
          <w:rFonts w:ascii="Times New Roman" w:hAnsi="Times New Roman" w:cs="Times New Roman"/>
          <w:b/>
          <w:sz w:val="24"/>
          <w:szCs w:val="24"/>
        </w:rPr>
        <w:t>f</w:t>
      </w:r>
      <w:r w:rsidRPr="009C256B">
        <w:rPr>
          <w:rFonts w:ascii="Times New Roman" w:hAnsi="Times New Roman" w:cs="Times New Roman"/>
          <w:b/>
          <w:sz w:val="24"/>
          <w:szCs w:val="24"/>
        </w:rPr>
        <w:t xml:space="preserve">rom an </w:t>
      </w:r>
      <w:r w:rsidR="00CE5B89">
        <w:rPr>
          <w:rFonts w:ascii="Times New Roman" w:hAnsi="Times New Roman" w:cs="Times New Roman"/>
          <w:b/>
          <w:sz w:val="24"/>
          <w:szCs w:val="24"/>
        </w:rPr>
        <w:t>E</w:t>
      </w:r>
      <w:r w:rsidRPr="009C256B">
        <w:rPr>
          <w:rFonts w:ascii="Times New Roman" w:hAnsi="Times New Roman" w:cs="Times New Roman"/>
          <w:b/>
          <w:sz w:val="24"/>
          <w:szCs w:val="24"/>
        </w:rPr>
        <w:t xml:space="preserve">xhaustive </w:t>
      </w:r>
      <w:r w:rsidR="00F672DC" w:rsidRPr="002D1072">
        <w:rPr>
          <w:rFonts w:ascii="Times New Roman" w:hAnsi="Times New Roman" w:cs="Times New Roman"/>
          <w:b/>
          <w:i/>
          <w:sz w:val="24"/>
          <w:szCs w:val="24"/>
        </w:rPr>
        <w:t>de novo</w:t>
      </w:r>
      <w:r w:rsidR="00F672DC">
        <w:rPr>
          <w:rFonts w:ascii="Times New Roman" w:hAnsi="Times New Roman" w:cs="Times New Roman"/>
          <w:b/>
          <w:sz w:val="24"/>
          <w:szCs w:val="24"/>
        </w:rPr>
        <w:t xml:space="preserve"> R</w:t>
      </w:r>
      <w:r w:rsidRPr="009C256B">
        <w:rPr>
          <w:rFonts w:ascii="Times New Roman" w:hAnsi="Times New Roman" w:cs="Times New Roman"/>
          <w:b/>
          <w:sz w:val="24"/>
          <w:szCs w:val="24"/>
        </w:rPr>
        <w:t xml:space="preserve">eview of its </w:t>
      </w:r>
      <w:r w:rsidR="00CE5B89">
        <w:rPr>
          <w:rFonts w:ascii="Times New Roman" w:hAnsi="Times New Roman" w:cs="Times New Roman"/>
          <w:b/>
          <w:sz w:val="24"/>
          <w:szCs w:val="24"/>
        </w:rPr>
        <w:t>C</w:t>
      </w:r>
      <w:r w:rsidR="00F672DC">
        <w:rPr>
          <w:rFonts w:ascii="Times New Roman" w:hAnsi="Times New Roman" w:cs="Times New Roman"/>
          <w:b/>
          <w:sz w:val="24"/>
          <w:szCs w:val="24"/>
        </w:rPr>
        <w:t>ase.</w:t>
      </w:r>
    </w:p>
    <w:p w:rsidR="00F92A24" w:rsidRDefault="00F92A24" w:rsidP="009C256B">
      <w:pPr>
        <w:pStyle w:val="ListParagraph"/>
        <w:ind w:left="0"/>
        <w:rPr>
          <w:rFonts w:ascii="Times New Roman" w:hAnsi="Times New Roman" w:cs="Times New Roman"/>
          <w:b/>
          <w:sz w:val="24"/>
          <w:szCs w:val="24"/>
        </w:rPr>
      </w:pPr>
    </w:p>
    <w:p w:rsidR="00CE5B89" w:rsidRDefault="00D76200" w:rsidP="005E58E3">
      <w:pPr>
        <w:pStyle w:val="ListParagraph"/>
        <w:numPr>
          <w:ilvl w:val="0"/>
          <w:numId w:val="1"/>
        </w:numPr>
        <w:spacing w:line="480" w:lineRule="auto"/>
        <w:ind w:left="0" w:hanging="720"/>
        <w:rPr>
          <w:rFonts w:ascii="Times New Roman" w:hAnsi="Times New Roman" w:cs="Times New Roman"/>
          <w:sz w:val="24"/>
          <w:szCs w:val="24"/>
        </w:rPr>
      </w:pPr>
      <w:r>
        <w:rPr>
          <w:rFonts w:ascii="Times New Roman" w:hAnsi="Times New Roman" w:cs="Times New Roman"/>
          <w:sz w:val="24"/>
          <w:szCs w:val="24"/>
        </w:rPr>
        <w:t xml:space="preserve">Waste Control </w:t>
      </w:r>
      <w:r w:rsidR="00DD2273" w:rsidRPr="00CE5B89">
        <w:rPr>
          <w:rFonts w:ascii="Times New Roman" w:hAnsi="Times New Roman" w:cs="Times New Roman"/>
          <w:sz w:val="24"/>
          <w:szCs w:val="24"/>
        </w:rPr>
        <w:t xml:space="preserve">is well aware of the </w:t>
      </w:r>
      <w:r w:rsidR="00CE5B89" w:rsidRPr="00CE5B89">
        <w:rPr>
          <w:rFonts w:ascii="Times New Roman" w:hAnsi="Times New Roman" w:cs="Times New Roman"/>
          <w:sz w:val="24"/>
          <w:szCs w:val="24"/>
        </w:rPr>
        <w:t>Staff-</w:t>
      </w:r>
      <w:r w:rsidR="00F674F7" w:rsidRPr="00CE5B89">
        <w:rPr>
          <w:rFonts w:ascii="Times New Roman" w:hAnsi="Times New Roman" w:cs="Times New Roman"/>
          <w:sz w:val="24"/>
          <w:szCs w:val="24"/>
        </w:rPr>
        <w:t xml:space="preserve">cited </w:t>
      </w:r>
      <w:r w:rsidR="00DD2273" w:rsidRPr="00CE5B89">
        <w:rPr>
          <w:rFonts w:ascii="Times New Roman" w:hAnsi="Times New Roman" w:cs="Times New Roman"/>
          <w:sz w:val="24"/>
          <w:szCs w:val="24"/>
        </w:rPr>
        <w:t>burden assessed under RCW 81.04.130</w:t>
      </w:r>
      <w:r w:rsidR="00CE5B89" w:rsidRPr="00CE5B89">
        <w:rPr>
          <w:rFonts w:ascii="Times New Roman" w:hAnsi="Times New Roman" w:cs="Times New Roman"/>
          <w:sz w:val="24"/>
          <w:szCs w:val="24"/>
        </w:rPr>
        <w:t xml:space="preserve"> and WAC 480-07-540, </w:t>
      </w:r>
      <w:r w:rsidR="00DD2273" w:rsidRPr="00CE5B89">
        <w:rPr>
          <w:rFonts w:ascii="Times New Roman" w:hAnsi="Times New Roman" w:cs="Times New Roman"/>
          <w:sz w:val="24"/>
          <w:szCs w:val="24"/>
        </w:rPr>
        <w:t xml:space="preserve">and </w:t>
      </w:r>
      <w:r w:rsidR="001F34DF" w:rsidRPr="00CE5B89">
        <w:rPr>
          <w:rFonts w:ascii="Times New Roman" w:hAnsi="Times New Roman" w:cs="Times New Roman"/>
          <w:sz w:val="24"/>
          <w:szCs w:val="24"/>
        </w:rPr>
        <w:t>does not overlook, minimize or obfuscate that obligation</w:t>
      </w:r>
      <w:r w:rsidR="00DD2273" w:rsidRPr="00CE5B89">
        <w:rPr>
          <w:rFonts w:ascii="Times New Roman" w:hAnsi="Times New Roman" w:cs="Times New Roman"/>
          <w:sz w:val="24"/>
          <w:szCs w:val="24"/>
        </w:rPr>
        <w:t xml:space="preserve">.  Here, </w:t>
      </w:r>
      <w:r w:rsidR="00F92A24">
        <w:rPr>
          <w:rFonts w:ascii="Times New Roman" w:hAnsi="Times New Roman" w:cs="Times New Roman"/>
          <w:sz w:val="24"/>
          <w:szCs w:val="24"/>
        </w:rPr>
        <w:t xml:space="preserve">however, recall </w:t>
      </w:r>
      <w:r w:rsidR="00DD2273" w:rsidRPr="00CE5B89">
        <w:rPr>
          <w:rFonts w:ascii="Times New Roman" w:hAnsi="Times New Roman" w:cs="Times New Roman"/>
          <w:sz w:val="24"/>
          <w:szCs w:val="24"/>
        </w:rPr>
        <w:t xml:space="preserve">we are </w:t>
      </w:r>
      <w:r w:rsidR="003A4751">
        <w:rPr>
          <w:rFonts w:ascii="Times New Roman" w:hAnsi="Times New Roman" w:cs="Times New Roman"/>
          <w:sz w:val="24"/>
          <w:szCs w:val="24"/>
        </w:rPr>
        <w:t xml:space="preserve">still </w:t>
      </w:r>
      <w:r w:rsidR="00DD2273" w:rsidRPr="00CE5B89">
        <w:rPr>
          <w:rFonts w:ascii="Times New Roman" w:hAnsi="Times New Roman" w:cs="Times New Roman"/>
          <w:sz w:val="24"/>
          <w:szCs w:val="24"/>
        </w:rPr>
        <w:t xml:space="preserve">at a </w:t>
      </w:r>
      <w:r w:rsidR="003A4751">
        <w:rPr>
          <w:rFonts w:ascii="Times New Roman" w:hAnsi="Times New Roman" w:cs="Times New Roman"/>
          <w:sz w:val="24"/>
          <w:szCs w:val="24"/>
        </w:rPr>
        <w:t xml:space="preserve">relatively </w:t>
      </w:r>
      <w:r w:rsidR="00DD2273" w:rsidRPr="00CE5B89">
        <w:rPr>
          <w:rFonts w:ascii="Times New Roman" w:hAnsi="Times New Roman" w:cs="Times New Roman"/>
          <w:sz w:val="24"/>
          <w:szCs w:val="24"/>
        </w:rPr>
        <w:t>preliminary stage of the proceeding where the Company has incorporated by reference its original filed rate case and articulated the issues that it understands are the reason for this matter proceeding to hearing.</w:t>
      </w:r>
      <w:r w:rsidR="00FA1AB2" w:rsidRPr="00FA1AB2">
        <w:rPr>
          <w:rStyle w:val="FootnoteReference"/>
          <w:rFonts w:ascii="Times New Roman" w:hAnsi="Times New Roman" w:cs="Times New Roman"/>
          <w:sz w:val="24"/>
          <w:szCs w:val="24"/>
        </w:rPr>
        <w:t xml:space="preserve"> </w:t>
      </w:r>
      <w:r w:rsidR="00FA1AB2">
        <w:rPr>
          <w:rStyle w:val="FootnoteReference"/>
          <w:rFonts w:ascii="Times New Roman" w:hAnsi="Times New Roman" w:cs="Times New Roman"/>
          <w:sz w:val="24"/>
          <w:szCs w:val="24"/>
        </w:rPr>
        <w:footnoteReference w:id="9"/>
      </w:r>
      <w:r w:rsidR="00DD2273" w:rsidRPr="00CE5B89">
        <w:rPr>
          <w:rFonts w:ascii="Times New Roman" w:hAnsi="Times New Roman" w:cs="Times New Roman"/>
          <w:sz w:val="24"/>
          <w:szCs w:val="24"/>
        </w:rPr>
        <w:t xml:space="preserve">  In so doing, </w:t>
      </w:r>
      <w:r w:rsidR="00CE5B89" w:rsidRPr="00CE5B89">
        <w:rPr>
          <w:rFonts w:ascii="Times New Roman" w:hAnsi="Times New Roman" w:cs="Times New Roman"/>
          <w:sz w:val="24"/>
          <w:szCs w:val="24"/>
        </w:rPr>
        <w:t xml:space="preserve">again, </w:t>
      </w:r>
      <w:r w:rsidR="00DD2273" w:rsidRPr="00CE5B89">
        <w:rPr>
          <w:rFonts w:ascii="Times New Roman" w:hAnsi="Times New Roman" w:cs="Times New Roman"/>
          <w:sz w:val="24"/>
          <w:szCs w:val="24"/>
        </w:rPr>
        <w:t xml:space="preserve">it never assumed other issues could not be raised by the Staff, nor is it asking the Staff to respond to unarticulated accounting issues.  </w:t>
      </w:r>
      <w:r w:rsidR="008A7301" w:rsidRPr="00CE5B89">
        <w:rPr>
          <w:rFonts w:ascii="Times New Roman" w:hAnsi="Times New Roman" w:cs="Times New Roman"/>
          <w:sz w:val="24"/>
          <w:szCs w:val="24"/>
        </w:rPr>
        <w:t>T</w:t>
      </w:r>
      <w:r w:rsidR="00DD2273" w:rsidRPr="00CE5B89">
        <w:rPr>
          <w:rFonts w:ascii="Times New Roman" w:hAnsi="Times New Roman" w:cs="Times New Roman"/>
          <w:sz w:val="24"/>
          <w:szCs w:val="24"/>
        </w:rPr>
        <w:t>he</w:t>
      </w:r>
      <w:r w:rsidR="008A7301">
        <w:rPr>
          <w:rFonts w:ascii="Times New Roman" w:hAnsi="Times New Roman" w:cs="Times New Roman"/>
          <w:sz w:val="24"/>
          <w:szCs w:val="24"/>
        </w:rPr>
        <w:t xml:space="preserve"> </w:t>
      </w:r>
      <w:r w:rsidR="00DD2273" w:rsidRPr="00CE5B89">
        <w:rPr>
          <w:rFonts w:ascii="Times New Roman" w:hAnsi="Times New Roman" w:cs="Times New Roman"/>
          <w:sz w:val="24"/>
          <w:szCs w:val="24"/>
        </w:rPr>
        <w:t xml:space="preserve">rate case the Company filed is designated as an exhibit of record, the Commission Staff has </w:t>
      </w:r>
      <w:r w:rsidR="00CE5B89" w:rsidRPr="00CE5B89">
        <w:rPr>
          <w:rFonts w:ascii="Times New Roman" w:hAnsi="Times New Roman" w:cs="Times New Roman"/>
          <w:sz w:val="24"/>
          <w:szCs w:val="24"/>
        </w:rPr>
        <w:t xml:space="preserve">previously </w:t>
      </w:r>
      <w:r w:rsidR="00DD2273" w:rsidRPr="00CE5B89">
        <w:rPr>
          <w:rFonts w:ascii="Times New Roman" w:hAnsi="Times New Roman" w:cs="Times New Roman"/>
          <w:sz w:val="24"/>
          <w:szCs w:val="24"/>
        </w:rPr>
        <w:t xml:space="preserve">fully </w:t>
      </w:r>
      <w:r w:rsidR="00CE5B89" w:rsidRPr="00CE5B89">
        <w:rPr>
          <w:rFonts w:ascii="Times New Roman" w:hAnsi="Times New Roman" w:cs="Times New Roman"/>
          <w:sz w:val="24"/>
          <w:szCs w:val="24"/>
        </w:rPr>
        <w:t xml:space="preserve">reviewed </w:t>
      </w:r>
      <w:r w:rsidR="00DD2273" w:rsidRPr="00CE5B89">
        <w:rPr>
          <w:rFonts w:ascii="Times New Roman" w:hAnsi="Times New Roman" w:cs="Times New Roman"/>
          <w:sz w:val="24"/>
          <w:szCs w:val="24"/>
        </w:rPr>
        <w:t>that rate case</w:t>
      </w:r>
      <w:r w:rsidR="00F674F7" w:rsidRPr="00CE5B89">
        <w:rPr>
          <w:rFonts w:ascii="Times New Roman" w:hAnsi="Times New Roman" w:cs="Times New Roman"/>
          <w:sz w:val="24"/>
          <w:szCs w:val="24"/>
        </w:rPr>
        <w:t xml:space="preserve">, conducted extensive discovery thereon, </w:t>
      </w:r>
      <w:r w:rsidR="002D1072">
        <w:rPr>
          <w:rFonts w:ascii="Times New Roman" w:hAnsi="Times New Roman" w:cs="Times New Roman"/>
          <w:sz w:val="24"/>
          <w:szCs w:val="24"/>
        </w:rPr>
        <w:t xml:space="preserve">and the Company has put forth </w:t>
      </w:r>
      <w:r w:rsidR="00DD2273" w:rsidRPr="00CE5B89">
        <w:rPr>
          <w:rFonts w:ascii="Times New Roman" w:hAnsi="Times New Roman" w:cs="Times New Roman"/>
          <w:sz w:val="24"/>
          <w:szCs w:val="24"/>
        </w:rPr>
        <w:t xml:space="preserve">its understanding of the original rate case issues that </w:t>
      </w:r>
      <w:r w:rsidR="00CE5B89" w:rsidRPr="00CE5B89">
        <w:rPr>
          <w:rFonts w:ascii="Times New Roman" w:hAnsi="Times New Roman" w:cs="Times New Roman"/>
          <w:sz w:val="24"/>
          <w:szCs w:val="24"/>
        </w:rPr>
        <w:t xml:space="preserve">it believes </w:t>
      </w:r>
      <w:r w:rsidR="00CE5B89">
        <w:rPr>
          <w:rFonts w:ascii="Times New Roman" w:hAnsi="Times New Roman" w:cs="Times New Roman"/>
          <w:sz w:val="24"/>
          <w:szCs w:val="24"/>
        </w:rPr>
        <w:t>continue to divide the parties.</w:t>
      </w:r>
    </w:p>
    <w:p w:rsidR="00DD2273" w:rsidRDefault="00DD2273" w:rsidP="005E58E3">
      <w:pPr>
        <w:pStyle w:val="ListParagraph"/>
        <w:numPr>
          <w:ilvl w:val="0"/>
          <w:numId w:val="1"/>
        </w:numPr>
        <w:spacing w:line="480" w:lineRule="auto"/>
        <w:ind w:left="0" w:hanging="720"/>
        <w:rPr>
          <w:rFonts w:ascii="Times New Roman" w:hAnsi="Times New Roman" w:cs="Times New Roman"/>
          <w:sz w:val="24"/>
          <w:szCs w:val="24"/>
        </w:rPr>
      </w:pPr>
      <w:r w:rsidRPr="00CE5B89">
        <w:rPr>
          <w:rFonts w:ascii="Times New Roman" w:hAnsi="Times New Roman" w:cs="Times New Roman"/>
          <w:sz w:val="24"/>
          <w:szCs w:val="24"/>
        </w:rPr>
        <w:t xml:space="preserve">The Staff now appears to want </w:t>
      </w:r>
      <w:r w:rsidR="003A4751">
        <w:rPr>
          <w:rFonts w:ascii="Times New Roman" w:hAnsi="Times New Roman" w:cs="Times New Roman"/>
          <w:sz w:val="24"/>
          <w:szCs w:val="24"/>
        </w:rPr>
        <w:t xml:space="preserve">to force </w:t>
      </w:r>
      <w:r w:rsidRPr="00CE5B89">
        <w:rPr>
          <w:rFonts w:ascii="Times New Roman" w:hAnsi="Times New Roman" w:cs="Times New Roman"/>
          <w:sz w:val="24"/>
          <w:szCs w:val="24"/>
        </w:rPr>
        <w:t>the Company and its</w:t>
      </w:r>
      <w:r w:rsidR="00F672DC">
        <w:rPr>
          <w:rFonts w:ascii="Times New Roman" w:hAnsi="Times New Roman" w:cs="Times New Roman"/>
          <w:sz w:val="24"/>
          <w:szCs w:val="24"/>
        </w:rPr>
        <w:t xml:space="preserve"> customers to incur substantially more cost </w:t>
      </w:r>
      <w:r w:rsidRPr="00CE5B89">
        <w:rPr>
          <w:rFonts w:ascii="Times New Roman" w:hAnsi="Times New Roman" w:cs="Times New Roman"/>
          <w:sz w:val="24"/>
          <w:szCs w:val="24"/>
        </w:rPr>
        <w:t xml:space="preserve">and expense </w:t>
      </w:r>
      <w:r w:rsidR="00D76200">
        <w:rPr>
          <w:rFonts w:ascii="Times New Roman" w:hAnsi="Times New Roman" w:cs="Times New Roman"/>
          <w:sz w:val="24"/>
          <w:szCs w:val="24"/>
        </w:rPr>
        <w:t xml:space="preserve">simply </w:t>
      </w:r>
      <w:r w:rsidRPr="00CE5B89">
        <w:rPr>
          <w:rFonts w:ascii="Times New Roman" w:hAnsi="Times New Roman" w:cs="Times New Roman"/>
          <w:sz w:val="24"/>
          <w:szCs w:val="24"/>
        </w:rPr>
        <w:t xml:space="preserve">to lay </w:t>
      </w:r>
      <w:r w:rsidR="00F672DC">
        <w:rPr>
          <w:rFonts w:ascii="Times New Roman" w:hAnsi="Times New Roman" w:cs="Times New Roman"/>
          <w:sz w:val="24"/>
          <w:szCs w:val="24"/>
        </w:rPr>
        <w:t xml:space="preserve">additional written </w:t>
      </w:r>
      <w:r w:rsidRPr="00CE5B89">
        <w:rPr>
          <w:rFonts w:ascii="Times New Roman" w:hAnsi="Times New Roman" w:cs="Times New Roman"/>
          <w:sz w:val="24"/>
          <w:szCs w:val="24"/>
        </w:rPr>
        <w:t xml:space="preserve">foundation on those threshold issues which the Company believes it </w:t>
      </w:r>
      <w:r w:rsidR="00CE5B89">
        <w:rPr>
          <w:rFonts w:ascii="Times New Roman" w:hAnsi="Times New Roman" w:cs="Times New Roman"/>
          <w:sz w:val="24"/>
          <w:szCs w:val="24"/>
        </w:rPr>
        <w:t xml:space="preserve">preserves </w:t>
      </w:r>
      <w:r w:rsidRPr="00CE5B89">
        <w:rPr>
          <w:rFonts w:ascii="Times New Roman" w:hAnsi="Times New Roman" w:cs="Times New Roman"/>
          <w:sz w:val="24"/>
          <w:szCs w:val="24"/>
        </w:rPr>
        <w:t xml:space="preserve">the right to do at hearing on this matter and </w:t>
      </w:r>
      <w:r w:rsidR="008A7301">
        <w:rPr>
          <w:rFonts w:ascii="Times New Roman" w:hAnsi="Times New Roman" w:cs="Times New Roman"/>
          <w:sz w:val="24"/>
          <w:szCs w:val="24"/>
        </w:rPr>
        <w:t xml:space="preserve">from </w:t>
      </w:r>
      <w:r w:rsidRPr="00CE5B89">
        <w:rPr>
          <w:rFonts w:ascii="Times New Roman" w:hAnsi="Times New Roman" w:cs="Times New Roman"/>
          <w:sz w:val="24"/>
          <w:szCs w:val="24"/>
        </w:rPr>
        <w:t xml:space="preserve">which </w:t>
      </w:r>
      <w:r w:rsidR="00CE5B89">
        <w:rPr>
          <w:rFonts w:ascii="Times New Roman" w:hAnsi="Times New Roman" w:cs="Times New Roman"/>
          <w:sz w:val="24"/>
          <w:szCs w:val="24"/>
        </w:rPr>
        <w:t xml:space="preserve">it </w:t>
      </w:r>
      <w:r w:rsidRPr="00CE5B89">
        <w:rPr>
          <w:rFonts w:ascii="Times New Roman" w:hAnsi="Times New Roman" w:cs="Times New Roman"/>
          <w:sz w:val="24"/>
          <w:szCs w:val="24"/>
        </w:rPr>
        <w:t xml:space="preserve">is not </w:t>
      </w:r>
      <w:r w:rsidR="001F34DF" w:rsidRPr="00CE5B89">
        <w:rPr>
          <w:rFonts w:ascii="Times New Roman" w:hAnsi="Times New Roman" w:cs="Times New Roman"/>
          <w:sz w:val="24"/>
          <w:szCs w:val="24"/>
        </w:rPr>
        <w:t xml:space="preserve">precluded </w:t>
      </w:r>
      <w:r w:rsidRPr="00CE5B89">
        <w:rPr>
          <w:rFonts w:ascii="Times New Roman" w:hAnsi="Times New Roman" w:cs="Times New Roman"/>
          <w:sz w:val="24"/>
          <w:szCs w:val="24"/>
        </w:rPr>
        <w:t xml:space="preserve">by current Commission rules </w:t>
      </w:r>
      <w:r w:rsidR="00F92A24">
        <w:rPr>
          <w:rFonts w:ascii="Times New Roman" w:hAnsi="Times New Roman" w:cs="Times New Roman"/>
          <w:sz w:val="24"/>
          <w:szCs w:val="24"/>
        </w:rPr>
        <w:t xml:space="preserve">governing </w:t>
      </w:r>
      <w:r w:rsidRPr="00CE5B89">
        <w:rPr>
          <w:rFonts w:ascii="Times New Roman" w:hAnsi="Times New Roman" w:cs="Times New Roman"/>
          <w:sz w:val="24"/>
          <w:szCs w:val="24"/>
        </w:rPr>
        <w:t>contested solid waste rate cases.</w:t>
      </w:r>
    </w:p>
    <w:p w:rsidR="00CE5B89" w:rsidRPr="00CE5B89" w:rsidRDefault="00CE5B89" w:rsidP="00CE5B89">
      <w:pPr>
        <w:pStyle w:val="ListParagraph"/>
        <w:spacing w:line="480" w:lineRule="auto"/>
        <w:ind w:left="0"/>
        <w:rPr>
          <w:rFonts w:ascii="Times New Roman" w:hAnsi="Times New Roman" w:cs="Times New Roman"/>
          <w:b/>
          <w:sz w:val="24"/>
          <w:szCs w:val="24"/>
        </w:rPr>
      </w:pPr>
      <w:r w:rsidRPr="00CE5B89">
        <w:rPr>
          <w:rFonts w:ascii="Times New Roman" w:hAnsi="Times New Roman" w:cs="Times New Roman"/>
          <w:b/>
          <w:sz w:val="24"/>
          <w:szCs w:val="24"/>
        </w:rPr>
        <w:t>C.</w:t>
      </w:r>
      <w:r w:rsidRPr="00CE5B89">
        <w:rPr>
          <w:rFonts w:ascii="Times New Roman" w:hAnsi="Times New Roman" w:cs="Times New Roman"/>
          <w:b/>
          <w:sz w:val="24"/>
          <w:szCs w:val="24"/>
        </w:rPr>
        <w:tab/>
        <w:t>The Remedy Staff Seeks Here is Premature, Unwarranted and Wasteful.</w:t>
      </w:r>
    </w:p>
    <w:p w:rsidR="00CE5B89" w:rsidRDefault="0010565F" w:rsidP="005E58E3">
      <w:pPr>
        <w:pStyle w:val="ListParagraph"/>
        <w:numPr>
          <w:ilvl w:val="0"/>
          <w:numId w:val="1"/>
        </w:numPr>
        <w:spacing w:line="480" w:lineRule="auto"/>
        <w:ind w:left="0" w:hanging="720"/>
        <w:rPr>
          <w:rFonts w:ascii="Times New Roman" w:hAnsi="Times New Roman" w:cs="Times New Roman"/>
          <w:sz w:val="24"/>
          <w:szCs w:val="24"/>
        </w:rPr>
      </w:pPr>
      <w:r>
        <w:rPr>
          <w:rFonts w:ascii="Times New Roman" w:hAnsi="Times New Roman" w:cs="Times New Roman"/>
          <w:sz w:val="24"/>
          <w:szCs w:val="24"/>
        </w:rPr>
        <w:t>Finally, some practical focus is called for on the dismissal without prejudice remedy Staff here seeks.  Indeed, what would a dismissal under WAC 480-07-3</w:t>
      </w:r>
      <w:r w:rsidR="002D1072">
        <w:rPr>
          <w:rFonts w:ascii="Times New Roman" w:hAnsi="Times New Roman" w:cs="Times New Roman"/>
          <w:sz w:val="24"/>
          <w:szCs w:val="24"/>
        </w:rPr>
        <w:t xml:space="preserve">80(1) accomplish?  Objectively:  </w:t>
      </w:r>
      <w:r>
        <w:rPr>
          <w:rFonts w:ascii="Times New Roman" w:hAnsi="Times New Roman" w:cs="Times New Roman"/>
          <w:sz w:val="24"/>
          <w:szCs w:val="24"/>
        </w:rPr>
        <w:t>further time delay</w:t>
      </w:r>
      <w:r w:rsidR="00025C19">
        <w:rPr>
          <w:rFonts w:ascii="Times New Roman" w:hAnsi="Times New Roman" w:cs="Times New Roman"/>
          <w:sz w:val="24"/>
          <w:szCs w:val="24"/>
        </w:rPr>
        <w:t xml:space="preserve"> and a refiling</w:t>
      </w:r>
      <w:r>
        <w:rPr>
          <w:rFonts w:ascii="Times New Roman" w:hAnsi="Times New Roman" w:cs="Times New Roman"/>
          <w:sz w:val="24"/>
          <w:szCs w:val="24"/>
        </w:rPr>
        <w:t xml:space="preserve">, </w:t>
      </w:r>
      <w:r w:rsidR="003A4751">
        <w:rPr>
          <w:rFonts w:ascii="Times New Roman" w:hAnsi="Times New Roman" w:cs="Times New Roman"/>
          <w:sz w:val="24"/>
          <w:szCs w:val="24"/>
        </w:rPr>
        <w:t xml:space="preserve">renotice of customers, </w:t>
      </w:r>
      <w:r>
        <w:rPr>
          <w:rFonts w:ascii="Times New Roman" w:hAnsi="Times New Roman" w:cs="Times New Roman"/>
          <w:sz w:val="24"/>
          <w:szCs w:val="24"/>
        </w:rPr>
        <w:t xml:space="preserve">increasing </w:t>
      </w:r>
      <w:r w:rsidR="00CE5B89">
        <w:rPr>
          <w:rFonts w:ascii="Times New Roman" w:hAnsi="Times New Roman" w:cs="Times New Roman"/>
          <w:sz w:val="24"/>
          <w:szCs w:val="24"/>
        </w:rPr>
        <w:t xml:space="preserve">the ongoing </w:t>
      </w:r>
      <w:r>
        <w:rPr>
          <w:rFonts w:ascii="Times New Roman" w:hAnsi="Times New Roman" w:cs="Times New Roman"/>
          <w:sz w:val="24"/>
          <w:szCs w:val="24"/>
        </w:rPr>
        <w:t>Company revenue requirement deficiency, duplication of resources for Company, Staff</w:t>
      </w:r>
      <w:r w:rsidR="00F92A24">
        <w:rPr>
          <w:rFonts w:ascii="Times New Roman" w:hAnsi="Times New Roman" w:cs="Times New Roman"/>
          <w:sz w:val="24"/>
          <w:szCs w:val="24"/>
        </w:rPr>
        <w:t>, the Administrative Law Division</w:t>
      </w:r>
      <w:r>
        <w:rPr>
          <w:rFonts w:ascii="Times New Roman" w:hAnsi="Times New Roman" w:cs="Times New Roman"/>
          <w:sz w:val="24"/>
          <w:szCs w:val="24"/>
        </w:rPr>
        <w:t xml:space="preserve"> and Commissioners alike and, in turn, ever higher rate case costs potentially b</w:t>
      </w:r>
      <w:r w:rsidR="00CE5B89">
        <w:rPr>
          <w:rFonts w:ascii="Times New Roman" w:hAnsi="Times New Roman" w:cs="Times New Roman"/>
          <w:sz w:val="24"/>
          <w:szCs w:val="24"/>
        </w:rPr>
        <w:t xml:space="preserve">orne </w:t>
      </w:r>
      <w:r>
        <w:rPr>
          <w:rFonts w:ascii="Times New Roman" w:hAnsi="Times New Roman" w:cs="Times New Roman"/>
          <w:sz w:val="24"/>
          <w:szCs w:val="24"/>
        </w:rPr>
        <w:t>by the Company’s customers.</w:t>
      </w:r>
    </w:p>
    <w:p w:rsidR="00F672DC" w:rsidRPr="00F672DC" w:rsidRDefault="00F672DC" w:rsidP="00F672DC">
      <w:pPr>
        <w:pStyle w:val="ListParagraph"/>
        <w:spacing w:line="480" w:lineRule="auto"/>
        <w:ind w:left="0"/>
        <w:jc w:val="center"/>
        <w:rPr>
          <w:rFonts w:ascii="Times New Roman" w:hAnsi="Times New Roman" w:cs="Times New Roman"/>
          <w:b/>
          <w:sz w:val="24"/>
          <w:szCs w:val="24"/>
        </w:rPr>
      </w:pPr>
      <w:r w:rsidRPr="00F672DC">
        <w:rPr>
          <w:rFonts w:ascii="Times New Roman" w:hAnsi="Times New Roman" w:cs="Times New Roman"/>
          <w:b/>
          <w:sz w:val="24"/>
          <w:szCs w:val="24"/>
        </w:rPr>
        <w:t>V.  CONCLUSION</w:t>
      </w:r>
    </w:p>
    <w:p w:rsidR="008A7301" w:rsidRDefault="0010565F" w:rsidP="005E58E3">
      <w:pPr>
        <w:pStyle w:val="ListParagraph"/>
        <w:numPr>
          <w:ilvl w:val="0"/>
          <w:numId w:val="1"/>
        </w:numPr>
        <w:spacing w:line="480" w:lineRule="auto"/>
        <w:ind w:left="0" w:hanging="720"/>
        <w:rPr>
          <w:rFonts w:ascii="Times New Roman" w:hAnsi="Times New Roman" w:cs="Times New Roman"/>
          <w:sz w:val="24"/>
          <w:szCs w:val="24"/>
        </w:rPr>
      </w:pPr>
      <w:r>
        <w:rPr>
          <w:rFonts w:ascii="Times New Roman" w:hAnsi="Times New Roman" w:cs="Times New Roman"/>
          <w:sz w:val="24"/>
          <w:szCs w:val="24"/>
        </w:rPr>
        <w:t xml:space="preserve">Staff’s attempt to put a contested “square peg” solid waste rate case in the “round hole” of </w:t>
      </w:r>
      <w:r w:rsidR="00CE5B89">
        <w:rPr>
          <w:rFonts w:ascii="Times New Roman" w:hAnsi="Times New Roman" w:cs="Times New Roman"/>
          <w:sz w:val="24"/>
          <w:szCs w:val="24"/>
        </w:rPr>
        <w:t xml:space="preserve">energy, </w:t>
      </w:r>
      <w:r>
        <w:rPr>
          <w:rFonts w:ascii="Times New Roman" w:hAnsi="Times New Roman" w:cs="Times New Roman"/>
          <w:sz w:val="24"/>
          <w:szCs w:val="24"/>
        </w:rPr>
        <w:t xml:space="preserve">telecom and pipeline </w:t>
      </w:r>
      <w:r w:rsidR="00CE5B89">
        <w:rPr>
          <w:rFonts w:ascii="Times New Roman" w:hAnsi="Times New Roman" w:cs="Times New Roman"/>
          <w:sz w:val="24"/>
          <w:szCs w:val="24"/>
        </w:rPr>
        <w:t xml:space="preserve">prefiled case formats </w:t>
      </w:r>
      <w:r>
        <w:rPr>
          <w:rFonts w:ascii="Times New Roman" w:hAnsi="Times New Roman" w:cs="Times New Roman"/>
          <w:sz w:val="24"/>
          <w:szCs w:val="24"/>
        </w:rPr>
        <w:t xml:space="preserve">fails to acknowledge any of the extensive rate case review by the Commission Staff to date, ignores the identification of the Company’s originally filed case </w:t>
      </w:r>
      <w:r w:rsidR="00CE5B89">
        <w:rPr>
          <w:rFonts w:ascii="Times New Roman" w:hAnsi="Times New Roman" w:cs="Times New Roman"/>
          <w:sz w:val="24"/>
          <w:szCs w:val="24"/>
        </w:rPr>
        <w:t xml:space="preserve">in its February, 2014 filing </w:t>
      </w:r>
      <w:r>
        <w:rPr>
          <w:rFonts w:ascii="Times New Roman" w:hAnsi="Times New Roman" w:cs="Times New Roman"/>
          <w:sz w:val="24"/>
          <w:szCs w:val="24"/>
        </w:rPr>
        <w:t xml:space="preserve">and would sacrifice on the altar of written testimony sponsorship the </w:t>
      </w:r>
      <w:r w:rsidR="00025C19">
        <w:rPr>
          <w:rFonts w:ascii="Times New Roman" w:hAnsi="Times New Roman" w:cs="Times New Roman"/>
          <w:sz w:val="24"/>
          <w:szCs w:val="24"/>
        </w:rPr>
        <w:t xml:space="preserve">considerable expense </w:t>
      </w:r>
      <w:r>
        <w:rPr>
          <w:rFonts w:ascii="Times New Roman" w:hAnsi="Times New Roman" w:cs="Times New Roman"/>
          <w:sz w:val="24"/>
          <w:szCs w:val="24"/>
        </w:rPr>
        <w:t xml:space="preserve">of all parties’ time and efforts </w:t>
      </w:r>
      <w:r w:rsidR="00F93B88">
        <w:rPr>
          <w:rFonts w:ascii="Times New Roman" w:hAnsi="Times New Roman" w:cs="Times New Roman"/>
          <w:sz w:val="24"/>
          <w:szCs w:val="24"/>
        </w:rPr>
        <w:t xml:space="preserve">in the case </w:t>
      </w:r>
      <w:r>
        <w:rPr>
          <w:rFonts w:ascii="Times New Roman" w:hAnsi="Times New Roman" w:cs="Times New Roman"/>
          <w:sz w:val="24"/>
          <w:szCs w:val="24"/>
        </w:rPr>
        <w:t xml:space="preserve">to date.  If Staff felt disadvantaged by the Company’s presentation </w:t>
      </w:r>
      <w:r w:rsidR="008A7301">
        <w:rPr>
          <w:rFonts w:ascii="Times New Roman" w:hAnsi="Times New Roman" w:cs="Times New Roman"/>
          <w:sz w:val="24"/>
          <w:szCs w:val="24"/>
        </w:rPr>
        <w:t xml:space="preserve">format </w:t>
      </w:r>
      <w:r>
        <w:rPr>
          <w:rFonts w:ascii="Times New Roman" w:hAnsi="Times New Roman" w:cs="Times New Roman"/>
          <w:sz w:val="24"/>
          <w:szCs w:val="24"/>
        </w:rPr>
        <w:t xml:space="preserve">it had a number of alternative remedies such as a motion for more definite statement, a request for a reconvened prehearing or status conference before the Administrative Law Judge, </w:t>
      </w:r>
      <w:r w:rsidR="00F92A24">
        <w:rPr>
          <w:rFonts w:ascii="Times New Roman" w:hAnsi="Times New Roman" w:cs="Times New Roman"/>
          <w:sz w:val="24"/>
          <w:szCs w:val="24"/>
        </w:rPr>
        <w:t xml:space="preserve">propounding even </w:t>
      </w:r>
      <w:r w:rsidR="002D1072">
        <w:rPr>
          <w:rFonts w:ascii="Times New Roman" w:hAnsi="Times New Roman" w:cs="Times New Roman"/>
          <w:sz w:val="24"/>
          <w:szCs w:val="24"/>
        </w:rPr>
        <w:t xml:space="preserve">more </w:t>
      </w:r>
      <w:r>
        <w:rPr>
          <w:rFonts w:ascii="Times New Roman" w:hAnsi="Times New Roman" w:cs="Times New Roman"/>
          <w:sz w:val="24"/>
          <w:szCs w:val="24"/>
        </w:rPr>
        <w:t>data requests seeking expansion and clarification</w:t>
      </w:r>
      <w:r w:rsidR="002D1072">
        <w:rPr>
          <w:rFonts w:ascii="Times New Roman" w:hAnsi="Times New Roman" w:cs="Times New Roman"/>
          <w:sz w:val="24"/>
          <w:szCs w:val="24"/>
        </w:rPr>
        <w:t xml:space="preserve"> of the Company’s prefiled case, </w:t>
      </w:r>
      <w:r>
        <w:rPr>
          <w:rFonts w:ascii="Times New Roman" w:hAnsi="Times New Roman" w:cs="Times New Roman"/>
          <w:sz w:val="24"/>
          <w:szCs w:val="24"/>
        </w:rPr>
        <w:t xml:space="preserve">etc.  </w:t>
      </w:r>
      <w:r w:rsidR="00F93B88">
        <w:rPr>
          <w:rFonts w:ascii="Times New Roman" w:hAnsi="Times New Roman" w:cs="Times New Roman"/>
          <w:sz w:val="24"/>
          <w:szCs w:val="24"/>
        </w:rPr>
        <w:t>I</w:t>
      </w:r>
      <w:r>
        <w:rPr>
          <w:rFonts w:ascii="Times New Roman" w:hAnsi="Times New Roman" w:cs="Times New Roman"/>
          <w:sz w:val="24"/>
          <w:szCs w:val="24"/>
        </w:rPr>
        <w:t xml:space="preserve">nstead, </w:t>
      </w:r>
      <w:r w:rsidR="00025C19">
        <w:rPr>
          <w:rFonts w:ascii="Times New Roman" w:hAnsi="Times New Roman" w:cs="Times New Roman"/>
          <w:sz w:val="24"/>
          <w:szCs w:val="24"/>
        </w:rPr>
        <w:t xml:space="preserve">relying on </w:t>
      </w:r>
      <w:r>
        <w:rPr>
          <w:rFonts w:ascii="Times New Roman" w:hAnsi="Times New Roman" w:cs="Times New Roman"/>
          <w:sz w:val="24"/>
          <w:szCs w:val="24"/>
        </w:rPr>
        <w:t>its subjective reading of burden of proof requirements under Commission statute and rule, it brings this dispositive motion under an analogous general rate case argument for Title 80 companies asserting that the Company’s failure to testimonially encapsulate all issues raised in its September 23 general rate case renders the Company</w:t>
      </w:r>
      <w:r w:rsidR="00F93B88">
        <w:rPr>
          <w:rFonts w:ascii="Times New Roman" w:hAnsi="Times New Roman" w:cs="Times New Roman"/>
          <w:sz w:val="24"/>
          <w:szCs w:val="24"/>
        </w:rPr>
        <w:t xml:space="preserve">’s case in chief before hearing fully </w:t>
      </w:r>
      <w:r w:rsidR="008A7301">
        <w:rPr>
          <w:rFonts w:ascii="Times New Roman" w:hAnsi="Times New Roman" w:cs="Times New Roman"/>
          <w:sz w:val="24"/>
          <w:szCs w:val="24"/>
        </w:rPr>
        <w:t>dismissible.</w:t>
      </w:r>
    </w:p>
    <w:p w:rsidR="00DD2273" w:rsidRDefault="0010565F" w:rsidP="005E58E3">
      <w:pPr>
        <w:pStyle w:val="ListParagraph"/>
        <w:numPr>
          <w:ilvl w:val="0"/>
          <w:numId w:val="1"/>
        </w:numPr>
        <w:spacing w:line="480" w:lineRule="auto"/>
        <w:ind w:left="0" w:hanging="720"/>
        <w:rPr>
          <w:rFonts w:ascii="Times New Roman" w:hAnsi="Times New Roman" w:cs="Times New Roman"/>
          <w:sz w:val="24"/>
          <w:szCs w:val="24"/>
        </w:rPr>
      </w:pPr>
      <w:r>
        <w:rPr>
          <w:rFonts w:ascii="Times New Roman" w:hAnsi="Times New Roman" w:cs="Times New Roman"/>
          <w:sz w:val="24"/>
          <w:szCs w:val="24"/>
        </w:rPr>
        <w:t xml:space="preserve">The Company asks that its administrative due process rights at this initial </w:t>
      </w:r>
      <w:r w:rsidR="00025C19">
        <w:rPr>
          <w:rFonts w:ascii="Times New Roman" w:hAnsi="Times New Roman" w:cs="Times New Roman"/>
          <w:sz w:val="24"/>
          <w:szCs w:val="24"/>
        </w:rPr>
        <w:t xml:space="preserve">but chronologically advanced </w:t>
      </w:r>
      <w:r>
        <w:rPr>
          <w:rFonts w:ascii="Times New Roman" w:hAnsi="Times New Roman" w:cs="Times New Roman"/>
          <w:sz w:val="24"/>
          <w:szCs w:val="24"/>
        </w:rPr>
        <w:t xml:space="preserve">stage not be summarily curtailed by granting </w:t>
      </w:r>
      <w:r w:rsidR="00F93B88">
        <w:rPr>
          <w:rFonts w:ascii="Times New Roman" w:hAnsi="Times New Roman" w:cs="Times New Roman"/>
          <w:sz w:val="24"/>
          <w:szCs w:val="24"/>
        </w:rPr>
        <w:t xml:space="preserve">the </w:t>
      </w:r>
      <w:r>
        <w:rPr>
          <w:rFonts w:ascii="Times New Roman" w:hAnsi="Times New Roman" w:cs="Times New Roman"/>
          <w:sz w:val="24"/>
          <w:szCs w:val="24"/>
        </w:rPr>
        <w:t xml:space="preserve">Staff </w:t>
      </w:r>
      <w:r w:rsidR="00F93B88">
        <w:rPr>
          <w:rFonts w:ascii="Times New Roman" w:hAnsi="Times New Roman" w:cs="Times New Roman"/>
          <w:sz w:val="24"/>
          <w:szCs w:val="24"/>
        </w:rPr>
        <w:t xml:space="preserve">Motion and that the parties be allowed to proceed to the administrative hearing on May 13, 2014 as </w:t>
      </w:r>
      <w:r w:rsidR="00F92A24">
        <w:rPr>
          <w:rFonts w:ascii="Times New Roman" w:hAnsi="Times New Roman" w:cs="Times New Roman"/>
          <w:sz w:val="24"/>
          <w:szCs w:val="24"/>
        </w:rPr>
        <w:t xml:space="preserve">originally </w:t>
      </w:r>
      <w:r w:rsidR="00F93B88">
        <w:rPr>
          <w:rFonts w:ascii="Times New Roman" w:hAnsi="Times New Roman" w:cs="Times New Roman"/>
          <w:sz w:val="24"/>
          <w:szCs w:val="24"/>
        </w:rPr>
        <w:t>scheduled.</w:t>
      </w:r>
    </w:p>
    <w:p w:rsidR="0010565F" w:rsidRDefault="0010565F" w:rsidP="0010565F">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 xml:space="preserve">DATED this </w:t>
      </w:r>
      <w:r w:rsidR="002E48D5">
        <w:rPr>
          <w:rFonts w:ascii="Times New Roman" w:hAnsi="Times New Roman" w:cs="Times New Roman"/>
          <w:sz w:val="24"/>
          <w:szCs w:val="24"/>
        </w:rPr>
        <w:t>10</w:t>
      </w:r>
      <w:r w:rsidR="002E48D5" w:rsidRPr="002E48D5">
        <w:rPr>
          <w:rFonts w:ascii="Times New Roman" w:hAnsi="Times New Roman" w:cs="Times New Roman"/>
          <w:sz w:val="24"/>
          <w:szCs w:val="24"/>
          <w:vertAlign w:val="superscript"/>
        </w:rPr>
        <w:t>th</w:t>
      </w:r>
      <w:r w:rsidR="002E48D5">
        <w:rPr>
          <w:rFonts w:ascii="Times New Roman" w:hAnsi="Times New Roman" w:cs="Times New Roman"/>
          <w:sz w:val="24"/>
          <w:szCs w:val="24"/>
        </w:rPr>
        <w:t xml:space="preserve"> </w:t>
      </w:r>
      <w:r>
        <w:rPr>
          <w:rFonts w:ascii="Times New Roman" w:hAnsi="Times New Roman" w:cs="Times New Roman"/>
          <w:sz w:val="24"/>
          <w:szCs w:val="24"/>
        </w:rPr>
        <w:t>day of March, 2014.</w:t>
      </w:r>
    </w:p>
    <w:p w:rsidR="00DD2273" w:rsidRPr="00DD2273" w:rsidRDefault="00DD2273" w:rsidP="00DD2273">
      <w:pPr>
        <w:keepNext/>
        <w:rPr>
          <w:rFonts w:ascii="Times New Roman" w:hAnsi="Times New Roman"/>
          <w:sz w:val="24"/>
        </w:rPr>
      </w:pPr>
    </w:p>
    <w:tbl>
      <w:tblPr>
        <w:tblW w:w="0" w:type="auto"/>
        <w:tblLayout w:type="fixed"/>
        <w:tblLook w:val="0000" w:firstRow="0" w:lastRow="0" w:firstColumn="0" w:lastColumn="0" w:noHBand="0" w:noVBand="0"/>
      </w:tblPr>
      <w:tblGrid>
        <w:gridCol w:w="4698"/>
        <w:gridCol w:w="4860"/>
      </w:tblGrid>
      <w:tr w:rsidR="00DD2273" w:rsidRPr="00DD2273" w:rsidTr="00A50462">
        <w:trPr>
          <w:cantSplit/>
        </w:trPr>
        <w:tc>
          <w:tcPr>
            <w:tcW w:w="4698" w:type="dxa"/>
          </w:tcPr>
          <w:p w:rsidR="00DD2273" w:rsidRPr="00DD2273" w:rsidRDefault="00DD2273" w:rsidP="00A50462">
            <w:pPr>
              <w:keepNext/>
              <w:tabs>
                <w:tab w:val="left" w:pos="432"/>
              </w:tabs>
              <w:spacing w:line="240" w:lineRule="exact"/>
              <w:rPr>
                <w:rFonts w:ascii="Times New Roman" w:hAnsi="Times New Roman"/>
                <w:sz w:val="24"/>
              </w:rPr>
            </w:pPr>
          </w:p>
        </w:tc>
        <w:tc>
          <w:tcPr>
            <w:tcW w:w="4860" w:type="dxa"/>
          </w:tcPr>
          <w:p w:rsidR="0010565F" w:rsidRDefault="0010565F" w:rsidP="00A50462">
            <w:pPr>
              <w:keepNext/>
              <w:spacing w:line="240" w:lineRule="exact"/>
              <w:rPr>
                <w:rFonts w:ascii="Times New Roman" w:hAnsi="Times New Roman"/>
                <w:caps/>
                <w:sz w:val="24"/>
                <w:szCs w:val="24"/>
              </w:rPr>
            </w:pPr>
            <w:r>
              <w:rPr>
                <w:rFonts w:ascii="Times New Roman" w:hAnsi="Times New Roman"/>
                <w:caps/>
                <w:sz w:val="24"/>
                <w:szCs w:val="24"/>
              </w:rPr>
              <w:t>RESPECTFULLY sUBMITTED,</w:t>
            </w:r>
          </w:p>
          <w:p w:rsidR="0010565F" w:rsidRDefault="0010565F" w:rsidP="00A50462">
            <w:pPr>
              <w:keepNext/>
              <w:spacing w:line="240" w:lineRule="exact"/>
              <w:rPr>
                <w:rFonts w:ascii="Times New Roman" w:hAnsi="Times New Roman"/>
                <w:caps/>
                <w:sz w:val="24"/>
                <w:szCs w:val="24"/>
              </w:rPr>
            </w:pPr>
          </w:p>
          <w:p w:rsidR="00DD2273" w:rsidRPr="00DD2273" w:rsidRDefault="00DD2273" w:rsidP="00A50462">
            <w:pPr>
              <w:keepNext/>
              <w:spacing w:line="240" w:lineRule="exact"/>
              <w:rPr>
                <w:rFonts w:ascii="Times New Roman" w:hAnsi="Times New Roman"/>
                <w:caps/>
                <w:sz w:val="24"/>
                <w:szCs w:val="24"/>
              </w:rPr>
            </w:pPr>
            <w:r w:rsidRPr="00DD2273">
              <w:rPr>
                <w:rFonts w:ascii="Times New Roman" w:hAnsi="Times New Roman"/>
                <w:caps/>
                <w:sz w:val="24"/>
                <w:szCs w:val="24"/>
              </w:rPr>
              <w:t>Williams, Kastner &amp; Gibbs PLLC</w:t>
            </w:r>
          </w:p>
          <w:p w:rsidR="00DD2273" w:rsidRPr="00DD2273" w:rsidRDefault="00DD2273" w:rsidP="00A50462">
            <w:pPr>
              <w:keepNext/>
              <w:spacing w:line="240" w:lineRule="exact"/>
              <w:rPr>
                <w:rFonts w:ascii="Times New Roman" w:hAnsi="Times New Roman"/>
                <w:sz w:val="24"/>
              </w:rPr>
            </w:pPr>
          </w:p>
          <w:p w:rsidR="00DD2273" w:rsidRPr="00DD2273" w:rsidRDefault="00DD2273" w:rsidP="00A50462">
            <w:pPr>
              <w:keepNext/>
              <w:spacing w:line="240" w:lineRule="exact"/>
              <w:rPr>
                <w:rFonts w:ascii="Times New Roman" w:hAnsi="Times New Roman"/>
                <w:sz w:val="24"/>
              </w:rPr>
            </w:pPr>
          </w:p>
          <w:p w:rsidR="00DD2273" w:rsidRPr="00DD2273" w:rsidRDefault="00DD2273" w:rsidP="00A50462">
            <w:pPr>
              <w:keepNext/>
              <w:spacing w:line="240" w:lineRule="exact"/>
              <w:rPr>
                <w:rFonts w:ascii="Times New Roman" w:hAnsi="Times New Roman"/>
                <w:sz w:val="24"/>
              </w:rPr>
            </w:pPr>
          </w:p>
          <w:p w:rsidR="00DD2273" w:rsidRPr="00DD2273" w:rsidRDefault="00DD2273" w:rsidP="00A50462">
            <w:pPr>
              <w:keepNext/>
              <w:tabs>
                <w:tab w:val="right" w:pos="4572"/>
              </w:tabs>
              <w:spacing w:line="240" w:lineRule="exact"/>
              <w:rPr>
                <w:rFonts w:ascii="Times New Roman" w:hAnsi="Times New Roman"/>
                <w:sz w:val="24"/>
                <w:u w:val="single"/>
              </w:rPr>
            </w:pPr>
            <w:r w:rsidRPr="00DD2273">
              <w:rPr>
                <w:rFonts w:ascii="Times New Roman" w:hAnsi="Times New Roman"/>
                <w:sz w:val="24"/>
              </w:rPr>
              <w:t xml:space="preserve">By </w:t>
            </w:r>
            <w:r w:rsidRPr="00DD2273">
              <w:rPr>
                <w:rFonts w:ascii="Times New Roman" w:hAnsi="Times New Roman"/>
                <w:sz w:val="24"/>
                <w:u w:val="single"/>
              </w:rPr>
              <w:tab/>
            </w:r>
          </w:p>
          <w:p w:rsidR="00DD2273" w:rsidRPr="00DD2273" w:rsidRDefault="00DD2273" w:rsidP="00A50462">
            <w:pPr>
              <w:keepNext/>
              <w:tabs>
                <w:tab w:val="left" w:pos="432"/>
                <w:tab w:val="right" w:pos="4932"/>
              </w:tabs>
              <w:spacing w:line="240" w:lineRule="exact"/>
              <w:rPr>
                <w:rFonts w:ascii="Times New Roman" w:hAnsi="Times New Roman"/>
                <w:sz w:val="24"/>
              </w:rPr>
            </w:pPr>
            <w:r w:rsidRPr="00DD2273">
              <w:rPr>
                <w:rFonts w:ascii="Times New Roman" w:hAnsi="Times New Roman"/>
                <w:sz w:val="24"/>
              </w:rPr>
              <w:tab/>
              <w:t>David W. Wiley, WSBA #08614</w:t>
            </w:r>
          </w:p>
          <w:p w:rsidR="00DD2273" w:rsidRPr="00DD2273" w:rsidRDefault="00DD2273" w:rsidP="00A50462">
            <w:pPr>
              <w:keepNext/>
              <w:tabs>
                <w:tab w:val="left" w:pos="432"/>
                <w:tab w:val="right" w:pos="4932"/>
              </w:tabs>
              <w:spacing w:line="240" w:lineRule="exact"/>
              <w:rPr>
                <w:rFonts w:ascii="Times New Roman" w:hAnsi="Times New Roman"/>
                <w:sz w:val="24"/>
              </w:rPr>
            </w:pPr>
            <w:r w:rsidRPr="00DD2273">
              <w:rPr>
                <w:rFonts w:ascii="Times New Roman" w:hAnsi="Times New Roman"/>
                <w:sz w:val="24"/>
              </w:rPr>
              <w:t xml:space="preserve">       </w:t>
            </w:r>
            <w:r w:rsidRPr="00947D2F">
              <w:rPr>
                <w:rFonts w:ascii="Times New Roman" w:hAnsi="Times New Roman"/>
                <w:sz w:val="24"/>
              </w:rPr>
              <w:t>dwiley@williamskastner.com</w:t>
            </w:r>
            <w:r w:rsidRPr="00DD2273">
              <w:rPr>
                <w:rFonts w:ascii="Times New Roman" w:hAnsi="Times New Roman"/>
                <w:sz w:val="24"/>
              </w:rPr>
              <w:t xml:space="preserve"> </w:t>
            </w:r>
          </w:p>
          <w:p w:rsidR="00DD2273" w:rsidRPr="00DD2273" w:rsidRDefault="00DD2273" w:rsidP="00A50462">
            <w:pPr>
              <w:keepNext/>
              <w:spacing w:line="240" w:lineRule="exact"/>
              <w:rPr>
                <w:rFonts w:ascii="Times New Roman" w:hAnsi="Times New Roman"/>
                <w:sz w:val="24"/>
              </w:rPr>
            </w:pPr>
            <w:r w:rsidRPr="00DD2273">
              <w:rPr>
                <w:rFonts w:ascii="Times New Roman" w:hAnsi="Times New Roman"/>
                <w:sz w:val="24"/>
              </w:rPr>
              <w:t>Attorneys for Waste Control, Inc.</w:t>
            </w:r>
          </w:p>
        </w:tc>
      </w:tr>
    </w:tbl>
    <w:p w:rsidR="00DD2273" w:rsidRPr="00DD2273" w:rsidRDefault="00DD2273" w:rsidP="00DD2273">
      <w:pPr>
        <w:rPr>
          <w:rFonts w:ascii="Times New Roman" w:hAnsi="Times New Roman"/>
          <w:sz w:val="24"/>
        </w:rPr>
      </w:pPr>
    </w:p>
    <w:p w:rsidR="00DD2273" w:rsidRPr="00DD2273" w:rsidRDefault="00DD2273" w:rsidP="00DD2273">
      <w:pPr>
        <w:keepNext/>
        <w:keepLines/>
        <w:jc w:val="center"/>
        <w:rPr>
          <w:rFonts w:ascii="Times New Roman" w:hAnsi="Times New Roman"/>
          <w:b/>
          <w:sz w:val="24"/>
          <w:szCs w:val="24"/>
        </w:rPr>
      </w:pPr>
      <w:r w:rsidRPr="00DD2273">
        <w:rPr>
          <w:rFonts w:ascii="Times New Roman" w:hAnsi="Times New Roman"/>
          <w:sz w:val="24"/>
        </w:rPr>
        <w:br w:type="page"/>
      </w:r>
      <w:r w:rsidRPr="00DD2273">
        <w:rPr>
          <w:rFonts w:ascii="Times New Roman" w:hAnsi="Times New Roman"/>
          <w:b/>
          <w:sz w:val="24"/>
          <w:szCs w:val="24"/>
        </w:rPr>
        <w:t>CERTIFICATE OF SERVICE</w:t>
      </w:r>
    </w:p>
    <w:p w:rsidR="00DD2273" w:rsidRPr="00DD2273" w:rsidRDefault="00DD2273" w:rsidP="00DD2273">
      <w:pPr>
        <w:keepNext/>
        <w:keepLines/>
        <w:rPr>
          <w:rFonts w:ascii="Times New Roman" w:hAnsi="Times New Roman"/>
          <w:b/>
          <w:sz w:val="24"/>
          <w:szCs w:val="24"/>
        </w:rPr>
      </w:pPr>
    </w:p>
    <w:p w:rsidR="00DD2273" w:rsidRPr="00DD2273" w:rsidRDefault="00DD2273" w:rsidP="00DD2273">
      <w:pPr>
        <w:rPr>
          <w:rFonts w:ascii="Times New Roman" w:hAnsi="Times New Roman"/>
          <w:sz w:val="24"/>
          <w:szCs w:val="24"/>
        </w:rPr>
      </w:pPr>
      <w:r w:rsidRPr="00DD2273">
        <w:rPr>
          <w:rFonts w:ascii="Times New Roman" w:hAnsi="Times New Roman"/>
          <w:sz w:val="24"/>
          <w:szCs w:val="24"/>
        </w:rPr>
        <w:tab/>
        <w:t xml:space="preserve">I hereby certify that on </w:t>
      </w:r>
      <w:r>
        <w:rPr>
          <w:rFonts w:ascii="Times New Roman" w:hAnsi="Times New Roman"/>
          <w:sz w:val="24"/>
          <w:szCs w:val="24"/>
        </w:rPr>
        <w:t xml:space="preserve">March </w:t>
      </w:r>
      <w:r w:rsidR="002E48D5">
        <w:rPr>
          <w:rFonts w:ascii="Times New Roman" w:hAnsi="Times New Roman"/>
          <w:sz w:val="24"/>
          <w:szCs w:val="24"/>
        </w:rPr>
        <w:t>10</w:t>
      </w:r>
      <w:r w:rsidRPr="00DD2273">
        <w:rPr>
          <w:rFonts w:ascii="Times New Roman" w:hAnsi="Times New Roman"/>
          <w:sz w:val="24"/>
          <w:szCs w:val="24"/>
        </w:rPr>
        <w:t xml:space="preserve">, 2014, I caused to be served the original and </w:t>
      </w:r>
      <w:r w:rsidR="00071CF6">
        <w:rPr>
          <w:rFonts w:ascii="Times New Roman" w:hAnsi="Times New Roman"/>
          <w:sz w:val="24"/>
          <w:szCs w:val="24"/>
        </w:rPr>
        <w:t xml:space="preserve">five </w:t>
      </w:r>
      <w:r w:rsidRPr="00DD2273">
        <w:rPr>
          <w:rFonts w:ascii="Times New Roman" w:hAnsi="Times New Roman"/>
          <w:sz w:val="24"/>
          <w:szCs w:val="24"/>
        </w:rPr>
        <w:t>(</w:t>
      </w:r>
      <w:r w:rsidR="00071CF6">
        <w:rPr>
          <w:rFonts w:ascii="Times New Roman" w:hAnsi="Times New Roman"/>
          <w:sz w:val="24"/>
          <w:szCs w:val="24"/>
        </w:rPr>
        <w:t xml:space="preserve">5) copies </w:t>
      </w:r>
      <w:r w:rsidRPr="00DD2273">
        <w:rPr>
          <w:rFonts w:ascii="Times New Roman" w:hAnsi="Times New Roman"/>
          <w:sz w:val="24"/>
          <w:szCs w:val="24"/>
        </w:rPr>
        <w:t>of the foregoing document to the following address via first class mail, postage prepaid to:</w:t>
      </w:r>
    </w:p>
    <w:p w:rsidR="00DD2273" w:rsidRPr="00DD2273" w:rsidRDefault="00DD2273" w:rsidP="00DD2273">
      <w:pPr>
        <w:rPr>
          <w:rFonts w:ascii="Times New Roman" w:hAnsi="Times New Roman"/>
          <w:sz w:val="24"/>
          <w:szCs w:val="24"/>
        </w:rPr>
      </w:pPr>
    </w:p>
    <w:p w:rsidR="00DD2273" w:rsidRPr="00DD2273" w:rsidRDefault="00DD2273" w:rsidP="00DD2273">
      <w:pPr>
        <w:rPr>
          <w:rFonts w:ascii="Times New Roman" w:hAnsi="Times New Roman"/>
          <w:sz w:val="24"/>
        </w:rPr>
      </w:pPr>
      <w:r w:rsidRPr="00DD2273">
        <w:rPr>
          <w:rFonts w:ascii="Times New Roman" w:hAnsi="Times New Roman"/>
          <w:sz w:val="24"/>
          <w:szCs w:val="24"/>
        </w:rPr>
        <w:tab/>
      </w:r>
      <w:r w:rsidRPr="00DD2273">
        <w:rPr>
          <w:rFonts w:ascii="Times New Roman" w:hAnsi="Times New Roman"/>
          <w:sz w:val="24"/>
        </w:rPr>
        <w:t>Steven V. King, Executive Director and Secretary</w:t>
      </w:r>
    </w:p>
    <w:p w:rsidR="00DD2273" w:rsidRPr="00DD2273" w:rsidRDefault="00DD2273" w:rsidP="00DD2273">
      <w:pPr>
        <w:ind w:firstLine="720"/>
        <w:rPr>
          <w:rFonts w:ascii="Times New Roman" w:hAnsi="Times New Roman"/>
          <w:sz w:val="24"/>
        </w:rPr>
      </w:pPr>
      <w:r w:rsidRPr="00DD2273">
        <w:rPr>
          <w:rFonts w:ascii="Times New Roman" w:hAnsi="Times New Roman"/>
          <w:sz w:val="24"/>
        </w:rPr>
        <w:t>Washington Utilities and Transportation Commission</w:t>
      </w:r>
    </w:p>
    <w:p w:rsidR="00DD2273" w:rsidRPr="00DD2273" w:rsidRDefault="00DD2273" w:rsidP="00DD2273">
      <w:pPr>
        <w:ind w:firstLine="720"/>
        <w:rPr>
          <w:rFonts w:ascii="Times New Roman" w:hAnsi="Times New Roman"/>
          <w:sz w:val="24"/>
        </w:rPr>
      </w:pPr>
      <w:r w:rsidRPr="00DD2273">
        <w:rPr>
          <w:rFonts w:ascii="Times New Roman" w:hAnsi="Times New Roman"/>
          <w:sz w:val="24"/>
        </w:rPr>
        <w:t>Attn.:  Records Center</w:t>
      </w:r>
    </w:p>
    <w:p w:rsidR="00DD2273" w:rsidRPr="00DD2273" w:rsidRDefault="00DD2273" w:rsidP="00DD2273">
      <w:pPr>
        <w:ind w:firstLine="720"/>
        <w:rPr>
          <w:rFonts w:ascii="Times New Roman" w:hAnsi="Times New Roman"/>
          <w:sz w:val="24"/>
        </w:rPr>
      </w:pPr>
      <w:r w:rsidRPr="00DD2273">
        <w:rPr>
          <w:rFonts w:ascii="Times New Roman" w:hAnsi="Times New Roman"/>
          <w:sz w:val="24"/>
        </w:rPr>
        <w:t>P.O. Box 47250</w:t>
      </w:r>
    </w:p>
    <w:p w:rsidR="00DD2273" w:rsidRPr="00DD2273" w:rsidRDefault="00DD2273" w:rsidP="00DD2273">
      <w:pPr>
        <w:ind w:firstLine="720"/>
        <w:rPr>
          <w:rFonts w:ascii="Times New Roman" w:hAnsi="Times New Roman"/>
          <w:sz w:val="24"/>
        </w:rPr>
      </w:pPr>
      <w:r w:rsidRPr="00DD2273">
        <w:rPr>
          <w:rFonts w:ascii="Times New Roman" w:hAnsi="Times New Roman"/>
          <w:sz w:val="24"/>
        </w:rPr>
        <w:t>1300 S. Evergreen Park Dr. SW</w:t>
      </w:r>
    </w:p>
    <w:p w:rsidR="00DD2273" w:rsidRPr="00DD2273" w:rsidRDefault="00DD2273" w:rsidP="00DD2273">
      <w:pPr>
        <w:ind w:firstLine="720"/>
        <w:rPr>
          <w:rFonts w:ascii="Times New Roman" w:hAnsi="Times New Roman"/>
          <w:sz w:val="24"/>
        </w:rPr>
      </w:pPr>
      <w:r w:rsidRPr="00DD2273">
        <w:rPr>
          <w:rFonts w:ascii="Times New Roman" w:hAnsi="Times New Roman"/>
          <w:sz w:val="24"/>
        </w:rPr>
        <w:t>Olympia, WA 98504-7250</w:t>
      </w:r>
    </w:p>
    <w:p w:rsidR="00DD2273" w:rsidRPr="00DD2273" w:rsidRDefault="00DD2273" w:rsidP="00DD2273">
      <w:pPr>
        <w:keepNext/>
        <w:keepLines/>
        <w:rPr>
          <w:rFonts w:ascii="Times New Roman" w:hAnsi="Times New Roman"/>
          <w:sz w:val="24"/>
          <w:szCs w:val="24"/>
        </w:rPr>
      </w:pPr>
    </w:p>
    <w:p w:rsidR="00DD2273" w:rsidRPr="00DD2273" w:rsidRDefault="00DD2273" w:rsidP="00DD2273">
      <w:pPr>
        <w:keepNext/>
        <w:keepLines/>
        <w:rPr>
          <w:rFonts w:ascii="Times New Roman" w:hAnsi="Times New Roman"/>
          <w:sz w:val="24"/>
          <w:szCs w:val="24"/>
        </w:rPr>
      </w:pPr>
      <w:r w:rsidRPr="00DD2273">
        <w:rPr>
          <w:rFonts w:ascii="Times New Roman" w:hAnsi="Times New Roman"/>
          <w:sz w:val="24"/>
          <w:szCs w:val="24"/>
        </w:rPr>
        <w:t xml:space="preserve">I certify I have also provided to the Washington Utilities and Transportation Commission’s Secretary an official electronic file containing the foregoing document via email to:  </w:t>
      </w:r>
    </w:p>
    <w:p w:rsidR="00DD2273" w:rsidRPr="00DD2273" w:rsidRDefault="00DD2273" w:rsidP="00DD2273">
      <w:pPr>
        <w:keepNext/>
        <w:keepLines/>
        <w:rPr>
          <w:rFonts w:ascii="Times New Roman" w:hAnsi="Times New Roman"/>
          <w:sz w:val="24"/>
          <w:szCs w:val="24"/>
        </w:rPr>
      </w:pPr>
      <w:r w:rsidRPr="00947D2F">
        <w:rPr>
          <w:rFonts w:ascii="Times New Roman" w:hAnsi="Times New Roman"/>
          <w:sz w:val="24"/>
          <w:szCs w:val="24"/>
        </w:rPr>
        <w:t>records@utc.wa.gov</w:t>
      </w:r>
    </w:p>
    <w:p w:rsidR="00DD2273" w:rsidRPr="00DD2273" w:rsidRDefault="00DD2273" w:rsidP="00DD2273">
      <w:pPr>
        <w:rPr>
          <w:rFonts w:ascii="Times New Roman" w:hAnsi="Times New Roman"/>
          <w:sz w:val="24"/>
          <w:szCs w:val="24"/>
        </w:rPr>
      </w:pPr>
    </w:p>
    <w:p w:rsidR="00DD2273" w:rsidRPr="00DD2273" w:rsidRDefault="00DD2273" w:rsidP="00DD2273">
      <w:pPr>
        <w:keepNext/>
        <w:keepLines/>
        <w:rPr>
          <w:rFonts w:ascii="Times New Roman" w:hAnsi="Times New Roman"/>
          <w:sz w:val="24"/>
          <w:szCs w:val="24"/>
        </w:rPr>
      </w:pPr>
      <w:r w:rsidRPr="00DD2273">
        <w:rPr>
          <w:rFonts w:ascii="Times New Roman" w:hAnsi="Times New Roman"/>
          <w:sz w:val="24"/>
          <w:szCs w:val="24"/>
        </w:rPr>
        <w:t>and an electronic copy via email and first class mail, postage prepaid, to:</w:t>
      </w:r>
      <w:r w:rsidRPr="00DD2273">
        <w:rPr>
          <w:rFonts w:ascii="Times New Roman" w:hAnsi="Times New Roman"/>
          <w:sz w:val="24"/>
          <w:szCs w:val="24"/>
        </w:rPr>
        <w:br/>
      </w:r>
    </w:p>
    <w:p w:rsidR="00DD2273" w:rsidRPr="00DD2273" w:rsidRDefault="00DD2273" w:rsidP="00DD2273">
      <w:pPr>
        <w:keepNext/>
        <w:keepLines/>
        <w:rPr>
          <w:rFonts w:ascii="Times New Roman" w:hAnsi="Times New Roman"/>
          <w:sz w:val="24"/>
          <w:szCs w:val="24"/>
        </w:rPr>
      </w:pPr>
      <w:r w:rsidRPr="00DD2273">
        <w:rPr>
          <w:rFonts w:ascii="Times New Roman" w:hAnsi="Times New Roman"/>
          <w:sz w:val="24"/>
          <w:szCs w:val="24"/>
        </w:rPr>
        <w:tab/>
        <w:t>Steven W. Smith</w:t>
      </w:r>
    </w:p>
    <w:p w:rsidR="00DD2273" w:rsidRPr="00DD2273" w:rsidRDefault="00DD2273" w:rsidP="00DD2273">
      <w:pPr>
        <w:keepNext/>
        <w:keepLines/>
        <w:rPr>
          <w:rFonts w:ascii="Times New Roman" w:hAnsi="Times New Roman"/>
          <w:sz w:val="24"/>
          <w:szCs w:val="24"/>
        </w:rPr>
      </w:pPr>
      <w:r w:rsidRPr="00DD2273">
        <w:rPr>
          <w:rFonts w:ascii="Times New Roman" w:hAnsi="Times New Roman"/>
          <w:sz w:val="24"/>
          <w:szCs w:val="24"/>
        </w:rPr>
        <w:tab/>
        <w:t>Office of the Attorney General</w:t>
      </w:r>
    </w:p>
    <w:p w:rsidR="00DD2273" w:rsidRPr="00DD2273" w:rsidRDefault="00DD2273" w:rsidP="00DD2273">
      <w:pPr>
        <w:ind w:firstLine="720"/>
        <w:rPr>
          <w:rFonts w:ascii="Times New Roman" w:hAnsi="Times New Roman"/>
          <w:sz w:val="24"/>
        </w:rPr>
      </w:pPr>
      <w:r w:rsidRPr="00DD2273">
        <w:rPr>
          <w:rFonts w:ascii="Times New Roman" w:hAnsi="Times New Roman"/>
          <w:sz w:val="24"/>
        </w:rPr>
        <w:t>Washington Utilities and Transportation Commission</w:t>
      </w:r>
    </w:p>
    <w:p w:rsidR="00DD2273" w:rsidRPr="00DD2273" w:rsidRDefault="00DD2273" w:rsidP="00DD2273">
      <w:pPr>
        <w:ind w:firstLine="720"/>
        <w:rPr>
          <w:rFonts w:ascii="Times New Roman" w:hAnsi="Times New Roman"/>
          <w:sz w:val="24"/>
        </w:rPr>
      </w:pPr>
      <w:r w:rsidRPr="00DD2273">
        <w:rPr>
          <w:rFonts w:ascii="Times New Roman" w:hAnsi="Times New Roman"/>
          <w:sz w:val="24"/>
        </w:rPr>
        <w:t>1400 S. Evergreen Park Dr. SW</w:t>
      </w:r>
    </w:p>
    <w:p w:rsidR="00DD2273" w:rsidRPr="00DD2273" w:rsidRDefault="00DD2273" w:rsidP="00DD2273">
      <w:pPr>
        <w:ind w:firstLine="720"/>
        <w:rPr>
          <w:rFonts w:ascii="Times New Roman" w:hAnsi="Times New Roman"/>
          <w:sz w:val="24"/>
        </w:rPr>
      </w:pPr>
      <w:r w:rsidRPr="00DD2273">
        <w:rPr>
          <w:rFonts w:ascii="Times New Roman" w:hAnsi="Times New Roman"/>
          <w:sz w:val="24"/>
        </w:rPr>
        <w:t>PO Box 40128</w:t>
      </w:r>
    </w:p>
    <w:p w:rsidR="00DD2273" w:rsidRPr="00DD2273" w:rsidRDefault="00DD2273" w:rsidP="00DD2273">
      <w:pPr>
        <w:ind w:firstLine="720"/>
        <w:rPr>
          <w:rFonts w:ascii="Times New Roman" w:hAnsi="Times New Roman"/>
          <w:sz w:val="24"/>
        </w:rPr>
      </w:pPr>
      <w:r w:rsidRPr="00DD2273">
        <w:rPr>
          <w:rFonts w:ascii="Times New Roman" w:hAnsi="Times New Roman"/>
          <w:sz w:val="24"/>
        </w:rPr>
        <w:t>Olympia, WA  98504-0128</w:t>
      </w:r>
    </w:p>
    <w:p w:rsidR="00DD2273" w:rsidRPr="00DD2273" w:rsidRDefault="00DD2273" w:rsidP="00DD2273">
      <w:pPr>
        <w:ind w:firstLine="720"/>
        <w:rPr>
          <w:rFonts w:ascii="Times New Roman" w:hAnsi="Times New Roman"/>
          <w:sz w:val="24"/>
        </w:rPr>
      </w:pPr>
      <w:r w:rsidRPr="00DD2273">
        <w:rPr>
          <w:rFonts w:ascii="Times New Roman" w:hAnsi="Times New Roman"/>
          <w:sz w:val="24"/>
        </w:rPr>
        <w:t xml:space="preserve">Email: </w:t>
      </w:r>
      <w:r w:rsidR="00AD68D4" w:rsidRPr="00947D2F">
        <w:rPr>
          <w:rFonts w:ascii="Times New Roman" w:hAnsi="Times New Roman"/>
          <w:sz w:val="24"/>
        </w:rPr>
        <w:t>ssmith@utc.wa.gov</w:t>
      </w:r>
      <w:r w:rsidR="00AD68D4">
        <w:rPr>
          <w:rFonts w:ascii="Times New Roman" w:hAnsi="Times New Roman"/>
          <w:sz w:val="24"/>
        </w:rPr>
        <w:t xml:space="preserve"> </w:t>
      </w:r>
    </w:p>
    <w:p w:rsidR="00DD2273" w:rsidRDefault="00DD2273" w:rsidP="00DD2273">
      <w:pPr>
        <w:ind w:firstLine="720"/>
        <w:rPr>
          <w:rFonts w:ascii="Times New Roman" w:hAnsi="Times New Roman"/>
          <w:sz w:val="24"/>
        </w:rPr>
      </w:pPr>
    </w:p>
    <w:p w:rsidR="00AD68D4" w:rsidRDefault="00AD68D4" w:rsidP="00AD68D4">
      <w:pPr>
        <w:ind w:right="-252"/>
        <w:rPr>
          <w:rFonts w:ascii="Times New Roman" w:hAnsi="Times New Roman"/>
          <w:iCs/>
          <w:sz w:val="24"/>
        </w:rPr>
      </w:pPr>
      <w:r>
        <w:rPr>
          <w:rFonts w:ascii="Times New Roman" w:hAnsi="Times New Roman"/>
          <w:iCs/>
          <w:sz w:val="24"/>
        </w:rPr>
        <w:tab/>
        <w:t>James K. Sells</w:t>
      </w:r>
    </w:p>
    <w:p w:rsidR="00AD68D4" w:rsidRDefault="00AD68D4" w:rsidP="00AD68D4">
      <w:pPr>
        <w:ind w:right="-252"/>
        <w:rPr>
          <w:rFonts w:ascii="Times New Roman" w:hAnsi="Times New Roman"/>
          <w:iCs/>
          <w:sz w:val="24"/>
        </w:rPr>
      </w:pPr>
      <w:r>
        <w:rPr>
          <w:rFonts w:ascii="Times New Roman" w:hAnsi="Times New Roman"/>
          <w:iCs/>
          <w:sz w:val="24"/>
        </w:rPr>
        <w:tab/>
        <w:t>Attorney at Law</w:t>
      </w:r>
    </w:p>
    <w:p w:rsidR="00AD68D4" w:rsidRDefault="00AD68D4" w:rsidP="00AD68D4">
      <w:pPr>
        <w:ind w:right="-252"/>
        <w:rPr>
          <w:rFonts w:ascii="Times New Roman" w:hAnsi="Times New Roman"/>
          <w:iCs/>
          <w:sz w:val="24"/>
        </w:rPr>
      </w:pPr>
      <w:r>
        <w:rPr>
          <w:rFonts w:ascii="Times New Roman" w:hAnsi="Times New Roman"/>
          <w:iCs/>
          <w:sz w:val="24"/>
        </w:rPr>
        <w:tab/>
        <w:t xml:space="preserve">PMB 22, 3110 Judson St. </w:t>
      </w:r>
    </w:p>
    <w:p w:rsidR="00AD68D4" w:rsidRDefault="00AD68D4" w:rsidP="00AD68D4">
      <w:pPr>
        <w:ind w:right="-252"/>
        <w:rPr>
          <w:rFonts w:ascii="Times New Roman" w:hAnsi="Times New Roman"/>
          <w:iCs/>
          <w:sz w:val="24"/>
        </w:rPr>
      </w:pPr>
      <w:r>
        <w:rPr>
          <w:rFonts w:ascii="Times New Roman" w:hAnsi="Times New Roman"/>
          <w:iCs/>
          <w:sz w:val="24"/>
        </w:rPr>
        <w:tab/>
        <w:t>Gig Harbor, WA  98335</w:t>
      </w:r>
    </w:p>
    <w:p w:rsidR="00AD68D4" w:rsidRDefault="00AD68D4" w:rsidP="00AD68D4">
      <w:pPr>
        <w:ind w:right="-252"/>
        <w:rPr>
          <w:rFonts w:ascii="Times New Roman" w:hAnsi="Times New Roman"/>
          <w:bCs/>
          <w:color w:val="0000FF"/>
          <w:sz w:val="24"/>
          <w:u w:val="single"/>
          <w:lang w:val="fr-FR"/>
        </w:rPr>
      </w:pPr>
      <w:r>
        <w:rPr>
          <w:rFonts w:ascii="Times New Roman" w:hAnsi="Times New Roman"/>
          <w:iCs/>
          <w:sz w:val="24"/>
        </w:rPr>
        <w:tab/>
        <w:t xml:space="preserve">E-mail:  </w:t>
      </w:r>
      <w:r w:rsidRPr="00947D2F">
        <w:rPr>
          <w:rFonts w:ascii="Times New Roman" w:hAnsi="Times New Roman"/>
          <w:bCs/>
          <w:sz w:val="24"/>
          <w:lang w:val="fr-FR"/>
        </w:rPr>
        <w:t>jamessells@comcast.net</w:t>
      </w:r>
    </w:p>
    <w:p w:rsidR="00AD68D4" w:rsidRPr="00DD2273" w:rsidRDefault="00AD68D4" w:rsidP="00DB5C8A">
      <w:pPr>
        <w:rPr>
          <w:rFonts w:ascii="Times New Roman" w:hAnsi="Times New Roman"/>
          <w:sz w:val="24"/>
        </w:rPr>
      </w:pPr>
    </w:p>
    <w:p w:rsidR="00DD2273" w:rsidRPr="00DD2273" w:rsidRDefault="00DD2273" w:rsidP="00DD2273">
      <w:pPr>
        <w:keepNext/>
        <w:keepLines/>
        <w:rPr>
          <w:rFonts w:ascii="Times New Roman" w:hAnsi="Times New Roman"/>
          <w:sz w:val="24"/>
          <w:szCs w:val="24"/>
        </w:rPr>
      </w:pPr>
    </w:p>
    <w:p w:rsidR="00DD2273" w:rsidRPr="00DD2273" w:rsidRDefault="00DD2273" w:rsidP="00DD2273">
      <w:pPr>
        <w:keepNext/>
        <w:keepLines/>
        <w:jc w:val="right"/>
        <w:rPr>
          <w:rFonts w:ascii="Times New Roman" w:hAnsi="Times New Roman"/>
          <w:sz w:val="24"/>
          <w:szCs w:val="24"/>
        </w:rPr>
      </w:pPr>
      <w:r w:rsidRPr="00DD2273">
        <w:rPr>
          <w:rFonts w:ascii="Times New Roman" w:hAnsi="Times New Roman"/>
          <w:sz w:val="24"/>
          <w:szCs w:val="24"/>
        </w:rPr>
        <w:t>___________________________</w:t>
      </w:r>
    </w:p>
    <w:p w:rsidR="00DD2273" w:rsidRPr="00DD2273" w:rsidRDefault="00DD2273" w:rsidP="00DD2273">
      <w:pPr>
        <w:keepNext/>
        <w:keepLines/>
        <w:rPr>
          <w:rFonts w:ascii="Times New Roman" w:hAnsi="Times New Roman"/>
          <w:sz w:val="24"/>
        </w:rPr>
      </w:pPr>
      <w:r w:rsidRPr="00DD2273">
        <w:rPr>
          <w:rFonts w:ascii="Times New Roman" w:hAnsi="Times New Roman"/>
          <w:sz w:val="24"/>
        </w:rPr>
        <w:tab/>
      </w:r>
      <w:r w:rsidRPr="00DD2273">
        <w:rPr>
          <w:rFonts w:ascii="Times New Roman" w:hAnsi="Times New Roman"/>
          <w:sz w:val="24"/>
        </w:rPr>
        <w:tab/>
      </w:r>
      <w:r w:rsidRPr="00DD2273">
        <w:rPr>
          <w:rFonts w:ascii="Times New Roman" w:hAnsi="Times New Roman"/>
          <w:sz w:val="24"/>
        </w:rPr>
        <w:tab/>
      </w:r>
      <w:r w:rsidRPr="00DD2273">
        <w:rPr>
          <w:rFonts w:ascii="Times New Roman" w:hAnsi="Times New Roman"/>
          <w:sz w:val="24"/>
        </w:rPr>
        <w:tab/>
      </w:r>
      <w:r w:rsidRPr="00DD2273">
        <w:rPr>
          <w:rFonts w:ascii="Times New Roman" w:hAnsi="Times New Roman"/>
          <w:sz w:val="24"/>
        </w:rPr>
        <w:tab/>
      </w:r>
      <w:r w:rsidRPr="00DD2273">
        <w:rPr>
          <w:rFonts w:ascii="Times New Roman" w:hAnsi="Times New Roman"/>
          <w:sz w:val="24"/>
        </w:rPr>
        <w:tab/>
      </w:r>
      <w:r w:rsidRPr="00DD2273">
        <w:rPr>
          <w:rFonts w:ascii="Times New Roman" w:hAnsi="Times New Roman"/>
          <w:sz w:val="24"/>
        </w:rPr>
        <w:tab/>
      </w:r>
      <w:r w:rsidRPr="00DD2273">
        <w:rPr>
          <w:rFonts w:ascii="Times New Roman" w:hAnsi="Times New Roman"/>
          <w:sz w:val="24"/>
        </w:rPr>
        <w:tab/>
        <w:t xml:space="preserve">   </w:t>
      </w:r>
      <w:r>
        <w:rPr>
          <w:rFonts w:ascii="Times New Roman" w:hAnsi="Times New Roman"/>
          <w:sz w:val="24"/>
        </w:rPr>
        <w:t>Lyndsay Taylor</w:t>
      </w:r>
    </w:p>
    <w:sectPr w:rsidR="00DD2273" w:rsidRPr="00DD2273" w:rsidSect="00356E3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872" w:header="720" w:footer="720" w:gutter="0"/>
      <w:paperSrc w:first="261" w:other="26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A76" w:rsidRDefault="00CF3A76" w:rsidP="00623547">
      <w:r>
        <w:separator/>
      </w:r>
    </w:p>
  </w:endnote>
  <w:endnote w:type="continuationSeparator" w:id="0">
    <w:p w:rsidR="00CF3A76" w:rsidRDefault="00CF3A76" w:rsidP="00623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D2F" w:rsidRDefault="00947D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E07" w:rsidRDefault="009515A0" w:rsidP="00321F3A">
    <w:pPr>
      <w:pStyle w:val="Footer"/>
      <w:rPr>
        <w:rFonts w:ascii="Times New Roman" w:hAnsi="Times New Roman" w:cs="Times New Roman"/>
        <w:noProof/>
      </w:rPr>
    </w:pPr>
    <w:r w:rsidRPr="009515A0">
      <w:rPr>
        <w:rFonts w:ascii="Times New Roman" w:hAnsi="Times New Roman" w:cs="Times New Roman"/>
        <w:sz w:val="20"/>
      </w:rPr>
      <w:t xml:space="preserve">WASTE CONTROL, INC.’S RESPONSE TO </w:t>
    </w:r>
    <w:r w:rsidR="00CF3A76" w:rsidRPr="009515A0">
      <w:rPr>
        <w:rFonts w:ascii="Times New Roman" w:hAnsi="Times New Roman" w:cs="Times New Roman"/>
        <w:sz w:val="20"/>
      </w:rPr>
      <w:t>COMMISSION STAFF’S</w:t>
    </w:r>
    <w:r w:rsidRPr="009515A0">
      <w:rPr>
        <w:rFonts w:ascii="Times New Roman" w:hAnsi="Times New Roman" w:cs="Times New Roman"/>
        <w:sz w:val="20"/>
      </w:rPr>
      <w:t xml:space="preserve"> </w:t>
    </w:r>
    <w:r w:rsidR="00CF3A76" w:rsidRPr="009515A0">
      <w:rPr>
        <w:rFonts w:ascii="Times New Roman" w:hAnsi="Times New Roman" w:cs="Times New Roman"/>
        <w:sz w:val="20"/>
      </w:rPr>
      <w:t xml:space="preserve">MOTION TO DISMISS - </w:t>
    </w:r>
    <w:r w:rsidR="00CF3A76" w:rsidRPr="00623547">
      <w:rPr>
        <w:rFonts w:ascii="Times New Roman" w:hAnsi="Times New Roman" w:cs="Times New Roman"/>
      </w:rPr>
      <w:fldChar w:fldCharType="begin"/>
    </w:r>
    <w:r w:rsidR="00CF3A76" w:rsidRPr="00623547">
      <w:rPr>
        <w:rFonts w:ascii="Times New Roman" w:hAnsi="Times New Roman" w:cs="Times New Roman"/>
      </w:rPr>
      <w:instrText xml:space="preserve"> PAGE   \* MERGEFORMAT </w:instrText>
    </w:r>
    <w:r w:rsidR="00CF3A76" w:rsidRPr="00623547">
      <w:rPr>
        <w:rFonts w:ascii="Times New Roman" w:hAnsi="Times New Roman" w:cs="Times New Roman"/>
      </w:rPr>
      <w:fldChar w:fldCharType="separate"/>
    </w:r>
    <w:r w:rsidR="00947D2F">
      <w:rPr>
        <w:rFonts w:ascii="Times New Roman" w:hAnsi="Times New Roman" w:cs="Times New Roman"/>
        <w:noProof/>
      </w:rPr>
      <w:t>1</w:t>
    </w:r>
    <w:r w:rsidR="00CF3A76" w:rsidRPr="00623547">
      <w:rPr>
        <w:rFonts w:ascii="Times New Roman" w:hAnsi="Times New Roman" w:cs="Times New Roman"/>
        <w:noProof/>
      </w:rPr>
      <w:fldChar w:fldCharType="end"/>
    </w:r>
  </w:p>
  <w:p w:rsidR="00CF3A76" w:rsidRPr="00623547" w:rsidRDefault="00425E07" w:rsidP="00425E07">
    <w:pPr>
      <w:pStyle w:val="Footer"/>
      <w:rPr>
        <w:rFonts w:ascii="Times New Roman" w:hAnsi="Times New Roman" w:cs="Times New Roman"/>
      </w:rPr>
    </w:pPr>
    <w:r>
      <w:rPr>
        <w:rFonts w:ascii="Times New Roman" w:hAnsi="Times New Roman" w:cs="Times New Roman"/>
        <w:sz w:val="16"/>
      </w:rPr>
      <w:fldChar w:fldCharType="begin"/>
    </w:r>
    <w:r>
      <w:rPr>
        <w:rFonts w:ascii="Times New Roman" w:hAnsi="Times New Roman" w:cs="Times New Roman"/>
        <w:sz w:val="16"/>
      </w:rPr>
      <w:instrText xml:space="preserve"> </w:instrText>
    </w:r>
    <w:r w:rsidRPr="00425E07">
      <w:rPr>
        <w:rFonts w:ascii="Times New Roman" w:hAnsi="Times New Roman" w:cs="Times New Roman"/>
        <w:sz w:val="16"/>
      </w:rPr>
      <w:instrText>IF "</w:instrText>
    </w:r>
    <w:r w:rsidR="00947D2F">
      <w:rPr>
        <w:rFonts w:ascii="Times New Roman" w:hAnsi="Times New Roman" w:cs="Times New Roman"/>
        <w:sz w:val="16"/>
      </w:rPr>
      <w:instrText>1</w:instrText>
    </w:r>
    <w:r w:rsidRPr="00425E07">
      <w:rPr>
        <w:rFonts w:ascii="Times New Roman" w:hAnsi="Times New Roman" w:cs="Times New Roman"/>
        <w:sz w:val="16"/>
      </w:rPr>
      <w:instrText>" = "1" "</w:instrText>
    </w:r>
    <w:r w:rsidR="00947D2F">
      <w:rPr>
        <w:rFonts w:ascii="Times New Roman" w:hAnsi="Times New Roman" w:cs="Times New Roman"/>
        <w:sz w:val="16"/>
      </w:rPr>
      <w:instrText xml:space="preserve"> 4720084.1</w:instrText>
    </w:r>
    <w:r w:rsidRPr="00425E07">
      <w:rPr>
        <w:rFonts w:ascii="Times New Roman" w:hAnsi="Times New Roman" w:cs="Times New Roman"/>
        <w:sz w:val="16"/>
      </w:rPr>
      <w:instrText>" ""</w:instrText>
    </w:r>
    <w:r>
      <w:rPr>
        <w:rFonts w:ascii="Times New Roman" w:hAnsi="Times New Roman" w:cs="Times New Roman"/>
        <w:sz w:val="16"/>
      </w:rPr>
      <w:instrText xml:space="preserve"> </w:instrText>
    </w:r>
    <w:r>
      <w:rPr>
        <w:rFonts w:ascii="Times New Roman" w:hAnsi="Times New Roman" w:cs="Times New Roman"/>
        <w:sz w:val="16"/>
      </w:rPr>
      <w:fldChar w:fldCharType="separate"/>
    </w:r>
    <w:r w:rsidR="00947D2F">
      <w:rPr>
        <w:rFonts w:ascii="Times New Roman" w:hAnsi="Times New Roman" w:cs="Times New Roman"/>
        <w:noProof/>
        <w:sz w:val="16"/>
      </w:rPr>
      <w:t xml:space="preserve"> 4720084.1</w:t>
    </w:r>
    <w:r>
      <w:rPr>
        <w:rFonts w:ascii="Times New Roman" w:hAnsi="Times New Roman" w:cs="Times New Roman"/>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D2F" w:rsidRDefault="00947D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A76" w:rsidRDefault="00CF3A76" w:rsidP="00623547">
      <w:r>
        <w:separator/>
      </w:r>
    </w:p>
  </w:footnote>
  <w:footnote w:type="continuationSeparator" w:id="0">
    <w:p w:rsidR="00CF3A76" w:rsidRDefault="00CF3A76" w:rsidP="00623547">
      <w:r>
        <w:continuationSeparator/>
      </w:r>
    </w:p>
  </w:footnote>
  <w:footnote w:id="1">
    <w:p w:rsidR="003D19EB" w:rsidRDefault="003D19EB">
      <w:pPr>
        <w:pStyle w:val="FootnoteText"/>
      </w:pPr>
      <w:r>
        <w:rPr>
          <w:rStyle w:val="FootnoteReference"/>
        </w:rPr>
        <w:footnoteRef/>
      </w:r>
      <w:r>
        <w:t xml:space="preserve"> </w:t>
      </w:r>
      <w:r w:rsidRPr="003D19EB">
        <w:t xml:space="preserve">That September filing, after an initial rejection of a previous filing earlier in the month, was duly accepted by the Staff of the Commission for audit and Open Meeting presentation consistent with the June 6, 2013 letter from the Assistant Director of Solid Waste/Water/ Transportation which had </w:t>
      </w:r>
      <w:r>
        <w:t xml:space="preserve">recently </w:t>
      </w:r>
      <w:r w:rsidRPr="003D19EB">
        <w:t xml:space="preserve">set forth a standard of two business days for threshold acceptance by the Staff of a solid waste </w:t>
      </w:r>
      <w:r>
        <w:t xml:space="preserve">general </w:t>
      </w:r>
      <w:r w:rsidRPr="003D19EB">
        <w:t xml:space="preserve">rate </w:t>
      </w:r>
      <w:r>
        <w:t xml:space="preserve">case </w:t>
      </w:r>
      <w:r w:rsidRPr="003D19EB">
        <w:t>filing.</w:t>
      </w:r>
    </w:p>
  </w:footnote>
  <w:footnote w:id="2">
    <w:p w:rsidR="009515A0" w:rsidRDefault="009515A0">
      <w:pPr>
        <w:pStyle w:val="FootnoteText"/>
      </w:pPr>
      <w:r>
        <w:rPr>
          <w:rStyle w:val="FootnoteReference"/>
        </w:rPr>
        <w:footnoteRef/>
      </w:r>
      <w:r>
        <w:t xml:space="preserve"> JD-1T, Pages 3-4, lines 24, 25, and JD-1T, Page 4, lines 1-14.</w:t>
      </w:r>
    </w:p>
  </w:footnote>
  <w:footnote w:id="3">
    <w:p w:rsidR="00CE5B89" w:rsidRDefault="009C256B" w:rsidP="00F10C31">
      <w:pPr>
        <w:pStyle w:val="FootnoteText"/>
        <w:keepLines/>
      </w:pPr>
      <w:r>
        <w:rPr>
          <w:rStyle w:val="FootnoteReference"/>
        </w:rPr>
        <w:footnoteRef/>
      </w:r>
      <w:r>
        <w:t xml:space="preserve"> Indeed,</w:t>
      </w:r>
      <w:r w:rsidR="00CE5B89">
        <w:t xml:space="preserve"> the Company’s recollection of that February 10, 2014 status conference call it </w:t>
      </w:r>
      <w:r w:rsidR="003A4751">
        <w:t>had</w:t>
      </w:r>
      <w:r w:rsidR="00071CF6">
        <w:t xml:space="preserve"> sought</w:t>
      </w:r>
      <w:r w:rsidR="00CE5B89">
        <w:t xml:space="preserve"> includes a discussion of why contested solid </w:t>
      </w:r>
      <w:r w:rsidR="00F672DC">
        <w:t xml:space="preserve">waste general </w:t>
      </w:r>
      <w:r w:rsidR="00CE5B89">
        <w:t>rate cases were different vis-à-vis previously</w:t>
      </w:r>
      <w:r w:rsidR="00025C19">
        <w:t xml:space="preserve">-filed and </w:t>
      </w:r>
      <w:r w:rsidR="00C16D50">
        <w:t xml:space="preserve">reviewed </w:t>
      </w:r>
      <w:r w:rsidR="00025C19">
        <w:t xml:space="preserve">rate filings, </w:t>
      </w:r>
      <w:r w:rsidR="000B7705">
        <w:t xml:space="preserve">making that filing an exhibit, </w:t>
      </w:r>
      <w:r w:rsidR="00CE5B89">
        <w:t>and the par</w:t>
      </w:r>
      <w:r w:rsidR="000B7705">
        <w:t xml:space="preserve">ticular evidentiary issues this </w:t>
      </w:r>
      <w:r w:rsidR="00CE5B89">
        <w:t xml:space="preserve">raised </w:t>
      </w:r>
      <w:r w:rsidR="00025C19">
        <w:t xml:space="preserve">sequentially </w:t>
      </w:r>
      <w:r w:rsidR="009E3B40">
        <w:t xml:space="preserve">for presentation </w:t>
      </w:r>
      <w:r w:rsidR="00D76200">
        <w:t xml:space="preserve">by </w:t>
      </w:r>
      <w:r w:rsidR="009E3B40">
        <w:t>the Company</w:t>
      </w:r>
      <w:r w:rsidR="00CE5B89">
        <w:t xml:space="preserve">.  Staff, through counsel, clearly had an opportunity then to clarify its understanding/concerns </w:t>
      </w:r>
      <w:r w:rsidR="009E3B40">
        <w:t xml:space="preserve">about case format in </w:t>
      </w:r>
      <w:r w:rsidR="00A051EF">
        <w:t xml:space="preserve">any </w:t>
      </w:r>
      <w:r w:rsidR="00CE5B89">
        <w:t xml:space="preserve">of the Company’s </w:t>
      </w:r>
      <w:r w:rsidR="009E3B40">
        <w:t xml:space="preserve">prospective </w:t>
      </w:r>
      <w:r w:rsidR="00CE5B89">
        <w:t xml:space="preserve">presentation but apparently </w:t>
      </w:r>
      <w:r w:rsidR="003A4751">
        <w:t xml:space="preserve">opted </w:t>
      </w:r>
      <w:r w:rsidR="00F92A24">
        <w:t xml:space="preserve">instead </w:t>
      </w:r>
      <w:r w:rsidR="00CE5B89">
        <w:t xml:space="preserve">to </w:t>
      </w:r>
      <w:r w:rsidR="00F672DC">
        <w:t xml:space="preserve">attempt to trigger </w:t>
      </w:r>
      <w:r w:rsidR="00F92A24">
        <w:t xml:space="preserve">a </w:t>
      </w:r>
      <w:r w:rsidR="00CE5B89">
        <w:t xml:space="preserve">subsequent default </w:t>
      </w:r>
      <w:r w:rsidR="00F92A24">
        <w:t xml:space="preserve">if that submission failed to match Staff formatting expectations.  </w:t>
      </w:r>
      <w:r w:rsidR="00CE5B89">
        <w:t>While the Staff clearly has th</w:t>
      </w:r>
      <w:r w:rsidR="00F672DC">
        <w:t xml:space="preserve">e right to employ that strategy, </w:t>
      </w:r>
      <w:r w:rsidR="00CE5B89">
        <w:t xml:space="preserve">that is </w:t>
      </w:r>
      <w:r w:rsidR="00F672DC">
        <w:t xml:space="preserve">hardly </w:t>
      </w:r>
      <w:r w:rsidR="00CE5B89">
        <w:t xml:space="preserve">the standard the Company believes is encouraged by Commission procedural rules and </w:t>
      </w:r>
      <w:r w:rsidR="00C16D50">
        <w:t xml:space="preserve">regulatory </w:t>
      </w:r>
      <w:r w:rsidR="00CE5B89">
        <w:t>policy as a whole.</w:t>
      </w:r>
    </w:p>
  </w:footnote>
  <w:footnote w:id="4">
    <w:p w:rsidR="005313B8" w:rsidRDefault="005313B8">
      <w:pPr>
        <w:pStyle w:val="FootnoteText"/>
      </w:pPr>
      <w:r>
        <w:rPr>
          <w:rStyle w:val="FootnoteReference"/>
        </w:rPr>
        <w:footnoteRef/>
      </w:r>
      <w:r>
        <w:t xml:space="preserve"> In the co</w:t>
      </w:r>
      <w:r w:rsidR="000B7705">
        <w:t xml:space="preserve">ntext of this general rate case, </w:t>
      </w:r>
      <w:r>
        <w:t xml:space="preserve">that means the entire </w:t>
      </w:r>
      <w:r w:rsidR="00FA1AB2">
        <w:t xml:space="preserve">TG-131794 </w:t>
      </w:r>
      <w:r>
        <w:t xml:space="preserve">rate case </w:t>
      </w:r>
      <w:r w:rsidR="00FA1AB2">
        <w:t xml:space="preserve">file, </w:t>
      </w:r>
      <w:r w:rsidR="000B7705">
        <w:t xml:space="preserve">meaning </w:t>
      </w:r>
      <w:r>
        <w:t>all data request responses and workpaper</w:t>
      </w:r>
      <w:r w:rsidR="000B7705">
        <w:t xml:space="preserve"> submissions and all other data, </w:t>
      </w:r>
      <w:r>
        <w:t xml:space="preserve">which the Commission Staff has </w:t>
      </w:r>
      <w:r w:rsidR="00FA1AB2">
        <w:t xml:space="preserve">recently </w:t>
      </w:r>
      <w:r w:rsidR="000B7705">
        <w:t xml:space="preserve">reminded and </w:t>
      </w:r>
      <w:r>
        <w:t>admonished the industry as wholly subject to public records r</w:t>
      </w:r>
      <w:r w:rsidR="000B7705">
        <w:t xml:space="preserve">equests under present RCW 42.56, </w:t>
      </w:r>
      <w:r>
        <w:t>c</w:t>
      </w:r>
      <w:r w:rsidR="00591358">
        <w:t xml:space="preserve">ould </w:t>
      </w:r>
      <w:r w:rsidR="00356E37">
        <w:t xml:space="preserve">be considered, on </w:t>
      </w:r>
      <w:r w:rsidR="00591358">
        <w:t xml:space="preserve">offer of the Company, </w:t>
      </w:r>
      <w:r>
        <w:t xml:space="preserve">in weighing the sufficiency of the Company’s </w:t>
      </w:r>
      <w:r w:rsidR="000B7705">
        <w:t xml:space="preserve">necessary </w:t>
      </w:r>
      <w:r w:rsidR="008A7301">
        <w:t xml:space="preserve">showing </w:t>
      </w:r>
      <w:r>
        <w:t>at this stage of the case.</w:t>
      </w:r>
    </w:p>
  </w:footnote>
  <w:footnote w:id="5">
    <w:p w:rsidR="003A4751" w:rsidRDefault="003A4751">
      <w:pPr>
        <w:pStyle w:val="FootnoteText"/>
      </w:pPr>
      <w:r>
        <w:rPr>
          <w:rStyle w:val="FootnoteReference"/>
        </w:rPr>
        <w:footnoteRef/>
      </w:r>
      <w:r>
        <w:t xml:space="preserve"> </w:t>
      </w:r>
      <w:r w:rsidRPr="003A4751">
        <w:t>Order No. 5, UT-040788, at 6.</w:t>
      </w:r>
    </w:p>
  </w:footnote>
  <w:footnote w:id="6">
    <w:p w:rsidR="001F34DF" w:rsidRDefault="001F34DF" w:rsidP="000B7705">
      <w:pPr>
        <w:pStyle w:val="FootnoteText"/>
        <w:keepLines/>
      </w:pPr>
      <w:r>
        <w:rPr>
          <w:rStyle w:val="FootnoteReference"/>
        </w:rPr>
        <w:footnoteRef/>
      </w:r>
      <w:r>
        <w:t xml:space="preserve"> In fact, the agency tradition in non-pipeline transportation adjudications such as complaint, certificate and rate cases has historically </w:t>
      </w:r>
      <w:r w:rsidR="00025C19">
        <w:t xml:space="preserve">not </w:t>
      </w:r>
      <w:r w:rsidR="009C256B">
        <w:t xml:space="preserve">relied upon </w:t>
      </w:r>
      <w:r>
        <w:t xml:space="preserve">prefiled evidence, but </w:t>
      </w:r>
      <w:r w:rsidR="009C256B">
        <w:t xml:space="preserve">instead, </w:t>
      </w:r>
      <w:r>
        <w:t>evidence pr</w:t>
      </w:r>
      <w:r w:rsidR="0079661C">
        <w:t xml:space="preserve">esented live at hearing.  While, </w:t>
      </w:r>
      <w:r>
        <w:t xml:space="preserve">since preemption of motor carrier regulation in August, 1994, the Commission has </w:t>
      </w:r>
      <w:r w:rsidR="00F672DC">
        <w:t xml:space="preserve">trended </w:t>
      </w:r>
      <w:r>
        <w:t xml:space="preserve">more </w:t>
      </w:r>
      <w:r w:rsidR="00F672DC">
        <w:t xml:space="preserve">toward </w:t>
      </w:r>
      <w:r>
        <w:t>prefiled evidence in Title 81 cases, there ha</w:t>
      </w:r>
      <w:r w:rsidR="00025C19">
        <w:t xml:space="preserve">ve </w:t>
      </w:r>
      <w:r>
        <w:t xml:space="preserve">never been express promulgations by rule which address the presentation of prefiled </w:t>
      </w:r>
      <w:r w:rsidR="00F674F7">
        <w:t xml:space="preserve">testimonial </w:t>
      </w:r>
      <w:r>
        <w:t>evidence in solid waste rate cases and in which the “cases in chief” continue to be filed without prefi</w:t>
      </w:r>
      <w:r w:rsidR="009C256B">
        <w:t xml:space="preserve">led testimony, </w:t>
      </w:r>
      <w:r>
        <w:t>under WAC 480-07-520.  Thus, solid waste rate cases subject to adjudication are procedurally anomalous from a “before a</w:t>
      </w:r>
      <w:r w:rsidR="00F672DC">
        <w:t xml:space="preserve">nd after” evaluation standpoint, </w:t>
      </w:r>
      <w:r>
        <w:t xml:space="preserve">and the Company, in </w:t>
      </w:r>
      <w:r w:rsidR="00F674F7">
        <w:t xml:space="preserve">filing </w:t>
      </w:r>
      <w:r>
        <w:t xml:space="preserve">its original case as an Exhibit and in focusing on </w:t>
      </w:r>
      <w:r w:rsidR="00F674F7">
        <w:t xml:space="preserve">disputed </w:t>
      </w:r>
      <w:r>
        <w:t>issues in its prefiled testimony</w:t>
      </w:r>
      <w:r w:rsidR="009C256B">
        <w:t>,</w:t>
      </w:r>
      <w:r>
        <w:t xml:space="preserve"> sought to cover the procedural landscape accordingly with absolutely no intent to preclude either the Staff or Commission’s comprehensive review of </w:t>
      </w:r>
      <w:r w:rsidR="00F674F7">
        <w:t xml:space="preserve">the </w:t>
      </w:r>
      <w:r>
        <w:t xml:space="preserve">filing.  While it may have </w:t>
      </w:r>
      <w:r w:rsidR="00F672DC">
        <w:t xml:space="preserve">presented </w:t>
      </w:r>
      <w:r>
        <w:t>the filing in this fash</w:t>
      </w:r>
      <w:r w:rsidR="00F674F7">
        <w:t xml:space="preserve">ion in the interest of judicial, </w:t>
      </w:r>
      <w:r>
        <w:t xml:space="preserve">company </w:t>
      </w:r>
      <w:r w:rsidR="002D1072">
        <w:t>(</w:t>
      </w:r>
      <w:r>
        <w:t>and in turn</w:t>
      </w:r>
      <w:r w:rsidR="002D1072">
        <w:t>)</w:t>
      </w:r>
      <w:r>
        <w:t>, ratepayer economy, it had no intent to evade, manipulate or obfuscate either its burden of proof or responsibilities for developing a full adjudicative record in the process</w:t>
      </w:r>
      <w:r w:rsidR="00025C19">
        <w:t xml:space="preserve">.  </w:t>
      </w:r>
      <w:r>
        <w:t xml:space="preserve">Staff’s suggestions </w:t>
      </w:r>
      <w:r w:rsidR="00CE5B89">
        <w:t xml:space="preserve">in its Motion </w:t>
      </w:r>
      <w:r>
        <w:t>to the contrary are unfortunate and unfounded.</w:t>
      </w:r>
    </w:p>
  </w:footnote>
  <w:footnote w:id="7">
    <w:p w:rsidR="00D76200" w:rsidRDefault="00D76200">
      <w:pPr>
        <w:pStyle w:val="FootnoteText"/>
      </w:pPr>
      <w:r>
        <w:rPr>
          <w:rStyle w:val="FootnoteReference"/>
        </w:rPr>
        <w:footnoteRef/>
      </w:r>
      <w:r>
        <w:t xml:space="preserve"> Commission Staff’s Motion to Dismiss ¶ 5 at 2. </w:t>
      </w:r>
    </w:p>
  </w:footnote>
  <w:footnote w:id="8">
    <w:p w:rsidR="00F674F7" w:rsidRPr="00F674F7" w:rsidRDefault="00F674F7">
      <w:pPr>
        <w:pStyle w:val="FootnoteText"/>
      </w:pPr>
      <w:r>
        <w:rPr>
          <w:rStyle w:val="FootnoteReference"/>
        </w:rPr>
        <w:footnoteRef/>
      </w:r>
      <w:r>
        <w:t xml:space="preserve"> </w:t>
      </w:r>
      <w:r>
        <w:rPr>
          <w:i/>
        </w:rPr>
        <w:t>See</w:t>
      </w:r>
      <w:r>
        <w:t xml:space="preserve"> JD-1T § 6, </w:t>
      </w:r>
      <w:r w:rsidR="0079661C">
        <w:t xml:space="preserve">lines </w:t>
      </w:r>
      <w:r>
        <w:t xml:space="preserve">10-14. </w:t>
      </w:r>
    </w:p>
  </w:footnote>
  <w:footnote w:id="9">
    <w:p w:rsidR="00FA1AB2" w:rsidRDefault="00FA1AB2" w:rsidP="00FA1AB2">
      <w:pPr>
        <w:pStyle w:val="FootnoteText"/>
      </w:pPr>
      <w:r>
        <w:rPr>
          <w:rStyle w:val="FootnoteReference"/>
        </w:rPr>
        <w:footnoteRef/>
      </w:r>
      <w:r>
        <w:t xml:space="preserve"> Admittedly, formal adjudications of solid waste rate cases are exceedingly rare.  To the best of counsel’s knowledge, the last solid waste general rate case going to formal hearing and </w:t>
      </w:r>
      <w:r w:rsidR="00A051EF">
        <w:t xml:space="preserve">subject to a </w:t>
      </w:r>
      <w:r>
        <w:t xml:space="preserve">final Commission Order was In re: </w:t>
      </w:r>
      <w:r w:rsidRPr="00F92A24">
        <w:rPr>
          <w:i/>
        </w:rPr>
        <w:t>WUTC v. Sno-King Garbage Company, Inc.</w:t>
      </w:r>
      <w:r>
        <w:t xml:space="preserve"> (“</w:t>
      </w:r>
      <w:r w:rsidRPr="00F92A24">
        <w:rPr>
          <w:i/>
        </w:rPr>
        <w:t>Sno-King</w:t>
      </w:r>
      <w:r>
        <w:t xml:space="preserve">”) et al., Docket Nos. TG-900657 and TG-900658 (December, 1991), almost 23 years ago.  And </w:t>
      </w:r>
      <w:r w:rsidRPr="00F92A24">
        <w:rPr>
          <w:i/>
        </w:rPr>
        <w:t>Sno-King</w:t>
      </w:r>
      <w:r>
        <w:t xml:space="preserve"> was litigated largely on the pressing issue of adjustments to the then recent Lurito-Gallagher modified operating ratio ratemaking methodology to recognize recycling investments.</w:t>
      </w:r>
    </w:p>
    <w:p w:rsidR="00FA1AB2" w:rsidRDefault="00FA1AB2" w:rsidP="00FA1AB2">
      <w:pPr>
        <w:pStyle w:val="FootnoteText"/>
      </w:pPr>
    </w:p>
    <w:p w:rsidR="00FA1AB2" w:rsidRDefault="00FA1AB2" w:rsidP="00FA1AB2">
      <w:pPr>
        <w:pStyle w:val="FootnoteText"/>
      </w:pPr>
      <w:r>
        <w:t>Here, no one is suggesting that in the case of a solid waste rate case set for adjudication in 2014, overlaying the general rate case filing rule for solid waste companies at WAC 480-07-520 and the predistribution of exhibits and prefiled testimony rule of WAC 480-07-460, there is absolute certainty as to how the previously-filed and audited general rate case intersects with more conventional general rate case presentation</w:t>
      </w:r>
      <w:r w:rsidR="00A051EF">
        <w:t xml:space="preserve"> format </w:t>
      </w:r>
      <w:r>
        <w:t>for Title 80 industries.  Indeed, the Company, through counsel, recognized that in a status conference.  But for the Staff now to seek outright dismissal of the Company’s case after six months of process is hardly reasonable or consistent with the public interest.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D2F" w:rsidRDefault="00947D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D2F" w:rsidRDefault="00947D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D2F" w:rsidRDefault="00947D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0115ED"/>
    <w:multiLevelType w:val="hybridMultilevel"/>
    <w:tmpl w:val="551A618C"/>
    <w:lvl w:ilvl="0" w:tplc="9B989C64">
      <w:start w:val="1"/>
      <w:numFmt w:val="decimal"/>
      <w:lvlText w:val="%1"/>
      <w:lvlJc w:val="left"/>
      <w:pPr>
        <w:ind w:left="360" w:hanging="360"/>
      </w:pPr>
      <w:rPr>
        <w:rFonts w:ascii="Times New Roman" w:hAnsi="Times New Roman" w:hint="default"/>
        <w:b w:val="0"/>
        <w:i/>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779C6F18"/>
    <w:multiLevelType w:val="hybridMultilevel"/>
    <w:tmpl w:val="78D2766A"/>
    <w:lvl w:ilvl="0" w:tplc="0B145B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4D5"/>
    <w:rsid w:val="00004EA8"/>
    <w:rsid w:val="0000605B"/>
    <w:rsid w:val="00007717"/>
    <w:rsid w:val="00015101"/>
    <w:rsid w:val="00017340"/>
    <w:rsid w:val="00022F32"/>
    <w:rsid w:val="00025C19"/>
    <w:rsid w:val="000328E1"/>
    <w:rsid w:val="00037322"/>
    <w:rsid w:val="00042609"/>
    <w:rsid w:val="000500EA"/>
    <w:rsid w:val="000500EE"/>
    <w:rsid w:val="000563D3"/>
    <w:rsid w:val="00064691"/>
    <w:rsid w:val="00071CF6"/>
    <w:rsid w:val="0007709C"/>
    <w:rsid w:val="00080AE2"/>
    <w:rsid w:val="00081B7D"/>
    <w:rsid w:val="000A332B"/>
    <w:rsid w:val="000B2AAD"/>
    <w:rsid w:val="000B3E4D"/>
    <w:rsid w:val="000B66B0"/>
    <w:rsid w:val="000B73D5"/>
    <w:rsid w:val="000B7705"/>
    <w:rsid w:val="000B7F13"/>
    <w:rsid w:val="000C6E99"/>
    <w:rsid w:val="000E1970"/>
    <w:rsid w:val="000E2027"/>
    <w:rsid w:val="000E230A"/>
    <w:rsid w:val="000E5E74"/>
    <w:rsid w:val="000E640C"/>
    <w:rsid w:val="000E67C5"/>
    <w:rsid w:val="000F7E03"/>
    <w:rsid w:val="00101081"/>
    <w:rsid w:val="001046C3"/>
    <w:rsid w:val="0010565F"/>
    <w:rsid w:val="001061F2"/>
    <w:rsid w:val="001104EE"/>
    <w:rsid w:val="00115CBF"/>
    <w:rsid w:val="00121ED2"/>
    <w:rsid w:val="00124893"/>
    <w:rsid w:val="001268CF"/>
    <w:rsid w:val="00131D27"/>
    <w:rsid w:val="0013351A"/>
    <w:rsid w:val="0013420D"/>
    <w:rsid w:val="00134FD0"/>
    <w:rsid w:val="00142C64"/>
    <w:rsid w:val="00144BED"/>
    <w:rsid w:val="00151B3A"/>
    <w:rsid w:val="00152DE9"/>
    <w:rsid w:val="00154BAB"/>
    <w:rsid w:val="00161B2B"/>
    <w:rsid w:val="00162396"/>
    <w:rsid w:val="00170B29"/>
    <w:rsid w:val="00174890"/>
    <w:rsid w:val="0018078A"/>
    <w:rsid w:val="00181E5C"/>
    <w:rsid w:val="0018335B"/>
    <w:rsid w:val="0018383F"/>
    <w:rsid w:val="00184450"/>
    <w:rsid w:val="001909B0"/>
    <w:rsid w:val="00191837"/>
    <w:rsid w:val="00191AB2"/>
    <w:rsid w:val="00191BC5"/>
    <w:rsid w:val="001A43CF"/>
    <w:rsid w:val="001A5A1F"/>
    <w:rsid w:val="001A5AE0"/>
    <w:rsid w:val="001B1A16"/>
    <w:rsid w:val="001B2DE1"/>
    <w:rsid w:val="001C1877"/>
    <w:rsid w:val="001C28C4"/>
    <w:rsid w:val="001C5AB1"/>
    <w:rsid w:val="001D1A89"/>
    <w:rsid w:val="001D5D60"/>
    <w:rsid w:val="001E1D7A"/>
    <w:rsid w:val="001E1ED7"/>
    <w:rsid w:val="001E5562"/>
    <w:rsid w:val="001E771E"/>
    <w:rsid w:val="001F34DF"/>
    <w:rsid w:val="002005CC"/>
    <w:rsid w:val="002079FC"/>
    <w:rsid w:val="00223304"/>
    <w:rsid w:val="00233554"/>
    <w:rsid w:val="0024251F"/>
    <w:rsid w:val="00244C7E"/>
    <w:rsid w:val="0024671A"/>
    <w:rsid w:val="0024679C"/>
    <w:rsid w:val="00252F7D"/>
    <w:rsid w:val="00255364"/>
    <w:rsid w:val="00255CCF"/>
    <w:rsid w:val="00264B00"/>
    <w:rsid w:val="0026568B"/>
    <w:rsid w:val="002772F3"/>
    <w:rsid w:val="00284607"/>
    <w:rsid w:val="002915F5"/>
    <w:rsid w:val="00295DF4"/>
    <w:rsid w:val="0029680A"/>
    <w:rsid w:val="002B2D97"/>
    <w:rsid w:val="002C039A"/>
    <w:rsid w:val="002C0E44"/>
    <w:rsid w:val="002C14F2"/>
    <w:rsid w:val="002C3C21"/>
    <w:rsid w:val="002C3F4E"/>
    <w:rsid w:val="002C5010"/>
    <w:rsid w:val="002D1072"/>
    <w:rsid w:val="002D1EBB"/>
    <w:rsid w:val="002D5151"/>
    <w:rsid w:val="002E48D5"/>
    <w:rsid w:val="002E60AF"/>
    <w:rsid w:val="0030043F"/>
    <w:rsid w:val="00303100"/>
    <w:rsid w:val="00307C3A"/>
    <w:rsid w:val="00311CE4"/>
    <w:rsid w:val="00321F3A"/>
    <w:rsid w:val="00325F85"/>
    <w:rsid w:val="003267C4"/>
    <w:rsid w:val="003403D5"/>
    <w:rsid w:val="0034792E"/>
    <w:rsid w:val="00350B36"/>
    <w:rsid w:val="00356E37"/>
    <w:rsid w:val="00366A12"/>
    <w:rsid w:val="0037065A"/>
    <w:rsid w:val="003737CE"/>
    <w:rsid w:val="00377736"/>
    <w:rsid w:val="00395AEA"/>
    <w:rsid w:val="00397913"/>
    <w:rsid w:val="003A4751"/>
    <w:rsid w:val="003A48E4"/>
    <w:rsid w:val="003B5349"/>
    <w:rsid w:val="003C2585"/>
    <w:rsid w:val="003C63E6"/>
    <w:rsid w:val="003D19EB"/>
    <w:rsid w:val="003E0C14"/>
    <w:rsid w:val="003E4754"/>
    <w:rsid w:val="00400DC3"/>
    <w:rsid w:val="0040151B"/>
    <w:rsid w:val="00407465"/>
    <w:rsid w:val="00412B75"/>
    <w:rsid w:val="00414E01"/>
    <w:rsid w:val="00416542"/>
    <w:rsid w:val="00421873"/>
    <w:rsid w:val="00424027"/>
    <w:rsid w:val="00425E07"/>
    <w:rsid w:val="00430BE6"/>
    <w:rsid w:val="00435775"/>
    <w:rsid w:val="00437162"/>
    <w:rsid w:val="004432DD"/>
    <w:rsid w:val="004467DB"/>
    <w:rsid w:val="00446EF5"/>
    <w:rsid w:val="004473D6"/>
    <w:rsid w:val="00456241"/>
    <w:rsid w:val="00475232"/>
    <w:rsid w:val="00484010"/>
    <w:rsid w:val="00484AB2"/>
    <w:rsid w:val="00490148"/>
    <w:rsid w:val="004938C8"/>
    <w:rsid w:val="00494B1F"/>
    <w:rsid w:val="00497BF2"/>
    <w:rsid w:val="004A7AB3"/>
    <w:rsid w:val="004B1970"/>
    <w:rsid w:val="004B3F26"/>
    <w:rsid w:val="004C710C"/>
    <w:rsid w:val="004D6EE9"/>
    <w:rsid w:val="004E3D13"/>
    <w:rsid w:val="004E66D4"/>
    <w:rsid w:val="004F4576"/>
    <w:rsid w:val="004F5668"/>
    <w:rsid w:val="00507B2B"/>
    <w:rsid w:val="0052390A"/>
    <w:rsid w:val="005313B8"/>
    <w:rsid w:val="005347B4"/>
    <w:rsid w:val="00540208"/>
    <w:rsid w:val="00545BDC"/>
    <w:rsid w:val="00552600"/>
    <w:rsid w:val="00553E75"/>
    <w:rsid w:val="00560190"/>
    <w:rsid w:val="0056093D"/>
    <w:rsid w:val="00571BC7"/>
    <w:rsid w:val="00574109"/>
    <w:rsid w:val="00581BEE"/>
    <w:rsid w:val="00583DCC"/>
    <w:rsid w:val="00591358"/>
    <w:rsid w:val="00591E78"/>
    <w:rsid w:val="00592A0D"/>
    <w:rsid w:val="005953B6"/>
    <w:rsid w:val="005979AB"/>
    <w:rsid w:val="005A6C74"/>
    <w:rsid w:val="005B27B4"/>
    <w:rsid w:val="005D498F"/>
    <w:rsid w:val="005E3265"/>
    <w:rsid w:val="005E58E3"/>
    <w:rsid w:val="005E7897"/>
    <w:rsid w:val="005F2046"/>
    <w:rsid w:val="005F5C5D"/>
    <w:rsid w:val="005F6581"/>
    <w:rsid w:val="0060136F"/>
    <w:rsid w:val="006161D1"/>
    <w:rsid w:val="00620C21"/>
    <w:rsid w:val="00623547"/>
    <w:rsid w:val="006444B1"/>
    <w:rsid w:val="00644E45"/>
    <w:rsid w:val="006636CE"/>
    <w:rsid w:val="00672F7B"/>
    <w:rsid w:val="00674962"/>
    <w:rsid w:val="00677711"/>
    <w:rsid w:val="00680906"/>
    <w:rsid w:val="006846B8"/>
    <w:rsid w:val="0069310D"/>
    <w:rsid w:val="00695807"/>
    <w:rsid w:val="006A41EE"/>
    <w:rsid w:val="006A4397"/>
    <w:rsid w:val="006A5BCC"/>
    <w:rsid w:val="006A5DFA"/>
    <w:rsid w:val="006B5146"/>
    <w:rsid w:val="006C7503"/>
    <w:rsid w:val="006C7A09"/>
    <w:rsid w:val="006E4ADC"/>
    <w:rsid w:val="006F1642"/>
    <w:rsid w:val="006F47FE"/>
    <w:rsid w:val="00704B50"/>
    <w:rsid w:val="00707D6D"/>
    <w:rsid w:val="0072139D"/>
    <w:rsid w:val="00727001"/>
    <w:rsid w:val="00740414"/>
    <w:rsid w:val="00762C17"/>
    <w:rsid w:val="0076303B"/>
    <w:rsid w:val="007657C0"/>
    <w:rsid w:val="00775024"/>
    <w:rsid w:val="0079661C"/>
    <w:rsid w:val="007A44AC"/>
    <w:rsid w:val="007B120D"/>
    <w:rsid w:val="007B37F6"/>
    <w:rsid w:val="007C4AC1"/>
    <w:rsid w:val="007C71AE"/>
    <w:rsid w:val="007D5EB2"/>
    <w:rsid w:val="007E0A3D"/>
    <w:rsid w:val="007E1B00"/>
    <w:rsid w:val="007F433D"/>
    <w:rsid w:val="00813270"/>
    <w:rsid w:val="0081520C"/>
    <w:rsid w:val="008168EA"/>
    <w:rsid w:val="00817FE7"/>
    <w:rsid w:val="00823671"/>
    <w:rsid w:val="00825B47"/>
    <w:rsid w:val="0083129C"/>
    <w:rsid w:val="00834CC9"/>
    <w:rsid w:val="00836A86"/>
    <w:rsid w:val="008414D5"/>
    <w:rsid w:val="00843E2A"/>
    <w:rsid w:val="00855DEA"/>
    <w:rsid w:val="008606F0"/>
    <w:rsid w:val="00863A33"/>
    <w:rsid w:val="0086493D"/>
    <w:rsid w:val="008808AD"/>
    <w:rsid w:val="00881362"/>
    <w:rsid w:val="00882BBC"/>
    <w:rsid w:val="0088486C"/>
    <w:rsid w:val="00886EC2"/>
    <w:rsid w:val="00887598"/>
    <w:rsid w:val="00887EE3"/>
    <w:rsid w:val="00890EB5"/>
    <w:rsid w:val="008917EB"/>
    <w:rsid w:val="008919F1"/>
    <w:rsid w:val="008A7301"/>
    <w:rsid w:val="008B379A"/>
    <w:rsid w:val="008C08D6"/>
    <w:rsid w:val="008C70D9"/>
    <w:rsid w:val="008C738D"/>
    <w:rsid w:val="008D10FE"/>
    <w:rsid w:val="008D1737"/>
    <w:rsid w:val="008D31AF"/>
    <w:rsid w:val="008E2AAD"/>
    <w:rsid w:val="008F28C1"/>
    <w:rsid w:val="008F378B"/>
    <w:rsid w:val="008F380A"/>
    <w:rsid w:val="00901DA3"/>
    <w:rsid w:val="0090379A"/>
    <w:rsid w:val="00912ECA"/>
    <w:rsid w:val="009278D1"/>
    <w:rsid w:val="009328EC"/>
    <w:rsid w:val="00936E26"/>
    <w:rsid w:val="00944E64"/>
    <w:rsid w:val="00947D2F"/>
    <w:rsid w:val="009515A0"/>
    <w:rsid w:val="009679D6"/>
    <w:rsid w:val="00973116"/>
    <w:rsid w:val="00995500"/>
    <w:rsid w:val="009A0239"/>
    <w:rsid w:val="009A0C8E"/>
    <w:rsid w:val="009A67A3"/>
    <w:rsid w:val="009B2292"/>
    <w:rsid w:val="009C2260"/>
    <w:rsid w:val="009C256B"/>
    <w:rsid w:val="009D02CC"/>
    <w:rsid w:val="009E0915"/>
    <w:rsid w:val="009E1AB8"/>
    <w:rsid w:val="009E2B73"/>
    <w:rsid w:val="009E3B40"/>
    <w:rsid w:val="009E417C"/>
    <w:rsid w:val="009E4BAC"/>
    <w:rsid w:val="009F3C11"/>
    <w:rsid w:val="009F7663"/>
    <w:rsid w:val="00A051EF"/>
    <w:rsid w:val="00A12679"/>
    <w:rsid w:val="00A15070"/>
    <w:rsid w:val="00A22103"/>
    <w:rsid w:val="00A2433B"/>
    <w:rsid w:val="00A25C71"/>
    <w:rsid w:val="00A2773B"/>
    <w:rsid w:val="00A33437"/>
    <w:rsid w:val="00A83B82"/>
    <w:rsid w:val="00A84C2A"/>
    <w:rsid w:val="00AB1117"/>
    <w:rsid w:val="00AC2A48"/>
    <w:rsid w:val="00AC5E9B"/>
    <w:rsid w:val="00AC6279"/>
    <w:rsid w:val="00AD3312"/>
    <w:rsid w:val="00AD68D4"/>
    <w:rsid w:val="00AE273E"/>
    <w:rsid w:val="00B051C5"/>
    <w:rsid w:val="00B07027"/>
    <w:rsid w:val="00B07569"/>
    <w:rsid w:val="00B104D3"/>
    <w:rsid w:val="00B1107E"/>
    <w:rsid w:val="00B13041"/>
    <w:rsid w:val="00B22F95"/>
    <w:rsid w:val="00B362BE"/>
    <w:rsid w:val="00B37387"/>
    <w:rsid w:val="00B432D8"/>
    <w:rsid w:val="00B5280B"/>
    <w:rsid w:val="00B568FE"/>
    <w:rsid w:val="00B63E62"/>
    <w:rsid w:val="00B66797"/>
    <w:rsid w:val="00B72155"/>
    <w:rsid w:val="00B75016"/>
    <w:rsid w:val="00B82160"/>
    <w:rsid w:val="00B83640"/>
    <w:rsid w:val="00B92553"/>
    <w:rsid w:val="00B932A4"/>
    <w:rsid w:val="00B96F6D"/>
    <w:rsid w:val="00B9799C"/>
    <w:rsid w:val="00BD4619"/>
    <w:rsid w:val="00BD6BBA"/>
    <w:rsid w:val="00BE1162"/>
    <w:rsid w:val="00BE217A"/>
    <w:rsid w:val="00BE60B3"/>
    <w:rsid w:val="00BF01B1"/>
    <w:rsid w:val="00BF2FE8"/>
    <w:rsid w:val="00C16D50"/>
    <w:rsid w:val="00C179A3"/>
    <w:rsid w:val="00C21CF0"/>
    <w:rsid w:val="00C459CF"/>
    <w:rsid w:val="00C56747"/>
    <w:rsid w:val="00C56950"/>
    <w:rsid w:val="00C64377"/>
    <w:rsid w:val="00C66B65"/>
    <w:rsid w:val="00C7078C"/>
    <w:rsid w:val="00C7338A"/>
    <w:rsid w:val="00C75030"/>
    <w:rsid w:val="00C75A68"/>
    <w:rsid w:val="00C7740B"/>
    <w:rsid w:val="00C90BB0"/>
    <w:rsid w:val="00C93B14"/>
    <w:rsid w:val="00CA074A"/>
    <w:rsid w:val="00CB1C94"/>
    <w:rsid w:val="00CB37E7"/>
    <w:rsid w:val="00CC5BE7"/>
    <w:rsid w:val="00CD1FA3"/>
    <w:rsid w:val="00CE5B89"/>
    <w:rsid w:val="00CF3A76"/>
    <w:rsid w:val="00D0666D"/>
    <w:rsid w:val="00D3157C"/>
    <w:rsid w:val="00D35BE6"/>
    <w:rsid w:val="00D373F9"/>
    <w:rsid w:val="00D4471F"/>
    <w:rsid w:val="00D517B1"/>
    <w:rsid w:val="00D5644C"/>
    <w:rsid w:val="00D65255"/>
    <w:rsid w:val="00D74B92"/>
    <w:rsid w:val="00D76200"/>
    <w:rsid w:val="00D87812"/>
    <w:rsid w:val="00D91A07"/>
    <w:rsid w:val="00D91F0E"/>
    <w:rsid w:val="00DA0B5F"/>
    <w:rsid w:val="00DA1B86"/>
    <w:rsid w:val="00DA4427"/>
    <w:rsid w:val="00DB5C8A"/>
    <w:rsid w:val="00DB6A0F"/>
    <w:rsid w:val="00DC5619"/>
    <w:rsid w:val="00DD2273"/>
    <w:rsid w:val="00DD2A47"/>
    <w:rsid w:val="00DD727E"/>
    <w:rsid w:val="00DD7CE4"/>
    <w:rsid w:val="00DF0804"/>
    <w:rsid w:val="00DF4BCA"/>
    <w:rsid w:val="00E00568"/>
    <w:rsid w:val="00E11035"/>
    <w:rsid w:val="00E1169D"/>
    <w:rsid w:val="00E124CE"/>
    <w:rsid w:val="00E134D2"/>
    <w:rsid w:val="00E15B15"/>
    <w:rsid w:val="00E201C8"/>
    <w:rsid w:val="00E230FA"/>
    <w:rsid w:val="00E3139E"/>
    <w:rsid w:val="00E32EC7"/>
    <w:rsid w:val="00E46298"/>
    <w:rsid w:val="00E60A17"/>
    <w:rsid w:val="00E710B4"/>
    <w:rsid w:val="00E71BB8"/>
    <w:rsid w:val="00E85470"/>
    <w:rsid w:val="00E9305E"/>
    <w:rsid w:val="00E9402C"/>
    <w:rsid w:val="00E9561C"/>
    <w:rsid w:val="00EA0815"/>
    <w:rsid w:val="00EA54A0"/>
    <w:rsid w:val="00EA5D85"/>
    <w:rsid w:val="00EC296B"/>
    <w:rsid w:val="00EC2A50"/>
    <w:rsid w:val="00ED1979"/>
    <w:rsid w:val="00ED2070"/>
    <w:rsid w:val="00ED54D0"/>
    <w:rsid w:val="00ED6AD1"/>
    <w:rsid w:val="00EE1D8C"/>
    <w:rsid w:val="00EE2B74"/>
    <w:rsid w:val="00EE5CB3"/>
    <w:rsid w:val="00EF0619"/>
    <w:rsid w:val="00F10C31"/>
    <w:rsid w:val="00F125E8"/>
    <w:rsid w:val="00F20C0F"/>
    <w:rsid w:val="00F21B68"/>
    <w:rsid w:val="00F25598"/>
    <w:rsid w:val="00F27EDB"/>
    <w:rsid w:val="00F46D68"/>
    <w:rsid w:val="00F672DC"/>
    <w:rsid w:val="00F674F7"/>
    <w:rsid w:val="00F735E2"/>
    <w:rsid w:val="00F73C3C"/>
    <w:rsid w:val="00F75258"/>
    <w:rsid w:val="00F8170C"/>
    <w:rsid w:val="00F81AD2"/>
    <w:rsid w:val="00F82549"/>
    <w:rsid w:val="00F92A24"/>
    <w:rsid w:val="00F93B88"/>
    <w:rsid w:val="00FA1AB2"/>
    <w:rsid w:val="00FB47AF"/>
    <w:rsid w:val="00FB6129"/>
    <w:rsid w:val="00FC2F37"/>
    <w:rsid w:val="00FC4B2C"/>
    <w:rsid w:val="00FD12A0"/>
    <w:rsid w:val="00FF1886"/>
    <w:rsid w:val="00FF6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BodyTextIndent2">
    <w:name w:val="Body Text Indent 2"/>
    <w:basedOn w:val="Normal"/>
    <w:link w:val="BodyTextIndent2Char"/>
    <w:rsid w:val="008D10FE"/>
    <w:pPr>
      <w:ind w:left="686"/>
    </w:pPr>
    <w:rPr>
      <w:rFonts w:ascii="Palatino Linotype" w:eastAsia="Times New Roman" w:hAnsi="Palatino Linotype" w:cs="Times New Roman"/>
      <w:sz w:val="24"/>
      <w:szCs w:val="24"/>
    </w:rPr>
  </w:style>
  <w:style w:type="character" w:customStyle="1" w:styleId="BodyTextIndent2Char">
    <w:name w:val="Body Text Indent 2 Char"/>
    <w:basedOn w:val="DefaultParagraphFont"/>
    <w:link w:val="BodyTextIndent2"/>
    <w:rsid w:val="008D10FE"/>
    <w:rPr>
      <w:rFonts w:ascii="Palatino Linotype" w:eastAsia="Times New Roman" w:hAnsi="Palatino Linotype" w:cs="Times New Roman"/>
      <w:sz w:val="24"/>
      <w:szCs w:val="24"/>
    </w:rPr>
  </w:style>
  <w:style w:type="paragraph" w:styleId="Header">
    <w:name w:val="header"/>
    <w:basedOn w:val="Normal"/>
    <w:link w:val="HeaderChar"/>
    <w:rsid w:val="008D10FE"/>
    <w:pPr>
      <w:tabs>
        <w:tab w:val="center" w:pos="4320"/>
        <w:tab w:val="right" w:pos="8640"/>
      </w:tabs>
    </w:pPr>
    <w:rPr>
      <w:rFonts w:ascii="Palatino Linotype" w:eastAsia="Times New Roman" w:hAnsi="Palatino Linotype" w:cs="Times New Roman"/>
      <w:sz w:val="24"/>
      <w:szCs w:val="24"/>
    </w:rPr>
  </w:style>
  <w:style w:type="character" w:customStyle="1" w:styleId="HeaderChar">
    <w:name w:val="Header Char"/>
    <w:basedOn w:val="DefaultParagraphFont"/>
    <w:link w:val="Header"/>
    <w:rsid w:val="008D10FE"/>
    <w:rPr>
      <w:rFonts w:ascii="Palatino Linotype" w:eastAsia="Times New Roman" w:hAnsi="Palatino Linotype" w:cs="Times New Roman"/>
      <w:sz w:val="24"/>
      <w:szCs w:val="24"/>
    </w:rPr>
  </w:style>
  <w:style w:type="paragraph" w:styleId="ListParagraph">
    <w:name w:val="List Paragraph"/>
    <w:basedOn w:val="Normal"/>
    <w:uiPriority w:val="34"/>
    <w:qFormat/>
    <w:rsid w:val="008D10FE"/>
    <w:pPr>
      <w:ind w:left="720"/>
      <w:contextualSpacing/>
    </w:pPr>
  </w:style>
  <w:style w:type="paragraph" w:styleId="BalloonText">
    <w:name w:val="Balloon Text"/>
    <w:basedOn w:val="Normal"/>
    <w:link w:val="BalloonTextChar"/>
    <w:uiPriority w:val="99"/>
    <w:semiHidden/>
    <w:unhideWhenUsed/>
    <w:rsid w:val="001A5AE0"/>
    <w:rPr>
      <w:rFonts w:ascii="Tahoma" w:hAnsi="Tahoma" w:cs="Tahoma"/>
      <w:sz w:val="16"/>
      <w:szCs w:val="16"/>
    </w:rPr>
  </w:style>
  <w:style w:type="character" w:customStyle="1" w:styleId="BalloonTextChar">
    <w:name w:val="Balloon Text Char"/>
    <w:basedOn w:val="DefaultParagraphFont"/>
    <w:link w:val="BalloonText"/>
    <w:uiPriority w:val="99"/>
    <w:semiHidden/>
    <w:rsid w:val="001A5AE0"/>
    <w:rPr>
      <w:rFonts w:ascii="Tahoma" w:hAnsi="Tahoma" w:cs="Tahoma"/>
      <w:sz w:val="16"/>
      <w:szCs w:val="16"/>
    </w:rPr>
  </w:style>
  <w:style w:type="character" w:styleId="CommentReference">
    <w:name w:val="annotation reference"/>
    <w:basedOn w:val="DefaultParagraphFont"/>
    <w:uiPriority w:val="99"/>
    <w:semiHidden/>
    <w:unhideWhenUsed/>
    <w:rsid w:val="00704B50"/>
    <w:rPr>
      <w:sz w:val="16"/>
      <w:szCs w:val="16"/>
    </w:rPr>
  </w:style>
  <w:style w:type="paragraph" w:styleId="CommentText">
    <w:name w:val="annotation text"/>
    <w:basedOn w:val="Normal"/>
    <w:link w:val="CommentTextChar"/>
    <w:uiPriority w:val="99"/>
    <w:semiHidden/>
    <w:unhideWhenUsed/>
    <w:rsid w:val="00704B50"/>
    <w:rPr>
      <w:sz w:val="20"/>
      <w:szCs w:val="20"/>
    </w:rPr>
  </w:style>
  <w:style w:type="character" w:customStyle="1" w:styleId="CommentTextChar">
    <w:name w:val="Comment Text Char"/>
    <w:basedOn w:val="DefaultParagraphFont"/>
    <w:link w:val="CommentText"/>
    <w:uiPriority w:val="99"/>
    <w:semiHidden/>
    <w:rsid w:val="00704B50"/>
    <w:rPr>
      <w:sz w:val="20"/>
      <w:szCs w:val="20"/>
    </w:rPr>
  </w:style>
  <w:style w:type="paragraph" w:styleId="CommentSubject">
    <w:name w:val="annotation subject"/>
    <w:basedOn w:val="CommentText"/>
    <w:next w:val="CommentText"/>
    <w:link w:val="CommentSubjectChar"/>
    <w:uiPriority w:val="99"/>
    <w:semiHidden/>
    <w:unhideWhenUsed/>
    <w:rsid w:val="00704B50"/>
    <w:rPr>
      <w:b/>
      <w:bCs/>
    </w:rPr>
  </w:style>
  <w:style w:type="character" w:customStyle="1" w:styleId="CommentSubjectChar">
    <w:name w:val="Comment Subject Char"/>
    <w:basedOn w:val="CommentTextChar"/>
    <w:link w:val="CommentSubject"/>
    <w:uiPriority w:val="99"/>
    <w:semiHidden/>
    <w:rsid w:val="00704B50"/>
    <w:rPr>
      <w:b/>
      <w:bCs/>
      <w:sz w:val="20"/>
      <w:szCs w:val="20"/>
    </w:rPr>
  </w:style>
  <w:style w:type="paragraph" w:styleId="Revision">
    <w:name w:val="Revision"/>
    <w:hidden/>
    <w:uiPriority w:val="99"/>
    <w:semiHidden/>
    <w:rsid w:val="00704B50"/>
  </w:style>
  <w:style w:type="paragraph" w:styleId="Footer">
    <w:name w:val="footer"/>
    <w:basedOn w:val="Normal"/>
    <w:link w:val="FooterChar"/>
    <w:uiPriority w:val="99"/>
    <w:unhideWhenUsed/>
    <w:rsid w:val="00623547"/>
    <w:pPr>
      <w:tabs>
        <w:tab w:val="center" w:pos="4680"/>
        <w:tab w:val="right" w:pos="9360"/>
      </w:tabs>
    </w:pPr>
  </w:style>
  <w:style w:type="character" w:customStyle="1" w:styleId="FooterChar">
    <w:name w:val="Footer Char"/>
    <w:basedOn w:val="DefaultParagraphFont"/>
    <w:link w:val="Footer"/>
    <w:uiPriority w:val="99"/>
    <w:rsid w:val="00623547"/>
  </w:style>
  <w:style w:type="paragraph" w:styleId="FootnoteText">
    <w:name w:val="footnote text"/>
    <w:basedOn w:val="Normal"/>
    <w:link w:val="FootnoteTextChar"/>
    <w:uiPriority w:val="99"/>
    <w:semiHidden/>
    <w:unhideWhenUsed/>
    <w:rsid w:val="007D5EB2"/>
    <w:rPr>
      <w:sz w:val="20"/>
      <w:szCs w:val="20"/>
    </w:rPr>
  </w:style>
  <w:style w:type="character" w:customStyle="1" w:styleId="FootnoteTextChar">
    <w:name w:val="Footnote Text Char"/>
    <w:basedOn w:val="DefaultParagraphFont"/>
    <w:link w:val="FootnoteText"/>
    <w:uiPriority w:val="99"/>
    <w:semiHidden/>
    <w:rsid w:val="007D5EB2"/>
    <w:rPr>
      <w:sz w:val="20"/>
      <w:szCs w:val="20"/>
    </w:rPr>
  </w:style>
  <w:style w:type="character" w:styleId="FootnoteReference">
    <w:name w:val="footnote reference"/>
    <w:basedOn w:val="DefaultParagraphFont"/>
    <w:uiPriority w:val="99"/>
    <w:semiHidden/>
    <w:unhideWhenUsed/>
    <w:rsid w:val="007D5EB2"/>
    <w:rPr>
      <w:vertAlign w:val="superscript"/>
    </w:rPr>
  </w:style>
  <w:style w:type="character" w:styleId="Hyperlink">
    <w:name w:val="Hyperlink"/>
    <w:rsid w:val="00DD2273"/>
    <w:rPr>
      <w:color w:val="0000FF"/>
      <w:u w:val="single"/>
    </w:rPr>
  </w:style>
  <w:style w:type="paragraph" w:styleId="BodyText2">
    <w:name w:val="Body Text 2"/>
    <w:basedOn w:val="Normal"/>
    <w:link w:val="BodyText2Char"/>
    <w:uiPriority w:val="99"/>
    <w:semiHidden/>
    <w:unhideWhenUsed/>
    <w:rsid w:val="004B1970"/>
    <w:pPr>
      <w:spacing w:after="120" w:line="480" w:lineRule="auto"/>
    </w:pPr>
  </w:style>
  <w:style w:type="character" w:customStyle="1" w:styleId="BodyText2Char">
    <w:name w:val="Body Text 2 Char"/>
    <w:basedOn w:val="DefaultParagraphFont"/>
    <w:link w:val="BodyText2"/>
    <w:uiPriority w:val="99"/>
    <w:semiHidden/>
    <w:rsid w:val="004B19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BodyTextIndent2">
    <w:name w:val="Body Text Indent 2"/>
    <w:basedOn w:val="Normal"/>
    <w:link w:val="BodyTextIndent2Char"/>
    <w:rsid w:val="008D10FE"/>
    <w:pPr>
      <w:ind w:left="686"/>
    </w:pPr>
    <w:rPr>
      <w:rFonts w:ascii="Palatino Linotype" w:eastAsia="Times New Roman" w:hAnsi="Palatino Linotype" w:cs="Times New Roman"/>
      <w:sz w:val="24"/>
      <w:szCs w:val="24"/>
    </w:rPr>
  </w:style>
  <w:style w:type="character" w:customStyle="1" w:styleId="BodyTextIndent2Char">
    <w:name w:val="Body Text Indent 2 Char"/>
    <w:basedOn w:val="DefaultParagraphFont"/>
    <w:link w:val="BodyTextIndent2"/>
    <w:rsid w:val="008D10FE"/>
    <w:rPr>
      <w:rFonts w:ascii="Palatino Linotype" w:eastAsia="Times New Roman" w:hAnsi="Palatino Linotype" w:cs="Times New Roman"/>
      <w:sz w:val="24"/>
      <w:szCs w:val="24"/>
    </w:rPr>
  </w:style>
  <w:style w:type="paragraph" w:styleId="Header">
    <w:name w:val="header"/>
    <w:basedOn w:val="Normal"/>
    <w:link w:val="HeaderChar"/>
    <w:rsid w:val="008D10FE"/>
    <w:pPr>
      <w:tabs>
        <w:tab w:val="center" w:pos="4320"/>
        <w:tab w:val="right" w:pos="8640"/>
      </w:tabs>
    </w:pPr>
    <w:rPr>
      <w:rFonts w:ascii="Palatino Linotype" w:eastAsia="Times New Roman" w:hAnsi="Palatino Linotype" w:cs="Times New Roman"/>
      <w:sz w:val="24"/>
      <w:szCs w:val="24"/>
    </w:rPr>
  </w:style>
  <w:style w:type="character" w:customStyle="1" w:styleId="HeaderChar">
    <w:name w:val="Header Char"/>
    <w:basedOn w:val="DefaultParagraphFont"/>
    <w:link w:val="Header"/>
    <w:rsid w:val="008D10FE"/>
    <w:rPr>
      <w:rFonts w:ascii="Palatino Linotype" w:eastAsia="Times New Roman" w:hAnsi="Palatino Linotype" w:cs="Times New Roman"/>
      <w:sz w:val="24"/>
      <w:szCs w:val="24"/>
    </w:rPr>
  </w:style>
  <w:style w:type="paragraph" w:styleId="ListParagraph">
    <w:name w:val="List Paragraph"/>
    <w:basedOn w:val="Normal"/>
    <w:uiPriority w:val="34"/>
    <w:qFormat/>
    <w:rsid w:val="008D10FE"/>
    <w:pPr>
      <w:ind w:left="720"/>
      <w:contextualSpacing/>
    </w:pPr>
  </w:style>
  <w:style w:type="paragraph" w:styleId="BalloonText">
    <w:name w:val="Balloon Text"/>
    <w:basedOn w:val="Normal"/>
    <w:link w:val="BalloonTextChar"/>
    <w:uiPriority w:val="99"/>
    <w:semiHidden/>
    <w:unhideWhenUsed/>
    <w:rsid w:val="001A5AE0"/>
    <w:rPr>
      <w:rFonts w:ascii="Tahoma" w:hAnsi="Tahoma" w:cs="Tahoma"/>
      <w:sz w:val="16"/>
      <w:szCs w:val="16"/>
    </w:rPr>
  </w:style>
  <w:style w:type="character" w:customStyle="1" w:styleId="BalloonTextChar">
    <w:name w:val="Balloon Text Char"/>
    <w:basedOn w:val="DefaultParagraphFont"/>
    <w:link w:val="BalloonText"/>
    <w:uiPriority w:val="99"/>
    <w:semiHidden/>
    <w:rsid w:val="001A5AE0"/>
    <w:rPr>
      <w:rFonts w:ascii="Tahoma" w:hAnsi="Tahoma" w:cs="Tahoma"/>
      <w:sz w:val="16"/>
      <w:szCs w:val="16"/>
    </w:rPr>
  </w:style>
  <w:style w:type="character" w:styleId="CommentReference">
    <w:name w:val="annotation reference"/>
    <w:basedOn w:val="DefaultParagraphFont"/>
    <w:uiPriority w:val="99"/>
    <w:semiHidden/>
    <w:unhideWhenUsed/>
    <w:rsid w:val="00704B50"/>
    <w:rPr>
      <w:sz w:val="16"/>
      <w:szCs w:val="16"/>
    </w:rPr>
  </w:style>
  <w:style w:type="paragraph" w:styleId="CommentText">
    <w:name w:val="annotation text"/>
    <w:basedOn w:val="Normal"/>
    <w:link w:val="CommentTextChar"/>
    <w:uiPriority w:val="99"/>
    <w:semiHidden/>
    <w:unhideWhenUsed/>
    <w:rsid w:val="00704B50"/>
    <w:rPr>
      <w:sz w:val="20"/>
      <w:szCs w:val="20"/>
    </w:rPr>
  </w:style>
  <w:style w:type="character" w:customStyle="1" w:styleId="CommentTextChar">
    <w:name w:val="Comment Text Char"/>
    <w:basedOn w:val="DefaultParagraphFont"/>
    <w:link w:val="CommentText"/>
    <w:uiPriority w:val="99"/>
    <w:semiHidden/>
    <w:rsid w:val="00704B50"/>
    <w:rPr>
      <w:sz w:val="20"/>
      <w:szCs w:val="20"/>
    </w:rPr>
  </w:style>
  <w:style w:type="paragraph" w:styleId="CommentSubject">
    <w:name w:val="annotation subject"/>
    <w:basedOn w:val="CommentText"/>
    <w:next w:val="CommentText"/>
    <w:link w:val="CommentSubjectChar"/>
    <w:uiPriority w:val="99"/>
    <w:semiHidden/>
    <w:unhideWhenUsed/>
    <w:rsid w:val="00704B50"/>
    <w:rPr>
      <w:b/>
      <w:bCs/>
    </w:rPr>
  </w:style>
  <w:style w:type="character" w:customStyle="1" w:styleId="CommentSubjectChar">
    <w:name w:val="Comment Subject Char"/>
    <w:basedOn w:val="CommentTextChar"/>
    <w:link w:val="CommentSubject"/>
    <w:uiPriority w:val="99"/>
    <w:semiHidden/>
    <w:rsid w:val="00704B50"/>
    <w:rPr>
      <w:b/>
      <w:bCs/>
      <w:sz w:val="20"/>
      <w:szCs w:val="20"/>
    </w:rPr>
  </w:style>
  <w:style w:type="paragraph" w:styleId="Revision">
    <w:name w:val="Revision"/>
    <w:hidden/>
    <w:uiPriority w:val="99"/>
    <w:semiHidden/>
    <w:rsid w:val="00704B50"/>
  </w:style>
  <w:style w:type="paragraph" w:styleId="Footer">
    <w:name w:val="footer"/>
    <w:basedOn w:val="Normal"/>
    <w:link w:val="FooterChar"/>
    <w:uiPriority w:val="99"/>
    <w:unhideWhenUsed/>
    <w:rsid w:val="00623547"/>
    <w:pPr>
      <w:tabs>
        <w:tab w:val="center" w:pos="4680"/>
        <w:tab w:val="right" w:pos="9360"/>
      </w:tabs>
    </w:pPr>
  </w:style>
  <w:style w:type="character" w:customStyle="1" w:styleId="FooterChar">
    <w:name w:val="Footer Char"/>
    <w:basedOn w:val="DefaultParagraphFont"/>
    <w:link w:val="Footer"/>
    <w:uiPriority w:val="99"/>
    <w:rsid w:val="00623547"/>
  </w:style>
  <w:style w:type="paragraph" w:styleId="FootnoteText">
    <w:name w:val="footnote text"/>
    <w:basedOn w:val="Normal"/>
    <w:link w:val="FootnoteTextChar"/>
    <w:uiPriority w:val="99"/>
    <w:semiHidden/>
    <w:unhideWhenUsed/>
    <w:rsid w:val="007D5EB2"/>
    <w:rPr>
      <w:sz w:val="20"/>
      <w:szCs w:val="20"/>
    </w:rPr>
  </w:style>
  <w:style w:type="character" w:customStyle="1" w:styleId="FootnoteTextChar">
    <w:name w:val="Footnote Text Char"/>
    <w:basedOn w:val="DefaultParagraphFont"/>
    <w:link w:val="FootnoteText"/>
    <w:uiPriority w:val="99"/>
    <w:semiHidden/>
    <w:rsid w:val="007D5EB2"/>
    <w:rPr>
      <w:sz w:val="20"/>
      <w:szCs w:val="20"/>
    </w:rPr>
  </w:style>
  <w:style w:type="character" w:styleId="FootnoteReference">
    <w:name w:val="footnote reference"/>
    <w:basedOn w:val="DefaultParagraphFont"/>
    <w:uiPriority w:val="99"/>
    <w:semiHidden/>
    <w:unhideWhenUsed/>
    <w:rsid w:val="007D5EB2"/>
    <w:rPr>
      <w:vertAlign w:val="superscript"/>
    </w:rPr>
  </w:style>
  <w:style w:type="character" w:styleId="Hyperlink">
    <w:name w:val="Hyperlink"/>
    <w:rsid w:val="00DD2273"/>
    <w:rPr>
      <w:color w:val="0000FF"/>
      <w:u w:val="single"/>
    </w:rPr>
  </w:style>
  <w:style w:type="paragraph" w:styleId="BodyText2">
    <w:name w:val="Body Text 2"/>
    <w:basedOn w:val="Normal"/>
    <w:link w:val="BodyText2Char"/>
    <w:uiPriority w:val="99"/>
    <w:semiHidden/>
    <w:unhideWhenUsed/>
    <w:rsid w:val="004B1970"/>
    <w:pPr>
      <w:spacing w:after="120" w:line="480" w:lineRule="auto"/>
    </w:pPr>
  </w:style>
  <w:style w:type="character" w:customStyle="1" w:styleId="BodyText2Char">
    <w:name w:val="Body Text 2 Char"/>
    <w:basedOn w:val="DefaultParagraphFont"/>
    <w:link w:val="BodyText2"/>
    <w:uiPriority w:val="99"/>
    <w:semiHidden/>
    <w:rsid w:val="004B1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58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2013-09-23T07:00:00+00:00</OpenedDate>
    <Date1 xmlns="dc463f71-b30c-4ab2-9473-d307f9d35888">2014-03-10T07:00:00+00:00</Date1>
    <IsDocumentOrder xmlns="dc463f71-b30c-4ab2-9473-d307f9d35888" xsi:nil="true"/>
    <IsHighlyConfidential xmlns="dc463f71-b30c-4ab2-9473-d307f9d35888">false</IsHighlyConfidential>
    <CaseCompanyNames xmlns="dc463f71-b30c-4ab2-9473-d307f9d35888">WASTE CONTROL, INC.</CaseCompanyNames>
    <DocketNumber xmlns="dc463f71-b30c-4ab2-9473-d307f9d35888">131794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C057CE67F4D81469E75A716744123B4" ma:contentTypeVersion="135" ma:contentTypeDescription="" ma:contentTypeScope="" ma:versionID="4da0cc8e6ce95b0f08cfe8d955d8c51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6673D98-69A8-459F-A417-FEDCB6D63AC9}"/>
</file>

<file path=customXml/itemProps2.xml><?xml version="1.0" encoding="utf-8"?>
<ds:datastoreItem xmlns:ds="http://schemas.openxmlformats.org/officeDocument/2006/customXml" ds:itemID="{65B9D857-8DB9-45C6-A353-10A6A40B21F8}"/>
</file>

<file path=customXml/itemProps3.xml><?xml version="1.0" encoding="utf-8"?>
<ds:datastoreItem xmlns:ds="http://schemas.openxmlformats.org/officeDocument/2006/customXml" ds:itemID="{8EC1B07E-61A6-4506-A2B4-2C3985982A01}"/>
</file>

<file path=customXml/itemProps4.xml><?xml version="1.0" encoding="utf-8"?>
<ds:datastoreItem xmlns:ds="http://schemas.openxmlformats.org/officeDocument/2006/customXml" ds:itemID="{6670FE62-B47F-45B7-B0FE-9FC23176968F}"/>
</file>

<file path=docProps/app.xml><?xml version="1.0" encoding="utf-8"?>
<Properties xmlns="http://schemas.openxmlformats.org/officeDocument/2006/extended-properties" xmlns:vt="http://schemas.openxmlformats.org/officeDocument/2006/docPropsVTypes">
  <Template>Normal.dotm</Template>
  <TotalTime>0</TotalTime>
  <Pages>7</Pages>
  <Words>2554</Words>
  <Characters>13578</Characters>
  <Application>Microsoft Office Word</Application>
  <DocSecurity>0</DocSecurity>
  <Lines>259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
  </cp:lastModifiedBy>
  <cp:revision>1</cp:revision>
  <cp:lastPrinted>2014-03-10T21:32:08Z</cp:lastPrinted>
  <dcterms:created xsi:type="dcterms:W3CDTF">2014-03-10T21:32:08Z</dcterms:created>
  <dcterms:modified xsi:type="dcterms:W3CDTF">2014-03-10T21:32:08Z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4720084.1</vt:lpwstr>
  </property>
  <property fmtid="{D5CDD505-2E9C-101B-9397-08002B2CF9AE}" pid="3" name="ContentTypeId">
    <vt:lpwstr>0x0101006E56B4D1795A2E4DB2F0B01679ED314A00CC057CE67F4D81469E75A716744123B4</vt:lpwstr>
  </property>
  <property fmtid="{D5CDD505-2E9C-101B-9397-08002B2CF9AE}" pid="4" name="_docset_NoMedatataSyncRequired">
    <vt:lpwstr>False</vt:lpwstr>
  </property>
</Properties>
</file>