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00788" w14:textId="77777777" w:rsidR="009424B3" w:rsidRDefault="009424B3" w:rsidP="005719A3">
      <w:pPr>
        <w:pStyle w:val="Heading2"/>
        <w:spacing w:before="0" w:after="0" w:line="240" w:lineRule="auto"/>
        <w:jc w:val="both"/>
        <w:rPr>
          <w:rFonts w:ascii="Arial" w:hAnsi="Arial" w:cs="Arial"/>
          <w:i w:val="0"/>
          <w:sz w:val="36"/>
        </w:rPr>
      </w:pPr>
    </w:p>
    <w:p w14:paraId="640D29F8" w14:textId="65606371" w:rsidR="003014EA" w:rsidRDefault="003014EA" w:rsidP="003014EA">
      <w:pPr>
        <w:pStyle w:val="Heading2"/>
        <w:spacing w:before="0" w:after="0" w:line="240" w:lineRule="auto"/>
        <w:jc w:val="center"/>
        <w:rPr>
          <w:rFonts w:ascii="Arial" w:hAnsi="Arial" w:cs="Arial"/>
          <w:i w:val="0"/>
          <w:sz w:val="36"/>
        </w:rPr>
      </w:pPr>
      <w:r>
        <w:rPr>
          <w:rFonts w:ascii="Arial" w:hAnsi="Arial" w:cs="Arial"/>
          <w:i w:val="0"/>
          <w:sz w:val="36"/>
        </w:rPr>
        <w:t>Avista Utilities</w:t>
      </w:r>
    </w:p>
    <w:p w14:paraId="3DD3E32E" w14:textId="77777777" w:rsidR="003014EA" w:rsidRDefault="005719A3" w:rsidP="003014EA">
      <w:pPr>
        <w:pStyle w:val="Heading2"/>
        <w:spacing w:before="0" w:after="0" w:line="240" w:lineRule="auto"/>
        <w:jc w:val="center"/>
        <w:rPr>
          <w:rFonts w:ascii="Arial" w:hAnsi="Arial" w:cs="Arial"/>
          <w:i w:val="0"/>
          <w:sz w:val="36"/>
        </w:rPr>
      </w:pPr>
      <w:r w:rsidRPr="00E16F09">
        <w:rPr>
          <w:rFonts w:ascii="Arial" w:hAnsi="Arial" w:cs="Arial"/>
          <w:i w:val="0"/>
          <w:sz w:val="36"/>
        </w:rPr>
        <w:t xml:space="preserve"> Natural Gas Procurement Plan</w:t>
      </w:r>
      <w:r w:rsidR="003014EA">
        <w:rPr>
          <w:rFonts w:ascii="Arial" w:hAnsi="Arial" w:cs="Arial"/>
          <w:i w:val="0"/>
          <w:sz w:val="36"/>
        </w:rPr>
        <w:t xml:space="preserve"> </w:t>
      </w:r>
    </w:p>
    <w:p w14:paraId="010DE8CB" w14:textId="04BF4297" w:rsidR="005719A3" w:rsidRPr="00E16F09" w:rsidRDefault="003014EA" w:rsidP="003014EA">
      <w:pPr>
        <w:pStyle w:val="Heading2"/>
        <w:spacing w:before="0" w:after="0" w:line="240" w:lineRule="auto"/>
        <w:jc w:val="center"/>
        <w:rPr>
          <w:rFonts w:ascii="Arial" w:hAnsi="Arial" w:cs="Arial"/>
          <w:i w:val="0"/>
          <w:sz w:val="36"/>
        </w:rPr>
      </w:pPr>
      <w:proofErr w:type="gramStart"/>
      <w:r>
        <w:rPr>
          <w:rFonts w:ascii="Arial" w:hAnsi="Arial" w:cs="Arial"/>
          <w:i w:val="0"/>
          <w:sz w:val="36"/>
        </w:rPr>
        <w:t>and</w:t>
      </w:r>
      <w:proofErr w:type="gramEnd"/>
      <w:r>
        <w:rPr>
          <w:rFonts w:ascii="Arial" w:hAnsi="Arial" w:cs="Arial"/>
          <w:i w:val="0"/>
          <w:sz w:val="36"/>
        </w:rPr>
        <w:t xml:space="preserve"> Hedging Framework</w:t>
      </w:r>
    </w:p>
    <w:p w14:paraId="0DA854F1" w14:textId="77777777" w:rsidR="00A80857" w:rsidRDefault="00A80857" w:rsidP="00A80857"/>
    <w:p w14:paraId="5F8CC810" w14:textId="6351FD2A" w:rsidR="0030693E" w:rsidRDefault="00BF358C" w:rsidP="0030693E">
      <w:pPr>
        <w:pStyle w:val="ListParagraph"/>
        <w:numPr>
          <w:ilvl w:val="0"/>
          <w:numId w:val="24"/>
        </w:numPr>
        <w:spacing w:line="240" w:lineRule="auto"/>
        <w:ind w:left="-90" w:firstLine="0"/>
        <w:jc w:val="center"/>
        <w:rPr>
          <w:rFonts w:ascii="Arial" w:hAnsi="Arial" w:cs="Arial"/>
          <w:b/>
          <w:sz w:val="32"/>
          <w:szCs w:val="32"/>
          <w:u w:val="single"/>
        </w:rPr>
      </w:pPr>
      <w:r w:rsidRPr="0030693E">
        <w:rPr>
          <w:rFonts w:ascii="Arial" w:hAnsi="Arial" w:cs="Arial"/>
          <w:b/>
          <w:sz w:val="32"/>
          <w:szCs w:val="32"/>
          <w:u w:val="single"/>
        </w:rPr>
        <w:t>Background</w:t>
      </w:r>
    </w:p>
    <w:p w14:paraId="48139263" w14:textId="3ADFFFBA" w:rsidR="00BB390A" w:rsidRPr="0030693E" w:rsidRDefault="00B14D20" w:rsidP="0030693E">
      <w:pPr>
        <w:spacing w:line="240" w:lineRule="auto"/>
        <w:jc w:val="both"/>
        <w:rPr>
          <w:rFonts w:ascii="Arial" w:hAnsi="Arial" w:cs="Arial"/>
          <w:sz w:val="24"/>
          <w:szCs w:val="24"/>
        </w:rPr>
      </w:pPr>
      <w:r w:rsidRPr="0030693E">
        <w:rPr>
          <w:rFonts w:ascii="Arial" w:hAnsi="Arial" w:cs="Arial"/>
          <w:sz w:val="24"/>
          <w:szCs w:val="24"/>
        </w:rPr>
        <w:t>On October 30, 2013</w:t>
      </w:r>
      <w:r w:rsidR="007B3A5F">
        <w:rPr>
          <w:rFonts w:ascii="Arial" w:hAnsi="Arial" w:cs="Arial"/>
          <w:sz w:val="24"/>
          <w:szCs w:val="24"/>
        </w:rPr>
        <w:t>,</w:t>
      </w:r>
      <w:r w:rsidRPr="0030693E">
        <w:rPr>
          <w:rFonts w:ascii="Arial" w:hAnsi="Arial" w:cs="Arial"/>
          <w:sz w:val="24"/>
          <w:szCs w:val="24"/>
        </w:rPr>
        <w:t xml:space="preserve"> the Commission opened a Staff Investigation in Docket No. UG-132019 regarding policy issues related to the </w:t>
      </w:r>
      <w:r w:rsidR="007B3A5F">
        <w:rPr>
          <w:rFonts w:ascii="Arial" w:hAnsi="Arial" w:cs="Arial"/>
          <w:sz w:val="24"/>
          <w:szCs w:val="24"/>
        </w:rPr>
        <w:t>Washington natural gas utilities’</w:t>
      </w:r>
      <w:r w:rsidRPr="0030693E">
        <w:rPr>
          <w:rFonts w:ascii="Arial" w:hAnsi="Arial" w:cs="Arial"/>
          <w:sz w:val="24"/>
          <w:szCs w:val="24"/>
        </w:rPr>
        <w:t xml:space="preserve"> hedging practices and transaction reporting. Staff and Public Counsel co-sponsored a </w:t>
      </w:r>
      <w:r w:rsidR="003014EA" w:rsidRPr="0030693E">
        <w:rPr>
          <w:rFonts w:ascii="Arial" w:hAnsi="Arial" w:cs="Arial"/>
          <w:sz w:val="24"/>
          <w:szCs w:val="24"/>
        </w:rPr>
        <w:t>W</w:t>
      </w:r>
      <w:r w:rsidRPr="0030693E">
        <w:rPr>
          <w:rFonts w:ascii="Arial" w:hAnsi="Arial" w:cs="Arial"/>
          <w:sz w:val="24"/>
          <w:szCs w:val="24"/>
        </w:rPr>
        <w:t xml:space="preserve">hite </w:t>
      </w:r>
      <w:r w:rsidR="003014EA" w:rsidRPr="0030693E">
        <w:rPr>
          <w:rFonts w:ascii="Arial" w:hAnsi="Arial" w:cs="Arial"/>
          <w:sz w:val="24"/>
          <w:szCs w:val="24"/>
        </w:rPr>
        <w:t>P</w:t>
      </w:r>
      <w:r w:rsidRPr="0030693E">
        <w:rPr>
          <w:rFonts w:ascii="Arial" w:hAnsi="Arial" w:cs="Arial"/>
          <w:sz w:val="24"/>
          <w:szCs w:val="24"/>
        </w:rPr>
        <w:t>aper on natural gas hedging practices written by Mich</w:t>
      </w:r>
      <w:r w:rsidR="003014EA" w:rsidRPr="0030693E">
        <w:rPr>
          <w:rFonts w:ascii="Arial" w:hAnsi="Arial" w:cs="Arial"/>
          <w:sz w:val="24"/>
          <w:szCs w:val="24"/>
        </w:rPr>
        <w:t>a</w:t>
      </w:r>
      <w:r w:rsidRPr="0030693E">
        <w:rPr>
          <w:rFonts w:ascii="Arial" w:hAnsi="Arial" w:cs="Arial"/>
          <w:sz w:val="24"/>
          <w:szCs w:val="24"/>
        </w:rPr>
        <w:t xml:space="preserve">el </w:t>
      </w:r>
      <w:proofErr w:type="spellStart"/>
      <w:r w:rsidRPr="0030693E">
        <w:rPr>
          <w:rFonts w:ascii="Arial" w:hAnsi="Arial" w:cs="Arial"/>
          <w:sz w:val="24"/>
          <w:szCs w:val="24"/>
        </w:rPr>
        <w:t>Gettings</w:t>
      </w:r>
      <w:proofErr w:type="spellEnd"/>
      <w:r w:rsidRPr="0030693E">
        <w:rPr>
          <w:rFonts w:ascii="Arial" w:hAnsi="Arial" w:cs="Arial"/>
          <w:sz w:val="24"/>
          <w:szCs w:val="24"/>
        </w:rPr>
        <w:t xml:space="preserve"> of </w:t>
      </w:r>
      <w:proofErr w:type="spellStart"/>
      <w:r w:rsidRPr="0030693E">
        <w:rPr>
          <w:rFonts w:ascii="Arial" w:hAnsi="Arial" w:cs="Arial"/>
          <w:sz w:val="24"/>
          <w:szCs w:val="24"/>
        </w:rPr>
        <w:t>RiskCentrix</w:t>
      </w:r>
      <w:proofErr w:type="spellEnd"/>
      <w:r w:rsidRPr="0030693E">
        <w:rPr>
          <w:rFonts w:ascii="Arial" w:hAnsi="Arial" w:cs="Arial"/>
          <w:sz w:val="24"/>
          <w:szCs w:val="24"/>
        </w:rPr>
        <w:t>, LLC.  Th</w:t>
      </w:r>
      <w:r w:rsidR="002B28E5" w:rsidRPr="0030693E">
        <w:rPr>
          <w:rFonts w:ascii="Arial" w:hAnsi="Arial" w:cs="Arial"/>
          <w:sz w:val="24"/>
          <w:szCs w:val="24"/>
        </w:rPr>
        <w:t>e</w:t>
      </w:r>
      <w:r w:rsidR="003014EA" w:rsidRPr="0030693E">
        <w:rPr>
          <w:rFonts w:ascii="Arial" w:hAnsi="Arial" w:cs="Arial"/>
          <w:sz w:val="24"/>
          <w:szCs w:val="24"/>
        </w:rPr>
        <w:t xml:space="preserve"> W</w:t>
      </w:r>
      <w:r w:rsidRPr="0030693E">
        <w:rPr>
          <w:rFonts w:ascii="Arial" w:hAnsi="Arial" w:cs="Arial"/>
          <w:sz w:val="24"/>
          <w:szCs w:val="24"/>
        </w:rPr>
        <w:t xml:space="preserve">hite </w:t>
      </w:r>
      <w:r w:rsidR="003014EA" w:rsidRPr="0030693E">
        <w:rPr>
          <w:rFonts w:ascii="Arial" w:hAnsi="Arial" w:cs="Arial"/>
          <w:sz w:val="24"/>
          <w:szCs w:val="24"/>
        </w:rPr>
        <w:t>P</w:t>
      </w:r>
      <w:r w:rsidRPr="0030693E">
        <w:rPr>
          <w:rFonts w:ascii="Arial" w:hAnsi="Arial" w:cs="Arial"/>
          <w:sz w:val="24"/>
          <w:szCs w:val="24"/>
        </w:rPr>
        <w:t>aper provided examples</w:t>
      </w:r>
      <w:r w:rsidR="005E7603" w:rsidRPr="0030693E">
        <w:rPr>
          <w:rFonts w:ascii="Arial" w:hAnsi="Arial" w:cs="Arial"/>
          <w:sz w:val="24"/>
          <w:szCs w:val="24"/>
        </w:rPr>
        <w:t xml:space="preserve"> and detailed instruction concerning hedge practices and how </w:t>
      </w:r>
      <w:r w:rsidR="003014EA" w:rsidRPr="0030693E">
        <w:rPr>
          <w:rFonts w:ascii="Arial" w:hAnsi="Arial" w:cs="Arial"/>
          <w:sz w:val="24"/>
          <w:szCs w:val="24"/>
        </w:rPr>
        <w:t>t</w:t>
      </w:r>
      <w:r w:rsidR="005E7603" w:rsidRPr="0030693E">
        <w:rPr>
          <w:rFonts w:ascii="Arial" w:hAnsi="Arial" w:cs="Arial"/>
          <w:sz w:val="24"/>
          <w:szCs w:val="24"/>
        </w:rPr>
        <w:t xml:space="preserve">o </w:t>
      </w:r>
      <w:r w:rsidRPr="0030693E">
        <w:rPr>
          <w:rFonts w:ascii="Arial" w:hAnsi="Arial" w:cs="Arial"/>
          <w:sz w:val="24"/>
          <w:szCs w:val="24"/>
        </w:rPr>
        <w:t xml:space="preserve">incorporate risk-responsive </w:t>
      </w:r>
      <w:r w:rsidR="003014EA" w:rsidRPr="0030693E">
        <w:rPr>
          <w:rFonts w:ascii="Arial" w:hAnsi="Arial" w:cs="Arial"/>
          <w:sz w:val="24"/>
          <w:szCs w:val="24"/>
        </w:rPr>
        <w:t xml:space="preserve">hedging </w:t>
      </w:r>
      <w:r w:rsidRPr="0030693E">
        <w:rPr>
          <w:rFonts w:ascii="Arial" w:hAnsi="Arial" w:cs="Arial"/>
          <w:sz w:val="24"/>
          <w:szCs w:val="24"/>
        </w:rPr>
        <w:t>methods</w:t>
      </w:r>
      <w:r w:rsidR="005E7603" w:rsidRPr="0030693E">
        <w:rPr>
          <w:rFonts w:ascii="Arial" w:hAnsi="Arial" w:cs="Arial"/>
          <w:sz w:val="24"/>
          <w:szCs w:val="24"/>
        </w:rPr>
        <w:t xml:space="preserve"> into the overall portfolio.</w:t>
      </w:r>
      <w:r w:rsidRPr="0030693E">
        <w:rPr>
          <w:rFonts w:ascii="Arial" w:hAnsi="Arial" w:cs="Arial"/>
          <w:sz w:val="24"/>
          <w:szCs w:val="24"/>
        </w:rPr>
        <w:t xml:space="preserve"> Avista provided comments in this docket and participated in several workshops.  </w:t>
      </w:r>
      <w:r w:rsidR="00BB390A" w:rsidRPr="0030693E">
        <w:rPr>
          <w:rFonts w:ascii="Arial" w:hAnsi="Arial" w:cs="Arial"/>
          <w:sz w:val="24"/>
          <w:szCs w:val="24"/>
        </w:rPr>
        <w:t xml:space="preserve">In UG-132019, the Commission </w:t>
      </w:r>
      <w:r w:rsidR="003014EA" w:rsidRPr="0030693E">
        <w:rPr>
          <w:rFonts w:ascii="Arial" w:hAnsi="Arial" w:cs="Arial"/>
          <w:sz w:val="24"/>
          <w:szCs w:val="24"/>
        </w:rPr>
        <w:t>distributed</w:t>
      </w:r>
      <w:r w:rsidR="00BB390A" w:rsidRPr="0030693E">
        <w:rPr>
          <w:rFonts w:ascii="Arial" w:hAnsi="Arial" w:cs="Arial"/>
          <w:sz w:val="24"/>
          <w:szCs w:val="24"/>
        </w:rPr>
        <w:t xml:space="preserve"> a </w:t>
      </w:r>
      <w:r w:rsidR="00BB390A" w:rsidRPr="0030693E">
        <w:rPr>
          <w:rFonts w:ascii="Arial" w:hAnsi="Arial" w:cs="Arial"/>
          <w:sz w:val="24"/>
          <w:szCs w:val="24"/>
          <w:u w:val="single"/>
        </w:rPr>
        <w:t>“Policy and Interpretive Statement on Local Distribution Companies’ Natural Gas Hedging Practices”</w:t>
      </w:r>
      <w:r w:rsidR="00BB390A" w:rsidRPr="0030693E">
        <w:rPr>
          <w:rFonts w:ascii="Arial" w:hAnsi="Arial" w:cs="Arial"/>
          <w:sz w:val="24"/>
          <w:szCs w:val="24"/>
        </w:rPr>
        <w:t xml:space="preserve"> </w:t>
      </w:r>
      <w:r w:rsidR="00C51D68">
        <w:rPr>
          <w:rFonts w:ascii="Arial" w:hAnsi="Arial" w:cs="Arial"/>
          <w:sz w:val="24"/>
          <w:szCs w:val="24"/>
        </w:rPr>
        <w:t>(“Policy Statement”)</w:t>
      </w:r>
      <w:r w:rsidR="003014EA" w:rsidRPr="0030693E">
        <w:rPr>
          <w:rFonts w:ascii="Arial" w:hAnsi="Arial" w:cs="Arial"/>
          <w:sz w:val="24"/>
          <w:szCs w:val="24"/>
        </w:rPr>
        <w:t>.  This Policy Statement</w:t>
      </w:r>
      <w:r w:rsidR="00BB390A" w:rsidRPr="0030693E">
        <w:rPr>
          <w:rFonts w:ascii="Arial" w:hAnsi="Arial" w:cs="Arial"/>
          <w:sz w:val="24"/>
          <w:szCs w:val="24"/>
        </w:rPr>
        <w:t xml:space="preserve"> outlines the process each LDC should follow in order to </w:t>
      </w:r>
      <w:r w:rsidR="007B3A5F">
        <w:rPr>
          <w:rFonts w:ascii="Arial" w:hAnsi="Arial" w:cs="Arial"/>
          <w:sz w:val="24"/>
          <w:szCs w:val="24"/>
        </w:rPr>
        <w:t>incorporate such risk-</w:t>
      </w:r>
      <w:proofErr w:type="spellStart"/>
      <w:r w:rsidR="007B3A5F">
        <w:rPr>
          <w:rFonts w:ascii="Arial" w:hAnsi="Arial" w:cs="Arial"/>
          <w:sz w:val="24"/>
          <w:szCs w:val="24"/>
        </w:rPr>
        <w:t>responsive</w:t>
      </w:r>
      <w:r w:rsidR="00BB390A" w:rsidRPr="0030693E">
        <w:rPr>
          <w:rFonts w:ascii="Arial" w:hAnsi="Arial" w:cs="Arial"/>
          <w:sz w:val="24"/>
          <w:szCs w:val="24"/>
        </w:rPr>
        <w:t>hedges</w:t>
      </w:r>
      <w:proofErr w:type="spellEnd"/>
      <w:r w:rsidR="00BB390A" w:rsidRPr="0030693E">
        <w:rPr>
          <w:rFonts w:ascii="Arial" w:hAnsi="Arial" w:cs="Arial"/>
          <w:sz w:val="24"/>
          <w:szCs w:val="24"/>
        </w:rPr>
        <w:t xml:space="preserve"> into their indiv</w:t>
      </w:r>
      <w:r w:rsidR="003014EA" w:rsidRPr="0030693E">
        <w:rPr>
          <w:rFonts w:ascii="Arial" w:hAnsi="Arial" w:cs="Arial"/>
          <w:sz w:val="24"/>
          <w:szCs w:val="24"/>
        </w:rPr>
        <w:t xml:space="preserve">idual portfolios.  In summary, </w:t>
      </w:r>
      <w:r w:rsidR="00C51D68">
        <w:rPr>
          <w:rFonts w:ascii="Arial" w:hAnsi="Arial" w:cs="Arial"/>
          <w:sz w:val="24"/>
          <w:szCs w:val="24"/>
        </w:rPr>
        <w:t xml:space="preserve">the Policy Statement provided the following </w:t>
      </w:r>
      <w:r w:rsidR="003014EA" w:rsidRPr="0030693E">
        <w:rPr>
          <w:rFonts w:ascii="Arial" w:hAnsi="Arial" w:cs="Arial"/>
          <w:sz w:val="24"/>
          <w:szCs w:val="24"/>
        </w:rPr>
        <w:t>g</w:t>
      </w:r>
      <w:r w:rsidR="00BB390A" w:rsidRPr="0030693E">
        <w:rPr>
          <w:rFonts w:ascii="Arial" w:hAnsi="Arial" w:cs="Arial"/>
          <w:sz w:val="24"/>
          <w:szCs w:val="24"/>
        </w:rPr>
        <w:t>uidance:</w:t>
      </w:r>
    </w:p>
    <w:p w14:paraId="31E3BB61" w14:textId="1893FE57" w:rsidR="00BB390A" w:rsidRPr="0030693E" w:rsidRDefault="00BB390A" w:rsidP="0030693E">
      <w:pPr>
        <w:pStyle w:val="ListParagraph"/>
        <w:numPr>
          <w:ilvl w:val="0"/>
          <w:numId w:val="20"/>
        </w:numPr>
        <w:spacing w:line="240" w:lineRule="auto"/>
        <w:jc w:val="both"/>
        <w:rPr>
          <w:rFonts w:ascii="Arial" w:hAnsi="Arial" w:cs="Arial"/>
          <w:sz w:val="24"/>
          <w:szCs w:val="24"/>
        </w:rPr>
      </w:pPr>
      <w:r w:rsidRPr="0030693E">
        <w:rPr>
          <w:rFonts w:ascii="Arial" w:hAnsi="Arial" w:cs="Arial"/>
          <w:sz w:val="24"/>
          <w:szCs w:val="24"/>
        </w:rPr>
        <w:t>We therefore direct each company to submit, as part of the 2017 PGA filing, a preliminary hedging plan that outlines the company’s intended path to incorporate risk-responsive hedging stra</w:t>
      </w:r>
      <w:r w:rsidR="0061030A" w:rsidRPr="0030693E">
        <w:rPr>
          <w:rFonts w:ascii="Arial" w:hAnsi="Arial" w:cs="Arial"/>
          <w:sz w:val="24"/>
          <w:szCs w:val="24"/>
        </w:rPr>
        <w:t>tegies for the upcoming year.  T</w:t>
      </w:r>
      <w:r w:rsidRPr="0030693E">
        <w:rPr>
          <w:rFonts w:ascii="Arial" w:hAnsi="Arial" w:cs="Arial"/>
          <w:sz w:val="24"/>
          <w:szCs w:val="24"/>
        </w:rPr>
        <w:t>his plan should articulate the company’s hedging objectives and communicate its approach to address the basic elements of risk-responsive hedging: objectives and goals, exposure quantification, strategic initiati</w:t>
      </w:r>
      <w:r w:rsidR="00C51D68">
        <w:rPr>
          <w:rFonts w:ascii="Arial" w:hAnsi="Arial" w:cs="Arial"/>
          <w:sz w:val="24"/>
          <w:szCs w:val="24"/>
        </w:rPr>
        <w:t>ves, and oversight and control.</w:t>
      </w:r>
    </w:p>
    <w:p w14:paraId="089842CC" w14:textId="77777777" w:rsidR="0061030A" w:rsidRPr="0030693E" w:rsidRDefault="0061030A" w:rsidP="0030693E">
      <w:pPr>
        <w:pStyle w:val="ListParagraph"/>
        <w:spacing w:line="240" w:lineRule="auto"/>
        <w:jc w:val="both"/>
        <w:rPr>
          <w:rFonts w:ascii="Arial" w:hAnsi="Arial" w:cs="Arial"/>
          <w:sz w:val="24"/>
          <w:szCs w:val="24"/>
        </w:rPr>
      </w:pPr>
    </w:p>
    <w:p w14:paraId="54473552" w14:textId="694D6A40" w:rsidR="00BB390A" w:rsidRPr="0030693E" w:rsidRDefault="00BB390A" w:rsidP="0030693E">
      <w:pPr>
        <w:pStyle w:val="ListParagraph"/>
        <w:numPr>
          <w:ilvl w:val="0"/>
          <w:numId w:val="20"/>
        </w:numPr>
        <w:spacing w:line="240" w:lineRule="auto"/>
        <w:jc w:val="both"/>
        <w:rPr>
          <w:rFonts w:ascii="Arial" w:hAnsi="Arial" w:cs="Arial"/>
          <w:sz w:val="24"/>
          <w:szCs w:val="24"/>
        </w:rPr>
      </w:pPr>
      <w:r w:rsidRPr="0030693E">
        <w:rPr>
          <w:rFonts w:ascii="Arial" w:hAnsi="Arial" w:cs="Arial"/>
          <w:sz w:val="24"/>
          <w:szCs w:val="24"/>
        </w:rPr>
        <w:t>When making their 2018 PGAs filings, we require the Companies to submit annual</w:t>
      </w:r>
      <w:r w:rsidR="003014EA" w:rsidRPr="0030693E">
        <w:rPr>
          <w:rFonts w:ascii="Arial" w:hAnsi="Arial" w:cs="Arial"/>
          <w:sz w:val="24"/>
          <w:szCs w:val="24"/>
        </w:rPr>
        <w:t xml:space="preserve"> </w:t>
      </w:r>
      <w:r w:rsidRPr="0030693E">
        <w:rPr>
          <w:rFonts w:ascii="Arial" w:hAnsi="Arial" w:cs="Arial"/>
          <w:sz w:val="24"/>
          <w:szCs w:val="24"/>
        </w:rPr>
        <w:t>comprehensive hedging plans that demonstrate the integration of risk responsive strategies into the Companies’ overall hedging framework. The Commission expects full implementation will take no longer than 30 months</w:t>
      </w:r>
      <w:r w:rsidR="00765456" w:rsidRPr="0030693E">
        <w:rPr>
          <w:rFonts w:ascii="Arial" w:hAnsi="Arial" w:cs="Arial"/>
          <w:sz w:val="24"/>
          <w:szCs w:val="24"/>
        </w:rPr>
        <w:t>.</w:t>
      </w:r>
    </w:p>
    <w:p w14:paraId="4AD560E2" w14:textId="77777777" w:rsidR="0061030A" w:rsidRPr="0030693E" w:rsidRDefault="0061030A" w:rsidP="0030693E">
      <w:pPr>
        <w:pStyle w:val="ListParagraph"/>
        <w:spacing w:line="240" w:lineRule="auto"/>
        <w:rPr>
          <w:rFonts w:ascii="Arial" w:hAnsi="Arial" w:cs="Arial"/>
          <w:sz w:val="24"/>
          <w:szCs w:val="24"/>
        </w:rPr>
      </w:pPr>
    </w:p>
    <w:p w14:paraId="76F28CA0" w14:textId="343811CF" w:rsidR="00765456" w:rsidRDefault="00765456" w:rsidP="0030693E">
      <w:pPr>
        <w:pStyle w:val="ListParagraph"/>
        <w:numPr>
          <w:ilvl w:val="0"/>
          <w:numId w:val="20"/>
        </w:numPr>
        <w:spacing w:line="240" w:lineRule="auto"/>
        <w:jc w:val="both"/>
        <w:rPr>
          <w:rFonts w:ascii="Arial" w:hAnsi="Arial" w:cs="Arial"/>
          <w:sz w:val="24"/>
          <w:szCs w:val="24"/>
        </w:rPr>
      </w:pPr>
      <w:r w:rsidRPr="0030693E">
        <w:rPr>
          <w:rFonts w:ascii="Arial" w:hAnsi="Arial" w:cs="Arial"/>
          <w:sz w:val="24"/>
          <w:szCs w:val="24"/>
        </w:rPr>
        <w:t>As part of the comprehensive annual hedging plan, the Companies should incorporate a retrospective hedging report. This report should provide a narrative of the utility’s perspective on the execution of its prior year hedging strategy. Additionally, the report should include a discussion providing insight about whether the metrics and tolerances identified in the previous year’s plan continue to be appropriate and how the Company’s retrospective evaluation has informed modifications to the forthcoming year’s hedging plan.</w:t>
      </w:r>
    </w:p>
    <w:p w14:paraId="65DED6F2" w14:textId="77777777" w:rsidR="0030693E" w:rsidRPr="0030693E" w:rsidRDefault="0030693E" w:rsidP="0030693E">
      <w:pPr>
        <w:pStyle w:val="ListParagraph"/>
        <w:rPr>
          <w:rFonts w:ascii="Arial" w:hAnsi="Arial" w:cs="Arial"/>
          <w:sz w:val="24"/>
          <w:szCs w:val="24"/>
        </w:rPr>
      </w:pPr>
    </w:p>
    <w:p w14:paraId="10C80E72" w14:textId="77777777" w:rsidR="0030693E" w:rsidRPr="0030693E" w:rsidRDefault="0030693E" w:rsidP="0030693E">
      <w:pPr>
        <w:spacing w:line="240" w:lineRule="auto"/>
        <w:jc w:val="both"/>
        <w:rPr>
          <w:rFonts w:ascii="Arial" w:hAnsi="Arial" w:cs="Arial"/>
          <w:sz w:val="24"/>
          <w:szCs w:val="24"/>
        </w:rPr>
      </w:pPr>
    </w:p>
    <w:p w14:paraId="1AF6C781" w14:textId="77777777" w:rsidR="00A55959" w:rsidRPr="0030693E" w:rsidRDefault="00A55959" w:rsidP="0030693E">
      <w:pPr>
        <w:pStyle w:val="ListParagraph"/>
        <w:spacing w:line="240" w:lineRule="auto"/>
        <w:rPr>
          <w:rFonts w:ascii="Arial" w:hAnsi="Arial" w:cs="Arial"/>
          <w:sz w:val="24"/>
          <w:szCs w:val="24"/>
        </w:rPr>
      </w:pPr>
    </w:p>
    <w:p w14:paraId="172253D5" w14:textId="4033A447" w:rsidR="00A55959" w:rsidRPr="0030693E" w:rsidRDefault="00A55959" w:rsidP="0030693E">
      <w:pPr>
        <w:spacing w:line="240" w:lineRule="auto"/>
        <w:jc w:val="both"/>
        <w:rPr>
          <w:rFonts w:ascii="Arial" w:hAnsi="Arial" w:cs="Arial"/>
          <w:sz w:val="24"/>
          <w:szCs w:val="24"/>
        </w:rPr>
      </w:pPr>
      <w:r w:rsidRPr="0030693E">
        <w:rPr>
          <w:rFonts w:ascii="Arial" w:hAnsi="Arial" w:cs="Arial"/>
          <w:sz w:val="24"/>
          <w:szCs w:val="24"/>
        </w:rPr>
        <w:lastRenderedPageBreak/>
        <w:t>The information required by the Commission is contained within this report as follows:</w:t>
      </w:r>
    </w:p>
    <w:p w14:paraId="60FE6ECB" w14:textId="77777777" w:rsidR="00A55959" w:rsidRPr="0030693E" w:rsidRDefault="00A55959" w:rsidP="0030693E">
      <w:pPr>
        <w:pStyle w:val="BodyText2"/>
        <w:tabs>
          <w:tab w:val="left" w:pos="1440"/>
          <w:tab w:val="left" w:pos="7380"/>
        </w:tabs>
        <w:spacing w:line="240" w:lineRule="auto"/>
        <w:ind w:left="720"/>
        <w:rPr>
          <w:rFonts w:ascii="Arial" w:hAnsi="Arial" w:cs="Arial"/>
          <w:bCs/>
          <w:i/>
          <w:sz w:val="24"/>
          <w:szCs w:val="24"/>
          <w:u w:val="single"/>
        </w:rPr>
      </w:pPr>
      <w:r w:rsidRPr="0030693E">
        <w:rPr>
          <w:rFonts w:ascii="Arial" w:hAnsi="Arial" w:cs="Arial"/>
          <w:bCs/>
          <w:sz w:val="24"/>
          <w:szCs w:val="24"/>
          <w:u w:val="single"/>
        </w:rPr>
        <w:t>Description</w:t>
      </w:r>
      <w:r w:rsidRPr="0030693E">
        <w:rPr>
          <w:rFonts w:ascii="Arial" w:hAnsi="Arial" w:cs="Arial"/>
          <w:bCs/>
          <w:sz w:val="24"/>
          <w:szCs w:val="24"/>
          <w:u w:val="single"/>
        </w:rPr>
        <w:tab/>
        <w:t>Page</w:t>
      </w:r>
    </w:p>
    <w:p w14:paraId="1BED482D" w14:textId="5C26A962" w:rsidR="00A55959" w:rsidRPr="0030693E" w:rsidRDefault="00A55959" w:rsidP="0030693E">
      <w:pPr>
        <w:pStyle w:val="BodyText2"/>
        <w:tabs>
          <w:tab w:val="left" w:pos="1440"/>
          <w:tab w:val="right" w:pos="7650"/>
        </w:tabs>
        <w:spacing w:line="240" w:lineRule="auto"/>
        <w:ind w:left="720"/>
        <w:rPr>
          <w:rFonts w:ascii="Arial" w:hAnsi="Arial" w:cs="Arial"/>
          <w:bCs/>
          <w:i/>
          <w:sz w:val="24"/>
          <w:szCs w:val="24"/>
        </w:rPr>
      </w:pPr>
      <w:r w:rsidRPr="0030693E">
        <w:rPr>
          <w:rFonts w:ascii="Arial" w:hAnsi="Arial" w:cs="Arial"/>
          <w:bCs/>
          <w:sz w:val="24"/>
          <w:szCs w:val="24"/>
        </w:rPr>
        <w:t>I.</w:t>
      </w:r>
      <w:r w:rsidRPr="0030693E">
        <w:rPr>
          <w:rFonts w:ascii="Arial" w:hAnsi="Arial" w:cs="Arial"/>
          <w:bCs/>
          <w:sz w:val="24"/>
          <w:szCs w:val="24"/>
        </w:rPr>
        <w:tab/>
        <w:t>Background</w:t>
      </w:r>
      <w:r w:rsidRPr="0030693E">
        <w:rPr>
          <w:rFonts w:ascii="Arial" w:hAnsi="Arial" w:cs="Arial"/>
          <w:bCs/>
          <w:sz w:val="24"/>
          <w:szCs w:val="24"/>
        </w:rPr>
        <w:tab/>
        <w:t>1</w:t>
      </w:r>
    </w:p>
    <w:p w14:paraId="78F6A56F" w14:textId="7F62D2E3" w:rsidR="00A55959" w:rsidRPr="0030693E" w:rsidRDefault="00A55959" w:rsidP="0030693E">
      <w:pPr>
        <w:pStyle w:val="BodyText2"/>
        <w:tabs>
          <w:tab w:val="left" w:pos="1440"/>
          <w:tab w:val="right" w:pos="7650"/>
        </w:tabs>
        <w:spacing w:line="240" w:lineRule="auto"/>
        <w:ind w:left="720"/>
        <w:rPr>
          <w:rFonts w:ascii="Arial" w:hAnsi="Arial" w:cs="Arial"/>
          <w:bCs/>
          <w:i/>
          <w:sz w:val="24"/>
          <w:szCs w:val="24"/>
        </w:rPr>
      </w:pPr>
      <w:r w:rsidRPr="0030693E">
        <w:rPr>
          <w:rFonts w:ascii="Arial" w:hAnsi="Arial" w:cs="Arial"/>
          <w:bCs/>
          <w:sz w:val="24"/>
          <w:szCs w:val="24"/>
        </w:rPr>
        <w:t>II.</w:t>
      </w:r>
      <w:r w:rsidRPr="0030693E">
        <w:rPr>
          <w:rFonts w:ascii="Arial" w:hAnsi="Arial" w:cs="Arial"/>
          <w:bCs/>
          <w:sz w:val="24"/>
          <w:szCs w:val="24"/>
        </w:rPr>
        <w:tab/>
        <w:t>Objectives and Goals</w:t>
      </w:r>
      <w:r w:rsidRPr="0030693E">
        <w:rPr>
          <w:rFonts w:ascii="Arial" w:hAnsi="Arial" w:cs="Arial"/>
          <w:bCs/>
          <w:sz w:val="24"/>
          <w:szCs w:val="24"/>
        </w:rPr>
        <w:tab/>
        <w:t>2</w:t>
      </w:r>
    </w:p>
    <w:p w14:paraId="29359148" w14:textId="62D04F39" w:rsidR="00A55959" w:rsidRPr="0030693E" w:rsidRDefault="00A55959" w:rsidP="0030693E">
      <w:pPr>
        <w:pStyle w:val="BodyText2"/>
        <w:tabs>
          <w:tab w:val="left" w:pos="1440"/>
          <w:tab w:val="right" w:pos="7650"/>
        </w:tabs>
        <w:spacing w:line="240" w:lineRule="auto"/>
        <w:ind w:left="720"/>
        <w:rPr>
          <w:rFonts w:ascii="Arial" w:hAnsi="Arial" w:cs="Arial"/>
          <w:bCs/>
          <w:i/>
          <w:sz w:val="24"/>
          <w:szCs w:val="24"/>
        </w:rPr>
      </w:pPr>
      <w:r w:rsidRPr="0030693E">
        <w:rPr>
          <w:rFonts w:ascii="Arial" w:hAnsi="Arial" w:cs="Arial"/>
          <w:bCs/>
          <w:sz w:val="24"/>
          <w:szCs w:val="24"/>
        </w:rPr>
        <w:t>III.</w:t>
      </w:r>
      <w:r w:rsidRPr="0030693E">
        <w:rPr>
          <w:rFonts w:ascii="Arial" w:hAnsi="Arial" w:cs="Arial"/>
          <w:bCs/>
          <w:sz w:val="24"/>
          <w:szCs w:val="24"/>
        </w:rPr>
        <w:tab/>
        <w:t xml:space="preserve">Oversight and Control </w:t>
      </w:r>
      <w:r w:rsidRPr="0030693E">
        <w:rPr>
          <w:rFonts w:ascii="Arial" w:hAnsi="Arial" w:cs="Arial"/>
          <w:bCs/>
          <w:sz w:val="24"/>
          <w:szCs w:val="24"/>
        </w:rPr>
        <w:tab/>
        <w:t>2</w:t>
      </w:r>
    </w:p>
    <w:p w14:paraId="071337AC" w14:textId="287B30D3" w:rsidR="00A55959" w:rsidRPr="0030693E" w:rsidRDefault="006F767B" w:rsidP="0030693E">
      <w:pPr>
        <w:pStyle w:val="BodyText2"/>
        <w:tabs>
          <w:tab w:val="left" w:pos="1440"/>
          <w:tab w:val="right" w:pos="7650"/>
        </w:tabs>
        <w:spacing w:line="240" w:lineRule="auto"/>
        <w:ind w:left="720"/>
        <w:rPr>
          <w:rFonts w:ascii="Arial" w:hAnsi="Arial" w:cs="Arial"/>
          <w:bCs/>
          <w:sz w:val="24"/>
          <w:szCs w:val="24"/>
        </w:rPr>
      </w:pPr>
      <w:r w:rsidRPr="0030693E">
        <w:rPr>
          <w:rFonts w:ascii="Arial" w:hAnsi="Arial" w:cs="Arial"/>
          <w:bCs/>
          <w:sz w:val="24"/>
          <w:szCs w:val="24"/>
        </w:rPr>
        <w:t>IV.</w:t>
      </w:r>
      <w:r w:rsidRPr="0030693E">
        <w:rPr>
          <w:rFonts w:ascii="Arial" w:hAnsi="Arial" w:cs="Arial"/>
          <w:bCs/>
          <w:sz w:val="24"/>
          <w:szCs w:val="24"/>
        </w:rPr>
        <w:tab/>
        <w:t xml:space="preserve">Strategic </w:t>
      </w:r>
      <w:r w:rsidR="007B3A5F">
        <w:rPr>
          <w:rFonts w:ascii="Arial" w:hAnsi="Arial" w:cs="Arial"/>
          <w:bCs/>
          <w:sz w:val="24"/>
          <w:szCs w:val="24"/>
        </w:rPr>
        <w:t>Optimization</w:t>
      </w:r>
      <w:r w:rsidR="00F47D78" w:rsidRPr="0030693E">
        <w:rPr>
          <w:rFonts w:ascii="Arial" w:hAnsi="Arial" w:cs="Arial"/>
          <w:bCs/>
          <w:sz w:val="24"/>
          <w:szCs w:val="24"/>
        </w:rPr>
        <w:tab/>
        <w:t>4</w:t>
      </w:r>
    </w:p>
    <w:p w14:paraId="572CBD77" w14:textId="289C4C6F" w:rsidR="00BE4C53" w:rsidRPr="0030693E" w:rsidRDefault="00BE4C53" w:rsidP="0030693E">
      <w:pPr>
        <w:pStyle w:val="BodyText2"/>
        <w:tabs>
          <w:tab w:val="left" w:pos="1440"/>
          <w:tab w:val="right" w:pos="7650"/>
        </w:tabs>
        <w:spacing w:line="240" w:lineRule="auto"/>
        <w:ind w:left="720"/>
        <w:rPr>
          <w:rFonts w:ascii="Arial" w:hAnsi="Arial" w:cs="Arial"/>
          <w:bCs/>
          <w:sz w:val="24"/>
          <w:szCs w:val="24"/>
        </w:rPr>
      </w:pPr>
      <w:r w:rsidRPr="0030693E">
        <w:rPr>
          <w:rFonts w:ascii="Arial" w:hAnsi="Arial" w:cs="Arial"/>
          <w:bCs/>
          <w:sz w:val="24"/>
          <w:szCs w:val="24"/>
        </w:rPr>
        <w:t>V.</w:t>
      </w:r>
      <w:r w:rsidRPr="0030693E">
        <w:rPr>
          <w:rFonts w:ascii="Arial" w:hAnsi="Arial" w:cs="Arial"/>
          <w:bCs/>
          <w:sz w:val="24"/>
          <w:szCs w:val="24"/>
        </w:rPr>
        <w:tab/>
        <w:t>Procurement Plan</w:t>
      </w:r>
      <w:r w:rsidR="006B21DA" w:rsidRPr="0030693E">
        <w:rPr>
          <w:rFonts w:ascii="Arial" w:hAnsi="Arial" w:cs="Arial"/>
          <w:bCs/>
          <w:sz w:val="24"/>
          <w:szCs w:val="24"/>
        </w:rPr>
        <w:t xml:space="preserve"> Components</w:t>
      </w:r>
      <w:r w:rsidR="00F47D78" w:rsidRPr="0030693E">
        <w:rPr>
          <w:rFonts w:ascii="Arial" w:hAnsi="Arial" w:cs="Arial"/>
          <w:bCs/>
          <w:sz w:val="24"/>
          <w:szCs w:val="24"/>
        </w:rPr>
        <w:tab/>
      </w:r>
      <w:r w:rsidR="006A686A">
        <w:rPr>
          <w:rFonts w:ascii="Arial" w:hAnsi="Arial" w:cs="Arial"/>
          <w:bCs/>
          <w:sz w:val="24"/>
          <w:szCs w:val="24"/>
        </w:rPr>
        <w:t>5</w:t>
      </w:r>
    </w:p>
    <w:p w14:paraId="6C47A6E9" w14:textId="4DFF6C35" w:rsidR="00BE4C53" w:rsidRPr="0030693E" w:rsidRDefault="00BE4C53" w:rsidP="0030693E">
      <w:pPr>
        <w:pStyle w:val="BodyText2"/>
        <w:tabs>
          <w:tab w:val="left" w:pos="1440"/>
          <w:tab w:val="right" w:pos="7650"/>
        </w:tabs>
        <w:spacing w:line="240" w:lineRule="auto"/>
        <w:ind w:left="720"/>
        <w:rPr>
          <w:rFonts w:ascii="Arial" w:hAnsi="Arial" w:cs="Arial"/>
          <w:bCs/>
          <w:sz w:val="24"/>
          <w:szCs w:val="24"/>
        </w:rPr>
      </w:pPr>
      <w:r w:rsidRPr="0030693E">
        <w:rPr>
          <w:rFonts w:ascii="Arial" w:hAnsi="Arial" w:cs="Arial"/>
          <w:bCs/>
          <w:sz w:val="24"/>
          <w:szCs w:val="24"/>
        </w:rPr>
        <w:t>VI.</w:t>
      </w:r>
      <w:r w:rsidRPr="0030693E">
        <w:rPr>
          <w:rFonts w:ascii="Arial" w:hAnsi="Arial" w:cs="Arial"/>
          <w:bCs/>
          <w:sz w:val="24"/>
          <w:szCs w:val="24"/>
        </w:rPr>
        <w:tab/>
        <w:t>Risk Responsive Hedging Tool</w:t>
      </w:r>
      <w:r w:rsidRPr="0030693E">
        <w:rPr>
          <w:rFonts w:ascii="Arial" w:hAnsi="Arial" w:cs="Arial"/>
          <w:bCs/>
          <w:sz w:val="24"/>
          <w:szCs w:val="24"/>
        </w:rPr>
        <w:tab/>
        <w:t>1</w:t>
      </w:r>
      <w:r w:rsidR="006A686A">
        <w:rPr>
          <w:rFonts w:ascii="Arial" w:hAnsi="Arial" w:cs="Arial"/>
          <w:bCs/>
          <w:sz w:val="24"/>
          <w:szCs w:val="24"/>
        </w:rPr>
        <w:t>0</w:t>
      </w:r>
    </w:p>
    <w:p w14:paraId="6761EB42" w14:textId="6DE51FEC" w:rsidR="00BE4C53" w:rsidRPr="0030693E" w:rsidRDefault="00F47D78" w:rsidP="0030693E">
      <w:pPr>
        <w:pStyle w:val="BodyText2"/>
        <w:tabs>
          <w:tab w:val="left" w:pos="1440"/>
          <w:tab w:val="right" w:pos="7650"/>
        </w:tabs>
        <w:spacing w:line="240" w:lineRule="auto"/>
        <w:ind w:left="720"/>
        <w:rPr>
          <w:rFonts w:ascii="Arial" w:hAnsi="Arial" w:cs="Arial"/>
          <w:bCs/>
          <w:sz w:val="24"/>
          <w:szCs w:val="24"/>
        </w:rPr>
      </w:pPr>
      <w:r w:rsidRPr="0030693E">
        <w:rPr>
          <w:rFonts w:ascii="Arial" w:hAnsi="Arial" w:cs="Arial"/>
          <w:bCs/>
          <w:sz w:val="24"/>
          <w:szCs w:val="24"/>
        </w:rPr>
        <w:t>VII.</w:t>
      </w:r>
      <w:r w:rsidRPr="0030693E">
        <w:rPr>
          <w:rFonts w:ascii="Arial" w:hAnsi="Arial" w:cs="Arial"/>
          <w:bCs/>
          <w:sz w:val="24"/>
          <w:szCs w:val="24"/>
        </w:rPr>
        <w:tab/>
        <w:t>Exposure Quantificati</w:t>
      </w:r>
      <w:r w:rsidR="006A686A">
        <w:rPr>
          <w:rFonts w:ascii="Arial" w:hAnsi="Arial" w:cs="Arial"/>
          <w:bCs/>
          <w:sz w:val="24"/>
          <w:szCs w:val="24"/>
        </w:rPr>
        <w:t>on</w:t>
      </w:r>
      <w:r w:rsidR="006A686A">
        <w:rPr>
          <w:rFonts w:ascii="Arial" w:hAnsi="Arial" w:cs="Arial"/>
          <w:bCs/>
          <w:sz w:val="24"/>
          <w:szCs w:val="24"/>
        </w:rPr>
        <w:tab/>
        <w:t>11</w:t>
      </w:r>
    </w:p>
    <w:p w14:paraId="45EFDB18" w14:textId="367F20CE" w:rsidR="00BE4C53" w:rsidRPr="0030693E" w:rsidRDefault="00BE4C53" w:rsidP="0030693E">
      <w:pPr>
        <w:pStyle w:val="BodyText2"/>
        <w:tabs>
          <w:tab w:val="left" w:pos="1440"/>
          <w:tab w:val="right" w:pos="7650"/>
        </w:tabs>
        <w:spacing w:line="240" w:lineRule="auto"/>
        <w:ind w:left="720"/>
        <w:rPr>
          <w:rFonts w:ascii="Arial" w:hAnsi="Arial" w:cs="Arial"/>
          <w:bCs/>
          <w:sz w:val="24"/>
          <w:szCs w:val="24"/>
        </w:rPr>
      </w:pPr>
      <w:r w:rsidRPr="0030693E">
        <w:rPr>
          <w:rFonts w:ascii="Arial" w:hAnsi="Arial" w:cs="Arial"/>
          <w:bCs/>
          <w:sz w:val="24"/>
          <w:szCs w:val="24"/>
        </w:rPr>
        <w:t>VIII.</w:t>
      </w:r>
      <w:r w:rsidRPr="0030693E">
        <w:rPr>
          <w:rFonts w:ascii="Arial" w:hAnsi="Arial" w:cs="Arial"/>
          <w:bCs/>
          <w:sz w:val="24"/>
          <w:szCs w:val="24"/>
        </w:rPr>
        <w:tab/>
        <w:t>Next Steps</w:t>
      </w:r>
      <w:r w:rsidR="006A686A">
        <w:rPr>
          <w:rFonts w:ascii="Arial" w:hAnsi="Arial" w:cs="Arial"/>
          <w:bCs/>
          <w:sz w:val="24"/>
          <w:szCs w:val="24"/>
        </w:rPr>
        <w:tab/>
        <w:t>11</w:t>
      </w:r>
      <w:r w:rsidRPr="0030693E">
        <w:rPr>
          <w:rFonts w:ascii="Arial" w:hAnsi="Arial" w:cs="Arial"/>
          <w:bCs/>
          <w:sz w:val="24"/>
          <w:szCs w:val="24"/>
        </w:rPr>
        <w:tab/>
      </w:r>
    </w:p>
    <w:p w14:paraId="4B80A316" w14:textId="77777777" w:rsidR="00E0545B" w:rsidRPr="0030693E" w:rsidRDefault="00E0545B" w:rsidP="0030693E">
      <w:pPr>
        <w:pStyle w:val="BodyText2"/>
        <w:tabs>
          <w:tab w:val="left" w:pos="1440"/>
          <w:tab w:val="right" w:pos="7650"/>
        </w:tabs>
        <w:spacing w:line="240" w:lineRule="auto"/>
        <w:ind w:left="720"/>
        <w:rPr>
          <w:rFonts w:ascii="Arial" w:hAnsi="Arial" w:cs="Arial"/>
          <w:bCs/>
          <w:i/>
          <w:sz w:val="24"/>
          <w:szCs w:val="24"/>
        </w:rPr>
      </w:pPr>
    </w:p>
    <w:p w14:paraId="45410C8F" w14:textId="362B1A32" w:rsidR="00EC10AF" w:rsidRPr="0030693E" w:rsidRDefault="00A80857" w:rsidP="0030693E">
      <w:pPr>
        <w:pStyle w:val="ListParagraph"/>
        <w:numPr>
          <w:ilvl w:val="0"/>
          <w:numId w:val="24"/>
        </w:numPr>
        <w:spacing w:line="240" w:lineRule="auto"/>
        <w:ind w:left="0" w:firstLine="0"/>
        <w:jc w:val="center"/>
        <w:rPr>
          <w:rFonts w:ascii="Arial" w:hAnsi="Arial" w:cs="Arial"/>
          <w:b/>
          <w:sz w:val="32"/>
          <w:u w:val="single"/>
        </w:rPr>
      </w:pPr>
      <w:r w:rsidRPr="0030693E">
        <w:rPr>
          <w:rFonts w:ascii="Arial" w:hAnsi="Arial" w:cs="Arial"/>
          <w:b/>
          <w:sz w:val="32"/>
          <w:u w:val="single"/>
        </w:rPr>
        <w:t>Objectives and Goals</w:t>
      </w:r>
    </w:p>
    <w:p w14:paraId="6B8BB29F" w14:textId="77777777" w:rsidR="0069217A" w:rsidRPr="0030693E" w:rsidRDefault="0069217A" w:rsidP="0030693E">
      <w:pPr>
        <w:spacing w:line="240" w:lineRule="auto"/>
        <w:rPr>
          <w:rFonts w:ascii="Arial" w:eastAsia="Times New Roman" w:hAnsi="Arial" w:cs="Arial"/>
          <w:sz w:val="24"/>
          <w:szCs w:val="24"/>
        </w:rPr>
      </w:pPr>
      <w:r w:rsidRPr="0030693E">
        <w:rPr>
          <w:rFonts w:ascii="Arial" w:eastAsia="Times New Roman" w:hAnsi="Arial" w:cs="Arial"/>
          <w:sz w:val="24"/>
          <w:szCs w:val="24"/>
        </w:rPr>
        <w:t>Avista’s mission is to provide a diversified portfolio of reliable supply with a level of price certainty in volatile markets.</w:t>
      </w:r>
    </w:p>
    <w:p w14:paraId="69507472" w14:textId="1E06A98B" w:rsidR="00047530" w:rsidRPr="0030693E" w:rsidRDefault="005719A3" w:rsidP="0030693E">
      <w:pPr>
        <w:pStyle w:val="IRPParagraph"/>
        <w:spacing w:line="240" w:lineRule="auto"/>
        <w:rPr>
          <w:rFonts w:cs="Arial"/>
        </w:rPr>
      </w:pPr>
      <w:r w:rsidRPr="0030693E">
        <w:rPr>
          <w:rFonts w:cs="Arial"/>
        </w:rPr>
        <w:t xml:space="preserve">No company can accurately predict future natural gas prices, </w:t>
      </w:r>
      <w:r w:rsidR="006D267B" w:rsidRPr="0030693E">
        <w:rPr>
          <w:rFonts w:cs="Arial"/>
        </w:rPr>
        <w:t>however,</w:t>
      </w:r>
      <w:r w:rsidRPr="0030693E">
        <w:rPr>
          <w:rFonts w:cs="Arial"/>
        </w:rPr>
        <w:t xml:space="preserve"> market conditions and experience help shape </w:t>
      </w:r>
      <w:r w:rsidR="006D267B" w:rsidRPr="0030693E">
        <w:rPr>
          <w:rFonts w:cs="Arial"/>
        </w:rPr>
        <w:t xml:space="preserve">Avista’s </w:t>
      </w:r>
      <w:r w:rsidRPr="0030693E">
        <w:rPr>
          <w:rFonts w:cs="Arial"/>
        </w:rPr>
        <w:t xml:space="preserve">overall approach to </w:t>
      </w:r>
      <w:r w:rsidR="006D267B" w:rsidRPr="0030693E">
        <w:rPr>
          <w:rFonts w:cs="Arial"/>
        </w:rPr>
        <w:t xml:space="preserve">natural gas </w:t>
      </w:r>
      <w:r w:rsidRPr="0030693E">
        <w:rPr>
          <w:rFonts w:cs="Arial"/>
        </w:rPr>
        <w:t xml:space="preserve">procurement. </w:t>
      </w:r>
      <w:r w:rsidR="006D267B" w:rsidRPr="0030693E">
        <w:rPr>
          <w:rFonts w:cs="Arial"/>
        </w:rPr>
        <w:t>Our</w:t>
      </w:r>
      <w:r w:rsidRPr="0030693E">
        <w:rPr>
          <w:rFonts w:cs="Arial"/>
        </w:rPr>
        <w:t xml:space="preserve"> </w:t>
      </w:r>
      <w:r w:rsidR="006D267B" w:rsidRPr="0030693E">
        <w:rPr>
          <w:rFonts w:cs="Arial"/>
        </w:rPr>
        <w:t>N</w:t>
      </w:r>
      <w:r w:rsidRPr="0030693E">
        <w:rPr>
          <w:rFonts w:cs="Arial"/>
        </w:rPr>
        <w:t xml:space="preserve">atural </w:t>
      </w:r>
      <w:r w:rsidR="006D267B" w:rsidRPr="0030693E">
        <w:rPr>
          <w:rFonts w:cs="Arial"/>
        </w:rPr>
        <w:t>G</w:t>
      </w:r>
      <w:r w:rsidRPr="0030693E">
        <w:rPr>
          <w:rFonts w:cs="Arial"/>
        </w:rPr>
        <w:t xml:space="preserve">as </w:t>
      </w:r>
      <w:r w:rsidR="006D267B" w:rsidRPr="0030693E">
        <w:rPr>
          <w:rFonts w:cs="Arial"/>
        </w:rPr>
        <w:t>P</w:t>
      </w:r>
      <w:r w:rsidRPr="0030693E">
        <w:rPr>
          <w:rFonts w:cs="Arial"/>
        </w:rPr>
        <w:t xml:space="preserve">rocurement </w:t>
      </w:r>
      <w:r w:rsidR="006D267B" w:rsidRPr="0030693E">
        <w:rPr>
          <w:rFonts w:cs="Arial"/>
        </w:rPr>
        <w:t>P</w:t>
      </w:r>
      <w:r w:rsidRPr="0030693E">
        <w:rPr>
          <w:rFonts w:cs="Arial"/>
        </w:rPr>
        <w:t>lan</w:t>
      </w:r>
      <w:r w:rsidR="006D267B" w:rsidRPr="0030693E">
        <w:rPr>
          <w:rFonts w:cs="Arial"/>
        </w:rPr>
        <w:t xml:space="preserve"> (Plan)</w:t>
      </w:r>
      <w:r w:rsidRPr="0030693E">
        <w:rPr>
          <w:rFonts w:cs="Arial"/>
        </w:rPr>
        <w:t xml:space="preserve"> process seeks to acquire natural gas supplies while reducing exposure to short-term price </w:t>
      </w:r>
      <w:r w:rsidR="006D267B" w:rsidRPr="0030693E">
        <w:rPr>
          <w:rFonts w:cs="Arial"/>
        </w:rPr>
        <w:t xml:space="preserve">and load </w:t>
      </w:r>
      <w:r w:rsidRPr="0030693E">
        <w:rPr>
          <w:rFonts w:cs="Arial"/>
        </w:rPr>
        <w:t xml:space="preserve">volatility. The procurement strategy </w:t>
      </w:r>
      <w:r w:rsidRPr="0030693E">
        <w:rPr>
          <w:rFonts w:eastAsia="MS Mincho" w:cs="Arial"/>
          <w:lang w:eastAsia="ja-JP"/>
        </w:rPr>
        <w:t xml:space="preserve">includes hedging, storage utilization and index purchases. </w:t>
      </w:r>
      <w:r w:rsidR="006D267B" w:rsidRPr="0030693E">
        <w:rPr>
          <w:rFonts w:eastAsia="MS Mincho" w:cs="Arial"/>
          <w:lang w:eastAsia="ja-JP"/>
        </w:rPr>
        <w:t xml:space="preserve">The </w:t>
      </w:r>
      <w:r w:rsidR="006F767B" w:rsidRPr="0030693E">
        <w:rPr>
          <w:rFonts w:eastAsia="MS Mincho" w:cs="Arial"/>
          <w:lang w:eastAsia="ja-JP"/>
        </w:rPr>
        <w:t>P</w:t>
      </w:r>
      <w:r w:rsidR="006D267B" w:rsidRPr="0030693E">
        <w:rPr>
          <w:rFonts w:eastAsia="MS Mincho" w:cs="Arial"/>
          <w:lang w:eastAsia="ja-JP"/>
        </w:rPr>
        <w:t>lan is disciplined, yet flexible, allowing for modifications due to changing market conditions, demand or resource availability or other opportunities.</w:t>
      </w:r>
      <w:r w:rsidR="006D267B" w:rsidRPr="0030693E" w:rsidDel="006D267B">
        <w:rPr>
          <w:rFonts w:cs="Arial"/>
        </w:rPr>
        <w:t xml:space="preserve"> </w:t>
      </w:r>
      <w:r w:rsidR="006D267B" w:rsidRPr="0030693E">
        <w:rPr>
          <w:rFonts w:cs="Arial"/>
        </w:rPr>
        <w:t>Mat</w:t>
      </w:r>
      <w:r w:rsidR="007B3A5F">
        <w:rPr>
          <w:rFonts w:cs="Arial"/>
        </w:rPr>
        <w:t>erial changes to the P</w:t>
      </w:r>
      <w:r w:rsidR="006D267B" w:rsidRPr="0030693E">
        <w:rPr>
          <w:rFonts w:cs="Arial"/>
        </w:rPr>
        <w:t xml:space="preserve">lan are communicated to senior management and Staff.  </w:t>
      </w:r>
    </w:p>
    <w:p w14:paraId="0AE1DFAD" w14:textId="0DB90DB5" w:rsidR="001025FB" w:rsidRPr="0030693E" w:rsidRDefault="00047530" w:rsidP="0030693E">
      <w:pPr>
        <w:pStyle w:val="IRPParagraph"/>
        <w:spacing w:line="240" w:lineRule="auto"/>
        <w:rPr>
          <w:rFonts w:cs="Arial"/>
        </w:rPr>
      </w:pPr>
      <w:r w:rsidRPr="0030693E">
        <w:rPr>
          <w:rFonts w:cs="Arial"/>
        </w:rPr>
        <w:t>T</w:t>
      </w:r>
      <w:r w:rsidR="006F767B" w:rsidRPr="0030693E">
        <w:rPr>
          <w:rFonts w:cs="Arial"/>
        </w:rPr>
        <w:t xml:space="preserve">he </w:t>
      </w:r>
      <w:r w:rsidRPr="0030693E">
        <w:rPr>
          <w:rFonts w:cs="Arial"/>
        </w:rPr>
        <w:t xml:space="preserve">Plan is diversified through </w:t>
      </w:r>
      <w:r w:rsidR="005719A3" w:rsidRPr="0030693E">
        <w:rPr>
          <w:rFonts w:cs="Arial"/>
        </w:rPr>
        <w:t>time</w:t>
      </w:r>
      <w:r w:rsidRPr="0030693E">
        <w:rPr>
          <w:rFonts w:cs="Arial"/>
        </w:rPr>
        <w:t>,</w:t>
      </w:r>
      <w:r w:rsidR="005719A3" w:rsidRPr="0030693E">
        <w:rPr>
          <w:rFonts w:cs="Arial"/>
        </w:rPr>
        <w:t xml:space="preserve"> location and counterparty</w:t>
      </w:r>
      <w:r w:rsidRPr="0030693E">
        <w:rPr>
          <w:rFonts w:cs="Arial"/>
        </w:rPr>
        <w:t>.</w:t>
      </w:r>
      <w:r w:rsidR="006D267B" w:rsidRPr="0030693E">
        <w:rPr>
          <w:rFonts w:cs="Arial"/>
        </w:rPr>
        <w:t xml:space="preserve">  Hedge transactions may be executed for a period of one-month through thirty-six months prior to delivery period.  Due to Avista’s geographic location, transactions may be executed at different supply </w:t>
      </w:r>
      <w:r w:rsidR="002A5A3E" w:rsidRPr="0030693E">
        <w:rPr>
          <w:rFonts w:cs="Arial"/>
        </w:rPr>
        <w:t>basins in order</w:t>
      </w:r>
      <w:r w:rsidR="006D267B" w:rsidRPr="0030693E">
        <w:rPr>
          <w:rFonts w:cs="Arial"/>
        </w:rPr>
        <w:t xml:space="preserve"> reduce our overall portfolio risk. Finally, transactions are made with multiple counterparties in accordance with Risk Management credit terms.</w:t>
      </w:r>
      <w:r w:rsidR="005719A3" w:rsidRPr="0030693E">
        <w:rPr>
          <w:rFonts w:cs="Arial"/>
        </w:rPr>
        <w:t xml:space="preserve"> </w:t>
      </w:r>
    </w:p>
    <w:p w14:paraId="2222F270" w14:textId="3D698FDA" w:rsidR="004B7FCA" w:rsidRPr="0030693E" w:rsidRDefault="0061030A" w:rsidP="0030693E">
      <w:pPr>
        <w:pStyle w:val="ListParagraph"/>
        <w:numPr>
          <w:ilvl w:val="0"/>
          <w:numId w:val="24"/>
        </w:numPr>
        <w:spacing w:line="240" w:lineRule="auto"/>
        <w:ind w:left="0" w:firstLine="0"/>
        <w:jc w:val="center"/>
        <w:rPr>
          <w:rFonts w:ascii="Arial" w:hAnsi="Arial" w:cs="Arial"/>
          <w:b/>
          <w:sz w:val="32"/>
          <w:u w:val="single"/>
        </w:rPr>
      </w:pPr>
      <w:bookmarkStart w:id="0" w:name="_Toc232238329"/>
      <w:r w:rsidRPr="0030693E">
        <w:rPr>
          <w:rFonts w:ascii="Arial" w:hAnsi="Arial" w:cs="Arial"/>
          <w:b/>
          <w:sz w:val="32"/>
          <w:u w:val="single"/>
        </w:rPr>
        <w:t>Oversight and Control</w:t>
      </w:r>
    </w:p>
    <w:p w14:paraId="31BB6471" w14:textId="1B5B215E" w:rsidR="00CB5070" w:rsidRPr="0030693E" w:rsidRDefault="00CB5070" w:rsidP="0030693E">
      <w:pPr>
        <w:pStyle w:val="IRPParagraph"/>
        <w:spacing w:line="240" w:lineRule="auto"/>
        <w:rPr>
          <w:rFonts w:cs="Arial"/>
        </w:rPr>
      </w:pPr>
      <w:r w:rsidRPr="0030693E">
        <w:rPr>
          <w:rFonts w:cs="Arial"/>
        </w:rPr>
        <w:t xml:space="preserve">The Company’s </w:t>
      </w:r>
      <w:r w:rsidR="00217C55" w:rsidRPr="0030693E">
        <w:rPr>
          <w:rFonts w:cs="Arial"/>
        </w:rPr>
        <w:t>Plan</w:t>
      </w:r>
      <w:r w:rsidR="008231F1" w:rsidRPr="0030693E">
        <w:rPr>
          <w:rFonts w:cs="Arial"/>
        </w:rPr>
        <w:t xml:space="preserve"> </w:t>
      </w:r>
      <w:r w:rsidRPr="0030693E">
        <w:rPr>
          <w:rFonts w:cs="Arial"/>
        </w:rPr>
        <w:t>is the framework under which natural gas supply is acquired in order to reach our goal of providing reliable natural gas supply for customers, while at the same time managing the volatility and cost of that supply.</w:t>
      </w:r>
    </w:p>
    <w:p w14:paraId="1769D5E9" w14:textId="665587DC" w:rsidR="0016646D" w:rsidRPr="0030693E" w:rsidRDefault="00047530" w:rsidP="0030693E">
      <w:pPr>
        <w:pStyle w:val="IRPParagraph"/>
        <w:spacing w:line="240" w:lineRule="auto"/>
        <w:rPr>
          <w:rFonts w:cs="Arial"/>
        </w:rPr>
      </w:pPr>
      <w:r w:rsidRPr="0030693E">
        <w:rPr>
          <w:rFonts w:cs="Arial"/>
        </w:rPr>
        <w:t xml:space="preserve">The Plan is governed </w:t>
      </w:r>
      <w:r w:rsidR="004E2F6B" w:rsidRPr="0030693E">
        <w:rPr>
          <w:rFonts w:cs="Arial"/>
        </w:rPr>
        <w:t>b</w:t>
      </w:r>
      <w:r w:rsidR="002B28E5" w:rsidRPr="0030693E">
        <w:rPr>
          <w:rFonts w:cs="Arial"/>
        </w:rPr>
        <w:t>y</w:t>
      </w:r>
      <w:r w:rsidRPr="0030693E">
        <w:rPr>
          <w:rFonts w:cs="Arial"/>
        </w:rPr>
        <w:t xml:space="preserve"> </w:t>
      </w:r>
      <w:r w:rsidR="0061030A" w:rsidRPr="0030693E">
        <w:rPr>
          <w:rFonts w:cs="Arial"/>
        </w:rPr>
        <w:t xml:space="preserve">the </w:t>
      </w:r>
      <w:r w:rsidR="004B7FCA" w:rsidRPr="0030693E">
        <w:rPr>
          <w:rFonts w:cs="Arial"/>
        </w:rPr>
        <w:t>Avista</w:t>
      </w:r>
      <w:r w:rsidR="0061030A" w:rsidRPr="0030693E">
        <w:rPr>
          <w:rFonts w:cs="Arial"/>
        </w:rPr>
        <w:t xml:space="preserve"> Utilities Energy Resources Risk Policy (“</w:t>
      </w:r>
      <w:r w:rsidR="004B7FCA" w:rsidRPr="0030693E">
        <w:rPr>
          <w:rFonts w:cs="Arial"/>
        </w:rPr>
        <w:t>Risk Policy</w:t>
      </w:r>
      <w:r w:rsidR="007B3A5F">
        <w:rPr>
          <w:rFonts w:cs="Arial"/>
        </w:rPr>
        <w:t>”</w:t>
      </w:r>
      <w:r w:rsidR="0061030A" w:rsidRPr="0030693E">
        <w:rPr>
          <w:rFonts w:cs="Arial"/>
        </w:rPr>
        <w:t>) which addresses certain risks inherent in supplying energy and managing energy resources</w:t>
      </w:r>
      <w:r w:rsidR="007B3A5F">
        <w:rPr>
          <w:rFonts w:cs="Arial"/>
        </w:rPr>
        <w:t>,</w:t>
      </w:r>
      <w:r w:rsidR="000F4FBB" w:rsidRPr="0030693E">
        <w:rPr>
          <w:rFonts w:cs="Arial"/>
        </w:rPr>
        <w:t xml:space="preserve"> and</w:t>
      </w:r>
      <w:r w:rsidR="0061030A" w:rsidRPr="0030693E">
        <w:rPr>
          <w:rFonts w:cs="Arial"/>
        </w:rPr>
        <w:t xml:space="preserve"> outlines certain important roles, responsibilities and processes to manage and control those risk</w:t>
      </w:r>
      <w:r w:rsidR="007B3A5F">
        <w:rPr>
          <w:rFonts w:cs="Arial"/>
        </w:rPr>
        <w:t>s</w:t>
      </w:r>
      <w:r w:rsidR="0061030A" w:rsidRPr="0030693E">
        <w:rPr>
          <w:rFonts w:cs="Arial"/>
        </w:rPr>
        <w:t xml:space="preserve">.  </w:t>
      </w:r>
      <w:r w:rsidR="004B7FCA" w:rsidRPr="0030693E">
        <w:rPr>
          <w:rFonts w:cs="Arial"/>
        </w:rPr>
        <w:t xml:space="preserve"> </w:t>
      </w:r>
      <w:r w:rsidR="000F4FBB" w:rsidRPr="0030693E">
        <w:rPr>
          <w:rFonts w:cs="Arial"/>
        </w:rPr>
        <w:t xml:space="preserve">The Rick Policy governs </w:t>
      </w:r>
      <w:r w:rsidR="00777E35" w:rsidRPr="0030693E">
        <w:rPr>
          <w:rFonts w:cs="Arial"/>
        </w:rPr>
        <w:t xml:space="preserve">Avista Utilities transactions to purchase or sell electricity or natural gas in the wholesale energy market, transactions for electric </w:t>
      </w:r>
      <w:r w:rsidR="00777E35" w:rsidRPr="0030693E">
        <w:rPr>
          <w:rFonts w:cs="Arial"/>
        </w:rPr>
        <w:lastRenderedPageBreak/>
        <w:t>generation, financial contracts and derivatives (relating to electricity, natural gas and fuel), and agreements for use of Avista Utilities’ natural gas storage and transportation rights</w:t>
      </w:r>
      <w:r w:rsidR="00217C55" w:rsidRPr="0030693E">
        <w:rPr>
          <w:rFonts w:cs="Arial"/>
        </w:rPr>
        <w:t>.</w:t>
      </w:r>
      <w:r w:rsidR="00777E35" w:rsidRPr="0030693E">
        <w:rPr>
          <w:rFonts w:cs="Arial"/>
        </w:rPr>
        <w:t xml:space="preserve"> </w:t>
      </w:r>
    </w:p>
    <w:p w14:paraId="5240033E" w14:textId="44DF156C" w:rsidR="00AB053C" w:rsidRPr="0030693E" w:rsidRDefault="00AB053C" w:rsidP="0030693E">
      <w:pPr>
        <w:pStyle w:val="IRPBullet"/>
        <w:numPr>
          <w:ilvl w:val="0"/>
          <w:numId w:val="0"/>
        </w:numPr>
        <w:spacing w:line="240" w:lineRule="auto"/>
        <w:jc w:val="both"/>
        <w:rPr>
          <w:rFonts w:cs="Arial"/>
          <w:sz w:val="24"/>
          <w:szCs w:val="24"/>
        </w:rPr>
      </w:pPr>
      <w:r w:rsidRPr="0030693E">
        <w:rPr>
          <w:rFonts w:cs="Arial"/>
          <w:sz w:val="24"/>
          <w:szCs w:val="24"/>
        </w:rPr>
        <w:t>The Risk Management Committee</w:t>
      </w:r>
      <w:r w:rsidR="004E2F6B" w:rsidRPr="0030693E">
        <w:rPr>
          <w:rFonts w:cs="Arial"/>
          <w:sz w:val="24"/>
          <w:szCs w:val="24"/>
        </w:rPr>
        <w:t>, which</w:t>
      </w:r>
      <w:r w:rsidRPr="0030693E">
        <w:rPr>
          <w:rFonts w:cs="Arial"/>
          <w:sz w:val="24"/>
          <w:szCs w:val="24"/>
        </w:rPr>
        <w:t xml:space="preserve"> includes corporate officers and senior-level management</w:t>
      </w:r>
      <w:r w:rsidR="004E2F6B" w:rsidRPr="0030693E">
        <w:rPr>
          <w:rFonts w:cs="Arial"/>
          <w:sz w:val="24"/>
          <w:szCs w:val="24"/>
        </w:rPr>
        <w:t>,</w:t>
      </w:r>
      <w:r w:rsidRPr="0030693E">
        <w:rPr>
          <w:rFonts w:cs="Arial"/>
          <w:sz w:val="24"/>
          <w:szCs w:val="24"/>
        </w:rPr>
        <w:t xml:space="preserve"> is responsible for oversight </w:t>
      </w:r>
      <w:r w:rsidR="007B3A5F">
        <w:rPr>
          <w:rFonts w:cs="Arial"/>
          <w:sz w:val="24"/>
          <w:szCs w:val="24"/>
        </w:rPr>
        <w:t>of</w:t>
      </w:r>
      <w:r w:rsidRPr="0030693E">
        <w:rPr>
          <w:rFonts w:cs="Arial"/>
          <w:sz w:val="24"/>
          <w:szCs w:val="24"/>
        </w:rPr>
        <w:t xml:space="preserve"> the </w:t>
      </w:r>
      <w:r w:rsidR="006F767B" w:rsidRPr="0030693E">
        <w:rPr>
          <w:rFonts w:cs="Arial"/>
          <w:sz w:val="24"/>
          <w:szCs w:val="24"/>
        </w:rPr>
        <w:t>Risk Policy and as</w:t>
      </w:r>
      <w:r w:rsidR="007B3A5F">
        <w:rPr>
          <w:rFonts w:cs="Arial"/>
          <w:sz w:val="24"/>
          <w:szCs w:val="24"/>
        </w:rPr>
        <w:t>sociated Natural Gas</w:t>
      </w:r>
      <w:r w:rsidR="006F767B" w:rsidRPr="0030693E">
        <w:rPr>
          <w:rFonts w:cs="Arial"/>
          <w:sz w:val="24"/>
          <w:szCs w:val="24"/>
        </w:rPr>
        <w:t xml:space="preserve"> Plan (which includes hedging).</w:t>
      </w:r>
      <w:r w:rsidR="004E2F6B" w:rsidRPr="0030693E">
        <w:rPr>
          <w:rFonts w:cs="Arial"/>
          <w:sz w:val="24"/>
          <w:szCs w:val="24"/>
        </w:rPr>
        <w:t xml:space="preserve"> </w:t>
      </w:r>
      <w:r w:rsidR="006F767B" w:rsidRPr="0030693E">
        <w:rPr>
          <w:rFonts w:cs="Arial"/>
          <w:sz w:val="24"/>
          <w:szCs w:val="24"/>
        </w:rPr>
        <w:t xml:space="preserve"> </w:t>
      </w:r>
      <w:r w:rsidR="004E2F6B" w:rsidRPr="0030693E">
        <w:rPr>
          <w:rFonts w:cs="Arial"/>
          <w:sz w:val="24"/>
          <w:szCs w:val="24"/>
        </w:rPr>
        <w:t>The C</w:t>
      </w:r>
      <w:r w:rsidRPr="0030693E">
        <w:rPr>
          <w:rFonts w:cs="Arial"/>
          <w:sz w:val="24"/>
          <w:szCs w:val="24"/>
        </w:rPr>
        <w:t>ommittee establishes the Risk Policy and monitors compliance</w:t>
      </w:r>
      <w:r w:rsidR="001025FB" w:rsidRPr="0030693E">
        <w:rPr>
          <w:rFonts w:cs="Arial"/>
          <w:sz w:val="24"/>
          <w:szCs w:val="24"/>
        </w:rPr>
        <w:t xml:space="preserve"> through</w:t>
      </w:r>
      <w:r w:rsidRPr="0030693E">
        <w:rPr>
          <w:rFonts w:cs="Arial"/>
          <w:sz w:val="24"/>
          <w:szCs w:val="24"/>
        </w:rPr>
        <w:t xml:space="preserve"> regular</w:t>
      </w:r>
      <w:r w:rsidR="001025FB" w:rsidRPr="0030693E">
        <w:rPr>
          <w:rFonts w:cs="Arial"/>
          <w:sz w:val="24"/>
          <w:szCs w:val="24"/>
        </w:rPr>
        <w:t xml:space="preserve"> meetings </w:t>
      </w:r>
      <w:r w:rsidR="006F767B" w:rsidRPr="0030693E">
        <w:rPr>
          <w:rFonts w:cs="Arial"/>
          <w:sz w:val="24"/>
          <w:szCs w:val="24"/>
        </w:rPr>
        <w:t xml:space="preserve">including, but not limited to, hedge </w:t>
      </w:r>
      <w:r w:rsidRPr="0030693E">
        <w:rPr>
          <w:rFonts w:cs="Arial"/>
          <w:sz w:val="24"/>
          <w:szCs w:val="24"/>
        </w:rPr>
        <w:t>activity</w:t>
      </w:r>
      <w:r w:rsidR="006F767B" w:rsidRPr="0030693E">
        <w:rPr>
          <w:rFonts w:cs="Arial"/>
          <w:sz w:val="24"/>
          <w:szCs w:val="24"/>
        </w:rPr>
        <w:t>,</w:t>
      </w:r>
      <w:r w:rsidRPr="0030693E">
        <w:rPr>
          <w:rFonts w:cs="Arial"/>
          <w:sz w:val="24"/>
          <w:szCs w:val="24"/>
        </w:rPr>
        <w:t xml:space="preserve"> and discuss</w:t>
      </w:r>
      <w:r w:rsidR="001025FB" w:rsidRPr="0030693E">
        <w:rPr>
          <w:rFonts w:cs="Arial"/>
          <w:sz w:val="24"/>
          <w:szCs w:val="24"/>
        </w:rPr>
        <w:t>ions on</w:t>
      </w:r>
      <w:r w:rsidRPr="0030693E">
        <w:rPr>
          <w:rFonts w:cs="Arial"/>
          <w:sz w:val="24"/>
          <w:szCs w:val="24"/>
        </w:rPr>
        <w:t xml:space="preserve"> market conditions, and other </w:t>
      </w:r>
      <w:r w:rsidR="006F767B" w:rsidRPr="0030693E">
        <w:rPr>
          <w:rFonts w:cs="Arial"/>
          <w:sz w:val="24"/>
          <w:szCs w:val="24"/>
        </w:rPr>
        <w:t xml:space="preserve">power supply and </w:t>
      </w:r>
      <w:r w:rsidRPr="0030693E">
        <w:rPr>
          <w:rFonts w:cs="Arial"/>
          <w:sz w:val="24"/>
          <w:szCs w:val="24"/>
        </w:rPr>
        <w:t>natural gas-related matters.</w:t>
      </w:r>
    </w:p>
    <w:p w14:paraId="7CC932D1" w14:textId="5E28FB7A" w:rsidR="0016646D" w:rsidRPr="0030693E" w:rsidRDefault="00016CFE" w:rsidP="0030693E">
      <w:pPr>
        <w:pStyle w:val="IRPParagraph"/>
        <w:spacing w:line="240" w:lineRule="auto"/>
        <w:rPr>
          <w:rFonts w:cs="Arial"/>
        </w:rPr>
      </w:pPr>
      <w:r w:rsidRPr="0030693E">
        <w:rPr>
          <w:rFonts w:cs="Arial"/>
        </w:rPr>
        <w:t xml:space="preserve">Specific to </w:t>
      </w:r>
      <w:r w:rsidR="00217C55" w:rsidRPr="0030693E">
        <w:rPr>
          <w:rFonts w:cs="Arial"/>
        </w:rPr>
        <w:t>n</w:t>
      </w:r>
      <w:r w:rsidRPr="0030693E">
        <w:rPr>
          <w:rFonts w:cs="Arial"/>
        </w:rPr>
        <w:t xml:space="preserve">atural </w:t>
      </w:r>
      <w:r w:rsidR="00217C55" w:rsidRPr="0030693E">
        <w:rPr>
          <w:rFonts w:cs="Arial"/>
        </w:rPr>
        <w:t>g</w:t>
      </w:r>
      <w:r w:rsidRPr="0030693E">
        <w:rPr>
          <w:rFonts w:cs="Arial"/>
        </w:rPr>
        <w:t>as, the</w:t>
      </w:r>
      <w:r w:rsidR="000F4FBB" w:rsidRPr="0030693E">
        <w:rPr>
          <w:rFonts w:cs="Arial"/>
        </w:rPr>
        <w:t xml:space="preserve"> Risk</w:t>
      </w:r>
      <w:r w:rsidRPr="0030693E">
        <w:rPr>
          <w:rFonts w:cs="Arial"/>
        </w:rPr>
        <w:t xml:space="preserve"> P</w:t>
      </w:r>
      <w:r w:rsidR="004E2F6B" w:rsidRPr="0030693E">
        <w:rPr>
          <w:rFonts w:cs="Arial"/>
        </w:rPr>
        <w:t>olicy</w:t>
      </w:r>
      <w:r w:rsidRPr="0030693E">
        <w:rPr>
          <w:rFonts w:cs="Arial"/>
        </w:rPr>
        <w:t xml:space="preserve"> addresses several variables which affect natural gas supply and customer load. It is the intent of the</w:t>
      </w:r>
      <w:r w:rsidR="000F4FBB" w:rsidRPr="0030693E">
        <w:rPr>
          <w:rFonts w:cs="Arial"/>
        </w:rPr>
        <w:t xml:space="preserve"> Risk</w:t>
      </w:r>
      <w:r w:rsidRPr="0030693E">
        <w:rPr>
          <w:rFonts w:cs="Arial"/>
        </w:rPr>
        <w:t xml:space="preserve"> Policy to recognize and actively manage the interaction and dynamics among these variables by establishing a process for load estimation, resource procurement (including natural gas storage), and management of the expected Short Term and Immediate Term gas requirements.  The P</w:t>
      </w:r>
      <w:r w:rsidR="004E2F6B" w:rsidRPr="0030693E">
        <w:rPr>
          <w:rFonts w:cs="Arial"/>
        </w:rPr>
        <w:t>olicy</w:t>
      </w:r>
      <w:r w:rsidRPr="0030693E">
        <w:rPr>
          <w:rFonts w:cs="Arial"/>
        </w:rPr>
        <w:t xml:space="preserve"> spells out the following processes:</w:t>
      </w:r>
    </w:p>
    <w:p w14:paraId="4DAF7F33" w14:textId="703B49D5" w:rsidR="00AF272B" w:rsidRPr="0030693E" w:rsidRDefault="00016CFE" w:rsidP="0030693E">
      <w:pPr>
        <w:pStyle w:val="IRPParagraph"/>
        <w:numPr>
          <w:ilvl w:val="0"/>
          <w:numId w:val="22"/>
        </w:numPr>
        <w:spacing w:line="240" w:lineRule="auto"/>
        <w:rPr>
          <w:rFonts w:cs="Arial"/>
        </w:rPr>
      </w:pPr>
      <w:r w:rsidRPr="0030693E">
        <w:rPr>
          <w:rFonts w:cs="Arial"/>
        </w:rPr>
        <w:t>Natural Gas Load</w:t>
      </w:r>
      <w:r w:rsidR="006F767B" w:rsidRPr="0030693E">
        <w:rPr>
          <w:rFonts w:cs="Arial"/>
        </w:rPr>
        <w:t xml:space="preserve"> and </w:t>
      </w:r>
      <w:r w:rsidRPr="0030693E">
        <w:rPr>
          <w:rFonts w:cs="Arial"/>
        </w:rPr>
        <w:t>Obligations</w:t>
      </w:r>
      <w:r w:rsidR="006F767B" w:rsidRPr="0030693E">
        <w:rPr>
          <w:rFonts w:cs="Arial"/>
        </w:rPr>
        <w:t xml:space="preserve"> estimation, </w:t>
      </w:r>
      <w:r w:rsidR="00AF272B" w:rsidRPr="0030693E">
        <w:rPr>
          <w:rFonts w:cs="Arial"/>
        </w:rPr>
        <w:t>Natural Gas Resource estimation, and management of associated surplus or deficit.</w:t>
      </w:r>
    </w:p>
    <w:p w14:paraId="60AFAA5B" w14:textId="77777777" w:rsidR="00016CFE" w:rsidRPr="0030693E" w:rsidRDefault="00016CFE" w:rsidP="0030693E">
      <w:pPr>
        <w:pStyle w:val="IRPParagraph"/>
        <w:numPr>
          <w:ilvl w:val="0"/>
          <w:numId w:val="22"/>
        </w:numPr>
        <w:spacing w:line="240" w:lineRule="auto"/>
        <w:rPr>
          <w:rFonts w:cs="Arial"/>
        </w:rPr>
      </w:pPr>
      <w:r w:rsidRPr="0030693E">
        <w:rPr>
          <w:rFonts w:cs="Arial"/>
        </w:rPr>
        <w:t>Responsibility and approvals for transactions and operating decisions related to natural gas procurement, wholesale natural gas purchases and sales, scheduling natural gas resources, and providing good stewardship of natural gas resources.</w:t>
      </w:r>
    </w:p>
    <w:p w14:paraId="4E27554D" w14:textId="46C46EFE" w:rsidR="004F18A4" w:rsidRPr="0030693E" w:rsidRDefault="004F18A4" w:rsidP="0030693E">
      <w:pPr>
        <w:pStyle w:val="IRPParagraph"/>
        <w:numPr>
          <w:ilvl w:val="0"/>
          <w:numId w:val="22"/>
        </w:numPr>
        <w:spacing w:line="240" w:lineRule="auto"/>
        <w:rPr>
          <w:rFonts w:cs="Arial"/>
        </w:rPr>
      </w:pPr>
      <w:r w:rsidRPr="0030693E">
        <w:rPr>
          <w:rFonts w:cs="Arial"/>
        </w:rPr>
        <w:t xml:space="preserve">Reporting.  All changes that affect the Short Term natural gas position (per </w:t>
      </w:r>
      <w:r w:rsidR="00217C55" w:rsidRPr="0030693E">
        <w:rPr>
          <w:rFonts w:cs="Arial"/>
        </w:rPr>
        <w:t>the</w:t>
      </w:r>
      <w:r w:rsidRPr="0030693E">
        <w:rPr>
          <w:rFonts w:cs="Arial"/>
        </w:rPr>
        <w:t xml:space="preserve"> Plan) will be reflected each business day in a natural gas position report.  This includes status of estimated load and obligations, estimated open positions (net surplus or deficit) for each month in the hedge windows described above.  The position report also includes the current status of </w:t>
      </w:r>
      <w:r w:rsidR="007B3A5F">
        <w:rPr>
          <w:rFonts w:cs="Arial"/>
        </w:rPr>
        <w:t>the Plan</w:t>
      </w:r>
      <w:r w:rsidRPr="0030693E">
        <w:rPr>
          <w:rFonts w:cs="Arial"/>
        </w:rPr>
        <w:t>, daily prices, and estimated current market value of overall natural gas positions.</w:t>
      </w:r>
    </w:p>
    <w:p w14:paraId="3FA63D1C" w14:textId="44027DB3" w:rsidR="004B7FCA" w:rsidRDefault="006F767B" w:rsidP="0030693E">
      <w:pPr>
        <w:pStyle w:val="IRPParagraph"/>
        <w:spacing w:line="240" w:lineRule="auto"/>
        <w:rPr>
          <w:rFonts w:cs="Arial"/>
        </w:rPr>
      </w:pPr>
      <w:r w:rsidRPr="0030693E">
        <w:rPr>
          <w:rFonts w:cs="Arial"/>
        </w:rPr>
        <w:t>In addition to the Risk Management Committee, t</w:t>
      </w:r>
      <w:r w:rsidR="00AB053C" w:rsidRPr="0030693E">
        <w:rPr>
          <w:rFonts w:cs="Arial"/>
        </w:rPr>
        <w:t>he Compan</w:t>
      </w:r>
      <w:r w:rsidRPr="0030693E">
        <w:rPr>
          <w:rFonts w:cs="Arial"/>
        </w:rPr>
        <w:t>y</w:t>
      </w:r>
      <w:r w:rsidR="003042D6" w:rsidRPr="0030693E">
        <w:rPr>
          <w:rFonts w:cs="Arial"/>
        </w:rPr>
        <w:t xml:space="preserve"> also has an internal </w:t>
      </w:r>
      <w:r w:rsidR="00AB053C" w:rsidRPr="0030693E">
        <w:rPr>
          <w:rFonts w:cs="Arial"/>
        </w:rPr>
        <w:t>Strategic Oversight Group (SOG)</w:t>
      </w:r>
      <w:r w:rsidR="003042D6" w:rsidRPr="0030693E">
        <w:rPr>
          <w:rFonts w:cs="Arial"/>
        </w:rPr>
        <w:t xml:space="preserve"> </w:t>
      </w:r>
      <w:r w:rsidRPr="0030693E">
        <w:rPr>
          <w:rFonts w:cs="Arial"/>
        </w:rPr>
        <w:t>which is</w:t>
      </w:r>
      <w:r w:rsidR="00AB053C" w:rsidRPr="0030693E">
        <w:rPr>
          <w:rFonts w:cs="Arial"/>
        </w:rPr>
        <w:t xml:space="preserve"> comprised of other natural gas-related stakeholders</w:t>
      </w:r>
      <w:r w:rsidRPr="0030693E">
        <w:rPr>
          <w:rFonts w:cs="Arial"/>
        </w:rPr>
        <w:t xml:space="preserve"> who</w:t>
      </w:r>
      <w:r w:rsidR="00AB053C" w:rsidRPr="0030693E">
        <w:rPr>
          <w:rFonts w:cs="Arial"/>
        </w:rPr>
        <w:t xml:space="preserve"> provid</w:t>
      </w:r>
      <w:r w:rsidRPr="0030693E">
        <w:rPr>
          <w:rFonts w:cs="Arial"/>
        </w:rPr>
        <w:t>e</w:t>
      </w:r>
      <w:r w:rsidR="00AB053C" w:rsidRPr="0030693E">
        <w:rPr>
          <w:rFonts w:cs="Arial"/>
        </w:rPr>
        <w:t xml:space="preserve"> guidance and input </w:t>
      </w:r>
      <w:r w:rsidR="001025FB" w:rsidRPr="0030693E">
        <w:rPr>
          <w:rFonts w:cs="Arial"/>
        </w:rPr>
        <w:t>on</w:t>
      </w:r>
      <w:r w:rsidR="00AB053C" w:rsidRPr="0030693E">
        <w:rPr>
          <w:rFonts w:cs="Arial"/>
        </w:rPr>
        <w:t xml:space="preserve"> decisions made to the Plan.  </w:t>
      </w:r>
      <w:r w:rsidR="004B7FCA" w:rsidRPr="0030693E">
        <w:rPr>
          <w:rFonts w:cs="Arial"/>
        </w:rPr>
        <w:t>The S</w:t>
      </w:r>
      <w:r w:rsidR="00AB053C" w:rsidRPr="0030693E">
        <w:rPr>
          <w:rFonts w:cs="Arial"/>
        </w:rPr>
        <w:t>OG</w:t>
      </w:r>
      <w:r w:rsidR="004B7FCA" w:rsidRPr="0030693E">
        <w:rPr>
          <w:rFonts w:cs="Arial"/>
        </w:rPr>
        <w:t xml:space="preserve"> serves as a reference/sounding board for strat</w:t>
      </w:r>
      <w:r w:rsidRPr="0030693E">
        <w:rPr>
          <w:rFonts w:cs="Arial"/>
        </w:rPr>
        <w:t xml:space="preserve">egic decisions </w:t>
      </w:r>
      <w:r w:rsidR="004B7FCA" w:rsidRPr="0030693E">
        <w:rPr>
          <w:rFonts w:cs="Arial"/>
        </w:rPr>
        <w:t>made by th</w:t>
      </w:r>
      <w:r w:rsidRPr="0030693E">
        <w:rPr>
          <w:rFonts w:cs="Arial"/>
        </w:rPr>
        <w:t xml:space="preserve">e Natural Gas Supply department regarding natural gas procurement. </w:t>
      </w:r>
      <w:r w:rsidR="004B7FCA" w:rsidRPr="0030693E">
        <w:rPr>
          <w:rFonts w:cs="Arial"/>
        </w:rPr>
        <w:t xml:space="preserve"> Members include representatives from the Gas Supply, </w:t>
      </w:r>
      <w:r w:rsidR="006B21DA" w:rsidRPr="0030693E">
        <w:rPr>
          <w:rFonts w:cs="Arial"/>
        </w:rPr>
        <w:t xml:space="preserve">Resource </w:t>
      </w:r>
      <w:r w:rsidR="004B7FCA" w:rsidRPr="0030693E">
        <w:rPr>
          <w:rFonts w:cs="Arial"/>
        </w:rPr>
        <w:t xml:space="preserve">Accounting, </w:t>
      </w:r>
      <w:r w:rsidR="006B21DA" w:rsidRPr="0030693E">
        <w:rPr>
          <w:rFonts w:cs="Arial"/>
        </w:rPr>
        <w:t>State &amp; Federal Regulation</w:t>
      </w:r>
      <w:r w:rsidR="004B7FCA" w:rsidRPr="0030693E">
        <w:rPr>
          <w:rFonts w:cs="Arial"/>
        </w:rPr>
        <w:t>, Credit</w:t>
      </w:r>
      <w:r w:rsidR="006B21DA" w:rsidRPr="0030693E">
        <w:rPr>
          <w:rFonts w:cs="Arial"/>
        </w:rPr>
        <w:t xml:space="preserve"> Management</w:t>
      </w:r>
      <w:r w:rsidR="004B7FCA" w:rsidRPr="0030693E">
        <w:rPr>
          <w:rFonts w:cs="Arial"/>
        </w:rPr>
        <w:t xml:space="preserve">, Power Resources, and Risk Management departments. </w:t>
      </w:r>
      <w:r w:rsidR="003042D6" w:rsidRPr="0030693E">
        <w:rPr>
          <w:rFonts w:cs="Arial"/>
        </w:rPr>
        <w:t>Although</w:t>
      </w:r>
      <w:r w:rsidR="004B7FCA" w:rsidRPr="0030693E">
        <w:rPr>
          <w:rFonts w:cs="Arial"/>
        </w:rPr>
        <w:t xml:space="preserve"> the Gas Supply department is </w:t>
      </w:r>
      <w:r w:rsidR="006B21DA" w:rsidRPr="0030693E">
        <w:rPr>
          <w:rFonts w:cs="Arial"/>
        </w:rPr>
        <w:t xml:space="preserve">ultimately </w:t>
      </w:r>
      <w:r w:rsidR="004B7FCA" w:rsidRPr="0030693E">
        <w:rPr>
          <w:rFonts w:cs="Arial"/>
        </w:rPr>
        <w:t xml:space="preserve">responsible for </w:t>
      </w:r>
      <w:r w:rsidR="006B21DA" w:rsidRPr="0030693E">
        <w:rPr>
          <w:rFonts w:cs="Arial"/>
        </w:rPr>
        <w:t>the execution of</w:t>
      </w:r>
      <w:r w:rsidR="004B7FCA" w:rsidRPr="0030693E">
        <w:rPr>
          <w:rFonts w:cs="Arial"/>
        </w:rPr>
        <w:t xml:space="preserve"> hedge transactions, the Strategic Oversight Group provides input and advice. </w:t>
      </w:r>
    </w:p>
    <w:p w14:paraId="29FC1BDE" w14:textId="6CE06F58" w:rsidR="001E5EA0" w:rsidRPr="0030693E" w:rsidRDefault="001E5EA0" w:rsidP="0030693E">
      <w:pPr>
        <w:pStyle w:val="IRPParagraph"/>
        <w:numPr>
          <w:ilvl w:val="0"/>
          <w:numId w:val="24"/>
        </w:numPr>
        <w:spacing w:line="240" w:lineRule="auto"/>
        <w:ind w:left="0" w:firstLine="0"/>
        <w:jc w:val="center"/>
        <w:rPr>
          <w:rFonts w:cs="Arial"/>
          <w:b/>
          <w:sz w:val="32"/>
          <w:szCs w:val="32"/>
          <w:u w:val="single"/>
        </w:rPr>
      </w:pPr>
      <w:r w:rsidRPr="0030693E">
        <w:rPr>
          <w:rFonts w:cs="Arial"/>
          <w:b/>
          <w:sz w:val="32"/>
          <w:szCs w:val="32"/>
          <w:u w:val="single"/>
        </w:rPr>
        <w:t xml:space="preserve">Strategic </w:t>
      </w:r>
      <w:r w:rsidR="007B3A5F">
        <w:rPr>
          <w:rFonts w:cs="Arial"/>
          <w:b/>
          <w:sz w:val="32"/>
          <w:szCs w:val="32"/>
          <w:u w:val="single"/>
        </w:rPr>
        <w:t>Optimization</w:t>
      </w:r>
    </w:p>
    <w:p w14:paraId="47C5E3D2" w14:textId="7E8310BC" w:rsidR="001E5EA0" w:rsidRPr="0030693E" w:rsidRDefault="001E5EA0" w:rsidP="0030693E">
      <w:pPr>
        <w:pStyle w:val="IRPParagraph"/>
        <w:spacing w:line="240" w:lineRule="auto"/>
        <w:rPr>
          <w:rFonts w:cs="Arial"/>
        </w:rPr>
      </w:pPr>
      <w:r w:rsidRPr="0030693E">
        <w:rPr>
          <w:rFonts w:cs="Arial"/>
        </w:rPr>
        <w:t>As previously noted, the goal of the Procurement Plan is to provide reliable supply at competitive prices, with some level of price stability, in a volatile commodity market</w:t>
      </w:r>
      <w:r w:rsidR="001025FB" w:rsidRPr="0030693E">
        <w:rPr>
          <w:rFonts w:cs="Arial"/>
        </w:rPr>
        <w:t>.</w:t>
      </w:r>
      <w:r w:rsidR="006B21DA" w:rsidRPr="0030693E">
        <w:rPr>
          <w:rFonts w:cs="Arial"/>
        </w:rPr>
        <w:t xml:space="preserve"> This is accomplished through the use of a hedge “window” mechanism (described below).</w:t>
      </w:r>
      <w:r w:rsidR="001025FB" w:rsidRPr="0030693E">
        <w:rPr>
          <w:rFonts w:cs="Arial"/>
        </w:rPr>
        <w:t xml:space="preserve">  Through th</w:t>
      </w:r>
      <w:r w:rsidR="006B21DA" w:rsidRPr="0030693E">
        <w:rPr>
          <w:rFonts w:cs="Arial"/>
        </w:rPr>
        <w:t>is</w:t>
      </w:r>
      <w:r w:rsidR="001025FB" w:rsidRPr="0030693E">
        <w:rPr>
          <w:rFonts w:cs="Arial"/>
        </w:rPr>
        <w:t xml:space="preserve"> mechanism,</w:t>
      </w:r>
      <w:r w:rsidR="008231F1" w:rsidRPr="0030693E">
        <w:rPr>
          <w:rFonts w:cs="Arial"/>
        </w:rPr>
        <w:t xml:space="preserve"> the Company is able to mitigate natural gas price volatility for </w:t>
      </w:r>
      <w:r w:rsidR="008231F1" w:rsidRPr="0030693E">
        <w:rPr>
          <w:rFonts w:cs="Arial"/>
        </w:rPr>
        <w:lastRenderedPageBreak/>
        <w:t xml:space="preserve">a portion of the portfolio in various time increments.  The Plan also addresses </w:t>
      </w:r>
      <w:r w:rsidR="00883418" w:rsidRPr="0030693E">
        <w:rPr>
          <w:rFonts w:cs="Arial"/>
        </w:rPr>
        <w:t xml:space="preserve">seasonal, monthly and daily load </w:t>
      </w:r>
      <w:r w:rsidR="008231F1" w:rsidRPr="0030693E">
        <w:rPr>
          <w:rFonts w:cs="Arial"/>
        </w:rPr>
        <w:t>variability, by shaping the components of the plan (i.e. more natural gas is hedged for winter mont</w:t>
      </w:r>
      <w:r w:rsidR="00883418" w:rsidRPr="0030693E">
        <w:rPr>
          <w:rFonts w:cs="Arial"/>
        </w:rPr>
        <w:t xml:space="preserve">hs than for summer months).  The Natural Gas Supply Department continuously monitors the results of the Plan, evolving market conditions, variation in demand profiles, new supply opportunities and regulatory conditions.  </w:t>
      </w:r>
      <w:r w:rsidR="008231F1" w:rsidRPr="0030693E">
        <w:rPr>
          <w:rFonts w:cs="Arial"/>
        </w:rPr>
        <w:t xml:space="preserve">   </w:t>
      </w:r>
    </w:p>
    <w:p w14:paraId="0DC1D6C5" w14:textId="272A4B3B" w:rsidR="001E5EA0" w:rsidRPr="0030693E" w:rsidRDefault="002D799B" w:rsidP="0030693E">
      <w:pPr>
        <w:pStyle w:val="IRPParagraph"/>
        <w:spacing w:line="240" w:lineRule="auto"/>
        <w:rPr>
          <w:rFonts w:cs="Arial"/>
        </w:rPr>
      </w:pPr>
      <w:r w:rsidRPr="0030693E">
        <w:rPr>
          <w:rFonts w:cs="Arial"/>
        </w:rPr>
        <w:t xml:space="preserve">In striving to be </w:t>
      </w:r>
      <w:r w:rsidR="001E5EA0" w:rsidRPr="0030693E">
        <w:rPr>
          <w:rFonts w:cs="Arial"/>
        </w:rPr>
        <w:t>good steward</w:t>
      </w:r>
      <w:r w:rsidRPr="0030693E">
        <w:rPr>
          <w:rFonts w:cs="Arial"/>
        </w:rPr>
        <w:t>s</w:t>
      </w:r>
      <w:r w:rsidR="001E5EA0" w:rsidRPr="0030693E">
        <w:rPr>
          <w:rFonts w:cs="Arial"/>
        </w:rPr>
        <w:t xml:space="preserve"> of customer resources, existing pipeline and storage resources </w:t>
      </w:r>
      <w:r w:rsidR="000D1693" w:rsidRPr="0030693E">
        <w:rPr>
          <w:rFonts w:cs="Arial"/>
        </w:rPr>
        <w:t>are optimized in order</w:t>
      </w:r>
      <w:r w:rsidR="001E5EA0" w:rsidRPr="0030693E">
        <w:rPr>
          <w:rFonts w:cs="Arial"/>
        </w:rPr>
        <w:t xml:space="preserve"> to mitigate costs incurred by customers until the resource is required to meet demand. Unutilized resources such as transportation and storage capacity </w:t>
      </w:r>
      <w:r w:rsidR="006B21DA" w:rsidRPr="0030693E">
        <w:rPr>
          <w:rFonts w:cs="Arial"/>
        </w:rPr>
        <w:t xml:space="preserve">are optimized when possible, in order </w:t>
      </w:r>
      <w:r w:rsidR="001E5EA0" w:rsidRPr="0030693E">
        <w:rPr>
          <w:rFonts w:cs="Arial"/>
        </w:rPr>
        <w:t>to reduce costs for our customers.  Avista may be able to</w:t>
      </w:r>
      <w:r w:rsidR="00854056" w:rsidRPr="0030693E">
        <w:rPr>
          <w:rFonts w:cs="Arial"/>
        </w:rPr>
        <w:t xml:space="preserve"> optimize</w:t>
      </w:r>
      <w:r w:rsidR="001E5EA0" w:rsidRPr="0030693E">
        <w:rPr>
          <w:rFonts w:cs="Arial"/>
        </w:rPr>
        <w:t xml:space="preserve"> its transportation capacity </w:t>
      </w:r>
      <w:r w:rsidR="00837937" w:rsidRPr="0030693E">
        <w:rPr>
          <w:rFonts w:cs="Arial"/>
        </w:rPr>
        <w:t>by</w:t>
      </w:r>
      <w:r w:rsidR="001E5EA0" w:rsidRPr="0030693E">
        <w:rPr>
          <w:rFonts w:cs="Arial"/>
        </w:rPr>
        <w:t xml:space="preserve"> purchas</w:t>
      </w:r>
      <w:r w:rsidR="00837937" w:rsidRPr="0030693E">
        <w:rPr>
          <w:rFonts w:cs="Arial"/>
        </w:rPr>
        <w:t>ing</w:t>
      </w:r>
      <w:r w:rsidR="001E5EA0" w:rsidRPr="0030693E">
        <w:rPr>
          <w:rFonts w:cs="Arial"/>
        </w:rPr>
        <w:t xml:space="preserve"> natural gas, transport</w:t>
      </w:r>
      <w:r w:rsidR="00837937" w:rsidRPr="0030693E">
        <w:rPr>
          <w:rFonts w:cs="Arial"/>
        </w:rPr>
        <w:t>ing</w:t>
      </w:r>
      <w:r w:rsidR="001E5EA0" w:rsidRPr="0030693E">
        <w:rPr>
          <w:rFonts w:cs="Arial"/>
        </w:rPr>
        <w:t xml:space="preserve"> it on existing unutilized capacity</w:t>
      </w:r>
      <w:r w:rsidR="00854056" w:rsidRPr="0030693E">
        <w:rPr>
          <w:rFonts w:cs="Arial"/>
        </w:rPr>
        <w:t>,</w:t>
      </w:r>
      <w:r w:rsidR="001E5EA0" w:rsidRPr="0030693E">
        <w:rPr>
          <w:rFonts w:cs="Arial"/>
        </w:rPr>
        <w:t xml:space="preserve"> and sell</w:t>
      </w:r>
      <w:r w:rsidR="00837937" w:rsidRPr="0030693E">
        <w:rPr>
          <w:rFonts w:cs="Arial"/>
        </w:rPr>
        <w:t>ing</w:t>
      </w:r>
      <w:r w:rsidR="001E5EA0" w:rsidRPr="0030693E">
        <w:rPr>
          <w:rFonts w:cs="Arial"/>
        </w:rPr>
        <w:t xml:space="preserve"> it into a higher priced market to</w:t>
      </w:r>
      <w:r w:rsidR="00854056" w:rsidRPr="0030693E">
        <w:rPr>
          <w:rFonts w:cs="Arial"/>
        </w:rPr>
        <w:t xml:space="preserve"> capture savings that</w:t>
      </w:r>
      <w:r w:rsidR="001E5EA0" w:rsidRPr="0030693E">
        <w:rPr>
          <w:rFonts w:cs="Arial"/>
        </w:rPr>
        <w:t xml:space="preserve"> reduce costs for our customers. In addition, Avista may be able to release a portion of its contracted firm transportation capacity to third parties reducing its firm transportation expense.</w:t>
      </w:r>
    </w:p>
    <w:p w14:paraId="4F271CE2" w14:textId="4608C6C1" w:rsidR="00054D69" w:rsidRPr="00C910D5" w:rsidRDefault="001E5EA0" w:rsidP="0030693E">
      <w:pPr>
        <w:widowControl w:val="0"/>
        <w:spacing w:line="240" w:lineRule="auto"/>
        <w:jc w:val="both"/>
        <w:rPr>
          <w:rFonts w:ascii="Arial" w:hAnsi="Arial" w:cs="Arial"/>
          <w:sz w:val="24"/>
          <w:szCs w:val="24"/>
        </w:rPr>
      </w:pPr>
      <w:r w:rsidRPr="00C910D5">
        <w:rPr>
          <w:rFonts w:ascii="Arial" w:hAnsi="Arial" w:cs="Arial"/>
          <w:sz w:val="24"/>
          <w:szCs w:val="24"/>
        </w:rPr>
        <w:t>Jackson Prairie Storage Facility</w:t>
      </w:r>
      <w:r w:rsidR="00854056" w:rsidRPr="00C910D5">
        <w:rPr>
          <w:rFonts w:ascii="Arial" w:hAnsi="Arial" w:cs="Arial"/>
          <w:sz w:val="24"/>
          <w:szCs w:val="24"/>
        </w:rPr>
        <w:t xml:space="preserve"> </w:t>
      </w:r>
      <w:r w:rsidR="006B21DA" w:rsidRPr="00C910D5">
        <w:rPr>
          <w:rFonts w:ascii="Arial" w:hAnsi="Arial" w:cs="Arial"/>
          <w:sz w:val="24"/>
          <w:szCs w:val="24"/>
        </w:rPr>
        <w:t xml:space="preserve">is optimized </w:t>
      </w:r>
      <w:r w:rsidR="00854056" w:rsidRPr="00C910D5">
        <w:rPr>
          <w:rFonts w:ascii="Arial" w:hAnsi="Arial" w:cs="Arial"/>
          <w:sz w:val="24"/>
          <w:szCs w:val="24"/>
        </w:rPr>
        <w:t>for the benefit of our customers</w:t>
      </w:r>
      <w:r w:rsidR="006B21DA" w:rsidRPr="00C910D5">
        <w:rPr>
          <w:rFonts w:ascii="Arial" w:hAnsi="Arial" w:cs="Arial"/>
          <w:sz w:val="24"/>
          <w:szCs w:val="24"/>
        </w:rPr>
        <w:t xml:space="preserve"> through the </w:t>
      </w:r>
      <w:r w:rsidRPr="00C910D5">
        <w:rPr>
          <w:rFonts w:ascii="Arial" w:hAnsi="Arial" w:cs="Arial"/>
          <w:sz w:val="24"/>
          <w:szCs w:val="24"/>
        </w:rPr>
        <w:t xml:space="preserve">natural </w:t>
      </w:r>
      <w:r w:rsidR="004E2F6B" w:rsidRPr="00C910D5">
        <w:rPr>
          <w:rFonts w:ascii="Arial" w:hAnsi="Arial" w:cs="Arial"/>
          <w:sz w:val="24"/>
          <w:szCs w:val="24"/>
        </w:rPr>
        <w:t xml:space="preserve">gas </w:t>
      </w:r>
      <w:r w:rsidRPr="00C910D5">
        <w:rPr>
          <w:rFonts w:ascii="Arial" w:hAnsi="Arial" w:cs="Arial"/>
          <w:sz w:val="24"/>
          <w:szCs w:val="24"/>
        </w:rPr>
        <w:t>storage model</w:t>
      </w:r>
      <w:r w:rsidR="00837937" w:rsidRPr="00C910D5">
        <w:rPr>
          <w:rFonts w:ascii="Arial" w:hAnsi="Arial" w:cs="Arial"/>
          <w:sz w:val="24"/>
          <w:szCs w:val="24"/>
        </w:rPr>
        <w:t>.</w:t>
      </w:r>
      <w:r w:rsidRPr="00C910D5">
        <w:rPr>
          <w:rFonts w:ascii="Arial" w:hAnsi="Arial" w:cs="Arial"/>
          <w:sz w:val="24"/>
          <w:szCs w:val="24"/>
        </w:rPr>
        <w:t xml:space="preserve">  The model is governed by a storage management program that sets boundaries on injections and withdrawals as well as tracks real time market data to guide the purchase and sale of natural gas storage transactions</w:t>
      </w:r>
      <w:r w:rsidR="009424B3" w:rsidRPr="00C910D5">
        <w:rPr>
          <w:rFonts w:ascii="Arial" w:hAnsi="Arial" w:cs="Arial"/>
          <w:sz w:val="24"/>
          <w:szCs w:val="24"/>
        </w:rPr>
        <w:t xml:space="preserve"> with favorable spreads</w:t>
      </w:r>
      <w:r w:rsidRPr="00C910D5">
        <w:rPr>
          <w:rFonts w:ascii="Arial" w:hAnsi="Arial" w:cs="Arial"/>
          <w:sz w:val="24"/>
          <w:szCs w:val="24"/>
        </w:rPr>
        <w:t xml:space="preserve">.  </w:t>
      </w:r>
      <w:r w:rsidR="003042D6" w:rsidRPr="00C910D5">
        <w:rPr>
          <w:rFonts w:ascii="Arial" w:hAnsi="Arial" w:cs="Arial"/>
          <w:sz w:val="24"/>
          <w:szCs w:val="24"/>
        </w:rPr>
        <w:t xml:space="preserve">Through this model, the Company is able to purchase natural gas in one period and sell into a lower priced market, effectively locking in a benefit for our customers. </w:t>
      </w:r>
      <w:r w:rsidR="0030693E" w:rsidRPr="00C910D5">
        <w:rPr>
          <w:rFonts w:ascii="Arial" w:hAnsi="Arial" w:cs="Arial"/>
          <w:sz w:val="24"/>
          <w:szCs w:val="24"/>
        </w:rPr>
        <w:t xml:space="preserve"> Illustration No. 1 below is </w:t>
      </w:r>
      <w:r w:rsidR="00054D69" w:rsidRPr="00C910D5">
        <w:rPr>
          <w:rFonts w:ascii="Arial" w:hAnsi="Arial" w:cs="Arial"/>
          <w:sz w:val="24"/>
          <w:szCs w:val="24"/>
        </w:rPr>
        <w:t>an example of storage optimization</w:t>
      </w:r>
      <w:r w:rsidR="002D799B" w:rsidRPr="00C910D5">
        <w:rPr>
          <w:rFonts w:ascii="Arial" w:hAnsi="Arial" w:cs="Arial"/>
          <w:sz w:val="24"/>
          <w:szCs w:val="24"/>
        </w:rPr>
        <w:t>:</w:t>
      </w:r>
    </w:p>
    <w:p w14:paraId="02538DC4" w14:textId="77777777" w:rsidR="0030693E" w:rsidRDefault="0030693E" w:rsidP="0030693E">
      <w:pPr>
        <w:widowControl w:val="0"/>
        <w:spacing w:line="240" w:lineRule="auto"/>
        <w:jc w:val="both"/>
        <w:rPr>
          <w:rFonts w:ascii="Arial" w:hAnsi="Arial" w:cs="Arial"/>
          <w:sz w:val="24"/>
          <w:szCs w:val="24"/>
          <w:u w:val="single"/>
        </w:rPr>
      </w:pPr>
      <w:r w:rsidRPr="00C910D5">
        <w:rPr>
          <w:rFonts w:ascii="Arial" w:hAnsi="Arial" w:cs="Arial"/>
          <w:sz w:val="24"/>
          <w:szCs w:val="24"/>
          <w:u w:val="single"/>
        </w:rPr>
        <w:t>Illustration No. 1</w:t>
      </w:r>
    </w:p>
    <w:p w14:paraId="61B58151" w14:textId="42EDBDFE" w:rsidR="0030693E" w:rsidRDefault="0030693E" w:rsidP="00C910D5">
      <w:pPr>
        <w:widowControl w:val="0"/>
        <w:spacing w:line="240" w:lineRule="auto"/>
        <w:ind w:left="720"/>
        <w:jc w:val="both"/>
        <w:rPr>
          <w:rFonts w:ascii="Arial" w:hAnsi="Arial" w:cs="Arial"/>
          <w:sz w:val="24"/>
          <w:szCs w:val="24"/>
        </w:rPr>
      </w:pPr>
      <w:r w:rsidRPr="0030693E">
        <w:rPr>
          <w:rFonts w:ascii="Arial" w:eastAsia="Times New Roman" w:hAnsi="Arial" w:cs="Arial"/>
          <w:b/>
          <w:bCs/>
          <w:i/>
          <w:iCs/>
          <w:sz w:val="28"/>
          <w:szCs w:val="28"/>
        </w:rPr>
        <w:object w:dxaOrig="7208" w:dyaOrig="5406" w14:anchorId="49825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241.5pt" o:ole="">
            <v:imagedata r:id="rId8" o:title="" croptop="8065f" cropbottom="4133f" cropright="2893f"/>
          </v:shape>
          <o:OLEObject Type="Embed" ProgID="PowerPoint.Slide.12" ShapeID="_x0000_i1025" DrawAspect="Content" ObjectID="_1565421932" r:id="rId9"/>
        </w:object>
      </w:r>
    </w:p>
    <w:p w14:paraId="4CD75965" w14:textId="77777777" w:rsidR="003042D6" w:rsidRPr="0030693E" w:rsidRDefault="003042D6" w:rsidP="0030693E">
      <w:pPr>
        <w:widowControl w:val="0"/>
        <w:spacing w:line="240" w:lineRule="auto"/>
        <w:jc w:val="both"/>
        <w:rPr>
          <w:rFonts w:ascii="Arial" w:hAnsi="Arial" w:cs="Arial"/>
          <w:sz w:val="24"/>
          <w:szCs w:val="24"/>
        </w:rPr>
      </w:pPr>
      <w:r w:rsidRPr="0030693E">
        <w:rPr>
          <w:rFonts w:ascii="Arial" w:hAnsi="Arial" w:cs="Arial"/>
          <w:sz w:val="24"/>
          <w:szCs w:val="24"/>
        </w:rPr>
        <w:t xml:space="preserve">The program enforces storage constraints and requirements such as the storage fill schedule, peak day load requirements, transportation capacity limits, and deliverability constraints. </w:t>
      </w:r>
    </w:p>
    <w:p w14:paraId="7798F586" w14:textId="61913F40" w:rsidR="00215A64" w:rsidRPr="0030693E" w:rsidRDefault="005E52B6" w:rsidP="0030693E">
      <w:pPr>
        <w:spacing w:line="240" w:lineRule="auto"/>
        <w:jc w:val="both"/>
        <w:rPr>
          <w:rFonts w:ascii="Arial" w:hAnsi="Arial" w:cs="Arial"/>
          <w:sz w:val="24"/>
          <w:szCs w:val="24"/>
        </w:rPr>
      </w:pPr>
      <w:r w:rsidRPr="0030693E">
        <w:rPr>
          <w:rFonts w:ascii="Arial" w:hAnsi="Arial" w:cs="Arial"/>
          <w:sz w:val="24"/>
          <w:szCs w:val="24"/>
        </w:rPr>
        <w:lastRenderedPageBreak/>
        <w:t>The Plan is not intended to be a static document with a “set-it-and-forget it”</w:t>
      </w:r>
      <w:r w:rsidR="00696537" w:rsidRPr="0030693E">
        <w:rPr>
          <w:rFonts w:ascii="Arial" w:hAnsi="Arial" w:cs="Arial"/>
          <w:sz w:val="24"/>
          <w:szCs w:val="24"/>
        </w:rPr>
        <w:t xml:space="preserve"> program.  It is formally reviewed no less than annually, with existing results </w:t>
      </w:r>
      <w:r w:rsidR="004E2F6B" w:rsidRPr="0030693E">
        <w:rPr>
          <w:rFonts w:ascii="Arial" w:hAnsi="Arial" w:cs="Arial"/>
          <w:sz w:val="24"/>
          <w:szCs w:val="24"/>
        </w:rPr>
        <w:t>discussed</w:t>
      </w:r>
      <w:r w:rsidR="00696537" w:rsidRPr="0030693E">
        <w:rPr>
          <w:rFonts w:ascii="Arial" w:hAnsi="Arial" w:cs="Arial"/>
          <w:sz w:val="24"/>
          <w:szCs w:val="24"/>
        </w:rPr>
        <w:t xml:space="preserve"> monthly with the SOG and Risk Management Committee.  Should there be new methods considered for incorporation, such as risk responsive hedging, it is developed, tested and reviewed extensively prior to implementation.  The goal is to utilize the best methods available to provide reliable supply at competitive prices, with some level of price stability, in a volatile commodity market.</w:t>
      </w:r>
    </w:p>
    <w:p w14:paraId="297D4304" w14:textId="1C346B52" w:rsidR="0061030A" w:rsidRPr="0030693E" w:rsidRDefault="0061030A" w:rsidP="0030693E">
      <w:pPr>
        <w:pStyle w:val="ListParagraph"/>
        <w:numPr>
          <w:ilvl w:val="0"/>
          <w:numId w:val="24"/>
        </w:numPr>
        <w:spacing w:line="240" w:lineRule="auto"/>
        <w:ind w:left="0" w:firstLine="0"/>
        <w:jc w:val="center"/>
        <w:rPr>
          <w:rFonts w:ascii="Arial" w:hAnsi="Arial" w:cs="Arial"/>
          <w:b/>
          <w:sz w:val="32"/>
          <w:u w:val="single"/>
        </w:rPr>
      </w:pPr>
      <w:r w:rsidRPr="0030693E">
        <w:rPr>
          <w:rFonts w:ascii="Arial" w:hAnsi="Arial" w:cs="Arial"/>
          <w:b/>
          <w:sz w:val="32"/>
          <w:u w:val="single"/>
        </w:rPr>
        <w:t>Procurement Plan</w:t>
      </w:r>
      <w:r w:rsidR="006B21DA" w:rsidRPr="0030693E">
        <w:rPr>
          <w:rFonts w:ascii="Arial" w:hAnsi="Arial" w:cs="Arial"/>
          <w:b/>
          <w:sz w:val="32"/>
          <w:u w:val="single"/>
        </w:rPr>
        <w:t xml:space="preserve"> Components</w:t>
      </w:r>
    </w:p>
    <w:p w14:paraId="758D7711" w14:textId="1CD92C8E" w:rsidR="0078467C" w:rsidRPr="0030693E" w:rsidRDefault="006B21DA"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The Company secures/purchases natural gas supply to fulfill a</w:t>
      </w:r>
      <w:r w:rsidR="0078467C" w:rsidRPr="0030693E">
        <w:rPr>
          <w:rFonts w:ascii="Arial" w:hAnsi="Arial" w:cs="Arial"/>
          <w:b w:val="0"/>
          <w:i w:val="0"/>
          <w:sz w:val="24"/>
          <w:szCs w:val="24"/>
        </w:rPr>
        <w:t>verage monthly load</w:t>
      </w:r>
      <w:r w:rsidR="00CB5070" w:rsidRPr="0030693E">
        <w:rPr>
          <w:rFonts w:ascii="Arial" w:hAnsi="Arial" w:cs="Arial"/>
          <w:b w:val="0"/>
          <w:i w:val="0"/>
          <w:sz w:val="24"/>
          <w:szCs w:val="24"/>
        </w:rPr>
        <w:t xml:space="preserve"> requirements </w:t>
      </w:r>
      <w:r w:rsidR="0078467C" w:rsidRPr="0030693E">
        <w:rPr>
          <w:rFonts w:ascii="Arial" w:hAnsi="Arial" w:cs="Arial"/>
          <w:b w:val="0"/>
          <w:i w:val="0"/>
          <w:sz w:val="24"/>
          <w:szCs w:val="24"/>
        </w:rPr>
        <w:t xml:space="preserve">through the transactions and procedures described below. </w:t>
      </w:r>
    </w:p>
    <w:p w14:paraId="4F1DBB04" w14:textId="426D0F67" w:rsidR="0078467C" w:rsidRPr="0030693E" w:rsidRDefault="0078467C"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 xml:space="preserve">1. </w:t>
      </w:r>
      <w:r w:rsidRPr="0030693E">
        <w:rPr>
          <w:rFonts w:ascii="Arial" w:hAnsi="Arial" w:cs="Arial"/>
          <w:b w:val="0"/>
          <w:i w:val="0"/>
          <w:sz w:val="24"/>
          <w:szCs w:val="24"/>
          <w:u w:val="single"/>
        </w:rPr>
        <w:t>Fixed-Price Purchases:</w:t>
      </w:r>
      <w:r w:rsidRPr="0030693E">
        <w:rPr>
          <w:rFonts w:ascii="Arial" w:hAnsi="Arial" w:cs="Arial"/>
          <w:b w:val="0"/>
          <w:i w:val="0"/>
          <w:sz w:val="24"/>
          <w:szCs w:val="24"/>
        </w:rPr>
        <w:t xml:space="preserve"> To provide a level of price certainty in volatile natural gas commodity markets, Gas Supply will hedge some </w:t>
      </w:r>
      <w:r w:rsidR="008F1860" w:rsidRPr="0030693E">
        <w:rPr>
          <w:rFonts w:ascii="Arial" w:hAnsi="Arial" w:cs="Arial"/>
          <w:b w:val="0"/>
          <w:i w:val="0"/>
          <w:sz w:val="24"/>
          <w:szCs w:val="24"/>
        </w:rPr>
        <w:t>customer</w:t>
      </w:r>
      <w:r w:rsidRPr="0030693E">
        <w:rPr>
          <w:rFonts w:ascii="Arial" w:hAnsi="Arial" w:cs="Arial"/>
          <w:b w:val="0"/>
          <w:i w:val="0"/>
          <w:sz w:val="24"/>
          <w:szCs w:val="24"/>
        </w:rPr>
        <w:t xml:space="preserve"> load with fixed-price transactions, either with fixed-price physical purchases or with financial swaps or financial futures</w:t>
      </w:r>
      <w:r w:rsidR="00624EBF" w:rsidRPr="0030693E">
        <w:rPr>
          <w:rFonts w:ascii="Arial" w:hAnsi="Arial" w:cs="Arial"/>
          <w:b w:val="0"/>
          <w:i w:val="0"/>
          <w:sz w:val="24"/>
          <w:szCs w:val="24"/>
        </w:rPr>
        <w:t>.  Swaps or futures</w:t>
      </w:r>
      <w:r w:rsidRPr="0030693E">
        <w:rPr>
          <w:rFonts w:ascii="Arial" w:hAnsi="Arial" w:cs="Arial"/>
          <w:b w:val="0"/>
          <w:i w:val="0"/>
          <w:sz w:val="24"/>
          <w:szCs w:val="24"/>
        </w:rPr>
        <w:t xml:space="preserve"> will be matched </w:t>
      </w:r>
      <w:r w:rsidR="00624EBF" w:rsidRPr="0030693E">
        <w:rPr>
          <w:rFonts w:ascii="Arial" w:hAnsi="Arial" w:cs="Arial"/>
          <w:b w:val="0"/>
          <w:i w:val="0"/>
          <w:sz w:val="24"/>
          <w:szCs w:val="24"/>
        </w:rPr>
        <w:t xml:space="preserve">prior to product settlement </w:t>
      </w:r>
      <w:r w:rsidRPr="0030693E">
        <w:rPr>
          <w:rFonts w:ascii="Arial" w:hAnsi="Arial" w:cs="Arial"/>
          <w:b w:val="0"/>
          <w:i w:val="0"/>
          <w:sz w:val="24"/>
          <w:szCs w:val="24"/>
        </w:rPr>
        <w:t>to purchases of index-priced physical products</w:t>
      </w:r>
      <w:r w:rsidR="00624EBF" w:rsidRPr="0030693E">
        <w:rPr>
          <w:rFonts w:ascii="Arial" w:hAnsi="Arial" w:cs="Arial"/>
          <w:b w:val="0"/>
          <w:i w:val="0"/>
          <w:sz w:val="24"/>
          <w:szCs w:val="24"/>
        </w:rPr>
        <w:t xml:space="preserve"> in order to secure the fixed price.</w:t>
      </w:r>
      <w:r w:rsidRPr="0030693E">
        <w:rPr>
          <w:rFonts w:ascii="Arial" w:hAnsi="Arial" w:cs="Arial"/>
          <w:b w:val="0"/>
          <w:i w:val="0"/>
          <w:sz w:val="24"/>
          <w:szCs w:val="24"/>
        </w:rPr>
        <w:t xml:space="preserve"> These hedges will be structured to diversify procurement in terms of timing of the transaction and duration of committed supplies. This diversification will be accomplished by developing Hedge Windows for the planned purchases. Volumes and other details related to the Hedge Windows are detailed in the da</w:t>
      </w:r>
      <w:r w:rsidR="00E16F09" w:rsidRPr="0030693E">
        <w:rPr>
          <w:rFonts w:ascii="Arial" w:hAnsi="Arial" w:cs="Arial"/>
          <w:b w:val="0"/>
          <w:i w:val="0"/>
          <w:sz w:val="24"/>
          <w:szCs w:val="24"/>
        </w:rPr>
        <w:t xml:space="preserve">ily natural gas position report. </w:t>
      </w:r>
      <w:r w:rsidRPr="0030693E">
        <w:rPr>
          <w:rFonts w:ascii="Arial" w:hAnsi="Arial" w:cs="Arial"/>
          <w:b w:val="0"/>
          <w:i w:val="0"/>
          <w:sz w:val="24"/>
          <w:szCs w:val="24"/>
        </w:rPr>
        <w:t xml:space="preserve">Hedge Window volume will be in “procurable” quantities to avoid paying a market premium. The daily gas position report will show the status of any active Hedge Windows. </w:t>
      </w:r>
    </w:p>
    <w:p w14:paraId="429C5B66" w14:textId="67BE753E" w:rsidR="0078467C" w:rsidRPr="0030693E" w:rsidRDefault="0078467C"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 xml:space="preserve">2. </w:t>
      </w:r>
      <w:r w:rsidRPr="0030693E">
        <w:rPr>
          <w:rFonts w:ascii="Arial" w:hAnsi="Arial" w:cs="Arial"/>
          <w:b w:val="0"/>
          <w:i w:val="0"/>
          <w:sz w:val="24"/>
          <w:szCs w:val="24"/>
          <w:u w:val="single"/>
        </w:rPr>
        <w:t>Storage Injections and Withdrawals:</w:t>
      </w:r>
      <w:r w:rsidR="003042D6" w:rsidRPr="0030693E">
        <w:rPr>
          <w:rFonts w:ascii="Arial" w:hAnsi="Arial" w:cs="Arial"/>
          <w:b w:val="0"/>
          <w:i w:val="0"/>
          <w:sz w:val="24"/>
          <w:szCs w:val="24"/>
        </w:rPr>
        <w:t xml:space="preserve"> </w:t>
      </w:r>
      <w:r w:rsidRPr="0030693E">
        <w:rPr>
          <w:rFonts w:ascii="Arial" w:hAnsi="Arial" w:cs="Arial"/>
          <w:b w:val="0"/>
          <w:i w:val="0"/>
          <w:sz w:val="24"/>
          <w:szCs w:val="24"/>
        </w:rPr>
        <w:t xml:space="preserve"> Avista owns and contracts for storage services at Jackson Prairie. Avista has contractual operational </w:t>
      </w:r>
      <w:r w:rsidR="00CB5070" w:rsidRPr="0030693E">
        <w:rPr>
          <w:rFonts w:ascii="Arial" w:hAnsi="Arial" w:cs="Arial"/>
          <w:b w:val="0"/>
          <w:i w:val="0"/>
          <w:sz w:val="24"/>
          <w:szCs w:val="24"/>
        </w:rPr>
        <w:t>requirements</w:t>
      </w:r>
      <w:r w:rsidRPr="0030693E">
        <w:rPr>
          <w:rFonts w:ascii="Arial" w:hAnsi="Arial" w:cs="Arial"/>
          <w:b w:val="0"/>
          <w:i w:val="0"/>
          <w:sz w:val="24"/>
          <w:szCs w:val="24"/>
        </w:rPr>
        <w:t xml:space="preserve"> to have its share of </w:t>
      </w:r>
      <w:r w:rsidR="003042D6" w:rsidRPr="0030693E">
        <w:rPr>
          <w:rFonts w:ascii="Arial" w:hAnsi="Arial" w:cs="Arial"/>
          <w:b w:val="0"/>
          <w:i w:val="0"/>
          <w:sz w:val="24"/>
          <w:szCs w:val="24"/>
        </w:rPr>
        <w:t>the storage facility</w:t>
      </w:r>
      <w:r w:rsidRPr="0030693E">
        <w:rPr>
          <w:rFonts w:ascii="Arial" w:hAnsi="Arial" w:cs="Arial"/>
          <w:b w:val="0"/>
          <w:i w:val="0"/>
          <w:sz w:val="24"/>
          <w:szCs w:val="24"/>
        </w:rPr>
        <w:t xml:space="preserve"> full by September 30 of each year. Gas Supply retains flexibility in terms of the timing and volume of the injection and withdrawal schedules. Actual storage injections and withdrawals will be executed to optimize the economic value of storage within the reliability constraints of the project and the ability to serve retail customers’ peak day needs. </w:t>
      </w:r>
    </w:p>
    <w:p w14:paraId="036B34D2" w14:textId="77777777" w:rsidR="0078467C" w:rsidRPr="0030693E" w:rsidRDefault="0078467C"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 xml:space="preserve">3. </w:t>
      </w:r>
      <w:r w:rsidRPr="0030693E">
        <w:rPr>
          <w:rFonts w:ascii="Arial" w:hAnsi="Arial" w:cs="Arial"/>
          <w:b w:val="0"/>
          <w:i w:val="0"/>
          <w:sz w:val="24"/>
          <w:szCs w:val="24"/>
          <w:u w:val="single"/>
        </w:rPr>
        <w:t>Index-Based Physical Purchases</w:t>
      </w:r>
      <w:r w:rsidRPr="0030693E">
        <w:rPr>
          <w:rFonts w:ascii="Arial" w:hAnsi="Arial" w:cs="Arial"/>
          <w:b w:val="0"/>
          <w:i w:val="0"/>
          <w:sz w:val="24"/>
          <w:szCs w:val="24"/>
        </w:rPr>
        <w:t xml:space="preserve">: Gas Supply generally purchases physical index-based natural gas for up to the difference between the average daily load forecast for each month and the sum of the fixed-price purchases and projected storage withdrawals. Gas Supply retains flexibility to modify the components of its purchases in a month due to operational or other reasons. The selected indices may be first-of-month indices or daily-based indices. </w:t>
      </w:r>
    </w:p>
    <w:p w14:paraId="2869EC6A" w14:textId="77777777" w:rsidR="0078467C" w:rsidRPr="0030693E" w:rsidRDefault="0078467C"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4</w:t>
      </w:r>
      <w:r w:rsidRPr="0030693E">
        <w:rPr>
          <w:rFonts w:ascii="Arial" w:hAnsi="Arial" w:cs="Arial"/>
          <w:b w:val="0"/>
          <w:i w:val="0"/>
          <w:sz w:val="24"/>
          <w:szCs w:val="24"/>
          <w:u w:val="single"/>
        </w:rPr>
        <w:t>. Daily Adjustments Due to Load Variability:</w:t>
      </w:r>
      <w:r w:rsidRPr="0030693E">
        <w:rPr>
          <w:rFonts w:ascii="Arial" w:hAnsi="Arial" w:cs="Arial"/>
          <w:b w:val="0"/>
          <w:i w:val="0"/>
          <w:sz w:val="24"/>
          <w:szCs w:val="24"/>
        </w:rPr>
        <w:t xml:space="preserve"> To the extent actual loads differ from the average daily load forecast for the month, the difference will be managed through a </w:t>
      </w:r>
      <w:r w:rsidRPr="0030693E">
        <w:rPr>
          <w:rFonts w:ascii="Arial" w:hAnsi="Arial" w:cs="Arial"/>
          <w:b w:val="0"/>
          <w:i w:val="0"/>
          <w:sz w:val="24"/>
          <w:szCs w:val="24"/>
        </w:rPr>
        <w:lastRenderedPageBreak/>
        <w:t xml:space="preserve">combination of: a) Daily purchases or sales of natural gas, or b) withdrawals from, or injections into, natural gas storage facilities. </w:t>
      </w:r>
    </w:p>
    <w:p w14:paraId="358BFD0C" w14:textId="79647442" w:rsidR="0078467C" w:rsidRPr="0030693E" w:rsidRDefault="0078467C"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 xml:space="preserve">5. </w:t>
      </w:r>
      <w:r w:rsidRPr="0030693E">
        <w:rPr>
          <w:rFonts w:ascii="Arial" w:hAnsi="Arial" w:cs="Arial"/>
          <w:b w:val="0"/>
          <w:i w:val="0"/>
          <w:sz w:val="24"/>
          <w:szCs w:val="24"/>
          <w:u w:val="single"/>
        </w:rPr>
        <w:t>Use of Derivative Contracts:</w:t>
      </w:r>
      <w:r w:rsidRPr="0030693E">
        <w:rPr>
          <w:rFonts w:ascii="Arial" w:hAnsi="Arial" w:cs="Arial"/>
          <w:b w:val="0"/>
          <w:i w:val="0"/>
          <w:sz w:val="24"/>
          <w:szCs w:val="24"/>
        </w:rPr>
        <w:t xml:space="preserve"> Subject to limitations in the </w:t>
      </w:r>
      <w:r w:rsidR="009C511D" w:rsidRPr="0030693E">
        <w:rPr>
          <w:rFonts w:ascii="Arial" w:hAnsi="Arial" w:cs="Arial"/>
          <w:b w:val="0"/>
          <w:i w:val="0"/>
          <w:sz w:val="24"/>
          <w:szCs w:val="24"/>
        </w:rPr>
        <w:t>R</w:t>
      </w:r>
      <w:r w:rsidRPr="0030693E">
        <w:rPr>
          <w:rFonts w:ascii="Arial" w:hAnsi="Arial" w:cs="Arial"/>
          <w:b w:val="0"/>
          <w:i w:val="0"/>
          <w:sz w:val="24"/>
          <w:szCs w:val="24"/>
        </w:rPr>
        <w:t xml:space="preserve">isk Policy, Gas Supply may enter into derivative-based contracts intended to reduce or manage exposure to rising prices or fluctuating loads. </w:t>
      </w:r>
    </w:p>
    <w:p w14:paraId="41F754A3" w14:textId="0788F761" w:rsidR="0078467C" w:rsidRPr="007B3A5F" w:rsidRDefault="0078467C" w:rsidP="0030693E">
      <w:pPr>
        <w:pStyle w:val="Heading2"/>
        <w:spacing w:line="240" w:lineRule="auto"/>
        <w:jc w:val="both"/>
        <w:rPr>
          <w:rFonts w:ascii="Arial" w:hAnsi="Arial" w:cs="Arial"/>
          <w:i w:val="0"/>
          <w:sz w:val="24"/>
          <w:szCs w:val="24"/>
        </w:rPr>
      </w:pPr>
      <w:r w:rsidRPr="0030693E">
        <w:rPr>
          <w:rFonts w:ascii="Arial" w:hAnsi="Arial" w:cs="Arial"/>
          <w:b w:val="0"/>
          <w:i w:val="0"/>
          <w:sz w:val="24"/>
          <w:szCs w:val="24"/>
        </w:rPr>
        <w:t xml:space="preserve">6. </w:t>
      </w:r>
      <w:r w:rsidR="008F1860" w:rsidRPr="0030693E">
        <w:rPr>
          <w:rFonts w:ascii="Arial" w:hAnsi="Arial" w:cs="Arial"/>
          <w:b w:val="0"/>
          <w:i w:val="0"/>
          <w:sz w:val="24"/>
          <w:szCs w:val="24"/>
          <w:u w:val="single"/>
        </w:rPr>
        <w:t>Optimization</w:t>
      </w:r>
      <w:r w:rsidR="008F1860" w:rsidRPr="0030693E">
        <w:rPr>
          <w:rFonts w:ascii="Arial" w:hAnsi="Arial" w:cs="Arial"/>
          <w:b w:val="0"/>
          <w:i w:val="0"/>
          <w:sz w:val="24"/>
          <w:szCs w:val="24"/>
        </w:rPr>
        <w:t xml:space="preserve">:  </w:t>
      </w:r>
      <w:r w:rsidRPr="0030693E">
        <w:rPr>
          <w:rFonts w:ascii="Arial" w:hAnsi="Arial" w:cs="Arial"/>
          <w:b w:val="0"/>
          <w:i w:val="0"/>
          <w:sz w:val="24"/>
          <w:szCs w:val="24"/>
        </w:rPr>
        <w:t xml:space="preserve">Gas Supply may enter into transactions that create value for customers using unutilized supply, transportation or storage. Utilization of these resources reduces fixed costs and lowers overall costs to customers. </w:t>
      </w:r>
    </w:p>
    <w:bookmarkEnd w:id="0"/>
    <w:p w14:paraId="4455091C" w14:textId="77777777" w:rsidR="003042D6" w:rsidRPr="007B3A5F" w:rsidRDefault="009C511D" w:rsidP="007B3A5F">
      <w:pPr>
        <w:pStyle w:val="Heading2"/>
        <w:spacing w:line="240" w:lineRule="auto"/>
        <w:rPr>
          <w:rFonts w:ascii="Arial" w:hAnsi="Arial" w:cs="Arial"/>
          <w:i w:val="0"/>
          <w:sz w:val="24"/>
          <w:szCs w:val="24"/>
        </w:rPr>
      </w:pPr>
      <w:r w:rsidRPr="007B3A5F">
        <w:rPr>
          <w:rFonts w:ascii="Arial" w:hAnsi="Arial" w:cs="Arial"/>
          <w:i w:val="0"/>
          <w:sz w:val="24"/>
          <w:szCs w:val="24"/>
        </w:rPr>
        <w:t>L</w:t>
      </w:r>
      <w:r w:rsidR="005012E0" w:rsidRPr="007B3A5F">
        <w:rPr>
          <w:rFonts w:ascii="Arial" w:hAnsi="Arial" w:cs="Arial"/>
          <w:i w:val="0"/>
          <w:sz w:val="24"/>
          <w:szCs w:val="24"/>
        </w:rPr>
        <w:t xml:space="preserve">oad Forecast </w:t>
      </w:r>
    </w:p>
    <w:p w14:paraId="4BC9300E" w14:textId="0D4B4733" w:rsidR="005012E0" w:rsidRPr="007B3A5F" w:rsidRDefault="005012E0" w:rsidP="007B3A5F">
      <w:pPr>
        <w:pStyle w:val="Heading2"/>
        <w:spacing w:line="240" w:lineRule="auto"/>
        <w:jc w:val="both"/>
        <w:rPr>
          <w:rFonts w:ascii="Arial" w:hAnsi="Arial" w:cs="Arial"/>
          <w:b w:val="0"/>
          <w:i w:val="0"/>
          <w:sz w:val="24"/>
          <w:szCs w:val="24"/>
        </w:rPr>
      </w:pPr>
      <w:r w:rsidRPr="007B3A5F">
        <w:rPr>
          <w:rFonts w:ascii="Arial" w:hAnsi="Arial" w:cs="Arial"/>
          <w:b w:val="0"/>
          <w:i w:val="0"/>
          <w:sz w:val="24"/>
          <w:szCs w:val="24"/>
        </w:rPr>
        <w:t>The basis for the Procurement Plan is the development of the load forecast. This load forecast is developed for each individual area and class of customer by day. The key inputs for the load forecast model are the forecasted number of customers, a set of demand coefficients (</w:t>
      </w:r>
      <w:proofErr w:type="spellStart"/>
      <w:r w:rsidRPr="007B3A5F">
        <w:rPr>
          <w:rFonts w:ascii="Arial" w:hAnsi="Arial" w:cs="Arial"/>
          <w:b w:val="0"/>
          <w:i w:val="0"/>
          <w:sz w:val="24"/>
          <w:szCs w:val="24"/>
        </w:rPr>
        <w:t>Dth</w:t>
      </w:r>
      <w:proofErr w:type="spellEnd"/>
      <w:r w:rsidRPr="007B3A5F">
        <w:rPr>
          <w:rFonts w:ascii="Arial" w:hAnsi="Arial" w:cs="Arial"/>
          <w:b w:val="0"/>
          <w:i w:val="0"/>
          <w:sz w:val="24"/>
          <w:szCs w:val="24"/>
        </w:rPr>
        <w:t xml:space="preserve"> consumed per customer per heating degree day)</w:t>
      </w:r>
      <w:r w:rsidR="000B0A64" w:rsidRPr="007B3A5F">
        <w:rPr>
          <w:rFonts w:ascii="Arial" w:hAnsi="Arial" w:cs="Arial"/>
          <w:b w:val="0"/>
          <w:i w:val="0"/>
          <w:sz w:val="24"/>
          <w:szCs w:val="24"/>
        </w:rPr>
        <w:t>,</w:t>
      </w:r>
      <w:r w:rsidRPr="007B3A5F">
        <w:rPr>
          <w:rFonts w:ascii="Arial" w:hAnsi="Arial" w:cs="Arial"/>
          <w:b w:val="0"/>
          <w:i w:val="0"/>
          <w:sz w:val="24"/>
          <w:szCs w:val="24"/>
        </w:rPr>
        <w:t xml:space="preserve"> and historical heating degree-days. </w:t>
      </w:r>
    </w:p>
    <w:p w14:paraId="00455A3D" w14:textId="77777777" w:rsidR="005012E0" w:rsidRPr="0030693E" w:rsidRDefault="005012E0"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 xml:space="preserve">For purposes of the Procurement Plan, the daily load forecasts are consolidated into average daily volumes for each month for customers in Oregon and for the combined Washington and Idaho jurisdictions. These estimates are adjusted to compensate for pipeline fuel and estimated daily requirements for Interruptible Customers to derive “Average Load”. </w:t>
      </w:r>
    </w:p>
    <w:p w14:paraId="51141A2A" w14:textId="77777777" w:rsidR="005012E0" w:rsidRPr="0030693E" w:rsidRDefault="005012E0" w:rsidP="0030693E">
      <w:pPr>
        <w:pStyle w:val="Heading2"/>
        <w:spacing w:line="240" w:lineRule="auto"/>
        <w:rPr>
          <w:rFonts w:ascii="Arial" w:hAnsi="Arial" w:cs="Arial"/>
          <w:i w:val="0"/>
          <w:sz w:val="24"/>
          <w:szCs w:val="24"/>
        </w:rPr>
      </w:pPr>
      <w:r w:rsidRPr="0030693E">
        <w:rPr>
          <w:rFonts w:ascii="Arial" w:hAnsi="Arial" w:cs="Arial"/>
          <w:i w:val="0"/>
          <w:sz w:val="24"/>
          <w:szCs w:val="24"/>
        </w:rPr>
        <w:t xml:space="preserve">Hedge Target Delivery Periods </w:t>
      </w:r>
    </w:p>
    <w:p w14:paraId="44B79110" w14:textId="4F23EA64" w:rsidR="007064D4" w:rsidRPr="0030693E" w:rsidRDefault="00BD4BA1" w:rsidP="0030693E">
      <w:pPr>
        <w:pStyle w:val="Heading2"/>
        <w:spacing w:after="120" w:line="240" w:lineRule="auto"/>
        <w:jc w:val="both"/>
        <w:rPr>
          <w:rFonts w:ascii="Arial" w:hAnsi="Arial" w:cs="Arial"/>
        </w:rPr>
      </w:pPr>
      <w:r w:rsidRPr="0030693E">
        <w:rPr>
          <w:rFonts w:ascii="Arial" w:hAnsi="Arial" w:cs="Arial"/>
          <w:b w:val="0"/>
          <w:i w:val="0"/>
          <w:sz w:val="24"/>
          <w:szCs w:val="24"/>
        </w:rPr>
        <w:t>The natural gas Short Term period starts with the next whole operating month after the current date. Its duration varies from 30 to 36 months. It begins with five to eleven individual months and includes the next four to five seasonal November – March and/or April – October blocks</w:t>
      </w:r>
      <w:r w:rsidRPr="0030693E">
        <w:rPr>
          <w:rStyle w:val="FootnoteReference"/>
          <w:rFonts w:ascii="Arial" w:hAnsi="Arial" w:cs="Arial"/>
          <w:b w:val="0"/>
          <w:i w:val="0"/>
          <w:sz w:val="24"/>
          <w:szCs w:val="24"/>
        </w:rPr>
        <w:footnoteReference w:id="1"/>
      </w:r>
      <w:r w:rsidRPr="0030693E">
        <w:rPr>
          <w:rFonts w:ascii="Arial" w:hAnsi="Arial" w:cs="Arial"/>
          <w:b w:val="0"/>
          <w:i w:val="0"/>
          <w:sz w:val="24"/>
          <w:szCs w:val="24"/>
        </w:rPr>
        <w:t xml:space="preserve">.  </w:t>
      </w:r>
      <w:r w:rsidR="005012E0" w:rsidRPr="0030693E">
        <w:rPr>
          <w:rFonts w:ascii="Arial" w:hAnsi="Arial" w:cs="Arial"/>
          <w:b w:val="0"/>
          <w:i w:val="0"/>
          <w:sz w:val="24"/>
          <w:szCs w:val="24"/>
        </w:rPr>
        <w:t xml:space="preserve">For any given </w:t>
      </w:r>
      <w:r w:rsidR="000B0A64" w:rsidRPr="0030693E">
        <w:rPr>
          <w:rFonts w:ascii="Arial" w:hAnsi="Arial" w:cs="Arial"/>
          <w:b w:val="0"/>
          <w:i w:val="0"/>
          <w:sz w:val="24"/>
          <w:szCs w:val="24"/>
        </w:rPr>
        <w:t>hedge period</w:t>
      </w:r>
      <w:r w:rsidR="00AA1DD4" w:rsidRPr="0030693E">
        <w:rPr>
          <w:rFonts w:ascii="Arial" w:hAnsi="Arial" w:cs="Arial"/>
          <w:b w:val="0"/>
          <w:i w:val="0"/>
          <w:sz w:val="24"/>
          <w:szCs w:val="24"/>
        </w:rPr>
        <w:t xml:space="preserve"> as shown in the first column in the table</w:t>
      </w:r>
      <w:r w:rsidR="000B0A64" w:rsidRPr="0030693E">
        <w:rPr>
          <w:rFonts w:ascii="Arial" w:hAnsi="Arial" w:cs="Arial"/>
          <w:b w:val="0"/>
          <w:i w:val="0"/>
          <w:sz w:val="24"/>
          <w:szCs w:val="24"/>
        </w:rPr>
        <w:t xml:space="preserve"> (singular month or block </w:t>
      </w:r>
      <w:r w:rsidR="00AA1DD4" w:rsidRPr="0030693E">
        <w:rPr>
          <w:rFonts w:ascii="Arial" w:hAnsi="Arial" w:cs="Arial"/>
          <w:b w:val="0"/>
          <w:i w:val="0"/>
          <w:sz w:val="24"/>
          <w:szCs w:val="24"/>
        </w:rPr>
        <w:t>of multiple</w:t>
      </w:r>
      <w:r w:rsidR="000B0A64" w:rsidRPr="0030693E">
        <w:rPr>
          <w:rFonts w:ascii="Arial" w:hAnsi="Arial" w:cs="Arial"/>
          <w:b w:val="0"/>
          <w:i w:val="0"/>
          <w:sz w:val="24"/>
          <w:szCs w:val="24"/>
        </w:rPr>
        <w:t xml:space="preserve"> months)</w:t>
      </w:r>
      <w:r w:rsidRPr="0030693E">
        <w:rPr>
          <w:rFonts w:ascii="Arial" w:hAnsi="Arial" w:cs="Arial"/>
          <w:b w:val="0"/>
          <w:i w:val="0"/>
          <w:sz w:val="24"/>
          <w:szCs w:val="24"/>
        </w:rPr>
        <w:t>,</w:t>
      </w:r>
      <w:r w:rsidR="005012E0" w:rsidRPr="0030693E">
        <w:rPr>
          <w:rFonts w:ascii="Arial" w:hAnsi="Arial" w:cs="Arial"/>
          <w:b w:val="0"/>
          <w:i w:val="0"/>
          <w:sz w:val="24"/>
          <w:szCs w:val="24"/>
        </w:rPr>
        <w:t xml:space="preserve"> an assessment of potential hedges</w:t>
      </w:r>
      <w:r w:rsidR="00AA1DD4" w:rsidRPr="0030693E">
        <w:rPr>
          <w:rFonts w:ascii="Arial" w:hAnsi="Arial" w:cs="Arial"/>
          <w:b w:val="0"/>
          <w:i w:val="0"/>
          <w:sz w:val="24"/>
          <w:szCs w:val="24"/>
        </w:rPr>
        <w:t xml:space="preserve"> for that period</w:t>
      </w:r>
      <w:r w:rsidR="005012E0" w:rsidRPr="0030693E">
        <w:rPr>
          <w:rFonts w:ascii="Arial" w:hAnsi="Arial" w:cs="Arial"/>
          <w:b w:val="0"/>
          <w:i w:val="0"/>
          <w:sz w:val="24"/>
          <w:szCs w:val="24"/>
        </w:rPr>
        <w:t xml:space="preserve"> would look to the sequential future periods shown in the column below that </w:t>
      </w:r>
      <w:r w:rsidR="00AA1DD4" w:rsidRPr="0030693E">
        <w:rPr>
          <w:rFonts w:ascii="Arial" w:hAnsi="Arial" w:cs="Arial"/>
          <w:b w:val="0"/>
          <w:i w:val="0"/>
          <w:sz w:val="24"/>
          <w:szCs w:val="24"/>
        </w:rPr>
        <w:t>period</w:t>
      </w:r>
      <w:r w:rsidR="005012E0" w:rsidRPr="0030693E">
        <w:rPr>
          <w:rFonts w:ascii="Arial" w:hAnsi="Arial" w:cs="Arial"/>
          <w:b w:val="0"/>
          <w:i w:val="0"/>
          <w:sz w:val="24"/>
          <w:szCs w:val="24"/>
        </w:rPr>
        <w:t xml:space="preserve">. The first five to eleven </w:t>
      </w:r>
      <w:r w:rsidR="00AA1DD4" w:rsidRPr="0030693E">
        <w:rPr>
          <w:rFonts w:ascii="Arial" w:hAnsi="Arial" w:cs="Arial"/>
          <w:b w:val="0"/>
          <w:i w:val="0"/>
          <w:sz w:val="24"/>
          <w:szCs w:val="24"/>
        </w:rPr>
        <w:t xml:space="preserve">periods </w:t>
      </w:r>
      <w:r w:rsidR="005012E0" w:rsidRPr="0030693E">
        <w:rPr>
          <w:rFonts w:ascii="Arial" w:hAnsi="Arial" w:cs="Arial"/>
          <w:b w:val="0"/>
          <w:i w:val="0"/>
          <w:sz w:val="24"/>
          <w:szCs w:val="24"/>
        </w:rPr>
        <w:t xml:space="preserve">are addressed in monthly blocks, depending on the time of year and the rolling nature of the specified Gas Supply target delivery periods. After these monthly blocks, a minimum of four seasonal blocks are addressed in consecutive November – March and April - October blocks. Additional November – March or April – October blocks are added so that in any given delivery period, there are between 30 and 36 months to be monitored and eligible for hedge. By the time the delivery period </w:t>
      </w:r>
      <w:r w:rsidR="005012E0" w:rsidRPr="0030693E">
        <w:rPr>
          <w:rFonts w:ascii="Arial" w:hAnsi="Arial" w:cs="Arial"/>
          <w:b w:val="0"/>
          <w:i w:val="0"/>
          <w:sz w:val="24"/>
          <w:szCs w:val="24"/>
        </w:rPr>
        <w:lastRenderedPageBreak/>
        <w:t>is reached, each individual month will have been available for hedging for a full 36 months prior to delivery.</w:t>
      </w:r>
      <w:r w:rsidR="009C511D" w:rsidRPr="0030693E">
        <w:rPr>
          <w:rFonts w:ascii="Arial" w:hAnsi="Arial" w:cs="Arial"/>
          <w:b w:val="0"/>
          <w:i w:val="0"/>
          <w:sz w:val="24"/>
          <w:szCs w:val="24"/>
        </w:rPr>
        <w:t xml:space="preserve">  </w:t>
      </w:r>
    </w:p>
    <w:p w14:paraId="5A184CC8" w14:textId="77777777" w:rsidR="00D90E4A" w:rsidRPr="0030693E" w:rsidRDefault="00D90E4A" w:rsidP="0030693E">
      <w:pPr>
        <w:pStyle w:val="Heading2"/>
        <w:spacing w:line="240" w:lineRule="auto"/>
        <w:rPr>
          <w:rFonts w:ascii="Arial" w:hAnsi="Arial" w:cs="Arial"/>
          <w:i w:val="0"/>
          <w:sz w:val="24"/>
          <w:szCs w:val="24"/>
        </w:rPr>
      </w:pPr>
      <w:r w:rsidRPr="0030693E">
        <w:rPr>
          <w:rFonts w:ascii="Arial" w:hAnsi="Arial" w:cs="Arial"/>
          <w:i w:val="0"/>
          <w:sz w:val="24"/>
          <w:szCs w:val="24"/>
        </w:rPr>
        <w:t xml:space="preserve">Hedge Window Development </w:t>
      </w:r>
    </w:p>
    <w:p w14:paraId="714679A8" w14:textId="0E951714" w:rsidR="00173FBF" w:rsidRPr="0030693E" w:rsidRDefault="008B1C5E"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Load for each period is secured through a Hedge Window (“window”) mechanism and broken into quantities which can easily be trans</w:t>
      </w:r>
      <w:r w:rsidR="002E372D" w:rsidRPr="0030693E">
        <w:rPr>
          <w:rFonts w:ascii="Arial" w:hAnsi="Arial" w:cs="Arial"/>
          <w:b w:val="0"/>
          <w:i w:val="0"/>
          <w:sz w:val="24"/>
          <w:szCs w:val="24"/>
        </w:rPr>
        <w:t>act</w:t>
      </w:r>
      <w:r w:rsidRPr="0030693E">
        <w:rPr>
          <w:rFonts w:ascii="Arial" w:hAnsi="Arial" w:cs="Arial"/>
          <w:b w:val="0"/>
          <w:i w:val="0"/>
          <w:sz w:val="24"/>
          <w:szCs w:val="24"/>
        </w:rPr>
        <w:t>ed</w:t>
      </w:r>
      <w:r w:rsidR="002E372D" w:rsidRPr="0030693E">
        <w:rPr>
          <w:rFonts w:ascii="Arial" w:hAnsi="Arial" w:cs="Arial"/>
          <w:b w:val="0"/>
          <w:i w:val="0"/>
          <w:sz w:val="24"/>
          <w:szCs w:val="24"/>
        </w:rPr>
        <w:t xml:space="preserve"> in order to hedge a pre-determined percentage of the portfolio. </w:t>
      </w:r>
      <w:r w:rsidR="0065264B" w:rsidRPr="0030693E">
        <w:rPr>
          <w:rFonts w:ascii="Arial" w:hAnsi="Arial" w:cs="Arial"/>
          <w:b w:val="0"/>
          <w:i w:val="0"/>
          <w:sz w:val="24"/>
          <w:szCs w:val="24"/>
        </w:rPr>
        <w:t>T</w:t>
      </w:r>
      <w:r w:rsidR="002E372D" w:rsidRPr="0030693E">
        <w:rPr>
          <w:rFonts w:ascii="Arial" w:hAnsi="Arial" w:cs="Arial"/>
          <w:b w:val="0"/>
          <w:i w:val="0"/>
          <w:sz w:val="24"/>
          <w:szCs w:val="24"/>
        </w:rPr>
        <w:t>ransactions are programmatic in nature,</w:t>
      </w:r>
      <w:r w:rsidR="0065264B" w:rsidRPr="0030693E">
        <w:rPr>
          <w:rFonts w:ascii="Arial" w:hAnsi="Arial" w:cs="Arial"/>
          <w:b w:val="0"/>
          <w:i w:val="0"/>
          <w:sz w:val="24"/>
          <w:szCs w:val="24"/>
        </w:rPr>
        <w:t xml:space="preserve"> with upper and lower price thresholds intended to capture downward price trends and “stop losses” for upward price runs.</w:t>
      </w:r>
      <w:r w:rsidR="002E372D" w:rsidRPr="0030693E">
        <w:rPr>
          <w:rFonts w:ascii="Arial" w:hAnsi="Arial" w:cs="Arial"/>
          <w:b w:val="0"/>
          <w:i w:val="0"/>
          <w:sz w:val="24"/>
          <w:szCs w:val="24"/>
        </w:rPr>
        <w:t xml:space="preserve"> </w:t>
      </w:r>
      <w:r w:rsidR="0065264B" w:rsidRPr="0030693E">
        <w:rPr>
          <w:rFonts w:ascii="Arial" w:hAnsi="Arial" w:cs="Arial"/>
          <w:b w:val="0"/>
          <w:i w:val="0"/>
          <w:sz w:val="24"/>
          <w:szCs w:val="24"/>
        </w:rPr>
        <w:t>A</w:t>
      </w:r>
      <w:r w:rsidR="002E372D" w:rsidRPr="0030693E">
        <w:rPr>
          <w:rFonts w:ascii="Arial" w:hAnsi="Arial" w:cs="Arial"/>
          <w:b w:val="0"/>
          <w:i w:val="0"/>
          <w:sz w:val="24"/>
          <w:szCs w:val="24"/>
        </w:rPr>
        <w:t>s previously mentioned</w:t>
      </w:r>
      <w:r w:rsidR="0065264B" w:rsidRPr="0030693E">
        <w:rPr>
          <w:rFonts w:ascii="Arial" w:hAnsi="Arial" w:cs="Arial"/>
          <w:b w:val="0"/>
          <w:i w:val="0"/>
          <w:sz w:val="24"/>
          <w:szCs w:val="24"/>
        </w:rPr>
        <w:t xml:space="preserve">, </w:t>
      </w:r>
      <w:r w:rsidR="002E372D" w:rsidRPr="0030693E">
        <w:rPr>
          <w:rFonts w:ascii="Arial" w:hAnsi="Arial" w:cs="Arial"/>
          <w:b w:val="0"/>
          <w:i w:val="0"/>
          <w:sz w:val="24"/>
          <w:szCs w:val="24"/>
        </w:rPr>
        <w:t xml:space="preserve">the </w:t>
      </w:r>
      <w:r w:rsidR="003B3608" w:rsidRPr="0030693E">
        <w:rPr>
          <w:rFonts w:ascii="Arial" w:hAnsi="Arial" w:cs="Arial"/>
          <w:b w:val="0"/>
          <w:i w:val="0"/>
          <w:sz w:val="24"/>
          <w:szCs w:val="24"/>
        </w:rPr>
        <w:t>Risk Policy</w:t>
      </w:r>
      <w:r w:rsidR="00215A64" w:rsidRPr="0030693E">
        <w:rPr>
          <w:rFonts w:ascii="Arial" w:hAnsi="Arial" w:cs="Arial"/>
          <w:b w:val="0"/>
          <w:i w:val="0"/>
          <w:sz w:val="24"/>
          <w:szCs w:val="24"/>
        </w:rPr>
        <w:t xml:space="preserve"> p</w:t>
      </w:r>
      <w:r w:rsidR="002E372D" w:rsidRPr="0030693E">
        <w:rPr>
          <w:rFonts w:ascii="Arial" w:hAnsi="Arial" w:cs="Arial"/>
          <w:b w:val="0"/>
          <w:i w:val="0"/>
          <w:sz w:val="24"/>
          <w:szCs w:val="24"/>
        </w:rPr>
        <w:t>rovides</w:t>
      </w:r>
      <w:r w:rsidR="003B3608" w:rsidRPr="0030693E">
        <w:rPr>
          <w:rFonts w:ascii="Arial" w:hAnsi="Arial" w:cs="Arial"/>
          <w:b w:val="0"/>
          <w:i w:val="0"/>
          <w:sz w:val="24"/>
          <w:szCs w:val="24"/>
        </w:rPr>
        <w:t xml:space="preserve"> for a</w:t>
      </w:r>
      <w:r w:rsidR="002E372D" w:rsidRPr="0030693E">
        <w:rPr>
          <w:rFonts w:ascii="Arial" w:hAnsi="Arial" w:cs="Arial"/>
          <w:b w:val="0"/>
          <w:i w:val="0"/>
          <w:sz w:val="24"/>
          <w:szCs w:val="24"/>
        </w:rPr>
        <w:t xml:space="preserve"> </w:t>
      </w:r>
      <w:r w:rsidR="003B3608" w:rsidRPr="0030693E">
        <w:rPr>
          <w:rFonts w:ascii="Arial" w:hAnsi="Arial" w:cs="Arial"/>
          <w:b w:val="0"/>
          <w:i w:val="0"/>
          <w:sz w:val="24"/>
          <w:szCs w:val="24"/>
        </w:rPr>
        <w:t>cert</w:t>
      </w:r>
      <w:r w:rsidR="002E372D" w:rsidRPr="0030693E">
        <w:rPr>
          <w:rFonts w:ascii="Arial" w:hAnsi="Arial" w:cs="Arial"/>
          <w:b w:val="0"/>
          <w:i w:val="0"/>
          <w:sz w:val="24"/>
          <w:szCs w:val="24"/>
        </w:rPr>
        <w:t xml:space="preserve">ain level of </w:t>
      </w:r>
      <w:r w:rsidR="0065264B" w:rsidRPr="0030693E">
        <w:rPr>
          <w:rFonts w:ascii="Arial" w:hAnsi="Arial" w:cs="Arial"/>
          <w:b w:val="0"/>
          <w:i w:val="0"/>
          <w:sz w:val="24"/>
          <w:szCs w:val="24"/>
        </w:rPr>
        <w:t>management flexibility should market indicators or other factors deem necessary.</w:t>
      </w:r>
      <w:r w:rsidR="00853588" w:rsidRPr="0030693E">
        <w:rPr>
          <w:rFonts w:ascii="Arial" w:hAnsi="Arial" w:cs="Arial"/>
          <w:b w:val="0"/>
          <w:i w:val="0"/>
          <w:sz w:val="24"/>
          <w:szCs w:val="24"/>
        </w:rPr>
        <w:t xml:space="preserve">  </w:t>
      </w:r>
    </w:p>
    <w:p w14:paraId="37B61C8A" w14:textId="77777777" w:rsidR="002E372D" w:rsidRPr="0030693E" w:rsidRDefault="00853588"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The components of the window mechanism are as follows:</w:t>
      </w:r>
    </w:p>
    <w:p w14:paraId="6071B35F" w14:textId="1C955B26" w:rsidR="002E372D" w:rsidRPr="0030693E" w:rsidRDefault="002E372D" w:rsidP="0030693E">
      <w:pPr>
        <w:pStyle w:val="Heading2"/>
        <w:numPr>
          <w:ilvl w:val="0"/>
          <w:numId w:val="19"/>
        </w:numPr>
        <w:spacing w:line="240" w:lineRule="auto"/>
        <w:ind w:left="720"/>
        <w:jc w:val="both"/>
        <w:rPr>
          <w:rFonts w:ascii="Arial" w:hAnsi="Arial" w:cs="Arial"/>
          <w:b w:val="0"/>
          <w:i w:val="0"/>
          <w:sz w:val="24"/>
          <w:szCs w:val="24"/>
        </w:rPr>
      </w:pPr>
      <w:r w:rsidRPr="0030693E">
        <w:rPr>
          <w:rFonts w:ascii="Arial" w:hAnsi="Arial" w:cs="Arial"/>
          <w:b w:val="0"/>
          <w:i w:val="0"/>
          <w:sz w:val="24"/>
          <w:szCs w:val="24"/>
        </w:rPr>
        <w:t>S</w:t>
      </w:r>
      <w:r w:rsidR="00D90E4A" w:rsidRPr="0030693E">
        <w:rPr>
          <w:rFonts w:ascii="Arial" w:hAnsi="Arial" w:cs="Arial"/>
          <w:b w:val="0"/>
          <w:i w:val="0"/>
          <w:sz w:val="24"/>
          <w:szCs w:val="24"/>
        </w:rPr>
        <w:t>et-price (SP)</w:t>
      </w:r>
      <w:r w:rsidRPr="0030693E">
        <w:rPr>
          <w:rFonts w:ascii="Arial" w:hAnsi="Arial" w:cs="Arial"/>
          <w:b w:val="0"/>
          <w:i w:val="0"/>
          <w:sz w:val="24"/>
          <w:szCs w:val="24"/>
        </w:rPr>
        <w:t xml:space="preserve"> – Based on the closing price of the selected supply basin for the delivery period.  </w:t>
      </w:r>
    </w:p>
    <w:p w14:paraId="04FB2A2B" w14:textId="28D68810" w:rsidR="002E372D" w:rsidRPr="0030693E" w:rsidRDefault="002E372D" w:rsidP="0030693E">
      <w:pPr>
        <w:pStyle w:val="Heading2"/>
        <w:numPr>
          <w:ilvl w:val="0"/>
          <w:numId w:val="18"/>
        </w:numPr>
        <w:spacing w:line="240" w:lineRule="auto"/>
        <w:ind w:left="720"/>
        <w:jc w:val="both"/>
        <w:rPr>
          <w:rFonts w:ascii="Arial" w:hAnsi="Arial" w:cs="Arial"/>
          <w:b w:val="0"/>
          <w:i w:val="0"/>
          <w:sz w:val="24"/>
          <w:szCs w:val="24"/>
        </w:rPr>
      </w:pPr>
      <w:r w:rsidRPr="0030693E">
        <w:rPr>
          <w:rFonts w:ascii="Arial" w:hAnsi="Arial" w:cs="Arial"/>
          <w:b w:val="0"/>
          <w:i w:val="0"/>
          <w:sz w:val="24"/>
          <w:szCs w:val="24"/>
        </w:rPr>
        <w:t>Supply Basin</w:t>
      </w:r>
      <w:r w:rsidR="00624EBF" w:rsidRPr="0030693E">
        <w:rPr>
          <w:rFonts w:ascii="Arial" w:hAnsi="Arial" w:cs="Arial"/>
          <w:b w:val="0"/>
          <w:i w:val="0"/>
          <w:sz w:val="24"/>
          <w:szCs w:val="24"/>
        </w:rPr>
        <w:t>s</w:t>
      </w:r>
      <w:r w:rsidRPr="0030693E">
        <w:rPr>
          <w:rFonts w:ascii="Arial" w:hAnsi="Arial" w:cs="Arial"/>
          <w:b w:val="0"/>
          <w:i w:val="0"/>
          <w:sz w:val="24"/>
          <w:szCs w:val="24"/>
        </w:rPr>
        <w:t xml:space="preserve"> – AECO, Sumas, or Rockies based on a Value-At-Risk (</w:t>
      </w:r>
      <w:proofErr w:type="spellStart"/>
      <w:r w:rsidRPr="0030693E">
        <w:rPr>
          <w:rFonts w:ascii="Arial" w:hAnsi="Arial" w:cs="Arial"/>
          <w:b w:val="0"/>
          <w:i w:val="0"/>
          <w:sz w:val="24"/>
          <w:szCs w:val="24"/>
        </w:rPr>
        <w:t>VaR</w:t>
      </w:r>
      <w:proofErr w:type="spellEnd"/>
      <w:r w:rsidRPr="0030693E">
        <w:rPr>
          <w:rFonts w:ascii="Arial" w:hAnsi="Arial" w:cs="Arial"/>
          <w:b w:val="0"/>
          <w:i w:val="0"/>
          <w:sz w:val="24"/>
          <w:szCs w:val="24"/>
        </w:rPr>
        <w:t>) calculation whi</w:t>
      </w:r>
      <w:r w:rsidR="00624EBF" w:rsidRPr="0030693E">
        <w:rPr>
          <w:rFonts w:ascii="Arial" w:hAnsi="Arial" w:cs="Arial"/>
          <w:b w:val="0"/>
          <w:i w:val="0"/>
          <w:sz w:val="24"/>
          <w:szCs w:val="24"/>
        </w:rPr>
        <w:t>c</w:t>
      </w:r>
      <w:r w:rsidRPr="0030693E">
        <w:rPr>
          <w:rFonts w:ascii="Arial" w:hAnsi="Arial" w:cs="Arial"/>
          <w:b w:val="0"/>
          <w:i w:val="0"/>
          <w:sz w:val="24"/>
          <w:szCs w:val="24"/>
        </w:rPr>
        <w:t>h provides the greatest</w:t>
      </w:r>
      <w:r w:rsidR="005945BE" w:rsidRPr="0030693E">
        <w:rPr>
          <w:rFonts w:ascii="Arial" w:hAnsi="Arial" w:cs="Arial"/>
          <w:b w:val="0"/>
          <w:i w:val="0"/>
          <w:sz w:val="24"/>
          <w:szCs w:val="24"/>
        </w:rPr>
        <w:t xml:space="preserve"> reduction to the open position </w:t>
      </w:r>
      <w:r w:rsidR="00624EBF" w:rsidRPr="0030693E">
        <w:rPr>
          <w:rFonts w:ascii="Arial" w:hAnsi="Arial" w:cs="Arial"/>
          <w:b w:val="0"/>
          <w:i w:val="0"/>
          <w:sz w:val="24"/>
          <w:szCs w:val="24"/>
        </w:rPr>
        <w:t>and</w:t>
      </w:r>
      <w:r w:rsidR="005945BE" w:rsidRPr="0030693E">
        <w:rPr>
          <w:rFonts w:ascii="Arial" w:hAnsi="Arial" w:cs="Arial"/>
          <w:b w:val="0"/>
          <w:i w:val="0"/>
          <w:sz w:val="24"/>
          <w:szCs w:val="24"/>
        </w:rPr>
        <w:t xml:space="preserve"> market conditions at the time of execution.</w:t>
      </w:r>
    </w:p>
    <w:p w14:paraId="328D6141" w14:textId="03104EE6" w:rsidR="002E372D" w:rsidRPr="0030693E" w:rsidRDefault="002E372D" w:rsidP="0030693E">
      <w:pPr>
        <w:pStyle w:val="Heading2"/>
        <w:numPr>
          <w:ilvl w:val="0"/>
          <w:numId w:val="18"/>
        </w:numPr>
        <w:spacing w:line="240" w:lineRule="auto"/>
        <w:ind w:left="720"/>
        <w:jc w:val="both"/>
        <w:rPr>
          <w:rFonts w:ascii="Arial" w:hAnsi="Arial" w:cs="Arial"/>
          <w:b w:val="0"/>
          <w:i w:val="0"/>
          <w:sz w:val="24"/>
          <w:szCs w:val="24"/>
        </w:rPr>
      </w:pPr>
      <w:r w:rsidRPr="0030693E">
        <w:rPr>
          <w:rFonts w:ascii="Arial" w:hAnsi="Arial" w:cs="Arial"/>
          <w:b w:val="0"/>
          <w:i w:val="0"/>
          <w:sz w:val="24"/>
          <w:szCs w:val="24"/>
        </w:rPr>
        <w:t>U</w:t>
      </w:r>
      <w:r w:rsidR="00D90E4A" w:rsidRPr="0030693E">
        <w:rPr>
          <w:rFonts w:ascii="Arial" w:hAnsi="Arial" w:cs="Arial"/>
          <w:b w:val="0"/>
          <w:i w:val="0"/>
          <w:sz w:val="24"/>
          <w:szCs w:val="24"/>
        </w:rPr>
        <w:t xml:space="preserve">pper </w:t>
      </w:r>
      <w:r w:rsidRPr="0030693E">
        <w:rPr>
          <w:rFonts w:ascii="Arial" w:hAnsi="Arial" w:cs="Arial"/>
          <w:b w:val="0"/>
          <w:i w:val="0"/>
          <w:sz w:val="24"/>
          <w:szCs w:val="24"/>
        </w:rPr>
        <w:t>C</w:t>
      </w:r>
      <w:r w:rsidR="00D90E4A" w:rsidRPr="0030693E">
        <w:rPr>
          <w:rFonts w:ascii="Arial" w:hAnsi="Arial" w:cs="Arial"/>
          <w:b w:val="0"/>
          <w:i w:val="0"/>
          <w:sz w:val="24"/>
          <w:szCs w:val="24"/>
        </w:rPr>
        <w:t xml:space="preserve">ontrol </w:t>
      </w:r>
      <w:r w:rsidRPr="0030693E">
        <w:rPr>
          <w:rFonts w:ascii="Arial" w:hAnsi="Arial" w:cs="Arial"/>
          <w:b w:val="0"/>
          <w:i w:val="0"/>
          <w:sz w:val="24"/>
          <w:szCs w:val="24"/>
        </w:rPr>
        <w:t>L</w:t>
      </w:r>
      <w:r w:rsidR="00D90E4A" w:rsidRPr="0030693E">
        <w:rPr>
          <w:rFonts w:ascii="Arial" w:hAnsi="Arial" w:cs="Arial"/>
          <w:b w:val="0"/>
          <w:i w:val="0"/>
          <w:sz w:val="24"/>
          <w:szCs w:val="24"/>
        </w:rPr>
        <w:t>imit (UCL)</w:t>
      </w:r>
      <w:r w:rsidR="005945BE" w:rsidRPr="0030693E">
        <w:rPr>
          <w:rFonts w:ascii="Arial" w:hAnsi="Arial" w:cs="Arial"/>
          <w:b w:val="0"/>
          <w:i w:val="0"/>
          <w:sz w:val="24"/>
          <w:szCs w:val="24"/>
        </w:rPr>
        <w:t xml:space="preserve"> </w:t>
      </w:r>
      <w:proofErr w:type="gramStart"/>
      <w:r w:rsidR="005945BE" w:rsidRPr="0030693E">
        <w:rPr>
          <w:rFonts w:ascii="Arial" w:hAnsi="Arial" w:cs="Arial"/>
          <w:b w:val="0"/>
          <w:i w:val="0"/>
          <w:sz w:val="24"/>
          <w:szCs w:val="24"/>
        </w:rPr>
        <w:t xml:space="preserve">- </w:t>
      </w:r>
      <w:r w:rsidR="00D90E4A" w:rsidRPr="0030693E">
        <w:rPr>
          <w:rFonts w:ascii="Arial" w:hAnsi="Arial" w:cs="Arial"/>
          <w:b w:val="0"/>
          <w:i w:val="0"/>
          <w:sz w:val="24"/>
          <w:szCs w:val="24"/>
        </w:rPr>
        <w:t xml:space="preserve"> </w:t>
      </w:r>
      <w:r w:rsidR="005945BE" w:rsidRPr="0030693E">
        <w:rPr>
          <w:rFonts w:ascii="Arial" w:hAnsi="Arial" w:cs="Arial"/>
          <w:b w:val="0"/>
          <w:i w:val="0"/>
          <w:sz w:val="24"/>
          <w:szCs w:val="24"/>
        </w:rPr>
        <w:t>Based</w:t>
      </w:r>
      <w:proofErr w:type="gramEnd"/>
      <w:r w:rsidR="005945BE" w:rsidRPr="0030693E">
        <w:rPr>
          <w:rFonts w:ascii="Arial" w:hAnsi="Arial" w:cs="Arial"/>
          <w:b w:val="0"/>
          <w:i w:val="0"/>
          <w:sz w:val="24"/>
          <w:szCs w:val="24"/>
        </w:rPr>
        <w:t xml:space="preserve"> on historical prices over the previous 60 days with a 90% confidence level.</w:t>
      </w:r>
    </w:p>
    <w:p w14:paraId="74D8C5D7" w14:textId="23AF7AF7" w:rsidR="002E372D" w:rsidRPr="0030693E" w:rsidRDefault="002E372D" w:rsidP="0030693E">
      <w:pPr>
        <w:pStyle w:val="Heading2"/>
        <w:numPr>
          <w:ilvl w:val="0"/>
          <w:numId w:val="18"/>
        </w:numPr>
        <w:spacing w:line="240" w:lineRule="auto"/>
        <w:ind w:left="720"/>
        <w:jc w:val="both"/>
        <w:rPr>
          <w:rFonts w:ascii="Arial" w:hAnsi="Arial" w:cs="Arial"/>
          <w:b w:val="0"/>
          <w:i w:val="0"/>
          <w:sz w:val="24"/>
          <w:szCs w:val="24"/>
        </w:rPr>
      </w:pPr>
      <w:r w:rsidRPr="0030693E">
        <w:rPr>
          <w:rFonts w:ascii="Arial" w:hAnsi="Arial" w:cs="Arial"/>
          <w:b w:val="0"/>
          <w:i w:val="0"/>
          <w:sz w:val="24"/>
          <w:szCs w:val="24"/>
        </w:rPr>
        <w:t>Lower Control</w:t>
      </w:r>
      <w:r w:rsidR="00D90E4A" w:rsidRPr="0030693E">
        <w:rPr>
          <w:rFonts w:ascii="Arial" w:hAnsi="Arial" w:cs="Arial"/>
          <w:b w:val="0"/>
          <w:i w:val="0"/>
          <w:sz w:val="24"/>
          <w:szCs w:val="24"/>
        </w:rPr>
        <w:t xml:space="preserve"> limit (LCL) </w:t>
      </w:r>
      <w:r w:rsidR="005945BE" w:rsidRPr="0030693E">
        <w:rPr>
          <w:rFonts w:ascii="Arial" w:hAnsi="Arial" w:cs="Arial"/>
          <w:b w:val="0"/>
          <w:i w:val="0"/>
          <w:sz w:val="24"/>
          <w:szCs w:val="24"/>
        </w:rPr>
        <w:t>- Based on historical prices over the previous 60 days with a 90% confidence level.</w:t>
      </w:r>
    </w:p>
    <w:p w14:paraId="3B2AB108" w14:textId="6A13B5EC" w:rsidR="008B711E" w:rsidRPr="0030693E" w:rsidRDefault="002E372D" w:rsidP="0030693E">
      <w:pPr>
        <w:pStyle w:val="Heading2"/>
        <w:numPr>
          <w:ilvl w:val="0"/>
          <w:numId w:val="18"/>
        </w:numPr>
        <w:spacing w:line="240" w:lineRule="auto"/>
        <w:ind w:left="720"/>
        <w:jc w:val="both"/>
        <w:rPr>
          <w:rFonts w:ascii="Arial" w:hAnsi="Arial" w:cs="Arial"/>
          <w:b w:val="0"/>
          <w:i w:val="0"/>
          <w:sz w:val="24"/>
          <w:szCs w:val="24"/>
        </w:rPr>
      </w:pPr>
      <w:r w:rsidRPr="0030693E">
        <w:rPr>
          <w:rFonts w:ascii="Arial" w:hAnsi="Arial" w:cs="Arial"/>
          <w:b w:val="0"/>
          <w:i w:val="0"/>
          <w:sz w:val="24"/>
          <w:szCs w:val="24"/>
        </w:rPr>
        <w:t>E</w:t>
      </w:r>
      <w:r w:rsidR="00D90E4A" w:rsidRPr="0030693E">
        <w:rPr>
          <w:rFonts w:ascii="Arial" w:hAnsi="Arial" w:cs="Arial"/>
          <w:b w:val="0"/>
          <w:i w:val="0"/>
          <w:sz w:val="24"/>
          <w:szCs w:val="24"/>
        </w:rPr>
        <w:t xml:space="preserve">xpiration </w:t>
      </w:r>
      <w:r w:rsidR="005945BE" w:rsidRPr="0030693E">
        <w:rPr>
          <w:rFonts w:ascii="Arial" w:hAnsi="Arial" w:cs="Arial"/>
          <w:b w:val="0"/>
          <w:i w:val="0"/>
          <w:sz w:val="24"/>
          <w:szCs w:val="24"/>
        </w:rPr>
        <w:t>D</w:t>
      </w:r>
      <w:r w:rsidR="00D90E4A" w:rsidRPr="0030693E">
        <w:rPr>
          <w:rFonts w:ascii="Arial" w:hAnsi="Arial" w:cs="Arial"/>
          <w:b w:val="0"/>
          <w:i w:val="0"/>
          <w:sz w:val="24"/>
          <w:szCs w:val="24"/>
        </w:rPr>
        <w:t>at</w:t>
      </w:r>
      <w:r w:rsidR="005945BE" w:rsidRPr="0030693E">
        <w:rPr>
          <w:rFonts w:ascii="Arial" w:hAnsi="Arial" w:cs="Arial"/>
          <w:b w:val="0"/>
          <w:i w:val="0"/>
          <w:sz w:val="24"/>
          <w:szCs w:val="24"/>
        </w:rPr>
        <w:t>es -</w:t>
      </w:r>
      <w:r w:rsidR="00D90E4A" w:rsidRPr="0030693E">
        <w:rPr>
          <w:rFonts w:ascii="Arial" w:hAnsi="Arial" w:cs="Arial"/>
          <w:b w:val="0"/>
          <w:i w:val="0"/>
          <w:sz w:val="24"/>
          <w:szCs w:val="24"/>
        </w:rPr>
        <w:t xml:space="preserve"> </w:t>
      </w:r>
      <w:r w:rsidR="005945BE" w:rsidRPr="0030693E">
        <w:rPr>
          <w:rFonts w:ascii="Arial" w:hAnsi="Arial" w:cs="Arial"/>
          <w:b w:val="0"/>
          <w:i w:val="0"/>
          <w:sz w:val="24"/>
          <w:szCs w:val="24"/>
        </w:rPr>
        <w:t>D</w:t>
      </w:r>
      <w:r w:rsidR="00D90E4A" w:rsidRPr="0030693E">
        <w:rPr>
          <w:rFonts w:ascii="Arial" w:hAnsi="Arial" w:cs="Arial"/>
          <w:b w:val="0"/>
          <w:i w:val="0"/>
          <w:sz w:val="24"/>
          <w:szCs w:val="24"/>
        </w:rPr>
        <w:t xml:space="preserve">etermined by Gas Supply based on the annual volumes to be hedged and the choice of market period in which to transact market-scale pieces of the planned annual hedges (i.e., the number of hedge windows and an appropriate distribution of time to be in the market for each will indicate a series of expiration dates). </w:t>
      </w:r>
    </w:p>
    <w:p w14:paraId="6FD65758" w14:textId="322BB9DD" w:rsidR="005012E0" w:rsidRPr="0030693E" w:rsidRDefault="00D90E4A"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The UCL and LCL will adjust (“Noose”) daily depending on the movement in current pricing. When a window is closed the next window will be opened (if a window remains to be processed). The next window’s SP and price band will be determined based on the current day’s closing price</w:t>
      </w:r>
      <w:r w:rsidR="006A3CAF" w:rsidRPr="0030693E">
        <w:rPr>
          <w:rFonts w:ascii="Arial" w:hAnsi="Arial" w:cs="Arial"/>
          <w:b w:val="0"/>
          <w:i w:val="0"/>
          <w:sz w:val="24"/>
          <w:szCs w:val="24"/>
        </w:rPr>
        <w:t>,</w:t>
      </w:r>
      <w:r w:rsidRPr="0030693E">
        <w:rPr>
          <w:rFonts w:ascii="Arial" w:hAnsi="Arial" w:cs="Arial"/>
          <w:b w:val="0"/>
          <w:i w:val="0"/>
          <w:sz w:val="24"/>
          <w:szCs w:val="24"/>
        </w:rPr>
        <w:t xml:space="preserve"> but the new window will retain its original expiration date.</w:t>
      </w:r>
    </w:p>
    <w:p w14:paraId="40D6BC72" w14:textId="05C293FF" w:rsidR="00BF17D9" w:rsidRPr="0030693E" w:rsidRDefault="00BF17D9" w:rsidP="0030693E">
      <w:pPr>
        <w:pStyle w:val="Heading2"/>
        <w:spacing w:after="120" w:line="240" w:lineRule="auto"/>
        <w:jc w:val="both"/>
        <w:rPr>
          <w:rFonts w:ascii="Arial" w:hAnsi="Arial" w:cs="Arial"/>
        </w:rPr>
      </w:pPr>
      <w:r w:rsidRPr="0030693E">
        <w:rPr>
          <w:rFonts w:ascii="Arial" w:hAnsi="Arial" w:cs="Arial"/>
          <w:b w:val="0"/>
          <w:i w:val="0"/>
          <w:sz w:val="24"/>
          <w:szCs w:val="24"/>
        </w:rPr>
        <w:t xml:space="preserve">Illustration No. </w:t>
      </w:r>
      <w:r w:rsidR="0030693E">
        <w:rPr>
          <w:rFonts w:ascii="Arial" w:hAnsi="Arial" w:cs="Arial"/>
          <w:b w:val="0"/>
          <w:i w:val="0"/>
          <w:sz w:val="24"/>
          <w:szCs w:val="24"/>
        </w:rPr>
        <w:t>2</w:t>
      </w:r>
      <w:r w:rsidRPr="0030693E">
        <w:rPr>
          <w:rFonts w:ascii="Arial" w:hAnsi="Arial" w:cs="Arial"/>
          <w:b w:val="0"/>
          <w:i w:val="0"/>
          <w:sz w:val="24"/>
          <w:szCs w:val="24"/>
        </w:rPr>
        <w:t xml:space="preserve"> is an illustration of the Window Mechanism set up:</w:t>
      </w:r>
    </w:p>
    <w:p w14:paraId="5D4C26B5" w14:textId="77777777" w:rsidR="0030693E" w:rsidRDefault="0030693E" w:rsidP="0030693E">
      <w:pPr>
        <w:spacing w:line="240" w:lineRule="auto"/>
        <w:rPr>
          <w:rFonts w:ascii="Arial" w:hAnsi="Arial" w:cs="Arial"/>
          <w:sz w:val="24"/>
          <w:szCs w:val="24"/>
          <w:u w:val="single"/>
        </w:rPr>
      </w:pPr>
    </w:p>
    <w:p w14:paraId="3F195E68" w14:textId="77777777" w:rsidR="00C662DF" w:rsidRDefault="00C662DF" w:rsidP="0030693E">
      <w:pPr>
        <w:spacing w:line="240" w:lineRule="auto"/>
        <w:rPr>
          <w:rFonts w:ascii="Arial" w:hAnsi="Arial" w:cs="Arial"/>
          <w:sz w:val="24"/>
          <w:szCs w:val="24"/>
          <w:u w:val="single"/>
        </w:rPr>
      </w:pPr>
    </w:p>
    <w:p w14:paraId="4D75CE56" w14:textId="77777777" w:rsidR="0030693E" w:rsidRDefault="0030693E" w:rsidP="0030693E">
      <w:pPr>
        <w:spacing w:line="240" w:lineRule="auto"/>
        <w:rPr>
          <w:rFonts w:ascii="Arial" w:hAnsi="Arial" w:cs="Arial"/>
          <w:sz w:val="24"/>
          <w:szCs w:val="24"/>
          <w:u w:val="single"/>
        </w:rPr>
      </w:pPr>
    </w:p>
    <w:p w14:paraId="79C951D9" w14:textId="77777777" w:rsidR="000E6E9D" w:rsidRDefault="000E6E9D" w:rsidP="0030693E">
      <w:pPr>
        <w:spacing w:line="240" w:lineRule="auto"/>
        <w:rPr>
          <w:rFonts w:ascii="Arial" w:hAnsi="Arial" w:cs="Arial"/>
          <w:sz w:val="24"/>
          <w:szCs w:val="24"/>
          <w:u w:val="single"/>
        </w:rPr>
      </w:pPr>
    </w:p>
    <w:p w14:paraId="3B55EE24" w14:textId="77777777" w:rsidR="000E6E9D" w:rsidRDefault="000E6E9D" w:rsidP="0030693E">
      <w:pPr>
        <w:spacing w:line="240" w:lineRule="auto"/>
        <w:rPr>
          <w:rFonts w:ascii="Arial" w:hAnsi="Arial" w:cs="Arial"/>
          <w:sz w:val="24"/>
          <w:szCs w:val="24"/>
          <w:u w:val="single"/>
        </w:rPr>
      </w:pPr>
    </w:p>
    <w:p w14:paraId="09083004" w14:textId="76AF8BC0" w:rsidR="00BF17D9" w:rsidRPr="0030693E" w:rsidRDefault="0030693E" w:rsidP="0030693E">
      <w:pPr>
        <w:spacing w:line="240" w:lineRule="auto"/>
        <w:rPr>
          <w:rFonts w:ascii="Arial" w:hAnsi="Arial" w:cs="Arial"/>
          <w:sz w:val="24"/>
          <w:szCs w:val="24"/>
          <w:u w:val="single"/>
        </w:rPr>
      </w:pPr>
      <w:r>
        <w:rPr>
          <w:rFonts w:ascii="Arial" w:hAnsi="Arial" w:cs="Arial"/>
          <w:sz w:val="24"/>
          <w:szCs w:val="24"/>
          <w:u w:val="single"/>
        </w:rPr>
        <w:lastRenderedPageBreak/>
        <w:t>Illustration No. 2</w:t>
      </w:r>
    </w:p>
    <w:p w14:paraId="1A26D1B0" w14:textId="77777777" w:rsidR="00BF17D9" w:rsidRPr="0030693E" w:rsidRDefault="00BF17D9" w:rsidP="0030693E">
      <w:pPr>
        <w:spacing w:line="240" w:lineRule="auto"/>
        <w:rPr>
          <w:rFonts w:ascii="Arial" w:hAnsi="Arial" w:cs="Arial"/>
        </w:rPr>
      </w:pPr>
      <w:r w:rsidRPr="0030693E">
        <w:rPr>
          <w:rFonts w:ascii="Arial" w:hAnsi="Arial" w:cs="Arial"/>
          <w:noProof/>
        </w:rPr>
        <w:drawing>
          <wp:inline distT="0" distB="0" distL="0" distR="0" wp14:anchorId="5E47044F" wp14:editId="657D2D74">
            <wp:extent cx="5943600" cy="25812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552"/>
                    <a:stretch/>
                  </pic:blipFill>
                  <pic:spPr bwMode="auto">
                    <a:xfrm>
                      <a:off x="0" y="0"/>
                      <a:ext cx="5943600" cy="2581275"/>
                    </a:xfrm>
                    <a:prstGeom prst="rect">
                      <a:avLst/>
                    </a:prstGeom>
                    <a:ln>
                      <a:noFill/>
                    </a:ln>
                    <a:extLst>
                      <a:ext uri="{53640926-AAD7-44D8-BBD7-CCE9431645EC}">
                        <a14:shadowObscured xmlns:a14="http://schemas.microsoft.com/office/drawing/2010/main"/>
                      </a:ext>
                    </a:extLst>
                  </pic:spPr>
                </pic:pic>
              </a:graphicData>
            </a:graphic>
          </wp:inline>
        </w:drawing>
      </w:r>
    </w:p>
    <w:p w14:paraId="7E62ED94" w14:textId="77777777" w:rsidR="00D90E4A" w:rsidRPr="0030693E" w:rsidRDefault="00D90E4A" w:rsidP="0030693E">
      <w:pPr>
        <w:pStyle w:val="Heading2"/>
        <w:spacing w:line="240" w:lineRule="auto"/>
        <w:rPr>
          <w:rFonts w:ascii="Arial" w:hAnsi="Arial" w:cs="Arial"/>
          <w:i w:val="0"/>
          <w:sz w:val="24"/>
          <w:szCs w:val="24"/>
        </w:rPr>
      </w:pPr>
      <w:r w:rsidRPr="0030693E">
        <w:rPr>
          <w:rFonts w:ascii="Arial" w:hAnsi="Arial" w:cs="Arial"/>
          <w:i w:val="0"/>
          <w:sz w:val="24"/>
          <w:szCs w:val="24"/>
        </w:rPr>
        <w:t xml:space="preserve">Hedge Window Procedures </w:t>
      </w:r>
    </w:p>
    <w:p w14:paraId="3441549B" w14:textId="647844F6" w:rsidR="00D90E4A" w:rsidRPr="0030693E" w:rsidRDefault="00D90E4A"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 xml:space="preserve">Hedge Windows remain “open” as long as the previous day’s forward delivery period price remains between the UCL and the LCL, and the window has not reached its time expiration. The </w:t>
      </w:r>
      <w:r w:rsidR="00550512" w:rsidRPr="0030693E">
        <w:rPr>
          <w:rFonts w:ascii="Arial" w:hAnsi="Arial" w:cs="Arial"/>
          <w:b w:val="0"/>
          <w:i w:val="0"/>
          <w:sz w:val="24"/>
          <w:szCs w:val="24"/>
        </w:rPr>
        <w:t>daily LDC Natural Gas Position Report (</w:t>
      </w:r>
      <w:r w:rsidRPr="0030693E">
        <w:rPr>
          <w:rFonts w:ascii="Arial" w:hAnsi="Arial" w:cs="Arial"/>
          <w:b w:val="0"/>
          <w:i w:val="0"/>
          <w:sz w:val="24"/>
          <w:szCs w:val="24"/>
        </w:rPr>
        <w:t xml:space="preserve">Position Report) closing price </w:t>
      </w:r>
      <w:r w:rsidR="00550512" w:rsidRPr="0030693E">
        <w:rPr>
          <w:rFonts w:ascii="Arial" w:hAnsi="Arial" w:cs="Arial"/>
          <w:b w:val="0"/>
          <w:i w:val="0"/>
          <w:sz w:val="24"/>
          <w:szCs w:val="24"/>
        </w:rPr>
        <w:t xml:space="preserve">for the selected basin </w:t>
      </w:r>
      <w:r w:rsidRPr="0030693E">
        <w:rPr>
          <w:rFonts w:ascii="Arial" w:hAnsi="Arial" w:cs="Arial"/>
          <w:b w:val="0"/>
          <w:i w:val="0"/>
          <w:sz w:val="24"/>
          <w:szCs w:val="24"/>
        </w:rPr>
        <w:t xml:space="preserve">will be the determining benchmark of the forward delivery period price. </w:t>
      </w:r>
    </w:p>
    <w:p w14:paraId="3F948590" w14:textId="6115FCBD" w:rsidR="00D90E4A" w:rsidRPr="0030693E" w:rsidRDefault="00D90E4A"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Hedge Window status is examined each business day. If the Position Report price indicates that a UCL has been exceeded or if the Position Report price falls below an LCL, then the planned transaction is triggered</w:t>
      </w:r>
      <w:r w:rsidR="00DC27C5" w:rsidRPr="0030693E">
        <w:rPr>
          <w:rFonts w:ascii="Arial" w:hAnsi="Arial" w:cs="Arial"/>
          <w:b w:val="0"/>
          <w:i w:val="0"/>
          <w:sz w:val="24"/>
          <w:szCs w:val="24"/>
        </w:rPr>
        <w:t>.</w:t>
      </w:r>
      <w:r w:rsidRPr="0030693E">
        <w:rPr>
          <w:rFonts w:ascii="Arial" w:hAnsi="Arial" w:cs="Arial"/>
          <w:b w:val="0"/>
          <w:i w:val="0"/>
          <w:sz w:val="24"/>
          <w:szCs w:val="24"/>
        </w:rPr>
        <w:t xml:space="preserve"> </w:t>
      </w:r>
      <w:r w:rsidR="00141989" w:rsidRPr="0030693E">
        <w:rPr>
          <w:rFonts w:ascii="Arial" w:hAnsi="Arial" w:cs="Arial"/>
          <w:b w:val="0"/>
          <w:i w:val="0"/>
          <w:sz w:val="24"/>
          <w:szCs w:val="24"/>
        </w:rPr>
        <w:t xml:space="preserve"> </w:t>
      </w:r>
      <w:r w:rsidRPr="0030693E">
        <w:rPr>
          <w:rFonts w:ascii="Arial" w:hAnsi="Arial" w:cs="Arial"/>
          <w:b w:val="0"/>
          <w:i w:val="0"/>
          <w:sz w:val="24"/>
          <w:szCs w:val="24"/>
        </w:rPr>
        <w:t xml:space="preserve">If a window does not exceed the UCL or fall below the LCL prior to time expiration, then the planned transaction is </w:t>
      </w:r>
      <w:r w:rsidR="00DC27C5" w:rsidRPr="0030693E">
        <w:rPr>
          <w:rFonts w:ascii="Arial" w:hAnsi="Arial" w:cs="Arial"/>
          <w:b w:val="0"/>
          <w:i w:val="0"/>
          <w:sz w:val="24"/>
          <w:szCs w:val="24"/>
        </w:rPr>
        <w:t>triggered on the last day of the hedge period.</w:t>
      </w:r>
      <w:r w:rsidRPr="0030693E">
        <w:rPr>
          <w:rFonts w:ascii="Arial" w:hAnsi="Arial" w:cs="Arial"/>
          <w:b w:val="0"/>
          <w:i w:val="0"/>
          <w:sz w:val="24"/>
          <w:szCs w:val="24"/>
        </w:rPr>
        <w:t xml:space="preserve"> </w:t>
      </w:r>
    </w:p>
    <w:p w14:paraId="324591AE" w14:textId="77777777" w:rsidR="00550512" w:rsidRPr="0030693E" w:rsidRDefault="00D90E4A"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A price “noose” calculation will be performed daily for each open window. The purpose of the noose calculation is to ratchet either the UCL or the LCL toward the SP. The noosing occurs daily based on the market closing price for a hedge delivery period. If the closing price is above the SP, the LCL is increased by the amount the closing price is above the SP. If the closing price is below the SP, the UCL is decreased by the amount the closing price is below the SP. Noosing of the LCL and UCL values is limited to the maximum extent that closing prices have risen above the SP (for LCL) or below the SP (for UCL) over the life of the open Hedge Window. The</w:t>
      </w:r>
      <w:r w:rsidR="005D1300" w:rsidRPr="0030693E">
        <w:rPr>
          <w:rFonts w:ascii="Arial" w:hAnsi="Arial" w:cs="Arial"/>
          <w:b w:val="0"/>
          <w:i w:val="0"/>
          <w:sz w:val="24"/>
          <w:szCs w:val="24"/>
        </w:rPr>
        <w:t xml:space="preserve"> </w:t>
      </w:r>
      <w:r w:rsidRPr="0030693E">
        <w:rPr>
          <w:rFonts w:ascii="Arial" w:hAnsi="Arial" w:cs="Arial"/>
          <w:b w:val="0"/>
          <w:i w:val="0"/>
          <w:sz w:val="24"/>
          <w:szCs w:val="24"/>
        </w:rPr>
        <w:t>noose-adjusted LCL and UCL values are not moved away from the SP regardless of price volatility.</w:t>
      </w:r>
      <w:r w:rsidR="00CC35FF" w:rsidRPr="0030693E">
        <w:rPr>
          <w:rFonts w:ascii="Arial" w:hAnsi="Arial" w:cs="Arial"/>
          <w:b w:val="0"/>
          <w:i w:val="0"/>
          <w:sz w:val="24"/>
          <w:szCs w:val="24"/>
        </w:rPr>
        <w:t xml:space="preserve">  </w:t>
      </w:r>
    </w:p>
    <w:p w14:paraId="3FD4CD3D" w14:textId="59D7A0B5" w:rsidR="005D1300" w:rsidRPr="0030693E" w:rsidRDefault="00CC35FF"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I</w:t>
      </w:r>
      <w:r w:rsidR="008B711E" w:rsidRPr="0030693E">
        <w:rPr>
          <w:rFonts w:ascii="Arial" w:hAnsi="Arial" w:cs="Arial"/>
          <w:b w:val="0"/>
          <w:i w:val="0"/>
          <w:sz w:val="24"/>
          <w:szCs w:val="24"/>
        </w:rPr>
        <w:t>llustration</w:t>
      </w:r>
      <w:r w:rsidRPr="0030693E">
        <w:rPr>
          <w:rFonts w:ascii="Arial" w:hAnsi="Arial" w:cs="Arial"/>
          <w:b w:val="0"/>
          <w:i w:val="0"/>
          <w:sz w:val="24"/>
          <w:szCs w:val="24"/>
        </w:rPr>
        <w:t xml:space="preserve"> </w:t>
      </w:r>
      <w:r w:rsidR="00DC27C5" w:rsidRPr="0030693E">
        <w:rPr>
          <w:rFonts w:ascii="Arial" w:hAnsi="Arial" w:cs="Arial"/>
          <w:b w:val="0"/>
          <w:i w:val="0"/>
          <w:sz w:val="24"/>
          <w:szCs w:val="24"/>
        </w:rPr>
        <w:t xml:space="preserve">No. </w:t>
      </w:r>
      <w:r w:rsidR="0030693E">
        <w:rPr>
          <w:rFonts w:ascii="Arial" w:hAnsi="Arial" w:cs="Arial"/>
          <w:b w:val="0"/>
          <w:i w:val="0"/>
          <w:sz w:val="24"/>
          <w:szCs w:val="24"/>
        </w:rPr>
        <w:t>3</w:t>
      </w:r>
      <w:r w:rsidRPr="0030693E">
        <w:rPr>
          <w:rFonts w:ascii="Arial" w:hAnsi="Arial" w:cs="Arial"/>
          <w:b w:val="0"/>
          <w:i w:val="0"/>
          <w:sz w:val="24"/>
          <w:szCs w:val="24"/>
        </w:rPr>
        <w:t xml:space="preserve"> </w:t>
      </w:r>
      <w:r w:rsidR="008B711E" w:rsidRPr="0030693E">
        <w:rPr>
          <w:rFonts w:ascii="Arial" w:hAnsi="Arial" w:cs="Arial"/>
          <w:b w:val="0"/>
          <w:i w:val="0"/>
          <w:sz w:val="24"/>
          <w:szCs w:val="24"/>
        </w:rPr>
        <w:t>shows a hedge which was executed for the November 2019-March 2020 time p</w:t>
      </w:r>
      <w:r w:rsidRPr="0030693E">
        <w:rPr>
          <w:rFonts w:ascii="Arial" w:hAnsi="Arial" w:cs="Arial"/>
          <w:b w:val="0"/>
          <w:i w:val="0"/>
          <w:sz w:val="24"/>
          <w:szCs w:val="24"/>
        </w:rPr>
        <w:t xml:space="preserve">eriod and the associated limits.  </w:t>
      </w:r>
    </w:p>
    <w:p w14:paraId="426E9D82" w14:textId="77777777" w:rsidR="00550512" w:rsidRDefault="00550512" w:rsidP="0030693E">
      <w:pPr>
        <w:spacing w:line="240" w:lineRule="auto"/>
        <w:ind w:left="720"/>
        <w:rPr>
          <w:rFonts w:ascii="Arial" w:hAnsi="Arial" w:cs="Arial"/>
          <w:sz w:val="24"/>
          <w:szCs w:val="24"/>
          <w:u w:val="single"/>
        </w:rPr>
      </w:pPr>
    </w:p>
    <w:p w14:paraId="4B479193" w14:textId="77777777" w:rsidR="00C662DF" w:rsidRDefault="00C662DF" w:rsidP="0030693E">
      <w:pPr>
        <w:spacing w:line="240" w:lineRule="auto"/>
        <w:ind w:left="720"/>
        <w:rPr>
          <w:rFonts w:ascii="Arial" w:hAnsi="Arial" w:cs="Arial"/>
          <w:sz w:val="24"/>
          <w:szCs w:val="24"/>
          <w:u w:val="single"/>
        </w:rPr>
      </w:pPr>
    </w:p>
    <w:p w14:paraId="14B43FF5" w14:textId="77777777" w:rsidR="0030693E" w:rsidRPr="0030693E" w:rsidRDefault="0030693E" w:rsidP="0030693E">
      <w:pPr>
        <w:spacing w:line="240" w:lineRule="auto"/>
        <w:ind w:left="720"/>
        <w:rPr>
          <w:rFonts w:ascii="Arial" w:hAnsi="Arial" w:cs="Arial"/>
          <w:sz w:val="24"/>
          <w:szCs w:val="24"/>
          <w:u w:val="single"/>
        </w:rPr>
      </w:pPr>
    </w:p>
    <w:p w14:paraId="17DB557C" w14:textId="2E214071" w:rsidR="00D01550" w:rsidRPr="0030693E" w:rsidRDefault="008B711E" w:rsidP="0030693E">
      <w:pPr>
        <w:spacing w:line="240" w:lineRule="auto"/>
        <w:ind w:firstLine="90"/>
        <w:rPr>
          <w:rFonts w:ascii="Arial" w:hAnsi="Arial" w:cs="Arial"/>
          <w:sz w:val="24"/>
          <w:szCs w:val="24"/>
          <w:u w:val="single"/>
        </w:rPr>
      </w:pPr>
      <w:r w:rsidRPr="0030693E">
        <w:rPr>
          <w:rFonts w:ascii="Arial" w:hAnsi="Arial" w:cs="Arial"/>
          <w:sz w:val="24"/>
          <w:szCs w:val="24"/>
          <w:u w:val="single"/>
        </w:rPr>
        <w:lastRenderedPageBreak/>
        <w:t xml:space="preserve">Illustration </w:t>
      </w:r>
      <w:r w:rsidR="0030693E">
        <w:rPr>
          <w:rFonts w:ascii="Arial" w:hAnsi="Arial" w:cs="Arial"/>
          <w:sz w:val="24"/>
          <w:szCs w:val="24"/>
          <w:u w:val="single"/>
        </w:rPr>
        <w:t>No. 3</w:t>
      </w:r>
    </w:p>
    <w:p w14:paraId="7D3A8DD0" w14:textId="77777777" w:rsidR="00C910D5" w:rsidRDefault="0030748B" w:rsidP="00C910D5">
      <w:pPr>
        <w:spacing w:line="240" w:lineRule="auto"/>
        <w:ind w:left="-900"/>
        <w:jc w:val="center"/>
        <w:rPr>
          <w:rFonts w:ascii="Arial" w:hAnsi="Arial" w:cs="Arial"/>
          <w:sz w:val="24"/>
          <w:szCs w:val="24"/>
        </w:rPr>
      </w:pPr>
      <w:r w:rsidRPr="0030693E">
        <w:rPr>
          <w:rFonts w:ascii="Arial" w:hAnsi="Arial" w:cs="Arial"/>
          <w:noProof/>
        </w:rPr>
        <w:drawing>
          <wp:inline distT="0" distB="0" distL="0" distR="0" wp14:anchorId="0C3DB77F" wp14:editId="289D5A19">
            <wp:extent cx="5257800" cy="3227832"/>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3227832"/>
                    </a:xfrm>
                    <a:prstGeom prst="rect">
                      <a:avLst/>
                    </a:prstGeom>
                  </pic:spPr>
                </pic:pic>
              </a:graphicData>
            </a:graphic>
          </wp:inline>
        </w:drawing>
      </w:r>
    </w:p>
    <w:p w14:paraId="3A8E4800" w14:textId="77777777" w:rsidR="00C910D5" w:rsidRDefault="00DC27C5" w:rsidP="00C910D5">
      <w:pPr>
        <w:spacing w:line="240" w:lineRule="auto"/>
        <w:rPr>
          <w:rFonts w:ascii="Arial" w:hAnsi="Arial" w:cs="Arial"/>
          <w:sz w:val="24"/>
          <w:szCs w:val="24"/>
        </w:rPr>
      </w:pPr>
      <w:r w:rsidRPr="0030693E">
        <w:rPr>
          <w:rFonts w:ascii="Arial" w:hAnsi="Arial" w:cs="Arial"/>
          <w:sz w:val="24"/>
          <w:szCs w:val="24"/>
        </w:rPr>
        <w:t xml:space="preserve">Illustration </w:t>
      </w:r>
      <w:r w:rsidRPr="00C910D5">
        <w:rPr>
          <w:rFonts w:ascii="Arial" w:hAnsi="Arial" w:cs="Arial"/>
          <w:sz w:val="24"/>
          <w:szCs w:val="24"/>
        </w:rPr>
        <w:t xml:space="preserve">No. </w:t>
      </w:r>
      <w:r w:rsidR="003337CD" w:rsidRPr="00914DF7">
        <w:rPr>
          <w:rFonts w:ascii="Arial" w:hAnsi="Arial" w:cs="Arial"/>
          <w:sz w:val="24"/>
          <w:szCs w:val="24"/>
        </w:rPr>
        <w:t>4</w:t>
      </w:r>
      <w:r w:rsidRPr="00914DF7">
        <w:rPr>
          <w:rFonts w:ascii="Arial" w:hAnsi="Arial" w:cs="Arial"/>
          <w:sz w:val="24"/>
          <w:szCs w:val="24"/>
        </w:rPr>
        <w:t xml:space="preserve"> </w:t>
      </w:r>
      <w:r w:rsidRPr="00C910D5">
        <w:rPr>
          <w:rFonts w:ascii="Arial" w:hAnsi="Arial" w:cs="Arial"/>
          <w:sz w:val="24"/>
          <w:szCs w:val="24"/>
        </w:rPr>
        <w:t>below shows</w:t>
      </w:r>
      <w:r w:rsidRPr="0030693E">
        <w:rPr>
          <w:rFonts w:ascii="Arial" w:hAnsi="Arial" w:cs="Arial"/>
          <w:sz w:val="24"/>
          <w:szCs w:val="24"/>
        </w:rPr>
        <w:t xml:space="preserve"> the target delivery periods included in the Plan.</w:t>
      </w:r>
    </w:p>
    <w:p w14:paraId="09698019" w14:textId="5F4E10E9" w:rsidR="00D01550" w:rsidRPr="00C910D5" w:rsidRDefault="00CC35FF" w:rsidP="00C910D5">
      <w:pPr>
        <w:spacing w:line="240" w:lineRule="auto"/>
        <w:rPr>
          <w:rFonts w:ascii="Arial" w:hAnsi="Arial" w:cs="Arial"/>
          <w:b/>
          <w:sz w:val="24"/>
          <w:szCs w:val="24"/>
          <w:u w:val="single"/>
        </w:rPr>
      </w:pPr>
      <w:r w:rsidRPr="00C910D5">
        <w:rPr>
          <w:rFonts w:ascii="Arial" w:hAnsi="Arial" w:cs="Arial"/>
          <w:sz w:val="24"/>
          <w:szCs w:val="24"/>
          <w:u w:val="single"/>
        </w:rPr>
        <w:t xml:space="preserve">Illustration No. </w:t>
      </w:r>
      <w:r w:rsidR="003337CD" w:rsidRPr="00914DF7">
        <w:rPr>
          <w:rFonts w:ascii="Arial" w:hAnsi="Arial" w:cs="Arial"/>
          <w:sz w:val="24"/>
          <w:szCs w:val="24"/>
          <w:u w:val="single"/>
        </w:rPr>
        <w:t>4</w:t>
      </w:r>
      <w:r w:rsidRPr="00914DF7">
        <w:rPr>
          <w:rFonts w:ascii="Arial" w:hAnsi="Arial" w:cs="Arial"/>
          <w:sz w:val="24"/>
          <w:szCs w:val="24"/>
          <w:u w:val="single"/>
        </w:rPr>
        <w:t xml:space="preserve"> </w:t>
      </w:r>
    </w:p>
    <w:p w14:paraId="2F63E226" w14:textId="1E509FA8" w:rsidR="00D01550" w:rsidRDefault="006162B4" w:rsidP="0030693E">
      <w:pPr>
        <w:spacing w:line="240" w:lineRule="auto"/>
        <w:rPr>
          <w:rFonts w:ascii="Arial" w:hAnsi="Arial" w:cs="Arial"/>
          <w:b/>
          <w:i/>
          <w:noProof/>
          <w:sz w:val="24"/>
          <w:szCs w:val="24"/>
        </w:rPr>
      </w:pPr>
      <w:r>
        <w:rPr>
          <w:rFonts w:ascii="Arial" w:hAnsi="Arial" w:cs="Arial"/>
          <w:b/>
          <w:i/>
          <w:noProof/>
          <w:sz w:val="24"/>
          <w:szCs w:val="24"/>
        </w:rPr>
        <w:drawing>
          <wp:inline distT="0" distB="0" distL="0" distR="0" wp14:anchorId="45074DCA" wp14:editId="31F4FB12">
            <wp:extent cx="5684520" cy="371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520" cy="3718560"/>
                    </a:xfrm>
                    <a:prstGeom prst="rect">
                      <a:avLst/>
                    </a:prstGeom>
                    <a:noFill/>
                  </pic:spPr>
                </pic:pic>
              </a:graphicData>
            </a:graphic>
          </wp:inline>
        </w:drawing>
      </w:r>
    </w:p>
    <w:p w14:paraId="25E7A5F2" w14:textId="77777777" w:rsidR="00ED599F" w:rsidRPr="0030693E" w:rsidRDefault="00ED599F" w:rsidP="0030693E">
      <w:pPr>
        <w:pStyle w:val="Heading2"/>
        <w:spacing w:line="240" w:lineRule="auto"/>
        <w:rPr>
          <w:rFonts w:ascii="Arial" w:hAnsi="Arial" w:cs="Arial"/>
          <w:i w:val="0"/>
          <w:sz w:val="24"/>
          <w:szCs w:val="24"/>
        </w:rPr>
      </w:pPr>
      <w:r w:rsidRPr="0030693E">
        <w:rPr>
          <w:rFonts w:ascii="Arial" w:hAnsi="Arial" w:cs="Arial"/>
          <w:i w:val="0"/>
          <w:sz w:val="24"/>
          <w:szCs w:val="24"/>
        </w:rPr>
        <w:lastRenderedPageBreak/>
        <w:t xml:space="preserve">Execution </w:t>
      </w:r>
    </w:p>
    <w:p w14:paraId="2F348663" w14:textId="20ED8859" w:rsidR="00ED599F" w:rsidRPr="0030693E" w:rsidRDefault="00141989" w:rsidP="0030693E">
      <w:pPr>
        <w:pStyle w:val="Heading2"/>
        <w:spacing w:line="240" w:lineRule="auto"/>
        <w:jc w:val="both"/>
        <w:rPr>
          <w:rFonts w:ascii="Arial" w:hAnsi="Arial" w:cs="Arial"/>
          <w:b w:val="0"/>
          <w:i w:val="0"/>
          <w:sz w:val="24"/>
          <w:szCs w:val="24"/>
        </w:rPr>
      </w:pPr>
      <w:r w:rsidRPr="0030693E">
        <w:rPr>
          <w:rFonts w:ascii="Arial" w:hAnsi="Arial" w:cs="Arial"/>
          <w:b w:val="0"/>
          <w:i w:val="0"/>
          <w:sz w:val="24"/>
          <w:szCs w:val="24"/>
        </w:rPr>
        <w:t>A</w:t>
      </w:r>
      <w:r w:rsidR="00ED599F" w:rsidRPr="0030693E">
        <w:rPr>
          <w:rFonts w:ascii="Arial" w:hAnsi="Arial" w:cs="Arial"/>
          <w:b w:val="0"/>
          <w:i w:val="0"/>
          <w:sz w:val="24"/>
          <w:szCs w:val="24"/>
        </w:rPr>
        <w:t xml:space="preserve"> hedge transaction window may be executed upon time expiration or reaching UCL/LCL limits.  The </w:t>
      </w:r>
      <w:r w:rsidRPr="0030693E">
        <w:rPr>
          <w:rFonts w:ascii="Arial" w:hAnsi="Arial" w:cs="Arial"/>
          <w:b w:val="0"/>
          <w:i w:val="0"/>
          <w:sz w:val="24"/>
          <w:szCs w:val="24"/>
        </w:rPr>
        <w:t xml:space="preserve">transaction </w:t>
      </w:r>
      <w:r w:rsidR="00ED599F" w:rsidRPr="0030693E">
        <w:rPr>
          <w:rFonts w:ascii="Arial" w:hAnsi="Arial" w:cs="Arial"/>
          <w:b w:val="0"/>
          <w:i w:val="0"/>
          <w:sz w:val="24"/>
          <w:szCs w:val="24"/>
        </w:rPr>
        <w:t xml:space="preserve">price for the hedge is based on market quotes or ICE bid/offers either on the day following the control limit </w:t>
      </w:r>
      <w:r w:rsidR="004E2F6B" w:rsidRPr="0030693E">
        <w:rPr>
          <w:rFonts w:ascii="Arial" w:hAnsi="Arial" w:cs="Arial"/>
          <w:b w:val="0"/>
          <w:i w:val="0"/>
          <w:sz w:val="24"/>
          <w:szCs w:val="24"/>
        </w:rPr>
        <w:t>trigger</w:t>
      </w:r>
      <w:r w:rsidR="00ED599F" w:rsidRPr="0030693E">
        <w:rPr>
          <w:rFonts w:ascii="Arial" w:hAnsi="Arial" w:cs="Arial"/>
          <w:b w:val="0"/>
          <w:i w:val="0"/>
          <w:sz w:val="24"/>
          <w:szCs w:val="24"/>
        </w:rPr>
        <w:t xml:space="preserve"> or the day of expiration.</w:t>
      </w:r>
      <w:r w:rsidR="005F6EC0" w:rsidRPr="0030693E">
        <w:rPr>
          <w:rStyle w:val="FootnoteReference"/>
          <w:rFonts w:ascii="Arial" w:hAnsi="Arial" w:cs="Arial"/>
          <w:b w:val="0"/>
          <w:i w:val="0"/>
          <w:sz w:val="24"/>
          <w:szCs w:val="24"/>
        </w:rPr>
        <w:footnoteReference w:id="2"/>
      </w:r>
      <w:r w:rsidR="00ED599F" w:rsidRPr="0030693E">
        <w:rPr>
          <w:rFonts w:ascii="Arial" w:hAnsi="Arial" w:cs="Arial"/>
          <w:b w:val="0"/>
          <w:i w:val="0"/>
          <w:sz w:val="24"/>
          <w:szCs w:val="24"/>
        </w:rPr>
        <w:t xml:space="preserve">  </w:t>
      </w:r>
      <w:r w:rsidR="005F6EC0" w:rsidRPr="0030693E">
        <w:rPr>
          <w:rFonts w:ascii="Arial" w:hAnsi="Arial" w:cs="Arial"/>
          <w:b w:val="0"/>
          <w:i w:val="0"/>
          <w:sz w:val="24"/>
          <w:szCs w:val="24"/>
        </w:rPr>
        <w:t xml:space="preserve">Due to </w:t>
      </w:r>
      <w:r w:rsidR="008C60E9" w:rsidRPr="0030693E">
        <w:rPr>
          <w:rFonts w:ascii="Arial" w:hAnsi="Arial" w:cs="Arial"/>
          <w:b w:val="0"/>
          <w:i w:val="0"/>
          <w:sz w:val="24"/>
          <w:szCs w:val="24"/>
        </w:rPr>
        <w:t>t</w:t>
      </w:r>
      <w:r w:rsidR="005F6EC0" w:rsidRPr="0030693E">
        <w:rPr>
          <w:rFonts w:ascii="Arial" w:hAnsi="Arial" w:cs="Arial"/>
          <w:b w:val="0"/>
          <w:i w:val="0"/>
          <w:sz w:val="24"/>
          <w:szCs w:val="24"/>
        </w:rPr>
        <w:t xml:space="preserve">he flexibility inherent within the Plan, </w:t>
      </w:r>
      <w:r w:rsidRPr="0030693E">
        <w:rPr>
          <w:rFonts w:ascii="Arial" w:hAnsi="Arial" w:cs="Arial"/>
          <w:b w:val="0"/>
          <w:i w:val="0"/>
          <w:sz w:val="24"/>
          <w:szCs w:val="24"/>
        </w:rPr>
        <w:t xml:space="preserve">however, management may elect </w:t>
      </w:r>
      <w:r w:rsidR="00ED599F" w:rsidRPr="0030693E">
        <w:rPr>
          <w:rFonts w:ascii="Arial" w:hAnsi="Arial" w:cs="Arial"/>
          <w:b w:val="0"/>
          <w:i w:val="0"/>
          <w:sz w:val="24"/>
          <w:szCs w:val="24"/>
        </w:rPr>
        <w:t xml:space="preserve">to take other action, partial action, or no action, </w:t>
      </w:r>
      <w:r w:rsidRPr="0030693E">
        <w:rPr>
          <w:rFonts w:ascii="Arial" w:hAnsi="Arial" w:cs="Arial"/>
          <w:b w:val="0"/>
          <w:i w:val="0"/>
          <w:sz w:val="24"/>
          <w:szCs w:val="24"/>
        </w:rPr>
        <w:t>based on market indicators, changes in resource or demand, etc</w:t>
      </w:r>
      <w:r w:rsidR="005F6EC0" w:rsidRPr="0030693E">
        <w:rPr>
          <w:rFonts w:ascii="Arial" w:hAnsi="Arial" w:cs="Arial"/>
          <w:b w:val="0"/>
          <w:i w:val="0"/>
          <w:sz w:val="24"/>
          <w:szCs w:val="24"/>
        </w:rPr>
        <w:t xml:space="preserve">.  </w:t>
      </w:r>
      <w:r w:rsidRPr="0030693E">
        <w:rPr>
          <w:rFonts w:ascii="Arial" w:hAnsi="Arial" w:cs="Arial"/>
          <w:b w:val="0"/>
          <w:i w:val="0"/>
          <w:sz w:val="24"/>
          <w:szCs w:val="24"/>
        </w:rPr>
        <w:t>D</w:t>
      </w:r>
      <w:r w:rsidR="005F6EC0" w:rsidRPr="0030693E">
        <w:rPr>
          <w:rFonts w:ascii="Arial" w:hAnsi="Arial" w:cs="Arial"/>
          <w:b w:val="0"/>
          <w:i w:val="0"/>
          <w:sz w:val="24"/>
          <w:szCs w:val="24"/>
        </w:rPr>
        <w:t xml:space="preserve">eviations from plan trigger guidance will be </w:t>
      </w:r>
      <w:r w:rsidR="00ED599F" w:rsidRPr="0030693E">
        <w:rPr>
          <w:rFonts w:ascii="Arial" w:hAnsi="Arial" w:cs="Arial"/>
          <w:b w:val="0"/>
          <w:i w:val="0"/>
          <w:sz w:val="24"/>
          <w:szCs w:val="24"/>
        </w:rPr>
        <w:t>document</w:t>
      </w:r>
      <w:r w:rsidR="005F6EC0" w:rsidRPr="0030693E">
        <w:rPr>
          <w:rFonts w:ascii="Arial" w:hAnsi="Arial" w:cs="Arial"/>
          <w:b w:val="0"/>
          <w:i w:val="0"/>
          <w:sz w:val="24"/>
          <w:szCs w:val="24"/>
        </w:rPr>
        <w:t>ed in the daily natural gas position report</w:t>
      </w:r>
      <w:r w:rsidR="00ED599F" w:rsidRPr="0030693E">
        <w:rPr>
          <w:rFonts w:ascii="Arial" w:hAnsi="Arial" w:cs="Arial"/>
          <w:b w:val="0"/>
          <w:i w:val="0"/>
          <w:sz w:val="24"/>
          <w:szCs w:val="24"/>
        </w:rPr>
        <w:t xml:space="preserve"> </w:t>
      </w:r>
      <w:r w:rsidR="005F6EC0" w:rsidRPr="0030693E">
        <w:rPr>
          <w:rFonts w:ascii="Arial" w:hAnsi="Arial" w:cs="Arial"/>
          <w:b w:val="0"/>
          <w:i w:val="0"/>
          <w:sz w:val="24"/>
          <w:szCs w:val="24"/>
        </w:rPr>
        <w:t>and communicated to senior management and Staff as necessary.</w:t>
      </w:r>
      <w:r w:rsidR="00ED599F" w:rsidRPr="0030693E">
        <w:rPr>
          <w:rFonts w:ascii="Arial" w:hAnsi="Arial" w:cs="Arial"/>
          <w:b w:val="0"/>
          <w:i w:val="0"/>
          <w:sz w:val="24"/>
          <w:szCs w:val="24"/>
        </w:rPr>
        <w:t xml:space="preserve"> </w:t>
      </w:r>
    </w:p>
    <w:p w14:paraId="0D1445FB" w14:textId="77777777" w:rsidR="002A6A83" w:rsidRPr="0030693E" w:rsidRDefault="002A6A83" w:rsidP="0030693E">
      <w:pPr>
        <w:spacing w:line="240" w:lineRule="auto"/>
        <w:jc w:val="both"/>
        <w:rPr>
          <w:rFonts w:ascii="Arial" w:hAnsi="Arial" w:cs="Arial"/>
          <w:sz w:val="24"/>
          <w:szCs w:val="24"/>
        </w:rPr>
      </w:pPr>
    </w:p>
    <w:p w14:paraId="25822AD2" w14:textId="584A2FF5" w:rsidR="00C910D5" w:rsidRPr="00C910D5" w:rsidRDefault="00C910D5" w:rsidP="00C910D5">
      <w:pPr>
        <w:pStyle w:val="ListParagraph"/>
        <w:numPr>
          <w:ilvl w:val="0"/>
          <w:numId w:val="24"/>
        </w:numPr>
        <w:spacing w:line="240" w:lineRule="auto"/>
        <w:jc w:val="center"/>
        <w:rPr>
          <w:rFonts w:ascii="Arial" w:hAnsi="Arial" w:cs="Arial"/>
          <w:b/>
          <w:sz w:val="32"/>
          <w:u w:val="single"/>
        </w:rPr>
      </w:pPr>
      <w:r w:rsidRPr="00C910D5">
        <w:rPr>
          <w:rFonts w:ascii="Arial" w:hAnsi="Arial" w:cs="Arial"/>
          <w:b/>
          <w:sz w:val="32"/>
          <w:u w:val="single"/>
        </w:rPr>
        <w:t>Risk Responsive Hedging Tool</w:t>
      </w:r>
    </w:p>
    <w:p w14:paraId="0B3FEBD5" w14:textId="0D756090" w:rsidR="006379EC" w:rsidRPr="0030693E" w:rsidRDefault="006379EC" w:rsidP="0030693E">
      <w:pPr>
        <w:spacing w:line="240" w:lineRule="auto"/>
        <w:jc w:val="both"/>
        <w:rPr>
          <w:rFonts w:ascii="Arial" w:hAnsi="Arial" w:cs="Arial"/>
          <w:sz w:val="24"/>
          <w:szCs w:val="24"/>
        </w:rPr>
      </w:pPr>
      <w:r w:rsidRPr="0030693E">
        <w:rPr>
          <w:rFonts w:ascii="Arial" w:hAnsi="Arial" w:cs="Arial"/>
          <w:sz w:val="24"/>
          <w:szCs w:val="24"/>
        </w:rPr>
        <w:t>As previously noted, the Company</w:t>
      </w:r>
      <w:r w:rsidR="004C5F86" w:rsidRPr="0030693E">
        <w:rPr>
          <w:rFonts w:ascii="Arial" w:hAnsi="Arial" w:cs="Arial"/>
          <w:sz w:val="24"/>
          <w:szCs w:val="24"/>
        </w:rPr>
        <w:t xml:space="preserve"> is continuously reviewing the P</w:t>
      </w:r>
      <w:r w:rsidRPr="0030693E">
        <w:rPr>
          <w:rFonts w:ascii="Arial" w:hAnsi="Arial" w:cs="Arial"/>
          <w:sz w:val="24"/>
          <w:szCs w:val="24"/>
        </w:rPr>
        <w:t xml:space="preserve">lan to ensure we are </w:t>
      </w:r>
      <w:r w:rsidR="001A2CA5" w:rsidRPr="0030693E">
        <w:rPr>
          <w:rFonts w:ascii="Arial" w:hAnsi="Arial" w:cs="Arial"/>
          <w:sz w:val="24"/>
          <w:szCs w:val="24"/>
        </w:rPr>
        <w:t>incorporating</w:t>
      </w:r>
      <w:r w:rsidRPr="0030693E">
        <w:rPr>
          <w:rFonts w:ascii="Arial" w:hAnsi="Arial" w:cs="Arial"/>
          <w:sz w:val="24"/>
          <w:szCs w:val="24"/>
        </w:rPr>
        <w:t xml:space="preserve"> the best methods possible within our Plan.   The existing methods described above, are primarily programmatic with</w:t>
      </w:r>
      <w:r w:rsidR="001A2CA5" w:rsidRPr="0030693E">
        <w:rPr>
          <w:rFonts w:ascii="Arial" w:hAnsi="Arial" w:cs="Arial"/>
          <w:sz w:val="24"/>
          <w:szCs w:val="24"/>
        </w:rPr>
        <w:t xml:space="preserve"> </w:t>
      </w:r>
      <w:r w:rsidR="008C6A46" w:rsidRPr="0030693E">
        <w:rPr>
          <w:rFonts w:ascii="Arial" w:hAnsi="Arial" w:cs="Arial"/>
          <w:sz w:val="24"/>
          <w:szCs w:val="24"/>
        </w:rPr>
        <w:t xml:space="preserve">a </w:t>
      </w:r>
      <w:r w:rsidR="001A2CA5" w:rsidRPr="0030693E">
        <w:rPr>
          <w:rFonts w:ascii="Arial" w:hAnsi="Arial" w:cs="Arial"/>
          <w:sz w:val="24"/>
          <w:szCs w:val="24"/>
        </w:rPr>
        <w:t>built-in</w:t>
      </w:r>
      <w:r w:rsidRPr="0030693E">
        <w:rPr>
          <w:rFonts w:ascii="Arial" w:hAnsi="Arial" w:cs="Arial"/>
          <w:sz w:val="24"/>
          <w:szCs w:val="24"/>
        </w:rPr>
        <w:t xml:space="preserve"> risk responsive </w:t>
      </w:r>
      <w:r w:rsidR="005910D5" w:rsidRPr="0030693E">
        <w:rPr>
          <w:rFonts w:ascii="Arial" w:hAnsi="Arial" w:cs="Arial"/>
          <w:sz w:val="24"/>
          <w:szCs w:val="24"/>
        </w:rPr>
        <w:t>mechanism</w:t>
      </w:r>
      <w:r w:rsidR="003A3BFC" w:rsidRPr="0030693E">
        <w:rPr>
          <w:rFonts w:ascii="Arial" w:hAnsi="Arial" w:cs="Arial"/>
          <w:sz w:val="24"/>
          <w:szCs w:val="24"/>
        </w:rPr>
        <w:t xml:space="preserve"> for</w:t>
      </w:r>
      <w:r w:rsidRPr="0030693E">
        <w:rPr>
          <w:rFonts w:ascii="Arial" w:hAnsi="Arial" w:cs="Arial"/>
          <w:sz w:val="24"/>
          <w:szCs w:val="24"/>
        </w:rPr>
        <w:t xml:space="preserve"> determin</w:t>
      </w:r>
      <w:r w:rsidR="002D1872" w:rsidRPr="0030693E">
        <w:rPr>
          <w:rFonts w:ascii="Arial" w:hAnsi="Arial" w:cs="Arial"/>
          <w:sz w:val="24"/>
          <w:szCs w:val="24"/>
        </w:rPr>
        <w:t xml:space="preserve">ing a </w:t>
      </w:r>
      <w:r w:rsidRPr="0030693E">
        <w:rPr>
          <w:rFonts w:ascii="Arial" w:hAnsi="Arial" w:cs="Arial"/>
          <w:sz w:val="24"/>
          <w:szCs w:val="24"/>
        </w:rPr>
        <w:t xml:space="preserve">hedge basin.  Programmatic hedging is necessary to protect customers against potential dramatic market swings associated with the day-ahead natural gas market </w:t>
      </w:r>
      <w:r w:rsidR="008C6A46" w:rsidRPr="0030693E">
        <w:rPr>
          <w:rFonts w:ascii="Arial" w:hAnsi="Arial" w:cs="Arial"/>
          <w:sz w:val="24"/>
          <w:szCs w:val="24"/>
        </w:rPr>
        <w:t>which</w:t>
      </w:r>
      <w:r w:rsidRPr="0030693E">
        <w:rPr>
          <w:rFonts w:ascii="Arial" w:hAnsi="Arial" w:cs="Arial"/>
          <w:sz w:val="24"/>
          <w:szCs w:val="24"/>
        </w:rPr>
        <w:t xml:space="preserve"> can exhibit some of the highest volatilities in the overall commodity market.  Further, hedging</w:t>
      </w:r>
      <w:r w:rsidR="003A3BFC" w:rsidRPr="0030693E">
        <w:rPr>
          <w:rFonts w:ascii="Arial" w:hAnsi="Arial" w:cs="Arial"/>
          <w:sz w:val="24"/>
          <w:szCs w:val="24"/>
        </w:rPr>
        <w:t xml:space="preserve"> into future months and years</w:t>
      </w:r>
      <w:r w:rsidRPr="0030693E">
        <w:rPr>
          <w:rFonts w:ascii="Arial" w:hAnsi="Arial" w:cs="Arial"/>
          <w:sz w:val="24"/>
          <w:szCs w:val="24"/>
        </w:rPr>
        <w:t xml:space="preserve"> protects customers against forward market volatility.   </w:t>
      </w:r>
      <w:r w:rsidR="00931D6F" w:rsidRPr="0030693E">
        <w:rPr>
          <w:rFonts w:ascii="Arial" w:hAnsi="Arial" w:cs="Arial"/>
          <w:sz w:val="24"/>
          <w:szCs w:val="24"/>
        </w:rPr>
        <w:t xml:space="preserve">Programmatic Hedging reduces the </w:t>
      </w:r>
      <w:r w:rsidR="00931D6F" w:rsidRPr="0030693E">
        <w:rPr>
          <w:rFonts w:ascii="Arial" w:hAnsi="Arial" w:cs="Arial"/>
          <w:sz w:val="24"/>
          <w:szCs w:val="24"/>
          <w:u w:val="single"/>
        </w:rPr>
        <w:t>cost risk</w:t>
      </w:r>
      <w:r w:rsidR="00931D6F" w:rsidRPr="0030693E">
        <w:rPr>
          <w:rFonts w:ascii="Arial" w:hAnsi="Arial" w:cs="Arial"/>
          <w:sz w:val="24"/>
          <w:szCs w:val="24"/>
        </w:rPr>
        <w:t xml:space="preserve"> and increases the </w:t>
      </w:r>
      <w:r w:rsidR="00931D6F" w:rsidRPr="0030693E">
        <w:rPr>
          <w:rFonts w:ascii="Arial" w:hAnsi="Arial" w:cs="Arial"/>
          <w:sz w:val="24"/>
          <w:szCs w:val="24"/>
          <w:u w:val="single"/>
        </w:rPr>
        <w:t>loss risk</w:t>
      </w:r>
      <w:r w:rsidR="00931D6F" w:rsidRPr="0030693E">
        <w:rPr>
          <w:rFonts w:ascii="Arial" w:hAnsi="Arial" w:cs="Arial"/>
          <w:sz w:val="24"/>
          <w:szCs w:val="24"/>
        </w:rPr>
        <w:t>.</w:t>
      </w:r>
      <w:r w:rsidR="00931D6F" w:rsidRPr="0030693E">
        <w:rPr>
          <w:rStyle w:val="FootnoteReference"/>
          <w:rFonts w:ascii="Arial" w:hAnsi="Arial" w:cs="Arial"/>
          <w:sz w:val="24"/>
          <w:szCs w:val="24"/>
        </w:rPr>
        <w:footnoteReference w:id="3"/>
      </w:r>
    </w:p>
    <w:p w14:paraId="2E46FB02" w14:textId="6B061B0C" w:rsidR="00931D6F" w:rsidRPr="0030693E" w:rsidRDefault="006379EC" w:rsidP="0030693E">
      <w:pPr>
        <w:spacing w:line="240" w:lineRule="auto"/>
        <w:jc w:val="both"/>
        <w:rPr>
          <w:rFonts w:ascii="Arial" w:hAnsi="Arial" w:cs="Arial"/>
          <w:sz w:val="24"/>
          <w:szCs w:val="24"/>
        </w:rPr>
      </w:pPr>
      <w:r w:rsidRPr="0030693E">
        <w:rPr>
          <w:rFonts w:ascii="Arial" w:hAnsi="Arial" w:cs="Arial"/>
          <w:sz w:val="24"/>
          <w:szCs w:val="24"/>
        </w:rPr>
        <w:t xml:space="preserve">While we continue to believe </w:t>
      </w:r>
      <w:r w:rsidR="002D1872" w:rsidRPr="0030693E">
        <w:rPr>
          <w:rFonts w:ascii="Arial" w:hAnsi="Arial" w:cs="Arial"/>
          <w:sz w:val="24"/>
          <w:szCs w:val="24"/>
        </w:rPr>
        <w:t>in</w:t>
      </w:r>
      <w:r w:rsidRPr="0030693E">
        <w:rPr>
          <w:rFonts w:ascii="Arial" w:hAnsi="Arial" w:cs="Arial"/>
          <w:sz w:val="24"/>
          <w:szCs w:val="24"/>
        </w:rPr>
        <w:t xml:space="preserve"> </w:t>
      </w:r>
      <w:r w:rsidR="002517B7" w:rsidRPr="0030693E">
        <w:rPr>
          <w:rFonts w:ascii="Arial" w:hAnsi="Arial" w:cs="Arial"/>
          <w:sz w:val="24"/>
          <w:szCs w:val="24"/>
        </w:rPr>
        <w:t>P</w:t>
      </w:r>
      <w:r w:rsidRPr="0030693E">
        <w:rPr>
          <w:rFonts w:ascii="Arial" w:hAnsi="Arial" w:cs="Arial"/>
          <w:sz w:val="24"/>
          <w:szCs w:val="24"/>
        </w:rPr>
        <w:t xml:space="preserve">rogrammatic </w:t>
      </w:r>
      <w:r w:rsidR="002517B7" w:rsidRPr="0030693E">
        <w:rPr>
          <w:rFonts w:ascii="Arial" w:hAnsi="Arial" w:cs="Arial"/>
          <w:sz w:val="24"/>
          <w:szCs w:val="24"/>
        </w:rPr>
        <w:t>H</w:t>
      </w:r>
      <w:r w:rsidRPr="0030693E">
        <w:rPr>
          <w:rFonts w:ascii="Arial" w:hAnsi="Arial" w:cs="Arial"/>
          <w:sz w:val="24"/>
          <w:szCs w:val="24"/>
        </w:rPr>
        <w:t xml:space="preserve">edging </w:t>
      </w:r>
      <w:r w:rsidR="002D1872" w:rsidRPr="0030693E">
        <w:rPr>
          <w:rFonts w:ascii="Arial" w:hAnsi="Arial" w:cs="Arial"/>
          <w:sz w:val="24"/>
          <w:szCs w:val="24"/>
        </w:rPr>
        <w:t xml:space="preserve">as </w:t>
      </w:r>
      <w:r w:rsidR="003A3BFC" w:rsidRPr="0030693E">
        <w:rPr>
          <w:rFonts w:ascii="Arial" w:hAnsi="Arial" w:cs="Arial"/>
          <w:sz w:val="24"/>
          <w:szCs w:val="24"/>
        </w:rPr>
        <w:t xml:space="preserve">a </w:t>
      </w:r>
      <w:r w:rsidR="002D1872" w:rsidRPr="0030693E">
        <w:rPr>
          <w:rFonts w:ascii="Arial" w:hAnsi="Arial" w:cs="Arial"/>
          <w:sz w:val="24"/>
          <w:szCs w:val="24"/>
        </w:rPr>
        <w:t xml:space="preserve">fundamental </w:t>
      </w:r>
      <w:r w:rsidR="003A3BFC" w:rsidRPr="0030693E">
        <w:rPr>
          <w:rFonts w:ascii="Arial" w:hAnsi="Arial" w:cs="Arial"/>
          <w:sz w:val="24"/>
          <w:szCs w:val="24"/>
        </w:rPr>
        <w:t xml:space="preserve">component </w:t>
      </w:r>
      <w:r w:rsidR="002517B7" w:rsidRPr="0030693E">
        <w:rPr>
          <w:rFonts w:ascii="Arial" w:hAnsi="Arial" w:cs="Arial"/>
          <w:sz w:val="24"/>
          <w:szCs w:val="24"/>
        </w:rPr>
        <w:t>of</w:t>
      </w:r>
      <w:r w:rsidR="002D1872" w:rsidRPr="0030693E">
        <w:rPr>
          <w:rFonts w:ascii="Arial" w:hAnsi="Arial" w:cs="Arial"/>
          <w:sz w:val="24"/>
          <w:szCs w:val="24"/>
        </w:rPr>
        <w:t xml:space="preserve"> </w:t>
      </w:r>
      <w:r w:rsidRPr="0030693E">
        <w:rPr>
          <w:rFonts w:ascii="Arial" w:hAnsi="Arial" w:cs="Arial"/>
          <w:sz w:val="24"/>
          <w:szCs w:val="24"/>
        </w:rPr>
        <w:t xml:space="preserve">our </w:t>
      </w:r>
      <w:r w:rsidR="002517B7" w:rsidRPr="0030693E">
        <w:rPr>
          <w:rFonts w:ascii="Arial" w:hAnsi="Arial" w:cs="Arial"/>
          <w:sz w:val="24"/>
          <w:szCs w:val="24"/>
        </w:rPr>
        <w:t>Plan</w:t>
      </w:r>
      <w:r w:rsidRPr="0030693E">
        <w:rPr>
          <w:rFonts w:ascii="Arial" w:hAnsi="Arial" w:cs="Arial"/>
          <w:sz w:val="24"/>
          <w:szCs w:val="24"/>
        </w:rPr>
        <w:t xml:space="preserve">, we </w:t>
      </w:r>
      <w:r w:rsidR="001A2CA5" w:rsidRPr="0030693E">
        <w:rPr>
          <w:rFonts w:ascii="Arial" w:hAnsi="Arial" w:cs="Arial"/>
          <w:sz w:val="24"/>
          <w:szCs w:val="24"/>
        </w:rPr>
        <w:t xml:space="preserve">are </w:t>
      </w:r>
      <w:r w:rsidRPr="0030693E">
        <w:rPr>
          <w:rFonts w:ascii="Arial" w:hAnsi="Arial" w:cs="Arial"/>
          <w:sz w:val="24"/>
          <w:szCs w:val="24"/>
        </w:rPr>
        <w:t>also</w:t>
      </w:r>
      <w:r w:rsidR="002517B7" w:rsidRPr="0030693E">
        <w:rPr>
          <w:rFonts w:ascii="Arial" w:hAnsi="Arial" w:cs="Arial"/>
          <w:sz w:val="24"/>
          <w:szCs w:val="24"/>
        </w:rPr>
        <w:t xml:space="preserve"> moving forward with the modeling</w:t>
      </w:r>
      <w:r w:rsidR="00E13B9E" w:rsidRPr="0030693E">
        <w:rPr>
          <w:rFonts w:ascii="Arial" w:hAnsi="Arial" w:cs="Arial"/>
          <w:sz w:val="24"/>
          <w:szCs w:val="24"/>
        </w:rPr>
        <w:t xml:space="preserve"> and evaluation</w:t>
      </w:r>
      <w:r w:rsidR="002517B7" w:rsidRPr="0030693E">
        <w:rPr>
          <w:rFonts w:ascii="Arial" w:hAnsi="Arial" w:cs="Arial"/>
          <w:sz w:val="24"/>
          <w:szCs w:val="24"/>
        </w:rPr>
        <w:t xml:space="preserve"> of a </w:t>
      </w:r>
      <w:r w:rsidRPr="0030693E">
        <w:rPr>
          <w:rFonts w:ascii="Arial" w:hAnsi="Arial" w:cs="Arial"/>
          <w:sz w:val="24"/>
          <w:szCs w:val="24"/>
        </w:rPr>
        <w:t>risk-responsive</w:t>
      </w:r>
      <w:r w:rsidR="001A2CA5" w:rsidRPr="0030693E">
        <w:rPr>
          <w:rFonts w:ascii="Arial" w:hAnsi="Arial" w:cs="Arial"/>
          <w:sz w:val="24"/>
          <w:szCs w:val="24"/>
        </w:rPr>
        <w:t xml:space="preserve"> defensive</w:t>
      </w:r>
      <w:r w:rsidRPr="0030693E">
        <w:rPr>
          <w:rFonts w:ascii="Arial" w:hAnsi="Arial" w:cs="Arial"/>
          <w:sz w:val="24"/>
          <w:szCs w:val="24"/>
        </w:rPr>
        <w:t xml:space="preserve"> hedging </w:t>
      </w:r>
      <w:r w:rsidR="002517B7" w:rsidRPr="0030693E">
        <w:rPr>
          <w:rFonts w:ascii="Arial" w:hAnsi="Arial" w:cs="Arial"/>
          <w:sz w:val="24"/>
          <w:szCs w:val="24"/>
        </w:rPr>
        <w:t>mechanism.</w:t>
      </w:r>
      <w:r w:rsidR="001A2CA5" w:rsidRPr="0030693E">
        <w:rPr>
          <w:rFonts w:ascii="Arial" w:hAnsi="Arial" w:cs="Arial"/>
          <w:sz w:val="24"/>
          <w:szCs w:val="24"/>
        </w:rPr>
        <w:t xml:space="preserve"> </w:t>
      </w:r>
      <w:r w:rsidRPr="0030693E">
        <w:rPr>
          <w:rFonts w:ascii="Arial" w:hAnsi="Arial" w:cs="Arial"/>
          <w:sz w:val="24"/>
          <w:szCs w:val="24"/>
        </w:rPr>
        <w:t xml:space="preserve">In order to minimize loss risk without jeopardizing cost risk, Avista is considering reducing </w:t>
      </w:r>
      <w:r w:rsidR="00FB7EA3" w:rsidRPr="0030693E">
        <w:rPr>
          <w:rFonts w:ascii="Arial" w:hAnsi="Arial" w:cs="Arial"/>
          <w:sz w:val="24"/>
          <w:szCs w:val="24"/>
        </w:rPr>
        <w:t>programmatic h</w:t>
      </w:r>
      <w:r w:rsidRPr="0030693E">
        <w:rPr>
          <w:rFonts w:ascii="Arial" w:hAnsi="Arial" w:cs="Arial"/>
          <w:sz w:val="24"/>
          <w:szCs w:val="24"/>
        </w:rPr>
        <w:t>edging</w:t>
      </w:r>
      <w:r w:rsidR="001A2CA5" w:rsidRPr="0030693E">
        <w:rPr>
          <w:rFonts w:ascii="Arial" w:hAnsi="Arial" w:cs="Arial"/>
          <w:sz w:val="24"/>
          <w:szCs w:val="24"/>
        </w:rPr>
        <w:t xml:space="preserve"> percentages </w:t>
      </w:r>
      <w:r w:rsidRPr="0030693E">
        <w:rPr>
          <w:rFonts w:ascii="Arial" w:hAnsi="Arial" w:cs="Arial"/>
          <w:sz w:val="24"/>
          <w:szCs w:val="24"/>
        </w:rPr>
        <w:t>and inc</w:t>
      </w:r>
      <w:r w:rsidR="002517B7" w:rsidRPr="0030693E">
        <w:rPr>
          <w:rFonts w:ascii="Arial" w:hAnsi="Arial" w:cs="Arial"/>
          <w:sz w:val="24"/>
          <w:szCs w:val="24"/>
        </w:rPr>
        <w:t>orporating</w:t>
      </w:r>
      <w:r w:rsidRPr="0030693E">
        <w:rPr>
          <w:rFonts w:ascii="Arial" w:hAnsi="Arial" w:cs="Arial"/>
          <w:sz w:val="24"/>
          <w:szCs w:val="24"/>
        </w:rPr>
        <w:t xml:space="preserve"> a new Risk-Responsive Hedging Tool (RRHT)</w:t>
      </w:r>
      <w:r w:rsidR="002517B7" w:rsidRPr="0030693E">
        <w:rPr>
          <w:rFonts w:ascii="Arial" w:hAnsi="Arial" w:cs="Arial"/>
          <w:sz w:val="24"/>
          <w:szCs w:val="24"/>
        </w:rPr>
        <w:t>.</w:t>
      </w:r>
      <w:r w:rsidR="008C6A46" w:rsidRPr="0030693E">
        <w:rPr>
          <w:rFonts w:ascii="Arial" w:hAnsi="Arial" w:cs="Arial"/>
          <w:sz w:val="24"/>
          <w:szCs w:val="24"/>
        </w:rPr>
        <w:t xml:space="preserve">  </w:t>
      </w:r>
      <w:r w:rsidRPr="0030693E">
        <w:rPr>
          <w:rFonts w:ascii="Arial" w:hAnsi="Arial" w:cs="Arial"/>
          <w:sz w:val="24"/>
          <w:szCs w:val="24"/>
        </w:rPr>
        <w:t xml:space="preserve">While Programmatic Hedging would </w:t>
      </w:r>
      <w:r w:rsidR="002517B7" w:rsidRPr="0030693E">
        <w:rPr>
          <w:rFonts w:ascii="Arial" w:hAnsi="Arial" w:cs="Arial"/>
          <w:sz w:val="24"/>
          <w:szCs w:val="24"/>
        </w:rPr>
        <w:t xml:space="preserve">continue to </w:t>
      </w:r>
      <w:r w:rsidRPr="0030693E">
        <w:rPr>
          <w:rFonts w:ascii="Arial" w:hAnsi="Arial" w:cs="Arial"/>
          <w:sz w:val="24"/>
          <w:szCs w:val="24"/>
        </w:rPr>
        <w:t xml:space="preserve">systematically hedge to a certain level </w:t>
      </w:r>
      <w:r w:rsidR="00FB7EA3" w:rsidRPr="0030693E">
        <w:rPr>
          <w:rFonts w:ascii="Arial" w:hAnsi="Arial" w:cs="Arial"/>
          <w:sz w:val="24"/>
          <w:szCs w:val="24"/>
        </w:rPr>
        <w:t>through the use of time limits and UCL/LCL</w:t>
      </w:r>
      <w:r w:rsidR="002517B7" w:rsidRPr="0030693E">
        <w:rPr>
          <w:rFonts w:ascii="Arial" w:hAnsi="Arial" w:cs="Arial"/>
          <w:sz w:val="24"/>
          <w:szCs w:val="24"/>
        </w:rPr>
        <w:t>, RRHT</w:t>
      </w:r>
      <w:r w:rsidRPr="0030693E">
        <w:rPr>
          <w:rFonts w:ascii="Arial" w:hAnsi="Arial" w:cs="Arial"/>
          <w:sz w:val="24"/>
          <w:szCs w:val="24"/>
        </w:rPr>
        <w:t xml:space="preserve"> would monitor the market and call for</w:t>
      </w:r>
      <w:r w:rsidR="003F1F37" w:rsidRPr="0030693E">
        <w:rPr>
          <w:rFonts w:ascii="Arial" w:hAnsi="Arial" w:cs="Arial"/>
          <w:sz w:val="24"/>
          <w:szCs w:val="24"/>
        </w:rPr>
        <w:t xml:space="preserve"> </w:t>
      </w:r>
      <w:r w:rsidRPr="0030693E">
        <w:rPr>
          <w:rFonts w:ascii="Arial" w:hAnsi="Arial" w:cs="Arial"/>
          <w:sz w:val="24"/>
          <w:szCs w:val="24"/>
        </w:rPr>
        <w:t xml:space="preserve">additional hedging if </w:t>
      </w:r>
      <w:r w:rsidR="003F1F37" w:rsidRPr="0030693E">
        <w:rPr>
          <w:rFonts w:ascii="Arial" w:hAnsi="Arial" w:cs="Arial"/>
          <w:sz w:val="24"/>
          <w:szCs w:val="24"/>
        </w:rPr>
        <w:t xml:space="preserve">pre-determined </w:t>
      </w:r>
      <w:r w:rsidRPr="0030693E">
        <w:rPr>
          <w:rFonts w:ascii="Arial" w:hAnsi="Arial" w:cs="Arial"/>
          <w:sz w:val="24"/>
          <w:szCs w:val="24"/>
        </w:rPr>
        <w:t>risk</w:t>
      </w:r>
      <w:r w:rsidR="002517B7" w:rsidRPr="0030693E">
        <w:rPr>
          <w:rFonts w:ascii="Arial" w:hAnsi="Arial" w:cs="Arial"/>
          <w:sz w:val="24"/>
          <w:szCs w:val="24"/>
        </w:rPr>
        <w:t xml:space="preserve"> tolerance limits </w:t>
      </w:r>
      <w:r w:rsidR="003F1F37" w:rsidRPr="0030693E">
        <w:rPr>
          <w:rFonts w:ascii="Arial" w:hAnsi="Arial" w:cs="Arial"/>
          <w:sz w:val="24"/>
          <w:szCs w:val="24"/>
        </w:rPr>
        <w:t>were</w:t>
      </w:r>
      <w:r w:rsidR="002517B7" w:rsidRPr="0030693E">
        <w:rPr>
          <w:rFonts w:ascii="Arial" w:hAnsi="Arial" w:cs="Arial"/>
          <w:sz w:val="24"/>
          <w:szCs w:val="24"/>
        </w:rPr>
        <w:t xml:space="preserve"> triggered. </w:t>
      </w:r>
      <w:r w:rsidRPr="0030693E">
        <w:rPr>
          <w:rFonts w:ascii="Arial" w:hAnsi="Arial" w:cs="Arial"/>
          <w:sz w:val="24"/>
          <w:szCs w:val="24"/>
        </w:rPr>
        <w:t xml:space="preserve"> </w:t>
      </w:r>
    </w:p>
    <w:p w14:paraId="74185124" w14:textId="77777777" w:rsidR="0017258B" w:rsidRPr="0030693E" w:rsidRDefault="00931D6F" w:rsidP="0030693E">
      <w:pPr>
        <w:spacing w:line="240" w:lineRule="auto"/>
        <w:jc w:val="both"/>
        <w:rPr>
          <w:rFonts w:ascii="Arial" w:hAnsi="Arial" w:cs="Arial"/>
          <w:sz w:val="24"/>
          <w:szCs w:val="24"/>
        </w:rPr>
      </w:pPr>
      <w:r w:rsidRPr="0030693E">
        <w:rPr>
          <w:rFonts w:ascii="Arial" w:hAnsi="Arial" w:cs="Arial"/>
          <w:sz w:val="24"/>
          <w:szCs w:val="24"/>
        </w:rPr>
        <w:t>The RRHT includes all utility purchase and sales transactions, estimated customer load, storage injections and withdrawals, to derive open positions (by basin) that are marked to forward market prices. These monthly financial positions, along with market volatility</w:t>
      </w:r>
      <w:r w:rsidR="003F1F37" w:rsidRPr="0030693E">
        <w:rPr>
          <w:rFonts w:ascii="Arial" w:hAnsi="Arial" w:cs="Arial"/>
          <w:sz w:val="24"/>
          <w:szCs w:val="24"/>
        </w:rPr>
        <w:t>,</w:t>
      </w:r>
      <w:r w:rsidRPr="0030693E">
        <w:rPr>
          <w:rFonts w:ascii="Arial" w:hAnsi="Arial" w:cs="Arial"/>
          <w:sz w:val="24"/>
          <w:szCs w:val="24"/>
        </w:rPr>
        <w:t xml:space="preserve"> </w:t>
      </w:r>
      <w:r w:rsidRPr="0030693E">
        <w:rPr>
          <w:rFonts w:ascii="Arial" w:hAnsi="Arial" w:cs="Arial"/>
          <w:sz w:val="24"/>
          <w:szCs w:val="24"/>
        </w:rPr>
        <w:lastRenderedPageBreak/>
        <w:t>are then used to calculate the Value at Risk (</w:t>
      </w:r>
      <w:proofErr w:type="spellStart"/>
      <w:r w:rsidRPr="0030693E">
        <w:rPr>
          <w:rFonts w:ascii="Arial" w:hAnsi="Arial" w:cs="Arial"/>
          <w:sz w:val="24"/>
          <w:szCs w:val="24"/>
        </w:rPr>
        <w:t>VaR</w:t>
      </w:r>
      <w:proofErr w:type="spellEnd"/>
      <w:r w:rsidRPr="0030693E">
        <w:rPr>
          <w:rFonts w:ascii="Arial" w:hAnsi="Arial" w:cs="Arial"/>
          <w:sz w:val="24"/>
          <w:szCs w:val="24"/>
        </w:rPr>
        <w:t>)</w:t>
      </w:r>
      <w:r w:rsidR="0017258B" w:rsidRPr="0030693E">
        <w:rPr>
          <w:rFonts w:ascii="Arial" w:hAnsi="Arial" w:cs="Arial"/>
          <w:sz w:val="24"/>
          <w:szCs w:val="24"/>
        </w:rPr>
        <w:t xml:space="preserve"> </w:t>
      </w:r>
      <w:r w:rsidRPr="0030693E">
        <w:rPr>
          <w:rFonts w:ascii="Arial" w:hAnsi="Arial" w:cs="Arial"/>
          <w:sz w:val="24"/>
          <w:szCs w:val="24"/>
        </w:rPr>
        <w:t xml:space="preserve">by basin, which in turn is used to evaluate defensive hedging. </w:t>
      </w:r>
    </w:p>
    <w:p w14:paraId="36106140" w14:textId="680C086C" w:rsidR="00081AEA" w:rsidRPr="0030693E" w:rsidRDefault="00081AEA" w:rsidP="0030693E">
      <w:pPr>
        <w:pStyle w:val="ListParagraph"/>
        <w:numPr>
          <w:ilvl w:val="0"/>
          <w:numId w:val="25"/>
        </w:numPr>
        <w:spacing w:line="240" w:lineRule="auto"/>
        <w:ind w:left="0" w:firstLine="0"/>
        <w:jc w:val="center"/>
        <w:rPr>
          <w:rFonts w:ascii="Arial" w:hAnsi="Arial" w:cs="Arial"/>
          <w:b/>
          <w:sz w:val="32"/>
          <w:szCs w:val="32"/>
          <w:u w:val="single"/>
        </w:rPr>
      </w:pPr>
      <w:r w:rsidRPr="0030693E">
        <w:rPr>
          <w:rFonts w:ascii="Arial" w:hAnsi="Arial" w:cs="Arial"/>
          <w:b/>
          <w:sz w:val="32"/>
          <w:szCs w:val="32"/>
          <w:u w:val="single"/>
        </w:rPr>
        <w:t>Exposure Quantification</w:t>
      </w:r>
    </w:p>
    <w:p w14:paraId="2D6F9357" w14:textId="39B592FD" w:rsidR="004D3B07" w:rsidRPr="0030693E" w:rsidRDefault="0024643E" w:rsidP="0030693E">
      <w:pPr>
        <w:spacing w:line="240" w:lineRule="auto"/>
        <w:jc w:val="both"/>
        <w:rPr>
          <w:rFonts w:ascii="Arial" w:hAnsi="Arial" w:cs="Arial"/>
          <w:sz w:val="24"/>
          <w:szCs w:val="24"/>
        </w:rPr>
      </w:pPr>
      <w:r w:rsidRPr="0030693E">
        <w:rPr>
          <w:rFonts w:ascii="Arial" w:hAnsi="Arial" w:cs="Arial"/>
          <w:sz w:val="24"/>
          <w:szCs w:val="24"/>
        </w:rPr>
        <w:t>A test model for the RRHT</w:t>
      </w:r>
      <w:r w:rsidR="00931D6F" w:rsidRPr="0030693E">
        <w:rPr>
          <w:rFonts w:ascii="Arial" w:hAnsi="Arial" w:cs="Arial"/>
          <w:sz w:val="24"/>
          <w:szCs w:val="24"/>
        </w:rPr>
        <w:t xml:space="preserve"> is currently running parallel to the </w:t>
      </w:r>
      <w:r w:rsidR="004F18A4" w:rsidRPr="0030693E">
        <w:rPr>
          <w:rFonts w:ascii="Arial" w:hAnsi="Arial" w:cs="Arial"/>
          <w:sz w:val="24"/>
          <w:szCs w:val="24"/>
        </w:rPr>
        <w:t>current Plan and is being modeled in a test Position Report</w:t>
      </w:r>
      <w:r w:rsidR="004D3B07" w:rsidRPr="0030693E">
        <w:rPr>
          <w:rFonts w:ascii="Arial" w:hAnsi="Arial" w:cs="Arial"/>
          <w:sz w:val="24"/>
          <w:szCs w:val="24"/>
        </w:rPr>
        <w:t xml:space="preserve"> which details </w:t>
      </w:r>
      <w:r w:rsidR="00E13B9E" w:rsidRPr="0030693E">
        <w:rPr>
          <w:rFonts w:ascii="Arial" w:hAnsi="Arial" w:cs="Arial"/>
          <w:sz w:val="24"/>
          <w:szCs w:val="24"/>
        </w:rPr>
        <w:t>N</w:t>
      </w:r>
      <w:r w:rsidR="004D3B07" w:rsidRPr="0030693E">
        <w:rPr>
          <w:rFonts w:ascii="Arial" w:hAnsi="Arial" w:cs="Arial"/>
          <w:sz w:val="24"/>
          <w:szCs w:val="24"/>
        </w:rPr>
        <w:t xml:space="preserve">atural </w:t>
      </w:r>
      <w:r w:rsidR="00E13B9E" w:rsidRPr="0030693E">
        <w:rPr>
          <w:rFonts w:ascii="Arial" w:hAnsi="Arial" w:cs="Arial"/>
          <w:sz w:val="24"/>
          <w:szCs w:val="24"/>
        </w:rPr>
        <w:t>G</w:t>
      </w:r>
      <w:r w:rsidR="004D3B07" w:rsidRPr="0030693E">
        <w:rPr>
          <w:rFonts w:ascii="Arial" w:hAnsi="Arial" w:cs="Arial"/>
          <w:sz w:val="24"/>
          <w:szCs w:val="24"/>
        </w:rPr>
        <w:t xml:space="preserve">as </w:t>
      </w:r>
      <w:r w:rsidR="00E13B9E" w:rsidRPr="0030693E">
        <w:rPr>
          <w:rFonts w:ascii="Arial" w:hAnsi="Arial" w:cs="Arial"/>
          <w:sz w:val="24"/>
          <w:szCs w:val="24"/>
        </w:rPr>
        <w:t>S</w:t>
      </w:r>
      <w:r w:rsidR="004D3B07" w:rsidRPr="0030693E">
        <w:rPr>
          <w:rFonts w:ascii="Arial" w:hAnsi="Arial" w:cs="Arial"/>
          <w:sz w:val="24"/>
          <w:szCs w:val="24"/>
        </w:rPr>
        <w:t xml:space="preserve">upply’s open gas positions.  Positions are reported on a daily basis for a forward time horizon of approximately 3 years. Overall financial exposure is quantified volumetrically and in dollars, calculated by valuing the volumetric positions using the associated forward prices.  In addition, </w:t>
      </w:r>
      <w:proofErr w:type="spellStart"/>
      <w:r w:rsidR="00BD2851" w:rsidRPr="0030693E">
        <w:rPr>
          <w:rFonts w:ascii="Arial" w:hAnsi="Arial" w:cs="Arial"/>
          <w:sz w:val="24"/>
          <w:szCs w:val="24"/>
        </w:rPr>
        <w:t>VaR</w:t>
      </w:r>
      <w:proofErr w:type="spellEnd"/>
      <w:r w:rsidR="004D3B07" w:rsidRPr="0030693E">
        <w:rPr>
          <w:rFonts w:ascii="Arial" w:hAnsi="Arial" w:cs="Arial"/>
          <w:sz w:val="24"/>
          <w:szCs w:val="24"/>
        </w:rPr>
        <w:t xml:space="preserve"> is reported for the entire portfolio of positions which helps to measure the at risk dollar amount above and beyond the current financial exposure. </w:t>
      </w:r>
      <w:proofErr w:type="spellStart"/>
      <w:r w:rsidR="00BD2851" w:rsidRPr="0030693E">
        <w:rPr>
          <w:rFonts w:ascii="Arial" w:hAnsi="Arial" w:cs="Arial"/>
          <w:sz w:val="24"/>
          <w:szCs w:val="24"/>
        </w:rPr>
        <w:t>VaR</w:t>
      </w:r>
      <w:proofErr w:type="spellEnd"/>
      <w:r w:rsidR="004D3B07" w:rsidRPr="0030693E">
        <w:rPr>
          <w:rFonts w:ascii="Arial" w:hAnsi="Arial" w:cs="Arial"/>
          <w:sz w:val="24"/>
          <w:szCs w:val="24"/>
        </w:rPr>
        <w:t xml:space="preserve"> is also used to create the metric used to drive the Risk Responsive hedging.</w:t>
      </w:r>
    </w:p>
    <w:p w14:paraId="04028CF8" w14:textId="2BB2C762" w:rsidR="00F5189B" w:rsidRPr="0030693E" w:rsidRDefault="00F5189B" w:rsidP="0030693E">
      <w:pPr>
        <w:pStyle w:val="ListParagraph"/>
        <w:numPr>
          <w:ilvl w:val="0"/>
          <w:numId w:val="25"/>
        </w:numPr>
        <w:spacing w:line="240" w:lineRule="auto"/>
        <w:ind w:left="0" w:firstLine="0"/>
        <w:jc w:val="center"/>
        <w:rPr>
          <w:rFonts w:ascii="Arial" w:hAnsi="Arial" w:cs="Arial"/>
          <w:b/>
          <w:sz w:val="32"/>
          <w:szCs w:val="32"/>
          <w:u w:val="single"/>
        </w:rPr>
      </w:pPr>
      <w:r w:rsidRPr="0030693E">
        <w:rPr>
          <w:rFonts w:ascii="Arial" w:hAnsi="Arial" w:cs="Arial"/>
          <w:b/>
          <w:sz w:val="32"/>
          <w:szCs w:val="32"/>
          <w:u w:val="single"/>
        </w:rPr>
        <w:t>Next Steps</w:t>
      </w:r>
    </w:p>
    <w:p w14:paraId="70E6C1A9" w14:textId="07A81B95" w:rsidR="00F5189B" w:rsidRPr="0030693E" w:rsidRDefault="004F18A4" w:rsidP="0030693E">
      <w:pPr>
        <w:spacing w:line="240" w:lineRule="auto"/>
        <w:jc w:val="both"/>
        <w:rPr>
          <w:rFonts w:ascii="Arial" w:hAnsi="Arial" w:cs="Arial"/>
          <w:sz w:val="24"/>
          <w:szCs w:val="24"/>
        </w:rPr>
      </w:pPr>
      <w:r w:rsidRPr="0030693E">
        <w:rPr>
          <w:rFonts w:ascii="Arial" w:hAnsi="Arial" w:cs="Arial"/>
          <w:sz w:val="24"/>
          <w:szCs w:val="24"/>
        </w:rPr>
        <w:t xml:space="preserve">The final determination for implementation of </w:t>
      </w:r>
      <w:r w:rsidR="00AA07EB" w:rsidRPr="0030693E">
        <w:rPr>
          <w:rFonts w:ascii="Arial" w:hAnsi="Arial" w:cs="Arial"/>
          <w:sz w:val="24"/>
          <w:szCs w:val="24"/>
        </w:rPr>
        <w:t>risk-responsible components into the</w:t>
      </w:r>
      <w:r w:rsidRPr="0030693E">
        <w:rPr>
          <w:rFonts w:ascii="Arial" w:hAnsi="Arial" w:cs="Arial"/>
          <w:sz w:val="24"/>
          <w:szCs w:val="24"/>
        </w:rPr>
        <w:t xml:space="preserve"> Plan </w:t>
      </w:r>
      <w:r w:rsidR="00081AEA" w:rsidRPr="0030693E">
        <w:rPr>
          <w:rFonts w:ascii="Arial" w:hAnsi="Arial" w:cs="Arial"/>
          <w:sz w:val="24"/>
          <w:szCs w:val="24"/>
        </w:rPr>
        <w:t xml:space="preserve">will depend on a variety of factors including the determination by Avista’s internal SOG that the results of testing has been consistent with expectations and meets plan goals, </w:t>
      </w:r>
      <w:r w:rsidR="00AA07EB" w:rsidRPr="0030693E">
        <w:rPr>
          <w:rFonts w:ascii="Arial" w:hAnsi="Arial" w:cs="Arial"/>
          <w:sz w:val="24"/>
          <w:szCs w:val="24"/>
        </w:rPr>
        <w:t>and ultimately approval by</w:t>
      </w:r>
      <w:r w:rsidR="00081AEA" w:rsidRPr="0030693E">
        <w:rPr>
          <w:rFonts w:ascii="Arial" w:hAnsi="Arial" w:cs="Arial"/>
          <w:sz w:val="24"/>
          <w:szCs w:val="24"/>
        </w:rPr>
        <w:t xml:space="preserve"> the RMC.</w:t>
      </w:r>
      <w:r w:rsidR="0024643E" w:rsidRPr="0030693E">
        <w:rPr>
          <w:rFonts w:ascii="Arial" w:hAnsi="Arial" w:cs="Arial"/>
          <w:sz w:val="24"/>
          <w:szCs w:val="24"/>
        </w:rPr>
        <w:t xml:space="preserve">  </w:t>
      </w:r>
      <w:r w:rsidR="00AA07EB" w:rsidRPr="0030693E">
        <w:rPr>
          <w:rFonts w:ascii="Arial" w:hAnsi="Arial" w:cs="Arial"/>
          <w:sz w:val="24"/>
          <w:szCs w:val="24"/>
        </w:rPr>
        <w:t>The next steps in this process are as follows:</w:t>
      </w:r>
    </w:p>
    <w:p w14:paraId="5FA059BE" w14:textId="6834D71F" w:rsidR="00F5189B" w:rsidRPr="0030693E" w:rsidRDefault="00F5189B" w:rsidP="0030693E">
      <w:pPr>
        <w:pStyle w:val="ListParagraph"/>
        <w:numPr>
          <w:ilvl w:val="0"/>
          <w:numId w:val="23"/>
        </w:numPr>
        <w:spacing w:line="240" w:lineRule="auto"/>
        <w:jc w:val="both"/>
        <w:rPr>
          <w:rFonts w:ascii="Arial" w:hAnsi="Arial" w:cs="Arial"/>
          <w:sz w:val="24"/>
          <w:szCs w:val="24"/>
        </w:rPr>
      </w:pPr>
      <w:r w:rsidRPr="0030693E">
        <w:rPr>
          <w:rFonts w:ascii="Arial" w:hAnsi="Arial" w:cs="Arial"/>
          <w:sz w:val="24"/>
          <w:szCs w:val="24"/>
        </w:rPr>
        <w:t xml:space="preserve">Complete testing </w:t>
      </w:r>
      <w:r w:rsidR="00914DF7">
        <w:rPr>
          <w:rFonts w:ascii="Arial" w:hAnsi="Arial" w:cs="Arial"/>
          <w:sz w:val="24"/>
          <w:szCs w:val="24"/>
        </w:rPr>
        <w:t>in the second quarter of 2018.</w:t>
      </w:r>
    </w:p>
    <w:p w14:paraId="259FB6DA" w14:textId="77777777" w:rsidR="00F5189B" w:rsidRPr="0030693E" w:rsidRDefault="00F5189B" w:rsidP="0030693E">
      <w:pPr>
        <w:pStyle w:val="ListParagraph"/>
        <w:spacing w:line="240" w:lineRule="auto"/>
        <w:ind w:left="788"/>
        <w:jc w:val="both"/>
        <w:rPr>
          <w:rFonts w:ascii="Arial" w:hAnsi="Arial" w:cs="Arial"/>
          <w:sz w:val="24"/>
          <w:szCs w:val="24"/>
        </w:rPr>
      </w:pPr>
    </w:p>
    <w:p w14:paraId="7B368117" w14:textId="4E2D9CDF" w:rsidR="00F5189B" w:rsidRPr="0030693E" w:rsidRDefault="00F5189B" w:rsidP="0030693E">
      <w:pPr>
        <w:pStyle w:val="ListParagraph"/>
        <w:numPr>
          <w:ilvl w:val="0"/>
          <w:numId w:val="23"/>
        </w:numPr>
        <w:spacing w:line="240" w:lineRule="auto"/>
        <w:jc w:val="both"/>
        <w:rPr>
          <w:rFonts w:ascii="Arial" w:hAnsi="Arial" w:cs="Arial"/>
          <w:sz w:val="24"/>
          <w:szCs w:val="24"/>
        </w:rPr>
      </w:pPr>
      <w:r w:rsidRPr="0030693E">
        <w:rPr>
          <w:rFonts w:ascii="Arial" w:hAnsi="Arial" w:cs="Arial"/>
          <w:sz w:val="24"/>
          <w:szCs w:val="24"/>
        </w:rPr>
        <w:t>Retain external consultant for verification (as an independent, secondary check) of Plan assumptions and calculations</w:t>
      </w:r>
    </w:p>
    <w:p w14:paraId="75033C86" w14:textId="77777777" w:rsidR="00F5189B" w:rsidRPr="0030693E" w:rsidRDefault="00F5189B" w:rsidP="0030693E">
      <w:pPr>
        <w:pStyle w:val="ListParagraph"/>
        <w:spacing w:line="240" w:lineRule="auto"/>
        <w:ind w:left="788"/>
        <w:jc w:val="both"/>
        <w:rPr>
          <w:rFonts w:ascii="Arial" w:hAnsi="Arial" w:cs="Arial"/>
          <w:sz w:val="24"/>
          <w:szCs w:val="24"/>
        </w:rPr>
      </w:pPr>
    </w:p>
    <w:p w14:paraId="1835D38C" w14:textId="77777777" w:rsidR="00F5189B" w:rsidRPr="0030693E" w:rsidRDefault="00F5189B" w:rsidP="0030693E">
      <w:pPr>
        <w:pStyle w:val="ListParagraph"/>
        <w:numPr>
          <w:ilvl w:val="0"/>
          <w:numId w:val="23"/>
        </w:numPr>
        <w:spacing w:line="240" w:lineRule="auto"/>
        <w:jc w:val="both"/>
        <w:rPr>
          <w:rFonts w:ascii="Arial" w:hAnsi="Arial" w:cs="Arial"/>
          <w:sz w:val="24"/>
          <w:szCs w:val="24"/>
        </w:rPr>
      </w:pPr>
      <w:r w:rsidRPr="0030693E">
        <w:rPr>
          <w:rFonts w:ascii="Arial" w:hAnsi="Arial" w:cs="Arial"/>
          <w:sz w:val="24"/>
          <w:szCs w:val="24"/>
        </w:rPr>
        <w:t>Receive approval for implementation from the RMC</w:t>
      </w:r>
    </w:p>
    <w:p w14:paraId="640166DE" w14:textId="77777777" w:rsidR="00F5189B" w:rsidRPr="0030693E" w:rsidRDefault="00F5189B" w:rsidP="0030693E">
      <w:pPr>
        <w:pStyle w:val="ListParagraph"/>
        <w:spacing w:line="240" w:lineRule="auto"/>
        <w:rPr>
          <w:rFonts w:ascii="Arial" w:hAnsi="Arial" w:cs="Arial"/>
          <w:sz w:val="24"/>
          <w:szCs w:val="24"/>
        </w:rPr>
      </w:pPr>
    </w:p>
    <w:p w14:paraId="24D437A7" w14:textId="2FC9993D" w:rsidR="00F5189B" w:rsidRPr="0030693E" w:rsidRDefault="00F5189B" w:rsidP="0030693E">
      <w:pPr>
        <w:pStyle w:val="ListParagraph"/>
        <w:numPr>
          <w:ilvl w:val="0"/>
          <w:numId w:val="23"/>
        </w:numPr>
        <w:spacing w:line="240" w:lineRule="auto"/>
        <w:jc w:val="both"/>
        <w:rPr>
          <w:rFonts w:ascii="Arial" w:hAnsi="Arial" w:cs="Arial"/>
          <w:sz w:val="24"/>
          <w:szCs w:val="24"/>
        </w:rPr>
      </w:pPr>
      <w:r w:rsidRPr="0030693E">
        <w:rPr>
          <w:rFonts w:ascii="Arial" w:hAnsi="Arial" w:cs="Arial"/>
          <w:sz w:val="24"/>
          <w:szCs w:val="24"/>
        </w:rPr>
        <w:t>Incorporate the RRHT (to some ex</w:t>
      </w:r>
      <w:r w:rsidR="00914DF7">
        <w:rPr>
          <w:rFonts w:ascii="Arial" w:hAnsi="Arial" w:cs="Arial"/>
          <w:sz w:val="24"/>
          <w:szCs w:val="24"/>
        </w:rPr>
        <w:t>tent) no later than 30 months f</w:t>
      </w:r>
      <w:r w:rsidRPr="0030693E">
        <w:rPr>
          <w:rFonts w:ascii="Arial" w:hAnsi="Arial" w:cs="Arial"/>
          <w:sz w:val="24"/>
          <w:szCs w:val="24"/>
        </w:rPr>
        <w:t>r</w:t>
      </w:r>
      <w:r w:rsidR="00914DF7">
        <w:rPr>
          <w:rFonts w:ascii="Arial" w:hAnsi="Arial" w:cs="Arial"/>
          <w:sz w:val="24"/>
          <w:szCs w:val="24"/>
        </w:rPr>
        <w:t>o</w:t>
      </w:r>
      <w:r w:rsidRPr="0030693E">
        <w:rPr>
          <w:rFonts w:ascii="Arial" w:hAnsi="Arial" w:cs="Arial"/>
          <w:sz w:val="24"/>
          <w:szCs w:val="24"/>
        </w:rPr>
        <w:t>m the filing of the 2017 PGA filing as required per</w:t>
      </w:r>
      <w:r w:rsidR="00914DF7">
        <w:rPr>
          <w:rFonts w:ascii="Arial" w:hAnsi="Arial" w:cs="Arial"/>
          <w:sz w:val="24"/>
          <w:szCs w:val="24"/>
        </w:rPr>
        <w:t xml:space="preserve"> the Policy Statement in Docket No. </w:t>
      </w:r>
      <w:bookmarkStart w:id="1" w:name="_GoBack"/>
      <w:bookmarkEnd w:id="1"/>
      <w:r w:rsidRPr="0030693E">
        <w:rPr>
          <w:rFonts w:ascii="Arial" w:hAnsi="Arial" w:cs="Arial"/>
          <w:sz w:val="24"/>
          <w:szCs w:val="24"/>
        </w:rPr>
        <w:t xml:space="preserve">UE-132019. </w:t>
      </w:r>
    </w:p>
    <w:p w14:paraId="7C67D5CF" w14:textId="77777777" w:rsidR="00F5189B" w:rsidRPr="0030693E" w:rsidRDefault="00F5189B" w:rsidP="0030693E">
      <w:pPr>
        <w:pStyle w:val="ListParagraph"/>
        <w:spacing w:line="240" w:lineRule="auto"/>
        <w:rPr>
          <w:rFonts w:ascii="Arial" w:hAnsi="Arial" w:cs="Arial"/>
          <w:sz w:val="24"/>
          <w:szCs w:val="24"/>
        </w:rPr>
      </w:pPr>
    </w:p>
    <w:p w14:paraId="2D49BC5E" w14:textId="77777777" w:rsidR="00AA07EB" w:rsidRPr="0030693E" w:rsidRDefault="00F5189B" w:rsidP="0030693E">
      <w:pPr>
        <w:pStyle w:val="ListParagraph"/>
        <w:numPr>
          <w:ilvl w:val="0"/>
          <w:numId w:val="23"/>
        </w:numPr>
        <w:spacing w:line="240" w:lineRule="auto"/>
        <w:jc w:val="both"/>
        <w:rPr>
          <w:rFonts w:ascii="Arial" w:hAnsi="Arial" w:cs="Arial"/>
        </w:rPr>
      </w:pPr>
      <w:r w:rsidRPr="0030693E">
        <w:rPr>
          <w:rFonts w:ascii="Arial" w:hAnsi="Arial" w:cs="Arial"/>
          <w:sz w:val="24"/>
          <w:szCs w:val="24"/>
        </w:rPr>
        <w:t>Provide a Comprehensive Hedging Plan, including retrospective report, with the 2018 Washington Natural Gas PGA filing.</w:t>
      </w:r>
    </w:p>
    <w:p w14:paraId="358811B2" w14:textId="77777777" w:rsidR="00AA07EB" w:rsidRPr="0030693E" w:rsidRDefault="00AA07EB" w:rsidP="0030693E">
      <w:pPr>
        <w:pStyle w:val="ListParagraph"/>
        <w:spacing w:line="240" w:lineRule="auto"/>
        <w:rPr>
          <w:rFonts w:ascii="Arial" w:hAnsi="Arial" w:cs="Arial"/>
        </w:rPr>
      </w:pPr>
    </w:p>
    <w:p w14:paraId="5736E19E" w14:textId="7418AC6C" w:rsidR="00AA07EB" w:rsidRPr="0030693E" w:rsidRDefault="00AA07EB" w:rsidP="0030693E">
      <w:pPr>
        <w:spacing w:line="240" w:lineRule="auto"/>
        <w:jc w:val="both"/>
        <w:rPr>
          <w:rFonts w:ascii="Arial" w:hAnsi="Arial" w:cs="Arial"/>
          <w:sz w:val="24"/>
          <w:szCs w:val="24"/>
        </w:rPr>
      </w:pPr>
      <w:r w:rsidRPr="0030693E">
        <w:rPr>
          <w:rFonts w:ascii="Arial" w:hAnsi="Arial" w:cs="Arial"/>
          <w:sz w:val="24"/>
          <w:szCs w:val="24"/>
        </w:rPr>
        <w:t xml:space="preserve">The Company will continue to monitor the results of the RRHT through the test position reports and modify as necessary.  The process will continue to communicate and update Staff and other parties, as necessary, through our semi-annual Natural Gas Update meetings. </w:t>
      </w:r>
    </w:p>
    <w:sectPr w:rsidR="00AA07EB" w:rsidRPr="0030693E" w:rsidSect="00C910D5">
      <w:footerReference w:type="default" r:id="rId13"/>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D25F" w14:textId="77777777" w:rsidR="00AB4DA6" w:rsidRDefault="00AB4DA6" w:rsidP="005012E0">
      <w:pPr>
        <w:spacing w:after="0" w:line="240" w:lineRule="auto"/>
      </w:pPr>
      <w:r>
        <w:separator/>
      </w:r>
    </w:p>
  </w:endnote>
  <w:endnote w:type="continuationSeparator" w:id="0">
    <w:p w14:paraId="1FABBF62" w14:textId="77777777" w:rsidR="00AB4DA6" w:rsidRDefault="00AB4DA6" w:rsidP="0050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708626"/>
      <w:docPartObj>
        <w:docPartGallery w:val="Page Numbers (Bottom of Page)"/>
        <w:docPartUnique/>
      </w:docPartObj>
    </w:sdtPr>
    <w:sdtEndPr>
      <w:rPr>
        <w:noProof/>
      </w:rPr>
    </w:sdtEndPr>
    <w:sdtContent>
      <w:p w14:paraId="3398B083" w14:textId="77777777" w:rsidR="006D267B" w:rsidRDefault="006D267B">
        <w:pPr>
          <w:pStyle w:val="Footer"/>
        </w:pPr>
        <w:r>
          <w:t xml:space="preserve">Page | </w:t>
        </w:r>
        <w:r>
          <w:fldChar w:fldCharType="begin"/>
        </w:r>
        <w:r>
          <w:instrText xml:space="preserve"> PAGE   \* MERGEFORMAT </w:instrText>
        </w:r>
        <w:r>
          <w:fldChar w:fldCharType="separate"/>
        </w:r>
        <w:r w:rsidR="00914DF7">
          <w:rPr>
            <w:noProof/>
          </w:rPr>
          <w:t>10</w:t>
        </w:r>
        <w:r>
          <w:rPr>
            <w:noProof/>
          </w:rPr>
          <w:fldChar w:fldCharType="end"/>
        </w:r>
      </w:p>
    </w:sdtContent>
  </w:sdt>
  <w:p w14:paraId="03B85554" w14:textId="77777777" w:rsidR="006D267B" w:rsidRDefault="006D2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33D45" w14:textId="77777777" w:rsidR="00AB4DA6" w:rsidRDefault="00AB4DA6" w:rsidP="005012E0">
      <w:pPr>
        <w:spacing w:after="0" w:line="240" w:lineRule="auto"/>
      </w:pPr>
      <w:r>
        <w:separator/>
      </w:r>
    </w:p>
  </w:footnote>
  <w:footnote w:type="continuationSeparator" w:id="0">
    <w:p w14:paraId="785734A2" w14:textId="77777777" w:rsidR="00AB4DA6" w:rsidRDefault="00AB4DA6" w:rsidP="005012E0">
      <w:pPr>
        <w:spacing w:after="0" w:line="240" w:lineRule="auto"/>
      </w:pPr>
      <w:r>
        <w:continuationSeparator/>
      </w:r>
    </w:p>
  </w:footnote>
  <w:footnote w:id="1">
    <w:p w14:paraId="2E8517A6" w14:textId="120AEF84" w:rsidR="00BD4BA1" w:rsidRDefault="00BD4BA1" w:rsidP="009C511D">
      <w:pPr>
        <w:pStyle w:val="Heading2"/>
        <w:jc w:val="both"/>
      </w:pPr>
      <w:r w:rsidRPr="009C511D">
        <w:rPr>
          <w:rStyle w:val="FootnoteReference"/>
          <w:rFonts w:ascii="Arial" w:hAnsi="Arial" w:cs="Arial"/>
          <w:i w:val="0"/>
          <w:sz w:val="20"/>
          <w:szCs w:val="20"/>
        </w:rPr>
        <w:footnoteRef/>
      </w:r>
      <w:r w:rsidRPr="009C511D">
        <w:rPr>
          <w:rFonts w:ascii="Arial" w:hAnsi="Arial" w:cs="Arial"/>
          <w:i w:val="0"/>
          <w:sz w:val="20"/>
          <w:szCs w:val="20"/>
        </w:rPr>
        <w:t xml:space="preserve"> </w:t>
      </w:r>
      <w:r w:rsidRPr="004F18A4">
        <w:rPr>
          <w:rFonts w:ascii="Arial" w:hAnsi="Arial" w:cs="Arial"/>
          <w:b w:val="0"/>
          <w:i w:val="0"/>
          <w:sz w:val="20"/>
          <w:szCs w:val="20"/>
        </w:rPr>
        <w:t>Long Term Transactions: The Long Term gas horizon is time beyond the Short Term gas horizon. Currently, our Procurement Plan does not extend beyond the 36 month period. However, planning for the Long Term time horizon is incorporated in Avista Utilities na</w:t>
      </w:r>
      <w:r w:rsidR="009C511D">
        <w:rPr>
          <w:rFonts w:ascii="Arial" w:hAnsi="Arial" w:cs="Arial"/>
          <w:b w:val="0"/>
          <w:i w:val="0"/>
          <w:sz w:val="20"/>
          <w:szCs w:val="20"/>
        </w:rPr>
        <w:t>tural gas Integrated Resource P</w:t>
      </w:r>
      <w:r w:rsidRPr="004F18A4">
        <w:rPr>
          <w:rFonts w:ascii="Arial" w:hAnsi="Arial" w:cs="Arial"/>
          <w:b w:val="0"/>
          <w:i w:val="0"/>
          <w:sz w:val="20"/>
          <w:szCs w:val="20"/>
        </w:rPr>
        <w:t>lan</w:t>
      </w:r>
      <w:r w:rsidR="009C511D">
        <w:rPr>
          <w:rFonts w:ascii="Arial" w:hAnsi="Arial" w:cs="Arial"/>
          <w:b w:val="0"/>
          <w:i w:val="0"/>
          <w:sz w:val="20"/>
          <w:szCs w:val="20"/>
        </w:rPr>
        <w:t xml:space="preserve"> (IRP)</w:t>
      </w:r>
      <w:r w:rsidRPr="004F18A4">
        <w:rPr>
          <w:rFonts w:ascii="Arial" w:hAnsi="Arial" w:cs="Arial"/>
          <w:b w:val="0"/>
          <w:i w:val="0"/>
          <w:sz w:val="20"/>
          <w:szCs w:val="20"/>
        </w:rPr>
        <w:t xml:space="preserve"> and specific facility acquisition, construction and betterment plans. </w:t>
      </w:r>
    </w:p>
  </w:footnote>
  <w:footnote w:id="2">
    <w:p w14:paraId="77DC563E" w14:textId="4FFD9B10" w:rsidR="005F6EC0" w:rsidRPr="00C910D5" w:rsidRDefault="005F6EC0" w:rsidP="008C6A46">
      <w:pPr>
        <w:pStyle w:val="Heading2"/>
        <w:jc w:val="both"/>
        <w:rPr>
          <w:rFonts w:ascii="Arial" w:hAnsi="Arial" w:cs="Arial"/>
          <w:i w:val="0"/>
          <w:sz w:val="18"/>
          <w:szCs w:val="18"/>
        </w:rPr>
      </w:pPr>
      <w:r w:rsidRPr="00C910D5">
        <w:rPr>
          <w:rStyle w:val="FootnoteReference"/>
          <w:rFonts w:ascii="Arial" w:hAnsi="Arial" w:cs="Arial"/>
          <w:i w:val="0"/>
          <w:sz w:val="18"/>
          <w:szCs w:val="18"/>
        </w:rPr>
        <w:footnoteRef/>
      </w:r>
      <w:r w:rsidRPr="00C910D5">
        <w:rPr>
          <w:rFonts w:ascii="Arial" w:hAnsi="Arial" w:cs="Arial"/>
          <w:i w:val="0"/>
          <w:sz w:val="18"/>
          <w:szCs w:val="18"/>
        </w:rPr>
        <w:t xml:space="preserve"> </w:t>
      </w:r>
      <w:r w:rsidRPr="00C910D5">
        <w:rPr>
          <w:rFonts w:ascii="Arial" w:hAnsi="Arial" w:cs="Arial"/>
          <w:b w:val="0"/>
          <w:i w:val="0"/>
          <w:sz w:val="18"/>
          <w:szCs w:val="18"/>
        </w:rPr>
        <w:t xml:space="preserve">When a planned transaction is triggered prior to time expiration, Gas Supply will solicit at least one market quote, or document the relevant bids and offers from ICE on the following business day to verify the Position Report price. If a market quote indicates that the actual current market price is still within the UCL or the LCL, then Gas Supply may defer a transaction and the window will remain open. </w:t>
      </w:r>
      <w:r w:rsidR="00931D6F" w:rsidRPr="00C910D5">
        <w:rPr>
          <w:rFonts w:ascii="Arial" w:hAnsi="Arial" w:cs="Arial"/>
          <w:b w:val="0"/>
          <w:i w:val="0"/>
          <w:sz w:val="18"/>
          <w:szCs w:val="18"/>
        </w:rPr>
        <w:t xml:space="preserve"> </w:t>
      </w:r>
      <w:r w:rsidRPr="00C910D5">
        <w:rPr>
          <w:rFonts w:ascii="Arial" w:hAnsi="Arial" w:cs="Arial"/>
          <w:b w:val="0"/>
          <w:i w:val="0"/>
          <w:sz w:val="18"/>
          <w:szCs w:val="18"/>
        </w:rPr>
        <w:t>If a market quote indicates the actual current market price exceeds the UCL or is below the LCL, Gas Supply will solicit at least three market quotes ICE bids and offers for potential execution. If the quotes remain outside of the UCL or the LCL, the gas buyer will transact with the most favorably priced counterparty unless credit limits and/or significant counterparty exposure dictate that Gas Supply should not transact with the lowest priced counterparty when attempting to close a Hedge Window. In instances where there is significant intra-day price movement, Gas Supply may deem it appropriate to close a Hedge Window on that day to avoid further price increases.</w:t>
      </w:r>
    </w:p>
  </w:footnote>
  <w:footnote w:id="3">
    <w:p w14:paraId="5AE57924" w14:textId="77777777" w:rsidR="00931D6F" w:rsidRPr="00C910D5" w:rsidRDefault="00931D6F" w:rsidP="00914DF7">
      <w:pPr>
        <w:pStyle w:val="FootnoteText"/>
        <w:jc w:val="both"/>
        <w:rPr>
          <w:rFonts w:ascii="Arial" w:hAnsi="Arial" w:cs="Arial"/>
          <w:sz w:val="18"/>
          <w:szCs w:val="18"/>
        </w:rPr>
      </w:pPr>
      <w:r w:rsidRPr="00C910D5">
        <w:rPr>
          <w:rStyle w:val="FootnoteReference"/>
          <w:rFonts w:ascii="Arial" w:hAnsi="Arial" w:cs="Arial"/>
          <w:sz w:val="18"/>
          <w:szCs w:val="18"/>
        </w:rPr>
        <w:footnoteRef/>
      </w:r>
      <w:r w:rsidRPr="00C910D5">
        <w:rPr>
          <w:rFonts w:ascii="Arial" w:hAnsi="Arial" w:cs="Arial"/>
          <w:sz w:val="18"/>
          <w:szCs w:val="18"/>
        </w:rPr>
        <w:t xml:space="preserve"> Loss risk is the </w:t>
      </w:r>
      <w:r w:rsidRPr="00C910D5">
        <w:rPr>
          <w:rFonts w:ascii="Arial" w:hAnsi="Arial" w:cs="Arial"/>
          <w:sz w:val="18"/>
          <w:szCs w:val="18"/>
          <w:u w:val="single"/>
        </w:rPr>
        <w:t>potential</w:t>
      </w:r>
      <w:r w:rsidRPr="00C910D5">
        <w:rPr>
          <w:rFonts w:ascii="Arial" w:hAnsi="Arial" w:cs="Arial"/>
          <w:sz w:val="18"/>
          <w:szCs w:val="18"/>
        </w:rPr>
        <w:t xml:space="preserve"> to pay more than the daily gas price with a forward hedge.  Cost risk is the </w:t>
      </w:r>
      <w:r w:rsidRPr="00C910D5">
        <w:rPr>
          <w:rFonts w:ascii="Arial" w:hAnsi="Arial" w:cs="Arial"/>
          <w:sz w:val="18"/>
          <w:szCs w:val="18"/>
          <w:u w:val="single"/>
        </w:rPr>
        <w:t>potential</w:t>
      </w:r>
      <w:r w:rsidRPr="00C910D5">
        <w:rPr>
          <w:rFonts w:ascii="Arial" w:hAnsi="Arial" w:cs="Arial"/>
          <w:sz w:val="18"/>
          <w:szCs w:val="18"/>
        </w:rPr>
        <w:t xml:space="preserve"> for daily prices to rise above the hedge price.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453"/>
    <w:multiLevelType w:val="hybridMultilevel"/>
    <w:tmpl w:val="BA525900"/>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7C3F"/>
    <w:multiLevelType w:val="multilevel"/>
    <w:tmpl w:val="0409001F"/>
    <w:styleLink w:val="Style1"/>
    <w:lvl w:ilvl="0">
      <w:start w:val="1"/>
      <w:numFmt w:val="decimal"/>
      <w:lvlText w:val="%1."/>
      <w:lvlJc w:val="left"/>
      <w:pPr>
        <w:ind w:left="360" w:hanging="360"/>
      </w:pPr>
      <w:rPr>
        <w:rFonts w:ascii="Arial" w:hAnsi="Arial"/>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53B23"/>
    <w:multiLevelType w:val="hybridMultilevel"/>
    <w:tmpl w:val="FE247766"/>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8225C"/>
    <w:multiLevelType w:val="hybridMultilevel"/>
    <w:tmpl w:val="10B40A06"/>
    <w:lvl w:ilvl="0" w:tplc="06E82BF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032A3"/>
    <w:multiLevelType w:val="hybridMultilevel"/>
    <w:tmpl w:val="ED0E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A7DF7"/>
    <w:multiLevelType w:val="hybridMultilevel"/>
    <w:tmpl w:val="858486B0"/>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15CA3"/>
    <w:multiLevelType w:val="hybridMultilevel"/>
    <w:tmpl w:val="BCE41EF8"/>
    <w:lvl w:ilvl="0" w:tplc="819E10DC">
      <w:start w:val="1"/>
      <w:numFmt w:val="bullet"/>
      <w:pStyle w:val="IRP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4683A"/>
    <w:multiLevelType w:val="hybridMultilevel"/>
    <w:tmpl w:val="88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96446"/>
    <w:multiLevelType w:val="hybridMultilevel"/>
    <w:tmpl w:val="2728B6A4"/>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658D3"/>
    <w:multiLevelType w:val="hybridMultilevel"/>
    <w:tmpl w:val="C7CC8264"/>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A15D5"/>
    <w:multiLevelType w:val="hybridMultilevel"/>
    <w:tmpl w:val="A73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01AFA"/>
    <w:multiLevelType w:val="hybridMultilevel"/>
    <w:tmpl w:val="647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B50C1"/>
    <w:multiLevelType w:val="hybridMultilevel"/>
    <w:tmpl w:val="07CA33CA"/>
    <w:lvl w:ilvl="0" w:tplc="B87E46D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40C18"/>
    <w:multiLevelType w:val="hybridMultilevel"/>
    <w:tmpl w:val="2B4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56E84"/>
    <w:multiLevelType w:val="hybridMultilevel"/>
    <w:tmpl w:val="370AF19A"/>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25AA7"/>
    <w:multiLevelType w:val="hybridMultilevel"/>
    <w:tmpl w:val="21D40948"/>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84ACD"/>
    <w:multiLevelType w:val="hybridMultilevel"/>
    <w:tmpl w:val="BBE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1070"/>
    <w:multiLevelType w:val="hybridMultilevel"/>
    <w:tmpl w:val="969C8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BF6BCB"/>
    <w:multiLevelType w:val="hybridMultilevel"/>
    <w:tmpl w:val="59BE3268"/>
    <w:lvl w:ilvl="0" w:tplc="218A0E14">
      <w:start w:val="1"/>
      <w:numFmt w:val="bullet"/>
      <w:pStyle w:val="IRPBullet3"/>
      <w:lvlText w:val=""/>
      <w:lvlJc w:val="left"/>
      <w:pPr>
        <w:ind w:left="720" w:hanging="360"/>
      </w:pPr>
      <w:rPr>
        <w:rFonts w:ascii="Symbol" w:hAnsi="Symbol" w:hint="default"/>
      </w:rPr>
    </w:lvl>
    <w:lvl w:ilvl="1" w:tplc="13FA9BDC">
      <w:start w:val="1"/>
      <w:numFmt w:val="bullet"/>
      <w:pStyle w:val="IRPBullet2"/>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76D00"/>
    <w:multiLevelType w:val="hybridMultilevel"/>
    <w:tmpl w:val="ED66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A3D2D"/>
    <w:multiLevelType w:val="hybridMultilevel"/>
    <w:tmpl w:val="30161FBA"/>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15E58"/>
    <w:multiLevelType w:val="hybridMultilevel"/>
    <w:tmpl w:val="930EF1E4"/>
    <w:lvl w:ilvl="0" w:tplc="78526044">
      <w:start w:val="1"/>
      <w:numFmt w:val="bullet"/>
      <w:lvlText w:val=""/>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591BEC"/>
    <w:multiLevelType w:val="hybridMultilevel"/>
    <w:tmpl w:val="7EACED10"/>
    <w:lvl w:ilvl="0" w:tplc="D116EAB4">
      <w:start w:val="1"/>
      <w:numFmt w:val="bullet"/>
      <w:pStyle w:val="IRPBullet1"/>
      <w:lvlText w:val="■"/>
      <w:lvlJc w:val="left"/>
      <w:pPr>
        <w:ind w:left="720" w:hanging="360"/>
      </w:pPr>
      <w:rPr>
        <w:rFonts w:ascii="Arial" w:hAnsi="Arial" w:hint="default"/>
        <w:color w:val="0077B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44769"/>
    <w:multiLevelType w:val="hybridMultilevel"/>
    <w:tmpl w:val="79D689A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7C4244AF"/>
    <w:multiLevelType w:val="hybridMultilevel"/>
    <w:tmpl w:val="E014EFB6"/>
    <w:lvl w:ilvl="0" w:tplc="06E82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F2350"/>
    <w:multiLevelType w:val="hybridMultilevel"/>
    <w:tmpl w:val="630C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2"/>
  </w:num>
  <w:num w:numId="4">
    <w:abstractNumId w:val="6"/>
  </w:num>
  <w:num w:numId="5">
    <w:abstractNumId w:val="8"/>
  </w:num>
  <w:num w:numId="6">
    <w:abstractNumId w:val="7"/>
  </w:num>
  <w:num w:numId="7">
    <w:abstractNumId w:val="15"/>
  </w:num>
  <w:num w:numId="8">
    <w:abstractNumId w:val="0"/>
  </w:num>
  <w:num w:numId="9">
    <w:abstractNumId w:val="20"/>
  </w:num>
  <w:num w:numId="10">
    <w:abstractNumId w:val="14"/>
  </w:num>
  <w:num w:numId="11">
    <w:abstractNumId w:val="5"/>
  </w:num>
  <w:num w:numId="12">
    <w:abstractNumId w:val="25"/>
  </w:num>
  <w:num w:numId="13">
    <w:abstractNumId w:val="9"/>
  </w:num>
  <w:num w:numId="14">
    <w:abstractNumId w:val="16"/>
  </w:num>
  <w:num w:numId="15">
    <w:abstractNumId w:val="21"/>
  </w:num>
  <w:num w:numId="16">
    <w:abstractNumId w:val="2"/>
  </w:num>
  <w:num w:numId="17">
    <w:abstractNumId w:val="13"/>
  </w:num>
  <w:num w:numId="18">
    <w:abstractNumId w:val="4"/>
  </w:num>
  <w:num w:numId="19">
    <w:abstractNumId w:val="17"/>
  </w:num>
  <w:num w:numId="20">
    <w:abstractNumId w:val="11"/>
  </w:num>
  <w:num w:numId="21">
    <w:abstractNumId w:val="19"/>
  </w:num>
  <w:num w:numId="22">
    <w:abstractNumId w:val="10"/>
  </w:num>
  <w:num w:numId="23">
    <w:abstractNumId w:val="23"/>
  </w:num>
  <w:num w:numId="24">
    <w:abstractNumId w:val="24"/>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E0"/>
    <w:rsid w:val="00002CBF"/>
    <w:rsid w:val="00016CFE"/>
    <w:rsid w:val="00047530"/>
    <w:rsid w:val="00054D69"/>
    <w:rsid w:val="00081AEA"/>
    <w:rsid w:val="000868C7"/>
    <w:rsid w:val="000B0419"/>
    <w:rsid w:val="000B0A64"/>
    <w:rsid w:val="000C0952"/>
    <w:rsid w:val="000D1693"/>
    <w:rsid w:val="000E52D2"/>
    <w:rsid w:val="000E6E9D"/>
    <w:rsid w:val="000F1A21"/>
    <w:rsid w:val="000F3C0A"/>
    <w:rsid w:val="000F4FBB"/>
    <w:rsid w:val="000F5073"/>
    <w:rsid w:val="001025FB"/>
    <w:rsid w:val="0010377C"/>
    <w:rsid w:val="00106AA6"/>
    <w:rsid w:val="00135338"/>
    <w:rsid w:val="00135F76"/>
    <w:rsid w:val="00141989"/>
    <w:rsid w:val="00141EF7"/>
    <w:rsid w:val="00144586"/>
    <w:rsid w:val="00163613"/>
    <w:rsid w:val="0016646D"/>
    <w:rsid w:val="0017258B"/>
    <w:rsid w:val="00173FBF"/>
    <w:rsid w:val="00190534"/>
    <w:rsid w:val="00195CA6"/>
    <w:rsid w:val="001A2CA5"/>
    <w:rsid w:val="001E5EA0"/>
    <w:rsid w:val="00203BAF"/>
    <w:rsid w:val="00206559"/>
    <w:rsid w:val="00206BEE"/>
    <w:rsid w:val="002136FE"/>
    <w:rsid w:val="00215A64"/>
    <w:rsid w:val="00217C55"/>
    <w:rsid w:val="002238FD"/>
    <w:rsid w:val="0024643E"/>
    <w:rsid w:val="002517B7"/>
    <w:rsid w:val="002562FB"/>
    <w:rsid w:val="00273195"/>
    <w:rsid w:val="00284C15"/>
    <w:rsid w:val="00296763"/>
    <w:rsid w:val="002A5A3E"/>
    <w:rsid w:val="002A6A83"/>
    <w:rsid w:val="002A704D"/>
    <w:rsid w:val="002B28E5"/>
    <w:rsid w:val="002D1872"/>
    <w:rsid w:val="002D799B"/>
    <w:rsid w:val="002E2726"/>
    <w:rsid w:val="002E372D"/>
    <w:rsid w:val="003014EA"/>
    <w:rsid w:val="003042D6"/>
    <w:rsid w:val="0030693E"/>
    <w:rsid w:val="0030748B"/>
    <w:rsid w:val="003337CD"/>
    <w:rsid w:val="00342425"/>
    <w:rsid w:val="00352993"/>
    <w:rsid w:val="003534CA"/>
    <w:rsid w:val="00384B9A"/>
    <w:rsid w:val="003A331E"/>
    <w:rsid w:val="003A3BFC"/>
    <w:rsid w:val="003A7CC1"/>
    <w:rsid w:val="003B3608"/>
    <w:rsid w:val="003B774E"/>
    <w:rsid w:val="003E4643"/>
    <w:rsid w:val="003F1F37"/>
    <w:rsid w:val="00452F23"/>
    <w:rsid w:val="00455BF6"/>
    <w:rsid w:val="00456D64"/>
    <w:rsid w:val="004574D0"/>
    <w:rsid w:val="00481E76"/>
    <w:rsid w:val="00487D3D"/>
    <w:rsid w:val="004B7FCA"/>
    <w:rsid w:val="004C5F86"/>
    <w:rsid w:val="004D3B07"/>
    <w:rsid w:val="004E178D"/>
    <w:rsid w:val="004E2A26"/>
    <w:rsid w:val="004E2F6B"/>
    <w:rsid w:val="004F18A4"/>
    <w:rsid w:val="00500085"/>
    <w:rsid w:val="005012E0"/>
    <w:rsid w:val="00506ADB"/>
    <w:rsid w:val="005220E2"/>
    <w:rsid w:val="0052573F"/>
    <w:rsid w:val="005267F7"/>
    <w:rsid w:val="005368CF"/>
    <w:rsid w:val="00550512"/>
    <w:rsid w:val="005719A3"/>
    <w:rsid w:val="005910D5"/>
    <w:rsid w:val="005945BE"/>
    <w:rsid w:val="005A2E5D"/>
    <w:rsid w:val="005D1300"/>
    <w:rsid w:val="005D71B5"/>
    <w:rsid w:val="005E52B6"/>
    <w:rsid w:val="005E7603"/>
    <w:rsid w:val="005E7E2C"/>
    <w:rsid w:val="005F6EC0"/>
    <w:rsid w:val="0060590C"/>
    <w:rsid w:val="0061030A"/>
    <w:rsid w:val="00611275"/>
    <w:rsid w:val="006162B4"/>
    <w:rsid w:val="00624EBF"/>
    <w:rsid w:val="006379EC"/>
    <w:rsid w:val="006472CF"/>
    <w:rsid w:val="0065264B"/>
    <w:rsid w:val="006866A3"/>
    <w:rsid w:val="0069217A"/>
    <w:rsid w:val="00696537"/>
    <w:rsid w:val="006A3CAF"/>
    <w:rsid w:val="006A686A"/>
    <w:rsid w:val="006B1AFF"/>
    <w:rsid w:val="006B21DA"/>
    <w:rsid w:val="006B4047"/>
    <w:rsid w:val="006D267B"/>
    <w:rsid w:val="006E4CE6"/>
    <w:rsid w:val="006F767B"/>
    <w:rsid w:val="00702FD0"/>
    <w:rsid w:val="0070496A"/>
    <w:rsid w:val="007064D4"/>
    <w:rsid w:val="00721928"/>
    <w:rsid w:val="007520AE"/>
    <w:rsid w:val="00765456"/>
    <w:rsid w:val="007668DB"/>
    <w:rsid w:val="00777E35"/>
    <w:rsid w:val="00780D9D"/>
    <w:rsid w:val="007813FE"/>
    <w:rsid w:val="007825D6"/>
    <w:rsid w:val="0078467C"/>
    <w:rsid w:val="007B3A5F"/>
    <w:rsid w:val="007C0887"/>
    <w:rsid w:val="007C5C52"/>
    <w:rsid w:val="008231F1"/>
    <w:rsid w:val="00837937"/>
    <w:rsid w:val="00853588"/>
    <w:rsid w:val="00854056"/>
    <w:rsid w:val="00883418"/>
    <w:rsid w:val="008A459B"/>
    <w:rsid w:val="008B1C5E"/>
    <w:rsid w:val="008B711E"/>
    <w:rsid w:val="008C60E9"/>
    <w:rsid w:val="008C6A46"/>
    <w:rsid w:val="008D492C"/>
    <w:rsid w:val="008F1860"/>
    <w:rsid w:val="00914DF7"/>
    <w:rsid w:val="00917233"/>
    <w:rsid w:val="00920332"/>
    <w:rsid w:val="00931D6F"/>
    <w:rsid w:val="00940D45"/>
    <w:rsid w:val="009424B3"/>
    <w:rsid w:val="00951E48"/>
    <w:rsid w:val="009526C5"/>
    <w:rsid w:val="00970FED"/>
    <w:rsid w:val="009C0FFF"/>
    <w:rsid w:val="009C1024"/>
    <w:rsid w:val="009C511D"/>
    <w:rsid w:val="009E5AB0"/>
    <w:rsid w:val="009F326E"/>
    <w:rsid w:val="00A30FAE"/>
    <w:rsid w:val="00A340D5"/>
    <w:rsid w:val="00A55959"/>
    <w:rsid w:val="00A7532C"/>
    <w:rsid w:val="00A755B1"/>
    <w:rsid w:val="00A80857"/>
    <w:rsid w:val="00A96E3E"/>
    <w:rsid w:val="00AA07EB"/>
    <w:rsid w:val="00AA1DD4"/>
    <w:rsid w:val="00AB053C"/>
    <w:rsid w:val="00AB4DA6"/>
    <w:rsid w:val="00AC33EB"/>
    <w:rsid w:val="00AF272B"/>
    <w:rsid w:val="00AF2FB8"/>
    <w:rsid w:val="00AF638A"/>
    <w:rsid w:val="00B00F5B"/>
    <w:rsid w:val="00B14D20"/>
    <w:rsid w:val="00B1503C"/>
    <w:rsid w:val="00BB390A"/>
    <w:rsid w:val="00BD2851"/>
    <w:rsid w:val="00BD4BA1"/>
    <w:rsid w:val="00BE0892"/>
    <w:rsid w:val="00BE4C53"/>
    <w:rsid w:val="00BF17D9"/>
    <w:rsid w:val="00BF358C"/>
    <w:rsid w:val="00C0718C"/>
    <w:rsid w:val="00C12B1B"/>
    <w:rsid w:val="00C14A8A"/>
    <w:rsid w:val="00C24FED"/>
    <w:rsid w:val="00C270DD"/>
    <w:rsid w:val="00C31206"/>
    <w:rsid w:val="00C51D68"/>
    <w:rsid w:val="00C662DF"/>
    <w:rsid w:val="00C74B15"/>
    <w:rsid w:val="00C910D5"/>
    <w:rsid w:val="00CA3A76"/>
    <w:rsid w:val="00CB5070"/>
    <w:rsid w:val="00CC0546"/>
    <w:rsid w:val="00CC35FF"/>
    <w:rsid w:val="00CD63A0"/>
    <w:rsid w:val="00CF65B0"/>
    <w:rsid w:val="00D01550"/>
    <w:rsid w:val="00D274BB"/>
    <w:rsid w:val="00D43FF7"/>
    <w:rsid w:val="00D74340"/>
    <w:rsid w:val="00D90E4A"/>
    <w:rsid w:val="00DC27C5"/>
    <w:rsid w:val="00E0545B"/>
    <w:rsid w:val="00E13B9E"/>
    <w:rsid w:val="00E16F09"/>
    <w:rsid w:val="00E20FA3"/>
    <w:rsid w:val="00E25894"/>
    <w:rsid w:val="00E25F0C"/>
    <w:rsid w:val="00E42C74"/>
    <w:rsid w:val="00E47EDA"/>
    <w:rsid w:val="00E66F77"/>
    <w:rsid w:val="00E703E5"/>
    <w:rsid w:val="00E92E8F"/>
    <w:rsid w:val="00E978F3"/>
    <w:rsid w:val="00EA37F6"/>
    <w:rsid w:val="00EC10AF"/>
    <w:rsid w:val="00ED599F"/>
    <w:rsid w:val="00F35670"/>
    <w:rsid w:val="00F47D78"/>
    <w:rsid w:val="00F5189B"/>
    <w:rsid w:val="00F8011C"/>
    <w:rsid w:val="00F8054E"/>
    <w:rsid w:val="00FB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BD08BA"/>
  <w15:chartTrackingRefBased/>
  <w15:docId w15:val="{3320E883-9E3B-45A2-BD20-5DC0D678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E0"/>
    <w:pPr>
      <w:spacing w:after="200" w:line="276" w:lineRule="auto"/>
    </w:pPr>
    <w:rPr>
      <w:rFonts w:ascii="Calibri" w:eastAsia="Calibri" w:hAnsi="Calibri" w:cs="Times New Roman"/>
    </w:rPr>
  </w:style>
  <w:style w:type="paragraph" w:styleId="Heading1">
    <w:name w:val="heading 1"/>
    <w:aliases w:val="IRP Head 2"/>
    <w:basedOn w:val="Normal"/>
    <w:next w:val="Normal"/>
    <w:link w:val="Heading1Char"/>
    <w:uiPriority w:val="9"/>
    <w:qFormat/>
    <w:rsid w:val="005012E0"/>
    <w:pPr>
      <w:keepNext/>
      <w:spacing w:before="240" w:after="60"/>
      <w:jc w:val="center"/>
      <w:outlineLvl w:val="0"/>
    </w:pPr>
    <w:rPr>
      <w:rFonts w:ascii="Arial Narrow" w:eastAsia="Times New Roman" w:hAnsi="Arial Narrow"/>
      <w:b/>
      <w:bCs/>
      <w:color w:val="002060"/>
      <w:kern w:val="32"/>
      <w:sz w:val="32"/>
      <w:szCs w:val="32"/>
    </w:rPr>
  </w:style>
  <w:style w:type="paragraph" w:styleId="Heading2">
    <w:name w:val="heading 2"/>
    <w:basedOn w:val="Normal"/>
    <w:next w:val="Normal"/>
    <w:link w:val="Heading2Char"/>
    <w:qFormat/>
    <w:rsid w:val="005012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012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012E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RP Head 2 Char"/>
    <w:basedOn w:val="DefaultParagraphFont"/>
    <w:link w:val="Heading1"/>
    <w:uiPriority w:val="9"/>
    <w:rsid w:val="005012E0"/>
    <w:rPr>
      <w:rFonts w:ascii="Arial Narrow" w:eastAsia="Times New Roman" w:hAnsi="Arial Narrow" w:cs="Times New Roman"/>
      <w:b/>
      <w:bCs/>
      <w:color w:val="002060"/>
      <w:kern w:val="32"/>
      <w:sz w:val="32"/>
      <w:szCs w:val="32"/>
    </w:rPr>
  </w:style>
  <w:style w:type="character" w:customStyle="1" w:styleId="Heading2Char">
    <w:name w:val="Heading 2 Char"/>
    <w:basedOn w:val="DefaultParagraphFont"/>
    <w:link w:val="Heading2"/>
    <w:rsid w:val="005012E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012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5012E0"/>
    <w:rPr>
      <w:rFonts w:ascii="Calibri" w:eastAsia="Times New Roman" w:hAnsi="Calibri" w:cs="Times New Roman"/>
      <w:b/>
      <w:bCs/>
      <w:sz w:val="28"/>
      <w:szCs w:val="28"/>
    </w:rPr>
  </w:style>
  <w:style w:type="paragraph" w:customStyle="1" w:styleId="IRPHEAD1">
    <w:name w:val="IRP HEAD 1"/>
    <w:basedOn w:val="Heading2"/>
    <w:next w:val="Heading2"/>
    <w:link w:val="IRPHEAD1Char"/>
    <w:autoRedefine/>
    <w:qFormat/>
    <w:rsid w:val="005012E0"/>
    <w:pPr>
      <w:spacing w:before="120" w:after="240" w:line="240" w:lineRule="auto"/>
      <w:outlineLvl w:val="2"/>
    </w:pPr>
    <w:rPr>
      <w:rFonts w:ascii="Arial" w:eastAsia="+mn-ea" w:hAnsi="Arial" w:cs="Arial"/>
      <w:bCs w:val="0"/>
      <w:i w:val="0"/>
      <w:caps/>
      <w:kern w:val="24"/>
      <w:sz w:val="24"/>
      <w:szCs w:val="36"/>
    </w:rPr>
  </w:style>
  <w:style w:type="character" w:customStyle="1" w:styleId="IRPHEAD1Char">
    <w:name w:val="IRP HEAD 1 Char"/>
    <w:basedOn w:val="DefaultParagraphFont"/>
    <w:link w:val="IRPHEAD1"/>
    <w:rsid w:val="005012E0"/>
    <w:rPr>
      <w:rFonts w:ascii="Arial" w:eastAsia="+mn-ea" w:hAnsi="Arial" w:cs="Arial"/>
      <w:b/>
      <w:iCs/>
      <w:caps/>
      <w:kern w:val="24"/>
      <w:sz w:val="24"/>
      <w:szCs w:val="36"/>
    </w:rPr>
  </w:style>
  <w:style w:type="paragraph" w:styleId="TOC1">
    <w:name w:val="toc 1"/>
    <w:basedOn w:val="Normal"/>
    <w:next w:val="Normal"/>
    <w:autoRedefine/>
    <w:uiPriority w:val="39"/>
    <w:unhideWhenUsed/>
    <w:rsid w:val="005012E0"/>
    <w:pPr>
      <w:tabs>
        <w:tab w:val="right" w:leader="dot" w:pos="9710"/>
      </w:tabs>
    </w:pPr>
  </w:style>
  <w:style w:type="paragraph" w:customStyle="1" w:styleId="IRPCHAPTERHEAD">
    <w:name w:val="IRP CHAPTER HEAD"/>
    <w:basedOn w:val="IRPHEAD1"/>
    <w:next w:val="Heading1"/>
    <w:link w:val="IRPCHAPTERHEADChar"/>
    <w:autoRedefine/>
    <w:qFormat/>
    <w:rsid w:val="005012E0"/>
    <w:pPr>
      <w:spacing w:before="0"/>
    </w:pPr>
    <w:rPr>
      <w:caps w:val="0"/>
      <w:smallCaps/>
      <w:sz w:val="32"/>
    </w:rPr>
  </w:style>
  <w:style w:type="character" w:customStyle="1" w:styleId="IRPCHAPTERHEADChar">
    <w:name w:val="IRP CHAPTER HEAD Char"/>
    <w:basedOn w:val="DefaultParagraphFont"/>
    <w:link w:val="IRPCHAPTERHEAD"/>
    <w:rsid w:val="005012E0"/>
    <w:rPr>
      <w:rFonts w:ascii="Arial" w:eastAsia="+mn-ea" w:hAnsi="Arial" w:cs="Arial"/>
      <w:b/>
      <w:iCs/>
      <w:smallCaps/>
      <w:kern w:val="24"/>
      <w:sz w:val="32"/>
      <w:szCs w:val="36"/>
    </w:rPr>
  </w:style>
  <w:style w:type="paragraph" w:styleId="TableofFigures">
    <w:name w:val="table of figures"/>
    <w:basedOn w:val="Normal"/>
    <w:next w:val="Normal"/>
    <w:uiPriority w:val="99"/>
    <w:unhideWhenUsed/>
    <w:rsid w:val="005012E0"/>
    <w:rPr>
      <w:rFonts w:ascii="Times New Roman" w:hAnsi="Times New Roman"/>
    </w:rPr>
  </w:style>
  <w:style w:type="paragraph" w:customStyle="1" w:styleId="IRPHEAD2">
    <w:name w:val="IRP HEAD 2"/>
    <w:basedOn w:val="Normal"/>
    <w:next w:val="Heading3"/>
    <w:link w:val="IRPHEAD2Char"/>
    <w:autoRedefine/>
    <w:qFormat/>
    <w:rsid w:val="005012E0"/>
    <w:pPr>
      <w:spacing w:before="120" w:after="120" w:line="240" w:lineRule="auto"/>
      <w:outlineLvl w:val="3"/>
    </w:pPr>
    <w:rPr>
      <w:rFonts w:ascii="Arial" w:hAnsi="Arial"/>
      <w:b/>
      <w:caps/>
      <w:sz w:val="20"/>
    </w:rPr>
  </w:style>
  <w:style w:type="character" w:customStyle="1" w:styleId="IRPHEAD2Char">
    <w:name w:val="IRP HEAD 2 Char"/>
    <w:basedOn w:val="DefaultParagraphFont"/>
    <w:link w:val="IRPHEAD2"/>
    <w:rsid w:val="005012E0"/>
    <w:rPr>
      <w:rFonts w:ascii="Arial" w:eastAsia="Calibri" w:hAnsi="Arial" w:cs="Times New Roman"/>
      <w:b/>
      <w:caps/>
      <w:sz w:val="20"/>
    </w:rPr>
  </w:style>
  <w:style w:type="paragraph" w:customStyle="1" w:styleId="IRPBullet1">
    <w:name w:val="IRP Bullet 1"/>
    <w:basedOn w:val="Normal"/>
    <w:link w:val="IRPBullet1Char"/>
    <w:autoRedefine/>
    <w:rsid w:val="005012E0"/>
    <w:pPr>
      <w:numPr>
        <w:numId w:val="3"/>
      </w:numPr>
      <w:spacing w:after="120"/>
    </w:pPr>
    <w:rPr>
      <w:rFonts w:ascii="Arial" w:hAnsi="Arial"/>
    </w:rPr>
  </w:style>
  <w:style w:type="character" w:customStyle="1" w:styleId="IRPBullet1Char">
    <w:name w:val="IRP Bullet 1 Char"/>
    <w:basedOn w:val="DefaultParagraphFont"/>
    <w:link w:val="IRPBullet1"/>
    <w:rsid w:val="005012E0"/>
    <w:rPr>
      <w:rFonts w:ascii="Arial" w:eastAsia="Calibri" w:hAnsi="Arial" w:cs="Times New Roman"/>
    </w:rPr>
  </w:style>
  <w:style w:type="paragraph" w:customStyle="1" w:styleId="IRPActionPlan">
    <w:name w:val="IRP Action Plan"/>
    <w:basedOn w:val="Normal"/>
    <w:link w:val="IRPActionPlanChar"/>
    <w:autoRedefine/>
    <w:rsid w:val="005012E0"/>
    <w:pPr>
      <w:pBdr>
        <w:left w:val="double" w:sz="12" w:space="4" w:color="auto"/>
      </w:pBdr>
      <w:spacing w:after="240"/>
    </w:pPr>
    <w:rPr>
      <w:rFonts w:ascii="Times New Roman" w:hAnsi="Times New Roman"/>
    </w:rPr>
  </w:style>
  <w:style w:type="character" w:customStyle="1" w:styleId="IRPActionPlanChar">
    <w:name w:val="IRP Action Plan Char"/>
    <w:basedOn w:val="DefaultParagraphFont"/>
    <w:link w:val="IRPActionPlan"/>
    <w:rsid w:val="005012E0"/>
    <w:rPr>
      <w:rFonts w:ascii="Times New Roman" w:eastAsia="Calibri" w:hAnsi="Times New Roman" w:cs="Times New Roman"/>
    </w:rPr>
  </w:style>
  <w:style w:type="paragraph" w:customStyle="1" w:styleId="IRPBullet2">
    <w:name w:val="IRP Bullet 2"/>
    <w:basedOn w:val="IRPBullet1"/>
    <w:link w:val="IRPBullet2Char"/>
    <w:rsid w:val="005012E0"/>
    <w:pPr>
      <w:numPr>
        <w:ilvl w:val="1"/>
        <w:numId w:val="1"/>
      </w:numPr>
    </w:pPr>
  </w:style>
  <w:style w:type="character" w:customStyle="1" w:styleId="IRPBullet2Char">
    <w:name w:val="IRP Bullet 2 Char"/>
    <w:basedOn w:val="IRPBullet1Char"/>
    <w:link w:val="IRPBullet2"/>
    <w:rsid w:val="005012E0"/>
    <w:rPr>
      <w:rFonts w:ascii="Arial" w:eastAsia="Calibri" w:hAnsi="Arial" w:cs="Times New Roman"/>
    </w:rPr>
  </w:style>
  <w:style w:type="character" w:styleId="Hyperlink">
    <w:name w:val="Hyperlink"/>
    <w:basedOn w:val="DefaultParagraphFont"/>
    <w:uiPriority w:val="99"/>
    <w:unhideWhenUsed/>
    <w:rsid w:val="005012E0"/>
    <w:rPr>
      <w:color w:val="0000FF"/>
      <w:u w:val="single"/>
    </w:rPr>
  </w:style>
  <w:style w:type="paragraph" w:customStyle="1" w:styleId="IRPHead3">
    <w:name w:val="IRP Head 3"/>
    <w:basedOn w:val="Heading4"/>
    <w:next w:val="Heading4"/>
    <w:link w:val="IRPHead3Char"/>
    <w:autoRedefine/>
    <w:qFormat/>
    <w:rsid w:val="005012E0"/>
    <w:pPr>
      <w:spacing w:after="0" w:line="240" w:lineRule="auto"/>
      <w:outlineLvl w:val="2"/>
    </w:pPr>
    <w:rPr>
      <w:rFonts w:ascii="Arial Bold" w:hAnsi="Arial Bold" w:cs="Arial"/>
      <w:sz w:val="20"/>
    </w:rPr>
  </w:style>
  <w:style w:type="character" w:customStyle="1" w:styleId="IRPHead3Char">
    <w:name w:val="IRP Head 3 Char"/>
    <w:basedOn w:val="DefaultParagraphFont"/>
    <w:link w:val="IRPHead3"/>
    <w:rsid w:val="005012E0"/>
    <w:rPr>
      <w:rFonts w:ascii="Arial Bold" w:eastAsia="Times New Roman" w:hAnsi="Arial Bold" w:cs="Arial"/>
      <w:b/>
      <w:bCs/>
      <w:sz w:val="20"/>
      <w:szCs w:val="28"/>
    </w:rPr>
  </w:style>
  <w:style w:type="paragraph" w:customStyle="1" w:styleId="IRPTOC">
    <w:name w:val="IRP  TOC"/>
    <w:basedOn w:val="Normal"/>
    <w:next w:val="IRPActionPlan"/>
    <w:link w:val="IRPTOCChar"/>
    <w:qFormat/>
    <w:rsid w:val="005012E0"/>
    <w:pPr>
      <w:tabs>
        <w:tab w:val="right" w:leader="dot" w:pos="9706"/>
      </w:tabs>
      <w:spacing w:after="240" w:line="240" w:lineRule="auto"/>
    </w:pPr>
    <w:rPr>
      <w:rFonts w:ascii="Times New Roman" w:hAnsi="Times New Roman"/>
      <w:sz w:val="24"/>
    </w:rPr>
  </w:style>
  <w:style w:type="character" w:customStyle="1" w:styleId="IRPTOCChar">
    <w:name w:val="IRP  TOC Char"/>
    <w:basedOn w:val="DefaultParagraphFont"/>
    <w:link w:val="IRPTOC"/>
    <w:rsid w:val="005012E0"/>
    <w:rPr>
      <w:rFonts w:ascii="Times New Roman" w:eastAsia="Calibri" w:hAnsi="Times New Roman" w:cs="Times New Roman"/>
      <w:sz w:val="24"/>
    </w:rPr>
  </w:style>
  <w:style w:type="paragraph" w:customStyle="1" w:styleId="IRPBullet3">
    <w:name w:val="IRP Bullet 3"/>
    <w:basedOn w:val="IRPBullet2"/>
    <w:link w:val="IRPBullet3Char"/>
    <w:rsid w:val="005012E0"/>
    <w:pPr>
      <w:numPr>
        <w:ilvl w:val="0"/>
      </w:numPr>
    </w:pPr>
    <w:rPr>
      <w:rFonts w:ascii="Arial Narrow" w:hAnsi="Arial Narrow" w:cs="Arial"/>
      <w:b/>
      <w:i/>
      <w:color w:val="782327"/>
      <w:sz w:val="24"/>
      <w:szCs w:val="24"/>
    </w:rPr>
  </w:style>
  <w:style w:type="character" w:customStyle="1" w:styleId="IRPBullet3Char">
    <w:name w:val="IRP Bullet 3 Char"/>
    <w:basedOn w:val="IRPBullet2Char"/>
    <w:link w:val="IRPBullet3"/>
    <w:rsid w:val="005012E0"/>
    <w:rPr>
      <w:rFonts w:ascii="Arial Narrow" w:eastAsia="Calibri" w:hAnsi="Arial Narrow" w:cs="Arial"/>
      <w:b/>
      <w:i/>
      <w:color w:val="782327"/>
      <w:sz w:val="24"/>
      <w:szCs w:val="24"/>
    </w:rPr>
  </w:style>
  <w:style w:type="paragraph" w:styleId="DocumentMap">
    <w:name w:val="Document Map"/>
    <w:basedOn w:val="Normal"/>
    <w:link w:val="DocumentMapChar"/>
    <w:uiPriority w:val="99"/>
    <w:semiHidden/>
    <w:unhideWhenUsed/>
    <w:rsid w:val="005012E0"/>
    <w:rPr>
      <w:rFonts w:ascii="Tahoma" w:hAnsi="Tahoma" w:cs="Tahoma"/>
      <w:sz w:val="16"/>
      <w:szCs w:val="16"/>
    </w:rPr>
  </w:style>
  <w:style w:type="character" w:customStyle="1" w:styleId="DocumentMapChar">
    <w:name w:val="Document Map Char"/>
    <w:basedOn w:val="DefaultParagraphFont"/>
    <w:link w:val="DocumentMap"/>
    <w:uiPriority w:val="99"/>
    <w:semiHidden/>
    <w:rsid w:val="005012E0"/>
    <w:rPr>
      <w:rFonts w:ascii="Tahoma" w:eastAsia="Calibri" w:hAnsi="Tahoma" w:cs="Tahoma"/>
      <w:sz w:val="16"/>
      <w:szCs w:val="16"/>
    </w:rPr>
  </w:style>
  <w:style w:type="paragraph" w:customStyle="1" w:styleId="IRPQuote">
    <w:name w:val="IRP Quote"/>
    <w:basedOn w:val="Normal"/>
    <w:link w:val="IRPQuoteChar"/>
    <w:qFormat/>
    <w:rsid w:val="005012E0"/>
    <w:pPr>
      <w:ind w:left="720"/>
    </w:pPr>
    <w:rPr>
      <w:rFonts w:ascii="Times New Roman" w:hAnsi="Times New Roman"/>
      <w:i/>
      <w:sz w:val="24"/>
    </w:rPr>
  </w:style>
  <w:style w:type="character" w:customStyle="1" w:styleId="IRPQuoteChar">
    <w:name w:val="IRP Quote Char"/>
    <w:basedOn w:val="DefaultParagraphFont"/>
    <w:link w:val="IRPQuote"/>
    <w:rsid w:val="005012E0"/>
    <w:rPr>
      <w:rFonts w:ascii="Times New Roman" w:eastAsia="Calibri" w:hAnsi="Times New Roman" w:cs="Times New Roman"/>
      <w:i/>
      <w:sz w:val="24"/>
    </w:rPr>
  </w:style>
  <w:style w:type="paragraph" w:customStyle="1" w:styleId="IRPGlossaryHead">
    <w:name w:val="IRP Glossary Head"/>
    <w:basedOn w:val="IRPHEAD1"/>
    <w:next w:val="BodyText"/>
    <w:link w:val="IRPGlossaryHeadChar"/>
    <w:qFormat/>
    <w:rsid w:val="005012E0"/>
  </w:style>
  <w:style w:type="paragraph" w:styleId="BodyText">
    <w:name w:val="Body Text"/>
    <w:basedOn w:val="Normal"/>
    <w:link w:val="BodyTextChar"/>
    <w:uiPriority w:val="99"/>
    <w:semiHidden/>
    <w:unhideWhenUsed/>
    <w:rsid w:val="005012E0"/>
    <w:pPr>
      <w:spacing w:after="120"/>
    </w:pPr>
  </w:style>
  <w:style w:type="character" w:customStyle="1" w:styleId="BodyTextChar">
    <w:name w:val="Body Text Char"/>
    <w:basedOn w:val="DefaultParagraphFont"/>
    <w:link w:val="BodyText"/>
    <w:uiPriority w:val="99"/>
    <w:semiHidden/>
    <w:rsid w:val="005012E0"/>
    <w:rPr>
      <w:rFonts w:ascii="Calibri" w:eastAsia="Calibri" w:hAnsi="Calibri" w:cs="Times New Roman"/>
    </w:rPr>
  </w:style>
  <w:style w:type="character" w:customStyle="1" w:styleId="IRPGlossaryHeadChar">
    <w:name w:val="IRP Glossary Head Char"/>
    <w:basedOn w:val="IRPHead3Char"/>
    <w:link w:val="IRPGlossaryHead"/>
    <w:rsid w:val="005012E0"/>
    <w:rPr>
      <w:rFonts w:ascii="Arial" w:eastAsia="+mn-ea" w:hAnsi="Arial" w:cs="Arial"/>
      <w:b/>
      <w:bCs w:val="0"/>
      <w:iCs/>
      <w:caps/>
      <w:kern w:val="24"/>
      <w:sz w:val="24"/>
      <w:szCs w:val="36"/>
    </w:rPr>
  </w:style>
  <w:style w:type="paragraph" w:customStyle="1" w:styleId="IRPParagraphIndent">
    <w:name w:val="IRP Paragraph Indent"/>
    <w:basedOn w:val="IRPActionPlan"/>
    <w:link w:val="IRPParagraphIndentChar"/>
    <w:autoRedefine/>
    <w:qFormat/>
    <w:rsid w:val="005012E0"/>
    <w:pPr>
      <w:pBdr>
        <w:left w:val="none" w:sz="0" w:space="0" w:color="auto"/>
      </w:pBdr>
    </w:pPr>
  </w:style>
  <w:style w:type="character" w:customStyle="1" w:styleId="IRPParagraphIndentChar">
    <w:name w:val="IRP Paragraph Indent Char"/>
    <w:basedOn w:val="IRPActionPlanChar"/>
    <w:link w:val="IRPParagraphIndent"/>
    <w:rsid w:val="005012E0"/>
    <w:rPr>
      <w:rFonts w:ascii="Times New Roman" w:eastAsia="Calibri" w:hAnsi="Times New Roman" w:cs="Times New Roman"/>
    </w:rPr>
  </w:style>
  <w:style w:type="paragraph" w:styleId="TOCHeading">
    <w:name w:val="TOC Heading"/>
    <w:basedOn w:val="Heading1"/>
    <w:next w:val="Normal"/>
    <w:uiPriority w:val="39"/>
    <w:qFormat/>
    <w:rsid w:val="005012E0"/>
    <w:pPr>
      <w:keepLines/>
      <w:spacing w:before="480" w:after="0"/>
      <w:outlineLvl w:val="9"/>
    </w:pPr>
    <w:rPr>
      <w:rFonts w:ascii="Cambria" w:hAnsi="Cambria"/>
      <w:color w:val="365F91"/>
      <w:kern w:val="0"/>
      <w:sz w:val="28"/>
      <w:szCs w:val="28"/>
    </w:rPr>
  </w:style>
  <w:style w:type="paragraph" w:styleId="TOC2">
    <w:name w:val="toc 2"/>
    <w:basedOn w:val="Normal"/>
    <w:next w:val="Normal"/>
    <w:autoRedefine/>
    <w:uiPriority w:val="39"/>
    <w:unhideWhenUsed/>
    <w:rsid w:val="005012E0"/>
    <w:pPr>
      <w:ind w:left="220"/>
    </w:pPr>
  </w:style>
  <w:style w:type="paragraph" w:styleId="TOC3">
    <w:name w:val="toc 3"/>
    <w:basedOn w:val="Normal"/>
    <w:next w:val="Normal"/>
    <w:autoRedefine/>
    <w:uiPriority w:val="39"/>
    <w:unhideWhenUsed/>
    <w:rsid w:val="005012E0"/>
    <w:pPr>
      <w:ind w:left="440"/>
    </w:pPr>
  </w:style>
  <w:style w:type="paragraph" w:styleId="Header">
    <w:name w:val="header"/>
    <w:basedOn w:val="Normal"/>
    <w:link w:val="HeaderChar"/>
    <w:uiPriority w:val="99"/>
    <w:unhideWhenUsed/>
    <w:rsid w:val="005012E0"/>
    <w:pPr>
      <w:tabs>
        <w:tab w:val="center" w:pos="4680"/>
        <w:tab w:val="right" w:pos="9360"/>
      </w:tabs>
    </w:pPr>
  </w:style>
  <w:style w:type="character" w:customStyle="1" w:styleId="HeaderChar">
    <w:name w:val="Header Char"/>
    <w:basedOn w:val="DefaultParagraphFont"/>
    <w:link w:val="Header"/>
    <w:uiPriority w:val="99"/>
    <w:rsid w:val="005012E0"/>
    <w:rPr>
      <w:rFonts w:ascii="Calibri" w:eastAsia="Calibri" w:hAnsi="Calibri" w:cs="Times New Roman"/>
    </w:rPr>
  </w:style>
  <w:style w:type="paragraph" w:styleId="Footer">
    <w:name w:val="footer"/>
    <w:basedOn w:val="Normal"/>
    <w:link w:val="FooterChar"/>
    <w:uiPriority w:val="99"/>
    <w:unhideWhenUsed/>
    <w:rsid w:val="005012E0"/>
    <w:pPr>
      <w:tabs>
        <w:tab w:val="center" w:pos="4680"/>
        <w:tab w:val="right" w:pos="9360"/>
      </w:tabs>
    </w:pPr>
  </w:style>
  <w:style w:type="character" w:customStyle="1" w:styleId="FooterChar">
    <w:name w:val="Footer Char"/>
    <w:basedOn w:val="DefaultParagraphFont"/>
    <w:link w:val="Footer"/>
    <w:uiPriority w:val="99"/>
    <w:rsid w:val="005012E0"/>
    <w:rPr>
      <w:rFonts w:ascii="Calibri" w:eastAsia="Calibri" w:hAnsi="Calibri" w:cs="Times New Roman"/>
    </w:rPr>
  </w:style>
  <w:style w:type="paragraph" w:styleId="BalloonText">
    <w:name w:val="Balloon Text"/>
    <w:basedOn w:val="Normal"/>
    <w:link w:val="BalloonTextChar"/>
    <w:uiPriority w:val="99"/>
    <w:semiHidden/>
    <w:unhideWhenUsed/>
    <w:rsid w:val="0050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E0"/>
    <w:rPr>
      <w:rFonts w:ascii="Tahoma" w:eastAsia="Calibri" w:hAnsi="Tahoma" w:cs="Tahoma"/>
      <w:sz w:val="16"/>
      <w:szCs w:val="16"/>
    </w:rPr>
  </w:style>
  <w:style w:type="paragraph" w:styleId="FootnoteText">
    <w:name w:val="footnote text"/>
    <w:basedOn w:val="Normal"/>
    <w:link w:val="FootnoteTextChar"/>
    <w:uiPriority w:val="99"/>
    <w:semiHidden/>
    <w:unhideWhenUsed/>
    <w:rsid w:val="005012E0"/>
    <w:rPr>
      <w:sz w:val="20"/>
      <w:szCs w:val="20"/>
    </w:rPr>
  </w:style>
  <w:style w:type="character" w:customStyle="1" w:styleId="FootnoteTextChar">
    <w:name w:val="Footnote Text Char"/>
    <w:basedOn w:val="DefaultParagraphFont"/>
    <w:link w:val="FootnoteText"/>
    <w:uiPriority w:val="99"/>
    <w:semiHidden/>
    <w:rsid w:val="005012E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012E0"/>
    <w:rPr>
      <w:vertAlign w:val="superscript"/>
    </w:rPr>
  </w:style>
  <w:style w:type="paragraph" w:customStyle="1" w:styleId="IRPFootnote">
    <w:name w:val="IRP Footnote"/>
    <w:basedOn w:val="FootnoteText"/>
    <w:link w:val="IRPFootnoteChar"/>
    <w:qFormat/>
    <w:rsid w:val="005012E0"/>
    <w:pPr>
      <w:spacing w:before="120" w:after="0" w:line="240" w:lineRule="auto"/>
    </w:pPr>
    <w:rPr>
      <w:rFonts w:ascii="Arial" w:hAnsi="Arial"/>
      <w:sz w:val="16"/>
    </w:rPr>
  </w:style>
  <w:style w:type="character" w:customStyle="1" w:styleId="IRPFootnoteChar">
    <w:name w:val="IRP Footnote Char"/>
    <w:basedOn w:val="FootnoteTextChar"/>
    <w:link w:val="IRPFootnote"/>
    <w:rsid w:val="005012E0"/>
    <w:rPr>
      <w:rFonts w:ascii="Arial" w:eastAsia="Calibri" w:hAnsi="Arial" w:cs="Times New Roman"/>
      <w:sz w:val="16"/>
      <w:szCs w:val="20"/>
    </w:rPr>
  </w:style>
  <w:style w:type="table" w:styleId="TableGrid">
    <w:name w:val="Table Grid"/>
    <w:basedOn w:val="TableNormal"/>
    <w:uiPriority w:val="59"/>
    <w:rsid w:val="005012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012E0"/>
    <w:pPr>
      <w:numPr>
        <w:numId w:val="2"/>
      </w:numPr>
    </w:pPr>
  </w:style>
  <w:style w:type="paragraph" w:customStyle="1" w:styleId="IRPChart">
    <w:name w:val="IRP Chart"/>
    <w:basedOn w:val="IRPParagraphIndent"/>
    <w:link w:val="IRPChartChar"/>
    <w:rsid w:val="005012E0"/>
    <w:pPr>
      <w:jc w:val="center"/>
    </w:pPr>
  </w:style>
  <w:style w:type="character" w:customStyle="1" w:styleId="IRPChartChar">
    <w:name w:val="IRP Chart Char"/>
    <w:basedOn w:val="IRPParagraphIndentChar"/>
    <w:link w:val="IRPChart"/>
    <w:rsid w:val="005012E0"/>
    <w:rPr>
      <w:rFonts w:ascii="Times New Roman" w:eastAsia="Calibri" w:hAnsi="Times New Roman" w:cs="Times New Roman"/>
    </w:rPr>
  </w:style>
  <w:style w:type="paragraph" w:customStyle="1" w:styleId="IRPTable">
    <w:name w:val="IRP Table"/>
    <w:basedOn w:val="Normal"/>
    <w:link w:val="IRPTableChar"/>
    <w:qFormat/>
    <w:rsid w:val="005012E0"/>
    <w:pPr>
      <w:shd w:val="clear" w:color="auto" w:fill="003359"/>
      <w:spacing w:after="0" w:line="240" w:lineRule="auto"/>
      <w:jc w:val="center"/>
    </w:pPr>
    <w:rPr>
      <w:rFonts w:ascii="Arial" w:eastAsia="Times New Roman" w:hAnsi="Arial" w:cs="Arial"/>
      <w:b/>
      <w:bCs/>
      <w:color w:val="FFFFFF"/>
      <w:sz w:val="20"/>
      <w:szCs w:val="20"/>
    </w:rPr>
  </w:style>
  <w:style w:type="paragraph" w:customStyle="1" w:styleId="IRPActionHead">
    <w:name w:val="IRP Action Head"/>
    <w:basedOn w:val="IRPCHAPTERHEAD"/>
    <w:link w:val="IRPActionHeadChar"/>
    <w:qFormat/>
    <w:rsid w:val="005012E0"/>
  </w:style>
  <w:style w:type="character" w:customStyle="1" w:styleId="IRPTableChar">
    <w:name w:val="IRP Table Char"/>
    <w:basedOn w:val="DefaultParagraphFont"/>
    <w:link w:val="IRPTable"/>
    <w:rsid w:val="005012E0"/>
    <w:rPr>
      <w:rFonts w:ascii="Arial" w:eastAsia="Times New Roman" w:hAnsi="Arial" w:cs="Arial"/>
      <w:b/>
      <w:bCs/>
      <w:color w:val="FFFFFF"/>
      <w:sz w:val="20"/>
      <w:szCs w:val="20"/>
      <w:shd w:val="clear" w:color="auto" w:fill="003359"/>
    </w:rPr>
  </w:style>
  <w:style w:type="character" w:customStyle="1" w:styleId="IRPActionHeadChar">
    <w:name w:val="IRP Action Head Char"/>
    <w:basedOn w:val="IRPCHAPTERHEADChar"/>
    <w:link w:val="IRPActionHead"/>
    <w:rsid w:val="005012E0"/>
    <w:rPr>
      <w:rFonts w:ascii="Arial" w:eastAsia="+mn-ea" w:hAnsi="Arial" w:cs="Arial"/>
      <w:b/>
      <w:iCs/>
      <w:smallCaps/>
      <w:kern w:val="24"/>
      <w:sz w:val="32"/>
      <w:szCs w:val="36"/>
    </w:rPr>
  </w:style>
  <w:style w:type="paragraph" w:customStyle="1" w:styleId="IRPMAINHEAD">
    <w:name w:val="IRP MAIN HEAD"/>
    <w:basedOn w:val="IRPHEAD1"/>
    <w:next w:val="Heading1"/>
    <w:link w:val="IRPMAINHEADChar"/>
    <w:qFormat/>
    <w:rsid w:val="005012E0"/>
    <w:pPr>
      <w:spacing w:after="0"/>
      <w:jc w:val="center"/>
    </w:pPr>
  </w:style>
  <w:style w:type="character" w:customStyle="1" w:styleId="IRPMAINHEADChar">
    <w:name w:val="IRP MAIN HEAD Char"/>
    <w:basedOn w:val="DefaultParagraphFont"/>
    <w:link w:val="IRPMAINHEAD"/>
    <w:rsid w:val="005012E0"/>
    <w:rPr>
      <w:rFonts w:ascii="Arial" w:eastAsia="+mn-ea" w:hAnsi="Arial" w:cs="Arial"/>
      <w:b/>
      <w:iCs/>
      <w:caps/>
      <w:kern w:val="24"/>
      <w:sz w:val="24"/>
      <w:szCs w:val="36"/>
    </w:rPr>
  </w:style>
  <w:style w:type="paragraph" w:customStyle="1" w:styleId="IRPParagraph">
    <w:name w:val="IRP Paragraph"/>
    <w:basedOn w:val="Normal"/>
    <w:link w:val="IRPParagraphChar"/>
    <w:autoRedefine/>
    <w:qFormat/>
    <w:rsid w:val="00CB5070"/>
    <w:pPr>
      <w:spacing w:after="240"/>
      <w:jc w:val="both"/>
    </w:pPr>
    <w:rPr>
      <w:rFonts w:ascii="Arial" w:eastAsia="Times New Roman" w:hAnsi="Arial"/>
      <w:sz w:val="24"/>
      <w:szCs w:val="24"/>
    </w:rPr>
  </w:style>
  <w:style w:type="character" w:customStyle="1" w:styleId="IRPParagraphChar">
    <w:name w:val="IRP Paragraph Char"/>
    <w:basedOn w:val="DefaultParagraphFont"/>
    <w:link w:val="IRPParagraph"/>
    <w:rsid w:val="00CB507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5012E0"/>
    <w:rPr>
      <w:sz w:val="16"/>
      <w:szCs w:val="16"/>
    </w:rPr>
  </w:style>
  <w:style w:type="paragraph" w:styleId="CommentText">
    <w:name w:val="annotation text"/>
    <w:basedOn w:val="Normal"/>
    <w:link w:val="CommentTextChar"/>
    <w:uiPriority w:val="99"/>
    <w:semiHidden/>
    <w:unhideWhenUsed/>
    <w:rsid w:val="005012E0"/>
    <w:rPr>
      <w:sz w:val="20"/>
      <w:szCs w:val="20"/>
    </w:rPr>
  </w:style>
  <w:style w:type="character" w:customStyle="1" w:styleId="CommentTextChar">
    <w:name w:val="Comment Text Char"/>
    <w:basedOn w:val="DefaultParagraphFont"/>
    <w:link w:val="CommentText"/>
    <w:uiPriority w:val="99"/>
    <w:semiHidden/>
    <w:rsid w:val="005012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12E0"/>
    <w:rPr>
      <w:b/>
      <w:bCs/>
    </w:rPr>
  </w:style>
  <w:style w:type="character" w:customStyle="1" w:styleId="CommentSubjectChar">
    <w:name w:val="Comment Subject Char"/>
    <w:basedOn w:val="CommentTextChar"/>
    <w:link w:val="CommentSubject"/>
    <w:uiPriority w:val="99"/>
    <w:semiHidden/>
    <w:rsid w:val="005012E0"/>
    <w:rPr>
      <w:rFonts w:ascii="Calibri" w:eastAsia="Calibri" w:hAnsi="Calibri" w:cs="Times New Roman"/>
      <w:b/>
      <w:bCs/>
      <w:sz w:val="20"/>
      <w:szCs w:val="20"/>
    </w:rPr>
  </w:style>
  <w:style w:type="paragraph" w:styleId="Revision">
    <w:name w:val="Revision"/>
    <w:hidden/>
    <w:uiPriority w:val="99"/>
    <w:semiHidden/>
    <w:rsid w:val="005012E0"/>
    <w:pPr>
      <w:spacing w:after="0" w:line="240" w:lineRule="auto"/>
    </w:pPr>
    <w:rPr>
      <w:rFonts w:ascii="Calibri" w:eastAsia="Calibri" w:hAnsi="Calibri" w:cs="Times New Roman"/>
    </w:rPr>
  </w:style>
  <w:style w:type="paragraph" w:customStyle="1" w:styleId="IRPBullet">
    <w:name w:val="IRP Bullet"/>
    <w:basedOn w:val="IRPBullet1"/>
    <w:link w:val="IRPBulletChar"/>
    <w:qFormat/>
    <w:rsid w:val="005012E0"/>
    <w:pPr>
      <w:numPr>
        <w:numId w:val="4"/>
      </w:numPr>
    </w:pPr>
    <w:rPr>
      <w:sz w:val="20"/>
    </w:rPr>
  </w:style>
  <w:style w:type="character" w:customStyle="1" w:styleId="IRPBulletChar">
    <w:name w:val="IRP Bullet Char"/>
    <w:basedOn w:val="IRPBullet1Char"/>
    <w:link w:val="IRPBullet"/>
    <w:rsid w:val="005012E0"/>
    <w:rPr>
      <w:rFonts w:ascii="Arial" w:eastAsia="Calibri" w:hAnsi="Arial" w:cs="Times New Roman"/>
      <w:sz w:val="20"/>
    </w:rPr>
  </w:style>
  <w:style w:type="paragraph" w:customStyle="1" w:styleId="CaptionIRP">
    <w:name w:val="Caption_IRP"/>
    <w:basedOn w:val="Caption"/>
    <w:rsid w:val="005012E0"/>
    <w:pPr>
      <w:spacing w:after="0"/>
      <w:jc w:val="center"/>
    </w:pPr>
    <w:rPr>
      <w:rFonts w:ascii="Arial" w:eastAsia="Times New Roman" w:hAnsi="Arial"/>
      <w:color w:val="auto"/>
      <w:sz w:val="22"/>
      <w:szCs w:val="20"/>
    </w:rPr>
  </w:style>
  <w:style w:type="paragraph" w:styleId="Caption">
    <w:name w:val="caption"/>
    <w:basedOn w:val="Normal"/>
    <w:next w:val="Normal"/>
    <w:uiPriority w:val="35"/>
    <w:semiHidden/>
    <w:unhideWhenUsed/>
    <w:qFormat/>
    <w:rsid w:val="005012E0"/>
    <w:pPr>
      <w:spacing w:line="240" w:lineRule="auto"/>
    </w:pPr>
    <w:rPr>
      <w:b/>
      <w:bCs/>
      <w:color w:val="5B9BD5" w:themeColor="accent1"/>
      <w:sz w:val="18"/>
      <w:szCs w:val="18"/>
    </w:rPr>
  </w:style>
  <w:style w:type="paragraph" w:customStyle="1" w:styleId="IRPCHAPTER">
    <w:name w:val="IRP CHAPTER"/>
    <w:basedOn w:val="IRPHEAD1"/>
    <w:next w:val="Heading1"/>
    <w:autoRedefine/>
    <w:qFormat/>
    <w:rsid w:val="005012E0"/>
    <w:pPr>
      <w:keepNext w:val="0"/>
      <w:spacing w:before="0"/>
      <w:outlineLvl w:val="0"/>
    </w:pPr>
    <w:rPr>
      <w:rFonts w:ascii="Arial Bold" w:hAnsi="Arial Bold"/>
      <w:caps w:val="0"/>
      <w:smallCaps/>
      <w:sz w:val="32"/>
      <w:szCs w:val="20"/>
    </w:rPr>
  </w:style>
  <w:style w:type="character" w:styleId="PageNumber">
    <w:name w:val="page number"/>
    <w:basedOn w:val="DefaultParagraphFont"/>
    <w:rsid w:val="005012E0"/>
    <w:rPr>
      <w:rFonts w:ascii="Arial" w:hAnsi="Arial"/>
      <w:sz w:val="20"/>
    </w:rPr>
  </w:style>
  <w:style w:type="paragraph" w:styleId="ListParagraph">
    <w:name w:val="List Paragraph"/>
    <w:basedOn w:val="Normal"/>
    <w:uiPriority w:val="34"/>
    <w:qFormat/>
    <w:rsid w:val="005012E0"/>
    <w:pPr>
      <w:ind w:left="720"/>
      <w:contextualSpacing/>
    </w:pPr>
  </w:style>
  <w:style w:type="paragraph" w:customStyle="1" w:styleId="Default">
    <w:name w:val="Default"/>
    <w:rsid w:val="005012E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A55959"/>
    <w:pPr>
      <w:spacing w:after="120" w:line="480" w:lineRule="auto"/>
    </w:pPr>
  </w:style>
  <w:style w:type="character" w:customStyle="1" w:styleId="BodyText2Char">
    <w:name w:val="Body Text 2 Char"/>
    <w:basedOn w:val="DefaultParagraphFont"/>
    <w:link w:val="BodyText2"/>
    <w:uiPriority w:val="99"/>
    <w:semiHidden/>
    <w:rsid w:val="00A559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0844">
      <w:bodyDiv w:val="1"/>
      <w:marLeft w:val="0"/>
      <w:marRight w:val="0"/>
      <w:marTop w:val="0"/>
      <w:marBottom w:val="0"/>
      <w:divBdr>
        <w:top w:val="none" w:sz="0" w:space="0" w:color="auto"/>
        <w:left w:val="none" w:sz="0" w:space="0" w:color="auto"/>
        <w:bottom w:val="none" w:sz="0" w:space="0" w:color="auto"/>
        <w:right w:val="none" w:sz="0" w:space="0" w:color="auto"/>
      </w:divBdr>
    </w:div>
    <w:div w:id="5486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2BCD095027324CAE9E5703D430B589" ma:contentTypeVersion="92" ma:contentTypeDescription="" ma:contentTypeScope="" ma:versionID="4ff05e0a7fcd401c528598adc2fd2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45F1CDD-91EA-4D04-BE65-4FCB8BE9F854}">
  <ds:schemaRefs>
    <ds:schemaRef ds:uri="http://schemas.openxmlformats.org/officeDocument/2006/bibliography"/>
  </ds:schemaRefs>
</ds:datastoreItem>
</file>

<file path=customXml/itemProps2.xml><?xml version="1.0" encoding="utf-8"?>
<ds:datastoreItem xmlns:ds="http://schemas.openxmlformats.org/officeDocument/2006/customXml" ds:itemID="{AFDD2C16-3457-41F3-B5A6-C5A48125B5B6}"/>
</file>

<file path=customXml/itemProps3.xml><?xml version="1.0" encoding="utf-8"?>
<ds:datastoreItem xmlns:ds="http://schemas.openxmlformats.org/officeDocument/2006/customXml" ds:itemID="{29DA22B7-23FA-416D-A10E-03330F0D05F9}"/>
</file>

<file path=customXml/itemProps4.xml><?xml version="1.0" encoding="utf-8"?>
<ds:datastoreItem xmlns:ds="http://schemas.openxmlformats.org/officeDocument/2006/customXml" ds:itemID="{7576A62D-EAAC-4E15-9556-0B038EEBDE20}"/>
</file>

<file path=customXml/itemProps5.xml><?xml version="1.0" encoding="utf-8"?>
<ds:datastoreItem xmlns:ds="http://schemas.openxmlformats.org/officeDocument/2006/customXml" ds:itemID="{1B87C484-410D-481A-B92A-448D1C2BA11A}"/>
</file>

<file path=docProps/app.xml><?xml version="1.0" encoding="utf-8"?>
<Properties xmlns="http://schemas.openxmlformats.org/officeDocument/2006/extended-properties" xmlns:vt="http://schemas.openxmlformats.org/officeDocument/2006/docPropsVTypes">
  <Template>Normal.dotm</Template>
  <TotalTime>175</TotalTime>
  <Pages>11</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22731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Pardee, Tom</dc:creator>
  <cp:keywords/>
  <dc:description/>
  <cp:lastModifiedBy>Brandon, Annette</cp:lastModifiedBy>
  <cp:revision>23</cp:revision>
  <cp:lastPrinted>2017-08-24T19:43:00Z</cp:lastPrinted>
  <dcterms:created xsi:type="dcterms:W3CDTF">2017-08-24T16:09:00Z</dcterms:created>
  <dcterms:modified xsi:type="dcterms:W3CDTF">2017-08-28T17:39:00Z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0x0101006E56B4D1795A2E4DB2F0B01679ED314A00A02BCD095027324CAE9E5703D430B589</vt:lpwstr>
  </property>
  <property fmtid="{D5CDD505-2E9C-101B-9397-08002B2CF9AE}" pid="3" name="_docset_NoMedatataSyncRequired">
    <vt:lpwstr>False</vt:lpwstr>
  </property>
  <property fmtid="{D5CDD505-2E9C-101B-9397-08002B2CF9AE}" pid="4" name="IsEFSEC">
    <vt:bool>false</vt:bool>
  </property>
</Properties>
</file>