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72606" w14:textId="44CC3886" w:rsidR="008956A7" w:rsidRPr="005F67A4"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F67A4">
        <w:rPr>
          <w:sz w:val="24"/>
        </w:rPr>
        <w:t>Agenda Date:</w:t>
      </w:r>
      <w:r w:rsidRPr="005F67A4">
        <w:rPr>
          <w:sz w:val="24"/>
        </w:rPr>
        <w:tab/>
      </w:r>
      <w:r w:rsidRPr="005F67A4">
        <w:rPr>
          <w:sz w:val="24"/>
        </w:rPr>
        <w:tab/>
      </w:r>
      <w:r w:rsidR="00734CF0">
        <w:rPr>
          <w:sz w:val="24"/>
        </w:rPr>
        <w:t>May 11</w:t>
      </w:r>
      <w:r w:rsidR="0004187D">
        <w:rPr>
          <w:sz w:val="24"/>
        </w:rPr>
        <w:t>, 2017</w:t>
      </w:r>
      <w:r w:rsidRPr="005F67A4">
        <w:rPr>
          <w:sz w:val="24"/>
        </w:rPr>
        <w:tab/>
      </w:r>
    </w:p>
    <w:p w14:paraId="6AF72607" w14:textId="0C4DE0B2"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F67A4">
        <w:rPr>
          <w:sz w:val="24"/>
        </w:rPr>
        <w:t>Item Number:</w:t>
      </w:r>
      <w:r w:rsidRPr="005F67A4">
        <w:rPr>
          <w:sz w:val="24"/>
        </w:rPr>
        <w:tab/>
      </w:r>
      <w:r w:rsidR="006E07FE">
        <w:rPr>
          <w:sz w:val="24"/>
        </w:rPr>
        <w:tab/>
      </w:r>
      <w:r w:rsidR="000927FD">
        <w:rPr>
          <w:sz w:val="24"/>
        </w:rPr>
        <w:t>A</w:t>
      </w:r>
      <w:r w:rsidR="00EB2167">
        <w:rPr>
          <w:sz w:val="24"/>
        </w:rPr>
        <w:t>2</w:t>
      </w:r>
      <w:r w:rsidRPr="005F67A4">
        <w:rPr>
          <w:sz w:val="24"/>
        </w:rPr>
        <w:tab/>
      </w:r>
      <w:r w:rsidRPr="005F67A4">
        <w:rPr>
          <w:sz w:val="24"/>
        </w:rPr>
        <w:tab/>
      </w:r>
      <w:r w:rsidRPr="005F67A4">
        <w:rPr>
          <w:sz w:val="24"/>
        </w:rPr>
        <w:tab/>
      </w:r>
      <w:r w:rsidRPr="005F67A4">
        <w:rPr>
          <w:sz w:val="24"/>
        </w:rPr>
        <w:tab/>
      </w:r>
      <w:r w:rsidRPr="005F67A4">
        <w:rPr>
          <w:sz w:val="24"/>
        </w:rPr>
        <w:tab/>
      </w:r>
    </w:p>
    <w:p w14:paraId="6AF72608"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6AF72609"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F67A4">
        <w:rPr>
          <w:b/>
          <w:bCs/>
          <w:sz w:val="24"/>
        </w:rPr>
        <w:t xml:space="preserve">Docket: </w:t>
      </w:r>
      <w:r w:rsidRPr="005F67A4">
        <w:rPr>
          <w:b/>
          <w:bCs/>
          <w:sz w:val="24"/>
        </w:rPr>
        <w:tab/>
      </w:r>
      <w:r w:rsidRPr="005F67A4">
        <w:rPr>
          <w:b/>
          <w:bCs/>
          <w:sz w:val="24"/>
        </w:rPr>
        <w:tab/>
      </w:r>
      <w:r w:rsidR="00B12018" w:rsidRPr="005F67A4">
        <w:rPr>
          <w:b/>
          <w:bCs/>
          <w:sz w:val="24"/>
        </w:rPr>
        <w:t>UW</w:t>
      </w:r>
      <w:r w:rsidRPr="005F67A4">
        <w:rPr>
          <w:b/>
          <w:bCs/>
          <w:sz w:val="24"/>
        </w:rPr>
        <w:t>-</w:t>
      </w:r>
      <w:r w:rsidR="0004187D">
        <w:rPr>
          <w:b/>
          <w:bCs/>
          <w:sz w:val="24"/>
        </w:rPr>
        <w:t>170216</w:t>
      </w:r>
    </w:p>
    <w:p w14:paraId="6AF7260A"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F67A4">
        <w:rPr>
          <w:sz w:val="24"/>
        </w:rPr>
        <w:t>Company Name:</w:t>
      </w:r>
      <w:r w:rsidRPr="005F67A4">
        <w:rPr>
          <w:sz w:val="24"/>
        </w:rPr>
        <w:tab/>
      </w:r>
      <w:r w:rsidR="000927FD">
        <w:rPr>
          <w:sz w:val="24"/>
        </w:rPr>
        <w:t>H&amp;R Waterworks, Inc.</w:t>
      </w:r>
    </w:p>
    <w:p w14:paraId="6AF7260B"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AF7260C"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F67A4">
        <w:rPr>
          <w:sz w:val="24"/>
          <w:u w:val="single"/>
        </w:rPr>
        <w:t>Staff:</w:t>
      </w:r>
      <w:r w:rsidR="006A5DCD">
        <w:rPr>
          <w:sz w:val="24"/>
        </w:rPr>
        <w:tab/>
      </w:r>
      <w:r w:rsidR="006A5DCD">
        <w:rPr>
          <w:sz w:val="24"/>
        </w:rPr>
        <w:tab/>
      </w:r>
      <w:r w:rsidR="006A5DCD">
        <w:rPr>
          <w:sz w:val="24"/>
        </w:rPr>
        <w:tab/>
      </w:r>
      <w:r w:rsidR="000927FD">
        <w:rPr>
          <w:sz w:val="24"/>
        </w:rPr>
        <w:t>Jim Ward</w:t>
      </w:r>
      <w:r w:rsidRPr="005F67A4">
        <w:rPr>
          <w:sz w:val="24"/>
        </w:rPr>
        <w:t>, Regulatory Analyst</w:t>
      </w:r>
    </w:p>
    <w:p w14:paraId="6AF7260D"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F67A4">
        <w:rPr>
          <w:sz w:val="24"/>
        </w:rPr>
        <w:tab/>
      </w:r>
      <w:r w:rsidRPr="005F67A4">
        <w:rPr>
          <w:sz w:val="24"/>
        </w:rPr>
        <w:tab/>
      </w:r>
      <w:r w:rsidRPr="005F67A4">
        <w:rPr>
          <w:sz w:val="24"/>
        </w:rPr>
        <w:tab/>
      </w:r>
      <w:r w:rsidR="004C00E5">
        <w:rPr>
          <w:sz w:val="24"/>
        </w:rPr>
        <w:t>John Cupp</w:t>
      </w:r>
      <w:r w:rsidR="00283DF7" w:rsidRPr="005F67A4">
        <w:rPr>
          <w:sz w:val="24"/>
        </w:rPr>
        <w:t xml:space="preserve">, Consumer </w:t>
      </w:r>
      <w:r w:rsidR="000927FD">
        <w:rPr>
          <w:sz w:val="24"/>
        </w:rPr>
        <w:t>Protection</w:t>
      </w:r>
    </w:p>
    <w:p w14:paraId="6AF7260E" w14:textId="77777777" w:rsidR="0045500C" w:rsidRPr="005F67A4"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AF7260F" w14:textId="77777777" w:rsidR="006A5DCD" w:rsidRPr="00F720D5" w:rsidRDefault="006A5DCD" w:rsidP="006A5D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14:paraId="6AF72610" w14:textId="77777777" w:rsidR="006A5DCD" w:rsidRPr="00A135D3" w:rsidRDefault="006A5DCD" w:rsidP="006A5D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7FF58AF" w14:textId="11C384D0" w:rsidR="00CF45A4" w:rsidRPr="00A135D3" w:rsidRDefault="00E377D2" w:rsidP="00CF45A4">
      <w:pPr>
        <w:rPr>
          <w:sz w:val="24"/>
        </w:rPr>
      </w:pPr>
      <w:r>
        <w:rPr>
          <w:sz w:val="24"/>
        </w:rPr>
        <w:t xml:space="preserve">Issue an Order </w:t>
      </w:r>
      <w:r w:rsidR="006E5083" w:rsidRPr="00B60E0C">
        <w:rPr>
          <w:sz w:val="24"/>
        </w:rPr>
        <w:t xml:space="preserve">allowing the tariff sheets filed by </w:t>
      </w:r>
      <w:r w:rsidR="006E5083">
        <w:rPr>
          <w:sz w:val="24"/>
        </w:rPr>
        <w:t>H&amp;R Waterworks, Inc.</w:t>
      </w:r>
      <w:r w:rsidR="006E5083" w:rsidRPr="00B60E0C">
        <w:rPr>
          <w:sz w:val="24"/>
        </w:rPr>
        <w:t xml:space="preserve"> in </w:t>
      </w:r>
      <w:proofErr w:type="gramStart"/>
      <w:r w:rsidR="00F20B26" w:rsidRPr="00B60E0C">
        <w:rPr>
          <w:sz w:val="24"/>
        </w:rPr>
        <w:t>Docket</w:t>
      </w:r>
      <w:r w:rsidR="00F20B26">
        <w:rPr>
          <w:sz w:val="24"/>
        </w:rPr>
        <w:t xml:space="preserve"> </w:t>
      </w:r>
      <w:r w:rsidR="00827F5B">
        <w:rPr>
          <w:sz w:val="24"/>
        </w:rPr>
        <w:t xml:space="preserve"> </w:t>
      </w:r>
      <w:r w:rsidR="00F20B26" w:rsidRPr="00B60E0C">
        <w:rPr>
          <w:sz w:val="24"/>
        </w:rPr>
        <w:t>UW</w:t>
      </w:r>
      <w:proofErr w:type="gramEnd"/>
      <w:r w:rsidR="006E5083" w:rsidRPr="00B60E0C">
        <w:rPr>
          <w:sz w:val="24"/>
        </w:rPr>
        <w:t>-</w:t>
      </w:r>
      <w:r w:rsidR="006E5083">
        <w:rPr>
          <w:sz w:val="24"/>
        </w:rPr>
        <w:t>170216</w:t>
      </w:r>
      <w:r w:rsidR="006E5083" w:rsidRPr="00B60E0C">
        <w:rPr>
          <w:sz w:val="24"/>
        </w:rPr>
        <w:t xml:space="preserve"> to become effective </w:t>
      </w:r>
      <w:r w:rsidR="006E5083">
        <w:rPr>
          <w:sz w:val="24"/>
        </w:rPr>
        <w:t>June</w:t>
      </w:r>
      <w:r w:rsidR="006E5083" w:rsidRPr="00B60E0C">
        <w:rPr>
          <w:sz w:val="24"/>
        </w:rPr>
        <w:t xml:space="preserve"> 1, 201</w:t>
      </w:r>
      <w:r w:rsidR="006E5083">
        <w:rPr>
          <w:sz w:val="24"/>
        </w:rPr>
        <w:t>7</w:t>
      </w:r>
      <w:r w:rsidR="00CF45A4">
        <w:rPr>
          <w:sz w:val="24"/>
        </w:rPr>
        <w:t xml:space="preserve">, by operation of law, </w:t>
      </w:r>
      <w:r w:rsidR="00CF45A4" w:rsidRPr="00A135D3">
        <w:rPr>
          <w:sz w:val="24"/>
        </w:rPr>
        <w:t>subject to conditions (a) through (</w:t>
      </w:r>
      <w:r w:rsidR="000910DC">
        <w:rPr>
          <w:sz w:val="24"/>
        </w:rPr>
        <w:t>g</w:t>
      </w:r>
      <w:r w:rsidR="00CF45A4" w:rsidRPr="000910DC">
        <w:rPr>
          <w:sz w:val="24"/>
        </w:rPr>
        <w:t>)</w:t>
      </w:r>
      <w:r w:rsidR="00CF45A4" w:rsidRPr="00A135D3">
        <w:rPr>
          <w:sz w:val="24"/>
        </w:rPr>
        <w:t xml:space="preserve"> set forth in staff’s memorandum. </w:t>
      </w:r>
    </w:p>
    <w:p w14:paraId="736B347F" w14:textId="77777777" w:rsidR="006E5083" w:rsidRPr="00B60E0C" w:rsidRDefault="006E5083" w:rsidP="006E5083">
      <w:pPr>
        <w:rPr>
          <w:sz w:val="24"/>
        </w:rPr>
      </w:pPr>
    </w:p>
    <w:p w14:paraId="6AF72613" w14:textId="77777777" w:rsidR="006A5DCD" w:rsidRPr="0042096A" w:rsidRDefault="006A5DCD" w:rsidP="006A5D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Background</w:t>
      </w:r>
    </w:p>
    <w:p w14:paraId="6AF72614" w14:textId="77777777" w:rsidR="006A5DCD" w:rsidRDefault="006A5DCD" w:rsidP="006A5DCD">
      <w:pPr>
        <w:widowControl/>
        <w:autoSpaceDE/>
        <w:autoSpaceDN/>
        <w:adjustRightInd/>
        <w:rPr>
          <w:sz w:val="24"/>
        </w:rPr>
      </w:pPr>
    </w:p>
    <w:p w14:paraId="6AF72615" w14:textId="207AE433" w:rsidR="0004187D" w:rsidRPr="0004187D" w:rsidRDefault="006A5DCD" w:rsidP="0004187D">
      <w:pPr>
        <w:spacing w:line="264" w:lineRule="auto"/>
        <w:rPr>
          <w:sz w:val="24"/>
        </w:rPr>
      </w:pPr>
      <w:r w:rsidRPr="00B34AE0">
        <w:rPr>
          <w:sz w:val="24"/>
        </w:rPr>
        <w:t xml:space="preserve">On </w:t>
      </w:r>
      <w:r w:rsidR="0004187D">
        <w:rPr>
          <w:sz w:val="24"/>
        </w:rPr>
        <w:t>March 31</w:t>
      </w:r>
      <w:r w:rsidRPr="007D047D">
        <w:rPr>
          <w:sz w:val="24"/>
        </w:rPr>
        <w:t>,</w:t>
      </w:r>
      <w:r w:rsidR="00F03C26">
        <w:rPr>
          <w:sz w:val="24"/>
        </w:rPr>
        <w:t xml:space="preserve"> </w:t>
      </w:r>
      <w:r w:rsidR="0004187D">
        <w:rPr>
          <w:sz w:val="24"/>
        </w:rPr>
        <w:t>2017</w:t>
      </w:r>
      <w:r w:rsidRPr="00FA1A71">
        <w:rPr>
          <w:sz w:val="24"/>
        </w:rPr>
        <w:t xml:space="preserve">, </w:t>
      </w:r>
      <w:r w:rsidR="000927FD">
        <w:rPr>
          <w:sz w:val="24"/>
        </w:rPr>
        <w:t>H&amp;R Waterworks, Inc.</w:t>
      </w:r>
      <w:r w:rsidR="00F03C26">
        <w:rPr>
          <w:sz w:val="24"/>
        </w:rPr>
        <w:t xml:space="preserve"> (</w:t>
      </w:r>
      <w:r w:rsidR="000927FD">
        <w:rPr>
          <w:sz w:val="24"/>
        </w:rPr>
        <w:t>H&amp;R Waterworks</w:t>
      </w:r>
      <w:r w:rsidRPr="00FA1A71">
        <w:rPr>
          <w:sz w:val="24"/>
        </w:rPr>
        <w:t xml:space="preserve"> or </w:t>
      </w:r>
      <w:r>
        <w:rPr>
          <w:sz w:val="24"/>
        </w:rPr>
        <w:t>c</w:t>
      </w:r>
      <w:r w:rsidRPr="00FA1A71">
        <w:rPr>
          <w:sz w:val="24"/>
        </w:rPr>
        <w:t>ompany) filed with the Utilities and Transportation Commission (</w:t>
      </w:r>
      <w:r>
        <w:rPr>
          <w:sz w:val="24"/>
        </w:rPr>
        <w:t>c</w:t>
      </w:r>
      <w:r w:rsidRPr="00FA1A71">
        <w:rPr>
          <w:sz w:val="24"/>
        </w:rPr>
        <w:t xml:space="preserve">ommission) </w:t>
      </w:r>
      <w:r w:rsidR="0004187D" w:rsidRPr="0004187D">
        <w:rPr>
          <w:sz w:val="24"/>
        </w:rPr>
        <w:t xml:space="preserve">a tariff revision adding a conservation rate to its tariff. The conservation rate would apply to a water </w:t>
      </w:r>
      <w:r w:rsidR="00072CEA">
        <w:rPr>
          <w:sz w:val="24"/>
        </w:rPr>
        <w:t>system</w:t>
      </w:r>
      <w:r w:rsidR="0004187D" w:rsidRPr="0004187D">
        <w:rPr>
          <w:sz w:val="24"/>
        </w:rPr>
        <w:t xml:space="preserve"> where water usage threatens to exceed the company’s water rights</w:t>
      </w:r>
      <w:r w:rsidR="00072CEA">
        <w:rPr>
          <w:sz w:val="24"/>
        </w:rPr>
        <w:t xml:space="preserve"> for that system</w:t>
      </w:r>
      <w:r w:rsidR="0004187D" w:rsidRPr="0004187D">
        <w:rPr>
          <w:sz w:val="24"/>
        </w:rPr>
        <w:t>. The conservation rate would be implemented for the period of May 1 through October 31 of each year. The company serves 4,115 customers on various systems in Thurston, Mason, Kitsap, Pierce, Lewis, and King Counties.</w:t>
      </w:r>
    </w:p>
    <w:p w14:paraId="6AF72616" w14:textId="77777777" w:rsidR="00261CF4" w:rsidRDefault="00261CF4" w:rsidP="006A5DCD">
      <w:pPr>
        <w:widowControl/>
        <w:autoSpaceDE/>
        <w:autoSpaceDN/>
        <w:adjustRightInd/>
        <w:rPr>
          <w:sz w:val="24"/>
        </w:rPr>
      </w:pPr>
    </w:p>
    <w:p w14:paraId="5584A9D1" w14:textId="23282F50" w:rsidR="00163563" w:rsidRDefault="00163563" w:rsidP="006A5DCD">
      <w:pPr>
        <w:widowControl/>
        <w:autoSpaceDE/>
        <w:autoSpaceDN/>
        <w:adjustRightInd/>
        <w:rPr>
          <w:sz w:val="24"/>
        </w:rPr>
      </w:pPr>
      <w:r>
        <w:rPr>
          <w:sz w:val="24"/>
        </w:rPr>
        <w:t xml:space="preserve">The Department of Ecology (DOE) sets several limits on water withdrawal from wells. One is </w:t>
      </w:r>
      <w:proofErr w:type="gramStart"/>
      <w:r>
        <w:rPr>
          <w:sz w:val="24"/>
        </w:rPr>
        <w:t>the</w:t>
      </w:r>
      <w:proofErr w:type="gramEnd"/>
      <w:r>
        <w:rPr>
          <w:sz w:val="24"/>
        </w:rPr>
        <w:t xml:space="preserve"> instantaneous amount of water being used as measured in gallons per minute. The company has designed and sized pumps and pipes to limit this amount of water withdrawal. The other limit is the annual amount of water that is withdrawn from the well. This limit is normally based on acre feet of water withdrawn. An </w:t>
      </w:r>
      <w:r w:rsidRPr="00782766">
        <w:rPr>
          <w:sz w:val="24"/>
        </w:rPr>
        <w:t xml:space="preserve">acre-foot is defined as the volume of one </w:t>
      </w:r>
      <w:hyperlink r:id="rId12" w:tooltip="Acre" w:history="1">
        <w:r w:rsidRPr="00782766">
          <w:rPr>
            <w:sz w:val="24"/>
          </w:rPr>
          <w:t>acre</w:t>
        </w:r>
      </w:hyperlink>
      <w:r w:rsidRPr="00782766">
        <w:rPr>
          <w:sz w:val="24"/>
        </w:rPr>
        <w:t xml:space="preserve"> of surface area to a depth of one </w:t>
      </w:r>
      <w:hyperlink r:id="rId13" w:tooltip="Foot (unit)" w:history="1">
        <w:r w:rsidRPr="00782766">
          <w:rPr>
            <w:sz w:val="24"/>
          </w:rPr>
          <w:t>foot</w:t>
        </w:r>
      </w:hyperlink>
      <w:r w:rsidRPr="00782766">
        <w:rPr>
          <w:sz w:val="24"/>
        </w:rPr>
        <w:t xml:space="preserve"> </w:t>
      </w:r>
      <w:r>
        <w:rPr>
          <w:sz w:val="24"/>
        </w:rPr>
        <w:t>a</w:t>
      </w:r>
      <w:r w:rsidRPr="00782766">
        <w:rPr>
          <w:sz w:val="24"/>
        </w:rPr>
        <w:t>nd equals 325,853</w:t>
      </w:r>
      <w:r>
        <w:rPr>
          <w:sz w:val="24"/>
        </w:rPr>
        <w:t xml:space="preserve"> gallons. This annual amount can be exceeded if customers continue to use water over a longer period of time rather than a short period of use.</w:t>
      </w:r>
    </w:p>
    <w:p w14:paraId="38821E7A" w14:textId="77777777" w:rsidR="00163563" w:rsidRDefault="00163563" w:rsidP="006A5DCD">
      <w:pPr>
        <w:widowControl/>
        <w:autoSpaceDE/>
        <w:autoSpaceDN/>
        <w:adjustRightInd/>
        <w:rPr>
          <w:sz w:val="24"/>
        </w:rPr>
      </w:pPr>
    </w:p>
    <w:p w14:paraId="6AF72617" w14:textId="2AE4F1EB" w:rsidR="00EB4851" w:rsidRDefault="007E408A" w:rsidP="006A5DCD">
      <w:pPr>
        <w:widowControl/>
        <w:autoSpaceDE/>
        <w:autoSpaceDN/>
        <w:adjustRightInd/>
        <w:rPr>
          <w:sz w:val="24"/>
        </w:rPr>
      </w:pPr>
      <w:r>
        <w:rPr>
          <w:sz w:val="24"/>
        </w:rPr>
        <w:t xml:space="preserve">Over the last </w:t>
      </w:r>
      <w:r w:rsidR="004D2A93">
        <w:rPr>
          <w:sz w:val="24"/>
        </w:rPr>
        <w:t>several</w:t>
      </w:r>
      <w:r>
        <w:rPr>
          <w:sz w:val="24"/>
        </w:rPr>
        <w:t xml:space="preserve"> years, t</w:t>
      </w:r>
      <w:r w:rsidR="004B2399">
        <w:rPr>
          <w:sz w:val="24"/>
        </w:rPr>
        <w:t>he company has</w:t>
      </w:r>
      <w:r w:rsidR="006859EA">
        <w:rPr>
          <w:sz w:val="24"/>
        </w:rPr>
        <w:t xml:space="preserve"> experienced </w:t>
      </w:r>
      <w:r>
        <w:rPr>
          <w:sz w:val="24"/>
        </w:rPr>
        <w:t xml:space="preserve">increased </w:t>
      </w:r>
      <w:r w:rsidR="0014070A">
        <w:rPr>
          <w:sz w:val="24"/>
        </w:rPr>
        <w:t>water usage on several water systems.</w:t>
      </w:r>
      <w:r w:rsidR="004B2399">
        <w:rPr>
          <w:sz w:val="24"/>
        </w:rPr>
        <w:t xml:space="preserve"> </w:t>
      </w:r>
      <w:r w:rsidR="001F6691">
        <w:rPr>
          <w:sz w:val="24"/>
        </w:rPr>
        <w:t>In June and July of 2015</w:t>
      </w:r>
      <w:r w:rsidR="007E2ADD">
        <w:rPr>
          <w:sz w:val="24"/>
        </w:rPr>
        <w:t xml:space="preserve"> and </w:t>
      </w:r>
      <w:r w:rsidR="000A47CB">
        <w:rPr>
          <w:sz w:val="24"/>
        </w:rPr>
        <w:t xml:space="preserve">several times </w:t>
      </w:r>
      <w:r w:rsidR="007E2ADD">
        <w:rPr>
          <w:sz w:val="24"/>
        </w:rPr>
        <w:t>in 2016</w:t>
      </w:r>
      <w:r w:rsidR="00754009">
        <w:rPr>
          <w:sz w:val="24"/>
        </w:rPr>
        <w:t>,</w:t>
      </w:r>
      <w:r w:rsidR="001F6691">
        <w:rPr>
          <w:sz w:val="24"/>
        </w:rPr>
        <w:t xml:space="preserve"> the </w:t>
      </w:r>
      <w:r w:rsidR="00754009">
        <w:rPr>
          <w:sz w:val="24"/>
        </w:rPr>
        <w:t xml:space="preserve">company </w:t>
      </w:r>
      <w:r w:rsidR="001F6691">
        <w:rPr>
          <w:sz w:val="24"/>
        </w:rPr>
        <w:t xml:space="preserve">conducted a series of community water use efficiency workshops </w:t>
      </w:r>
      <w:r w:rsidR="006C6996">
        <w:rPr>
          <w:sz w:val="24"/>
        </w:rPr>
        <w:t xml:space="preserve">with customers </w:t>
      </w:r>
      <w:r w:rsidR="001F6691">
        <w:rPr>
          <w:sz w:val="24"/>
        </w:rPr>
        <w:t xml:space="preserve">to address water use and ways to achieve </w:t>
      </w:r>
      <w:r w:rsidR="000A47CB">
        <w:rPr>
          <w:sz w:val="24"/>
        </w:rPr>
        <w:t xml:space="preserve">better </w:t>
      </w:r>
      <w:r w:rsidR="001F6691">
        <w:rPr>
          <w:sz w:val="24"/>
        </w:rPr>
        <w:t xml:space="preserve">efficiency. To address </w:t>
      </w:r>
      <w:r w:rsidR="00754009">
        <w:rPr>
          <w:sz w:val="24"/>
        </w:rPr>
        <w:t xml:space="preserve">water </w:t>
      </w:r>
      <w:r w:rsidR="001F6691">
        <w:rPr>
          <w:sz w:val="24"/>
        </w:rPr>
        <w:t>overuse</w:t>
      </w:r>
      <w:r w:rsidR="00754009">
        <w:rPr>
          <w:sz w:val="24"/>
        </w:rPr>
        <w:t>,</w:t>
      </w:r>
      <w:r w:rsidR="001F6691">
        <w:rPr>
          <w:sz w:val="24"/>
        </w:rPr>
        <w:t xml:space="preserve"> the company </w:t>
      </w:r>
      <w:r w:rsidR="007E2ADD">
        <w:rPr>
          <w:sz w:val="24"/>
        </w:rPr>
        <w:t>discussed monthly water budgets</w:t>
      </w:r>
      <w:r w:rsidR="0032242C">
        <w:rPr>
          <w:sz w:val="24"/>
        </w:rPr>
        <w:t>,</w:t>
      </w:r>
      <w:r w:rsidR="007E2ADD">
        <w:rPr>
          <w:sz w:val="24"/>
        </w:rPr>
        <w:t xml:space="preserve"> </w:t>
      </w:r>
      <w:r w:rsidR="001F6691">
        <w:rPr>
          <w:sz w:val="24"/>
        </w:rPr>
        <w:t xml:space="preserve">issued general </w:t>
      </w:r>
      <w:r w:rsidR="008C2608">
        <w:rPr>
          <w:sz w:val="24"/>
        </w:rPr>
        <w:t>requests</w:t>
      </w:r>
      <w:r w:rsidR="001F6691">
        <w:rPr>
          <w:sz w:val="24"/>
        </w:rPr>
        <w:t xml:space="preserve"> for water use reduction</w:t>
      </w:r>
      <w:r w:rsidR="000A47CB">
        <w:rPr>
          <w:sz w:val="24"/>
        </w:rPr>
        <w:t>,</w:t>
      </w:r>
      <w:r w:rsidR="001F6691">
        <w:rPr>
          <w:sz w:val="24"/>
        </w:rPr>
        <w:t xml:space="preserve"> and in several cases issue</w:t>
      </w:r>
      <w:r w:rsidR="00E6584B">
        <w:rPr>
          <w:sz w:val="24"/>
        </w:rPr>
        <w:t>d</w:t>
      </w:r>
      <w:r w:rsidR="001F6691">
        <w:rPr>
          <w:sz w:val="24"/>
        </w:rPr>
        <w:t xml:space="preserve"> mandatory water use </w:t>
      </w:r>
      <w:r w:rsidR="008C2608">
        <w:rPr>
          <w:sz w:val="24"/>
        </w:rPr>
        <w:t>restrictions</w:t>
      </w:r>
      <w:r w:rsidR="001F6691">
        <w:rPr>
          <w:sz w:val="24"/>
        </w:rPr>
        <w:t xml:space="preserve">, all after the </w:t>
      </w:r>
      <w:r w:rsidR="00E6584B">
        <w:rPr>
          <w:sz w:val="24"/>
        </w:rPr>
        <w:t xml:space="preserve">water </w:t>
      </w:r>
      <w:r w:rsidR="000A47CB">
        <w:rPr>
          <w:sz w:val="24"/>
        </w:rPr>
        <w:t>system had exceeded available water rights</w:t>
      </w:r>
      <w:r w:rsidR="001F6691">
        <w:rPr>
          <w:sz w:val="24"/>
        </w:rPr>
        <w:t xml:space="preserve">. Such mandates in conjunction </w:t>
      </w:r>
      <w:r w:rsidR="008C2608">
        <w:rPr>
          <w:sz w:val="24"/>
        </w:rPr>
        <w:t>with</w:t>
      </w:r>
      <w:r w:rsidR="001F6691">
        <w:rPr>
          <w:sz w:val="24"/>
        </w:rPr>
        <w:t xml:space="preserve"> </w:t>
      </w:r>
      <w:r w:rsidR="00754009">
        <w:rPr>
          <w:sz w:val="24"/>
        </w:rPr>
        <w:t xml:space="preserve">high </w:t>
      </w:r>
      <w:r w:rsidR="001F6691">
        <w:rPr>
          <w:sz w:val="24"/>
        </w:rPr>
        <w:t>water bills</w:t>
      </w:r>
      <w:r w:rsidR="00754009">
        <w:rPr>
          <w:sz w:val="24"/>
        </w:rPr>
        <w:t>,</w:t>
      </w:r>
      <w:r w:rsidR="001F6691">
        <w:rPr>
          <w:sz w:val="24"/>
        </w:rPr>
        <w:t xml:space="preserve"> </w:t>
      </w:r>
      <w:r w:rsidR="00E6584B">
        <w:rPr>
          <w:sz w:val="24"/>
        </w:rPr>
        <w:t>(</w:t>
      </w:r>
      <w:r w:rsidR="001F6691">
        <w:rPr>
          <w:sz w:val="24"/>
        </w:rPr>
        <w:t>as a result of greater water use</w:t>
      </w:r>
      <w:r w:rsidR="00E6584B">
        <w:rPr>
          <w:sz w:val="24"/>
        </w:rPr>
        <w:t>)</w:t>
      </w:r>
      <w:r w:rsidR="001F6691">
        <w:rPr>
          <w:sz w:val="24"/>
        </w:rPr>
        <w:t xml:space="preserve"> were not enough to deter overuse and </w:t>
      </w:r>
      <w:r w:rsidR="00E42438">
        <w:rPr>
          <w:sz w:val="24"/>
        </w:rPr>
        <w:t xml:space="preserve">the systems </w:t>
      </w:r>
      <w:r w:rsidR="001F6691">
        <w:rPr>
          <w:sz w:val="24"/>
        </w:rPr>
        <w:t>approached</w:t>
      </w:r>
      <w:r w:rsidR="000A47CB">
        <w:rPr>
          <w:sz w:val="24"/>
        </w:rPr>
        <w:t>, and some exceeded,</w:t>
      </w:r>
      <w:r w:rsidR="001F6691">
        <w:rPr>
          <w:sz w:val="24"/>
        </w:rPr>
        <w:t xml:space="preserve"> </w:t>
      </w:r>
      <w:r w:rsidR="00E42438">
        <w:rPr>
          <w:sz w:val="24"/>
        </w:rPr>
        <w:t xml:space="preserve">the </w:t>
      </w:r>
      <w:r w:rsidR="001F6691">
        <w:rPr>
          <w:sz w:val="24"/>
        </w:rPr>
        <w:t xml:space="preserve">water rights as issued by </w:t>
      </w:r>
      <w:r w:rsidR="00163563">
        <w:rPr>
          <w:sz w:val="24"/>
        </w:rPr>
        <w:t>DOE</w:t>
      </w:r>
      <w:r w:rsidR="001F6691">
        <w:rPr>
          <w:sz w:val="24"/>
        </w:rPr>
        <w:t xml:space="preserve">. </w:t>
      </w:r>
    </w:p>
    <w:p w14:paraId="6AF72618" w14:textId="77777777" w:rsidR="001F6691" w:rsidRDefault="001F6691" w:rsidP="006A5DCD">
      <w:pPr>
        <w:widowControl/>
        <w:autoSpaceDE/>
        <w:autoSpaceDN/>
        <w:adjustRightInd/>
        <w:rPr>
          <w:sz w:val="24"/>
        </w:rPr>
      </w:pPr>
    </w:p>
    <w:p w14:paraId="37A0EB08" w14:textId="5D5B3FB3" w:rsidR="00075E27" w:rsidRDefault="00075E27" w:rsidP="006A5DCD">
      <w:pPr>
        <w:widowControl/>
        <w:autoSpaceDE/>
        <w:autoSpaceDN/>
        <w:adjustRightInd/>
        <w:rPr>
          <w:sz w:val="24"/>
        </w:rPr>
      </w:pPr>
      <w:r>
        <w:rPr>
          <w:sz w:val="24"/>
        </w:rPr>
        <w:t xml:space="preserve">In 2016, the company </w:t>
      </w:r>
      <w:r w:rsidR="00955EA1">
        <w:rPr>
          <w:sz w:val="24"/>
        </w:rPr>
        <w:t>proposed</w:t>
      </w:r>
      <w:r>
        <w:rPr>
          <w:sz w:val="24"/>
        </w:rPr>
        <w:t xml:space="preserve"> and filed a tariff revision that would have implemented monthly water budgets. These budgets would </w:t>
      </w:r>
      <w:r w:rsidR="000A47CB">
        <w:rPr>
          <w:sz w:val="24"/>
        </w:rPr>
        <w:t>be implemented on</w:t>
      </w:r>
      <w:r>
        <w:rPr>
          <w:sz w:val="24"/>
        </w:rPr>
        <w:t xml:space="preserve"> water </w:t>
      </w:r>
      <w:r w:rsidR="00955EA1">
        <w:rPr>
          <w:sz w:val="24"/>
        </w:rPr>
        <w:t>systems</w:t>
      </w:r>
      <w:r>
        <w:rPr>
          <w:sz w:val="24"/>
        </w:rPr>
        <w:t xml:space="preserve"> that </w:t>
      </w:r>
      <w:r w:rsidR="000A47CB">
        <w:rPr>
          <w:sz w:val="24"/>
        </w:rPr>
        <w:t xml:space="preserve">approached or </w:t>
      </w:r>
      <w:r>
        <w:rPr>
          <w:sz w:val="24"/>
        </w:rPr>
        <w:t>exceeded their DOE water rights. The monthly budgets would have</w:t>
      </w:r>
      <w:r w:rsidR="00E6584B">
        <w:rPr>
          <w:sz w:val="24"/>
        </w:rPr>
        <w:t xml:space="preserve"> </w:t>
      </w:r>
      <w:r w:rsidR="000A47CB">
        <w:rPr>
          <w:sz w:val="24"/>
        </w:rPr>
        <w:t>provided for the installation of</w:t>
      </w:r>
      <w:r>
        <w:rPr>
          <w:sz w:val="24"/>
        </w:rPr>
        <w:t xml:space="preserve"> water flow restrictors to limit the </w:t>
      </w:r>
      <w:r w:rsidR="00955EA1">
        <w:rPr>
          <w:sz w:val="24"/>
        </w:rPr>
        <w:t>quantity</w:t>
      </w:r>
      <w:r>
        <w:rPr>
          <w:sz w:val="24"/>
        </w:rPr>
        <w:t xml:space="preserve"> that a customer could draw from the water system. </w:t>
      </w:r>
      <w:r>
        <w:rPr>
          <w:sz w:val="24"/>
        </w:rPr>
        <w:lastRenderedPageBreak/>
        <w:t xml:space="preserve">This drastic provision </w:t>
      </w:r>
      <w:r w:rsidR="00163563">
        <w:rPr>
          <w:sz w:val="24"/>
        </w:rPr>
        <w:t xml:space="preserve">for </w:t>
      </w:r>
      <w:r>
        <w:rPr>
          <w:sz w:val="24"/>
        </w:rPr>
        <w:t xml:space="preserve">exceeding a monthly water budget and the calculation of </w:t>
      </w:r>
      <w:r w:rsidR="00163563">
        <w:rPr>
          <w:sz w:val="24"/>
        </w:rPr>
        <w:t xml:space="preserve">a </w:t>
      </w:r>
      <w:r>
        <w:rPr>
          <w:sz w:val="24"/>
        </w:rPr>
        <w:t xml:space="preserve">monthly water budget on a per customer basis were highly debated and upon further </w:t>
      </w:r>
      <w:r w:rsidR="00955EA1">
        <w:rPr>
          <w:sz w:val="24"/>
        </w:rPr>
        <w:t>review</w:t>
      </w:r>
      <w:r>
        <w:rPr>
          <w:sz w:val="24"/>
        </w:rPr>
        <w:t xml:space="preserve"> by the company</w:t>
      </w:r>
      <w:r w:rsidR="00955EA1">
        <w:rPr>
          <w:sz w:val="24"/>
        </w:rPr>
        <w:t>,</w:t>
      </w:r>
      <w:r>
        <w:rPr>
          <w:sz w:val="24"/>
        </w:rPr>
        <w:t xml:space="preserve"> withdrawn.</w:t>
      </w:r>
      <w:r w:rsidR="00163563">
        <w:rPr>
          <w:sz w:val="24"/>
        </w:rPr>
        <w:t xml:space="preserve"> Refer to Docket UW-161035 for additional discussion of staff’s review of that filing.</w:t>
      </w:r>
      <w:r>
        <w:rPr>
          <w:sz w:val="24"/>
        </w:rPr>
        <w:t xml:space="preserve"> </w:t>
      </w:r>
    </w:p>
    <w:p w14:paraId="71855758" w14:textId="77777777" w:rsidR="00075E27" w:rsidRDefault="00075E27" w:rsidP="006A5DCD">
      <w:pPr>
        <w:widowControl/>
        <w:autoSpaceDE/>
        <w:autoSpaceDN/>
        <w:adjustRightInd/>
        <w:rPr>
          <w:sz w:val="24"/>
        </w:rPr>
      </w:pPr>
    </w:p>
    <w:p w14:paraId="6AF7261B" w14:textId="3B7A7B81" w:rsidR="001F6691" w:rsidRDefault="001F6691" w:rsidP="006A5DCD">
      <w:pPr>
        <w:widowControl/>
        <w:autoSpaceDE/>
        <w:autoSpaceDN/>
        <w:adjustRightInd/>
        <w:rPr>
          <w:sz w:val="24"/>
        </w:rPr>
      </w:pPr>
      <w:r>
        <w:rPr>
          <w:sz w:val="24"/>
        </w:rPr>
        <w:t xml:space="preserve">The company claims that with </w:t>
      </w:r>
      <w:r w:rsidR="00163563">
        <w:rPr>
          <w:sz w:val="24"/>
        </w:rPr>
        <w:t xml:space="preserve">customer </w:t>
      </w:r>
      <w:r>
        <w:rPr>
          <w:sz w:val="24"/>
        </w:rPr>
        <w:t xml:space="preserve">meetings, </w:t>
      </w:r>
      <w:r w:rsidR="00163563">
        <w:rPr>
          <w:sz w:val="24"/>
        </w:rPr>
        <w:t xml:space="preserve">proposed </w:t>
      </w:r>
      <w:r w:rsidR="008C2608">
        <w:rPr>
          <w:sz w:val="24"/>
        </w:rPr>
        <w:t>restrictions</w:t>
      </w:r>
      <w:r w:rsidR="00BF06AE">
        <w:rPr>
          <w:sz w:val="24"/>
        </w:rPr>
        <w:t>,</w:t>
      </w:r>
      <w:r>
        <w:rPr>
          <w:sz w:val="24"/>
        </w:rPr>
        <w:t xml:space="preserve"> and the </w:t>
      </w:r>
      <w:r w:rsidR="007F5C7C">
        <w:rPr>
          <w:sz w:val="24"/>
        </w:rPr>
        <w:t xml:space="preserve">current </w:t>
      </w:r>
      <w:r w:rsidR="008C2608">
        <w:rPr>
          <w:sz w:val="24"/>
        </w:rPr>
        <w:t>tariffed</w:t>
      </w:r>
      <w:r>
        <w:rPr>
          <w:sz w:val="24"/>
        </w:rPr>
        <w:t xml:space="preserve"> three</w:t>
      </w:r>
      <w:r w:rsidR="00986AD4">
        <w:rPr>
          <w:sz w:val="24"/>
        </w:rPr>
        <w:t>-</w:t>
      </w:r>
      <w:r w:rsidR="008C2608">
        <w:rPr>
          <w:sz w:val="24"/>
        </w:rPr>
        <w:t>tier</w:t>
      </w:r>
      <w:r>
        <w:rPr>
          <w:sz w:val="24"/>
        </w:rPr>
        <w:t xml:space="preserve"> increasing rate structure</w:t>
      </w:r>
      <w:r w:rsidR="006C6996">
        <w:rPr>
          <w:sz w:val="24"/>
        </w:rPr>
        <w:t>,</w:t>
      </w:r>
      <w:r>
        <w:rPr>
          <w:sz w:val="24"/>
        </w:rPr>
        <w:t xml:space="preserve"> conservation both inside and outside the home</w:t>
      </w:r>
      <w:r w:rsidR="006C6996">
        <w:rPr>
          <w:sz w:val="24"/>
        </w:rPr>
        <w:t xml:space="preserve"> has not been enough to prevent </w:t>
      </w:r>
      <w:r w:rsidR="00E42438">
        <w:rPr>
          <w:sz w:val="24"/>
        </w:rPr>
        <w:t xml:space="preserve">exceedance of </w:t>
      </w:r>
      <w:r w:rsidR="006C6996">
        <w:rPr>
          <w:sz w:val="24"/>
        </w:rPr>
        <w:t>water rights</w:t>
      </w:r>
      <w:r>
        <w:rPr>
          <w:sz w:val="24"/>
        </w:rPr>
        <w:t xml:space="preserve">. Working with existing rules and practices, the company believes the next step is to provide a tool for customers to </w:t>
      </w:r>
      <w:r w:rsidR="00BF06AE">
        <w:rPr>
          <w:sz w:val="24"/>
        </w:rPr>
        <w:t>monitor usage</w:t>
      </w:r>
      <w:r>
        <w:rPr>
          <w:sz w:val="24"/>
        </w:rPr>
        <w:t xml:space="preserve"> before </w:t>
      </w:r>
      <w:r w:rsidR="00BF06AE">
        <w:rPr>
          <w:sz w:val="24"/>
        </w:rPr>
        <w:t xml:space="preserve">overuse </w:t>
      </w:r>
      <w:r>
        <w:rPr>
          <w:sz w:val="24"/>
        </w:rPr>
        <w:t xml:space="preserve">occurs. The tool the company believes will best </w:t>
      </w:r>
      <w:r w:rsidR="00BF06AE">
        <w:rPr>
          <w:sz w:val="24"/>
        </w:rPr>
        <w:t xml:space="preserve">keep </w:t>
      </w:r>
      <w:r>
        <w:rPr>
          <w:sz w:val="24"/>
        </w:rPr>
        <w:t xml:space="preserve">customers and the company within </w:t>
      </w:r>
      <w:r w:rsidR="00BF06AE">
        <w:rPr>
          <w:sz w:val="24"/>
        </w:rPr>
        <w:t xml:space="preserve">available </w:t>
      </w:r>
      <w:r>
        <w:rPr>
          <w:sz w:val="24"/>
        </w:rPr>
        <w:t xml:space="preserve">water rights is </w:t>
      </w:r>
      <w:r w:rsidR="0004187D">
        <w:rPr>
          <w:sz w:val="24"/>
        </w:rPr>
        <w:t xml:space="preserve">a conservation rate for </w:t>
      </w:r>
      <w:r w:rsidR="00BF06AE">
        <w:rPr>
          <w:sz w:val="24"/>
        </w:rPr>
        <w:t xml:space="preserve">excessive </w:t>
      </w:r>
      <w:r w:rsidR="0004187D">
        <w:rPr>
          <w:sz w:val="24"/>
        </w:rPr>
        <w:t>water usage</w:t>
      </w:r>
      <w:r>
        <w:rPr>
          <w:sz w:val="24"/>
        </w:rPr>
        <w:t>.</w:t>
      </w:r>
    </w:p>
    <w:p w14:paraId="7BB817BD" w14:textId="77777777" w:rsidR="00CF45A4" w:rsidRDefault="00CF45A4" w:rsidP="006A5DCD">
      <w:pPr>
        <w:widowControl/>
        <w:autoSpaceDE/>
        <w:autoSpaceDN/>
        <w:adjustRightInd/>
        <w:rPr>
          <w:sz w:val="24"/>
        </w:rPr>
      </w:pPr>
    </w:p>
    <w:p w14:paraId="6AF7261D" w14:textId="1F672DEE" w:rsidR="0030122C" w:rsidRDefault="007F4F2D" w:rsidP="0004187D">
      <w:pPr>
        <w:widowControl/>
        <w:autoSpaceDE/>
        <w:autoSpaceDN/>
        <w:adjustRightInd/>
        <w:rPr>
          <w:sz w:val="24"/>
        </w:rPr>
      </w:pPr>
      <w:r w:rsidRPr="00D23095">
        <w:rPr>
          <w:sz w:val="24"/>
        </w:rPr>
        <w:t xml:space="preserve">Staff </w:t>
      </w:r>
      <w:r w:rsidR="00643D36">
        <w:rPr>
          <w:sz w:val="24"/>
        </w:rPr>
        <w:t>has reviewed t</w:t>
      </w:r>
      <w:r w:rsidRPr="00D23095">
        <w:rPr>
          <w:sz w:val="24"/>
        </w:rPr>
        <w:t xml:space="preserve">he company’s </w:t>
      </w:r>
      <w:r w:rsidR="0014070A">
        <w:rPr>
          <w:sz w:val="24"/>
        </w:rPr>
        <w:t xml:space="preserve">proposed tariff and </w:t>
      </w:r>
      <w:r w:rsidR="0004187D">
        <w:rPr>
          <w:sz w:val="24"/>
        </w:rPr>
        <w:t>conservation rate</w:t>
      </w:r>
      <w:r w:rsidRPr="00D23095">
        <w:rPr>
          <w:sz w:val="24"/>
        </w:rPr>
        <w:t>.</w:t>
      </w:r>
      <w:r>
        <w:rPr>
          <w:sz w:val="24"/>
        </w:rPr>
        <w:t xml:space="preserve"> </w:t>
      </w:r>
      <w:r w:rsidR="009B690C">
        <w:rPr>
          <w:sz w:val="24"/>
        </w:rPr>
        <w:t xml:space="preserve">Water </w:t>
      </w:r>
      <w:r w:rsidR="0004187D">
        <w:rPr>
          <w:sz w:val="24"/>
        </w:rPr>
        <w:t>conservation rates</w:t>
      </w:r>
      <w:r w:rsidR="009B690C">
        <w:rPr>
          <w:sz w:val="24"/>
        </w:rPr>
        <w:t xml:space="preserve"> are not new. </w:t>
      </w:r>
      <w:r w:rsidR="0004187D">
        <w:rPr>
          <w:sz w:val="24"/>
        </w:rPr>
        <w:t xml:space="preserve">Other water companies have </w:t>
      </w:r>
      <w:r w:rsidR="00163563">
        <w:rPr>
          <w:sz w:val="24"/>
        </w:rPr>
        <w:t xml:space="preserve">successfully </w:t>
      </w:r>
      <w:r w:rsidR="0004187D">
        <w:rPr>
          <w:sz w:val="24"/>
        </w:rPr>
        <w:t>used conservation rates and reduce</w:t>
      </w:r>
      <w:r w:rsidR="00E42438">
        <w:rPr>
          <w:sz w:val="24"/>
        </w:rPr>
        <w:t>d</w:t>
      </w:r>
      <w:r w:rsidR="0004187D">
        <w:rPr>
          <w:sz w:val="24"/>
        </w:rPr>
        <w:t xml:space="preserve"> overall water</w:t>
      </w:r>
      <w:r w:rsidR="0004187D" w:rsidRPr="0042121F">
        <w:rPr>
          <w:sz w:val="24"/>
        </w:rPr>
        <w:t xml:space="preserve"> usage during high</w:t>
      </w:r>
      <w:r w:rsidR="00531C82">
        <w:rPr>
          <w:sz w:val="24"/>
        </w:rPr>
        <w:t>-</w:t>
      </w:r>
      <w:r w:rsidR="0004187D" w:rsidRPr="0042121F">
        <w:rPr>
          <w:sz w:val="24"/>
        </w:rPr>
        <w:t>use seasons.</w:t>
      </w:r>
    </w:p>
    <w:p w14:paraId="6AF7261E" w14:textId="77777777" w:rsidR="00E466FF" w:rsidRDefault="00E466FF" w:rsidP="0004187D">
      <w:pPr>
        <w:widowControl/>
        <w:autoSpaceDE/>
        <w:autoSpaceDN/>
        <w:adjustRightInd/>
        <w:rPr>
          <w:sz w:val="24"/>
        </w:rPr>
      </w:pPr>
    </w:p>
    <w:p w14:paraId="6AF7261F" w14:textId="2BA0388C" w:rsidR="00E466FF" w:rsidRDefault="002918B8" w:rsidP="0004187D">
      <w:pPr>
        <w:widowControl/>
        <w:autoSpaceDE/>
        <w:autoSpaceDN/>
        <w:adjustRightInd/>
        <w:rPr>
          <w:sz w:val="24"/>
        </w:rPr>
      </w:pPr>
      <w:r>
        <w:rPr>
          <w:sz w:val="24"/>
        </w:rPr>
        <w:t>T</w:t>
      </w:r>
      <w:r w:rsidR="00E466FF">
        <w:rPr>
          <w:sz w:val="24"/>
        </w:rPr>
        <w:t xml:space="preserve">he third block usage rates would change from $2.81 per 100 cubic feet over 2,000 cubic feet of usage to $5.00 per 100 cubic feet of water usage. This is a 78 percent increase in the third block usage rate. </w:t>
      </w:r>
      <w:r w:rsidR="00EC1EF3">
        <w:rPr>
          <w:sz w:val="24"/>
        </w:rPr>
        <w:t xml:space="preserve">If customers continued to use water at the same usage </w:t>
      </w:r>
      <w:r w:rsidR="00026D9E">
        <w:rPr>
          <w:sz w:val="24"/>
        </w:rPr>
        <w:t>amounts</w:t>
      </w:r>
      <w:r>
        <w:rPr>
          <w:sz w:val="24"/>
        </w:rPr>
        <w:t xml:space="preserve"> as from</w:t>
      </w:r>
      <w:r w:rsidR="00EC1EF3">
        <w:rPr>
          <w:sz w:val="24"/>
        </w:rPr>
        <w:t xml:space="preserve"> 2016, the company could generate in excess of $39,000 additional revenue for the summer months of May th</w:t>
      </w:r>
      <w:r w:rsidR="00986AD4">
        <w:rPr>
          <w:sz w:val="24"/>
        </w:rPr>
        <w:t>r</w:t>
      </w:r>
      <w:r w:rsidR="00EC1EF3">
        <w:rPr>
          <w:sz w:val="24"/>
        </w:rPr>
        <w:t>ough October.</w:t>
      </w:r>
    </w:p>
    <w:p w14:paraId="416D2095" w14:textId="77777777" w:rsidR="004638AF" w:rsidRPr="0042121F" w:rsidRDefault="004638AF" w:rsidP="0004187D">
      <w:pPr>
        <w:widowControl/>
        <w:autoSpaceDE/>
        <w:autoSpaceDN/>
        <w:adjustRightInd/>
        <w:rPr>
          <w:sz w:val="24"/>
        </w:rPr>
      </w:pPr>
    </w:p>
    <w:p w14:paraId="41B39F26" w14:textId="53EF9E82" w:rsidR="00CF45A4" w:rsidRDefault="002918B8" w:rsidP="00CF45A4">
      <w:pPr>
        <w:rPr>
          <w:sz w:val="24"/>
        </w:rPr>
      </w:pPr>
      <w:r>
        <w:rPr>
          <w:sz w:val="24"/>
        </w:rPr>
        <w:t>F</w:t>
      </w:r>
      <w:r w:rsidR="00CF45A4" w:rsidRPr="006B0F66">
        <w:rPr>
          <w:sz w:val="24"/>
        </w:rPr>
        <w:t>unds generated</w:t>
      </w:r>
      <w:r w:rsidR="00CF45A4" w:rsidRPr="00A135D3">
        <w:rPr>
          <w:rStyle w:val="FootnoteReference"/>
          <w:sz w:val="24"/>
          <w:vertAlign w:val="superscript"/>
        </w:rPr>
        <w:footnoteReference w:id="1"/>
      </w:r>
      <w:r w:rsidR="00CF45A4" w:rsidRPr="006B0F66">
        <w:rPr>
          <w:sz w:val="24"/>
        </w:rPr>
        <w:t xml:space="preserve"> from</w:t>
      </w:r>
      <w:r w:rsidR="00CF45A4" w:rsidRPr="00A135D3">
        <w:rPr>
          <w:sz w:val="24"/>
        </w:rPr>
        <w:t xml:space="preserve"> Schedule No. 3</w:t>
      </w:r>
      <w:r w:rsidR="00CF45A4">
        <w:rPr>
          <w:sz w:val="24"/>
        </w:rPr>
        <w:t xml:space="preserve"> </w:t>
      </w:r>
      <w:r w:rsidR="00CF45A4" w:rsidRPr="00A135D3">
        <w:rPr>
          <w:sz w:val="24"/>
        </w:rPr>
        <w:t>C shall only be used for the following conservation</w:t>
      </w:r>
      <w:r w:rsidR="00163563">
        <w:rPr>
          <w:sz w:val="24"/>
        </w:rPr>
        <w:t>-</w:t>
      </w:r>
      <w:r w:rsidR="00CF45A4" w:rsidRPr="00A135D3">
        <w:rPr>
          <w:sz w:val="24"/>
        </w:rPr>
        <w:t>oriented items</w:t>
      </w:r>
      <w:r w:rsidR="00CF45A4">
        <w:rPr>
          <w:sz w:val="24"/>
        </w:rPr>
        <w:t xml:space="preserve"> in the sequence listed</w:t>
      </w:r>
      <w:r w:rsidR="004638AF">
        <w:rPr>
          <w:sz w:val="24"/>
        </w:rPr>
        <w:t xml:space="preserve"> below</w:t>
      </w:r>
      <w:r w:rsidR="00CF45A4" w:rsidRPr="00A135D3">
        <w:rPr>
          <w:sz w:val="24"/>
        </w:rPr>
        <w:t>;</w:t>
      </w:r>
    </w:p>
    <w:p w14:paraId="22ED5371" w14:textId="77777777" w:rsidR="00CF45A4" w:rsidRPr="00A135D3" w:rsidRDefault="00CF45A4" w:rsidP="00CF45A4">
      <w:pPr>
        <w:rPr>
          <w:sz w:val="24"/>
        </w:rPr>
      </w:pPr>
    </w:p>
    <w:p w14:paraId="5390A912" w14:textId="3869222A" w:rsidR="005153DD" w:rsidRPr="005153DD" w:rsidRDefault="002918B8" w:rsidP="00736DB9">
      <w:pPr>
        <w:pStyle w:val="ListParagraph"/>
        <w:numPr>
          <w:ilvl w:val="0"/>
          <w:numId w:val="27"/>
        </w:numPr>
        <w:ind w:left="1440" w:hanging="720"/>
        <w:rPr>
          <w:rFonts w:ascii="Times New Roman" w:hAnsi="Times New Roman"/>
          <w:sz w:val="24"/>
        </w:rPr>
      </w:pPr>
      <w:r w:rsidRPr="00A135D3">
        <w:rPr>
          <w:rFonts w:ascii="Times New Roman" w:hAnsi="Times New Roman"/>
          <w:sz w:val="24"/>
          <w:szCs w:val="24"/>
        </w:rPr>
        <w:t>Hiring of non-company consultant</w:t>
      </w:r>
      <w:r>
        <w:rPr>
          <w:rFonts w:ascii="Times New Roman" w:hAnsi="Times New Roman"/>
          <w:sz w:val="24"/>
          <w:szCs w:val="24"/>
        </w:rPr>
        <w:t>(</w:t>
      </w:r>
      <w:r w:rsidRPr="00A135D3">
        <w:rPr>
          <w:rFonts w:ascii="Times New Roman" w:hAnsi="Times New Roman"/>
          <w:sz w:val="24"/>
          <w:szCs w:val="24"/>
        </w:rPr>
        <w:t>s</w:t>
      </w:r>
      <w:r>
        <w:rPr>
          <w:rFonts w:ascii="Times New Roman" w:hAnsi="Times New Roman"/>
          <w:sz w:val="24"/>
          <w:szCs w:val="24"/>
        </w:rPr>
        <w:t>)</w:t>
      </w:r>
      <w:r w:rsidR="00F20B26">
        <w:rPr>
          <w:rFonts w:ascii="Times New Roman" w:hAnsi="Times New Roman"/>
          <w:sz w:val="24"/>
          <w:szCs w:val="24"/>
        </w:rPr>
        <w:t xml:space="preserve"> including groundwater, legal and engineering</w:t>
      </w:r>
      <w:r w:rsidRPr="00A135D3">
        <w:rPr>
          <w:rFonts w:ascii="Times New Roman" w:hAnsi="Times New Roman"/>
          <w:sz w:val="24"/>
          <w:szCs w:val="24"/>
        </w:rPr>
        <w:t xml:space="preserve"> to provide conservation </w:t>
      </w:r>
      <w:r>
        <w:rPr>
          <w:rFonts w:ascii="Times New Roman" w:hAnsi="Times New Roman"/>
          <w:sz w:val="24"/>
          <w:szCs w:val="24"/>
        </w:rPr>
        <w:t xml:space="preserve">program </w:t>
      </w:r>
      <w:r w:rsidRPr="00A135D3">
        <w:rPr>
          <w:rFonts w:ascii="Times New Roman" w:hAnsi="Times New Roman"/>
          <w:sz w:val="24"/>
          <w:szCs w:val="24"/>
        </w:rPr>
        <w:t xml:space="preserve">review, </w:t>
      </w:r>
      <w:r w:rsidR="00F20B26">
        <w:rPr>
          <w:rFonts w:ascii="Times New Roman" w:hAnsi="Times New Roman"/>
          <w:sz w:val="24"/>
          <w:szCs w:val="24"/>
        </w:rPr>
        <w:t xml:space="preserve">to provide advice and expert analysis, </w:t>
      </w:r>
      <w:r>
        <w:rPr>
          <w:rFonts w:ascii="Times New Roman" w:hAnsi="Times New Roman"/>
          <w:sz w:val="24"/>
          <w:szCs w:val="24"/>
        </w:rPr>
        <w:t xml:space="preserve">to include billing software updates, customer </w:t>
      </w:r>
      <w:r w:rsidRPr="00A135D3">
        <w:rPr>
          <w:rFonts w:ascii="Times New Roman" w:hAnsi="Times New Roman"/>
          <w:sz w:val="24"/>
          <w:szCs w:val="24"/>
        </w:rPr>
        <w:t>education and advi</w:t>
      </w:r>
      <w:r>
        <w:rPr>
          <w:rFonts w:ascii="Times New Roman" w:hAnsi="Times New Roman"/>
          <w:sz w:val="24"/>
          <w:szCs w:val="24"/>
        </w:rPr>
        <w:t>c</w:t>
      </w:r>
      <w:r w:rsidRPr="00A135D3">
        <w:rPr>
          <w:rFonts w:ascii="Times New Roman" w:hAnsi="Times New Roman"/>
          <w:sz w:val="24"/>
          <w:szCs w:val="24"/>
        </w:rPr>
        <w:t>e</w:t>
      </w:r>
      <w:r>
        <w:rPr>
          <w:rFonts w:ascii="Times New Roman" w:hAnsi="Times New Roman"/>
          <w:sz w:val="24"/>
          <w:szCs w:val="24"/>
        </w:rPr>
        <w:t xml:space="preserve"> and provide a report on final recommendations to the commission within 60 days of hiring,</w:t>
      </w:r>
    </w:p>
    <w:p w14:paraId="36F9F62B" w14:textId="6FB2F259" w:rsidR="002918B8" w:rsidRDefault="002918B8" w:rsidP="00736DB9">
      <w:pPr>
        <w:pStyle w:val="ListParagraph"/>
        <w:ind w:left="1440" w:hanging="720"/>
        <w:rPr>
          <w:rFonts w:ascii="Times New Roman" w:hAnsi="Times New Roman"/>
          <w:sz w:val="24"/>
        </w:rPr>
      </w:pPr>
      <w:r w:rsidRPr="00A135D3">
        <w:rPr>
          <w:rFonts w:ascii="Times New Roman" w:hAnsi="Times New Roman"/>
          <w:sz w:val="24"/>
        </w:rPr>
        <w:t xml:space="preserve"> </w:t>
      </w:r>
    </w:p>
    <w:p w14:paraId="6CEC966D" w14:textId="2E65AAF6" w:rsidR="00CF45A4" w:rsidRDefault="00CF45A4" w:rsidP="00736DB9">
      <w:pPr>
        <w:pStyle w:val="ListParagraph"/>
        <w:numPr>
          <w:ilvl w:val="0"/>
          <w:numId w:val="27"/>
        </w:numPr>
        <w:ind w:left="1440" w:hanging="720"/>
        <w:rPr>
          <w:rFonts w:ascii="Times New Roman" w:hAnsi="Times New Roman"/>
          <w:sz w:val="24"/>
        </w:rPr>
      </w:pPr>
      <w:r w:rsidRPr="00A135D3">
        <w:rPr>
          <w:rFonts w:ascii="Times New Roman" w:hAnsi="Times New Roman"/>
          <w:sz w:val="24"/>
        </w:rPr>
        <w:t>Billing software upgrades to develop individual customer water use budgets</w:t>
      </w:r>
      <w:r>
        <w:rPr>
          <w:rFonts w:ascii="Times New Roman" w:hAnsi="Times New Roman"/>
          <w:sz w:val="24"/>
        </w:rPr>
        <w:t xml:space="preserve"> with ‘rollover’ provisions</w:t>
      </w:r>
      <w:r w:rsidRPr="00A135D3">
        <w:rPr>
          <w:rFonts w:ascii="Times New Roman" w:hAnsi="Times New Roman"/>
          <w:sz w:val="24"/>
        </w:rPr>
        <w:t>,</w:t>
      </w:r>
      <w:r>
        <w:rPr>
          <w:rFonts w:ascii="Times New Roman" w:hAnsi="Times New Roman"/>
          <w:sz w:val="24"/>
        </w:rPr>
        <w:t xml:space="preserve"> additional rate blocks,</w:t>
      </w:r>
    </w:p>
    <w:p w14:paraId="3F08463B" w14:textId="77777777" w:rsidR="005153DD" w:rsidRPr="005153DD" w:rsidRDefault="005153DD" w:rsidP="00736DB9">
      <w:pPr>
        <w:ind w:left="1440" w:hanging="720"/>
        <w:rPr>
          <w:sz w:val="24"/>
        </w:rPr>
      </w:pPr>
    </w:p>
    <w:p w14:paraId="4B53B9CD" w14:textId="77777777" w:rsidR="00CF45A4" w:rsidRDefault="00CF45A4" w:rsidP="00736DB9">
      <w:pPr>
        <w:pStyle w:val="ListParagraph"/>
        <w:numPr>
          <w:ilvl w:val="0"/>
          <w:numId w:val="27"/>
        </w:numPr>
        <w:ind w:left="1440" w:hanging="720"/>
        <w:rPr>
          <w:rFonts w:ascii="Times New Roman" w:hAnsi="Times New Roman"/>
          <w:sz w:val="24"/>
          <w:szCs w:val="24"/>
        </w:rPr>
      </w:pPr>
      <w:r w:rsidRPr="00A135D3">
        <w:rPr>
          <w:rFonts w:ascii="Times New Roman" w:hAnsi="Times New Roman"/>
          <w:sz w:val="24"/>
          <w:szCs w:val="24"/>
        </w:rPr>
        <w:t xml:space="preserve">Water system equipment, modifications, staffing, notices and customer surveys, </w:t>
      </w:r>
    </w:p>
    <w:p w14:paraId="1FB0F86C" w14:textId="77777777" w:rsidR="005153DD" w:rsidRPr="005153DD" w:rsidRDefault="005153DD" w:rsidP="00736DB9">
      <w:pPr>
        <w:ind w:left="1440" w:hanging="720"/>
        <w:rPr>
          <w:sz w:val="24"/>
        </w:rPr>
      </w:pPr>
    </w:p>
    <w:p w14:paraId="660BBE05" w14:textId="77777777" w:rsidR="00CF45A4" w:rsidRPr="00A135D3" w:rsidRDefault="00CF45A4" w:rsidP="00736DB9">
      <w:pPr>
        <w:pStyle w:val="ListParagraph"/>
        <w:numPr>
          <w:ilvl w:val="0"/>
          <w:numId w:val="27"/>
        </w:numPr>
        <w:ind w:left="1440" w:hanging="720"/>
        <w:rPr>
          <w:rFonts w:ascii="Times New Roman" w:hAnsi="Times New Roman"/>
          <w:sz w:val="24"/>
          <w:szCs w:val="24"/>
        </w:rPr>
      </w:pPr>
      <w:r w:rsidRPr="00A135D3">
        <w:rPr>
          <w:rFonts w:ascii="Times New Roman" w:hAnsi="Times New Roman"/>
          <w:sz w:val="24"/>
          <w:szCs w:val="24"/>
        </w:rPr>
        <w:t>Where feasible, efforts to obtain additional water rights to benefit affected water systems.</w:t>
      </w:r>
    </w:p>
    <w:p w14:paraId="6B85A9C5" w14:textId="77777777" w:rsidR="00CF45A4" w:rsidRPr="00A135D3" w:rsidRDefault="00CF45A4" w:rsidP="00CF45A4">
      <w:pPr>
        <w:rPr>
          <w:sz w:val="24"/>
        </w:rPr>
      </w:pPr>
    </w:p>
    <w:p w14:paraId="01CED040" w14:textId="39B200B7" w:rsidR="00CF45A4" w:rsidRPr="00320832" w:rsidRDefault="002918B8" w:rsidP="00CF45A4">
      <w:pPr>
        <w:widowControl/>
        <w:tabs>
          <w:tab w:val="left" w:pos="0"/>
        </w:tabs>
        <w:autoSpaceDE/>
        <w:autoSpaceDN/>
        <w:adjustRightInd/>
        <w:spacing w:line="288" w:lineRule="auto"/>
        <w:rPr>
          <w:sz w:val="24"/>
        </w:rPr>
      </w:pPr>
      <w:r>
        <w:rPr>
          <w:sz w:val="24"/>
        </w:rPr>
        <w:t>T</w:t>
      </w:r>
      <w:r w:rsidR="00CF45A4" w:rsidRPr="00A135D3">
        <w:rPr>
          <w:sz w:val="24"/>
        </w:rPr>
        <w:t>he proposed Conserva</w:t>
      </w:r>
      <w:r w:rsidR="00CF45A4">
        <w:rPr>
          <w:sz w:val="24"/>
        </w:rPr>
        <w:t xml:space="preserve">tion Rate </w:t>
      </w:r>
      <w:r w:rsidR="00CF45A4" w:rsidRPr="00320832">
        <w:rPr>
          <w:sz w:val="24"/>
        </w:rPr>
        <w:t xml:space="preserve">tariff is reasonable and should be approved, subject to the following conditions: </w:t>
      </w:r>
    </w:p>
    <w:p w14:paraId="7617C717" w14:textId="77777777" w:rsidR="00CF45A4" w:rsidRPr="00320832" w:rsidRDefault="00CF45A4" w:rsidP="00CF45A4">
      <w:pPr>
        <w:rPr>
          <w:sz w:val="24"/>
        </w:rPr>
      </w:pPr>
    </w:p>
    <w:p w14:paraId="093DC522" w14:textId="21412B42" w:rsidR="00CF45A4" w:rsidRPr="00320832" w:rsidRDefault="00CF45A4" w:rsidP="00CF45A4">
      <w:pPr>
        <w:pStyle w:val="ListParagraph"/>
        <w:numPr>
          <w:ilvl w:val="0"/>
          <w:numId w:val="28"/>
        </w:numPr>
        <w:ind w:left="1440" w:hanging="720"/>
        <w:contextualSpacing/>
        <w:rPr>
          <w:rFonts w:ascii="Times New Roman" w:hAnsi="Times New Roman"/>
          <w:sz w:val="24"/>
          <w:szCs w:val="24"/>
        </w:rPr>
      </w:pPr>
      <w:r w:rsidRPr="00320832">
        <w:rPr>
          <w:rFonts w:ascii="Times New Roman" w:hAnsi="Times New Roman"/>
          <w:sz w:val="24"/>
          <w:szCs w:val="24"/>
        </w:rPr>
        <w:t xml:space="preserve">This </w:t>
      </w:r>
      <w:r>
        <w:rPr>
          <w:rFonts w:ascii="Times New Roman" w:hAnsi="Times New Roman"/>
          <w:sz w:val="24"/>
          <w:szCs w:val="24"/>
        </w:rPr>
        <w:t xml:space="preserve">conservation rate (Schedule No. 3 C) </w:t>
      </w:r>
      <w:r w:rsidRPr="00320832">
        <w:rPr>
          <w:rFonts w:ascii="Times New Roman" w:hAnsi="Times New Roman"/>
          <w:sz w:val="24"/>
          <w:szCs w:val="24"/>
        </w:rPr>
        <w:t>s</w:t>
      </w:r>
      <w:r>
        <w:rPr>
          <w:rFonts w:ascii="Times New Roman" w:hAnsi="Times New Roman"/>
          <w:sz w:val="24"/>
          <w:szCs w:val="24"/>
        </w:rPr>
        <w:t>hall</w:t>
      </w:r>
      <w:r w:rsidRPr="00320832">
        <w:rPr>
          <w:rFonts w:ascii="Times New Roman" w:hAnsi="Times New Roman"/>
          <w:sz w:val="24"/>
          <w:szCs w:val="24"/>
        </w:rPr>
        <w:t xml:space="preserve"> apply to all </w:t>
      </w:r>
      <w:r w:rsidR="002918B8">
        <w:rPr>
          <w:rFonts w:ascii="Times New Roman" w:hAnsi="Times New Roman"/>
          <w:sz w:val="24"/>
          <w:szCs w:val="24"/>
        </w:rPr>
        <w:t xml:space="preserve">customers on </w:t>
      </w:r>
      <w:r>
        <w:rPr>
          <w:rFonts w:ascii="Times New Roman" w:hAnsi="Times New Roman"/>
          <w:sz w:val="24"/>
          <w:szCs w:val="24"/>
        </w:rPr>
        <w:t xml:space="preserve">water systems </w:t>
      </w:r>
      <w:r w:rsidRPr="00320832">
        <w:rPr>
          <w:rFonts w:ascii="Times New Roman" w:hAnsi="Times New Roman"/>
          <w:sz w:val="24"/>
          <w:szCs w:val="24"/>
        </w:rPr>
        <w:t xml:space="preserve">served by the </w:t>
      </w:r>
      <w:r>
        <w:rPr>
          <w:rFonts w:ascii="Times New Roman" w:hAnsi="Times New Roman"/>
          <w:sz w:val="24"/>
          <w:szCs w:val="24"/>
        </w:rPr>
        <w:t>c</w:t>
      </w:r>
      <w:r w:rsidRPr="00320832">
        <w:rPr>
          <w:rFonts w:ascii="Times New Roman" w:hAnsi="Times New Roman"/>
          <w:sz w:val="24"/>
          <w:szCs w:val="24"/>
        </w:rPr>
        <w:t>ompany</w:t>
      </w:r>
      <w:r>
        <w:rPr>
          <w:rFonts w:ascii="Times New Roman" w:hAnsi="Times New Roman"/>
          <w:sz w:val="24"/>
          <w:szCs w:val="24"/>
        </w:rPr>
        <w:t xml:space="preserve"> </w:t>
      </w:r>
      <w:r w:rsidR="002918B8">
        <w:rPr>
          <w:rFonts w:ascii="Times New Roman" w:hAnsi="Times New Roman"/>
          <w:sz w:val="24"/>
          <w:szCs w:val="24"/>
        </w:rPr>
        <w:t xml:space="preserve">that have exceeded or are within </w:t>
      </w:r>
      <w:r w:rsidR="00225B2D">
        <w:rPr>
          <w:rFonts w:ascii="Times New Roman" w:hAnsi="Times New Roman"/>
          <w:sz w:val="24"/>
          <w:szCs w:val="24"/>
        </w:rPr>
        <w:t>5</w:t>
      </w:r>
      <w:r>
        <w:rPr>
          <w:rFonts w:ascii="Times New Roman" w:hAnsi="Times New Roman"/>
          <w:sz w:val="24"/>
          <w:szCs w:val="24"/>
        </w:rPr>
        <w:t xml:space="preserve"> percent of the applicable water rights for that water system</w:t>
      </w:r>
      <w:r w:rsidRPr="00320832">
        <w:rPr>
          <w:rFonts w:ascii="Times New Roman" w:hAnsi="Times New Roman"/>
          <w:sz w:val="24"/>
          <w:szCs w:val="24"/>
        </w:rPr>
        <w:t xml:space="preserve">. The </w:t>
      </w:r>
      <w:r>
        <w:rPr>
          <w:rFonts w:ascii="Times New Roman" w:hAnsi="Times New Roman"/>
          <w:sz w:val="24"/>
          <w:szCs w:val="24"/>
        </w:rPr>
        <w:t>conservation rate will be in effect during the period of May 1 through October 31 of each year.</w:t>
      </w:r>
      <w:r w:rsidRPr="00320832">
        <w:rPr>
          <w:rFonts w:ascii="Times New Roman" w:hAnsi="Times New Roman"/>
          <w:sz w:val="24"/>
          <w:szCs w:val="24"/>
        </w:rPr>
        <w:t xml:space="preserve"> </w:t>
      </w:r>
    </w:p>
    <w:p w14:paraId="21C052A4" w14:textId="77777777" w:rsidR="00CF45A4" w:rsidRPr="00320832" w:rsidRDefault="00CF45A4" w:rsidP="00CF45A4">
      <w:pPr>
        <w:ind w:left="1440" w:hanging="720"/>
        <w:rPr>
          <w:sz w:val="24"/>
        </w:rPr>
      </w:pPr>
    </w:p>
    <w:p w14:paraId="6A2F1446" w14:textId="05DBF62A" w:rsidR="00CF45A4" w:rsidRPr="00320832" w:rsidRDefault="00CF45A4" w:rsidP="00CF45A4">
      <w:pPr>
        <w:pStyle w:val="ListParagraph"/>
        <w:numPr>
          <w:ilvl w:val="0"/>
          <w:numId w:val="28"/>
        </w:numPr>
        <w:ind w:left="1440" w:hanging="720"/>
        <w:contextualSpacing/>
        <w:rPr>
          <w:rFonts w:ascii="Times New Roman" w:hAnsi="Times New Roman"/>
          <w:sz w:val="24"/>
          <w:szCs w:val="24"/>
        </w:rPr>
      </w:pPr>
      <w:r w:rsidRPr="00320832">
        <w:rPr>
          <w:rFonts w:ascii="Times New Roman" w:hAnsi="Times New Roman"/>
          <w:sz w:val="24"/>
          <w:szCs w:val="24"/>
        </w:rPr>
        <w:t xml:space="preserve">Funds received from the </w:t>
      </w:r>
      <w:r>
        <w:rPr>
          <w:rFonts w:ascii="Times New Roman" w:hAnsi="Times New Roman"/>
          <w:sz w:val="24"/>
          <w:szCs w:val="24"/>
        </w:rPr>
        <w:t>conservation rate</w:t>
      </w:r>
      <w:r w:rsidRPr="00320832">
        <w:rPr>
          <w:rFonts w:ascii="Times New Roman" w:hAnsi="Times New Roman"/>
          <w:sz w:val="24"/>
          <w:szCs w:val="24"/>
        </w:rPr>
        <w:t>, including interest earned on the funds while held in a separate reserve account, will be treated as contributions in aid of construction.</w:t>
      </w:r>
      <w:r w:rsidR="004638AF">
        <w:rPr>
          <w:rFonts w:ascii="Times New Roman" w:hAnsi="Times New Roman"/>
          <w:sz w:val="24"/>
          <w:szCs w:val="24"/>
        </w:rPr>
        <w:t xml:space="preserve"> Funds collected may only be used for items listed above in the sequenced order.</w:t>
      </w:r>
    </w:p>
    <w:p w14:paraId="2B29B233" w14:textId="77777777" w:rsidR="00CF45A4" w:rsidRPr="00320832" w:rsidRDefault="00CF45A4" w:rsidP="00CF45A4">
      <w:pPr>
        <w:pStyle w:val="ListParagraph"/>
        <w:ind w:left="1440" w:hanging="720"/>
        <w:rPr>
          <w:rFonts w:ascii="Times New Roman" w:hAnsi="Times New Roman"/>
          <w:sz w:val="24"/>
          <w:szCs w:val="24"/>
        </w:rPr>
      </w:pPr>
    </w:p>
    <w:p w14:paraId="79A61029" w14:textId="7A150EB1" w:rsidR="00CF45A4" w:rsidRPr="00320832" w:rsidRDefault="00CF45A4" w:rsidP="00CF45A4">
      <w:pPr>
        <w:pStyle w:val="ListParagraph"/>
        <w:numPr>
          <w:ilvl w:val="0"/>
          <w:numId w:val="28"/>
        </w:numPr>
        <w:ind w:left="1440" w:hanging="720"/>
        <w:contextualSpacing/>
        <w:rPr>
          <w:rFonts w:ascii="Times New Roman" w:hAnsi="Times New Roman"/>
          <w:sz w:val="24"/>
          <w:szCs w:val="24"/>
        </w:rPr>
      </w:pPr>
      <w:r>
        <w:rPr>
          <w:rFonts w:ascii="Times New Roman" w:hAnsi="Times New Roman"/>
          <w:sz w:val="24"/>
          <w:szCs w:val="24"/>
        </w:rPr>
        <w:t>Conservation rate</w:t>
      </w:r>
      <w:r w:rsidRPr="00320832">
        <w:rPr>
          <w:rFonts w:ascii="Times New Roman" w:hAnsi="Times New Roman"/>
          <w:sz w:val="24"/>
          <w:szCs w:val="24"/>
        </w:rPr>
        <w:t xml:space="preserve"> funds collected and interest earned upon such funds must be held in a separate reserve account by the </w:t>
      </w:r>
      <w:r>
        <w:rPr>
          <w:rFonts w:ascii="Times New Roman" w:hAnsi="Times New Roman"/>
          <w:sz w:val="24"/>
          <w:szCs w:val="24"/>
        </w:rPr>
        <w:t>c</w:t>
      </w:r>
      <w:r w:rsidRPr="00320832">
        <w:rPr>
          <w:rFonts w:ascii="Times New Roman" w:hAnsi="Times New Roman"/>
          <w:sz w:val="24"/>
          <w:szCs w:val="24"/>
        </w:rPr>
        <w:t xml:space="preserve">ompany for the benefit of customers. Such funds do not become the property of the </w:t>
      </w:r>
      <w:r>
        <w:rPr>
          <w:rFonts w:ascii="Times New Roman" w:hAnsi="Times New Roman"/>
          <w:sz w:val="24"/>
          <w:szCs w:val="24"/>
        </w:rPr>
        <w:t>c</w:t>
      </w:r>
      <w:r w:rsidRPr="00320832">
        <w:rPr>
          <w:rFonts w:ascii="Times New Roman" w:hAnsi="Times New Roman"/>
          <w:sz w:val="24"/>
          <w:szCs w:val="24"/>
        </w:rPr>
        <w:t xml:space="preserve">ompany or </w:t>
      </w:r>
      <w:r>
        <w:rPr>
          <w:rFonts w:ascii="Times New Roman" w:hAnsi="Times New Roman"/>
          <w:sz w:val="24"/>
          <w:szCs w:val="24"/>
        </w:rPr>
        <w:t>c</w:t>
      </w:r>
      <w:r w:rsidRPr="00320832">
        <w:rPr>
          <w:rFonts w:ascii="Times New Roman" w:hAnsi="Times New Roman"/>
          <w:sz w:val="24"/>
          <w:szCs w:val="24"/>
        </w:rPr>
        <w:t xml:space="preserve">ompany owners and may not be disbursed, alienated, attached, or otherwise encumbered by the </w:t>
      </w:r>
      <w:r>
        <w:rPr>
          <w:rFonts w:ascii="Times New Roman" w:hAnsi="Times New Roman"/>
          <w:sz w:val="24"/>
          <w:szCs w:val="24"/>
        </w:rPr>
        <w:t>c</w:t>
      </w:r>
      <w:r w:rsidRPr="00320832">
        <w:rPr>
          <w:rFonts w:ascii="Times New Roman" w:hAnsi="Times New Roman"/>
          <w:sz w:val="24"/>
          <w:szCs w:val="24"/>
        </w:rPr>
        <w:t xml:space="preserve">ompany or its owners. In the event of a sale or transfer of the </w:t>
      </w:r>
      <w:r w:rsidR="005153DD">
        <w:rPr>
          <w:rFonts w:ascii="Times New Roman" w:hAnsi="Times New Roman"/>
          <w:sz w:val="24"/>
          <w:szCs w:val="24"/>
        </w:rPr>
        <w:t>c</w:t>
      </w:r>
      <w:r w:rsidRPr="00320832">
        <w:rPr>
          <w:rFonts w:ascii="Times New Roman" w:hAnsi="Times New Roman"/>
          <w:sz w:val="24"/>
          <w:szCs w:val="24"/>
        </w:rPr>
        <w:t xml:space="preserve">ompany, the trust obligations established in WAC 480-110 regarding any unspent </w:t>
      </w:r>
      <w:r>
        <w:rPr>
          <w:rFonts w:ascii="Times New Roman" w:hAnsi="Times New Roman"/>
          <w:sz w:val="24"/>
          <w:szCs w:val="24"/>
        </w:rPr>
        <w:t>conservation rate</w:t>
      </w:r>
      <w:r w:rsidRPr="00320832">
        <w:rPr>
          <w:rFonts w:ascii="Times New Roman" w:hAnsi="Times New Roman"/>
          <w:sz w:val="24"/>
          <w:szCs w:val="24"/>
        </w:rPr>
        <w:t xml:space="preserve"> funds will be transferred to the new owner of the </w:t>
      </w:r>
      <w:r>
        <w:rPr>
          <w:rFonts w:ascii="Times New Roman" w:hAnsi="Times New Roman"/>
          <w:sz w:val="24"/>
          <w:szCs w:val="24"/>
        </w:rPr>
        <w:t>c</w:t>
      </w:r>
      <w:r w:rsidRPr="00320832">
        <w:rPr>
          <w:rFonts w:ascii="Times New Roman" w:hAnsi="Times New Roman"/>
          <w:sz w:val="24"/>
          <w:szCs w:val="24"/>
        </w:rPr>
        <w:t xml:space="preserve">ompany. </w:t>
      </w:r>
    </w:p>
    <w:p w14:paraId="72C6F997" w14:textId="77777777" w:rsidR="00CF45A4" w:rsidRPr="00320832" w:rsidRDefault="00CF45A4" w:rsidP="00CF45A4">
      <w:pPr>
        <w:pStyle w:val="ListParagraph"/>
        <w:ind w:left="1440" w:hanging="720"/>
        <w:rPr>
          <w:rFonts w:ascii="Times New Roman" w:hAnsi="Times New Roman"/>
          <w:sz w:val="24"/>
          <w:szCs w:val="24"/>
        </w:rPr>
      </w:pPr>
      <w:r w:rsidRPr="00320832">
        <w:rPr>
          <w:rFonts w:ascii="Times New Roman" w:hAnsi="Times New Roman"/>
          <w:sz w:val="24"/>
          <w:szCs w:val="24"/>
        </w:rPr>
        <w:t xml:space="preserve"> </w:t>
      </w:r>
    </w:p>
    <w:p w14:paraId="56620A11" w14:textId="77777777" w:rsidR="00CF45A4" w:rsidRPr="00320832" w:rsidRDefault="00CF45A4" w:rsidP="00CF45A4">
      <w:pPr>
        <w:pStyle w:val="ListParagraph"/>
        <w:numPr>
          <w:ilvl w:val="0"/>
          <w:numId w:val="28"/>
        </w:numPr>
        <w:ind w:left="1440" w:hanging="720"/>
        <w:contextualSpacing/>
        <w:rPr>
          <w:rFonts w:ascii="Times New Roman" w:hAnsi="Times New Roman"/>
          <w:sz w:val="24"/>
          <w:szCs w:val="24"/>
        </w:rPr>
      </w:pPr>
      <w:r w:rsidRPr="00320832">
        <w:rPr>
          <w:rFonts w:ascii="Times New Roman" w:hAnsi="Times New Roman"/>
          <w:sz w:val="24"/>
          <w:szCs w:val="24"/>
        </w:rPr>
        <w:t xml:space="preserve">The </w:t>
      </w:r>
      <w:r>
        <w:rPr>
          <w:rFonts w:ascii="Times New Roman" w:hAnsi="Times New Roman"/>
          <w:sz w:val="24"/>
          <w:szCs w:val="24"/>
        </w:rPr>
        <w:t>c</w:t>
      </w:r>
      <w:r w:rsidRPr="00320832">
        <w:rPr>
          <w:rFonts w:ascii="Times New Roman" w:hAnsi="Times New Roman"/>
          <w:sz w:val="24"/>
          <w:szCs w:val="24"/>
        </w:rPr>
        <w:t xml:space="preserve">ompany must report the following information to the </w:t>
      </w:r>
      <w:r>
        <w:rPr>
          <w:rFonts w:ascii="Times New Roman" w:hAnsi="Times New Roman"/>
          <w:sz w:val="24"/>
          <w:szCs w:val="24"/>
        </w:rPr>
        <w:t>c</w:t>
      </w:r>
      <w:r w:rsidRPr="00320832">
        <w:rPr>
          <w:rFonts w:ascii="Times New Roman" w:hAnsi="Times New Roman"/>
          <w:sz w:val="24"/>
          <w:szCs w:val="24"/>
        </w:rPr>
        <w:t>ommission within 60 days of the end of each calendar quarter:</w:t>
      </w:r>
    </w:p>
    <w:p w14:paraId="0A2923E4" w14:textId="77777777" w:rsidR="00CF45A4" w:rsidRPr="00320832" w:rsidRDefault="00CF45A4" w:rsidP="00CF45A4">
      <w:pPr>
        <w:pStyle w:val="ListParagraph"/>
        <w:numPr>
          <w:ilvl w:val="1"/>
          <w:numId w:val="28"/>
        </w:numPr>
        <w:ind w:left="2070" w:hanging="270"/>
        <w:contextualSpacing/>
        <w:rPr>
          <w:rFonts w:ascii="Times New Roman" w:hAnsi="Times New Roman"/>
          <w:sz w:val="24"/>
          <w:szCs w:val="24"/>
        </w:rPr>
      </w:pPr>
      <w:r w:rsidRPr="00320832">
        <w:rPr>
          <w:rFonts w:ascii="Times New Roman" w:hAnsi="Times New Roman"/>
          <w:sz w:val="24"/>
          <w:szCs w:val="24"/>
        </w:rPr>
        <w:t xml:space="preserve">Beginning balance; </w:t>
      </w:r>
    </w:p>
    <w:p w14:paraId="6752A303" w14:textId="77777777" w:rsidR="00CF45A4" w:rsidRPr="00320832" w:rsidRDefault="00CF45A4" w:rsidP="00CF45A4">
      <w:pPr>
        <w:pStyle w:val="ListParagraph"/>
        <w:numPr>
          <w:ilvl w:val="1"/>
          <w:numId w:val="28"/>
        </w:numPr>
        <w:ind w:left="2070" w:hanging="270"/>
        <w:contextualSpacing/>
        <w:rPr>
          <w:rFonts w:ascii="Times New Roman" w:hAnsi="Times New Roman"/>
          <w:sz w:val="24"/>
          <w:szCs w:val="24"/>
        </w:rPr>
      </w:pPr>
      <w:r w:rsidRPr="00320832">
        <w:rPr>
          <w:rFonts w:ascii="Times New Roman" w:hAnsi="Times New Roman"/>
          <w:sz w:val="24"/>
          <w:szCs w:val="24"/>
        </w:rPr>
        <w:t xml:space="preserve">Amounts received, detailed by </w:t>
      </w:r>
      <w:r>
        <w:rPr>
          <w:rFonts w:ascii="Times New Roman" w:hAnsi="Times New Roman"/>
          <w:sz w:val="24"/>
          <w:szCs w:val="24"/>
        </w:rPr>
        <w:t xml:space="preserve">water system </w:t>
      </w:r>
      <w:r w:rsidRPr="00320832">
        <w:rPr>
          <w:rFonts w:ascii="Times New Roman" w:hAnsi="Times New Roman"/>
          <w:sz w:val="24"/>
          <w:szCs w:val="24"/>
        </w:rPr>
        <w:t>source;</w:t>
      </w:r>
    </w:p>
    <w:p w14:paraId="6844AB57" w14:textId="77777777" w:rsidR="00CF45A4" w:rsidRPr="00320832" w:rsidRDefault="00CF45A4" w:rsidP="00CF45A4">
      <w:pPr>
        <w:pStyle w:val="ListParagraph"/>
        <w:numPr>
          <w:ilvl w:val="1"/>
          <w:numId w:val="28"/>
        </w:numPr>
        <w:ind w:left="2070" w:hanging="270"/>
        <w:contextualSpacing/>
        <w:rPr>
          <w:rFonts w:ascii="Times New Roman" w:hAnsi="Times New Roman"/>
          <w:sz w:val="24"/>
          <w:szCs w:val="24"/>
        </w:rPr>
      </w:pPr>
      <w:r w:rsidRPr="00320832">
        <w:rPr>
          <w:rFonts w:ascii="Times New Roman" w:hAnsi="Times New Roman"/>
          <w:sz w:val="24"/>
          <w:szCs w:val="24"/>
        </w:rPr>
        <w:t>Amounts spent, detailed by project or expense;</w:t>
      </w:r>
    </w:p>
    <w:p w14:paraId="2D6E0F1C" w14:textId="77777777" w:rsidR="00CF45A4" w:rsidRPr="00320832" w:rsidRDefault="00CF45A4" w:rsidP="00CF45A4">
      <w:pPr>
        <w:pStyle w:val="ListParagraph"/>
        <w:numPr>
          <w:ilvl w:val="1"/>
          <w:numId w:val="28"/>
        </w:numPr>
        <w:ind w:left="2070" w:hanging="270"/>
        <w:contextualSpacing/>
        <w:rPr>
          <w:rFonts w:ascii="Times New Roman" w:hAnsi="Times New Roman"/>
          <w:sz w:val="24"/>
          <w:szCs w:val="24"/>
        </w:rPr>
      </w:pPr>
      <w:r w:rsidRPr="00320832">
        <w:rPr>
          <w:rFonts w:ascii="Times New Roman" w:hAnsi="Times New Roman"/>
          <w:sz w:val="24"/>
          <w:szCs w:val="24"/>
        </w:rPr>
        <w:t xml:space="preserve">Ending balance; </w:t>
      </w:r>
    </w:p>
    <w:p w14:paraId="72466B3A" w14:textId="77777777" w:rsidR="00CF45A4" w:rsidRPr="00320832" w:rsidRDefault="00CF45A4" w:rsidP="00CF45A4">
      <w:pPr>
        <w:pStyle w:val="ListParagraph"/>
        <w:numPr>
          <w:ilvl w:val="1"/>
          <w:numId w:val="28"/>
        </w:numPr>
        <w:ind w:left="2070" w:hanging="270"/>
        <w:contextualSpacing/>
        <w:rPr>
          <w:rFonts w:ascii="Times New Roman" w:hAnsi="Times New Roman"/>
          <w:sz w:val="24"/>
          <w:szCs w:val="24"/>
        </w:rPr>
      </w:pPr>
      <w:r w:rsidRPr="00320832">
        <w:rPr>
          <w:rFonts w:ascii="Times New Roman" w:hAnsi="Times New Roman"/>
          <w:sz w:val="24"/>
          <w:szCs w:val="24"/>
        </w:rPr>
        <w:t>Reconciliation of bank balance to general ledger.</w:t>
      </w:r>
    </w:p>
    <w:p w14:paraId="128C89E8" w14:textId="77777777" w:rsidR="00CF45A4" w:rsidRPr="00320832" w:rsidRDefault="00CF45A4" w:rsidP="00CF45A4">
      <w:pPr>
        <w:pStyle w:val="ListParagraph"/>
        <w:ind w:left="2070" w:hanging="270"/>
        <w:rPr>
          <w:rFonts w:ascii="Times New Roman" w:hAnsi="Times New Roman"/>
          <w:sz w:val="24"/>
          <w:szCs w:val="24"/>
        </w:rPr>
      </w:pPr>
    </w:p>
    <w:p w14:paraId="34934A3F" w14:textId="77777777" w:rsidR="00CF45A4" w:rsidRDefault="00CF45A4" w:rsidP="00CF45A4">
      <w:pPr>
        <w:pStyle w:val="ListParagraph"/>
        <w:numPr>
          <w:ilvl w:val="0"/>
          <w:numId w:val="28"/>
        </w:numPr>
        <w:ind w:left="1440" w:hanging="720"/>
        <w:contextualSpacing/>
        <w:rPr>
          <w:rFonts w:ascii="Times New Roman" w:hAnsi="Times New Roman"/>
          <w:sz w:val="24"/>
          <w:szCs w:val="24"/>
        </w:rPr>
      </w:pPr>
      <w:r w:rsidRPr="00320832">
        <w:rPr>
          <w:rFonts w:ascii="Times New Roman" w:hAnsi="Times New Roman"/>
          <w:sz w:val="24"/>
          <w:szCs w:val="24"/>
        </w:rPr>
        <w:t xml:space="preserve">The </w:t>
      </w:r>
      <w:r>
        <w:rPr>
          <w:rFonts w:ascii="Times New Roman" w:hAnsi="Times New Roman"/>
          <w:sz w:val="24"/>
          <w:szCs w:val="24"/>
        </w:rPr>
        <w:t>c</w:t>
      </w:r>
      <w:r w:rsidRPr="00320832">
        <w:rPr>
          <w:rFonts w:ascii="Times New Roman" w:hAnsi="Times New Roman"/>
          <w:sz w:val="24"/>
          <w:szCs w:val="24"/>
        </w:rPr>
        <w:t>omp</w:t>
      </w:r>
      <w:r w:rsidRPr="001C0C2B">
        <w:rPr>
          <w:rFonts w:ascii="Times New Roman" w:hAnsi="Times New Roman"/>
          <w:sz w:val="24"/>
          <w:szCs w:val="24"/>
        </w:rPr>
        <w:t>any will immediately deposit all monthly funds received and related to the conservation rate in the same separate reserve account specified in condition (c) above.</w:t>
      </w:r>
    </w:p>
    <w:p w14:paraId="7C6A1B1A" w14:textId="77777777" w:rsidR="001C0C2B" w:rsidRPr="001C0C2B" w:rsidRDefault="001C0C2B" w:rsidP="001C0C2B">
      <w:pPr>
        <w:pStyle w:val="ListParagraph"/>
        <w:ind w:left="1440"/>
        <w:contextualSpacing/>
        <w:rPr>
          <w:rFonts w:ascii="Times New Roman" w:hAnsi="Times New Roman"/>
          <w:sz w:val="24"/>
          <w:szCs w:val="24"/>
        </w:rPr>
      </w:pPr>
    </w:p>
    <w:p w14:paraId="3E7E178D" w14:textId="67AC2FD0" w:rsidR="002918B8" w:rsidRDefault="002918B8" w:rsidP="001C0C2B">
      <w:pPr>
        <w:pStyle w:val="ListParagraph"/>
        <w:numPr>
          <w:ilvl w:val="0"/>
          <w:numId w:val="28"/>
        </w:numPr>
        <w:ind w:left="1440" w:hanging="720"/>
        <w:rPr>
          <w:rFonts w:ascii="Times New Roman" w:hAnsi="Times New Roman"/>
          <w:sz w:val="24"/>
          <w:szCs w:val="24"/>
        </w:rPr>
      </w:pPr>
      <w:r w:rsidRPr="001C0C2B">
        <w:rPr>
          <w:rFonts w:ascii="Times New Roman" w:hAnsi="Times New Roman"/>
          <w:sz w:val="24"/>
          <w:szCs w:val="24"/>
        </w:rPr>
        <w:t xml:space="preserve">The $5.00 conservation rate will expire </w:t>
      </w:r>
      <w:r w:rsidR="00F20B26">
        <w:rPr>
          <w:rFonts w:ascii="Times New Roman" w:hAnsi="Times New Roman"/>
          <w:sz w:val="24"/>
          <w:szCs w:val="24"/>
        </w:rPr>
        <w:t xml:space="preserve">with the billing which include all consumption through </w:t>
      </w:r>
      <w:r w:rsidRPr="001C0C2B">
        <w:rPr>
          <w:rFonts w:ascii="Times New Roman" w:hAnsi="Times New Roman"/>
          <w:sz w:val="24"/>
          <w:szCs w:val="24"/>
        </w:rPr>
        <w:t>October 31, 2019. At that time the company may file to reinstate the conservation rate. The company may propose and file any other conservation plan at any time.</w:t>
      </w:r>
    </w:p>
    <w:p w14:paraId="5182228C" w14:textId="77777777" w:rsidR="002918B8" w:rsidRPr="002918B8" w:rsidRDefault="002918B8" w:rsidP="002918B8">
      <w:pPr>
        <w:pStyle w:val="ListParagraph"/>
        <w:rPr>
          <w:rFonts w:ascii="Times New Roman" w:hAnsi="Times New Roman"/>
          <w:sz w:val="24"/>
          <w:szCs w:val="24"/>
        </w:rPr>
      </w:pPr>
    </w:p>
    <w:p w14:paraId="2C40FC84" w14:textId="6A264D52" w:rsidR="001C0C2B" w:rsidRPr="002918B8" w:rsidRDefault="001C0C2B" w:rsidP="002918B8">
      <w:pPr>
        <w:pStyle w:val="ListParagraph"/>
        <w:numPr>
          <w:ilvl w:val="0"/>
          <w:numId w:val="28"/>
        </w:numPr>
        <w:ind w:left="1440" w:hanging="720"/>
        <w:rPr>
          <w:rFonts w:ascii="Times New Roman" w:hAnsi="Times New Roman"/>
          <w:sz w:val="24"/>
          <w:szCs w:val="24"/>
        </w:rPr>
      </w:pPr>
      <w:r w:rsidRPr="001C0C2B">
        <w:rPr>
          <w:rFonts w:ascii="Times New Roman" w:hAnsi="Times New Roman"/>
          <w:sz w:val="24"/>
          <w:szCs w:val="24"/>
        </w:rPr>
        <w:t xml:space="preserve">Excess funds held in the separate account will be distributed equally, by billing credit, at the end of three (3) years </w:t>
      </w:r>
      <w:r>
        <w:rPr>
          <w:rFonts w:ascii="Times New Roman" w:hAnsi="Times New Roman"/>
          <w:sz w:val="24"/>
          <w:szCs w:val="24"/>
        </w:rPr>
        <w:t>(</w:t>
      </w:r>
      <w:r w:rsidRPr="001C0C2B">
        <w:rPr>
          <w:rFonts w:ascii="Times New Roman" w:hAnsi="Times New Roman"/>
          <w:sz w:val="24"/>
          <w:szCs w:val="24"/>
        </w:rPr>
        <w:t>October 31, 2019</w:t>
      </w:r>
      <w:r>
        <w:rPr>
          <w:rFonts w:ascii="Times New Roman" w:hAnsi="Times New Roman"/>
          <w:sz w:val="24"/>
          <w:szCs w:val="24"/>
        </w:rPr>
        <w:t>)</w:t>
      </w:r>
      <w:r w:rsidRPr="001C0C2B">
        <w:rPr>
          <w:rFonts w:ascii="Times New Roman" w:hAnsi="Times New Roman"/>
          <w:sz w:val="24"/>
          <w:szCs w:val="24"/>
        </w:rPr>
        <w:t xml:space="preserve"> to the customers on the systems from which the funds were collected.</w:t>
      </w:r>
    </w:p>
    <w:p w14:paraId="62135FE3" w14:textId="77777777" w:rsidR="00CF45A4" w:rsidRPr="001C0C2B" w:rsidRDefault="00CF45A4" w:rsidP="00CF45A4">
      <w:pPr>
        <w:pStyle w:val="ListParagraph"/>
        <w:ind w:left="1440" w:hanging="720"/>
        <w:rPr>
          <w:rFonts w:ascii="Times New Roman" w:hAnsi="Times New Roman"/>
          <w:sz w:val="24"/>
          <w:szCs w:val="24"/>
        </w:rPr>
      </w:pPr>
    </w:p>
    <w:p w14:paraId="5CF808C9" w14:textId="77777777" w:rsidR="00E6584B" w:rsidRDefault="00E6584B">
      <w:pPr>
        <w:widowControl/>
        <w:autoSpaceDE/>
        <w:autoSpaceDN/>
        <w:adjustRightInd/>
        <w:rPr>
          <w:b/>
          <w:sz w:val="24"/>
          <w:u w:val="single"/>
        </w:rPr>
      </w:pPr>
      <w:r>
        <w:rPr>
          <w:b/>
          <w:sz w:val="24"/>
          <w:u w:val="single"/>
        </w:rPr>
        <w:br w:type="page"/>
      </w:r>
    </w:p>
    <w:p w14:paraId="6AF72621" w14:textId="5465B5B0" w:rsidR="006A5DCD" w:rsidRDefault="006A5DCD" w:rsidP="006A5DCD">
      <w:pPr>
        <w:rPr>
          <w:b/>
          <w:sz w:val="24"/>
          <w:u w:val="single"/>
        </w:rPr>
      </w:pPr>
      <w:r w:rsidRPr="00480CB9">
        <w:rPr>
          <w:b/>
          <w:sz w:val="24"/>
          <w:u w:val="single"/>
        </w:rPr>
        <w:lastRenderedPageBreak/>
        <w:t>Customer Comments</w:t>
      </w:r>
    </w:p>
    <w:p w14:paraId="6AF72622" w14:textId="77777777" w:rsidR="006A5DCD" w:rsidRPr="00480CB9" w:rsidRDefault="006A5DCD" w:rsidP="006A5DCD">
      <w:pPr>
        <w:rPr>
          <w:sz w:val="24"/>
        </w:rPr>
      </w:pPr>
    </w:p>
    <w:p w14:paraId="363D6D9C" w14:textId="3275FDC8" w:rsidR="000910DC" w:rsidRDefault="000910DC" w:rsidP="000910DC">
      <w:pPr>
        <w:rPr>
          <w:szCs w:val="20"/>
        </w:rPr>
      </w:pPr>
      <w:r>
        <w:rPr>
          <w:color w:val="000000"/>
          <w:sz w:val="24"/>
        </w:rPr>
        <w:t>On March 31, 2017, the company notified its customers by mail of the proposed conservation rate increase. Customers were notified that they may access relevant documents about this rate increase on the commission’s website, and that they may contact John Cupp at 1-888-333-9882 or jcupp@utc.wa.gov with questions or concerns. Staff received 20 consumer comments, all opposed to the proposed rate increase.</w:t>
      </w:r>
    </w:p>
    <w:p w14:paraId="6DA2DB4D" w14:textId="77777777" w:rsidR="000910DC" w:rsidRDefault="000910DC" w:rsidP="000910DC"/>
    <w:p w14:paraId="1BC40CD0" w14:textId="77777777" w:rsidR="000910DC" w:rsidRDefault="000910DC" w:rsidP="000910DC">
      <w:r>
        <w:rPr>
          <w:b/>
          <w:color w:val="000000"/>
          <w:sz w:val="24"/>
        </w:rPr>
        <w:t>Business Practices</w:t>
      </w:r>
    </w:p>
    <w:p w14:paraId="4B2C5A82" w14:textId="77777777" w:rsidR="000910DC" w:rsidRDefault="000910DC" w:rsidP="00736DB9">
      <w:pPr>
        <w:widowControl/>
        <w:autoSpaceDE/>
        <w:autoSpaceDN/>
        <w:adjustRightInd/>
        <w:ind w:left="720"/>
      </w:pPr>
      <w:r>
        <w:rPr>
          <w:color w:val="000000"/>
          <w:sz w:val="24"/>
        </w:rPr>
        <w:t xml:space="preserve">Eight customers, from Conifer Village, Riverwood, and </w:t>
      </w:r>
      <w:proofErr w:type="spellStart"/>
      <w:r>
        <w:rPr>
          <w:color w:val="000000"/>
          <w:sz w:val="24"/>
        </w:rPr>
        <w:t>Countrywood</w:t>
      </w:r>
      <w:proofErr w:type="spellEnd"/>
      <w:r>
        <w:rPr>
          <w:color w:val="000000"/>
          <w:sz w:val="24"/>
        </w:rPr>
        <w:t xml:space="preserve"> Estates said their system had adequate water rights until they were interconnected with systems that use excessive amounts of water, causing all of the interconnected systems to exceed water rights. They believe the conservation rate should not apply to their system because as a stand-alone system they are not exceeding their original water right.</w:t>
      </w:r>
    </w:p>
    <w:p w14:paraId="7F9909FC" w14:textId="77777777" w:rsidR="000910DC" w:rsidRDefault="000910DC" w:rsidP="000910DC">
      <w:pPr>
        <w:ind w:left="720"/>
        <w:rPr>
          <w:color w:val="000000"/>
          <w:sz w:val="24"/>
        </w:rPr>
      </w:pPr>
    </w:p>
    <w:p w14:paraId="2D2103CE" w14:textId="77777777" w:rsidR="000910DC" w:rsidRDefault="000910DC" w:rsidP="000910DC">
      <w:pPr>
        <w:ind w:left="719"/>
      </w:pPr>
      <w:r>
        <w:rPr>
          <w:b/>
          <w:color w:val="000000"/>
          <w:sz w:val="24"/>
        </w:rPr>
        <w:t>Staff Response</w:t>
      </w:r>
    </w:p>
    <w:p w14:paraId="669BC808" w14:textId="7395B7AC" w:rsidR="000910DC" w:rsidRDefault="000910DC" w:rsidP="000910DC">
      <w:pPr>
        <w:ind w:left="719"/>
        <w:rPr>
          <w:color w:val="000000"/>
          <w:sz w:val="24"/>
        </w:rPr>
      </w:pPr>
      <w:r>
        <w:rPr>
          <w:color w:val="000000"/>
          <w:sz w:val="24"/>
        </w:rPr>
        <w:t>Staff understands these concerns; however, the commission does not regulate water rights or the interconnection of water systems. Staff must treat the interconnected systems as</w:t>
      </w:r>
      <w:r w:rsidR="00225B2D">
        <w:rPr>
          <w:color w:val="000000"/>
          <w:sz w:val="24"/>
        </w:rPr>
        <w:t xml:space="preserve"> a single system </w:t>
      </w:r>
      <w:r>
        <w:rPr>
          <w:color w:val="000000"/>
          <w:sz w:val="24"/>
        </w:rPr>
        <w:t>in reference to water rights.</w:t>
      </w:r>
    </w:p>
    <w:p w14:paraId="0155BEB7" w14:textId="77777777" w:rsidR="000910DC" w:rsidRDefault="000910DC" w:rsidP="000910DC">
      <w:pPr>
        <w:ind w:left="719"/>
      </w:pPr>
    </w:p>
    <w:p w14:paraId="518223DC" w14:textId="77777777" w:rsidR="000910DC" w:rsidRDefault="000910DC" w:rsidP="000910DC">
      <w:r>
        <w:rPr>
          <w:b/>
          <w:color w:val="000000"/>
          <w:sz w:val="24"/>
        </w:rPr>
        <w:t>General Comments</w:t>
      </w:r>
    </w:p>
    <w:p w14:paraId="08A67D4D" w14:textId="7B7604C3" w:rsidR="000910DC" w:rsidRDefault="000910DC" w:rsidP="000910DC">
      <w:pPr>
        <w:ind w:left="720"/>
        <w:rPr>
          <w:color w:val="000000"/>
          <w:sz w:val="24"/>
        </w:rPr>
      </w:pPr>
      <w:r>
        <w:rPr>
          <w:color w:val="000000"/>
          <w:sz w:val="24"/>
        </w:rPr>
        <w:t>Many customers feel the increase from $2.81 to $5</w:t>
      </w:r>
      <w:r w:rsidR="00225B2D">
        <w:rPr>
          <w:color w:val="000000"/>
          <w:sz w:val="24"/>
        </w:rPr>
        <w:t>.00</w:t>
      </w:r>
      <w:r>
        <w:rPr>
          <w:color w:val="000000"/>
          <w:sz w:val="24"/>
        </w:rPr>
        <w:t xml:space="preserve"> for usage over 2,000 cubic feet in a month is excessive. Several customers believe the conservation rate should only apply to customers who are exceeding their annual budget, based on their accumulated monthly usage. Four customers believe the proposed conservation rate is just a way for the company to make more money. </w:t>
      </w:r>
    </w:p>
    <w:p w14:paraId="7621B1C2" w14:textId="77777777" w:rsidR="000910DC" w:rsidRDefault="000910DC" w:rsidP="000910DC"/>
    <w:p w14:paraId="05AD67ED" w14:textId="77777777" w:rsidR="000910DC" w:rsidRDefault="000910DC" w:rsidP="000910DC">
      <w:pPr>
        <w:ind w:left="719"/>
        <w:rPr>
          <w:b/>
          <w:color w:val="000000"/>
          <w:sz w:val="24"/>
        </w:rPr>
      </w:pPr>
      <w:r>
        <w:rPr>
          <w:b/>
          <w:color w:val="000000"/>
          <w:sz w:val="24"/>
        </w:rPr>
        <w:t>Staff Response</w:t>
      </w:r>
    </w:p>
    <w:p w14:paraId="687899BB" w14:textId="6D188B69" w:rsidR="000910DC" w:rsidRDefault="000910DC" w:rsidP="00736DB9">
      <w:pPr>
        <w:ind w:firstLine="719"/>
        <w:rPr>
          <w:color w:val="000000"/>
          <w:sz w:val="24"/>
        </w:rPr>
      </w:pPr>
      <w:r>
        <w:rPr>
          <w:color w:val="000000"/>
          <w:sz w:val="24"/>
        </w:rPr>
        <w:t>Staff believe</w:t>
      </w:r>
      <w:r w:rsidR="00225B2D">
        <w:rPr>
          <w:color w:val="000000"/>
          <w:sz w:val="24"/>
        </w:rPr>
        <w:t>s</w:t>
      </w:r>
      <w:r>
        <w:rPr>
          <w:color w:val="000000"/>
          <w:sz w:val="24"/>
        </w:rPr>
        <w:t xml:space="preserve"> a rate of $5</w:t>
      </w:r>
      <w:r w:rsidR="00225B2D">
        <w:rPr>
          <w:color w:val="000000"/>
          <w:sz w:val="24"/>
        </w:rPr>
        <w:t>.00</w:t>
      </w:r>
      <w:r>
        <w:rPr>
          <w:color w:val="000000"/>
          <w:sz w:val="24"/>
        </w:rPr>
        <w:t xml:space="preserve"> per hundred cubic feet will be effective in reducing usage.</w:t>
      </w:r>
    </w:p>
    <w:p w14:paraId="75AE8255" w14:textId="01377BBE" w:rsidR="000910DC" w:rsidRDefault="000910DC" w:rsidP="000910DC">
      <w:pPr>
        <w:ind w:left="719"/>
      </w:pPr>
      <w:r>
        <w:rPr>
          <w:color w:val="000000"/>
          <w:sz w:val="24"/>
        </w:rPr>
        <w:t>The company does not currently have the software to record usage to the level of detail the customers want. Staff recommends conditions for earnings resulting from the conservation rate</w:t>
      </w:r>
      <w:r w:rsidR="00225B2D">
        <w:rPr>
          <w:color w:val="000000"/>
          <w:sz w:val="24"/>
        </w:rPr>
        <w:t xml:space="preserve"> that will add such capability to the company’s billing software</w:t>
      </w:r>
      <w:r>
        <w:rPr>
          <w:color w:val="000000"/>
          <w:sz w:val="24"/>
        </w:rPr>
        <w:t>.</w:t>
      </w:r>
    </w:p>
    <w:p w14:paraId="6AF72624" w14:textId="77777777" w:rsidR="000A4ADC" w:rsidRDefault="000A4ADC" w:rsidP="000A4ADC">
      <w:pPr>
        <w:widowControl/>
        <w:autoSpaceDE/>
        <w:autoSpaceDN/>
        <w:adjustRightInd/>
        <w:rPr>
          <w:b/>
          <w:color w:val="000000"/>
          <w:sz w:val="24"/>
        </w:rPr>
      </w:pPr>
    </w:p>
    <w:p w14:paraId="6AF72625" w14:textId="77777777" w:rsidR="006A5DCD" w:rsidRPr="00B9794E" w:rsidRDefault="00D2467A" w:rsidP="006A5DCD">
      <w:pPr>
        <w:jc w:val="center"/>
        <w:rPr>
          <w:b/>
          <w:sz w:val="24"/>
          <w:u w:val="single"/>
        </w:rPr>
      </w:pPr>
      <w:r>
        <w:rPr>
          <w:b/>
          <w:sz w:val="24"/>
          <w:u w:val="single"/>
        </w:rPr>
        <w:t>Rates</w:t>
      </w:r>
    </w:p>
    <w:p w14:paraId="6AF72626" w14:textId="77777777" w:rsidR="006A5DCD" w:rsidRPr="00B9794E" w:rsidRDefault="006A5DCD" w:rsidP="006A5DCD">
      <w:pPr>
        <w:rPr>
          <w:sz w:val="24"/>
        </w:rPr>
      </w:pPr>
    </w:p>
    <w:p w14:paraId="6AF72627" w14:textId="77777777" w:rsidR="006A5DCD" w:rsidRPr="00937A12" w:rsidRDefault="006A5DCD" w:rsidP="006A5DCD">
      <w:pPr>
        <w:pStyle w:val="Heading1"/>
        <w:jc w:val="left"/>
        <w:rPr>
          <w:highlight w:val="yellow"/>
        </w:rPr>
        <w:sectPr w:rsidR="006A5DCD" w:rsidRPr="00937A12" w:rsidSect="006A5DCD">
          <w:headerReference w:type="default" r:id="rId14"/>
          <w:endnotePr>
            <w:numFmt w:val="decimal"/>
            <w:numRestart w:val="eachSect"/>
          </w:endnotePr>
          <w:type w:val="continuous"/>
          <w:pgSz w:w="12240" w:h="15840" w:code="1"/>
          <w:pgMar w:top="1440" w:right="1440" w:bottom="1296" w:left="1440" w:header="1008" w:footer="720" w:gutter="0"/>
          <w:cols w:space="720"/>
          <w:noEndnote/>
          <w:titlePg/>
          <w:docGrid w:linePitch="272"/>
        </w:sectPr>
      </w:pPr>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7"/>
        <w:gridCol w:w="1797"/>
        <w:gridCol w:w="1901"/>
      </w:tblGrid>
      <w:tr w:rsidR="0004187D" w:rsidRPr="00937A12" w14:paraId="6AF7262B" w14:textId="77777777" w:rsidTr="007C4EF0">
        <w:trPr>
          <w:jc w:val="center"/>
        </w:trPr>
        <w:tc>
          <w:tcPr>
            <w:tcW w:w="3317" w:type="dxa"/>
          </w:tcPr>
          <w:p w14:paraId="6AF72628" w14:textId="77777777" w:rsidR="0004187D" w:rsidRPr="00B9794E" w:rsidRDefault="0004187D" w:rsidP="00FB292F">
            <w:pPr>
              <w:pStyle w:val="Heading1"/>
              <w:rPr>
                <w:b/>
              </w:rPr>
            </w:pPr>
            <w:r w:rsidRPr="00B9794E">
              <w:rPr>
                <w:b/>
              </w:rPr>
              <w:t>Monthly Rate</w:t>
            </w:r>
          </w:p>
        </w:tc>
        <w:tc>
          <w:tcPr>
            <w:tcW w:w="1797" w:type="dxa"/>
          </w:tcPr>
          <w:p w14:paraId="6AF72629" w14:textId="77777777" w:rsidR="0004187D" w:rsidRPr="00B9794E" w:rsidRDefault="0004187D" w:rsidP="00B937AB">
            <w:pPr>
              <w:jc w:val="center"/>
              <w:rPr>
                <w:b/>
                <w:sz w:val="24"/>
              </w:rPr>
            </w:pPr>
            <w:r w:rsidRPr="00B9794E">
              <w:rPr>
                <w:b/>
                <w:sz w:val="24"/>
              </w:rPr>
              <w:t>Current Rate</w:t>
            </w:r>
            <w:r w:rsidR="007C4EF0">
              <w:rPr>
                <w:b/>
                <w:sz w:val="24"/>
              </w:rPr>
              <w:t>*</w:t>
            </w:r>
          </w:p>
        </w:tc>
        <w:tc>
          <w:tcPr>
            <w:tcW w:w="1901" w:type="dxa"/>
          </w:tcPr>
          <w:p w14:paraId="6AF7262A" w14:textId="77777777" w:rsidR="0004187D" w:rsidRPr="00B9794E" w:rsidRDefault="0004187D" w:rsidP="00B937AB">
            <w:pPr>
              <w:jc w:val="center"/>
              <w:rPr>
                <w:b/>
                <w:sz w:val="24"/>
              </w:rPr>
            </w:pPr>
            <w:r>
              <w:rPr>
                <w:b/>
                <w:sz w:val="24"/>
              </w:rPr>
              <w:t>Proposed Rate</w:t>
            </w:r>
            <w:r w:rsidR="007C4EF0">
              <w:rPr>
                <w:b/>
                <w:sz w:val="24"/>
              </w:rPr>
              <w:t>*</w:t>
            </w:r>
          </w:p>
        </w:tc>
      </w:tr>
      <w:tr w:rsidR="0004187D" w:rsidRPr="00937A12" w14:paraId="6AF7262F" w14:textId="77777777" w:rsidTr="007C4EF0">
        <w:trPr>
          <w:jc w:val="center"/>
        </w:trPr>
        <w:tc>
          <w:tcPr>
            <w:tcW w:w="3317" w:type="dxa"/>
          </w:tcPr>
          <w:p w14:paraId="6AF7262C" w14:textId="77777777" w:rsidR="0004187D" w:rsidRPr="00B9794E" w:rsidRDefault="0004187D" w:rsidP="00D2467A">
            <w:pPr>
              <w:pStyle w:val="Heading1"/>
              <w:jc w:val="left"/>
            </w:pPr>
            <w:r>
              <w:t>Base Charge 3/4 inch meter</w:t>
            </w:r>
          </w:p>
        </w:tc>
        <w:tc>
          <w:tcPr>
            <w:tcW w:w="1797" w:type="dxa"/>
            <w:vAlign w:val="center"/>
          </w:tcPr>
          <w:p w14:paraId="6AF7262D" w14:textId="77777777" w:rsidR="0004187D" w:rsidRPr="00B9794E" w:rsidRDefault="007C4EF0" w:rsidP="007C4EF0">
            <w:pPr>
              <w:tabs>
                <w:tab w:val="decimal" w:pos="620"/>
              </w:tabs>
              <w:rPr>
                <w:sz w:val="24"/>
              </w:rPr>
            </w:pPr>
            <w:r>
              <w:rPr>
                <w:sz w:val="24"/>
              </w:rPr>
              <w:t xml:space="preserve">       </w:t>
            </w:r>
            <w:r w:rsidR="0004187D" w:rsidRPr="00B9794E">
              <w:rPr>
                <w:sz w:val="24"/>
              </w:rPr>
              <w:t xml:space="preserve">$ </w:t>
            </w:r>
            <w:r w:rsidR="0004187D">
              <w:rPr>
                <w:sz w:val="24"/>
              </w:rPr>
              <w:t>20.33</w:t>
            </w:r>
          </w:p>
        </w:tc>
        <w:tc>
          <w:tcPr>
            <w:tcW w:w="1901" w:type="dxa"/>
          </w:tcPr>
          <w:p w14:paraId="6AF7262E" w14:textId="77777777" w:rsidR="0004187D" w:rsidRDefault="007C4EF0" w:rsidP="007C4EF0">
            <w:pPr>
              <w:tabs>
                <w:tab w:val="decimal" w:pos="620"/>
              </w:tabs>
              <w:rPr>
                <w:sz w:val="24"/>
              </w:rPr>
            </w:pPr>
            <w:r>
              <w:rPr>
                <w:sz w:val="24"/>
              </w:rPr>
              <w:t xml:space="preserve">       </w:t>
            </w:r>
            <w:r w:rsidR="0004187D">
              <w:rPr>
                <w:sz w:val="24"/>
              </w:rPr>
              <w:t>$ 20.33</w:t>
            </w:r>
          </w:p>
        </w:tc>
      </w:tr>
      <w:tr w:rsidR="0004187D" w:rsidRPr="00937A12" w14:paraId="6AF72633" w14:textId="77777777" w:rsidTr="007C4EF0">
        <w:trPr>
          <w:jc w:val="center"/>
        </w:trPr>
        <w:tc>
          <w:tcPr>
            <w:tcW w:w="3317" w:type="dxa"/>
          </w:tcPr>
          <w:p w14:paraId="6AF72630" w14:textId="77777777" w:rsidR="0004187D" w:rsidRPr="00B9794E" w:rsidRDefault="0004187D" w:rsidP="00D2467A">
            <w:pPr>
              <w:pStyle w:val="Heading1"/>
              <w:jc w:val="left"/>
            </w:pPr>
            <w:r w:rsidRPr="00B9794E">
              <w:t>Block 1:</w:t>
            </w:r>
            <w:r>
              <w:t xml:space="preserve"> 0 – 700 cubic feet</w:t>
            </w:r>
          </w:p>
        </w:tc>
        <w:tc>
          <w:tcPr>
            <w:tcW w:w="1797" w:type="dxa"/>
            <w:vAlign w:val="center"/>
          </w:tcPr>
          <w:p w14:paraId="6AF72631" w14:textId="77777777" w:rsidR="0004187D" w:rsidRPr="00B9794E" w:rsidRDefault="0004187D" w:rsidP="00D2467A">
            <w:pPr>
              <w:jc w:val="center"/>
              <w:rPr>
                <w:sz w:val="24"/>
              </w:rPr>
            </w:pPr>
            <w:r w:rsidRPr="00B9794E">
              <w:rPr>
                <w:sz w:val="24"/>
              </w:rPr>
              <w:t xml:space="preserve"> </w:t>
            </w:r>
            <w:r w:rsidR="007C4EF0">
              <w:rPr>
                <w:sz w:val="24"/>
              </w:rPr>
              <w:t xml:space="preserve">$ </w:t>
            </w:r>
            <w:r>
              <w:rPr>
                <w:sz w:val="24"/>
              </w:rPr>
              <w:t>1.36</w:t>
            </w:r>
          </w:p>
        </w:tc>
        <w:tc>
          <w:tcPr>
            <w:tcW w:w="1901" w:type="dxa"/>
          </w:tcPr>
          <w:p w14:paraId="6AF72632" w14:textId="77777777" w:rsidR="0004187D" w:rsidRPr="00B9794E" w:rsidRDefault="0004187D" w:rsidP="00D2467A">
            <w:pPr>
              <w:jc w:val="center"/>
              <w:rPr>
                <w:sz w:val="24"/>
              </w:rPr>
            </w:pPr>
            <w:r>
              <w:rPr>
                <w:sz w:val="24"/>
              </w:rPr>
              <w:t>$</w:t>
            </w:r>
            <w:r w:rsidR="007C4EF0">
              <w:rPr>
                <w:sz w:val="24"/>
              </w:rPr>
              <w:t xml:space="preserve"> </w:t>
            </w:r>
            <w:r>
              <w:rPr>
                <w:sz w:val="24"/>
              </w:rPr>
              <w:t>1.36</w:t>
            </w:r>
          </w:p>
        </w:tc>
      </w:tr>
      <w:tr w:rsidR="0004187D" w:rsidRPr="00937A12" w14:paraId="6AF72637" w14:textId="77777777" w:rsidTr="007C4EF0">
        <w:trPr>
          <w:jc w:val="center"/>
        </w:trPr>
        <w:tc>
          <w:tcPr>
            <w:tcW w:w="3317" w:type="dxa"/>
          </w:tcPr>
          <w:p w14:paraId="6AF72634" w14:textId="77777777" w:rsidR="0004187D" w:rsidRPr="00B9794E" w:rsidRDefault="0004187D" w:rsidP="00D2467A">
            <w:pPr>
              <w:pStyle w:val="Heading1"/>
              <w:jc w:val="left"/>
            </w:pPr>
            <w:r w:rsidRPr="00B9794E">
              <w:t>Block 2:</w:t>
            </w:r>
            <w:r>
              <w:t xml:space="preserve"> 701 – 2,000 cubic feet</w:t>
            </w:r>
          </w:p>
        </w:tc>
        <w:tc>
          <w:tcPr>
            <w:tcW w:w="1797" w:type="dxa"/>
            <w:vAlign w:val="center"/>
          </w:tcPr>
          <w:p w14:paraId="6AF72635" w14:textId="77777777" w:rsidR="0004187D" w:rsidRPr="00B9794E" w:rsidRDefault="007C4EF0" w:rsidP="00D2467A">
            <w:pPr>
              <w:jc w:val="center"/>
              <w:rPr>
                <w:sz w:val="24"/>
              </w:rPr>
            </w:pPr>
            <w:r>
              <w:rPr>
                <w:sz w:val="24"/>
              </w:rPr>
              <w:t xml:space="preserve"> $</w:t>
            </w:r>
            <w:r w:rsidR="0004187D" w:rsidRPr="00B9794E">
              <w:rPr>
                <w:sz w:val="24"/>
              </w:rPr>
              <w:t xml:space="preserve"> </w:t>
            </w:r>
            <w:r w:rsidR="0004187D">
              <w:rPr>
                <w:sz w:val="24"/>
              </w:rPr>
              <w:t>2.31</w:t>
            </w:r>
          </w:p>
        </w:tc>
        <w:tc>
          <w:tcPr>
            <w:tcW w:w="1901" w:type="dxa"/>
          </w:tcPr>
          <w:p w14:paraId="6AF72636" w14:textId="77777777" w:rsidR="0004187D" w:rsidRPr="00B9794E" w:rsidRDefault="0004187D" w:rsidP="00D2467A">
            <w:pPr>
              <w:jc w:val="center"/>
              <w:rPr>
                <w:sz w:val="24"/>
              </w:rPr>
            </w:pPr>
            <w:r>
              <w:rPr>
                <w:sz w:val="24"/>
              </w:rPr>
              <w:t>$</w:t>
            </w:r>
            <w:r w:rsidR="007C4EF0">
              <w:rPr>
                <w:sz w:val="24"/>
              </w:rPr>
              <w:t xml:space="preserve"> </w:t>
            </w:r>
            <w:r>
              <w:rPr>
                <w:sz w:val="24"/>
              </w:rPr>
              <w:t>2.31</w:t>
            </w:r>
          </w:p>
        </w:tc>
      </w:tr>
      <w:tr w:rsidR="0004187D" w:rsidRPr="00937A12" w14:paraId="6AF7263B" w14:textId="77777777" w:rsidTr="007C4EF0">
        <w:trPr>
          <w:trHeight w:val="197"/>
          <w:jc w:val="center"/>
        </w:trPr>
        <w:tc>
          <w:tcPr>
            <w:tcW w:w="3317" w:type="dxa"/>
          </w:tcPr>
          <w:p w14:paraId="6AF72638" w14:textId="77777777" w:rsidR="0004187D" w:rsidRPr="00B9794E" w:rsidRDefault="0004187D" w:rsidP="00E466FF">
            <w:pPr>
              <w:pStyle w:val="Heading1"/>
              <w:jc w:val="left"/>
            </w:pPr>
            <w:r w:rsidRPr="00B9794E">
              <w:t>Block 3</w:t>
            </w:r>
            <w:r w:rsidR="00E466FF">
              <w:t xml:space="preserve">: </w:t>
            </w:r>
            <w:r>
              <w:t xml:space="preserve">  over 2,000 cubic feet</w:t>
            </w:r>
          </w:p>
        </w:tc>
        <w:tc>
          <w:tcPr>
            <w:tcW w:w="1797" w:type="dxa"/>
            <w:vAlign w:val="center"/>
          </w:tcPr>
          <w:p w14:paraId="6AF72639" w14:textId="77777777" w:rsidR="0004187D" w:rsidRPr="00B9794E" w:rsidRDefault="007C4EF0" w:rsidP="00D2467A">
            <w:pPr>
              <w:jc w:val="center"/>
              <w:rPr>
                <w:sz w:val="24"/>
              </w:rPr>
            </w:pPr>
            <w:r>
              <w:rPr>
                <w:sz w:val="24"/>
              </w:rPr>
              <w:t xml:space="preserve"> $</w:t>
            </w:r>
            <w:r w:rsidR="0004187D" w:rsidRPr="00B9794E">
              <w:rPr>
                <w:sz w:val="24"/>
              </w:rPr>
              <w:t xml:space="preserve"> </w:t>
            </w:r>
            <w:r w:rsidR="0004187D">
              <w:rPr>
                <w:sz w:val="24"/>
              </w:rPr>
              <w:t>2.81</w:t>
            </w:r>
          </w:p>
        </w:tc>
        <w:tc>
          <w:tcPr>
            <w:tcW w:w="1901" w:type="dxa"/>
          </w:tcPr>
          <w:p w14:paraId="6AF7263A" w14:textId="77777777" w:rsidR="0004187D" w:rsidRPr="00B9794E" w:rsidRDefault="0004187D" w:rsidP="00D2467A">
            <w:pPr>
              <w:jc w:val="center"/>
              <w:rPr>
                <w:sz w:val="24"/>
              </w:rPr>
            </w:pPr>
            <w:r>
              <w:rPr>
                <w:sz w:val="24"/>
              </w:rPr>
              <w:t>$</w:t>
            </w:r>
            <w:r w:rsidR="007C4EF0">
              <w:rPr>
                <w:sz w:val="24"/>
              </w:rPr>
              <w:t xml:space="preserve"> </w:t>
            </w:r>
            <w:r>
              <w:rPr>
                <w:sz w:val="24"/>
              </w:rPr>
              <w:t>5.00</w:t>
            </w:r>
          </w:p>
        </w:tc>
      </w:tr>
    </w:tbl>
    <w:p w14:paraId="6AF7263C" w14:textId="77777777" w:rsidR="00D2467A" w:rsidRPr="00D2467A" w:rsidRDefault="00D2467A" w:rsidP="00D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rPr>
          <w:sz w:val="24"/>
        </w:rPr>
      </w:pPr>
      <w:r w:rsidRPr="00D2467A">
        <w:rPr>
          <w:szCs w:val="20"/>
        </w:rPr>
        <w:t xml:space="preserve"> *per 100 cubic feet </w:t>
      </w:r>
    </w:p>
    <w:p w14:paraId="6AF7263D" w14:textId="77777777" w:rsidR="00E466FF" w:rsidRDefault="00E466FF" w:rsidP="00D2467A">
      <w:pPr>
        <w:rPr>
          <w:sz w:val="24"/>
        </w:rPr>
      </w:pPr>
    </w:p>
    <w:p w14:paraId="6AF7263E" w14:textId="77777777" w:rsidR="00D2467A" w:rsidRDefault="00E466FF" w:rsidP="00D2467A">
      <w:pPr>
        <w:rPr>
          <w:sz w:val="24"/>
        </w:rPr>
      </w:pPr>
      <w:r w:rsidRPr="0004187D">
        <w:rPr>
          <w:sz w:val="24"/>
        </w:rPr>
        <w:t xml:space="preserve">The conservation rate would </w:t>
      </w:r>
      <w:r>
        <w:rPr>
          <w:sz w:val="24"/>
        </w:rPr>
        <w:t>apply</w:t>
      </w:r>
      <w:r w:rsidRPr="0004187D">
        <w:rPr>
          <w:sz w:val="24"/>
        </w:rPr>
        <w:t xml:space="preserve"> for the period of May 1 through October 31 of each year</w:t>
      </w:r>
      <w:r>
        <w:rPr>
          <w:sz w:val="24"/>
        </w:rPr>
        <w:t>, which are the June through November billing periods</w:t>
      </w:r>
      <w:r w:rsidRPr="0004187D">
        <w:rPr>
          <w:sz w:val="24"/>
        </w:rPr>
        <w:t>.</w:t>
      </w:r>
    </w:p>
    <w:p w14:paraId="6AF7263F" w14:textId="77777777" w:rsidR="00E466FF" w:rsidRDefault="00E466FF" w:rsidP="00D2467A">
      <w:pPr>
        <w:rPr>
          <w:sz w:val="24"/>
        </w:rPr>
      </w:pPr>
    </w:p>
    <w:p w14:paraId="6AF72640" w14:textId="550C4FFE" w:rsidR="006A5DCD" w:rsidRPr="00D2467A" w:rsidRDefault="00225B2D" w:rsidP="00D2467A">
      <w:pPr>
        <w:rPr>
          <w:sz w:val="24"/>
        </w:rPr>
      </w:pPr>
      <w:r>
        <w:rPr>
          <w:sz w:val="24"/>
        </w:rPr>
        <w:lastRenderedPageBreak/>
        <w:t>S</w:t>
      </w:r>
      <w:r w:rsidR="006A5DCD" w:rsidRPr="00D2467A">
        <w:rPr>
          <w:sz w:val="24"/>
        </w:rPr>
        <w:t xml:space="preserve">taff has completed its review of the company’s </w:t>
      </w:r>
      <w:r w:rsidR="00575A2C" w:rsidRPr="00D2467A">
        <w:rPr>
          <w:sz w:val="24"/>
        </w:rPr>
        <w:t xml:space="preserve">filing, </w:t>
      </w:r>
      <w:r w:rsidR="006A5DCD" w:rsidRPr="00D2467A">
        <w:rPr>
          <w:sz w:val="24"/>
        </w:rPr>
        <w:t>supporting financial documents, books, and records. Staff’s review shows</w:t>
      </w:r>
      <w:r w:rsidR="00520144">
        <w:rPr>
          <w:sz w:val="24"/>
        </w:rPr>
        <w:t xml:space="preserve"> </w:t>
      </w:r>
      <w:r>
        <w:rPr>
          <w:sz w:val="24"/>
        </w:rPr>
        <w:t>that the proposed conservation rate, as agreed to by</w:t>
      </w:r>
      <w:r w:rsidR="00CF45A4">
        <w:rPr>
          <w:sz w:val="24"/>
        </w:rPr>
        <w:t xml:space="preserve"> </w:t>
      </w:r>
      <w:r w:rsidR="006A5DCD" w:rsidRPr="00D2467A">
        <w:rPr>
          <w:sz w:val="24"/>
        </w:rPr>
        <w:t>the company</w:t>
      </w:r>
      <w:r w:rsidR="00520144">
        <w:rPr>
          <w:sz w:val="24"/>
        </w:rPr>
        <w:t xml:space="preserve">’s </w:t>
      </w:r>
      <w:r>
        <w:rPr>
          <w:sz w:val="24"/>
        </w:rPr>
        <w:t>revised</w:t>
      </w:r>
      <w:r w:rsidR="00CF45A4">
        <w:rPr>
          <w:sz w:val="24"/>
        </w:rPr>
        <w:t xml:space="preserve"> tariff filing </w:t>
      </w:r>
      <w:r>
        <w:rPr>
          <w:sz w:val="24"/>
        </w:rPr>
        <w:t>is fair, just, and reasonable, and will provide a method for encouraging water conservation to prevent systems from exceeding their water rights</w:t>
      </w:r>
      <w:r w:rsidR="006A5DCD" w:rsidRPr="00D2467A">
        <w:rPr>
          <w:sz w:val="24"/>
        </w:rPr>
        <w:t>.</w:t>
      </w:r>
    </w:p>
    <w:p w14:paraId="6AF72641" w14:textId="77777777" w:rsidR="00575A2C" w:rsidRDefault="00575A2C" w:rsidP="00912569">
      <w:pPr>
        <w:widowControl/>
        <w:autoSpaceDE/>
        <w:autoSpaceDN/>
        <w:adjustRightInd/>
        <w:rPr>
          <w:sz w:val="24"/>
        </w:rPr>
      </w:pPr>
    </w:p>
    <w:p w14:paraId="6AF72642" w14:textId="77777777" w:rsidR="00575A2C" w:rsidRPr="00F720D5" w:rsidRDefault="00575A2C" w:rsidP="00575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Recommendation</w:t>
      </w:r>
    </w:p>
    <w:p w14:paraId="6AF72643" w14:textId="77777777" w:rsidR="007F5C7C" w:rsidRPr="00A135D3" w:rsidRDefault="007F5C7C" w:rsidP="007F5C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D1D5D71" w14:textId="77777777" w:rsidR="00CC52CB" w:rsidRPr="00A135D3" w:rsidRDefault="00CC52CB" w:rsidP="00CC52CB">
      <w:pPr>
        <w:rPr>
          <w:sz w:val="24"/>
        </w:rPr>
      </w:pPr>
      <w:r>
        <w:rPr>
          <w:sz w:val="24"/>
        </w:rPr>
        <w:t xml:space="preserve">Issue an Order </w:t>
      </w:r>
      <w:r w:rsidRPr="00B60E0C">
        <w:rPr>
          <w:sz w:val="24"/>
        </w:rPr>
        <w:t xml:space="preserve">allowing the tariff sheets filed by </w:t>
      </w:r>
      <w:r>
        <w:rPr>
          <w:sz w:val="24"/>
        </w:rPr>
        <w:t>H&amp;R Waterworks, Inc.</w:t>
      </w:r>
      <w:r w:rsidRPr="00B60E0C">
        <w:rPr>
          <w:sz w:val="24"/>
        </w:rPr>
        <w:t xml:space="preserve"> in </w:t>
      </w:r>
      <w:proofErr w:type="gramStart"/>
      <w:r w:rsidRPr="00B60E0C">
        <w:rPr>
          <w:sz w:val="24"/>
        </w:rPr>
        <w:t>Docket</w:t>
      </w:r>
      <w:r>
        <w:rPr>
          <w:sz w:val="24"/>
        </w:rPr>
        <w:t xml:space="preserve">  </w:t>
      </w:r>
      <w:r w:rsidRPr="00B60E0C">
        <w:rPr>
          <w:sz w:val="24"/>
        </w:rPr>
        <w:t>UW</w:t>
      </w:r>
      <w:proofErr w:type="gramEnd"/>
      <w:r w:rsidRPr="00B60E0C">
        <w:rPr>
          <w:sz w:val="24"/>
        </w:rPr>
        <w:t>-</w:t>
      </w:r>
      <w:r>
        <w:rPr>
          <w:sz w:val="24"/>
        </w:rPr>
        <w:t>170216</w:t>
      </w:r>
      <w:r w:rsidRPr="00B60E0C">
        <w:rPr>
          <w:sz w:val="24"/>
        </w:rPr>
        <w:t xml:space="preserve"> to become effective </w:t>
      </w:r>
      <w:r>
        <w:rPr>
          <w:sz w:val="24"/>
        </w:rPr>
        <w:t>June</w:t>
      </w:r>
      <w:r w:rsidRPr="00B60E0C">
        <w:rPr>
          <w:sz w:val="24"/>
        </w:rPr>
        <w:t xml:space="preserve"> 1, 201</w:t>
      </w:r>
      <w:r>
        <w:rPr>
          <w:sz w:val="24"/>
        </w:rPr>
        <w:t xml:space="preserve">7, by operation of law, </w:t>
      </w:r>
      <w:r w:rsidRPr="00A135D3">
        <w:rPr>
          <w:sz w:val="24"/>
        </w:rPr>
        <w:t>subject to conditions (a) through (</w:t>
      </w:r>
      <w:r>
        <w:rPr>
          <w:sz w:val="24"/>
        </w:rPr>
        <w:t>g</w:t>
      </w:r>
      <w:r w:rsidRPr="000910DC">
        <w:rPr>
          <w:sz w:val="24"/>
        </w:rPr>
        <w:t>)</w:t>
      </w:r>
      <w:r w:rsidRPr="00A135D3">
        <w:rPr>
          <w:sz w:val="24"/>
        </w:rPr>
        <w:t xml:space="preserve"> set forth in staff’s memorandum. </w:t>
      </w:r>
    </w:p>
    <w:p w14:paraId="6AF72645" w14:textId="7ACA7028" w:rsidR="006A5DCD" w:rsidRDefault="006A5DCD" w:rsidP="00075E27">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4"/>
        </w:rPr>
      </w:pPr>
    </w:p>
    <w:sectPr w:rsidR="006A5DCD" w:rsidSect="00871A9D">
      <w:headerReference w:type="default" r:id="rId15"/>
      <w:footnotePr>
        <w:numRestart w:val="eachPage"/>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DFA13" w14:textId="77777777" w:rsidR="00074332" w:rsidRDefault="00074332">
      <w:r>
        <w:separator/>
      </w:r>
    </w:p>
  </w:endnote>
  <w:endnote w:type="continuationSeparator" w:id="0">
    <w:p w14:paraId="51B221AB" w14:textId="77777777" w:rsidR="00074332" w:rsidRDefault="0007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7192F" w14:textId="77777777" w:rsidR="00074332" w:rsidRDefault="00074332">
      <w:r>
        <w:separator/>
      </w:r>
    </w:p>
  </w:footnote>
  <w:footnote w:type="continuationSeparator" w:id="0">
    <w:p w14:paraId="7348A122" w14:textId="77777777" w:rsidR="00074332" w:rsidRDefault="00074332">
      <w:r>
        <w:continuationSeparator/>
      </w:r>
    </w:p>
  </w:footnote>
  <w:footnote w:id="1">
    <w:p w14:paraId="1C526581" w14:textId="77777777" w:rsidR="00CF45A4" w:rsidRDefault="00CF45A4" w:rsidP="00CF45A4">
      <w:pPr>
        <w:pStyle w:val="FootnoteText"/>
      </w:pPr>
      <w:r>
        <w:rPr>
          <w:rStyle w:val="FootnoteReference"/>
        </w:rPr>
        <w:footnoteRef/>
      </w:r>
      <w:r>
        <w:t xml:space="preserve"> Funds generated is defined as the amount of funds generated by the difference between regular rates $2.81 and the conservation rate of $5.00 per 100 cubic feet of water used in the third usage block of greater than 2,000 cubic feet.</w:t>
      </w:r>
    </w:p>
    <w:p w14:paraId="200CB7C5" w14:textId="77777777" w:rsidR="00CF45A4" w:rsidRDefault="00CF45A4" w:rsidP="00CF45A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4079"/>
      <w:docPartObj>
        <w:docPartGallery w:val="Page Numbers (Top of Page)"/>
        <w:docPartUnique/>
      </w:docPartObj>
    </w:sdtPr>
    <w:sdtEndPr/>
    <w:sdtContent>
      <w:p w14:paraId="6AF7264A" w14:textId="77777777" w:rsidR="006A5DCD" w:rsidRDefault="00912569">
        <w:pPr>
          <w:pStyle w:val="Header"/>
        </w:pPr>
        <w:r>
          <w:t>Docket UW-</w:t>
        </w:r>
        <w:r w:rsidR="0004187D">
          <w:t>170216</w:t>
        </w:r>
      </w:p>
      <w:p w14:paraId="6AF7264B" w14:textId="5832F717" w:rsidR="006A5DCD" w:rsidRDefault="00CF45A4">
        <w:pPr>
          <w:pStyle w:val="Header"/>
        </w:pPr>
        <w:r>
          <w:t>May 11</w:t>
        </w:r>
        <w:r w:rsidR="000632BF">
          <w:t xml:space="preserve">, </w:t>
        </w:r>
        <w:r w:rsidR="0004187D">
          <w:t>2017</w:t>
        </w:r>
      </w:p>
      <w:p w14:paraId="6AF7264C" w14:textId="77777777" w:rsidR="006A5DCD" w:rsidRDefault="006A5DCD">
        <w:pPr>
          <w:pStyle w:val="Header"/>
        </w:pPr>
        <w:r>
          <w:t xml:space="preserve">Page </w:t>
        </w:r>
        <w:r>
          <w:fldChar w:fldCharType="begin"/>
        </w:r>
        <w:r>
          <w:instrText xml:space="preserve"> PAGE   \* MERGEFORMAT </w:instrText>
        </w:r>
        <w:r>
          <w:fldChar w:fldCharType="separate"/>
        </w:r>
        <w:r w:rsidR="00836FE0">
          <w:rPr>
            <w:noProof/>
          </w:rPr>
          <w:t>4</w:t>
        </w:r>
        <w:r>
          <w:rPr>
            <w:noProof/>
          </w:rPr>
          <w:fldChar w:fldCharType="end"/>
        </w:r>
      </w:p>
      <w:p w14:paraId="6AF7264D" w14:textId="77777777" w:rsidR="006A5DCD" w:rsidRDefault="00074332">
        <w:pPr>
          <w:pStyle w:val="Header"/>
        </w:pPr>
      </w:p>
    </w:sdtContent>
  </w:sdt>
  <w:p w14:paraId="6AF7264E" w14:textId="77777777" w:rsidR="006A5DCD" w:rsidRDefault="006A5D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7264F" w14:textId="12CFDD27" w:rsidR="00020EA8" w:rsidRPr="00FE0AD1" w:rsidRDefault="00020EA8" w:rsidP="004D2161">
    <w:pPr>
      <w:spacing w:line="238" w:lineRule="auto"/>
    </w:pPr>
    <w:r w:rsidRPr="00FE0AD1">
      <w:t xml:space="preserve">Docket </w:t>
    </w:r>
    <w:r>
      <w:t>UW</w:t>
    </w:r>
    <w:r w:rsidRPr="00FE0AD1">
      <w:t>-</w:t>
    </w:r>
    <w:r w:rsidR="00075E27">
      <w:t>1</w:t>
    </w:r>
    <w:r w:rsidR="0030217F">
      <w:t>70216</w:t>
    </w:r>
  </w:p>
  <w:p w14:paraId="6AF72650" w14:textId="7E64CE41" w:rsidR="00020EA8" w:rsidRPr="00FE0AD1" w:rsidRDefault="00075E27" w:rsidP="004D2161">
    <w:pPr>
      <w:spacing w:line="238" w:lineRule="auto"/>
    </w:pPr>
    <w:r>
      <w:t>May 11</w:t>
    </w:r>
    <w:r w:rsidR="00020EA8" w:rsidRPr="00FE0AD1">
      <w:t xml:space="preserve">, </w:t>
    </w:r>
    <w:r w:rsidR="0004187D">
      <w:t>2017</w:t>
    </w:r>
  </w:p>
  <w:p w14:paraId="6AF72651" w14:textId="77777777" w:rsidR="00020EA8" w:rsidRPr="00FE0AD1" w:rsidRDefault="00020EA8" w:rsidP="004D2161">
    <w:pPr>
      <w:spacing w:line="238" w:lineRule="auto"/>
      <w:rPr>
        <w:rStyle w:val="PageNumber"/>
      </w:rPr>
    </w:pPr>
    <w:r w:rsidRPr="00FE0AD1">
      <w:t>Page</w:t>
    </w:r>
    <w:r>
      <w:t xml:space="preserve"> </w:t>
    </w:r>
    <w:r w:rsidR="0089121E">
      <w:fldChar w:fldCharType="begin"/>
    </w:r>
    <w:r w:rsidR="0089121E">
      <w:instrText xml:space="preserve"> PAGE   \* MERGEFORMAT </w:instrText>
    </w:r>
    <w:r w:rsidR="0089121E">
      <w:fldChar w:fldCharType="separate"/>
    </w:r>
    <w:r w:rsidR="00836FE0">
      <w:rPr>
        <w:noProof/>
      </w:rPr>
      <w:t>5</w:t>
    </w:r>
    <w:r w:rsidR="0089121E">
      <w:fldChar w:fldCharType="end"/>
    </w:r>
  </w:p>
  <w:p w14:paraId="6AF72652" w14:textId="77777777" w:rsidR="00020EA8" w:rsidRDefault="00020EA8" w:rsidP="004D2161">
    <w:pPr>
      <w:pStyle w:val="Header"/>
    </w:pPr>
  </w:p>
  <w:p w14:paraId="6AF72653" w14:textId="77777777" w:rsidR="00F80EDD" w:rsidRPr="004D2161" w:rsidRDefault="00F80EDD" w:rsidP="004D2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0" w:firstLine="0"/>
      </w:pPr>
      <w:rPr>
        <w:rFonts w:ascii="Symbol" w:eastAsia="Symbol" w:hAnsi="Symbol" w:cs="Symbol"/>
        <w:sz w:val="20"/>
      </w:rPr>
    </w:lvl>
    <w:lvl w:ilvl="1">
      <w:start w:val="1"/>
      <w:numFmt w:val="bullet"/>
      <w:lvlText w:val="o"/>
      <w:lvlJc w:val="left"/>
      <w:pPr>
        <w:ind w:left="0" w:firstLine="0"/>
      </w:pPr>
      <w:rPr>
        <w:rFonts w:ascii="Courier New" w:eastAsia="Courier New" w:hAnsi="Courier New" w:cs="Courier New"/>
        <w:sz w:val="20"/>
      </w:rPr>
    </w:lvl>
    <w:lvl w:ilvl="2">
      <w:start w:val="1"/>
      <w:numFmt w:val="bullet"/>
      <w:lvlText w:val="§"/>
      <w:lvlJc w:val="left"/>
      <w:pPr>
        <w:ind w:left="0" w:firstLine="0"/>
      </w:pPr>
      <w:rPr>
        <w:rFonts w:ascii="Wingdings" w:eastAsia="Wingdings" w:hAnsi="Wingdings" w:cs="Wingdings"/>
        <w:sz w:val="20"/>
      </w:rPr>
    </w:lvl>
    <w:lvl w:ilvl="3">
      <w:start w:val="1"/>
      <w:numFmt w:val="bullet"/>
      <w:lvlText w:val="·"/>
      <w:lvlJc w:val="left"/>
      <w:pPr>
        <w:ind w:left="0" w:firstLine="0"/>
      </w:pPr>
      <w:rPr>
        <w:rFonts w:ascii="Symbol" w:eastAsia="Symbol" w:hAnsi="Symbol" w:cs="Symbol"/>
        <w:sz w:val="20"/>
      </w:rPr>
    </w:lvl>
    <w:lvl w:ilvl="4">
      <w:start w:val="1"/>
      <w:numFmt w:val="bullet"/>
      <w:lvlText w:val="o"/>
      <w:lvlJc w:val="left"/>
      <w:pPr>
        <w:ind w:left="0" w:firstLine="0"/>
      </w:pPr>
      <w:rPr>
        <w:rFonts w:ascii="Courier New" w:eastAsia="Courier New" w:hAnsi="Courier New" w:cs="Courier New"/>
        <w:sz w:val="20"/>
      </w:rPr>
    </w:lvl>
    <w:lvl w:ilvl="5">
      <w:start w:val="1"/>
      <w:numFmt w:val="bullet"/>
      <w:lvlText w:val="§"/>
      <w:lvlJc w:val="left"/>
      <w:pPr>
        <w:ind w:left="0" w:firstLine="0"/>
      </w:pPr>
      <w:rPr>
        <w:rFonts w:ascii="Wingdings" w:eastAsia="Wingdings" w:hAnsi="Wingdings" w:cs="Wingdings"/>
        <w:sz w:val="20"/>
      </w:rPr>
    </w:lvl>
    <w:lvl w:ilvl="6">
      <w:start w:val="1"/>
      <w:numFmt w:val="bullet"/>
      <w:lvlText w:val="·"/>
      <w:lvlJc w:val="left"/>
      <w:pPr>
        <w:ind w:left="0" w:firstLine="0"/>
      </w:pPr>
      <w:rPr>
        <w:rFonts w:ascii="Symbol" w:eastAsia="Symbol" w:hAnsi="Symbol" w:cs="Symbol"/>
        <w:sz w:val="20"/>
      </w:rPr>
    </w:lvl>
    <w:lvl w:ilvl="7">
      <w:start w:val="1"/>
      <w:numFmt w:val="bullet"/>
      <w:lvlText w:val="o"/>
      <w:lvlJc w:val="left"/>
      <w:pPr>
        <w:ind w:left="0" w:firstLine="0"/>
      </w:pPr>
      <w:rPr>
        <w:rFonts w:ascii="Courier New" w:eastAsia="Courier New" w:hAnsi="Courier New" w:cs="Courier New"/>
        <w:sz w:val="20"/>
      </w:rPr>
    </w:lvl>
    <w:lvl w:ilvl="8">
      <w:start w:val="1"/>
      <w:numFmt w:val="bullet"/>
      <w:lvlText w:val="§"/>
      <w:lvlJc w:val="left"/>
      <w:pPr>
        <w:ind w:left="0" w:firstLine="0"/>
      </w:pPr>
      <w:rPr>
        <w:rFonts w:ascii="Wingdings" w:eastAsia="Wingdings" w:hAnsi="Wingdings" w:cs="Wingdings"/>
        <w:sz w:val="20"/>
      </w:rPr>
    </w:lvl>
  </w:abstractNum>
  <w:abstractNum w:abstractNumId="1"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8434A5"/>
    <w:multiLevelType w:val="hybridMultilevel"/>
    <w:tmpl w:val="55F6333E"/>
    <w:lvl w:ilvl="0" w:tplc="BD5E73E4">
      <w:start w:val="5"/>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28401DF"/>
    <w:multiLevelType w:val="hybridMultilevel"/>
    <w:tmpl w:val="8E16539C"/>
    <w:lvl w:ilvl="0" w:tplc="04090017">
      <w:start w:val="1"/>
      <w:numFmt w:val="lowerLetter"/>
      <w:lvlText w:val="%1)"/>
      <w:lvlJc w:val="left"/>
      <w:pPr>
        <w:tabs>
          <w:tab w:val="num" w:pos="720"/>
        </w:tabs>
        <w:ind w:left="720" w:hanging="360"/>
      </w:pPr>
    </w:lvl>
    <w:lvl w:ilvl="1" w:tplc="74569F24">
      <w:start w:val="1"/>
      <w:numFmt w:val="lowerRoman"/>
      <w:lvlText w:val="%2."/>
      <w:lvlJc w:val="right"/>
      <w:pPr>
        <w:tabs>
          <w:tab w:val="num" w:pos="1296"/>
        </w:tabs>
        <w:ind w:left="108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7906E7"/>
    <w:multiLevelType w:val="hybridMultilevel"/>
    <w:tmpl w:val="CE58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564BD"/>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1BFD7FC6"/>
    <w:multiLevelType w:val="hybridMultilevel"/>
    <w:tmpl w:val="F516F40A"/>
    <w:lvl w:ilvl="0" w:tplc="F294DADE">
      <w:start w:val="5"/>
      <w:numFmt w:val="bullet"/>
      <w:lvlText w:val=""/>
      <w:lvlJc w:val="left"/>
      <w:pPr>
        <w:ind w:left="2580" w:hanging="360"/>
      </w:pPr>
      <w:rPr>
        <w:rFonts w:ascii="Symbol" w:eastAsia="Times New Roman" w:hAnsi="Symbol" w:cs="Times New Roman"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8" w15:restartNumberingAfterBreak="0">
    <w:nsid w:val="25171B46"/>
    <w:multiLevelType w:val="hybridMultilevel"/>
    <w:tmpl w:val="37F64804"/>
    <w:lvl w:ilvl="0" w:tplc="0D28F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31305"/>
    <w:multiLevelType w:val="hybridMultilevel"/>
    <w:tmpl w:val="E5F69BCC"/>
    <w:lvl w:ilvl="0" w:tplc="BDF04F84">
      <w:start w:val="1"/>
      <w:numFmt w:val="lowerLetter"/>
      <w:lvlText w:val="(%1)"/>
      <w:lvlJc w:val="left"/>
      <w:pPr>
        <w:ind w:left="720" w:hanging="360"/>
      </w:pPr>
      <w:rPr>
        <w:rFonts w:ascii="Times New Roman" w:hAnsi="Times New Roman"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A46A6"/>
    <w:multiLevelType w:val="hybridMultilevel"/>
    <w:tmpl w:val="445AA8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E5A60D4"/>
    <w:multiLevelType w:val="hybridMultilevel"/>
    <w:tmpl w:val="D7743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7A1545"/>
    <w:multiLevelType w:val="hybridMultilevel"/>
    <w:tmpl w:val="59B290A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10BA4"/>
    <w:multiLevelType w:val="hybridMultilevel"/>
    <w:tmpl w:val="ED8007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81B03"/>
    <w:multiLevelType w:val="hybridMultilevel"/>
    <w:tmpl w:val="289E8878"/>
    <w:lvl w:ilvl="0" w:tplc="779035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711E6"/>
    <w:multiLevelType w:val="hybridMultilevel"/>
    <w:tmpl w:val="5CC6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D2467D"/>
    <w:multiLevelType w:val="hybridMultilevel"/>
    <w:tmpl w:val="D27E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20619"/>
    <w:multiLevelType w:val="hybridMultilevel"/>
    <w:tmpl w:val="1DC68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C86209"/>
    <w:multiLevelType w:val="hybridMultilevel"/>
    <w:tmpl w:val="65EEE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33672A"/>
    <w:multiLevelType w:val="hybridMultilevel"/>
    <w:tmpl w:val="1DC68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4DB6F4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FB65F5D"/>
    <w:multiLevelType w:val="hybridMultilevel"/>
    <w:tmpl w:val="CD560D16"/>
    <w:lvl w:ilvl="0" w:tplc="81DEBBEC">
      <w:start w:val="5"/>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FF01BA5"/>
    <w:multiLevelType w:val="hybridMultilevel"/>
    <w:tmpl w:val="ECA4E616"/>
    <w:lvl w:ilvl="0" w:tplc="04090017">
      <w:start w:val="1"/>
      <w:numFmt w:val="lowerLetter"/>
      <w:lvlText w:val="%1)"/>
      <w:lvlJc w:val="left"/>
      <w:pPr>
        <w:ind w:left="720" w:hanging="360"/>
      </w:pPr>
      <w:rPr>
        <w:rFonts w:hint="default"/>
      </w:rPr>
    </w:lvl>
    <w:lvl w:ilvl="1" w:tplc="74569F2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E6B37"/>
    <w:multiLevelType w:val="hybridMultilevel"/>
    <w:tmpl w:val="B7F6E120"/>
    <w:lvl w:ilvl="0" w:tplc="A2DA1B96">
      <w:start w:val="66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2"/>
  </w:num>
  <w:num w:numId="2">
    <w:abstractNumId w:val="20"/>
  </w:num>
  <w:num w:numId="3">
    <w:abstractNumId w:val="2"/>
  </w:num>
  <w:num w:numId="4">
    <w:abstractNumId w:val="27"/>
  </w:num>
  <w:num w:numId="5">
    <w:abstractNumId w:val="13"/>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3"/>
  </w:num>
  <w:num w:numId="9">
    <w:abstractNumId w:val="4"/>
  </w:num>
  <w:num w:numId="10">
    <w:abstractNumId w:val="10"/>
  </w:num>
  <w:num w:numId="11">
    <w:abstractNumId w:val="16"/>
  </w:num>
  <w:num w:numId="12">
    <w:abstractNumId w:val="6"/>
  </w:num>
  <w:num w:numId="13">
    <w:abstractNumId w:val="18"/>
  </w:num>
  <w:num w:numId="14">
    <w:abstractNumId w:val="21"/>
  </w:num>
  <w:num w:numId="15">
    <w:abstractNumId w:val="14"/>
  </w:num>
  <w:num w:numId="16">
    <w:abstractNumId w:val="25"/>
  </w:num>
  <w:num w:numId="17">
    <w:abstractNumId w:val="11"/>
  </w:num>
  <w:num w:numId="18">
    <w:abstractNumId w:val="26"/>
  </w:num>
  <w:num w:numId="19">
    <w:abstractNumId w:val="1"/>
  </w:num>
  <w:num w:numId="20">
    <w:abstractNumId w:val="15"/>
  </w:num>
  <w:num w:numId="21">
    <w:abstractNumId w:val="5"/>
  </w:num>
  <w:num w:numId="22">
    <w:abstractNumId w:val="17"/>
  </w:num>
  <w:num w:numId="23">
    <w:abstractNumId w:val="3"/>
  </w:num>
  <w:num w:numId="24">
    <w:abstractNumId w:val="12"/>
  </w:num>
  <w:num w:numId="25">
    <w:abstractNumId w:val="24"/>
  </w:num>
  <w:num w:numId="26">
    <w:abstractNumId w:val="7"/>
  </w:num>
  <w:num w:numId="27">
    <w:abstractNumId w:val="8"/>
  </w:num>
  <w:num w:numId="28">
    <w:abstractNumId w:val="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D130D8D-B1C9-4C72-A87E-9DAA0A3BD18A}"/>
    <w:docVar w:name="dgnword-eventsink" w:val="274856352"/>
  </w:docVars>
  <w:rsids>
    <w:rsidRoot w:val="007155BE"/>
    <w:rsid w:val="00000C18"/>
    <w:rsid w:val="000046F9"/>
    <w:rsid w:val="0000509B"/>
    <w:rsid w:val="000060AD"/>
    <w:rsid w:val="00010440"/>
    <w:rsid w:val="0001445D"/>
    <w:rsid w:val="00020493"/>
    <w:rsid w:val="00020EA8"/>
    <w:rsid w:val="00024C83"/>
    <w:rsid w:val="00024E4B"/>
    <w:rsid w:val="00026BC7"/>
    <w:rsid w:val="00026D9E"/>
    <w:rsid w:val="000377B4"/>
    <w:rsid w:val="00037E0B"/>
    <w:rsid w:val="0004008D"/>
    <w:rsid w:val="00041309"/>
    <w:rsid w:val="0004187D"/>
    <w:rsid w:val="00053620"/>
    <w:rsid w:val="00055129"/>
    <w:rsid w:val="0005582B"/>
    <w:rsid w:val="00060275"/>
    <w:rsid w:val="00060FAD"/>
    <w:rsid w:val="000632BF"/>
    <w:rsid w:val="00065632"/>
    <w:rsid w:val="00065D3A"/>
    <w:rsid w:val="00072AB1"/>
    <w:rsid w:val="00072CEA"/>
    <w:rsid w:val="00072E8D"/>
    <w:rsid w:val="0007305E"/>
    <w:rsid w:val="00074332"/>
    <w:rsid w:val="00074C54"/>
    <w:rsid w:val="00075E27"/>
    <w:rsid w:val="000838FA"/>
    <w:rsid w:val="00084C44"/>
    <w:rsid w:val="00086219"/>
    <w:rsid w:val="000910DC"/>
    <w:rsid w:val="000927FD"/>
    <w:rsid w:val="0009317F"/>
    <w:rsid w:val="000A0510"/>
    <w:rsid w:val="000A2FD7"/>
    <w:rsid w:val="000A470D"/>
    <w:rsid w:val="000A47CB"/>
    <w:rsid w:val="000A4ADC"/>
    <w:rsid w:val="000A7702"/>
    <w:rsid w:val="000B0C40"/>
    <w:rsid w:val="000B1549"/>
    <w:rsid w:val="000B7590"/>
    <w:rsid w:val="000C4703"/>
    <w:rsid w:val="000C52FA"/>
    <w:rsid w:val="000C6152"/>
    <w:rsid w:val="000D23A6"/>
    <w:rsid w:val="000D3312"/>
    <w:rsid w:val="000D6EE8"/>
    <w:rsid w:val="000E1243"/>
    <w:rsid w:val="000E5DC6"/>
    <w:rsid w:val="000F23B0"/>
    <w:rsid w:val="000F469A"/>
    <w:rsid w:val="000F4ACF"/>
    <w:rsid w:val="000F7CCD"/>
    <w:rsid w:val="00106CFF"/>
    <w:rsid w:val="00114DD1"/>
    <w:rsid w:val="001222B0"/>
    <w:rsid w:val="0013353B"/>
    <w:rsid w:val="00137FE5"/>
    <w:rsid w:val="0014070A"/>
    <w:rsid w:val="001418DA"/>
    <w:rsid w:val="00144884"/>
    <w:rsid w:val="00144F9A"/>
    <w:rsid w:val="0015140F"/>
    <w:rsid w:val="00157F32"/>
    <w:rsid w:val="00160A9B"/>
    <w:rsid w:val="00161E2E"/>
    <w:rsid w:val="00162AE7"/>
    <w:rsid w:val="00163563"/>
    <w:rsid w:val="00164BEE"/>
    <w:rsid w:val="00171A2C"/>
    <w:rsid w:val="00172620"/>
    <w:rsid w:val="00173EC4"/>
    <w:rsid w:val="001742F3"/>
    <w:rsid w:val="00175973"/>
    <w:rsid w:val="00180222"/>
    <w:rsid w:val="00181477"/>
    <w:rsid w:val="001869BD"/>
    <w:rsid w:val="0019005A"/>
    <w:rsid w:val="00191AF2"/>
    <w:rsid w:val="00194CB9"/>
    <w:rsid w:val="00194D3A"/>
    <w:rsid w:val="00197447"/>
    <w:rsid w:val="001A53BD"/>
    <w:rsid w:val="001B1901"/>
    <w:rsid w:val="001B2A92"/>
    <w:rsid w:val="001B4800"/>
    <w:rsid w:val="001B710E"/>
    <w:rsid w:val="001B7164"/>
    <w:rsid w:val="001B735F"/>
    <w:rsid w:val="001C0C2B"/>
    <w:rsid w:val="001C0D5C"/>
    <w:rsid w:val="001C1460"/>
    <w:rsid w:val="001C57BC"/>
    <w:rsid w:val="001C74CC"/>
    <w:rsid w:val="001D1FF7"/>
    <w:rsid w:val="001D28F3"/>
    <w:rsid w:val="001D4653"/>
    <w:rsid w:val="001E1030"/>
    <w:rsid w:val="001E205B"/>
    <w:rsid w:val="001E2944"/>
    <w:rsid w:val="001E3354"/>
    <w:rsid w:val="001E5486"/>
    <w:rsid w:val="001E641B"/>
    <w:rsid w:val="001E72E0"/>
    <w:rsid w:val="001F03B1"/>
    <w:rsid w:val="001F0C45"/>
    <w:rsid w:val="001F2B6F"/>
    <w:rsid w:val="001F2F46"/>
    <w:rsid w:val="001F467F"/>
    <w:rsid w:val="001F6691"/>
    <w:rsid w:val="00203212"/>
    <w:rsid w:val="00204E23"/>
    <w:rsid w:val="00210BF4"/>
    <w:rsid w:val="0021504E"/>
    <w:rsid w:val="002159E8"/>
    <w:rsid w:val="002224C6"/>
    <w:rsid w:val="00225B2D"/>
    <w:rsid w:val="002305D7"/>
    <w:rsid w:val="00230E1B"/>
    <w:rsid w:val="002323BF"/>
    <w:rsid w:val="002348E0"/>
    <w:rsid w:val="0023499C"/>
    <w:rsid w:val="002349CB"/>
    <w:rsid w:val="00237129"/>
    <w:rsid w:val="0024162C"/>
    <w:rsid w:val="002520CC"/>
    <w:rsid w:val="00253F68"/>
    <w:rsid w:val="00261CF4"/>
    <w:rsid w:val="002657F1"/>
    <w:rsid w:val="0026637B"/>
    <w:rsid w:val="00267644"/>
    <w:rsid w:val="00267AD2"/>
    <w:rsid w:val="00272677"/>
    <w:rsid w:val="002744F3"/>
    <w:rsid w:val="00274CC5"/>
    <w:rsid w:val="0027508C"/>
    <w:rsid w:val="00275A2B"/>
    <w:rsid w:val="0027629F"/>
    <w:rsid w:val="00280ECE"/>
    <w:rsid w:val="002834BD"/>
    <w:rsid w:val="00283DF7"/>
    <w:rsid w:val="002918B8"/>
    <w:rsid w:val="0029365C"/>
    <w:rsid w:val="00293678"/>
    <w:rsid w:val="002974EA"/>
    <w:rsid w:val="002A1B14"/>
    <w:rsid w:val="002A5D58"/>
    <w:rsid w:val="002B02AE"/>
    <w:rsid w:val="002B0726"/>
    <w:rsid w:val="002B0FA2"/>
    <w:rsid w:val="002B127D"/>
    <w:rsid w:val="002B3B6D"/>
    <w:rsid w:val="002B546F"/>
    <w:rsid w:val="002C1D40"/>
    <w:rsid w:val="002C6821"/>
    <w:rsid w:val="002C7517"/>
    <w:rsid w:val="002D0C6C"/>
    <w:rsid w:val="002D3175"/>
    <w:rsid w:val="002D4F2A"/>
    <w:rsid w:val="002D7CA9"/>
    <w:rsid w:val="002E08E7"/>
    <w:rsid w:val="002E1B78"/>
    <w:rsid w:val="002E1E8B"/>
    <w:rsid w:val="002E546B"/>
    <w:rsid w:val="002E59D3"/>
    <w:rsid w:val="002F159E"/>
    <w:rsid w:val="00300723"/>
    <w:rsid w:val="00301064"/>
    <w:rsid w:val="0030122C"/>
    <w:rsid w:val="0030217F"/>
    <w:rsid w:val="0030716F"/>
    <w:rsid w:val="0031289C"/>
    <w:rsid w:val="00313AC7"/>
    <w:rsid w:val="00313E10"/>
    <w:rsid w:val="00313EEB"/>
    <w:rsid w:val="00320832"/>
    <w:rsid w:val="00320DBE"/>
    <w:rsid w:val="00320FC3"/>
    <w:rsid w:val="0032242C"/>
    <w:rsid w:val="00322689"/>
    <w:rsid w:val="00333A35"/>
    <w:rsid w:val="00343ABB"/>
    <w:rsid w:val="0034773B"/>
    <w:rsid w:val="00350743"/>
    <w:rsid w:val="0036198F"/>
    <w:rsid w:val="00361D71"/>
    <w:rsid w:val="00365C95"/>
    <w:rsid w:val="00365D27"/>
    <w:rsid w:val="00370CA1"/>
    <w:rsid w:val="00372419"/>
    <w:rsid w:val="00376C63"/>
    <w:rsid w:val="003818F7"/>
    <w:rsid w:val="00381E7B"/>
    <w:rsid w:val="00382C0C"/>
    <w:rsid w:val="00386752"/>
    <w:rsid w:val="003903E6"/>
    <w:rsid w:val="00393E46"/>
    <w:rsid w:val="0039445C"/>
    <w:rsid w:val="003A0501"/>
    <w:rsid w:val="003A1260"/>
    <w:rsid w:val="003A2597"/>
    <w:rsid w:val="003B176E"/>
    <w:rsid w:val="003B18F3"/>
    <w:rsid w:val="003B35D6"/>
    <w:rsid w:val="003C01D6"/>
    <w:rsid w:val="003C134F"/>
    <w:rsid w:val="003C18AE"/>
    <w:rsid w:val="003C3D11"/>
    <w:rsid w:val="003C44BD"/>
    <w:rsid w:val="003C686F"/>
    <w:rsid w:val="003D1063"/>
    <w:rsid w:val="003D7349"/>
    <w:rsid w:val="003E071D"/>
    <w:rsid w:val="003E2C21"/>
    <w:rsid w:val="003E4343"/>
    <w:rsid w:val="003E4878"/>
    <w:rsid w:val="003E4D88"/>
    <w:rsid w:val="003F10C8"/>
    <w:rsid w:val="003F3D1D"/>
    <w:rsid w:val="00402716"/>
    <w:rsid w:val="004106DA"/>
    <w:rsid w:val="00413ABA"/>
    <w:rsid w:val="00414B84"/>
    <w:rsid w:val="0042096A"/>
    <w:rsid w:val="0042121F"/>
    <w:rsid w:val="00421BBE"/>
    <w:rsid w:val="00422348"/>
    <w:rsid w:val="004404C2"/>
    <w:rsid w:val="00450FF0"/>
    <w:rsid w:val="00451EB9"/>
    <w:rsid w:val="004526EE"/>
    <w:rsid w:val="0045500C"/>
    <w:rsid w:val="00456249"/>
    <w:rsid w:val="00460D93"/>
    <w:rsid w:val="00461E5D"/>
    <w:rsid w:val="0046234B"/>
    <w:rsid w:val="004627CC"/>
    <w:rsid w:val="00462DFA"/>
    <w:rsid w:val="004638AF"/>
    <w:rsid w:val="004721BB"/>
    <w:rsid w:val="00475ADF"/>
    <w:rsid w:val="00481A54"/>
    <w:rsid w:val="004827C9"/>
    <w:rsid w:val="004842F7"/>
    <w:rsid w:val="00494D80"/>
    <w:rsid w:val="00495D8A"/>
    <w:rsid w:val="00495FFE"/>
    <w:rsid w:val="004A70E5"/>
    <w:rsid w:val="004A76DF"/>
    <w:rsid w:val="004B0E0A"/>
    <w:rsid w:val="004B0F2A"/>
    <w:rsid w:val="004B2399"/>
    <w:rsid w:val="004B6A68"/>
    <w:rsid w:val="004C00E5"/>
    <w:rsid w:val="004D2161"/>
    <w:rsid w:val="004D28EE"/>
    <w:rsid w:val="004D2A93"/>
    <w:rsid w:val="004D4B93"/>
    <w:rsid w:val="004D5836"/>
    <w:rsid w:val="004E10E0"/>
    <w:rsid w:val="004E18AD"/>
    <w:rsid w:val="004E33EA"/>
    <w:rsid w:val="004E5B3C"/>
    <w:rsid w:val="004E7ED0"/>
    <w:rsid w:val="004F4812"/>
    <w:rsid w:val="005009B0"/>
    <w:rsid w:val="0050347B"/>
    <w:rsid w:val="00504511"/>
    <w:rsid w:val="005065BB"/>
    <w:rsid w:val="0051398A"/>
    <w:rsid w:val="005153DD"/>
    <w:rsid w:val="00520144"/>
    <w:rsid w:val="00523319"/>
    <w:rsid w:val="0052387E"/>
    <w:rsid w:val="00524DBF"/>
    <w:rsid w:val="00525583"/>
    <w:rsid w:val="00531C82"/>
    <w:rsid w:val="00536D90"/>
    <w:rsid w:val="0054044F"/>
    <w:rsid w:val="00550AE6"/>
    <w:rsid w:val="0055788D"/>
    <w:rsid w:val="00560714"/>
    <w:rsid w:val="005612F3"/>
    <w:rsid w:val="00565687"/>
    <w:rsid w:val="00567D1B"/>
    <w:rsid w:val="00575A2C"/>
    <w:rsid w:val="00575AF1"/>
    <w:rsid w:val="005770E2"/>
    <w:rsid w:val="00577473"/>
    <w:rsid w:val="0058014A"/>
    <w:rsid w:val="00584D8E"/>
    <w:rsid w:val="00591778"/>
    <w:rsid w:val="00595D93"/>
    <w:rsid w:val="005964C8"/>
    <w:rsid w:val="005A105C"/>
    <w:rsid w:val="005A2893"/>
    <w:rsid w:val="005A4BF5"/>
    <w:rsid w:val="005B278A"/>
    <w:rsid w:val="005B4AE8"/>
    <w:rsid w:val="005B6999"/>
    <w:rsid w:val="005B7858"/>
    <w:rsid w:val="005C0529"/>
    <w:rsid w:val="005C24DB"/>
    <w:rsid w:val="005C27C6"/>
    <w:rsid w:val="005C59FC"/>
    <w:rsid w:val="005C7A39"/>
    <w:rsid w:val="005D3749"/>
    <w:rsid w:val="005E3B6D"/>
    <w:rsid w:val="005E5FE6"/>
    <w:rsid w:val="005E6664"/>
    <w:rsid w:val="005E6C71"/>
    <w:rsid w:val="005F4E63"/>
    <w:rsid w:val="005F67A4"/>
    <w:rsid w:val="005F7692"/>
    <w:rsid w:val="00600885"/>
    <w:rsid w:val="0060344F"/>
    <w:rsid w:val="0060403B"/>
    <w:rsid w:val="00605346"/>
    <w:rsid w:val="006053C4"/>
    <w:rsid w:val="0060641D"/>
    <w:rsid w:val="00610C4C"/>
    <w:rsid w:val="006153C8"/>
    <w:rsid w:val="0061684C"/>
    <w:rsid w:val="00620C58"/>
    <w:rsid w:val="00622736"/>
    <w:rsid w:val="006233E9"/>
    <w:rsid w:val="0062357E"/>
    <w:rsid w:val="0062491C"/>
    <w:rsid w:val="006366D6"/>
    <w:rsid w:val="00637EBE"/>
    <w:rsid w:val="00640663"/>
    <w:rsid w:val="006413D8"/>
    <w:rsid w:val="00643D36"/>
    <w:rsid w:val="00646362"/>
    <w:rsid w:val="0065301B"/>
    <w:rsid w:val="00653252"/>
    <w:rsid w:val="00653679"/>
    <w:rsid w:val="006536CD"/>
    <w:rsid w:val="006540D9"/>
    <w:rsid w:val="0065659A"/>
    <w:rsid w:val="00663672"/>
    <w:rsid w:val="00664E57"/>
    <w:rsid w:val="00665BFB"/>
    <w:rsid w:val="0066675A"/>
    <w:rsid w:val="00666D66"/>
    <w:rsid w:val="00674221"/>
    <w:rsid w:val="0067490D"/>
    <w:rsid w:val="00674E59"/>
    <w:rsid w:val="0067623B"/>
    <w:rsid w:val="006775D8"/>
    <w:rsid w:val="00677AFF"/>
    <w:rsid w:val="0068313F"/>
    <w:rsid w:val="0068373F"/>
    <w:rsid w:val="006859EA"/>
    <w:rsid w:val="00691BF0"/>
    <w:rsid w:val="00692840"/>
    <w:rsid w:val="006974A1"/>
    <w:rsid w:val="00697874"/>
    <w:rsid w:val="00697E4B"/>
    <w:rsid w:val="006A3616"/>
    <w:rsid w:val="006A5DCD"/>
    <w:rsid w:val="006B0F66"/>
    <w:rsid w:val="006B1F1E"/>
    <w:rsid w:val="006B44B0"/>
    <w:rsid w:val="006B5D30"/>
    <w:rsid w:val="006C17B2"/>
    <w:rsid w:val="006C3B9D"/>
    <w:rsid w:val="006C46E4"/>
    <w:rsid w:val="006C5626"/>
    <w:rsid w:val="006C6996"/>
    <w:rsid w:val="006D1C3C"/>
    <w:rsid w:val="006E03AC"/>
    <w:rsid w:val="006E07FE"/>
    <w:rsid w:val="006E0D64"/>
    <w:rsid w:val="006E2B7B"/>
    <w:rsid w:val="006E4193"/>
    <w:rsid w:val="006E5083"/>
    <w:rsid w:val="006F0899"/>
    <w:rsid w:val="006F2701"/>
    <w:rsid w:val="006F3EDB"/>
    <w:rsid w:val="006F4481"/>
    <w:rsid w:val="006F4A35"/>
    <w:rsid w:val="006F6C1C"/>
    <w:rsid w:val="007039C4"/>
    <w:rsid w:val="00704308"/>
    <w:rsid w:val="00705045"/>
    <w:rsid w:val="00705973"/>
    <w:rsid w:val="007155BE"/>
    <w:rsid w:val="00717F25"/>
    <w:rsid w:val="00724E4C"/>
    <w:rsid w:val="007315B5"/>
    <w:rsid w:val="0073379F"/>
    <w:rsid w:val="00734CF0"/>
    <w:rsid w:val="0073530C"/>
    <w:rsid w:val="00736665"/>
    <w:rsid w:val="00736DB9"/>
    <w:rsid w:val="00737B9F"/>
    <w:rsid w:val="00743E0B"/>
    <w:rsid w:val="00744499"/>
    <w:rsid w:val="00752064"/>
    <w:rsid w:val="0075250C"/>
    <w:rsid w:val="00754009"/>
    <w:rsid w:val="00754F16"/>
    <w:rsid w:val="00756158"/>
    <w:rsid w:val="0076405A"/>
    <w:rsid w:val="00772711"/>
    <w:rsid w:val="00772E49"/>
    <w:rsid w:val="00774300"/>
    <w:rsid w:val="0078062D"/>
    <w:rsid w:val="00782766"/>
    <w:rsid w:val="00782D75"/>
    <w:rsid w:val="007838B9"/>
    <w:rsid w:val="00787D7C"/>
    <w:rsid w:val="0079139C"/>
    <w:rsid w:val="00792A0E"/>
    <w:rsid w:val="00793255"/>
    <w:rsid w:val="007A2598"/>
    <w:rsid w:val="007A3127"/>
    <w:rsid w:val="007A3E61"/>
    <w:rsid w:val="007B518B"/>
    <w:rsid w:val="007C046B"/>
    <w:rsid w:val="007C07A7"/>
    <w:rsid w:val="007C2F83"/>
    <w:rsid w:val="007C4EF0"/>
    <w:rsid w:val="007C7B37"/>
    <w:rsid w:val="007D177A"/>
    <w:rsid w:val="007D4572"/>
    <w:rsid w:val="007E05FE"/>
    <w:rsid w:val="007E0D86"/>
    <w:rsid w:val="007E2ADD"/>
    <w:rsid w:val="007E408A"/>
    <w:rsid w:val="007E6F53"/>
    <w:rsid w:val="007F0A9C"/>
    <w:rsid w:val="007F14D2"/>
    <w:rsid w:val="007F158A"/>
    <w:rsid w:val="007F4F2D"/>
    <w:rsid w:val="007F5C7C"/>
    <w:rsid w:val="007F6AB4"/>
    <w:rsid w:val="00800185"/>
    <w:rsid w:val="00801B96"/>
    <w:rsid w:val="00804B7D"/>
    <w:rsid w:val="008058FE"/>
    <w:rsid w:val="00806EC0"/>
    <w:rsid w:val="00807220"/>
    <w:rsid w:val="008134AE"/>
    <w:rsid w:val="00824180"/>
    <w:rsid w:val="0082495E"/>
    <w:rsid w:val="00826680"/>
    <w:rsid w:val="008269DE"/>
    <w:rsid w:val="00827F5B"/>
    <w:rsid w:val="00832AA3"/>
    <w:rsid w:val="00832EE8"/>
    <w:rsid w:val="00834956"/>
    <w:rsid w:val="00836FE0"/>
    <w:rsid w:val="00842072"/>
    <w:rsid w:val="00842D6C"/>
    <w:rsid w:val="00846CD4"/>
    <w:rsid w:val="008506EB"/>
    <w:rsid w:val="00850933"/>
    <w:rsid w:val="00854CD8"/>
    <w:rsid w:val="00863257"/>
    <w:rsid w:val="0086429A"/>
    <w:rsid w:val="00865FD9"/>
    <w:rsid w:val="00871A9D"/>
    <w:rsid w:val="0087756D"/>
    <w:rsid w:val="00880B67"/>
    <w:rsid w:val="00882CE9"/>
    <w:rsid w:val="00887599"/>
    <w:rsid w:val="0089121E"/>
    <w:rsid w:val="008956A7"/>
    <w:rsid w:val="008A49D4"/>
    <w:rsid w:val="008A4A33"/>
    <w:rsid w:val="008A5620"/>
    <w:rsid w:val="008A674C"/>
    <w:rsid w:val="008B44FE"/>
    <w:rsid w:val="008B66BD"/>
    <w:rsid w:val="008B71DB"/>
    <w:rsid w:val="008C2608"/>
    <w:rsid w:val="008C3604"/>
    <w:rsid w:val="008C4E3C"/>
    <w:rsid w:val="008C6ACA"/>
    <w:rsid w:val="008D36A8"/>
    <w:rsid w:val="008E3C16"/>
    <w:rsid w:val="008E3F2A"/>
    <w:rsid w:val="008E45FA"/>
    <w:rsid w:val="008F757B"/>
    <w:rsid w:val="009056DD"/>
    <w:rsid w:val="00910A43"/>
    <w:rsid w:val="009116C0"/>
    <w:rsid w:val="00911E98"/>
    <w:rsid w:val="00912569"/>
    <w:rsid w:val="009141AD"/>
    <w:rsid w:val="00916157"/>
    <w:rsid w:val="009168A9"/>
    <w:rsid w:val="00916D1D"/>
    <w:rsid w:val="00921BD9"/>
    <w:rsid w:val="00921DA3"/>
    <w:rsid w:val="00921DC5"/>
    <w:rsid w:val="00923F95"/>
    <w:rsid w:val="009268FA"/>
    <w:rsid w:val="009303B0"/>
    <w:rsid w:val="00935F0A"/>
    <w:rsid w:val="00937A12"/>
    <w:rsid w:val="009411A3"/>
    <w:rsid w:val="00943F87"/>
    <w:rsid w:val="009508E6"/>
    <w:rsid w:val="00951684"/>
    <w:rsid w:val="009534E7"/>
    <w:rsid w:val="009545EE"/>
    <w:rsid w:val="00955CE8"/>
    <w:rsid w:val="00955EA1"/>
    <w:rsid w:val="00957836"/>
    <w:rsid w:val="009579C1"/>
    <w:rsid w:val="00961BA1"/>
    <w:rsid w:val="00966DF1"/>
    <w:rsid w:val="00970B43"/>
    <w:rsid w:val="00970F01"/>
    <w:rsid w:val="009745CA"/>
    <w:rsid w:val="0098235C"/>
    <w:rsid w:val="00985C3A"/>
    <w:rsid w:val="00986AD4"/>
    <w:rsid w:val="00991FBE"/>
    <w:rsid w:val="00994777"/>
    <w:rsid w:val="009950B8"/>
    <w:rsid w:val="00995B84"/>
    <w:rsid w:val="009A33FE"/>
    <w:rsid w:val="009A52BF"/>
    <w:rsid w:val="009A6C12"/>
    <w:rsid w:val="009B690C"/>
    <w:rsid w:val="009B690D"/>
    <w:rsid w:val="009C1535"/>
    <w:rsid w:val="009C4284"/>
    <w:rsid w:val="009C6251"/>
    <w:rsid w:val="009D1AE3"/>
    <w:rsid w:val="009D4F84"/>
    <w:rsid w:val="009E53BF"/>
    <w:rsid w:val="009E7C43"/>
    <w:rsid w:val="009F0527"/>
    <w:rsid w:val="009F5301"/>
    <w:rsid w:val="009F66E7"/>
    <w:rsid w:val="009F6DA7"/>
    <w:rsid w:val="009F710B"/>
    <w:rsid w:val="00A0489E"/>
    <w:rsid w:val="00A056E1"/>
    <w:rsid w:val="00A07A63"/>
    <w:rsid w:val="00A100BA"/>
    <w:rsid w:val="00A135D3"/>
    <w:rsid w:val="00A13F6B"/>
    <w:rsid w:val="00A26E64"/>
    <w:rsid w:val="00A26F80"/>
    <w:rsid w:val="00A277CA"/>
    <w:rsid w:val="00A414BE"/>
    <w:rsid w:val="00A43AB3"/>
    <w:rsid w:val="00A52132"/>
    <w:rsid w:val="00A54192"/>
    <w:rsid w:val="00A57B8A"/>
    <w:rsid w:val="00A619FA"/>
    <w:rsid w:val="00A61F26"/>
    <w:rsid w:val="00A63644"/>
    <w:rsid w:val="00A6583C"/>
    <w:rsid w:val="00A66592"/>
    <w:rsid w:val="00A70022"/>
    <w:rsid w:val="00A7532A"/>
    <w:rsid w:val="00A76C83"/>
    <w:rsid w:val="00A77FC8"/>
    <w:rsid w:val="00A8224D"/>
    <w:rsid w:val="00A8494E"/>
    <w:rsid w:val="00A84A6B"/>
    <w:rsid w:val="00A86B9B"/>
    <w:rsid w:val="00A87056"/>
    <w:rsid w:val="00A92F92"/>
    <w:rsid w:val="00A94F66"/>
    <w:rsid w:val="00A95510"/>
    <w:rsid w:val="00A97846"/>
    <w:rsid w:val="00AA09B5"/>
    <w:rsid w:val="00AA0C4D"/>
    <w:rsid w:val="00AA3519"/>
    <w:rsid w:val="00AA4A67"/>
    <w:rsid w:val="00AA4B42"/>
    <w:rsid w:val="00AA5CC5"/>
    <w:rsid w:val="00AB5CC7"/>
    <w:rsid w:val="00AC14BA"/>
    <w:rsid w:val="00AC7C0E"/>
    <w:rsid w:val="00AC7EC8"/>
    <w:rsid w:val="00AD0751"/>
    <w:rsid w:val="00AD44E5"/>
    <w:rsid w:val="00AD6225"/>
    <w:rsid w:val="00AD6AF9"/>
    <w:rsid w:val="00AD71A3"/>
    <w:rsid w:val="00AE11AC"/>
    <w:rsid w:val="00AE6C13"/>
    <w:rsid w:val="00AE7031"/>
    <w:rsid w:val="00AF0C98"/>
    <w:rsid w:val="00AF1A52"/>
    <w:rsid w:val="00AF1E3C"/>
    <w:rsid w:val="00AF2368"/>
    <w:rsid w:val="00AF58F8"/>
    <w:rsid w:val="00B00C24"/>
    <w:rsid w:val="00B0365B"/>
    <w:rsid w:val="00B07439"/>
    <w:rsid w:val="00B11E23"/>
    <w:rsid w:val="00B12018"/>
    <w:rsid w:val="00B122CB"/>
    <w:rsid w:val="00B205B5"/>
    <w:rsid w:val="00B21B46"/>
    <w:rsid w:val="00B341A9"/>
    <w:rsid w:val="00B34AE0"/>
    <w:rsid w:val="00B35EA6"/>
    <w:rsid w:val="00B360C9"/>
    <w:rsid w:val="00B464BE"/>
    <w:rsid w:val="00B475D3"/>
    <w:rsid w:val="00B47DDE"/>
    <w:rsid w:val="00B51751"/>
    <w:rsid w:val="00B5670F"/>
    <w:rsid w:val="00B567AA"/>
    <w:rsid w:val="00B6188E"/>
    <w:rsid w:val="00B64ACF"/>
    <w:rsid w:val="00B67A7C"/>
    <w:rsid w:val="00B70C8C"/>
    <w:rsid w:val="00B714A0"/>
    <w:rsid w:val="00B7219D"/>
    <w:rsid w:val="00B73609"/>
    <w:rsid w:val="00B7567F"/>
    <w:rsid w:val="00B81455"/>
    <w:rsid w:val="00B81B44"/>
    <w:rsid w:val="00B8516F"/>
    <w:rsid w:val="00B87F9F"/>
    <w:rsid w:val="00B937AB"/>
    <w:rsid w:val="00B94DB6"/>
    <w:rsid w:val="00B95B64"/>
    <w:rsid w:val="00B9794E"/>
    <w:rsid w:val="00BA4D46"/>
    <w:rsid w:val="00BB2728"/>
    <w:rsid w:val="00BB5BEE"/>
    <w:rsid w:val="00BB7AF1"/>
    <w:rsid w:val="00BC047A"/>
    <w:rsid w:val="00BC25FA"/>
    <w:rsid w:val="00BC30A3"/>
    <w:rsid w:val="00BC5CEE"/>
    <w:rsid w:val="00BD6CD6"/>
    <w:rsid w:val="00BE172A"/>
    <w:rsid w:val="00BE2599"/>
    <w:rsid w:val="00BF06AE"/>
    <w:rsid w:val="00BF1124"/>
    <w:rsid w:val="00C002FA"/>
    <w:rsid w:val="00C13D84"/>
    <w:rsid w:val="00C14B2D"/>
    <w:rsid w:val="00C15A82"/>
    <w:rsid w:val="00C22650"/>
    <w:rsid w:val="00C2379C"/>
    <w:rsid w:val="00C23C07"/>
    <w:rsid w:val="00C24531"/>
    <w:rsid w:val="00C2474C"/>
    <w:rsid w:val="00C25C2C"/>
    <w:rsid w:val="00C310B5"/>
    <w:rsid w:val="00C31236"/>
    <w:rsid w:val="00C315F2"/>
    <w:rsid w:val="00C32505"/>
    <w:rsid w:val="00C37DE9"/>
    <w:rsid w:val="00C401BA"/>
    <w:rsid w:val="00C4158A"/>
    <w:rsid w:val="00C44416"/>
    <w:rsid w:val="00C4692D"/>
    <w:rsid w:val="00C51415"/>
    <w:rsid w:val="00C54CE2"/>
    <w:rsid w:val="00C60CB2"/>
    <w:rsid w:val="00C6362B"/>
    <w:rsid w:val="00C64550"/>
    <w:rsid w:val="00C703A0"/>
    <w:rsid w:val="00C83F63"/>
    <w:rsid w:val="00C83FE0"/>
    <w:rsid w:val="00C85133"/>
    <w:rsid w:val="00C855C0"/>
    <w:rsid w:val="00C9027E"/>
    <w:rsid w:val="00C93AC6"/>
    <w:rsid w:val="00C96F4F"/>
    <w:rsid w:val="00CA0A40"/>
    <w:rsid w:val="00CA3792"/>
    <w:rsid w:val="00CA3920"/>
    <w:rsid w:val="00CA4A7E"/>
    <w:rsid w:val="00CB1802"/>
    <w:rsid w:val="00CC0D66"/>
    <w:rsid w:val="00CC3773"/>
    <w:rsid w:val="00CC4A9A"/>
    <w:rsid w:val="00CC52CB"/>
    <w:rsid w:val="00CC70B2"/>
    <w:rsid w:val="00CC71A3"/>
    <w:rsid w:val="00CD6A67"/>
    <w:rsid w:val="00CD6BE3"/>
    <w:rsid w:val="00CE19D2"/>
    <w:rsid w:val="00CE2AF5"/>
    <w:rsid w:val="00CE32AA"/>
    <w:rsid w:val="00CE51FF"/>
    <w:rsid w:val="00CE5A65"/>
    <w:rsid w:val="00CE5F38"/>
    <w:rsid w:val="00CE608D"/>
    <w:rsid w:val="00CE7150"/>
    <w:rsid w:val="00CF276E"/>
    <w:rsid w:val="00CF2877"/>
    <w:rsid w:val="00CF3167"/>
    <w:rsid w:val="00CF4532"/>
    <w:rsid w:val="00CF45A4"/>
    <w:rsid w:val="00D00D94"/>
    <w:rsid w:val="00D04CBF"/>
    <w:rsid w:val="00D06249"/>
    <w:rsid w:val="00D0770A"/>
    <w:rsid w:val="00D101C7"/>
    <w:rsid w:val="00D15E4C"/>
    <w:rsid w:val="00D22123"/>
    <w:rsid w:val="00D2467A"/>
    <w:rsid w:val="00D309DF"/>
    <w:rsid w:val="00D31E1B"/>
    <w:rsid w:val="00D33AC3"/>
    <w:rsid w:val="00D35E9F"/>
    <w:rsid w:val="00D407E1"/>
    <w:rsid w:val="00D51784"/>
    <w:rsid w:val="00D62E0A"/>
    <w:rsid w:val="00D67373"/>
    <w:rsid w:val="00D6797B"/>
    <w:rsid w:val="00D7169D"/>
    <w:rsid w:val="00D773FA"/>
    <w:rsid w:val="00D80445"/>
    <w:rsid w:val="00D8362D"/>
    <w:rsid w:val="00D85988"/>
    <w:rsid w:val="00D867ED"/>
    <w:rsid w:val="00D90679"/>
    <w:rsid w:val="00D928CE"/>
    <w:rsid w:val="00DA6A1F"/>
    <w:rsid w:val="00DB035A"/>
    <w:rsid w:val="00DB5F2C"/>
    <w:rsid w:val="00DC3B95"/>
    <w:rsid w:val="00DC3FE7"/>
    <w:rsid w:val="00DD195B"/>
    <w:rsid w:val="00DD5104"/>
    <w:rsid w:val="00DD6D79"/>
    <w:rsid w:val="00DE0BC1"/>
    <w:rsid w:val="00DE1D10"/>
    <w:rsid w:val="00DE7B06"/>
    <w:rsid w:val="00DE7BA5"/>
    <w:rsid w:val="00DF102E"/>
    <w:rsid w:val="00DF1288"/>
    <w:rsid w:val="00DF20B4"/>
    <w:rsid w:val="00DF6913"/>
    <w:rsid w:val="00DF6E7A"/>
    <w:rsid w:val="00DF714E"/>
    <w:rsid w:val="00E107BB"/>
    <w:rsid w:val="00E17432"/>
    <w:rsid w:val="00E213BF"/>
    <w:rsid w:val="00E21E01"/>
    <w:rsid w:val="00E22401"/>
    <w:rsid w:val="00E25CDB"/>
    <w:rsid w:val="00E27B0B"/>
    <w:rsid w:val="00E3062B"/>
    <w:rsid w:val="00E31A1A"/>
    <w:rsid w:val="00E377D2"/>
    <w:rsid w:val="00E37FE6"/>
    <w:rsid w:val="00E41204"/>
    <w:rsid w:val="00E413D6"/>
    <w:rsid w:val="00E42438"/>
    <w:rsid w:val="00E43D7A"/>
    <w:rsid w:val="00E43E6C"/>
    <w:rsid w:val="00E44657"/>
    <w:rsid w:val="00E452EA"/>
    <w:rsid w:val="00E466FF"/>
    <w:rsid w:val="00E52515"/>
    <w:rsid w:val="00E53EB0"/>
    <w:rsid w:val="00E634AC"/>
    <w:rsid w:val="00E64636"/>
    <w:rsid w:val="00E6584B"/>
    <w:rsid w:val="00E7074E"/>
    <w:rsid w:val="00E71F0A"/>
    <w:rsid w:val="00E72D2C"/>
    <w:rsid w:val="00E73FCF"/>
    <w:rsid w:val="00E74C1E"/>
    <w:rsid w:val="00E754AB"/>
    <w:rsid w:val="00E75844"/>
    <w:rsid w:val="00E856BE"/>
    <w:rsid w:val="00E85A0E"/>
    <w:rsid w:val="00E8630F"/>
    <w:rsid w:val="00E93CFB"/>
    <w:rsid w:val="00E95269"/>
    <w:rsid w:val="00E97A57"/>
    <w:rsid w:val="00E97D53"/>
    <w:rsid w:val="00EA5C70"/>
    <w:rsid w:val="00EB1976"/>
    <w:rsid w:val="00EB2167"/>
    <w:rsid w:val="00EB3969"/>
    <w:rsid w:val="00EB42F4"/>
    <w:rsid w:val="00EB4851"/>
    <w:rsid w:val="00EC1EF3"/>
    <w:rsid w:val="00EC634E"/>
    <w:rsid w:val="00EC7A81"/>
    <w:rsid w:val="00EE1966"/>
    <w:rsid w:val="00EE1F43"/>
    <w:rsid w:val="00EE34AF"/>
    <w:rsid w:val="00EE3B15"/>
    <w:rsid w:val="00EE6047"/>
    <w:rsid w:val="00EF15DF"/>
    <w:rsid w:val="00EF1C9C"/>
    <w:rsid w:val="00EF3C52"/>
    <w:rsid w:val="00EF5EB1"/>
    <w:rsid w:val="00EF6808"/>
    <w:rsid w:val="00EF6CCF"/>
    <w:rsid w:val="00F03C26"/>
    <w:rsid w:val="00F058A5"/>
    <w:rsid w:val="00F061F8"/>
    <w:rsid w:val="00F11665"/>
    <w:rsid w:val="00F119F2"/>
    <w:rsid w:val="00F147C5"/>
    <w:rsid w:val="00F17A85"/>
    <w:rsid w:val="00F20B26"/>
    <w:rsid w:val="00F20C23"/>
    <w:rsid w:val="00F21617"/>
    <w:rsid w:val="00F220B7"/>
    <w:rsid w:val="00F3332E"/>
    <w:rsid w:val="00F341DB"/>
    <w:rsid w:val="00F37C44"/>
    <w:rsid w:val="00F439FE"/>
    <w:rsid w:val="00F44F74"/>
    <w:rsid w:val="00F57FEE"/>
    <w:rsid w:val="00F720D5"/>
    <w:rsid w:val="00F72E1E"/>
    <w:rsid w:val="00F746B5"/>
    <w:rsid w:val="00F756D8"/>
    <w:rsid w:val="00F80EDD"/>
    <w:rsid w:val="00F80F7A"/>
    <w:rsid w:val="00F839AE"/>
    <w:rsid w:val="00F84493"/>
    <w:rsid w:val="00F8590E"/>
    <w:rsid w:val="00F879A2"/>
    <w:rsid w:val="00F93FDD"/>
    <w:rsid w:val="00FA43F4"/>
    <w:rsid w:val="00FA775F"/>
    <w:rsid w:val="00FB0CBC"/>
    <w:rsid w:val="00FB3A31"/>
    <w:rsid w:val="00FB4273"/>
    <w:rsid w:val="00FB6074"/>
    <w:rsid w:val="00FC17DA"/>
    <w:rsid w:val="00FC2E4A"/>
    <w:rsid w:val="00FD0A61"/>
    <w:rsid w:val="00FE0AD1"/>
    <w:rsid w:val="00FE21BC"/>
    <w:rsid w:val="00FE25BF"/>
    <w:rsid w:val="00FE70D3"/>
    <w:rsid w:val="00FF1F3B"/>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72606"/>
  <w15:chartTrackingRefBased/>
  <w15:docId w15:val="{732B0D95-915E-42D0-884E-F2B6339E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0B4"/>
    <w:pPr>
      <w:widowControl w:val="0"/>
      <w:autoSpaceDE w:val="0"/>
      <w:autoSpaceDN w:val="0"/>
      <w:adjustRightInd w:val="0"/>
    </w:pPr>
    <w:rPr>
      <w:szCs w:val="24"/>
    </w:rPr>
  </w:style>
  <w:style w:type="paragraph" w:styleId="Heading1">
    <w:name w:val="heading 1"/>
    <w:basedOn w:val="Normal"/>
    <w:next w:val="Normal"/>
    <w:qFormat/>
    <w:rsid w:val="00DF20B4"/>
    <w:pPr>
      <w:keepNext/>
      <w:jc w:val="center"/>
      <w:outlineLvl w:val="0"/>
    </w:pPr>
    <w:rPr>
      <w:sz w:val="24"/>
    </w:rPr>
  </w:style>
  <w:style w:type="paragraph" w:styleId="Heading2">
    <w:name w:val="heading 2"/>
    <w:basedOn w:val="Normal"/>
    <w:next w:val="Normal"/>
    <w:qFormat/>
    <w:rsid w:val="00DF20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DF20B4"/>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F20B4"/>
  </w:style>
  <w:style w:type="paragraph" w:styleId="BodyText">
    <w:name w:val="Body Text"/>
    <w:basedOn w:val="Normal"/>
    <w:link w:val="BodyTextChar"/>
    <w:rsid w:val="00DF20B4"/>
    <w:rPr>
      <w:rFonts w:ascii="Courier" w:hAnsi="Courier"/>
      <w:sz w:val="24"/>
    </w:rPr>
  </w:style>
  <w:style w:type="paragraph" w:styleId="Header">
    <w:name w:val="header"/>
    <w:basedOn w:val="Normal"/>
    <w:link w:val="HeaderChar"/>
    <w:uiPriority w:val="99"/>
    <w:rsid w:val="00DF20B4"/>
    <w:pPr>
      <w:tabs>
        <w:tab w:val="center" w:pos="4320"/>
        <w:tab w:val="right" w:pos="8640"/>
      </w:tabs>
    </w:pPr>
  </w:style>
  <w:style w:type="paragraph" w:styleId="Footer">
    <w:name w:val="footer"/>
    <w:basedOn w:val="Normal"/>
    <w:rsid w:val="00DF20B4"/>
    <w:pPr>
      <w:tabs>
        <w:tab w:val="center" w:pos="4320"/>
        <w:tab w:val="right" w:pos="8640"/>
      </w:tabs>
    </w:pPr>
  </w:style>
  <w:style w:type="character" w:styleId="PageNumber">
    <w:name w:val="page number"/>
    <w:basedOn w:val="DefaultParagraphFont"/>
    <w:rsid w:val="00DF20B4"/>
  </w:style>
  <w:style w:type="paragraph" w:styleId="BodyText2">
    <w:name w:val="Body Text 2"/>
    <w:basedOn w:val="Normal"/>
    <w:rsid w:val="00DF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rsid w:val="00495FFE"/>
    <w:rPr>
      <w:sz w:val="16"/>
      <w:szCs w:val="16"/>
    </w:rPr>
  </w:style>
  <w:style w:type="paragraph" w:styleId="CommentText">
    <w:name w:val="annotation text"/>
    <w:basedOn w:val="Normal"/>
    <w:link w:val="CommentTextChar"/>
    <w:rsid w:val="00495FFE"/>
    <w:rPr>
      <w:szCs w:val="20"/>
    </w:rPr>
  </w:style>
  <w:style w:type="character" w:customStyle="1" w:styleId="CommentTextChar">
    <w:name w:val="Comment Text Char"/>
    <w:basedOn w:val="DefaultParagraphFont"/>
    <w:link w:val="CommentText"/>
    <w:rsid w:val="00495FFE"/>
  </w:style>
  <w:style w:type="paragraph" w:styleId="CommentSubject">
    <w:name w:val="annotation subject"/>
    <w:basedOn w:val="CommentText"/>
    <w:next w:val="CommentText"/>
    <w:link w:val="CommentSubjectChar"/>
    <w:rsid w:val="00495FFE"/>
    <w:rPr>
      <w:b/>
      <w:bCs/>
    </w:rPr>
  </w:style>
  <w:style w:type="character" w:customStyle="1" w:styleId="CommentSubjectChar">
    <w:name w:val="Comment Subject Char"/>
    <w:basedOn w:val="CommentTextChar"/>
    <w:link w:val="CommentSubject"/>
    <w:rsid w:val="00495FFE"/>
    <w:rPr>
      <w:b/>
      <w:bCs/>
    </w:rPr>
  </w:style>
  <w:style w:type="character" w:customStyle="1" w:styleId="BodyTextChar">
    <w:name w:val="Body Text Char"/>
    <w:basedOn w:val="DefaultParagraphFont"/>
    <w:link w:val="BodyText"/>
    <w:rsid w:val="008A4A33"/>
    <w:rPr>
      <w:rFonts w:ascii="Courier" w:hAnsi="Courier"/>
      <w:sz w:val="24"/>
      <w:szCs w:val="24"/>
    </w:rPr>
  </w:style>
  <w:style w:type="paragraph" w:styleId="ListParagraph">
    <w:name w:val="List Paragraph"/>
    <w:basedOn w:val="Normal"/>
    <w:uiPriority w:val="34"/>
    <w:qFormat/>
    <w:rsid w:val="007D177A"/>
    <w:pPr>
      <w:widowControl/>
      <w:autoSpaceDE/>
      <w:autoSpaceDN/>
      <w:adjustRightInd/>
      <w:ind w:left="720"/>
    </w:pPr>
    <w:rPr>
      <w:rFonts w:ascii="Calibri" w:eastAsia="Calibri" w:hAnsi="Calibri"/>
      <w:sz w:val="22"/>
      <w:szCs w:val="22"/>
    </w:rPr>
  </w:style>
  <w:style w:type="character" w:styleId="Hyperlink">
    <w:name w:val="Hyperlink"/>
    <w:basedOn w:val="DefaultParagraphFont"/>
    <w:rsid w:val="007D177A"/>
    <w:rPr>
      <w:color w:val="0000FF"/>
      <w:u w:val="single"/>
    </w:rPr>
  </w:style>
  <w:style w:type="paragraph" w:styleId="Revision">
    <w:name w:val="Revision"/>
    <w:hidden/>
    <w:uiPriority w:val="99"/>
    <w:semiHidden/>
    <w:rsid w:val="00DF1288"/>
    <w:rPr>
      <w:szCs w:val="24"/>
    </w:rPr>
  </w:style>
  <w:style w:type="paragraph" w:customStyle="1" w:styleId="Default">
    <w:name w:val="Default"/>
    <w:rsid w:val="001B1901"/>
    <w:pPr>
      <w:autoSpaceDE w:val="0"/>
      <w:autoSpaceDN w:val="0"/>
      <w:adjustRightInd w:val="0"/>
    </w:pPr>
    <w:rPr>
      <w:color w:val="000000"/>
      <w:sz w:val="24"/>
      <w:szCs w:val="24"/>
    </w:rPr>
  </w:style>
  <w:style w:type="paragraph" w:customStyle="1" w:styleId="EmptyLayoutCell">
    <w:name w:val="EmptyLayoutCell"/>
    <w:basedOn w:val="Normal"/>
    <w:rsid w:val="00854CD8"/>
    <w:pPr>
      <w:widowControl/>
      <w:autoSpaceDE/>
      <w:autoSpaceDN/>
      <w:adjustRightInd/>
    </w:pPr>
    <w:rPr>
      <w:sz w:val="2"/>
      <w:szCs w:val="20"/>
    </w:rPr>
  </w:style>
  <w:style w:type="character" w:customStyle="1" w:styleId="HeaderChar">
    <w:name w:val="Header Char"/>
    <w:basedOn w:val="DefaultParagraphFont"/>
    <w:link w:val="Header"/>
    <w:uiPriority w:val="99"/>
    <w:rsid w:val="006A5DC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13913">
      <w:bodyDiv w:val="1"/>
      <w:marLeft w:val="0"/>
      <w:marRight w:val="0"/>
      <w:marTop w:val="0"/>
      <w:marBottom w:val="0"/>
      <w:divBdr>
        <w:top w:val="none" w:sz="0" w:space="0" w:color="auto"/>
        <w:left w:val="none" w:sz="0" w:space="0" w:color="auto"/>
        <w:bottom w:val="none" w:sz="0" w:space="0" w:color="auto"/>
        <w:right w:val="none" w:sz="0" w:space="0" w:color="auto"/>
      </w:divBdr>
    </w:div>
    <w:div w:id="728040208">
      <w:bodyDiv w:val="1"/>
      <w:marLeft w:val="0"/>
      <w:marRight w:val="0"/>
      <w:marTop w:val="0"/>
      <w:marBottom w:val="0"/>
      <w:divBdr>
        <w:top w:val="none" w:sz="0" w:space="0" w:color="auto"/>
        <w:left w:val="none" w:sz="0" w:space="0" w:color="auto"/>
        <w:bottom w:val="none" w:sz="0" w:space="0" w:color="auto"/>
        <w:right w:val="none" w:sz="0" w:space="0" w:color="auto"/>
      </w:divBdr>
    </w:div>
    <w:div w:id="973950589">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Foot_(unit)"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n.wikipedia.org/wiki/Ac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2017-03-31T07:00:00+00:00</OpenedDate>
    <Date1 xmlns="dc463f71-b30c-4ab2-9473-d307f9d35888">2017-05-11T07:00:00+00:00</Date1>
    <IsDocumentOrder xmlns="dc463f71-b30c-4ab2-9473-d307f9d35888" xsi:nil="true"/>
    <IsHighlyConfidential xmlns="dc463f71-b30c-4ab2-9473-d307f9d35888">false</IsHighlyConfidential>
    <CaseCompanyNames xmlns="dc463f71-b30c-4ab2-9473-d307f9d35888">H &amp; R Waterworks, Inc.</CaseCompanyNames>
    <Nickname xmlns="http://schemas.microsoft.com/sharepoint/v3" xsi:nil="true"/>
    <DocketNumber xmlns="dc463f71-b30c-4ab2-9473-d307f9d35888">170216</DocketNumber>
    <DelegatedOrder xmlns="dc463f71-b30c-4ab2-9473-d307f9d35888">false</DelegatedOrder>
    <SignificantOrder xmlns="dc463f71-b30c-4ab2-9473-d307f9d35888">false</SignificantOrd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8BA27E868A7C448CE7FA6509BD1AAC" ma:contentTypeVersion="104" ma:contentTypeDescription="" ma:contentTypeScope="" ma:versionID="6332ab02fecc6f72b0cc4daa4fec21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52A93-A4BE-476B-AEF5-B096797C720E}"/>
</file>

<file path=customXml/itemProps2.xml><?xml version="1.0" encoding="utf-8"?>
<ds:datastoreItem xmlns:ds="http://schemas.openxmlformats.org/officeDocument/2006/customXml" ds:itemID="{94324212-F100-48FE-9B73-6CBC9DE7F954}">
  <ds:schemaRefs>
    <ds:schemaRef ds:uri="http://schemas.microsoft.com/sharepoint/v3/contenttype/forms"/>
  </ds:schemaRefs>
</ds:datastoreItem>
</file>

<file path=customXml/itemProps3.xml><?xml version="1.0" encoding="utf-8"?>
<ds:datastoreItem xmlns:ds="http://schemas.openxmlformats.org/officeDocument/2006/customXml" ds:itemID="{1ECCB029-E694-4A87-A978-2C1B98A5057F}">
  <ds:schemaRefs>
    <ds:schemaRef ds:uri="http://schemas.microsoft.com/office/2006/metadata/properties"/>
    <ds:schemaRef ds:uri="http://schemas.microsoft.com/office/infopath/2007/PartnerControls"/>
    <ds:schemaRef ds:uri="751276d0-61bc-4dad-b75c-21dfd12630ad"/>
    <ds:schemaRef ds:uri="2485D0B2-3503-4CE5-9984-88C41D0397FF"/>
  </ds:schemaRefs>
</ds:datastoreItem>
</file>

<file path=customXml/itemProps4.xml><?xml version="1.0" encoding="utf-8"?>
<ds:datastoreItem xmlns:ds="http://schemas.openxmlformats.org/officeDocument/2006/customXml" ds:itemID="{237128E1-E4A1-4C0D-87F5-D46048726C7D}">
  <ds:schemaRefs>
    <ds:schemaRef ds:uri="http://schemas.microsoft.com/office/2006/metadata/longProperties"/>
  </ds:schemaRefs>
</ds:datastoreItem>
</file>

<file path=customXml/itemProps5.xml><?xml version="1.0" encoding="utf-8"?>
<ds:datastoreItem xmlns:ds="http://schemas.openxmlformats.org/officeDocument/2006/customXml" ds:itemID="{C1A8BCC7-7A2A-43FD-88E2-72E40C64D2B0}">
  <ds:schemaRefs>
    <ds:schemaRef ds:uri="http://schemas.openxmlformats.org/officeDocument/2006/bibliography"/>
  </ds:schemaRefs>
</ds:datastoreItem>
</file>

<file path=customXml/itemProps6.xml><?xml version="1.0" encoding="utf-8"?>
<ds:datastoreItem xmlns:ds="http://schemas.openxmlformats.org/officeDocument/2006/customXml" ds:itemID="{5DB1A6EB-6CE6-45C0-ADF8-A11006916ADF}"/>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H&amp;R Waterworks</vt:lpstr>
    </vt:vector>
  </TitlesOfParts>
  <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H&amp;R Waterworks</dc:title>
  <dc:subject/>
  <dc:creator>geckhard</dc:creator>
  <cp:keywords/>
  <dc:description/>
  <cp:lastModifiedBy>Wyse, Lisa (UTC)</cp:lastModifiedBy>
  <cp:revision>2</cp:revision>
  <cp:lastPrinted>2016-04-20T18:48:00Z</cp:lastPrinted>
  <dcterms:created xsi:type="dcterms:W3CDTF">2017-05-09T17:17:00Z</dcterms:created>
  <dcterms:modified xsi:type="dcterms:W3CDTF">2017-05-09T17:17:00Z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0x0101006E56B4D1795A2E4DB2F0B01679ED314A00FC8BA27E868A7C448CE7FA6509BD1AAC</vt:lpwstr>
  </property>
  <property fmtid="{D5CDD505-2E9C-101B-9397-08002B2CF9AE}" pid="3" name="Document Type">
    <vt:lpwstr>Memo</vt:lpwstr>
  </property>
  <property fmtid="{D5CDD505-2E9C-101B-9397-08002B2CF9AE}" pid="4" name="Status">
    <vt:lpwstr>Final</vt:lpwstr>
  </property>
  <property fmtid="{D5CDD505-2E9C-101B-9397-08002B2CF9AE}" pid="5" name="Item ID">
    <vt:lpwstr>57</vt:lpwstr>
  </property>
  <property fmtid="{D5CDD505-2E9C-101B-9397-08002B2CF9AE}" pid="6" name="ContentType">
    <vt:lpwstr>Document</vt:lpwstr>
  </property>
  <property fmtid="{D5CDD505-2E9C-101B-9397-08002B2CF9AE}" pid="7" name="_docset_NoMedatataSyncRequired">
    <vt:lpwstr>False</vt:lpwstr>
  </property>
  <property fmtid="{D5CDD505-2E9C-101B-9397-08002B2CF9AE}" pid="8" name="IsEFSEC">
    <vt:bool>false</vt:bool>
  </property>
</Properties>
</file>