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D1982" w14:textId="77777777" w:rsidR="00770117" w:rsidRDefault="00770117" w:rsidP="00D8495A">
      <w:pPr>
        <w:pStyle w:val="BodyText"/>
        <w:rPr>
          <w:rFonts w:ascii="Times New Roman" w:hAnsi="Times New Roman" w:cs="Times New Roman"/>
          <w:b/>
          <w:bCs/>
        </w:rPr>
      </w:pPr>
    </w:p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Pr="00D2094F" w:rsidRDefault="00D8495A" w:rsidP="00D8495A"/>
    <w:tbl>
      <w:tblPr>
        <w:tblW w:w="9402" w:type="dxa"/>
        <w:tblInd w:w="-98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230"/>
        <w:gridCol w:w="5172"/>
      </w:tblGrid>
      <w:tr w:rsidR="00D8495A" w:rsidRPr="00D2094F" w14:paraId="2875AD0B" w14:textId="77777777" w:rsidTr="00770117">
        <w:tc>
          <w:tcPr>
            <w:tcW w:w="423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938AD2D" w:rsidR="00D06108" w:rsidRPr="00401D3C" w:rsidRDefault="005C63AC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NICHOLAS PAPADIMAS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5E642F9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5C63AC">
              <w:rPr>
                <w:bCs/>
              </w:rPr>
              <w:t>200</w:t>
            </w:r>
          </w:p>
        </w:tc>
        <w:tc>
          <w:tcPr>
            <w:tcW w:w="517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EEAC12D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63AC">
              <w:t>TE-160723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bookmarkStart w:id="0" w:name="_GoBack"/>
            <w:bookmarkEnd w:id="0"/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1FF1282D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5C63AC">
              <w:t>GRANTING MITIGATION TO $50</w:t>
            </w:r>
          </w:p>
        </w:tc>
      </w:tr>
    </w:tbl>
    <w:p w14:paraId="2875AD0C" w14:textId="744351AB" w:rsidR="00D8495A" w:rsidRPr="00D2094F" w:rsidRDefault="00D8495A" w:rsidP="00770117">
      <w:pPr>
        <w:tabs>
          <w:tab w:val="left" w:pos="6111"/>
        </w:tabs>
        <w:spacing w:line="264" w:lineRule="auto"/>
      </w:pPr>
    </w:p>
    <w:p w14:paraId="25F83091" w14:textId="77777777" w:rsidR="00D06108" w:rsidRPr="00401D3C" w:rsidRDefault="00D06108" w:rsidP="00770117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620982B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0386EDE6" w:rsidR="00D06108" w:rsidRPr="00401D3C" w:rsidRDefault="005C63AC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Nicholas Papadimas </w:t>
      </w:r>
      <w:r w:rsidR="0067685E">
        <w:rPr>
          <w:bCs/>
        </w:rPr>
        <w:t>(</w:t>
      </w:r>
      <w:r w:rsidR="00D06108">
        <w:rPr>
          <w:bCs/>
        </w:rPr>
        <w:t xml:space="preserve">Company) </w:t>
      </w:r>
      <w:r>
        <w:rPr>
          <w:bCs/>
        </w:rPr>
        <w:t>filed an incomplete report on March 25</w:t>
      </w:r>
      <w:r w:rsidR="00D06108">
        <w:rPr>
          <w:bCs/>
        </w:rPr>
        <w:t xml:space="preserve">, 2016, and </w:t>
      </w:r>
      <w:r>
        <w:rPr>
          <w:bCs/>
        </w:rPr>
        <w:t xml:space="preserve">did not make a complete filing until </w:t>
      </w:r>
      <w:r w:rsidR="00D06108">
        <w:rPr>
          <w:bCs/>
        </w:rPr>
        <w:t xml:space="preserve">May </w:t>
      </w:r>
      <w:r>
        <w:rPr>
          <w:bCs/>
        </w:rPr>
        <w:t>4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2</w:t>
      </w:r>
      <w:r w:rsidR="00D06108" w:rsidRPr="00401D3C">
        <w:rPr>
          <w:bCs/>
        </w:rPr>
        <w:t>, the Commission assessed a penalty of $</w:t>
      </w:r>
      <w:r>
        <w:rPr>
          <w:bCs/>
        </w:rPr>
        <w:t xml:space="preserve">200 </w:t>
      </w:r>
      <w:r w:rsidR="00D06108" w:rsidRPr="00401D3C">
        <w:rPr>
          <w:bCs/>
        </w:rPr>
        <w:t xml:space="preserve">against </w:t>
      </w:r>
      <w:r>
        <w:rPr>
          <w:bCs/>
        </w:rPr>
        <w:t>Nicholas Papadimas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>
        <w:rPr>
          <w:rStyle w:val="CommentReference"/>
          <w:sz w:val="24"/>
          <w:szCs w:val="24"/>
        </w:rPr>
        <w:t xml:space="preserve"> to May 4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08424DE0" w14:textId="20BBD529" w:rsidR="00E6794F" w:rsidRDefault="00D06108" w:rsidP="007C6FDD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5C63AC">
        <w:t>August 1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5C63AC" w:rsidRPr="005C63AC">
        <w:rPr>
          <w:bCs/>
        </w:rPr>
        <w:t xml:space="preserve">Nicholas Papadimas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5C63AC">
        <w:t xml:space="preserve">The Company explained that it mailed its annual report on March 20, 2016, shortly before the owner – who is a sole </w:t>
      </w:r>
      <w:r w:rsidR="001E26E3">
        <w:t>proprietor</w:t>
      </w:r>
      <w:r w:rsidR="005C63AC">
        <w:t xml:space="preserve"> – left the country. When the owner returned, he received notice that the report was incomplete and promptly provided the missing information. </w:t>
      </w:r>
    </w:p>
    <w:p w14:paraId="60ED5B3C" w14:textId="77777777" w:rsidR="00770117" w:rsidRDefault="00770117" w:rsidP="00770117">
      <w:pPr>
        <w:tabs>
          <w:tab w:val="left" w:pos="0"/>
        </w:tabs>
        <w:spacing w:line="288" w:lineRule="auto"/>
      </w:pPr>
    </w:p>
    <w:p w14:paraId="4F3B61C5" w14:textId="30AD69C8" w:rsidR="0067685E" w:rsidRDefault="005C1DD7" w:rsidP="007701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</w:t>
      </w:r>
      <w:r w:rsidR="005C63AC">
        <w:t xml:space="preserve">n August 4, </w:t>
      </w:r>
      <w:r w:rsidR="00D06108">
        <w:t>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5C63AC">
        <w:t>25 per day, or $</w:t>
      </w:r>
      <w:r w:rsidR="00D06108">
        <w:t>50,</w:t>
      </w:r>
      <w:r w:rsidR="00D06108" w:rsidRPr="00401D3C">
        <w:t xml:space="preserve"> because the C</w:t>
      </w:r>
      <w:r w:rsidR="00D06108">
        <w:t xml:space="preserve">ompany </w:t>
      </w:r>
      <w:r w:rsidR="005C63AC">
        <w:t xml:space="preserve">filed its annual report prior to receiving the penalty assessment and </w:t>
      </w:r>
      <w:r w:rsidR="00D06108">
        <w:t xml:space="preserve">has </w:t>
      </w:r>
      <w:r w:rsidR="00D06108" w:rsidRPr="00401D3C">
        <w:t xml:space="preserve">no prior violations of </w:t>
      </w:r>
      <w:r w:rsidR="0067685E">
        <w:t>WAC 480-30-071.</w:t>
      </w:r>
      <w:r w:rsidR="009B4B34">
        <w:t xml:space="preserve"> </w:t>
      </w:r>
    </w:p>
    <w:p w14:paraId="0D545D6F" w14:textId="08E9A498" w:rsidR="00D06108" w:rsidRDefault="00D06108" w:rsidP="00770117">
      <w:pPr>
        <w:keepNext/>
        <w:tabs>
          <w:tab w:val="left" w:pos="720"/>
        </w:tabs>
        <w:spacing w:after="240"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789124B7" w14:textId="32C6069D" w:rsidR="00D06108" w:rsidRDefault="00E6794F" w:rsidP="00770117">
      <w:pPr>
        <w:keepLines/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</w:t>
      </w:r>
      <w:proofErr w:type="gramStart"/>
      <w:r w:rsidRPr="00A665DD">
        <w:t>of</w:t>
      </w:r>
      <w:proofErr w:type="gramEnd"/>
      <w:r w:rsidRPr="00A665DD">
        <w:t xml:space="preserve">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 w:rsidR="005C63AC">
        <w:t>ensured it</w:t>
      </w:r>
      <w:r>
        <w:t xml:space="preserve"> filed</w:t>
      </w:r>
      <w:r w:rsidR="005C63AC">
        <w:t xml:space="preserve"> a complete report prior to the deadline</w:t>
      </w:r>
      <w:r w:rsidR="00770117">
        <w:t>.</w:t>
      </w:r>
    </w:p>
    <w:p w14:paraId="733A85ED" w14:textId="6D1A48AD" w:rsidR="00D06108" w:rsidRPr="00725A2B" w:rsidRDefault="00D06108" w:rsidP="00770117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5C63AC">
        <w:rPr>
          <w:bCs/>
        </w:rPr>
        <w:t>Nicholas Papadimas</w:t>
      </w:r>
      <w:r>
        <w:t xml:space="preserve">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5C63AC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</w:t>
      </w:r>
      <w:r w:rsidR="005C63AC">
        <w:rPr>
          <w:bCs/>
        </w:rPr>
        <w:t>ince it became regulated in 2013</w:t>
      </w:r>
      <w:r w:rsidR="007177AB" w:rsidRPr="00A665DD">
        <w:t xml:space="preserve">. </w:t>
      </w:r>
      <w:r w:rsidR="007177AB">
        <w:t>Although the Company has a relatively brief history of compliance, we have routine</w:t>
      </w:r>
      <w:r w:rsidR="00F165AE">
        <w:t>ly granted mitigation for first-</w:t>
      </w:r>
      <w:r w:rsidR="007177AB">
        <w:t xml:space="preserve">time violations. </w:t>
      </w:r>
      <w:r w:rsidR="007177AB" w:rsidRPr="00A665DD">
        <w:t>In light of these factors, the Commission will exercise its discre</w:t>
      </w:r>
      <w:r w:rsidR="005C63AC">
        <w:t>tion to reduce the penalty to $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770117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57D74934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5C63AC">
        <w:rPr>
          <w:bCs/>
        </w:rPr>
        <w:t>Nicholas Papadimas’</w:t>
      </w:r>
      <w:r w:rsidR="001E26E3">
        <w:rPr>
          <w:bCs/>
        </w:rPr>
        <w:t>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 w:rsidR="005C63AC">
        <w:t>200</w:t>
      </w:r>
      <w:r w:rsidRPr="00401D3C">
        <w:t xml:space="preserve"> penalty is GRANTED in part, and the penalty is reduced to $</w:t>
      </w:r>
      <w:r>
        <w:t>50</w:t>
      </w:r>
      <w:r w:rsidR="00770117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7FEBC312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 w:rsidR="004F5248">
        <w:t>$50</w:t>
      </w:r>
      <w:r>
        <w:t xml:space="preserve"> </w:t>
      </w:r>
      <w:r w:rsidRPr="00401D3C">
        <w:t xml:space="preserve">penalty is due and payable no later than </w:t>
      </w:r>
      <w:r w:rsidR="009B4B34">
        <w:t>August 2</w:t>
      </w:r>
      <w:r w:rsidR="005C63AC">
        <w:t>6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57153E47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5C63AC">
        <w:t>August 12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6AAC02D2" w:rsidR="00D06108" w:rsidRPr="00401D3C" w:rsidRDefault="00770117" w:rsidP="00D06108">
      <w:pPr>
        <w:spacing w:line="288" w:lineRule="auto"/>
        <w:rPr>
          <w:b/>
          <w:bCs/>
        </w:rPr>
      </w:pPr>
      <w:r>
        <w:rPr>
          <w:b/>
        </w:rPr>
        <w:t>NOTICE TO PARTIES:</w:t>
      </w:r>
      <w:r w:rsidR="00D06108" w:rsidRPr="00401D3C">
        <w:rPr>
          <w:b/>
        </w:rPr>
        <w:t xml:space="preserve"> This is an order delegated to the Exe</w:t>
      </w:r>
      <w:r>
        <w:rPr>
          <w:b/>
        </w:rPr>
        <w:t xml:space="preserve">cutive Secretary for decision. </w:t>
      </w:r>
      <w:r w:rsidR="00D06108" w:rsidRPr="00401D3C">
        <w:rPr>
          <w:b/>
        </w:rPr>
        <w:t xml:space="preserve">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>d on the Commission’s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770117">
      <w:headerReference w:type="default" r:id="rId11"/>
      <w:headerReference w:type="first" r:id="rId12"/>
      <w:footerReference w:type="first" r:id="rId13"/>
      <w:pgSz w:w="12240" w:h="15840" w:code="1"/>
      <w:pgMar w:top="989" w:right="1440" w:bottom="1440" w:left="2160" w:header="9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00C8D" w14:textId="77777777" w:rsidR="000326B6" w:rsidRDefault="000326B6" w:rsidP="00D8495A">
      <w:r>
        <w:separator/>
      </w:r>
    </w:p>
  </w:endnote>
  <w:endnote w:type="continuationSeparator" w:id="0">
    <w:p w14:paraId="39997E92" w14:textId="77777777" w:rsidR="000326B6" w:rsidRDefault="000326B6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4CE72E05" w:rsidR="00975152" w:rsidRPr="00DB0710" w:rsidRDefault="00770117" w:rsidP="006A1198">
    <w:pPr>
      <w:pStyle w:val="Footer"/>
      <w:tabs>
        <w:tab w:val="clear" w:pos="8640"/>
        <w:tab w:val="right" w:pos="84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B02FB" w14:textId="77777777" w:rsidR="000326B6" w:rsidRDefault="000326B6" w:rsidP="00D8495A">
      <w:r>
        <w:separator/>
      </w:r>
    </w:p>
  </w:footnote>
  <w:footnote w:type="continuationSeparator" w:id="0">
    <w:p w14:paraId="334E947C" w14:textId="77777777" w:rsidR="000326B6" w:rsidRDefault="000326B6" w:rsidP="00D8495A">
      <w:r>
        <w:continuationSeparator/>
      </w:r>
    </w:p>
  </w:footnote>
  <w:footnote w:id="1">
    <w:p w14:paraId="235E762B" w14:textId="77777777" w:rsidR="00D06108" w:rsidRPr="00770117" w:rsidRDefault="00D06108" w:rsidP="00D06108">
      <w:pPr>
        <w:pStyle w:val="FootnoteText"/>
        <w:rPr>
          <w:sz w:val="22"/>
          <w:szCs w:val="22"/>
        </w:rPr>
      </w:pPr>
      <w:r w:rsidRPr="00770117">
        <w:rPr>
          <w:rStyle w:val="FootnoteReference"/>
          <w:sz w:val="22"/>
          <w:szCs w:val="22"/>
        </w:rPr>
        <w:footnoteRef/>
      </w:r>
      <w:r w:rsidRPr="00770117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7ED6FCFA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63AC">
      <w:rPr>
        <w:b/>
        <w:bCs/>
        <w:sz w:val="20"/>
      </w:rPr>
      <w:t>TE-160723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3FC761DD" w:rsidR="00975152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66C91D9C" w14:textId="77777777" w:rsidR="00770117" w:rsidRPr="00AC0E30" w:rsidRDefault="00770117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06E4CA74" w:rsidR="00975152" w:rsidRPr="00770117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770117" w:rsidRPr="00770117">
      <w:rPr>
        <w:sz w:val="22"/>
        <w:szCs w:val="22"/>
      </w:rPr>
      <w:t>Service Date: August 12,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26B6"/>
    <w:rsid w:val="000342A8"/>
    <w:rsid w:val="00082958"/>
    <w:rsid w:val="00095A50"/>
    <w:rsid w:val="000C3D49"/>
    <w:rsid w:val="000E640C"/>
    <w:rsid w:val="000F0AF4"/>
    <w:rsid w:val="001431ED"/>
    <w:rsid w:val="00150C5A"/>
    <w:rsid w:val="00161FCE"/>
    <w:rsid w:val="00184767"/>
    <w:rsid w:val="001C4CA4"/>
    <w:rsid w:val="001C5AB1"/>
    <w:rsid w:val="001D24D4"/>
    <w:rsid w:val="001E1D7A"/>
    <w:rsid w:val="001E26E3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26CB7"/>
    <w:rsid w:val="00360890"/>
    <w:rsid w:val="00364B64"/>
    <w:rsid w:val="00366187"/>
    <w:rsid w:val="0038014A"/>
    <w:rsid w:val="003E329D"/>
    <w:rsid w:val="003E5D6F"/>
    <w:rsid w:val="00413942"/>
    <w:rsid w:val="00443FE3"/>
    <w:rsid w:val="0048646C"/>
    <w:rsid w:val="004A3890"/>
    <w:rsid w:val="004B22B7"/>
    <w:rsid w:val="004D163E"/>
    <w:rsid w:val="004F5248"/>
    <w:rsid w:val="00512420"/>
    <w:rsid w:val="00552600"/>
    <w:rsid w:val="005A6C74"/>
    <w:rsid w:val="005B0C0C"/>
    <w:rsid w:val="005B61AC"/>
    <w:rsid w:val="005C1DD7"/>
    <w:rsid w:val="005C63AC"/>
    <w:rsid w:val="005C70B9"/>
    <w:rsid w:val="005E1CC2"/>
    <w:rsid w:val="00606618"/>
    <w:rsid w:val="006216CC"/>
    <w:rsid w:val="00655F70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70117"/>
    <w:rsid w:val="007B7AD2"/>
    <w:rsid w:val="00870622"/>
    <w:rsid w:val="00874F82"/>
    <w:rsid w:val="008A0338"/>
    <w:rsid w:val="008B1CCC"/>
    <w:rsid w:val="00912BB8"/>
    <w:rsid w:val="009776BD"/>
    <w:rsid w:val="009827D3"/>
    <w:rsid w:val="009A13D3"/>
    <w:rsid w:val="009B4B34"/>
    <w:rsid w:val="009C5D62"/>
    <w:rsid w:val="00A46518"/>
    <w:rsid w:val="00A754BC"/>
    <w:rsid w:val="00A84C2A"/>
    <w:rsid w:val="00A939A9"/>
    <w:rsid w:val="00AD32DE"/>
    <w:rsid w:val="00AD3312"/>
    <w:rsid w:val="00AE273E"/>
    <w:rsid w:val="00B074C3"/>
    <w:rsid w:val="00B13041"/>
    <w:rsid w:val="00B50E3F"/>
    <w:rsid w:val="00B53763"/>
    <w:rsid w:val="00B74988"/>
    <w:rsid w:val="00B74BB3"/>
    <w:rsid w:val="00B838B1"/>
    <w:rsid w:val="00B869E1"/>
    <w:rsid w:val="00BA67C5"/>
    <w:rsid w:val="00BC3CB0"/>
    <w:rsid w:val="00BC5753"/>
    <w:rsid w:val="00BD3A3E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165AE"/>
    <w:rsid w:val="00F21B68"/>
    <w:rsid w:val="00F37A5C"/>
    <w:rsid w:val="00F522F7"/>
    <w:rsid w:val="00F70074"/>
    <w:rsid w:val="00F9296C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0E3BE55649C14EA0B20E61F11D017E" ma:contentTypeVersion="104" ma:contentTypeDescription="" ma:contentTypeScope="" ma:versionID="7e6f1b2b842c7e5ce4a5a297696761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Papadimas, Nicholas</CaseCompanyNames>
    <DocketNumber xmlns="dc463f71-b30c-4ab2-9473-d307f9d35888">160723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1726-2F8B-4CE6-9004-FFC88F645548}"/>
</file>

<file path=customXml/itemProps2.xml><?xml version="1.0" encoding="utf-8"?>
<ds:datastoreItem xmlns:ds="http://schemas.openxmlformats.org/officeDocument/2006/customXml" ds:itemID="{DF8A36CF-62CB-4CC9-A01E-CB0BD050C90D}"/>
</file>

<file path=customXml/itemProps3.xml><?xml version="1.0" encoding="utf-8"?>
<ds:datastoreItem xmlns:ds="http://schemas.openxmlformats.org/officeDocument/2006/customXml" ds:itemID="{82CD3234-DBA4-473B-B5FD-3FF184EA534E}"/>
</file>

<file path=customXml/itemProps4.xml><?xml version="1.0" encoding="utf-8"?>
<ds:datastoreItem xmlns:ds="http://schemas.openxmlformats.org/officeDocument/2006/customXml" ds:itemID="{797950CE-F56F-4188-9396-29B9E764E53D}"/>
</file>

<file path=customXml/itemProps5.xml><?xml version="1.0" encoding="utf-8"?>
<ds:datastoreItem xmlns:ds="http://schemas.openxmlformats.org/officeDocument/2006/customXml" ds:itemID="{F1D4E1A5-9CD0-4EFC-BD95-267DD16B4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Mitigation to $50</dc:title>
  <dc:subject/>
  <dc:creator>Pearson, Rayne (UTC)</dc:creator>
  <cp:keywords/>
  <dc:description/>
  <cp:lastModifiedBy>Denny, Kara (UTC)</cp:lastModifiedBy>
  <cp:revision>2</cp:revision>
  <cp:lastPrinted>2016-08-12T16:57:00Z</cp:lastPrinted>
  <dcterms:created xsi:type="dcterms:W3CDTF">2016-08-12T16:58:00Z</dcterms:created>
  <dcterms:modified xsi:type="dcterms:W3CDTF">2016-08-12T16:58:00Z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0x0101006E56B4D1795A2E4DB2F0B01679ED314A00E50E3BE55649C14EA0B20E61F11D017E</vt:lpwstr>
  </property>
  <property fmtid="{D5CDD505-2E9C-101B-9397-08002B2CF9AE}" pid="3" name="_docset_NoMedatataSyncRequired">
    <vt:lpwstr>False</vt:lpwstr>
  </property>
</Properties>
</file>