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30D6A" w14:textId="77777777" w:rsidR="008956A7" w:rsidRPr="005F67A4"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F67A4">
        <w:rPr>
          <w:sz w:val="24"/>
        </w:rPr>
        <w:t>Agenda Date:</w:t>
      </w:r>
      <w:r w:rsidRPr="005F67A4">
        <w:rPr>
          <w:sz w:val="24"/>
        </w:rPr>
        <w:tab/>
      </w:r>
      <w:r w:rsidRPr="005F67A4">
        <w:rPr>
          <w:sz w:val="24"/>
        </w:rPr>
        <w:tab/>
      </w:r>
      <w:r w:rsidR="005009B0">
        <w:rPr>
          <w:sz w:val="24"/>
        </w:rPr>
        <w:t>April</w:t>
      </w:r>
      <w:r w:rsidR="00B81455" w:rsidRPr="005F67A4">
        <w:rPr>
          <w:sz w:val="24"/>
        </w:rPr>
        <w:t xml:space="preserve"> 28</w:t>
      </w:r>
      <w:r w:rsidR="00575AF1" w:rsidRPr="005F67A4">
        <w:rPr>
          <w:sz w:val="24"/>
        </w:rPr>
        <w:t>, 2008</w:t>
      </w:r>
      <w:r w:rsidRPr="005F67A4">
        <w:rPr>
          <w:sz w:val="24"/>
        </w:rPr>
        <w:tab/>
      </w:r>
    </w:p>
    <w:p w14:paraId="03430D6B" w14:textId="290CF2DA"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F67A4">
        <w:rPr>
          <w:sz w:val="24"/>
        </w:rPr>
        <w:t>Item Number:</w:t>
      </w:r>
      <w:r w:rsidRPr="005F67A4">
        <w:rPr>
          <w:sz w:val="24"/>
        </w:rPr>
        <w:tab/>
      </w:r>
      <w:r w:rsidR="006E07FE">
        <w:rPr>
          <w:sz w:val="24"/>
        </w:rPr>
        <w:tab/>
      </w:r>
      <w:r w:rsidR="00B12018" w:rsidRPr="005F67A4">
        <w:rPr>
          <w:sz w:val="24"/>
        </w:rPr>
        <w:t>A</w:t>
      </w:r>
      <w:r w:rsidR="00421BBE">
        <w:rPr>
          <w:sz w:val="24"/>
        </w:rPr>
        <w:t>6</w:t>
      </w:r>
      <w:r w:rsidRPr="005F67A4">
        <w:rPr>
          <w:sz w:val="24"/>
        </w:rPr>
        <w:tab/>
      </w:r>
      <w:r w:rsidRPr="005F67A4">
        <w:rPr>
          <w:sz w:val="24"/>
        </w:rPr>
        <w:tab/>
      </w:r>
      <w:r w:rsidRPr="005F67A4">
        <w:rPr>
          <w:sz w:val="24"/>
        </w:rPr>
        <w:tab/>
      </w:r>
      <w:r w:rsidRPr="005F67A4">
        <w:rPr>
          <w:sz w:val="24"/>
        </w:rPr>
        <w:tab/>
      </w:r>
      <w:r w:rsidRPr="005F67A4">
        <w:rPr>
          <w:sz w:val="24"/>
        </w:rPr>
        <w:tab/>
      </w:r>
      <w:r w:rsidRPr="005F67A4">
        <w:rPr>
          <w:sz w:val="24"/>
        </w:rPr>
        <w:tab/>
      </w:r>
    </w:p>
    <w:p w14:paraId="03430D6C"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03430D6D"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F67A4">
        <w:rPr>
          <w:b/>
          <w:bCs/>
          <w:sz w:val="24"/>
        </w:rPr>
        <w:t xml:space="preserve">Docket: </w:t>
      </w:r>
      <w:r w:rsidRPr="005F67A4">
        <w:rPr>
          <w:b/>
          <w:bCs/>
          <w:sz w:val="24"/>
        </w:rPr>
        <w:tab/>
      </w:r>
      <w:r w:rsidRPr="005F67A4">
        <w:rPr>
          <w:b/>
          <w:bCs/>
          <w:sz w:val="24"/>
        </w:rPr>
        <w:tab/>
      </w:r>
      <w:r w:rsidR="00B12018" w:rsidRPr="005F67A4">
        <w:rPr>
          <w:b/>
          <w:bCs/>
          <w:sz w:val="24"/>
        </w:rPr>
        <w:t>UW</w:t>
      </w:r>
      <w:r w:rsidRPr="005F67A4">
        <w:rPr>
          <w:b/>
          <w:bCs/>
          <w:sz w:val="24"/>
        </w:rPr>
        <w:t>-</w:t>
      </w:r>
      <w:r w:rsidR="004C00E5">
        <w:rPr>
          <w:b/>
          <w:bCs/>
          <w:sz w:val="24"/>
        </w:rPr>
        <w:t>160337</w:t>
      </w:r>
    </w:p>
    <w:p w14:paraId="03430D6E"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Company Name:</w:t>
      </w:r>
      <w:r w:rsidRPr="005F67A4">
        <w:rPr>
          <w:sz w:val="24"/>
        </w:rPr>
        <w:tab/>
      </w:r>
      <w:r w:rsidR="00575AF1" w:rsidRPr="005F67A4">
        <w:rPr>
          <w:sz w:val="24"/>
        </w:rPr>
        <w:t>Aquarius Utilities, LLC</w:t>
      </w:r>
    </w:p>
    <w:p w14:paraId="03430D6F"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430D70"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u w:val="single"/>
        </w:rPr>
        <w:t>Staff:</w:t>
      </w:r>
      <w:r w:rsidR="004C00E5">
        <w:rPr>
          <w:sz w:val="24"/>
        </w:rPr>
        <w:tab/>
      </w:r>
      <w:r w:rsidR="004C00E5">
        <w:rPr>
          <w:sz w:val="24"/>
        </w:rPr>
        <w:tab/>
      </w:r>
      <w:r w:rsidR="004C00E5">
        <w:rPr>
          <w:sz w:val="24"/>
        </w:rPr>
        <w:tab/>
        <w:t>Jim Ward</w:t>
      </w:r>
      <w:r w:rsidRPr="005F67A4">
        <w:rPr>
          <w:sz w:val="24"/>
        </w:rPr>
        <w:t>, Regulatory Analyst</w:t>
      </w:r>
    </w:p>
    <w:p w14:paraId="03430D71"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ab/>
      </w:r>
      <w:r w:rsidRPr="005F67A4">
        <w:rPr>
          <w:sz w:val="24"/>
        </w:rPr>
        <w:tab/>
      </w:r>
      <w:r w:rsidRPr="005F67A4">
        <w:rPr>
          <w:sz w:val="24"/>
        </w:rPr>
        <w:tab/>
      </w:r>
      <w:r w:rsidR="004C00E5">
        <w:rPr>
          <w:sz w:val="24"/>
        </w:rPr>
        <w:t>John Cupp</w:t>
      </w:r>
      <w:r w:rsidR="00283DF7" w:rsidRPr="005F67A4">
        <w:rPr>
          <w:sz w:val="24"/>
        </w:rPr>
        <w:t>, Consumer Protection Staff</w:t>
      </w:r>
    </w:p>
    <w:p w14:paraId="03430D72" w14:textId="77777777" w:rsidR="0045500C" w:rsidRPr="005F67A4"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430D73" w14:textId="77777777" w:rsidR="00F720D5" w:rsidRPr="005F67A4"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5F67A4">
        <w:rPr>
          <w:b/>
          <w:sz w:val="24"/>
          <w:u w:val="single"/>
        </w:rPr>
        <w:t>Recommendation</w:t>
      </w:r>
    </w:p>
    <w:p w14:paraId="03430D74" w14:textId="77777777" w:rsidR="00697E4B" w:rsidRPr="005F67A4" w:rsidRDefault="00697E4B" w:rsidP="00EF5EB1">
      <w:pPr>
        <w:pStyle w:val="BodyText"/>
        <w:rPr>
          <w:rFonts w:ascii="Times New Roman" w:hAnsi="Times New Roman"/>
          <w:color w:val="000000"/>
        </w:rPr>
      </w:pPr>
    </w:p>
    <w:p w14:paraId="03430D75" w14:textId="06E55A8F" w:rsidR="009268FA" w:rsidRPr="005F67A4" w:rsidRDefault="000B1549" w:rsidP="009268FA">
      <w:pPr>
        <w:pStyle w:val="BodyText"/>
        <w:tabs>
          <w:tab w:val="left" w:pos="360"/>
        </w:tabs>
        <w:rPr>
          <w:rFonts w:ascii="Times New Roman" w:hAnsi="Times New Roman"/>
          <w:color w:val="000000"/>
        </w:rPr>
      </w:pPr>
      <w:r>
        <w:rPr>
          <w:rFonts w:ascii="Times New Roman" w:hAnsi="Times New Roman"/>
          <w:color w:val="000000"/>
        </w:rPr>
        <w:t>Issue an order g</w:t>
      </w:r>
      <w:r w:rsidR="009268FA" w:rsidRPr="005F67A4">
        <w:rPr>
          <w:rFonts w:ascii="Times New Roman" w:hAnsi="Times New Roman"/>
          <w:color w:val="000000"/>
        </w:rPr>
        <w:t>rant</w:t>
      </w:r>
      <w:r>
        <w:rPr>
          <w:rFonts w:ascii="Times New Roman" w:hAnsi="Times New Roman"/>
          <w:color w:val="000000"/>
        </w:rPr>
        <w:t>ing</w:t>
      </w:r>
      <w:r w:rsidR="009268FA" w:rsidRPr="005F67A4">
        <w:rPr>
          <w:rFonts w:ascii="Times New Roman" w:hAnsi="Times New Roman"/>
          <w:color w:val="000000"/>
        </w:rPr>
        <w:t xml:space="preserve"> Aquarius Utilities, LLC’s request for a</w:t>
      </w:r>
      <w:r w:rsidR="00653679">
        <w:rPr>
          <w:rFonts w:ascii="Times New Roman" w:hAnsi="Times New Roman"/>
          <w:color w:val="000000"/>
        </w:rPr>
        <w:t>n increase in</w:t>
      </w:r>
      <w:r w:rsidR="009268FA" w:rsidRPr="005F67A4">
        <w:rPr>
          <w:rFonts w:ascii="Times New Roman" w:hAnsi="Times New Roman"/>
          <w:color w:val="000000"/>
        </w:rPr>
        <w:t xml:space="preserve"> </w:t>
      </w:r>
      <w:r w:rsidR="00293678">
        <w:rPr>
          <w:rFonts w:ascii="Times New Roman" w:hAnsi="Times New Roman"/>
          <w:color w:val="000000"/>
        </w:rPr>
        <w:t xml:space="preserve">monthly </w:t>
      </w:r>
      <w:r w:rsidR="009268FA" w:rsidRPr="005F67A4">
        <w:rPr>
          <w:rFonts w:ascii="Times New Roman" w:hAnsi="Times New Roman"/>
          <w:color w:val="000000"/>
        </w:rPr>
        <w:t xml:space="preserve">surcharge </w:t>
      </w:r>
      <w:r w:rsidR="00293678">
        <w:rPr>
          <w:rFonts w:ascii="Times New Roman" w:hAnsi="Times New Roman"/>
          <w:color w:val="000000"/>
        </w:rPr>
        <w:t xml:space="preserve">rate </w:t>
      </w:r>
      <w:r w:rsidR="007D4572">
        <w:rPr>
          <w:rFonts w:ascii="Times New Roman" w:hAnsi="Times New Roman"/>
          <w:color w:val="000000"/>
        </w:rPr>
        <w:t xml:space="preserve">and owner equity investment </w:t>
      </w:r>
      <w:r w:rsidR="009268FA" w:rsidRPr="005F67A4">
        <w:rPr>
          <w:rFonts w:ascii="Times New Roman" w:hAnsi="Times New Roman"/>
          <w:color w:val="000000"/>
        </w:rPr>
        <w:t>to service State Revolving Fund loans approved by the Public Works Board.</w:t>
      </w:r>
    </w:p>
    <w:p w14:paraId="03430D76" w14:textId="77777777" w:rsidR="00413ABA" w:rsidRPr="005F67A4" w:rsidRDefault="00413ABA" w:rsidP="00413ABA">
      <w:pPr>
        <w:pStyle w:val="BodyText"/>
        <w:rPr>
          <w:rFonts w:ascii="Times New Roman" w:hAnsi="Times New Roman"/>
          <w:color w:val="000000"/>
        </w:rPr>
      </w:pPr>
    </w:p>
    <w:p w14:paraId="03430D77" w14:textId="77777777" w:rsidR="0045500C" w:rsidRPr="00494D80" w:rsidRDefault="002936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Background</w:t>
      </w:r>
    </w:p>
    <w:p w14:paraId="03430D78" w14:textId="77777777" w:rsidR="00494D80" w:rsidRDefault="00494D80" w:rsidP="00985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83935B0" w14:textId="56A0F644" w:rsidR="00F3332E" w:rsidRPr="00F3332E" w:rsidRDefault="00B34AE0" w:rsidP="00F333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171A2C">
        <w:rPr>
          <w:sz w:val="24"/>
        </w:rPr>
        <w:t xml:space="preserve">On </w:t>
      </w:r>
      <w:r w:rsidR="001B1901" w:rsidRPr="00171A2C">
        <w:rPr>
          <w:sz w:val="24"/>
        </w:rPr>
        <w:t>July 29, 2008</w:t>
      </w:r>
      <w:r w:rsidR="00B12018" w:rsidRPr="00171A2C">
        <w:rPr>
          <w:sz w:val="24"/>
        </w:rPr>
        <w:t xml:space="preserve">, </w:t>
      </w:r>
      <w:r w:rsidR="00575AF1" w:rsidRPr="00171A2C">
        <w:rPr>
          <w:sz w:val="24"/>
        </w:rPr>
        <w:t>Aquarius Utilities, LLC</w:t>
      </w:r>
      <w:r w:rsidRPr="00171A2C">
        <w:rPr>
          <w:sz w:val="24"/>
        </w:rPr>
        <w:t xml:space="preserve"> (</w:t>
      </w:r>
      <w:r w:rsidR="00575AF1" w:rsidRPr="00171A2C">
        <w:rPr>
          <w:sz w:val="24"/>
        </w:rPr>
        <w:t xml:space="preserve">Aquarius </w:t>
      </w:r>
      <w:r w:rsidRPr="00171A2C">
        <w:rPr>
          <w:sz w:val="24"/>
        </w:rPr>
        <w:t>or company)</w:t>
      </w:r>
      <w:r w:rsidR="0067490D" w:rsidRPr="00171A2C">
        <w:rPr>
          <w:sz w:val="24"/>
        </w:rPr>
        <w:t>,</w:t>
      </w:r>
      <w:r w:rsidRPr="00171A2C">
        <w:rPr>
          <w:sz w:val="24"/>
        </w:rPr>
        <w:t xml:space="preserve"> filed with the Utilities and Transportation Commission (</w:t>
      </w:r>
      <w:r w:rsidR="00C23C07" w:rsidRPr="00171A2C">
        <w:rPr>
          <w:sz w:val="24"/>
        </w:rPr>
        <w:t>c</w:t>
      </w:r>
      <w:r w:rsidRPr="00171A2C">
        <w:rPr>
          <w:sz w:val="24"/>
        </w:rPr>
        <w:t xml:space="preserve">ommission) </w:t>
      </w:r>
      <w:r w:rsidR="006053C4" w:rsidRPr="00171A2C">
        <w:rPr>
          <w:sz w:val="24"/>
        </w:rPr>
        <w:t xml:space="preserve">for </w:t>
      </w:r>
      <w:r w:rsidR="00691BF0" w:rsidRPr="00171A2C">
        <w:rPr>
          <w:sz w:val="24"/>
        </w:rPr>
        <w:t xml:space="preserve">a surcharge to </w:t>
      </w:r>
      <w:r w:rsidR="00F058A5" w:rsidRPr="00171A2C">
        <w:rPr>
          <w:sz w:val="24"/>
        </w:rPr>
        <w:t>service $2,056,214 in</w:t>
      </w:r>
      <w:r w:rsidR="00691BF0" w:rsidRPr="00171A2C">
        <w:rPr>
          <w:sz w:val="24"/>
        </w:rPr>
        <w:t xml:space="preserve"> </w:t>
      </w:r>
      <w:r w:rsidR="00985C3A" w:rsidRPr="00171A2C">
        <w:rPr>
          <w:sz w:val="24"/>
        </w:rPr>
        <w:t xml:space="preserve">Drinking Water State Revolving Fund (DWSRF) </w:t>
      </w:r>
      <w:r w:rsidR="00691BF0" w:rsidRPr="00171A2C">
        <w:rPr>
          <w:sz w:val="24"/>
        </w:rPr>
        <w:t>loan</w:t>
      </w:r>
      <w:r w:rsidR="00F058A5" w:rsidRPr="00171A2C">
        <w:rPr>
          <w:sz w:val="24"/>
        </w:rPr>
        <w:t>s</w:t>
      </w:r>
      <w:r w:rsidR="00691BF0" w:rsidRPr="00171A2C">
        <w:rPr>
          <w:sz w:val="24"/>
        </w:rPr>
        <w:t xml:space="preserve"> </w:t>
      </w:r>
      <w:r w:rsidR="00F058A5" w:rsidRPr="00171A2C">
        <w:rPr>
          <w:sz w:val="24"/>
        </w:rPr>
        <w:t>approved by the Public Works Board</w:t>
      </w:r>
      <w:r w:rsidR="005E5FE6" w:rsidRPr="00171A2C">
        <w:rPr>
          <w:sz w:val="24"/>
        </w:rPr>
        <w:t xml:space="preserve"> (PWB)</w:t>
      </w:r>
      <w:r w:rsidR="00280ECE" w:rsidRPr="00171A2C">
        <w:rPr>
          <w:sz w:val="24"/>
        </w:rPr>
        <w:t>.</w:t>
      </w:r>
      <w:r w:rsidR="006053C4" w:rsidRPr="00171A2C">
        <w:rPr>
          <w:sz w:val="24"/>
        </w:rPr>
        <w:t xml:space="preserve"> Proceeds from the loans were</w:t>
      </w:r>
      <w:r w:rsidR="00985C3A" w:rsidRPr="00171A2C">
        <w:rPr>
          <w:sz w:val="24"/>
        </w:rPr>
        <w:t xml:space="preserve"> used for capital improvement projects on each of the company’s four water systems. </w:t>
      </w:r>
      <w:r w:rsidR="00F3332E" w:rsidRPr="00171A2C">
        <w:rPr>
          <w:sz w:val="24"/>
        </w:rPr>
        <w:t xml:space="preserve">The company’s loan repayment proposal relied on three revenue sources: monthly surcharges paid by current and future customers, facilities charges paid by future customers and continuing equity investment by the owner. </w:t>
      </w:r>
      <w:r w:rsidR="00F3332E" w:rsidRPr="00F3332E">
        <w:rPr>
          <w:sz w:val="24"/>
        </w:rPr>
        <w:t xml:space="preserve">The original surcharge calculation used a customer growth that projected about 9 to 11 new customers each year. The added customers would provide monthly surcharge revenue and also facilities charge revenues which were to be applied to the loans. </w:t>
      </w:r>
      <w:r w:rsidR="00F3332E">
        <w:rPr>
          <w:sz w:val="24"/>
        </w:rPr>
        <w:t>However, t</w:t>
      </w:r>
      <w:r w:rsidR="00F3332E" w:rsidRPr="00F3332E">
        <w:rPr>
          <w:sz w:val="24"/>
        </w:rPr>
        <w:t>he company’s collected revenues have been less than projected</w:t>
      </w:r>
      <w:r w:rsidR="00F3332E">
        <w:rPr>
          <w:sz w:val="24"/>
        </w:rPr>
        <w:t xml:space="preserve"> because the forecast of customer growth has not materialized. Therefore</w:t>
      </w:r>
      <w:r w:rsidR="00F3332E" w:rsidRPr="00F3332E">
        <w:rPr>
          <w:sz w:val="24"/>
        </w:rPr>
        <w:t>, t</w:t>
      </w:r>
      <w:r w:rsidR="00F3332E" w:rsidRPr="00171A2C">
        <w:rPr>
          <w:sz w:val="24"/>
        </w:rPr>
        <w:t>o ensure that the company has sufficient revenue to service the loans, and because the revenue streams from the unknown future customers are not certain, the company has proposed to adjust the surcharge based on recent trends</w:t>
      </w:r>
      <w:r w:rsidR="00F3332E">
        <w:rPr>
          <w:sz w:val="24"/>
        </w:rPr>
        <w:t xml:space="preserve">. </w:t>
      </w:r>
      <w:r w:rsidR="00F3332E" w:rsidRPr="00F3332E">
        <w:rPr>
          <w:sz w:val="24"/>
        </w:rPr>
        <w:t>The new filing has lowered the growth rate to about 1 to 2 customers per year based on recent trends.</w:t>
      </w:r>
    </w:p>
    <w:p w14:paraId="03430D79" w14:textId="47FEFD39" w:rsidR="00653679" w:rsidRDefault="00653679" w:rsidP="001B1901">
      <w:pPr>
        <w:pStyle w:val="Default"/>
      </w:pPr>
    </w:p>
    <w:p w14:paraId="03430D7E" w14:textId="5306FF35" w:rsidR="00B7567F" w:rsidRPr="005F67A4" w:rsidRDefault="00653679" w:rsidP="00171A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rPr>
      </w:pPr>
      <w:r w:rsidRPr="005F67A4">
        <w:rPr>
          <w:sz w:val="24"/>
        </w:rPr>
        <w:t xml:space="preserve">On </w:t>
      </w:r>
      <w:r>
        <w:rPr>
          <w:sz w:val="24"/>
        </w:rPr>
        <w:t>March 25, 2016</w:t>
      </w:r>
      <w:r w:rsidRPr="005F67A4">
        <w:rPr>
          <w:sz w:val="24"/>
        </w:rPr>
        <w:t>, Aquarius filed with the commission a</w:t>
      </w:r>
      <w:r w:rsidR="001B1901">
        <w:rPr>
          <w:sz w:val="24"/>
        </w:rPr>
        <w:t xml:space="preserve">n adjustment to the </w:t>
      </w:r>
      <w:r w:rsidRPr="005F67A4">
        <w:rPr>
          <w:sz w:val="24"/>
        </w:rPr>
        <w:t xml:space="preserve">surcharge to </w:t>
      </w:r>
      <w:r w:rsidR="001B1901">
        <w:rPr>
          <w:sz w:val="24"/>
        </w:rPr>
        <w:t xml:space="preserve">increase the </w:t>
      </w:r>
      <w:r w:rsidR="006053C4">
        <w:rPr>
          <w:sz w:val="24"/>
        </w:rPr>
        <w:t xml:space="preserve">surcharge </w:t>
      </w:r>
      <w:r w:rsidR="001B1901">
        <w:rPr>
          <w:sz w:val="24"/>
        </w:rPr>
        <w:t>rate by $1.70.</w:t>
      </w:r>
      <w:r w:rsidRPr="005F67A4">
        <w:rPr>
          <w:sz w:val="24"/>
        </w:rPr>
        <w:t xml:space="preserve"> </w:t>
      </w:r>
      <w:r w:rsidR="001B1901">
        <w:rPr>
          <w:sz w:val="24"/>
        </w:rPr>
        <w:t xml:space="preserve">The company </w:t>
      </w:r>
      <w:r w:rsidR="009F6DA7">
        <w:rPr>
          <w:sz w:val="24"/>
        </w:rPr>
        <w:t>stated</w:t>
      </w:r>
      <w:r w:rsidR="001B1901">
        <w:rPr>
          <w:sz w:val="24"/>
        </w:rPr>
        <w:t xml:space="preserve"> that the original revenue sources for repayment were </w:t>
      </w:r>
      <w:r w:rsidR="009F6DA7">
        <w:rPr>
          <w:sz w:val="24"/>
        </w:rPr>
        <w:t xml:space="preserve">overly </w:t>
      </w:r>
      <w:r w:rsidR="001B1901">
        <w:rPr>
          <w:sz w:val="24"/>
        </w:rPr>
        <w:t>optimistic</w:t>
      </w:r>
      <w:r w:rsidR="009F6DA7">
        <w:rPr>
          <w:sz w:val="24"/>
        </w:rPr>
        <w:t xml:space="preserve"> in that</w:t>
      </w:r>
      <w:r w:rsidR="001B1901">
        <w:rPr>
          <w:sz w:val="24"/>
        </w:rPr>
        <w:t xml:space="preserve"> cus</w:t>
      </w:r>
      <w:r w:rsidR="006053C4">
        <w:rPr>
          <w:sz w:val="24"/>
        </w:rPr>
        <w:t>t</w:t>
      </w:r>
      <w:r w:rsidR="001B1901">
        <w:rPr>
          <w:sz w:val="24"/>
        </w:rPr>
        <w:t>omer growth</w:t>
      </w:r>
      <w:r w:rsidR="009F6DA7">
        <w:rPr>
          <w:sz w:val="24"/>
        </w:rPr>
        <w:t xml:space="preserve"> has not met projections</w:t>
      </w:r>
      <w:r w:rsidR="001B1901">
        <w:rPr>
          <w:sz w:val="24"/>
        </w:rPr>
        <w:t xml:space="preserve">. </w:t>
      </w:r>
      <w:r w:rsidR="007D4572">
        <w:rPr>
          <w:sz w:val="24"/>
        </w:rPr>
        <w:t xml:space="preserve">The surcharge increase as proposed would generate an additional $19,200 (4.1 percent) annually. </w:t>
      </w:r>
      <w:r w:rsidR="00985C3A" w:rsidRPr="005F67A4">
        <w:rPr>
          <w:sz w:val="24"/>
        </w:rPr>
        <w:t xml:space="preserve">The company serves </w:t>
      </w:r>
      <w:r w:rsidR="006053C4">
        <w:rPr>
          <w:sz w:val="24"/>
        </w:rPr>
        <w:t>930</w:t>
      </w:r>
      <w:r w:rsidR="00985C3A" w:rsidRPr="005F67A4">
        <w:rPr>
          <w:sz w:val="24"/>
        </w:rPr>
        <w:t xml:space="preserve"> customers located in Clallam, Kitsap and Mason counties.</w:t>
      </w:r>
      <w:r w:rsidR="0079139C">
        <w:rPr>
          <w:sz w:val="24"/>
        </w:rPr>
        <w:t xml:space="preserve"> The company’s last rate increase was effective November 1, 2014.</w:t>
      </w:r>
    </w:p>
    <w:p w14:paraId="14DA4FCE" w14:textId="77777777" w:rsidR="00060275" w:rsidRDefault="00060275" w:rsidP="000602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430D80" w14:textId="7BF2238F" w:rsidR="00494D80" w:rsidRDefault="00060275" w:rsidP="00171A2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sz w:val="24"/>
        </w:rPr>
        <w:t xml:space="preserve">Aquarius and staff have determined a new rate design in which both the company and the customers will contribute toward the SRF loan repayments. As shown in the table below the customers will receive about a 16 percent increase in the </w:t>
      </w:r>
      <w:r w:rsidR="009A6C12">
        <w:rPr>
          <w:sz w:val="24"/>
        </w:rPr>
        <w:t xml:space="preserve">monthly </w:t>
      </w:r>
      <w:r>
        <w:rPr>
          <w:sz w:val="24"/>
        </w:rPr>
        <w:t>surcharge. The company will also</w:t>
      </w:r>
      <w:r w:rsidR="00020493">
        <w:rPr>
          <w:sz w:val="24"/>
        </w:rPr>
        <w:t xml:space="preserve"> </w:t>
      </w:r>
      <w:r>
        <w:rPr>
          <w:sz w:val="24"/>
        </w:rPr>
        <w:t xml:space="preserve">provide additional </w:t>
      </w:r>
      <w:r w:rsidR="00020493">
        <w:rPr>
          <w:sz w:val="24"/>
        </w:rPr>
        <w:t>owner equity of about 16 percent.</w:t>
      </w:r>
    </w:p>
    <w:p w14:paraId="134B1053" w14:textId="77777777" w:rsidR="00F439FE" w:rsidRDefault="00F439FE" w:rsidP="00494D80">
      <w:pPr>
        <w:jc w:val="center"/>
        <w:rPr>
          <w:b/>
          <w:sz w:val="24"/>
          <w:u w:val="single"/>
        </w:rPr>
      </w:pPr>
    </w:p>
    <w:p w14:paraId="03430D81" w14:textId="4FA2732B" w:rsidR="00494D80" w:rsidRDefault="00171A2C" w:rsidP="00494D80">
      <w:pPr>
        <w:jc w:val="center"/>
        <w:rPr>
          <w:b/>
          <w:sz w:val="24"/>
          <w:u w:val="single"/>
        </w:rPr>
      </w:pPr>
      <w:r>
        <w:rPr>
          <w:b/>
          <w:sz w:val="24"/>
          <w:u w:val="single"/>
        </w:rPr>
        <w:br w:type="page"/>
      </w:r>
      <w:r w:rsidR="00494D80" w:rsidRPr="005F67A4">
        <w:rPr>
          <w:b/>
          <w:sz w:val="24"/>
          <w:u w:val="single"/>
        </w:rPr>
        <w:lastRenderedPageBreak/>
        <w:t>Surcharge Rate Schedule</w:t>
      </w:r>
    </w:p>
    <w:p w14:paraId="03430D82" w14:textId="77777777" w:rsidR="002323BF" w:rsidRPr="005F67A4" w:rsidRDefault="002323BF" w:rsidP="00494D80">
      <w:pPr>
        <w:jc w:val="center"/>
        <w:rPr>
          <w:b/>
          <w:sz w:val="24"/>
          <w:u w:val="single"/>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9"/>
        <w:gridCol w:w="2019"/>
        <w:gridCol w:w="1757"/>
        <w:gridCol w:w="1670"/>
      </w:tblGrid>
      <w:tr w:rsidR="009C1535" w:rsidRPr="005F67A4" w14:paraId="03430D86" w14:textId="77777777" w:rsidTr="00C22650">
        <w:tc>
          <w:tcPr>
            <w:tcW w:w="2055" w:type="pct"/>
          </w:tcPr>
          <w:p w14:paraId="03430D83" w14:textId="77777777" w:rsidR="009C1535" w:rsidRPr="005F67A4" w:rsidRDefault="009C1535" w:rsidP="009C1535">
            <w:pPr>
              <w:pStyle w:val="Heading1"/>
              <w:rPr>
                <w:b/>
              </w:rPr>
            </w:pPr>
            <w:r>
              <w:rPr>
                <w:b/>
              </w:rPr>
              <w:t>Monthly Surcharge</w:t>
            </w:r>
          </w:p>
        </w:tc>
        <w:tc>
          <w:tcPr>
            <w:tcW w:w="1092" w:type="pct"/>
          </w:tcPr>
          <w:p w14:paraId="03430D84" w14:textId="77777777" w:rsidR="009C1535" w:rsidRPr="005F67A4" w:rsidRDefault="009C1535" w:rsidP="009C1535">
            <w:pPr>
              <w:jc w:val="center"/>
              <w:rPr>
                <w:b/>
                <w:sz w:val="24"/>
              </w:rPr>
            </w:pPr>
            <w:r>
              <w:rPr>
                <w:b/>
                <w:sz w:val="24"/>
              </w:rPr>
              <w:t>Current</w:t>
            </w:r>
          </w:p>
        </w:tc>
        <w:tc>
          <w:tcPr>
            <w:tcW w:w="950" w:type="pct"/>
          </w:tcPr>
          <w:p w14:paraId="764EDF29" w14:textId="167033DD" w:rsidR="009C1535" w:rsidRDefault="009C1535" w:rsidP="009C1535">
            <w:pPr>
              <w:jc w:val="center"/>
              <w:rPr>
                <w:b/>
                <w:sz w:val="24"/>
              </w:rPr>
            </w:pPr>
            <w:r>
              <w:rPr>
                <w:b/>
                <w:sz w:val="24"/>
              </w:rPr>
              <w:t>Proposed</w:t>
            </w:r>
          </w:p>
        </w:tc>
        <w:tc>
          <w:tcPr>
            <w:tcW w:w="904" w:type="pct"/>
          </w:tcPr>
          <w:p w14:paraId="03430D85" w14:textId="2AF76BF2" w:rsidR="009C1535" w:rsidRPr="005F67A4" w:rsidRDefault="009C1535" w:rsidP="009C1535">
            <w:pPr>
              <w:jc w:val="center"/>
              <w:rPr>
                <w:b/>
                <w:sz w:val="24"/>
              </w:rPr>
            </w:pPr>
            <w:r>
              <w:rPr>
                <w:b/>
                <w:sz w:val="24"/>
              </w:rPr>
              <w:t>Revised</w:t>
            </w:r>
          </w:p>
        </w:tc>
      </w:tr>
      <w:tr w:rsidR="009C1535" w:rsidRPr="005F67A4" w14:paraId="03430D8A" w14:textId="77777777" w:rsidTr="00C22650">
        <w:tc>
          <w:tcPr>
            <w:tcW w:w="2055" w:type="pct"/>
            <w:tcBorders>
              <w:bottom w:val="single" w:sz="4" w:space="0" w:color="auto"/>
            </w:tcBorders>
          </w:tcPr>
          <w:p w14:paraId="03430D87" w14:textId="77777777" w:rsidR="009C1535" w:rsidRPr="005F67A4" w:rsidRDefault="009C1535" w:rsidP="009C1535">
            <w:pPr>
              <w:pStyle w:val="Heading1"/>
              <w:jc w:val="left"/>
            </w:pPr>
            <w:r w:rsidRPr="005F67A4">
              <w:t xml:space="preserve">  </w:t>
            </w:r>
            <w:r>
              <w:t>May</w:t>
            </w:r>
            <w:r w:rsidRPr="005F67A4">
              <w:t xml:space="preserve"> 1, 20</w:t>
            </w:r>
            <w:r>
              <w:t>16</w:t>
            </w:r>
            <w:r w:rsidRPr="005F67A4">
              <w:t xml:space="preserve"> – </w:t>
            </w:r>
            <w:smartTag w:uri="urn:schemas-microsoft-com:office:smarttags" w:element="date">
              <w:smartTagPr>
                <w:attr w:name="Year" w:val="2028"/>
                <w:attr w:name="Day" w:val="31"/>
                <w:attr w:name="Month" w:val="12"/>
              </w:smartTagPr>
              <w:r w:rsidRPr="005F67A4">
                <w:t>December 31, 2028</w:t>
              </w:r>
              <w:r>
                <w:t>*</w:t>
              </w:r>
            </w:smartTag>
          </w:p>
        </w:tc>
        <w:tc>
          <w:tcPr>
            <w:tcW w:w="1092" w:type="pct"/>
            <w:tcBorders>
              <w:bottom w:val="single" w:sz="4" w:space="0" w:color="auto"/>
            </w:tcBorders>
          </w:tcPr>
          <w:p w14:paraId="03430D88" w14:textId="77777777" w:rsidR="009C1535" w:rsidRPr="005F67A4" w:rsidRDefault="009C1535" w:rsidP="009C1535">
            <w:pPr>
              <w:jc w:val="center"/>
              <w:rPr>
                <w:sz w:val="24"/>
              </w:rPr>
            </w:pPr>
            <w:r w:rsidRPr="005F67A4">
              <w:rPr>
                <w:sz w:val="24"/>
              </w:rPr>
              <w:t>$8.70 per month</w:t>
            </w:r>
          </w:p>
        </w:tc>
        <w:tc>
          <w:tcPr>
            <w:tcW w:w="950" w:type="pct"/>
            <w:tcBorders>
              <w:bottom w:val="single" w:sz="4" w:space="0" w:color="auto"/>
            </w:tcBorders>
          </w:tcPr>
          <w:p w14:paraId="48FECE39" w14:textId="1E4A37F7" w:rsidR="009C1535" w:rsidRPr="005F67A4" w:rsidRDefault="009C1535" w:rsidP="009C1535">
            <w:pPr>
              <w:jc w:val="center"/>
              <w:rPr>
                <w:sz w:val="24"/>
              </w:rPr>
            </w:pPr>
            <w:r w:rsidRPr="005F67A4">
              <w:rPr>
                <w:sz w:val="24"/>
              </w:rPr>
              <w:t>$</w:t>
            </w:r>
            <w:r>
              <w:rPr>
                <w:sz w:val="24"/>
              </w:rPr>
              <w:t>10.40</w:t>
            </w:r>
          </w:p>
        </w:tc>
        <w:tc>
          <w:tcPr>
            <w:tcW w:w="904" w:type="pct"/>
            <w:tcBorders>
              <w:bottom w:val="single" w:sz="4" w:space="0" w:color="auto"/>
            </w:tcBorders>
          </w:tcPr>
          <w:p w14:paraId="03430D89" w14:textId="16744C46" w:rsidR="009C1535" w:rsidRPr="005F67A4" w:rsidRDefault="009C1535" w:rsidP="009C1535">
            <w:pPr>
              <w:jc w:val="center"/>
              <w:rPr>
                <w:sz w:val="24"/>
              </w:rPr>
            </w:pPr>
            <w:r w:rsidRPr="005F67A4">
              <w:rPr>
                <w:sz w:val="24"/>
              </w:rPr>
              <w:t>$</w:t>
            </w:r>
            <w:r>
              <w:rPr>
                <w:sz w:val="24"/>
              </w:rPr>
              <w:t>10.1</w:t>
            </w:r>
            <w:r w:rsidRPr="005F67A4">
              <w:rPr>
                <w:sz w:val="24"/>
              </w:rPr>
              <w:t xml:space="preserve">0 </w:t>
            </w:r>
          </w:p>
        </w:tc>
      </w:tr>
      <w:tr w:rsidR="009C1535" w:rsidRPr="005F67A4" w14:paraId="03430D8E" w14:textId="77777777" w:rsidTr="00C22650">
        <w:tc>
          <w:tcPr>
            <w:tcW w:w="2055" w:type="pct"/>
            <w:tcBorders>
              <w:top w:val="single" w:sz="4" w:space="0" w:color="auto"/>
              <w:left w:val="single" w:sz="4" w:space="0" w:color="auto"/>
              <w:bottom w:val="single" w:sz="4" w:space="0" w:color="auto"/>
              <w:right w:val="single" w:sz="4" w:space="0" w:color="auto"/>
            </w:tcBorders>
          </w:tcPr>
          <w:p w14:paraId="03430D8B" w14:textId="77777777" w:rsidR="009C1535" w:rsidRPr="005F67A4" w:rsidRDefault="009C1535" w:rsidP="009C1535">
            <w:pPr>
              <w:pStyle w:val="Heading1"/>
              <w:jc w:val="left"/>
            </w:pPr>
          </w:p>
        </w:tc>
        <w:tc>
          <w:tcPr>
            <w:tcW w:w="1092" w:type="pct"/>
            <w:tcBorders>
              <w:top w:val="single" w:sz="4" w:space="0" w:color="auto"/>
              <w:left w:val="single" w:sz="4" w:space="0" w:color="auto"/>
              <w:bottom w:val="single" w:sz="4" w:space="0" w:color="auto"/>
              <w:right w:val="single" w:sz="4" w:space="0" w:color="auto"/>
            </w:tcBorders>
          </w:tcPr>
          <w:p w14:paraId="03430D8C" w14:textId="77777777" w:rsidR="009C1535" w:rsidRPr="005F67A4" w:rsidRDefault="009C1535" w:rsidP="009C1535">
            <w:pPr>
              <w:jc w:val="center"/>
              <w:rPr>
                <w:sz w:val="24"/>
              </w:rPr>
            </w:pPr>
          </w:p>
        </w:tc>
        <w:tc>
          <w:tcPr>
            <w:tcW w:w="950" w:type="pct"/>
            <w:tcBorders>
              <w:top w:val="single" w:sz="4" w:space="0" w:color="auto"/>
              <w:left w:val="single" w:sz="4" w:space="0" w:color="auto"/>
              <w:bottom w:val="single" w:sz="4" w:space="0" w:color="auto"/>
              <w:right w:val="single" w:sz="4" w:space="0" w:color="auto"/>
            </w:tcBorders>
          </w:tcPr>
          <w:p w14:paraId="40F8A69B" w14:textId="4AF28739" w:rsidR="009C1535" w:rsidRDefault="009C1535" w:rsidP="009C1535">
            <w:pPr>
              <w:jc w:val="center"/>
              <w:rPr>
                <w:sz w:val="24"/>
              </w:rPr>
            </w:pPr>
            <w:r>
              <w:rPr>
                <w:sz w:val="24"/>
              </w:rPr>
              <w:t>$1.70     19.5%</w:t>
            </w:r>
          </w:p>
        </w:tc>
        <w:tc>
          <w:tcPr>
            <w:tcW w:w="904" w:type="pct"/>
            <w:tcBorders>
              <w:top w:val="single" w:sz="4" w:space="0" w:color="auto"/>
              <w:left w:val="single" w:sz="4" w:space="0" w:color="auto"/>
              <w:bottom w:val="single" w:sz="4" w:space="0" w:color="auto"/>
              <w:right w:val="single" w:sz="4" w:space="0" w:color="auto"/>
            </w:tcBorders>
          </w:tcPr>
          <w:p w14:paraId="03430D8D" w14:textId="1C5E246F" w:rsidR="009C1535" w:rsidRPr="005F67A4" w:rsidRDefault="009C1535" w:rsidP="009C1535">
            <w:pPr>
              <w:jc w:val="center"/>
              <w:rPr>
                <w:sz w:val="24"/>
              </w:rPr>
            </w:pPr>
            <w:r>
              <w:rPr>
                <w:sz w:val="24"/>
              </w:rPr>
              <w:t>$1.40     16.1%</w:t>
            </w:r>
          </w:p>
        </w:tc>
      </w:tr>
    </w:tbl>
    <w:p w14:paraId="03430D8F" w14:textId="77777777" w:rsidR="00494D80" w:rsidRDefault="004C00E5" w:rsidP="00494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 xml:space="preserve">   * Or until the loans are paid in full, whichever occurs first.</w:t>
      </w:r>
    </w:p>
    <w:p w14:paraId="03430D91" w14:textId="77777777" w:rsidR="005009B0" w:rsidRDefault="005009B0" w:rsidP="00494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 xml:space="preserve">The surcharge is in addition to any </w:t>
      </w:r>
      <w:r w:rsidRPr="00B81B44">
        <w:rPr>
          <w:sz w:val="24"/>
        </w:rPr>
        <w:t>monthly charges for water service.</w:t>
      </w:r>
    </w:p>
    <w:p w14:paraId="26ED2ECC" w14:textId="77777777" w:rsidR="00020493" w:rsidRPr="00B81B44" w:rsidRDefault="00020493" w:rsidP="00494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430D92" w14:textId="77777777" w:rsidR="00B81B44" w:rsidRPr="00B81B44" w:rsidRDefault="00B81B44" w:rsidP="00B81B44">
      <w:pPr>
        <w:jc w:val="center"/>
        <w:rPr>
          <w:sz w:val="24"/>
        </w:rPr>
      </w:pPr>
      <w:r w:rsidRPr="00B81B44">
        <w:rPr>
          <w:b/>
          <w:sz w:val="24"/>
          <w:u w:val="single"/>
        </w:rPr>
        <w:t>Monthly Residential Bill Comparison</w:t>
      </w:r>
      <w:r>
        <w:rPr>
          <w:b/>
          <w:sz w:val="24"/>
          <w:u w:val="single"/>
        </w:rPr>
        <w:t>*</w:t>
      </w:r>
      <w:r w:rsidRPr="00B81B44">
        <w:rPr>
          <w:b/>
          <w:sz w:val="24"/>
          <w:u w:val="single"/>
        </w:rPr>
        <w:t xml:space="preserve"> </w:t>
      </w:r>
    </w:p>
    <w:p w14:paraId="03430D93" w14:textId="77777777" w:rsidR="00B81B44" w:rsidRPr="00B81B44" w:rsidRDefault="00B81B44" w:rsidP="00B81B44">
      <w:pPr>
        <w:jc w:val="center"/>
        <w:rPr>
          <w:sz w:val="24"/>
        </w:rPr>
      </w:pPr>
    </w:p>
    <w:tbl>
      <w:tblPr>
        <w:tblStyle w:val="TableGrid"/>
        <w:tblW w:w="9468" w:type="dxa"/>
        <w:jc w:val="center"/>
        <w:tblLook w:val="04A0" w:firstRow="1" w:lastRow="0" w:firstColumn="1" w:lastColumn="0" w:noHBand="0" w:noVBand="1"/>
      </w:tblPr>
      <w:tblGrid>
        <w:gridCol w:w="3888"/>
        <w:gridCol w:w="2070"/>
        <w:gridCol w:w="1800"/>
        <w:gridCol w:w="1710"/>
      </w:tblGrid>
      <w:tr w:rsidR="009C1535" w:rsidRPr="00B81B44" w14:paraId="03430D97" w14:textId="77777777" w:rsidTr="00C22650">
        <w:trPr>
          <w:jc w:val="center"/>
        </w:trPr>
        <w:tc>
          <w:tcPr>
            <w:tcW w:w="3888" w:type="dxa"/>
            <w:tcBorders>
              <w:bottom w:val="single" w:sz="4" w:space="0" w:color="auto"/>
            </w:tcBorders>
            <w:shd w:val="clear" w:color="auto" w:fill="auto"/>
          </w:tcPr>
          <w:p w14:paraId="03430D94" w14:textId="77777777" w:rsidR="009C1535" w:rsidRPr="00B81B44" w:rsidRDefault="009C1535" w:rsidP="009C1535">
            <w:pPr>
              <w:rPr>
                <w:b/>
                <w:sz w:val="24"/>
              </w:rPr>
            </w:pPr>
            <w:r w:rsidRPr="00B81B44">
              <w:rPr>
                <w:b/>
                <w:sz w:val="24"/>
              </w:rPr>
              <w:t>Monthly Average 668 Cubic Feet</w:t>
            </w:r>
          </w:p>
        </w:tc>
        <w:tc>
          <w:tcPr>
            <w:tcW w:w="2070" w:type="dxa"/>
            <w:shd w:val="clear" w:color="auto" w:fill="auto"/>
          </w:tcPr>
          <w:p w14:paraId="03430D95" w14:textId="77777777" w:rsidR="009C1535" w:rsidRPr="00B81B44" w:rsidRDefault="009C1535" w:rsidP="009C1535">
            <w:pPr>
              <w:jc w:val="center"/>
              <w:rPr>
                <w:b/>
                <w:sz w:val="24"/>
              </w:rPr>
            </w:pPr>
            <w:r w:rsidRPr="00B81B44">
              <w:rPr>
                <w:b/>
                <w:sz w:val="24"/>
              </w:rPr>
              <w:t>Current</w:t>
            </w:r>
          </w:p>
        </w:tc>
        <w:tc>
          <w:tcPr>
            <w:tcW w:w="1800" w:type="dxa"/>
          </w:tcPr>
          <w:p w14:paraId="51E1C78F" w14:textId="1F6527B8" w:rsidR="009C1535" w:rsidRPr="00B81B44" w:rsidRDefault="009C1535" w:rsidP="009C1535">
            <w:pPr>
              <w:jc w:val="center"/>
              <w:rPr>
                <w:b/>
                <w:sz w:val="24"/>
              </w:rPr>
            </w:pPr>
            <w:r w:rsidRPr="00B81B44">
              <w:rPr>
                <w:b/>
                <w:sz w:val="24"/>
              </w:rPr>
              <w:t>Proposed</w:t>
            </w:r>
          </w:p>
        </w:tc>
        <w:tc>
          <w:tcPr>
            <w:tcW w:w="1710" w:type="dxa"/>
            <w:shd w:val="clear" w:color="auto" w:fill="auto"/>
          </w:tcPr>
          <w:p w14:paraId="03430D96" w14:textId="7FB10477" w:rsidR="009C1535" w:rsidRPr="00B81B44" w:rsidRDefault="009C1535" w:rsidP="009C1535">
            <w:pPr>
              <w:jc w:val="center"/>
              <w:rPr>
                <w:b/>
                <w:sz w:val="24"/>
              </w:rPr>
            </w:pPr>
            <w:r>
              <w:rPr>
                <w:b/>
                <w:sz w:val="24"/>
              </w:rPr>
              <w:t>Revised</w:t>
            </w:r>
          </w:p>
        </w:tc>
      </w:tr>
      <w:tr w:rsidR="009C1535" w:rsidRPr="00B81B44" w14:paraId="03430D9B" w14:textId="77777777" w:rsidTr="00C22650">
        <w:trPr>
          <w:jc w:val="center"/>
        </w:trPr>
        <w:tc>
          <w:tcPr>
            <w:tcW w:w="3888" w:type="dxa"/>
          </w:tcPr>
          <w:p w14:paraId="03430D98" w14:textId="77777777" w:rsidR="009C1535" w:rsidRPr="00B81B44" w:rsidRDefault="009C1535" w:rsidP="009C1535">
            <w:pPr>
              <w:rPr>
                <w:sz w:val="24"/>
              </w:rPr>
            </w:pPr>
            <w:r w:rsidRPr="00B81B44">
              <w:rPr>
                <w:sz w:val="24"/>
              </w:rPr>
              <w:t xml:space="preserve">3/4-Inch Metered Base </w:t>
            </w:r>
          </w:p>
        </w:tc>
        <w:tc>
          <w:tcPr>
            <w:tcW w:w="2070" w:type="dxa"/>
          </w:tcPr>
          <w:p w14:paraId="03430D99" w14:textId="77777777" w:rsidR="009C1535" w:rsidRPr="00B81B44" w:rsidRDefault="009C1535" w:rsidP="009C1535">
            <w:pPr>
              <w:jc w:val="center"/>
              <w:rPr>
                <w:sz w:val="24"/>
              </w:rPr>
            </w:pPr>
            <w:r w:rsidRPr="00B81B44">
              <w:rPr>
                <w:sz w:val="24"/>
              </w:rPr>
              <w:t>$19.25</w:t>
            </w:r>
          </w:p>
        </w:tc>
        <w:tc>
          <w:tcPr>
            <w:tcW w:w="1800" w:type="dxa"/>
          </w:tcPr>
          <w:p w14:paraId="7F2E2E80" w14:textId="06B17332" w:rsidR="009C1535" w:rsidRDefault="009C1535" w:rsidP="009C1535">
            <w:pPr>
              <w:jc w:val="center"/>
              <w:rPr>
                <w:sz w:val="24"/>
              </w:rPr>
            </w:pPr>
            <w:r>
              <w:rPr>
                <w:sz w:val="24"/>
              </w:rPr>
              <w:t>$19.25</w:t>
            </w:r>
          </w:p>
        </w:tc>
        <w:tc>
          <w:tcPr>
            <w:tcW w:w="1710" w:type="dxa"/>
          </w:tcPr>
          <w:p w14:paraId="03430D9A" w14:textId="694121FB" w:rsidR="009C1535" w:rsidRPr="00B81B44" w:rsidRDefault="009C1535" w:rsidP="009C1535">
            <w:pPr>
              <w:jc w:val="center"/>
              <w:rPr>
                <w:sz w:val="24"/>
              </w:rPr>
            </w:pPr>
            <w:r>
              <w:rPr>
                <w:sz w:val="24"/>
              </w:rPr>
              <w:t>$19.25</w:t>
            </w:r>
          </w:p>
        </w:tc>
      </w:tr>
      <w:tr w:rsidR="009C1535" w:rsidRPr="00B81B44" w14:paraId="03430D9F" w14:textId="77777777" w:rsidTr="00C22650">
        <w:trPr>
          <w:jc w:val="center"/>
        </w:trPr>
        <w:tc>
          <w:tcPr>
            <w:tcW w:w="3888" w:type="dxa"/>
          </w:tcPr>
          <w:p w14:paraId="03430D9C" w14:textId="77777777" w:rsidR="009C1535" w:rsidRPr="00B81B44" w:rsidRDefault="009C1535" w:rsidP="009C1535">
            <w:pPr>
              <w:rPr>
                <w:sz w:val="24"/>
              </w:rPr>
            </w:pPr>
            <w:r w:rsidRPr="00B81B44">
              <w:rPr>
                <w:sz w:val="24"/>
              </w:rPr>
              <w:t>668 Cubic Feet</w:t>
            </w:r>
          </w:p>
        </w:tc>
        <w:tc>
          <w:tcPr>
            <w:tcW w:w="2070" w:type="dxa"/>
          </w:tcPr>
          <w:p w14:paraId="03430D9D" w14:textId="77777777" w:rsidR="009C1535" w:rsidRPr="00B81B44" w:rsidRDefault="009C1535" w:rsidP="009C1535">
            <w:pPr>
              <w:jc w:val="center"/>
              <w:rPr>
                <w:sz w:val="24"/>
              </w:rPr>
            </w:pPr>
            <w:r w:rsidRPr="00B81B44">
              <w:rPr>
                <w:sz w:val="24"/>
              </w:rPr>
              <w:t>$40.03</w:t>
            </w:r>
          </w:p>
        </w:tc>
        <w:tc>
          <w:tcPr>
            <w:tcW w:w="1800" w:type="dxa"/>
          </w:tcPr>
          <w:p w14:paraId="02D05489" w14:textId="609D053A" w:rsidR="009C1535" w:rsidRDefault="009C1535" w:rsidP="009C1535">
            <w:pPr>
              <w:jc w:val="center"/>
              <w:rPr>
                <w:sz w:val="24"/>
              </w:rPr>
            </w:pPr>
            <w:r>
              <w:rPr>
                <w:sz w:val="24"/>
              </w:rPr>
              <w:t>$40.03</w:t>
            </w:r>
          </w:p>
        </w:tc>
        <w:tc>
          <w:tcPr>
            <w:tcW w:w="1710" w:type="dxa"/>
          </w:tcPr>
          <w:p w14:paraId="03430D9E" w14:textId="564730EA" w:rsidR="009C1535" w:rsidRPr="00B81B44" w:rsidRDefault="009C1535" w:rsidP="009C1535">
            <w:pPr>
              <w:jc w:val="center"/>
              <w:rPr>
                <w:sz w:val="24"/>
              </w:rPr>
            </w:pPr>
            <w:r>
              <w:rPr>
                <w:sz w:val="24"/>
              </w:rPr>
              <w:t>$40.03</w:t>
            </w:r>
          </w:p>
        </w:tc>
      </w:tr>
      <w:tr w:rsidR="009C1535" w:rsidRPr="00B81B44" w14:paraId="03430DA3" w14:textId="77777777" w:rsidTr="00C22650">
        <w:trPr>
          <w:jc w:val="center"/>
        </w:trPr>
        <w:tc>
          <w:tcPr>
            <w:tcW w:w="3888" w:type="dxa"/>
          </w:tcPr>
          <w:p w14:paraId="03430DA0" w14:textId="77777777" w:rsidR="009C1535" w:rsidRPr="00B81B44" w:rsidRDefault="009C1535" w:rsidP="009C1535">
            <w:pPr>
              <w:rPr>
                <w:sz w:val="24"/>
              </w:rPr>
            </w:pPr>
            <w:r>
              <w:rPr>
                <w:sz w:val="24"/>
              </w:rPr>
              <w:t>Surcharge</w:t>
            </w:r>
          </w:p>
        </w:tc>
        <w:tc>
          <w:tcPr>
            <w:tcW w:w="2070" w:type="dxa"/>
            <w:tcBorders>
              <w:top w:val="single" w:sz="18" w:space="0" w:color="auto"/>
              <w:bottom w:val="single" w:sz="4" w:space="0" w:color="auto"/>
            </w:tcBorders>
          </w:tcPr>
          <w:p w14:paraId="03430DA1" w14:textId="77777777" w:rsidR="009C1535" w:rsidRPr="00B81B44" w:rsidRDefault="009C1535" w:rsidP="009C1535">
            <w:pPr>
              <w:jc w:val="center"/>
              <w:rPr>
                <w:sz w:val="24"/>
              </w:rPr>
            </w:pPr>
            <w:r>
              <w:rPr>
                <w:sz w:val="24"/>
              </w:rPr>
              <w:t>$8.70</w:t>
            </w:r>
          </w:p>
        </w:tc>
        <w:tc>
          <w:tcPr>
            <w:tcW w:w="1800" w:type="dxa"/>
            <w:tcBorders>
              <w:top w:val="single" w:sz="18" w:space="0" w:color="auto"/>
              <w:bottom w:val="single" w:sz="4" w:space="0" w:color="auto"/>
            </w:tcBorders>
          </w:tcPr>
          <w:p w14:paraId="16946DA3" w14:textId="02DE6787" w:rsidR="009C1535" w:rsidRDefault="009C1535" w:rsidP="009C1535">
            <w:pPr>
              <w:jc w:val="center"/>
              <w:rPr>
                <w:sz w:val="24"/>
              </w:rPr>
            </w:pPr>
            <w:r>
              <w:rPr>
                <w:sz w:val="24"/>
              </w:rPr>
              <w:t>$10.40</w:t>
            </w:r>
          </w:p>
        </w:tc>
        <w:tc>
          <w:tcPr>
            <w:tcW w:w="1710" w:type="dxa"/>
            <w:tcBorders>
              <w:top w:val="single" w:sz="18" w:space="0" w:color="auto"/>
              <w:bottom w:val="single" w:sz="4" w:space="0" w:color="auto"/>
            </w:tcBorders>
          </w:tcPr>
          <w:p w14:paraId="03430DA2" w14:textId="17721793" w:rsidR="009C1535" w:rsidRPr="00B81B44" w:rsidRDefault="009C1535" w:rsidP="009C1535">
            <w:pPr>
              <w:jc w:val="center"/>
              <w:rPr>
                <w:sz w:val="24"/>
              </w:rPr>
            </w:pPr>
            <w:r>
              <w:rPr>
                <w:sz w:val="24"/>
              </w:rPr>
              <w:t>$10.10</w:t>
            </w:r>
          </w:p>
        </w:tc>
      </w:tr>
      <w:tr w:rsidR="009C1535" w:rsidRPr="00B81B44" w14:paraId="03430DA7" w14:textId="77777777" w:rsidTr="00C22650">
        <w:trPr>
          <w:jc w:val="center"/>
        </w:trPr>
        <w:tc>
          <w:tcPr>
            <w:tcW w:w="3888" w:type="dxa"/>
          </w:tcPr>
          <w:p w14:paraId="03430DA4" w14:textId="77777777" w:rsidR="009C1535" w:rsidRPr="00B81B44" w:rsidRDefault="009C1535" w:rsidP="009C1535">
            <w:pPr>
              <w:rPr>
                <w:sz w:val="24"/>
              </w:rPr>
            </w:pPr>
            <w:r w:rsidRPr="00B81B44">
              <w:rPr>
                <w:sz w:val="24"/>
              </w:rPr>
              <w:t xml:space="preserve">Water Bill Total </w:t>
            </w:r>
          </w:p>
        </w:tc>
        <w:tc>
          <w:tcPr>
            <w:tcW w:w="2070" w:type="dxa"/>
            <w:tcBorders>
              <w:bottom w:val="single" w:sz="18" w:space="0" w:color="auto"/>
            </w:tcBorders>
          </w:tcPr>
          <w:p w14:paraId="03430DA5" w14:textId="77777777" w:rsidR="009C1535" w:rsidRPr="00B81B44" w:rsidRDefault="009C1535" w:rsidP="009C1535">
            <w:pPr>
              <w:jc w:val="center"/>
              <w:rPr>
                <w:sz w:val="24"/>
              </w:rPr>
            </w:pPr>
            <w:r>
              <w:rPr>
                <w:sz w:val="24"/>
              </w:rPr>
              <w:t>$67.98</w:t>
            </w:r>
          </w:p>
        </w:tc>
        <w:tc>
          <w:tcPr>
            <w:tcW w:w="1800" w:type="dxa"/>
            <w:tcBorders>
              <w:bottom w:val="single" w:sz="18" w:space="0" w:color="auto"/>
            </w:tcBorders>
          </w:tcPr>
          <w:p w14:paraId="208241AB" w14:textId="29365746" w:rsidR="009C1535" w:rsidRPr="00B81B44" w:rsidRDefault="009C1535" w:rsidP="009C1535">
            <w:pPr>
              <w:jc w:val="center"/>
              <w:rPr>
                <w:sz w:val="24"/>
              </w:rPr>
            </w:pPr>
            <w:r w:rsidRPr="00B81B44">
              <w:rPr>
                <w:sz w:val="24"/>
              </w:rPr>
              <w:t>$</w:t>
            </w:r>
            <w:r>
              <w:rPr>
                <w:sz w:val="24"/>
              </w:rPr>
              <w:t>69.68</w:t>
            </w:r>
          </w:p>
        </w:tc>
        <w:tc>
          <w:tcPr>
            <w:tcW w:w="1710" w:type="dxa"/>
            <w:tcBorders>
              <w:bottom w:val="single" w:sz="18" w:space="0" w:color="auto"/>
            </w:tcBorders>
          </w:tcPr>
          <w:p w14:paraId="03430DA6" w14:textId="146441BD" w:rsidR="009C1535" w:rsidRPr="00B81B44" w:rsidRDefault="009C1535" w:rsidP="009C1535">
            <w:pPr>
              <w:jc w:val="center"/>
              <w:rPr>
                <w:sz w:val="24"/>
              </w:rPr>
            </w:pPr>
            <w:r w:rsidRPr="00B81B44">
              <w:rPr>
                <w:sz w:val="24"/>
              </w:rPr>
              <w:t>$</w:t>
            </w:r>
            <w:r>
              <w:rPr>
                <w:sz w:val="24"/>
              </w:rPr>
              <w:t>69.38</w:t>
            </w:r>
          </w:p>
        </w:tc>
      </w:tr>
      <w:tr w:rsidR="009C1535" w:rsidRPr="00B81B44" w14:paraId="03430DAB" w14:textId="77777777" w:rsidTr="00C22650">
        <w:trPr>
          <w:jc w:val="center"/>
        </w:trPr>
        <w:tc>
          <w:tcPr>
            <w:tcW w:w="3888" w:type="dxa"/>
          </w:tcPr>
          <w:p w14:paraId="03430DA8" w14:textId="77777777" w:rsidR="009C1535" w:rsidRPr="00B81B44" w:rsidRDefault="009C1535" w:rsidP="009C1535">
            <w:pPr>
              <w:rPr>
                <w:sz w:val="24"/>
              </w:rPr>
            </w:pPr>
            <w:r w:rsidRPr="00B81B44">
              <w:rPr>
                <w:sz w:val="24"/>
              </w:rPr>
              <w:t xml:space="preserve">Increase From Current Rates </w:t>
            </w:r>
          </w:p>
        </w:tc>
        <w:tc>
          <w:tcPr>
            <w:tcW w:w="2070" w:type="dxa"/>
            <w:tcBorders>
              <w:top w:val="single" w:sz="18" w:space="0" w:color="auto"/>
              <w:bottom w:val="single" w:sz="4" w:space="0" w:color="auto"/>
            </w:tcBorders>
          </w:tcPr>
          <w:p w14:paraId="03430DA9" w14:textId="77777777" w:rsidR="009C1535" w:rsidRPr="00B81B44" w:rsidRDefault="009C1535" w:rsidP="009C1535">
            <w:pPr>
              <w:jc w:val="center"/>
              <w:rPr>
                <w:sz w:val="24"/>
              </w:rPr>
            </w:pPr>
          </w:p>
        </w:tc>
        <w:tc>
          <w:tcPr>
            <w:tcW w:w="1800" w:type="dxa"/>
            <w:tcBorders>
              <w:top w:val="single" w:sz="18" w:space="0" w:color="auto"/>
              <w:bottom w:val="single" w:sz="4" w:space="0" w:color="auto"/>
            </w:tcBorders>
          </w:tcPr>
          <w:p w14:paraId="58D7816A" w14:textId="24BED8DF" w:rsidR="009C1535" w:rsidRDefault="009C1535" w:rsidP="009C1535">
            <w:pPr>
              <w:jc w:val="center"/>
              <w:rPr>
                <w:sz w:val="24"/>
              </w:rPr>
            </w:pPr>
            <w:r>
              <w:rPr>
                <w:sz w:val="24"/>
              </w:rPr>
              <w:t xml:space="preserve">$1.70  </w:t>
            </w:r>
            <w:r w:rsidRPr="00B81B44">
              <w:rPr>
                <w:sz w:val="24"/>
              </w:rPr>
              <w:t xml:space="preserve">   </w:t>
            </w:r>
            <w:r>
              <w:rPr>
                <w:sz w:val="24"/>
              </w:rPr>
              <w:t>2.5</w:t>
            </w:r>
            <w:r w:rsidRPr="00B81B44">
              <w:rPr>
                <w:sz w:val="24"/>
              </w:rPr>
              <w:t xml:space="preserve">% </w:t>
            </w:r>
          </w:p>
        </w:tc>
        <w:tc>
          <w:tcPr>
            <w:tcW w:w="1710" w:type="dxa"/>
            <w:tcBorders>
              <w:top w:val="single" w:sz="18" w:space="0" w:color="auto"/>
              <w:bottom w:val="single" w:sz="4" w:space="0" w:color="auto"/>
            </w:tcBorders>
          </w:tcPr>
          <w:p w14:paraId="03430DAA" w14:textId="2B01725C" w:rsidR="009C1535" w:rsidRPr="00B81B44" w:rsidRDefault="009C1535" w:rsidP="00060275">
            <w:pPr>
              <w:jc w:val="center"/>
              <w:rPr>
                <w:sz w:val="24"/>
              </w:rPr>
            </w:pPr>
            <w:r>
              <w:rPr>
                <w:sz w:val="24"/>
              </w:rPr>
              <w:t xml:space="preserve">$1.40  </w:t>
            </w:r>
            <w:r w:rsidRPr="00B81B44">
              <w:rPr>
                <w:sz w:val="24"/>
              </w:rPr>
              <w:t xml:space="preserve">   </w:t>
            </w:r>
            <w:r w:rsidR="00060275">
              <w:rPr>
                <w:sz w:val="24"/>
              </w:rPr>
              <w:t>2</w:t>
            </w:r>
            <w:r w:rsidRPr="00B81B44">
              <w:rPr>
                <w:sz w:val="24"/>
              </w:rPr>
              <w:t xml:space="preserve">% </w:t>
            </w:r>
          </w:p>
        </w:tc>
      </w:tr>
    </w:tbl>
    <w:p w14:paraId="03430DAC" w14:textId="77777777" w:rsidR="00B81B44" w:rsidRPr="00B81B44" w:rsidRDefault="00B81B44" w:rsidP="00B81B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Cs w:val="20"/>
        </w:rPr>
      </w:pPr>
      <w:r>
        <w:rPr>
          <w:sz w:val="24"/>
        </w:rPr>
        <w:tab/>
      </w:r>
      <w:r w:rsidRPr="00B81B44">
        <w:rPr>
          <w:szCs w:val="20"/>
        </w:rPr>
        <w:t>*Based on general rate case UW-141114, Effective November 1, 2014</w:t>
      </w:r>
      <w:r w:rsidR="00293678">
        <w:rPr>
          <w:szCs w:val="20"/>
        </w:rPr>
        <w:t>.</w:t>
      </w:r>
    </w:p>
    <w:p w14:paraId="03430DAD" w14:textId="77777777" w:rsidR="00293678" w:rsidRDefault="00293678" w:rsidP="0050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0000"/>
          <w:sz w:val="24"/>
          <w:u w:val="single"/>
        </w:rPr>
      </w:pPr>
    </w:p>
    <w:p w14:paraId="03430DAE" w14:textId="77777777" w:rsidR="005B278A" w:rsidRPr="005F67A4" w:rsidRDefault="00293678" w:rsidP="0050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color w:val="000000"/>
          <w:sz w:val="24"/>
          <w:u w:val="single"/>
        </w:rPr>
      </w:pPr>
      <w:r>
        <w:rPr>
          <w:b/>
          <w:color w:val="000000"/>
          <w:sz w:val="24"/>
          <w:u w:val="single"/>
        </w:rPr>
        <w:t>Loan B</w:t>
      </w:r>
      <w:r w:rsidR="005B278A" w:rsidRPr="005F67A4">
        <w:rPr>
          <w:b/>
          <w:color w:val="000000"/>
          <w:sz w:val="24"/>
          <w:u w:val="single"/>
        </w:rPr>
        <w:t>ackground</w:t>
      </w:r>
    </w:p>
    <w:p w14:paraId="03430DAF" w14:textId="77777777" w:rsidR="00106CFF" w:rsidRDefault="00106CFF" w:rsidP="00106C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3430DB0" w14:textId="77777777" w:rsidR="00106CFF" w:rsidRPr="002159E8" w:rsidRDefault="00106CFF" w:rsidP="002159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color w:val="000000"/>
          <w:sz w:val="24"/>
        </w:rPr>
        <w:t xml:space="preserve">The DWSRF loan program provides low-interest loans to water systems around the state for capital improvements that increase public health protection and compliance with drinking water regulations. </w:t>
      </w:r>
      <w:r w:rsidR="002159E8" w:rsidRPr="005F67A4">
        <w:rPr>
          <w:sz w:val="24"/>
        </w:rPr>
        <w:t>The loan contracts are low interest (1.5 percent), 20-year loans approved by the PWB</w:t>
      </w:r>
      <w:r w:rsidR="002159E8">
        <w:rPr>
          <w:sz w:val="24"/>
        </w:rPr>
        <w:t>.</w:t>
      </w:r>
      <w:r w:rsidR="002159E8" w:rsidRPr="005F67A4">
        <w:rPr>
          <w:sz w:val="24"/>
        </w:rPr>
        <w:t xml:space="preserve"> </w:t>
      </w:r>
      <w:r w:rsidRPr="005F67A4">
        <w:rPr>
          <w:color w:val="000000"/>
          <w:sz w:val="24"/>
        </w:rPr>
        <w:t xml:space="preserve">The </w:t>
      </w:r>
      <w:r>
        <w:rPr>
          <w:color w:val="000000"/>
          <w:sz w:val="24"/>
        </w:rPr>
        <w:t xml:space="preserve">Department of Health (DOH) </w:t>
      </w:r>
      <w:r w:rsidRPr="005F67A4">
        <w:rPr>
          <w:color w:val="000000"/>
          <w:sz w:val="24"/>
        </w:rPr>
        <w:t xml:space="preserve">and the PWB jointly administer the DWSRF program. </w:t>
      </w:r>
      <w:r>
        <w:rPr>
          <w:color w:val="000000"/>
          <w:sz w:val="24"/>
        </w:rPr>
        <w:t xml:space="preserve">The </w:t>
      </w:r>
      <w:r w:rsidRPr="005F67A4">
        <w:rPr>
          <w:color w:val="000000"/>
          <w:sz w:val="24"/>
        </w:rPr>
        <w:t xml:space="preserve">DOH staff </w:t>
      </w:r>
      <w:r>
        <w:rPr>
          <w:color w:val="000000"/>
          <w:sz w:val="24"/>
        </w:rPr>
        <w:t>evaluates</w:t>
      </w:r>
      <w:r w:rsidRPr="005F67A4">
        <w:rPr>
          <w:color w:val="000000"/>
          <w:sz w:val="24"/>
        </w:rPr>
        <w:t xml:space="preserve"> all </w:t>
      </w:r>
      <w:r>
        <w:rPr>
          <w:color w:val="000000"/>
          <w:sz w:val="24"/>
        </w:rPr>
        <w:t>loan</w:t>
      </w:r>
      <w:r w:rsidRPr="005F67A4">
        <w:rPr>
          <w:color w:val="000000"/>
          <w:sz w:val="24"/>
        </w:rPr>
        <w:t xml:space="preserve"> applications and, using a scoring method designed to measure the health risk that each project will address, assigns points to each application. The applications are</w:t>
      </w:r>
      <w:r>
        <w:rPr>
          <w:color w:val="000000"/>
          <w:sz w:val="24"/>
        </w:rPr>
        <w:t xml:space="preserve"> then</w:t>
      </w:r>
      <w:r w:rsidRPr="005F67A4">
        <w:rPr>
          <w:color w:val="000000"/>
          <w:sz w:val="24"/>
        </w:rPr>
        <w:t xml:space="preserve"> ranked according</w:t>
      </w:r>
      <w:r>
        <w:rPr>
          <w:color w:val="000000"/>
          <w:sz w:val="24"/>
        </w:rPr>
        <w:t xml:space="preserve"> to their scores. </w:t>
      </w:r>
    </w:p>
    <w:p w14:paraId="03430DB1" w14:textId="77777777" w:rsidR="00106CFF" w:rsidRDefault="00106CFF" w:rsidP="00106C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3430DB2" w14:textId="77777777" w:rsidR="00106CFF" w:rsidRDefault="00106CFF" w:rsidP="00106C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5F67A4">
        <w:rPr>
          <w:color w:val="000000"/>
          <w:sz w:val="24"/>
        </w:rPr>
        <w:t xml:space="preserve">Aquarius </w:t>
      </w:r>
      <w:r w:rsidR="001D4653">
        <w:rPr>
          <w:color w:val="000000"/>
          <w:sz w:val="24"/>
        </w:rPr>
        <w:t xml:space="preserve">was able to receive the loans and </w:t>
      </w:r>
      <w:r w:rsidRPr="005F67A4">
        <w:rPr>
          <w:color w:val="000000"/>
          <w:sz w:val="24"/>
        </w:rPr>
        <w:t xml:space="preserve">build </w:t>
      </w:r>
      <w:r>
        <w:rPr>
          <w:color w:val="000000"/>
          <w:sz w:val="24"/>
        </w:rPr>
        <w:t xml:space="preserve">new </w:t>
      </w:r>
      <w:r w:rsidRPr="005F67A4">
        <w:rPr>
          <w:color w:val="000000"/>
          <w:sz w:val="24"/>
        </w:rPr>
        <w:t>storage tanks</w:t>
      </w:r>
      <w:r>
        <w:rPr>
          <w:color w:val="000000"/>
          <w:sz w:val="24"/>
        </w:rPr>
        <w:t xml:space="preserve"> at</w:t>
      </w:r>
      <w:r w:rsidRPr="005F67A4">
        <w:rPr>
          <w:color w:val="000000"/>
          <w:sz w:val="24"/>
        </w:rPr>
        <w:t xml:space="preserve"> each of its four water systems, </w:t>
      </w:r>
      <w:r>
        <w:rPr>
          <w:color w:val="000000"/>
          <w:sz w:val="24"/>
        </w:rPr>
        <w:t xml:space="preserve">and to improve or upgrade existing storage tanks, including miscellaneous improvements such as booster pump stations, additional water supply, </w:t>
      </w:r>
      <w:r w:rsidR="00293678">
        <w:rPr>
          <w:color w:val="000000"/>
          <w:sz w:val="24"/>
        </w:rPr>
        <w:t xml:space="preserve">electrical </w:t>
      </w:r>
      <w:r>
        <w:rPr>
          <w:color w:val="000000"/>
          <w:sz w:val="24"/>
        </w:rPr>
        <w:t xml:space="preserve">transfer switches and security system upgrades. </w:t>
      </w:r>
    </w:p>
    <w:p w14:paraId="40AC9248" w14:textId="77777777" w:rsidR="009F6DA7" w:rsidRDefault="009F6DA7" w:rsidP="009F6DA7">
      <w:pPr>
        <w:pStyle w:val="BodyText"/>
        <w:tabs>
          <w:tab w:val="left" w:pos="360"/>
        </w:tabs>
        <w:rPr>
          <w:rFonts w:ascii="Times New Roman" w:hAnsi="Times New Roman"/>
          <w:color w:val="000000"/>
        </w:rPr>
      </w:pPr>
    </w:p>
    <w:p w14:paraId="426B603C" w14:textId="77777777" w:rsidR="009F6DA7" w:rsidRDefault="009F6DA7" w:rsidP="009F6DA7">
      <w:pPr>
        <w:pStyle w:val="BodyText"/>
        <w:tabs>
          <w:tab w:val="left" w:pos="360"/>
        </w:tabs>
        <w:rPr>
          <w:rFonts w:ascii="Times New Roman" w:hAnsi="Times New Roman"/>
          <w:color w:val="000000"/>
        </w:rPr>
      </w:pPr>
      <w:r w:rsidRPr="009F6DA7">
        <w:rPr>
          <w:rFonts w:ascii="Times New Roman" w:hAnsi="Times New Roman"/>
          <w:color w:val="000000"/>
        </w:rPr>
        <w:t>Diamond Point – added 70,500 gallon tank and booster pump station, repairs and upgrades to existing tanks and re-routing drain and overflow piping.</w:t>
      </w:r>
    </w:p>
    <w:p w14:paraId="74290B64" w14:textId="77777777" w:rsidR="00020493" w:rsidRPr="009F6DA7" w:rsidRDefault="00020493" w:rsidP="009F6DA7">
      <w:pPr>
        <w:pStyle w:val="BodyText"/>
        <w:tabs>
          <w:tab w:val="left" w:pos="360"/>
        </w:tabs>
        <w:rPr>
          <w:rFonts w:ascii="Times New Roman" w:hAnsi="Times New Roman"/>
          <w:color w:val="000000"/>
        </w:rPr>
      </w:pPr>
    </w:p>
    <w:p w14:paraId="2C57B4DD" w14:textId="77777777" w:rsidR="009F6DA7" w:rsidRDefault="009F6DA7" w:rsidP="009F6DA7">
      <w:pPr>
        <w:pStyle w:val="BodyText"/>
        <w:tabs>
          <w:tab w:val="left" w:pos="360"/>
        </w:tabs>
        <w:rPr>
          <w:rFonts w:ascii="Times New Roman" w:hAnsi="Times New Roman"/>
          <w:color w:val="000000"/>
        </w:rPr>
      </w:pPr>
      <w:r w:rsidRPr="009F6DA7">
        <w:rPr>
          <w:rFonts w:ascii="Times New Roman" w:hAnsi="Times New Roman"/>
          <w:color w:val="000000"/>
        </w:rPr>
        <w:t>Island Lake – added 140,000 gallon tank and booster pump station with 4 pumps, repairs to existing tanks and install 60 KW standby electrical generator and automatic transfer switch to provide continuous operation of booster pump station.</w:t>
      </w:r>
    </w:p>
    <w:p w14:paraId="65A6FFE0" w14:textId="77777777" w:rsidR="00020493" w:rsidRPr="009F6DA7" w:rsidRDefault="00020493" w:rsidP="009F6DA7">
      <w:pPr>
        <w:pStyle w:val="BodyText"/>
        <w:tabs>
          <w:tab w:val="left" w:pos="360"/>
        </w:tabs>
        <w:rPr>
          <w:rFonts w:ascii="Times New Roman" w:hAnsi="Times New Roman"/>
          <w:color w:val="000000"/>
        </w:rPr>
      </w:pPr>
    </w:p>
    <w:p w14:paraId="3BC25EAC" w14:textId="259AFAE9" w:rsidR="009F6DA7" w:rsidRDefault="009F6DA7" w:rsidP="009F6DA7">
      <w:pPr>
        <w:pStyle w:val="BodyText"/>
        <w:tabs>
          <w:tab w:val="left" w:pos="360"/>
        </w:tabs>
        <w:rPr>
          <w:rFonts w:ascii="Times New Roman" w:hAnsi="Times New Roman"/>
          <w:color w:val="000000"/>
        </w:rPr>
      </w:pPr>
      <w:r w:rsidRPr="009F6DA7">
        <w:rPr>
          <w:rFonts w:ascii="Times New Roman" w:hAnsi="Times New Roman"/>
          <w:color w:val="000000"/>
        </w:rPr>
        <w:t>Lynch Cove – added 75,000 gallon tank</w:t>
      </w:r>
      <w:r w:rsidR="00020493">
        <w:rPr>
          <w:rFonts w:ascii="Times New Roman" w:hAnsi="Times New Roman"/>
          <w:color w:val="000000"/>
        </w:rPr>
        <w:t>,</w:t>
      </w:r>
      <w:r w:rsidRPr="009F6DA7">
        <w:rPr>
          <w:rFonts w:ascii="Times New Roman" w:hAnsi="Times New Roman"/>
          <w:color w:val="000000"/>
        </w:rPr>
        <w:t xml:space="preserve"> replacement of existing tank vent, hatch and level gage and to activate 2 wells</w:t>
      </w:r>
      <w:r w:rsidR="00020493">
        <w:rPr>
          <w:rFonts w:ascii="Times New Roman" w:hAnsi="Times New Roman"/>
          <w:color w:val="000000"/>
        </w:rPr>
        <w:t>,</w:t>
      </w:r>
      <w:r w:rsidRPr="009F6DA7">
        <w:rPr>
          <w:rFonts w:ascii="Times New Roman" w:hAnsi="Times New Roman"/>
          <w:color w:val="000000"/>
        </w:rPr>
        <w:t xml:space="preserve"> while replacing outmoded electrical and control systems.</w:t>
      </w:r>
    </w:p>
    <w:p w14:paraId="52B31AA7" w14:textId="77777777" w:rsidR="00020493" w:rsidRPr="009F6DA7" w:rsidRDefault="00020493" w:rsidP="009F6DA7">
      <w:pPr>
        <w:pStyle w:val="BodyText"/>
        <w:tabs>
          <w:tab w:val="left" w:pos="360"/>
        </w:tabs>
        <w:rPr>
          <w:rFonts w:ascii="Times New Roman" w:hAnsi="Times New Roman"/>
          <w:color w:val="000000"/>
        </w:rPr>
      </w:pPr>
    </w:p>
    <w:p w14:paraId="090C92E0" w14:textId="2AB6C4E7" w:rsidR="009F6DA7" w:rsidRPr="005F67A4" w:rsidRDefault="009F6DA7" w:rsidP="009F6D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9C1535">
        <w:rPr>
          <w:color w:val="000000"/>
          <w:sz w:val="24"/>
        </w:rPr>
        <w:t>Agate West – added 65,000 gallon tank, re-drilled second well, installed transfer switching for portable electrical generator, added new booster pump station with isolation valves and upgraded security measures.</w:t>
      </w:r>
    </w:p>
    <w:p w14:paraId="03430DB3" w14:textId="77777777" w:rsidR="00495D8A" w:rsidRPr="005F67A4" w:rsidRDefault="00495D8A" w:rsidP="000A47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3430DB4" w14:textId="77777777" w:rsidR="008A4A33" w:rsidRPr="005F67A4" w:rsidRDefault="008A4A33" w:rsidP="008A4A33">
      <w:pPr>
        <w:pStyle w:val="BodyText"/>
        <w:widowControl/>
        <w:tabs>
          <w:tab w:val="left" w:pos="0"/>
        </w:tabs>
        <w:rPr>
          <w:rFonts w:ascii="Times New Roman" w:hAnsi="Times New Roman"/>
          <w:b/>
          <w:u w:val="single"/>
        </w:rPr>
      </w:pPr>
      <w:r w:rsidRPr="005F67A4">
        <w:rPr>
          <w:rFonts w:ascii="Times New Roman" w:hAnsi="Times New Roman"/>
          <w:b/>
          <w:u w:val="single"/>
        </w:rPr>
        <w:t>Customer Comments</w:t>
      </w:r>
    </w:p>
    <w:p w14:paraId="03430DB5" w14:textId="77777777" w:rsidR="008A4A33" w:rsidRPr="005F67A4" w:rsidRDefault="008A4A33"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63D8DE32" w14:textId="77777777" w:rsidR="00854CD8" w:rsidRPr="00A10874" w:rsidRDefault="00854CD8" w:rsidP="00854CD8">
      <w:pPr>
        <w:tabs>
          <w:tab w:val="left" w:pos="270"/>
        </w:tabs>
        <w:rPr>
          <w:color w:val="000000"/>
          <w:sz w:val="24"/>
        </w:rPr>
      </w:pPr>
      <w:r w:rsidRPr="00A10874">
        <w:rPr>
          <w:color w:val="000000"/>
          <w:sz w:val="24"/>
        </w:rPr>
        <w:t>On March 25, 2016, the company notified its customers by mail of the proposed rate increase. Customers were notified they may access relevant documents about this rate increase on the commission’s website, and they may contact John Cupp at 1-888-333-9882 or jcupp@utc.wa.gov with questions or concerns. Staff received six consumer comments, all opposed to the proposed rate increase.</w:t>
      </w:r>
    </w:p>
    <w:p w14:paraId="11D10A85" w14:textId="77777777" w:rsidR="00854CD8" w:rsidRPr="00A10874" w:rsidRDefault="00854CD8" w:rsidP="00854CD8">
      <w:pPr>
        <w:tabs>
          <w:tab w:val="left" w:pos="270"/>
        </w:tabs>
        <w:rPr>
          <w:color w:val="000000"/>
          <w:sz w:val="24"/>
        </w:rPr>
      </w:pPr>
    </w:p>
    <w:p w14:paraId="1B8D4871" w14:textId="77777777" w:rsidR="00854CD8" w:rsidRPr="00A10874" w:rsidRDefault="00854CD8" w:rsidP="00854CD8">
      <w:pPr>
        <w:tabs>
          <w:tab w:val="left" w:pos="270"/>
        </w:tabs>
        <w:rPr>
          <w:sz w:val="24"/>
        </w:rPr>
      </w:pPr>
      <w:r w:rsidRPr="00A10874">
        <w:rPr>
          <w:b/>
          <w:color w:val="000000"/>
          <w:sz w:val="24"/>
        </w:rPr>
        <w:t>General Comments</w:t>
      </w:r>
    </w:p>
    <w:p w14:paraId="1620CC67" w14:textId="77777777" w:rsidR="00854CD8" w:rsidRPr="00A10874" w:rsidRDefault="00854CD8" w:rsidP="00854CD8">
      <w:pPr>
        <w:widowControl/>
        <w:numPr>
          <w:ilvl w:val="0"/>
          <w:numId w:val="19"/>
        </w:numPr>
        <w:tabs>
          <w:tab w:val="left" w:pos="270"/>
        </w:tabs>
        <w:autoSpaceDE/>
        <w:autoSpaceDN/>
        <w:adjustRightInd/>
        <w:ind w:left="720" w:hanging="360"/>
        <w:rPr>
          <w:sz w:val="24"/>
        </w:rPr>
      </w:pPr>
      <w:r w:rsidRPr="00A10874">
        <w:rPr>
          <w:color w:val="000000"/>
          <w:sz w:val="24"/>
        </w:rPr>
        <w:t xml:space="preserve">One customer wants the commission to </w:t>
      </w:r>
      <w:r>
        <w:rPr>
          <w:color w:val="000000"/>
          <w:sz w:val="24"/>
        </w:rPr>
        <w:t xml:space="preserve">wait </w:t>
      </w:r>
      <w:r w:rsidRPr="00A10874">
        <w:rPr>
          <w:color w:val="000000"/>
          <w:sz w:val="24"/>
        </w:rPr>
        <w:t xml:space="preserve">on a decision until after his community has a meeting in May. A new church is being built, and costs of the adding water lines should be borne by the company. </w:t>
      </w:r>
    </w:p>
    <w:p w14:paraId="034E4B7C" w14:textId="77777777" w:rsidR="00854CD8" w:rsidRPr="00A10874" w:rsidRDefault="00854CD8" w:rsidP="00854CD8">
      <w:pPr>
        <w:tabs>
          <w:tab w:val="left" w:pos="270"/>
        </w:tabs>
        <w:rPr>
          <w:sz w:val="24"/>
        </w:rPr>
      </w:pPr>
    </w:p>
    <w:p w14:paraId="6DB29322" w14:textId="77777777" w:rsidR="00854CD8" w:rsidRPr="00A10874" w:rsidRDefault="00854CD8" w:rsidP="00854CD8">
      <w:pPr>
        <w:tabs>
          <w:tab w:val="left" w:pos="270"/>
        </w:tabs>
        <w:ind w:left="719"/>
        <w:rPr>
          <w:b/>
          <w:color w:val="000000"/>
          <w:sz w:val="24"/>
        </w:rPr>
      </w:pPr>
      <w:r w:rsidRPr="00A10874">
        <w:rPr>
          <w:b/>
          <w:color w:val="000000"/>
          <w:sz w:val="24"/>
        </w:rPr>
        <w:t>Staff Response</w:t>
      </w:r>
    </w:p>
    <w:p w14:paraId="76C37D4E" w14:textId="60B67BA2" w:rsidR="00854CD8" w:rsidRPr="00A10874" w:rsidRDefault="00854CD8" w:rsidP="00854CD8">
      <w:pPr>
        <w:tabs>
          <w:tab w:val="left" w:pos="270"/>
        </w:tabs>
        <w:ind w:left="719"/>
        <w:rPr>
          <w:color w:val="000000"/>
          <w:sz w:val="24"/>
        </w:rPr>
      </w:pPr>
      <w:r w:rsidRPr="00A10874">
        <w:rPr>
          <w:color w:val="000000"/>
          <w:sz w:val="24"/>
        </w:rPr>
        <w:t xml:space="preserve">Facilities charges from future development </w:t>
      </w:r>
      <w:r>
        <w:rPr>
          <w:color w:val="000000"/>
          <w:sz w:val="24"/>
        </w:rPr>
        <w:t>are</w:t>
      </w:r>
      <w:r w:rsidRPr="00A10874">
        <w:rPr>
          <w:color w:val="000000"/>
          <w:sz w:val="24"/>
        </w:rPr>
        <w:t xml:space="preserve"> being considered in the surcharge.</w:t>
      </w:r>
      <w:r>
        <w:rPr>
          <w:color w:val="000000"/>
          <w:sz w:val="24"/>
        </w:rPr>
        <w:t xml:space="preserve"> Construction of new plant is not part of the surcharge for historical plant funded by SRF loans.</w:t>
      </w:r>
    </w:p>
    <w:p w14:paraId="44AB1724" w14:textId="77777777" w:rsidR="00854CD8" w:rsidRPr="00A10874" w:rsidRDefault="00854CD8" w:rsidP="00854CD8">
      <w:pPr>
        <w:tabs>
          <w:tab w:val="left" w:pos="270"/>
        </w:tabs>
        <w:ind w:left="719"/>
        <w:rPr>
          <w:b/>
          <w:color w:val="000000"/>
          <w:sz w:val="24"/>
        </w:rPr>
      </w:pPr>
    </w:p>
    <w:p w14:paraId="72A39904" w14:textId="77777777" w:rsidR="00854CD8" w:rsidRPr="00A10874" w:rsidRDefault="00854CD8" w:rsidP="00854CD8">
      <w:pPr>
        <w:widowControl/>
        <w:numPr>
          <w:ilvl w:val="0"/>
          <w:numId w:val="21"/>
        </w:numPr>
        <w:tabs>
          <w:tab w:val="left" w:pos="270"/>
        </w:tabs>
        <w:autoSpaceDE/>
        <w:autoSpaceDN/>
        <w:adjustRightInd/>
        <w:rPr>
          <w:sz w:val="24"/>
        </w:rPr>
      </w:pPr>
      <w:r w:rsidRPr="00A10874">
        <w:rPr>
          <w:sz w:val="24"/>
        </w:rPr>
        <w:t xml:space="preserve">A customer stated that the commission has never verified where the surcharge money </w:t>
      </w:r>
      <w:r>
        <w:rPr>
          <w:sz w:val="24"/>
        </w:rPr>
        <w:t>has gone</w:t>
      </w:r>
      <w:r w:rsidRPr="00A10874">
        <w:rPr>
          <w:sz w:val="24"/>
        </w:rPr>
        <w:t>.</w:t>
      </w:r>
    </w:p>
    <w:p w14:paraId="09321F99" w14:textId="77777777" w:rsidR="00854CD8" w:rsidRPr="00A10874" w:rsidRDefault="00854CD8" w:rsidP="00854CD8">
      <w:pPr>
        <w:tabs>
          <w:tab w:val="left" w:pos="270"/>
        </w:tabs>
        <w:rPr>
          <w:sz w:val="24"/>
        </w:rPr>
      </w:pPr>
    </w:p>
    <w:p w14:paraId="62F2EED8" w14:textId="77777777" w:rsidR="00854CD8" w:rsidRPr="00A10874" w:rsidRDefault="00854CD8" w:rsidP="00854CD8">
      <w:pPr>
        <w:tabs>
          <w:tab w:val="left" w:pos="270"/>
        </w:tabs>
        <w:ind w:left="719"/>
        <w:rPr>
          <w:b/>
          <w:color w:val="000000"/>
          <w:sz w:val="24"/>
        </w:rPr>
      </w:pPr>
      <w:r w:rsidRPr="00A10874">
        <w:rPr>
          <w:b/>
          <w:color w:val="000000"/>
          <w:sz w:val="24"/>
        </w:rPr>
        <w:t>Staff Response</w:t>
      </w:r>
    </w:p>
    <w:p w14:paraId="1CC1D280" w14:textId="77777777" w:rsidR="00854CD8" w:rsidRPr="00A10874" w:rsidRDefault="00854CD8" w:rsidP="00854CD8">
      <w:pPr>
        <w:ind w:left="719"/>
        <w:rPr>
          <w:b/>
          <w:color w:val="000000"/>
          <w:sz w:val="24"/>
        </w:rPr>
      </w:pPr>
      <w:r w:rsidRPr="00A10874">
        <w:rPr>
          <w:sz w:val="24"/>
        </w:rPr>
        <w:t>The Department of Health and Public Works Board review</w:t>
      </w:r>
      <w:r>
        <w:rPr>
          <w:sz w:val="24"/>
        </w:rPr>
        <w:t>s</w:t>
      </w:r>
      <w:r w:rsidRPr="00A10874">
        <w:rPr>
          <w:sz w:val="24"/>
        </w:rPr>
        <w:t xml:space="preserve"> and authorize</w:t>
      </w:r>
      <w:r>
        <w:rPr>
          <w:sz w:val="24"/>
        </w:rPr>
        <w:t>s</w:t>
      </w:r>
      <w:r w:rsidRPr="00A10874">
        <w:rPr>
          <w:sz w:val="24"/>
        </w:rPr>
        <w:t xml:space="preserve"> loan expenditures.</w:t>
      </w:r>
    </w:p>
    <w:p w14:paraId="52B53FE8" w14:textId="77777777" w:rsidR="00854CD8" w:rsidRPr="00A10874" w:rsidRDefault="00854CD8" w:rsidP="00854CD8">
      <w:pPr>
        <w:tabs>
          <w:tab w:val="left" w:pos="270"/>
        </w:tabs>
        <w:rPr>
          <w:b/>
          <w:color w:val="000000"/>
          <w:sz w:val="24"/>
        </w:rPr>
      </w:pPr>
    </w:p>
    <w:p w14:paraId="0E618518" w14:textId="77777777" w:rsidR="00854CD8" w:rsidRPr="00A10874" w:rsidRDefault="00854CD8" w:rsidP="00854CD8">
      <w:pPr>
        <w:widowControl/>
        <w:numPr>
          <w:ilvl w:val="0"/>
          <w:numId w:val="20"/>
        </w:numPr>
        <w:tabs>
          <w:tab w:val="left" w:pos="270"/>
        </w:tabs>
        <w:autoSpaceDE/>
        <w:autoSpaceDN/>
        <w:adjustRightInd/>
        <w:rPr>
          <w:b/>
          <w:color w:val="000000"/>
          <w:sz w:val="24"/>
        </w:rPr>
      </w:pPr>
      <w:r w:rsidRPr="00A10874">
        <w:rPr>
          <w:color w:val="000000"/>
          <w:sz w:val="24"/>
        </w:rPr>
        <w:t xml:space="preserve">The commission should require the company to submit its </w:t>
      </w:r>
      <w:r>
        <w:rPr>
          <w:color w:val="000000"/>
          <w:sz w:val="24"/>
        </w:rPr>
        <w:t>Water System P</w:t>
      </w:r>
      <w:r w:rsidRPr="00A10874">
        <w:rPr>
          <w:color w:val="000000"/>
          <w:sz w:val="24"/>
        </w:rPr>
        <w:t>lan before allowing the company to request a rate increase.</w:t>
      </w:r>
    </w:p>
    <w:p w14:paraId="4E3BAD14" w14:textId="77777777" w:rsidR="00854CD8" w:rsidRPr="00A10874" w:rsidRDefault="00854CD8" w:rsidP="00854CD8">
      <w:pPr>
        <w:tabs>
          <w:tab w:val="left" w:pos="270"/>
        </w:tabs>
        <w:ind w:left="720"/>
        <w:rPr>
          <w:color w:val="000000"/>
          <w:sz w:val="24"/>
        </w:rPr>
      </w:pPr>
    </w:p>
    <w:p w14:paraId="626BBD6B" w14:textId="77777777" w:rsidR="00854CD8" w:rsidRPr="00854CD8" w:rsidRDefault="00854CD8" w:rsidP="00854CD8">
      <w:pPr>
        <w:tabs>
          <w:tab w:val="left" w:pos="270"/>
        </w:tabs>
        <w:ind w:left="719"/>
        <w:rPr>
          <w:sz w:val="24"/>
        </w:rPr>
      </w:pPr>
      <w:r w:rsidRPr="00A10874">
        <w:rPr>
          <w:b/>
          <w:color w:val="000000"/>
          <w:sz w:val="24"/>
        </w:rPr>
        <w:t>Staff Response</w:t>
      </w:r>
    </w:p>
    <w:p w14:paraId="79CA562A" w14:textId="77777777" w:rsidR="00171A2C" w:rsidRPr="00171A2C" w:rsidRDefault="00854CD8" w:rsidP="00A174B1">
      <w:pPr>
        <w:pStyle w:val="BodyText"/>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u w:val="single"/>
        </w:rPr>
      </w:pPr>
      <w:r w:rsidRPr="00171A2C">
        <w:rPr>
          <w:rFonts w:ascii="Times New Roman" w:hAnsi="Times New Roman"/>
        </w:rPr>
        <w:t>Water System Plans are required by the Department of Health and do not have a bearing on the company’s request.</w:t>
      </w:r>
      <w:r w:rsidRPr="00171A2C" w:rsidDel="00854CD8">
        <w:rPr>
          <w:rFonts w:ascii="Times New Roman" w:hAnsi="Times New Roman"/>
        </w:rPr>
        <w:t xml:space="preserve"> </w:t>
      </w:r>
    </w:p>
    <w:p w14:paraId="6E6277AC" w14:textId="77777777" w:rsidR="00171A2C" w:rsidRDefault="00171A2C" w:rsidP="00171A2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u w:val="single"/>
        </w:rPr>
      </w:pPr>
    </w:p>
    <w:p w14:paraId="03430DB8" w14:textId="62589077" w:rsidR="00F720D5" w:rsidRPr="00171A2C" w:rsidRDefault="00F720D5" w:rsidP="00171A2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rFonts w:ascii="Times New Roman" w:hAnsi="Times New Roman"/>
          <w:b/>
          <w:u w:val="single"/>
        </w:rPr>
      </w:pPr>
      <w:r w:rsidRPr="00171A2C">
        <w:rPr>
          <w:rFonts w:ascii="Times New Roman" w:hAnsi="Times New Roman"/>
          <w:b/>
          <w:u w:val="single"/>
        </w:rPr>
        <w:t>Conclusion</w:t>
      </w:r>
    </w:p>
    <w:p w14:paraId="03430DB9" w14:textId="77777777" w:rsidR="00EE34AF" w:rsidRPr="005F67A4" w:rsidRDefault="00EE3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p>
    <w:p w14:paraId="03430DBA" w14:textId="77777777" w:rsidR="00106CFF" w:rsidRPr="005F67A4" w:rsidRDefault="00106CFF" w:rsidP="00106C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Staff concludes that the company’s financial information supports the proposed surcharge request and the proposed surcharge is fair, just, reasonable, and sufficient.</w:t>
      </w:r>
    </w:p>
    <w:p w14:paraId="03430DBB" w14:textId="77777777" w:rsidR="00F720D5" w:rsidRPr="005F67A4"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3430DC1" w14:textId="5295F852" w:rsidR="002159E8" w:rsidRPr="005F67A4" w:rsidRDefault="00C22650" w:rsidP="00C22650">
      <w:pPr>
        <w:pStyle w:val="BodyText"/>
        <w:tabs>
          <w:tab w:val="left" w:pos="360"/>
        </w:tabs>
        <w:rPr>
          <w:rFonts w:ascii="Times New Roman" w:hAnsi="Times New Roman"/>
          <w:color w:val="000000"/>
        </w:rPr>
      </w:pPr>
      <w:r>
        <w:rPr>
          <w:rFonts w:ascii="Times New Roman" w:hAnsi="Times New Roman"/>
          <w:color w:val="000000"/>
        </w:rPr>
        <w:t>Issue an order g</w:t>
      </w:r>
      <w:r w:rsidRPr="005F67A4">
        <w:rPr>
          <w:rFonts w:ascii="Times New Roman" w:hAnsi="Times New Roman"/>
          <w:color w:val="000000"/>
        </w:rPr>
        <w:t>rant</w:t>
      </w:r>
      <w:r>
        <w:rPr>
          <w:rFonts w:ascii="Times New Roman" w:hAnsi="Times New Roman"/>
          <w:color w:val="000000"/>
        </w:rPr>
        <w:t>ing</w:t>
      </w:r>
      <w:r w:rsidRPr="005F67A4">
        <w:rPr>
          <w:rFonts w:ascii="Times New Roman" w:hAnsi="Times New Roman"/>
          <w:color w:val="000000"/>
        </w:rPr>
        <w:t xml:space="preserve"> Aquarius Utilities, LLC’s request for a</w:t>
      </w:r>
      <w:r>
        <w:rPr>
          <w:rFonts w:ascii="Times New Roman" w:hAnsi="Times New Roman"/>
          <w:color w:val="000000"/>
        </w:rPr>
        <w:t>n increase in</w:t>
      </w:r>
      <w:r w:rsidRPr="005F67A4">
        <w:rPr>
          <w:rFonts w:ascii="Times New Roman" w:hAnsi="Times New Roman"/>
          <w:color w:val="000000"/>
        </w:rPr>
        <w:t xml:space="preserve"> </w:t>
      </w:r>
      <w:r>
        <w:rPr>
          <w:rFonts w:ascii="Times New Roman" w:hAnsi="Times New Roman"/>
          <w:color w:val="000000"/>
        </w:rPr>
        <w:t xml:space="preserve">monthly </w:t>
      </w:r>
      <w:r w:rsidRPr="005F67A4">
        <w:rPr>
          <w:rFonts w:ascii="Times New Roman" w:hAnsi="Times New Roman"/>
          <w:color w:val="000000"/>
        </w:rPr>
        <w:t xml:space="preserve">surcharge </w:t>
      </w:r>
      <w:r>
        <w:rPr>
          <w:rFonts w:ascii="Times New Roman" w:hAnsi="Times New Roman"/>
          <w:color w:val="000000"/>
        </w:rPr>
        <w:t xml:space="preserve">rate and owner equity investment </w:t>
      </w:r>
      <w:r w:rsidRPr="005F67A4">
        <w:rPr>
          <w:rFonts w:ascii="Times New Roman" w:hAnsi="Times New Roman"/>
          <w:color w:val="000000"/>
        </w:rPr>
        <w:t>to service State Revolving Fund loans approved by the Public Works Board.</w:t>
      </w:r>
    </w:p>
    <w:sectPr w:rsidR="002159E8" w:rsidRPr="005F67A4" w:rsidSect="00871A9D">
      <w:headerReference w:type="default" r:id="rId12"/>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30DC4" w14:textId="77777777" w:rsidR="00E52515" w:rsidRDefault="00E52515">
      <w:r>
        <w:separator/>
      </w:r>
    </w:p>
  </w:endnote>
  <w:endnote w:type="continuationSeparator" w:id="0">
    <w:p w14:paraId="03430DC5" w14:textId="77777777" w:rsidR="00E52515" w:rsidRDefault="00E5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30DC2" w14:textId="77777777" w:rsidR="00E52515" w:rsidRDefault="00E52515">
      <w:r>
        <w:separator/>
      </w:r>
    </w:p>
  </w:footnote>
  <w:footnote w:type="continuationSeparator" w:id="0">
    <w:p w14:paraId="03430DC3" w14:textId="77777777" w:rsidR="00E52515" w:rsidRDefault="00E52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30DC6" w14:textId="77777777" w:rsidR="00020EA8" w:rsidRPr="00FE0AD1" w:rsidRDefault="00020EA8" w:rsidP="004D2161">
    <w:pPr>
      <w:spacing w:line="238" w:lineRule="auto"/>
    </w:pPr>
    <w:r w:rsidRPr="00FE0AD1">
      <w:t xml:space="preserve">Docket </w:t>
    </w:r>
    <w:r>
      <w:t>UW</w:t>
    </w:r>
    <w:r w:rsidRPr="00FE0AD1">
      <w:t>-</w:t>
    </w:r>
    <w:r w:rsidR="004C00E5">
      <w:t>160337</w:t>
    </w:r>
  </w:p>
  <w:p w14:paraId="03430DC7" w14:textId="77777777" w:rsidR="00020EA8" w:rsidRPr="00FE0AD1" w:rsidRDefault="00020EA8" w:rsidP="004D2161">
    <w:pPr>
      <w:spacing w:line="238" w:lineRule="auto"/>
    </w:pPr>
    <w:r>
      <w:t>A</w:t>
    </w:r>
    <w:r w:rsidR="00653679">
      <w:t>pril</w:t>
    </w:r>
    <w:r>
      <w:t xml:space="preserve"> 28</w:t>
    </w:r>
    <w:r w:rsidRPr="00FE0AD1">
      <w:t>, 20</w:t>
    </w:r>
    <w:r w:rsidR="00653679">
      <w:t>16</w:t>
    </w:r>
  </w:p>
  <w:p w14:paraId="03430DC8" w14:textId="77777777" w:rsidR="00020EA8" w:rsidRPr="00FE0AD1" w:rsidRDefault="00020EA8" w:rsidP="004D2161">
    <w:pPr>
      <w:spacing w:line="238" w:lineRule="auto"/>
      <w:rPr>
        <w:rStyle w:val="PageNumber"/>
      </w:rPr>
    </w:pPr>
    <w:r w:rsidRPr="00FE0AD1">
      <w:t>Page</w:t>
    </w:r>
    <w:r>
      <w:t xml:space="preserve"> </w:t>
    </w:r>
    <w:r w:rsidR="0089121E">
      <w:fldChar w:fldCharType="begin"/>
    </w:r>
    <w:r w:rsidR="0089121E">
      <w:instrText xml:space="preserve"> PAGE   \* MERGEFORMAT </w:instrText>
    </w:r>
    <w:r w:rsidR="0089121E">
      <w:fldChar w:fldCharType="separate"/>
    </w:r>
    <w:r w:rsidR="00845497">
      <w:rPr>
        <w:noProof/>
      </w:rPr>
      <w:t>2</w:t>
    </w:r>
    <w:r w:rsidR="0089121E">
      <w:fldChar w:fldCharType="end"/>
    </w:r>
  </w:p>
  <w:p w14:paraId="03430DC9" w14:textId="77777777" w:rsidR="00020EA8" w:rsidRPr="004D2161" w:rsidRDefault="00020EA8" w:rsidP="004D2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8401DF"/>
    <w:multiLevelType w:val="hybridMultilevel"/>
    <w:tmpl w:val="8E16539C"/>
    <w:lvl w:ilvl="0" w:tplc="04090017">
      <w:start w:val="1"/>
      <w:numFmt w:val="lowerLetter"/>
      <w:lvlText w:val="%1)"/>
      <w:lvlJc w:val="left"/>
      <w:pPr>
        <w:tabs>
          <w:tab w:val="num" w:pos="720"/>
        </w:tabs>
        <w:ind w:left="720" w:hanging="360"/>
      </w:pPr>
    </w:lvl>
    <w:lvl w:ilvl="1" w:tplc="74569F24">
      <w:start w:val="1"/>
      <w:numFmt w:val="lowerRoman"/>
      <w:lvlText w:val="%2."/>
      <w:lvlJc w:val="right"/>
      <w:pPr>
        <w:tabs>
          <w:tab w:val="num" w:pos="1296"/>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7906E7"/>
    <w:multiLevelType w:val="hybridMultilevel"/>
    <w:tmpl w:val="CE58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2B1A46A6"/>
    <w:multiLevelType w:val="hybridMultilevel"/>
    <w:tmpl w:val="445AA8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A60D4"/>
    <w:multiLevelType w:val="hybridMultilevel"/>
    <w:tmpl w:val="D774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10BA4"/>
    <w:multiLevelType w:val="hybridMultilevel"/>
    <w:tmpl w:val="ED8007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81B03"/>
    <w:multiLevelType w:val="hybridMultilevel"/>
    <w:tmpl w:val="289E8878"/>
    <w:lvl w:ilvl="0" w:tplc="77903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711E6"/>
    <w:multiLevelType w:val="hybridMultilevel"/>
    <w:tmpl w:val="5CC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620619"/>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C86209"/>
    <w:multiLevelType w:val="hybridMultilevel"/>
    <w:tmpl w:val="65EE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33672A"/>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FF01BA5"/>
    <w:multiLevelType w:val="hybridMultilevel"/>
    <w:tmpl w:val="ECA4E616"/>
    <w:lvl w:ilvl="0" w:tplc="04090017">
      <w:start w:val="1"/>
      <w:numFmt w:val="lowerLetter"/>
      <w:lvlText w:val="%1)"/>
      <w:lvlJc w:val="left"/>
      <w:pPr>
        <w:ind w:left="720" w:hanging="360"/>
      </w:pPr>
      <w:rPr>
        <w:rFonts w:hint="default"/>
      </w:rPr>
    </w:lvl>
    <w:lvl w:ilvl="1" w:tplc="74569F2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E6B37"/>
    <w:multiLevelType w:val="hybridMultilevel"/>
    <w:tmpl w:val="B7F6E120"/>
    <w:lvl w:ilvl="0" w:tplc="A2DA1B96">
      <w:start w:val="6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13"/>
  </w:num>
  <w:num w:numId="3">
    <w:abstractNumId w:val="1"/>
  </w:num>
  <w:num w:numId="4">
    <w:abstractNumId w:val="19"/>
  </w:num>
  <w:num w:numId="5">
    <w:abstractNumId w:val="7"/>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2"/>
  </w:num>
  <w:num w:numId="10">
    <w:abstractNumId w:val="5"/>
  </w:num>
  <w:num w:numId="11">
    <w:abstractNumId w:val="10"/>
  </w:num>
  <w:num w:numId="12">
    <w:abstractNumId w:val="4"/>
  </w:num>
  <w:num w:numId="13">
    <w:abstractNumId w:val="11"/>
  </w:num>
  <w:num w:numId="14">
    <w:abstractNumId w:val="14"/>
  </w:num>
  <w:num w:numId="15">
    <w:abstractNumId w:val="8"/>
  </w:num>
  <w:num w:numId="16">
    <w:abstractNumId w:val="17"/>
  </w:num>
  <w:num w:numId="17">
    <w:abstractNumId w:val="6"/>
  </w:num>
  <w:num w:numId="18">
    <w:abstractNumId w:val="18"/>
  </w:num>
  <w:num w:numId="19">
    <w:abstractNumId w:val="0"/>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8129"/>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18"/>
    <w:rsid w:val="000046F9"/>
    <w:rsid w:val="0000509B"/>
    <w:rsid w:val="000060AD"/>
    <w:rsid w:val="00010440"/>
    <w:rsid w:val="0001445D"/>
    <w:rsid w:val="00020493"/>
    <w:rsid w:val="00020EA8"/>
    <w:rsid w:val="00024C83"/>
    <w:rsid w:val="00024E4B"/>
    <w:rsid w:val="00026BC7"/>
    <w:rsid w:val="000377B4"/>
    <w:rsid w:val="00037E0B"/>
    <w:rsid w:val="0004008D"/>
    <w:rsid w:val="00041309"/>
    <w:rsid w:val="00053620"/>
    <w:rsid w:val="00055129"/>
    <w:rsid w:val="0005582B"/>
    <w:rsid w:val="00060275"/>
    <w:rsid w:val="00060FAD"/>
    <w:rsid w:val="00065632"/>
    <w:rsid w:val="00065D3A"/>
    <w:rsid w:val="00072AB1"/>
    <w:rsid w:val="00072E8D"/>
    <w:rsid w:val="0007305E"/>
    <w:rsid w:val="00074C54"/>
    <w:rsid w:val="000838FA"/>
    <w:rsid w:val="00084C44"/>
    <w:rsid w:val="00086219"/>
    <w:rsid w:val="0009317F"/>
    <w:rsid w:val="000A0510"/>
    <w:rsid w:val="000A2FD7"/>
    <w:rsid w:val="000A470D"/>
    <w:rsid w:val="000A7702"/>
    <w:rsid w:val="000B0C40"/>
    <w:rsid w:val="000B1549"/>
    <w:rsid w:val="000C4703"/>
    <w:rsid w:val="000C52FA"/>
    <w:rsid w:val="000C6152"/>
    <w:rsid w:val="000D23A6"/>
    <w:rsid w:val="000D3312"/>
    <w:rsid w:val="000D6EE8"/>
    <w:rsid w:val="000E1243"/>
    <w:rsid w:val="000E5DC6"/>
    <w:rsid w:val="000F23B0"/>
    <w:rsid w:val="000F469A"/>
    <w:rsid w:val="000F4ACF"/>
    <w:rsid w:val="000F7CCD"/>
    <w:rsid w:val="00106CFF"/>
    <w:rsid w:val="00114DD1"/>
    <w:rsid w:val="001222B0"/>
    <w:rsid w:val="0013353B"/>
    <w:rsid w:val="00137FE5"/>
    <w:rsid w:val="001418DA"/>
    <w:rsid w:val="00144884"/>
    <w:rsid w:val="00144F9A"/>
    <w:rsid w:val="0015140F"/>
    <w:rsid w:val="00157F32"/>
    <w:rsid w:val="00160A9B"/>
    <w:rsid w:val="00161E2E"/>
    <w:rsid w:val="00164BEE"/>
    <w:rsid w:val="00171A2C"/>
    <w:rsid w:val="001742F3"/>
    <w:rsid w:val="00175973"/>
    <w:rsid w:val="00180222"/>
    <w:rsid w:val="00181477"/>
    <w:rsid w:val="001869BD"/>
    <w:rsid w:val="0019005A"/>
    <w:rsid w:val="00191AF2"/>
    <w:rsid w:val="00194D3A"/>
    <w:rsid w:val="00197447"/>
    <w:rsid w:val="001A53BD"/>
    <w:rsid w:val="001B1901"/>
    <w:rsid w:val="001B4800"/>
    <w:rsid w:val="001B710E"/>
    <w:rsid w:val="001C0D5C"/>
    <w:rsid w:val="001C1460"/>
    <w:rsid w:val="001C57BC"/>
    <w:rsid w:val="001C74CC"/>
    <w:rsid w:val="001D1FF7"/>
    <w:rsid w:val="001D28F3"/>
    <w:rsid w:val="001D4653"/>
    <w:rsid w:val="001E1030"/>
    <w:rsid w:val="001E205B"/>
    <w:rsid w:val="001E3354"/>
    <w:rsid w:val="001E641B"/>
    <w:rsid w:val="001E72E0"/>
    <w:rsid w:val="001F0C45"/>
    <w:rsid w:val="001F2B6F"/>
    <w:rsid w:val="001F2F46"/>
    <w:rsid w:val="001F467F"/>
    <w:rsid w:val="00203212"/>
    <w:rsid w:val="00204E23"/>
    <w:rsid w:val="0021504E"/>
    <w:rsid w:val="002159E8"/>
    <w:rsid w:val="002224C6"/>
    <w:rsid w:val="002305D7"/>
    <w:rsid w:val="00230E1B"/>
    <w:rsid w:val="002323BF"/>
    <w:rsid w:val="002348E0"/>
    <w:rsid w:val="0023499C"/>
    <w:rsid w:val="002349CB"/>
    <w:rsid w:val="00237129"/>
    <w:rsid w:val="0024162C"/>
    <w:rsid w:val="002520CC"/>
    <w:rsid w:val="00253F68"/>
    <w:rsid w:val="0026637B"/>
    <w:rsid w:val="00267644"/>
    <w:rsid w:val="00267AD2"/>
    <w:rsid w:val="002744F3"/>
    <w:rsid w:val="00274CC5"/>
    <w:rsid w:val="0027508C"/>
    <w:rsid w:val="00275A2B"/>
    <w:rsid w:val="0027629F"/>
    <w:rsid w:val="00280ECE"/>
    <w:rsid w:val="00283DF7"/>
    <w:rsid w:val="0029365C"/>
    <w:rsid w:val="00293678"/>
    <w:rsid w:val="002974EA"/>
    <w:rsid w:val="002A1B14"/>
    <w:rsid w:val="002A5D58"/>
    <w:rsid w:val="002B02AE"/>
    <w:rsid w:val="002B0726"/>
    <w:rsid w:val="002B127D"/>
    <w:rsid w:val="002B3B6D"/>
    <w:rsid w:val="002B546F"/>
    <w:rsid w:val="002C1D40"/>
    <w:rsid w:val="002C6821"/>
    <w:rsid w:val="002C7517"/>
    <w:rsid w:val="002D0C6C"/>
    <w:rsid w:val="002D3175"/>
    <w:rsid w:val="002D4F2A"/>
    <w:rsid w:val="002D7CA9"/>
    <w:rsid w:val="002E1E8B"/>
    <w:rsid w:val="002E546B"/>
    <w:rsid w:val="002E59D3"/>
    <w:rsid w:val="002F159E"/>
    <w:rsid w:val="00300723"/>
    <w:rsid w:val="00301064"/>
    <w:rsid w:val="0030716F"/>
    <w:rsid w:val="0031289C"/>
    <w:rsid w:val="00313AC7"/>
    <w:rsid w:val="00313E10"/>
    <w:rsid w:val="00313EEB"/>
    <w:rsid w:val="00320DBE"/>
    <w:rsid w:val="00320FC3"/>
    <w:rsid w:val="00322689"/>
    <w:rsid w:val="00343ABB"/>
    <w:rsid w:val="00350743"/>
    <w:rsid w:val="0036198F"/>
    <w:rsid w:val="00361D71"/>
    <w:rsid w:val="00365C95"/>
    <w:rsid w:val="00365D27"/>
    <w:rsid w:val="00370CA1"/>
    <w:rsid w:val="00372419"/>
    <w:rsid w:val="00376C63"/>
    <w:rsid w:val="00381E7B"/>
    <w:rsid w:val="00382C0C"/>
    <w:rsid w:val="00393E46"/>
    <w:rsid w:val="0039445C"/>
    <w:rsid w:val="003A0501"/>
    <w:rsid w:val="003A1260"/>
    <w:rsid w:val="003A2597"/>
    <w:rsid w:val="003B176E"/>
    <w:rsid w:val="003B35D6"/>
    <w:rsid w:val="003C01D6"/>
    <w:rsid w:val="003C134F"/>
    <w:rsid w:val="003C18AE"/>
    <w:rsid w:val="003C3D11"/>
    <w:rsid w:val="003C44BD"/>
    <w:rsid w:val="003C686F"/>
    <w:rsid w:val="003D1063"/>
    <w:rsid w:val="003D7349"/>
    <w:rsid w:val="003E071D"/>
    <w:rsid w:val="003E2C21"/>
    <w:rsid w:val="003E4343"/>
    <w:rsid w:val="003E4878"/>
    <w:rsid w:val="003E4D88"/>
    <w:rsid w:val="003F10C8"/>
    <w:rsid w:val="003F3D1D"/>
    <w:rsid w:val="00402716"/>
    <w:rsid w:val="00413ABA"/>
    <w:rsid w:val="00414B84"/>
    <w:rsid w:val="0042096A"/>
    <w:rsid w:val="00421BBE"/>
    <w:rsid w:val="00422348"/>
    <w:rsid w:val="004404C2"/>
    <w:rsid w:val="00450FF0"/>
    <w:rsid w:val="00451EB9"/>
    <w:rsid w:val="004526EE"/>
    <w:rsid w:val="0045500C"/>
    <w:rsid w:val="00456249"/>
    <w:rsid w:val="00460D93"/>
    <w:rsid w:val="00461E5D"/>
    <w:rsid w:val="0046234B"/>
    <w:rsid w:val="004627CC"/>
    <w:rsid w:val="004721BB"/>
    <w:rsid w:val="00475ADF"/>
    <w:rsid w:val="00481A54"/>
    <w:rsid w:val="004827C9"/>
    <w:rsid w:val="004842F7"/>
    <w:rsid w:val="00494D80"/>
    <w:rsid w:val="00495D8A"/>
    <w:rsid w:val="00495FFE"/>
    <w:rsid w:val="004A70E5"/>
    <w:rsid w:val="004A76DF"/>
    <w:rsid w:val="004B0E0A"/>
    <w:rsid w:val="004B6A68"/>
    <w:rsid w:val="004C00E5"/>
    <w:rsid w:val="004D2161"/>
    <w:rsid w:val="004D28EE"/>
    <w:rsid w:val="004D4B93"/>
    <w:rsid w:val="004E18AD"/>
    <w:rsid w:val="004E33EA"/>
    <w:rsid w:val="004E5B3C"/>
    <w:rsid w:val="004E7ED0"/>
    <w:rsid w:val="004F4812"/>
    <w:rsid w:val="005009B0"/>
    <w:rsid w:val="0050347B"/>
    <w:rsid w:val="00504511"/>
    <w:rsid w:val="005065BB"/>
    <w:rsid w:val="0051398A"/>
    <w:rsid w:val="00523319"/>
    <w:rsid w:val="0052387E"/>
    <w:rsid w:val="00524DBF"/>
    <w:rsid w:val="00525583"/>
    <w:rsid w:val="00536D90"/>
    <w:rsid w:val="0054044F"/>
    <w:rsid w:val="00550AE6"/>
    <w:rsid w:val="0055788D"/>
    <w:rsid w:val="00560714"/>
    <w:rsid w:val="005612F3"/>
    <w:rsid w:val="00565687"/>
    <w:rsid w:val="00575AF1"/>
    <w:rsid w:val="005770E2"/>
    <w:rsid w:val="00577473"/>
    <w:rsid w:val="0058014A"/>
    <w:rsid w:val="00584D8E"/>
    <w:rsid w:val="00591778"/>
    <w:rsid w:val="00595D93"/>
    <w:rsid w:val="005964C8"/>
    <w:rsid w:val="005A105C"/>
    <w:rsid w:val="005A4BF5"/>
    <w:rsid w:val="005B278A"/>
    <w:rsid w:val="005B4AE8"/>
    <w:rsid w:val="005B6999"/>
    <w:rsid w:val="005B7858"/>
    <w:rsid w:val="005C0529"/>
    <w:rsid w:val="005C24DB"/>
    <w:rsid w:val="005C27C6"/>
    <w:rsid w:val="005C59FC"/>
    <w:rsid w:val="005D3749"/>
    <w:rsid w:val="005E3B6D"/>
    <w:rsid w:val="005E5FE6"/>
    <w:rsid w:val="005E6664"/>
    <w:rsid w:val="005F4E63"/>
    <w:rsid w:val="005F67A4"/>
    <w:rsid w:val="005F7692"/>
    <w:rsid w:val="0060344F"/>
    <w:rsid w:val="0060403B"/>
    <w:rsid w:val="00605346"/>
    <w:rsid w:val="006053C4"/>
    <w:rsid w:val="0060641D"/>
    <w:rsid w:val="00610C4C"/>
    <w:rsid w:val="006153C8"/>
    <w:rsid w:val="0061684C"/>
    <w:rsid w:val="00620C58"/>
    <w:rsid w:val="00622736"/>
    <w:rsid w:val="006233E9"/>
    <w:rsid w:val="0062357E"/>
    <w:rsid w:val="0062491C"/>
    <w:rsid w:val="006366D6"/>
    <w:rsid w:val="00637EBE"/>
    <w:rsid w:val="00640663"/>
    <w:rsid w:val="00646362"/>
    <w:rsid w:val="0065301B"/>
    <w:rsid w:val="00653679"/>
    <w:rsid w:val="006536CD"/>
    <w:rsid w:val="006540D9"/>
    <w:rsid w:val="0065659A"/>
    <w:rsid w:val="00663672"/>
    <w:rsid w:val="00664E57"/>
    <w:rsid w:val="00665BFB"/>
    <w:rsid w:val="0066675A"/>
    <w:rsid w:val="00666D66"/>
    <w:rsid w:val="00674221"/>
    <w:rsid w:val="0067490D"/>
    <w:rsid w:val="00674E59"/>
    <w:rsid w:val="006775D8"/>
    <w:rsid w:val="00677AFF"/>
    <w:rsid w:val="0068313F"/>
    <w:rsid w:val="0068373F"/>
    <w:rsid w:val="00691BF0"/>
    <w:rsid w:val="00692840"/>
    <w:rsid w:val="00697874"/>
    <w:rsid w:val="00697E4B"/>
    <w:rsid w:val="006A3616"/>
    <w:rsid w:val="006B1F1E"/>
    <w:rsid w:val="006B44B0"/>
    <w:rsid w:val="006B5D30"/>
    <w:rsid w:val="006C17B2"/>
    <w:rsid w:val="006C3B9D"/>
    <w:rsid w:val="006C46E4"/>
    <w:rsid w:val="006C5626"/>
    <w:rsid w:val="006D1C3C"/>
    <w:rsid w:val="006E03AC"/>
    <w:rsid w:val="006E07FE"/>
    <w:rsid w:val="006E0D64"/>
    <w:rsid w:val="006E2B7B"/>
    <w:rsid w:val="006E4193"/>
    <w:rsid w:val="006F0899"/>
    <w:rsid w:val="006F2701"/>
    <w:rsid w:val="006F3EDB"/>
    <w:rsid w:val="006F4481"/>
    <w:rsid w:val="006F4A35"/>
    <w:rsid w:val="006F6C1C"/>
    <w:rsid w:val="00705045"/>
    <w:rsid w:val="00705973"/>
    <w:rsid w:val="007155BE"/>
    <w:rsid w:val="00717F25"/>
    <w:rsid w:val="00724E4C"/>
    <w:rsid w:val="007315B5"/>
    <w:rsid w:val="0073530C"/>
    <w:rsid w:val="00736665"/>
    <w:rsid w:val="00737B9F"/>
    <w:rsid w:val="00743E0B"/>
    <w:rsid w:val="00744499"/>
    <w:rsid w:val="0075250C"/>
    <w:rsid w:val="00754F16"/>
    <w:rsid w:val="00756158"/>
    <w:rsid w:val="0076405A"/>
    <w:rsid w:val="00772711"/>
    <w:rsid w:val="00772E49"/>
    <w:rsid w:val="00774300"/>
    <w:rsid w:val="0078062D"/>
    <w:rsid w:val="007838B9"/>
    <w:rsid w:val="00787D7C"/>
    <w:rsid w:val="0079139C"/>
    <w:rsid w:val="00792A0E"/>
    <w:rsid w:val="00793255"/>
    <w:rsid w:val="007A2598"/>
    <w:rsid w:val="007A3127"/>
    <w:rsid w:val="007A3E61"/>
    <w:rsid w:val="007C046B"/>
    <w:rsid w:val="007C07A7"/>
    <w:rsid w:val="007C2F83"/>
    <w:rsid w:val="007C7B37"/>
    <w:rsid w:val="007D177A"/>
    <w:rsid w:val="007D4572"/>
    <w:rsid w:val="007E05FE"/>
    <w:rsid w:val="007E0D86"/>
    <w:rsid w:val="007F0A9C"/>
    <w:rsid w:val="007F14D2"/>
    <w:rsid w:val="007F158A"/>
    <w:rsid w:val="007F6AB4"/>
    <w:rsid w:val="00800185"/>
    <w:rsid w:val="00801B96"/>
    <w:rsid w:val="00804B7D"/>
    <w:rsid w:val="008058FE"/>
    <w:rsid w:val="00806EC0"/>
    <w:rsid w:val="00807220"/>
    <w:rsid w:val="008134AE"/>
    <w:rsid w:val="00824180"/>
    <w:rsid w:val="0082495E"/>
    <w:rsid w:val="00826680"/>
    <w:rsid w:val="00832AA3"/>
    <w:rsid w:val="00832EE8"/>
    <w:rsid w:val="00834956"/>
    <w:rsid w:val="00842072"/>
    <w:rsid w:val="00842D6C"/>
    <w:rsid w:val="00845497"/>
    <w:rsid w:val="00846CD4"/>
    <w:rsid w:val="008506EB"/>
    <w:rsid w:val="00850933"/>
    <w:rsid w:val="00854CD8"/>
    <w:rsid w:val="00863257"/>
    <w:rsid w:val="0086429A"/>
    <w:rsid w:val="00871A9D"/>
    <w:rsid w:val="0087756D"/>
    <w:rsid w:val="00887599"/>
    <w:rsid w:val="0089121E"/>
    <w:rsid w:val="008956A7"/>
    <w:rsid w:val="008A49D4"/>
    <w:rsid w:val="008A4A33"/>
    <w:rsid w:val="008A5620"/>
    <w:rsid w:val="008A674C"/>
    <w:rsid w:val="008B44FE"/>
    <w:rsid w:val="008B66BD"/>
    <w:rsid w:val="008B71DB"/>
    <w:rsid w:val="008C3604"/>
    <w:rsid w:val="008C4E3C"/>
    <w:rsid w:val="008C6ACA"/>
    <w:rsid w:val="008D36A8"/>
    <w:rsid w:val="008E3F2A"/>
    <w:rsid w:val="008F757B"/>
    <w:rsid w:val="009056DD"/>
    <w:rsid w:val="00910A43"/>
    <w:rsid w:val="00911E98"/>
    <w:rsid w:val="009141AD"/>
    <w:rsid w:val="00916157"/>
    <w:rsid w:val="00916D1D"/>
    <w:rsid w:val="00921BD9"/>
    <w:rsid w:val="00921DA3"/>
    <w:rsid w:val="00921DC5"/>
    <w:rsid w:val="00923F95"/>
    <w:rsid w:val="009268FA"/>
    <w:rsid w:val="009303B0"/>
    <w:rsid w:val="00935F0A"/>
    <w:rsid w:val="009411A3"/>
    <w:rsid w:val="00943F87"/>
    <w:rsid w:val="009508E6"/>
    <w:rsid w:val="00951684"/>
    <w:rsid w:val="009534E7"/>
    <w:rsid w:val="009545EE"/>
    <w:rsid w:val="00955CE8"/>
    <w:rsid w:val="00957836"/>
    <w:rsid w:val="009579C1"/>
    <w:rsid w:val="00961BA1"/>
    <w:rsid w:val="00966DF1"/>
    <w:rsid w:val="00970F01"/>
    <w:rsid w:val="009745CA"/>
    <w:rsid w:val="0098235C"/>
    <w:rsid w:val="00985C3A"/>
    <w:rsid w:val="00991FBE"/>
    <w:rsid w:val="00994777"/>
    <w:rsid w:val="009950B8"/>
    <w:rsid w:val="009A33FE"/>
    <w:rsid w:val="009A52BF"/>
    <w:rsid w:val="009A6C12"/>
    <w:rsid w:val="009B690D"/>
    <w:rsid w:val="009C1535"/>
    <w:rsid w:val="009C4284"/>
    <w:rsid w:val="009D1AE3"/>
    <w:rsid w:val="009D4F84"/>
    <w:rsid w:val="009E53BF"/>
    <w:rsid w:val="009F0527"/>
    <w:rsid w:val="009F5301"/>
    <w:rsid w:val="009F66E7"/>
    <w:rsid w:val="009F6DA7"/>
    <w:rsid w:val="00A0489E"/>
    <w:rsid w:val="00A056E1"/>
    <w:rsid w:val="00A07A63"/>
    <w:rsid w:val="00A13F6B"/>
    <w:rsid w:val="00A26F80"/>
    <w:rsid w:val="00A277CA"/>
    <w:rsid w:val="00A414BE"/>
    <w:rsid w:val="00A43AB3"/>
    <w:rsid w:val="00A54192"/>
    <w:rsid w:val="00A57B8A"/>
    <w:rsid w:val="00A619FA"/>
    <w:rsid w:val="00A61F26"/>
    <w:rsid w:val="00A63644"/>
    <w:rsid w:val="00A70022"/>
    <w:rsid w:val="00A7532A"/>
    <w:rsid w:val="00A76C83"/>
    <w:rsid w:val="00A77FC8"/>
    <w:rsid w:val="00A8224D"/>
    <w:rsid w:val="00A84A6B"/>
    <w:rsid w:val="00A86B9B"/>
    <w:rsid w:val="00A87056"/>
    <w:rsid w:val="00A94F66"/>
    <w:rsid w:val="00A95510"/>
    <w:rsid w:val="00A97846"/>
    <w:rsid w:val="00AA09B5"/>
    <w:rsid w:val="00AA3519"/>
    <w:rsid w:val="00AA4A67"/>
    <w:rsid w:val="00AA4B42"/>
    <w:rsid w:val="00AA5CC5"/>
    <w:rsid w:val="00AB5CC7"/>
    <w:rsid w:val="00AC7C0E"/>
    <w:rsid w:val="00AC7EC8"/>
    <w:rsid w:val="00AD0751"/>
    <w:rsid w:val="00AD44E5"/>
    <w:rsid w:val="00AD6225"/>
    <w:rsid w:val="00AD71A3"/>
    <w:rsid w:val="00AE11AC"/>
    <w:rsid w:val="00AE6C13"/>
    <w:rsid w:val="00AF0C98"/>
    <w:rsid w:val="00AF1A52"/>
    <w:rsid w:val="00AF1E3C"/>
    <w:rsid w:val="00AF2368"/>
    <w:rsid w:val="00B00C24"/>
    <w:rsid w:val="00B0365B"/>
    <w:rsid w:val="00B07439"/>
    <w:rsid w:val="00B11E23"/>
    <w:rsid w:val="00B12018"/>
    <w:rsid w:val="00B122CB"/>
    <w:rsid w:val="00B205B5"/>
    <w:rsid w:val="00B21B46"/>
    <w:rsid w:val="00B341A9"/>
    <w:rsid w:val="00B34AE0"/>
    <w:rsid w:val="00B35EA6"/>
    <w:rsid w:val="00B360C9"/>
    <w:rsid w:val="00B464BE"/>
    <w:rsid w:val="00B47DDE"/>
    <w:rsid w:val="00B51751"/>
    <w:rsid w:val="00B5670F"/>
    <w:rsid w:val="00B567AA"/>
    <w:rsid w:val="00B6188E"/>
    <w:rsid w:val="00B64ACF"/>
    <w:rsid w:val="00B67A7C"/>
    <w:rsid w:val="00B714A0"/>
    <w:rsid w:val="00B7567F"/>
    <w:rsid w:val="00B81455"/>
    <w:rsid w:val="00B81B44"/>
    <w:rsid w:val="00B8516F"/>
    <w:rsid w:val="00B87F9F"/>
    <w:rsid w:val="00B94DB6"/>
    <w:rsid w:val="00B95B64"/>
    <w:rsid w:val="00BA4D46"/>
    <w:rsid w:val="00BB2728"/>
    <w:rsid w:val="00BB5BEE"/>
    <w:rsid w:val="00BB7AF1"/>
    <w:rsid w:val="00BC047A"/>
    <w:rsid w:val="00BC25FA"/>
    <w:rsid w:val="00BC30A3"/>
    <w:rsid w:val="00BC5CEE"/>
    <w:rsid w:val="00BD6CD6"/>
    <w:rsid w:val="00BE172A"/>
    <w:rsid w:val="00BF1124"/>
    <w:rsid w:val="00C13D84"/>
    <w:rsid w:val="00C14B2D"/>
    <w:rsid w:val="00C15A82"/>
    <w:rsid w:val="00C22650"/>
    <w:rsid w:val="00C23C07"/>
    <w:rsid w:val="00C24531"/>
    <w:rsid w:val="00C2474C"/>
    <w:rsid w:val="00C25C2C"/>
    <w:rsid w:val="00C315F2"/>
    <w:rsid w:val="00C32505"/>
    <w:rsid w:val="00C37DE9"/>
    <w:rsid w:val="00C4158A"/>
    <w:rsid w:val="00C4692D"/>
    <w:rsid w:val="00C51415"/>
    <w:rsid w:val="00C54CE2"/>
    <w:rsid w:val="00C60CB2"/>
    <w:rsid w:val="00C6362B"/>
    <w:rsid w:val="00C64550"/>
    <w:rsid w:val="00C703A0"/>
    <w:rsid w:val="00C83F63"/>
    <w:rsid w:val="00C83FE0"/>
    <w:rsid w:val="00C85133"/>
    <w:rsid w:val="00C855C0"/>
    <w:rsid w:val="00C9027E"/>
    <w:rsid w:val="00C93AC6"/>
    <w:rsid w:val="00C96F4F"/>
    <w:rsid w:val="00CA0A40"/>
    <w:rsid w:val="00CA4A7E"/>
    <w:rsid w:val="00CB1802"/>
    <w:rsid w:val="00CC0D66"/>
    <w:rsid w:val="00CC4A9A"/>
    <w:rsid w:val="00CC70B2"/>
    <w:rsid w:val="00CC71A3"/>
    <w:rsid w:val="00CD6A67"/>
    <w:rsid w:val="00CD6BE3"/>
    <w:rsid w:val="00CE19D2"/>
    <w:rsid w:val="00CE2AF5"/>
    <w:rsid w:val="00CE51FF"/>
    <w:rsid w:val="00CE5A65"/>
    <w:rsid w:val="00CE5F38"/>
    <w:rsid w:val="00CE608D"/>
    <w:rsid w:val="00CE7150"/>
    <w:rsid w:val="00CF276E"/>
    <w:rsid w:val="00CF2877"/>
    <w:rsid w:val="00CF3167"/>
    <w:rsid w:val="00D04CBF"/>
    <w:rsid w:val="00D06249"/>
    <w:rsid w:val="00D0770A"/>
    <w:rsid w:val="00D101C7"/>
    <w:rsid w:val="00D15E4C"/>
    <w:rsid w:val="00D309DF"/>
    <w:rsid w:val="00D35E9F"/>
    <w:rsid w:val="00D407E1"/>
    <w:rsid w:val="00D62E0A"/>
    <w:rsid w:val="00D67373"/>
    <w:rsid w:val="00D6797B"/>
    <w:rsid w:val="00D7169D"/>
    <w:rsid w:val="00D80445"/>
    <w:rsid w:val="00D8362D"/>
    <w:rsid w:val="00D85988"/>
    <w:rsid w:val="00D867ED"/>
    <w:rsid w:val="00D90679"/>
    <w:rsid w:val="00D928CE"/>
    <w:rsid w:val="00DA6A1F"/>
    <w:rsid w:val="00DB035A"/>
    <w:rsid w:val="00DC3FE7"/>
    <w:rsid w:val="00DD195B"/>
    <w:rsid w:val="00DD5104"/>
    <w:rsid w:val="00DD6D79"/>
    <w:rsid w:val="00DE1D10"/>
    <w:rsid w:val="00DE7B06"/>
    <w:rsid w:val="00DE7BA5"/>
    <w:rsid w:val="00DF102E"/>
    <w:rsid w:val="00DF1288"/>
    <w:rsid w:val="00DF20B4"/>
    <w:rsid w:val="00DF6E7A"/>
    <w:rsid w:val="00DF714E"/>
    <w:rsid w:val="00E213BF"/>
    <w:rsid w:val="00E21E01"/>
    <w:rsid w:val="00E22401"/>
    <w:rsid w:val="00E25CDB"/>
    <w:rsid w:val="00E27B0B"/>
    <w:rsid w:val="00E3062B"/>
    <w:rsid w:val="00E41204"/>
    <w:rsid w:val="00E413D6"/>
    <w:rsid w:val="00E44657"/>
    <w:rsid w:val="00E452EA"/>
    <w:rsid w:val="00E52515"/>
    <w:rsid w:val="00E53EB0"/>
    <w:rsid w:val="00E634AC"/>
    <w:rsid w:val="00E64636"/>
    <w:rsid w:val="00E7074E"/>
    <w:rsid w:val="00E71F0A"/>
    <w:rsid w:val="00E72D2C"/>
    <w:rsid w:val="00E73FCF"/>
    <w:rsid w:val="00E74C1E"/>
    <w:rsid w:val="00E754AB"/>
    <w:rsid w:val="00E856BE"/>
    <w:rsid w:val="00E85A0E"/>
    <w:rsid w:val="00E93CFB"/>
    <w:rsid w:val="00E95269"/>
    <w:rsid w:val="00E97D53"/>
    <w:rsid w:val="00EA5C70"/>
    <w:rsid w:val="00EB1976"/>
    <w:rsid w:val="00EB3969"/>
    <w:rsid w:val="00EB42F4"/>
    <w:rsid w:val="00EC634E"/>
    <w:rsid w:val="00EC7A81"/>
    <w:rsid w:val="00EE1966"/>
    <w:rsid w:val="00EE1F43"/>
    <w:rsid w:val="00EE34AF"/>
    <w:rsid w:val="00EE3B15"/>
    <w:rsid w:val="00EE6047"/>
    <w:rsid w:val="00EF15DF"/>
    <w:rsid w:val="00EF1C9C"/>
    <w:rsid w:val="00EF5EB1"/>
    <w:rsid w:val="00EF6808"/>
    <w:rsid w:val="00EF6CCF"/>
    <w:rsid w:val="00F058A5"/>
    <w:rsid w:val="00F061F8"/>
    <w:rsid w:val="00F11665"/>
    <w:rsid w:val="00F119F2"/>
    <w:rsid w:val="00F20C23"/>
    <w:rsid w:val="00F21617"/>
    <w:rsid w:val="00F220B7"/>
    <w:rsid w:val="00F3332E"/>
    <w:rsid w:val="00F341DB"/>
    <w:rsid w:val="00F37C44"/>
    <w:rsid w:val="00F439FE"/>
    <w:rsid w:val="00F44F74"/>
    <w:rsid w:val="00F720D5"/>
    <w:rsid w:val="00F746B5"/>
    <w:rsid w:val="00F756D8"/>
    <w:rsid w:val="00F80F7A"/>
    <w:rsid w:val="00F839AE"/>
    <w:rsid w:val="00F84493"/>
    <w:rsid w:val="00F8590E"/>
    <w:rsid w:val="00F879A2"/>
    <w:rsid w:val="00F93FDD"/>
    <w:rsid w:val="00FA43F4"/>
    <w:rsid w:val="00FA775F"/>
    <w:rsid w:val="00FB0CBC"/>
    <w:rsid w:val="00FB3A31"/>
    <w:rsid w:val="00FB4273"/>
    <w:rsid w:val="00FB6074"/>
    <w:rsid w:val="00FC17DA"/>
    <w:rsid w:val="00FC2E4A"/>
    <w:rsid w:val="00FD0A61"/>
    <w:rsid w:val="00FE0AD1"/>
    <w:rsid w:val="00FE21BC"/>
    <w:rsid w:val="00FE25BF"/>
    <w:rsid w:val="00FE70D3"/>
    <w:rsid w:val="00FF1F3B"/>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8129"/>
    <o:shapelayout v:ext="edit">
      <o:idmap v:ext="edit" data="1"/>
    </o:shapelayout>
  </w:shapeDefaults>
  <w:decimalSymbol w:val="."/>
  <w:listSeparator w:val=","/>
  <w14:docId w14:val="03430D6A"/>
  <w15:chartTrackingRefBased/>
  <w15:docId w15:val="{732B0D95-915E-42D0-884E-F2B6339E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0B4"/>
    <w:pPr>
      <w:widowControl w:val="0"/>
      <w:autoSpaceDE w:val="0"/>
      <w:autoSpaceDN w:val="0"/>
      <w:adjustRightInd w:val="0"/>
    </w:pPr>
    <w:rPr>
      <w:szCs w:val="24"/>
    </w:rPr>
  </w:style>
  <w:style w:type="paragraph" w:styleId="Heading1">
    <w:name w:val="heading 1"/>
    <w:basedOn w:val="Normal"/>
    <w:next w:val="Normal"/>
    <w:qFormat/>
    <w:rsid w:val="00DF20B4"/>
    <w:pPr>
      <w:keepNext/>
      <w:jc w:val="center"/>
      <w:outlineLvl w:val="0"/>
    </w:pPr>
    <w:rPr>
      <w:sz w:val="24"/>
    </w:rPr>
  </w:style>
  <w:style w:type="paragraph" w:styleId="Heading2">
    <w:name w:val="heading 2"/>
    <w:basedOn w:val="Normal"/>
    <w:next w:val="Normal"/>
    <w:qFormat/>
    <w:rsid w:val="00DF20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DF20B4"/>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0B4"/>
  </w:style>
  <w:style w:type="paragraph" w:styleId="BodyText">
    <w:name w:val="Body Text"/>
    <w:basedOn w:val="Normal"/>
    <w:link w:val="BodyTextChar"/>
    <w:rsid w:val="00DF20B4"/>
    <w:rPr>
      <w:rFonts w:ascii="Courier" w:hAnsi="Courier"/>
      <w:sz w:val="24"/>
    </w:rPr>
  </w:style>
  <w:style w:type="paragraph" w:styleId="Header">
    <w:name w:val="header"/>
    <w:basedOn w:val="Normal"/>
    <w:rsid w:val="00DF20B4"/>
    <w:pPr>
      <w:tabs>
        <w:tab w:val="center" w:pos="4320"/>
        <w:tab w:val="right" w:pos="8640"/>
      </w:tabs>
    </w:pPr>
  </w:style>
  <w:style w:type="paragraph" w:styleId="Footer">
    <w:name w:val="footer"/>
    <w:basedOn w:val="Normal"/>
    <w:rsid w:val="00DF20B4"/>
    <w:pPr>
      <w:tabs>
        <w:tab w:val="center" w:pos="4320"/>
        <w:tab w:val="right" w:pos="8640"/>
      </w:tabs>
    </w:pPr>
  </w:style>
  <w:style w:type="character" w:styleId="PageNumber">
    <w:name w:val="page number"/>
    <w:basedOn w:val="DefaultParagraphFont"/>
    <w:rsid w:val="00DF20B4"/>
  </w:style>
  <w:style w:type="paragraph" w:styleId="BodyText2">
    <w:name w:val="Body Text 2"/>
    <w:basedOn w:val="Normal"/>
    <w:rsid w:val="00DF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495FFE"/>
    <w:rPr>
      <w:sz w:val="16"/>
      <w:szCs w:val="16"/>
    </w:rPr>
  </w:style>
  <w:style w:type="paragraph" w:styleId="CommentText">
    <w:name w:val="annotation text"/>
    <w:basedOn w:val="Normal"/>
    <w:link w:val="CommentTextChar"/>
    <w:rsid w:val="00495FFE"/>
    <w:rPr>
      <w:szCs w:val="20"/>
    </w:rPr>
  </w:style>
  <w:style w:type="character" w:customStyle="1" w:styleId="CommentTextChar">
    <w:name w:val="Comment Text Char"/>
    <w:basedOn w:val="DefaultParagraphFont"/>
    <w:link w:val="CommentText"/>
    <w:rsid w:val="00495FFE"/>
  </w:style>
  <w:style w:type="paragraph" w:styleId="CommentSubject">
    <w:name w:val="annotation subject"/>
    <w:basedOn w:val="CommentText"/>
    <w:next w:val="CommentText"/>
    <w:link w:val="CommentSubjectChar"/>
    <w:rsid w:val="00495FFE"/>
    <w:rPr>
      <w:b/>
      <w:bCs/>
    </w:rPr>
  </w:style>
  <w:style w:type="character" w:customStyle="1" w:styleId="CommentSubjectChar">
    <w:name w:val="Comment Subject Char"/>
    <w:basedOn w:val="CommentTextChar"/>
    <w:link w:val="CommentSubject"/>
    <w:rsid w:val="00495FFE"/>
    <w:rPr>
      <w:b/>
      <w:bCs/>
    </w:rPr>
  </w:style>
  <w:style w:type="character" w:customStyle="1" w:styleId="BodyTextChar">
    <w:name w:val="Body Text Char"/>
    <w:basedOn w:val="DefaultParagraphFont"/>
    <w:link w:val="BodyText"/>
    <w:rsid w:val="008A4A33"/>
    <w:rPr>
      <w:rFonts w:ascii="Courier" w:hAnsi="Courier"/>
      <w:sz w:val="24"/>
      <w:szCs w:val="24"/>
    </w:rPr>
  </w:style>
  <w:style w:type="paragraph" w:styleId="ListParagraph">
    <w:name w:val="List Paragraph"/>
    <w:basedOn w:val="Normal"/>
    <w:uiPriority w:val="34"/>
    <w:qFormat/>
    <w:rsid w:val="007D177A"/>
    <w:pPr>
      <w:widowControl/>
      <w:autoSpaceDE/>
      <w:autoSpaceDN/>
      <w:adjustRightInd/>
      <w:ind w:left="720"/>
    </w:pPr>
    <w:rPr>
      <w:rFonts w:ascii="Calibri" w:eastAsia="Calibri" w:hAnsi="Calibri"/>
      <w:sz w:val="22"/>
      <w:szCs w:val="22"/>
    </w:rPr>
  </w:style>
  <w:style w:type="character" w:styleId="Hyperlink">
    <w:name w:val="Hyperlink"/>
    <w:basedOn w:val="DefaultParagraphFont"/>
    <w:rsid w:val="007D177A"/>
    <w:rPr>
      <w:color w:val="0000FF"/>
      <w:u w:val="single"/>
    </w:rPr>
  </w:style>
  <w:style w:type="paragraph" w:styleId="Revision">
    <w:name w:val="Revision"/>
    <w:hidden/>
    <w:uiPriority w:val="99"/>
    <w:semiHidden/>
    <w:rsid w:val="00DF1288"/>
    <w:rPr>
      <w:szCs w:val="24"/>
    </w:rPr>
  </w:style>
  <w:style w:type="paragraph" w:customStyle="1" w:styleId="Default">
    <w:name w:val="Default"/>
    <w:rsid w:val="001B1901"/>
    <w:pPr>
      <w:autoSpaceDE w:val="0"/>
      <w:autoSpaceDN w:val="0"/>
      <w:adjustRightInd w:val="0"/>
    </w:pPr>
    <w:rPr>
      <w:color w:val="000000"/>
      <w:sz w:val="24"/>
      <w:szCs w:val="24"/>
    </w:rPr>
  </w:style>
  <w:style w:type="paragraph" w:customStyle="1" w:styleId="EmptyLayoutCell">
    <w:name w:val="EmptyLayoutCell"/>
    <w:basedOn w:val="Normal"/>
    <w:rsid w:val="00854CD8"/>
    <w:pPr>
      <w:widowControl/>
      <w:autoSpaceDE/>
      <w:autoSpaceDN/>
      <w:adjustRightInd/>
    </w:pPr>
    <w:rPr>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2016-03-25T07:00:00+00:00</OpenedDate>
    <Date1 xmlns="dc463f71-b30c-4ab2-9473-d307f9d35888">2016-04-28T07:00:00+00:00</Date1>
    <IsDocumentOrder xmlns="dc463f71-b30c-4ab2-9473-d307f9d35888" xsi:nil="true"/>
    <IsHighlyConfidential xmlns="dc463f71-b30c-4ab2-9473-d307f9d35888">false</IsHighlyConfidential>
    <CaseCompanyNames xmlns="dc463f71-b30c-4ab2-9473-d307f9d35888">Aquarius Utilities, LLC</CaseCompanyNames>
    <DocketNumber xmlns="dc463f71-b30c-4ab2-9473-d307f9d35888">160337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EDA434A6FC9444B112922DECAFF889" ma:contentTypeVersion="104" ma:contentTypeDescription="" ma:contentTypeScope="" ma:versionID="b99afe68271017774fe923fefb2a16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10D3B-FD2E-48A3-90A5-BD7E278EC4E5}"/>
</file>

<file path=customXml/itemProps2.xml><?xml version="1.0" encoding="utf-8"?>
<ds:datastoreItem xmlns:ds="http://schemas.openxmlformats.org/officeDocument/2006/customXml" ds:itemID="{94324212-F100-48FE-9B73-6CBC9DE7F954}"/>
</file>

<file path=customXml/itemProps3.xml><?xml version="1.0" encoding="utf-8"?>
<ds:datastoreItem xmlns:ds="http://schemas.openxmlformats.org/officeDocument/2006/customXml" ds:itemID="{237128E1-E4A1-4C0D-87F5-D46048726C7D}"/>
</file>

<file path=customXml/itemProps4.xml><?xml version="1.0" encoding="utf-8"?>
<ds:datastoreItem xmlns:ds="http://schemas.openxmlformats.org/officeDocument/2006/customXml" ds:itemID="{DCE096C8-4756-4EB4-91E2-56F530D0B67E}"/>
</file>

<file path=customXml/itemProps5.xml><?xml version="1.0" encoding="utf-8"?>
<ds:datastoreItem xmlns:ds="http://schemas.openxmlformats.org/officeDocument/2006/customXml" ds:itemID="{1ECCB029-E694-4A87-A978-2C1B98A5057F}"/>
</file>

<file path=customXml/itemProps6.xml><?xml version="1.0" encoding="utf-8"?>
<ds:datastoreItem xmlns:ds="http://schemas.openxmlformats.org/officeDocument/2006/customXml" ds:itemID="{6066BC06-1550-485F-836F-366BC8997491}"/>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Memo to allow</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allow</dc:title>
  <dc:subject/>
  <dc:creator>geckhard</dc:creator>
  <cp:keywords/>
  <dc:description/>
  <cp:lastModifiedBy>Wyse, Lisa (UTC)</cp:lastModifiedBy>
  <cp:revision>2</cp:revision>
  <cp:lastPrinted>2016-04-20T18:48:00Z</cp:lastPrinted>
  <dcterms:created xsi:type="dcterms:W3CDTF">2016-04-25T23:59:00Z</dcterms:created>
  <dcterms:modified xsi:type="dcterms:W3CDTF">2016-04-25T23:59:00Z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0x0101006E56B4D1795A2E4DB2F0B01679ED314A00AFEDA434A6FC9444B112922DECAFF889</vt:lpwstr>
  </property>
  <property fmtid="{D5CDD505-2E9C-101B-9397-08002B2CF9AE}" pid="3" name="Document Type">
    <vt:lpwstr>Memo</vt:lpwstr>
  </property>
  <property fmtid="{D5CDD505-2E9C-101B-9397-08002B2CF9AE}" pid="4" name="Status">
    <vt:lpwstr>Final</vt:lpwstr>
  </property>
  <property fmtid="{D5CDD505-2E9C-101B-9397-08002B2CF9AE}" pid="5" name="Item ID">
    <vt:lpwstr>57</vt:lpwstr>
  </property>
  <property fmtid="{D5CDD505-2E9C-101B-9397-08002B2CF9AE}" pid="6" name="ContentType">
    <vt:lpwstr>Document</vt:lpwstr>
  </property>
  <property fmtid="{D5CDD505-2E9C-101B-9397-08002B2CF9AE}" pid="7" name="_docset_NoMedatataSyncRequired">
    <vt:lpwstr>False</vt:lpwstr>
  </property>
</Properties>
</file>