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8F3F" w14:textId="289405FE" w:rsidR="00657DEE" w:rsidRPr="00523713" w:rsidRDefault="00657DEE">
      <w:pPr>
        <w:rPr>
          <w:rFonts w:ascii="Times New Roman" w:hAnsi="Times New Roman"/>
        </w:rPr>
      </w:pPr>
      <w:bookmarkStart w:id="0" w:name="_GoBack"/>
      <w:bookmarkEnd w:id="0"/>
      <w:r w:rsidRPr="00523713">
        <w:rPr>
          <w:rFonts w:ascii="Times New Roman" w:hAnsi="Times New Roman"/>
        </w:rPr>
        <w:t>Agenda Date:</w:t>
      </w:r>
      <w:r w:rsidRPr="00523713">
        <w:rPr>
          <w:rFonts w:ascii="Times New Roman" w:hAnsi="Times New Roman"/>
        </w:rPr>
        <w:tab/>
      </w:r>
      <w:r w:rsidR="00666E93" w:rsidRPr="00523713">
        <w:rPr>
          <w:rFonts w:ascii="Times New Roman" w:hAnsi="Times New Roman"/>
        </w:rPr>
        <w:tab/>
      </w:r>
      <w:r w:rsidR="003952FD" w:rsidRPr="00523713">
        <w:rPr>
          <w:rFonts w:ascii="Times New Roman" w:hAnsi="Times New Roman"/>
        </w:rPr>
        <w:t>March 24</w:t>
      </w:r>
      <w:r w:rsidR="003736ED" w:rsidRPr="00523713">
        <w:rPr>
          <w:rFonts w:ascii="Times New Roman" w:hAnsi="Times New Roman"/>
        </w:rPr>
        <w:t>, 2016</w:t>
      </w:r>
    </w:p>
    <w:p w14:paraId="782D8F41" w14:textId="7A2378F4" w:rsidR="00657DEE" w:rsidRPr="00523713" w:rsidRDefault="00657DEE" w:rsidP="00751DD9">
      <w:pPr>
        <w:ind w:left="2160" w:hanging="2160"/>
        <w:rPr>
          <w:rFonts w:ascii="Times New Roman" w:hAnsi="Times New Roman"/>
        </w:rPr>
      </w:pPr>
      <w:r w:rsidRPr="00523713">
        <w:rPr>
          <w:rFonts w:ascii="Times New Roman" w:hAnsi="Times New Roman"/>
        </w:rPr>
        <w:t>Item Number</w:t>
      </w:r>
      <w:r w:rsidR="00DC23DF">
        <w:rPr>
          <w:rFonts w:ascii="Times New Roman" w:hAnsi="Times New Roman"/>
        </w:rPr>
        <w:t>s</w:t>
      </w:r>
      <w:r w:rsidRPr="00523713">
        <w:rPr>
          <w:rFonts w:ascii="Times New Roman" w:hAnsi="Times New Roman"/>
        </w:rPr>
        <w:t>:</w:t>
      </w:r>
      <w:r w:rsidRPr="00523713">
        <w:rPr>
          <w:rFonts w:ascii="Times New Roman" w:hAnsi="Times New Roman"/>
        </w:rPr>
        <w:tab/>
      </w:r>
      <w:r w:rsidR="00016A2C">
        <w:rPr>
          <w:rFonts w:ascii="Times New Roman" w:hAnsi="Times New Roman"/>
        </w:rPr>
        <w:t>A4 and A5</w:t>
      </w:r>
    </w:p>
    <w:p w14:paraId="56BA27A8" w14:textId="77777777" w:rsidR="009420CC" w:rsidRPr="00523713" w:rsidRDefault="009420CC" w:rsidP="00751DD9">
      <w:pPr>
        <w:ind w:left="2160" w:hanging="2160"/>
        <w:rPr>
          <w:rFonts w:ascii="Times New Roman" w:hAnsi="Times New Roman"/>
        </w:rPr>
      </w:pPr>
    </w:p>
    <w:p w14:paraId="782D8F42" w14:textId="3DE415D0" w:rsidR="00657DEE" w:rsidRPr="00523713" w:rsidRDefault="00657DEE">
      <w:pPr>
        <w:rPr>
          <w:rFonts w:ascii="Times New Roman" w:hAnsi="Times New Roman"/>
          <w:b/>
          <w:bCs/>
        </w:rPr>
      </w:pPr>
      <w:r w:rsidRPr="00523713">
        <w:rPr>
          <w:rFonts w:ascii="Times New Roman" w:hAnsi="Times New Roman"/>
          <w:b/>
          <w:bCs/>
        </w:rPr>
        <w:t>Docket</w:t>
      </w:r>
      <w:r w:rsidR="00DC23DF">
        <w:rPr>
          <w:rFonts w:ascii="Times New Roman" w:hAnsi="Times New Roman"/>
          <w:b/>
          <w:bCs/>
        </w:rPr>
        <w:t>s</w:t>
      </w:r>
      <w:r w:rsidRPr="00523713">
        <w:rPr>
          <w:rFonts w:ascii="Times New Roman" w:hAnsi="Times New Roman"/>
          <w:b/>
          <w:bCs/>
        </w:rPr>
        <w:t>:</w:t>
      </w:r>
      <w:r w:rsidRPr="00523713">
        <w:rPr>
          <w:rFonts w:ascii="Times New Roman" w:hAnsi="Times New Roman"/>
          <w:b/>
          <w:bCs/>
        </w:rPr>
        <w:tab/>
      </w:r>
      <w:r w:rsidRPr="00523713">
        <w:rPr>
          <w:rFonts w:ascii="Times New Roman" w:hAnsi="Times New Roman"/>
          <w:b/>
          <w:bCs/>
        </w:rPr>
        <w:tab/>
      </w:r>
      <w:r w:rsidR="004D3D39" w:rsidRPr="00523713">
        <w:rPr>
          <w:rFonts w:ascii="Times New Roman" w:hAnsi="Times New Roman"/>
          <w:b/>
          <w:bCs/>
        </w:rPr>
        <w:t>UE-160</w:t>
      </w:r>
      <w:r w:rsidR="00DA0C80">
        <w:rPr>
          <w:rFonts w:ascii="Times New Roman" w:hAnsi="Times New Roman"/>
          <w:b/>
          <w:bCs/>
        </w:rPr>
        <w:t>203</w:t>
      </w:r>
      <w:r w:rsidR="004D3D39" w:rsidRPr="00523713">
        <w:rPr>
          <w:rFonts w:ascii="Times New Roman" w:hAnsi="Times New Roman"/>
          <w:b/>
          <w:bCs/>
        </w:rPr>
        <w:t xml:space="preserve"> and UG-160</w:t>
      </w:r>
      <w:r w:rsidR="00DA0C80">
        <w:rPr>
          <w:rFonts w:ascii="Times New Roman" w:hAnsi="Times New Roman"/>
          <w:b/>
          <w:bCs/>
        </w:rPr>
        <w:t>204</w:t>
      </w:r>
    </w:p>
    <w:p w14:paraId="782D8F43" w14:textId="732CBE07" w:rsidR="00657DEE" w:rsidRPr="00523713" w:rsidRDefault="00657DEE">
      <w:pPr>
        <w:rPr>
          <w:rFonts w:ascii="Times New Roman" w:hAnsi="Times New Roman"/>
        </w:rPr>
      </w:pPr>
      <w:r w:rsidRPr="00523713">
        <w:rPr>
          <w:rFonts w:ascii="Times New Roman" w:hAnsi="Times New Roman"/>
        </w:rPr>
        <w:t>Company:</w:t>
      </w:r>
      <w:r w:rsidRPr="00523713">
        <w:rPr>
          <w:rFonts w:ascii="Times New Roman" w:hAnsi="Times New Roman"/>
        </w:rPr>
        <w:tab/>
      </w:r>
      <w:r w:rsidRPr="00523713">
        <w:rPr>
          <w:rFonts w:ascii="Times New Roman" w:hAnsi="Times New Roman"/>
        </w:rPr>
        <w:tab/>
      </w:r>
      <w:r w:rsidR="00DA0C80">
        <w:rPr>
          <w:rFonts w:ascii="Times New Roman" w:hAnsi="Times New Roman"/>
        </w:rPr>
        <w:t>Puget Sound Energy</w:t>
      </w:r>
    </w:p>
    <w:p w14:paraId="782D8F44" w14:textId="77777777" w:rsidR="00657DEE" w:rsidRPr="00523713" w:rsidRDefault="00657DEE">
      <w:pPr>
        <w:rPr>
          <w:rFonts w:ascii="Times New Roman" w:hAnsi="Times New Roman"/>
        </w:rPr>
      </w:pPr>
    </w:p>
    <w:p w14:paraId="782D8F45" w14:textId="5E2C6D5E" w:rsidR="00657DEE" w:rsidRPr="00523713" w:rsidRDefault="00657DEE">
      <w:pPr>
        <w:rPr>
          <w:rFonts w:ascii="Times New Roman" w:hAnsi="Times New Roman"/>
        </w:rPr>
      </w:pPr>
      <w:r w:rsidRPr="00523713">
        <w:rPr>
          <w:rFonts w:ascii="Times New Roman" w:hAnsi="Times New Roman"/>
        </w:rPr>
        <w:t>Staff:</w:t>
      </w:r>
      <w:r w:rsidRPr="00523713">
        <w:rPr>
          <w:rFonts w:ascii="Times New Roman" w:hAnsi="Times New Roman"/>
        </w:rPr>
        <w:tab/>
      </w:r>
      <w:r w:rsidRPr="00523713">
        <w:rPr>
          <w:rFonts w:ascii="Times New Roman" w:hAnsi="Times New Roman"/>
        </w:rPr>
        <w:tab/>
      </w:r>
      <w:r w:rsidRPr="00523713">
        <w:rPr>
          <w:rFonts w:ascii="Times New Roman" w:hAnsi="Times New Roman"/>
        </w:rPr>
        <w:tab/>
      </w:r>
      <w:r w:rsidR="003736ED" w:rsidRPr="00523713">
        <w:rPr>
          <w:rFonts w:ascii="Times New Roman" w:hAnsi="Times New Roman"/>
        </w:rPr>
        <w:t>Christopher Hancock, Regulatory Analyst</w:t>
      </w:r>
      <w:r w:rsidRPr="00523713">
        <w:rPr>
          <w:rFonts w:ascii="Times New Roman" w:hAnsi="Times New Roman"/>
        </w:rPr>
        <w:t xml:space="preserve"> </w:t>
      </w:r>
    </w:p>
    <w:p w14:paraId="782D8F47" w14:textId="650E3490" w:rsidR="00657DEE" w:rsidRPr="00523713" w:rsidRDefault="00657DEE" w:rsidP="00514DF5">
      <w:pPr>
        <w:ind w:left="2160"/>
        <w:rPr>
          <w:rFonts w:ascii="Times New Roman" w:hAnsi="Times New Roman"/>
        </w:rPr>
      </w:pPr>
    </w:p>
    <w:p w14:paraId="782D8F48" w14:textId="77777777" w:rsidR="00657DEE" w:rsidRPr="00523713" w:rsidRDefault="00657DEE">
      <w:pPr>
        <w:rPr>
          <w:rFonts w:ascii="Times New Roman" w:hAnsi="Times New Roman"/>
        </w:rPr>
      </w:pPr>
    </w:p>
    <w:p w14:paraId="782D8F49" w14:textId="77777777" w:rsidR="00657DEE" w:rsidRPr="00523713" w:rsidRDefault="00842F1A"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782D8F4A" w14:textId="7820F552" w:rsidR="00657DEE" w:rsidRPr="00523713" w:rsidRDefault="00794734">
      <w:pPr>
        <w:rPr>
          <w:rFonts w:ascii="Times New Roman" w:hAnsi="Times New Roman"/>
        </w:rPr>
      </w:pPr>
      <w:r w:rsidRPr="00523713">
        <w:rPr>
          <w:rFonts w:ascii="Times New Roman" w:hAnsi="Times New Roman"/>
        </w:rPr>
        <w:t>Issue an order a</w:t>
      </w:r>
      <w:r w:rsidR="00447652" w:rsidRPr="00523713">
        <w:rPr>
          <w:rFonts w:ascii="Times New Roman" w:hAnsi="Times New Roman"/>
        </w:rPr>
        <w:t>pprov</w:t>
      </w:r>
      <w:r w:rsidRPr="00523713">
        <w:rPr>
          <w:rFonts w:ascii="Times New Roman" w:hAnsi="Times New Roman"/>
        </w:rPr>
        <w:t xml:space="preserve">ing </w:t>
      </w:r>
      <w:r w:rsidR="00BA6A9A" w:rsidRPr="00523713">
        <w:rPr>
          <w:rFonts w:ascii="Times New Roman" w:hAnsi="Times New Roman"/>
        </w:rPr>
        <w:t xml:space="preserve">the </w:t>
      </w:r>
      <w:r w:rsidRPr="00523713">
        <w:rPr>
          <w:rFonts w:ascii="Times New Roman" w:hAnsi="Times New Roman"/>
        </w:rPr>
        <w:t>proposed</w:t>
      </w:r>
      <w:r w:rsidR="00447652" w:rsidRPr="00523713">
        <w:rPr>
          <w:rFonts w:ascii="Times New Roman" w:hAnsi="Times New Roman"/>
        </w:rPr>
        <w:t xml:space="preserve"> accounting treatment</w:t>
      </w:r>
      <w:r w:rsidR="005B5C5F" w:rsidRPr="00523713">
        <w:rPr>
          <w:rFonts w:ascii="Times New Roman" w:hAnsi="Times New Roman"/>
        </w:rPr>
        <w:t>.</w:t>
      </w:r>
    </w:p>
    <w:p w14:paraId="782D8F4C" w14:textId="77777777" w:rsidR="00657DEE" w:rsidRPr="00523713" w:rsidRDefault="00657DEE"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Discussion</w:t>
      </w:r>
    </w:p>
    <w:p w14:paraId="51D491EF" w14:textId="7DE60DEF" w:rsidR="005B633A" w:rsidRPr="00523713" w:rsidRDefault="005B633A">
      <w:pPr>
        <w:rPr>
          <w:rFonts w:ascii="Times New Roman" w:hAnsi="Times New Roman"/>
        </w:rPr>
      </w:pPr>
      <w:r w:rsidRPr="00523713">
        <w:rPr>
          <w:rFonts w:ascii="Times New Roman" w:hAnsi="Times New Roman"/>
        </w:rPr>
        <w:t xml:space="preserve">On </w:t>
      </w:r>
      <w:r w:rsidR="00F119A4" w:rsidRPr="00523713">
        <w:rPr>
          <w:rFonts w:ascii="Times New Roman" w:hAnsi="Times New Roman"/>
        </w:rPr>
        <w:t>April 6</w:t>
      </w:r>
      <w:r w:rsidRPr="00523713">
        <w:rPr>
          <w:rFonts w:ascii="Times New Roman" w:hAnsi="Times New Roman"/>
        </w:rPr>
        <w:t xml:space="preserve">, </w:t>
      </w:r>
      <w:r w:rsidR="00FD1CFF" w:rsidRPr="00523713">
        <w:rPr>
          <w:rFonts w:ascii="Times New Roman" w:hAnsi="Times New Roman"/>
        </w:rPr>
        <w:t>201</w:t>
      </w:r>
      <w:r w:rsidR="00F119A4" w:rsidRPr="00523713">
        <w:rPr>
          <w:rFonts w:ascii="Times New Roman" w:hAnsi="Times New Roman"/>
        </w:rPr>
        <w:t>5</w:t>
      </w:r>
      <w:r w:rsidRPr="00523713">
        <w:rPr>
          <w:rFonts w:ascii="Times New Roman" w:hAnsi="Times New Roman"/>
        </w:rPr>
        <w:t xml:space="preserve">, the </w:t>
      </w:r>
      <w:r w:rsidR="00FD1CFF" w:rsidRPr="00523713">
        <w:rPr>
          <w:rFonts w:ascii="Times New Roman" w:hAnsi="Times New Roman"/>
        </w:rPr>
        <w:t xml:space="preserve">commission </w:t>
      </w:r>
      <w:r w:rsidRPr="00523713">
        <w:rPr>
          <w:rFonts w:ascii="Times New Roman" w:hAnsi="Times New Roman"/>
        </w:rPr>
        <w:t xml:space="preserve">opened Docket </w:t>
      </w:r>
      <w:r w:rsidR="00F119A4" w:rsidRPr="00523713">
        <w:rPr>
          <w:rFonts w:ascii="Times New Roman" w:hAnsi="Times New Roman"/>
        </w:rPr>
        <w:t>A-150561</w:t>
      </w:r>
      <w:r w:rsidRPr="00523713">
        <w:rPr>
          <w:rFonts w:ascii="Times New Roman" w:hAnsi="Times New Roman"/>
        </w:rPr>
        <w:t xml:space="preserve"> to </w:t>
      </w:r>
      <w:r w:rsidR="00794734" w:rsidRPr="00523713">
        <w:rPr>
          <w:rFonts w:ascii="Times New Roman" w:hAnsi="Times New Roman"/>
        </w:rPr>
        <w:t>investigate</w:t>
      </w:r>
      <w:r w:rsidR="00BA6A9A" w:rsidRPr="00523713">
        <w:rPr>
          <w:rFonts w:ascii="Times New Roman" w:hAnsi="Times New Roman"/>
        </w:rPr>
        <w:t xml:space="preserve"> </w:t>
      </w:r>
      <w:r w:rsidR="00F119A4" w:rsidRPr="00523713">
        <w:rPr>
          <w:rFonts w:ascii="Times New Roman" w:hAnsi="Times New Roman"/>
        </w:rPr>
        <w:t>current utility and transportation industry practices regarding credit and debit card payments by customers, and to reevaluate the regulatory framework surrounding these payments</w:t>
      </w:r>
      <w:r w:rsidRPr="00523713">
        <w:rPr>
          <w:rFonts w:ascii="Times New Roman" w:hAnsi="Times New Roman"/>
        </w:rPr>
        <w:t xml:space="preserve">. </w:t>
      </w:r>
      <w:r w:rsidR="00F119A4" w:rsidRPr="00523713">
        <w:rPr>
          <w:rFonts w:ascii="Times New Roman" w:hAnsi="Times New Roman"/>
        </w:rPr>
        <w:t>Staff solicited two rounds of comments from regulated companies and industry stakeholders, and conducted a workshop on June 9, 2015.</w:t>
      </w:r>
      <w:r w:rsidR="00755626" w:rsidRPr="00523713">
        <w:rPr>
          <w:rFonts w:ascii="Times New Roman" w:hAnsi="Times New Roman"/>
        </w:rPr>
        <w:t xml:space="preserve"> Multiple regulated energy utilities and Public Counsel expressed interest in fee-free programs for customers paying with credit and debit cards.</w:t>
      </w:r>
      <w:r w:rsidR="00F119A4" w:rsidRPr="00523713">
        <w:rPr>
          <w:rFonts w:ascii="Times New Roman" w:hAnsi="Times New Roman"/>
        </w:rPr>
        <w:t xml:space="preserve"> </w:t>
      </w:r>
      <w:r w:rsidR="00DA0C80">
        <w:rPr>
          <w:rFonts w:ascii="Times New Roman" w:hAnsi="Times New Roman"/>
        </w:rPr>
        <w:t>Puget Sound Energy</w:t>
      </w:r>
      <w:r w:rsidR="00F119A4" w:rsidRPr="00523713">
        <w:rPr>
          <w:rFonts w:ascii="Times New Roman" w:hAnsi="Times New Roman"/>
        </w:rPr>
        <w:t>’s filing</w:t>
      </w:r>
      <w:r w:rsidR="00DA0C80">
        <w:rPr>
          <w:rFonts w:ascii="Times New Roman" w:hAnsi="Times New Roman"/>
        </w:rPr>
        <w:t>s</w:t>
      </w:r>
      <w:r w:rsidR="00F119A4" w:rsidRPr="00523713">
        <w:rPr>
          <w:rFonts w:ascii="Times New Roman" w:hAnsi="Times New Roman"/>
        </w:rPr>
        <w:t xml:space="preserve"> in Dockets UE-160</w:t>
      </w:r>
      <w:r w:rsidR="00367B5F">
        <w:rPr>
          <w:rFonts w:ascii="Times New Roman" w:hAnsi="Times New Roman"/>
        </w:rPr>
        <w:t>203</w:t>
      </w:r>
      <w:r w:rsidR="00F119A4" w:rsidRPr="00523713">
        <w:rPr>
          <w:rFonts w:ascii="Times New Roman" w:hAnsi="Times New Roman"/>
        </w:rPr>
        <w:t xml:space="preserve"> and UG-160</w:t>
      </w:r>
      <w:r w:rsidR="00367B5F">
        <w:rPr>
          <w:rFonts w:ascii="Times New Roman" w:hAnsi="Times New Roman"/>
        </w:rPr>
        <w:t>604</w:t>
      </w:r>
      <w:r w:rsidR="00F119A4" w:rsidRPr="00523713">
        <w:rPr>
          <w:rFonts w:ascii="Times New Roman" w:hAnsi="Times New Roman"/>
        </w:rPr>
        <w:t xml:space="preserve"> are a product of the interest generated by that workshop.</w:t>
      </w:r>
    </w:p>
    <w:p w14:paraId="584E3737" w14:textId="77777777" w:rsidR="007360EC" w:rsidRPr="00523713" w:rsidRDefault="007360EC">
      <w:pPr>
        <w:rPr>
          <w:rFonts w:ascii="Times New Roman" w:hAnsi="Times New Roman"/>
        </w:rPr>
      </w:pPr>
    </w:p>
    <w:p w14:paraId="4BA910A5" w14:textId="4115B094" w:rsidR="007360EC" w:rsidRPr="00523713" w:rsidRDefault="00755626">
      <w:pPr>
        <w:rPr>
          <w:rFonts w:ascii="Times New Roman" w:hAnsi="Times New Roman"/>
        </w:rPr>
      </w:pPr>
      <w:r w:rsidRPr="00523713">
        <w:rPr>
          <w:rFonts w:ascii="Times New Roman" w:hAnsi="Times New Roman"/>
        </w:rPr>
        <w:t xml:space="preserve">In the proposed accounting treatment, </w:t>
      </w:r>
      <w:r w:rsidR="00DA0C80">
        <w:rPr>
          <w:rFonts w:ascii="Times New Roman" w:hAnsi="Times New Roman"/>
        </w:rPr>
        <w:t>Puget Sound Energy (PSE)</w:t>
      </w:r>
      <w:r w:rsidR="007360EC" w:rsidRPr="00523713">
        <w:rPr>
          <w:rFonts w:ascii="Times New Roman" w:hAnsi="Times New Roman"/>
        </w:rPr>
        <w:t xml:space="preserve"> </w:t>
      </w:r>
      <w:r w:rsidRPr="00523713">
        <w:rPr>
          <w:rFonts w:ascii="Times New Roman" w:hAnsi="Times New Roman"/>
        </w:rPr>
        <w:t>seek</w:t>
      </w:r>
      <w:r w:rsidR="007360EC" w:rsidRPr="00523713">
        <w:rPr>
          <w:rFonts w:ascii="Times New Roman" w:hAnsi="Times New Roman"/>
        </w:rPr>
        <w:t>s to defer</w:t>
      </w:r>
      <w:r w:rsidR="00367B5F">
        <w:rPr>
          <w:rFonts w:ascii="Times New Roman" w:hAnsi="Times New Roman"/>
        </w:rPr>
        <w:t xml:space="preserve"> </w:t>
      </w:r>
      <w:r w:rsidR="007360EC" w:rsidRPr="00523713">
        <w:rPr>
          <w:rFonts w:ascii="Times New Roman" w:hAnsi="Times New Roman"/>
        </w:rPr>
        <w:t xml:space="preserve">all fees paid by </w:t>
      </w:r>
      <w:r w:rsidR="00DA0C80">
        <w:rPr>
          <w:rFonts w:ascii="Times New Roman" w:hAnsi="Times New Roman"/>
        </w:rPr>
        <w:t>PSE</w:t>
      </w:r>
      <w:r w:rsidR="007360EC" w:rsidRPr="00523713">
        <w:rPr>
          <w:rFonts w:ascii="Times New Roman" w:hAnsi="Times New Roman"/>
        </w:rPr>
        <w:t xml:space="preserve"> related to offering a fee-free program for payment of bills by Washington customers</w:t>
      </w:r>
      <w:r w:rsidRPr="00523713">
        <w:rPr>
          <w:rFonts w:ascii="Times New Roman" w:hAnsi="Times New Roman"/>
        </w:rPr>
        <w:t xml:space="preserve"> that use credit and debit cards</w:t>
      </w:r>
      <w:r w:rsidR="007360EC" w:rsidRPr="00523713">
        <w:rPr>
          <w:rFonts w:ascii="Times New Roman" w:hAnsi="Times New Roman"/>
        </w:rPr>
        <w:t xml:space="preserve">. </w:t>
      </w:r>
      <w:r w:rsidR="007B486D">
        <w:rPr>
          <w:rFonts w:ascii="Times New Roman" w:hAnsi="Times New Roman"/>
        </w:rPr>
        <w:t>PSE has established payment size and payment frequency standards that effectively restrict this program to residential and small business customers.</w:t>
      </w:r>
      <w:r w:rsidR="007B486D">
        <w:rPr>
          <w:rStyle w:val="FootnoteReference"/>
          <w:rFonts w:ascii="Times New Roman" w:hAnsi="Times New Roman"/>
        </w:rPr>
        <w:footnoteReference w:id="1"/>
      </w:r>
    </w:p>
    <w:p w14:paraId="629F93D2" w14:textId="77777777" w:rsidR="007360EC" w:rsidRPr="00523713" w:rsidRDefault="007360EC">
      <w:pPr>
        <w:rPr>
          <w:rFonts w:ascii="Times New Roman" w:hAnsi="Times New Roman"/>
        </w:rPr>
      </w:pPr>
    </w:p>
    <w:p w14:paraId="1EF6C472" w14:textId="2ACC1C19" w:rsidR="007360EC" w:rsidRPr="00523713" w:rsidRDefault="00932693">
      <w:pPr>
        <w:rPr>
          <w:rFonts w:ascii="Times New Roman" w:hAnsi="Times New Roman"/>
        </w:rPr>
      </w:pPr>
      <w:r w:rsidRPr="00523713">
        <w:rPr>
          <w:rFonts w:ascii="Times New Roman" w:hAnsi="Times New Roman"/>
        </w:rPr>
        <w:t xml:space="preserve">Under current practices, </w:t>
      </w:r>
      <w:r w:rsidR="00CF26C2">
        <w:rPr>
          <w:rFonts w:ascii="Times New Roman" w:hAnsi="Times New Roman"/>
        </w:rPr>
        <w:t xml:space="preserve">PSE’s </w:t>
      </w:r>
      <w:r w:rsidR="000814DE">
        <w:rPr>
          <w:rFonts w:ascii="Times New Roman" w:hAnsi="Times New Roman"/>
        </w:rPr>
        <w:t>residential</w:t>
      </w:r>
      <w:r w:rsidR="00343DE2">
        <w:rPr>
          <w:rFonts w:ascii="Times New Roman" w:hAnsi="Times New Roman"/>
        </w:rPr>
        <w:t xml:space="preserve"> and small business</w:t>
      </w:r>
      <w:r w:rsidR="000814DE">
        <w:rPr>
          <w:rFonts w:ascii="Times New Roman" w:hAnsi="Times New Roman"/>
        </w:rPr>
        <w:t xml:space="preserve"> </w:t>
      </w:r>
      <w:r w:rsidR="00343DE2">
        <w:rPr>
          <w:rFonts w:ascii="Times New Roman" w:hAnsi="Times New Roman"/>
        </w:rPr>
        <w:t>customers that</w:t>
      </w:r>
      <w:r w:rsidRPr="00523713">
        <w:rPr>
          <w:rFonts w:ascii="Times New Roman" w:hAnsi="Times New Roman"/>
        </w:rPr>
        <w:t xml:space="preserve"> wish to pay their bills with a credit o</w:t>
      </w:r>
      <w:r w:rsidR="00DA0C80">
        <w:rPr>
          <w:rFonts w:ascii="Times New Roman" w:hAnsi="Times New Roman"/>
        </w:rPr>
        <w:t>r debit card are faced with a $2</w:t>
      </w:r>
      <w:r w:rsidRPr="00523713">
        <w:rPr>
          <w:rFonts w:ascii="Times New Roman" w:hAnsi="Times New Roman"/>
        </w:rPr>
        <w:t>.</w:t>
      </w:r>
      <w:r w:rsidR="00DA0C80">
        <w:rPr>
          <w:rFonts w:ascii="Times New Roman" w:hAnsi="Times New Roman"/>
        </w:rPr>
        <w:t>00 fee that is assessed by the company’s third-party</w:t>
      </w:r>
      <w:r w:rsidRPr="00523713">
        <w:rPr>
          <w:rFonts w:ascii="Times New Roman" w:hAnsi="Times New Roman"/>
        </w:rPr>
        <w:t xml:space="preserve"> payment processor. This fee never passes through </w:t>
      </w:r>
      <w:r w:rsidR="00DA0C80">
        <w:rPr>
          <w:rFonts w:ascii="Times New Roman" w:hAnsi="Times New Roman"/>
        </w:rPr>
        <w:t>PSE</w:t>
      </w:r>
      <w:r w:rsidRPr="00523713">
        <w:rPr>
          <w:rFonts w:ascii="Times New Roman" w:hAnsi="Times New Roman"/>
        </w:rPr>
        <w:t xml:space="preserve">. </w:t>
      </w:r>
      <w:r w:rsidR="0052756F" w:rsidRPr="00523713">
        <w:rPr>
          <w:rFonts w:ascii="Times New Roman" w:hAnsi="Times New Roman"/>
        </w:rPr>
        <w:t xml:space="preserve">All other standard forms of payment </w:t>
      </w:r>
      <w:r w:rsidR="00654E29" w:rsidRPr="00523713">
        <w:rPr>
          <w:rFonts w:ascii="Times New Roman" w:hAnsi="Times New Roman"/>
        </w:rPr>
        <w:t xml:space="preserve">(i.e., </w:t>
      </w:r>
      <w:r w:rsidR="0052756F" w:rsidRPr="00523713">
        <w:rPr>
          <w:rFonts w:ascii="Times New Roman" w:hAnsi="Times New Roman"/>
        </w:rPr>
        <w:t>money orders, checks, ca</w:t>
      </w:r>
      <w:r w:rsidR="00654E29" w:rsidRPr="00523713">
        <w:rPr>
          <w:rFonts w:ascii="Times New Roman" w:hAnsi="Times New Roman"/>
        </w:rPr>
        <w:t>sh)</w:t>
      </w:r>
      <w:r w:rsidR="0052756F" w:rsidRPr="00523713">
        <w:rPr>
          <w:rFonts w:ascii="Times New Roman" w:hAnsi="Times New Roman"/>
        </w:rPr>
        <w:t xml:space="preserve"> do not involve a “convenience fee</w:t>
      </w:r>
      <w:r w:rsidR="00CE6DAD">
        <w:rPr>
          <w:rFonts w:ascii="Times New Roman" w:hAnsi="Times New Roman"/>
        </w:rPr>
        <w:t>.”</w:t>
      </w:r>
      <w:r w:rsidR="0052756F" w:rsidRPr="00523713">
        <w:rPr>
          <w:rFonts w:ascii="Times New Roman" w:hAnsi="Times New Roman"/>
        </w:rPr>
        <w:t xml:space="preserve"> </w:t>
      </w:r>
      <w:r w:rsidR="000969AF" w:rsidRPr="00523713">
        <w:rPr>
          <w:rFonts w:ascii="Times New Roman" w:hAnsi="Times New Roman"/>
        </w:rPr>
        <w:t>Instead, the costs of processing these payments are recovered as a routine</w:t>
      </w:r>
      <w:r w:rsidR="002E566B" w:rsidRPr="00523713">
        <w:rPr>
          <w:rFonts w:ascii="Times New Roman" w:hAnsi="Times New Roman"/>
        </w:rPr>
        <w:t xml:space="preserve"> administrative</w:t>
      </w:r>
      <w:r w:rsidR="00D351CF" w:rsidRPr="00523713">
        <w:rPr>
          <w:rFonts w:ascii="Times New Roman" w:hAnsi="Times New Roman"/>
        </w:rPr>
        <w:t xml:space="preserve"> expense through rates</w:t>
      </w:r>
      <w:r w:rsidR="000969AF" w:rsidRPr="00523713">
        <w:rPr>
          <w:rFonts w:ascii="Times New Roman" w:hAnsi="Times New Roman"/>
        </w:rPr>
        <w:t>.</w:t>
      </w:r>
    </w:p>
    <w:p w14:paraId="46E494BC" w14:textId="77777777" w:rsidR="00932693" w:rsidRPr="00523713" w:rsidRDefault="00932693">
      <w:pPr>
        <w:rPr>
          <w:rFonts w:ascii="Times New Roman" w:hAnsi="Times New Roman"/>
        </w:rPr>
      </w:pPr>
    </w:p>
    <w:p w14:paraId="7504CE70" w14:textId="5FE0160F" w:rsidR="00AF57D8" w:rsidRDefault="00DA0C80">
      <w:pPr>
        <w:rPr>
          <w:rFonts w:ascii="Times New Roman" w:hAnsi="Times New Roman"/>
        </w:rPr>
      </w:pPr>
      <w:r>
        <w:rPr>
          <w:rFonts w:ascii="Times New Roman" w:hAnsi="Times New Roman"/>
        </w:rPr>
        <w:t xml:space="preserve">In </w:t>
      </w:r>
      <w:r w:rsidR="00AF57D8">
        <w:rPr>
          <w:rFonts w:ascii="Times New Roman" w:hAnsi="Times New Roman"/>
        </w:rPr>
        <w:t>2014</w:t>
      </w:r>
      <w:r w:rsidR="00CF26C2">
        <w:rPr>
          <w:rFonts w:ascii="Times New Roman" w:hAnsi="Times New Roman"/>
        </w:rPr>
        <w:t>, PSE was able to lower this convenience</w:t>
      </w:r>
      <w:r>
        <w:rPr>
          <w:rFonts w:ascii="Times New Roman" w:hAnsi="Times New Roman"/>
        </w:rPr>
        <w:t xml:space="preserve"> fee from </w:t>
      </w:r>
      <w:r w:rsidR="00AF57D8">
        <w:rPr>
          <w:rFonts w:ascii="Times New Roman" w:hAnsi="Times New Roman"/>
        </w:rPr>
        <w:t>$4.95</w:t>
      </w:r>
      <w:r>
        <w:rPr>
          <w:rFonts w:ascii="Times New Roman" w:hAnsi="Times New Roman"/>
        </w:rPr>
        <w:t xml:space="preserve"> to the current $2.00 figure. This was done</w:t>
      </w:r>
      <w:r w:rsidR="000814DE">
        <w:rPr>
          <w:rFonts w:ascii="Times New Roman" w:hAnsi="Times New Roman"/>
        </w:rPr>
        <w:t xml:space="preserve"> in part</w:t>
      </w:r>
      <w:r>
        <w:rPr>
          <w:rFonts w:ascii="Times New Roman" w:hAnsi="Times New Roman"/>
        </w:rPr>
        <w:t xml:space="preserve"> by</w:t>
      </w:r>
      <w:r w:rsidR="00AF57D8">
        <w:rPr>
          <w:rFonts w:ascii="Times New Roman" w:hAnsi="Times New Roman"/>
        </w:rPr>
        <w:t xml:space="preserve"> demonstrating to their payment processor that the payments made by PSE’s customers would be </w:t>
      </w:r>
      <w:r w:rsidR="000814DE">
        <w:rPr>
          <w:rFonts w:ascii="Times New Roman" w:hAnsi="Times New Roman"/>
        </w:rPr>
        <w:t xml:space="preserve">much </w:t>
      </w:r>
      <w:r w:rsidR="00AF57D8">
        <w:rPr>
          <w:rFonts w:ascii="Times New Roman" w:hAnsi="Times New Roman"/>
        </w:rPr>
        <w:t xml:space="preserve">cheaper to process than the payment processor had </w:t>
      </w:r>
      <w:r w:rsidR="00F13D5B">
        <w:rPr>
          <w:rFonts w:ascii="Times New Roman" w:hAnsi="Times New Roman"/>
        </w:rPr>
        <w:t xml:space="preserve">originally </w:t>
      </w:r>
      <w:r w:rsidR="00AF57D8">
        <w:rPr>
          <w:rFonts w:ascii="Times New Roman" w:hAnsi="Times New Roman"/>
        </w:rPr>
        <w:t>anticipated.</w:t>
      </w:r>
    </w:p>
    <w:p w14:paraId="7C592781" w14:textId="77777777" w:rsidR="00AF57D8" w:rsidRDefault="00AF57D8">
      <w:pPr>
        <w:rPr>
          <w:rFonts w:ascii="Times New Roman" w:hAnsi="Times New Roman"/>
        </w:rPr>
      </w:pPr>
    </w:p>
    <w:p w14:paraId="4A2ABDC6" w14:textId="7A194F52" w:rsidR="00932693" w:rsidRPr="00523713" w:rsidRDefault="00936503">
      <w:pPr>
        <w:rPr>
          <w:rFonts w:ascii="Times New Roman" w:hAnsi="Times New Roman"/>
        </w:rPr>
      </w:pPr>
      <w:r>
        <w:rPr>
          <w:rFonts w:ascii="Times New Roman" w:hAnsi="Times New Roman"/>
        </w:rPr>
        <w:t xml:space="preserve">PSE and their payment processor now believe the costs per transaction can be lowered to $1.50 per payment. To achieve this lower cost, PSE would first have to meet the qualifications established by payment networks (such as VISA or MasterCard) for </w:t>
      </w:r>
      <w:r w:rsidR="00826354" w:rsidRPr="00523713">
        <w:rPr>
          <w:rFonts w:ascii="Times New Roman" w:hAnsi="Times New Roman"/>
        </w:rPr>
        <w:t>use of the lower “utility rate” interchange</w:t>
      </w:r>
      <w:r>
        <w:rPr>
          <w:rFonts w:ascii="Times New Roman" w:hAnsi="Times New Roman"/>
        </w:rPr>
        <w:t xml:space="preserve"> rates</w:t>
      </w:r>
      <w:r w:rsidR="00826354" w:rsidRPr="00523713">
        <w:rPr>
          <w:rFonts w:ascii="Times New Roman" w:hAnsi="Times New Roman"/>
        </w:rPr>
        <w:t>.</w:t>
      </w:r>
      <w:r>
        <w:rPr>
          <w:rFonts w:ascii="Times New Roman" w:hAnsi="Times New Roman"/>
        </w:rPr>
        <w:t xml:space="preserve"> </w:t>
      </w:r>
      <w:r w:rsidR="000969AF" w:rsidRPr="00523713">
        <w:rPr>
          <w:rFonts w:ascii="Times New Roman" w:hAnsi="Times New Roman"/>
        </w:rPr>
        <w:t>Access to this lower interchange rate requires demonstrating to payment networks that the utility is the entity incurring the costs of processing payments.</w:t>
      </w:r>
    </w:p>
    <w:p w14:paraId="68223455" w14:textId="77777777" w:rsidR="008B1FFB" w:rsidRPr="00523713" w:rsidRDefault="008B1FFB">
      <w:pPr>
        <w:rPr>
          <w:rFonts w:ascii="Times New Roman" w:hAnsi="Times New Roman"/>
        </w:rPr>
      </w:pPr>
    </w:p>
    <w:p w14:paraId="033E8789" w14:textId="735EB9D4" w:rsidR="008B1FFB" w:rsidRDefault="008B1FFB">
      <w:pPr>
        <w:rPr>
          <w:rFonts w:ascii="Times New Roman" w:hAnsi="Times New Roman"/>
        </w:rPr>
      </w:pPr>
      <w:r w:rsidRPr="00523713">
        <w:rPr>
          <w:rFonts w:ascii="Times New Roman" w:hAnsi="Times New Roman"/>
        </w:rPr>
        <w:t xml:space="preserve">In order to </w:t>
      </w:r>
      <w:r w:rsidR="00936503">
        <w:rPr>
          <w:rFonts w:ascii="Times New Roman" w:hAnsi="Times New Roman"/>
        </w:rPr>
        <w:t>achieve this standard</w:t>
      </w:r>
      <w:r w:rsidR="000969AF" w:rsidRPr="00523713">
        <w:rPr>
          <w:rFonts w:ascii="Times New Roman" w:hAnsi="Times New Roman"/>
        </w:rPr>
        <w:t>,</w:t>
      </w:r>
      <w:r w:rsidRPr="00523713">
        <w:rPr>
          <w:rFonts w:ascii="Times New Roman" w:hAnsi="Times New Roman"/>
        </w:rPr>
        <w:t xml:space="preserve"> </w:t>
      </w:r>
      <w:r w:rsidR="00936503">
        <w:rPr>
          <w:rFonts w:ascii="Times New Roman" w:hAnsi="Times New Roman"/>
        </w:rPr>
        <w:t>PSE</w:t>
      </w:r>
      <w:r w:rsidR="00AD3CD3" w:rsidRPr="00523713">
        <w:rPr>
          <w:rFonts w:ascii="Times New Roman" w:hAnsi="Times New Roman"/>
        </w:rPr>
        <w:t xml:space="preserve"> seeks to defer the costs associated with processing these payments</w:t>
      </w:r>
      <w:r w:rsidRPr="00523713">
        <w:rPr>
          <w:rFonts w:ascii="Times New Roman" w:hAnsi="Times New Roman"/>
        </w:rPr>
        <w:t>.</w:t>
      </w:r>
      <w:r w:rsidR="006A028E">
        <w:rPr>
          <w:rFonts w:ascii="Times New Roman" w:hAnsi="Times New Roman"/>
        </w:rPr>
        <w:t xml:space="preserve"> </w:t>
      </w:r>
      <w:r w:rsidRPr="00523713">
        <w:rPr>
          <w:rFonts w:ascii="Times New Roman" w:hAnsi="Times New Roman"/>
        </w:rPr>
        <w:t xml:space="preserve">Approval of the deferral would allow </w:t>
      </w:r>
      <w:r w:rsidR="006A028E">
        <w:rPr>
          <w:rFonts w:ascii="Times New Roman" w:hAnsi="Times New Roman"/>
        </w:rPr>
        <w:t>PSE</w:t>
      </w:r>
      <w:r w:rsidRPr="00523713">
        <w:rPr>
          <w:rFonts w:ascii="Times New Roman" w:hAnsi="Times New Roman"/>
        </w:rPr>
        <w:t xml:space="preserve"> to begin the fee-free program in </w:t>
      </w:r>
      <w:r w:rsidR="006A028E">
        <w:rPr>
          <w:rFonts w:ascii="Times New Roman" w:hAnsi="Times New Roman"/>
        </w:rPr>
        <w:t>August</w:t>
      </w:r>
      <w:r w:rsidRPr="00523713">
        <w:rPr>
          <w:rFonts w:ascii="Times New Roman" w:hAnsi="Times New Roman"/>
        </w:rPr>
        <w:t xml:space="preserve"> of this year.</w:t>
      </w:r>
      <w:r w:rsidR="006A028E">
        <w:rPr>
          <w:rStyle w:val="FootnoteReference"/>
          <w:rFonts w:ascii="Times New Roman" w:hAnsi="Times New Roman"/>
        </w:rPr>
        <w:footnoteReference w:id="2"/>
      </w:r>
      <w:r w:rsidRPr="00523713">
        <w:rPr>
          <w:rFonts w:ascii="Times New Roman" w:hAnsi="Times New Roman"/>
        </w:rPr>
        <w:t xml:space="preserve"> </w:t>
      </w:r>
      <w:r w:rsidR="00A54F3F" w:rsidRPr="00523713">
        <w:rPr>
          <w:rFonts w:ascii="Times New Roman" w:hAnsi="Times New Roman"/>
        </w:rPr>
        <w:t xml:space="preserve">The </w:t>
      </w:r>
      <w:r w:rsidR="00596CF2" w:rsidRPr="00523713">
        <w:rPr>
          <w:rFonts w:ascii="Times New Roman" w:hAnsi="Times New Roman"/>
        </w:rPr>
        <w:t xml:space="preserve">total </w:t>
      </w:r>
      <w:r w:rsidR="00A54F3F" w:rsidRPr="00523713">
        <w:rPr>
          <w:rFonts w:ascii="Times New Roman" w:hAnsi="Times New Roman"/>
        </w:rPr>
        <w:t xml:space="preserve">length of time in which deferred costs </w:t>
      </w:r>
      <w:r w:rsidR="000969AF" w:rsidRPr="00523713">
        <w:rPr>
          <w:rFonts w:ascii="Times New Roman" w:hAnsi="Times New Roman"/>
        </w:rPr>
        <w:t>are anticipate</w:t>
      </w:r>
      <w:r w:rsidR="00755626" w:rsidRPr="00523713">
        <w:rPr>
          <w:rFonts w:ascii="Times New Roman" w:hAnsi="Times New Roman"/>
        </w:rPr>
        <w:t>d</w:t>
      </w:r>
      <w:r w:rsidR="000969AF" w:rsidRPr="00523713">
        <w:rPr>
          <w:rFonts w:ascii="Times New Roman" w:hAnsi="Times New Roman"/>
        </w:rPr>
        <w:t xml:space="preserve"> to</w:t>
      </w:r>
      <w:r w:rsidR="00A54F3F" w:rsidRPr="00523713">
        <w:rPr>
          <w:rFonts w:ascii="Times New Roman" w:hAnsi="Times New Roman"/>
        </w:rPr>
        <w:t xml:space="preserve"> be accrued is </w:t>
      </w:r>
      <w:r w:rsidR="006A028E">
        <w:rPr>
          <w:rFonts w:ascii="Times New Roman" w:hAnsi="Times New Roman"/>
        </w:rPr>
        <w:t>1</w:t>
      </w:r>
      <w:r w:rsidR="00AE6E86">
        <w:rPr>
          <w:rFonts w:ascii="Times New Roman" w:hAnsi="Times New Roman"/>
        </w:rPr>
        <w:t>8</w:t>
      </w:r>
      <w:r w:rsidR="00A54F3F" w:rsidRPr="00523713">
        <w:rPr>
          <w:rFonts w:ascii="Times New Roman" w:hAnsi="Times New Roman"/>
        </w:rPr>
        <w:t xml:space="preserve"> months, based on a</w:t>
      </w:r>
      <w:r w:rsidR="00596CF2" w:rsidRPr="00523713">
        <w:rPr>
          <w:rFonts w:ascii="Times New Roman" w:hAnsi="Times New Roman"/>
        </w:rPr>
        <w:t>n assumed</w:t>
      </w:r>
      <w:r w:rsidR="00A54F3F" w:rsidRPr="00523713">
        <w:rPr>
          <w:rFonts w:ascii="Times New Roman" w:hAnsi="Times New Roman"/>
        </w:rPr>
        <w:t xml:space="preserve"> </w:t>
      </w:r>
      <w:r w:rsidR="00AE6E86">
        <w:rPr>
          <w:rFonts w:ascii="Times New Roman" w:hAnsi="Times New Roman"/>
        </w:rPr>
        <w:t>rate-effective</w:t>
      </w:r>
      <w:r w:rsidR="00A54F3F" w:rsidRPr="00523713">
        <w:rPr>
          <w:rFonts w:ascii="Times New Roman" w:hAnsi="Times New Roman"/>
        </w:rPr>
        <w:t xml:space="preserve"> date of </w:t>
      </w:r>
      <w:r w:rsidR="00AE6E86">
        <w:rPr>
          <w:rFonts w:ascii="Times New Roman" w:hAnsi="Times New Roman"/>
        </w:rPr>
        <w:t>January</w:t>
      </w:r>
      <w:r w:rsidR="00A54F3F" w:rsidRPr="00523713">
        <w:rPr>
          <w:rFonts w:ascii="Times New Roman" w:hAnsi="Times New Roman"/>
        </w:rPr>
        <w:t xml:space="preserve"> 1, 201</w:t>
      </w:r>
      <w:r w:rsidR="00AE6E86">
        <w:rPr>
          <w:rFonts w:ascii="Times New Roman" w:hAnsi="Times New Roman"/>
        </w:rPr>
        <w:t>8</w:t>
      </w:r>
      <w:r w:rsidR="00CE6DAD">
        <w:rPr>
          <w:rFonts w:ascii="Times New Roman" w:hAnsi="Times New Roman"/>
        </w:rPr>
        <w:t>,</w:t>
      </w:r>
      <w:r w:rsidR="00A54F3F" w:rsidRPr="00523713">
        <w:rPr>
          <w:rFonts w:ascii="Times New Roman" w:hAnsi="Times New Roman"/>
        </w:rPr>
        <w:t xml:space="preserve"> of </w:t>
      </w:r>
      <w:r w:rsidR="006A028E">
        <w:rPr>
          <w:rFonts w:ascii="Times New Roman" w:hAnsi="Times New Roman"/>
        </w:rPr>
        <w:t>PSE</w:t>
      </w:r>
      <w:r w:rsidR="00A54F3F" w:rsidRPr="00523713">
        <w:rPr>
          <w:rFonts w:ascii="Times New Roman" w:hAnsi="Times New Roman"/>
        </w:rPr>
        <w:t xml:space="preserve">’s </w:t>
      </w:r>
      <w:r w:rsidR="006A028E">
        <w:rPr>
          <w:rFonts w:ascii="Times New Roman" w:hAnsi="Times New Roman"/>
        </w:rPr>
        <w:t xml:space="preserve">upcoming </w:t>
      </w:r>
      <w:r w:rsidR="00A54F3F" w:rsidRPr="00523713">
        <w:rPr>
          <w:rFonts w:ascii="Times New Roman" w:hAnsi="Times New Roman"/>
        </w:rPr>
        <w:t>rate case.</w:t>
      </w:r>
      <w:r w:rsidR="00523713" w:rsidRPr="00523713">
        <w:rPr>
          <w:rStyle w:val="FootnoteReference"/>
          <w:rFonts w:ascii="Times New Roman" w:hAnsi="Times New Roman"/>
        </w:rPr>
        <w:footnoteReference w:id="3"/>
      </w:r>
      <w:r w:rsidR="00A54F3F" w:rsidRPr="00523713">
        <w:rPr>
          <w:rFonts w:ascii="Times New Roman" w:hAnsi="Times New Roman"/>
        </w:rPr>
        <w:t xml:space="preserve"> </w:t>
      </w:r>
      <w:r w:rsidR="00A3375A">
        <w:rPr>
          <w:rFonts w:ascii="Times New Roman" w:hAnsi="Times New Roman"/>
        </w:rPr>
        <w:t>PSE</w:t>
      </w:r>
      <w:r w:rsidR="00755626" w:rsidRPr="00523713">
        <w:rPr>
          <w:rFonts w:ascii="Times New Roman" w:hAnsi="Times New Roman"/>
        </w:rPr>
        <w:t xml:space="preserve"> has</w:t>
      </w:r>
      <w:r w:rsidR="008A75C9" w:rsidRPr="00523713">
        <w:rPr>
          <w:rFonts w:ascii="Times New Roman" w:hAnsi="Times New Roman"/>
        </w:rPr>
        <w:t xml:space="preserve"> agreed to provide updates every three months</w:t>
      </w:r>
      <w:r w:rsidR="00755626" w:rsidRPr="00523713">
        <w:rPr>
          <w:rFonts w:ascii="Times New Roman" w:hAnsi="Times New Roman"/>
        </w:rPr>
        <w:t xml:space="preserve"> on how the program is progressing.</w:t>
      </w:r>
    </w:p>
    <w:p w14:paraId="4C05FE31" w14:textId="77777777" w:rsidR="00343DE2" w:rsidRDefault="00343DE2">
      <w:pPr>
        <w:rPr>
          <w:rFonts w:ascii="Times New Roman" w:hAnsi="Times New Roman"/>
        </w:rPr>
      </w:pPr>
    </w:p>
    <w:p w14:paraId="1CF58AD3" w14:textId="140C1949" w:rsidR="00343DE2" w:rsidRDefault="00343DE2">
      <w:pPr>
        <w:rPr>
          <w:rFonts w:ascii="Times New Roman" w:hAnsi="Times New Roman"/>
        </w:rPr>
      </w:pPr>
      <w:r>
        <w:rPr>
          <w:rFonts w:ascii="Times New Roman" w:hAnsi="Times New Roman"/>
        </w:rPr>
        <w:t>PSE’s next general rate case will include three elements related to a fee-free program:</w:t>
      </w:r>
    </w:p>
    <w:p w14:paraId="2F32B999" w14:textId="3FEA93C2" w:rsidR="00343DE2" w:rsidRDefault="00343DE2" w:rsidP="00CF26C2">
      <w:pPr>
        <w:pStyle w:val="ListParagraph"/>
        <w:numPr>
          <w:ilvl w:val="0"/>
          <w:numId w:val="3"/>
        </w:numPr>
        <w:rPr>
          <w:rFonts w:ascii="Times New Roman" w:hAnsi="Times New Roman"/>
        </w:rPr>
      </w:pPr>
      <w:r>
        <w:rPr>
          <w:rFonts w:ascii="Times New Roman" w:hAnsi="Times New Roman"/>
        </w:rPr>
        <w:t>Recovery of the deferred account balance that the company seeks to establish in this petition;</w:t>
      </w:r>
    </w:p>
    <w:p w14:paraId="7BABF32A" w14:textId="779F15C0" w:rsidR="00343DE2" w:rsidRDefault="00343DE2" w:rsidP="00CF26C2">
      <w:pPr>
        <w:pStyle w:val="ListParagraph"/>
        <w:numPr>
          <w:ilvl w:val="0"/>
          <w:numId w:val="3"/>
        </w:numPr>
        <w:rPr>
          <w:rFonts w:ascii="Times New Roman" w:hAnsi="Times New Roman"/>
        </w:rPr>
      </w:pPr>
      <w:r>
        <w:rPr>
          <w:rFonts w:ascii="Times New Roman" w:hAnsi="Times New Roman"/>
        </w:rPr>
        <w:t xml:space="preserve">A </w:t>
      </w:r>
      <w:r w:rsidRPr="00343DE2">
        <w:rPr>
          <w:rFonts w:ascii="Times New Roman" w:hAnsi="Times New Roman"/>
          <w:i/>
        </w:rPr>
        <w:t>pro forma</w:t>
      </w:r>
      <w:r>
        <w:rPr>
          <w:rFonts w:ascii="Times New Roman" w:hAnsi="Times New Roman"/>
        </w:rPr>
        <w:t xml:space="preserve"> expense adjustment for recovery of the fees expected to be incurred during the rate year;</w:t>
      </w:r>
    </w:p>
    <w:p w14:paraId="2D125F03" w14:textId="4B07AC21" w:rsidR="00343DE2" w:rsidRPr="00343DE2" w:rsidRDefault="00343DE2" w:rsidP="00CF26C2">
      <w:pPr>
        <w:pStyle w:val="ListParagraph"/>
        <w:numPr>
          <w:ilvl w:val="0"/>
          <w:numId w:val="3"/>
        </w:numPr>
        <w:rPr>
          <w:rFonts w:ascii="Times New Roman" w:hAnsi="Times New Roman"/>
        </w:rPr>
      </w:pPr>
      <w:r>
        <w:rPr>
          <w:rFonts w:ascii="Times New Roman" w:hAnsi="Times New Roman"/>
        </w:rPr>
        <w:t>A deferral account, separate from the one sought in this petition, which will capture the difference between the fees set through rates and the actual fees incurred serving customers, due to an antipicated “ramp up” of card usage under a fee-free program.</w:t>
      </w:r>
      <w:r>
        <w:rPr>
          <w:rStyle w:val="FootnoteReference"/>
          <w:rFonts w:ascii="Times New Roman" w:hAnsi="Times New Roman"/>
        </w:rPr>
        <w:footnoteReference w:id="4"/>
      </w:r>
    </w:p>
    <w:p w14:paraId="5927DDC1" w14:textId="77777777" w:rsidR="00AD3CD3" w:rsidRPr="00523713" w:rsidRDefault="00AD3CD3">
      <w:pPr>
        <w:rPr>
          <w:rFonts w:ascii="Times New Roman" w:hAnsi="Times New Roman"/>
        </w:rPr>
      </w:pPr>
    </w:p>
    <w:p w14:paraId="69732D85" w14:textId="5B19266F" w:rsidR="00AD3CD3" w:rsidRDefault="00A3375A">
      <w:pPr>
        <w:rPr>
          <w:rFonts w:ascii="Times New Roman" w:hAnsi="Times New Roman"/>
        </w:rPr>
      </w:pPr>
      <w:r>
        <w:rPr>
          <w:rFonts w:ascii="Times New Roman" w:hAnsi="Times New Roman"/>
        </w:rPr>
        <w:t>PSE forecasts processing 2,255,693 p</w:t>
      </w:r>
      <w:r w:rsidR="00AD3CD3" w:rsidRPr="00523713">
        <w:rPr>
          <w:rFonts w:ascii="Times New Roman" w:hAnsi="Times New Roman"/>
        </w:rPr>
        <w:t xml:space="preserve">ayments in </w:t>
      </w:r>
      <w:r>
        <w:rPr>
          <w:rFonts w:ascii="Times New Roman" w:hAnsi="Times New Roman"/>
        </w:rPr>
        <w:t>the first year under a fee-free program</w:t>
      </w:r>
      <w:r w:rsidR="00AD3CD3" w:rsidRPr="00523713">
        <w:rPr>
          <w:rFonts w:ascii="Times New Roman" w:hAnsi="Times New Roman"/>
        </w:rPr>
        <w:t xml:space="preserve">. </w:t>
      </w:r>
      <w:r>
        <w:rPr>
          <w:rFonts w:ascii="Times New Roman" w:hAnsi="Times New Roman"/>
        </w:rPr>
        <w:t xml:space="preserve">This figure is based on an assumed </w:t>
      </w:r>
      <w:r w:rsidR="00AD3CD3" w:rsidRPr="00523713">
        <w:rPr>
          <w:rFonts w:ascii="Times New Roman" w:hAnsi="Times New Roman"/>
        </w:rPr>
        <w:t>1</w:t>
      </w:r>
      <w:r>
        <w:rPr>
          <w:rFonts w:ascii="Times New Roman" w:hAnsi="Times New Roman"/>
        </w:rPr>
        <w:t>4</w:t>
      </w:r>
      <w:r w:rsidR="00CE6DAD">
        <w:rPr>
          <w:rFonts w:ascii="Times New Roman" w:hAnsi="Times New Roman"/>
        </w:rPr>
        <w:t xml:space="preserve"> percent</w:t>
      </w:r>
      <w:r w:rsidR="00AD3CD3" w:rsidRPr="00523713">
        <w:rPr>
          <w:rFonts w:ascii="Times New Roman" w:hAnsi="Times New Roman"/>
        </w:rPr>
        <w:t xml:space="preserve"> ad</w:t>
      </w:r>
      <w:r>
        <w:rPr>
          <w:rFonts w:ascii="Times New Roman" w:hAnsi="Times New Roman"/>
        </w:rPr>
        <w:t xml:space="preserve">option rate by </w:t>
      </w:r>
      <w:r w:rsidR="00CF26C2">
        <w:rPr>
          <w:rFonts w:ascii="Times New Roman" w:hAnsi="Times New Roman"/>
        </w:rPr>
        <w:t>eligible</w:t>
      </w:r>
      <w:r>
        <w:rPr>
          <w:rFonts w:ascii="Times New Roman" w:hAnsi="Times New Roman"/>
        </w:rPr>
        <w:t xml:space="preserve"> customers, which </w:t>
      </w:r>
      <w:r w:rsidR="000814DE">
        <w:rPr>
          <w:rFonts w:ascii="Times New Roman" w:hAnsi="Times New Roman"/>
        </w:rPr>
        <w:t>matches</w:t>
      </w:r>
      <w:r w:rsidR="00AD3CD3" w:rsidRPr="00523713">
        <w:rPr>
          <w:rFonts w:ascii="Times New Roman" w:hAnsi="Times New Roman"/>
        </w:rPr>
        <w:t xml:space="preserve"> th</w:t>
      </w:r>
      <w:r w:rsidR="00390A6F" w:rsidRPr="00523713">
        <w:rPr>
          <w:rFonts w:ascii="Times New Roman" w:hAnsi="Times New Roman"/>
        </w:rPr>
        <w:t>e 14</w:t>
      </w:r>
      <w:r w:rsidR="00CE6DAD">
        <w:rPr>
          <w:rFonts w:ascii="Times New Roman" w:hAnsi="Times New Roman"/>
        </w:rPr>
        <w:t xml:space="preserve"> percent</w:t>
      </w:r>
      <w:r w:rsidR="00390A6F" w:rsidRPr="00523713">
        <w:rPr>
          <w:rFonts w:ascii="Times New Roman" w:hAnsi="Times New Roman"/>
        </w:rPr>
        <w:t xml:space="preserve"> adoption rate</w:t>
      </w:r>
      <w:r w:rsidR="00AD3CD3" w:rsidRPr="00523713">
        <w:rPr>
          <w:rFonts w:ascii="Times New Roman" w:hAnsi="Times New Roman"/>
        </w:rPr>
        <w:t xml:space="preserve"> experienced by N</w:t>
      </w:r>
      <w:r w:rsidR="00CE6DAD">
        <w:rPr>
          <w:rFonts w:ascii="Times New Roman" w:hAnsi="Times New Roman"/>
        </w:rPr>
        <w:t>orthwest</w:t>
      </w:r>
      <w:r w:rsidR="00AD3CD3" w:rsidRPr="00523713">
        <w:rPr>
          <w:rFonts w:ascii="Times New Roman" w:hAnsi="Times New Roman"/>
        </w:rPr>
        <w:t xml:space="preserve"> Natural</w:t>
      </w:r>
      <w:r w:rsidR="00CE6DAD">
        <w:rPr>
          <w:rFonts w:ascii="Times New Roman" w:hAnsi="Times New Roman"/>
        </w:rPr>
        <w:t xml:space="preserve"> Gas Company (NW Natural)</w:t>
      </w:r>
      <w:r w:rsidR="00390A6F" w:rsidRPr="00523713">
        <w:rPr>
          <w:rFonts w:ascii="Times New Roman" w:hAnsi="Times New Roman"/>
        </w:rPr>
        <w:t>.</w:t>
      </w:r>
      <w:r w:rsidRPr="00A3375A">
        <w:rPr>
          <w:rStyle w:val="FootnoteReference"/>
          <w:rFonts w:ascii="Times New Roman" w:hAnsi="Times New Roman"/>
        </w:rPr>
        <w:t xml:space="preserve"> </w:t>
      </w:r>
      <w:r>
        <w:rPr>
          <w:rStyle w:val="FootnoteReference"/>
          <w:rFonts w:ascii="Times New Roman" w:hAnsi="Times New Roman"/>
        </w:rPr>
        <w:footnoteReference w:id="5"/>
      </w:r>
      <w:r w:rsidR="00390A6F" w:rsidRPr="00523713">
        <w:rPr>
          <w:rFonts w:ascii="Times New Roman" w:hAnsi="Times New Roman"/>
        </w:rPr>
        <w:t xml:space="preserve"> Over a presumed </w:t>
      </w:r>
      <w:r>
        <w:rPr>
          <w:rFonts w:ascii="Times New Roman" w:hAnsi="Times New Roman"/>
        </w:rPr>
        <w:t>1</w:t>
      </w:r>
      <w:r w:rsidR="00AE6E86">
        <w:rPr>
          <w:rFonts w:ascii="Times New Roman" w:hAnsi="Times New Roman"/>
        </w:rPr>
        <w:t>8</w:t>
      </w:r>
      <w:r w:rsidR="00390A6F" w:rsidRPr="00523713">
        <w:rPr>
          <w:rFonts w:ascii="Times New Roman" w:hAnsi="Times New Roman"/>
        </w:rPr>
        <w:t xml:space="preserve"> month deferral period</w:t>
      </w:r>
      <w:r w:rsidR="00367B5F">
        <w:rPr>
          <w:rFonts w:ascii="Times New Roman" w:hAnsi="Times New Roman"/>
        </w:rPr>
        <w:t xml:space="preserve"> at a 14</w:t>
      </w:r>
      <w:r w:rsidR="00CE6DAD">
        <w:rPr>
          <w:rFonts w:ascii="Times New Roman" w:hAnsi="Times New Roman"/>
        </w:rPr>
        <w:t xml:space="preserve"> percent</w:t>
      </w:r>
      <w:r w:rsidR="00367B5F">
        <w:rPr>
          <w:rFonts w:ascii="Times New Roman" w:hAnsi="Times New Roman"/>
        </w:rPr>
        <w:t xml:space="preserve"> adoption rate</w:t>
      </w:r>
      <w:r w:rsidR="00390A6F" w:rsidRPr="00523713">
        <w:rPr>
          <w:rFonts w:ascii="Times New Roman" w:hAnsi="Times New Roman"/>
        </w:rPr>
        <w:t xml:space="preserve">, this would amount to </w:t>
      </w:r>
      <w:r w:rsidR="00CE6DAD">
        <w:rPr>
          <w:rFonts w:ascii="Times New Roman" w:hAnsi="Times New Roman"/>
        </w:rPr>
        <w:t xml:space="preserve">a </w:t>
      </w:r>
      <w:r w:rsidR="00CF26C2">
        <w:rPr>
          <w:rFonts w:ascii="Times New Roman" w:hAnsi="Times New Roman"/>
        </w:rPr>
        <w:t>balan</w:t>
      </w:r>
      <w:r w:rsidR="00234F1F">
        <w:rPr>
          <w:rFonts w:ascii="Times New Roman" w:hAnsi="Times New Roman"/>
        </w:rPr>
        <w:t>c</w:t>
      </w:r>
      <w:r w:rsidR="00CF26C2">
        <w:rPr>
          <w:rFonts w:ascii="Times New Roman" w:hAnsi="Times New Roman"/>
        </w:rPr>
        <w:t xml:space="preserve">e of </w:t>
      </w:r>
      <w:r w:rsidR="00390A6F" w:rsidRPr="00523713">
        <w:rPr>
          <w:rFonts w:ascii="Times New Roman" w:hAnsi="Times New Roman"/>
        </w:rPr>
        <w:t>approximately $</w:t>
      </w:r>
      <w:r w:rsidR="000814DE">
        <w:rPr>
          <w:rFonts w:ascii="Times New Roman" w:hAnsi="Times New Roman"/>
        </w:rPr>
        <w:t xml:space="preserve">5.1 </w:t>
      </w:r>
      <w:r w:rsidR="00390A6F" w:rsidRPr="00523713">
        <w:rPr>
          <w:rFonts w:ascii="Times New Roman" w:hAnsi="Times New Roman"/>
        </w:rPr>
        <w:t>million.</w:t>
      </w:r>
    </w:p>
    <w:p w14:paraId="106B829A" w14:textId="77777777" w:rsidR="00FF05C5" w:rsidRDefault="00FF05C5">
      <w:pPr>
        <w:rPr>
          <w:rFonts w:ascii="Times New Roman" w:hAnsi="Times New Roman"/>
        </w:rPr>
      </w:pPr>
    </w:p>
    <w:tbl>
      <w:tblPr>
        <w:tblStyle w:val="TableGrid"/>
        <w:tblW w:w="0" w:type="auto"/>
        <w:tblLook w:val="04A0" w:firstRow="1" w:lastRow="0" w:firstColumn="1" w:lastColumn="0" w:noHBand="0" w:noVBand="1"/>
      </w:tblPr>
      <w:tblGrid>
        <w:gridCol w:w="1809"/>
        <w:gridCol w:w="4025"/>
        <w:gridCol w:w="3516"/>
      </w:tblGrid>
      <w:tr w:rsidR="00FF05C5" w:rsidRPr="00FF05C5" w14:paraId="5BDCF0D3" w14:textId="77777777" w:rsidTr="00FF05C5">
        <w:tc>
          <w:tcPr>
            <w:tcW w:w="1885" w:type="dxa"/>
          </w:tcPr>
          <w:p w14:paraId="07EF393A" w14:textId="2A58098B" w:rsidR="00FF05C5" w:rsidRPr="00FF05C5" w:rsidRDefault="00FF05C5" w:rsidP="00FF05C5">
            <w:pPr>
              <w:jc w:val="center"/>
              <w:rPr>
                <w:rFonts w:ascii="Times New Roman" w:hAnsi="Times New Roman"/>
                <w:b/>
              </w:rPr>
            </w:pPr>
            <w:r w:rsidRPr="00FF05C5">
              <w:rPr>
                <w:rFonts w:ascii="Times New Roman" w:hAnsi="Times New Roman"/>
                <w:b/>
              </w:rPr>
              <w:t>Date</w:t>
            </w:r>
          </w:p>
        </w:tc>
        <w:tc>
          <w:tcPr>
            <w:tcW w:w="4348" w:type="dxa"/>
          </w:tcPr>
          <w:p w14:paraId="7F731619" w14:textId="7555A11F" w:rsidR="00FF05C5" w:rsidRPr="00FF05C5" w:rsidRDefault="00FF05C5" w:rsidP="00FF05C5">
            <w:pPr>
              <w:jc w:val="center"/>
              <w:rPr>
                <w:rFonts w:ascii="Times New Roman" w:hAnsi="Times New Roman"/>
                <w:b/>
              </w:rPr>
            </w:pPr>
            <w:r w:rsidRPr="00FF05C5">
              <w:rPr>
                <w:rFonts w:ascii="Times New Roman" w:hAnsi="Times New Roman"/>
                <w:b/>
              </w:rPr>
              <w:t>Event</w:t>
            </w:r>
          </w:p>
        </w:tc>
        <w:tc>
          <w:tcPr>
            <w:tcW w:w="3117" w:type="dxa"/>
          </w:tcPr>
          <w:p w14:paraId="7D23A77A" w14:textId="30D51728" w:rsidR="00FF05C5" w:rsidRPr="00FF05C5" w:rsidRDefault="00FF05C5" w:rsidP="00FF05C5">
            <w:pPr>
              <w:jc w:val="center"/>
              <w:rPr>
                <w:rFonts w:ascii="Times New Roman" w:hAnsi="Times New Roman"/>
                <w:b/>
              </w:rPr>
            </w:pPr>
            <w:r w:rsidRPr="00FF05C5">
              <w:rPr>
                <w:rFonts w:ascii="Times New Roman" w:hAnsi="Times New Roman"/>
                <w:b/>
              </w:rPr>
              <w:t>Estimated Deferral Balance</w:t>
            </w:r>
          </w:p>
        </w:tc>
      </w:tr>
      <w:tr w:rsidR="00FF05C5" w14:paraId="5E201003" w14:textId="77777777" w:rsidTr="00FF05C5">
        <w:tc>
          <w:tcPr>
            <w:tcW w:w="1885" w:type="dxa"/>
          </w:tcPr>
          <w:p w14:paraId="460FB215" w14:textId="22B64991" w:rsidR="00FF05C5" w:rsidRDefault="00FF05C5">
            <w:pPr>
              <w:rPr>
                <w:rFonts w:ascii="Times New Roman" w:hAnsi="Times New Roman"/>
              </w:rPr>
            </w:pPr>
            <w:r>
              <w:rPr>
                <w:rFonts w:ascii="Times New Roman" w:hAnsi="Times New Roman"/>
              </w:rPr>
              <w:t>March 2016</w:t>
            </w:r>
          </w:p>
        </w:tc>
        <w:tc>
          <w:tcPr>
            <w:tcW w:w="4348" w:type="dxa"/>
          </w:tcPr>
          <w:p w14:paraId="632FAAE4" w14:textId="206EB6A9" w:rsidR="00FF05C5" w:rsidRDefault="00FF05C5">
            <w:pPr>
              <w:rPr>
                <w:rFonts w:ascii="Times New Roman" w:hAnsi="Times New Roman"/>
              </w:rPr>
            </w:pPr>
            <w:r>
              <w:rPr>
                <w:rFonts w:ascii="Times New Roman" w:hAnsi="Times New Roman"/>
              </w:rPr>
              <w:t>Commission approves deferral</w:t>
            </w:r>
          </w:p>
        </w:tc>
        <w:tc>
          <w:tcPr>
            <w:tcW w:w="3117" w:type="dxa"/>
          </w:tcPr>
          <w:p w14:paraId="36BBCFCF" w14:textId="1A61E922" w:rsidR="00FF05C5" w:rsidRDefault="00FF05C5" w:rsidP="00FF05C5">
            <w:pPr>
              <w:jc w:val="right"/>
              <w:rPr>
                <w:rFonts w:ascii="Times New Roman" w:hAnsi="Times New Roman"/>
              </w:rPr>
            </w:pPr>
            <w:r>
              <w:rPr>
                <w:rFonts w:ascii="Times New Roman" w:hAnsi="Times New Roman"/>
              </w:rPr>
              <w:t>$0</w:t>
            </w:r>
          </w:p>
        </w:tc>
      </w:tr>
      <w:tr w:rsidR="00FF05C5" w14:paraId="630E57F9" w14:textId="77777777" w:rsidTr="00FF05C5">
        <w:tc>
          <w:tcPr>
            <w:tcW w:w="1885" w:type="dxa"/>
          </w:tcPr>
          <w:p w14:paraId="0F133ECD" w14:textId="0016B974" w:rsidR="00FF05C5" w:rsidRDefault="00A3375A">
            <w:pPr>
              <w:rPr>
                <w:rFonts w:ascii="Times New Roman" w:hAnsi="Times New Roman"/>
              </w:rPr>
            </w:pPr>
            <w:r>
              <w:rPr>
                <w:rFonts w:ascii="Times New Roman" w:hAnsi="Times New Roman"/>
              </w:rPr>
              <w:t>August</w:t>
            </w:r>
            <w:r w:rsidR="00FF05C5">
              <w:rPr>
                <w:rFonts w:ascii="Times New Roman" w:hAnsi="Times New Roman"/>
              </w:rPr>
              <w:t xml:space="preserve"> 2016</w:t>
            </w:r>
          </w:p>
        </w:tc>
        <w:tc>
          <w:tcPr>
            <w:tcW w:w="4348" w:type="dxa"/>
          </w:tcPr>
          <w:p w14:paraId="705CEDAD" w14:textId="18FBFD04" w:rsidR="00FF05C5" w:rsidRDefault="00FF05C5">
            <w:pPr>
              <w:rPr>
                <w:rFonts w:ascii="Times New Roman" w:hAnsi="Times New Roman"/>
              </w:rPr>
            </w:pPr>
            <w:r>
              <w:rPr>
                <w:rFonts w:ascii="Times New Roman" w:hAnsi="Times New Roman"/>
              </w:rPr>
              <w:t>Fee-free program begins</w:t>
            </w:r>
          </w:p>
        </w:tc>
        <w:tc>
          <w:tcPr>
            <w:tcW w:w="3117" w:type="dxa"/>
          </w:tcPr>
          <w:p w14:paraId="3816F052" w14:textId="6BC70564" w:rsidR="00FF05C5" w:rsidRDefault="00FF05C5" w:rsidP="00FF05C5">
            <w:pPr>
              <w:jc w:val="right"/>
              <w:rPr>
                <w:rFonts w:ascii="Times New Roman" w:hAnsi="Times New Roman"/>
              </w:rPr>
            </w:pPr>
            <w:r>
              <w:rPr>
                <w:rFonts w:ascii="Times New Roman" w:hAnsi="Times New Roman"/>
              </w:rPr>
              <w:t>$0</w:t>
            </w:r>
          </w:p>
        </w:tc>
      </w:tr>
      <w:tr w:rsidR="00FF05C5" w14:paraId="1FBD278B" w14:textId="77777777" w:rsidTr="00FF05C5">
        <w:tc>
          <w:tcPr>
            <w:tcW w:w="1885" w:type="dxa"/>
          </w:tcPr>
          <w:p w14:paraId="3851D1A9" w14:textId="78692B20" w:rsidR="00FF05C5" w:rsidRDefault="00A3375A">
            <w:pPr>
              <w:rPr>
                <w:rFonts w:ascii="Times New Roman" w:hAnsi="Times New Roman"/>
              </w:rPr>
            </w:pPr>
            <w:r>
              <w:rPr>
                <w:rFonts w:ascii="Times New Roman" w:hAnsi="Times New Roman"/>
              </w:rPr>
              <w:t>January</w:t>
            </w:r>
            <w:r w:rsidR="00FF05C5">
              <w:rPr>
                <w:rFonts w:ascii="Times New Roman" w:hAnsi="Times New Roman"/>
              </w:rPr>
              <w:t xml:space="preserve"> 2017</w:t>
            </w:r>
          </w:p>
        </w:tc>
        <w:tc>
          <w:tcPr>
            <w:tcW w:w="4348" w:type="dxa"/>
          </w:tcPr>
          <w:p w14:paraId="35E510F2" w14:textId="49F62EC0" w:rsidR="00FF05C5" w:rsidRDefault="00A3375A">
            <w:pPr>
              <w:rPr>
                <w:rFonts w:ascii="Times New Roman" w:hAnsi="Times New Roman"/>
              </w:rPr>
            </w:pPr>
            <w:r>
              <w:rPr>
                <w:rFonts w:ascii="Times New Roman" w:hAnsi="Times New Roman"/>
              </w:rPr>
              <w:t>PSE</w:t>
            </w:r>
            <w:r w:rsidR="00FF05C5">
              <w:rPr>
                <w:rFonts w:ascii="Times New Roman" w:hAnsi="Times New Roman"/>
              </w:rPr>
              <w:t xml:space="preserve"> files next GRC</w:t>
            </w:r>
          </w:p>
        </w:tc>
        <w:tc>
          <w:tcPr>
            <w:tcW w:w="3117" w:type="dxa"/>
          </w:tcPr>
          <w:p w14:paraId="2FC7D182" w14:textId="3E1C9708" w:rsidR="00FF05C5" w:rsidRDefault="000814DE" w:rsidP="00FF05C5">
            <w:pPr>
              <w:jc w:val="right"/>
              <w:rPr>
                <w:rFonts w:ascii="Times New Roman" w:hAnsi="Times New Roman"/>
              </w:rPr>
            </w:pPr>
            <w:r w:rsidRPr="000814DE">
              <w:rPr>
                <w:rFonts w:ascii="Times New Roman" w:hAnsi="Times New Roman"/>
              </w:rPr>
              <w:t>$1,409,808</w:t>
            </w:r>
          </w:p>
        </w:tc>
      </w:tr>
      <w:tr w:rsidR="00FF05C5" w14:paraId="67A244F3" w14:textId="77777777" w:rsidTr="00FF05C5">
        <w:tc>
          <w:tcPr>
            <w:tcW w:w="1885" w:type="dxa"/>
          </w:tcPr>
          <w:p w14:paraId="36A2C5A1" w14:textId="54C4662C" w:rsidR="00FF05C5" w:rsidRDefault="00A3375A">
            <w:pPr>
              <w:rPr>
                <w:rFonts w:ascii="Times New Roman" w:hAnsi="Times New Roman"/>
              </w:rPr>
            </w:pPr>
            <w:r>
              <w:rPr>
                <w:rFonts w:ascii="Times New Roman" w:hAnsi="Times New Roman"/>
              </w:rPr>
              <w:t>July</w:t>
            </w:r>
            <w:r w:rsidR="00FF05C5">
              <w:rPr>
                <w:rFonts w:ascii="Times New Roman" w:hAnsi="Times New Roman"/>
              </w:rPr>
              <w:t xml:space="preserve"> 201</w:t>
            </w:r>
            <w:r>
              <w:rPr>
                <w:rFonts w:ascii="Times New Roman" w:hAnsi="Times New Roman"/>
              </w:rPr>
              <w:t>7</w:t>
            </w:r>
          </w:p>
        </w:tc>
        <w:tc>
          <w:tcPr>
            <w:tcW w:w="4348" w:type="dxa"/>
          </w:tcPr>
          <w:p w14:paraId="1D848BEE" w14:textId="3AC8D222" w:rsidR="00FF05C5" w:rsidRDefault="00FF05C5">
            <w:pPr>
              <w:rPr>
                <w:rFonts w:ascii="Times New Roman" w:hAnsi="Times New Roman"/>
              </w:rPr>
            </w:pPr>
            <w:r>
              <w:rPr>
                <w:rFonts w:ascii="Times New Roman" w:hAnsi="Times New Roman"/>
              </w:rPr>
              <w:t>GRC: Intervenor response testimony</w:t>
            </w:r>
          </w:p>
        </w:tc>
        <w:tc>
          <w:tcPr>
            <w:tcW w:w="3117" w:type="dxa"/>
          </w:tcPr>
          <w:p w14:paraId="00F8E628" w14:textId="74350CF5" w:rsidR="00FF05C5" w:rsidRDefault="000814DE" w:rsidP="00FF05C5">
            <w:pPr>
              <w:jc w:val="right"/>
              <w:rPr>
                <w:rFonts w:ascii="Times New Roman" w:hAnsi="Times New Roman"/>
              </w:rPr>
            </w:pPr>
            <w:r w:rsidRPr="000814DE">
              <w:rPr>
                <w:rFonts w:ascii="Times New Roman" w:hAnsi="Times New Roman"/>
              </w:rPr>
              <w:t>$3,101,578</w:t>
            </w:r>
          </w:p>
        </w:tc>
      </w:tr>
      <w:tr w:rsidR="00FF05C5" w14:paraId="52582DF4" w14:textId="77777777" w:rsidTr="00FF05C5">
        <w:tc>
          <w:tcPr>
            <w:tcW w:w="1885" w:type="dxa"/>
          </w:tcPr>
          <w:p w14:paraId="573C15DD" w14:textId="182E56FC" w:rsidR="00FF05C5" w:rsidRDefault="00A3375A" w:rsidP="00A3375A">
            <w:pPr>
              <w:rPr>
                <w:rFonts w:ascii="Times New Roman" w:hAnsi="Times New Roman"/>
              </w:rPr>
            </w:pPr>
            <w:r>
              <w:rPr>
                <w:rFonts w:ascii="Times New Roman" w:hAnsi="Times New Roman"/>
              </w:rPr>
              <w:t>August</w:t>
            </w:r>
            <w:r w:rsidR="00FF05C5">
              <w:rPr>
                <w:rFonts w:ascii="Times New Roman" w:hAnsi="Times New Roman"/>
              </w:rPr>
              <w:t xml:space="preserve"> 201</w:t>
            </w:r>
            <w:r>
              <w:rPr>
                <w:rFonts w:ascii="Times New Roman" w:hAnsi="Times New Roman"/>
              </w:rPr>
              <w:t>7</w:t>
            </w:r>
          </w:p>
        </w:tc>
        <w:tc>
          <w:tcPr>
            <w:tcW w:w="4348" w:type="dxa"/>
          </w:tcPr>
          <w:p w14:paraId="371FA0B1" w14:textId="6BD455F7" w:rsidR="00FF05C5" w:rsidRDefault="00FF05C5">
            <w:pPr>
              <w:rPr>
                <w:rFonts w:ascii="Times New Roman" w:hAnsi="Times New Roman"/>
              </w:rPr>
            </w:pPr>
            <w:r>
              <w:rPr>
                <w:rFonts w:ascii="Times New Roman" w:hAnsi="Times New Roman"/>
              </w:rPr>
              <w:t>GRC: Rebuttal testimony</w:t>
            </w:r>
          </w:p>
        </w:tc>
        <w:tc>
          <w:tcPr>
            <w:tcW w:w="3117" w:type="dxa"/>
          </w:tcPr>
          <w:p w14:paraId="5364853C" w14:textId="633ADC25" w:rsidR="00FF05C5" w:rsidRDefault="000814DE" w:rsidP="00FF05C5">
            <w:pPr>
              <w:jc w:val="right"/>
              <w:rPr>
                <w:rFonts w:ascii="Times New Roman" w:hAnsi="Times New Roman"/>
              </w:rPr>
            </w:pPr>
            <w:r w:rsidRPr="000814DE">
              <w:rPr>
                <w:rFonts w:ascii="Times New Roman" w:hAnsi="Times New Roman"/>
              </w:rPr>
              <w:t>$3,383,540</w:t>
            </w:r>
          </w:p>
        </w:tc>
      </w:tr>
      <w:tr w:rsidR="00FF05C5" w14:paraId="5722CBF8" w14:textId="77777777" w:rsidTr="00FF05C5">
        <w:tc>
          <w:tcPr>
            <w:tcW w:w="1885" w:type="dxa"/>
          </w:tcPr>
          <w:p w14:paraId="1BE7DDB5" w14:textId="1AB826C8" w:rsidR="00FF05C5" w:rsidRDefault="00A3375A" w:rsidP="00A3375A">
            <w:pPr>
              <w:rPr>
                <w:rFonts w:ascii="Times New Roman" w:hAnsi="Times New Roman"/>
              </w:rPr>
            </w:pPr>
            <w:r>
              <w:rPr>
                <w:rFonts w:ascii="Times New Roman" w:hAnsi="Times New Roman"/>
              </w:rPr>
              <w:t>December</w:t>
            </w:r>
            <w:r w:rsidR="00FF05C5">
              <w:rPr>
                <w:rFonts w:ascii="Times New Roman" w:hAnsi="Times New Roman"/>
              </w:rPr>
              <w:t xml:space="preserve"> 201</w:t>
            </w:r>
            <w:r>
              <w:rPr>
                <w:rFonts w:ascii="Times New Roman" w:hAnsi="Times New Roman"/>
              </w:rPr>
              <w:t>7</w:t>
            </w:r>
          </w:p>
        </w:tc>
        <w:tc>
          <w:tcPr>
            <w:tcW w:w="4348" w:type="dxa"/>
          </w:tcPr>
          <w:p w14:paraId="29312A18" w14:textId="4C0AF194" w:rsidR="00FF05C5" w:rsidRDefault="00FF05C5">
            <w:pPr>
              <w:rPr>
                <w:rFonts w:ascii="Times New Roman" w:hAnsi="Times New Roman"/>
              </w:rPr>
            </w:pPr>
            <w:r>
              <w:rPr>
                <w:rFonts w:ascii="Times New Roman" w:hAnsi="Times New Roman"/>
              </w:rPr>
              <w:t>GRC: Final order issued</w:t>
            </w:r>
          </w:p>
        </w:tc>
        <w:tc>
          <w:tcPr>
            <w:tcW w:w="3117" w:type="dxa"/>
          </w:tcPr>
          <w:p w14:paraId="5E289D2E" w14:textId="169FC73F" w:rsidR="00FF05C5" w:rsidRDefault="000814DE" w:rsidP="00FF05C5">
            <w:pPr>
              <w:jc w:val="right"/>
              <w:rPr>
                <w:rFonts w:ascii="Times New Roman" w:hAnsi="Times New Roman"/>
              </w:rPr>
            </w:pPr>
            <w:r w:rsidRPr="000814DE">
              <w:rPr>
                <w:rFonts w:ascii="Times New Roman" w:hAnsi="Times New Roman"/>
              </w:rPr>
              <w:t>$4,793,348</w:t>
            </w:r>
          </w:p>
        </w:tc>
      </w:tr>
      <w:tr w:rsidR="00FF05C5" w14:paraId="393496A8" w14:textId="77777777" w:rsidTr="00FF05C5">
        <w:tc>
          <w:tcPr>
            <w:tcW w:w="1885" w:type="dxa"/>
          </w:tcPr>
          <w:p w14:paraId="6CF7D643" w14:textId="1C836995" w:rsidR="00FF05C5" w:rsidRDefault="00FF05C5">
            <w:pPr>
              <w:rPr>
                <w:rFonts w:ascii="Times New Roman" w:hAnsi="Times New Roman"/>
              </w:rPr>
            </w:pPr>
            <w:r>
              <w:rPr>
                <w:rFonts w:ascii="Times New Roman" w:hAnsi="Times New Roman"/>
              </w:rPr>
              <w:t>J</w:t>
            </w:r>
            <w:r w:rsidR="00A3375A">
              <w:rPr>
                <w:rFonts w:ascii="Times New Roman" w:hAnsi="Times New Roman"/>
              </w:rPr>
              <w:t>anuary 2018</w:t>
            </w:r>
          </w:p>
        </w:tc>
        <w:tc>
          <w:tcPr>
            <w:tcW w:w="4348" w:type="dxa"/>
          </w:tcPr>
          <w:p w14:paraId="7AE3BB20" w14:textId="55A0B3EE" w:rsidR="00FF05C5" w:rsidRDefault="00FF05C5">
            <w:pPr>
              <w:rPr>
                <w:rFonts w:ascii="Times New Roman" w:hAnsi="Times New Roman"/>
              </w:rPr>
            </w:pPr>
            <w:r>
              <w:rPr>
                <w:rFonts w:ascii="Times New Roman" w:hAnsi="Times New Roman"/>
              </w:rPr>
              <w:t>GRC: New rates in effect</w:t>
            </w:r>
          </w:p>
        </w:tc>
        <w:tc>
          <w:tcPr>
            <w:tcW w:w="3117" w:type="dxa"/>
          </w:tcPr>
          <w:p w14:paraId="0D8EC552" w14:textId="30026F3B" w:rsidR="00FF05C5" w:rsidRDefault="000814DE" w:rsidP="000814DE">
            <w:pPr>
              <w:tabs>
                <w:tab w:val="left" w:pos="2220"/>
              </w:tabs>
              <w:rPr>
                <w:rFonts w:ascii="Times New Roman" w:hAnsi="Times New Roman"/>
              </w:rPr>
            </w:pPr>
            <w:r>
              <w:rPr>
                <w:rFonts w:ascii="Times New Roman" w:hAnsi="Times New Roman"/>
              </w:rPr>
              <w:tab/>
            </w:r>
            <w:r w:rsidRPr="000814DE">
              <w:rPr>
                <w:rFonts w:ascii="Times New Roman" w:hAnsi="Times New Roman"/>
              </w:rPr>
              <w:t>$5,075,309</w:t>
            </w:r>
          </w:p>
        </w:tc>
      </w:tr>
    </w:tbl>
    <w:p w14:paraId="077E0266" w14:textId="77777777" w:rsidR="00FF05C5" w:rsidRPr="00523713" w:rsidRDefault="00FF05C5">
      <w:pPr>
        <w:rPr>
          <w:rFonts w:ascii="Times New Roman" w:hAnsi="Times New Roman"/>
        </w:rPr>
      </w:pPr>
    </w:p>
    <w:p w14:paraId="0200C8DF" w14:textId="530B7BF1" w:rsidR="00DC33AC" w:rsidRPr="00523713" w:rsidRDefault="00DC33AC">
      <w:pPr>
        <w:rPr>
          <w:rFonts w:ascii="Times New Roman" w:hAnsi="Times New Roman"/>
        </w:rPr>
      </w:pPr>
      <w:r w:rsidRPr="00523713">
        <w:rPr>
          <w:rFonts w:ascii="Times New Roman" w:hAnsi="Times New Roman"/>
        </w:rPr>
        <w:t>Approval of a deferral would also allow the record to reflect known-and-measurable customer behavior under a fee-free program, without exposing the company to large losses.</w:t>
      </w:r>
      <w:r w:rsidR="00CF26C2">
        <w:rPr>
          <w:rFonts w:ascii="Times New Roman" w:hAnsi="Times New Roman"/>
        </w:rPr>
        <w:t xml:space="preserve"> </w:t>
      </w:r>
    </w:p>
    <w:p w14:paraId="60A31497" w14:textId="77777777" w:rsidR="00A54F3F" w:rsidRPr="00523713" w:rsidRDefault="00A54F3F">
      <w:pPr>
        <w:rPr>
          <w:rFonts w:ascii="Times New Roman" w:hAnsi="Times New Roman"/>
        </w:rPr>
      </w:pPr>
    </w:p>
    <w:p w14:paraId="5B66333A" w14:textId="74CAFB33" w:rsidR="00AD3CD3" w:rsidRPr="00523713" w:rsidRDefault="00AD3CD3">
      <w:pPr>
        <w:rPr>
          <w:rFonts w:ascii="Times New Roman" w:hAnsi="Times New Roman"/>
        </w:rPr>
      </w:pPr>
      <w:r w:rsidRPr="00523713">
        <w:rPr>
          <w:rFonts w:ascii="Times New Roman" w:hAnsi="Times New Roman"/>
        </w:rPr>
        <w:t>Moving to a fee-free program would eliminate the $</w:t>
      </w:r>
      <w:r w:rsidR="000814DE">
        <w:rPr>
          <w:rFonts w:ascii="Times New Roman" w:hAnsi="Times New Roman"/>
        </w:rPr>
        <w:t>2.00</w:t>
      </w:r>
      <w:r w:rsidRPr="00523713">
        <w:rPr>
          <w:rFonts w:ascii="Times New Roman" w:hAnsi="Times New Roman"/>
        </w:rPr>
        <w:t xml:space="preserve"> “convenience charge” customers currently face, and instead would result in the company</w:t>
      </w:r>
      <w:r w:rsidR="0052756F" w:rsidRPr="00523713">
        <w:rPr>
          <w:rFonts w:ascii="Times New Roman" w:hAnsi="Times New Roman"/>
        </w:rPr>
        <w:t xml:space="preserve"> </w:t>
      </w:r>
      <w:r w:rsidRPr="00523713">
        <w:rPr>
          <w:rFonts w:ascii="Times New Roman" w:hAnsi="Times New Roman"/>
        </w:rPr>
        <w:t>paying roughly $1.50 per transaction for these same payments.</w:t>
      </w:r>
      <w:r w:rsidR="00CF26C2">
        <w:rPr>
          <w:rFonts w:ascii="Times New Roman" w:hAnsi="Times New Roman"/>
        </w:rPr>
        <w:t xml:space="preserve"> PSE expects adoption rates to rise from the current figure of 8</w:t>
      </w:r>
      <w:r w:rsidR="009756D5">
        <w:rPr>
          <w:rFonts w:ascii="Times New Roman" w:hAnsi="Times New Roman"/>
        </w:rPr>
        <w:t xml:space="preserve"> percent</w:t>
      </w:r>
      <w:r w:rsidR="00CF26C2">
        <w:rPr>
          <w:rFonts w:ascii="Times New Roman" w:hAnsi="Times New Roman"/>
        </w:rPr>
        <w:t xml:space="preserve"> to 14</w:t>
      </w:r>
      <w:r w:rsidR="009756D5">
        <w:rPr>
          <w:rFonts w:ascii="Times New Roman" w:hAnsi="Times New Roman"/>
        </w:rPr>
        <w:t xml:space="preserve"> percent</w:t>
      </w:r>
      <w:r w:rsidR="00CF26C2">
        <w:rPr>
          <w:rFonts w:ascii="Times New Roman" w:hAnsi="Times New Roman"/>
        </w:rPr>
        <w:t xml:space="preserve"> rate in the first year under a fee-free program. By 2019, PSE estimates that 20</w:t>
      </w:r>
      <w:r w:rsidR="009756D5">
        <w:rPr>
          <w:rFonts w:ascii="Times New Roman" w:hAnsi="Times New Roman"/>
        </w:rPr>
        <w:t xml:space="preserve"> percent</w:t>
      </w:r>
      <w:r w:rsidR="00CF26C2">
        <w:rPr>
          <w:rFonts w:ascii="Times New Roman" w:hAnsi="Times New Roman"/>
        </w:rPr>
        <w:t xml:space="preserve"> of the company’s payment mix would be made through bank cards under a fee-free program.</w:t>
      </w:r>
    </w:p>
    <w:p w14:paraId="782D8F9C" w14:textId="77777777" w:rsidR="00D60E7F" w:rsidRPr="00523713" w:rsidRDefault="00D60E7F" w:rsidP="002071CB">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Conclusion</w:t>
      </w:r>
    </w:p>
    <w:p w14:paraId="782D8FC2" w14:textId="3A31EC9C" w:rsidR="000B1B56" w:rsidRPr="00523713" w:rsidRDefault="000814DE" w:rsidP="005B633A">
      <w:pPr>
        <w:rPr>
          <w:rFonts w:ascii="Times New Roman" w:hAnsi="Times New Roman"/>
        </w:rPr>
      </w:pPr>
      <w:r>
        <w:rPr>
          <w:rFonts w:ascii="Times New Roman" w:hAnsi="Times New Roman"/>
        </w:rPr>
        <w:t>PSE</w:t>
      </w:r>
      <w:r w:rsidR="005B633A" w:rsidRPr="00523713">
        <w:rPr>
          <w:rFonts w:ascii="Times New Roman" w:hAnsi="Times New Roman"/>
        </w:rPr>
        <w:t xml:space="preserve">’s </w:t>
      </w:r>
      <w:r w:rsidR="0052756F" w:rsidRPr="00523713">
        <w:rPr>
          <w:rFonts w:ascii="Times New Roman" w:hAnsi="Times New Roman"/>
        </w:rPr>
        <w:t xml:space="preserve">proposed accounting treatment would enable the company to proceed with implementing a fee-free program for residential </w:t>
      </w:r>
      <w:r w:rsidR="00CF26C2">
        <w:rPr>
          <w:rFonts w:ascii="Times New Roman" w:hAnsi="Times New Roman"/>
        </w:rPr>
        <w:t xml:space="preserve">and small business </w:t>
      </w:r>
      <w:r w:rsidR="0052756F" w:rsidRPr="00523713">
        <w:rPr>
          <w:rFonts w:ascii="Times New Roman" w:hAnsi="Times New Roman"/>
        </w:rPr>
        <w:t>customers paying by credit and debit cards, at a lower cost for each payment processed</w:t>
      </w:r>
      <w:r w:rsidR="0052673F" w:rsidRPr="00523713">
        <w:rPr>
          <w:rFonts w:ascii="Times New Roman" w:hAnsi="Times New Roman"/>
        </w:rPr>
        <w:t>.</w:t>
      </w:r>
      <w:r w:rsidR="005B633A" w:rsidRPr="00523713">
        <w:rPr>
          <w:rFonts w:ascii="Times New Roman" w:hAnsi="Times New Roman"/>
        </w:rPr>
        <w:t xml:space="preserve"> </w:t>
      </w:r>
    </w:p>
    <w:p w14:paraId="4F09B19E" w14:textId="77777777" w:rsidR="005B5C5F" w:rsidRPr="00523713" w:rsidRDefault="005B5C5F" w:rsidP="005B5C5F">
      <w:pPr>
        <w:pStyle w:val="Heading1"/>
        <w:rPr>
          <w:rFonts w:ascii="Times New Roman" w:hAnsi="Times New Roman" w:cs="Times New Roman"/>
          <w:b/>
          <w:color w:val="000000" w:themeColor="text1"/>
          <w:sz w:val="24"/>
          <w:szCs w:val="24"/>
          <w:u w:val="single"/>
        </w:rPr>
      </w:pPr>
      <w:r w:rsidRPr="00523713">
        <w:rPr>
          <w:rFonts w:ascii="Times New Roman" w:hAnsi="Times New Roman" w:cs="Times New Roman"/>
          <w:b/>
          <w:color w:val="000000" w:themeColor="text1"/>
          <w:sz w:val="24"/>
          <w:szCs w:val="24"/>
          <w:u w:val="single"/>
        </w:rPr>
        <w:t>Recommendation</w:t>
      </w:r>
    </w:p>
    <w:p w14:paraId="3D2EFF6C" w14:textId="34A5766C" w:rsidR="005B5C5F" w:rsidRPr="00523713" w:rsidRDefault="005B5C5F" w:rsidP="005B5C5F">
      <w:pPr>
        <w:rPr>
          <w:rFonts w:ascii="Times New Roman" w:hAnsi="Times New Roman"/>
        </w:rPr>
      </w:pPr>
      <w:r w:rsidRPr="00523713">
        <w:rPr>
          <w:rFonts w:ascii="Times New Roman" w:hAnsi="Times New Roman"/>
        </w:rPr>
        <w:t>Issue an order approving the proposed accounting treatment</w:t>
      </w:r>
      <w:r w:rsidR="002553D7" w:rsidRPr="00523713">
        <w:rPr>
          <w:rFonts w:ascii="Times New Roman" w:hAnsi="Times New Roman"/>
        </w:rPr>
        <w:t>.</w:t>
      </w:r>
    </w:p>
    <w:sectPr w:rsidR="005B5C5F" w:rsidRPr="00523713">
      <w:headerReference w:type="default" r:id="rId11"/>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8FC5" w14:textId="77777777" w:rsidR="00343DE2" w:rsidRDefault="00343DE2">
      <w:r>
        <w:separator/>
      </w:r>
    </w:p>
  </w:endnote>
  <w:endnote w:type="continuationSeparator" w:id="0">
    <w:p w14:paraId="782D8FC6" w14:textId="77777777" w:rsidR="00343DE2" w:rsidRDefault="0034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8FC3" w14:textId="77777777" w:rsidR="00343DE2" w:rsidRDefault="00343DE2">
      <w:r>
        <w:separator/>
      </w:r>
    </w:p>
  </w:footnote>
  <w:footnote w:type="continuationSeparator" w:id="0">
    <w:p w14:paraId="782D8FC4" w14:textId="77777777" w:rsidR="00343DE2" w:rsidRDefault="00343DE2">
      <w:r>
        <w:continuationSeparator/>
      </w:r>
    </w:p>
  </w:footnote>
  <w:footnote w:id="1">
    <w:p w14:paraId="7824005E" w14:textId="24DF7541" w:rsidR="007B486D" w:rsidRPr="005C3488" w:rsidRDefault="007B486D">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PSE restricts payments to no more than $1100, and restricts the frequency to no more than 3 payments in a 30 day period. Avista’s proposal in this same Open Meeting would restrict payments to those no more than $1000, and is able to restrict its program to residential customers by referencing the account number when a payment is initiated.</w:t>
      </w:r>
    </w:p>
  </w:footnote>
  <w:footnote w:id="2">
    <w:p w14:paraId="63316727" w14:textId="1BF980CA" w:rsidR="00343DE2" w:rsidRPr="005C3488" w:rsidRDefault="00343DE2">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PSE’s vendor has estimated that it would take 4 to 5 months to convert to a fee-free program.</w:t>
      </w:r>
    </w:p>
  </w:footnote>
  <w:footnote w:id="3">
    <w:p w14:paraId="64BAD3F6" w14:textId="58531F73" w:rsidR="00343DE2" w:rsidRPr="005C3488" w:rsidRDefault="00343DE2">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The proposal is for costs incurred up to the date rates are first established in the upcoming general rate case, or no later than January 1, 2018, whichever is sooner. PSE expects to file a general rate case no later than January 17, 2017.</w:t>
      </w:r>
    </w:p>
  </w:footnote>
  <w:footnote w:id="4">
    <w:p w14:paraId="006353D2" w14:textId="546F4DD3" w:rsidR="00343DE2" w:rsidRPr="005C3488" w:rsidRDefault="00343DE2">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PSE anticipates that usage rates will rise to 20</w:t>
      </w:r>
      <w:r w:rsidR="00CE6DAD">
        <w:rPr>
          <w:rFonts w:ascii="Times New Roman" w:hAnsi="Times New Roman"/>
        </w:rPr>
        <w:t xml:space="preserve"> percent</w:t>
      </w:r>
      <w:r w:rsidR="00CF26C2" w:rsidRPr="005C3488">
        <w:rPr>
          <w:rFonts w:ascii="Times New Roman" w:hAnsi="Times New Roman"/>
        </w:rPr>
        <w:t xml:space="preserve"> by 2019</w:t>
      </w:r>
      <w:r w:rsidRPr="005C3488">
        <w:rPr>
          <w:rFonts w:ascii="Times New Roman" w:hAnsi="Times New Roman"/>
        </w:rPr>
        <w:t>, as more customers become aware of a fee-free program.</w:t>
      </w:r>
    </w:p>
  </w:footnote>
  <w:footnote w:id="5">
    <w:p w14:paraId="34CC67D1" w14:textId="77777777" w:rsidR="00343DE2" w:rsidRPr="005C3488" w:rsidRDefault="00343DE2" w:rsidP="00A3375A">
      <w:pPr>
        <w:pStyle w:val="FootnoteText"/>
        <w:rPr>
          <w:rFonts w:ascii="Times New Roman" w:hAnsi="Times New Roman"/>
        </w:rPr>
      </w:pPr>
      <w:r w:rsidRPr="005C3488">
        <w:rPr>
          <w:rStyle w:val="FootnoteReference"/>
          <w:rFonts w:ascii="Times New Roman" w:hAnsi="Times New Roman"/>
        </w:rPr>
        <w:footnoteRef/>
      </w:r>
      <w:r w:rsidRPr="005C3488">
        <w:rPr>
          <w:rFonts w:ascii="Times New Roman" w:hAnsi="Times New Roman"/>
        </w:rPr>
        <w:t xml:space="preserve"> NW Natural currently has a fee-free program that is available to its Oregon and Washington customers. The vast majority of NW Natural’s customers are in Oregon, where NW Natural received approval for a fee-free program during their last general rate case. NW Natural has not sought recovery of these costs in Washington.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8FC7" w14:textId="743AA211" w:rsidR="00343DE2" w:rsidRPr="0052673F" w:rsidRDefault="00343DE2">
    <w:pPr>
      <w:pStyle w:val="Header"/>
      <w:rPr>
        <w:rFonts w:ascii="Times New Roman" w:hAnsi="Times New Roman"/>
        <w:sz w:val="20"/>
      </w:rPr>
    </w:pPr>
    <w:r w:rsidRPr="0052673F">
      <w:rPr>
        <w:rFonts w:ascii="Times New Roman" w:hAnsi="Times New Roman"/>
        <w:sz w:val="20"/>
      </w:rPr>
      <w:t>Docket</w:t>
    </w:r>
    <w:r>
      <w:rPr>
        <w:rFonts w:ascii="Times New Roman" w:hAnsi="Times New Roman"/>
        <w:sz w:val="20"/>
      </w:rPr>
      <w:t>s</w:t>
    </w:r>
    <w:r w:rsidRPr="0052673F">
      <w:rPr>
        <w:rFonts w:ascii="Times New Roman" w:hAnsi="Times New Roman"/>
        <w:sz w:val="20"/>
      </w:rPr>
      <w:t xml:space="preserve"> </w:t>
    </w:r>
    <w:r>
      <w:rPr>
        <w:rFonts w:ascii="Times New Roman" w:hAnsi="Times New Roman"/>
        <w:sz w:val="20"/>
      </w:rPr>
      <w:t>UE-160203 and UG-160204</w:t>
    </w:r>
  </w:p>
  <w:p w14:paraId="782D8FC8" w14:textId="31793770" w:rsidR="00343DE2" w:rsidRPr="0052673F" w:rsidRDefault="00343DE2">
    <w:pPr>
      <w:pStyle w:val="Header"/>
      <w:rPr>
        <w:rFonts w:ascii="Times New Roman" w:hAnsi="Times New Roman"/>
        <w:sz w:val="20"/>
      </w:rPr>
    </w:pPr>
    <w:r>
      <w:rPr>
        <w:rFonts w:ascii="Times New Roman" w:hAnsi="Times New Roman"/>
        <w:sz w:val="20"/>
      </w:rPr>
      <w:t>March 24</w:t>
    </w:r>
    <w:r w:rsidRPr="005B633A">
      <w:rPr>
        <w:rFonts w:ascii="Times New Roman" w:hAnsi="Times New Roman"/>
        <w:sz w:val="20"/>
      </w:rPr>
      <w:t>, 2016</w:t>
    </w:r>
  </w:p>
  <w:p w14:paraId="782D8FC9" w14:textId="77777777" w:rsidR="00343DE2" w:rsidRPr="0052673F" w:rsidRDefault="00343DE2">
    <w:pPr>
      <w:pStyle w:val="Header"/>
      <w:rPr>
        <w:rStyle w:val="PageNumber"/>
        <w:rFonts w:ascii="Times New Roman" w:hAnsi="Times New Roman"/>
        <w:sz w:val="20"/>
      </w:rPr>
    </w:pPr>
    <w:r w:rsidRPr="0052673F">
      <w:rPr>
        <w:rFonts w:ascii="Times New Roman" w:hAnsi="Times New Roman"/>
        <w:sz w:val="20"/>
      </w:rPr>
      <w:t xml:space="preserve">Page </w:t>
    </w:r>
    <w:r w:rsidRPr="00751DD9">
      <w:rPr>
        <w:rStyle w:val="PageNumber"/>
        <w:rFonts w:ascii="Times New Roman" w:hAnsi="Times New Roman"/>
        <w:sz w:val="20"/>
        <w:szCs w:val="20"/>
      </w:rPr>
      <w:fldChar w:fldCharType="begin"/>
    </w:r>
    <w:r w:rsidRPr="00751DD9">
      <w:rPr>
        <w:rStyle w:val="PageNumber"/>
        <w:rFonts w:ascii="Times New Roman" w:hAnsi="Times New Roman"/>
        <w:sz w:val="20"/>
        <w:szCs w:val="20"/>
      </w:rPr>
      <w:instrText xml:space="preserve"> PAGE </w:instrText>
    </w:r>
    <w:r w:rsidRPr="00751DD9">
      <w:rPr>
        <w:rStyle w:val="PageNumber"/>
        <w:rFonts w:ascii="Times New Roman" w:hAnsi="Times New Roman"/>
        <w:sz w:val="20"/>
        <w:szCs w:val="20"/>
      </w:rPr>
      <w:fldChar w:fldCharType="separate"/>
    </w:r>
    <w:r w:rsidR="002E3EC0">
      <w:rPr>
        <w:rStyle w:val="PageNumber"/>
        <w:rFonts w:ascii="Times New Roman" w:hAnsi="Times New Roman"/>
        <w:noProof/>
        <w:sz w:val="20"/>
        <w:szCs w:val="20"/>
      </w:rPr>
      <w:t>2</w:t>
    </w:r>
    <w:r w:rsidRPr="00751DD9">
      <w:rPr>
        <w:rStyle w:val="PageNumber"/>
        <w:rFonts w:ascii="Times New Roman" w:hAnsi="Times New Roman"/>
        <w:sz w:val="20"/>
        <w:szCs w:val="20"/>
      </w:rPr>
      <w:fldChar w:fldCharType="end"/>
    </w:r>
  </w:p>
  <w:p w14:paraId="782D8FCA" w14:textId="77777777" w:rsidR="00343DE2" w:rsidRDefault="00343DE2">
    <w:pPr>
      <w:pStyle w:val="Header"/>
      <w:rPr>
        <w:rStyle w:val="PageNumber"/>
        <w:sz w:val="20"/>
      </w:rPr>
    </w:pPr>
  </w:p>
  <w:p w14:paraId="782D8FCB" w14:textId="77777777" w:rsidR="00343DE2" w:rsidRDefault="00343DE2">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A20"/>
    <w:multiLevelType w:val="hybridMultilevel"/>
    <w:tmpl w:val="D0364AEA"/>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257C9"/>
    <w:multiLevelType w:val="hybridMultilevel"/>
    <w:tmpl w:val="F9D03D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20EB0"/>
    <w:multiLevelType w:val="hybridMultilevel"/>
    <w:tmpl w:val="C1C4ECD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16A2C"/>
    <w:rsid w:val="00036A86"/>
    <w:rsid w:val="00041921"/>
    <w:rsid w:val="000814DE"/>
    <w:rsid w:val="000969AF"/>
    <w:rsid w:val="000B1362"/>
    <w:rsid w:val="000B1B56"/>
    <w:rsid w:val="000D20FB"/>
    <w:rsid w:val="000D6E22"/>
    <w:rsid w:val="000F03F4"/>
    <w:rsid w:val="00115C02"/>
    <w:rsid w:val="00130194"/>
    <w:rsid w:val="00136702"/>
    <w:rsid w:val="00157F99"/>
    <w:rsid w:val="001C2364"/>
    <w:rsid w:val="001F5226"/>
    <w:rsid w:val="0020635F"/>
    <w:rsid w:val="002071CB"/>
    <w:rsid w:val="0022715D"/>
    <w:rsid w:val="00234F1F"/>
    <w:rsid w:val="00242044"/>
    <w:rsid w:val="0024415C"/>
    <w:rsid w:val="002553D7"/>
    <w:rsid w:val="002E3EC0"/>
    <w:rsid w:val="002E566B"/>
    <w:rsid w:val="00331F1A"/>
    <w:rsid w:val="00343DE2"/>
    <w:rsid w:val="00367B5F"/>
    <w:rsid w:val="003736ED"/>
    <w:rsid w:val="003747CB"/>
    <w:rsid w:val="00380F67"/>
    <w:rsid w:val="00390A6F"/>
    <w:rsid w:val="003952FD"/>
    <w:rsid w:val="003A683D"/>
    <w:rsid w:val="003D17FB"/>
    <w:rsid w:val="004064B6"/>
    <w:rsid w:val="00415CAD"/>
    <w:rsid w:val="00420758"/>
    <w:rsid w:val="00434A3B"/>
    <w:rsid w:val="00446C55"/>
    <w:rsid w:val="00447652"/>
    <w:rsid w:val="004D3D39"/>
    <w:rsid w:val="004E3623"/>
    <w:rsid w:val="00506886"/>
    <w:rsid w:val="00514DF5"/>
    <w:rsid w:val="00521DDB"/>
    <w:rsid w:val="00523713"/>
    <w:rsid w:val="00524B4F"/>
    <w:rsid w:val="0052673F"/>
    <w:rsid w:val="0052756F"/>
    <w:rsid w:val="005468CC"/>
    <w:rsid w:val="00564811"/>
    <w:rsid w:val="00596CF2"/>
    <w:rsid w:val="005B5C5F"/>
    <w:rsid w:val="005B633A"/>
    <w:rsid w:val="005C3488"/>
    <w:rsid w:val="00654E29"/>
    <w:rsid w:val="00657DEE"/>
    <w:rsid w:val="00666E93"/>
    <w:rsid w:val="006A028E"/>
    <w:rsid w:val="006F744B"/>
    <w:rsid w:val="00712B01"/>
    <w:rsid w:val="007360EC"/>
    <w:rsid w:val="00744BCA"/>
    <w:rsid w:val="00751DD9"/>
    <w:rsid w:val="00755626"/>
    <w:rsid w:val="00767FFB"/>
    <w:rsid w:val="00774009"/>
    <w:rsid w:val="00794734"/>
    <w:rsid w:val="007B486D"/>
    <w:rsid w:val="00826354"/>
    <w:rsid w:val="00842F1A"/>
    <w:rsid w:val="00862FFC"/>
    <w:rsid w:val="008A75C9"/>
    <w:rsid w:val="008B1FFB"/>
    <w:rsid w:val="00920316"/>
    <w:rsid w:val="00932693"/>
    <w:rsid w:val="00936503"/>
    <w:rsid w:val="009420CC"/>
    <w:rsid w:val="00947AAF"/>
    <w:rsid w:val="00971233"/>
    <w:rsid w:val="009756D5"/>
    <w:rsid w:val="00975735"/>
    <w:rsid w:val="009863F2"/>
    <w:rsid w:val="0099144D"/>
    <w:rsid w:val="009A45E2"/>
    <w:rsid w:val="009D6358"/>
    <w:rsid w:val="009E538B"/>
    <w:rsid w:val="00A01784"/>
    <w:rsid w:val="00A26EAD"/>
    <w:rsid w:val="00A32572"/>
    <w:rsid w:val="00A3375A"/>
    <w:rsid w:val="00A54F3F"/>
    <w:rsid w:val="00A83643"/>
    <w:rsid w:val="00AB2A3E"/>
    <w:rsid w:val="00AB3123"/>
    <w:rsid w:val="00AC3F42"/>
    <w:rsid w:val="00AD3CD3"/>
    <w:rsid w:val="00AD4D61"/>
    <w:rsid w:val="00AE6E86"/>
    <w:rsid w:val="00AF57D8"/>
    <w:rsid w:val="00B33E84"/>
    <w:rsid w:val="00B34050"/>
    <w:rsid w:val="00B37E04"/>
    <w:rsid w:val="00B410FE"/>
    <w:rsid w:val="00B67FF2"/>
    <w:rsid w:val="00B70FE2"/>
    <w:rsid w:val="00B97950"/>
    <w:rsid w:val="00BA6A9A"/>
    <w:rsid w:val="00BD6CA0"/>
    <w:rsid w:val="00C53AE4"/>
    <w:rsid w:val="00C60290"/>
    <w:rsid w:val="00CE6DAD"/>
    <w:rsid w:val="00CF26C2"/>
    <w:rsid w:val="00D33B36"/>
    <w:rsid w:val="00D351CF"/>
    <w:rsid w:val="00D60E7F"/>
    <w:rsid w:val="00D70AB2"/>
    <w:rsid w:val="00D82418"/>
    <w:rsid w:val="00D9666D"/>
    <w:rsid w:val="00DA0C80"/>
    <w:rsid w:val="00DC23DF"/>
    <w:rsid w:val="00DC33AC"/>
    <w:rsid w:val="00E27FBC"/>
    <w:rsid w:val="00E43838"/>
    <w:rsid w:val="00F119A4"/>
    <w:rsid w:val="00F13D5B"/>
    <w:rsid w:val="00F240AF"/>
    <w:rsid w:val="00F9373B"/>
    <w:rsid w:val="00FC5ECC"/>
    <w:rsid w:val="00FD1CFF"/>
    <w:rsid w:val="00FF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8F3F"/>
  <w15:docId w15:val="{21C8FEBE-21EF-416F-8B41-93F25C7A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link w:val="Heading1Char"/>
    <w:qFormat/>
    <w:rsid w:val="002071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071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penMtgSection">
    <w:name w:val="Open Mtg Section"/>
    <w:basedOn w:val="Normal"/>
    <w:link w:val="OpenMtgSectionChar"/>
    <w:rsid w:val="002071CB"/>
    <w:rPr>
      <w:rFonts w:ascii="Times New Roman" w:hAnsi="Times New Roman"/>
      <w:b/>
      <w:bCs/>
      <w:u w:val="single"/>
    </w:rPr>
  </w:style>
  <w:style w:type="character" w:customStyle="1" w:styleId="Heading1Char">
    <w:name w:val="Heading 1 Char"/>
    <w:basedOn w:val="DefaultParagraphFont"/>
    <w:link w:val="Heading1"/>
    <w:rsid w:val="002071CB"/>
    <w:rPr>
      <w:rFonts w:asciiTheme="majorHAnsi" w:eastAsiaTheme="majorEastAsia" w:hAnsiTheme="majorHAnsi" w:cstheme="majorBidi"/>
      <w:color w:val="365F91" w:themeColor="accent1" w:themeShade="BF"/>
      <w:sz w:val="32"/>
      <w:szCs w:val="32"/>
    </w:rPr>
  </w:style>
  <w:style w:type="character" w:customStyle="1" w:styleId="OpenMtgSectionChar">
    <w:name w:val="Open Mtg Section Char"/>
    <w:basedOn w:val="DefaultParagraphFont"/>
    <w:link w:val="OpenMtgSection"/>
    <w:rsid w:val="002071CB"/>
    <w:rPr>
      <w:b/>
      <w:bCs/>
      <w:sz w:val="24"/>
      <w:szCs w:val="24"/>
      <w:u w:val="single"/>
    </w:rPr>
  </w:style>
  <w:style w:type="character" w:customStyle="1" w:styleId="Heading2Char">
    <w:name w:val="Heading 2 Char"/>
    <w:basedOn w:val="DefaultParagraphFont"/>
    <w:link w:val="Heading2"/>
    <w:rsid w:val="002071C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B67FF2"/>
    <w:rPr>
      <w:sz w:val="20"/>
      <w:szCs w:val="20"/>
    </w:rPr>
  </w:style>
  <w:style w:type="character" w:customStyle="1" w:styleId="FootnoteTextChar">
    <w:name w:val="Footnote Text Char"/>
    <w:basedOn w:val="DefaultParagraphFont"/>
    <w:link w:val="FootnoteText"/>
    <w:semiHidden/>
    <w:rsid w:val="00B67FF2"/>
    <w:rPr>
      <w:rFonts w:ascii="Palatino Linotype" w:hAnsi="Palatino Linotype"/>
    </w:rPr>
  </w:style>
  <w:style w:type="character" w:styleId="FootnoteReference">
    <w:name w:val="footnote reference"/>
    <w:basedOn w:val="DefaultParagraphFont"/>
    <w:semiHidden/>
    <w:unhideWhenUsed/>
    <w:rsid w:val="00B67FF2"/>
    <w:rPr>
      <w:vertAlign w:val="superscript"/>
    </w:rPr>
  </w:style>
  <w:style w:type="paragraph" w:styleId="ListParagraph">
    <w:name w:val="List Paragraph"/>
    <w:basedOn w:val="Normal"/>
    <w:uiPriority w:val="34"/>
    <w:qFormat/>
    <w:rsid w:val="00157F99"/>
    <w:pPr>
      <w:ind w:left="720"/>
      <w:contextualSpacing/>
    </w:pPr>
  </w:style>
  <w:style w:type="paragraph" w:styleId="BalloonText">
    <w:name w:val="Balloon Text"/>
    <w:basedOn w:val="Normal"/>
    <w:link w:val="BalloonTextChar"/>
    <w:semiHidden/>
    <w:unhideWhenUsed/>
    <w:rsid w:val="00971233"/>
    <w:rPr>
      <w:rFonts w:ascii="Segoe UI" w:hAnsi="Segoe UI" w:cs="Segoe UI"/>
      <w:sz w:val="18"/>
      <w:szCs w:val="18"/>
    </w:rPr>
  </w:style>
  <w:style w:type="character" w:customStyle="1" w:styleId="BalloonTextChar">
    <w:name w:val="Balloon Text Char"/>
    <w:basedOn w:val="DefaultParagraphFont"/>
    <w:link w:val="BalloonText"/>
    <w:semiHidden/>
    <w:rsid w:val="00971233"/>
    <w:rPr>
      <w:rFonts w:ascii="Segoe UI" w:hAnsi="Segoe UI" w:cs="Segoe UI"/>
      <w:sz w:val="18"/>
      <w:szCs w:val="18"/>
    </w:rPr>
  </w:style>
  <w:style w:type="character" w:styleId="CommentReference">
    <w:name w:val="annotation reference"/>
    <w:basedOn w:val="DefaultParagraphFont"/>
    <w:semiHidden/>
    <w:unhideWhenUsed/>
    <w:rsid w:val="00774009"/>
    <w:rPr>
      <w:sz w:val="16"/>
      <w:szCs w:val="16"/>
    </w:rPr>
  </w:style>
  <w:style w:type="paragraph" w:styleId="CommentText">
    <w:name w:val="annotation text"/>
    <w:basedOn w:val="Normal"/>
    <w:link w:val="CommentTextChar"/>
    <w:semiHidden/>
    <w:unhideWhenUsed/>
    <w:rsid w:val="00774009"/>
    <w:rPr>
      <w:sz w:val="20"/>
      <w:szCs w:val="20"/>
    </w:rPr>
  </w:style>
  <w:style w:type="character" w:customStyle="1" w:styleId="CommentTextChar">
    <w:name w:val="Comment Text Char"/>
    <w:basedOn w:val="DefaultParagraphFont"/>
    <w:link w:val="CommentText"/>
    <w:semiHidden/>
    <w:rsid w:val="00774009"/>
    <w:rPr>
      <w:rFonts w:ascii="Palatino Linotype" w:hAnsi="Palatino Linotype"/>
    </w:rPr>
  </w:style>
  <w:style w:type="paragraph" w:styleId="CommentSubject">
    <w:name w:val="annotation subject"/>
    <w:basedOn w:val="CommentText"/>
    <w:next w:val="CommentText"/>
    <w:link w:val="CommentSubjectChar"/>
    <w:semiHidden/>
    <w:unhideWhenUsed/>
    <w:rsid w:val="00774009"/>
    <w:rPr>
      <w:b/>
      <w:bCs/>
    </w:rPr>
  </w:style>
  <w:style w:type="character" w:customStyle="1" w:styleId="CommentSubjectChar">
    <w:name w:val="Comment Subject Char"/>
    <w:basedOn w:val="CommentTextChar"/>
    <w:link w:val="CommentSubject"/>
    <w:semiHidden/>
    <w:rsid w:val="00774009"/>
    <w:rPr>
      <w:rFonts w:ascii="Palatino Linotype" w:hAnsi="Palatino Linotype"/>
      <w:b/>
      <w:bCs/>
    </w:rPr>
  </w:style>
  <w:style w:type="paragraph" w:styleId="Revision">
    <w:name w:val="Revision"/>
    <w:hidden/>
    <w:uiPriority w:val="99"/>
    <w:semiHidden/>
    <w:rsid w:val="00A83643"/>
    <w:rPr>
      <w:rFonts w:ascii="Palatino Linotype" w:hAnsi="Palatino Linotype"/>
      <w:sz w:val="24"/>
      <w:szCs w:val="24"/>
    </w:rPr>
  </w:style>
  <w:style w:type="table" w:styleId="TableGrid">
    <w:name w:val="Table Grid"/>
    <w:basedOn w:val="TableNormal"/>
    <w:rsid w:val="00FF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2016-02-12T08:00:00+00:00</OpenedDate>
    <Date1 xmlns="dc463f71-b30c-4ab2-9473-d307f9d35888">2016-03-24T07:00:00+00:00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81675945FF9441AD20FB1D99038C37" ma:contentTypeVersion="104" ma:contentTypeDescription="" ma:contentTypeScope="" ma:versionID="97d3753e867f5edd6999187ec92f0b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FE00A0F-3342-4294-A749-1720A82E394C}"/>
</file>

<file path=customXml/itemProps2.xml><?xml version="1.0" encoding="utf-8"?>
<ds:datastoreItem xmlns:ds="http://schemas.openxmlformats.org/officeDocument/2006/customXml" ds:itemID="{DA66EB31-0DDC-4093-9D01-263E7DC43A8E}"/>
</file>

<file path=customXml/itemProps3.xml><?xml version="1.0" encoding="utf-8"?>
<ds:datastoreItem xmlns:ds="http://schemas.openxmlformats.org/officeDocument/2006/customXml" ds:itemID="{3FD5CEB4-6301-439C-84D7-502D088673EC}"/>
</file>

<file path=customXml/itemProps4.xml><?xml version="1.0" encoding="utf-8"?>
<ds:datastoreItem xmlns:ds="http://schemas.openxmlformats.org/officeDocument/2006/customXml" ds:itemID="{8709D292-71D1-4628-A782-B36DF6960B99}"/>
</file>

<file path=customXml/itemProps5.xml><?xml version="1.0" encoding="utf-8"?>
<ds:datastoreItem xmlns:ds="http://schemas.openxmlformats.org/officeDocument/2006/customXml" ds:itemID="{9714DA85-BA3C-4301-A0C1-B48C49619A1F}"/>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4460</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Open Meeting Memo</vt:lpstr>
    </vt:vector>
  </TitlesOfParts>
  <Company>WUTC</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 Memo</dc:title>
  <dc:subject/>
  <dc:creator>VDeferia</dc:creator>
  <cp:keywords/>
  <dc:description/>
  <cp:lastModifiedBy>Wyse, Lisa (UTC)</cp:lastModifiedBy>
  <cp:revision>2</cp:revision>
  <cp:lastPrinted>2006-06-06T21:30:00Z</cp:lastPrinted>
  <dcterms:created xsi:type="dcterms:W3CDTF">2016-03-21T23:29:00Z</dcterms:created>
  <dcterms:modified xsi:type="dcterms:W3CDTF">2016-03-21T23:29:00Z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0x0101006E56B4D1795A2E4DB2F0B01679ED314A003881675945FF9441AD20FB1D99038C37</vt:lpwstr>
  </property>
  <property fmtid="{D5CDD505-2E9C-101B-9397-08002B2CF9AE}" pid="3" name="_docset_NoMedatataSyncRequired">
    <vt:lpwstr>False</vt:lpwstr>
  </property>
</Properties>
</file>