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7063" w14:textId="2C138860"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Agenda Date:</w:t>
      </w:r>
      <w:r w:rsidRPr="00B60E0C">
        <w:rPr>
          <w:rFonts w:ascii="Times New Roman" w:hAnsi="Times New Roman" w:cs="Times New Roman"/>
          <w:sz w:val="24"/>
          <w:szCs w:val="24"/>
        </w:rPr>
        <w:tab/>
      </w:r>
      <w:r w:rsidRPr="00B60E0C">
        <w:rPr>
          <w:rFonts w:ascii="Times New Roman" w:hAnsi="Times New Roman" w:cs="Times New Roman"/>
          <w:sz w:val="24"/>
          <w:szCs w:val="24"/>
        </w:rPr>
        <w:tab/>
      </w:r>
      <w:r w:rsidR="00EC4162" w:rsidRPr="00B60E0C">
        <w:rPr>
          <w:rFonts w:ascii="Times New Roman" w:hAnsi="Times New Roman" w:cs="Times New Roman"/>
          <w:sz w:val="24"/>
          <w:szCs w:val="24"/>
        </w:rPr>
        <w:t xml:space="preserve">April </w:t>
      </w:r>
      <w:r w:rsidR="00CE707E" w:rsidRPr="00B60E0C">
        <w:rPr>
          <w:rFonts w:ascii="Times New Roman" w:hAnsi="Times New Roman" w:cs="Times New Roman"/>
          <w:sz w:val="24"/>
          <w:szCs w:val="24"/>
        </w:rPr>
        <w:t>30, 2015</w:t>
      </w:r>
    </w:p>
    <w:p w14:paraId="74187064" w14:textId="46517BAC" w:rsidR="00175CC4" w:rsidRPr="00B60E0C" w:rsidRDefault="00ED4245" w:rsidP="00175CC4">
      <w:pPr>
        <w:spacing w:after="0" w:line="240" w:lineRule="auto"/>
        <w:rPr>
          <w:rFonts w:ascii="Times New Roman" w:hAnsi="Times New Roman" w:cs="Times New Roman"/>
          <w:color w:val="FF0000"/>
          <w:sz w:val="24"/>
          <w:szCs w:val="24"/>
        </w:rPr>
      </w:pPr>
      <w:r w:rsidRPr="00B60E0C">
        <w:rPr>
          <w:rFonts w:ascii="Times New Roman" w:hAnsi="Times New Roman" w:cs="Times New Roman"/>
          <w:sz w:val="24"/>
          <w:szCs w:val="24"/>
        </w:rPr>
        <w:t>Item Number</w:t>
      </w:r>
      <w:r w:rsidR="00C90F8D" w:rsidRPr="00B60E0C">
        <w:rPr>
          <w:rFonts w:ascii="Times New Roman" w:hAnsi="Times New Roman" w:cs="Times New Roman"/>
          <w:sz w:val="24"/>
          <w:szCs w:val="24"/>
        </w:rPr>
        <w:t>s</w:t>
      </w:r>
      <w:r w:rsidRPr="00B60E0C">
        <w:rPr>
          <w:rFonts w:ascii="Times New Roman" w:hAnsi="Times New Roman" w:cs="Times New Roman"/>
          <w:sz w:val="24"/>
          <w:szCs w:val="24"/>
        </w:rPr>
        <w:t>:</w:t>
      </w:r>
      <w:r w:rsidRPr="00B60E0C">
        <w:rPr>
          <w:rFonts w:ascii="Times New Roman" w:hAnsi="Times New Roman" w:cs="Times New Roman"/>
          <w:sz w:val="24"/>
          <w:szCs w:val="24"/>
        </w:rPr>
        <w:tab/>
      </w:r>
      <w:r w:rsidR="00892E20">
        <w:rPr>
          <w:rFonts w:ascii="Times New Roman" w:hAnsi="Times New Roman" w:cs="Times New Roman"/>
          <w:sz w:val="24"/>
          <w:szCs w:val="24"/>
        </w:rPr>
        <w:t>A1 &amp; A2</w:t>
      </w:r>
    </w:p>
    <w:p w14:paraId="74187065" w14:textId="77777777" w:rsidR="00175CC4" w:rsidRPr="00B60E0C" w:rsidRDefault="00175CC4" w:rsidP="00175CC4">
      <w:pPr>
        <w:spacing w:after="0" w:line="240" w:lineRule="auto"/>
        <w:rPr>
          <w:rFonts w:ascii="Times New Roman" w:hAnsi="Times New Roman" w:cs="Times New Roman"/>
          <w:sz w:val="24"/>
          <w:szCs w:val="24"/>
        </w:rPr>
      </w:pPr>
    </w:p>
    <w:p w14:paraId="74187066" w14:textId="29B2D92F"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Docket</w:t>
      </w:r>
      <w:r w:rsidR="00C90F8D" w:rsidRPr="00B60E0C">
        <w:rPr>
          <w:rFonts w:ascii="Times New Roman" w:hAnsi="Times New Roman" w:cs="Times New Roman"/>
          <w:b/>
          <w:sz w:val="24"/>
          <w:szCs w:val="24"/>
        </w:rPr>
        <w:t>s</w:t>
      </w:r>
      <w:r w:rsidRPr="00B60E0C">
        <w:rPr>
          <w:rFonts w:ascii="Times New Roman" w:hAnsi="Times New Roman" w:cs="Times New Roman"/>
          <w:b/>
          <w:sz w:val="24"/>
          <w:szCs w:val="24"/>
        </w:rPr>
        <w:t>:</w:t>
      </w:r>
      <w:r w:rsidRPr="00B60E0C">
        <w:rPr>
          <w:rFonts w:ascii="Times New Roman" w:hAnsi="Times New Roman" w:cs="Times New Roman"/>
          <w:sz w:val="24"/>
          <w:szCs w:val="24"/>
        </w:rPr>
        <w:tab/>
      </w:r>
      <w:r w:rsidRPr="00B60E0C">
        <w:rPr>
          <w:rFonts w:ascii="Times New Roman" w:hAnsi="Times New Roman" w:cs="Times New Roman"/>
          <w:sz w:val="24"/>
          <w:szCs w:val="24"/>
        </w:rPr>
        <w:tab/>
        <w:t>U</w:t>
      </w:r>
      <w:r w:rsidR="00EC4162" w:rsidRPr="00B60E0C">
        <w:rPr>
          <w:rFonts w:ascii="Times New Roman" w:hAnsi="Times New Roman" w:cs="Times New Roman"/>
          <w:sz w:val="24"/>
          <w:szCs w:val="24"/>
        </w:rPr>
        <w:t>E-</w:t>
      </w:r>
      <w:r w:rsidR="00CE707E" w:rsidRPr="00B60E0C">
        <w:rPr>
          <w:rFonts w:ascii="Times New Roman" w:hAnsi="Times New Roman" w:cs="Times New Roman"/>
          <w:sz w:val="24"/>
          <w:szCs w:val="24"/>
        </w:rPr>
        <w:t>150524</w:t>
      </w:r>
      <w:r w:rsidR="00EC4162" w:rsidRPr="00B60E0C">
        <w:rPr>
          <w:rFonts w:ascii="Times New Roman" w:hAnsi="Times New Roman" w:cs="Times New Roman"/>
          <w:sz w:val="24"/>
          <w:szCs w:val="24"/>
        </w:rPr>
        <w:t xml:space="preserve"> and U</w:t>
      </w:r>
      <w:r w:rsidRPr="00B60E0C">
        <w:rPr>
          <w:rFonts w:ascii="Times New Roman" w:hAnsi="Times New Roman" w:cs="Times New Roman"/>
          <w:sz w:val="24"/>
          <w:szCs w:val="24"/>
        </w:rPr>
        <w:t>G-</w:t>
      </w:r>
      <w:r w:rsidR="00CE707E" w:rsidRPr="00B60E0C">
        <w:rPr>
          <w:rFonts w:ascii="Times New Roman" w:hAnsi="Times New Roman" w:cs="Times New Roman"/>
          <w:sz w:val="24"/>
          <w:szCs w:val="24"/>
        </w:rPr>
        <w:t>150525</w:t>
      </w:r>
    </w:p>
    <w:p w14:paraId="74187067" w14:textId="77777777"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Company Name:</w:t>
      </w:r>
      <w:r w:rsidR="00EC4162" w:rsidRPr="00B60E0C">
        <w:rPr>
          <w:rFonts w:ascii="Times New Roman" w:hAnsi="Times New Roman" w:cs="Times New Roman"/>
          <w:sz w:val="24"/>
          <w:szCs w:val="24"/>
        </w:rPr>
        <w:tab/>
        <w:t>Puget Sound Energy</w:t>
      </w:r>
    </w:p>
    <w:p w14:paraId="74187068" w14:textId="77777777" w:rsidR="00175CC4" w:rsidRPr="00B60E0C" w:rsidRDefault="00175CC4" w:rsidP="00175CC4">
      <w:pPr>
        <w:spacing w:after="0" w:line="240" w:lineRule="auto"/>
        <w:rPr>
          <w:rFonts w:ascii="Times New Roman" w:hAnsi="Times New Roman" w:cs="Times New Roman"/>
          <w:sz w:val="24"/>
          <w:szCs w:val="24"/>
        </w:rPr>
      </w:pPr>
    </w:p>
    <w:p w14:paraId="74187069" w14:textId="0F5F8BAC"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b/>
          <w:sz w:val="24"/>
          <w:szCs w:val="24"/>
        </w:rPr>
        <w:t>Staff:</w:t>
      </w:r>
      <w:r w:rsidRPr="00B60E0C">
        <w:rPr>
          <w:rFonts w:ascii="Times New Roman" w:hAnsi="Times New Roman" w:cs="Times New Roman"/>
          <w:sz w:val="24"/>
          <w:szCs w:val="24"/>
        </w:rPr>
        <w:tab/>
      </w:r>
      <w:r w:rsidRPr="00B60E0C">
        <w:rPr>
          <w:rFonts w:ascii="Times New Roman" w:hAnsi="Times New Roman" w:cs="Times New Roman"/>
          <w:sz w:val="24"/>
          <w:szCs w:val="24"/>
        </w:rPr>
        <w:tab/>
      </w:r>
      <w:r w:rsidRPr="00B60E0C">
        <w:rPr>
          <w:rFonts w:ascii="Times New Roman" w:hAnsi="Times New Roman" w:cs="Times New Roman"/>
          <w:sz w:val="24"/>
          <w:szCs w:val="24"/>
        </w:rPr>
        <w:tab/>
      </w:r>
      <w:r w:rsidR="00CE707E" w:rsidRPr="00B60E0C">
        <w:rPr>
          <w:rFonts w:ascii="Times New Roman" w:hAnsi="Times New Roman" w:cs="Times New Roman"/>
          <w:sz w:val="24"/>
          <w:szCs w:val="24"/>
        </w:rPr>
        <w:t>Jing Liu</w:t>
      </w:r>
      <w:r w:rsidRPr="00B60E0C">
        <w:rPr>
          <w:rFonts w:ascii="Times New Roman" w:hAnsi="Times New Roman" w:cs="Times New Roman"/>
          <w:sz w:val="24"/>
          <w:szCs w:val="24"/>
        </w:rPr>
        <w:t>, Regulatory Analyst</w:t>
      </w:r>
    </w:p>
    <w:p w14:paraId="7418706A" w14:textId="77777777" w:rsidR="0089559A" w:rsidRPr="00B60E0C" w:rsidRDefault="00EC4162"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ab/>
      </w:r>
      <w:r w:rsidRPr="00B60E0C">
        <w:rPr>
          <w:rFonts w:ascii="Times New Roman" w:hAnsi="Times New Roman" w:cs="Times New Roman"/>
          <w:sz w:val="24"/>
          <w:szCs w:val="24"/>
        </w:rPr>
        <w:tab/>
      </w:r>
      <w:r w:rsidRPr="00B60E0C">
        <w:rPr>
          <w:rFonts w:ascii="Times New Roman" w:hAnsi="Times New Roman" w:cs="Times New Roman"/>
          <w:sz w:val="24"/>
          <w:szCs w:val="24"/>
        </w:rPr>
        <w:tab/>
        <w:t>Bradley Cebulko</w:t>
      </w:r>
      <w:r w:rsidR="00BE67CD" w:rsidRPr="00B60E0C">
        <w:rPr>
          <w:rFonts w:ascii="Times New Roman" w:hAnsi="Times New Roman" w:cs="Times New Roman"/>
          <w:sz w:val="24"/>
          <w:szCs w:val="24"/>
        </w:rPr>
        <w:t>, Regulatory Analyst</w:t>
      </w:r>
    </w:p>
    <w:p w14:paraId="5F7DFF8D" w14:textId="366471E1" w:rsidR="00CE707E" w:rsidRPr="00B60E0C" w:rsidRDefault="00CE707E"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ab/>
      </w:r>
      <w:r w:rsidRPr="00B60E0C">
        <w:rPr>
          <w:rFonts w:ascii="Times New Roman" w:hAnsi="Times New Roman" w:cs="Times New Roman"/>
          <w:sz w:val="24"/>
          <w:szCs w:val="24"/>
        </w:rPr>
        <w:tab/>
      </w:r>
      <w:r w:rsidRPr="00B60E0C">
        <w:rPr>
          <w:rFonts w:ascii="Times New Roman" w:hAnsi="Times New Roman" w:cs="Times New Roman"/>
          <w:sz w:val="24"/>
          <w:szCs w:val="24"/>
        </w:rPr>
        <w:tab/>
        <w:t>Betty Erdahl, Regulatory Analyst</w:t>
      </w:r>
    </w:p>
    <w:p w14:paraId="0D367524" w14:textId="701352FB" w:rsidR="007A0E43" w:rsidRPr="00B60E0C" w:rsidRDefault="007A0E43"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ab/>
      </w:r>
      <w:r w:rsidRPr="00B60E0C">
        <w:rPr>
          <w:rFonts w:ascii="Times New Roman" w:hAnsi="Times New Roman" w:cs="Times New Roman"/>
          <w:sz w:val="24"/>
          <w:szCs w:val="24"/>
        </w:rPr>
        <w:tab/>
      </w:r>
      <w:r w:rsidRPr="00B60E0C">
        <w:rPr>
          <w:rFonts w:ascii="Times New Roman" w:hAnsi="Times New Roman" w:cs="Times New Roman"/>
          <w:sz w:val="24"/>
          <w:szCs w:val="24"/>
        </w:rPr>
        <w:tab/>
        <w:t>Tom Schooley, Assistant Director – Energy Regulation</w:t>
      </w:r>
    </w:p>
    <w:p w14:paraId="7418706B" w14:textId="77777777" w:rsidR="009E2E64" w:rsidRPr="00B60E0C" w:rsidRDefault="009E2E64" w:rsidP="00175CC4">
      <w:pPr>
        <w:spacing w:after="0" w:line="240" w:lineRule="auto"/>
        <w:rPr>
          <w:rFonts w:ascii="Times New Roman" w:hAnsi="Times New Roman" w:cs="Times New Roman"/>
          <w:sz w:val="24"/>
          <w:szCs w:val="24"/>
        </w:rPr>
      </w:pPr>
    </w:p>
    <w:p w14:paraId="7418706C" w14:textId="77777777" w:rsidR="00175CC4" w:rsidRPr="00B60E0C" w:rsidRDefault="00175CC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Recommendation</w:t>
      </w:r>
    </w:p>
    <w:p w14:paraId="7418706D" w14:textId="77777777" w:rsidR="00175CC4" w:rsidRPr="00B60E0C" w:rsidRDefault="00175CC4" w:rsidP="00175CC4">
      <w:pPr>
        <w:spacing w:after="0" w:line="240" w:lineRule="auto"/>
        <w:rPr>
          <w:rFonts w:ascii="Times New Roman" w:hAnsi="Times New Roman" w:cs="Times New Roman"/>
          <w:b/>
          <w:sz w:val="24"/>
          <w:szCs w:val="24"/>
          <w:u w:val="single"/>
        </w:rPr>
      </w:pPr>
    </w:p>
    <w:p w14:paraId="7418706E" w14:textId="0B662F34" w:rsidR="00175CC4" w:rsidRPr="00B60E0C" w:rsidRDefault="00175CC4" w:rsidP="00175CC4">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Take no action, thereby allowing </w:t>
      </w:r>
      <w:r w:rsidR="00EC4162" w:rsidRPr="00B60E0C">
        <w:rPr>
          <w:rFonts w:ascii="Times New Roman" w:hAnsi="Times New Roman" w:cs="Times New Roman"/>
          <w:sz w:val="24"/>
          <w:szCs w:val="24"/>
        </w:rPr>
        <w:t>the tariff sheets filed by Puget Sound Energy</w:t>
      </w:r>
      <w:r w:rsidR="005357D9" w:rsidRPr="00B60E0C">
        <w:rPr>
          <w:rFonts w:ascii="Times New Roman" w:hAnsi="Times New Roman" w:cs="Times New Roman"/>
          <w:sz w:val="24"/>
          <w:szCs w:val="24"/>
        </w:rPr>
        <w:t xml:space="preserve"> </w:t>
      </w:r>
      <w:r w:rsidR="00EC4162" w:rsidRPr="00B60E0C">
        <w:rPr>
          <w:rFonts w:ascii="Times New Roman" w:hAnsi="Times New Roman" w:cs="Times New Roman"/>
          <w:sz w:val="24"/>
          <w:szCs w:val="24"/>
        </w:rPr>
        <w:t>in Dockets UE-</w:t>
      </w:r>
      <w:r w:rsidR="00CE707E" w:rsidRPr="00B60E0C">
        <w:rPr>
          <w:rFonts w:ascii="Times New Roman" w:hAnsi="Times New Roman" w:cs="Times New Roman"/>
          <w:sz w:val="24"/>
          <w:szCs w:val="24"/>
        </w:rPr>
        <w:t>150524</w:t>
      </w:r>
      <w:r w:rsidR="00EC4162" w:rsidRPr="00B60E0C">
        <w:rPr>
          <w:rFonts w:ascii="Times New Roman" w:hAnsi="Times New Roman" w:cs="Times New Roman"/>
          <w:sz w:val="24"/>
          <w:szCs w:val="24"/>
        </w:rPr>
        <w:t xml:space="preserve"> and UG-</w:t>
      </w:r>
      <w:r w:rsidR="00CE707E" w:rsidRPr="00B60E0C">
        <w:rPr>
          <w:rFonts w:ascii="Times New Roman" w:hAnsi="Times New Roman" w:cs="Times New Roman"/>
          <w:sz w:val="24"/>
          <w:szCs w:val="24"/>
        </w:rPr>
        <w:t>150525</w:t>
      </w:r>
      <w:r w:rsidRPr="00B60E0C">
        <w:rPr>
          <w:rFonts w:ascii="Times New Roman" w:hAnsi="Times New Roman" w:cs="Times New Roman"/>
          <w:sz w:val="24"/>
          <w:szCs w:val="24"/>
        </w:rPr>
        <w:t xml:space="preserve"> to become effective </w:t>
      </w:r>
      <w:r w:rsidR="00EC4162" w:rsidRPr="00B60E0C">
        <w:rPr>
          <w:rFonts w:ascii="Times New Roman" w:hAnsi="Times New Roman" w:cs="Times New Roman"/>
          <w:sz w:val="24"/>
          <w:szCs w:val="24"/>
        </w:rPr>
        <w:t>May 1, 201</w:t>
      </w:r>
      <w:r w:rsidR="00CE707E" w:rsidRPr="00B60E0C">
        <w:rPr>
          <w:rFonts w:ascii="Times New Roman" w:hAnsi="Times New Roman" w:cs="Times New Roman"/>
          <w:sz w:val="24"/>
          <w:szCs w:val="24"/>
        </w:rPr>
        <w:t>5</w:t>
      </w:r>
      <w:r w:rsidRPr="00B60E0C">
        <w:rPr>
          <w:rFonts w:ascii="Times New Roman" w:hAnsi="Times New Roman" w:cs="Times New Roman"/>
          <w:sz w:val="24"/>
          <w:szCs w:val="24"/>
        </w:rPr>
        <w:t>, by operation of law.</w:t>
      </w:r>
    </w:p>
    <w:p w14:paraId="7418706F" w14:textId="77777777" w:rsidR="00673697" w:rsidRPr="00B60E0C" w:rsidRDefault="00673697" w:rsidP="00175CC4">
      <w:pPr>
        <w:spacing w:after="0" w:line="240" w:lineRule="auto"/>
        <w:rPr>
          <w:rFonts w:ascii="Times New Roman" w:hAnsi="Times New Roman" w:cs="Times New Roman"/>
          <w:sz w:val="24"/>
          <w:szCs w:val="24"/>
        </w:rPr>
      </w:pPr>
    </w:p>
    <w:p w14:paraId="74187070" w14:textId="77777777" w:rsidR="00175CC4" w:rsidRPr="00B60E0C" w:rsidRDefault="00175CC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Background</w:t>
      </w:r>
    </w:p>
    <w:p w14:paraId="74187071" w14:textId="77777777" w:rsidR="00EC4162" w:rsidRPr="00B60E0C" w:rsidRDefault="00EC4162" w:rsidP="001F2E11">
      <w:pPr>
        <w:spacing w:after="0" w:line="240" w:lineRule="auto"/>
        <w:rPr>
          <w:rFonts w:ascii="Times New Roman" w:hAnsi="Times New Roman" w:cs="Times New Roman"/>
          <w:sz w:val="24"/>
          <w:szCs w:val="24"/>
        </w:rPr>
      </w:pPr>
    </w:p>
    <w:p w14:paraId="38E63E4E" w14:textId="47CCDC61" w:rsidR="00CD5ED1" w:rsidRDefault="002D1C59" w:rsidP="002D1C59">
      <w:pPr>
        <w:spacing w:after="0" w:line="240" w:lineRule="auto"/>
        <w:rPr>
          <w:rFonts w:ascii="Times New Roman" w:eastAsia="Times New Roman" w:hAnsi="Times New Roman" w:cs="Times New Roman"/>
          <w:sz w:val="24"/>
          <w:szCs w:val="24"/>
        </w:rPr>
      </w:pPr>
      <w:r w:rsidRPr="00B60E0C">
        <w:rPr>
          <w:rFonts w:ascii="Times New Roman" w:eastAsia="Times New Roman" w:hAnsi="Times New Roman" w:cs="Times New Roman"/>
          <w:sz w:val="24"/>
          <w:szCs w:val="24"/>
        </w:rPr>
        <w:t xml:space="preserve">On March 31, 2015, </w:t>
      </w:r>
      <w:r w:rsidR="00CD5ED1" w:rsidRPr="00B60E0C">
        <w:rPr>
          <w:rFonts w:ascii="Times New Roman" w:hAnsi="Times New Roman" w:cs="Times New Roman"/>
          <w:sz w:val="24"/>
          <w:szCs w:val="24"/>
        </w:rPr>
        <w:t xml:space="preserve">Puget Sound Energy (PSE or company) </w:t>
      </w:r>
      <w:r w:rsidRPr="00B60E0C">
        <w:rPr>
          <w:rFonts w:ascii="Times New Roman" w:eastAsia="Times New Roman" w:hAnsi="Times New Roman" w:cs="Times New Roman"/>
          <w:sz w:val="24"/>
          <w:szCs w:val="24"/>
        </w:rPr>
        <w:t>filed proposed revisions to Schedule 142</w:t>
      </w:r>
      <w:r w:rsidR="00CD5ED1">
        <w:rPr>
          <w:rFonts w:ascii="Times New Roman" w:eastAsia="Times New Roman" w:hAnsi="Times New Roman" w:cs="Times New Roman"/>
          <w:sz w:val="24"/>
          <w:szCs w:val="24"/>
        </w:rPr>
        <w:t>, Revenue Decoupling Adjustment Mechanism</w:t>
      </w:r>
      <w:r w:rsidRPr="00B60E0C">
        <w:rPr>
          <w:rFonts w:ascii="Times New Roman" w:eastAsia="Times New Roman" w:hAnsi="Times New Roman" w:cs="Times New Roman"/>
          <w:sz w:val="24"/>
          <w:szCs w:val="24"/>
        </w:rPr>
        <w:t xml:space="preserve"> of its electric and natural gas tariffs. The </w:t>
      </w:r>
      <w:r w:rsidR="00B62B61">
        <w:rPr>
          <w:rFonts w:ascii="Times New Roman" w:eastAsia="Times New Roman" w:hAnsi="Times New Roman" w:cs="Times New Roman"/>
          <w:sz w:val="24"/>
          <w:szCs w:val="24"/>
        </w:rPr>
        <w:t>filing</w:t>
      </w:r>
      <w:r w:rsidRPr="00B60E0C">
        <w:rPr>
          <w:rFonts w:ascii="Times New Roman" w:eastAsia="Times New Roman" w:hAnsi="Times New Roman" w:cs="Times New Roman"/>
          <w:sz w:val="24"/>
          <w:szCs w:val="24"/>
        </w:rPr>
        <w:t xml:space="preserve"> </w:t>
      </w:r>
      <w:r w:rsidR="00B62B61">
        <w:rPr>
          <w:rFonts w:ascii="Times New Roman" w:eastAsia="Times New Roman" w:hAnsi="Times New Roman" w:cs="Times New Roman"/>
          <w:sz w:val="24"/>
          <w:szCs w:val="24"/>
        </w:rPr>
        <w:t xml:space="preserve">is continued </w:t>
      </w:r>
      <w:r w:rsidR="00DE6FF8">
        <w:rPr>
          <w:rFonts w:ascii="Times New Roman" w:eastAsia="Times New Roman" w:hAnsi="Times New Roman" w:cs="Times New Roman"/>
          <w:sz w:val="24"/>
          <w:szCs w:val="24"/>
        </w:rPr>
        <w:t>implementation</w:t>
      </w:r>
      <w:r w:rsidR="00B62B61">
        <w:rPr>
          <w:rFonts w:ascii="Times New Roman" w:eastAsia="Times New Roman" w:hAnsi="Times New Roman" w:cs="Times New Roman"/>
          <w:sz w:val="24"/>
          <w:szCs w:val="24"/>
        </w:rPr>
        <w:t xml:space="preserve"> of </w:t>
      </w:r>
      <w:r w:rsidRPr="00B60E0C">
        <w:rPr>
          <w:rFonts w:ascii="Times New Roman" w:eastAsia="Times New Roman" w:hAnsi="Times New Roman" w:cs="Times New Roman"/>
          <w:sz w:val="24"/>
          <w:szCs w:val="24"/>
        </w:rPr>
        <w:t xml:space="preserve">the </w:t>
      </w:r>
      <w:r w:rsidR="00CD5ED1">
        <w:rPr>
          <w:rFonts w:ascii="Times New Roman" w:eastAsia="Times New Roman" w:hAnsi="Times New Roman" w:cs="Times New Roman"/>
          <w:sz w:val="24"/>
          <w:szCs w:val="24"/>
        </w:rPr>
        <w:t>decoupling mechanism</w:t>
      </w:r>
      <w:r w:rsidRPr="002D1C59">
        <w:rPr>
          <w:rFonts w:ascii="Times New Roman" w:eastAsia="Times New Roman" w:hAnsi="Times New Roman" w:cs="Times New Roman"/>
          <w:sz w:val="24"/>
          <w:szCs w:val="24"/>
        </w:rPr>
        <w:t xml:space="preserve"> </w:t>
      </w:r>
      <w:r w:rsidRPr="00B60E0C">
        <w:rPr>
          <w:rFonts w:ascii="Times New Roman" w:eastAsia="Times New Roman" w:hAnsi="Times New Roman" w:cs="Times New Roman"/>
          <w:sz w:val="24"/>
          <w:szCs w:val="24"/>
        </w:rPr>
        <w:t>established</w:t>
      </w:r>
      <w:r>
        <w:rPr>
          <w:rFonts w:ascii="Times New Roman" w:eastAsia="Times New Roman" w:hAnsi="Times New Roman" w:cs="Times New Roman"/>
          <w:sz w:val="24"/>
          <w:szCs w:val="24"/>
        </w:rPr>
        <w:t xml:space="preserve"> in 2013</w:t>
      </w:r>
      <w:r w:rsidRPr="00B60E0C">
        <w:rPr>
          <w:rFonts w:ascii="Times New Roman" w:eastAsia="Times New Roman" w:hAnsi="Times New Roman" w:cs="Times New Roman"/>
          <w:sz w:val="24"/>
          <w:szCs w:val="24"/>
        </w:rPr>
        <w:t xml:space="preserve">. </w:t>
      </w:r>
      <w:r w:rsidR="00D226E8">
        <w:rPr>
          <w:rFonts w:ascii="Times New Roman" w:eastAsia="Times New Roman" w:hAnsi="Times New Roman" w:cs="Times New Roman"/>
          <w:sz w:val="24"/>
          <w:szCs w:val="24"/>
        </w:rPr>
        <w:t xml:space="preserve">The tariff revision will allow PSE to collect $53 million electric revenue, about 2.6 percent of its total revenue, and $22 million natural gas revenue, about 2.1 percent of its total revenue. </w:t>
      </w:r>
    </w:p>
    <w:p w14:paraId="01376956" w14:textId="77777777" w:rsidR="00CD5ED1" w:rsidRDefault="00CD5ED1" w:rsidP="002D1C59">
      <w:pPr>
        <w:spacing w:after="0" w:line="240" w:lineRule="auto"/>
        <w:rPr>
          <w:rFonts w:ascii="Times New Roman" w:eastAsia="Times New Roman" w:hAnsi="Times New Roman" w:cs="Times New Roman"/>
          <w:sz w:val="24"/>
          <w:szCs w:val="24"/>
        </w:rPr>
      </w:pPr>
    </w:p>
    <w:p w14:paraId="14800642" w14:textId="168C426A" w:rsidR="00CD5ED1" w:rsidRDefault="002D1C59" w:rsidP="002D1C5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June 2013, Washington Utilities and Transportation Commission (</w:t>
      </w:r>
      <w:r w:rsidRPr="00B60E0C">
        <w:rPr>
          <w:rFonts w:ascii="Times New Roman" w:hAnsi="Times New Roman" w:cs="Times New Roman"/>
          <w:sz w:val="24"/>
          <w:szCs w:val="24"/>
        </w:rPr>
        <w:t>commission</w:t>
      </w:r>
      <w:r>
        <w:rPr>
          <w:rFonts w:ascii="Times New Roman" w:hAnsi="Times New Roman" w:cs="Times New Roman"/>
          <w:sz w:val="24"/>
          <w:szCs w:val="24"/>
        </w:rPr>
        <w:t>)</w:t>
      </w:r>
      <w:r w:rsidRPr="00B60E0C">
        <w:rPr>
          <w:rFonts w:ascii="Times New Roman" w:hAnsi="Times New Roman" w:cs="Times New Roman"/>
          <w:sz w:val="24"/>
          <w:szCs w:val="24"/>
        </w:rPr>
        <w:t xml:space="preserve"> approved a multi-party settlement agreement establishing electric and natural gas decoupling mechanisms for </w:t>
      </w:r>
      <w:r w:rsidR="00CD5ED1">
        <w:rPr>
          <w:rFonts w:ascii="Times New Roman" w:hAnsi="Times New Roman" w:cs="Times New Roman"/>
          <w:sz w:val="24"/>
          <w:szCs w:val="24"/>
        </w:rPr>
        <w:t>PSE</w:t>
      </w:r>
      <w:r w:rsidR="00B62B61">
        <w:rPr>
          <w:rFonts w:ascii="Times New Roman" w:hAnsi="Times New Roman" w:cs="Times New Roman"/>
          <w:sz w:val="24"/>
          <w:szCs w:val="24"/>
        </w:rPr>
        <w:t>.</w:t>
      </w:r>
      <w:r w:rsidR="00B62B61">
        <w:rPr>
          <w:rStyle w:val="FootnoteReference"/>
          <w:rFonts w:ascii="Times New Roman" w:hAnsi="Times New Roman" w:cs="Times New Roman"/>
          <w:sz w:val="24"/>
          <w:szCs w:val="24"/>
        </w:rPr>
        <w:footnoteReference w:id="1"/>
      </w:r>
      <w:r w:rsidRPr="00B60E0C">
        <w:rPr>
          <w:rFonts w:ascii="Times New Roman" w:hAnsi="Times New Roman" w:cs="Times New Roman"/>
          <w:sz w:val="24"/>
          <w:szCs w:val="24"/>
        </w:rPr>
        <w:t xml:space="preserve"> Decoupling is a ratemaking and regulatory tool to break the link between a utility’s recovery of fixed </w:t>
      </w:r>
      <w:r w:rsidR="00B62B61">
        <w:rPr>
          <w:rFonts w:ascii="Times New Roman" w:hAnsi="Times New Roman" w:cs="Times New Roman"/>
          <w:sz w:val="24"/>
          <w:szCs w:val="24"/>
        </w:rPr>
        <w:t xml:space="preserve">delivery </w:t>
      </w:r>
      <w:r w:rsidR="00F81478">
        <w:rPr>
          <w:rFonts w:ascii="Times New Roman" w:hAnsi="Times New Roman" w:cs="Times New Roman"/>
          <w:sz w:val="24"/>
          <w:szCs w:val="24"/>
        </w:rPr>
        <w:t xml:space="preserve">costs and its </w:t>
      </w:r>
      <w:r w:rsidRPr="00B60E0C">
        <w:rPr>
          <w:rFonts w:ascii="Times New Roman" w:hAnsi="Times New Roman" w:cs="Times New Roman"/>
          <w:sz w:val="24"/>
          <w:szCs w:val="24"/>
        </w:rPr>
        <w:t xml:space="preserve">energy </w:t>
      </w:r>
      <w:r w:rsidR="00F81478">
        <w:rPr>
          <w:rFonts w:ascii="Times New Roman" w:hAnsi="Times New Roman" w:cs="Times New Roman"/>
          <w:sz w:val="24"/>
          <w:szCs w:val="24"/>
        </w:rPr>
        <w:t>sales</w:t>
      </w:r>
      <w:r w:rsidRPr="00B60E0C">
        <w:rPr>
          <w:rFonts w:ascii="Times New Roman" w:hAnsi="Times New Roman" w:cs="Times New Roman"/>
          <w:sz w:val="24"/>
          <w:szCs w:val="24"/>
        </w:rPr>
        <w:t xml:space="preserve">. </w:t>
      </w:r>
      <w:r w:rsidR="00CD5ED1">
        <w:rPr>
          <w:rFonts w:ascii="Times New Roman" w:hAnsi="Times New Roman" w:cs="Times New Roman"/>
          <w:sz w:val="24"/>
          <w:szCs w:val="24"/>
        </w:rPr>
        <w:t xml:space="preserve">It is believed that decoupling </w:t>
      </w:r>
      <w:r w:rsidR="008B471E">
        <w:rPr>
          <w:rFonts w:ascii="Times New Roman" w:hAnsi="Times New Roman" w:cs="Times New Roman"/>
          <w:sz w:val="24"/>
          <w:szCs w:val="24"/>
        </w:rPr>
        <w:t xml:space="preserve">can promote energy conservation because it </w:t>
      </w:r>
      <w:r w:rsidR="00CD5ED1">
        <w:rPr>
          <w:rFonts w:ascii="Times New Roman" w:hAnsi="Times New Roman" w:cs="Times New Roman"/>
          <w:sz w:val="24"/>
          <w:szCs w:val="24"/>
        </w:rPr>
        <w:t xml:space="preserve">removes the </w:t>
      </w:r>
      <w:r w:rsidR="00CD5ED1" w:rsidRPr="00B60E0C">
        <w:rPr>
          <w:rFonts w:ascii="Times New Roman" w:hAnsi="Times New Roman" w:cs="Times New Roman"/>
          <w:sz w:val="24"/>
          <w:szCs w:val="24"/>
        </w:rPr>
        <w:t>so-called throughput incentive</w:t>
      </w:r>
      <w:r w:rsidR="008B471E">
        <w:rPr>
          <w:rFonts w:ascii="Times New Roman" w:hAnsi="Times New Roman" w:cs="Times New Roman"/>
          <w:sz w:val="24"/>
          <w:szCs w:val="24"/>
        </w:rPr>
        <w:t xml:space="preserve">, </w:t>
      </w:r>
      <w:r w:rsidR="00401787">
        <w:rPr>
          <w:rFonts w:ascii="Times New Roman" w:hAnsi="Times New Roman" w:cs="Times New Roman"/>
          <w:sz w:val="24"/>
          <w:szCs w:val="24"/>
        </w:rPr>
        <w:t xml:space="preserve">leaving utilities </w:t>
      </w:r>
      <w:r w:rsidR="008B471E" w:rsidRPr="00B60E0C">
        <w:rPr>
          <w:rFonts w:ascii="Times New Roman" w:hAnsi="Times New Roman" w:cs="Times New Roman"/>
          <w:sz w:val="24"/>
          <w:szCs w:val="24"/>
        </w:rPr>
        <w:t xml:space="preserve">indifferent to sales </w:t>
      </w:r>
      <w:r w:rsidR="00BE3446">
        <w:rPr>
          <w:rFonts w:ascii="Times New Roman" w:hAnsi="Times New Roman" w:cs="Times New Roman"/>
          <w:sz w:val="24"/>
          <w:szCs w:val="24"/>
        </w:rPr>
        <w:t>reduction due to</w:t>
      </w:r>
      <w:r w:rsidR="008B471E" w:rsidRPr="00B60E0C">
        <w:rPr>
          <w:rFonts w:ascii="Times New Roman" w:hAnsi="Times New Roman" w:cs="Times New Roman"/>
          <w:sz w:val="24"/>
          <w:szCs w:val="24"/>
        </w:rPr>
        <w:t xml:space="preserve"> the success of its conservation efforts.</w:t>
      </w:r>
      <w:r w:rsidR="008B471E">
        <w:rPr>
          <w:rFonts w:ascii="Times New Roman" w:hAnsi="Times New Roman" w:cs="Times New Roman"/>
          <w:sz w:val="24"/>
          <w:szCs w:val="24"/>
        </w:rPr>
        <w:t xml:space="preserve"> It also provides regulated utilities with an opportunity to earn its authorized return by improving operational efficiency.   </w:t>
      </w:r>
    </w:p>
    <w:p w14:paraId="6519F484" w14:textId="77777777" w:rsidR="00CD5ED1" w:rsidRDefault="00CD5ED1" w:rsidP="002D1C59">
      <w:pPr>
        <w:spacing w:after="0" w:line="240" w:lineRule="auto"/>
        <w:rPr>
          <w:rFonts w:ascii="Times New Roman" w:hAnsi="Times New Roman" w:cs="Times New Roman"/>
          <w:sz w:val="24"/>
          <w:szCs w:val="24"/>
        </w:rPr>
      </w:pPr>
    </w:p>
    <w:p w14:paraId="74187074" w14:textId="431F56A4" w:rsidR="00FA1897" w:rsidRPr="00B60E0C" w:rsidRDefault="002D1C59" w:rsidP="00175CC4">
      <w:pPr>
        <w:spacing w:after="0" w:line="240" w:lineRule="auto"/>
        <w:rPr>
          <w:rFonts w:ascii="Times New Roman" w:hAnsi="Times New Roman" w:cs="Times New Roman"/>
          <w:sz w:val="24"/>
          <w:szCs w:val="24"/>
        </w:rPr>
      </w:pPr>
      <w:r>
        <w:rPr>
          <w:rFonts w:ascii="Times New Roman" w:hAnsi="Times New Roman" w:cs="Times New Roman"/>
          <w:sz w:val="24"/>
          <w:szCs w:val="24"/>
        </w:rPr>
        <w:t>PSE’s</w:t>
      </w:r>
      <w:r w:rsidRPr="00B60E0C">
        <w:rPr>
          <w:rFonts w:ascii="Times New Roman" w:hAnsi="Times New Roman" w:cs="Times New Roman"/>
          <w:sz w:val="24"/>
          <w:szCs w:val="24"/>
        </w:rPr>
        <w:t xml:space="preserve"> decou</w:t>
      </w:r>
      <w:r w:rsidR="00DD01BC">
        <w:rPr>
          <w:rFonts w:ascii="Times New Roman" w:hAnsi="Times New Roman" w:cs="Times New Roman"/>
          <w:sz w:val="24"/>
          <w:szCs w:val="24"/>
        </w:rPr>
        <w:t xml:space="preserve">pling mechanism consists of two parts: (1) </w:t>
      </w:r>
      <w:r w:rsidRPr="00B60E0C">
        <w:rPr>
          <w:rFonts w:ascii="Times New Roman" w:hAnsi="Times New Roman" w:cs="Times New Roman"/>
          <w:sz w:val="24"/>
          <w:szCs w:val="24"/>
        </w:rPr>
        <w:t xml:space="preserve">deferred accounting mechanism </w:t>
      </w:r>
      <w:r>
        <w:rPr>
          <w:rFonts w:ascii="Times New Roman" w:hAnsi="Times New Roman" w:cs="Times New Roman"/>
          <w:sz w:val="24"/>
          <w:szCs w:val="24"/>
        </w:rPr>
        <w:t>(deferral)</w:t>
      </w:r>
      <w:r w:rsidR="00DD01BC">
        <w:rPr>
          <w:rFonts w:ascii="Times New Roman" w:hAnsi="Times New Roman" w:cs="Times New Roman"/>
          <w:sz w:val="24"/>
          <w:szCs w:val="24"/>
        </w:rPr>
        <w:t xml:space="preserve">; (2) </w:t>
      </w:r>
      <w:r w:rsidRPr="00B60E0C">
        <w:rPr>
          <w:rFonts w:ascii="Times New Roman" w:hAnsi="Times New Roman" w:cs="Times New Roman"/>
          <w:sz w:val="24"/>
          <w:szCs w:val="24"/>
        </w:rPr>
        <w:t>an embedded rate plan</w:t>
      </w:r>
      <w:r>
        <w:rPr>
          <w:rFonts w:ascii="Times New Roman" w:hAnsi="Times New Roman" w:cs="Times New Roman"/>
          <w:sz w:val="24"/>
          <w:szCs w:val="24"/>
        </w:rPr>
        <w:t xml:space="preserve"> (K-factor)</w:t>
      </w:r>
      <w:r w:rsidRPr="00B60E0C">
        <w:rPr>
          <w:rFonts w:ascii="Times New Roman" w:hAnsi="Times New Roman" w:cs="Times New Roman"/>
          <w:sz w:val="24"/>
          <w:szCs w:val="24"/>
        </w:rPr>
        <w:t xml:space="preserve">. </w:t>
      </w:r>
      <w:r>
        <w:rPr>
          <w:rFonts w:ascii="Times New Roman" w:hAnsi="Times New Roman" w:cs="Times New Roman"/>
          <w:sz w:val="24"/>
          <w:szCs w:val="24"/>
        </w:rPr>
        <w:t xml:space="preserve">To determine the deferral, </w:t>
      </w:r>
      <w:r w:rsidR="006B6D56" w:rsidRPr="00B60E0C">
        <w:rPr>
          <w:rFonts w:ascii="Times New Roman" w:hAnsi="Times New Roman" w:cs="Times New Roman"/>
          <w:sz w:val="24"/>
          <w:szCs w:val="24"/>
        </w:rPr>
        <w:t>t</w:t>
      </w:r>
      <w:r w:rsidR="00FF4FB5" w:rsidRPr="00B60E0C">
        <w:rPr>
          <w:rFonts w:ascii="Times New Roman" w:hAnsi="Times New Roman" w:cs="Times New Roman"/>
          <w:sz w:val="24"/>
          <w:szCs w:val="24"/>
        </w:rPr>
        <w:t xml:space="preserve">he company </w:t>
      </w:r>
      <w:r>
        <w:rPr>
          <w:rFonts w:ascii="Times New Roman" w:hAnsi="Times New Roman" w:cs="Times New Roman"/>
          <w:sz w:val="24"/>
          <w:szCs w:val="24"/>
        </w:rPr>
        <w:t xml:space="preserve">first </w:t>
      </w:r>
      <w:r w:rsidR="00D94E82">
        <w:rPr>
          <w:rFonts w:ascii="Times New Roman" w:hAnsi="Times New Roman" w:cs="Times New Roman"/>
          <w:sz w:val="24"/>
          <w:szCs w:val="24"/>
        </w:rPr>
        <w:t>establishes an annual per customer revenue requirement, also know</w:t>
      </w:r>
      <w:r w:rsidR="00804765">
        <w:rPr>
          <w:rFonts w:ascii="Times New Roman" w:hAnsi="Times New Roman" w:cs="Times New Roman"/>
          <w:sz w:val="24"/>
          <w:szCs w:val="24"/>
        </w:rPr>
        <w:t>n as</w:t>
      </w:r>
      <w:r w:rsidR="00D94E82">
        <w:rPr>
          <w:rFonts w:ascii="Times New Roman" w:hAnsi="Times New Roman" w:cs="Times New Roman"/>
          <w:sz w:val="24"/>
          <w:szCs w:val="24"/>
        </w:rPr>
        <w:t xml:space="preserve"> </w:t>
      </w:r>
      <w:r w:rsidR="00F6176B">
        <w:rPr>
          <w:rFonts w:ascii="Times New Roman" w:hAnsi="Times New Roman" w:cs="Times New Roman"/>
          <w:sz w:val="24"/>
          <w:szCs w:val="24"/>
        </w:rPr>
        <w:t>“Allowed Revenue</w:t>
      </w:r>
      <w:r w:rsidR="0037410E">
        <w:rPr>
          <w:rFonts w:ascii="Times New Roman" w:hAnsi="Times New Roman" w:cs="Times New Roman"/>
          <w:sz w:val="24"/>
          <w:szCs w:val="24"/>
        </w:rPr>
        <w:t>,</w:t>
      </w:r>
      <w:r w:rsidR="00F6176B">
        <w:rPr>
          <w:rFonts w:ascii="Times New Roman" w:hAnsi="Times New Roman" w:cs="Times New Roman"/>
          <w:sz w:val="24"/>
          <w:szCs w:val="24"/>
        </w:rPr>
        <w:t>”</w:t>
      </w:r>
      <w:r w:rsidR="00D94E82">
        <w:rPr>
          <w:rFonts w:ascii="Times New Roman" w:hAnsi="Times New Roman" w:cs="Times New Roman"/>
          <w:sz w:val="24"/>
          <w:szCs w:val="24"/>
        </w:rPr>
        <w:t xml:space="preserve"> which is based on the fixed costs of delivering energy to end users </w:t>
      </w:r>
      <w:r w:rsidR="00DD01BC">
        <w:rPr>
          <w:rFonts w:ascii="Times New Roman" w:hAnsi="Times New Roman" w:cs="Times New Roman"/>
          <w:sz w:val="24"/>
          <w:szCs w:val="24"/>
        </w:rPr>
        <w:t>and forecasted customer counts</w:t>
      </w:r>
      <w:r w:rsidR="009F3D45" w:rsidRPr="00B60E0C">
        <w:rPr>
          <w:rFonts w:ascii="Times New Roman" w:hAnsi="Times New Roman" w:cs="Times New Roman"/>
          <w:sz w:val="24"/>
          <w:szCs w:val="24"/>
        </w:rPr>
        <w:t xml:space="preserve">. </w:t>
      </w:r>
      <w:r w:rsidR="00F6176B">
        <w:rPr>
          <w:rFonts w:ascii="Times New Roman" w:hAnsi="Times New Roman" w:cs="Times New Roman"/>
          <w:sz w:val="24"/>
          <w:szCs w:val="24"/>
        </w:rPr>
        <w:t>Allowed revenue</w:t>
      </w:r>
      <w:r w:rsidR="00D94E82">
        <w:rPr>
          <w:rFonts w:ascii="Times New Roman" w:hAnsi="Times New Roman" w:cs="Times New Roman"/>
          <w:sz w:val="24"/>
          <w:szCs w:val="24"/>
        </w:rPr>
        <w:t xml:space="preserve"> essentially</w:t>
      </w:r>
      <w:r w:rsidR="00893DDF" w:rsidRPr="00B60E0C">
        <w:rPr>
          <w:rFonts w:ascii="Times New Roman" w:hAnsi="Times New Roman" w:cs="Times New Roman"/>
          <w:sz w:val="24"/>
          <w:szCs w:val="24"/>
        </w:rPr>
        <w:t xml:space="preserve"> </w:t>
      </w:r>
      <w:r w:rsidR="00F6176B">
        <w:rPr>
          <w:rFonts w:ascii="Times New Roman" w:hAnsi="Times New Roman" w:cs="Times New Roman"/>
          <w:sz w:val="24"/>
          <w:szCs w:val="24"/>
        </w:rPr>
        <w:t xml:space="preserve">creates </w:t>
      </w:r>
      <w:r w:rsidR="00893DDF" w:rsidRPr="00B60E0C">
        <w:rPr>
          <w:rFonts w:ascii="Times New Roman" w:hAnsi="Times New Roman" w:cs="Times New Roman"/>
          <w:sz w:val="24"/>
          <w:szCs w:val="24"/>
        </w:rPr>
        <w:t xml:space="preserve">an accounts receivable from the customers. </w:t>
      </w:r>
      <w:r w:rsidR="00D94E82">
        <w:rPr>
          <w:rFonts w:ascii="Times New Roman" w:hAnsi="Times New Roman" w:cs="Times New Roman"/>
          <w:sz w:val="24"/>
          <w:szCs w:val="24"/>
        </w:rPr>
        <w:t xml:space="preserve">Throughout the course of the ensuing year, </w:t>
      </w:r>
      <w:r w:rsidR="00893DDF" w:rsidRPr="00B60E0C">
        <w:rPr>
          <w:rFonts w:ascii="Times New Roman" w:hAnsi="Times New Roman" w:cs="Times New Roman"/>
          <w:sz w:val="24"/>
          <w:szCs w:val="24"/>
        </w:rPr>
        <w:t xml:space="preserve">customers are billed on a </w:t>
      </w:r>
      <w:r w:rsidR="001D529D">
        <w:rPr>
          <w:rFonts w:ascii="Times New Roman" w:hAnsi="Times New Roman" w:cs="Times New Roman"/>
          <w:sz w:val="24"/>
          <w:szCs w:val="24"/>
        </w:rPr>
        <w:t>price</w:t>
      </w:r>
      <w:r w:rsidR="00893DDF" w:rsidRPr="00B60E0C">
        <w:rPr>
          <w:rFonts w:ascii="Times New Roman" w:hAnsi="Times New Roman" w:cs="Times New Roman"/>
          <w:sz w:val="24"/>
          <w:szCs w:val="24"/>
        </w:rPr>
        <w:t xml:space="preserve"> per </w:t>
      </w:r>
      <w:r w:rsidR="00AA55A4">
        <w:rPr>
          <w:rFonts w:ascii="Times New Roman" w:hAnsi="Times New Roman" w:cs="Times New Roman"/>
          <w:sz w:val="24"/>
          <w:szCs w:val="24"/>
        </w:rPr>
        <w:t>unit</w:t>
      </w:r>
      <w:r w:rsidR="00E04042">
        <w:rPr>
          <w:rFonts w:ascii="Times New Roman" w:hAnsi="Times New Roman" w:cs="Times New Roman"/>
          <w:sz w:val="24"/>
          <w:szCs w:val="24"/>
        </w:rPr>
        <w:t xml:space="preserve"> </w:t>
      </w:r>
      <w:r w:rsidR="00410448">
        <w:rPr>
          <w:rFonts w:ascii="Times New Roman" w:hAnsi="Times New Roman" w:cs="Times New Roman"/>
          <w:sz w:val="24"/>
          <w:szCs w:val="24"/>
        </w:rPr>
        <w:t>to</w:t>
      </w:r>
      <w:r w:rsidR="00893DDF" w:rsidRPr="00B60E0C">
        <w:rPr>
          <w:rFonts w:ascii="Times New Roman" w:hAnsi="Times New Roman" w:cs="Times New Roman"/>
          <w:sz w:val="24"/>
          <w:szCs w:val="24"/>
        </w:rPr>
        <w:t xml:space="preserve"> pay off the receivable.</w:t>
      </w:r>
      <w:r w:rsidR="003F3B3C">
        <w:rPr>
          <w:rStyle w:val="FootnoteReference"/>
          <w:rFonts w:ascii="Times New Roman" w:hAnsi="Times New Roman" w:cs="Times New Roman"/>
          <w:sz w:val="24"/>
          <w:szCs w:val="24"/>
        </w:rPr>
        <w:footnoteReference w:id="2"/>
      </w:r>
      <w:r w:rsidR="00893DDF" w:rsidRPr="00B60E0C">
        <w:rPr>
          <w:rFonts w:ascii="Times New Roman" w:hAnsi="Times New Roman" w:cs="Times New Roman"/>
          <w:sz w:val="24"/>
          <w:szCs w:val="24"/>
        </w:rPr>
        <w:t xml:space="preserve"> </w:t>
      </w:r>
      <w:r w:rsidR="0037410E">
        <w:rPr>
          <w:rFonts w:ascii="Times New Roman" w:hAnsi="Times New Roman" w:cs="Times New Roman"/>
          <w:sz w:val="24"/>
          <w:szCs w:val="24"/>
        </w:rPr>
        <w:t xml:space="preserve">Bill payments are also knowns as “Actual Revenue.” </w:t>
      </w:r>
      <w:r w:rsidR="00893DDF" w:rsidRPr="00B60E0C">
        <w:rPr>
          <w:rFonts w:ascii="Times New Roman" w:hAnsi="Times New Roman" w:cs="Times New Roman"/>
          <w:sz w:val="24"/>
          <w:szCs w:val="24"/>
        </w:rPr>
        <w:t>T</w:t>
      </w:r>
      <w:r w:rsidR="00FF4FB5" w:rsidRPr="00B60E0C">
        <w:rPr>
          <w:rFonts w:ascii="Times New Roman" w:hAnsi="Times New Roman" w:cs="Times New Roman"/>
          <w:sz w:val="24"/>
          <w:szCs w:val="24"/>
        </w:rPr>
        <w:t xml:space="preserve">he difference between </w:t>
      </w:r>
      <w:r w:rsidR="00893DDF" w:rsidRPr="00B60E0C">
        <w:rPr>
          <w:rFonts w:ascii="Times New Roman" w:hAnsi="Times New Roman" w:cs="Times New Roman"/>
          <w:sz w:val="24"/>
          <w:szCs w:val="24"/>
        </w:rPr>
        <w:t>the</w:t>
      </w:r>
      <w:r w:rsidR="00FF4FB5" w:rsidRPr="00B60E0C">
        <w:rPr>
          <w:rFonts w:ascii="Times New Roman" w:hAnsi="Times New Roman" w:cs="Times New Roman"/>
          <w:sz w:val="24"/>
          <w:szCs w:val="24"/>
        </w:rPr>
        <w:t xml:space="preserve"> </w:t>
      </w:r>
      <w:r w:rsidR="0037410E">
        <w:rPr>
          <w:rFonts w:ascii="Times New Roman" w:hAnsi="Times New Roman" w:cs="Times New Roman"/>
          <w:sz w:val="24"/>
          <w:szCs w:val="24"/>
        </w:rPr>
        <w:t>A</w:t>
      </w:r>
      <w:r w:rsidR="00F6176B">
        <w:rPr>
          <w:rFonts w:ascii="Times New Roman" w:hAnsi="Times New Roman" w:cs="Times New Roman"/>
          <w:sz w:val="24"/>
          <w:szCs w:val="24"/>
        </w:rPr>
        <w:t xml:space="preserve">llowed </w:t>
      </w:r>
      <w:r w:rsidR="0037410E">
        <w:rPr>
          <w:rFonts w:ascii="Times New Roman" w:hAnsi="Times New Roman" w:cs="Times New Roman"/>
          <w:sz w:val="24"/>
          <w:szCs w:val="24"/>
        </w:rPr>
        <w:t>R</w:t>
      </w:r>
      <w:r w:rsidR="00F6176B">
        <w:rPr>
          <w:rFonts w:ascii="Times New Roman" w:hAnsi="Times New Roman" w:cs="Times New Roman"/>
          <w:sz w:val="24"/>
          <w:szCs w:val="24"/>
        </w:rPr>
        <w:t>evenue</w:t>
      </w:r>
      <w:r w:rsidR="00893DDF" w:rsidRPr="00B60E0C">
        <w:rPr>
          <w:rFonts w:ascii="Times New Roman" w:hAnsi="Times New Roman" w:cs="Times New Roman"/>
          <w:sz w:val="24"/>
          <w:szCs w:val="24"/>
        </w:rPr>
        <w:t xml:space="preserve"> </w:t>
      </w:r>
      <w:r w:rsidR="00FF4FB5" w:rsidRPr="00B60E0C">
        <w:rPr>
          <w:rFonts w:ascii="Times New Roman" w:hAnsi="Times New Roman" w:cs="Times New Roman"/>
          <w:sz w:val="24"/>
          <w:szCs w:val="24"/>
        </w:rPr>
        <w:t xml:space="preserve">and the </w:t>
      </w:r>
      <w:r w:rsidR="0037410E">
        <w:rPr>
          <w:rFonts w:ascii="Times New Roman" w:hAnsi="Times New Roman" w:cs="Times New Roman"/>
          <w:sz w:val="24"/>
          <w:szCs w:val="24"/>
        </w:rPr>
        <w:t xml:space="preserve">Actual Revenues </w:t>
      </w:r>
      <w:r w:rsidR="00DD01BC">
        <w:rPr>
          <w:rFonts w:ascii="Times New Roman" w:hAnsi="Times New Roman" w:cs="Times New Roman"/>
          <w:sz w:val="24"/>
          <w:szCs w:val="24"/>
        </w:rPr>
        <w:t xml:space="preserve">is </w:t>
      </w:r>
      <w:r w:rsidR="00893DDF" w:rsidRPr="00B60E0C">
        <w:rPr>
          <w:rFonts w:ascii="Times New Roman" w:hAnsi="Times New Roman" w:cs="Times New Roman"/>
          <w:sz w:val="24"/>
          <w:szCs w:val="24"/>
        </w:rPr>
        <w:t>deferred</w:t>
      </w:r>
      <w:r w:rsidR="00D94E82">
        <w:rPr>
          <w:rFonts w:ascii="Times New Roman" w:hAnsi="Times New Roman" w:cs="Times New Roman"/>
          <w:sz w:val="24"/>
          <w:szCs w:val="24"/>
        </w:rPr>
        <w:t xml:space="preserve"> on a monthly basis and then </w:t>
      </w:r>
      <w:proofErr w:type="gramStart"/>
      <w:r w:rsidR="002D5337">
        <w:rPr>
          <w:rFonts w:ascii="Times New Roman" w:hAnsi="Times New Roman" w:cs="Times New Roman"/>
          <w:sz w:val="24"/>
          <w:szCs w:val="24"/>
        </w:rPr>
        <w:t>summed  over</w:t>
      </w:r>
      <w:proofErr w:type="gramEnd"/>
      <w:r w:rsidR="002D5337">
        <w:rPr>
          <w:rFonts w:ascii="Times New Roman" w:hAnsi="Times New Roman" w:cs="Times New Roman"/>
          <w:sz w:val="24"/>
          <w:szCs w:val="24"/>
        </w:rPr>
        <w:t xml:space="preserve"> the twelve month period.</w:t>
      </w:r>
      <w:r w:rsidR="00D94E82">
        <w:rPr>
          <w:rFonts w:ascii="Times New Roman" w:hAnsi="Times New Roman" w:cs="Times New Roman"/>
          <w:sz w:val="24"/>
          <w:szCs w:val="24"/>
        </w:rPr>
        <w:t xml:space="preserve"> If, during the course of a year, ene</w:t>
      </w:r>
      <w:r w:rsidR="00F6176B">
        <w:rPr>
          <w:rFonts w:ascii="Times New Roman" w:hAnsi="Times New Roman" w:cs="Times New Roman"/>
          <w:sz w:val="24"/>
          <w:szCs w:val="24"/>
        </w:rPr>
        <w:t>rgy sales are relatively low be</w:t>
      </w:r>
      <w:r w:rsidR="00D94E82">
        <w:rPr>
          <w:rFonts w:ascii="Times New Roman" w:hAnsi="Times New Roman" w:cs="Times New Roman"/>
          <w:sz w:val="24"/>
          <w:szCs w:val="24"/>
        </w:rPr>
        <w:t xml:space="preserve">cause of </w:t>
      </w:r>
      <w:r w:rsidR="002D5337">
        <w:rPr>
          <w:rFonts w:ascii="Times New Roman" w:hAnsi="Times New Roman" w:cs="Times New Roman"/>
          <w:sz w:val="24"/>
          <w:szCs w:val="24"/>
        </w:rPr>
        <w:t xml:space="preserve">a </w:t>
      </w:r>
      <w:r w:rsidR="00D94E82">
        <w:rPr>
          <w:rFonts w:ascii="Times New Roman" w:hAnsi="Times New Roman" w:cs="Times New Roman"/>
          <w:sz w:val="24"/>
          <w:szCs w:val="24"/>
        </w:rPr>
        <w:t xml:space="preserve">warmer </w:t>
      </w:r>
      <w:r w:rsidR="00D94E82">
        <w:rPr>
          <w:rFonts w:ascii="Times New Roman" w:hAnsi="Times New Roman" w:cs="Times New Roman"/>
          <w:sz w:val="24"/>
          <w:szCs w:val="24"/>
        </w:rPr>
        <w:lastRenderedPageBreak/>
        <w:t>than normal winter, conservation</w:t>
      </w:r>
      <w:r w:rsidR="00F6176B">
        <w:rPr>
          <w:rFonts w:ascii="Times New Roman" w:hAnsi="Times New Roman" w:cs="Times New Roman"/>
          <w:sz w:val="24"/>
          <w:szCs w:val="24"/>
        </w:rPr>
        <w:t xml:space="preserve">, or other factors, actual revenue will be less than allowed revenue and the </w:t>
      </w:r>
      <w:r w:rsidR="00D94E82">
        <w:rPr>
          <w:rFonts w:ascii="Times New Roman" w:hAnsi="Times New Roman" w:cs="Times New Roman"/>
          <w:sz w:val="24"/>
          <w:szCs w:val="24"/>
        </w:rPr>
        <w:t xml:space="preserve">deferred balance </w:t>
      </w:r>
      <w:r w:rsidR="00F6176B">
        <w:rPr>
          <w:rFonts w:ascii="Times New Roman" w:hAnsi="Times New Roman" w:cs="Times New Roman"/>
          <w:sz w:val="24"/>
          <w:szCs w:val="24"/>
        </w:rPr>
        <w:t>will reflect a shortfall</w:t>
      </w:r>
      <w:r w:rsidR="00EA73DC">
        <w:rPr>
          <w:rFonts w:ascii="Times New Roman" w:hAnsi="Times New Roman" w:cs="Times New Roman"/>
          <w:sz w:val="24"/>
          <w:szCs w:val="24"/>
        </w:rPr>
        <w:t xml:space="preserve"> in payments</w:t>
      </w:r>
      <w:r w:rsidR="00F6176B">
        <w:rPr>
          <w:rFonts w:ascii="Times New Roman" w:hAnsi="Times New Roman" w:cs="Times New Roman"/>
          <w:sz w:val="24"/>
          <w:szCs w:val="24"/>
        </w:rPr>
        <w:t xml:space="preserve">. Alternatively, if energy sales are </w:t>
      </w:r>
      <w:r w:rsidR="002D5337">
        <w:rPr>
          <w:rFonts w:ascii="Times New Roman" w:hAnsi="Times New Roman" w:cs="Times New Roman"/>
          <w:sz w:val="24"/>
          <w:szCs w:val="24"/>
        </w:rPr>
        <w:t>relatively high due to</w:t>
      </w:r>
      <w:r w:rsidR="00F6176B">
        <w:rPr>
          <w:rFonts w:ascii="Times New Roman" w:hAnsi="Times New Roman" w:cs="Times New Roman"/>
          <w:sz w:val="24"/>
          <w:szCs w:val="24"/>
        </w:rPr>
        <w:t xml:space="preserve"> a relatively cold winter or expanded economic activity, </w:t>
      </w:r>
      <w:r w:rsidR="00EA73DC">
        <w:rPr>
          <w:rFonts w:ascii="Times New Roman" w:hAnsi="Times New Roman" w:cs="Times New Roman"/>
          <w:sz w:val="24"/>
          <w:szCs w:val="24"/>
        </w:rPr>
        <w:t xml:space="preserve">billing payments </w:t>
      </w:r>
      <w:r w:rsidR="00F6176B">
        <w:rPr>
          <w:rFonts w:ascii="Times New Roman" w:hAnsi="Times New Roman" w:cs="Times New Roman"/>
          <w:sz w:val="24"/>
          <w:szCs w:val="24"/>
        </w:rPr>
        <w:t xml:space="preserve">will exceed </w:t>
      </w:r>
      <w:r w:rsidR="0037410E">
        <w:rPr>
          <w:rFonts w:ascii="Times New Roman" w:hAnsi="Times New Roman" w:cs="Times New Roman"/>
          <w:sz w:val="24"/>
          <w:szCs w:val="24"/>
        </w:rPr>
        <w:t>A</w:t>
      </w:r>
      <w:r w:rsidR="00F6176B">
        <w:rPr>
          <w:rFonts w:ascii="Times New Roman" w:hAnsi="Times New Roman" w:cs="Times New Roman"/>
          <w:sz w:val="24"/>
          <w:szCs w:val="24"/>
        </w:rPr>
        <w:t xml:space="preserve">llowed </w:t>
      </w:r>
      <w:r w:rsidR="0037410E">
        <w:rPr>
          <w:rFonts w:ascii="Times New Roman" w:hAnsi="Times New Roman" w:cs="Times New Roman"/>
          <w:sz w:val="24"/>
          <w:szCs w:val="24"/>
        </w:rPr>
        <w:t>R</w:t>
      </w:r>
      <w:r w:rsidR="00F6176B">
        <w:rPr>
          <w:rFonts w:ascii="Times New Roman" w:hAnsi="Times New Roman" w:cs="Times New Roman"/>
          <w:sz w:val="24"/>
          <w:szCs w:val="24"/>
        </w:rPr>
        <w:t xml:space="preserve">evenue and the deferral balance will reflect a surplus. </w:t>
      </w:r>
      <w:r w:rsidR="00FF4FB5" w:rsidRPr="00B60E0C">
        <w:rPr>
          <w:rFonts w:ascii="Times New Roman" w:hAnsi="Times New Roman" w:cs="Times New Roman"/>
          <w:sz w:val="24"/>
          <w:szCs w:val="24"/>
        </w:rPr>
        <w:t xml:space="preserve">The deferred balances are </w:t>
      </w:r>
      <w:r w:rsidR="00F6176B">
        <w:rPr>
          <w:rFonts w:ascii="Times New Roman" w:hAnsi="Times New Roman" w:cs="Times New Roman"/>
          <w:sz w:val="24"/>
          <w:szCs w:val="24"/>
        </w:rPr>
        <w:t xml:space="preserve">then </w:t>
      </w:r>
      <w:r w:rsidR="00FF4FB5" w:rsidRPr="00B60E0C">
        <w:rPr>
          <w:rFonts w:ascii="Times New Roman" w:hAnsi="Times New Roman" w:cs="Times New Roman"/>
          <w:sz w:val="24"/>
          <w:szCs w:val="24"/>
        </w:rPr>
        <w:t>trued</w:t>
      </w:r>
      <w:r w:rsidR="004E3B2B">
        <w:rPr>
          <w:rFonts w:ascii="Times New Roman" w:hAnsi="Times New Roman" w:cs="Times New Roman"/>
          <w:sz w:val="24"/>
          <w:szCs w:val="24"/>
        </w:rPr>
        <w:t xml:space="preserve"> </w:t>
      </w:r>
      <w:r w:rsidR="00FF4FB5" w:rsidRPr="00B60E0C">
        <w:rPr>
          <w:rFonts w:ascii="Times New Roman" w:hAnsi="Times New Roman" w:cs="Times New Roman"/>
          <w:sz w:val="24"/>
          <w:szCs w:val="24"/>
        </w:rPr>
        <w:t xml:space="preserve">up annually </w:t>
      </w:r>
      <w:r w:rsidR="00893DDF" w:rsidRPr="00B60E0C">
        <w:rPr>
          <w:rFonts w:ascii="Times New Roman" w:hAnsi="Times New Roman" w:cs="Times New Roman"/>
          <w:sz w:val="24"/>
          <w:szCs w:val="24"/>
        </w:rPr>
        <w:t xml:space="preserve">by </w:t>
      </w:r>
      <w:r w:rsidR="00FF4FB5" w:rsidRPr="00B60E0C">
        <w:rPr>
          <w:rFonts w:ascii="Times New Roman" w:hAnsi="Times New Roman" w:cs="Times New Roman"/>
          <w:sz w:val="24"/>
          <w:szCs w:val="24"/>
        </w:rPr>
        <w:t>a surcharge</w:t>
      </w:r>
      <w:r w:rsidR="00F6176B">
        <w:rPr>
          <w:rFonts w:ascii="Times New Roman" w:hAnsi="Times New Roman" w:cs="Times New Roman"/>
          <w:sz w:val="24"/>
          <w:szCs w:val="24"/>
        </w:rPr>
        <w:t xml:space="preserve"> (in the case of deferral shortfall)</w:t>
      </w:r>
      <w:r w:rsidR="00FF4FB5" w:rsidRPr="00B60E0C">
        <w:rPr>
          <w:rFonts w:ascii="Times New Roman" w:hAnsi="Times New Roman" w:cs="Times New Roman"/>
          <w:sz w:val="24"/>
          <w:szCs w:val="24"/>
        </w:rPr>
        <w:t xml:space="preserve"> or credit</w:t>
      </w:r>
      <w:r w:rsidR="00F62C06" w:rsidRPr="00B60E0C">
        <w:rPr>
          <w:rFonts w:ascii="Times New Roman" w:hAnsi="Times New Roman" w:cs="Times New Roman"/>
          <w:sz w:val="24"/>
          <w:szCs w:val="24"/>
        </w:rPr>
        <w:t xml:space="preserve"> </w:t>
      </w:r>
      <w:r w:rsidR="00F6176B">
        <w:rPr>
          <w:rFonts w:ascii="Times New Roman" w:hAnsi="Times New Roman" w:cs="Times New Roman"/>
          <w:sz w:val="24"/>
          <w:szCs w:val="24"/>
        </w:rPr>
        <w:t xml:space="preserve">(in the case of a deferral surplus) </w:t>
      </w:r>
      <w:r w:rsidR="00893DDF" w:rsidRPr="00B60E0C">
        <w:rPr>
          <w:rFonts w:ascii="Times New Roman" w:hAnsi="Times New Roman" w:cs="Times New Roman"/>
          <w:sz w:val="24"/>
          <w:szCs w:val="24"/>
        </w:rPr>
        <w:t>captured in the next</w:t>
      </w:r>
      <w:r w:rsidR="00FF4FB5" w:rsidRPr="00B60E0C">
        <w:rPr>
          <w:rFonts w:ascii="Times New Roman" w:hAnsi="Times New Roman" w:cs="Times New Roman"/>
          <w:sz w:val="24"/>
          <w:szCs w:val="24"/>
        </w:rPr>
        <w:t xml:space="preserve"> 12-month period. </w:t>
      </w:r>
    </w:p>
    <w:p w14:paraId="051E762B" w14:textId="77777777" w:rsidR="00D242F9" w:rsidRDefault="00D242F9" w:rsidP="004D583A">
      <w:pPr>
        <w:spacing w:after="0" w:line="240" w:lineRule="auto"/>
        <w:rPr>
          <w:rFonts w:ascii="Times New Roman" w:hAnsi="Times New Roman" w:cs="Times New Roman"/>
          <w:sz w:val="24"/>
          <w:szCs w:val="24"/>
        </w:rPr>
      </w:pPr>
    </w:p>
    <w:p w14:paraId="792BF412" w14:textId="1EDCF4AD" w:rsidR="00820D6E" w:rsidRDefault="008B471E" w:rsidP="004D583A">
      <w:pPr>
        <w:spacing w:after="0" w:line="240" w:lineRule="auto"/>
        <w:rPr>
          <w:rFonts w:ascii="Times New Roman" w:hAnsi="Times New Roman" w:cs="Times New Roman"/>
          <w:sz w:val="24"/>
          <w:szCs w:val="24"/>
        </w:rPr>
      </w:pPr>
      <w:r>
        <w:rPr>
          <w:rFonts w:ascii="Times New Roman" w:hAnsi="Times New Roman" w:cs="Times New Roman"/>
          <w:sz w:val="24"/>
          <w:szCs w:val="24"/>
        </w:rPr>
        <w:t>The K-factor refers to the escalation factor set in t</w:t>
      </w:r>
      <w:r w:rsidR="006B6D56" w:rsidRPr="00B60E0C">
        <w:rPr>
          <w:rFonts w:ascii="Times New Roman" w:hAnsi="Times New Roman" w:cs="Times New Roman"/>
          <w:sz w:val="24"/>
          <w:szCs w:val="24"/>
        </w:rPr>
        <w:t>he rate plan</w:t>
      </w:r>
      <w:r w:rsidR="00F6176B">
        <w:rPr>
          <w:rFonts w:ascii="Times New Roman" w:hAnsi="Times New Roman" w:cs="Times New Roman"/>
          <w:sz w:val="24"/>
          <w:szCs w:val="24"/>
        </w:rPr>
        <w:t xml:space="preserve"> and is separate from the mechanics of the deferral process</w:t>
      </w:r>
      <w:r>
        <w:rPr>
          <w:rFonts w:ascii="Times New Roman" w:hAnsi="Times New Roman" w:cs="Times New Roman"/>
          <w:sz w:val="24"/>
          <w:szCs w:val="24"/>
        </w:rPr>
        <w:t xml:space="preserve">. The commission </w:t>
      </w:r>
      <w:r w:rsidR="006B6D56" w:rsidRPr="00B60E0C">
        <w:rPr>
          <w:rFonts w:ascii="Times New Roman" w:hAnsi="Times New Roman" w:cs="Times New Roman"/>
          <w:sz w:val="24"/>
          <w:szCs w:val="24"/>
        </w:rPr>
        <w:t xml:space="preserve">allows for annual rate increases of 3.0 percent for electric </w:t>
      </w:r>
      <w:r w:rsidR="0037410E">
        <w:rPr>
          <w:rFonts w:ascii="Times New Roman" w:hAnsi="Times New Roman" w:cs="Times New Roman"/>
          <w:sz w:val="24"/>
          <w:szCs w:val="24"/>
        </w:rPr>
        <w:t>delivery costs</w:t>
      </w:r>
      <w:r w:rsidR="006B6D56" w:rsidRPr="00B60E0C">
        <w:rPr>
          <w:rFonts w:ascii="Times New Roman" w:hAnsi="Times New Roman" w:cs="Times New Roman"/>
          <w:sz w:val="24"/>
          <w:szCs w:val="24"/>
        </w:rPr>
        <w:t xml:space="preserve">, and 2.2 percent for natural gas </w:t>
      </w:r>
      <w:r w:rsidR="0037410E">
        <w:rPr>
          <w:rFonts w:ascii="Times New Roman" w:hAnsi="Times New Roman" w:cs="Times New Roman"/>
          <w:sz w:val="24"/>
          <w:szCs w:val="24"/>
        </w:rPr>
        <w:t>delivery costs</w:t>
      </w:r>
      <w:r w:rsidR="006B6D56" w:rsidRPr="00B60E0C">
        <w:rPr>
          <w:rFonts w:ascii="Times New Roman" w:hAnsi="Times New Roman" w:cs="Times New Roman"/>
          <w:sz w:val="24"/>
          <w:szCs w:val="24"/>
        </w:rPr>
        <w:t xml:space="preserve">. </w:t>
      </w:r>
      <w:r w:rsidR="00927127" w:rsidRPr="00B60E0C">
        <w:rPr>
          <w:rFonts w:ascii="Times New Roman" w:hAnsi="Times New Roman" w:cs="Times New Roman"/>
          <w:sz w:val="24"/>
          <w:szCs w:val="24"/>
        </w:rPr>
        <w:t xml:space="preserve">These percentages apply to delivery costs only, not power or gas costs. </w:t>
      </w:r>
    </w:p>
    <w:p w14:paraId="6A2D9414" w14:textId="77777777" w:rsidR="00DD01BC" w:rsidRDefault="00DD01BC" w:rsidP="004D583A">
      <w:pPr>
        <w:spacing w:after="0" w:line="240" w:lineRule="auto"/>
        <w:rPr>
          <w:rFonts w:ascii="Times New Roman" w:hAnsi="Times New Roman" w:cs="Times New Roman"/>
          <w:sz w:val="24"/>
          <w:szCs w:val="24"/>
        </w:rPr>
      </w:pPr>
    </w:p>
    <w:p w14:paraId="74187078" w14:textId="7014D49E" w:rsidR="009A0770" w:rsidRPr="00B60E0C" w:rsidRDefault="003F1A49" w:rsidP="004D583A">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The settlement agreement also holds PSE to </w:t>
      </w:r>
      <w:r w:rsidR="00AA55A4">
        <w:rPr>
          <w:rFonts w:ascii="Times New Roman" w:hAnsi="Times New Roman" w:cs="Times New Roman"/>
          <w:sz w:val="24"/>
          <w:szCs w:val="24"/>
        </w:rPr>
        <w:t>the following additional</w:t>
      </w:r>
      <w:r w:rsidR="002D3848" w:rsidRPr="00B60E0C">
        <w:rPr>
          <w:rFonts w:ascii="Times New Roman" w:hAnsi="Times New Roman" w:cs="Times New Roman"/>
          <w:sz w:val="24"/>
          <w:szCs w:val="24"/>
        </w:rPr>
        <w:t xml:space="preserve"> </w:t>
      </w:r>
      <w:r w:rsidR="009A0770" w:rsidRPr="00B60E0C">
        <w:rPr>
          <w:rFonts w:ascii="Times New Roman" w:hAnsi="Times New Roman" w:cs="Times New Roman"/>
          <w:sz w:val="24"/>
          <w:szCs w:val="24"/>
        </w:rPr>
        <w:t>requirements</w:t>
      </w:r>
      <w:r w:rsidR="00C90F8D" w:rsidRPr="00B60E0C">
        <w:rPr>
          <w:rFonts w:ascii="Times New Roman" w:hAnsi="Times New Roman" w:cs="Times New Roman"/>
          <w:sz w:val="24"/>
          <w:szCs w:val="24"/>
        </w:rPr>
        <w:t>:</w:t>
      </w:r>
    </w:p>
    <w:p w14:paraId="74187079" w14:textId="77777777" w:rsidR="0026435F" w:rsidRPr="00B60E0C" w:rsidRDefault="0026435F" w:rsidP="004D583A">
      <w:pPr>
        <w:spacing w:after="0" w:line="240" w:lineRule="auto"/>
        <w:rPr>
          <w:rFonts w:ascii="Times New Roman" w:hAnsi="Times New Roman" w:cs="Times New Roman"/>
          <w:sz w:val="24"/>
          <w:szCs w:val="24"/>
        </w:rPr>
      </w:pPr>
    </w:p>
    <w:p w14:paraId="66A868EE" w14:textId="76DF7CAA" w:rsidR="00DD01BC" w:rsidRDefault="00DD01BC" w:rsidP="004E767F">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To protect customers from significant rate increases, the decoupling adjustments are limited </w:t>
      </w:r>
      <w:r w:rsidR="009B7F74" w:rsidRPr="00B60E0C">
        <w:rPr>
          <w:rFonts w:ascii="Times New Roman" w:hAnsi="Times New Roman" w:cs="Times New Roman"/>
          <w:sz w:val="24"/>
          <w:szCs w:val="24"/>
        </w:rPr>
        <w:t xml:space="preserve">to no more than </w:t>
      </w:r>
      <w:r w:rsidR="003F3B3C">
        <w:rPr>
          <w:rFonts w:ascii="Times New Roman" w:hAnsi="Times New Roman" w:cs="Times New Roman"/>
          <w:sz w:val="24"/>
          <w:szCs w:val="24"/>
        </w:rPr>
        <w:t>three</w:t>
      </w:r>
      <w:r w:rsidR="009B7F74" w:rsidRPr="00B60E0C">
        <w:rPr>
          <w:rFonts w:ascii="Times New Roman" w:hAnsi="Times New Roman" w:cs="Times New Roman"/>
          <w:sz w:val="24"/>
          <w:szCs w:val="24"/>
        </w:rPr>
        <w:t xml:space="preserve"> percent </w:t>
      </w:r>
      <w:r w:rsidR="009B7F74">
        <w:rPr>
          <w:rFonts w:ascii="Times New Roman" w:hAnsi="Times New Roman" w:cs="Times New Roman"/>
          <w:sz w:val="24"/>
          <w:szCs w:val="24"/>
        </w:rPr>
        <w:t>increase annually</w:t>
      </w:r>
      <w:r w:rsidR="009B7F74" w:rsidRPr="00B60E0C">
        <w:rPr>
          <w:rFonts w:ascii="Times New Roman" w:hAnsi="Times New Roman" w:cs="Times New Roman"/>
          <w:sz w:val="24"/>
          <w:szCs w:val="24"/>
        </w:rPr>
        <w:t xml:space="preserve"> </w:t>
      </w:r>
      <w:r w:rsidRPr="00B60E0C">
        <w:rPr>
          <w:rFonts w:ascii="Times New Roman" w:hAnsi="Times New Roman" w:cs="Times New Roman"/>
          <w:sz w:val="24"/>
          <w:szCs w:val="24"/>
        </w:rPr>
        <w:t xml:space="preserve">for each </w:t>
      </w:r>
      <w:r>
        <w:rPr>
          <w:rFonts w:ascii="Times New Roman" w:hAnsi="Times New Roman" w:cs="Times New Roman"/>
          <w:sz w:val="24"/>
          <w:szCs w:val="24"/>
        </w:rPr>
        <w:t xml:space="preserve">customer </w:t>
      </w:r>
      <w:r w:rsidRPr="00B60E0C">
        <w:rPr>
          <w:rFonts w:ascii="Times New Roman" w:hAnsi="Times New Roman" w:cs="Times New Roman"/>
          <w:sz w:val="24"/>
          <w:szCs w:val="24"/>
        </w:rPr>
        <w:t>group</w:t>
      </w:r>
      <w:r w:rsidR="003F3B3C">
        <w:rPr>
          <w:rFonts w:ascii="Times New Roman" w:hAnsi="Times New Roman" w:cs="Times New Roman"/>
          <w:sz w:val="24"/>
          <w:szCs w:val="24"/>
        </w:rPr>
        <w:t xml:space="preserve"> (three</w:t>
      </w:r>
      <w:r w:rsidR="009B7F74">
        <w:rPr>
          <w:rFonts w:ascii="Times New Roman" w:hAnsi="Times New Roman" w:cs="Times New Roman"/>
          <w:sz w:val="24"/>
          <w:szCs w:val="24"/>
        </w:rPr>
        <w:t xml:space="preserve"> percent soft cap)</w:t>
      </w:r>
      <w:r w:rsidRPr="00B60E0C">
        <w:rPr>
          <w:rFonts w:ascii="Times New Roman" w:hAnsi="Times New Roman" w:cs="Times New Roman"/>
          <w:sz w:val="24"/>
          <w:szCs w:val="24"/>
        </w:rPr>
        <w:t>.</w:t>
      </w:r>
      <w:r w:rsidRPr="00B60E0C">
        <w:rPr>
          <w:rStyle w:val="FootnoteReference"/>
          <w:rFonts w:ascii="Times New Roman" w:hAnsi="Times New Roman" w:cs="Times New Roman"/>
          <w:sz w:val="24"/>
        </w:rPr>
        <w:footnoteReference w:id="3"/>
      </w:r>
    </w:p>
    <w:p w14:paraId="225762C0" w14:textId="77777777" w:rsidR="009B7F74" w:rsidRPr="00B60E0C" w:rsidRDefault="009B7F74" w:rsidP="009B7F74">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Share with customers on an equal basis any earning</w:t>
      </w:r>
      <w:r>
        <w:rPr>
          <w:rFonts w:ascii="Times New Roman" w:hAnsi="Times New Roman" w:cs="Times New Roman"/>
          <w:sz w:val="24"/>
          <w:szCs w:val="24"/>
        </w:rPr>
        <w:t>s</w:t>
      </w:r>
      <w:r w:rsidRPr="00B60E0C">
        <w:rPr>
          <w:rFonts w:ascii="Times New Roman" w:hAnsi="Times New Roman" w:cs="Times New Roman"/>
          <w:sz w:val="24"/>
          <w:szCs w:val="24"/>
        </w:rPr>
        <w:t xml:space="preserve"> that exceed its authorized rate of return (</w:t>
      </w:r>
      <w:r>
        <w:rPr>
          <w:rFonts w:ascii="Times New Roman" w:hAnsi="Times New Roman" w:cs="Times New Roman"/>
          <w:sz w:val="24"/>
          <w:szCs w:val="24"/>
        </w:rPr>
        <w:t>e</w:t>
      </w:r>
      <w:r w:rsidRPr="00B60E0C">
        <w:rPr>
          <w:rFonts w:ascii="Times New Roman" w:hAnsi="Times New Roman" w:cs="Times New Roman"/>
          <w:sz w:val="24"/>
          <w:szCs w:val="24"/>
        </w:rPr>
        <w:t>arnings test).</w:t>
      </w:r>
      <w:r w:rsidRPr="00B60E0C">
        <w:rPr>
          <w:rStyle w:val="FootnoteReference"/>
          <w:rFonts w:ascii="Times New Roman" w:hAnsi="Times New Roman" w:cs="Times New Roman"/>
          <w:sz w:val="24"/>
          <w:szCs w:val="24"/>
        </w:rPr>
        <w:footnoteReference w:id="4"/>
      </w:r>
    </w:p>
    <w:p w14:paraId="7418707A" w14:textId="65CE63AD" w:rsidR="004E767F" w:rsidRPr="00B60E0C" w:rsidRDefault="009A0770" w:rsidP="004E767F">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lastRenderedPageBreak/>
        <w:t>Achieve</w:t>
      </w:r>
      <w:r w:rsidR="004E767F" w:rsidRPr="00B60E0C">
        <w:rPr>
          <w:rFonts w:ascii="Times New Roman" w:hAnsi="Times New Roman" w:cs="Times New Roman"/>
          <w:sz w:val="24"/>
          <w:szCs w:val="24"/>
        </w:rPr>
        <w:t xml:space="preserve"> electric conservation five percent above its biennial target approved by the commission.</w:t>
      </w:r>
    </w:p>
    <w:p w14:paraId="7418707B" w14:textId="348A30AD" w:rsidR="004E767F" w:rsidRPr="00B60E0C" w:rsidRDefault="004E767F" w:rsidP="004E767F">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Participate in the market transformation study for gas conservation by Northwest Energy Efficiency Alliance</w:t>
      </w:r>
      <w:r w:rsidR="00AA55A4">
        <w:rPr>
          <w:rFonts w:ascii="Times New Roman" w:hAnsi="Times New Roman" w:cs="Times New Roman"/>
          <w:sz w:val="24"/>
          <w:szCs w:val="24"/>
        </w:rPr>
        <w:t xml:space="preserve"> (NEEA)</w:t>
      </w:r>
      <w:r w:rsidR="004D583A" w:rsidRPr="00B60E0C">
        <w:rPr>
          <w:rFonts w:ascii="Times New Roman" w:hAnsi="Times New Roman" w:cs="Times New Roman"/>
          <w:sz w:val="24"/>
          <w:szCs w:val="24"/>
        </w:rPr>
        <w:t>.</w:t>
      </w:r>
    </w:p>
    <w:p w14:paraId="7418707D" w14:textId="77777777" w:rsidR="004E767F" w:rsidRPr="00B60E0C" w:rsidRDefault="004E767F" w:rsidP="004E767F">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Fund low-income </w:t>
      </w:r>
      <w:r w:rsidR="00245399" w:rsidRPr="00B60E0C">
        <w:rPr>
          <w:rFonts w:ascii="Times New Roman" w:hAnsi="Times New Roman" w:cs="Times New Roman"/>
          <w:sz w:val="24"/>
          <w:szCs w:val="24"/>
        </w:rPr>
        <w:t>bill assistance</w:t>
      </w:r>
      <w:r w:rsidRPr="00B60E0C">
        <w:rPr>
          <w:rFonts w:ascii="Times New Roman" w:hAnsi="Times New Roman" w:cs="Times New Roman"/>
          <w:sz w:val="24"/>
          <w:szCs w:val="24"/>
        </w:rPr>
        <w:t xml:space="preserve"> with an</w:t>
      </w:r>
      <w:r w:rsidR="004D583A" w:rsidRPr="00B60E0C">
        <w:rPr>
          <w:rFonts w:ascii="Times New Roman" w:hAnsi="Times New Roman" w:cs="Times New Roman"/>
          <w:sz w:val="24"/>
          <w:szCs w:val="24"/>
        </w:rPr>
        <w:t xml:space="preserve"> additional $1,000,000 per year.</w:t>
      </w:r>
      <w:r w:rsidR="004D583A" w:rsidRPr="00B60E0C">
        <w:rPr>
          <w:rStyle w:val="FootnoteReference"/>
          <w:rFonts w:ascii="Times New Roman" w:hAnsi="Times New Roman" w:cs="Times New Roman"/>
          <w:sz w:val="24"/>
          <w:szCs w:val="24"/>
        </w:rPr>
        <w:t xml:space="preserve"> </w:t>
      </w:r>
    </w:p>
    <w:p w14:paraId="7418707E" w14:textId="77777777" w:rsidR="00245399" w:rsidRPr="00B60E0C" w:rsidRDefault="00245399" w:rsidP="004E767F">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Fund low-income conservation with an additional $500,000 per year, over two years.</w:t>
      </w:r>
    </w:p>
    <w:p w14:paraId="7418707F" w14:textId="77777777" w:rsidR="009A0770" w:rsidRPr="00B60E0C" w:rsidRDefault="00C90F8D" w:rsidP="00175CC4">
      <w:pPr>
        <w:pStyle w:val="ListParagraph"/>
        <w:numPr>
          <w:ilvl w:val="0"/>
          <w:numId w:val="3"/>
        </w:num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Participate</w:t>
      </w:r>
      <w:r w:rsidR="004D583A" w:rsidRPr="00B60E0C">
        <w:rPr>
          <w:rFonts w:ascii="Times New Roman" w:hAnsi="Times New Roman" w:cs="Times New Roman"/>
          <w:sz w:val="24"/>
          <w:szCs w:val="24"/>
        </w:rPr>
        <w:t xml:space="preserve"> </w:t>
      </w:r>
      <w:r w:rsidR="003F1A49" w:rsidRPr="00B60E0C">
        <w:rPr>
          <w:rFonts w:ascii="Times New Roman" w:hAnsi="Times New Roman" w:cs="Times New Roman"/>
          <w:sz w:val="24"/>
          <w:szCs w:val="24"/>
        </w:rPr>
        <w:t>in a</w:t>
      </w:r>
      <w:r w:rsidR="004D583A" w:rsidRPr="00B60E0C">
        <w:rPr>
          <w:rFonts w:ascii="Times New Roman" w:hAnsi="Times New Roman" w:cs="Times New Roman"/>
          <w:sz w:val="24"/>
          <w:szCs w:val="24"/>
        </w:rPr>
        <w:t xml:space="preserve"> third-party review of the decoupling mechanisms. </w:t>
      </w:r>
    </w:p>
    <w:p w14:paraId="74187080" w14:textId="77777777" w:rsidR="00673697" w:rsidRDefault="00673697" w:rsidP="00175CC4">
      <w:pPr>
        <w:spacing w:after="0" w:line="240" w:lineRule="auto"/>
        <w:rPr>
          <w:rFonts w:ascii="Times New Roman" w:hAnsi="Times New Roman" w:cs="Times New Roman"/>
          <w:b/>
          <w:sz w:val="24"/>
          <w:szCs w:val="24"/>
        </w:rPr>
      </w:pPr>
    </w:p>
    <w:p w14:paraId="2680D5D6" w14:textId="77777777" w:rsidR="00247ED0" w:rsidRDefault="00B62B61" w:rsidP="00CD5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of the </w:t>
      </w:r>
      <w:r w:rsidR="00CD5ED1">
        <w:rPr>
          <w:rFonts w:ascii="Times New Roman" w:eastAsia="Times New Roman" w:hAnsi="Times New Roman" w:cs="Times New Roman"/>
          <w:sz w:val="24"/>
          <w:szCs w:val="24"/>
        </w:rPr>
        <w:t xml:space="preserve">decoupling order, PSE’s filing </w:t>
      </w:r>
      <w:r w:rsidR="00BE3446">
        <w:rPr>
          <w:rFonts w:ascii="Times New Roman" w:eastAsia="Times New Roman" w:hAnsi="Times New Roman" w:cs="Times New Roman"/>
          <w:sz w:val="24"/>
          <w:szCs w:val="24"/>
        </w:rPr>
        <w:t>contains</w:t>
      </w:r>
      <w:r w:rsidR="006167B8">
        <w:rPr>
          <w:rFonts w:ascii="Times New Roman" w:eastAsia="Times New Roman" w:hAnsi="Times New Roman" w:cs="Times New Roman"/>
          <w:sz w:val="24"/>
          <w:szCs w:val="24"/>
        </w:rPr>
        <w:t xml:space="preserve"> </w:t>
      </w:r>
      <w:r w:rsidR="00CD5ED1" w:rsidRPr="00B60E0C">
        <w:rPr>
          <w:rFonts w:ascii="Times New Roman" w:eastAsia="Times New Roman" w:hAnsi="Times New Roman" w:cs="Times New Roman"/>
          <w:sz w:val="24"/>
          <w:szCs w:val="24"/>
        </w:rPr>
        <w:t>two</w:t>
      </w:r>
      <w:r w:rsidR="006167B8">
        <w:rPr>
          <w:rFonts w:ascii="Times New Roman" w:eastAsia="Times New Roman" w:hAnsi="Times New Roman" w:cs="Times New Roman"/>
          <w:sz w:val="24"/>
          <w:szCs w:val="24"/>
        </w:rPr>
        <w:t>-</w:t>
      </w:r>
      <w:r w:rsidR="00CD5ED1" w:rsidRPr="00B60E0C">
        <w:rPr>
          <w:rFonts w:ascii="Times New Roman" w:eastAsia="Times New Roman" w:hAnsi="Times New Roman" w:cs="Times New Roman"/>
          <w:sz w:val="24"/>
          <w:szCs w:val="24"/>
        </w:rPr>
        <w:t>part</w:t>
      </w:r>
      <w:r w:rsidR="006167B8">
        <w:rPr>
          <w:rFonts w:ascii="Times New Roman" w:eastAsia="Times New Roman" w:hAnsi="Times New Roman" w:cs="Times New Roman"/>
          <w:sz w:val="24"/>
          <w:szCs w:val="24"/>
        </w:rPr>
        <w:t xml:space="preserve"> adjustments</w:t>
      </w:r>
      <w:r w:rsidR="00CD5ED1" w:rsidRPr="00B60E0C">
        <w:rPr>
          <w:rFonts w:ascii="Times New Roman" w:eastAsia="Times New Roman" w:hAnsi="Times New Roman" w:cs="Times New Roman"/>
          <w:sz w:val="24"/>
          <w:szCs w:val="24"/>
        </w:rPr>
        <w:t xml:space="preserve">: (1) </w:t>
      </w:r>
      <w:r w:rsidR="00410448">
        <w:rPr>
          <w:rFonts w:ascii="Times New Roman" w:eastAsia="Times New Roman" w:hAnsi="Times New Roman" w:cs="Times New Roman"/>
          <w:sz w:val="24"/>
          <w:szCs w:val="24"/>
        </w:rPr>
        <w:t>Deferral</w:t>
      </w:r>
      <w:r w:rsidR="006167B8">
        <w:rPr>
          <w:rFonts w:ascii="Times New Roman" w:eastAsia="Times New Roman" w:hAnsi="Times New Roman" w:cs="Times New Roman"/>
          <w:sz w:val="24"/>
          <w:szCs w:val="24"/>
        </w:rPr>
        <w:t xml:space="preserve">: </w:t>
      </w:r>
      <w:r w:rsidR="00CD5ED1" w:rsidRPr="00B60E0C">
        <w:rPr>
          <w:rFonts w:ascii="Times New Roman" w:eastAsia="Times New Roman" w:hAnsi="Times New Roman" w:cs="Times New Roman"/>
          <w:sz w:val="24"/>
          <w:szCs w:val="24"/>
        </w:rPr>
        <w:t xml:space="preserve">true-up of the </w:t>
      </w:r>
      <w:r w:rsidR="006167B8">
        <w:rPr>
          <w:rFonts w:ascii="Times New Roman" w:eastAsia="Times New Roman" w:hAnsi="Times New Roman" w:cs="Times New Roman"/>
          <w:sz w:val="24"/>
          <w:szCs w:val="24"/>
        </w:rPr>
        <w:t xml:space="preserve">difference </w:t>
      </w:r>
      <w:r w:rsidR="00CD5ED1" w:rsidRPr="00B60E0C">
        <w:rPr>
          <w:rFonts w:ascii="Times New Roman" w:eastAsia="Times New Roman" w:hAnsi="Times New Roman" w:cs="Times New Roman"/>
          <w:sz w:val="24"/>
          <w:szCs w:val="24"/>
        </w:rPr>
        <w:t>between allowed and actual decoupling revenue during calendar year 2014 and (2) the K-factor: the re</w:t>
      </w:r>
      <w:r w:rsidR="00CD5ED1">
        <w:rPr>
          <w:rFonts w:ascii="Times New Roman" w:eastAsia="Times New Roman" w:hAnsi="Times New Roman" w:cs="Times New Roman"/>
          <w:sz w:val="24"/>
          <w:szCs w:val="24"/>
        </w:rPr>
        <w:t>ve</w:t>
      </w:r>
      <w:r w:rsidR="00CD5ED1" w:rsidRPr="00B60E0C">
        <w:rPr>
          <w:rFonts w:ascii="Times New Roman" w:eastAsia="Times New Roman" w:hAnsi="Times New Roman" w:cs="Times New Roman"/>
          <w:sz w:val="24"/>
          <w:szCs w:val="24"/>
        </w:rPr>
        <w:t>n</w:t>
      </w:r>
      <w:r w:rsidR="00CD5ED1">
        <w:rPr>
          <w:rFonts w:ascii="Times New Roman" w:eastAsia="Times New Roman" w:hAnsi="Times New Roman" w:cs="Times New Roman"/>
          <w:sz w:val="24"/>
          <w:szCs w:val="24"/>
        </w:rPr>
        <w:t>ue</w:t>
      </w:r>
      <w:r w:rsidR="00CD5ED1" w:rsidRPr="00B60E0C">
        <w:rPr>
          <w:rFonts w:ascii="Times New Roman" w:eastAsia="Times New Roman" w:hAnsi="Times New Roman" w:cs="Times New Roman"/>
          <w:sz w:val="24"/>
          <w:szCs w:val="24"/>
        </w:rPr>
        <w:t xml:space="preserve"> </w:t>
      </w:r>
      <w:r w:rsidR="006167B8">
        <w:rPr>
          <w:rFonts w:ascii="Times New Roman" w:eastAsia="Times New Roman" w:hAnsi="Times New Roman" w:cs="Times New Roman"/>
          <w:sz w:val="24"/>
          <w:szCs w:val="24"/>
        </w:rPr>
        <w:t xml:space="preserve">increase allowance </w:t>
      </w:r>
      <w:r w:rsidR="00CD5ED1" w:rsidRPr="00B60E0C">
        <w:rPr>
          <w:rFonts w:ascii="Times New Roman" w:eastAsia="Times New Roman" w:hAnsi="Times New Roman" w:cs="Times New Roman"/>
          <w:sz w:val="24"/>
          <w:szCs w:val="24"/>
        </w:rPr>
        <w:t xml:space="preserve">for the upcoming rate year from </w:t>
      </w:r>
    </w:p>
    <w:p w14:paraId="722BE59F" w14:textId="7ED2E253" w:rsidR="00CD5ED1" w:rsidRDefault="00CD5ED1" w:rsidP="00CD5ED1">
      <w:pPr>
        <w:spacing w:after="0" w:line="240" w:lineRule="auto"/>
        <w:rPr>
          <w:rFonts w:ascii="Times New Roman" w:eastAsia="Times New Roman" w:hAnsi="Times New Roman" w:cs="Times New Roman"/>
          <w:sz w:val="24"/>
          <w:szCs w:val="24"/>
        </w:rPr>
      </w:pPr>
      <w:r w:rsidRPr="00B60E0C">
        <w:rPr>
          <w:rFonts w:ascii="Times New Roman" w:eastAsia="Times New Roman" w:hAnsi="Times New Roman" w:cs="Times New Roman"/>
          <w:sz w:val="24"/>
          <w:szCs w:val="24"/>
        </w:rPr>
        <w:t>May 1, 2015</w:t>
      </w:r>
      <w:r w:rsidR="008829D8">
        <w:rPr>
          <w:rFonts w:ascii="Times New Roman" w:eastAsia="Times New Roman" w:hAnsi="Times New Roman" w:cs="Times New Roman"/>
          <w:sz w:val="24"/>
          <w:szCs w:val="24"/>
        </w:rPr>
        <w:t>,</w:t>
      </w:r>
      <w:r w:rsidRPr="00B60E0C">
        <w:rPr>
          <w:rFonts w:ascii="Times New Roman" w:eastAsia="Times New Roman" w:hAnsi="Times New Roman" w:cs="Times New Roman"/>
          <w:sz w:val="24"/>
          <w:szCs w:val="24"/>
        </w:rPr>
        <w:t xml:space="preserve"> through April 30, 2016. New </w:t>
      </w:r>
      <w:r>
        <w:rPr>
          <w:rFonts w:ascii="Times New Roman" w:eastAsia="Times New Roman" w:hAnsi="Times New Roman" w:cs="Times New Roman"/>
          <w:sz w:val="24"/>
          <w:szCs w:val="24"/>
        </w:rPr>
        <w:t xml:space="preserve">decoupling </w:t>
      </w:r>
      <w:r w:rsidRPr="00B60E0C">
        <w:rPr>
          <w:rFonts w:ascii="Times New Roman" w:eastAsia="Times New Roman" w:hAnsi="Times New Roman" w:cs="Times New Roman"/>
          <w:sz w:val="24"/>
          <w:szCs w:val="24"/>
        </w:rPr>
        <w:t xml:space="preserve">rates are </w:t>
      </w:r>
      <w:r w:rsidR="00410448">
        <w:rPr>
          <w:rFonts w:ascii="Times New Roman" w:eastAsia="Times New Roman" w:hAnsi="Times New Roman" w:cs="Times New Roman"/>
          <w:sz w:val="24"/>
          <w:szCs w:val="24"/>
        </w:rPr>
        <w:t>the sum of the two components</w:t>
      </w:r>
      <w:r w:rsidRPr="00B60E0C">
        <w:rPr>
          <w:rFonts w:ascii="Times New Roman" w:eastAsia="Times New Roman" w:hAnsi="Times New Roman" w:cs="Times New Roman"/>
          <w:sz w:val="24"/>
          <w:szCs w:val="24"/>
        </w:rPr>
        <w:t>.</w:t>
      </w:r>
      <w:r w:rsidR="00410448">
        <w:rPr>
          <w:rFonts w:ascii="Times New Roman" w:eastAsia="Times New Roman" w:hAnsi="Times New Roman" w:cs="Times New Roman"/>
          <w:sz w:val="24"/>
          <w:szCs w:val="24"/>
        </w:rPr>
        <w:t xml:space="preserve"> As </w:t>
      </w:r>
      <w:r w:rsidR="00BE3446">
        <w:rPr>
          <w:rFonts w:ascii="Times New Roman" w:eastAsia="Times New Roman" w:hAnsi="Times New Roman" w:cs="Times New Roman"/>
          <w:sz w:val="24"/>
          <w:szCs w:val="24"/>
        </w:rPr>
        <w:t xml:space="preserve">will be </w:t>
      </w:r>
      <w:r w:rsidR="00410448">
        <w:rPr>
          <w:rFonts w:ascii="Times New Roman" w:eastAsia="Times New Roman" w:hAnsi="Times New Roman" w:cs="Times New Roman"/>
          <w:sz w:val="24"/>
          <w:szCs w:val="24"/>
        </w:rPr>
        <w:t>discussed in details below, proposed decoupling rates will increase for most customer groups.</w:t>
      </w:r>
    </w:p>
    <w:p w14:paraId="1914EB1E" w14:textId="77777777" w:rsidR="00CD5ED1" w:rsidRDefault="00CD5ED1" w:rsidP="00CD5ED1">
      <w:pPr>
        <w:spacing w:after="0" w:line="240" w:lineRule="auto"/>
        <w:rPr>
          <w:rFonts w:ascii="Times New Roman" w:eastAsia="Times New Roman" w:hAnsi="Times New Roman" w:cs="Times New Roman"/>
          <w:sz w:val="24"/>
          <w:szCs w:val="24"/>
        </w:rPr>
      </w:pPr>
    </w:p>
    <w:p w14:paraId="36902A21" w14:textId="6645E7ED" w:rsidR="00CD5ED1" w:rsidRDefault="00CD5ED1" w:rsidP="00CD5ED1">
      <w:pPr>
        <w:spacing w:after="0" w:line="240" w:lineRule="auto"/>
        <w:rPr>
          <w:rFonts w:ascii="Times New Roman" w:eastAsia="Times New Roman" w:hAnsi="Times New Roman" w:cs="Times New Roman"/>
          <w:sz w:val="24"/>
          <w:szCs w:val="24"/>
        </w:rPr>
      </w:pPr>
      <w:r w:rsidRPr="00B60E0C">
        <w:rPr>
          <w:rFonts w:ascii="Times New Roman" w:eastAsia="Times New Roman" w:hAnsi="Times New Roman" w:cs="Times New Roman"/>
          <w:sz w:val="24"/>
          <w:szCs w:val="24"/>
        </w:rPr>
        <w:t xml:space="preserve">While preparing the filing, PSE discovered an unintended mistake in the definition of Actual Revenue, for purposes of calculating the current deferrals, as specified in Appendix A and B to the Amended Petition approved in </w:t>
      </w:r>
      <w:r w:rsidR="00DE6FF8">
        <w:rPr>
          <w:rFonts w:ascii="Times New Roman" w:eastAsia="Times New Roman" w:hAnsi="Times New Roman" w:cs="Times New Roman"/>
          <w:sz w:val="24"/>
          <w:szCs w:val="24"/>
        </w:rPr>
        <w:t>Decoupling</w:t>
      </w:r>
      <w:r w:rsidR="006167B8">
        <w:rPr>
          <w:rFonts w:ascii="Times New Roman" w:eastAsia="Times New Roman" w:hAnsi="Times New Roman" w:cs="Times New Roman"/>
          <w:sz w:val="24"/>
          <w:szCs w:val="24"/>
        </w:rPr>
        <w:t xml:space="preserve"> </w:t>
      </w:r>
      <w:r w:rsidR="00BE3446">
        <w:rPr>
          <w:rFonts w:ascii="Times New Roman" w:eastAsia="Times New Roman" w:hAnsi="Times New Roman" w:cs="Times New Roman"/>
          <w:sz w:val="24"/>
          <w:szCs w:val="24"/>
        </w:rPr>
        <w:t>Order</w:t>
      </w:r>
      <w:r w:rsidRPr="00B60E0C">
        <w:rPr>
          <w:rFonts w:ascii="Times New Roman" w:eastAsia="Times New Roman" w:hAnsi="Times New Roman" w:cs="Times New Roman"/>
          <w:sz w:val="24"/>
          <w:szCs w:val="24"/>
        </w:rPr>
        <w:t xml:space="preserve">. Decoupling deferrals are calculated by comparing Allowed Revenue to Actual Revenue. The current definition for Actual Revenue includes the revenue from the amortization of accumulated deferrals from the prior calendar year. As a result, between May 2014 and April </w:t>
      </w:r>
      <w:r w:rsidRPr="00B60E0C">
        <w:rPr>
          <w:rFonts w:ascii="Times New Roman" w:eastAsia="Times New Roman" w:hAnsi="Times New Roman" w:cs="Times New Roman"/>
          <w:sz w:val="24"/>
          <w:szCs w:val="24"/>
        </w:rPr>
        <w:lastRenderedPageBreak/>
        <w:t>2015</w:t>
      </w:r>
      <w:r>
        <w:rPr>
          <w:rFonts w:ascii="Times New Roman" w:eastAsia="Times New Roman" w:hAnsi="Times New Roman" w:cs="Times New Roman"/>
          <w:sz w:val="24"/>
          <w:szCs w:val="24"/>
        </w:rPr>
        <w:t xml:space="preserve">, </w:t>
      </w:r>
      <w:r w:rsidRPr="00B60E0C">
        <w:rPr>
          <w:rFonts w:ascii="Times New Roman" w:eastAsia="Times New Roman" w:hAnsi="Times New Roman" w:cs="Times New Roman"/>
          <w:sz w:val="24"/>
          <w:szCs w:val="24"/>
        </w:rPr>
        <w:t xml:space="preserve">PSE overstated the deferral by $9,544,527 for electric operation and by $2,338,210 for natural gas. </w:t>
      </w:r>
      <w:r>
        <w:rPr>
          <w:rFonts w:ascii="Times New Roman" w:eastAsia="Times New Roman" w:hAnsi="Times New Roman" w:cs="Times New Roman"/>
          <w:sz w:val="24"/>
          <w:szCs w:val="24"/>
        </w:rPr>
        <w:t>The unintended mis</w:t>
      </w:r>
      <w:r w:rsidRPr="00B60E0C">
        <w:rPr>
          <w:rFonts w:ascii="Times New Roman" w:eastAsia="Times New Roman" w:hAnsi="Times New Roman" w:cs="Times New Roman"/>
          <w:sz w:val="24"/>
          <w:szCs w:val="24"/>
        </w:rPr>
        <w:t xml:space="preserve">calculation has only impacted non-cash tracking accounts and has not impacted customers’ rates. </w:t>
      </w:r>
      <w:r w:rsidR="00401787">
        <w:rPr>
          <w:rFonts w:ascii="Times New Roman" w:eastAsia="Times New Roman" w:hAnsi="Times New Roman" w:cs="Times New Roman"/>
          <w:sz w:val="24"/>
          <w:szCs w:val="24"/>
        </w:rPr>
        <w:t>PSE</w:t>
      </w:r>
      <w:r w:rsidRPr="00B60E0C">
        <w:rPr>
          <w:rFonts w:ascii="Times New Roman" w:eastAsia="Times New Roman" w:hAnsi="Times New Roman" w:cs="Times New Roman"/>
          <w:sz w:val="24"/>
          <w:szCs w:val="24"/>
        </w:rPr>
        <w:t xml:space="preserve"> filed a petition for approval of errata in the decoupling dockets on March 31, 2015. Staff reviewed the petition and </w:t>
      </w:r>
      <w:r>
        <w:rPr>
          <w:rFonts w:ascii="Times New Roman" w:eastAsia="Times New Roman" w:hAnsi="Times New Roman" w:cs="Times New Roman"/>
          <w:sz w:val="24"/>
          <w:szCs w:val="24"/>
        </w:rPr>
        <w:t xml:space="preserve">agrees that the correction is necessary. </w:t>
      </w:r>
      <w:r w:rsidR="00401787">
        <w:rPr>
          <w:rFonts w:ascii="Times New Roman" w:eastAsia="Times New Roman" w:hAnsi="Times New Roman" w:cs="Times New Roman"/>
          <w:sz w:val="24"/>
          <w:szCs w:val="24"/>
        </w:rPr>
        <w:t>PSE</w:t>
      </w:r>
      <w:r w:rsidRPr="00B60E0C">
        <w:rPr>
          <w:rFonts w:ascii="Times New Roman" w:eastAsia="Times New Roman" w:hAnsi="Times New Roman" w:cs="Times New Roman"/>
          <w:sz w:val="24"/>
          <w:szCs w:val="24"/>
        </w:rPr>
        <w:t xml:space="preserve"> has incorporated the correction in this filing. </w:t>
      </w:r>
    </w:p>
    <w:p w14:paraId="5C9B6F99" w14:textId="77777777" w:rsidR="00410448" w:rsidRDefault="00410448" w:rsidP="00CD5ED1">
      <w:pPr>
        <w:spacing w:after="0" w:line="240" w:lineRule="auto"/>
        <w:rPr>
          <w:rFonts w:ascii="Times New Roman" w:eastAsia="Times New Roman" w:hAnsi="Times New Roman" w:cs="Times New Roman"/>
          <w:sz w:val="24"/>
          <w:szCs w:val="24"/>
        </w:rPr>
      </w:pPr>
    </w:p>
    <w:p w14:paraId="74187081" w14:textId="058AEC84" w:rsidR="00BB08F5" w:rsidRPr="00B60E0C" w:rsidRDefault="00BB08F5"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Discussion</w:t>
      </w:r>
    </w:p>
    <w:p w14:paraId="5C2412FA" w14:textId="77777777" w:rsidR="00840F7A" w:rsidRPr="00B60E0C" w:rsidRDefault="00840F7A" w:rsidP="00175CC4">
      <w:pPr>
        <w:spacing w:after="0" w:line="240" w:lineRule="auto"/>
        <w:rPr>
          <w:rFonts w:ascii="Times New Roman" w:hAnsi="Times New Roman" w:cs="Times New Roman"/>
          <w:b/>
          <w:sz w:val="24"/>
          <w:szCs w:val="24"/>
          <w:u w:val="single"/>
        </w:rPr>
      </w:pPr>
    </w:p>
    <w:p w14:paraId="74187084" w14:textId="77777777" w:rsidR="00FF4FB5" w:rsidRPr="00D34BE5" w:rsidRDefault="00FF4FB5" w:rsidP="00FF4FB5">
      <w:pPr>
        <w:spacing w:after="0" w:line="240" w:lineRule="auto"/>
        <w:rPr>
          <w:rFonts w:ascii="Times New Roman" w:hAnsi="Times New Roman" w:cs="Times New Roman"/>
          <w:b/>
          <w:i/>
          <w:sz w:val="24"/>
          <w:szCs w:val="24"/>
        </w:rPr>
      </w:pPr>
      <w:r w:rsidRPr="00D34BE5">
        <w:rPr>
          <w:rFonts w:ascii="Times New Roman" w:hAnsi="Times New Roman" w:cs="Times New Roman"/>
          <w:b/>
          <w:i/>
          <w:sz w:val="24"/>
          <w:szCs w:val="24"/>
        </w:rPr>
        <w:t>Electric Rates</w:t>
      </w:r>
    </w:p>
    <w:p w14:paraId="36481F0B" w14:textId="77777777" w:rsidR="00D34BE5" w:rsidRDefault="00D34BE5" w:rsidP="00FF4FB5">
      <w:pPr>
        <w:spacing w:after="0" w:line="240" w:lineRule="auto"/>
        <w:rPr>
          <w:rFonts w:ascii="Times New Roman" w:hAnsi="Times New Roman" w:cs="Times New Roman"/>
          <w:sz w:val="24"/>
          <w:szCs w:val="24"/>
          <w:u w:val="single"/>
        </w:rPr>
      </w:pPr>
    </w:p>
    <w:p w14:paraId="74187085" w14:textId="77777777" w:rsidR="00D328A5" w:rsidRPr="00B60E0C" w:rsidRDefault="00822B5D" w:rsidP="00FF4FB5">
      <w:pPr>
        <w:spacing w:after="0" w:line="240" w:lineRule="auto"/>
        <w:rPr>
          <w:rFonts w:ascii="Times New Roman" w:hAnsi="Times New Roman" w:cs="Times New Roman"/>
          <w:sz w:val="24"/>
          <w:szCs w:val="24"/>
          <w:u w:val="single"/>
        </w:rPr>
      </w:pPr>
      <w:r w:rsidRPr="00B60E0C">
        <w:rPr>
          <w:rFonts w:ascii="Times New Roman" w:hAnsi="Times New Roman" w:cs="Times New Roman"/>
          <w:sz w:val="24"/>
          <w:szCs w:val="24"/>
          <w:u w:val="single"/>
        </w:rPr>
        <w:t>Deferral</w:t>
      </w:r>
    </w:p>
    <w:p w14:paraId="0E78ECAD" w14:textId="77777777" w:rsidR="00D34BE5" w:rsidRDefault="00D34BE5" w:rsidP="00FB7B35">
      <w:pPr>
        <w:spacing w:after="0" w:line="240" w:lineRule="auto"/>
        <w:rPr>
          <w:rFonts w:ascii="Times New Roman" w:hAnsi="Times New Roman" w:cs="Times New Roman"/>
          <w:sz w:val="24"/>
          <w:szCs w:val="24"/>
        </w:rPr>
      </w:pPr>
    </w:p>
    <w:p w14:paraId="497B866E" w14:textId="244BAF77" w:rsidR="003D75AC" w:rsidRPr="00870766" w:rsidRDefault="00FB7B35" w:rsidP="00FB7B35">
      <w:pPr>
        <w:spacing w:after="0" w:line="240" w:lineRule="auto"/>
        <w:rPr>
          <w:rFonts w:ascii="Times New Roman" w:hAnsi="Times New Roman" w:cs="Times New Roman"/>
        </w:rPr>
      </w:pPr>
      <w:r w:rsidRPr="00B60E0C">
        <w:rPr>
          <w:rFonts w:ascii="Times New Roman" w:hAnsi="Times New Roman" w:cs="Times New Roman"/>
          <w:sz w:val="24"/>
          <w:szCs w:val="24"/>
        </w:rPr>
        <w:t xml:space="preserve">For residential customers, the </w:t>
      </w:r>
      <w:r w:rsidR="00F62C06" w:rsidRPr="00B60E0C">
        <w:rPr>
          <w:rFonts w:ascii="Times New Roman" w:hAnsi="Times New Roman" w:cs="Times New Roman"/>
          <w:sz w:val="24"/>
          <w:szCs w:val="24"/>
        </w:rPr>
        <w:t xml:space="preserve">bill payments </w:t>
      </w:r>
      <w:r w:rsidR="008C7ACD" w:rsidRPr="00B60E0C">
        <w:rPr>
          <w:rFonts w:ascii="Times New Roman" w:hAnsi="Times New Roman" w:cs="Times New Roman"/>
          <w:sz w:val="24"/>
          <w:szCs w:val="24"/>
        </w:rPr>
        <w:t xml:space="preserve">in the last rate year </w:t>
      </w:r>
      <w:r w:rsidRPr="00B60E0C">
        <w:rPr>
          <w:rFonts w:ascii="Times New Roman" w:hAnsi="Times New Roman" w:cs="Times New Roman"/>
          <w:sz w:val="24"/>
          <w:szCs w:val="24"/>
        </w:rPr>
        <w:t>collected</w:t>
      </w:r>
      <w:r w:rsidR="00927127" w:rsidRPr="00B60E0C">
        <w:rPr>
          <w:rFonts w:ascii="Times New Roman" w:hAnsi="Times New Roman" w:cs="Times New Roman"/>
          <w:sz w:val="24"/>
          <w:szCs w:val="24"/>
        </w:rPr>
        <w:t xml:space="preserve"> $</w:t>
      </w:r>
      <w:r w:rsidR="007F79ED">
        <w:rPr>
          <w:rFonts w:ascii="Times New Roman" w:hAnsi="Times New Roman" w:cs="Times New Roman"/>
          <w:sz w:val="24"/>
          <w:szCs w:val="24"/>
        </w:rPr>
        <w:t>7.4 million</w:t>
      </w:r>
      <w:r w:rsidR="00927127" w:rsidRPr="00B60E0C">
        <w:rPr>
          <w:rFonts w:ascii="Times New Roman" w:hAnsi="Times New Roman" w:cs="Times New Roman"/>
          <w:sz w:val="24"/>
          <w:szCs w:val="24"/>
        </w:rPr>
        <w:t xml:space="preserve"> </w:t>
      </w:r>
      <w:r w:rsidR="008C7ACD" w:rsidRPr="00B60E0C">
        <w:rPr>
          <w:rFonts w:ascii="Times New Roman" w:hAnsi="Times New Roman" w:cs="Times New Roman"/>
          <w:sz w:val="24"/>
          <w:szCs w:val="24"/>
        </w:rPr>
        <w:t>less</w:t>
      </w:r>
      <w:r w:rsidR="00927127" w:rsidRPr="00B60E0C">
        <w:rPr>
          <w:rFonts w:ascii="Times New Roman" w:hAnsi="Times New Roman" w:cs="Times New Roman"/>
          <w:sz w:val="24"/>
          <w:szCs w:val="24"/>
        </w:rPr>
        <w:t xml:space="preserve"> than the allowed level of revenue</w:t>
      </w:r>
      <w:r w:rsidR="008C7ACD" w:rsidRPr="00B60E0C">
        <w:rPr>
          <w:rFonts w:ascii="Times New Roman" w:hAnsi="Times New Roman" w:cs="Times New Roman"/>
          <w:sz w:val="24"/>
          <w:szCs w:val="24"/>
        </w:rPr>
        <w:t>,</w:t>
      </w:r>
      <w:r w:rsidR="00927127" w:rsidRPr="00B60E0C">
        <w:rPr>
          <w:rFonts w:ascii="Times New Roman" w:hAnsi="Times New Roman" w:cs="Times New Roman"/>
          <w:sz w:val="24"/>
          <w:szCs w:val="24"/>
        </w:rPr>
        <w:t xml:space="preserve"> which</w:t>
      </w:r>
      <w:r w:rsidRPr="00B60E0C">
        <w:rPr>
          <w:rFonts w:ascii="Times New Roman" w:hAnsi="Times New Roman" w:cs="Times New Roman"/>
          <w:sz w:val="24"/>
          <w:szCs w:val="24"/>
        </w:rPr>
        <w:t xml:space="preserve"> will </w:t>
      </w:r>
      <w:r w:rsidR="00927127" w:rsidRPr="00B60E0C">
        <w:rPr>
          <w:rFonts w:ascii="Times New Roman" w:hAnsi="Times New Roman" w:cs="Times New Roman"/>
          <w:sz w:val="24"/>
          <w:szCs w:val="24"/>
        </w:rPr>
        <w:t xml:space="preserve">be </w:t>
      </w:r>
      <w:r w:rsidR="007A0E43" w:rsidRPr="00B60E0C">
        <w:rPr>
          <w:rFonts w:ascii="Times New Roman" w:hAnsi="Times New Roman" w:cs="Times New Roman"/>
          <w:sz w:val="24"/>
          <w:szCs w:val="24"/>
        </w:rPr>
        <w:t>asse</w:t>
      </w:r>
      <w:r w:rsidR="006167B8">
        <w:rPr>
          <w:rFonts w:ascii="Times New Roman" w:hAnsi="Times New Roman" w:cs="Times New Roman"/>
          <w:sz w:val="24"/>
          <w:szCs w:val="24"/>
        </w:rPr>
        <w:t xml:space="preserve">ssed as a customer surcharge </w:t>
      </w:r>
      <w:r w:rsidR="007A0E43" w:rsidRPr="00B60E0C">
        <w:rPr>
          <w:rFonts w:ascii="Times New Roman" w:hAnsi="Times New Roman" w:cs="Times New Roman"/>
          <w:sz w:val="24"/>
          <w:szCs w:val="24"/>
        </w:rPr>
        <w:t>in the upcoming rate year</w:t>
      </w:r>
      <w:r w:rsidRPr="00B60E0C">
        <w:rPr>
          <w:rFonts w:ascii="Times New Roman" w:hAnsi="Times New Roman" w:cs="Times New Roman"/>
          <w:sz w:val="24"/>
          <w:szCs w:val="24"/>
        </w:rPr>
        <w:t xml:space="preserve">. </w:t>
      </w:r>
      <w:r w:rsidR="00D36B0A" w:rsidRPr="00B60E0C">
        <w:rPr>
          <w:rFonts w:ascii="Times New Roman" w:hAnsi="Times New Roman" w:cs="Times New Roman"/>
          <w:sz w:val="24"/>
          <w:szCs w:val="24"/>
        </w:rPr>
        <w:t>Similarly, n</w:t>
      </w:r>
      <w:r w:rsidRPr="00B60E0C">
        <w:rPr>
          <w:rFonts w:ascii="Times New Roman" w:hAnsi="Times New Roman" w:cs="Times New Roman"/>
          <w:sz w:val="24"/>
          <w:szCs w:val="24"/>
        </w:rPr>
        <w:t xml:space="preserve">on-residential </w:t>
      </w:r>
      <w:r w:rsidR="007F79ED">
        <w:rPr>
          <w:rFonts w:ascii="Times New Roman" w:hAnsi="Times New Roman" w:cs="Times New Roman"/>
          <w:sz w:val="24"/>
          <w:szCs w:val="24"/>
        </w:rPr>
        <w:t xml:space="preserve">and industrial customers </w:t>
      </w:r>
      <w:r w:rsidR="008C7ACD" w:rsidRPr="00B60E0C">
        <w:rPr>
          <w:rFonts w:ascii="Times New Roman" w:hAnsi="Times New Roman" w:cs="Times New Roman"/>
          <w:sz w:val="24"/>
          <w:szCs w:val="24"/>
        </w:rPr>
        <w:t>underpaid</w:t>
      </w:r>
      <w:r w:rsidRPr="00B60E0C">
        <w:rPr>
          <w:rFonts w:ascii="Times New Roman" w:hAnsi="Times New Roman" w:cs="Times New Roman"/>
          <w:sz w:val="24"/>
          <w:szCs w:val="24"/>
        </w:rPr>
        <w:t>,</w:t>
      </w:r>
      <w:r w:rsidR="007F79ED">
        <w:rPr>
          <w:rFonts w:ascii="Times New Roman" w:hAnsi="Times New Roman" w:cs="Times New Roman"/>
          <w:sz w:val="24"/>
          <w:szCs w:val="24"/>
        </w:rPr>
        <w:t xml:space="preserve"> as well</w:t>
      </w:r>
      <w:r w:rsidRPr="00B60E0C">
        <w:rPr>
          <w:rFonts w:ascii="Times New Roman" w:hAnsi="Times New Roman" w:cs="Times New Roman"/>
          <w:sz w:val="24"/>
          <w:szCs w:val="24"/>
        </w:rPr>
        <w:t>.</w:t>
      </w:r>
      <w:r w:rsidR="00FF4FB5" w:rsidRPr="00B60E0C">
        <w:rPr>
          <w:rFonts w:ascii="Times New Roman" w:hAnsi="Times New Roman" w:cs="Times New Roman"/>
          <w:sz w:val="24"/>
          <w:szCs w:val="24"/>
        </w:rPr>
        <w:t xml:space="preserve"> </w:t>
      </w:r>
      <w:r w:rsidR="00927127" w:rsidRPr="00B60E0C">
        <w:rPr>
          <w:rFonts w:ascii="Times New Roman" w:hAnsi="Times New Roman" w:cs="Times New Roman"/>
          <w:sz w:val="24"/>
          <w:szCs w:val="24"/>
        </w:rPr>
        <w:t>T</w:t>
      </w:r>
      <w:r w:rsidR="00927127" w:rsidRPr="00B60E0C">
        <w:rPr>
          <w:rFonts w:ascii="Times New Roman" w:eastAsia="Times New Roman" w:hAnsi="Times New Roman" w:cs="Times New Roman"/>
          <w:sz w:val="24"/>
          <w:szCs w:val="24"/>
        </w:rPr>
        <w:t xml:space="preserve">he primary drivers behind the </w:t>
      </w:r>
      <w:r w:rsidR="008C7ACD" w:rsidRPr="00B60E0C">
        <w:rPr>
          <w:rFonts w:ascii="Times New Roman" w:eastAsia="Times New Roman" w:hAnsi="Times New Roman" w:cs="Times New Roman"/>
          <w:sz w:val="24"/>
          <w:szCs w:val="24"/>
        </w:rPr>
        <w:t>under</w:t>
      </w:r>
      <w:r w:rsidR="007F79ED">
        <w:rPr>
          <w:rFonts w:ascii="Times New Roman" w:eastAsia="Times New Roman" w:hAnsi="Times New Roman" w:cs="Times New Roman"/>
          <w:sz w:val="24"/>
          <w:szCs w:val="24"/>
        </w:rPr>
        <w:t>-</w:t>
      </w:r>
      <w:r w:rsidR="00927127" w:rsidRPr="00B60E0C">
        <w:rPr>
          <w:rFonts w:ascii="Times New Roman" w:eastAsia="Times New Roman" w:hAnsi="Times New Roman" w:cs="Times New Roman"/>
          <w:sz w:val="24"/>
          <w:szCs w:val="24"/>
        </w:rPr>
        <w:t>collections</w:t>
      </w:r>
      <w:r w:rsidR="00927127" w:rsidRPr="00B60E0C">
        <w:rPr>
          <w:rFonts w:ascii="Times New Roman" w:hAnsi="Times New Roman" w:cs="Times New Roman"/>
          <w:sz w:val="24"/>
          <w:szCs w:val="24"/>
        </w:rPr>
        <w:t xml:space="preserve"> were </w:t>
      </w:r>
      <w:r w:rsidR="008C7ACD" w:rsidRPr="00B60E0C">
        <w:rPr>
          <w:rFonts w:ascii="Times New Roman" w:eastAsia="Times New Roman" w:hAnsi="Times New Roman" w:cs="Times New Roman"/>
          <w:sz w:val="24"/>
          <w:szCs w:val="24"/>
        </w:rPr>
        <w:t>warmer</w:t>
      </w:r>
      <w:r w:rsidR="00CD5EC1" w:rsidRPr="00B60E0C">
        <w:rPr>
          <w:rFonts w:ascii="Times New Roman" w:eastAsia="Times New Roman" w:hAnsi="Times New Roman" w:cs="Times New Roman"/>
          <w:sz w:val="24"/>
          <w:szCs w:val="24"/>
        </w:rPr>
        <w:t>-</w:t>
      </w:r>
      <w:r w:rsidR="00927127" w:rsidRPr="00B60E0C">
        <w:rPr>
          <w:rFonts w:ascii="Times New Roman" w:eastAsia="Times New Roman" w:hAnsi="Times New Roman" w:cs="Times New Roman"/>
          <w:sz w:val="24"/>
          <w:szCs w:val="24"/>
        </w:rPr>
        <w:t xml:space="preserve">than-normal temperatures </w:t>
      </w:r>
      <w:r w:rsidR="001617D7">
        <w:rPr>
          <w:rFonts w:ascii="Times New Roman" w:eastAsia="Times New Roman" w:hAnsi="Times New Roman" w:cs="Times New Roman"/>
          <w:sz w:val="24"/>
          <w:szCs w:val="24"/>
        </w:rPr>
        <w:t>in the 2013-2014 winter</w:t>
      </w:r>
      <w:r w:rsidR="00FF4FB5" w:rsidRPr="00B60E0C">
        <w:rPr>
          <w:rFonts w:ascii="Times New Roman" w:eastAsia="Times New Roman" w:hAnsi="Times New Roman" w:cs="Times New Roman"/>
          <w:sz w:val="24"/>
          <w:szCs w:val="24"/>
        </w:rPr>
        <w:t>.</w:t>
      </w:r>
      <w:r w:rsidRPr="00B60E0C">
        <w:rPr>
          <w:rFonts w:ascii="Times New Roman" w:hAnsi="Times New Roman" w:cs="Times New Roman"/>
          <w:sz w:val="24"/>
          <w:szCs w:val="24"/>
        </w:rPr>
        <w:t xml:space="preserve"> </w:t>
      </w:r>
      <w:r w:rsidR="008C7ACD" w:rsidRPr="00B60E0C">
        <w:rPr>
          <w:rFonts w:ascii="Times New Roman" w:hAnsi="Times New Roman" w:cs="Times New Roman"/>
          <w:sz w:val="24"/>
          <w:szCs w:val="24"/>
        </w:rPr>
        <w:t>The total deferral balance</w:t>
      </w:r>
      <w:r w:rsidR="00DF6D1E">
        <w:rPr>
          <w:rFonts w:ascii="Times New Roman" w:hAnsi="Times New Roman" w:cs="Times New Roman"/>
          <w:sz w:val="24"/>
          <w:szCs w:val="24"/>
        </w:rPr>
        <w:t xml:space="preserve"> of all schedules</w:t>
      </w:r>
      <w:r w:rsidR="008C7ACD" w:rsidRPr="00B60E0C">
        <w:rPr>
          <w:rFonts w:ascii="Times New Roman" w:hAnsi="Times New Roman" w:cs="Times New Roman"/>
          <w:sz w:val="24"/>
          <w:szCs w:val="24"/>
        </w:rPr>
        <w:t xml:space="preserve"> </w:t>
      </w:r>
      <w:r w:rsidR="00DF7334" w:rsidRPr="00B60E0C">
        <w:rPr>
          <w:rFonts w:ascii="Times New Roman" w:hAnsi="Times New Roman" w:cs="Times New Roman"/>
          <w:sz w:val="24"/>
          <w:szCs w:val="24"/>
        </w:rPr>
        <w:t xml:space="preserve">as of year end 2014 </w:t>
      </w:r>
      <w:r w:rsidR="008C7ACD" w:rsidRPr="00B60E0C">
        <w:rPr>
          <w:rFonts w:ascii="Times New Roman" w:hAnsi="Times New Roman" w:cs="Times New Roman"/>
          <w:sz w:val="24"/>
          <w:szCs w:val="24"/>
        </w:rPr>
        <w:t>is $</w:t>
      </w:r>
      <w:r w:rsidR="00A377D0" w:rsidRPr="00B60E0C">
        <w:rPr>
          <w:rFonts w:ascii="Times New Roman" w:hAnsi="Times New Roman" w:cs="Times New Roman"/>
          <w:sz w:val="24"/>
          <w:szCs w:val="24"/>
        </w:rPr>
        <w:t>17</w:t>
      </w:r>
      <w:r w:rsidR="00E04042">
        <w:rPr>
          <w:rFonts w:ascii="Times New Roman" w:hAnsi="Times New Roman" w:cs="Times New Roman"/>
          <w:sz w:val="24"/>
          <w:szCs w:val="24"/>
        </w:rPr>
        <w:t xml:space="preserve"> million</w:t>
      </w:r>
      <w:r w:rsidR="008C7ACD" w:rsidRPr="00B60E0C">
        <w:rPr>
          <w:rFonts w:ascii="Times New Roman" w:hAnsi="Times New Roman" w:cs="Times New Roman"/>
          <w:sz w:val="24"/>
          <w:szCs w:val="24"/>
        </w:rPr>
        <w:t>.</w:t>
      </w:r>
      <w:r w:rsidR="00870766" w:rsidRPr="00870766">
        <w:rPr>
          <w:rFonts w:ascii="Times New Roman" w:hAnsi="Times New Roman" w:cs="Times New Roman"/>
          <w:sz w:val="24"/>
          <w:szCs w:val="24"/>
        </w:rPr>
        <w:t xml:space="preserve"> </w:t>
      </w:r>
      <w:r w:rsidR="00B0127F">
        <w:rPr>
          <w:rFonts w:ascii="Times New Roman" w:hAnsi="Times New Roman" w:cs="Times New Roman"/>
          <w:sz w:val="24"/>
          <w:szCs w:val="24"/>
        </w:rPr>
        <w:t>Table</w:t>
      </w:r>
      <w:r w:rsidR="00870766">
        <w:rPr>
          <w:rFonts w:ascii="Times New Roman" w:hAnsi="Times New Roman" w:cs="Times New Roman"/>
          <w:sz w:val="24"/>
          <w:szCs w:val="24"/>
        </w:rPr>
        <w:t xml:space="preserve"> 1 shows the detailed components of deferral balances for each customer group. </w:t>
      </w:r>
    </w:p>
    <w:p w14:paraId="5B877F79" w14:textId="77777777" w:rsidR="006B0431" w:rsidRDefault="006B0431" w:rsidP="00FB7B35">
      <w:pPr>
        <w:spacing w:after="0" w:line="240" w:lineRule="auto"/>
        <w:rPr>
          <w:rFonts w:ascii="Times New Roman" w:hAnsi="Times New Roman" w:cs="Times New Roman"/>
        </w:rPr>
      </w:pPr>
    </w:p>
    <w:p w14:paraId="24CE8A0A" w14:textId="4AE23519" w:rsidR="00B0127F" w:rsidRPr="001A7F76" w:rsidRDefault="00B0127F" w:rsidP="00B0127F">
      <w:pPr>
        <w:spacing w:after="0" w:line="240" w:lineRule="auto"/>
        <w:jc w:val="center"/>
        <w:rPr>
          <w:rFonts w:ascii="Times New Roman" w:hAnsi="Times New Roman" w:cs="Times New Roman"/>
          <w:color w:val="FF0000"/>
          <w:sz w:val="24"/>
          <w:szCs w:val="24"/>
        </w:rPr>
      </w:pPr>
      <w:r>
        <w:rPr>
          <w:rFonts w:ascii="Times New Roman" w:hAnsi="Times New Roman" w:cs="Times New Roman"/>
          <w:b/>
          <w:sz w:val="24"/>
          <w:szCs w:val="24"/>
        </w:rPr>
        <w:t>Table 1. Decoupling Deferral Balances As of Year End 2014 (Electric)</w:t>
      </w:r>
    </w:p>
    <w:p w14:paraId="229254BC" w14:textId="77777777" w:rsidR="00B0127F" w:rsidRPr="001A7F76" w:rsidRDefault="00B0127F" w:rsidP="007C0117">
      <w:pPr>
        <w:tabs>
          <w:tab w:val="decimal" w:pos="8730"/>
        </w:tabs>
        <w:spacing w:after="0" w:line="240" w:lineRule="auto"/>
        <w:jc w:val="center"/>
        <w:rPr>
          <w:rFonts w:ascii="Times New Roman" w:hAnsi="Times New Roman" w:cs="Times New Roman"/>
          <w:color w:val="FF0000"/>
          <w:sz w:val="24"/>
          <w:szCs w:val="24"/>
        </w:rPr>
      </w:pPr>
    </w:p>
    <w:tbl>
      <w:tblPr>
        <w:tblStyle w:val="TableGrid"/>
        <w:tblW w:w="0" w:type="auto"/>
        <w:tblLayout w:type="fixed"/>
        <w:tblLook w:val="04A0" w:firstRow="1" w:lastRow="0" w:firstColumn="1" w:lastColumn="0" w:noHBand="0" w:noVBand="1"/>
      </w:tblPr>
      <w:tblGrid>
        <w:gridCol w:w="1705"/>
        <w:gridCol w:w="1530"/>
        <w:gridCol w:w="1440"/>
        <w:gridCol w:w="1530"/>
        <w:gridCol w:w="1350"/>
        <w:gridCol w:w="1440"/>
      </w:tblGrid>
      <w:tr w:rsidR="0029787A" w:rsidRPr="00C03735" w14:paraId="24CD6E0C" w14:textId="56D9F2D1" w:rsidTr="005E2D98">
        <w:tc>
          <w:tcPr>
            <w:tcW w:w="1705" w:type="dxa"/>
            <w:vAlign w:val="bottom"/>
          </w:tcPr>
          <w:p w14:paraId="62C9857D" w14:textId="77777777" w:rsidR="0029787A" w:rsidRPr="00C03735" w:rsidRDefault="0029787A" w:rsidP="0029787A">
            <w:pPr>
              <w:jc w:val="center"/>
              <w:rPr>
                <w:rFonts w:ascii="Times New Roman" w:hAnsi="Times New Roman" w:cs="Times New Roman"/>
                <w:b/>
                <w:sz w:val="24"/>
                <w:szCs w:val="24"/>
              </w:rPr>
            </w:pPr>
          </w:p>
        </w:tc>
        <w:tc>
          <w:tcPr>
            <w:tcW w:w="1530" w:type="dxa"/>
            <w:vAlign w:val="bottom"/>
          </w:tcPr>
          <w:p w14:paraId="6812FA67"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Residential</w:t>
            </w:r>
          </w:p>
        </w:tc>
        <w:tc>
          <w:tcPr>
            <w:tcW w:w="1440" w:type="dxa"/>
            <w:vAlign w:val="bottom"/>
          </w:tcPr>
          <w:p w14:paraId="3B1D3422"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Non-Residential</w:t>
            </w:r>
          </w:p>
        </w:tc>
        <w:tc>
          <w:tcPr>
            <w:tcW w:w="1530" w:type="dxa"/>
            <w:vAlign w:val="bottom"/>
          </w:tcPr>
          <w:p w14:paraId="6A65D9B6"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Schedules</w:t>
            </w:r>
          </w:p>
          <w:p w14:paraId="605E0165"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12 &amp; 26</w:t>
            </w:r>
          </w:p>
        </w:tc>
        <w:tc>
          <w:tcPr>
            <w:tcW w:w="1350" w:type="dxa"/>
            <w:vAlign w:val="bottom"/>
          </w:tcPr>
          <w:p w14:paraId="11685736"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Schedules</w:t>
            </w:r>
          </w:p>
          <w:p w14:paraId="6AE66C16"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10 &amp; 31</w:t>
            </w:r>
          </w:p>
        </w:tc>
        <w:tc>
          <w:tcPr>
            <w:tcW w:w="1440" w:type="dxa"/>
            <w:vAlign w:val="bottom"/>
          </w:tcPr>
          <w:p w14:paraId="024527C0" w14:textId="7070C72C" w:rsidR="0029787A" w:rsidRPr="00C03735" w:rsidRDefault="0029787A" w:rsidP="0029787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29787A" w:rsidRPr="00C03735" w14:paraId="28A32571" w14:textId="3212B2D7" w:rsidTr="005E2D98">
        <w:trPr>
          <w:trHeight w:val="341"/>
        </w:trPr>
        <w:tc>
          <w:tcPr>
            <w:tcW w:w="1705" w:type="dxa"/>
            <w:vAlign w:val="bottom"/>
          </w:tcPr>
          <w:p w14:paraId="7803851E" w14:textId="77777777" w:rsidR="0029787A" w:rsidRPr="00C03735" w:rsidRDefault="0029787A" w:rsidP="0029787A">
            <w:pPr>
              <w:rPr>
                <w:rFonts w:ascii="Times New Roman" w:hAnsi="Times New Roman" w:cs="Times New Roman"/>
                <w:sz w:val="24"/>
                <w:szCs w:val="24"/>
              </w:rPr>
            </w:pPr>
            <w:r w:rsidRPr="00C03735">
              <w:rPr>
                <w:rFonts w:ascii="Times New Roman" w:hAnsi="Times New Roman" w:cs="Times New Roman"/>
                <w:sz w:val="24"/>
                <w:szCs w:val="24"/>
              </w:rPr>
              <w:t>2013 Deferral</w:t>
            </w:r>
          </w:p>
        </w:tc>
        <w:tc>
          <w:tcPr>
            <w:tcW w:w="1530" w:type="dxa"/>
            <w:vAlign w:val="bottom"/>
          </w:tcPr>
          <w:p w14:paraId="3A16CA08" w14:textId="3195CC56" w:rsidR="0029787A" w:rsidRPr="00C03735" w:rsidRDefault="0029787A" w:rsidP="005E2D98">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($544,087)</w:t>
            </w:r>
          </w:p>
        </w:tc>
        <w:tc>
          <w:tcPr>
            <w:tcW w:w="1440" w:type="dxa"/>
            <w:vAlign w:val="bottom"/>
          </w:tcPr>
          <w:p w14:paraId="175171BF" w14:textId="5ACCC1B4" w:rsidR="0029787A" w:rsidRPr="00C03735" w:rsidRDefault="0029787A" w:rsidP="007C0117">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($18,594)</w:t>
            </w:r>
          </w:p>
        </w:tc>
        <w:tc>
          <w:tcPr>
            <w:tcW w:w="1530" w:type="dxa"/>
            <w:vAlign w:val="bottom"/>
          </w:tcPr>
          <w:p w14:paraId="2A8561E3" w14:textId="7C2FF4A6" w:rsidR="0029787A" w:rsidRPr="00C03735" w:rsidRDefault="0029787A" w:rsidP="007C0117">
            <w:pPr>
              <w:tabs>
                <w:tab w:val="decimal" w:pos="1163"/>
              </w:tabs>
              <w:rPr>
                <w:rFonts w:ascii="Times New Roman" w:hAnsi="Times New Roman" w:cs="Times New Roman"/>
                <w:sz w:val="24"/>
                <w:szCs w:val="24"/>
              </w:rPr>
            </w:pPr>
            <w:r w:rsidRPr="00C03735">
              <w:rPr>
                <w:rFonts w:ascii="Times New Roman" w:hAnsi="Times New Roman" w:cs="Times New Roman"/>
                <w:sz w:val="24"/>
                <w:szCs w:val="24"/>
              </w:rPr>
              <w:t>($2,489)</w:t>
            </w:r>
          </w:p>
        </w:tc>
        <w:tc>
          <w:tcPr>
            <w:tcW w:w="1350" w:type="dxa"/>
            <w:vAlign w:val="bottom"/>
          </w:tcPr>
          <w:p w14:paraId="5A090F77" w14:textId="56C97179" w:rsidR="0029787A" w:rsidRPr="00C03735" w:rsidRDefault="0029787A" w:rsidP="007C0117">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($7,166)</w:t>
            </w:r>
          </w:p>
        </w:tc>
        <w:tc>
          <w:tcPr>
            <w:tcW w:w="1440" w:type="dxa"/>
            <w:vAlign w:val="bottom"/>
          </w:tcPr>
          <w:p w14:paraId="12639D87" w14:textId="5FA726FB" w:rsidR="0029787A" w:rsidRPr="00C03735" w:rsidRDefault="00E04042" w:rsidP="007C0117">
            <w:pPr>
              <w:tabs>
                <w:tab w:val="decimal" w:pos="1157"/>
              </w:tabs>
              <w:rPr>
                <w:rFonts w:ascii="Times New Roman" w:hAnsi="Times New Roman" w:cs="Times New Roman"/>
                <w:sz w:val="24"/>
                <w:szCs w:val="24"/>
              </w:rPr>
            </w:pPr>
            <w:r>
              <w:rPr>
                <w:rFonts w:ascii="Times New Roman" w:hAnsi="Times New Roman" w:cs="Times New Roman"/>
                <w:sz w:val="24"/>
                <w:szCs w:val="24"/>
              </w:rPr>
              <w:t>($572,336)</w:t>
            </w:r>
          </w:p>
        </w:tc>
      </w:tr>
      <w:tr w:rsidR="0029787A" w:rsidRPr="00C03735" w14:paraId="5D6FC2F4" w14:textId="129F1019" w:rsidTr="005E2D98">
        <w:trPr>
          <w:trHeight w:val="350"/>
        </w:trPr>
        <w:tc>
          <w:tcPr>
            <w:tcW w:w="1705" w:type="dxa"/>
            <w:vAlign w:val="bottom"/>
          </w:tcPr>
          <w:p w14:paraId="15E03865" w14:textId="77777777" w:rsidR="0029787A" w:rsidRPr="00C03735" w:rsidRDefault="0029787A" w:rsidP="0029787A">
            <w:pPr>
              <w:rPr>
                <w:rFonts w:ascii="Times New Roman" w:hAnsi="Times New Roman" w:cs="Times New Roman"/>
                <w:sz w:val="24"/>
                <w:szCs w:val="24"/>
              </w:rPr>
            </w:pPr>
            <w:r w:rsidRPr="00C03735">
              <w:rPr>
                <w:rFonts w:ascii="Times New Roman" w:hAnsi="Times New Roman" w:cs="Times New Roman"/>
                <w:sz w:val="24"/>
                <w:szCs w:val="24"/>
              </w:rPr>
              <w:lastRenderedPageBreak/>
              <w:t>2014 Deferral</w:t>
            </w:r>
          </w:p>
        </w:tc>
        <w:tc>
          <w:tcPr>
            <w:tcW w:w="1530" w:type="dxa"/>
            <w:vAlign w:val="bottom"/>
          </w:tcPr>
          <w:p w14:paraId="55E03416" w14:textId="091321D3" w:rsidR="0029787A" w:rsidRPr="00C03735" w:rsidRDefault="0029787A" w:rsidP="005E2D98">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7,989,706</w:t>
            </w:r>
          </w:p>
        </w:tc>
        <w:tc>
          <w:tcPr>
            <w:tcW w:w="1440" w:type="dxa"/>
            <w:vAlign w:val="bottom"/>
          </w:tcPr>
          <w:p w14:paraId="153B0F14" w14:textId="3E056096" w:rsidR="0029787A" w:rsidRPr="00C03735" w:rsidRDefault="0029787A" w:rsidP="007C0117">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6,421,203</w:t>
            </w:r>
          </w:p>
        </w:tc>
        <w:tc>
          <w:tcPr>
            <w:tcW w:w="1530" w:type="dxa"/>
            <w:vAlign w:val="bottom"/>
          </w:tcPr>
          <w:p w14:paraId="15BE3900" w14:textId="6F573886" w:rsidR="0029787A" w:rsidRPr="00C03735" w:rsidRDefault="0029787A" w:rsidP="007C0117">
            <w:pPr>
              <w:tabs>
                <w:tab w:val="decimal" w:pos="1163"/>
              </w:tabs>
              <w:rPr>
                <w:rFonts w:ascii="Times New Roman" w:hAnsi="Times New Roman" w:cs="Times New Roman"/>
                <w:sz w:val="24"/>
                <w:szCs w:val="24"/>
              </w:rPr>
            </w:pPr>
            <w:r w:rsidRPr="00C03735">
              <w:rPr>
                <w:rFonts w:ascii="Times New Roman" w:hAnsi="Times New Roman" w:cs="Times New Roman"/>
                <w:sz w:val="24"/>
                <w:szCs w:val="24"/>
              </w:rPr>
              <w:t>1,245,744</w:t>
            </w:r>
          </w:p>
        </w:tc>
        <w:tc>
          <w:tcPr>
            <w:tcW w:w="1350" w:type="dxa"/>
            <w:vAlign w:val="bottom"/>
          </w:tcPr>
          <w:p w14:paraId="3D9D7A76" w14:textId="00206B50" w:rsidR="0029787A" w:rsidRPr="00C03735" w:rsidRDefault="0029787A" w:rsidP="007C0117">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1,856,220</w:t>
            </w:r>
          </w:p>
        </w:tc>
        <w:tc>
          <w:tcPr>
            <w:tcW w:w="1440" w:type="dxa"/>
            <w:vAlign w:val="bottom"/>
          </w:tcPr>
          <w:p w14:paraId="7B395091" w14:textId="2A8F4C5E" w:rsidR="0029787A" w:rsidRPr="00C03735" w:rsidRDefault="00E04042" w:rsidP="007C0117">
            <w:pPr>
              <w:tabs>
                <w:tab w:val="decimal" w:pos="1157"/>
              </w:tabs>
              <w:rPr>
                <w:rFonts w:ascii="Times New Roman" w:hAnsi="Times New Roman" w:cs="Times New Roman"/>
                <w:sz w:val="24"/>
                <w:szCs w:val="24"/>
              </w:rPr>
            </w:pPr>
            <w:r>
              <w:rPr>
                <w:rFonts w:ascii="Times New Roman" w:hAnsi="Times New Roman" w:cs="Times New Roman"/>
                <w:sz w:val="24"/>
                <w:szCs w:val="24"/>
              </w:rPr>
              <w:t>17,512,873</w:t>
            </w:r>
          </w:p>
        </w:tc>
      </w:tr>
      <w:tr w:rsidR="0029787A" w:rsidRPr="00C03735" w14:paraId="0F0FECDA" w14:textId="60D4C16F" w:rsidTr="005E2D98">
        <w:trPr>
          <w:trHeight w:val="269"/>
        </w:trPr>
        <w:tc>
          <w:tcPr>
            <w:tcW w:w="1705" w:type="dxa"/>
            <w:tcBorders>
              <w:bottom w:val="single" w:sz="12" w:space="0" w:color="auto"/>
            </w:tcBorders>
            <w:vAlign w:val="bottom"/>
          </w:tcPr>
          <w:p w14:paraId="2396EC6D" w14:textId="77777777" w:rsidR="0029787A" w:rsidRPr="00C03735" w:rsidRDefault="0029787A" w:rsidP="0029787A">
            <w:pPr>
              <w:rPr>
                <w:rFonts w:ascii="Times New Roman" w:hAnsi="Times New Roman" w:cs="Times New Roman"/>
                <w:sz w:val="24"/>
                <w:szCs w:val="24"/>
              </w:rPr>
            </w:pPr>
            <w:r>
              <w:rPr>
                <w:rFonts w:ascii="Times New Roman" w:hAnsi="Times New Roman" w:cs="Times New Roman"/>
                <w:sz w:val="24"/>
                <w:szCs w:val="24"/>
              </w:rPr>
              <w:t>Interest</w:t>
            </w:r>
          </w:p>
        </w:tc>
        <w:tc>
          <w:tcPr>
            <w:tcW w:w="1530" w:type="dxa"/>
            <w:tcBorders>
              <w:bottom w:val="single" w:sz="12" w:space="0" w:color="auto"/>
            </w:tcBorders>
            <w:vAlign w:val="bottom"/>
          </w:tcPr>
          <w:p w14:paraId="6FF8C6A5" w14:textId="76C18EA3" w:rsidR="0029787A" w:rsidRPr="00C03735" w:rsidRDefault="0029787A" w:rsidP="005E2D98">
            <w:pPr>
              <w:tabs>
                <w:tab w:val="decimal" w:pos="1062"/>
              </w:tabs>
              <w:rPr>
                <w:rFonts w:ascii="Times New Roman" w:hAnsi="Times New Roman" w:cs="Times New Roman"/>
                <w:sz w:val="24"/>
                <w:szCs w:val="24"/>
              </w:rPr>
            </w:pPr>
            <w:r w:rsidRPr="00E04042">
              <w:rPr>
                <w:rFonts w:ascii="Times New Roman" w:hAnsi="Times New Roman" w:cs="Times New Roman"/>
                <w:sz w:val="24"/>
                <w:szCs w:val="24"/>
              </w:rPr>
              <w:t>(47,889)</w:t>
            </w:r>
          </w:p>
        </w:tc>
        <w:tc>
          <w:tcPr>
            <w:tcW w:w="1440" w:type="dxa"/>
            <w:tcBorders>
              <w:bottom w:val="single" w:sz="12" w:space="0" w:color="auto"/>
            </w:tcBorders>
            <w:vAlign w:val="bottom"/>
          </w:tcPr>
          <w:p w14:paraId="35E998DC" w14:textId="7A89F45B" w:rsidR="0029787A" w:rsidRPr="00C03735" w:rsidRDefault="0029787A" w:rsidP="007C0117">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112,834</w:t>
            </w:r>
          </w:p>
        </w:tc>
        <w:tc>
          <w:tcPr>
            <w:tcW w:w="1530" w:type="dxa"/>
            <w:tcBorders>
              <w:bottom w:val="single" w:sz="12" w:space="0" w:color="auto"/>
            </w:tcBorders>
            <w:vAlign w:val="bottom"/>
          </w:tcPr>
          <w:p w14:paraId="5D99FF92" w14:textId="197039ED" w:rsidR="0029787A" w:rsidRPr="00C03735" w:rsidRDefault="0029787A" w:rsidP="007C0117">
            <w:pPr>
              <w:tabs>
                <w:tab w:val="decimal" w:pos="1163"/>
              </w:tabs>
              <w:rPr>
                <w:rFonts w:ascii="Times New Roman" w:hAnsi="Times New Roman" w:cs="Times New Roman"/>
                <w:sz w:val="24"/>
                <w:szCs w:val="24"/>
              </w:rPr>
            </w:pPr>
            <w:r w:rsidRPr="00C03735">
              <w:rPr>
                <w:rFonts w:ascii="Times New Roman" w:hAnsi="Times New Roman" w:cs="Times New Roman"/>
                <w:sz w:val="24"/>
                <w:szCs w:val="24"/>
              </w:rPr>
              <w:t>13,777</w:t>
            </w:r>
          </w:p>
        </w:tc>
        <w:tc>
          <w:tcPr>
            <w:tcW w:w="1350" w:type="dxa"/>
            <w:tcBorders>
              <w:bottom w:val="single" w:sz="12" w:space="0" w:color="auto"/>
            </w:tcBorders>
            <w:vAlign w:val="bottom"/>
          </w:tcPr>
          <w:p w14:paraId="77EE6119" w14:textId="016AFE1C" w:rsidR="0029787A" w:rsidRPr="00C03735" w:rsidRDefault="0029787A" w:rsidP="007C0117">
            <w:pPr>
              <w:tabs>
                <w:tab w:val="decimal" w:pos="1062"/>
              </w:tabs>
              <w:rPr>
                <w:rFonts w:ascii="Times New Roman" w:hAnsi="Times New Roman" w:cs="Times New Roman"/>
                <w:sz w:val="24"/>
                <w:szCs w:val="24"/>
              </w:rPr>
            </w:pPr>
            <w:r w:rsidRPr="00C03735">
              <w:rPr>
                <w:rFonts w:ascii="Times New Roman" w:hAnsi="Times New Roman" w:cs="Times New Roman"/>
                <w:sz w:val="24"/>
                <w:szCs w:val="24"/>
              </w:rPr>
              <w:t>20,522</w:t>
            </w:r>
          </w:p>
        </w:tc>
        <w:tc>
          <w:tcPr>
            <w:tcW w:w="1440" w:type="dxa"/>
            <w:tcBorders>
              <w:bottom w:val="single" w:sz="12" w:space="0" w:color="auto"/>
            </w:tcBorders>
            <w:vAlign w:val="bottom"/>
          </w:tcPr>
          <w:p w14:paraId="5D0DBBC7" w14:textId="56717C2D" w:rsidR="0029787A" w:rsidRPr="00C03735" w:rsidRDefault="00E04042" w:rsidP="007C0117">
            <w:pPr>
              <w:tabs>
                <w:tab w:val="decimal" w:pos="1157"/>
              </w:tabs>
              <w:rPr>
                <w:rFonts w:ascii="Times New Roman" w:hAnsi="Times New Roman" w:cs="Times New Roman"/>
                <w:sz w:val="24"/>
                <w:szCs w:val="24"/>
              </w:rPr>
            </w:pPr>
            <w:r>
              <w:rPr>
                <w:rFonts w:ascii="Times New Roman" w:hAnsi="Times New Roman" w:cs="Times New Roman"/>
                <w:sz w:val="24"/>
                <w:szCs w:val="24"/>
              </w:rPr>
              <w:t>99,244</w:t>
            </w:r>
          </w:p>
        </w:tc>
      </w:tr>
      <w:tr w:rsidR="0029787A" w:rsidRPr="00C03735" w14:paraId="1CFE9E77" w14:textId="72E9B62E" w:rsidTr="005E2D98">
        <w:trPr>
          <w:trHeight w:val="312"/>
        </w:trPr>
        <w:tc>
          <w:tcPr>
            <w:tcW w:w="1705" w:type="dxa"/>
            <w:tcBorders>
              <w:top w:val="single" w:sz="12" w:space="0" w:color="auto"/>
              <w:bottom w:val="single" w:sz="4" w:space="0" w:color="auto"/>
            </w:tcBorders>
            <w:vAlign w:val="bottom"/>
          </w:tcPr>
          <w:p w14:paraId="70FE28E8" w14:textId="77777777" w:rsidR="0029787A" w:rsidRPr="00C03735" w:rsidRDefault="0029787A" w:rsidP="0029787A">
            <w:pPr>
              <w:jc w:val="center"/>
              <w:rPr>
                <w:rFonts w:ascii="Times New Roman" w:hAnsi="Times New Roman" w:cs="Times New Roman"/>
                <w:b/>
                <w:sz w:val="24"/>
                <w:szCs w:val="24"/>
              </w:rPr>
            </w:pPr>
            <w:r w:rsidRPr="00C03735">
              <w:rPr>
                <w:rFonts w:ascii="Times New Roman" w:hAnsi="Times New Roman" w:cs="Times New Roman"/>
                <w:b/>
                <w:sz w:val="24"/>
                <w:szCs w:val="24"/>
              </w:rPr>
              <w:t>Total</w:t>
            </w:r>
          </w:p>
        </w:tc>
        <w:tc>
          <w:tcPr>
            <w:tcW w:w="1530" w:type="dxa"/>
            <w:tcBorders>
              <w:top w:val="single" w:sz="12" w:space="0" w:color="auto"/>
              <w:bottom w:val="single" w:sz="4" w:space="0" w:color="auto"/>
            </w:tcBorders>
            <w:vAlign w:val="bottom"/>
          </w:tcPr>
          <w:p w14:paraId="61743195" w14:textId="00A336D1" w:rsidR="0029787A" w:rsidRPr="00C03735" w:rsidRDefault="0029787A" w:rsidP="005E2D98">
            <w:pPr>
              <w:tabs>
                <w:tab w:val="decimal" w:pos="1062"/>
              </w:tabs>
              <w:rPr>
                <w:rFonts w:ascii="Times New Roman" w:hAnsi="Times New Roman" w:cs="Times New Roman"/>
                <w:b/>
                <w:sz w:val="24"/>
                <w:szCs w:val="24"/>
              </w:rPr>
            </w:pPr>
            <w:r w:rsidRPr="00C03735">
              <w:rPr>
                <w:rFonts w:ascii="Times New Roman" w:hAnsi="Times New Roman" w:cs="Times New Roman"/>
                <w:b/>
                <w:sz w:val="24"/>
                <w:szCs w:val="24"/>
              </w:rPr>
              <w:fldChar w:fldCharType="begin"/>
            </w:r>
            <w:r w:rsidRPr="00C03735">
              <w:rPr>
                <w:rFonts w:ascii="Times New Roman" w:hAnsi="Times New Roman" w:cs="Times New Roman"/>
                <w:b/>
                <w:sz w:val="24"/>
                <w:szCs w:val="24"/>
              </w:rPr>
              <w:instrText xml:space="preserve"> =SUM(ABOVE) \# "$#,##0;($#,##0)" </w:instrText>
            </w:r>
            <w:r w:rsidRPr="00C03735">
              <w:rPr>
                <w:rFonts w:ascii="Times New Roman" w:hAnsi="Times New Roman" w:cs="Times New Roman"/>
                <w:b/>
                <w:sz w:val="24"/>
                <w:szCs w:val="24"/>
              </w:rPr>
              <w:fldChar w:fldCharType="separate"/>
            </w:r>
            <w:r w:rsidRPr="00C03735">
              <w:rPr>
                <w:rFonts w:ascii="Times New Roman" w:hAnsi="Times New Roman" w:cs="Times New Roman"/>
                <w:b/>
                <w:noProof/>
                <w:sz w:val="24"/>
                <w:szCs w:val="24"/>
              </w:rPr>
              <w:t>$7,397,730</w:t>
            </w:r>
            <w:r w:rsidRPr="00C03735">
              <w:rPr>
                <w:rFonts w:ascii="Times New Roman" w:hAnsi="Times New Roman" w:cs="Times New Roman"/>
                <w:b/>
                <w:sz w:val="24"/>
                <w:szCs w:val="24"/>
              </w:rPr>
              <w:fldChar w:fldCharType="end"/>
            </w:r>
          </w:p>
        </w:tc>
        <w:tc>
          <w:tcPr>
            <w:tcW w:w="1440" w:type="dxa"/>
            <w:tcBorders>
              <w:top w:val="single" w:sz="12" w:space="0" w:color="auto"/>
              <w:bottom w:val="single" w:sz="4" w:space="0" w:color="auto"/>
            </w:tcBorders>
            <w:vAlign w:val="bottom"/>
          </w:tcPr>
          <w:p w14:paraId="419F1126" w14:textId="107A9DB6" w:rsidR="0029787A" w:rsidRPr="00C03735" w:rsidRDefault="0029787A" w:rsidP="007C0117">
            <w:pPr>
              <w:tabs>
                <w:tab w:val="decimal" w:pos="1062"/>
              </w:tabs>
              <w:rPr>
                <w:rFonts w:ascii="Times New Roman" w:hAnsi="Times New Roman" w:cs="Times New Roman"/>
                <w:b/>
                <w:sz w:val="24"/>
                <w:szCs w:val="24"/>
              </w:rPr>
            </w:pPr>
            <w:r w:rsidRPr="00C03735">
              <w:rPr>
                <w:rFonts w:ascii="Times New Roman" w:hAnsi="Times New Roman" w:cs="Times New Roman"/>
                <w:b/>
                <w:sz w:val="24"/>
                <w:szCs w:val="24"/>
              </w:rPr>
              <w:t>$6,515,443</w:t>
            </w:r>
          </w:p>
        </w:tc>
        <w:tc>
          <w:tcPr>
            <w:tcW w:w="1530" w:type="dxa"/>
            <w:tcBorders>
              <w:top w:val="single" w:sz="12" w:space="0" w:color="auto"/>
              <w:bottom w:val="single" w:sz="4" w:space="0" w:color="auto"/>
            </w:tcBorders>
            <w:vAlign w:val="bottom"/>
          </w:tcPr>
          <w:p w14:paraId="0E61A77D" w14:textId="4B010D6B" w:rsidR="0029787A" w:rsidRPr="00C03735" w:rsidRDefault="0029787A" w:rsidP="007C0117">
            <w:pPr>
              <w:tabs>
                <w:tab w:val="decimal" w:pos="1163"/>
              </w:tabs>
              <w:rPr>
                <w:rFonts w:ascii="Times New Roman" w:hAnsi="Times New Roman" w:cs="Times New Roman"/>
                <w:b/>
                <w:sz w:val="24"/>
                <w:szCs w:val="24"/>
              </w:rPr>
            </w:pPr>
            <w:r w:rsidRPr="00C03735">
              <w:rPr>
                <w:rFonts w:ascii="Times New Roman" w:hAnsi="Times New Roman" w:cs="Times New Roman"/>
                <w:b/>
                <w:sz w:val="24"/>
                <w:szCs w:val="24"/>
              </w:rPr>
              <w:t>$1,257,032</w:t>
            </w:r>
          </w:p>
        </w:tc>
        <w:tc>
          <w:tcPr>
            <w:tcW w:w="1350" w:type="dxa"/>
            <w:tcBorders>
              <w:top w:val="single" w:sz="12" w:space="0" w:color="auto"/>
              <w:bottom w:val="single" w:sz="4" w:space="0" w:color="auto"/>
            </w:tcBorders>
            <w:vAlign w:val="bottom"/>
          </w:tcPr>
          <w:p w14:paraId="5363213A" w14:textId="026C9934" w:rsidR="0029787A" w:rsidRPr="00C03735" w:rsidRDefault="0029787A" w:rsidP="007C0117">
            <w:pPr>
              <w:tabs>
                <w:tab w:val="decimal" w:pos="1062"/>
              </w:tabs>
              <w:rPr>
                <w:rFonts w:ascii="Times New Roman" w:hAnsi="Times New Roman" w:cs="Times New Roman"/>
                <w:b/>
                <w:sz w:val="24"/>
                <w:szCs w:val="24"/>
              </w:rPr>
            </w:pPr>
            <w:r w:rsidRPr="00C03735">
              <w:rPr>
                <w:rFonts w:ascii="Times New Roman" w:hAnsi="Times New Roman" w:cs="Times New Roman"/>
                <w:b/>
                <w:sz w:val="24"/>
                <w:szCs w:val="24"/>
              </w:rPr>
              <w:t>$1,869,576</w:t>
            </w:r>
          </w:p>
        </w:tc>
        <w:tc>
          <w:tcPr>
            <w:tcW w:w="1440" w:type="dxa"/>
            <w:tcBorders>
              <w:top w:val="single" w:sz="12" w:space="0" w:color="auto"/>
              <w:bottom w:val="single" w:sz="4" w:space="0" w:color="auto"/>
            </w:tcBorders>
            <w:vAlign w:val="bottom"/>
          </w:tcPr>
          <w:p w14:paraId="0AFEEA57" w14:textId="5AB5B5DE" w:rsidR="0029787A" w:rsidRPr="00C03735" w:rsidRDefault="00E04042" w:rsidP="007C0117">
            <w:pPr>
              <w:tabs>
                <w:tab w:val="decimal" w:pos="1157"/>
              </w:tabs>
              <w:rPr>
                <w:rFonts w:ascii="Times New Roman" w:hAnsi="Times New Roman" w:cs="Times New Roman"/>
                <w:b/>
                <w:sz w:val="24"/>
                <w:szCs w:val="24"/>
              </w:rPr>
            </w:pPr>
            <w:r>
              <w:rPr>
                <w:rFonts w:ascii="Times New Roman" w:hAnsi="Times New Roman" w:cs="Times New Roman"/>
                <w:b/>
                <w:sz w:val="24"/>
                <w:szCs w:val="24"/>
              </w:rPr>
              <w:t>$17,039,781</w:t>
            </w:r>
          </w:p>
        </w:tc>
      </w:tr>
    </w:tbl>
    <w:p w14:paraId="4AA14CBA" w14:textId="77777777" w:rsidR="00B0127F" w:rsidRPr="00B60E0C" w:rsidRDefault="00B0127F" w:rsidP="00FB7B35">
      <w:pPr>
        <w:spacing w:after="0" w:line="240" w:lineRule="auto"/>
        <w:rPr>
          <w:rFonts w:ascii="Times New Roman" w:hAnsi="Times New Roman" w:cs="Times New Roman"/>
        </w:rPr>
      </w:pPr>
    </w:p>
    <w:p w14:paraId="74187088" w14:textId="77777777" w:rsidR="00822B5D" w:rsidRPr="00B60E0C" w:rsidRDefault="00822B5D" w:rsidP="0006067B">
      <w:pPr>
        <w:spacing w:after="0" w:line="240" w:lineRule="auto"/>
        <w:rPr>
          <w:rFonts w:ascii="Times New Roman" w:hAnsi="Times New Roman" w:cs="Times New Roman"/>
          <w:sz w:val="24"/>
          <w:szCs w:val="24"/>
          <w:u w:val="single"/>
        </w:rPr>
      </w:pPr>
      <w:r w:rsidRPr="00B60E0C">
        <w:rPr>
          <w:rFonts w:ascii="Times New Roman" w:hAnsi="Times New Roman" w:cs="Times New Roman"/>
          <w:sz w:val="24"/>
          <w:szCs w:val="24"/>
          <w:u w:val="single"/>
        </w:rPr>
        <w:t>K-factor</w:t>
      </w:r>
    </w:p>
    <w:p w14:paraId="501C6431" w14:textId="77777777" w:rsidR="00D34BE5" w:rsidRDefault="00D34BE5" w:rsidP="00BB4950">
      <w:pPr>
        <w:spacing w:after="0" w:line="240" w:lineRule="auto"/>
        <w:rPr>
          <w:rFonts w:ascii="Times New Roman" w:hAnsi="Times New Roman" w:cs="Times New Roman"/>
          <w:sz w:val="24"/>
          <w:szCs w:val="24"/>
        </w:rPr>
      </w:pPr>
    </w:p>
    <w:p w14:paraId="74187089" w14:textId="03006BDA" w:rsidR="00BB4950" w:rsidRPr="00B60E0C" w:rsidRDefault="00401787" w:rsidP="00BB4950">
      <w:pPr>
        <w:spacing w:after="0" w:line="240" w:lineRule="auto"/>
        <w:rPr>
          <w:rFonts w:ascii="Times New Roman" w:hAnsi="Times New Roman" w:cs="Times New Roman"/>
          <w:sz w:val="24"/>
          <w:szCs w:val="24"/>
        </w:rPr>
      </w:pPr>
      <w:r>
        <w:rPr>
          <w:rFonts w:ascii="Times New Roman" w:hAnsi="Times New Roman" w:cs="Times New Roman"/>
          <w:sz w:val="24"/>
          <w:szCs w:val="24"/>
        </w:rPr>
        <w:t>PSE’s</w:t>
      </w:r>
      <w:r w:rsidR="00BB4950" w:rsidRPr="00B60E0C">
        <w:rPr>
          <w:rFonts w:ascii="Times New Roman" w:hAnsi="Times New Roman" w:cs="Times New Roman"/>
          <w:sz w:val="24"/>
          <w:szCs w:val="24"/>
        </w:rPr>
        <w:t xml:space="preserve"> allowed </w:t>
      </w:r>
      <w:r w:rsidR="007F79ED">
        <w:rPr>
          <w:rFonts w:ascii="Times New Roman" w:hAnsi="Times New Roman" w:cs="Times New Roman"/>
          <w:sz w:val="24"/>
          <w:szCs w:val="24"/>
        </w:rPr>
        <w:t xml:space="preserve">electric </w:t>
      </w:r>
      <w:r w:rsidR="00BB4950" w:rsidRPr="00B60E0C">
        <w:rPr>
          <w:rFonts w:ascii="Times New Roman" w:hAnsi="Times New Roman" w:cs="Times New Roman"/>
          <w:sz w:val="24"/>
          <w:szCs w:val="24"/>
        </w:rPr>
        <w:t xml:space="preserve">delivery </w:t>
      </w:r>
      <w:r w:rsidR="00BE3446">
        <w:rPr>
          <w:rFonts w:ascii="Times New Roman" w:hAnsi="Times New Roman" w:cs="Times New Roman"/>
          <w:sz w:val="24"/>
          <w:szCs w:val="24"/>
        </w:rPr>
        <w:t>revenue</w:t>
      </w:r>
      <w:r w:rsidR="00927127" w:rsidRPr="00B60E0C">
        <w:rPr>
          <w:rFonts w:ascii="Times New Roman" w:hAnsi="Times New Roman" w:cs="Times New Roman"/>
          <w:sz w:val="24"/>
          <w:szCs w:val="24"/>
        </w:rPr>
        <w:t xml:space="preserve"> </w:t>
      </w:r>
      <w:r w:rsidR="00BB4950" w:rsidRPr="00B60E0C">
        <w:rPr>
          <w:rFonts w:ascii="Times New Roman" w:hAnsi="Times New Roman" w:cs="Times New Roman"/>
          <w:sz w:val="24"/>
          <w:szCs w:val="24"/>
        </w:rPr>
        <w:t xml:space="preserve">per customer increases each year by 3.0 percent. </w:t>
      </w:r>
      <w:r w:rsidR="00405EF8" w:rsidRPr="00B60E0C">
        <w:rPr>
          <w:rFonts w:ascii="Times New Roman" w:hAnsi="Times New Roman" w:cs="Times New Roman"/>
          <w:sz w:val="24"/>
          <w:szCs w:val="24"/>
        </w:rPr>
        <w:t xml:space="preserve">The forecasted allowed volumetric delivery revenue for 2015 rate year will increase from 2014 rate year by </w:t>
      </w:r>
      <w:r w:rsidR="00367FFB">
        <w:rPr>
          <w:rFonts w:ascii="Times New Roman" w:hAnsi="Times New Roman" w:cs="Times New Roman"/>
          <w:sz w:val="24"/>
          <w:szCs w:val="24"/>
        </w:rPr>
        <w:t>$22,576,142, of which the increase for residential customer is $12,918,156</w:t>
      </w:r>
      <w:r w:rsidR="00405EF8" w:rsidRPr="00B60E0C">
        <w:rPr>
          <w:rFonts w:ascii="Times New Roman" w:hAnsi="Times New Roman" w:cs="Times New Roman"/>
          <w:sz w:val="24"/>
          <w:szCs w:val="24"/>
        </w:rPr>
        <w:t>.</w:t>
      </w:r>
      <w:r w:rsidR="007F79ED" w:rsidRPr="00B60E0C">
        <w:rPr>
          <w:rStyle w:val="FootnoteReference"/>
          <w:rFonts w:ascii="Times New Roman" w:hAnsi="Times New Roman" w:cs="Times New Roman"/>
          <w:sz w:val="24"/>
          <w:szCs w:val="24"/>
        </w:rPr>
        <w:footnoteReference w:id="5"/>
      </w:r>
      <w:r w:rsidR="007F79ED" w:rsidRPr="00B60E0C">
        <w:rPr>
          <w:rFonts w:ascii="Times New Roman" w:hAnsi="Times New Roman" w:cs="Times New Roman"/>
          <w:sz w:val="24"/>
          <w:szCs w:val="24"/>
        </w:rPr>
        <w:t xml:space="preserve"> </w:t>
      </w:r>
      <w:r w:rsidR="00405EF8" w:rsidRPr="00B60E0C">
        <w:rPr>
          <w:rFonts w:ascii="Times New Roman" w:hAnsi="Times New Roman" w:cs="Times New Roman"/>
          <w:sz w:val="24"/>
          <w:szCs w:val="24"/>
        </w:rPr>
        <w:t xml:space="preserve"> </w:t>
      </w:r>
    </w:p>
    <w:p w14:paraId="7418708A" w14:textId="77777777" w:rsidR="00822B5D" w:rsidRPr="00B60E0C" w:rsidRDefault="00822B5D" w:rsidP="00175CC4">
      <w:pPr>
        <w:spacing w:after="0" w:line="240" w:lineRule="auto"/>
        <w:rPr>
          <w:rFonts w:ascii="Times New Roman" w:hAnsi="Times New Roman" w:cs="Times New Roman"/>
          <w:color w:val="FF0000"/>
          <w:sz w:val="24"/>
          <w:szCs w:val="24"/>
        </w:rPr>
      </w:pPr>
    </w:p>
    <w:p w14:paraId="772DFCF4" w14:textId="77777777" w:rsidR="00AA55A4" w:rsidRDefault="00AA55A4" w:rsidP="0006067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Adjustments</w:t>
      </w:r>
    </w:p>
    <w:p w14:paraId="6C3C803E" w14:textId="77777777" w:rsidR="00D34BE5" w:rsidRDefault="00D34BE5" w:rsidP="00AA55A4">
      <w:pPr>
        <w:spacing w:after="0" w:line="240" w:lineRule="auto"/>
        <w:rPr>
          <w:rFonts w:ascii="Times New Roman" w:hAnsi="Times New Roman" w:cs="Times New Roman"/>
          <w:sz w:val="24"/>
        </w:rPr>
      </w:pPr>
    </w:p>
    <w:p w14:paraId="0F627C55" w14:textId="77675637" w:rsidR="00AA55A4" w:rsidRPr="00B60E0C" w:rsidRDefault="00AA55A4" w:rsidP="00AA55A4">
      <w:pPr>
        <w:spacing w:after="0" w:line="240" w:lineRule="auto"/>
        <w:rPr>
          <w:rFonts w:ascii="Times New Roman" w:hAnsi="Times New Roman" w:cs="Times New Roman"/>
          <w:sz w:val="24"/>
          <w:szCs w:val="24"/>
        </w:rPr>
      </w:pPr>
      <w:r w:rsidRPr="00B60E0C">
        <w:rPr>
          <w:rFonts w:ascii="Times New Roman" w:hAnsi="Times New Roman" w:cs="Times New Roman"/>
          <w:sz w:val="24"/>
        </w:rPr>
        <w:t>The proposed rate increase for Schedule 10 &amp; 31 customers (Primary Voltage – General Service) exceeded the 3</w:t>
      </w:r>
      <w:r w:rsidR="00A05A1B">
        <w:rPr>
          <w:rFonts w:ascii="Times New Roman" w:hAnsi="Times New Roman" w:cs="Times New Roman"/>
          <w:sz w:val="24"/>
        </w:rPr>
        <w:t xml:space="preserve"> </w:t>
      </w:r>
      <w:r w:rsidR="00DF6D1E">
        <w:rPr>
          <w:rFonts w:ascii="Times New Roman" w:hAnsi="Times New Roman" w:cs="Times New Roman"/>
          <w:sz w:val="24"/>
        </w:rPr>
        <w:t>percent</w:t>
      </w:r>
      <w:r w:rsidRPr="00B60E0C">
        <w:rPr>
          <w:rFonts w:ascii="Times New Roman" w:hAnsi="Times New Roman" w:cs="Times New Roman"/>
          <w:sz w:val="24"/>
        </w:rPr>
        <w:t xml:space="preserve"> soft cap. As required by </w:t>
      </w:r>
      <w:r w:rsidR="00535F8A">
        <w:rPr>
          <w:rFonts w:ascii="Times New Roman" w:hAnsi="Times New Roman" w:cs="Times New Roman"/>
          <w:sz w:val="24"/>
        </w:rPr>
        <w:t>c</w:t>
      </w:r>
      <w:r w:rsidRPr="00B60E0C">
        <w:rPr>
          <w:rFonts w:ascii="Times New Roman" w:hAnsi="Times New Roman" w:cs="Times New Roman"/>
          <w:sz w:val="24"/>
        </w:rPr>
        <w:t xml:space="preserve">ommission, </w:t>
      </w:r>
      <w:r w:rsidR="00401787">
        <w:rPr>
          <w:rFonts w:ascii="Times New Roman" w:hAnsi="Times New Roman" w:cs="Times New Roman"/>
          <w:sz w:val="24"/>
        </w:rPr>
        <w:t>PSE</w:t>
      </w:r>
      <w:r w:rsidRPr="00B60E0C">
        <w:rPr>
          <w:rFonts w:ascii="Times New Roman" w:hAnsi="Times New Roman" w:cs="Times New Roman"/>
          <w:sz w:val="24"/>
        </w:rPr>
        <w:t xml:space="preserve"> will defer the </w:t>
      </w:r>
      <w:r w:rsidR="00BE3446">
        <w:rPr>
          <w:rFonts w:ascii="Times New Roman" w:hAnsi="Times New Roman" w:cs="Times New Roman"/>
          <w:sz w:val="24"/>
        </w:rPr>
        <w:t xml:space="preserve">excess </w:t>
      </w:r>
      <w:r w:rsidRPr="00B60E0C">
        <w:rPr>
          <w:rFonts w:ascii="Times New Roman" w:hAnsi="Times New Roman" w:cs="Times New Roman"/>
          <w:sz w:val="24"/>
        </w:rPr>
        <w:t>revenue requirement, approximately $2 million, to next year.</w:t>
      </w:r>
      <w:r w:rsidR="00EC1495" w:rsidRPr="00EC1495">
        <w:rPr>
          <w:rStyle w:val="FootnoteReference"/>
          <w:rFonts w:ascii="Times New Roman" w:hAnsi="Times New Roman" w:cs="Times New Roman"/>
          <w:sz w:val="24"/>
        </w:rPr>
        <w:t xml:space="preserve"> </w:t>
      </w:r>
    </w:p>
    <w:p w14:paraId="504884D2" w14:textId="77777777" w:rsidR="00AA55A4" w:rsidRPr="00B60E0C" w:rsidRDefault="00AA55A4" w:rsidP="00AA55A4">
      <w:pPr>
        <w:spacing w:after="0" w:line="240" w:lineRule="auto"/>
        <w:rPr>
          <w:rFonts w:ascii="Times New Roman" w:hAnsi="Times New Roman" w:cs="Times New Roman"/>
          <w:color w:val="FF0000"/>
          <w:sz w:val="24"/>
          <w:szCs w:val="24"/>
        </w:rPr>
      </w:pPr>
    </w:p>
    <w:p w14:paraId="091C521F" w14:textId="276FA6CD" w:rsidR="00AA55A4" w:rsidRPr="00B60E0C" w:rsidRDefault="00870766" w:rsidP="00AA55A4">
      <w:pPr>
        <w:spacing w:after="0" w:line="240" w:lineRule="auto"/>
        <w:rPr>
          <w:rFonts w:ascii="Times New Roman" w:hAnsi="Times New Roman" w:cs="Times New Roman"/>
        </w:rPr>
      </w:pPr>
      <w:r>
        <w:rPr>
          <w:rFonts w:ascii="Times New Roman" w:hAnsi="Times New Roman" w:cs="Times New Roman"/>
          <w:sz w:val="24"/>
          <w:szCs w:val="24"/>
        </w:rPr>
        <w:t xml:space="preserve">Based on </w:t>
      </w:r>
      <w:r w:rsidR="0037410E">
        <w:rPr>
          <w:rFonts w:ascii="Times New Roman" w:hAnsi="Times New Roman" w:cs="Times New Roman"/>
          <w:sz w:val="24"/>
          <w:szCs w:val="24"/>
        </w:rPr>
        <w:t>its</w:t>
      </w:r>
      <w:r w:rsidR="00AA55A4" w:rsidRPr="00B60E0C">
        <w:rPr>
          <w:rFonts w:ascii="Times New Roman" w:hAnsi="Times New Roman" w:cs="Times New Roman"/>
          <w:sz w:val="24"/>
          <w:szCs w:val="24"/>
        </w:rPr>
        <w:t xml:space="preserve"> Commission Basis Report for the twelve months ending December 2014, </w:t>
      </w:r>
      <w:r w:rsidR="00367FFB">
        <w:rPr>
          <w:rFonts w:ascii="Times New Roman" w:hAnsi="Times New Roman" w:cs="Times New Roman"/>
          <w:sz w:val="24"/>
          <w:szCs w:val="24"/>
        </w:rPr>
        <w:t>PSE earned 7.74 percent rate of return</w:t>
      </w:r>
      <w:r w:rsidR="0037410E">
        <w:rPr>
          <w:rFonts w:ascii="Times New Roman" w:hAnsi="Times New Roman" w:cs="Times New Roman"/>
          <w:sz w:val="24"/>
          <w:szCs w:val="24"/>
        </w:rPr>
        <w:t xml:space="preserve"> on its electric operation</w:t>
      </w:r>
      <w:r w:rsidR="00367FFB">
        <w:rPr>
          <w:rFonts w:ascii="Times New Roman" w:hAnsi="Times New Roman" w:cs="Times New Roman"/>
          <w:sz w:val="24"/>
          <w:szCs w:val="24"/>
        </w:rPr>
        <w:t>, lower than th</w:t>
      </w:r>
      <w:r w:rsidR="00AA55A4" w:rsidRPr="00B60E0C">
        <w:rPr>
          <w:rFonts w:ascii="Times New Roman" w:hAnsi="Times New Roman" w:cs="Times New Roman"/>
          <w:sz w:val="24"/>
          <w:szCs w:val="24"/>
        </w:rPr>
        <w:t>e authorized 7.77 percent.</w:t>
      </w:r>
      <w:r w:rsidR="007F79ED" w:rsidRPr="00B60E0C">
        <w:rPr>
          <w:rStyle w:val="FootnoteReference"/>
          <w:rFonts w:ascii="Times New Roman" w:hAnsi="Times New Roman" w:cs="Times New Roman"/>
          <w:sz w:val="24"/>
          <w:szCs w:val="24"/>
        </w:rPr>
        <w:footnoteReference w:id="6"/>
      </w:r>
      <w:r w:rsidR="007F79ED" w:rsidRPr="00B60E0C">
        <w:rPr>
          <w:rFonts w:ascii="Times New Roman" w:hAnsi="Times New Roman" w:cs="Times New Roman"/>
          <w:sz w:val="24"/>
          <w:szCs w:val="24"/>
        </w:rPr>
        <w:t xml:space="preserve"> </w:t>
      </w:r>
      <w:r w:rsidR="00AA55A4" w:rsidRPr="00B60E0C">
        <w:rPr>
          <w:rFonts w:ascii="Times New Roman" w:hAnsi="Times New Roman" w:cs="Times New Roman"/>
          <w:sz w:val="24"/>
          <w:szCs w:val="24"/>
        </w:rPr>
        <w:t>No earnings sharing is necessary.</w:t>
      </w:r>
      <w:r w:rsidR="00EC1495" w:rsidRPr="00EC1495">
        <w:rPr>
          <w:rStyle w:val="FootnoteReference"/>
          <w:rFonts w:ascii="Times New Roman" w:hAnsi="Times New Roman" w:cs="Times New Roman"/>
          <w:sz w:val="24"/>
          <w:szCs w:val="24"/>
        </w:rPr>
        <w:t xml:space="preserve"> </w:t>
      </w:r>
    </w:p>
    <w:p w14:paraId="7964BAEB" w14:textId="77777777" w:rsidR="005E2D98" w:rsidRDefault="005E2D98" w:rsidP="0006067B">
      <w:pPr>
        <w:spacing w:after="0" w:line="240" w:lineRule="auto"/>
        <w:rPr>
          <w:rFonts w:ascii="Times New Roman" w:hAnsi="Times New Roman" w:cs="Times New Roman"/>
          <w:sz w:val="24"/>
          <w:szCs w:val="24"/>
          <w:u w:val="single"/>
        </w:rPr>
      </w:pPr>
    </w:p>
    <w:p w14:paraId="7418708B" w14:textId="7C23E3C2" w:rsidR="00FB7B35" w:rsidRPr="00B60E0C" w:rsidRDefault="00B0127F" w:rsidP="0006067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Impact on Customer Bill</w:t>
      </w:r>
      <w:r w:rsidRPr="00B60E0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and Company </w:t>
      </w:r>
      <w:r w:rsidR="00FB7B35" w:rsidRPr="00B60E0C">
        <w:rPr>
          <w:rFonts w:ascii="Times New Roman" w:hAnsi="Times New Roman" w:cs="Times New Roman"/>
          <w:sz w:val="24"/>
          <w:szCs w:val="24"/>
          <w:u w:val="single"/>
        </w:rPr>
        <w:t>Revenue</w:t>
      </w:r>
    </w:p>
    <w:p w14:paraId="6810BF8F" w14:textId="77777777" w:rsidR="00D34BE5" w:rsidRDefault="00D34BE5" w:rsidP="00B0127F">
      <w:pPr>
        <w:spacing w:after="0" w:line="240" w:lineRule="auto"/>
        <w:rPr>
          <w:rFonts w:ascii="Times New Roman" w:hAnsi="Times New Roman" w:cs="Times New Roman"/>
          <w:sz w:val="24"/>
          <w:szCs w:val="24"/>
        </w:rPr>
      </w:pPr>
    </w:p>
    <w:p w14:paraId="757B9F6C" w14:textId="1D11FB01" w:rsidR="00B0127F" w:rsidRDefault="00B0127F" w:rsidP="00B0127F">
      <w:pPr>
        <w:spacing w:after="0" w:line="240" w:lineRule="auto"/>
        <w:rPr>
          <w:rFonts w:ascii="Times New Roman" w:hAnsi="Times New Roman" w:cs="Times New Roman"/>
          <w:sz w:val="24"/>
        </w:rPr>
      </w:pPr>
      <w:r>
        <w:rPr>
          <w:rFonts w:ascii="Times New Roman" w:hAnsi="Times New Roman" w:cs="Times New Roman"/>
          <w:sz w:val="24"/>
          <w:szCs w:val="24"/>
        </w:rPr>
        <w:lastRenderedPageBreak/>
        <w:t xml:space="preserve">Table 2 shows the proposed rate changes for </w:t>
      </w:r>
      <w:r w:rsidR="00DE6FF8">
        <w:rPr>
          <w:rFonts w:ascii="Times New Roman" w:hAnsi="Times New Roman" w:cs="Times New Roman"/>
          <w:sz w:val="24"/>
          <w:szCs w:val="24"/>
        </w:rPr>
        <w:t>Schedule</w:t>
      </w:r>
      <w:r>
        <w:rPr>
          <w:rFonts w:ascii="Times New Roman" w:hAnsi="Times New Roman" w:cs="Times New Roman"/>
          <w:sz w:val="24"/>
          <w:szCs w:val="24"/>
        </w:rPr>
        <w:t xml:space="preserve"> 142 as a result of the combined effects of the K-factor and deferral. A</w:t>
      </w:r>
      <w:r w:rsidRPr="00B60E0C">
        <w:rPr>
          <w:rFonts w:ascii="Times New Roman" w:hAnsi="Times New Roman" w:cs="Times New Roman"/>
          <w:sz w:val="24"/>
          <w:szCs w:val="24"/>
        </w:rPr>
        <w:t xml:space="preserve"> residential customer using 1,000 kWh </w:t>
      </w:r>
      <w:r w:rsidRPr="00B60E0C">
        <w:rPr>
          <w:rFonts w:ascii="Times New Roman" w:hAnsi="Times New Roman" w:cs="Times New Roman"/>
          <w:sz w:val="24"/>
        </w:rPr>
        <w:t xml:space="preserve">would pay $3.05 more per month from $92.89 to $95.94. </w:t>
      </w:r>
    </w:p>
    <w:p w14:paraId="46A94690" w14:textId="77777777" w:rsidR="00CD5ED1" w:rsidRDefault="00CD5ED1" w:rsidP="00B0127F">
      <w:pPr>
        <w:spacing w:after="0" w:line="240" w:lineRule="auto"/>
        <w:rPr>
          <w:rFonts w:ascii="Times New Roman" w:hAnsi="Times New Roman" w:cs="Times New Roman"/>
          <w:sz w:val="24"/>
        </w:rPr>
      </w:pPr>
    </w:p>
    <w:p w14:paraId="2C91AD2B" w14:textId="4A0C182A" w:rsidR="00B0127F" w:rsidRPr="00B60E0C" w:rsidRDefault="00B0127F" w:rsidP="00B0127F">
      <w:pPr>
        <w:tabs>
          <w:tab w:val="left" w:pos="900"/>
        </w:tabs>
        <w:spacing w:after="0" w:line="240" w:lineRule="auto"/>
        <w:jc w:val="center"/>
        <w:rPr>
          <w:rFonts w:ascii="Times New Roman" w:hAnsi="Times New Roman" w:cs="Times New Roman"/>
          <w:b/>
          <w:color w:val="FFC000"/>
          <w:sz w:val="24"/>
          <w:szCs w:val="24"/>
        </w:rPr>
      </w:pPr>
      <w:r w:rsidRPr="00B60E0C">
        <w:rPr>
          <w:rFonts w:ascii="Times New Roman" w:hAnsi="Times New Roman" w:cs="Times New Roman"/>
          <w:b/>
          <w:sz w:val="24"/>
          <w:szCs w:val="24"/>
        </w:rPr>
        <w:t xml:space="preserve">Table 2. </w:t>
      </w:r>
      <w:r w:rsidRPr="00B60E0C">
        <w:rPr>
          <w:rFonts w:ascii="Times New Roman" w:hAnsi="Times New Roman" w:cs="Times New Roman"/>
          <w:b/>
          <w:sz w:val="24"/>
          <w:szCs w:val="24"/>
        </w:rPr>
        <w:tab/>
      </w:r>
      <w:r>
        <w:rPr>
          <w:rFonts w:ascii="Times New Roman" w:hAnsi="Times New Roman" w:cs="Times New Roman"/>
          <w:b/>
          <w:sz w:val="24"/>
          <w:szCs w:val="24"/>
        </w:rPr>
        <w:t xml:space="preserve">Proposed Decoupling Adjustment </w:t>
      </w:r>
      <w:r w:rsidRPr="00B60E0C">
        <w:rPr>
          <w:rFonts w:ascii="Times New Roman" w:hAnsi="Times New Roman" w:cs="Times New Roman"/>
          <w:b/>
          <w:sz w:val="24"/>
          <w:szCs w:val="24"/>
        </w:rPr>
        <w:t>Rate</w:t>
      </w:r>
      <w:r>
        <w:rPr>
          <w:rFonts w:ascii="Times New Roman" w:hAnsi="Times New Roman" w:cs="Times New Roman"/>
          <w:b/>
          <w:sz w:val="24"/>
          <w:szCs w:val="24"/>
        </w:rPr>
        <w:t>s</w:t>
      </w:r>
      <w:r w:rsidRPr="00B60E0C">
        <w:rPr>
          <w:rFonts w:ascii="Times New Roman" w:hAnsi="Times New Roman" w:cs="Times New Roman"/>
          <w:b/>
          <w:sz w:val="24"/>
          <w:szCs w:val="24"/>
        </w:rPr>
        <w:t xml:space="preserve"> (Electric)</w:t>
      </w:r>
    </w:p>
    <w:p w14:paraId="6BAD0F7A" w14:textId="77777777" w:rsidR="00B0127F" w:rsidRPr="00B60E0C" w:rsidRDefault="00B0127F" w:rsidP="00B0127F">
      <w:pPr>
        <w:tabs>
          <w:tab w:val="left" w:pos="900"/>
        </w:tabs>
        <w:spacing w:after="0" w:line="240" w:lineRule="auto"/>
        <w:jc w:val="center"/>
        <w:rPr>
          <w:rFonts w:ascii="Times New Roman" w:hAnsi="Times New Roman" w:cs="Times New Roman"/>
          <w:b/>
          <w:sz w:val="24"/>
          <w:szCs w:val="24"/>
        </w:rPr>
      </w:pPr>
    </w:p>
    <w:tbl>
      <w:tblPr>
        <w:tblW w:w="472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71"/>
        <w:gridCol w:w="1882"/>
        <w:gridCol w:w="1726"/>
        <w:gridCol w:w="1445"/>
      </w:tblGrid>
      <w:tr w:rsidR="00B0127F" w:rsidRPr="00B60E0C" w14:paraId="4860D0D9" w14:textId="77777777" w:rsidTr="007B1B1A">
        <w:trPr>
          <w:trHeight w:val="826"/>
          <w:jc w:val="center"/>
        </w:trPr>
        <w:tc>
          <w:tcPr>
            <w:tcW w:w="2136" w:type="pct"/>
            <w:tcMar>
              <w:top w:w="0" w:type="dxa"/>
              <w:left w:w="108" w:type="dxa"/>
              <w:bottom w:w="0" w:type="dxa"/>
              <w:right w:w="108" w:type="dxa"/>
            </w:tcMar>
            <w:vAlign w:val="bottom"/>
            <w:hideMark/>
          </w:tcPr>
          <w:p w14:paraId="6937B8C0" w14:textId="77777777" w:rsidR="00B0127F" w:rsidRPr="00B60E0C" w:rsidRDefault="00B0127F" w:rsidP="007B1B1A">
            <w:pPr>
              <w:autoSpaceDE w:val="0"/>
              <w:autoSpaceDN w:val="0"/>
              <w:spacing w:after="0" w:line="240" w:lineRule="auto"/>
              <w:jc w:val="center"/>
              <w:rPr>
                <w:rFonts w:ascii="Times New Roman" w:eastAsiaTheme="minorHAnsi" w:hAnsi="Times New Roman" w:cs="Times New Roman"/>
                <w:b/>
                <w:bCs/>
                <w:sz w:val="24"/>
                <w:szCs w:val="24"/>
              </w:rPr>
            </w:pPr>
            <w:r w:rsidRPr="00B60E0C">
              <w:rPr>
                <w:rFonts w:ascii="Times New Roman" w:hAnsi="Times New Roman" w:cs="Times New Roman"/>
                <w:b/>
                <w:bCs/>
                <w:sz w:val="24"/>
                <w:szCs w:val="24"/>
              </w:rPr>
              <w:t>Schedule Classes</w:t>
            </w:r>
          </w:p>
        </w:tc>
        <w:tc>
          <w:tcPr>
            <w:tcW w:w="1066" w:type="pct"/>
            <w:tcMar>
              <w:top w:w="0" w:type="dxa"/>
              <w:left w:w="108" w:type="dxa"/>
              <w:bottom w:w="0" w:type="dxa"/>
              <w:right w:w="108" w:type="dxa"/>
            </w:tcMar>
            <w:vAlign w:val="bottom"/>
            <w:hideMark/>
          </w:tcPr>
          <w:p w14:paraId="19B77A4A" w14:textId="5C409ABA" w:rsidR="00B0127F" w:rsidRPr="00B60E0C" w:rsidRDefault="00B0127F" w:rsidP="007B1B1A">
            <w:pPr>
              <w:autoSpaceDE w:val="0"/>
              <w:autoSpaceDN w:val="0"/>
              <w:spacing w:after="0" w:line="240" w:lineRule="auto"/>
              <w:jc w:val="center"/>
              <w:rPr>
                <w:rFonts w:ascii="Times New Roman" w:eastAsiaTheme="minorHAnsi" w:hAnsi="Times New Roman" w:cs="Times New Roman"/>
                <w:b/>
                <w:bCs/>
                <w:sz w:val="24"/>
                <w:szCs w:val="24"/>
              </w:rPr>
            </w:pPr>
            <w:r w:rsidRPr="00B60E0C">
              <w:rPr>
                <w:rFonts w:ascii="Times New Roman" w:hAnsi="Times New Roman" w:cs="Times New Roman"/>
                <w:b/>
                <w:bCs/>
                <w:sz w:val="24"/>
                <w:szCs w:val="24"/>
              </w:rPr>
              <w:t xml:space="preserve">Current </w:t>
            </w:r>
            <w:r w:rsidR="00410448">
              <w:rPr>
                <w:rFonts w:ascii="Times New Roman" w:hAnsi="Times New Roman" w:cs="Times New Roman"/>
                <w:b/>
                <w:bCs/>
                <w:sz w:val="24"/>
                <w:szCs w:val="24"/>
              </w:rPr>
              <w:t xml:space="preserve">Decoupling </w:t>
            </w:r>
            <w:r w:rsidRPr="00B60E0C">
              <w:rPr>
                <w:rFonts w:ascii="Times New Roman" w:hAnsi="Times New Roman" w:cs="Times New Roman"/>
                <w:b/>
                <w:bCs/>
                <w:sz w:val="24"/>
                <w:szCs w:val="24"/>
              </w:rPr>
              <w:t>Rate</w:t>
            </w:r>
          </w:p>
        </w:tc>
        <w:tc>
          <w:tcPr>
            <w:tcW w:w="978" w:type="pct"/>
            <w:tcMar>
              <w:top w:w="0" w:type="dxa"/>
              <w:left w:w="108" w:type="dxa"/>
              <w:bottom w:w="0" w:type="dxa"/>
              <w:right w:w="108" w:type="dxa"/>
            </w:tcMar>
            <w:vAlign w:val="bottom"/>
            <w:hideMark/>
          </w:tcPr>
          <w:p w14:paraId="2EDB28DF" w14:textId="357CC1E4" w:rsidR="00B0127F" w:rsidRPr="00B60E0C" w:rsidRDefault="00B0127F" w:rsidP="007B1B1A">
            <w:pPr>
              <w:autoSpaceDE w:val="0"/>
              <w:autoSpaceDN w:val="0"/>
              <w:spacing w:after="0" w:line="240" w:lineRule="auto"/>
              <w:jc w:val="center"/>
              <w:rPr>
                <w:rFonts w:ascii="Times New Roman" w:eastAsiaTheme="minorHAnsi" w:hAnsi="Times New Roman" w:cs="Times New Roman"/>
                <w:b/>
                <w:bCs/>
                <w:sz w:val="24"/>
                <w:szCs w:val="24"/>
              </w:rPr>
            </w:pPr>
            <w:r w:rsidRPr="00B60E0C">
              <w:rPr>
                <w:rFonts w:ascii="Times New Roman" w:hAnsi="Times New Roman" w:cs="Times New Roman"/>
                <w:b/>
                <w:bCs/>
                <w:sz w:val="24"/>
                <w:szCs w:val="24"/>
              </w:rPr>
              <w:t xml:space="preserve">New </w:t>
            </w:r>
            <w:r w:rsidR="00410448">
              <w:rPr>
                <w:rFonts w:ascii="Times New Roman" w:hAnsi="Times New Roman" w:cs="Times New Roman"/>
                <w:b/>
                <w:bCs/>
                <w:sz w:val="24"/>
                <w:szCs w:val="24"/>
              </w:rPr>
              <w:t xml:space="preserve">Decoupling </w:t>
            </w:r>
            <w:r w:rsidRPr="00B60E0C">
              <w:rPr>
                <w:rFonts w:ascii="Times New Roman" w:hAnsi="Times New Roman" w:cs="Times New Roman"/>
                <w:b/>
                <w:bCs/>
                <w:sz w:val="24"/>
                <w:szCs w:val="24"/>
              </w:rPr>
              <w:t>Rate</w:t>
            </w:r>
          </w:p>
        </w:tc>
        <w:tc>
          <w:tcPr>
            <w:tcW w:w="819" w:type="pct"/>
            <w:tcMar>
              <w:top w:w="0" w:type="dxa"/>
              <w:left w:w="108" w:type="dxa"/>
              <w:bottom w:w="0" w:type="dxa"/>
              <w:right w:w="108" w:type="dxa"/>
            </w:tcMar>
            <w:vAlign w:val="bottom"/>
            <w:hideMark/>
          </w:tcPr>
          <w:p w14:paraId="28BBD17F" w14:textId="587F997B" w:rsidR="00B0127F" w:rsidRPr="00410448" w:rsidRDefault="00B0127F" w:rsidP="007B1B1A">
            <w:pPr>
              <w:autoSpaceDE w:val="0"/>
              <w:autoSpaceDN w:val="0"/>
              <w:spacing w:after="0" w:line="240" w:lineRule="auto"/>
              <w:jc w:val="center"/>
              <w:rPr>
                <w:rFonts w:ascii="Times New Roman" w:hAnsi="Times New Roman" w:cs="Times New Roman"/>
                <w:b/>
                <w:bCs/>
                <w:sz w:val="24"/>
                <w:szCs w:val="24"/>
              </w:rPr>
            </w:pPr>
            <w:r w:rsidRPr="00B60E0C">
              <w:rPr>
                <w:rFonts w:ascii="Times New Roman" w:hAnsi="Times New Roman" w:cs="Times New Roman"/>
                <w:b/>
                <w:bCs/>
                <w:sz w:val="24"/>
                <w:szCs w:val="24"/>
              </w:rPr>
              <w:t>Net Change</w:t>
            </w:r>
          </w:p>
        </w:tc>
      </w:tr>
      <w:tr w:rsidR="00B0127F" w:rsidRPr="00B60E0C" w14:paraId="30E3B31D" w14:textId="77777777" w:rsidTr="007B1B1A">
        <w:trPr>
          <w:jc w:val="center"/>
        </w:trPr>
        <w:tc>
          <w:tcPr>
            <w:tcW w:w="2136" w:type="pct"/>
            <w:tcMar>
              <w:top w:w="0" w:type="dxa"/>
              <w:left w:w="108" w:type="dxa"/>
              <w:bottom w:w="0" w:type="dxa"/>
              <w:right w:w="108" w:type="dxa"/>
            </w:tcMar>
            <w:vAlign w:val="bottom"/>
            <w:hideMark/>
          </w:tcPr>
          <w:p w14:paraId="4538FB42" w14:textId="77777777" w:rsidR="00B0127F" w:rsidRPr="00B60E0C" w:rsidRDefault="00B0127F" w:rsidP="007B1B1A">
            <w:pPr>
              <w:autoSpaceDE w:val="0"/>
              <w:autoSpaceDN w:val="0"/>
              <w:spacing w:after="0" w:line="240" w:lineRule="auto"/>
              <w:rPr>
                <w:rFonts w:ascii="Times New Roman" w:eastAsiaTheme="minorHAnsi" w:hAnsi="Times New Roman" w:cs="Times New Roman"/>
                <w:sz w:val="24"/>
                <w:szCs w:val="24"/>
              </w:rPr>
            </w:pPr>
            <w:r w:rsidRPr="00B60E0C">
              <w:rPr>
                <w:rFonts w:ascii="Times New Roman" w:hAnsi="Times New Roman" w:cs="Times New Roman"/>
                <w:sz w:val="24"/>
                <w:szCs w:val="24"/>
              </w:rPr>
              <w:t>Residential schedules</w:t>
            </w:r>
            <w:r>
              <w:rPr>
                <w:rFonts w:ascii="Times New Roman" w:hAnsi="Times New Roman" w:cs="Times New Roman"/>
                <w:sz w:val="24"/>
                <w:szCs w:val="24"/>
              </w:rPr>
              <w:t xml:space="preserve"> (per kWh)</w:t>
            </w:r>
          </w:p>
        </w:tc>
        <w:tc>
          <w:tcPr>
            <w:tcW w:w="1066" w:type="pct"/>
            <w:tcMar>
              <w:top w:w="0" w:type="dxa"/>
              <w:left w:w="108" w:type="dxa"/>
              <w:bottom w:w="0" w:type="dxa"/>
              <w:right w:w="108" w:type="dxa"/>
            </w:tcMar>
            <w:vAlign w:val="bottom"/>
          </w:tcPr>
          <w:p w14:paraId="360BF86E"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$0.001685</w:t>
            </w:r>
          </w:p>
        </w:tc>
        <w:tc>
          <w:tcPr>
            <w:tcW w:w="978" w:type="pct"/>
            <w:tcMar>
              <w:top w:w="0" w:type="dxa"/>
              <w:left w:w="108" w:type="dxa"/>
              <w:bottom w:w="0" w:type="dxa"/>
              <w:right w:w="108" w:type="dxa"/>
            </w:tcMar>
            <w:vAlign w:val="bottom"/>
          </w:tcPr>
          <w:p w14:paraId="04466B8E"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$0.004729</w:t>
            </w:r>
          </w:p>
        </w:tc>
        <w:tc>
          <w:tcPr>
            <w:tcW w:w="819" w:type="pct"/>
            <w:tcMar>
              <w:top w:w="0" w:type="dxa"/>
              <w:left w:w="108" w:type="dxa"/>
              <w:bottom w:w="0" w:type="dxa"/>
              <w:right w:w="108" w:type="dxa"/>
            </w:tcMar>
            <w:vAlign w:val="bottom"/>
          </w:tcPr>
          <w:p w14:paraId="1C98E707"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$0.003044</w:t>
            </w:r>
          </w:p>
        </w:tc>
      </w:tr>
      <w:tr w:rsidR="00B0127F" w:rsidRPr="00B60E0C" w14:paraId="5F432E87" w14:textId="77777777" w:rsidTr="007B1B1A">
        <w:trPr>
          <w:jc w:val="center"/>
        </w:trPr>
        <w:tc>
          <w:tcPr>
            <w:tcW w:w="2136" w:type="pct"/>
            <w:tcMar>
              <w:top w:w="0" w:type="dxa"/>
              <w:left w:w="108" w:type="dxa"/>
              <w:bottom w:w="0" w:type="dxa"/>
              <w:right w:w="108" w:type="dxa"/>
            </w:tcMar>
            <w:vAlign w:val="bottom"/>
            <w:hideMark/>
          </w:tcPr>
          <w:p w14:paraId="2A5B2286" w14:textId="77777777" w:rsidR="00B0127F" w:rsidRPr="00B60E0C" w:rsidRDefault="00B0127F" w:rsidP="007B1B1A">
            <w:pPr>
              <w:autoSpaceDE w:val="0"/>
              <w:autoSpaceDN w:val="0"/>
              <w:spacing w:after="0" w:line="240" w:lineRule="auto"/>
              <w:rPr>
                <w:rFonts w:ascii="Times New Roman" w:eastAsiaTheme="minorHAnsi" w:hAnsi="Times New Roman" w:cs="Times New Roman"/>
                <w:sz w:val="24"/>
                <w:szCs w:val="24"/>
              </w:rPr>
            </w:pPr>
            <w:r w:rsidRPr="00B60E0C">
              <w:rPr>
                <w:rFonts w:ascii="Times New Roman" w:hAnsi="Times New Roman" w:cs="Times New Roman"/>
                <w:sz w:val="24"/>
                <w:szCs w:val="24"/>
              </w:rPr>
              <w:t>Non-residential schedules</w:t>
            </w:r>
            <w:r>
              <w:rPr>
                <w:rFonts w:ascii="Times New Roman" w:hAnsi="Times New Roman" w:cs="Times New Roman"/>
                <w:sz w:val="24"/>
                <w:szCs w:val="24"/>
              </w:rPr>
              <w:t xml:space="preserve"> (per kWh)</w:t>
            </w:r>
          </w:p>
        </w:tc>
        <w:tc>
          <w:tcPr>
            <w:tcW w:w="1066" w:type="pct"/>
            <w:tcMar>
              <w:top w:w="0" w:type="dxa"/>
              <w:left w:w="108" w:type="dxa"/>
              <w:bottom w:w="0" w:type="dxa"/>
              <w:right w:w="108" w:type="dxa"/>
            </w:tcMar>
            <w:vAlign w:val="bottom"/>
          </w:tcPr>
          <w:p w14:paraId="054830FF"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$0.001314</w:t>
            </w:r>
          </w:p>
        </w:tc>
        <w:tc>
          <w:tcPr>
            <w:tcW w:w="978" w:type="pct"/>
            <w:tcMar>
              <w:top w:w="0" w:type="dxa"/>
              <w:left w:w="108" w:type="dxa"/>
              <w:bottom w:w="0" w:type="dxa"/>
              <w:right w:w="108" w:type="dxa"/>
            </w:tcMar>
            <w:vAlign w:val="bottom"/>
          </w:tcPr>
          <w:p w14:paraId="3D8C5099"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$0.003446</w:t>
            </w:r>
          </w:p>
        </w:tc>
        <w:tc>
          <w:tcPr>
            <w:tcW w:w="819" w:type="pct"/>
            <w:tcMar>
              <w:top w:w="0" w:type="dxa"/>
              <w:left w:w="108" w:type="dxa"/>
              <w:bottom w:w="0" w:type="dxa"/>
              <w:right w:w="108" w:type="dxa"/>
            </w:tcMar>
            <w:vAlign w:val="bottom"/>
          </w:tcPr>
          <w:p w14:paraId="4AFCCCA2"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$0.002132</w:t>
            </w:r>
          </w:p>
        </w:tc>
      </w:tr>
      <w:tr w:rsidR="00B0127F" w:rsidRPr="00B60E0C" w14:paraId="2CFBBB8D" w14:textId="77777777" w:rsidTr="007B1B1A">
        <w:trPr>
          <w:jc w:val="center"/>
        </w:trPr>
        <w:tc>
          <w:tcPr>
            <w:tcW w:w="2136" w:type="pct"/>
            <w:tcMar>
              <w:top w:w="0" w:type="dxa"/>
              <w:left w:w="108" w:type="dxa"/>
              <w:bottom w:w="0" w:type="dxa"/>
              <w:right w:w="108" w:type="dxa"/>
            </w:tcMar>
            <w:vAlign w:val="bottom"/>
            <w:hideMark/>
          </w:tcPr>
          <w:p w14:paraId="2F5CDC6B" w14:textId="77777777" w:rsidR="00B0127F" w:rsidRPr="00B60E0C" w:rsidRDefault="00B0127F" w:rsidP="007B1B1A">
            <w:pPr>
              <w:autoSpaceDE w:val="0"/>
              <w:autoSpaceDN w:val="0"/>
              <w:spacing w:after="0" w:line="240" w:lineRule="auto"/>
              <w:rPr>
                <w:rFonts w:ascii="Times New Roman" w:eastAsiaTheme="minorHAnsi" w:hAnsi="Times New Roman" w:cs="Times New Roman"/>
                <w:sz w:val="24"/>
                <w:szCs w:val="24"/>
              </w:rPr>
            </w:pPr>
            <w:r w:rsidRPr="00B60E0C">
              <w:rPr>
                <w:rFonts w:ascii="Times New Roman" w:hAnsi="Times New Roman" w:cs="Times New Roman"/>
                <w:sz w:val="24"/>
                <w:szCs w:val="24"/>
              </w:rPr>
              <w:t>Schedule 12&amp; 26</w:t>
            </w:r>
            <w:r>
              <w:rPr>
                <w:rFonts w:ascii="Times New Roman" w:hAnsi="Times New Roman" w:cs="Times New Roman"/>
                <w:sz w:val="24"/>
                <w:szCs w:val="24"/>
              </w:rPr>
              <w:t xml:space="preserve"> (per kW)</w:t>
            </w:r>
          </w:p>
        </w:tc>
        <w:tc>
          <w:tcPr>
            <w:tcW w:w="1066" w:type="pct"/>
            <w:tcMar>
              <w:top w:w="0" w:type="dxa"/>
              <w:left w:w="108" w:type="dxa"/>
              <w:bottom w:w="0" w:type="dxa"/>
              <w:right w:w="108" w:type="dxa"/>
            </w:tcMar>
            <w:vAlign w:val="bottom"/>
          </w:tcPr>
          <w:p w14:paraId="1880B384"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$0.34</w:t>
            </w:r>
          </w:p>
        </w:tc>
        <w:tc>
          <w:tcPr>
            <w:tcW w:w="978" w:type="pct"/>
            <w:tcMar>
              <w:top w:w="0" w:type="dxa"/>
              <w:left w:w="108" w:type="dxa"/>
              <w:bottom w:w="0" w:type="dxa"/>
              <w:right w:w="108" w:type="dxa"/>
            </w:tcMar>
            <w:vAlign w:val="bottom"/>
          </w:tcPr>
          <w:p w14:paraId="1C737CBD"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$0.79</w:t>
            </w:r>
          </w:p>
        </w:tc>
        <w:tc>
          <w:tcPr>
            <w:tcW w:w="819" w:type="pct"/>
            <w:tcMar>
              <w:top w:w="0" w:type="dxa"/>
              <w:left w:w="108" w:type="dxa"/>
              <w:bottom w:w="0" w:type="dxa"/>
              <w:right w:w="108" w:type="dxa"/>
            </w:tcMar>
            <w:vAlign w:val="bottom"/>
          </w:tcPr>
          <w:p w14:paraId="15851177"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$0.45</w:t>
            </w:r>
          </w:p>
        </w:tc>
      </w:tr>
      <w:tr w:rsidR="00B0127F" w:rsidRPr="00B60E0C" w14:paraId="61027C46" w14:textId="77777777" w:rsidTr="007B1B1A">
        <w:trPr>
          <w:jc w:val="center"/>
        </w:trPr>
        <w:tc>
          <w:tcPr>
            <w:tcW w:w="2136" w:type="pct"/>
            <w:tcMar>
              <w:top w:w="0" w:type="dxa"/>
              <w:left w:w="108" w:type="dxa"/>
              <w:bottom w:w="0" w:type="dxa"/>
              <w:right w:w="108" w:type="dxa"/>
            </w:tcMar>
            <w:vAlign w:val="bottom"/>
            <w:hideMark/>
          </w:tcPr>
          <w:p w14:paraId="5056E856" w14:textId="77777777" w:rsidR="00B0127F" w:rsidRPr="00B60E0C" w:rsidRDefault="00B0127F" w:rsidP="007B1B1A">
            <w:pPr>
              <w:autoSpaceDE w:val="0"/>
              <w:autoSpaceDN w:val="0"/>
              <w:spacing w:after="0" w:line="240" w:lineRule="auto"/>
              <w:rPr>
                <w:rFonts w:ascii="Times New Roman" w:eastAsiaTheme="minorHAnsi" w:hAnsi="Times New Roman" w:cs="Times New Roman"/>
                <w:sz w:val="24"/>
                <w:szCs w:val="24"/>
              </w:rPr>
            </w:pPr>
            <w:r w:rsidRPr="00B60E0C">
              <w:rPr>
                <w:rFonts w:ascii="Times New Roman" w:hAnsi="Times New Roman" w:cs="Times New Roman"/>
                <w:sz w:val="24"/>
                <w:szCs w:val="24"/>
              </w:rPr>
              <w:t>Schedule 10&amp; 31</w:t>
            </w:r>
            <w:r>
              <w:rPr>
                <w:rFonts w:ascii="Times New Roman" w:hAnsi="Times New Roman" w:cs="Times New Roman"/>
                <w:sz w:val="24"/>
                <w:szCs w:val="24"/>
              </w:rPr>
              <w:t xml:space="preserve"> (per kW)</w:t>
            </w:r>
          </w:p>
        </w:tc>
        <w:tc>
          <w:tcPr>
            <w:tcW w:w="1066" w:type="pct"/>
            <w:tcMar>
              <w:top w:w="0" w:type="dxa"/>
              <w:left w:w="108" w:type="dxa"/>
              <w:bottom w:w="0" w:type="dxa"/>
              <w:right w:w="108" w:type="dxa"/>
            </w:tcMar>
            <w:vAlign w:val="bottom"/>
          </w:tcPr>
          <w:p w14:paraId="311C1C76"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$0.03</w:t>
            </w:r>
          </w:p>
        </w:tc>
        <w:tc>
          <w:tcPr>
            <w:tcW w:w="978" w:type="pct"/>
            <w:tcMar>
              <w:top w:w="0" w:type="dxa"/>
              <w:left w:w="108" w:type="dxa"/>
              <w:bottom w:w="0" w:type="dxa"/>
              <w:right w:w="108" w:type="dxa"/>
            </w:tcMar>
            <w:vAlign w:val="bottom"/>
          </w:tcPr>
          <w:p w14:paraId="1E7C9FF4"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$0.76</w:t>
            </w:r>
          </w:p>
        </w:tc>
        <w:tc>
          <w:tcPr>
            <w:tcW w:w="819" w:type="pct"/>
            <w:tcMar>
              <w:top w:w="0" w:type="dxa"/>
              <w:left w:w="108" w:type="dxa"/>
              <w:bottom w:w="0" w:type="dxa"/>
              <w:right w:w="108" w:type="dxa"/>
            </w:tcMar>
            <w:vAlign w:val="bottom"/>
          </w:tcPr>
          <w:p w14:paraId="2E111940" w14:textId="77777777" w:rsidR="00B0127F" w:rsidRPr="00B60E0C" w:rsidRDefault="00B0127F" w:rsidP="007B1B1A">
            <w:pPr>
              <w:autoSpaceDE w:val="0"/>
              <w:autoSpaceDN w:val="0"/>
              <w:spacing w:after="0" w:line="240" w:lineRule="auto"/>
              <w:jc w:val="right"/>
              <w:rPr>
                <w:rFonts w:ascii="Times New Roman" w:eastAsiaTheme="minorHAnsi" w:hAnsi="Times New Roman" w:cs="Times New Roman"/>
                <w:sz w:val="24"/>
                <w:szCs w:val="24"/>
              </w:rPr>
            </w:pPr>
            <w:r w:rsidRPr="00B60E0C">
              <w:rPr>
                <w:rFonts w:ascii="Times New Roman" w:eastAsiaTheme="minorHAnsi" w:hAnsi="Times New Roman" w:cs="Times New Roman"/>
                <w:sz w:val="24"/>
                <w:szCs w:val="24"/>
              </w:rPr>
              <w:t>$0.73</w:t>
            </w:r>
          </w:p>
        </w:tc>
      </w:tr>
    </w:tbl>
    <w:p w14:paraId="376662F8" w14:textId="77777777" w:rsidR="00B0127F" w:rsidRPr="00B60E0C" w:rsidRDefault="00B0127F" w:rsidP="00B0127F">
      <w:pPr>
        <w:spacing w:after="0" w:line="240" w:lineRule="auto"/>
        <w:rPr>
          <w:rFonts w:ascii="Times New Roman" w:hAnsi="Times New Roman" w:cs="Times New Roman"/>
          <w:i/>
          <w:color w:val="FF0000"/>
          <w:sz w:val="24"/>
          <w:szCs w:val="24"/>
        </w:rPr>
      </w:pPr>
    </w:p>
    <w:p w14:paraId="7418708C" w14:textId="3D1CFA55" w:rsidR="009423C3" w:rsidRPr="00B60E0C" w:rsidRDefault="007B1B1A" w:rsidP="00FB7B35">
      <w:pPr>
        <w:spacing w:after="0" w:line="240" w:lineRule="auto"/>
        <w:rPr>
          <w:rFonts w:ascii="Times New Roman" w:hAnsi="Times New Roman" w:cs="Times New Roman"/>
          <w:sz w:val="24"/>
          <w:szCs w:val="24"/>
        </w:rPr>
      </w:pPr>
      <w:r>
        <w:rPr>
          <w:rFonts w:ascii="Times New Roman" w:hAnsi="Times New Roman" w:cs="Times New Roman"/>
          <w:sz w:val="24"/>
          <w:szCs w:val="24"/>
        </w:rPr>
        <w:t>Attachment 1 shows r</w:t>
      </w:r>
      <w:r w:rsidR="00B0127F">
        <w:rPr>
          <w:rFonts w:ascii="Times New Roman" w:hAnsi="Times New Roman" w:cs="Times New Roman"/>
          <w:sz w:val="24"/>
          <w:szCs w:val="24"/>
        </w:rPr>
        <w:t>evenue impac</w:t>
      </w:r>
      <w:r>
        <w:rPr>
          <w:rFonts w:ascii="Times New Roman" w:hAnsi="Times New Roman" w:cs="Times New Roman"/>
          <w:sz w:val="24"/>
          <w:szCs w:val="24"/>
        </w:rPr>
        <w:t>t for different customer groups</w:t>
      </w:r>
      <w:r w:rsidR="00B0127F">
        <w:rPr>
          <w:rFonts w:ascii="Times New Roman" w:hAnsi="Times New Roman" w:cs="Times New Roman"/>
          <w:sz w:val="24"/>
          <w:szCs w:val="24"/>
        </w:rPr>
        <w:t>.</w:t>
      </w:r>
      <w:r w:rsidRPr="007B1B1A">
        <w:rPr>
          <w:rFonts w:ascii="Times New Roman" w:hAnsi="Times New Roman" w:cs="Times New Roman"/>
          <w:sz w:val="24"/>
          <w:szCs w:val="24"/>
        </w:rPr>
        <w:t xml:space="preserve"> </w:t>
      </w:r>
      <w:r w:rsidRPr="00B60E0C">
        <w:rPr>
          <w:rFonts w:ascii="Times New Roman" w:hAnsi="Times New Roman" w:cs="Times New Roman"/>
          <w:sz w:val="24"/>
          <w:szCs w:val="24"/>
        </w:rPr>
        <w:t xml:space="preserve">The </w:t>
      </w:r>
      <w:r>
        <w:rPr>
          <w:rFonts w:ascii="Times New Roman" w:hAnsi="Times New Roman" w:cs="Times New Roman"/>
          <w:sz w:val="24"/>
          <w:szCs w:val="24"/>
        </w:rPr>
        <w:t xml:space="preserve">total </w:t>
      </w:r>
      <w:r w:rsidRPr="00B60E0C">
        <w:rPr>
          <w:rFonts w:ascii="Times New Roman" w:hAnsi="Times New Roman" w:cs="Times New Roman"/>
          <w:sz w:val="24"/>
          <w:szCs w:val="24"/>
        </w:rPr>
        <w:t>revenue impact</w:t>
      </w:r>
      <w:r>
        <w:rPr>
          <w:rFonts w:ascii="Times New Roman" w:hAnsi="Times New Roman" w:cs="Times New Roman"/>
          <w:sz w:val="24"/>
          <w:szCs w:val="24"/>
        </w:rPr>
        <w:t xml:space="preserve"> due to decoupling rate changes for all schedules is as follows.</w:t>
      </w:r>
    </w:p>
    <w:p w14:paraId="7418708D" w14:textId="770FCB47" w:rsidR="009423C3" w:rsidRPr="00B60E0C" w:rsidRDefault="009423C3" w:rsidP="00365B44">
      <w:pPr>
        <w:spacing w:after="0" w:line="240" w:lineRule="auto"/>
        <w:ind w:left="720"/>
        <w:rPr>
          <w:rFonts w:ascii="Times New Roman" w:hAnsi="Times New Roman" w:cs="Times New Roman"/>
          <w:color w:val="FF0000"/>
          <w:sz w:val="24"/>
          <w:szCs w:val="24"/>
        </w:rPr>
      </w:pPr>
    </w:p>
    <w:p w14:paraId="7418708E" w14:textId="5EF409A7" w:rsidR="009423C3" w:rsidRPr="00B60E0C" w:rsidRDefault="009423C3" w:rsidP="009F3D45">
      <w:pPr>
        <w:tabs>
          <w:tab w:val="left" w:pos="2520"/>
        </w:tabs>
        <w:spacing w:after="0" w:line="240" w:lineRule="auto"/>
        <w:ind w:left="720" w:firstLine="720"/>
        <w:rPr>
          <w:rFonts w:ascii="Times New Roman" w:hAnsi="Times New Roman" w:cs="Times New Roman"/>
          <w:sz w:val="24"/>
          <w:szCs w:val="24"/>
        </w:rPr>
      </w:pPr>
      <w:r w:rsidRPr="00B60E0C">
        <w:rPr>
          <w:rFonts w:ascii="Times New Roman" w:hAnsi="Times New Roman" w:cs="Times New Roman"/>
          <w:sz w:val="24"/>
          <w:szCs w:val="24"/>
        </w:rPr>
        <w:t>K-factor:</w:t>
      </w:r>
      <w:r w:rsidR="003564AB" w:rsidRPr="00B60E0C">
        <w:rPr>
          <w:rFonts w:ascii="Times New Roman" w:hAnsi="Times New Roman" w:cs="Times New Roman"/>
          <w:sz w:val="24"/>
          <w:szCs w:val="24"/>
        </w:rPr>
        <w:tab/>
      </w:r>
      <w:r w:rsidRPr="00B60E0C">
        <w:rPr>
          <w:rFonts w:ascii="Times New Roman" w:hAnsi="Times New Roman" w:cs="Times New Roman"/>
          <w:sz w:val="24"/>
          <w:szCs w:val="24"/>
        </w:rPr>
        <w:t>$</w:t>
      </w:r>
      <w:r w:rsidR="009F3D45" w:rsidRPr="00B60E0C">
        <w:rPr>
          <w:rFonts w:ascii="Times New Roman" w:hAnsi="Times New Roman" w:cs="Times New Roman"/>
          <w:sz w:val="24"/>
          <w:szCs w:val="24"/>
        </w:rPr>
        <w:t xml:space="preserve"> </w:t>
      </w:r>
      <w:r w:rsidR="00E43383" w:rsidRPr="00B60E0C">
        <w:rPr>
          <w:rFonts w:ascii="Times New Roman" w:hAnsi="Times New Roman" w:cs="Times New Roman"/>
          <w:sz w:val="24"/>
          <w:szCs w:val="24"/>
        </w:rPr>
        <w:t>22,635,092</w:t>
      </w:r>
    </w:p>
    <w:p w14:paraId="7418708F" w14:textId="60C6FA4C" w:rsidR="009423C3" w:rsidRPr="00B60E0C" w:rsidRDefault="009423C3" w:rsidP="003564AB">
      <w:pPr>
        <w:tabs>
          <w:tab w:val="left" w:pos="1440"/>
          <w:tab w:val="left" w:pos="2520"/>
        </w:tabs>
        <w:spacing w:after="0" w:line="240" w:lineRule="auto"/>
        <w:ind w:left="720"/>
        <w:rPr>
          <w:rFonts w:ascii="Times New Roman" w:hAnsi="Times New Roman" w:cs="Times New Roman"/>
          <w:sz w:val="24"/>
          <w:szCs w:val="24"/>
          <w:u w:val="single"/>
        </w:rPr>
      </w:pPr>
      <w:r w:rsidRPr="00B60E0C">
        <w:rPr>
          <w:rFonts w:ascii="Times New Roman" w:hAnsi="Times New Roman" w:cs="Times New Roman"/>
          <w:sz w:val="24"/>
          <w:szCs w:val="24"/>
          <w:u w:val="single"/>
        </w:rPr>
        <w:t>+</w:t>
      </w:r>
      <w:r w:rsidRPr="00B60E0C">
        <w:rPr>
          <w:rFonts w:ascii="Times New Roman" w:hAnsi="Times New Roman" w:cs="Times New Roman"/>
          <w:sz w:val="24"/>
          <w:szCs w:val="24"/>
          <w:u w:val="single"/>
        </w:rPr>
        <w:tab/>
        <w:t>Deferral:</w:t>
      </w:r>
      <w:r w:rsidR="003564AB" w:rsidRPr="00B60E0C">
        <w:rPr>
          <w:rFonts w:ascii="Times New Roman" w:hAnsi="Times New Roman" w:cs="Times New Roman"/>
          <w:sz w:val="24"/>
          <w:szCs w:val="24"/>
          <w:u w:val="single"/>
        </w:rPr>
        <w:tab/>
      </w:r>
      <w:r w:rsidRPr="00B60E0C">
        <w:rPr>
          <w:rFonts w:ascii="Times New Roman" w:hAnsi="Times New Roman" w:cs="Times New Roman"/>
          <w:sz w:val="24"/>
          <w:szCs w:val="24"/>
          <w:u w:val="single"/>
        </w:rPr>
        <w:t>$</w:t>
      </w:r>
      <w:r w:rsidR="008C7ACD" w:rsidRPr="00B60E0C">
        <w:rPr>
          <w:rFonts w:ascii="Times New Roman" w:hAnsi="Times New Roman" w:cs="Times New Roman"/>
          <w:sz w:val="24"/>
          <w:szCs w:val="24"/>
          <w:u w:val="single"/>
        </w:rPr>
        <w:t xml:space="preserve"> 31,115,557</w:t>
      </w:r>
    </w:p>
    <w:p w14:paraId="74187090" w14:textId="7A2BD1F8" w:rsidR="009423C3" w:rsidRPr="00B60E0C" w:rsidRDefault="001679B1" w:rsidP="003564AB">
      <w:pPr>
        <w:tabs>
          <w:tab w:val="left" w:pos="1440"/>
          <w:tab w:val="left" w:pos="2520"/>
        </w:tabs>
        <w:spacing w:after="0" w:line="240" w:lineRule="auto"/>
        <w:ind w:left="720"/>
        <w:rPr>
          <w:rFonts w:ascii="Times New Roman" w:hAnsi="Times New Roman" w:cs="Times New Roman"/>
          <w:sz w:val="24"/>
          <w:szCs w:val="24"/>
        </w:rPr>
      </w:pPr>
      <w:r w:rsidRPr="00B60E0C">
        <w:rPr>
          <w:rFonts w:ascii="Times New Roman" w:hAnsi="Times New Roman" w:cs="Times New Roman"/>
          <w:sz w:val="24"/>
          <w:szCs w:val="24"/>
        </w:rPr>
        <w:t>=</w:t>
      </w:r>
      <w:r w:rsidR="009423C3" w:rsidRPr="00B60E0C">
        <w:rPr>
          <w:rFonts w:ascii="Times New Roman" w:hAnsi="Times New Roman" w:cs="Times New Roman"/>
          <w:sz w:val="24"/>
          <w:szCs w:val="24"/>
        </w:rPr>
        <w:tab/>
        <w:t>Total:</w:t>
      </w:r>
      <w:r w:rsidR="003564AB" w:rsidRPr="00B60E0C">
        <w:rPr>
          <w:rFonts w:ascii="Times New Roman" w:hAnsi="Times New Roman" w:cs="Times New Roman"/>
          <w:sz w:val="24"/>
          <w:szCs w:val="24"/>
        </w:rPr>
        <w:tab/>
      </w:r>
      <w:r w:rsidR="009423C3" w:rsidRPr="00B60E0C">
        <w:rPr>
          <w:rFonts w:ascii="Times New Roman" w:hAnsi="Times New Roman" w:cs="Times New Roman"/>
          <w:sz w:val="24"/>
          <w:szCs w:val="24"/>
        </w:rPr>
        <w:t>$</w:t>
      </w:r>
      <w:r w:rsidR="009F3D45" w:rsidRPr="00B60E0C">
        <w:rPr>
          <w:rFonts w:ascii="Times New Roman" w:hAnsi="Times New Roman" w:cs="Times New Roman"/>
          <w:sz w:val="24"/>
          <w:szCs w:val="24"/>
        </w:rPr>
        <w:t xml:space="preserve"> </w:t>
      </w:r>
      <w:r w:rsidR="008C7ACD" w:rsidRPr="00B60E0C">
        <w:rPr>
          <w:rFonts w:ascii="Times New Roman" w:hAnsi="Times New Roman" w:cs="Times New Roman"/>
          <w:sz w:val="24"/>
          <w:szCs w:val="24"/>
        </w:rPr>
        <w:t>53,750,649</w:t>
      </w:r>
    </w:p>
    <w:p w14:paraId="402E6ACB" w14:textId="77777777" w:rsidR="00911161" w:rsidRDefault="00911161" w:rsidP="00FB7B35">
      <w:pPr>
        <w:spacing w:after="0" w:line="240" w:lineRule="auto"/>
        <w:rPr>
          <w:rFonts w:ascii="Times New Roman" w:hAnsi="Times New Roman" w:cs="Times New Roman"/>
          <w:sz w:val="24"/>
        </w:rPr>
      </w:pPr>
    </w:p>
    <w:p w14:paraId="741870D4" w14:textId="77777777" w:rsidR="00822B5D" w:rsidRPr="00D34BE5" w:rsidRDefault="00822B5D" w:rsidP="00175CC4">
      <w:pPr>
        <w:spacing w:after="0" w:line="240" w:lineRule="auto"/>
        <w:rPr>
          <w:rFonts w:ascii="Times New Roman" w:hAnsi="Times New Roman" w:cs="Times New Roman"/>
          <w:b/>
          <w:i/>
          <w:sz w:val="24"/>
          <w:szCs w:val="24"/>
        </w:rPr>
      </w:pPr>
      <w:r w:rsidRPr="00D34BE5">
        <w:rPr>
          <w:rFonts w:ascii="Times New Roman" w:hAnsi="Times New Roman" w:cs="Times New Roman"/>
          <w:b/>
          <w:i/>
          <w:sz w:val="24"/>
          <w:szCs w:val="24"/>
        </w:rPr>
        <w:t>Natural Gas</w:t>
      </w:r>
    </w:p>
    <w:p w14:paraId="2F67A595" w14:textId="77777777" w:rsidR="00D34BE5" w:rsidRDefault="00D34BE5" w:rsidP="0006067B">
      <w:pPr>
        <w:spacing w:after="0" w:line="240" w:lineRule="auto"/>
        <w:rPr>
          <w:rFonts w:ascii="Times New Roman" w:hAnsi="Times New Roman" w:cs="Times New Roman"/>
          <w:sz w:val="24"/>
          <w:szCs w:val="24"/>
          <w:u w:val="single"/>
        </w:rPr>
      </w:pPr>
    </w:p>
    <w:p w14:paraId="741870D5" w14:textId="77777777" w:rsidR="00822B5D" w:rsidRPr="00B60E0C" w:rsidRDefault="00822B5D" w:rsidP="0006067B">
      <w:pPr>
        <w:spacing w:after="0" w:line="240" w:lineRule="auto"/>
        <w:rPr>
          <w:rFonts w:ascii="Times New Roman" w:hAnsi="Times New Roman" w:cs="Times New Roman"/>
          <w:sz w:val="24"/>
          <w:szCs w:val="24"/>
          <w:u w:val="single"/>
        </w:rPr>
      </w:pPr>
      <w:r w:rsidRPr="00B60E0C">
        <w:rPr>
          <w:rFonts w:ascii="Times New Roman" w:hAnsi="Times New Roman" w:cs="Times New Roman"/>
          <w:sz w:val="24"/>
          <w:szCs w:val="24"/>
          <w:u w:val="single"/>
        </w:rPr>
        <w:t>Deferral</w:t>
      </w:r>
    </w:p>
    <w:p w14:paraId="77F0F8E0" w14:textId="77777777" w:rsidR="00D34BE5" w:rsidRDefault="00D34BE5" w:rsidP="0006067B">
      <w:pPr>
        <w:spacing w:after="0" w:line="240" w:lineRule="auto"/>
        <w:rPr>
          <w:rFonts w:ascii="Times New Roman" w:hAnsi="Times New Roman" w:cs="Times New Roman"/>
          <w:sz w:val="24"/>
          <w:szCs w:val="24"/>
        </w:rPr>
      </w:pPr>
    </w:p>
    <w:p w14:paraId="497A39F9" w14:textId="06973290" w:rsidR="006B0431" w:rsidRPr="00B60E0C" w:rsidRDefault="0006067B" w:rsidP="0006067B">
      <w:pPr>
        <w:spacing w:after="0" w:line="240" w:lineRule="auto"/>
        <w:rPr>
          <w:rFonts w:ascii="Times New Roman" w:eastAsia="Times New Roman" w:hAnsi="Times New Roman" w:cs="Times New Roman"/>
          <w:sz w:val="24"/>
          <w:szCs w:val="24"/>
        </w:rPr>
      </w:pPr>
      <w:r w:rsidRPr="00B60E0C">
        <w:rPr>
          <w:rFonts w:ascii="Times New Roman" w:hAnsi="Times New Roman" w:cs="Times New Roman"/>
          <w:sz w:val="24"/>
          <w:szCs w:val="24"/>
        </w:rPr>
        <w:t xml:space="preserve">For residential customers, the </w:t>
      </w:r>
      <w:r w:rsidR="003848AA" w:rsidRPr="00B60E0C">
        <w:rPr>
          <w:rFonts w:ascii="Times New Roman" w:hAnsi="Times New Roman" w:cs="Times New Roman"/>
          <w:sz w:val="24"/>
          <w:szCs w:val="24"/>
        </w:rPr>
        <w:t>bill payments</w:t>
      </w:r>
      <w:r w:rsidRPr="00B60E0C">
        <w:rPr>
          <w:rFonts w:ascii="Times New Roman" w:hAnsi="Times New Roman" w:cs="Times New Roman"/>
          <w:sz w:val="24"/>
          <w:szCs w:val="24"/>
        </w:rPr>
        <w:t xml:space="preserve"> collected </w:t>
      </w:r>
      <w:r w:rsidR="00C80716" w:rsidRPr="00B60E0C">
        <w:rPr>
          <w:rFonts w:ascii="Times New Roman" w:hAnsi="Times New Roman" w:cs="Times New Roman"/>
          <w:sz w:val="24"/>
          <w:szCs w:val="24"/>
        </w:rPr>
        <w:t>$</w:t>
      </w:r>
      <w:r w:rsidR="00C6237D" w:rsidRPr="00B60E0C">
        <w:rPr>
          <w:rFonts w:ascii="Times New Roman" w:hAnsi="Times New Roman" w:cs="Times New Roman"/>
          <w:sz w:val="24"/>
          <w:szCs w:val="24"/>
        </w:rPr>
        <w:t>21</w:t>
      </w:r>
      <w:r w:rsidR="007F79ED">
        <w:rPr>
          <w:rFonts w:ascii="Times New Roman" w:hAnsi="Times New Roman" w:cs="Times New Roman"/>
          <w:sz w:val="24"/>
          <w:szCs w:val="24"/>
        </w:rPr>
        <w:t xml:space="preserve"> million</w:t>
      </w:r>
      <w:r w:rsidR="00C80716" w:rsidRPr="00B60E0C">
        <w:rPr>
          <w:rFonts w:ascii="Times New Roman" w:hAnsi="Times New Roman" w:cs="Times New Roman"/>
          <w:sz w:val="24"/>
          <w:szCs w:val="24"/>
        </w:rPr>
        <w:t xml:space="preserve"> less</w:t>
      </w:r>
      <w:r w:rsidR="003848AA" w:rsidRPr="00B60E0C">
        <w:rPr>
          <w:rFonts w:ascii="Times New Roman" w:hAnsi="Times New Roman" w:cs="Times New Roman"/>
          <w:sz w:val="24"/>
          <w:szCs w:val="24"/>
        </w:rPr>
        <w:t xml:space="preserve"> than the allowed revenue which</w:t>
      </w:r>
      <w:r w:rsidRPr="00B60E0C">
        <w:rPr>
          <w:rFonts w:ascii="Times New Roman" w:hAnsi="Times New Roman" w:cs="Times New Roman"/>
          <w:sz w:val="24"/>
          <w:szCs w:val="24"/>
        </w:rPr>
        <w:t xml:space="preserve"> will</w:t>
      </w:r>
      <w:r w:rsidR="00C80716" w:rsidRPr="00B60E0C">
        <w:rPr>
          <w:rFonts w:ascii="Times New Roman" w:hAnsi="Times New Roman" w:cs="Times New Roman"/>
          <w:sz w:val="24"/>
          <w:szCs w:val="24"/>
        </w:rPr>
        <w:t xml:space="preserve"> be assessed</w:t>
      </w:r>
      <w:r w:rsidRPr="00B60E0C">
        <w:rPr>
          <w:rFonts w:ascii="Times New Roman" w:hAnsi="Times New Roman" w:cs="Times New Roman"/>
          <w:sz w:val="24"/>
          <w:szCs w:val="24"/>
        </w:rPr>
        <w:t xml:space="preserve"> to </w:t>
      </w:r>
      <w:r w:rsidR="00C80716" w:rsidRPr="00B60E0C">
        <w:rPr>
          <w:rFonts w:ascii="Times New Roman" w:hAnsi="Times New Roman" w:cs="Times New Roman"/>
          <w:sz w:val="24"/>
          <w:szCs w:val="24"/>
        </w:rPr>
        <w:t xml:space="preserve">as a </w:t>
      </w:r>
      <w:r w:rsidR="00BE3446">
        <w:rPr>
          <w:rFonts w:ascii="Times New Roman" w:hAnsi="Times New Roman" w:cs="Times New Roman"/>
          <w:sz w:val="24"/>
          <w:szCs w:val="24"/>
        </w:rPr>
        <w:t xml:space="preserve">customer </w:t>
      </w:r>
      <w:r w:rsidR="00C80716" w:rsidRPr="00B60E0C">
        <w:rPr>
          <w:rFonts w:ascii="Times New Roman" w:hAnsi="Times New Roman" w:cs="Times New Roman"/>
          <w:sz w:val="24"/>
          <w:szCs w:val="24"/>
        </w:rPr>
        <w:t>surcharge in the coming rate year</w:t>
      </w:r>
      <w:r w:rsidRPr="00B60E0C">
        <w:rPr>
          <w:rFonts w:ascii="Times New Roman" w:hAnsi="Times New Roman" w:cs="Times New Roman"/>
          <w:sz w:val="24"/>
          <w:szCs w:val="24"/>
        </w:rPr>
        <w:t xml:space="preserve">. </w:t>
      </w:r>
      <w:r w:rsidR="003848AA" w:rsidRPr="00B60E0C">
        <w:rPr>
          <w:rFonts w:ascii="Times New Roman" w:hAnsi="Times New Roman" w:cs="Times New Roman"/>
          <w:sz w:val="24"/>
          <w:szCs w:val="24"/>
        </w:rPr>
        <w:t>Non-residential customers paid $</w:t>
      </w:r>
      <w:r w:rsidR="00C6237D" w:rsidRPr="00B60E0C">
        <w:rPr>
          <w:rFonts w:ascii="Times New Roman" w:hAnsi="Times New Roman" w:cs="Times New Roman"/>
          <w:sz w:val="24"/>
          <w:szCs w:val="24"/>
        </w:rPr>
        <w:t>6</w:t>
      </w:r>
      <w:r w:rsidR="007F79ED">
        <w:rPr>
          <w:rFonts w:ascii="Times New Roman" w:hAnsi="Times New Roman" w:cs="Times New Roman"/>
          <w:sz w:val="24"/>
          <w:szCs w:val="24"/>
        </w:rPr>
        <w:t xml:space="preserve"> million</w:t>
      </w:r>
      <w:r w:rsidR="003848AA" w:rsidRPr="00B60E0C">
        <w:rPr>
          <w:rFonts w:ascii="Times New Roman" w:hAnsi="Times New Roman" w:cs="Times New Roman"/>
          <w:sz w:val="24"/>
          <w:szCs w:val="24"/>
        </w:rPr>
        <w:t xml:space="preserve"> less than the al</w:t>
      </w:r>
      <w:r w:rsidR="003848AA" w:rsidRPr="00B60E0C">
        <w:rPr>
          <w:rFonts w:ascii="Times New Roman" w:hAnsi="Times New Roman" w:cs="Times New Roman"/>
          <w:sz w:val="24"/>
          <w:szCs w:val="24"/>
        </w:rPr>
        <w:lastRenderedPageBreak/>
        <w:t>lowed revenue</w:t>
      </w:r>
      <w:r w:rsidR="0038232F" w:rsidRPr="00B60E0C">
        <w:rPr>
          <w:rFonts w:ascii="Times New Roman" w:hAnsi="Times New Roman" w:cs="Times New Roman"/>
          <w:sz w:val="24"/>
          <w:szCs w:val="24"/>
        </w:rPr>
        <w:t xml:space="preserve">. </w:t>
      </w:r>
      <w:r w:rsidR="00D36B0A" w:rsidRPr="00B60E0C">
        <w:rPr>
          <w:rFonts w:ascii="Times New Roman" w:hAnsi="Times New Roman" w:cs="Times New Roman"/>
          <w:sz w:val="24"/>
          <w:szCs w:val="24"/>
        </w:rPr>
        <w:t>As with electricity, t</w:t>
      </w:r>
      <w:r w:rsidR="00D36B0A" w:rsidRPr="00B60E0C">
        <w:rPr>
          <w:rFonts w:ascii="Times New Roman" w:eastAsia="Times New Roman" w:hAnsi="Times New Roman" w:cs="Times New Roman"/>
          <w:sz w:val="24"/>
          <w:szCs w:val="24"/>
        </w:rPr>
        <w:t>he primary drivers behind the under-collection</w:t>
      </w:r>
      <w:r w:rsidR="00D36B0A" w:rsidRPr="00B60E0C">
        <w:rPr>
          <w:rFonts w:ascii="Times New Roman" w:hAnsi="Times New Roman" w:cs="Times New Roman"/>
          <w:sz w:val="24"/>
          <w:szCs w:val="24"/>
        </w:rPr>
        <w:t xml:space="preserve"> was the </w:t>
      </w:r>
      <w:r w:rsidR="00D36B0A" w:rsidRPr="00B60E0C">
        <w:rPr>
          <w:rFonts w:ascii="Times New Roman" w:eastAsia="Times New Roman" w:hAnsi="Times New Roman" w:cs="Times New Roman"/>
          <w:sz w:val="24"/>
          <w:szCs w:val="24"/>
        </w:rPr>
        <w:t xml:space="preserve">warmer-than-test year temperatures </w:t>
      </w:r>
      <w:r w:rsidR="007D64C5">
        <w:rPr>
          <w:rFonts w:ascii="Times New Roman" w:eastAsia="Times New Roman" w:hAnsi="Times New Roman" w:cs="Times New Roman"/>
          <w:sz w:val="24"/>
          <w:szCs w:val="24"/>
        </w:rPr>
        <w:t>in the 2013-2014 winter</w:t>
      </w:r>
      <w:r w:rsidR="00D36B0A" w:rsidRPr="00B60E0C">
        <w:rPr>
          <w:rFonts w:ascii="Times New Roman" w:eastAsia="Times New Roman" w:hAnsi="Times New Roman" w:cs="Times New Roman"/>
          <w:sz w:val="24"/>
          <w:szCs w:val="24"/>
        </w:rPr>
        <w:t xml:space="preserve">. </w:t>
      </w:r>
      <w:r w:rsidR="006B0431" w:rsidRPr="00B60E0C">
        <w:rPr>
          <w:rFonts w:ascii="Times New Roman" w:eastAsia="Times New Roman" w:hAnsi="Times New Roman" w:cs="Times New Roman"/>
          <w:sz w:val="24"/>
          <w:szCs w:val="24"/>
        </w:rPr>
        <w:t xml:space="preserve">The total deferral balance for these two customer groups </w:t>
      </w:r>
      <w:r w:rsidR="00DF7334" w:rsidRPr="00B60E0C">
        <w:rPr>
          <w:rFonts w:ascii="Times New Roman" w:eastAsia="Times New Roman" w:hAnsi="Times New Roman" w:cs="Times New Roman"/>
          <w:sz w:val="24"/>
          <w:szCs w:val="24"/>
        </w:rPr>
        <w:t xml:space="preserve">as of year end 2014 </w:t>
      </w:r>
      <w:r w:rsidR="007B1B1A">
        <w:rPr>
          <w:rFonts w:ascii="Times New Roman" w:eastAsia="Times New Roman" w:hAnsi="Times New Roman" w:cs="Times New Roman"/>
          <w:sz w:val="24"/>
          <w:szCs w:val="24"/>
        </w:rPr>
        <w:t>is $27 million</w:t>
      </w:r>
      <w:r w:rsidR="006B0431" w:rsidRPr="00B60E0C">
        <w:rPr>
          <w:rFonts w:ascii="Times New Roman" w:eastAsia="Times New Roman" w:hAnsi="Times New Roman" w:cs="Times New Roman"/>
          <w:sz w:val="24"/>
          <w:szCs w:val="24"/>
        </w:rPr>
        <w:t xml:space="preserve">. </w:t>
      </w:r>
      <w:r w:rsidR="004702E4">
        <w:rPr>
          <w:rFonts w:ascii="Times New Roman" w:eastAsia="Times New Roman" w:hAnsi="Times New Roman" w:cs="Times New Roman"/>
          <w:sz w:val="24"/>
          <w:szCs w:val="24"/>
        </w:rPr>
        <w:t>Table 3</w:t>
      </w:r>
      <w:r w:rsidR="00870766">
        <w:rPr>
          <w:rFonts w:ascii="Times New Roman" w:eastAsia="Times New Roman" w:hAnsi="Times New Roman" w:cs="Times New Roman"/>
          <w:sz w:val="24"/>
          <w:szCs w:val="24"/>
        </w:rPr>
        <w:t xml:space="preserve"> shows components of deferral balances for these two customer groups.</w:t>
      </w:r>
    </w:p>
    <w:p w14:paraId="0422A487" w14:textId="77777777" w:rsidR="001A7F76" w:rsidRDefault="001A7F76" w:rsidP="0006067B">
      <w:pPr>
        <w:spacing w:after="0" w:line="240" w:lineRule="auto"/>
        <w:rPr>
          <w:rFonts w:ascii="Times New Roman" w:eastAsia="Times New Roman" w:hAnsi="Times New Roman" w:cs="Times New Roman"/>
          <w:sz w:val="24"/>
          <w:szCs w:val="24"/>
        </w:rPr>
      </w:pPr>
    </w:p>
    <w:p w14:paraId="435D41FA" w14:textId="5DA7B1F6" w:rsidR="004702E4" w:rsidRPr="00C03735" w:rsidRDefault="004702E4" w:rsidP="004702E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3. Decoupling Deferral Balances As of Year End 2014 (Natural Gas)</w:t>
      </w:r>
    </w:p>
    <w:p w14:paraId="6BB8DCE0" w14:textId="77777777" w:rsidR="004702E4" w:rsidRPr="00C03735" w:rsidRDefault="004702E4" w:rsidP="004702E4">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70"/>
        <w:gridCol w:w="1870"/>
        <w:gridCol w:w="1870"/>
        <w:gridCol w:w="1870"/>
      </w:tblGrid>
      <w:tr w:rsidR="007B1B1A" w:rsidRPr="00C03735" w14:paraId="6B5DB5CB" w14:textId="4BCB3503" w:rsidTr="004D3EBE">
        <w:trPr>
          <w:jc w:val="center"/>
        </w:trPr>
        <w:tc>
          <w:tcPr>
            <w:tcW w:w="1870" w:type="dxa"/>
          </w:tcPr>
          <w:p w14:paraId="2DFE5B09" w14:textId="77777777" w:rsidR="007B1B1A" w:rsidRPr="00C03735" w:rsidRDefault="007B1B1A" w:rsidP="000172FD">
            <w:pPr>
              <w:rPr>
                <w:rFonts w:ascii="Times New Roman" w:hAnsi="Times New Roman" w:cs="Times New Roman"/>
                <w:b/>
                <w:sz w:val="24"/>
                <w:szCs w:val="24"/>
              </w:rPr>
            </w:pPr>
          </w:p>
        </w:tc>
        <w:tc>
          <w:tcPr>
            <w:tcW w:w="1870" w:type="dxa"/>
          </w:tcPr>
          <w:p w14:paraId="11F74436" w14:textId="77777777" w:rsidR="007B1B1A" w:rsidRPr="00C03735" w:rsidRDefault="007B1B1A" w:rsidP="000172FD">
            <w:pPr>
              <w:jc w:val="center"/>
              <w:rPr>
                <w:rFonts w:ascii="Times New Roman" w:hAnsi="Times New Roman" w:cs="Times New Roman"/>
                <w:b/>
                <w:sz w:val="24"/>
                <w:szCs w:val="24"/>
              </w:rPr>
            </w:pPr>
            <w:r w:rsidRPr="00C03735">
              <w:rPr>
                <w:rFonts w:ascii="Times New Roman" w:hAnsi="Times New Roman" w:cs="Times New Roman"/>
                <w:b/>
                <w:sz w:val="24"/>
                <w:szCs w:val="24"/>
              </w:rPr>
              <w:t>Residential</w:t>
            </w:r>
          </w:p>
        </w:tc>
        <w:tc>
          <w:tcPr>
            <w:tcW w:w="1870" w:type="dxa"/>
          </w:tcPr>
          <w:p w14:paraId="56007A39" w14:textId="77777777" w:rsidR="007B1B1A" w:rsidRPr="00C03735" w:rsidRDefault="007B1B1A" w:rsidP="000172FD">
            <w:pPr>
              <w:jc w:val="center"/>
              <w:rPr>
                <w:rFonts w:ascii="Times New Roman" w:hAnsi="Times New Roman" w:cs="Times New Roman"/>
                <w:b/>
                <w:sz w:val="24"/>
                <w:szCs w:val="24"/>
              </w:rPr>
            </w:pPr>
            <w:r w:rsidRPr="00C03735">
              <w:rPr>
                <w:rFonts w:ascii="Times New Roman" w:hAnsi="Times New Roman" w:cs="Times New Roman"/>
                <w:b/>
                <w:sz w:val="24"/>
                <w:szCs w:val="24"/>
              </w:rPr>
              <w:t>Non-Residential</w:t>
            </w:r>
          </w:p>
        </w:tc>
        <w:tc>
          <w:tcPr>
            <w:tcW w:w="1870" w:type="dxa"/>
          </w:tcPr>
          <w:p w14:paraId="4DBD8982" w14:textId="3493950E" w:rsidR="007B1B1A" w:rsidRPr="00C03735" w:rsidRDefault="007B1B1A" w:rsidP="000172FD">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7B1B1A" w:rsidRPr="00C03735" w14:paraId="71804174" w14:textId="7B511CC2" w:rsidTr="004D3EBE">
        <w:trPr>
          <w:jc w:val="center"/>
        </w:trPr>
        <w:tc>
          <w:tcPr>
            <w:tcW w:w="1870" w:type="dxa"/>
          </w:tcPr>
          <w:p w14:paraId="05142BD4" w14:textId="77777777" w:rsidR="007B1B1A" w:rsidRPr="00C03735" w:rsidRDefault="007B1B1A" w:rsidP="000172FD">
            <w:pPr>
              <w:rPr>
                <w:rFonts w:ascii="Times New Roman" w:hAnsi="Times New Roman" w:cs="Times New Roman"/>
                <w:sz w:val="24"/>
                <w:szCs w:val="24"/>
              </w:rPr>
            </w:pPr>
            <w:r w:rsidRPr="00C03735">
              <w:rPr>
                <w:rFonts w:ascii="Times New Roman" w:hAnsi="Times New Roman" w:cs="Times New Roman"/>
                <w:sz w:val="24"/>
                <w:szCs w:val="24"/>
              </w:rPr>
              <w:t>2013 Deferral</w:t>
            </w:r>
          </w:p>
        </w:tc>
        <w:tc>
          <w:tcPr>
            <w:tcW w:w="1870" w:type="dxa"/>
          </w:tcPr>
          <w:p w14:paraId="71E219E3" w14:textId="77777777" w:rsidR="007B1B1A" w:rsidRPr="00C03735" w:rsidRDefault="007B1B1A" w:rsidP="000172FD">
            <w:pPr>
              <w:jc w:val="right"/>
              <w:rPr>
                <w:rFonts w:ascii="Times New Roman" w:hAnsi="Times New Roman" w:cs="Times New Roman"/>
                <w:sz w:val="24"/>
                <w:szCs w:val="24"/>
              </w:rPr>
            </w:pPr>
            <w:r w:rsidRPr="00C03735">
              <w:rPr>
                <w:rFonts w:ascii="Times New Roman" w:hAnsi="Times New Roman" w:cs="Times New Roman"/>
                <w:sz w:val="24"/>
                <w:szCs w:val="24"/>
              </w:rPr>
              <w:t>($856,350)</w:t>
            </w:r>
          </w:p>
        </w:tc>
        <w:tc>
          <w:tcPr>
            <w:tcW w:w="1870" w:type="dxa"/>
          </w:tcPr>
          <w:p w14:paraId="0A080A4F" w14:textId="51D6ACA2" w:rsidR="007B1B1A" w:rsidRPr="00C03735" w:rsidRDefault="002C61F6" w:rsidP="002C61F6">
            <w:pPr>
              <w:rPr>
                <w:rFonts w:ascii="Times New Roman" w:hAnsi="Times New Roman" w:cs="Times New Roman"/>
                <w:sz w:val="24"/>
                <w:szCs w:val="24"/>
              </w:rPr>
            </w:pPr>
            <w:r>
              <w:rPr>
                <w:rFonts w:ascii="Times New Roman" w:hAnsi="Times New Roman" w:cs="Times New Roman"/>
                <w:sz w:val="24"/>
                <w:szCs w:val="24"/>
              </w:rPr>
              <w:t xml:space="preserve">              </w:t>
            </w:r>
            <w:r w:rsidR="007B1B1A" w:rsidRPr="00C03735">
              <w:rPr>
                <w:rFonts w:ascii="Times New Roman" w:hAnsi="Times New Roman" w:cs="Times New Roman"/>
                <w:sz w:val="24"/>
                <w:szCs w:val="24"/>
              </w:rPr>
              <w:t>$48,114</w:t>
            </w:r>
          </w:p>
        </w:tc>
        <w:tc>
          <w:tcPr>
            <w:tcW w:w="1870" w:type="dxa"/>
          </w:tcPr>
          <w:p w14:paraId="71C94B30" w14:textId="27DAB9EB" w:rsidR="007B1B1A" w:rsidRPr="00C03735" w:rsidRDefault="007C0117" w:rsidP="007C0117">
            <w:pPr>
              <w:tabs>
                <w:tab w:val="decimal" w:pos="1428"/>
              </w:tabs>
              <w:rPr>
                <w:rFonts w:ascii="Times New Roman" w:hAnsi="Times New Roman" w:cs="Times New Roman"/>
                <w:sz w:val="24"/>
                <w:szCs w:val="24"/>
              </w:rPr>
            </w:pPr>
            <w:r>
              <w:rPr>
                <w:rFonts w:ascii="Times New Roman" w:hAnsi="Times New Roman" w:cs="Times New Roman"/>
                <w:sz w:val="24"/>
                <w:szCs w:val="24"/>
              </w:rPr>
              <w:t xml:space="preserve">     </w:t>
            </w:r>
            <w:r w:rsidR="007B1B1A">
              <w:rPr>
                <w:rFonts w:ascii="Times New Roman" w:hAnsi="Times New Roman" w:cs="Times New Roman"/>
                <w:sz w:val="24"/>
                <w:szCs w:val="24"/>
              </w:rPr>
              <w:t>($808,236)</w:t>
            </w:r>
          </w:p>
        </w:tc>
      </w:tr>
      <w:tr w:rsidR="007B1B1A" w:rsidRPr="00C03735" w14:paraId="66DA3B03" w14:textId="5256756F" w:rsidTr="004D3EBE">
        <w:trPr>
          <w:jc w:val="center"/>
        </w:trPr>
        <w:tc>
          <w:tcPr>
            <w:tcW w:w="1870" w:type="dxa"/>
          </w:tcPr>
          <w:p w14:paraId="605BE74A" w14:textId="77777777" w:rsidR="007B1B1A" w:rsidRPr="00C03735" w:rsidRDefault="007B1B1A" w:rsidP="000172FD">
            <w:pPr>
              <w:rPr>
                <w:rFonts w:ascii="Times New Roman" w:hAnsi="Times New Roman" w:cs="Times New Roman"/>
                <w:sz w:val="24"/>
                <w:szCs w:val="24"/>
              </w:rPr>
            </w:pPr>
            <w:r w:rsidRPr="00C03735">
              <w:rPr>
                <w:rFonts w:ascii="Times New Roman" w:hAnsi="Times New Roman" w:cs="Times New Roman"/>
                <w:sz w:val="24"/>
                <w:szCs w:val="24"/>
              </w:rPr>
              <w:t>2014 Deferral</w:t>
            </w:r>
          </w:p>
        </w:tc>
        <w:tc>
          <w:tcPr>
            <w:tcW w:w="1870" w:type="dxa"/>
          </w:tcPr>
          <w:p w14:paraId="40C4EE4E" w14:textId="06671273" w:rsidR="007B1B1A" w:rsidRPr="00C03735" w:rsidRDefault="00D242F9" w:rsidP="00D242F9">
            <w:pPr>
              <w:rPr>
                <w:rFonts w:ascii="Times New Roman" w:hAnsi="Times New Roman" w:cs="Times New Roman"/>
                <w:sz w:val="24"/>
                <w:szCs w:val="24"/>
              </w:rPr>
            </w:pPr>
            <w:r>
              <w:rPr>
                <w:rFonts w:ascii="Times New Roman" w:hAnsi="Times New Roman" w:cs="Times New Roman"/>
                <w:sz w:val="24"/>
                <w:szCs w:val="24"/>
              </w:rPr>
              <w:t xml:space="preserve">        </w:t>
            </w:r>
            <w:r w:rsidR="007B1B1A" w:rsidRPr="00C03735">
              <w:rPr>
                <w:rFonts w:ascii="Times New Roman" w:hAnsi="Times New Roman" w:cs="Times New Roman"/>
                <w:sz w:val="24"/>
                <w:szCs w:val="24"/>
              </w:rPr>
              <w:t>22,137,962</w:t>
            </w:r>
          </w:p>
        </w:tc>
        <w:tc>
          <w:tcPr>
            <w:tcW w:w="1870" w:type="dxa"/>
          </w:tcPr>
          <w:p w14:paraId="5DF6F9CE" w14:textId="17E5E573" w:rsidR="007B1B1A" w:rsidRPr="00C03735" w:rsidRDefault="00D242F9" w:rsidP="00D242F9">
            <w:pPr>
              <w:rPr>
                <w:rFonts w:ascii="Times New Roman" w:hAnsi="Times New Roman" w:cs="Times New Roman"/>
                <w:sz w:val="24"/>
                <w:szCs w:val="24"/>
              </w:rPr>
            </w:pPr>
            <w:r>
              <w:rPr>
                <w:rFonts w:ascii="Times New Roman" w:hAnsi="Times New Roman" w:cs="Times New Roman"/>
                <w:sz w:val="24"/>
                <w:szCs w:val="24"/>
              </w:rPr>
              <w:t xml:space="preserve">           </w:t>
            </w:r>
            <w:r w:rsidR="007B1B1A" w:rsidRPr="00C03735">
              <w:rPr>
                <w:rFonts w:ascii="Times New Roman" w:hAnsi="Times New Roman" w:cs="Times New Roman"/>
                <w:sz w:val="24"/>
                <w:szCs w:val="24"/>
              </w:rPr>
              <w:t>5,999,847</w:t>
            </w:r>
          </w:p>
        </w:tc>
        <w:tc>
          <w:tcPr>
            <w:tcW w:w="1870" w:type="dxa"/>
          </w:tcPr>
          <w:p w14:paraId="59E40D0C" w14:textId="674DBAB9" w:rsidR="007B1B1A" w:rsidRPr="00C03735" w:rsidRDefault="007C0117" w:rsidP="007C0117">
            <w:pPr>
              <w:tabs>
                <w:tab w:val="decimal" w:pos="1428"/>
              </w:tabs>
              <w:rPr>
                <w:rFonts w:ascii="Times New Roman" w:hAnsi="Times New Roman" w:cs="Times New Roman"/>
                <w:sz w:val="24"/>
                <w:szCs w:val="24"/>
              </w:rPr>
            </w:pPr>
            <w:r>
              <w:rPr>
                <w:rFonts w:ascii="Times New Roman" w:hAnsi="Times New Roman" w:cs="Times New Roman"/>
                <w:sz w:val="24"/>
                <w:szCs w:val="24"/>
              </w:rPr>
              <w:t xml:space="preserve">    </w:t>
            </w:r>
            <w:r w:rsidR="007B1B1A">
              <w:rPr>
                <w:rFonts w:ascii="Times New Roman" w:hAnsi="Times New Roman" w:cs="Times New Roman"/>
                <w:sz w:val="24"/>
                <w:szCs w:val="24"/>
              </w:rPr>
              <w:t>28,137,809</w:t>
            </w:r>
          </w:p>
        </w:tc>
      </w:tr>
      <w:tr w:rsidR="007B1B1A" w:rsidRPr="00C03735" w14:paraId="40C9F39E" w14:textId="1CD56A84" w:rsidTr="004D3EBE">
        <w:trPr>
          <w:jc w:val="center"/>
        </w:trPr>
        <w:tc>
          <w:tcPr>
            <w:tcW w:w="1870" w:type="dxa"/>
            <w:tcBorders>
              <w:bottom w:val="single" w:sz="12" w:space="0" w:color="auto"/>
            </w:tcBorders>
          </w:tcPr>
          <w:p w14:paraId="5D16C07F" w14:textId="77777777" w:rsidR="007B1B1A" w:rsidRPr="00C03735" w:rsidRDefault="007B1B1A" w:rsidP="000172FD">
            <w:pPr>
              <w:rPr>
                <w:rFonts w:ascii="Times New Roman" w:hAnsi="Times New Roman" w:cs="Times New Roman"/>
                <w:sz w:val="24"/>
                <w:szCs w:val="24"/>
              </w:rPr>
            </w:pPr>
            <w:r>
              <w:rPr>
                <w:rFonts w:ascii="Times New Roman" w:hAnsi="Times New Roman" w:cs="Times New Roman"/>
                <w:sz w:val="24"/>
                <w:szCs w:val="24"/>
              </w:rPr>
              <w:t>Interest</w:t>
            </w:r>
          </w:p>
        </w:tc>
        <w:tc>
          <w:tcPr>
            <w:tcW w:w="1870" w:type="dxa"/>
            <w:tcBorders>
              <w:bottom w:val="single" w:sz="12" w:space="0" w:color="auto"/>
            </w:tcBorders>
          </w:tcPr>
          <w:p w14:paraId="4CE3C33E" w14:textId="3B3B81CC" w:rsidR="007B1B1A" w:rsidRPr="00C03735" w:rsidRDefault="00D242F9" w:rsidP="00D242F9">
            <w:pPr>
              <w:rPr>
                <w:rFonts w:ascii="Times New Roman" w:hAnsi="Times New Roman" w:cs="Times New Roman"/>
                <w:sz w:val="24"/>
                <w:szCs w:val="24"/>
              </w:rPr>
            </w:pPr>
            <w:r>
              <w:rPr>
                <w:rFonts w:ascii="Times New Roman" w:hAnsi="Times New Roman" w:cs="Times New Roman"/>
                <w:sz w:val="24"/>
                <w:szCs w:val="24"/>
              </w:rPr>
              <w:t xml:space="preserve">               </w:t>
            </w:r>
            <w:r w:rsidR="007B1B1A" w:rsidRPr="00C03735">
              <w:rPr>
                <w:rFonts w:ascii="Times New Roman" w:hAnsi="Times New Roman" w:cs="Times New Roman"/>
                <w:sz w:val="24"/>
                <w:szCs w:val="24"/>
              </w:rPr>
              <w:t>67,481</w:t>
            </w:r>
          </w:p>
        </w:tc>
        <w:tc>
          <w:tcPr>
            <w:tcW w:w="1870" w:type="dxa"/>
            <w:tcBorders>
              <w:bottom w:val="single" w:sz="12" w:space="0" w:color="auto"/>
            </w:tcBorders>
          </w:tcPr>
          <w:p w14:paraId="58C60C12" w14:textId="69A0190F" w:rsidR="007B1B1A" w:rsidRPr="00C03735" w:rsidRDefault="00D242F9" w:rsidP="00D242F9">
            <w:pPr>
              <w:rPr>
                <w:rFonts w:ascii="Times New Roman" w:hAnsi="Times New Roman" w:cs="Times New Roman"/>
                <w:sz w:val="24"/>
                <w:szCs w:val="24"/>
              </w:rPr>
            </w:pPr>
            <w:r>
              <w:rPr>
                <w:rFonts w:ascii="Times New Roman" w:hAnsi="Times New Roman" w:cs="Times New Roman"/>
                <w:sz w:val="24"/>
                <w:szCs w:val="24"/>
              </w:rPr>
              <w:t xml:space="preserve">                </w:t>
            </w:r>
            <w:r w:rsidR="007B1B1A" w:rsidRPr="00C03735">
              <w:rPr>
                <w:rFonts w:ascii="Times New Roman" w:hAnsi="Times New Roman" w:cs="Times New Roman"/>
                <w:sz w:val="24"/>
                <w:szCs w:val="24"/>
              </w:rPr>
              <w:t>95,049</w:t>
            </w:r>
          </w:p>
        </w:tc>
        <w:tc>
          <w:tcPr>
            <w:tcW w:w="1870" w:type="dxa"/>
            <w:tcBorders>
              <w:bottom w:val="single" w:sz="12" w:space="0" w:color="auto"/>
            </w:tcBorders>
          </w:tcPr>
          <w:p w14:paraId="426405AC" w14:textId="4563F319" w:rsidR="007B1B1A" w:rsidRPr="00C03735" w:rsidRDefault="007C0117" w:rsidP="007C0117">
            <w:pPr>
              <w:tabs>
                <w:tab w:val="decimal" w:pos="1428"/>
              </w:tabs>
              <w:rPr>
                <w:rFonts w:ascii="Times New Roman" w:hAnsi="Times New Roman" w:cs="Times New Roman"/>
                <w:sz w:val="24"/>
                <w:szCs w:val="24"/>
              </w:rPr>
            </w:pPr>
            <w:r>
              <w:rPr>
                <w:rFonts w:ascii="Times New Roman" w:hAnsi="Times New Roman" w:cs="Times New Roman"/>
                <w:sz w:val="24"/>
                <w:szCs w:val="24"/>
              </w:rPr>
              <w:t xml:space="preserve">        </w:t>
            </w:r>
            <w:r w:rsidR="007B1B1A">
              <w:rPr>
                <w:rFonts w:ascii="Times New Roman" w:hAnsi="Times New Roman" w:cs="Times New Roman"/>
                <w:sz w:val="24"/>
                <w:szCs w:val="24"/>
              </w:rPr>
              <w:t>162,530</w:t>
            </w:r>
          </w:p>
        </w:tc>
      </w:tr>
      <w:tr w:rsidR="007B1B1A" w:rsidRPr="00C03735" w14:paraId="78883E3C" w14:textId="123A6869" w:rsidTr="004D3EBE">
        <w:trPr>
          <w:jc w:val="center"/>
        </w:trPr>
        <w:tc>
          <w:tcPr>
            <w:tcW w:w="1870" w:type="dxa"/>
            <w:tcBorders>
              <w:top w:val="single" w:sz="12" w:space="0" w:color="auto"/>
            </w:tcBorders>
          </w:tcPr>
          <w:p w14:paraId="1E93CF83" w14:textId="77777777" w:rsidR="007B1B1A" w:rsidRPr="00C03735" w:rsidRDefault="007B1B1A" w:rsidP="007B1B1A">
            <w:pPr>
              <w:jc w:val="center"/>
              <w:rPr>
                <w:rFonts w:ascii="Times New Roman" w:hAnsi="Times New Roman" w:cs="Times New Roman"/>
                <w:b/>
                <w:sz w:val="24"/>
                <w:szCs w:val="24"/>
              </w:rPr>
            </w:pPr>
            <w:r w:rsidRPr="00C03735">
              <w:rPr>
                <w:rFonts w:ascii="Times New Roman" w:hAnsi="Times New Roman" w:cs="Times New Roman"/>
                <w:b/>
                <w:sz w:val="24"/>
                <w:szCs w:val="24"/>
              </w:rPr>
              <w:t>Total</w:t>
            </w:r>
          </w:p>
        </w:tc>
        <w:tc>
          <w:tcPr>
            <w:tcW w:w="1870" w:type="dxa"/>
            <w:tcBorders>
              <w:top w:val="single" w:sz="12" w:space="0" w:color="auto"/>
            </w:tcBorders>
          </w:tcPr>
          <w:p w14:paraId="278CA9A3" w14:textId="74EF358A" w:rsidR="007B1B1A" w:rsidRPr="00C03735" w:rsidRDefault="00D242F9" w:rsidP="00D242F9">
            <w:pPr>
              <w:rPr>
                <w:rFonts w:ascii="Times New Roman" w:hAnsi="Times New Roman" w:cs="Times New Roman"/>
                <w:b/>
                <w:sz w:val="24"/>
                <w:szCs w:val="24"/>
              </w:rPr>
            </w:pPr>
            <w:r>
              <w:rPr>
                <w:rFonts w:ascii="Times New Roman" w:hAnsi="Times New Roman" w:cs="Times New Roman"/>
                <w:b/>
                <w:sz w:val="24"/>
                <w:szCs w:val="24"/>
              </w:rPr>
              <w:t xml:space="preserve">      </w:t>
            </w:r>
            <w:r w:rsidR="007B1B1A" w:rsidRPr="00C03735">
              <w:rPr>
                <w:rFonts w:ascii="Times New Roman" w:hAnsi="Times New Roman" w:cs="Times New Roman"/>
                <w:b/>
                <w:sz w:val="24"/>
                <w:szCs w:val="24"/>
              </w:rPr>
              <w:t>$21,349,092</w:t>
            </w:r>
          </w:p>
        </w:tc>
        <w:tc>
          <w:tcPr>
            <w:tcW w:w="1870" w:type="dxa"/>
            <w:tcBorders>
              <w:top w:val="single" w:sz="12" w:space="0" w:color="auto"/>
            </w:tcBorders>
          </w:tcPr>
          <w:p w14:paraId="5A548BE9" w14:textId="3DEE3BB3" w:rsidR="007B1B1A" w:rsidRPr="00C03735" w:rsidRDefault="00D242F9" w:rsidP="00D242F9">
            <w:pPr>
              <w:rPr>
                <w:rFonts w:ascii="Times New Roman" w:hAnsi="Times New Roman" w:cs="Times New Roman"/>
                <w:b/>
                <w:sz w:val="24"/>
                <w:szCs w:val="24"/>
              </w:rPr>
            </w:pPr>
            <w:r>
              <w:rPr>
                <w:rFonts w:ascii="Times New Roman" w:hAnsi="Times New Roman" w:cs="Times New Roman"/>
                <w:b/>
                <w:sz w:val="24"/>
                <w:szCs w:val="24"/>
              </w:rPr>
              <w:t xml:space="preserve">         </w:t>
            </w:r>
            <w:r w:rsidR="007B1B1A" w:rsidRPr="00C03735">
              <w:rPr>
                <w:rFonts w:ascii="Times New Roman" w:hAnsi="Times New Roman" w:cs="Times New Roman"/>
                <w:b/>
                <w:sz w:val="24"/>
                <w:szCs w:val="24"/>
              </w:rPr>
              <w:t>$6,143,011</w:t>
            </w:r>
          </w:p>
        </w:tc>
        <w:tc>
          <w:tcPr>
            <w:tcW w:w="1870" w:type="dxa"/>
            <w:tcBorders>
              <w:top w:val="single" w:sz="12" w:space="0" w:color="auto"/>
            </w:tcBorders>
          </w:tcPr>
          <w:p w14:paraId="65C43E36" w14:textId="786C00A1" w:rsidR="007B1B1A" w:rsidRPr="00C03735" w:rsidRDefault="007C0117" w:rsidP="007C0117">
            <w:pPr>
              <w:tabs>
                <w:tab w:val="decimal" w:pos="1428"/>
              </w:tabs>
              <w:rPr>
                <w:rFonts w:ascii="Times New Roman" w:hAnsi="Times New Roman" w:cs="Times New Roman"/>
                <w:b/>
                <w:sz w:val="24"/>
                <w:szCs w:val="24"/>
              </w:rPr>
            </w:pPr>
            <w:r>
              <w:rPr>
                <w:rFonts w:ascii="Times New Roman" w:hAnsi="Times New Roman" w:cs="Times New Roman"/>
                <w:b/>
                <w:sz w:val="24"/>
                <w:szCs w:val="24"/>
              </w:rPr>
              <w:t xml:space="preserve">  </w:t>
            </w:r>
            <w:r w:rsidR="007B1B1A">
              <w:rPr>
                <w:rFonts w:ascii="Times New Roman" w:hAnsi="Times New Roman" w:cs="Times New Roman"/>
                <w:b/>
                <w:sz w:val="24"/>
                <w:szCs w:val="24"/>
              </w:rPr>
              <w:t>$27,492,103</w:t>
            </w:r>
          </w:p>
        </w:tc>
      </w:tr>
    </w:tbl>
    <w:p w14:paraId="4C0D208A" w14:textId="77777777" w:rsidR="00410448" w:rsidRDefault="00410448" w:rsidP="0006067B">
      <w:pPr>
        <w:spacing w:after="0" w:line="240" w:lineRule="auto"/>
        <w:rPr>
          <w:rFonts w:ascii="Times New Roman" w:hAnsi="Times New Roman" w:cs="Times New Roman"/>
          <w:sz w:val="24"/>
          <w:szCs w:val="24"/>
        </w:rPr>
      </w:pPr>
    </w:p>
    <w:p w14:paraId="33032598" w14:textId="1D2A5ABA" w:rsidR="009F3D45" w:rsidRDefault="0038232F" w:rsidP="0006067B">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C</w:t>
      </w:r>
      <w:r w:rsidR="00D02D2D" w:rsidRPr="00B60E0C">
        <w:rPr>
          <w:rFonts w:ascii="Times New Roman" w:hAnsi="Times New Roman" w:cs="Times New Roman"/>
          <w:sz w:val="24"/>
          <w:szCs w:val="24"/>
        </w:rPr>
        <w:t xml:space="preserve">ustomers </w:t>
      </w:r>
      <w:r w:rsidR="003848AA" w:rsidRPr="00B60E0C">
        <w:rPr>
          <w:rFonts w:ascii="Times New Roman" w:hAnsi="Times New Roman" w:cs="Times New Roman"/>
          <w:sz w:val="24"/>
          <w:szCs w:val="24"/>
        </w:rPr>
        <w:t>on</w:t>
      </w:r>
      <w:r w:rsidR="0006067B" w:rsidRPr="00B60E0C">
        <w:rPr>
          <w:rFonts w:ascii="Times New Roman" w:hAnsi="Times New Roman" w:cs="Times New Roman"/>
          <w:sz w:val="24"/>
          <w:szCs w:val="24"/>
        </w:rPr>
        <w:t xml:space="preserve"> </w:t>
      </w:r>
      <w:r w:rsidR="00C80716" w:rsidRPr="00B60E0C">
        <w:rPr>
          <w:rFonts w:ascii="Times New Roman" w:hAnsi="Times New Roman" w:cs="Times New Roman"/>
          <w:sz w:val="24"/>
          <w:szCs w:val="24"/>
        </w:rPr>
        <w:t xml:space="preserve">Schedules 85/85T and </w:t>
      </w:r>
      <w:r w:rsidR="00D02D2D" w:rsidRPr="00B60E0C">
        <w:rPr>
          <w:rFonts w:ascii="Times New Roman" w:hAnsi="Times New Roman" w:cs="Times New Roman"/>
          <w:sz w:val="24"/>
          <w:szCs w:val="24"/>
        </w:rPr>
        <w:t>87</w:t>
      </w:r>
      <w:r w:rsidR="00C80716" w:rsidRPr="00B60E0C">
        <w:rPr>
          <w:rFonts w:ascii="Times New Roman" w:hAnsi="Times New Roman" w:cs="Times New Roman"/>
          <w:sz w:val="24"/>
          <w:szCs w:val="24"/>
        </w:rPr>
        <w:t>/87T</w:t>
      </w:r>
      <w:r w:rsidR="00D02D2D" w:rsidRPr="00B60E0C">
        <w:rPr>
          <w:rFonts w:ascii="Times New Roman" w:hAnsi="Times New Roman" w:cs="Times New Roman"/>
          <w:sz w:val="24"/>
          <w:szCs w:val="24"/>
        </w:rPr>
        <w:t xml:space="preserve"> </w:t>
      </w:r>
      <w:r w:rsidR="00E45894" w:rsidRPr="00B60E0C">
        <w:rPr>
          <w:rFonts w:ascii="Times New Roman" w:hAnsi="Times New Roman" w:cs="Times New Roman"/>
          <w:sz w:val="24"/>
          <w:szCs w:val="24"/>
        </w:rPr>
        <w:t>has been excluded from the decoupling mechanism</w:t>
      </w:r>
      <w:r w:rsidR="009F7E4E" w:rsidRPr="00B60E0C">
        <w:rPr>
          <w:rFonts w:ascii="Times New Roman" w:hAnsi="Times New Roman" w:cs="Times New Roman"/>
          <w:sz w:val="24"/>
          <w:szCs w:val="24"/>
        </w:rPr>
        <w:t xml:space="preserve"> from January 1, 2014</w:t>
      </w:r>
      <w:r w:rsidR="00E45894" w:rsidRPr="00B60E0C">
        <w:rPr>
          <w:rFonts w:ascii="Times New Roman" w:hAnsi="Times New Roman" w:cs="Times New Roman"/>
          <w:sz w:val="24"/>
          <w:szCs w:val="24"/>
        </w:rPr>
        <w:t xml:space="preserve">. They will be credited back </w:t>
      </w:r>
      <w:r w:rsidR="00D02D2D" w:rsidRPr="00B60E0C">
        <w:rPr>
          <w:rFonts w:ascii="Times New Roman" w:hAnsi="Times New Roman" w:cs="Times New Roman"/>
          <w:sz w:val="24"/>
          <w:szCs w:val="24"/>
        </w:rPr>
        <w:t>$</w:t>
      </w:r>
      <w:r w:rsidR="00D36B0A" w:rsidRPr="00B60E0C">
        <w:rPr>
          <w:rFonts w:ascii="Times New Roman" w:hAnsi="Times New Roman" w:cs="Times New Roman"/>
          <w:sz w:val="24"/>
          <w:szCs w:val="24"/>
        </w:rPr>
        <w:t xml:space="preserve">27,957 and </w:t>
      </w:r>
      <w:r w:rsidR="00DF6D1E">
        <w:rPr>
          <w:rFonts w:ascii="Times New Roman" w:hAnsi="Times New Roman" w:cs="Times New Roman"/>
          <w:sz w:val="24"/>
          <w:szCs w:val="24"/>
        </w:rPr>
        <w:t>$</w:t>
      </w:r>
      <w:r w:rsidR="00D36B0A" w:rsidRPr="00B60E0C">
        <w:rPr>
          <w:rFonts w:ascii="Times New Roman" w:hAnsi="Times New Roman" w:cs="Times New Roman"/>
          <w:sz w:val="24"/>
          <w:szCs w:val="24"/>
        </w:rPr>
        <w:t>16,459</w:t>
      </w:r>
      <w:r w:rsidR="00401787">
        <w:rPr>
          <w:rFonts w:ascii="Times New Roman" w:hAnsi="Times New Roman" w:cs="Times New Roman"/>
          <w:sz w:val="24"/>
          <w:szCs w:val="24"/>
        </w:rPr>
        <w:t xml:space="preserve">, respectively as PSE </w:t>
      </w:r>
      <w:r w:rsidR="00E45894" w:rsidRPr="00B60E0C">
        <w:rPr>
          <w:rFonts w:ascii="Times New Roman" w:hAnsi="Times New Roman" w:cs="Times New Roman"/>
          <w:sz w:val="24"/>
          <w:szCs w:val="24"/>
        </w:rPr>
        <w:t xml:space="preserve">zeroes out </w:t>
      </w:r>
      <w:r w:rsidR="00BE3446">
        <w:rPr>
          <w:rFonts w:ascii="Times New Roman" w:hAnsi="Times New Roman" w:cs="Times New Roman"/>
          <w:sz w:val="24"/>
          <w:szCs w:val="24"/>
        </w:rPr>
        <w:t>their</w:t>
      </w:r>
      <w:r w:rsidR="00E45894" w:rsidRPr="00B60E0C">
        <w:rPr>
          <w:rFonts w:ascii="Times New Roman" w:hAnsi="Times New Roman" w:cs="Times New Roman"/>
          <w:sz w:val="24"/>
          <w:szCs w:val="24"/>
        </w:rPr>
        <w:t xml:space="preserve"> 2013 deferral balance</w:t>
      </w:r>
      <w:r w:rsidR="00BE3446">
        <w:rPr>
          <w:rFonts w:ascii="Times New Roman" w:hAnsi="Times New Roman" w:cs="Times New Roman"/>
          <w:sz w:val="24"/>
          <w:szCs w:val="24"/>
        </w:rPr>
        <w:t>s</w:t>
      </w:r>
      <w:r w:rsidR="0006067B" w:rsidRPr="00B60E0C">
        <w:rPr>
          <w:rFonts w:ascii="Times New Roman" w:hAnsi="Times New Roman" w:cs="Times New Roman"/>
          <w:sz w:val="24"/>
          <w:szCs w:val="24"/>
        </w:rPr>
        <w:t xml:space="preserve">. </w:t>
      </w:r>
    </w:p>
    <w:p w14:paraId="0D20C60A" w14:textId="77777777" w:rsidR="004355D6" w:rsidRPr="00B60E0C" w:rsidRDefault="004355D6" w:rsidP="0006067B">
      <w:pPr>
        <w:spacing w:after="0" w:line="240" w:lineRule="auto"/>
        <w:rPr>
          <w:rFonts w:ascii="Times New Roman" w:hAnsi="Times New Roman" w:cs="Times New Roman"/>
          <w:sz w:val="24"/>
          <w:szCs w:val="24"/>
        </w:rPr>
      </w:pPr>
    </w:p>
    <w:p w14:paraId="741870D8" w14:textId="77777777" w:rsidR="00822B5D" w:rsidRPr="00B60E0C" w:rsidRDefault="00822B5D" w:rsidP="00BB4950">
      <w:pPr>
        <w:spacing w:after="0" w:line="240" w:lineRule="auto"/>
        <w:rPr>
          <w:rFonts w:ascii="Times New Roman" w:hAnsi="Times New Roman" w:cs="Times New Roman"/>
          <w:sz w:val="24"/>
          <w:szCs w:val="24"/>
          <w:u w:val="single"/>
        </w:rPr>
      </w:pPr>
      <w:r w:rsidRPr="00B60E0C">
        <w:rPr>
          <w:rFonts w:ascii="Times New Roman" w:hAnsi="Times New Roman" w:cs="Times New Roman"/>
          <w:sz w:val="24"/>
          <w:szCs w:val="24"/>
          <w:u w:val="single"/>
        </w:rPr>
        <w:t>K-factor</w:t>
      </w:r>
    </w:p>
    <w:p w14:paraId="7288A335" w14:textId="77777777" w:rsidR="00D34BE5" w:rsidRDefault="00D34BE5" w:rsidP="00F71CB4">
      <w:pPr>
        <w:spacing w:after="0" w:line="240" w:lineRule="auto"/>
        <w:rPr>
          <w:rFonts w:ascii="Times New Roman" w:hAnsi="Times New Roman" w:cs="Times New Roman"/>
          <w:sz w:val="24"/>
          <w:szCs w:val="24"/>
        </w:rPr>
      </w:pPr>
    </w:p>
    <w:p w14:paraId="7D17C6D5" w14:textId="5FE64462" w:rsidR="00F71CB4" w:rsidRPr="00B60E0C" w:rsidRDefault="00401787" w:rsidP="00F71CB4">
      <w:pPr>
        <w:spacing w:after="0" w:line="240" w:lineRule="auto"/>
        <w:rPr>
          <w:rFonts w:ascii="Times New Roman" w:hAnsi="Times New Roman" w:cs="Times New Roman"/>
          <w:sz w:val="24"/>
          <w:szCs w:val="24"/>
        </w:rPr>
      </w:pPr>
      <w:r>
        <w:rPr>
          <w:rFonts w:ascii="Times New Roman" w:hAnsi="Times New Roman" w:cs="Times New Roman"/>
          <w:sz w:val="24"/>
          <w:szCs w:val="24"/>
        </w:rPr>
        <w:t>PSE’s</w:t>
      </w:r>
      <w:r w:rsidR="00BB4950" w:rsidRPr="00B60E0C">
        <w:rPr>
          <w:rFonts w:ascii="Times New Roman" w:hAnsi="Times New Roman" w:cs="Times New Roman"/>
          <w:sz w:val="24"/>
          <w:szCs w:val="24"/>
        </w:rPr>
        <w:t xml:space="preserve"> allowed delivery</w:t>
      </w:r>
      <w:r w:rsidR="000D6771" w:rsidRPr="00B60E0C">
        <w:rPr>
          <w:rFonts w:ascii="Times New Roman" w:hAnsi="Times New Roman" w:cs="Times New Roman"/>
          <w:sz w:val="24"/>
          <w:szCs w:val="24"/>
        </w:rPr>
        <w:t xml:space="preserve"> revenue</w:t>
      </w:r>
      <w:r w:rsidR="00BB4950" w:rsidRPr="00B60E0C">
        <w:rPr>
          <w:rFonts w:ascii="Times New Roman" w:hAnsi="Times New Roman" w:cs="Times New Roman"/>
          <w:sz w:val="24"/>
          <w:szCs w:val="24"/>
        </w:rPr>
        <w:t xml:space="preserve"> per customer increases each year by 2.2 percent for </w:t>
      </w:r>
      <w:r w:rsidR="00D02D2D" w:rsidRPr="00B60E0C">
        <w:rPr>
          <w:rFonts w:ascii="Times New Roman" w:hAnsi="Times New Roman" w:cs="Times New Roman"/>
          <w:sz w:val="24"/>
          <w:szCs w:val="24"/>
        </w:rPr>
        <w:t xml:space="preserve">natural </w:t>
      </w:r>
      <w:r w:rsidR="00BB4950" w:rsidRPr="00B60E0C">
        <w:rPr>
          <w:rFonts w:ascii="Times New Roman" w:hAnsi="Times New Roman" w:cs="Times New Roman"/>
          <w:sz w:val="24"/>
          <w:szCs w:val="24"/>
        </w:rPr>
        <w:t>gas.</w:t>
      </w:r>
      <w:r w:rsidR="00F65EDD" w:rsidRPr="00B60E0C">
        <w:rPr>
          <w:rFonts w:ascii="Times New Roman" w:hAnsi="Times New Roman" w:cs="Times New Roman"/>
          <w:sz w:val="24"/>
          <w:szCs w:val="24"/>
        </w:rPr>
        <w:t xml:space="preserve"> </w:t>
      </w:r>
      <w:r w:rsidR="005A65F5" w:rsidRPr="00B60E0C">
        <w:rPr>
          <w:rFonts w:ascii="Times New Roman" w:hAnsi="Times New Roman" w:cs="Times New Roman"/>
          <w:sz w:val="24"/>
          <w:szCs w:val="24"/>
        </w:rPr>
        <w:t xml:space="preserve">The </w:t>
      </w:r>
      <w:r w:rsidR="00F71CB4" w:rsidRPr="00B60E0C">
        <w:rPr>
          <w:rFonts w:ascii="Times New Roman" w:hAnsi="Times New Roman" w:cs="Times New Roman"/>
          <w:sz w:val="24"/>
          <w:szCs w:val="24"/>
        </w:rPr>
        <w:t xml:space="preserve">forecasted allowed volumetric delivery revenue for 2015 rate year will increase from 2014 rate year by </w:t>
      </w:r>
      <w:r w:rsidR="00367FFB">
        <w:rPr>
          <w:rFonts w:ascii="Times New Roman" w:hAnsi="Times New Roman" w:cs="Times New Roman"/>
          <w:sz w:val="24"/>
          <w:szCs w:val="24"/>
        </w:rPr>
        <w:t>$14,165,260</w:t>
      </w:r>
      <w:r w:rsidR="00F71CB4" w:rsidRPr="00B60E0C">
        <w:rPr>
          <w:rFonts w:ascii="Times New Roman" w:hAnsi="Times New Roman" w:cs="Times New Roman"/>
          <w:sz w:val="24"/>
          <w:szCs w:val="24"/>
        </w:rPr>
        <w:t>.</w:t>
      </w:r>
      <w:r w:rsidR="00367FFB">
        <w:rPr>
          <w:rFonts w:ascii="Times New Roman" w:hAnsi="Times New Roman" w:cs="Times New Roman"/>
          <w:sz w:val="24"/>
          <w:szCs w:val="24"/>
        </w:rPr>
        <w:t xml:space="preserve"> Increases for residential and non-residential customers are $10,840,437 and $3,324,823, respectively.</w:t>
      </w:r>
      <w:r w:rsidR="00F71CB4" w:rsidRPr="00B60E0C">
        <w:rPr>
          <w:rStyle w:val="FootnoteReference"/>
          <w:rFonts w:ascii="Times New Roman" w:hAnsi="Times New Roman" w:cs="Times New Roman"/>
          <w:sz w:val="24"/>
          <w:szCs w:val="24"/>
        </w:rPr>
        <w:footnoteReference w:id="7"/>
      </w:r>
      <w:r w:rsidR="00F71CB4" w:rsidRPr="00B60E0C">
        <w:rPr>
          <w:rFonts w:ascii="Times New Roman" w:hAnsi="Times New Roman" w:cs="Times New Roman"/>
          <w:sz w:val="24"/>
          <w:szCs w:val="24"/>
        </w:rPr>
        <w:t xml:space="preserve"> </w:t>
      </w:r>
    </w:p>
    <w:p w14:paraId="449401D9" w14:textId="77777777" w:rsidR="00F71CB4" w:rsidRPr="00B60E0C" w:rsidRDefault="00F71CB4" w:rsidP="00D02D2D">
      <w:pPr>
        <w:spacing w:after="0" w:line="240" w:lineRule="auto"/>
        <w:rPr>
          <w:rFonts w:ascii="Times New Roman" w:hAnsi="Times New Roman" w:cs="Times New Roman"/>
          <w:sz w:val="24"/>
          <w:szCs w:val="24"/>
        </w:rPr>
      </w:pPr>
    </w:p>
    <w:p w14:paraId="30ADCA2F" w14:textId="77777777" w:rsidR="00AA55A4" w:rsidRDefault="00AA55A4" w:rsidP="00D02D2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Adjustments</w:t>
      </w:r>
    </w:p>
    <w:p w14:paraId="7EEA0F94" w14:textId="77777777" w:rsidR="00D34BE5" w:rsidRDefault="00D34BE5" w:rsidP="00AA55A4">
      <w:pPr>
        <w:spacing w:after="0" w:line="240" w:lineRule="auto"/>
        <w:rPr>
          <w:rFonts w:ascii="Times New Roman" w:hAnsi="Times New Roman" w:cs="Times New Roman"/>
          <w:sz w:val="24"/>
        </w:rPr>
      </w:pPr>
    </w:p>
    <w:p w14:paraId="3A6F9A2D" w14:textId="78702615" w:rsidR="00AA55A4" w:rsidRPr="00B60E0C" w:rsidRDefault="00AA55A4" w:rsidP="00AA55A4">
      <w:pPr>
        <w:spacing w:after="0" w:line="240" w:lineRule="auto"/>
        <w:rPr>
          <w:rFonts w:ascii="Times New Roman" w:hAnsi="Times New Roman" w:cs="Times New Roman"/>
          <w:sz w:val="24"/>
          <w:szCs w:val="24"/>
        </w:rPr>
      </w:pPr>
      <w:r w:rsidRPr="00B60E0C">
        <w:rPr>
          <w:rFonts w:ascii="Times New Roman" w:hAnsi="Times New Roman" w:cs="Times New Roman"/>
          <w:sz w:val="24"/>
        </w:rPr>
        <w:t>The proposed rate increase for residential natural gas</w:t>
      </w:r>
      <w:r w:rsidRPr="00B60E0C">
        <w:rPr>
          <w:rFonts w:ascii="Times New Roman" w:hAnsi="Times New Roman" w:cs="Times New Roman"/>
          <w:color w:val="FF0000"/>
          <w:sz w:val="24"/>
        </w:rPr>
        <w:t xml:space="preserve"> </w:t>
      </w:r>
      <w:r w:rsidRPr="00B60E0C">
        <w:rPr>
          <w:rFonts w:ascii="Times New Roman" w:hAnsi="Times New Roman" w:cs="Times New Roman"/>
          <w:sz w:val="24"/>
        </w:rPr>
        <w:t>customers exceeded the 3</w:t>
      </w:r>
      <w:r w:rsidR="00DF6D1E">
        <w:rPr>
          <w:rFonts w:ascii="Times New Roman" w:hAnsi="Times New Roman" w:cs="Times New Roman"/>
          <w:sz w:val="24"/>
        </w:rPr>
        <w:t xml:space="preserve"> percent</w:t>
      </w:r>
      <w:r w:rsidRPr="00B60E0C">
        <w:rPr>
          <w:rFonts w:ascii="Times New Roman" w:hAnsi="Times New Roman" w:cs="Times New Roman"/>
          <w:sz w:val="24"/>
        </w:rPr>
        <w:t xml:space="preserve"> soft cap. </w:t>
      </w:r>
      <w:r w:rsidR="007F79ED">
        <w:rPr>
          <w:rFonts w:ascii="Times New Roman" w:hAnsi="Times New Roman" w:cs="Times New Roman"/>
          <w:sz w:val="24"/>
        </w:rPr>
        <w:t>PSE</w:t>
      </w:r>
      <w:r w:rsidRPr="00B60E0C">
        <w:rPr>
          <w:rFonts w:ascii="Times New Roman" w:hAnsi="Times New Roman" w:cs="Times New Roman"/>
          <w:sz w:val="24"/>
        </w:rPr>
        <w:t xml:space="preserve"> will defer the </w:t>
      </w:r>
      <w:r w:rsidR="007F79ED">
        <w:rPr>
          <w:rFonts w:ascii="Times New Roman" w:hAnsi="Times New Roman" w:cs="Times New Roman"/>
          <w:sz w:val="24"/>
        </w:rPr>
        <w:t xml:space="preserve">excess </w:t>
      </w:r>
      <w:r w:rsidRPr="00B60E0C">
        <w:rPr>
          <w:rFonts w:ascii="Times New Roman" w:hAnsi="Times New Roman" w:cs="Times New Roman"/>
          <w:sz w:val="24"/>
        </w:rPr>
        <w:t>revenue requirement, approximately $8.2 million, to next year.</w:t>
      </w:r>
    </w:p>
    <w:p w14:paraId="667A7E1F" w14:textId="77777777" w:rsidR="00AA55A4" w:rsidRPr="00B60E0C" w:rsidRDefault="00AA55A4" w:rsidP="00AA55A4">
      <w:pPr>
        <w:spacing w:after="0" w:line="240" w:lineRule="auto"/>
        <w:rPr>
          <w:rFonts w:ascii="Times New Roman" w:hAnsi="Times New Roman" w:cs="Times New Roman"/>
          <w:sz w:val="24"/>
          <w:szCs w:val="24"/>
        </w:rPr>
      </w:pPr>
    </w:p>
    <w:p w14:paraId="044559EF" w14:textId="74EA0C15" w:rsidR="00AA55A4" w:rsidRPr="00B60E0C" w:rsidRDefault="00870766" w:rsidP="00AA55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on </w:t>
      </w:r>
      <w:r w:rsidR="0037410E">
        <w:rPr>
          <w:rFonts w:ascii="Times New Roman" w:hAnsi="Times New Roman" w:cs="Times New Roman"/>
          <w:sz w:val="24"/>
          <w:szCs w:val="24"/>
        </w:rPr>
        <w:t>its</w:t>
      </w:r>
      <w:r w:rsidR="00AA55A4" w:rsidRPr="00B60E0C">
        <w:rPr>
          <w:rFonts w:ascii="Times New Roman" w:hAnsi="Times New Roman" w:cs="Times New Roman"/>
          <w:sz w:val="24"/>
          <w:szCs w:val="24"/>
        </w:rPr>
        <w:t xml:space="preserve"> Commission Basis Report for the twelve months ending December 2014, </w:t>
      </w:r>
      <w:r w:rsidR="0037410E">
        <w:rPr>
          <w:rFonts w:ascii="Times New Roman" w:hAnsi="Times New Roman" w:cs="Times New Roman"/>
          <w:sz w:val="24"/>
          <w:szCs w:val="24"/>
        </w:rPr>
        <w:t>PSE earned 7.87 percent rate of return o</w:t>
      </w:r>
      <w:r w:rsidR="00AA55A4" w:rsidRPr="00B60E0C">
        <w:rPr>
          <w:rFonts w:ascii="Times New Roman" w:hAnsi="Times New Roman" w:cs="Times New Roman"/>
          <w:sz w:val="24"/>
          <w:szCs w:val="24"/>
        </w:rPr>
        <w:t>n its natural gas business</w:t>
      </w:r>
      <w:r w:rsidR="0037410E">
        <w:rPr>
          <w:rFonts w:ascii="Times New Roman" w:hAnsi="Times New Roman" w:cs="Times New Roman"/>
          <w:sz w:val="24"/>
          <w:szCs w:val="24"/>
        </w:rPr>
        <w:t>, exceeding its a</w:t>
      </w:r>
      <w:r w:rsidR="00AA55A4" w:rsidRPr="00B60E0C">
        <w:rPr>
          <w:rFonts w:ascii="Times New Roman" w:hAnsi="Times New Roman" w:cs="Times New Roman"/>
          <w:sz w:val="24"/>
          <w:szCs w:val="24"/>
        </w:rPr>
        <w:t>uthorized 7.</w:t>
      </w:r>
      <w:r w:rsidR="00535F8A">
        <w:rPr>
          <w:rFonts w:ascii="Times New Roman" w:hAnsi="Times New Roman" w:cs="Times New Roman"/>
          <w:sz w:val="24"/>
          <w:szCs w:val="24"/>
        </w:rPr>
        <w:t>77 percent.</w:t>
      </w:r>
      <w:r w:rsidR="007D64C5" w:rsidRPr="00B60E0C">
        <w:rPr>
          <w:rStyle w:val="FootnoteReference"/>
          <w:rFonts w:ascii="Times New Roman" w:hAnsi="Times New Roman" w:cs="Times New Roman"/>
          <w:sz w:val="24"/>
          <w:szCs w:val="24"/>
        </w:rPr>
        <w:footnoteReference w:id="8"/>
      </w:r>
      <w:r w:rsidR="00535F8A">
        <w:rPr>
          <w:rFonts w:ascii="Times New Roman" w:hAnsi="Times New Roman" w:cs="Times New Roman"/>
          <w:sz w:val="24"/>
          <w:szCs w:val="24"/>
        </w:rPr>
        <w:t xml:space="preserve"> As </w:t>
      </w:r>
      <w:r w:rsidR="00BE3446">
        <w:rPr>
          <w:rFonts w:ascii="Times New Roman" w:hAnsi="Times New Roman" w:cs="Times New Roman"/>
          <w:sz w:val="24"/>
          <w:szCs w:val="24"/>
        </w:rPr>
        <w:t>required</w:t>
      </w:r>
      <w:r w:rsidR="00AA55A4" w:rsidRPr="00B60E0C">
        <w:rPr>
          <w:rFonts w:ascii="Times New Roman" w:hAnsi="Times New Roman" w:cs="Times New Roman"/>
          <w:sz w:val="24"/>
          <w:szCs w:val="24"/>
        </w:rPr>
        <w:t xml:space="preserve">, </w:t>
      </w:r>
      <w:r w:rsidR="00401787">
        <w:rPr>
          <w:rFonts w:ascii="Times New Roman" w:hAnsi="Times New Roman" w:cs="Times New Roman"/>
          <w:sz w:val="24"/>
          <w:szCs w:val="24"/>
        </w:rPr>
        <w:t>PSE</w:t>
      </w:r>
      <w:r w:rsidR="00AA55A4" w:rsidRPr="00B60E0C">
        <w:rPr>
          <w:rFonts w:ascii="Times New Roman" w:hAnsi="Times New Roman" w:cs="Times New Roman"/>
          <w:sz w:val="24"/>
          <w:szCs w:val="24"/>
        </w:rPr>
        <w:t xml:space="preserve"> will </w:t>
      </w:r>
      <w:r w:rsidR="00535F8A">
        <w:rPr>
          <w:rFonts w:ascii="Times New Roman" w:hAnsi="Times New Roman" w:cs="Times New Roman"/>
          <w:sz w:val="24"/>
          <w:szCs w:val="24"/>
        </w:rPr>
        <w:t>refund</w:t>
      </w:r>
      <w:r w:rsidR="00AA55A4" w:rsidRPr="00B60E0C">
        <w:rPr>
          <w:rFonts w:ascii="Times New Roman" w:hAnsi="Times New Roman" w:cs="Times New Roman"/>
          <w:sz w:val="24"/>
          <w:szCs w:val="24"/>
        </w:rPr>
        <w:t xml:space="preserve"> half of its excess earning</w:t>
      </w:r>
      <w:r w:rsidR="00535F8A">
        <w:rPr>
          <w:rFonts w:ascii="Times New Roman" w:hAnsi="Times New Roman" w:cs="Times New Roman"/>
          <w:sz w:val="24"/>
          <w:szCs w:val="24"/>
        </w:rPr>
        <w:t>s</w:t>
      </w:r>
      <w:r w:rsidR="00AA55A4" w:rsidRPr="00B60E0C">
        <w:rPr>
          <w:rFonts w:ascii="Times New Roman" w:hAnsi="Times New Roman" w:cs="Times New Roman"/>
          <w:sz w:val="24"/>
          <w:szCs w:val="24"/>
        </w:rPr>
        <w:t xml:space="preserve">, $811,398, </w:t>
      </w:r>
      <w:r w:rsidR="00535F8A">
        <w:rPr>
          <w:rFonts w:ascii="Times New Roman" w:hAnsi="Times New Roman" w:cs="Times New Roman"/>
          <w:sz w:val="24"/>
          <w:szCs w:val="24"/>
        </w:rPr>
        <w:t>to</w:t>
      </w:r>
      <w:r w:rsidR="00592CDA">
        <w:rPr>
          <w:rFonts w:ascii="Times New Roman" w:hAnsi="Times New Roman" w:cs="Times New Roman"/>
          <w:sz w:val="24"/>
          <w:szCs w:val="24"/>
        </w:rPr>
        <w:t xml:space="preserve"> </w:t>
      </w:r>
      <w:r w:rsidR="00AA55A4" w:rsidRPr="00B60E0C">
        <w:rPr>
          <w:rFonts w:ascii="Times New Roman" w:hAnsi="Times New Roman" w:cs="Times New Roman"/>
          <w:sz w:val="24"/>
          <w:szCs w:val="24"/>
        </w:rPr>
        <w:t xml:space="preserve">customers. </w:t>
      </w:r>
    </w:p>
    <w:p w14:paraId="7397E429" w14:textId="77777777" w:rsidR="00AA55A4" w:rsidRPr="00B60E0C" w:rsidRDefault="00AA55A4" w:rsidP="00AA55A4">
      <w:pPr>
        <w:spacing w:after="0" w:line="240" w:lineRule="auto"/>
        <w:rPr>
          <w:rFonts w:ascii="Times New Roman" w:hAnsi="Times New Roman" w:cs="Times New Roman"/>
          <w:sz w:val="24"/>
          <w:szCs w:val="24"/>
        </w:rPr>
      </w:pPr>
    </w:p>
    <w:p w14:paraId="741870DB" w14:textId="73994C10" w:rsidR="00D02D2D" w:rsidRPr="00B60E0C" w:rsidRDefault="004702E4" w:rsidP="00D02D2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Impact on Customer Bill and Company Revenue</w:t>
      </w:r>
    </w:p>
    <w:p w14:paraId="74648D2F" w14:textId="77777777" w:rsidR="00D34BE5" w:rsidRDefault="00D34BE5" w:rsidP="00D02D2D">
      <w:pPr>
        <w:spacing w:after="0" w:line="240" w:lineRule="auto"/>
        <w:rPr>
          <w:rFonts w:ascii="Times New Roman" w:hAnsi="Times New Roman" w:cs="Times New Roman"/>
          <w:sz w:val="24"/>
          <w:szCs w:val="24"/>
        </w:rPr>
      </w:pPr>
    </w:p>
    <w:p w14:paraId="1F690ECD" w14:textId="3B9AA1B0" w:rsidR="00D34BE5" w:rsidRDefault="00D34BE5" w:rsidP="00D02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of the combined effects of the K-factor and deferral, </w:t>
      </w:r>
      <w:r w:rsidR="00401787">
        <w:rPr>
          <w:rFonts w:ascii="Times New Roman" w:hAnsi="Times New Roman" w:cs="Times New Roman"/>
          <w:sz w:val="24"/>
          <w:szCs w:val="24"/>
        </w:rPr>
        <w:t>PSE</w:t>
      </w:r>
      <w:r>
        <w:rPr>
          <w:rFonts w:ascii="Times New Roman" w:hAnsi="Times New Roman" w:cs="Times New Roman"/>
          <w:sz w:val="24"/>
          <w:szCs w:val="24"/>
        </w:rPr>
        <w:t xml:space="preserve"> proposes to increase the decoupling adjustment rate </w:t>
      </w:r>
      <w:r w:rsidR="00BE3446">
        <w:rPr>
          <w:rFonts w:ascii="Times New Roman" w:hAnsi="Times New Roman" w:cs="Times New Roman"/>
          <w:sz w:val="24"/>
          <w:szCs w:val="24"/>
        </w:rPr>
        <w:t xml:space="preserve">for residential customers </w:t>
      </w:r>
      <w:r>
        <w:rPr>
          <w:rFonts w:ascii="Times New Roman" w:hAnsi="Times New Roman" w:cs="Times New Roman"/>
          <w:sz w:val="24"/>
          <w:szCs w:val="24"/>
        </w:rPr>
        <w:t xml:space="preserve">by $0.03253, from $0.00677 to $0.03930. </w:t>
      </w:r>
      <w:r w:rsidRPr="00B60E0C">
        <w:rPr>
          <w:rFonts w:ascii="Times New Roman" w:hAnsi="Times New Roman" w:cs="Times New Roman"/>
          <w:sz w:val="24"/>
          <w:szCs w:val="24"/>
        </w:rPr>
        <w:t xml:space="preserve">A residential customer using 68 therms </w:t>
      </w:r>
      <w:r w:rsidRPr="00B60E0C">
        <w:rPr>
          <w:rFonts w:ascii="Times New Roman" w:hAnsi="Times New Roman" w:cs="Times New Roman"/>
          <w:sz w:val="24"/>
        </w:rPr>
        <w:t>would pay $2.22 more per month from $79.04 to $81.26.</w:t>
      </w:r>
      <w:r w:rsidR="00BE3446" w:rsidRPr="00BE3446">
        <w:rPr>
          <w:rFonts w:ascii="Times New Roman" w:hAnsi="Times New Roman" w:cs="Times New Roman"/>
          <w:sz w:val="24"/>
          <w:szCs w:val="24"/>
        </w:rPr>
        <w:t xml:space="preserve"> </w:t>
      </w:r>
      <w:r w:rsidR="00BE3446">
        <w:rPr>
          <w:rFonts w:ascii="Times New Roman" w:hAnsi="Times New Roman" w:cs="Times New Roman"/>
          <w:sz w:val="24"/>
          <w:szCs w:val="24"/>
        </w:rPr>
        <w:t>Rate changes for non-residential customers vary by blocks.</w:t>
      </w:r>
    </w:p>
    <w:p w14:paraId="56F77F89" w14:textId="77777777" w:rsidR="00D34BE5" w:rsidRDefault="00D34BE5" w:rsidP="00D02D2D">
      <w:pPr>
        <w:spacing w:after="0" w:line="240" w:lineRule="auto"/>
        <w:rPr>
          <w:rFonts w:ascii="Times New Roman" w:hAnsi="Times New Roman" w:cs="Times New Roman"/>
          <w:sz w:val="24"/>
          <w:szCs w:val="24"/>
        </w:rPr>
      </w:pPr>
    </w:p>
    <w:p w14:paraId="1370D01E" w14:textId="77777777" w:rsidR="007B1B1A" w:rsidRPr="00B60E0C" w:rsidRDefault="007B1B1A" w:rsidP="007B1B1A">
      <w:pPr>
        <w:spacing w:after="0" w:line="240" w:lineRule="auto"/>
        <w:rPr>
          <w:rFonts w:ascii="Times New Roman" w:hAnsi="Times New Roman" w:cs="Times New Roman"/>
          <w:sz w:val="24"/>
          <w:szCs w:val="24"/>
        </w:rPr>
      </w:pPr>
      <w:r>
        <w:rPr>
          <w:rFonts w:ascii="Times New Roman" w:hAnsi="Times New Roman" w:cs="Times New Roman"/>
          <w:sz w:val="24"/>
          <w:szCs w:val="24"/>
        </w:rPr>
        <w:t>Attachment 1 shows revenue impact for different customer groups.</w:t>
      </w:r>
      <w:r w:rsidRPr="007B1B1A">
        <w:rPr>
          <w:rFonts w:ascii="Times New Roman" w:hAnsi="Times New Roman" w:cs="Times New Roman"/>
          <w:sz w:val="24"/>
          <w:szCs w:val="24"/>
        </w:rPr>
        <w:t xml:space="preserve"> </w:t>
      </w:r>
      <w:r w:rsidRPr="00B60E0C">
        <w:rPr>
          <w:rFonts w:ascii="Times New Roman" w:hAnsi="Times New Roman" w:cs="Times New Roman"/>
          <w:sz w:val="24"/>
          <w:szCs w:val="24"/>
        </w:rPr>
        <w:t xml:space="preserve">The </w:t>
      </w:r>
      <w:r>
        <w:rPr>
          <w:rFonts w:ascii="Times New Roman" w:hAnsi="Times New Roman" w:cs="Times New Roman"/>
          <w:sz w:val="24"/>
          <w:szCs w:val="24"/>
        </w:rPr>
        <w:t xml:space="preserve">total </w:t>
      </w:r>
      <w:r w:rsidRPr="00B60E0C">
        <w:rPr>
          <w:rFonts w:ascii="Times New Roman" w:hAnsi="Times New Roman" w:cs="Times New Roman"/>
          <w:sz w:val="24"/>
          <w:szCs w:val="24"/>
        </w:rPr>
        <w:t>revenue impact</w:t>
      </w:r>
      <w:r>
        <w:rPr>
          <w:rFonts w:ascii="Times New Roman" w:hAnsi="Times New Roman" w:cs="Times New Roman"/>
          <w:sz w:val="24"/>
          <w:szCs w:val="24"/>
        </w:rPr>
        <w:t xml:space="preserve"> due to decoupling rate changes for all schedules is as follows.</w:t>
      </w:r>
    </w:p>
    <w:p w14:paraId="741870DD" w14:textId="147DFB4C" w:rsidR="00D02D2D" w:rsidRPr="00B60E0C" w:rsidRDefault="00D02D2D" w:rsidP="00D02D2D">
      <w:pPr>
        <w:spacing w:after="0" w:line="240" w:lineRule="auto"/>
        <w:rPr>
          <w:rFonts w:ascii="Times New Roman" w:hAnsi="Times New Roman" w:cs="Times New Roman"/>
          <w:sz w:val="24"/>
          <w:szCs w:val="24"/>
        </w:rPr>
      </w:pPr>
    </w:p>
    <w:p w14:paraId="741870DE" w14:textId="4690B7D7" w:rsidR="00D02D2D" w:rsidRPr="00B60E0C" w:rsidRDefault="00D02D2D" w:rsidP="009F3D45">
      <w:pPr>
        <w:tabs>
          <w:tab w:val="left" w:pos="2160"/>
          <w:tab w:val="right" w:pos="3330"/>
        </w:tabs>
        <w:spacing w:after="0" w:line="240" w:lineRule="auto"/>
        <w:ind w:left="720" w:firstLine="360"/>
        <w:rPr>
          <w:rFonts w:ascii="Times New Roman" w:hAnsi="Times New Roman" w:cs="Times New Roman"/>
          <w:sz w:val="24"/>
          <w:szCs w:val="24"/>
        </w:rPr>
      </w:pPr>
      <w:r w:rsidRPr="00B60E0C">
        <w:rPr>
          <w:rFonts w:ascii="Times New Roman" w:hAnsi="Times New Roman" w:cs="Times New Roman"/>
          <w:sz w:val="24"/>
          <w:szCs w:val="24"/>
        </w:rPr>
        <w:t>K-factor:</w:t>
      </w:r>
      <w:r w:rsidR="003564AB" w:rsidRPr="00B60E0C">
        <w:rPr>
          <w:rFonts w:ascii="Times New Roman" w:hAnsi="Times New Roman" w:cs="Times New Roman"/>
          <w:sz w:val="24"/>
          <w:szCs w:val="24"/>
        </w:rPr>
        <w:tab/>
      </w:r>
      <w:r w:rsidRPr="00B60E0C">
        <w:rPr>
          <w:rFonts w:ascii="Times New Roman" w:hAnsi="Times New Roman" w:cs="Times New Roman"/>
          <w:sz w:val="24"/>
          <w:szCs w:val="24"/>
        </w:rPr>
        <w:t>$</w:t>
      </w:r>
      <w:r w:rsidR="009F3D45" w:rsidRPr="00B60E0C">
        <w:rPr>
          <w:rFonts w:ascii="Times New Roman" w:hAnsi="Times New Roman" w:cs="Times New Roman"/>
          <w:sz w:val="24"/>
          <w:szCs w:val="24"/>
        </w:rPr>
        <w:tab/>
      </w:r>
      <w:r w:rsidR="00C80716" w:rsidRPr="00B60E0C">
        <w:rPr>
          <w:rFonts w:ascii="Times New Roman" w:hAnsi="Times New Roman" w:cs="Times New Roman"/>
          <w:sz w:val="24"/>
          <w:szCs w:val="24"/>
        </w:rPr>
        <w:t xml:space="preserve">    (996,102)</w:t>
      </w:r>
    </w:p>
    <w:p w14:paraId="741870DF" w14:textId="569AF825" w:rsidR="00D02D2D" w:rsidRPr="00B60E0C" w:rsidRDefault="00D02D2D" w:rsidP="009F3D45">
      <w:pPr>
        <w:tabs>
          <w:tab w:val="left" w:pos="1080"/>
          <w:tab w:val="right" w:pos="1440"/>
          <w:tab w:val="left" w:pos="2160"/>
          <w:tab w:val="right" w:pos="3330"/>
        </w:tabs>
        <w:spacing w:after="0" w:line="240" w:lineRule="auto"/>
        <w:ind w:left="720"/>
        <w:rPr>
          <w:rFonts w:ascii="Times New Roman" w:hAnsi="Times New Roman" w:cs="Times New Roman"/>
          <w:sz w:val="24"/>
          <w:szCs w:val="24"/>
          <w:u w:val="single"/>
        </w:rPr>
      </w:pPr>
      <w:r w:rsidRPr="00B60E0C">
        <w:rPr>
          <w:rFonts w:ascii="Times New Roman" w:hAnsi="Times New Roman" w:cs="Times New Roman"/>
          <w:sz w:val="24"/>
          <w:szCs w:val="24"/>
          <w:u w:val="single"/>
        </w:rPr>
        <w:t>+</w:t>
      </w:r>
      <w:r w:rsidRPr="00B60E0C">
        <w:rPr>
          <w:rFonts w:ascii="Times New Roman" w:hAnsi="Times New Roman" w:cs="Times New Roman"/>
          <w:sz w:val="24"/>
          <w:szCs w:val="24"/>
          <w:u w:val="single"/>
        </w:rPr>
        <w:tab/>
      </w:r>
      <w:r w:rsidR="003564AB" w:rsidRPr="00B60E0C">
        <w:rPr>
          <w:rFonts w:ascii="Times New Roman" w:hAnsi="Times New Roman" w:cs="Times New Roman"/>
          <w:sz w:val="24"/>
          <w:szCs w:val="24"/>
          <w:u w:val="single"/>
        </w:rPr>
        <w:tab/>
      </w:r>
      <w:r w:rsidRPr="00B60E0C">
        <w:rPr>
          <w:rFonts w:ascii="Times New Roman" w:hAnsi="Times New Roman" w:cs="Times New Roman"/>
          <w:sz w:val="24"/>
          <w:szCs w:val="24"/>
          <w:u w:val="single"/>
        </w:rPr>
        <w:t>Deferral:</w:t>
      </w:r>
      <w:r w:rsidR="003564AB" w:rsidRPr="00B60E0C">
        <w:rPr>
          <w:rFonts w:ascii="Times New Roman" w:hAnsi="Times New Roman" w:cs="Times New Roman"/>
          <w:sz w:val="24"/>
          <w:szCs w:val="24"/>
          <w:u w:val="single"/>
        </w:rPr>
        <w:tab/>
      </w:r>
      <w:r w:rsidRPr="00B60E0C">
        <w:rPr>
          <w:rFonts w:ascii="Times New Roman" w:hAnsi="Times New Roman" w:cs="Times New Roman"/>
          <w:sz w:val="24"/>
          <w:szCs w:val="24"/>
          <w:u w:val="single"/>
        </w:rPr>
        <w:t>$</w:t>
      </w:r>
      <w:r w:rsidR="00C80716" w:rsidRPr="00B60E0C">
        <w:rPr>
          <w:rFonts w:ascii="Times New Roman" w:hAnsi="Times New Roman" w:cs="Times New Roman"/>
          <w:sz w:val="24"/>
          <w:szCs w:val="24"/>
          <w:u w:val="single"/>
        </w:rPr>
        <w:t xml:space="preserve"> 23,009,281</w:t>
      </w:r>
    </w:p>
    <w:p w14:paraId="4E8F3FC1" w14:textId="74BF5B57" w:rsidR="000342BF" w:rsidRPr="00B60E0C" w:rsidRDefault="003564AB" w:rsidP="004C3746">
      <w:pPr>
        <w:tabs>
          <w:tab w:val="left" w:pos="1080"/>
          <w:tab w:val="left" w:pos="2160"/>
          <w:tab w:val="right" w:pos="3420"/>
        </w:tabs>
        <w:spacing w:after="0" w:line="240" w:lineRule="auto"/>
        <w:ind w:firstLine="720"/>
        <w:rPr>
          <w:rFonts w:ascii="Times New Roman" w:hAnsi="Times New Roman" w:cs="Times New Roman"/>
          <w:sz w:val="24"/>
          <w:szCs w:val="24"/>
        </w:rPr>
      </w:pPr>
      <w:r w:rsidRPr="00B60E0C">
        <w:rPr>
          <w:rFonts w:ascii="Times New Roman" w:hAnsi="Times New Roman" w:cs="Times New Roman"/>
          <w:sz w:val="24"/>
          <w:szCs w:val="24"/>
        </w:rPr>
        <w:t>=</w:t>
      </w:r>
      <w:r w:rsidRPr="00B60E0C">
        <w:rPr>
          <w:rFonts w:ascii="Times New Roman" w:hAnsi="Times New Roman" w:cs="Times New Roman"/>
          <w:sz w:val="24"/>
          <w:szCs w:val="24"/>
        </w:rPr>
        <w:tab/>
      </w:r>
      <w:r w:rsidR="00D02D2D" w:rsidRPr="00B60E0C">
        <w:rPr>
          <w:rFonts w:ascii="Times New Roman" w:hAnsi="Times New Roman" w:cs="Times New Roman"/>
          <w:sz w:val="24"/>
          <w:szCs w:val="24"/>
        </w:rPr>
        <w:t>Total:</w:t>
      </w:r>
      <w:r w:rsidR="009F3D45" w:rsidRPr="00B60E0C">
        <w:rPr>
          <w:rFonts w:ascii="Times New Roman" w:hAnsi="Times New Roman" w:cs="Times New Roman"/>
          <w:sz w:val="24"/>
          <w:szCs w:val="24"/>
        </w:rPr>
        <w:tab/>
      </w:r>
      <w:r w:rsidR="00D02D2D" w:rsidRPr="00B60E0C">
        <w:rPr>
          <w:rFonts w:ascii="Times New Roman" w:hAnsi="Times New Roman" w:cs="Times New Roman"/>
          <w:sz w:val="24"/>
          <w:szCs w:val="24"/>
        </w:rPr>
        <w:t>$</w:t>
      </w:r>
      <w:r w:rsidR="009F3D45" w:rsidRPr="00B60E0C">
        <w:rPr>
          <w:rFonts w:ascii="Times New Roman" w:hAnsi="Times New Roman" w:cs="Times New Roman"/>
          <w:sz w:val="24"/>
          <w:szCs w:val="24"/>
        </w:rPr>
        <w:tab/>
      </w:r>
      <w:r w:rsidR="00C80716" w:rsidRPr="00B60E0C">
        <w:rPr>
          <w:rFonts w:ascii="Times New Roman" w:hAnsi="Times New Roman" w:cs="Times New Roman"/>
          <w:sz w:val="24"/>
          <w:szCs w:val="24"/>
        </w:rPr>
        <w:t>22,013,180</w:t>
      </w:r>
    </w:p>
    <w:p w14:paraId="1D388E95" w14:textId="77777777" w:rsidR="000342BF" w:rsidRPr="00B60E0C" w:rsidRDefault="000342BF" w:rsidP="00E53E62">
      <w:pPr>
        <w:spacing w:after="0" w:line="240" w:lineRule="auto"/>
        <w:rPr>
          <w:rFonts w:ascii="Times New Roman" w:hAnsi="Times New Roman" w:cs="Times New Roman"/>
          <w:sz w:val="24"/>
          <w:szCs w:val="24"/>
        </w:rPr>
      </w:pPr>
    </w:p>
    <w:p w14:paraId="7418711B" w14:textId="4DFD725F" w:rsidR="00C925EB" w:rsidRPr="00B60E0C" w:rsidRDefault="00435D68" w:rsidP="00E53E62">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lastRenderedPageBreak/>
        <w:t>Meeting other requirements</w:t>
      </w:r>
    </w:p>
    <w:p w14:paraId="07DBC1A4" w14:textId="77777777" w:rsidR="00D34BE5" w:rsidRDefault="00D34BE5" w:rsidP="00D57FF6">
      <w:pPr>
        <w:spacing w:after="0" w:line="240" w:lineRule="auto"/>
        <w:rPr>
          <w:rFonts w:ascii="Times New Roman" w:hAnsi="Times New Roman" w:cs="Times New Roman"/>
          <w:sz w:val="24"/>
          <w:szCs w:val="24"/>
        </w:rPr>
      </w:pPr>
    </w:p>
    <w:p w14:paraId="4BFDA6CE" w14:textId="1335C7CD" w:rsidR="00D57FF6" w:rsidRPr="00B60E0C" w:rsidRDefault="00D57FF6" w:rsidP="00D57FF6">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As part of </w:t>
      </w:r>
      <w:r w:rsidR="00870766">
        <w:rPr>
          <w:rFonts w:ascii="Times New Roman" w:hAnsi="Times New Roman" w:cs="Times New Roman"/>
          <w:sz w:val="24"/>
          <w:szCs w:val="24"/>
        </w:rPr>
        <w:t xml:space="preserve">the decoupling settlement, </w:t>
      </w:r>
      <w:r w:rsidR="00401787">
        <w:rPr>
          <w:rFonts w:ascii="Times New Roman" w:hAnsi="Times New Roman" w:cs="Times New Roman"/>
          <w:sz w:val="24"/>
          <w:szCs w:val="24"/>
        </w:rPr>
        <w:t>PSE</w:t>
      </w:r>
      <w:r w:rsidRPr="00B60E0C">
        <w:rPr>
          <w:rFonts w:ascii="Times New Roman" w:hAnsi="Times New Roman" w:cs="Times New Roman"/>
          <w:sz w:val="24"/>
          <w:szCs w:val="24"/>
        </w:rPr>
        <w:t xml:space="preserve"> must achieve an additional five percent above its biennial conservation target. In May 2014, </w:t>
      </w:r>
      <w:r w:rsidR="00401787">
        <w:rPr>
          <w:rFonts w:ascii="Times New Roman" w:hAnsi="Times New Roman" w:cs="Times New Roman"/>
          <w:sz w:val="24"/>
          <w:szCs w:val="24"/>
        </w:rPr>
        <w:t>PSE</w:t>
      </w:r>
      <w:r w:rsidRPr="00B60E0C">
        <w:rPr>
          <w:rFonts w:ascii="Times New Roman" w:hAnsi="Times New Roman" w:cs="Times New Roman"/>
          <w:sz w:val="24"/>
          <w:szCs w:val="24"/>
        </w:rPr>
        <w:t xml:space="preserve"> filed its 2012-2013 biennial conservation report and reported that it achieved 4.8 percent above its target.</w:t>
      </w:r>
      <w:r w:rsidRPr="00B60E0C">
        <w:rPr>
          <w:rStyle w:val="FootnoteReference"/>
          <w:rFonts w:ascii="Times New Roman" w:hAnsi="Times New Roman" w:cs="Times New Roman"/>
          <w:sz w:val="24"/>
          <w:szCs w:val="24"/>
        </w:rPr>
        <w:footnoteReference w:id="9"/>
      </w:r>
      <w:r w:rsidR="008E7D3E" w:rsidRPr="00B60E0C">
        <w:rPr>
          <w:rFonts w:ascii="Times New Roman" w:hAnsi="Times New Roman" w:cs="Times New Roman"/>
          <w:sz w:val="24"/>
          <w:szCs w:val="24"/>
        </w:rPr>
        <w:t xml:space="preserve"> </w:t>
      </w:r>
      <w:r w:rsidRPr="00B60E0C">
        <w:rPr>
          <w:rFonts w:ascii="Times New Roman" w:hAnsi="Times New Roman" w:cs="Times New Roman"/>
          <w:sz w:val="24"/>
          <w:szCs w:val="24"/>
        </w:rPr>
        <w:t xml:space="preserve">However, the decoupling mechanism went into effect near the </w:t>
      </w:r>
      <w:r w:rsidR="008E7D3E" w:rsidRPr="00B60E0C">
        <w:rPr>
          <w:rFonts w:ascii="Times New Roman" w:hAnsi="Times New Roman" w:cs="Times New Roman"/>
          <w:sz w:val="24"/>
          <w:szCs w:val="24"/>
        </w:rPr>
        <w:t xml:space="preserve">end of the 2012-2013 biennium. </w:t>
      </w:r>
      <w:r w:rsidRPr="00B60E0C">
        <w:rPr>
          <w:rFonts w:ascii="Times New Roman" w:hAnsi="Times New Roman" w:cs="Times New Roman"/>
          <w:sz w:val="24"/>
          <w:szCs w:val="24"/>
        </w:rPr>
        <w:t>To clarify the conservation requirements for a partial biennium, staff</w:t>
      </w:r>
      <w:r w:rsidR="00870766">
        <w:rPr>
          <w:rFonts w:ascii="Times New Roman" w:hAnsi="Times New Roman" w:cs="Times New Roman"/>
          <w:sz w:val="24"/>
          <w:szCs w:val="24"/>
        </w:rPr>
        <w:t xml:space="preserve"> reached an agreement with </w:t>
      </w:r>
      <w:r w:rsidR="00401787">
        <w:rPr>
          <w:rFonts w:ascii="Times New Roman" w:hAnsi="Times New Roman" w:cs="Times New Roman"/>
          <w:sz w:val="24"/>
          <w:szCs w:val="24"/>
        </w:rPr>
        <w:t>PSE</w:t>
      </w:r>
      <w:r w:rsidRPr="00B60E0C">
        <w:rPr>
          <w:rFonts w:ascii="Times New Roman" w:hAnsi="Times New Roman" w:cs="Times New Roman"/>
          <w:sz w:val="24"/>
          <w:szCs w:val="24"/>
        </w:rPr>
        <w:t xml:space="preserve"> to accept PSE’s compliance for the 2012-2013 biennium with conditions.</w:t>
      </w:r>
      <w:r w:rsidRPr="00B60E0C">
        <w:rPr>
          <w:rStyle w:val="FootnoteReference"/>
          <w:rFonts w:ascii="Times New Roman" w:hAnsi="Times New Roman" w:cs="Times New Roman"/>
          <w:sz w:val="24"/>
          <w:szCs w:val="24"/>
        </w:rPr>
        <w:footnoteReference w:id="10"/>
      </w:r>
      <w:r w:rsidR="00535F8A">
        <w:rPr>
          <w:rFonts w:ascii="Times New Roman" w:hAnsi="Times New Roman" w:cs="Times New Roman"/>
          <w:sz w:val="24"/>
          <w:szCs w:val="24"/>
        </w:rPr>
        <w:t xml:space="preserve"> The c</w:t>
      </w:r>
      <w:r w:rsidRPr="00B60E0C">
        <w:rPr>
          <w:rFonts w:ascii="Times New Roman" w:hAnsi="Times New Roman" w:cs="Times New Roman"/>
          <w:sz w:val="24"/>
          <w:szCs w:val="24"/>
        </w:rPr>
        <w:t xml:space="preserve">ommission adopted this settlement in Order 03 of Docket UE-132043. Although 2014 conservation results have not been approved by the commission, nor </w:t>
      </w:r>
      <w:r w:rsidR="00870766">
        <w:rPr>
          <w:rFonts w:ascii="Times New Roman" w:hAnsi="Times New Roman" w:cs="Times New Roman"/>
          <w:sz w:val="24"/>
          <w:szCs w:val="24"/>
        </w:rPr>
        <w:t xml:space="preserve">verified by a third party, </w:t>
      </w:r>
      <w:r w:rsidR="00401787">
        <w:rPr>
          <w:rFonts w:ascii="Times New Roman" w:hAnsi="Times New Roman" w:cs="Times New Roman"/>
          <w:sz w:val="24"/>
          <w:szCs w:val="24"/>
        </w:rPr>
        <w:t>PSE</w:t>
      </w:r>
      <w:r w:rsidRPr="00B60E0C">
        <w:rPr>
          <w:rFonts w:ascii="Times New Roman" w:hAnsi="Times New Roman" w:cs="Times New Roman"/>
          <w:sz w:val="24"/>
          <w:szCs w:val="24"/>
        </w:rPr>
        <w:t xml:space="preserve"> is reporting 378,500 MWh of savings, 10 </w:t>
      </w:r>
      <w:r w:rsidR="008E7D3E" w:rsidRPr="00B60E0C">
        <w:rPr>
          <w:rFonts w:ascii="Times New Roman" w:hAnsi="Times New Roman" w:cs="Times New Roman"/>
          <w:sz w:val="24"/>
          <w:szCs w:val="24"/>
        </w:rPr>
        <w:t>percent above its 2014 target.</w:t>
      </w:r>
    </w:p>
    <w:p w14:paraId="12F33E5F" w14:textId="77777777" w:rsidR="00D57FF6" w:rsidRPr="00B60E0C" w:rsidRDefault="00D57FF6" w:rsidP="00D57FF6">
      <w:pPr>
        <w:spacing w:after="0" w:line="240" w:lineRule="auto"/>
        <w:rPr>
          <w:rFonts w:ascii="Times New Roman" w:hAnsi="Times New Roman" w:cs="Times New Roman"/>
          <w:sz w:val="24"/>
          <w:szCs w:val="24"/>
        </w:rPr>
      </w:pPr>
    </w:p>
    <w:p w14:paraId="411D64D3" w14:textId="580211D1" w:rsidR="00D57FF6" w:rsidRPr="00B60E0C" w:rsidRDefault="00D57FF6" w:rsidP="00D57FF6">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PSE continues to play a prominent role in NEEA</w:t>
      </w:r>
      <w:r w:rsidR="00AA55A4">
        <w:rPr>
          <w:rFonts w:ascii="Times New Roman" w:hAnsi="Times New Roman" w:cs="Times New Roman"/>
          <w:sz w:val="24"/>
          <w:szCs w:val="24"/>
        </w:rPr>
        <w:t>’s</w:t>
      </w:r>
      <w:r w:rsidRPr="00B60E0C">
        <w:rPr>
          <w:rFonts w:ascii="Times New Roman" w:hAnsi="Times New Roman" w:cs="Times New Roman"/>
          <w:sz w:val="24"/>
          <w:szCs w:val="24"/>
        </w:rPr>
        <w:t xml:space="preserve"> natural gas market transformation program, as a founder and </w:t>
      </w:r>
      <w:r w:rsidR="00DF7334" w:rsidRPr="00B60E0C">
        <w:rPr>
          <w:rFonts w:ascii="Times New Roman" w:hAnsi="Times New Roman" w:cs="Times New Roman"/>
          <w:sz w:val="24"/>
          <w:szCs w:val="24"/>
        </w:rPr>
        <w:t xml:space="preserve">as </w:t>
      </w:r>
      <w:r w:rsidRPr="00B60E0C">
        <w:rPr>
          <w:rFonts w:ascii="Times New Roman" w:hAnsi="Times New Roman" w:cs="Times New Roman"/>
          <w:sz w:val="24"/>
          <w:szCs w:val="24"/>
        </w:rPr>
        <w:t xml:space="preserve">an active member. PSE </w:t>
      </w:r>
      <w:r w:rsidR="00685EA2">
        <w:rPr>
          <w:rFonts w:ascii="Times New Roman" w:hAnsi="Times New Roman" w:cs="Times New Roman"/>
          <w:sz w:val="24"/>
          <w:szCs w:val="24"/>
        </w:rPr>
        <w:t xml:space="preserve">also </w:t>
      </w:r>
      <w:r w:rsidRPr="00B60E0C">
        <w:rPr>
          <w:rFonts w:ascii="Times New Roman" w:hAnsi="Times New Roman" w:cs="Times New Roman"/>
          <w:sz w:val="24"/>
          <w:szCs w:val="24"/>
        </w:rPr>
        <w:t xml:space="preserve">continues to fund low-income conservation with an additional $500,000 per year, and fund low-income bill assistance with an additional $1,000,000 per year. </w:t>
      </w:r>
      <w:r w:rsidR="004E3B2B">
        <w:rPr>
          <w:rFonts w:ascii="Times New Roman" w:hAnsi="Times New Roman" w:cs="Times New Roman"/>
          <w:sz w:val="24"/>
          <w:szCs w:val="24"/>
        </w:rPr>
        <w:t>A draft of t</w:t>
      </w:r>
      <w:r w:rsidRPr="00B60E0C">
        <w:rPr>
          <w:rFonts w:ascii="Times New Roman" w:hAnsi="Times New Roman" w:cs="Times New Roman"/>
          <w:sz w:val="24"/>
          <w:szCs w:val="24"/>
        </w:rPr>
        <w:t xml:space="preserve">he third party’s first year report on the decoupling mechanism </w:t>
      </w:r>
      <w:r w:rsidR="007E1E9D">
        <w:rPr>
          <w:rFonts w:ascii="Times New Roman" w:hAnsi="Times New Roman" w:cs="Times New Roman"/>
          <w:sz w:val="24"/>
          <w:szCs w:val="24"/>
        </w:rPr>
        <w:t xml:space="preserve">was </w:t>
      </w:r>
      <w:r w:rsidR="004E3B2B">
        <w:rPr>
          <w:rFonts w:ascii="Times New Roman" w:hAnsi="Times New Roman" w:cs="Times New Roman"/>
          <w:sz w:val="24"/>
          <w:szCs w:val="24"/>
        </w:rPr>
        <w:t>completed</w:t>
      </w:r>
      <w:r w:rsidR="007E1E9D">
        <w:rPr>
          <w:rFonts w:ascii="Times New Roman" w:hAnsi="Times New Roman" w:cs="Times New Roman"/>
          <w:sz w:val="24"/>
          <w:szCs w:val="24"/>
        </w:rPr>
        <w:t xml:space="preserve"> on April 22, 2015.</w:t>
      </w:r>
    </w:p>
    <w:p w14:paraId="7418711D" w14:textId="77777777" w:rsidR="002A7914" w:rsidRPr="00B60E0C" w:rsidRDefault="002A7914" w:rsidP="00D57FF6">
      <w:pPr>
        <w:spacing w:after="0" w:line="240" w:lineRule="auto"/>
        <w:rPr>
          <w:rFonts w:ascii="Times New Roman" w:hAnsi="Times New Roman" w:cs="Times New Roman"/>
          <w:strike/>
          <w:color w:val="FF0000"/>
          <w:sz w:val="24"/>
          <w:szCs w:val="24"/>
        </w:rPr>
      </w:pPr>
      <w:bookmarkStart w:id="0" w:name="_GoBack"/>
      <w:bookmarkEnd w:id="0"/>
    </w:p>
    <w:p w14:paraId="7418711E" w14:textId="77777777" w:rsidR="00014439" w:rsidRPr="00B60E0C" w:rsidRDefault="00014439" w:rsidP="00343DD9">
      <w:pPr>
        <w:spacing w:after="0" w:line="240" w:lineRule="auto"/>
        <w:contextualSpacing/>
        <w:rPr>
          <w:rFonts w:ascii="Times New Roman" w:hAnsi="Times New Roman" w:cs="Times New Roman"/>
          <w:b/>
          <w:sz w:val="24"/>
          <w:szCs w:val="24"/>
          <w:u w:val="single"/>
        </w:rPr>
      </w:pPr>
      <w:r w:rsidRPr="00B60E0C">
        <w:rPr>
          <w:rFonts w:ascii="Times New Roman" w:hAnsi="Times New Roman" w:cs="Times New Roman"/>
          <w:b/>
          <w:sz w:val="24"/>
          <w:szCs w:val="24"/>
          <w:u w:val="single"/>
        </w:rPr>
        <w:t>Customer Comments</w:t>
      </w:r>
    </w:p>
    <w:p w14:paraId="6EF8F46F" w14:textId="77777777" w:rsidR="00840F7A" w:rsidRPr="00B60E0C" w:rsidRDefault="00840F7A" w:rsidP="00343DD9">
      <w:pPr>
        <w:spacing w:after="0" w:line="240" w:lineRule="auto"/>
        <w:contextualSpacing/>
        <w:rPr>
          <w:rFonts w:ascii="Times New Roman" w:hAnsi="Times New Roman" w:cs="Times New Roman"/>
          <w:b/>
          <w:color w:val="92D050"/>
          <w:sz w:val="24"/>
          <w:szCs w:val="24"/>
          <w:u w:val="single"/>
        </w:rPr>
      </w:pPr>
    </w:p>
    <w:p w14:paraId="3EC92A8B" w14:textId="5EC9C61A" w:rsidR="00343DD9" w:rsidRPr="00B60E0C" w:rsidRDefault="00343DD9" w:rsidP="00343DD9">
      <w:pPr>
        <w:spacing w:after="0" w:line="240" w:lineRule="auto"/>
        <w:rPr>
          <w:rFonts w:ascii="Times New Roman" w:hAnsi="Times New Roman" w:cs="Times New Roman"/>
          <w:color w:val="000000"/>
          <w:sz w:val="24"/>
          <w:szCs w:val="24"/>
        </w:rPr>
      </w:pPr>
      <w:r w:rsidRPr="00B60E0C">
        <w:rPr>
          <w:rFonts w:ascii="Times New Roman" w:hAnsi="Times New Roman" w:cs="Times New Roman"/>
          <w:color w:val="000000"/>
          <w:sz w:val="24"/>
          <w:szCs w:val="24"/>
        </w:rPr>
        <w:t xml:space="preserve">On March 31, 2015, PSE notified its customers of the proposed rate increase by published notice in area newspapers. PSE also provided television stations, radio stations, and local newspapers with information about the filing. The commission received </w:t>
      </w:r>
      <w:r w:rsidRPr="00B60E0C">
        <w:rPr>
          <w:rFonts w:ascii="Times New Roman" w:hAnsi="Times New Roman" w:cs="Times New Roman"/>
          <w:sz w:val="24"/>
          <w:szCs w:val="24"/>
        </w:rPr>
        <w:t>three</w:t>
      </w:r>
      <w:r w:rsidRPr="00B60E0C">
        <w:rPr>
          <w:rFonts w:ascii="Times New Roman" w:hAnsi="Times New Roman" w:cs="Times New Roman"/>
          <w:color w:val="000000"/>
          <w:sz w:val="24"/>
          <w:szCs w:val="24"/>
        </w:rPr>
        <w:t xml:space="preserve"> c</w:t>
      </w:r>
      <w:r w:rsidR="00BE3446">
        <w:rPr>
          <w:rFonts w:ascii="Times New Roman" w:hAnsi="Times New Roman" w:cs="Times New Roman"/>
          <w:color w:val="000000"/>
          <w:sz w:val="24"/>
          <w:szCs w:val="24"/>
        </w:rPr>
        <w:t>ustomer comments, all opposing</w:t>
      </w:r>
      <w:r w:rsidRPr="00B60E0C">
        <w:rPr>
          <w:rFonts w:ascii="Times New Roman" w:hAnsi="Times New Roman" w:cs="Times New Roman"/>
          <w:color w:val="000000"/>
          <w:sz w:val="24"/>
          <w:szCs w:val="24"/>
        </w:rPr>
        <w:t xml:space="preserve"> the increase. </w:t>
      </w:r>
    </w:p>
    <w:p w14:paraId="63BC9DD8" w14:textId="77777777" w:rsidR="00343DD9" w:rsidRPr="00B60E0C" w:rsidRDefault="00343DD9" w:rsidP="00343DD9">
      <w:pPr>
        <w:spacing w:after="0" w:line="240" w:lineRule="auto"/>
        <w:rPr>
          <w:rFonts w:ascii="Times New Roman" w:hAnsi="Times New Roman" w:cs="Times New Roman"/>
          <w:color w:val="000000"/>
          <w:sz w:val="24"/>
          <w:szCs w:val="24"/>
        </w:rPr>
      </w:pPr>
    </w:p>
    <w:p w14:paraId="1C5A4233" w14:textId="77777777" w:rsidR="00343DD9" w:rsidRPr="00B60E0C" w:rsidRDefault="00343DD9" w:rsidP="00343DD9">
      <w:pPr>
        <w:spacing w:after="0" w:line="240" w:lineRule="auto"/>
        <w:rPr>
          <w:rFonts w:ascii="Times New Roman" w:hAnsi="Times New Roman" w:cs="Times New Roman"/>
          <w:b/>
          <w:bCs/>
          <w:sz w:val="24"/>
          <w:szCs w:val="24"/>
        </w:rPr>
      </w:pPr>
      <w:r w:rsidRPr="00B60E0C">
        <w:rPr>
          <w:rFonts w:ascii="Times New Roman" w:hAnsi="Times New Roman" w:cs="Times New Roman"/>
          <w:b/>
          <w:bCs/>
          <w:sz w:val="24"/>
          <w:szCs w:val="24"/>
        </w:rPr>
        <w:t>General Comments</w:t>
      </w:r>
    </w:p>
    <w:p w14:paraId="3725418D" w14:textId="77777777" w:rsidR="00343DD9" w:rsidRPr="00B60E0C" w:rsidRDefault="00343DD9" w:rsidP="00343DD9">
      <w:pPr>
        <w:spacing w:after="0" w:line="240" w:lineRule="auto"/>
        <w:rPr>
          <w:rFonts w:ascii="Times New Roman" w:hAnsi="Times New Roman" w:cs="Times New Roman"/>
          <w:b/>
          <w:bCs/>
          <w:sz w:val="24"/>
          <w:szCs w:val="24"/>
        </w:rPr>
      </w:pPr>
    </w:p>
    <w:p w14:paraId="4DAA6E1A" w14:textId="77777777" w:rsidR="00343DD9" w:rsidRPr="00B60E0C" w:rsidRDefault="00343DD9" w:rsidP="00343DD9">
      <w:pPr>
        <w:pStyle w:val="ListParagraph"/>
        <w:spacing w:after="0" w:line="240" w:lineRule="auto"/>
        <w:rPr>
          <w:rFonts w:ascii="Times New Roman" w:hAnsi="Times New Roman" w:cs="Times New Roman"/>
          <w:sz w:val="24"/>
          <w:szCs w:val="24"/>
        </w:rPr>
      </w:pPr>
      <w:r w:rsidRPr="00B60E0C">
        <w:rPr>
          <w:rFonts w:ascii="Times New Roman" w:hAnsi="Times New Roman" w:cs="Times New Roman"/>
          <w:sz w:val="24"/>
          <w:szCs w:val="24"/>
        </w:rPr>
        <w:t>All three customers feel the company increases its rates too frequently and that the commission needs to look more closely at these requests. They believe the rates are too high and are making it difficult for customers to make ends meet. One of the customers believes the problems have been worse under foreign ownership.</w:t>
      </w:r>
    </w:p>
    <w:p w14:paraId="2B508E7A" w14:textId="77777777" w:rsidR="00343DD9" w:rsidRPr="00B60E0C" w:rsidRDefault="00343DD9" w:rsidP="00343DD9">
      <w:pPr>
        <w:pStyle w:val="ListParagraph"/>
        <w:spacing w:after="0" w:line="240" w:lineRule="auto"/>
        <w:ind w:left="0"/>
        <w:rPr>
          <w:rFonts w:ascii="Times New Roman" w:hAnsi="Times New Roman" w:cs="Times New Roman"/>
          <w:sz w:val="24"/>
          <w:szCs w:val="24"/>
        </w:rPr>
      </w:pPr>
    </w:p>
    <w:p w14:paraId="1E4EB18A" w14:textId="77777777" w:rsidR="00343DD9" w:rsidRPr="00B60E0C" w:rsidRDefault="00343DD9" w:rsidP="00343DD9">
      <w:pPr>
        <w:spacing w:after="0" w:line="240" w:lineRule="auto"/>
        <w:rPr>
          <w:rFonts w:ascii="Times New Roman" w:hAnsi="Times New Roman" w:cs="Times New Roman"/>
          <w:b/>
          <w:bCs/>
          <w:sz w:val="24"/>
          <w:szCs w:val="24"/>
        </w:rPr>
      </w:pPr>
      <w:r w:rsidRPr="00B60E0C">
        <w:rPr>
          <w:rFonts w:ascii="Times New Roman" w:hAnsi="Times New Roman" w:cs="Times New Roman"/>
          <w:b/>
          <w:bCs/>
          <w:sz w:val="24"/>
          <w:szCs w:val="24"/>
        </w:rPr>
        <w:t>Staff Response</w:t>
      </w:r>
    </w:p>
    <w:p w14:paraId="4C76970A" w14:textId="77777777" w:rsidR="00343DD9" w:rsidRPr="00B60E0C" w:rsidRDefault="00343DD9" w:rsidP="00343DD9">
      <w:pPr>
        <w:spacing w:after="0" w:line="240" w:lineRule="auto"/>
        <w:rPr>
          <w:rFonts w:ascii="Times New Roman" w:hAnsi="Times New Roman" w:cs="Times New Roman"/>
          <w:b/>
          <w:bCs/>
          <w:sz w:val="24"/>
          <w:szCs w:val="24"/>
        </w:rPr>
      </w:pPr>
    </w:p>
    <w:p w14:paraId="4BFDC9A8" w14:textId="77777777" w:rsidR="00343DD9" w:rsidRPr="00B60E0C" w:rsidRDefault="00343DD9" w:rsidP="00343DD9">
      <w:pPr>
        <w:spacing w:after="0" w:line="240" w:lineRule="auto"/>
        <w:ind w:left="720"/>
        <w:contextualSpacing/>
        <w:rPr>
          <w:rFonts w:ascii="Times New Roman" w:hAnsi="Times New Roman" w:cs="Times New Roman"/>
          <w:color w:val="000000"/>
          <w:sz w:val="24"/>
          <w:szCs w:val="24"/>
        </w:rPr>
      </w:pPr>
      <w:r w:rsidRPr="00B60E0C">
        <w:rPr>
          <w:rFonts w:ascii="Times New Roman" w:hAnsi="Times New Roman" w:cs="Times New Roman"/>
          <w:color w:val="000000"/>
          <w:sz w:val="24"/>
          <w:szCs w:val="24"/>
        </w:rPr>
        <w:t>Staff provided information on the ratemaking process and energy rates. Staff advised customers that state law requires rates to be fair and reasonable and sufficient to allow the company the opportunity to recover reasonable operating expenses and earn a reasonable return on investment. The commission cannot deny rates that are needed to cover company costs. Staff also provided information to consumers about decoupling.</w:t>
      </w:r>
    </w:p>
    <w:p w14:paraId="74187129" w14:textId="77777777" w:rsidR="00CA7746" w:rsidRPr="00B60E0C" w:rsidRDefault="00CA7746" w:rsidP="00491656">
      <w:pPr>
        <w:spacing w:after="0" w:line="240" w:lineRule="auto"/>
        <w:contextualSpacing/>
        <w:rPr>
          <w:rFonts w:ascii="Times New Roman" w:hAnsi="Times New Roman" w:cs="Times New Roman"/>
          <w:color w:val="FF0000"/>
          <w:sz w:val="24"/>
          <w:szCs w:val="24"/>
        </w:rPr>
      </w:pPr>
    </w:p>
    <w:p w14:paraId="7418712A" w14:textId="77777777" w:rsidR="00D61508" w:rsidRPr="00B60E0C" w:rsidRDefault="002A7914" w:rsidP="00175CC4">
      <w:pPr>
        <w:spacing w:after="0" w:line="240" w:lineRule="auto"/>
        <w:rPr>
          <w:rFonts w:ascii="Times New Roman" w:hAnsi="Times New Roman" w:cs="Times New Roman"/>
          <w:b/>
          <w:sz w:val="24"/>
          <w:szCs w:val="24"/>
          <w:u w:val="single"/>
        </w:rPr>
      </w:pPr>
      <w:r w:rsidRPr="00B60E0C">
        <w:rPr>
          <w:rFonts w:ascii="Times New Roman" w:hAnsi="Times New Roman" w:cs="Times New Roman"/>
          <w:b/>
          <w:sz w:val="24"/>
          <w:szCs w:val="24"/>
          <w:u w:val="single"/>
        </w:rPr>
        <w:t>Conclusion</w:t>
      </w:r>
    </w:p>
    <w:p w14:paraId="7418712B" w14:textId="77777777" w:rsidR="002A7914" w:rsidRPr="00B60E0C" w:rsidRDefault="002A7914" w:rsidP="00175CC4">
      <w:pPr>
        <w:spacing w:after="0" w:line="240" w:lineRule="auto"/>
        <w:rPr>
          <w:rFonts w:ascii="Times New Roman" w:hAnsi="Times New Roman" w:cs="Times New Roman"/>
          <w:b/>
          <w:sz w:val="24"/>
          <w:szCs w:val="24"/>
          <w:u w:val="single"/>
        </w:rPr>
      </w:pPr>
    </w:p>
    <w:p w14:paraId="7418712E" w14:textId="6D76DC01" w:rsidR="00175CC4" w:rsidRPr="00B60E0C" w:rsidRDefault="002A7914" w:rsidP="006167B8">
      <w:pPr>
        <w:spacing w:after="0" w:line="240" w:lineRule="auto"/>
        <w:rPr>
          <w:rFonts w:ascii="Times New Roman" w:hAnsi="Times New Roman" w:cs="Times New Roman"/>
          <w:sz w:val="24"/>
          <w:szCs w:val="24"/>
        </w:rPr>
      </w:pPr>
      <w:r w:rsidRPr="00B60E0C">
        <w:rPr>
          <w:rFonts w:ascii="Times New Roman" w:hAnsi="Times New Roman" w:cs="Times New Roman"/>
          <w:sz w:val="24"/>
          <w:szCs w:val="24"/>
        </w:rPr>
        <w:t xml:space="preserve">Staff recommends the commission take no action, thereby allowing </w:t>
      </w:r>
      <w:r w:rsidR="005357D9" w:rsidRPr="00B60E0C">
        <w:rPr>
          <w:rFonts w:ascii="Times New Roman" w:hAnsi="Times New Roman" w:cs="Times New Roman"/>
          <w:sz w:val="24"/>
          <w:szCs w:val="24"/>
        </w:rPr>
        <w:t>the tariff sheets filed by Puget Sound Energy in Dockets UE-1</w:t>
      </w:r>
      <w:r w:rsidR="00CE707E" w:rsidRPr="00B60E0C">
        <w:rPr>
          <w:rFonts w:ascii="Times New Roman" w:hAnsi="Times New Roman" w:cs="Times New Roman"/>
          <w:sz w:val="24"/>
          <w:szCs w:val="24"/>
        </w:rPr>
        <w:t>50524</w:t>
      </w:r>
      <w:r w:rsidR="005357D9" w:rsidRPr="00B60E0C">
        <w:rPr>
          <w:rFonts w:ascii="Times New Roman" w:hAnsi="Times New Roman" w:cs="Times New Roman"/>
          <w:sz w:val="24"/>
          <w:szCs w:val="24"/>
        </w:rPr>
        <w:t xml:space="preserve"> and UG-</w:t>
      </w:r>
      <w:r w:rsidR="00CE707E" w:rsidRPr="00B60E0C">
        <w:rPr>
          <w:rFonts w:ascii="Times New Roman" w:hAnsi="Times New Roman" w:cs="Times New Roman"/>
          <w:sz w:val="24"/>
          <w:szCs w:val="24"/>
        </w:rPr>
        <w:t>150525</w:t>
      </w:r>
      <w:r w:rsidR="00870766">
        <w:rPr>
          <w:rFonts w:ascii="Times New Roman" w:hAnsi="Times New Roman" w:cs="Times New Roman"/>
          <w:sz w:val="24"/>
          <w:szCs w:val="24"/>
        </w:rPr>
        <w:t xml:space="preserve"> to become effective May 1, 2015</w:t>
      </w:r>
      <w:r w:rsidR="005357D9" w:rsidRPr="00B60E0C">
        <w:rPr>
          <w:rFonts w:ascii="Times New Roman" w:hAnsi="Times New Roman" w:cs="Times New Roman"/>
          <w:sz w:val="24"/>
          <w:szCs w:val="24"/>
        </w:rPr>
        <w:t>, by operation of law.</w:t>
      </w:r>
    </w:p>
    <w:sectPr w:rsidR="00175CC4" w:rsidRPr="00B60E0C" w:rsidSect="005E2D98">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3D606" w14:textId="77777777" w:rsidR="009B57F8" w:rsidRDefault="009B57F8" w:rsidP="00426B44">
      <w:pPr>
        <w:spacing w:after="0" w:line="240" w:lineRule="auto"/>
      </w:pPr>
      <w:r>
        <w:separator/>
      </w:r>
    </w:p>
  </w:endnote>
  <w:endnote w:type="continuationSeparator" w:id="0">
    <w:p w14:paraId="3B3C3339" w14:textId="77777777" w:rsidR="009B57F8" w:rsidRDefault="009B57F8" w:rsidP="0042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19376" w14:textId="77777777" w:rsidR="009B57F8" w:rsidRDefault="009B57F8" w:rsidP="00426B44">
      <w:pPr>
        <w:spacing w:after="0" w:line="240" w:lineRule="auto"/>
      </w:pPr>
      <w:r>
        <w:separator/>
      </w:r>
    </w:p>
  </w:footnote>
  <w:footnote w:type="continuationSeparator" w:id="0">
    <w:p w14:paraId="57107DCA" w14:textId="77777777" w:rsidR="009B57F8" w:rsidRDefault="009B57F8" w:rsidP="00426B44">
      <w:pPr>
        <w:spacing w:after="0" w:line="240" w:lineRule="auto"/>
      </w:pPr>
      <w:r>
        <w:continuationSeparator/>
      </w:r>
    </w:p>
  </w:footnote>
  <w:footnote w:id="1">
    <w:p w14:paraId="60AF5C48" w14:textId="36C59F66" w:rsidR="00B62B61" w:rsidRDefault="00B62B61">
      <w:pPr>
        <w:pStyle w:val="FootnoteText"/>
      </w:pPr>
      <w:r>
        <w:rPr>
          <w:rStyle w:val="FootnoteReference"/>
        </w:rPr>
        <w:footnoteRef/>
      </w:r>
      <w:r>
        <w:t xml:space="preserve"> </w:t>
      </w:r>
      <w:r w:rsidRPr="00673697">
        <w:rPr>
          <w:rFonts w:ascii="Times New Roman" w:hAnsi="Times New Roman" w:cs="Times New Roman"/>
        </w:rPr>
        <w:t xml:space="preserve">Consolidated </w:t>
      </w:r>
      <w:r>
        <w:rPr>
          <w:rFonts w:ascii="Times New Roman" w:hAnsi="Times New Roman" w:cs="Times New Roman"/>
        </w:rPr>
        <w:t>D</w:t>
      </w:r>
      <w:r w:rsidRPr="00673697">
        <w:rPr>
          <w:rFonts w:ascii="Times New Roman" w:hAnsi="Times New Roman" w:cs="Times New Roman"/>
        </w:rPr>
        <w:t xml:space="preserve">ockets UE-121697 and UG-121705, </w:t>
      </w:r>
      <w:r>
        <w:rPr>
          <w:rFonts w:ascii="Times New Roman" w:hAnsi="Times New Roman" w:cs="Times New Roman"/>
        </w:rPr>
        <w:t>UE-130137 and UG-130138, Order 07 (Decoupling Order).</w:t>
      </w:r>
      <w:r w:rsidRPr="00B62B61">
        <w:rPr>
          <w:rFonts w:ascii="Times New Roman" w:hAnsi="Times New Roman" w:cs="Times New Roman"/>
        </w:rPr>
        <w:t xml:space="preserve"> </w:t>
      </w:r>
      <w:r w:rsidRPr="00D57FF6">
        <w:rPr>
          <w:rFonts w:ascii="Times New Roman" w:hAnsi="Times New Roman" w:cs="Times New Roman"/>
        </w:rPr>
        <w:t>June 25, 2013.</w:t>
      </w:r>
    </w:p>
  </w:footnote>
  <w:footnote w:id="2">
    <w:p w14:paraId="72E94AFD" w14:textId="2AEA677F" w:rsidR="003F3B3C" w:rsidRPr="00410448" w:rsidRDefault="003F3B3C" w:rsidP="003F3B3C">
      <w:pPr>
        <w:pStyle w:val="FootnoteText"/>
        <w:rPr>
          <w:rFonts w:ascii="Times New Roman" w:hAnsi="Times New Roman" w:cs="Times New Roman"/>
        </w:rPr>
      </w:pPr>
      <w:r w:rsidRPr="00410448">
        <w:rPr>
          <w:rStyle w:val="FootnoteReference"/>
          <w:rFonts w:ascii="Times New Roman" w:hAnsi="Times New Roman" w:cs="Times New Roman"/>
        </w:rPr>
        <w:footnoteRef/>
      </w:r>
      <w:r w:rsidRPr="00410448">
        <w:rPr>
          <w:rFonts w:ascii="Times New Roman" w:hAnsi="Times New Roman" w:cs="Times New Roman"/>
        </w:rPr>
        <w:t xml:space="preserve"> </w:t>
      </w:r>
      <w:r>
        <w:rPr>
          <w:rFonts w:ascii="Times New Roman" w:hAnsi="Times New Roman" w:cs="Times New Roman"/>
        </w:rPr>
        <w:t xml:space="preserve">A </w:t>
      </w:r>
      <w:r w:rsidRPr="00410448">
        <w:rPr>
          <w:rFonts w:ascii="Times New Roman" w:hAnsi="Times New Roman" w:cs="Times New Roman"/>
        </w:rPr>
        <w:t>unit can be kilowatt-hour, kilowatt, or therm</w:t>
      </w:r>
      <w:r>
        <w:rPr>
          <w:rFonts w:ascii="Times New Roman" w:hAnsi="Times New Roman" w:cs="Times New Roman"/>
        </w:rPr>
        <w:t>.</w:t>
      </w:r>
    </w:p>
  </w:footnote>
  <w:footnote w:id="3">
    <w:p w14:paraId="7E3437E1" w14:textId="77777777" w:rsidR="00DD01BC" w:rsidRPr="00D34BE5" w:rsidRDefault="00DD01BC" w:rsidP="00DD01BC">
      <w:pPr>
        <w:pStyle w:val="FootnoteText"/>
        <w:rPr>
          <w:rFonts w:ascii="Times New Roman" w:hAnsi="Times New Roman" w:cs="Times New Roman"/>
        </w:rPr>
      </w:pPr>
      <w:r w:rsidRPr="00D57FF6">
        <w:rPr>
          <w:rStyle w:val="FootnoteReference"/>
          <w:rFonts w:ascii="Times New Roman" w:hAnsi="Times New Roman" w:cs="Times New Roman"/>
        </w:rPr>
        <w:footnoteRef/>
      </w:r>
      <w:r w:rsidRPr="00D57FF6">
        <w:rPr>
          <w:rFonts w:ascii="Times New Roman" w:hAnsi="Times New Roman" w:cs="Times New Roman"/>
        </w:rPr>
        <w:t xml:space="preserve"> </w:t>
      </w:r>
      <w:r>
        <w:rPr>
          <w:rFonts w:ascii="Times New Roman" w:hAnsi="Times New Roman" w:cs="Times New Roman"/>
        </w:rPr>
        <w:t>Decoupling Order</w:t>
      </w:r>
      <w:r w:rsidRPr="00D57FF6">
        <w:rPr>
          <w:rFonts w:ascii="Times New Roman" w:hAnsi="Times New Roman" w:cs="Times New Roman"/>
        </w:rPr>
        <w:t xml:space="preserve">, at ¶ 27. </w:t>
      </w:r>
    </w:p>
  </w:footnote>
  <w:footnote w:id="4">
    <w:p w14:paraId="0D741687" w14:textId="77777777" w:rsidR="009B7F74" w:rsidRPr="009F7E4E" w:rsidRDefault="009B7F74" w:rsidP="009B7F74">
      <w:pPr>
        <w:pStyle w:val="FootnoteText"/>
        <w:rPr>
          <w:rFonts w:ascii="Times New Roman" w:hAnsi="Times New Roman" w:cs="Times New Roman"/>
        </w:rPr>
      </w:pPr>
      <w:r w:rsidRPr="009F7E4E">
        <w:rPr>
          <w:rStyle w:val="FootnoteReference"/>
          <w:rFonts w:ascii="Times New Roman" w:hAnsi="Times New Roman" w:cs="Times New Roman"/>
        </w:rPr>
        <w:footnoteRef/>
      </w:r>
      <w:r w:rsidRPr="009F7E4E">
        <w:rPr>
          <w:rFonts w:ascii="Times New Roman" w:hAnsi="Times New Roman" w:cs="Times New Roman"/>
        </w:rPr>
        <w:t xml:space="preserve"> </w:t>
      </w:r>
      <w:r>
        <w:rPr>
          <w:rFonts w:ascii="Times New Roman" w:hAnsi="Times New Roman" w:cs="Times New Roman"/>
        </w:rPr>
        <w:t>Decoupling Order</w:t>
      </w:r>
      <w:r w:rsidRPr="009F7E4E">
        <w:rPr>
          <w:rFonts w:ascii="Times New Roman" w:hAnsi="Times New Roman" w:cs="Times New Roman"/>
        </w:rPr>
        <w:t xml:space="preserve">, at ¶ 165 and 245. </w:t>
      </w:r>
    </w:p>
  </w:footnote>
  <w:footnote w:id="5">
    <w:p w14:paraId="724DE22A" w14:textId="77777777" w:rsidR="007F79ED" w:rsidRPr="00405EF8" w:rsidRDefault="007F79ED" w:rsidP="007F79ED">
      <w:pPr>
        <w:pStyle w:val="FootnoteText"/>
        <w:rPr>
          <w:rFonts w:ascii="Times New Roman" w:hAnsi="Times New Roman" w:cs="Times New Roman"/>
        </w:rPr>
      </w:pPr>
      <w:r w:rsidRPr="00405EF8">
        <w:rPr>
          <w:rStyle w:val="FootnoteReference"/>
          <w:rFonts w:ascii="Times New Roman" w:hAnsi="Times New Roman" w:cs="Times New Roman"/>
        </w:rPr>
        <w:footnoteRef/>
      </w:r>
      <w:r w:rsidRPr="00405EF8">
        <w:rPr>
          <w:rFonts w:ascii="Times New Roman" w:hAnsi="Times New Roman" w:cs="Times New Roman"/>
        </w:rPr>
        <w:t xml:space="preserve"> These stated numbers are before adjustments for 3</w:t>
      </w:r>
      <w:r>
        <w:rPr>
          <w:rFonts w:ascii="Times New Roman" w:hAnsi="Times New Roman" w:cs="Times New Roman"/>
        </w:rPr>
        <w:t xml:space="preserve"> percent</w:t>
      </w:r>
      <w:r w:rsidRPr="00405EF8">
        <w:rPr>
          <w:rFonts w:ascii="Times New Roman" w:hAnsi="Times New Roman" w:cs="Times New Roman"/>
        </w:rPr>
        <w:t xml:space="preserve"> soft cap and earnings test. </w:t>
      </w:r>
    </w:p>
  </w:footnote>
  <w:footnote w:id="6">
    <w:p w14:paraId="267C5F51" w14:textId="77777777" w:rsidR="007F79ED" w:rsidRPr="009F7E4E" w:rsidRDefault="007F79ED" w:rsidP="007F79ED">
      <w:pPr>
        <w:pStyle w:val="FootnoteText"/>
        <w:rPr>
          <w:rFonts w:ascii="Times New Roman" w:hAnsi="Times New Roman" w:cs="Times New Roman"/>
        </w:rPr>
      </w:pPr>
      <w:r w:rsidRPr="009F7E4E">
        <w:rPr>
          <w:rStyle w:val="FootnoteReference"/>
          <w:rFonts w:ascii="Times New Roman" w:hAnsi="Times New Roman" w:cs="Times New Roman"/>
        </w:rPr>
        <w:footnoteRef/>
      </w:r>
      <w:r w:rsidRPr="009F7E4E">
        <w:rPr>
          <w:rFonts w:ascii="Times New Roman" w:hAnsi="Times New Roman" w:cs="Times New Roman"/>
        </w:rPr>
        <w:t xml:space="preserve"> U</w:t>
      </w:r>
      <w:r>
        <w:rPr>
          <w:rFonts w:ascii="Times New Roman" w:hAnsi="Times New Roman" w:cs="Times New Roman"/>
        </w:rPr>
        <w:t>E</w:t>
      </w:r>
      <w:r w:rsidRPr="009F7E4E">
        <w:rPr>
          <w:rFonts w:ascii="Times New Roman" w:hAnsi="Times New Roman" w:cs="Times New Roman"/>
        </w:rPr>
        <w:t>-15052</w:t>
      </w:r>
      <w:r>
        <w:rPr>
          <w:rFonts w:ascii="Times New Roman" w:hAnsi="Times New Roman" w:cs="Times New Roman"/>
        </w:rPr>
        <w:t>8</w:t>
      </w:r>
      <w:r w:rsidRPr="009F7E4E">
        <w:rPr>
          <w:rFonts w:ascii="Times New Roman" w:hAnsi="Times New Roman" w:cs="Times New Roman"/>
        </w:rPr>
        <w:t xml:space="preserve">. </w:t>
      </w:r>
    </w:p>
  </w:footnote>
  <w:footnote w:id="7">
    <w:p w14:paraId="1433D3E4" w14:textId="4B992A22" w:rsidR="00F71CB4" w:rsidRPr="00405EF8" w:rsidRDefault="00F71CB4" w:rsidP="00F71CB4">
      <w:pPr>
        <w:pStyle w:val="FootnoteText"/>
        <w:rPr>
          <w:rFonts w:ascii="Times New Roman" w:hAnsi="Times New Roman" w:cs="Times New Roman"/>
        </w:rPr>
      </w:pPr>
      <w:r w:rsidRPr="00405EF8">
        <w:rPr>
          <w:rStyle w:val="FootnoteReference"/>
          <w:rFonts w:ascii="Times New Roman" w:hAnsi="Times New Roman" w:cs="Times New Roman"/>
        </w:rPr>
        <w:footnoteRef/>
      </w:r>
      <w:r w:rsidRPr="00405EF8">
        <w:rPr>
          <w:rFonts w:ascii="Times New Roman" w:hAnsi="Times New Roman" w:cs="Times New Roman"/>
        </w:rPr>
        <w:t xml:space="preserve"> These stated numbers are before adjustments for 3</w:t>
      </w:r>
      <w:r w:rsidR="00DF6D1E">
        <w:rPr>
          <w:rFonts w:ascii="Times New Roman" w:hAnsi="Times New Roman" w:cs="Times New Roman"/>
        </w:rPr>
        <w:t xml:space="preserve"> percent</w:t>
      </w:r>
      <w:r w:rsidRPr="00405EF8">
        <w:rPr>
          <w:rFonts w:ascii="Times New Roman" w:hAnsi="Times New Roman" w:cs="Times New Roman"/>
        </w:rPr>
        <w:t xml:space="preserve"> soft cap and earnings test. </w:t>
      </w:r>
    </w:p>
  </w:footnote>
  <w:footnote w:id="8">
    <w:p w14:paraId="291B91A7" w14:textId="77777777" w:rsidR="007D64C5" w:rsidRPr="009F7E4E" w:rsidRDefault="007D64C5" w:rsidP="007D64C5">
      <w:pPr>
        <w:pStyle w:val="FootnoteText"/>
        <w:rPr>
          <w:rFonts w:ascii="Times New Roman" w:hAnsi="Times New Roman" w:cs="Times New Roman"/>
        </w:rPr>
      </w:pPr>
      <w:r w:rsidRPr="009F7E4E">
        <w:rPr>
          <w:rStyle w:val="FootnoteReference"/>
          <w:rFonts w:ascii="Times New Roman" w:hAnsi="Times New Roman" w:cs="Times New Roman"/>
        </w:rPr>
        <w:footnoteRef/>
      </w:r>
      <w:r w:rsidRPr="009F7E4E">
        <w:rPr>
          <w:rFonts w:ascii="Times New Roman" w:hAnsi="Times New Roman" w:cs="Times New Roman"/>
        </w:rPr>
        <w:t xml:space="preserve"> UG-150529. </w:t>
      </w:r>
    </w:p>
  </w:footnote>
  <w:footnote w:id="9">
    <w:p w14:paraId="1FB1DA95" w14:textId="77777777" w:rsidR="00D57FF6" w:rsidRPr="00D57FF6" w:rsidRDefault="00D57FF6" w:rsidP="00D57FF6">
      <w:pPr>
        <w:pStyle w:val="FootnoteText"/>
        <w:rPr>
          <w:rFonts w:ascii="Times New Roman" w:hAnsi="Times New Roman" w:cs="Times New Roman"/>
        </w:rPr>
      </w:pPr>
      <w:r w:rsidRPr="00D57FF6">
        <w:rPr>
          <w:rStyle w:val="FootnoteReference"/>
          <w:rFonts w:ascii="Times New Roman" w:hAnsi="Times New Roman" w:cs="Times New Roman"/>
        </w:rPr>
        <w:footnoteRef/>
      </w:r>
      <w:r w:rsidRPr="00D57FF6">
        <w:rPr>
          <w:rFonts w:ascii="Times New Roman" w:hAnsi="Times New Roman" w:cs="Times New Roman"/>
        </w:rPr>
        <w:t xml:space="preserve"> Docket UE-111881.</w:t>
      </w:r>
    </w:p>
  </w:footnote>
  <w:footnote w:id="10">
    <w:p w14:paraId="051B3723" w14:textId="6DB557EC" w:rsidR="00D57FF6" w:rsidRPr="00D57FF6" w:rsidRDefault="00D57FF6" w:rsidP="00D57FF6">
      <w:pPr>
        <w:pStyle w:val="FootnoteText"/>
        <w:rPr>
          <w:rFonts w:ascii="Times New Roman" w:hAnsi="Times New Roman" w:cs="Times New Roman"/>
        </w:rPr>
      </w:pPr>
      <w:r w:rsidRPr="00D57FF6">
        <w:rPr>
          <w:rStyle w:val="FootnoteReference"/>
          <w:rFonts w:ascii="Times New Roman" w:hAnsi="Times New Roman" w:cs="Times New Roman"/>
        </w:rPr>
        <w:footnoteRef/>
      </w:r>
      <w:r w:rsidRPr="00D57FF6">
        <w:rPr>
          <w:rFonts w:ascii="Times New Roman" w:hAnsi="Times New Roman" w:cs="Times New Roman"/>
        </w:rPr>
        <w:t xml:space="preserve"> PSE agreed to exceed its biennial conservation target by five percent for any biennium after 2012-2013 in which decoupling is in effect</w:t>
      </w:r>
      <w:r w:rsidR="00535F8A">
        <w:rPr>
          <w:rFonts w:ascii="Times New Roman" w:hAnsi="Times New Roman" w:cs="Times New Roman"/>
        </w:rPr>
        <w:t xml:space="preserve"> through December 2017. If the c</w:t>
      </w:r>
      <w:r w:rsidRPr="00D57FF6">
        <w:rPr>
          <w:rFonts w:ascii="Times New Roman" w:hAnsi="Times New Roman" w:cs="Times New Roman"/>
        </w:rPr>
        <w:t xml:space="preserve">ommission </w:t>
      </w:r>
      <w:r w:rsidR="00DF7334" w:rsidRPr="00D57FF6">
        <w:rPr>
          <w:rFonts w:ascii="Times New Roman" w:hAnsi="Times New Roman" w:cs="Times New Roman"/>
        </w:rPr>
        <w:t>terminate</w:t>
      </w:r>
      <w:r w:rsidR="00DF7334">
        <w:rPr>
          <w:rFonts w:ascii="Times New Roman" w:hAnsi="Times New Roman" w:cs="Times New Roman"/>
        </w:rPr>
        <w:t>s</w:t>
      </w:r>
      <w:r w:rsidR="00DF7334" w:rsidRPr="00D57FF6">
        <w:rPr>
          <w:rFonts w:ascii="Times New Roman" w:hAnsi="Times New Roman" w:cs="Times New Roman"/>
        </w:rPr>
        <w:t xml:space="preserve"> </w:t>
      </w:r>
      <w:r w:rsidR="00DF7334">
        <w:rPr>
          <w:rFonts w:ascii="Times New Roman" w:hAnsi="Times New Roman" w:cs="Times New Roman"/>
        </w:rPr>
        <w:t>or PSE</w:t>
      </w:r>
      <w:r w:rsidRPr="00D57FF6">
        <w:rPr>
          <w:rFonts w:ascii="Times New Roman" w:hAnsi="Times New Roman" w:cs="Times New Roman"/>
        </w:rPr>
        <w:t xml:space="preserve"> withdraw</w:t>
      </w:r>
      <w:r w:rsidR="00DF7334">
        <w:rPr>
          <w:rFonts w:ascii="Times New Roman" w:hAnsi="Times New Roman" w:cs="Times New Roman"/>
        </w:rPr>
        <w:t>s</w:t>
      </w:r>
      <w:r w:rsidRPr="00D57FF6">
        <w:rPr>
          <w:rFonts w:ascii="Times New Roman" w:hAnsi="Times New Roman" w:cs="Times New Roman"/>
        </w:rPr>
        <w:t xml:space="preserve"> the decoupling program prior to the end of the biennium, PSE will still be subject to the additional five percent requirement through the remainder of the biennium.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7133" w14:textId="67AC5DAB" w:rsidR="00195A46" w:rsidRPr="009D69A9" w:rsidRDefault="00195A46">
    <w:pPr>
      <w:pStyle w:val="Header"/>
      <w:rPr>
        <w:rFonts w:ascii="Times New Roman" w:hAnsi="Times New Roman" w:cs="Times New Roman"/>
        <w:sz w:val="20"/>
        <w:szCs w:val="20"/>
      </w:rPr>
    </w:pPr>
    <w:r>
      <w:rPr>
        <w:rFonts w:ascii="Times New Roman" w:hAnsi="Times New Roman" w:cs="Times New Roman"/>
        <w:sz w:val="20"/>
        <w:szCs w:val="20"/>
      </w:rPr>
      <w:t>Dockets UE</w:t>
    </w:r>
    <w:r w:rsidRPr="009D69A9">
      <w:rPr>
        <w:rFonts w:ascii="Times New Roman" w:hAnsi="Times New Roman" w:cs="Times New Roman"/>
        <w:sz w:val="20"/>
        <w:szCs w:val="20"/>
      </w:rPr>
      <w:t>-</w:t>
    </w:r>
    <w:r w:rsidR="008C7ACD">
      <w:rPr>
        <w:rFonts w:ascii="Times New Roman" w:hAnsi="Times New Roman" w:cs="Times New Roman"/>
        <w:sz w:val="20"/>
        <w:szCs w:val="20"/>
      </w:rPr>
      <w:t>150524</w:t>
    </w:r>
    <w:r>
      <w:rPr>
        <w:rFonts w:ascii="Times New Roman" w:hAnsi="Times New Roman" w:cs="Times New Roman"/>
        <w:sz w:val="20"/>
        <w:szCs w:val="20"/>
      </w:rPr>
      <w:t xml:space="preserve"> and UG-</w:t>
    </w:r>
    <w:r w:rsidR="008C7ACD">
      <w:rPr>
        <w:rFonts w:ascii="Times New Roman" w:hAnsi="Times New Roman" w:cs="Times New Roman"/>
        <w:sz w:val="20"/>
        <w:szCs w:val="20"/>
      </w:rPr>
      <w:t>150525</w:t>
    </w:r>
  </w:p>
  <w:p w14:paraId="74187134" w14:textId="5B9B34DB" w:rsidR="00195A46" w:rsidRPr="009D69A9" w:rsidRDefault="00195A46">
    <w:pPr>
      <w:pStyle w:val="Header"/>
      <w:rPr>
        <w:rFonts w:ascii="Times New Roman" w:hAnsi="Times New Roman" w:cs="Times New Roman"/>
        <w:sz w:val="20"/>
        <w:szCs w:val="20"/>
      </w:rPr>
    </w:pPr>
    <w:r>
      <w:rPr>
        <w:rFonts w:ascii="Times New Roman" w:hAnsi="Times New Roman" w:cs="Times New Roman"/>
        <w:sz w:val="20"/>
        <w:szCs w:val="20"/>
      </w:rPr>
      <w:t xml:space="preserve">April </w:t>
    </w:r>
    <w:r w:rsidR="008C7ACD">
      <w:rPr>
        <w:rFonts w:ascii="Times New Roman" w:hAnsi="Times New Roman" w:cs="Times New Roman"/>
        <w:sz w:val="20"/>
        <w:szCs w:val="20"/>
      </w:rPr>
      <w:t>30</w:t>
    </w:r>
    <w:r>
      <w:rPr>
        <w:rFonts w:ascii="Times New Roman" w:hAnsi="Times New Roman" w:cs="Times New Roman"/>
        <w:sz w:val="20"/>
        <w:szCs w:val="20"/>
      </w:rPr>
      <w:t>, 201</w:t>
    </w:r>
    <w:r w:rsidR="008C7ACD">
      <w:rPr>
        <w:rFonts w:ascii="Times New Roman" w:hAnsi="Times New Roman" w:cs="Times New Roman"/>
        <w:sz w:val="20"/>
        <w:szCs w:val="20"/>
      </w:rPr>
      <w:t>5</w:t>
    </w:r>
  </w:p>
  <w:p w14:paraId="74187135" w14:textId="77777777" w:rsidR="00195A46" w:rsidRPr="009D69A9" w:rsidRDefault="00195A46">
    <w:pPr>
      <w:pStyle w:val="Header"/>
      <w:rPr>
        <w:rFonts w:ascii="Times New Roman" w:hAnsi="Times New Roman" w:cs="Times New Roman"/>
        <w:noProof/>
        <w:sz w:val="20"/>
        <w:szCs w:val="20"/>
      </w:rPr>
    </w:pPr>
    <w:r w:rsidRPr="009D69A9">
      <w:rPr>
        <w:rFonts w:ascii="Times New Roman" w:hAnsi="Times New Roman" w:cs="Times New Roman"/>
        <w:sz w:val="20"/>
        <w:szCs w:val="20"/>
      </w:rPr>
      <w:t xml:space="preserve">Page </w:t>
    </w:r>
    <w:r w:rsidRPr="009D69A9">
      <w:rPr>
        <w:rFonts w:ascii="Times New Roman" w:hAnsi="Times New Roman" w:cs="Times New Roman"/>
        <w:sz w:val="20"/>
        <w:szCs w:val="20"/>
      </w:rPr>
      <w:fldChar w:fldCharType="begin"/>
    </w:r>
    <w:r w:rsidRPr="009D69A9">
      <w:rPr>
        <w:rFonts w:ascii="Times New Roman" w:hAnsi="Times New Roman" w:cs="Times New Roman"/>
        <w:sz w:val="20"/>
        <w:szCs w:val="20"/>
      </w:rPr>
      <w:instrText xml:space="preserve"> PAGE   \* MERGEFORMAT </w:instrText>
    </w:r>
    <w:r w:rsidRPr="009D69A9">
      <w:rPr>
        <w:rFonts w:ascii="Times New Roman" w:hAnsi="Times New Roman" w:cs="Times New Roman"/>
        <w:sz w:val="20"/>
        <w:szCs w:val="20"/>
      </w:rPr>
      <w:fldChar w:fldCharType="separate"/>
    </w:r>
    <w:r w:rsidR="004E3B2B">
      <w:rPr>
        <w:rFonts w:ascii="Times New Roman" w:hAnsi="Times New Roman" w:cs="Times New Roman"/>
        <w:noProof/>
        <w:sz w:val="20"/>
        <w:szCs w:val="20"/>
      </w:rPr>
      <w:t>6</w:t>
    </w:r>
    <w:r w:rsidRPr="009D69A9">
      <w:rPr>
        <w:rFonts w:ascii="Times New Roman" w:hAnsi="Times New Roman" w:cs="Times New Roman"/>
        <w:noProof/>
        <w:sz w:val="20"/>
        <w:szCs w:val="20"/>
      </w:rPr>
      <w:fldChar w:fldCharType="end"/>
    </w:r>
  </w:p>
  <w:p w14:paraId="74187136" w14:textId="77777777" w:rsidR="00195A46" w:rsidRPr="002847BD" w:rsidRDefault="00195A46">
    <w:pPr>
      <w:pStyle w:val="Header"/>
      <w:rPr>
        <w:noProof/>
        <w:sz w:val="20"/>
        <w:szCs w:val="20"/>
      </w:rPr>
    </w:pPr>
  </w:p>
  <w:p w14:paraId="74187137" w14:textId="77777777" w:rsidR="00195A46" w:rsidRPr="002847BD" w:rsidRDefault="00195A4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412A"/>
    <w:multiLevelType w:val="hybridMultilevel"/>
    <w:tmpl w:val="5448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1074A"/>
    <w:multiLevelType w:val="hybridMultilevel"/>
    <w:tmpl w:val="98E2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894327"/>
    <w:multiLevelType w:val="hybridMultilevel"/>
    <w:tmpl w:val="E68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50AC4"/>
    <w:multiLevelType w:val="hybridMultilevel"/>
    <w:tmpl w:val="441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03BF3"/>
    <w:multiLevelType w:val="hybridMultilevel"/>
    <w:tmpl w:val="79449090"/>
    <w:lvl w:ilvl="0" w:tplc="EF22ABB2">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74A5863"/>
    <w:multiLevelType w:val="hybridMultilevel"/>
    <w:tmpl w:val="285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F7630"/>
    <w:multiLevelType w:val="hybridMultilevel"/>
    <w:tmpl w:val="CC2E7EE0"/>
    <w:lvl w:ilvl="0" w:tplc="A882F348">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C4"/>
    <w:rsid w:val="00002360"/>
    <w:rsid w:val="000040E5"/>
    <w:rsid w:val="00014439"/>
    <w:rsid w:val="00016312"/>
    <w:rsid w:val="00016F64"/>
    <w:rsid w:val="000262EC"/>
    <w:rsid w:val="0002747A"/>
    <w:rsid w:val="000327E2"/>
    <w:rsid w:val="000342BF"/>
    <w:rsid w:val="00037338"/>
    <w:rsid w:val="00044BDB"/>
    <w:rsid w:val="0005245C"/>
    <w:rsid w:val="0006067B"/>
    <w:rsid w:val="000616AA"/>
    <w:rsid w:val="000631DE"/>
    <w:rsid w:val="00066157"/>
    <w:rsid w:val="00075DE8"/>
    <w:rsid w:val="00076AD1"/>
    <w:rsid w:val="00080406"/>
    <w:rsid w:val="00081744"/>
    <w:rsid w:val="000832FA"/>
    <w:rsid w:val="00083332"/>
    <w:rsid w:val="0008628E"/>
    <w:rsid w:val="000916EE"/>
    <w:rsid w:val="00091859"/>
    <w:rsid w:val="00097ED7"/>
    <w:rsid w:val="000A4AC8"/>
    <w:rsid w:val="000A617D"/>
    <w:rsid w:val="000B5CD9"/>
    <w:rsid w:val="000C4192"/>
    <w:rsid w:val="000C55CD"/>
    <w:rsid w:val="000D523D"/>
    <w:rsid w:val="000D58AA"/>
    <w:rsid w:val="000D6771"/>
    <w:rsid w:val="000E4682"/>
    <w:rsid w:val="000E640C"/>
    <w:rsid w:val="000F1E3C"/>
    <w:rsid w:val="000F5A48"/>
    <w:rsid w:val="00104338"/>
    <w:rsid w:val="0010537B"/>
    <w:rsid w:val="00106693"/>
    <w:rsid w:val="00114019"/>
    <w:rsid w:val="001231CA"/>
    <w:rsid w:val="00123447"/>
    <w:rsid w:val="00123AC1"/>
    <w:rsid w:val="00143B3C"/>
    <w:rsid w:val="001476C1"/>
    <w:rsid w:val="001546B7"/>
    <w:rsid w:val="0015493F"/>
    <w:rsid w:val="001617D7"/>
    <w:rsid w:val="001626B9"/>
    <w:rsid w:val="00165347"/>
    <w:rsid w:val="001658F9"/>
    <w:rsid w:val="001679B1"/>
    <w:rsid w:val="00170C9C"/>
    <w:rsid w:val="00171BBB"/>
    <w:rsid w:val="00175CC4"/>
    <w:rsid w:val="00182724"/>
    <w:rsid w:val="00183E45"/>
    <w:rsid w:val="00185F30"/>
    <w:rsid w:val="00195A46"/>
    <w:rsid w:val="00195B3C"/>
    <w:rsid w:val="001A3B8F"/>
    <w:rsid w:val="001A7F76"/>
    <w:rsid w:val="001B180C"/>
    <w:rsid w:val="001B6B37"/>
    <w:rsid w:val="001C05E3"/>
    <w:rsid w:val="001C10C0"/>
    <w:rsid w:val="001C5AB1"/>
    <w:rsid w:val="001C6511"/>
    <w:rsid w:val="001C686F"/>
    <w:rsid w:val="001D0659"/>
    <w:rsid w:val="001D1CCD"/>
    <w:rsid w:val="001D3D0C"/>
    <w:rsid w:val="001D529D"/>
    <w:rsid w:val="001D5EFD"/>
    <w:rsid w:val="001E131E"/>
    <w:rsid w:val="001E1D7A"/>
    <w:rsid w:val="001E1F62"/>
    <w:rsid w:val="001E3030"/>
    <w:rsid w:val="001E344F"/>
    <w:rsid w:val="001F2E11"/>
    <w:rsid w:val="0021768F"/>
    <w:rsid w:val="00222461"/>
    <w:rsid w:val="00232097"/>
    <w:rsid w:val="00243CF4"/>
    <w:rsid w:val="00245399"/>
    <w:rsid w:val="00247ED0"/>
    <w:rsid w:val="002554EA"/>
    <w:rsid w:val="00262A5F"/>
    <w:rsid w:val="0026435F"/>
    <w:rsid w:val="00271ABC"/>
    <w:rsid w:val="00272A9B"/>
    <w:rsid w:val="002748F2"/>
    <w:rsid w:val="00276399"/>
    <w:rsid w:val="002847BD"/>
    <w:rsid w:val="002859B6"/>
    <w:rsid w:val="002874D8"/>
    <w:rsid w:val="00296CD2"/>
    <w:rsid w:val="0029787A"/>
    <w:rsid w:val="002A0C0C"/>
    <w:rsid w:val="002A11B7"/>
    <w:rsid w:val="002A1C76"/>
    <w:rsid w:val="002A1F03"/>
    <w:rsid w:val="002A436E"/>
    <w:rsid w:val="002A447C"/>
    <w:rsid w:val="002A7914"/>
    <w:rsid w:val="002B59A9"/>
    <w:rsid w:val="002C0194"/>
    <w:rsid w:val="002C039A"/>
    <w:rsid w:val="002C46C8"/>
    <w:rsid w:val="002C61F6"/>
    <w:rsid w:val="002D1C59"/>
    <w:rsid w:val="002D2075"/>
    <w:rsid w:val="002D23B5"/>
    <w:rsid w:val="002D3848"/>
    <w:rsid w:val="002D5337"/>
    <w:rsid w:val="002D7392"/>
    <w:rsid w:val="002E03A3"/>
    <w:rsid w:val="002E7571"/>
    <w:rsid w:val="002F4587"/>
    <w:rsid w:val="00305B49"/>
    <w:rsid w:val="00306AA0"/>
    <w:rsid w:val="0031171E"/>
    <w:rsid w:val="00316B90"/>
    <w:rsid w:val="0032042A"/>
    <w:rsid w:val="00320A18"/>
    <w:rsid w:val="003218AF"/>
    <w:rsid w:val="003248AF"/>
    <w:rsid w:val="0032773E"/>
    <w:rsid w:val="00336AEC"/>
    <w:rsid w:val="003377CA"/>
    <w:rsid w:val="00340D57"/>
    <w:rsid w:val="00340DBD"/>
    <w:rsid w:val="00343DD9"/>
    <w:rsid w:val="00345A36"/>
    <w:rsid w:val="00346158"/>
    <w:rsid w:val="003544D2"/>
    <w:rsid w:val="003564AB"/>
    <w:rsid w:val="00365A1A"/>
    <w:rsid w:val="00365B44"/>
    <w:rsid w:val="0036663C"/>
    <w:rsid w:val="00367FFB"/>
    <w:rsid w:val="00371890"/>
    <w:rsid w:val="0037410E"/>
    <w:rsid w:val="0038232F"/>
    <w:rsid w:val="0038314B"/>
    <w:rsid w:val="00383A06"/>
    <w:rsid w:val="003848AA"/>
    <w:rsid w:val="003851D1"/>
    <w:rsid w:val="00395246"/>
    <w:rsid w:val="003A42F5"/>
    <w:rsid w:val="003A7BEC"/>
    <w:rsid w:val="003B47A5"/>
    <w:rsid w:val="003B4A34"/>
    <w:rsid w:val="003B678A"/>
    <w:rsid w:val="003B7059"/>
    <w:rsid w:val="003D17FF"/>
    <w:rsid w:val="003D75AC"/>
    <w:rsid w:val="003E5D52"/>
    <w:rsid w:val="003F1A49"/>
    <w:rsid w:val="003F2FA4"/>
    <w:rsid w:val="003F3B3C"/>
    <w:rsid w:val="003F5BAD"/>
    <w:rsid w:val="003F6C02"/>
    <w:rsid w:val="004011FB"/>
    <w:rsid w:val="00401566"/>
    <w:rsid w:val="00401787"/>
    <w:rsid w:val="00404795"/>
    <w:rsid w:val="00405EF8"/>
    <w:rsid w:val="00406925"/>
    <w:rsid w:val="00406D60"/>
    <w:rsid w:val="00410448"/>
    <w:rsid w:val="0041400E"/>
    <w:rsid w:val="0041527E"/>
    <w:rsid w:val="004205D7"/>
    <w:rsid w:val="0042479B"/>
    <w:rsid w:val="00426B44"/>
    <w:rsid w:val="00431DCF"/>
    <w:rsid w:val="004355D6"/>
    <w:rsid w:val="00435D68"/>
    <w:rsid w:val="00436981"/>
    <w:rsid w:val="004478E3"/>
    <w:rsid w:val="00451346"/>
    <w:rsid w:val="00456835"/>
    <w:rsid w:val="00463CA7"/>
    <w:rsid w:val="00464BCE"/>
    <w:rsid w:val="004702E4"/>
    <w:rsid w:val="0047376E"/>
    <w:rsid w:val="00476869"/>
    <w:rsid w:val="00481C20"/>
    <w:rsid w:val="00491656"/>
    <w:rsid w:val="004956CC"/>
    <w:rsid w:val="004A42B8"/>
    <w:rsid w:val="004A68EE"/>
    <w:rsid w:val="004C3746"/>
    <w:rsid w:val="004D09E2"/>
    <w:rsid w:val="004D322C"/>
    <w:rsid w:val="004D33F0"/>
    <w:rsid w:val="004D583A"/>
    <w:rsid w:val="004E0B86"/>
    <w:rsid w:val="004E2B53"/>
    <w:rsid w:val="004E3757"/>
    <w:rsid w:val="004E3B2B"/>
    <w:rsid w:val="004E4B0D"/>
    <w:rsid w:val="004E767F"/>
    <w:rsid w:val="004F1448"/>
    <w:rsid w:val="004F1C47"/>
    <w:rsid w:val="0050102B"/>
    <w:rsid w:val="00501881"/>
    <w:rsid w:val="00506415"/>
    <w:rsid w:val="00510799"/>
    <w:rsid w:val="0051333E"/>
    <w:rsid w:val="005139B6"/>
    <w:rsid w:val="00522B1D"/>
    <w:rsid w:val="0052400D"/>
    <w:rsid w:val="00524514"/>
    <w:rsid w:val="00525026"/>
    <w:rsid w:val="00530E37"/>
    <w:rsid w:val="00534180"/>
    <w:rsid w:val="00534E25"/>
    <w:rsid w:val="005357D9"/>
    <w:rsid w:val="00535F8A"/>
    <w:rsid w:val="00543026"/>
    <w:rsid w:val="00545D0C"/>
    <w:rsid w:val="00552600"/>
    <w:rsid w:val="00557DC3"/>
    <w:rsid w:val="005620A3"/>
    <w:rsid w:val="005634F3"/>
    <w:rsid w:val="00564118"/>
    <w:rsid w:val="00565F0B"/>
    <w:rsid w:val="00570FF7"/>
    <w:rsid w:val="00571672"/>
    <w:rsid w:val="005749E9"/>
    <w:rsid w:val="0057600A"/>
    <w:rsid w:val="00586619"/>
    <w:rsid w:val="005907A4"/>
    <w:rsid w:val="00592CDA"/>
    <w:rsid w:val="00594AE7"/>
    <w:rsid w:val="005A03B0"/>
    <w:rsid w:val="005A1E25"/>
    <w:rsid w:val="005A324F"/>
    <w:rsid w:val="005A326C"/>
    <w:rsid w:val="005A3548"/>
    <w:rsid w:val="005A3974"/>
    <w:rsid w:val="005A551C"/>
    <w:rsid w:val="005A65F5"/>
    <w:rsid w:val="005A6C74"/>
    <w:rsid w:val="005B5CB4"/>
    <w:rsid w:val="005B615C"/>
    <w:rsid w:val="005B6B45"/>
    <w:rsid w:val="005B746E"/>
    <w:rsid w:val="005C0DF6"/>
    <w:rsid w:val="005C3D58"/>
    <w:rsid w:val="005D08D2"/>
    <w:rsid w:val="005D1074"/>
    <w:rsid w:val="005D1457"/>
    <w:rsid w:val="005D34D2"/>
    <w:rsid w:val="005D37B7"/>
    <w:rsid w:val="005D3D6B"/>
    <w:rsid w:val="005E1B5F"/>
    <w:rsid w:val="005E2694"/>
    <w:rsid w:val="005E2D98"/>
    <w:rsid w:val="005E2E3D"/>
    <w:rsid w:val="005E7069"/>
    <w:rsid w:val="005F3A75"/>
    <w:rsid w:val="005F3D25"/>
    <w:rsid w:val="005F5A8A"/>
    <w:rsid w:val="005F625C"/>
    <w:rsid w:val="005F6A4E"/>
    <w:rsid w:val="0060068B"/>
    <w:rsid w:val="00610348"/>
    <w:rsid w:val="00611AF1"/>
    <w:rsid w:val="00615D88"/>
    <w:rsid w:val="006167B8"/>
    <w:rsid w:val="006312F4"/>
    <w:rsid w:val="00637276"/>
    <w:rsid w:val="00637DC9"/>
    <w:rsid w:val="006414B4"/>
    <w:rsid w:val="006424E3"/>
    <w:rsid w:val="00643AC2"/>
    <w:rsid w:val="00644B63"/>
    <w:rsid w:val="006478CB"/>
    <w:rsid w:val="00652DFB"/>
    <w:rsid w:val="006561F6"/>
    <w:rsid w:val="00661479"/>
    <w:rsid w:val="006665D8"/>
    <w:rsid w:val="006670EA"/>
    <w:rsid w:val="00667B03"/>
    <w:rsid w:val="006729EE"/>
    <w:rsid w:val="00672F7B"/>
    <w:rsid w:val="00673697"/>
    <w:rsid w:val="00685EA2"/>
    <w:rsid w:val="00692A75"/>
    <w:rsid w:val="006971BE"/>
    <w:rsid w:val="006A17F8"/>
    <w:rsid w:val="006A19DF"/>
    <w:rsid w:val="006A1DD8"/>
    <w:rsid w:val="006A41EE"/>
    <w:rsid w:val="006A49BD"/>
    <w:rsid w:val="006B00B9"/>
    <w:rsid w:val="006B0431"/>
    <w:rsid w:val="006B0DB5"/>
    <w:rsid w:val="006B648D"/>
    <w:rsid w:val="006B6D56"/>
    <w:rsid w:val="006C378D"/>
    <w:rsid w:val="006C5085"/>
    <w:rsid w:val="006D260A"/>
    <w:rsid w:val="006D79B1"/>
    <w:rsid w:val="006E3687"/>
    <w:rsid w:val="006F02E0"/>
    <w:rsid w:val="006F4A6F"/>
    <w:rsid w:val="0070376C"/>
    <w:rsid w:val="00704051"/>
    <w:rsid w:val="00713EEA"/>
    <w:rsid w:val="007158C7"/>
    <w:rsid w:val="00716C68"/>
    <w:rsid w:val="0072171F"/>
    <w:rsid w:val="0072770D"/>
    <w:rsid w:val="00730F5C"/>
    <w:rsid w:val="007376CF"/>
    <w:rsid w:val="00737A60"/>
    <w:rsid w:val="00737C04"/>
    <w:rsid w:val="00744F5C"/>
    <w:rsid w:val="00746645"/>
    <w:rsid w:val="00750901"/>
    <w:rsid w:val="00753EF8"/>
    <w:rsid w:val="0075530A"/>
    <w:rsid w:val="00757F84"/>
    <w:rsid w:val="00761E55"/>
    <w:rsid w:val="00765645"/>
    <w:rsid w:val="00765D90"/>
    <w:rsid w:val="00765ED6"/>
    <w:rsid w:val="007669DC"/>
    <w:rsid w:val="0077169D"/>
    <w:rsid w:val="00771BBC"/>
    <w:rsid w:val="00771E64"/>
    <w:rsid w:val="007731CF"/>
    <w:rsid w:val="007768FF"/>
    <w:rsid w:val="007814DD"/>
    <w:rsid w:val="00782DBC"/>
    <w:rsid w:val="00784C41"/>
    <w:rsid w:val="00784E22"/>
    <w:rsid w:val="00795A1F"/>
    <w:rsid w:val="00795A67"/>
    <w:rsid w:val="00796A39"/>
    <w:rsid w:val="00796A64"/>
    <w:rsid w:val="007A07B4"/>
    <w:rsid w:val="007A0E43"/>
    <w:rsid w:val="007A41BD"/>
    <w:rsid w:val="007B0CB7"/>
    <w:rsid w:val="007B1B1A"/>
    <w:rsid w:val="007B2DFB"/>
    <w:rsid w:val="007C0117"/>
    <w:rsid w:val="007C059F"/>
    <w:rsid w:val="007C2573"/>
    <w:rsid w:val="007D00BB"/>
    <w:rsid w:val="007D0D52"/>
    <w:rsid w:val="007D486E"/>
    <w:rsid w:val="007D64C5"/>
    <w:rsid w:val="007D7AFE"/>
    <w:rsid w:val="007E156E"/>
    <w:rsid w:val="007E1E9D"/>
    <w:rsid w:val="007E4D11"/>
    <w:rsid w:val="007E7E6B"/>
    <w:rsid w:val="007F79ED"/>
    <w:rsid w:val="00802AE9"/>
    <w:rsid w:val="00802F28"/>
    <w:rsid w:val="00804765"/>
    <w:rsid w:val="00805404"/>
    <w:rsid w:val="00811A38"/>
    <w:rsid w:val="0081340C"/>
    <w:rsid w:val="00820D6E"/>
    <w:rsid w:val="00822B5D"/>
    <w:rsid w:val="00825421"/>
    <w:rsid w:val="0082756C"/>
    <w:rsid w:val="00833A4F"/>
    <w:rsid w:val="00840F7A"/>
    <w:rsid w:val="008479E0"/>
    <w:rsid w:val="00847D23"/>
    <w:rsid w:val="00854143"/>
    <w:rsid w:val="0085420B"/>
    <w:rsid w:val="0085533E"/>
    <w:rsid w:val="00856E2F"/>
    <w:rsid w:val="00860D5F"/>
    <w:rsid w:val="008624B7"/>
    <w:rsid w:val="00862A2F"/>
    <w:rsid w:val="00866891"/>
    <w:rsid w:val="008669A1"/>
    <w:rsid w:val="00866D06"/>
    <w:rsid w:val="00870766"/>
    <w:rsid w:val="00871C02"/>
    <w:rsid w:val="008766D4"/>
    <w:rsid w:val="008767DF"/>
    <w:rsid w:val="008829D8"/>
    <w:rsid w:val="00886DFA"/>
    <w:rsid w:val="008905C1"/>
    <w:rsid w:val="00892B89"/>
    <w:rsid w:val="00892E20"/>
    <w:rsid w:val="00893DDF"/>
    <w:rsid w:val="00894571"/>
    <w:rsid w:val="00894B2A"/>
    <w:rsid w:val="0089527C"/>
    <w:rsid w:val="0089559A"/>
    <w:rsid w:val="008A5A7D"/>
    <w:rsid w:val="008A5B48"/>
    <w:rsid w:val="008A64E6"/>
    <w:rsid w:val="008B03FE"/>
    <w:rsid w:val="008B471E"/>
    <w:rsid w:val="008B4FA1"/>
    <w:rsid w:val="008C3C59"/>
    <w:rsid w:val="008C4D9C"/>
    <w:rsid w:val="008C6647"/>
    <w:rsid w:val="008C7ACD"/>
    <w:rsid w:val="008D7418"/>
    <w:rsid w:val="008E5C82"/>
    <w:rsid w:val="008E7D3E"/>
    <w:rsid w:val="008F383A"/>
    <w:rsid w:val="0090017B"/>
    <w:rsid w:val="00900811"/>
    <w:rsid w:val="00904FAD"/>
    <w:rsid w:val="00907122"/>
    <w:rsid w:val="00907A9E"/>
    <w:rsid w:val="0091048C"/>
    <w:rsid w:val="00911161"/>
    <w:rsid w:val="00912A8F"/>
    <w:rsid w:val="00914669"/>
    <w:rsid w:val="0092408A"/>
    <w:rsid w:val="009255E1"/>
    <w:rsid w:val="00927127"/>
    <w:rsid w:val="009302CD"/>
    <w:rsid w:val="00934762"/>
    <w:rsid w:val="00937F30"/>
    <w:rsid w:val="00941201"/>
    <w:rsid w:val="009423C3"/>
    <w:rsid w:val="00944FFC"/>
    <w:rsid w:val="00953492"/>
    <w:rsid w:val="00964CDE"/>
    <w:rsid w:val="009710AF"/>
    <w:rsid w:val="0097543A"/>
    <w:rsid w:val="00980AAF"/>
    <w:rsid w:val="009824E4"/>
    <w:rsid w:val="00986BF4"/>
    <w:rsid w:val="00991C7F"/>
    <w:rsid w:val="00992A51"/>
    <w:rsid w:val="009A0770"/>
    <w:rsid w:val="009A323A"/>
    <w:rsid w:val="009A445F"/>
    <w:rsid w:val="009A5BDD"/>
    <w:rsid w:val="009A6CAE"/>
    <w:rsid w:val="009A7C9B"/>
    <w:rsid w:val="009B151D"/>
    <w:rsid w:val="009B2908"/>
    <w:rsid w:val="009B2EA9"/>
    <w:rsid w:val="009B5560"/>
    <w:rsid w:val="009B57F8"/>
    <w:rsid w:val="009B608F"/>
    <w:rsid w:val="009B6BB8"/>
    <w:rsid w:val="009B7F74"/>
    <w:rsid w:val="009C29C2"/>
    <w:rsid w:val="009C55C2"/>
    <w:rsid w:val="009D3F84"/>
    <w:rsid w:val="009D69A9"/>
    <w:rsid w:val="009D6BD9"/>
    <w:rsid w:val="009E1927"/>
    <w:rsid w:val="009E2E64"/>
    <w:rsid w:val="009E3A11"/>
    <w:rsid w:val="009E4DD3"/>
    <w:rsid w:val="009E564F"/>
    <w:rsid w:val="009F2F67"/>
    <w:rsid w:val="009F3D45"/>
    <w:rsid w:val="009F7E4E"/>
    <w:rsid w:val="00A05A1B"/>
    <w:rsid w:val="00A07C8D"/>
    <w:rsid w:val="00A10276"/>
    <w:rsid w:val="00A13E09"/>
    <w:rsid w:val="00A14626"/>
    <w:rsid w:val="00A228C6"/>
    <w:rsid w:val="00A236F9"/>
    <w:rsid w:val="00A3541C"/>
    <w:rsid w:val="00A35E5A"/>
    <w:rsid w:val="00A37037"/>
    <w:rsid w:val="00A377D0"/>
    <w:rsid w:val="00A41B84"/>
    <w:rsid w:val="00A46B56"/>
    <w:rsid w:val="00A528F2"/>
    <w:rsid w:val="00A56A4B"/>
    <w:rsid w:val="00A579D0"/>
    <w:rsid w:val="00A64E40"/>
    <w:rsid w:val="00A67CBB"/>
    <w:rsid w:val="00A72356"/>
    <w:rsid w:val="00A8121D"/>
    <w:rsid w:val="00A84C2A"/>
    <w:rsid w:val="00A851D6"/>
    <w:rsid w:val="00A922AB"/>
    <w:rsid w:val="00AA55A4"/>
    <w:rsid w:val="00AB1FE6"/>
    <w:rsid w:val="00AB7D63"/>
    <w:rsid w:val="00AC124C"/>
    <w:rsid w:val="00AC45C2"/>
    <w:rsid w:val="00AD3312"/>
    <w:rsid w:val="00AD484A"/>
    <w:rsid w:val="00AD54E6"/>
    <w:rsid w:val="00AD6046"/>
    <w:rsid w:val="00AD7EC0"/>
    <w:rsid w:val="00AE273E"/>
    <w:rsid w:val="00AE369D"/>
    <w:rsid w:val="00AE7F1C"/>
    <w:rsid w:val="00AF6CF1"/>
    <w:rsid w:val="00B0127F"/>
    <w:rsid w:val="00B0564B"/>
    <w:rsid w:val="00B0619E"/>
    <w:rsid w:val="00B11F2C"/>
    <w:rsid w:val="00B13041"/>
    <w:rsid w:val="00B13583"/>
    <w:rsid w:val="00B17818"/>
    <w:rsid w:val="00B2380E"/>
    <w:rsid w:val="00B2647F"/>
    <w:rsid w:val="00B3213E"/>
    <w:rsid w:val="00B34BCF"/>
    <w:rsid w:val="00B40C4A"/>
    <w:rsid w:val="00B439D6"/>
    <w:rsid w:val="00B47C54"/>
    <w:rsid w:val="00B5434D"/>
    <w:rsid w:val="00B60E0C"/>
    <w:rsid w:val="00B62B61"/>
    <w:rsid w:val="00B64C99"/>
    <w:rsid w:val="00B6783B"/>
    <w:rsid w:val="00B745E9"/>
    <w:rsid w:val="00B7505A"/>
    <w:rsid w:val="00B757A8"/>
    <w:rsid w:val="00B90172"/>
    <w:rsid w:val="00B94AAA"/>
    <w:rsid w:val="00BA15A1"/>
    <w:rsid w:val="00BA226E"/>
    <w:rsid w:val="00BA3257"/>
    <w:rsid w:val="00BA65FA"/>
    <w:rsid w:val="00BA7E47"/>
    <w:rsid w:val="00BB08F5"/>
    <w:rsid w:val="00BB4950"/>
    <w:rsid w:val="00BD06AF"/>
    <w:rsid w:val="00BD0797"/>
    <w:rsid w:val="00BD4F63"/>
    <w:rsid w:val="00BD6E88"/>
    <w:rsid w:val="00BE3446"/>
    <w:rsid w:val="00BE67CD"/>
    <w:rsid w:val="00BE69DD"/>
    <w:rsid w:val="00BF04EA"/>
    <w:rsid w:val="00BF2C47"/>
    <w:rsid w:val="00BF344A"/>
    <w:rsid w:val="00BF6C6D"/>
    <w:rsid w:val="00C01A9E"/>
    <w:rsid w:val="00C04165"/>
    <w:rsid w:val="00C13C4F"/>
    <w:rsid w:val="00C1557B"/>
    <w:rsid w:val="00C231A1"/>
    <w:rsid w:val="00C2487D"/>
    <w:rsid w:val="00C26C75"/>
    <w:rsid w:val="00C35DEB"/>
    <w:rsid w:val="00C47C48"/>
    <w:rsid w:val="00C553A7"/>
    <w:rsid w:val="00C6237D"/>
    <w:rsid w:val="00C64273"/>
    <w:rsid w:val="00C66DFB"/>
    <w:rsid w:val="00C71B1A"/>
    <w:rsid w:val="00C80716"/>
    <w:rsid w:val="00C90F8D"/>
    <w:rsid w:val="00C925EB"/>
    <w:rsid w:val="00C94531"/>
    <w:rsid w:val="00C963F9"/>
    <w:rsid w:val="00C97453"/>
    <w:rsid w:val="00CA63E1"/>
    <w:rsid w:val="00CA71A7"/>
    <w:rsid w:val="00CA7746"/>
    <w:rsid w:val="00CB04A6"/>
    <w:rsid w:val="00CB745A"/>
    <w:rsid w:val="00CC3790"/>
    <w:rsid w:val="00CC4DBA"/>
    <w:rsid w:val="00CC51DC"/>
    <w:rsid w:val="00CC5822"/>
    <w:rsid w:val="00CC6904"/>
    <w:rsid w:val="00CD3F1E"/>
    <w:rsid w:val="00CD5EC1"/>
    <w:rsid w:val="00CD5ED1"/>
    <w:rsid w:val="00CD6517"/>
    <w:rsid w:val="00CD7793"/>
    <w:rsid w:val="00CE707E"/>
    <w:rsid w:val="00CF4B60"/>
    <w:rsid w:val="00CF5D9C"/>
    <w:rsid w:val="00D02D2D"/>
    <w:rsid w:val="00D0709D"/>
    <w:rsid w:val="00D125D7"/>
    <w:rsid w:val="00D12CE7"/>
    <w:rsid w:val="00D13771"/>
    <w:rsid w:val="00D171DB"/>
    <w:rsid w:val="00D20C65"/>
    <w:rsid w:val="00D217EF"/>
    <w:rsid w:val="00D2245B"/>
    <w:rsid w:val="00D226E8"/>
    <w:rsid w:val="00D242F9"/>
    <w:rsid w:val="00D25AA3"/>
    <w:rsid w:val="00D2675B"/>
    <w:rsid w:val="00D328A5"/>
    <w:rsid w:val="00D32C4B"/>
    <w:rsid w:val="00D33C71"/>
    <w:rsid w:val="00D34BE5"/>
    <w:rsid w:val="00D359F0"/>
    <w:rsid w:val="00D36B0A"/>
    <w:rsid w:val="00D4063C"/>
    <w:rsid w:val="00D42009"/>
    <w:rsid w:val="00D43A7A"/>
    <w:rsid w:val="00D47330"/>
    <w:rsid w:val="00D5115A"/>
    <w:rsid w:val="00D52419"/>
    <w:rsid w:val="00D5490F"/>
    <w:rsid w:val="00D57FF6"/>
    <w:rsid w:val="00D60C64"/>
    <w:rsid w:val="00D61508"/>
    <w:rsid w:val="00D6703B"/>
    <w:rsid w:val="00D705EF"/>
    <w:rsid w:val="00D70DDE"/>
    <w:rsid w:val="00D70FDC"/>
    <w:rsid w:val="00D737D9"/>
    <w:rsid w:val="00D744BE"/>
    <w:rsid w:val="00D756F5"/>
    <w:rsid w:val="00D76FF5"/>
    <w:rsid w:val="00D87E23"/>
    <w:rsid w:val="00D93889"/>
    <w:rsid w:val="00D94E82"/>
    <w:rsid w:val="00D96E9C"/>
    <w:rsid w:val="00DA0276"/>
    <w:rsid w:val="00DA1B86"/>
    <w:rsid w:val="00DA453D"/>
    <w:rsid w:val="00DA525C"/>
    <w:rsid w:val="00DB18B3"/>
    <w:rsid w:val="00DB24C9"/>
    <w:rsid w:val="00DB2EE5"/>
    <w:rsid w:val="00DC0DF6"/>
    <w:rsid w:val="00DC1438"/>
    <w:rsid w:val="00DC6BFF"/>
    <w:rsid w:val="00DD01BC"/>
    <w:rsid w:val="00DD2A47"/>
    <w:rsid w:val="00DD3791"/>
    <w:rsid w:val="00DD719B"/>
    <w:rsid w:val="00DD77EA"/>
    <w:rsid w:val="00DE15CA"/>
    <w:rsid w:val="00DE451E"/>
    <w:rsid w:val="00DE6FF8"/>
    <w:rsid w:val="00DF373D"/>
    <w:rsid w:val="00DF6D1E"/>
    <w:rsid w:val="00DF7334"/>
    <w:rsid w:val="00E002D5"/>
    <w:rsid w:val="00E02D8C"/>
    <w:rsid w:val="00E03285"/>
    <w:rsid w:val="00E03CDC"/>
    <w:rsid w:val="00E04042"/>
    <w:rsid w:val="00E07061"/>
    <w:rsid w:val="00E0740E"/>
    <w:rsid w:val="00E10102"/>
    <w:rsid w:val="00E10D33"/>
    <w:rsid w:val="00E129C0"/>
    <w:rsid w:val="00E1598D"/>
    <w:rsid w:val="00E159C4"/>
    <w:rsid w:val="00E27066"/>
    <w:rsid w:val="00E35794"/>
    <w:rsid w:val="00E36D9B"/>
    <w:rsid w:val="00E406F7"/>
    <w:rsid w:val="00E43383"/>
    <w:rsid w:val="00E43875"/>
    <w:rsid w:val="00E45894"/>
    <w:rsid w:val="00E516F4"/>
    <w:rsid w:val="00E53E62"/>
    <w:rsid w:val="00E6037B"/>
    <w:rsid w:val="00E603BF"/>
    <w:rsid w:val="00E609CE"/>
    <w:rsid w:val="00E61E85"/>
    <w:rsid w:val="00E677F0"/>
    <w:rsid w:val="00E67D1C"/>
    <w:rsid w:val="00E704C6"/>
    <w:rsid w:val="00E7489D"/>
    <w:rsid w:val="00E76E22"/>
    <w:rsid w:val="00E77F21"/>
    <w:rsid w:val="00E819C9"/>
    <w:rsid w:val="00E821ED"/>
    <w:rsid w:val="00E853E4"/>
    <w:rsid w:val="00E85779"/>
    <w:rsid w:val="00E93E9A"/>
    <w:rsid w:val="00E9516E"/>
    <w:rsid w:val="00EA4536"/>
    <w:rsid w:val="00EA73DC"/>
    <w:rsid w:val="00EB4CB2"/>
    <w:rsid w:val="00EC1495"/>
    <w:rsid w:val="00EC2110"/>
    <w:rsid w:val="00EC4162"/>
    <w:rsid w:val="00ED4245"/>
    <w:rsid w:val="00ED45A9"/>
    <w:rsid w:val="00EE13B1"/>
    <w:rsid w:val="00EE1BBF"/>
    <w:rsid w:val="00EE3E46"/>
    <w:rsid w:val="00EE4399"/>
    <w:rsid w:val="00EE64F7"/>
    <w:rsid w:val="00EE6646"/>
    <w:rsid w:val="00EE7587"/>
    <w:rsid w:val="00EF4701"/>
    <w:rsid w:val="00EF75BE"/>
    <w:rsid w:val="00F00771"/>
    <w:rsid w:val="00F00B84"/>
    <w:rsid w:val="00F04E57"/>
    <w:rsid w:val="00F0631A"/>
    <w:rsid w:val="00F10A38"/>
    <w:rsid w:val="00F10F5C"/>
    <w:rsid w:val="00F12BF3"/>
    <w:rsid w:val="00F130C1"/>
    <w:rsid w:val="00F15888"/>
    <w:rsid w:val="00F1631C"/>
    <w:rsid w:val="00F21B68"/>
    <w:rsid w:val="00F302FA"/>
    <w:rsid w:val="00F45BD3"/>
    <w:rsid w:val="00F473D0"/>
    <w:rsid w:val="00F52C62"/>
    <w:rsid w:val="00F52CC3"/>
    <w:rsid w:val="00F52DBD"/>
    <w:rsid w:val="00F54D7B"/>
    <w:rsid w:val="00F6176B"/>
    <w:rsid w:val="00F622D9"/>
    <w:rsid w:val="00F62C06"/>
    <w:rsid w:val="00F64FBC"/>
    <w:rsid w:val="00F65EDD"/>
    <w:rsid w:val="00F71CB4"/>
    <w:rsid w:val="00F75C36"/>
    <w:rsid w:val="00F81478"/>
    <w:rsid w:val="00F81614"/>
    <w:rsid w:val="00F8197B"/>
    <w:rsid w:val="00F877E3"/>
    <w:rsid w:val="00F90286"/>
    <w:rsid w:val="00F911EA"/>
    <w:rsid w:val="00F922E8"/>
    <w:rsid w:val="00F9270F"/>
    <w:rsid w:val="00F93D0B"/>
    <w:rsid w:val="00F963F1"/>
    <w:rsid w:val="00FA1897"/>
    <w:rsid w:val="00FB2F1F"/>
    <w:rsid w:val="00FB7B35"/>
    <w:rsid w:val="00FC30FA"/>
    <w:rsid w:val="00FC5175"/>
    <w:rsid w:val="00FC5C7C"/>
    <w:rsid w:val="00FD0BFB"/>
    <w:rsid w:val="00FD302C"/>
    <w:rsid w:val="00FD7D27"/>
    <w:rsid w:val="00FF32C7"/>
    <w:rsid w:val="00FF47E1"/>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187063"/>
  <w15:docId w15:val="{EECF0014-06A1-4E0E-9516-8A3B55DD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B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2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B44"/>
    <w:rPr>
      <w:sz w:val="20"/>
      <w:szCs w:val="20"/>
    </w:rPr>
  </w:style>
  <w:style w:type="character" w:styleId="FootnoteReference">
    <w:name w:val="footnote reference"/>
    <w:basedOn w:val="DefaultParagraphFont"/>
    <w:uiPriority w:val="99"/>
    <w:semiHidden/>
    <w:unhideWhenUsed/>
    <w:rsid w:val="00426B44"/>
    <w:rPr>
      <w:vertAlign w:val="superscript"/>
    </w:rPr>
  </w:style>
  <w:style w:type="paragraph" w:styleId="ListParagraph">
    <w:name w:val="List Paragraph"/>
    <w:basedOn w:val="Normal"/>
    <w:uiPriority w:val="34"/>
    <w:qFormat/>
    <w:rsid w:val="00E77F21"/>
    <w:pPr>
      <w:ind w:left="720"/>
      <w:contextualSpacing/>
    </w:pPr>
  </w:style>
  <w:style w:type="table" w:styleId="TableGrid">
    <w:name w:val="Table Grid"/>
    <w:basedOn w:val="TableNormal"/>
    <w:uiPriority w:val="59"/>
    <w:rsid w:val="0080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E9A"/>
    <w:rPr>
      <w:sz w:val="16"/>
      <w:szCs w:val="16"/>
    </w:rPr>
  </w:style>
  <w:style w:type="paragraph" w:styleId="CommentText">
    <w:name w:val="annotation text"/>
    <w:basedOn w:val="Normal"/>
    <w:link w:val="CommentTextChar"/>
    <w:uiPriority w:val="99"/>
    <w:semiHidden/>
    <w:unhideWhenUsed/>
    <w:rsid w:val="00E93E9A"/>
    <w:pPr>
      <w:spacing w:line="240" w:lineRule="auto"/>
    </w:pPr>
    <w:rPr>
      <w:sz w:val="20"/>
      <w:szCs w:val="20"/>
    </w:rPr>
  </w:style>
  <w:style w:type="character" w:customStyle="1" w:styleId="CommentTextChar">
    <w:name w:val="Comment Text Char"/>
    <w:basedOn w:val="DefaultParagraphFont"/>
    <w:link w:val="CommentText"/>
    <w:uiPriority w:val="99"/>
    <w:semiHidden/>
    <w:rsid w:val="00E93E9A"/>
    <w:rPr>
      <w:sz w:val="20"/>
      <w:szCs w:val="20"/>
    </w:rPr>
  </w:style>
  <w:style w:type="paragraph" w:styleId="CommentSubject">
    <w:name w:val="annotation subject"/>
    <w:basedOn w:val="CommentText"/>
    <w:next w:val="CommentText"/>
    <w:link w:val="CommentSubjectChar"/>
    <w:uiPriority w:val="99"/>
    <w:semiHidden/>
    <w:unhideWhenUsed/>
    <w:rsid w:val="00E93E9A"/>
    <w:rPr>
      <w:b/>
      <w:bCs/>
    </w:rPr>
  </w:style>
  <w:style w:type="character" w:customStyle="1" w:styleId="CommentSubjectChar">
    <w:name w:val="Comment Subject Char"/>
    <w:basedOn w:val="CommentTextChar"/>
    <w:link w:val="CommentSubject"/>
    <w:uiPriority w:val="99"/>
    <w:semiHidden/>
    <w:rsid w:val="00E93E9A"/>
    <w:rPr>
      <w:b/>
      <w:bCs/>
      <w:sz w:val="20"/>
      <w:szCs w:val="20"/>
    </w:rPr>
  </w:style>
  <w:style w:type="paragraph" w:styleId="BalloonText">
    <w:name w:val="Balloon Text"/>
    <w:basedOn w:val="Normal"/>
    <w:link w:val="BalloonTextChar"/>
    <w:uiPriority w:val="99"/>
    <w:semiHidden/>
    <w:unhideWhenUsed/>
    <w:rsid w:val="00E9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9A"/>
    <w:rPr>
      <w:rFonts w:ascii="Tahoma" w:hAnsi="Tahoma" w:cs="Tahoma"/>
      <w:sz w:val="16"/>
      <w:szCs w:val="16"/>
    </w:rPr>
  </w:style>
  <w:style w:type="character" w:styleId="Hyperlink">
    <w:name w:val="Hyperlink"/>
    <w:basedOn w:val="DefaultParagraphFont"/>
    <w:uiPriority w:val="99"/>
    <w:unhideWhenUsed/>
    <w:rsid w:val="00A8121D"/>
    <w:rPr>
      <w:color w:val="0000FF" w:themeColor="hyperlink"/>
      <w:u w:val="single"/>
    </w:rPr>
  </w:style>
  <w:style w:type="paragraph" w:styleId="Header">
    <w:name w:val="header"/>
    <w:basedOn w:val="Normal"/>
    <w:link w:val="HeaderChar"/>
    <w:uiPriority w:val="99"/>
    <w:unhideWhenUsed/>
    <w:rsid w:val="00E8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79"/>
  </w:style>
  <w:style w:type="paragraph" w:styleId="Footer">
    <w:name w:val="footer"/>
    <w:basedOn w:val="Normal"/>
    <w:link w:val="FooterChar"/>
    <w:uiPriority w:val="99"/>
    <w:unhideWhenUsed/>
    <w:rsid w:val="00E8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79"/>
  </w:style>
  <w:style w:type="character" w:customStyle="1" w:styleId="Heading2Char">
    <w:name w:val="Heading 2 Char"/>
    <w:basedOn w:val="DefaultParagraphFont"/>
    <w:link w:val="Heading2"/>
    <w:uiPriority w:val="9"/>
    <w:semiHidden/>
    <w:rsid w:val="00FB7B3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856E2F"/>
    <w:rPr>
      <w:b/>
      <w:bCs/>
      <w:smallCaps/>
      <w:spacing w:val="5"/>
    </w:rPr>
  </w:style>
  <w:style w:type="character" w:styleId="PlaceholderText">
    <w:name w:val="Placeholder Text"/>
    <w:basedOn w:val="DefaultParagraphFont"/>
    <w:uiPriority w:val="99"/>
    <w:semiHidden/>
    <w:rsid w:val="00EF47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1161">
      <w:bodyDiv w:val="1"/>
      <w:marLeft w:val="0"/>
      <w:marRight w:val="0"/>
      <w:marTop w:val="0"/>
      <w:marBottom w:val="0"/>
      <w:divBdr>
        <w:top w:val="none" w:sz="0" w:space="0" w:color="auto"/>
        <w:left w:val="none" w:sz="0" w:space="0" w:color="auto"/>
        <w:bottom w:val="none" w:sz="0" w:space="0" w:color="auto"/>
        <w:right w:val="none" w:sz="0" w:space="0" w:color="auto"/>
      </w:divBdr>
    </w:div>
    <w:div w:id="176434358">
      <w:bodyDiv w:val="1"/>
      <w:marLeft w:val="0"/>
      <w:marRight w:val="0"/>
      <w:marTop w:val="0"/>
      <w:marBottom w:val="0"/>
      <w:divBdr>
        <w:top w:val="none" w:sz="0" w:space="0" w:color="auto"/>
        <w:left w:val="none" w:sz="0" w:space="0" w:color="auto"/>
        <w:bottom w:val="none" w:sz="0" w:space="0" w:color="auto"/>
        <w:right w:val="none" w:sz="0" w:space="0" w:color="auto"/>
      </w:divBdr>
    </w:div>
    <w:div w:id="1799906952">
      <w:bodyDiv w:val="1"/>
      <w:marLeft w:val="0"/>
      <w:marRight w:val="0"/>
      <w:marTop w:val="0"/>
      <w:marBottom w:val="0"/>
      <w:divBdr>
        <w:top w:val="none" w:sz="0" w:space="0" w:color="auto"/>
        <w:left w:val="none" w:sz="0" w:space="0" w:color="auto"/>
        <w:bottom w:val="none" w:sz="0" w:space="0" w:color="auto"/>
        <w:right w:val="none" w:sz="0" w:space="0" w:color="auto"/>
      </w:divBdr>
    </w:div>
    <w:div w:id="1947226327">
      <w:bodyDiv w:val="1"/>
      <w:marLeft w:val="0"/>
      <w:marRight w:val="0"/>
      <w:marTop w:val="0"/>
      <w:marBottom w:val="0"/>
      <w:divBdr>
        <w:top w:val="none" w:sz="0" w:space="0" w:color="auto"/>
        <w:left w:val="none" w:sz="0" w:space="0" w:color="auto"/>
        <w:bottom w:val="none" w:sz="0" w:space="0" w:color="auto"/>
        <w:right w:val="none" w:sz="0" w:space="0" w:color="auto"/>
      </w:divBdr>
    </w:div>
    <w:div w:id="21283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2015-04-01T07:00:00+00:00</OpenedDate>
    <Date1 xmlns="dc463f71-b30c-4ab2-9473-d307f9d35888">2015-04-28T07:00:00+00:00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524E01B8B102438C5A8601C6AB0479" ma:contentTypeVersion="119" ma:contentTypeDescription="" ma:contentTypeScope="" ma:versionID="cad20728b96c5bf23f66b7280162f2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C475CA-503F-48F8-A90B-986A6F709B4E}"/>
</file>

<file path=customXml/itemProps2.xml><?xml version="1.0" encoding="utf-8"?>
<ds:datastoreItem xmlns:ds="http://schemas.openxmlformats.org/officeDocument/2006/customXml" ds:itemID="{E52FF9AF-B69F-4A3D-880A-9985CAC7B5E8}"/>
</file>

<file path=customXml/itemProps3.xml><?xml version="1.0" encoding="utf-8"?>
<ds:datastoreItem xmlns:ds="http://schemas.openxmlformats.org/officeDocument/2006/customXml" ds:itemID="{5F2EB31C-90D4-4D0C-9C7D-066975524A43}"/>
</file>

<file path=customXml/itemProps4.xml><?xml version="1.0" encoding="utf-8"?>
<ds:datastoreItem xmlns:ds="http://schemas.openxmlformats.org/officeDocument/2006/customXml" ds:itemID="{988A9680-662D-4166-A5BC-288D28333DF1}"/>
</file>

<file path=customXml/itemProps5.xml><?xml version="1.0" encoding="utf-8"?>
<ds:datastoreItem xmlns:ds="http://schemas.openxmlformats.org/officeDocument/2006/customXml" ds:itemID="{11ABC9B3-5DB3-4E3F-9BEE-068E90D01339}"/>
</file>

<file path=docProps/app.xml><?xml version="1.0" encoding="utf-8"?>
<Properties xmlns="http://schemas.openxmlformats.org/officeDocument/2006/extended-properties" xmlns:vt="http://schemas.openxmlformats.org/officeDocument/2006/docPropsVTypes">
  <Template>Normal.dotm</Template>
  <TotalTime>179</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UE-150524 UG-150525 Memo</vt:lpstr>
    </vt:vector>
  </TitlesOfParts>
  <Company>Washington Utilities and Transportation Commission</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UE-150524 UG-150525 Memo</dc:title>
  <dc:creator>EJ Keating</dc:creator>
  <cp:lastModifiedBy>Liu, Jing (UTC)</cp:lastModifiedBy>
  <cp:revision>22</cp:revision>
  <cp:lastPrinted>2015-04-20T20:34:00Z</cp:lastPrinted>
  <dcterms:created xsi:type="dcterms:W3CDTF">2015-04-20T20:30:00Z</dcterms:created>
  <dcterms:modified xsi:type="dcterms:W3CDTF">2015-04-27T22:22:00Z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0x0101006E56B4D1795A2E4DB2F0B01679ED314A002B524E01B8B102438C5A8601C6AB0479</vt:lpwstr>
  </property>
  <property fmtid="{D5CDD505-2E9C-101B-9397-08002B2CF9AE}" pid="3" name="_docset_NoMedatataSyncRequired">
    <vt:lpwstr>False</vt:lpwstr>
  </property>
</Properties>
</file>