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BC9B7" w14:textId="6FC3D8FD" w:rsidR="00C30A34" w:rsidRDefault="00C30A34" w:rsidP="00C30A34">
      <w:pPr>
        <w:rPr>
          <w:rFonts w:ascii="Times New Roman" w:hAnsi="Times New Roman"/>
        </w:rPr>
      </w:pPr>
      <w:bookmarkStart w:id="0" w:name="_GoBack"/>
      <w:bookmarkEnd w:id="0"/>
      <w:r>
        <w:rPr>
          <w:rFonts w:ascii="Times New Roman" w:hAnsi="Times New Roman"/>
        </w:rPr>
        <w:t>Agenda Date:</w:t>
      </w:r>
      <w:r>
        <w:rPr>
          <w:rFonts w:ascii="Times New Roman" w:hAnsi="Times New Roman"/>
        </w:rPr>
        <w:tab/>
      </w:r>
      <w:r>
        <w:rPr>
          <w:rFonts w:ascii="Times New Roman" w:hAnsi="Times New Roman"/>
        </w:rPr>
        <w:tab/>
      </w:r>
      <w:r w:rsidR="00405945">
        <w:rPr>
          <w:rFonts w:ascii="Times New Roman" w:hAnsi="Times New Roman"/>
        </w:rPr>
        <w:t>Sept</w:t>
      </w:r>
      <w:r w:rsidR="00E5582F">
        <w:rPr>
          <w:rFonts w:ascii="Times New Roman" w:hAnsi="Times New Roman"/>
        </w:rPr>
        <w:t>ember</w:t>
      </w:r>
      <w:r w:rsidR="00405945">
        <w:rPr>
          <w:rFonts w:ascii="Times New Roman" w:hAnsi="Times New Roman"/>
        </w:rPr>
        <w:t xml:space="preserve"> 24</w:t>
      </w:r>
      <w:r>
        <w:rPr>
          <w:rFonts w:ascii="Times New Roman" w:hAnsi="Times New Roman"/>
        </w:rPr>
        <w:t>, 2015</w:t>
      </w:r>
    </w:p>
    <w:p w14:paraId="3E6BC9B8" w14:textId="3FBAF518" w:rsidR="00C30A34" w:rsidRDefault="00C30A34" w:rsidP="00C30A34">
      <w:pPr>
        <w:ind w:left="2160" w:hanging="2160"/>
        <w:rPr>
          <w:rFonts w:ascii="Times New Roman" w:hAnsi="Times New Roman"/>
        </w:rPr>
      </w:pPr>
      <w:r>
        <w:rPr>
          <w:rFonts w:ascii="Times New Roman" w:hAnsi="Times New Roman"/>
        </w:rPr>
        <w:t>Item Number:</w:t>
      </w:r>
      <w:r>
        <w:rPr>
          <w:rFonts w:ascii="Times New Roman" w:hAnsi="Times New Roman"/>
        </w:rPr>
        <w:tab/>
        <w:t>A</w:t>
      </w:r>
      <w:r w:rsidR="00C77D62">
        <w:rPr>
          <w:rFonts w:ascii="Times New Roman" w:hAnsi="Times New Roman"/>
        </w:rPr>
        <w:t>3</w:t>
      </w:r>
    </w:p>
    <w:p w14:paraId="3E6BC9B9" w14:textId="77777777" w:rsidR="00C30A34" w:rsidRDefault="00C30A34" w:rsidP="00C30A34">
      <w:pPr>
        <w:rPr>
          <w:rFonts w:ascii="Times New Roman" w:hAnsi="Times New Roman"/>
          <w:highlight w:val="yellow"/>
        </w:rPr>
      </w:pPr>
    </w:p>
    <w:p w14:paraId="3E6BC9BA" w14:textId="77777777" w:rsidR="00C30A34" w:rsidRDefault="00C30A34" w:rsidP="00C30A34">
      <w:pPr>
        <w:rPr>
          <w:rFonts w:ascii="Times New Roman" w:hAnsi="Times New Roman"/>
          <w:b/>
          <w:bCs/>
        </w:rPr>
      </w:pPr>
      <w:r>
        <w:rPr>
          <w:rFonts w:ascii="Times New Roman" w:hAnsi="Times New Roman"/>
          <w:b/>
          <w:bCs/>
        </w:rPr>
        <w:t>Docket:</w:t>
      </w:r>
      <w:r>
        <w:rPr>
          <w:rFonts w:ascii="Times New Roman" w:hAnsi="Times New Roman"/>
          <w:b/>
          <w:bCs/>
        </w:rPr>
        <w:tab/>
      </w:r>
      <w:r>
        <w:rPr>
          <w:rFonts w:ascii="Times New Roman" w:hAnsi="Times New Roman"/>
          <w:b/>
          <w:bCs/>
        </w:rPr>
        <w:tab/>
        <w:t>UE-144136</w:t>
      </w:r>
    </w:p>
    <w:p w14:paraId="3E6BC9BB" w14:textId="77777777" w:rsidR="00C30A34" w:rsidRDefault="00C30A34" w:rsidP="00C30A34">
      <w:pPr>
        <w:ind w:left="2160" w:hanging="2160"/>
        <w:rPr>
          <w:rFonts w:ascii="Times New Roman" w:hAnsi="Times New Roman"/>
        </w:rPr>
      </w:pPr>
      <w:r>
        <w:rPr>
          <w:rFonts w:ascii="Times New Roman" w:hAnsi="Times New Roman"/>
        </w:rPr>
        <w:t>Company:</w:t>
      </w:r>
      <w:r>
        <w:rPr>
          <w:rFonts w:ascii="Times New Roman" w:hAnsi="Times New Roman"/>
        </w:rPr>
        <w:tab/>
        <w:t>Pacific Power &amp; Light Company</w:t>
      </w:r>
    </w:p>
    <w:p w14:paraId="3E6BC9BC" w14:textId="77777777" w:rsidR="00C30A34" w:rsidRDefault="00C30A34" w:rsidP="00C30A34">
      <w:pPr>
        <w:rPr>
          <w:rFonts w:ascii="Times New Roman" w:hAnsi="Times New Roman"/>
          <w:highlight w:val="yellow"/>
        </w:rPr>
      </w:pPr>
    </w:p>
    <w:p w14:paraId="3E6BC9BD" w14:textId="77777777" w:rsidR="00C30A34" w:rsidRDefault="00C30A34" w:rsidP="00C30A34">
      <w:pPr>
        <w:rPr>
          <w:rFonts w:ascii="Times New Roman" w:hAnsi="Times New Roman"/>
        </w:rPr>
      </w:pPr>
      <w:r>
        <w:rPr>
          <w:rFonts w:ascii="Times New Roman" w:hAnsi="Times New Roman"/>
        </w:rPr>
        <w:t>Staff:</w:t>
      </w:r>
      <w:r>
        <w:rPr>
          <w:rFonts w:ascii="Times New Roman" w:hAnsi="Times New Roman"/>
        </w:rPr>
        <w:tab/>
      </w:r>
      <w:r>
        <w:rPr>
          <w:rFonts w:ascii="Times New Roman" w:hAnsi="Times New Roman"/>
        </w:rPr>
        <w:tab/>
      </w:r>
      <w:r>
        <w:rPr>
          <w:rFonts w:ascii="Times New Roman" w:hAnsi="Times New Roman"/>
        </w:rPr>
        <w:tab/>
        <w:t>Jeremy Twitchell, Regulatory Analyst</w:t>
      </w:r>
    </w:p>
    <w:p w14:paraId="3E6BC9BE" w14:textId="77777777" w:rsidR="00C30A34" w:rsidRDefault="00C30A34" w:rsidP="00C30A34">
      <w:pPr>
        <w:rPr>
          <w:rFonts w:ascii="Times New Roman" w:hAnsi="Times New Roman"/>
        </w:rPr>
      </w:pPr>
    </w:p>
    <w:p w14:paraId="3E6BC9BF" w14:textId="77777777" w:rsidR="00C30A34" w:rsidRDefault="00C30A34" w:rsidP="00C30A34">
      <w:pPr>
        <w:rPr>
          <w:rFonts w:ascii="Times New Roman" w:hAnsi="Times New Roman"/>
          <w:b/>
          <w:bCs/>
          <w:u w:val="single"/>
        </w:rPr>
      </w:pPr>
      <w:r>
        <w:rPr>
          <w:rFonts w:ascii="Times New Roman" w:hAnsi="Times New Roman"/>
          <w:b/>
          <w:bCs/>
          <w:u w:val="single"/>
        </w:rPr>
        <w:t>Recommendation</w:t>
      </w:r>
    </w:p>
    <w:p w14:paraId="3E6BC9C0" w14:textId="77777777" w:rsidR="002C039A" w:rsidRDefault="002C039A" w:rsidP="00AD3312">
      <w:pPr>
        <w:rPr>
          <w:rFonts w:ascii="Times New Roman" w:hAnsi="Times New Roman"/>
        </w:rPr>
      </w:pPr>
    </w:p>
    <w:p w14:paraId="3E6BC9C1" w14:textId="77777777" w:rsidR="00C30A34" w:rsidRDefault="00C30A34" w:rsidP="00AD3312">
      <w:pPr>
        <w:rPr>
          <w:rFonts w:ascii="Times New Roman" w:hAnsi="Times New Roman"/>
        </w:rPr>
      </w:pPr>
      <w:r>
        <w:rPr>
          <w:rFonts w:ascii="Times New Roman" w:hAnsi="Times New Roman"/>
        </w:rPr>
        <w:t>Issue an order in Docket UE-144136 approving Pacific Power &amp; Light Company’s petition for authorization to exchange certain transmission assets with Idaho Power Company, subject to the following conditions:</w:t>
      </w:r>
    </w:p>
    <w:p w14:paraId="3E6BC9C2" w14:textId="77777777" w:rsidR="00C30A34" w:rsidRDefault="00C30A34" w:rsidP="00AD3312">
      <w:pPr>
        <w:rPr>
          <w:rFonts w:ascii="Times New Roman" w:hAnsi="Times New Roman"/>
        </w:rPr>
      </w:pPr>
    </w:p>
    <w:p w14:paraId="3E6BC9C3" w14:textId="77777777" w:rsidR="00C30A34" w:rsidRDefault="00F60DA0" w:rsidP="00C30A34">
      <w:pPr>
        <w:pStyle w:val="ListParagraph"/>
        <w:numPr>
          <w:ilvl w:val="0"/>
          <w:numId w:val="1"/>
        </w:numPr>
        <w:rPr>
          <w:rFonts w:ascii="Times New Roman" w:hAnsi="Times New Roman"/>
        </w:rPr>
      </w:pPr>
      <w:r>
        <w:rPr>
          <w:rFonts w:ascii="Times New Roman" w:hAnsi="Times New Roman"/>
        </w:rPr>
        <w:t>Pacific Power &amp; Light Company must notify the Washington Utilities and Transportation Commission of any material changes to the proposed tra</w:t>
      </w:r>
      <w:r w:rsidR="00377B8A">
        <w:rPr>
          <w:rFonts w:ascii="Times New Roman" w:hAnsi="Times New Roman"/>
        </w:rPr>
        <w:t xml:space="preserve">nsaction within 10 </w:t>
      </w:r>
      <w:r w:rsidR="0091129C">
        <w:rPr>
          <w:rFonts w:ascii="Times New Roman" w:hAnsi="Times New Roman"/>
        </w:rPr>
        <w:t xml:space="preserve">business </w:t>
      </w:r>
      <w:r w:rsidR="00377B8A">
        <w:rPr>
          <w:rFonts w:ascii="Times New Roman" w:hAnsi="Times New Roman"/>
        </w:rPr>
        <w:t>days</w:t>
      </w:r>
      <w:r w:rsidR="0091129C">
        <w:rPr>
          <w:rFonts w:ascii="Times New Roman" w:hAnsi="Times New Roman"/>
        </w:rPr>
        <w:t>; and</w:t>
      </w:r>
    </w:p>
    <w:p w14:paraId="3E6BC9C4" w14:textId="77777777" w:rsidR="00F60DA0" w:rsidRDefault="00F60DA0" w:rsidP="00C30A34">
      <w:pPr>
        <w:pStyle w:val="ListParagraph"/>
        <w:numPr>
          <w:ilvl w:val="0"/>
          <w:numId w:val="1"/>
        </w:numPr>
        <w:rPr>
          <w:rFonts w:ascii="Times New Roman" w:hAnsi="Times New Roman"/>
        </w:rPr>
      </w:pPr>
      <w:r>
        <w:rPr>
          <w:rFonts w:ascii="Times New Roman" w:hAnsi="Times New Roman"/>
        </w:rPr>
        <w:t>Pacific Power &amp; Light Company must notify the Washington Utilities and Transportation Commission when the exchange is completed.</w:t>
      </w:r>
    </w:p>
    <w:p w14:paraId="3E6BC9C5" w14:textId="77777777" w:rsidR="00C30A34" w:rsidRDefault="00C30A34" w:rsidP="00C30A34">
      <w:pPr>
        <w:rPr>
          <w:rFonts w:ascii="Times New Roman" w:hAnsi="Times New Roman"/>
        </w:rPr>
      </w:pPr>
    </w:p>
    <w:p w14:paraId="3E6BC9C6" w14:textId="77777777" w:rsidR="00C30A34" w:rsidRDefault="00C30A34" w:rsidP="00C30A34">
      <w:pPr>
        <w:rPr>
          <w:rFonts w:ascii="Times New Roman" w:hAnsi="Times New Roman"/>
          <w:u w:val="single"/>
        </w:rPr>
      </w:pPr>
      <w:r>
        <w:rPr>
          <w:rFonts w:ascii="Times New Roman" w:hAnsi="Times New Roman"/>
          <w:b/>
          <w:u w:val="single"/>
        </w:rPr>
        <w:t>Background</w:t>
      </w:r>
    </w:p>
    <w:p w14:paraId="3E6BC9C7" w14:textId="77777777" w:rsidR="00C30A34" w:rsidRDefault="00C30A34" w:rsidP="00C30A34">
      <w:pPr>
        <w:rPr>
          <w:rFonts w:ascii="Times New Roman" w:hAnsi="Times New Roman"/>
          <w:u w:val="single"/>
        </w:rPr>
      </w:pPr>
    </w:p>
    <w:p w14:paraId="3E6BC9C8" w14:textId="651AC107" w:rsidR="00E11CA0" w:rsidRDefault="00C30A34" w:rsidP="00C30A34">
      <w:pPr>
        <w:rPr>
          <w:rFonts w:ascii="Times New Roman" w:hAnsi="Times New Roman"/>
        </w:rPr>
      </w:pPr>
      <w:r>
        <w:rPr>
          <w:rFonts w:ascii="Times New Roman" w:hAnsi="Times New Roman"/>
        </w:rPr>
        <w:t>Pacific Power &amp; Light Company (Pacific Power or company) filed this petition with the Washington Utilities and Transportation Commission (commission) on Dec</w:t>
      </w:r>
      <w:r w:rsidR="005476F1">
        <w:rPr>
          <w:rFonts w:ascii="Times New Roman" w:hAnsi="Times New Roman"/>
        </w:rPr>
        <w:t>ember</w:t>
      </w:r>
      <w:r>
        <w:rPr>
          <w:rFonts w:ascii="Times New Roman" w:hAnsi="Times New Roman"/>
        </w:rPr>
        <w:t xml:space="preserve"> 19, 2014, which requests authorization to exchange approximately </w:t>
      </w:r>
      <w:r w:rsidR="00E11CA0">
        <w:rPr>
          <w:rFonts w:ascii="Times New Roman" w:hAnsi="Times New Roman"/>
        </w:rPr>
        <w:t xml:space="preserve">$43 million in </w:t>
      </w:r>
      <w:r w:rsidR="00377B8A">
        <w:rPr>
          <w:rFonts w:ascii="Times New Roman" w:hAnsi="Times New Roman"/>
        </w:rPr>
        <w:t>c</w:t>
      </w:r>
      <w:r w:rsidR="00E11CA0">
        <w:rPr>
          <w:rFonts w:ascii="Times New Roman" w:hAnsi="Times New Roman"/>
        </w:rPr>
        <w:t xml:space="preserve">ompany-owned transmission assets for </w:t>
      </w:r>
      <w:r w:rsidR="007A6894">
        <w:rPr>
          <w:rFonts w:ascii="Times New Roman" w:hAnsi="Times New Roman"/>
        </w:rPr>
        <w:t xml:space="preserve">approximately </w:t>
      </w:r>
      <w:r w:rsidR="00E11CA0">
        <w:rPr>
          <w:rFonts w:ascii="Times New Roman" w:hAnsi="Times New Roman"/>
        </w:rPr>
        <w:t>$43 million in transmission assets owned by Idaho Power Company (Idaho Power).</w:t>
      </w:r>
      <w:r w:rsidR="00E15747">
        <w:rPr>
          <w:rStyle w:val="FootnoteReference"/>
          <w:rFonts w:ascii="Times New Roman" w:hAnsi="Times New Roman"/>
        </w:rPr>
        <w:footnoteReference w:id="1"/>
      </w:r>
      <w:r w:rsidR="00E11CA0">
        <w:rPr>
          <w:rFonts w:ascii="Times New Roman" w:hAnsi="Times New Roman"/>
        </w:rPr>
        <w:t xml:space="preserve"> The company’s petition states that the purpose of the transaction is to </w:t>
      </w:r>
      <w:r w:rsidR="00377B8A">
        <w:rPr>
          <w:rFonts w:ascii="Times New Roman" w:hAnsi="Times New Roman"/>
        </w:rPr>
        <w:t>update or replace</w:t>
      </w:r>
      <w:r w:rsidR="00E11CA0">
        <w:rPr>
          <w:rFonts w:ascii="Times New Roman" w:hAnsi="Times New Roman"/>
        </w:rPr>
        <w:t xml:space="preserve"> a</w:t>
      </w:r>
      <w:r w:rsidR="00377B8A">
        <w:rPr>
          <w:rFonts w:ascii="Times New Roman" w:hAnsi="Times New Roman"/>
        </w:rPr>
        <w:t xml:space="preserve"> series of complicated transmission agreements through</w:t>
      </w:r>
      <w:r w:rsidR="00E11CA0">
        <w:rPr>
          <w:rFonts w:ascii="Times New Roman" w:hAnsi="Times New Roman"/>
        </w:rPr>
        <w:t xml:space="preserve"> a combination of </w:t>
      </w:r>
      <w:r w:rsidR="0094772E">
        <w:rPr>
          <w:rFonts w:ascii="Times New Roman" w:hAnsi="Times New Roman"/>
        </w:rPr>
        <w:t>ownership exchanges</w:t>
      </w:r>
      <w:r w:rsidR="00E11CA0">
        <w:rPr>
          <w:rFonts w:ascii="Times New Roman" w:hAnsi="Times New Roman"/>
        </w:rPr>
        <w:t xml:space="preserve"> and open access transmission tariff (OATT) transactions.</w:t>
      </w:r>
      <w:r w:rsidR="008F14E3">
        <w:rPr>
          <w:rFonts w:ascii="Times New Roman" w:hAnsi="Times New Roman"/>
        </w:rPr>
        <w:t xml:space="preserve"> RCW 80.</w:t>
      </w:r>
      <w:r w:rsidR="00385923">
        <w:rPr>
          <w:rFonts w:ascii="Times New Roman" w:hAnsi="Times New Roman"/>
        </w:rPr>
        <w:t xml:space="preserve">12.020 and WAC 480-143-120 require a utility to obtain commission approval before selling or transferring </w:t>
      </w:r>
      <w:r w:rsidR="00E15747">
        <w:rPr>
          <w:rFonts w:ascii="Times New Roman" w:hAnsi="Times New Roman"/>
        </w:rPr>
        <w:t xml:space="preserve">an asset that serves </w:t>
      </w:r>
      <w:r w:rsidR="00385923">
        <w:rPr>
          <w:rFonts w:ascii="Times New Roman" w:hAnsi="Times New Roman"/>
        </w:rPr>
        <w:t>Washington customers.</w:t>
      </w:r>
    </w:p>
    <w:p w14:paraId="3E6BC9C9" w14:textId="77777777" w:rsidR="00E11CA0" w:rsidRDefault="00E11CA0" w:rsidP="00C30A34">
      <w:pPr>
        <w:rPr>
          <w:rFonts w:ascii="Times New Roman" w:hAnsi="Times New Roman"/>
        </w:rPr>
      </w:pPr>
    </w:p>
    <w:p w14:paraId="3E6BC9CA" w14:textId="77777777" w:rsidR="00007EB1" w:rsidRDefault="00E11CA0" w:rsidP="00C30A34">
      <w:pPr>
        <w:rPr>
          <w:rFonts w:ascii="Times New Roman" w:hAnsi="Times New Roman"/>
        </w:rPr>
      </w:pPr>
      <w:r>
        <w:rPr>
          <w:rFonts w:ascii="Times New Roman" w:hAnsi="Times New Roman"/>
        </w:rPr>
        <w:t xml:space="preserve">Pacific Power and Idaho Power are joint owners of the </w:t>
      </w:r>
      <w:r w:rsidR="00ED6EF5">
        <w:rPr>
          <w:rFonts w:ascii="Times New Roman" w:hAnsi="Times New Roman"/>
        </w:rPr>
        <w:t xml:space="preserve">2,100-MW </w:t>
      </w:r>
      <w:r>
        <w:rPr>
          <w:rFonts w:ascii="Times New Roman" w:hAnsi="Times New Roman"/>
        </w:rPr>
        <w:t>Jim Bridger coal plant in Wyoming, with Pacific Power owning two-thirds of the plant’s output and Idaho Power owning one-third. The plant entered service in 1974, and transmission of its output into the two ut</w:t>
      </w:r>
      <w:r w:rsidR="00377B8A">
        <w:rPr>
          <w:rFonts w:ascii="Times New Roman" w:hAnsi="Times New Roman"/>
        </w:rPr>
        <w:t>ilities’ service territories has been</w:t>
      </w:r>
      <w:r>
        <w:rPr>
          <w:rFonts w:ascii="Times New Roman" w:hAnsi="Times New Roman"/>
        </w:rPr>
        <w:t xml:space="preserve"> established through a series of three agreements</w:t>
      </w:r>
      <w:r w:rsidR="007A6894">
        <w:rPr>
          <w:rFonts w:ascii="Times New Roman" w:hAnsi="Times New Roman"/>
        </w:rPr>
        <w:t xml:space="preserve"> and 14 supporting tariffs</w:t>
      </w:r>
      <w:r>
        <w:rPr>
          <w:rFonts w:ascii="Times New Roman" w:hAnsi="Times New Roman"/>
        </w:rPr>
        <w:t xml:space="preserve">, which the company’s filing refers to as </w:t>
      </w:r>
      <w:r w:rsidR="00007EB1">
        <w:rPr>
          <w:rFonts w:ascii="Times New Roman" w:hAnsi="Times New Roman"/>
        </w:rPr>
        <w:t>legacy agreements</w:t>
      </w:r>
      <w:r>
        <w:rPr>
          <w:rFonts w:ascii="Times New Roman" w:hAnsi="Times New Roman"/>
        </w:rPr>
        <w:t>.</w:t>
      </w:r>
      <w:r>
        <w:rPr>
          <w:rStyle w:val="FootnoteReference"/>
          <w:rFonts w:ascii="Times New Roman" w:hAnsi="Times New Roman"/>
        </w:rPr>
        <w:footnoteReference w:id="2"/>
      </w:r>
      <w:r>
        <w:rPr>
          <w:rFonts w:ascii="Times New Roman" w:hAnsi="Times New Roman"/>
        </w:rPr>
        <w:t xml:space="preserve"> Collectively, the legacy agreements create a complicated framework of transmission ownership and wheeling rights</w:t>
      </w:r>
      <w:r w:rsidR="00007EB1">
        <w:rPr>
          <w:rFonts w:ascii="Times New Roman" w:hAnsi="Times New Roman"/>
        </w:rPr>
        <w:t xml:space="preserve">. Most importantly for Pacific Power, which had not yet merged with Utah Power &amp; Light Company, the legacy agreements outline the company’s rights for wheeling </w:t>
      </w:r>
      <w:r w:rsidR="007A6894">
        <w:rPr>
          <w:rFonts w:ascii="Times New Roman" w:hAnsi="Times New Roman"/>
        </w:rPr>
        <w:t>its share of Bridger’s output (about 1</w:t>
      </w:r>
      <w:r w:rsidR="00377B8A">
        <w:rPr>
          <w:rFonts w:ascii="Times New Roman" w:hAnsi="Times New Roman"/>
        </w:rPr>
        <w:t>,</w:t>
      </w:r>
      <w:r w:rsidR="007A6894">
        <w:rPr>
          <w:rFonts w:ascii="Times New Roman" w:hAnsi="Times New Roman"/>
        </w:rPr>
        <w:t xml:space="preserve">400 MW) </w:t>
      </w:r>
      <w:r w:rsidR="00007EB1">
        <w:rPr>
          <w:rFonts w:ascii="Times New Roman" w:hAnsi="Times New Roman"/>
        </w:rPr>
        <w:t>across Idaho Power’s system to serve loads in the Pacific Northwest.</w:t>
      </w:r>
    </w:p>
    <w:p w14:paraId="3E6BC9CB" w14:textId="77777777" w:rsidR="00007EB1" w:rsidRDefault="00007EB1" w:rsidP="00C30A34">
      <w:pPr>
        <w:rPr>
          <w:rFonts w:ascii="Times New Roman" w:hAnsi="Times New Roman"/>
        </w:rPr>
      </w:pPr>
    </w:p>
    <w:p w14:paraId="3E6BC9CC" w14:textId="77777777" w:rsidR="00E15747" w:rsidRDefault="00007EB1" w:rsidP="00C30A34">
      <w:pPr>
        <w:rPr>
          <w:rFonts w:ascii="Times New Roman" w:hAnsi="Times New Roman"/>
        </w:rPr>
      </w:pPr>
      <w:r>
        <w:rPr>
          <w:rFonts w:ascii="Times New Roman" w:hAnsi="Times New Roman"/>
        </w:rPr>
        <w:lastRenderedPageBreak/>
        <w:t>In 1996, the Federal Energy Regulatory Commission (FERC) issue</w:t>
      </w:r>
      <w:r w:rsidR="00DC29BE">
        <w:rPr>
          <w:rFonts w:ascii="Times New Roman" w:hAnsi="Times New Roman"/>
        </w:rPr>
        <w:t xml:space="preserve">d Order 888, which required </w:t>
      </w:r>
      <w:r w:rsidR="00ED6EF5">
        <w:rPr>
          <w:rFonts w:ascii="Times New Roman" w:hAnsi="Times New Roman"/>
        </w:rPr>
        <w:t xml:space="preserve">electric </w:t>
      </w:r>
      <w:r>
        <w:rPr>
          <w:rFonts w:ascii="Times New Roman" w:hAnsi="Times New Roman"/>
        </w:rPr>
        <w:t>utilities that own interstate transmission lines to pr</w:t>
      </w:r>
      <w:r w:rsidR="007A6894">
        <w:rPr>
          <w:rFonts w:ascii="Times New Roman" w:hAnsi="Times New Roman"/>
        </w:rPr>
        <w:t>ovide all</w:t>
      </w:r>
      <w:r>
        <w:rPr>
          <w:rFonts w:ascii="Times New Roman" w:hAnsi="Times New Roman"/>
        </w:rPr>
        <w:t xml:space="preserve"> service on those lines through non-discriminatory OATTs. While Order 888 prevented new agreements like those between Pacific Power and Idaho Power, it allowed e</w:t>
      </w:r>
      <w:r w:rsidR="0094772E">
        <w:rPr>
          <w:rFonts w:ascii="Times New Roman" w:hAnsi="Times New Roman"/>
        </w:rPr>
        <w:t>xisting ones to remain in place with the crucial caveat</w:t>
      </w:r>
      <w:r>
        <w:rPr>
          <w:rFonts w:ascii="Times New Roman" w:hAnsi="Times New Roman"/>
        </w:rPr>
        <w:t xml:space="preserve"> that such agreements were still subject to the non-discriminatory pricing requirem</w:t>
      </w:r>
      <w:r w:rsidR="0094772E">
        <w:rPr>
          <w:rFonts w:ascii="Times New Roman" w:hAnsi="Times New Roman"/>
        </w:rPr>
        <w:t>ent.</w:t>
      </w:r>
      <w:r w:rsidR="0094772E">
        <w:rPr>
          <w:rStyle w:val="FootnoteReference"/>
          <w:rFonts w:ascii="Times New Roman" w:hAnsi="Times New Roman"/>
        </w:rPr>
        <w:footnoteReference w:id="3"/>
      </w:r>
      <w:r w:rsidR="0094772E">
        <w:rPr>
          <w:rFonts w:ascii="Times New Roman" w:hAnsi="Times New Roman"/>
        </w:rPr>
        <w:t xml:space="preserve"> </w:t>
      </w:r>
    </w:p>
    <w:p w14:paraId="3E6BC9CD" w14:textId="77777777" w:rsidR="00ED6EF5" w:rsidRDefault="00ED6EF5" w:rsidP="00C30A34">
      <w:pPr>
        <w:rPr>
          <w:rFonts w:ascii="Times New Roman" w:hAnsi="Times New Roman"/>
        </w:rPr>
      </w:pPr>
    </w:p>
    <w:p w14:paraId="3E6BC9CE" w14:textId="77777777" w:rsidR="00ED6EF5" w:rsidRDefault="00ED6EF5" w:rsidP="00C30A34">
      <w:pPr>
        <w:rPr>
          <w:rFonts w:ascii="Times New Roman" w:hAnsi="Times New Roman"/>
        </w:rPr>
      </w:pPr>
      <w:r>
        <w:rPr>
          <w:rFonts w:ascii="Times New Roman" w:hAnsi="Times New Roman"/>
        </w:rPr>
        <w:t>Washington is the last jurisdiction to act on this petition; it has been approved by FERC and the regulatory commissions of four other states. Attachment A summarizes each entity’s decision and the conditions of approval that it imposed.</w:t>
      </w:r>
    </w:p>
    <w:p w14:paraId="3E6BC9CF" w14:textId="77777777" w:rsidR="00AD1477" w:rsidRDefault="00AD1477" w:rsidP="00C30A34">
      <w:pPr>
        <w:rPr>
          <w:rFonts w:ascii="Times New Roman" w:hAnsi="Times New Roman"/>
        </w:rPr>
      </w:pPr>
    </w:p>
    <w:p w14:paraId="3E6BC9D0" w14:textId="77777777" w:rsidR="00AD1477" w:rsidRDefault="00AD1477" w:rsidP="00C30A34">
      <w:pPr>
        <w:rPr>
          <w:rFonts w:ascii="Times New Roman" w:hAnsi="Times New Roman"/>
        </w:rPr>
      </w:pPr>
      <w:r>
        <w:rPr>
          <w:rFonts w:ascii="Times New Roman" w:hAnsi="Times New Roman"/>
          <w:b/>
          <w:u w:val="single"/>
        </w:rPr>
        <w:t>Transaction Details</w:t>
      </w:r>
    </w:p>
    <w:p w14:paraId="3E6BC9D1" w14:textId="77777777" w:rsidR="00AD1477" w:rsidRDefault="00AD1477" w:rsidP="00C30A34">
      <w:pPr>
        <w:rPr>
          <w:rFonts w:ascii="Times New Roman" w:hAnsi="Times New Roman"/>
        </w:rPr>
      </w:pPr>
    </w:p>
    <w:p w14:paraId="3E6BC9D2" w14:textId="77777777" w:rsidR="00AD1477" w:rsidRDefault="00AD1477" w:rsidP="00AD1477">
      <w:pPr>
        <w:rPr>
          <w:rFonts w:ascii="Times New Roman" w:hAnsi="Times New Roman"/>
        </w:rPr>
      </w:pPr>
      <w:r>
        <w:rPr>
          <w:rFonts w:ascii="Times New Roman" w:hAnsi="Times New Roman"/>
        </w:rPr>
        <w:t xml:space="preserve">The proposed asset transfer would change the ownership structure of the lines that Pacific Power uses to move power </w:t>
      </w:r>
      <w:r w:rsidR="00377B8A">
        <w:rPr>
          <w:rFonts w:ascii="Times New Roman" w:hAnsi="Times New Roman"/>
        </w:rPr>
        <w:t>from Wyoming to the Pacific Northwest,</w:t>
      </w:r>
      <w:r>
        <w:rPr>
          <w:rFonts w:ascii="Times New Roman" w:hAnsi="Times New Roman"/>
        </w:rPr>
        <w:t xml:space="preserve"> but it would not result in any additional transfer capacity. At present, Pacific Power has the ability to move 1</w:t>
      </w:r>
      <w:r w:rsidR="00377B8A">
        <w:rPr>
          <w:rFonts w:ascii="Times New Roman" w:hAnsi="Times New Roman"/>
        </w:rPr>
        <w:t>,</w:t>
      </w:r>
      <w:r>
        <w:rPr>
          <w:rFonts w:ascii="Times New Roman" w:hAnsi="Times New Roman"/>
        </w:rPr>
        <w:t xml:space="preserve">600 MW of capacity </w:t>
      </w:r>
      <w:r w:rsidR="00F60DA0">
        <w:rPr>
          <w:rFonts w:ascii="Times New Roman" w:hAnsi="Times New Roman"/>
        </w:rPr>
        <w:t>into the Pacific Northwest</w:t>
      </w:r>
      <w:r>
        <w:rPr>
          <w:rFonts w:ascii="Times New Roman" w:hAnsi="Times New Roman"/>
        </w:rPr>
        <w:t>. If the transfer is approved and executed, Pacific Power will still have 1</w:t>
      </w:r>
      <w:r w:rsidR="00377B8A">
        <w:rPr>
          <w:rFonts w:ascii="Times New Roman" w:hAnsi="Times New Roman"/>
        </w:rPr>
        <w:t>,6</w:t>
      </w:r>
      <w:r>
        <w:rPr>
          <w:rFonts w:ascii="Times New Roman" w:hAnsi="Times New Roman"/>
        </w:rPr>
        <w:t>00 MW of transfer capacity.</w:t>
      </w:r>
    </w:p>
    <w:p w14:paraId="3E6BC9D3" w14:textId="77777777" w:rsidR="00AD1477" w:rsidRDefault="00AD1477" w:rsidP="00AD1477">
      <w:pPr>
        <w:rPr>
          <w:rFonts w:ascii="Times New Roman" w:hAnsi="Times New Roman"/>
        </w:rPr>
      </w:pPr>
    </w:p>
    <w:p w14:paraId="3E6BC9D4" w14:textId="170B9623" w:rsidR="00AD1477" w:rsidRDefault="00AD1477" w:rsidP="00AD1477">
      <w:pPr>
        <w:rPr>
          <w:rFonts w:ascii="Times New Roman" w:hAnsi="Times New Roman"/>
        </w:rPr>
      </w:pPr>
      <w:r>
        <w:rPr>
          <w:rFonts w:ascii="Times New Roman" w:hAnsi="Times New Roman"/>
        </w:rPr>
        <w:t>The difference is that where Idaho Power now owns the lines on which Pacific Power moves that 1</w:t>
      </w:r>
      <w:r w:rsidR="00377B8A">
        <w:rPr>
          <w:rFonts w:ascii="Times New Roman" w:hAnsi="Times New Roman"/>
        </w:rPr>
        <w:t>,</w:t>
      </w:r>
      <w:r>
        <w:rPr>
          <w:rFonts w:ascii="Times New Roman" w:hAnsi="Times New Roman"/>
        </w:rPr>
        <w:t xml:space="preserve">600 MW and provides service pursuant to the terms of the </w:t>
      </w:r>
      <w:r w:rsidR="00F60DA0">
        <w:rPr>
          <w:rFonts w:ascii="Times New Roman" w:hAnsi="Times New Roman"/>
        </w:rPr>
        <w:t xml:space="preserve">legacy </w:t>
      </w:r>
      <w:r>
        <w:rPr>
          <w:rFonts w:ascii="Times New Roman" w:hAnsi="Times New Roman"/>
        </w:rPr>
        <w:t>agreement</w:t>
      </w:r>
      <w:r w:rsidR="00F60DA0">
        <w:rPr>
          <w:rFonts w:ascii="Times New Roman" w:hAnsi="Times New Roman"/>
        </w:rPr>
        <w:t>s, Pacific Power would</w:t>
      </w:r>
      <w:r>
        <w:rPr>
          <w:rFonts w:ascii="Times New Roman" w:hAnsi="Times New Roman"/>
        </w:rPr>
        <w:t xml:space="preserve"> acquire ownership of 1</w:t>
      </w:r>
      <w:r w:rsidR="00377B8A">
        <w:rPr>
          <w:rFonts w:ascii="Times New Roman" w:hAnsi="Times New Roman"/>
        </w:rPr>
        <w:t>,</w:t>
      </w:r>
      <w:r>
        <w:rPr>
          <w:rFonts w:ascii="Times New Roman" w:hAnsi="Times New Roman"/>
        </w:rPr>
        <w:t xml:space="preserve">090 MW of transfer capacity and purchase another 510 MW under Idaho Power’s OATT. Of that 510 MW, the company </w:t>
      </w:r>
      <w:r w:rsidR="006B5DFD">
        <w:rPr>
          <w:rFonts w:ascii="Times New Roman" w:hAnsi="Times New Roman"/>
        </w:rPr>
        <w:t>would</w:t>
      </w:r>
      <w:r>
        <w:rPr>
          <w:rFonts w:ascii="Times New Roman" w:hAnsi="Times New Roman"/>
        </w:rPr>
        <w:t xml:space="preserve"> be able to dynamically schedule 400 MW, whereas it can dynamically schedule 200 MW at present.</w:t>
      </w:r>
      <w:r w:rsidR="00F60DA0">
        <w:rPr>
          <w:rStyle w:val="FootnoteReference"/>
          <w:rFonts w:ascii="Times New Roman" w:hAnsi="Times New Roman"/>
        </w:rPr>
        <w:footnoteReference w:id="4"/>
      </w:r>
      <w:r>
        <w:rPr>
          <w:rFonts w:ascii="Times New Roman" w:hAnsi="Times New Roman"/>
        </w:rPr>
        <w:t xml:space="preserve"> </w:t>
      </w:r>
    </w:p>
    <w:p w14:paraId="3E6BC9D5" w14:textId="77777777" w:rsidR="00AD1477" w:rsidRDefault="00AD1477" w:rsidP="00AD1477">
      <w:pPr>
        <w:rPr>
          <w:rFonts w:ascii="Times New Roman" w:hAnsi="Times New Roman"/>
        </w:rPr>
      </w:pPr>
    </w:p>
    <w:p w14:paraId="3E6BC9D6" w14:textId="77777777" w:rsidR="00AD1477" w:rsidRDefault="00AD1477" w:rsidP="00AD1477">
      <w:pPr>
        <w:rPr>
          <w:rFonts w:ascii="Times New Roman" w:hAnsi="Times New Roman"/>
        </w:rPr>
      </w:pPr>
      <w:r>
        <w:rPr>
          <w:rFonts w:ascii="Times New Roman" w:hAnsi="Times New Roman"/>
        </w:rPr>
        <w:t>The transaction implicates 12 substations and 13 line segments. One of its primary purposes is to re-alloc</w:t>
      </w:r>
      <w:r w:rsidR="00054FE7">
        <w:rPr>
          <w:rFonts w:ascii="Times New Roman" w:hAnsi="Times New Roman"/>
        </w:rPr>
        <w:t>ate ownership of the three, 345-</w:t>
      </w:r>
      <w:r>
        <w:rPr>
          <w:rFonts w:ascii="Times New Roman" w:hAnsi="Times New Roman"/>
        </w:rPr>
        <w:t>kV transmission lines that make up the Bridger West system. At present, Pacific Power owns two of those lines (which flow into southern Idaho), and Idaho Power owns the third line (which flows into Idaho’s east central area). The transaction would redefine ownership of those lines with Pacific Power owning two-thirds of each line and Idaho Power owning one-third of each line.</w:t>
      </w:r>
    </w:p>
    <w:p w14:paraId="3E6BC9D7" w14:textId="77777777" w:rsidR="00AD1477" w:rsidRDefault="00AD1477" w:rsidP="00AD1477">
      <w:pPr>
        <w:rPr>
          <w:rFonts w:ascii="Times New Roman" w:hAnsi="Times New Roman"/>
        </w:rPr>
      </w:pPr>
    </w:p>
    <w:p w14:paraId="3E6BC9D8" w14:textId="77777777" w:rsidR="00AD1477" w:rsidRDefault="00AD1477" w:rsidP="00AD1477">
      <w:pPr>
        <w:rPr>
          <w:rFonts w:ascii="Times New Roman" w:hAnsi="Times New Roman"/>
        </w:rPr>
      </w:pPr>
      <w:r>
        <w:rPr>
          <w:rFonts w:ascii="Times New Roman" w:hAnsi="Times New Roman"/>
        </w:rPr>
        <w:t>At a high level, each utility gains the following in the transaction:</w:t>
      </w:r>
    </w:p>
    <w:p w14:paraId="3E6BC9D9" w14:textId="77777777" w:rsidR="00AD1477" w:rsidRDefault="00AD1477" w:rsidP="00AD1477">
      <w:pPr>
        <w:rPr>
          <w:rFonts w:ascii="Times New Roman" w:hAnsi="Times New Roman"/>
        </w:rPr>
      </w:pPr>
    </w:p>
    <w:p w14:paraId="3E6BC9DA" w14:textId="77777777" w:rsidR="00AD1477" w:rsidRPr="00EF133A" w:rsidRDefault="00AD1477" w:rsidP="00AD1477">
      <w:pPr>
        <w:rPr>
          <w:rFonts w:ascii="Times New Roman" w:hAnsi="Times New Roman"/>
          <w:i/>
        </w:rPr>
      </w:pPr>
      <w:r w:rsidRPr="00EF133A">
        <w:rPr>
          <w:rFonts w:ascii="Times New Roman" w:hAnsi="Times New Roman"/>
          <w:i/>
        </w:rPr>
        <w:t>Pacific Power:</w:t>
      </w:r>
    </w:p>
    <w:p w14:paraId="3E6BC9DB" w14:textId="77777777" w:rsidR="00AD1477" w:rsidRPr="00EF133A" w:rsidRDefault="00AD1477" w:rsidP="00AD1477">
      <w:pPr>
        <w:rPr>
          <w:rFonts w:ascii="Times New Roman" w:hAnsi="Times New Roman"/>
          <w:i/>
        </w:rPr>
      </w:pPr>
    </w:p>
    <w:p w14:paraId="3E6BC9DC" w14:textId="77777777" w:rsidR="00AD1477" w:rsidRPr="00EF133A" w:rsidRDefault="00AD1477" w:rsidP="00AD1477">
      <w:pPr>
        <w:pStyle w:val="ListParagraph"/>
        <w:numPr>
          <w:ilvl w:val="0"/>
          <w:numId w:val="6"/>
        </w:numPr>
        <w:rPr>
          <w:rFonts w:ascii="Times New Roman" w:hAnsi="Times New Roman"/>
          <w:i/>
        </w:rPr>
      </w:pPr>
      <w:r>
        <w:rPr>
          <w:rFonts w:ascii="Times New Roman" w:hAnsi="Times New Roman"/>
        </w:rPr>
        <w:t>One-third of the capacity of the Bridger-Three Mile Knoll-Goshen line, which would allow the company to better serve its Idaho territory; and</w:t>
      </w:r>
    </w:p>
    <w:p w14:paraId="3E6BC9DD" w14:textId="77777777" w:rsidR="00AD1477" w:rsidRPr="00566465" w:rsidRDefault="00AD1477" w:rsidP="00AD1477">
      <w:pPr>
        <w:pStyle w:val="ListParagraph"/>
        <w:numPr>
          <w:ilvl w:val="0"/>
          <w:numId w:val="6"/>
        </w:numPr>
        <w:rPr>
          <w:rFonts w:ascii="Times New Roman" w:hAnsi="Times New Roman"/>
          <w:i/>
        </w:rPr>
      </w:pPr>
      <w:r>
        <w:rPr>
          <w:rFonts w:ascii="Times New Roman" w:hAnsi="Times New Roman"/>
        </w:rPr>
        <w:t>One-third of the capacity of the Kinport-Midpoint line and the two Borah-Adelaide-Midpoint lines (1</w:t>
      </w:r>
      <w:r w:rsidR="00377B8A">
        <w:rPr>
          <w:rFonts w:ascii="Times New Roman" w:hAnsi="Times New Roman"/>
        </w:rPr>
        <w:t>,</w:t>
      </w:r>
      <w:r>
        <w:rPr>
          <w:rFonts w:ascii="Times New Roman" w:hAnsi="Times New Roman"/>
        </w:rPr>
        <w:t>090 MW total), which would reduce the company’s need to wheel power across Idaho Power’s system.</w:t>
      </w:r>
    </w:p>
    <w:p w14:paraId="3E6BC9DE" w14:textId="77777777" w:rsidR="00AD1477" w:rsidRDefault="00AD1477" w:rsidP="00AD1477">
      <w:pPr>
        <w:rPr>
          <w:rFonts w:ascii="Times New Roman" w:hAnsi="Times New Roman"/>
          <w:i/>
        </w:rPr>
      </w:pPr>
    </w:p>
    <w:p w14:paraId="3E6BC9DF" w14:textId="77777777" w:rsidR="00AD1477" w:rsidRDefault="00AD1477" w:rsidP="00AD1477">
      <w:pPr>
        <w:rPr>
          <w:rFonts w:ascii="Times New Roman" w:hAnsi="Times New Roman"/>
        </w:rPr>
      </w:pPr>
      <w:r>
        <w:rPr>
          <w:rFonts w:ascii="Times New Roman" w:hAnsi="Times New Roman"/>
          <w:i/>
        </w:rPr>
        <w:t>Idaho Power:</w:t>
      </w:r>
    </w:p>
    <w:p w14:paraId="3E6BC9E0" w14:textId="77777777" w:rsidR="00AD1477" w:rsidRDefault="00AD1477" w:rsidP="00AD1477">
      <w:pPr>
        <w:rPr>
          <w:rFonts w:ascii="Times New Roman" w:hAnsi="Times New Roman"/>
        </w:rPr>
      </w:pPr>
    </w:p>
    <w:p w14:paraId="3E6BC9E1" w14:textId="77777777" w:rsidR="00AD1477" w:rsidRDefault="00AD1477" w:rsidP="00AD1477">
      <w:pPr>
        <w:pStyle w:val="ListParagraph"/>
        <w:numPr>
          <w:ilvl w:val="0"/>
          <w:numId w:val="6"/>
        </w:numPr>
        <w:rPr>
          <w:rFonts w:ascii="Times New Roman" w:hAnsi="Times New Roman"/>
        </w:rPr>
      </w:pPr>
      <w:r>
        <w:rPr>
          <w:rFonts w:ascii="Times New Roman" w:hAnsi="Times New Roman"/>
        </w:rPr>
        <w:t>One-third of the capacity in the Bridger-Populus-Kinport and Bridger-Po</w:t>
      </w:r>
      <w:r w:rsidR="00B85288">
        <w:rPr>
          <w:rFonts w:ascii="Times New Roman" w:hAnsi="Times New Roman"/>
        </w:rPr>
        <w:t>pulus-Borah lines</w:t>
      </w:r>
      <w:r>
        <w:rPr>
          <w:rFonts w:ascii="Times New Roman" w:hAnsi="Times New Roman"/>
        </w:rPr>
        <w:t xml:space="preserve">, which would </w:t>
      </w:r>
      <w:r w:rsidR="00377B8A">
        <w:rPr>
          <w:rFonts w:ascii="Times New Roman" w:hAnsi="Times New Roman"/>
        </w:rPr>
        <w:t>give</w:t>
      </w:r>
      <w:r>
        <w:rPr>
          <w:rFonts w:ascii="Times New Roman" w:hAnsi="Times New Roman"/>
        </w:rPr>
        <w:t xml:space="preserve"> Idaho Power additional paths for moving its share of Bridger output to its service territories in Idaho and Oregon; </w:t>
      </w:r>
      <w:r w:rsidR="00B85288">
        <w:rPr>
          <w:rFonts w:ascii="Times New Roman" w:hAnsi="Times New Roman"/>
        </w:rPr>
        <w:t>and</w:t>
      </w:r>
    </w:p>
    <w:p w14:paraId="3E6BC9E2" w14:textId="77777777" w:rsidR="00AD1477" w:rsidRDefault="00AD1477" w:rsidP="00AD1477">
      <w:pPr>
        <w:pStyle w:val="ListParagraph"/>
        <w:numPr>
          <w:ilvl w:val="0"/>
          <w:numId w:val="6"/>
        </w:numPr>
        <w:rPr>
          <w:rFonts w:ascii="Times New Roman" w:hAnsi="Times New Roman"/>
        </w:rPr>
      </w:pPr>
      <w:r>
        <w:rPr>
          <w:rFonts w:ascii="Times New Roman" w:hAnsi="Times New Roman"/>
        </w:rPr>
        <w:t>One-third of the capacity on the Midpoint-Hemingway-Summer Lake line, which would give Idaho Power additional access to the Bonneville Power System and market hubs in Oregon and California.</w:t>
      </w:r>
    </w:p>
    <w:p w14:paraId="3E6BC9E3" w14:textId="77777777" w:rsidR="00AD1477" w:rsidRDefault="00AD1477" w:rsidP="00AD1477">
      <w:pPr>
        <w:rPr>
          <w:rFonts w:ascii="Times New Roman" w:hAnsi="Times New Roman"/>
        </w:rPr>
      </w:pPr>
    </w:p>
    <w:p w14:paraId="3E6BC9E4" w14:textId="77777777" w:rsidR="00AD1477" w:rsidRDefault="00AD1477" w:rsidP="00AD1477">
      <w:pPr>
        <w:rPr>
          <w:rFonts w:ascii="Times New Roman" w:hAnsi="Times New Roman"/>
        </w:rPr>
      </w:pPr>
      <w:r>
        <w:rPr>
          <w:rFonts w:ascii="Times New Roman" w:hAnsi="Times New Roman"/>
        </w:rPr>
        <w:t xml:space="preserve">A number of additional facilities are involved in the transaction; the </w:t>
      </w:r>
      <w:r w:rsidR="00F60DA0">
        <w:rPr>
          <w:rFonts w:ascii="Times New Roman" w:hAnsi="Times New Roman"/>
        </w:rPr>
        <w:t xml:space="preserve">specific </w:t>
      </w:r>
      <w:r>
        <w:rPr>
          <w:rFonts w:ascii="Times New Roman" w:hAnsi="Times New Roman"/>
        </w:rPr>
        <w:t>exchanges identified above are staff’s analysis of the</w:t>
      </w:r>
      <w:r w:rsidR="00B85288">
        <w:rPr>
          <w:rFonts w:ascii="Times New Roman" w:hAnsi="Times New Roman"/>
        </w:rPr>
        <w:t xml:space="preserve"> primary</w:t>
      </w:r>
      <w:r>
        <w:rPr>
          <w:rFonts w:ascii="Times New Roman" w:hAnsi="Times New Roman"/>
        </w:rPr>
        <w:t xml:space="preserve"> value drivers for each utility.</w:t>
      </w:r>
    </w:p>
    <w:p w14:paraId="3E6BC9E5" w14:textId="77777777" w:rsidR="00AD1477" w:rsidRDefault="00AD1477" w:rsidP="00AD1477">
      <w:pPr>
        <w:rPr>
          <w:rFonts w:ascii="Times New Roman" w:hAnsi="Times New Roman"/>
        </w:rPr>
      </w:pPr>
    </w:p>
    <w:p w14:paraId="3E6BC9E6" w14:textId="77777777" w:rsidR="00E15747" w:rsidRDefault="009718F8" w:rsidP="00C30A34">
      <w:pPr>
        <w:rPr>
          <w:rFonts w:ascii="Times New Roman" w:hAnsi="Times New Roman"/>
        </w:rPr>
      </w:pPr>
      <w:r>
        <w:rPr>
          <w:rFonts w:ascii="Times New Roman" w:hAnsi="Times New Roman"/>
          <w:b/>
          <w:u w:val="single"/>
        </w:rPr>
        <w:t>Discussion</w:t>
      </w:r>
    </w:p>
    <w:p w14:paraId="3E6BC9E7" w14:textId="77777777" w:rsidR="009718F8" w:rsidRDefault="009718F8" w:rsidP="00C30A34">
      <w:pPr>
        <w:rPr>
          <w:rFonts w:ascii="Times New Roman" w:hAnsi="Times New Roman"/>
        </w:rPr>
      </w:pPr>
    </w:p>
    <w:p w14:paraId="3E6BC9E8" w14:textId="77777777" w:rsidR="00DE1131" w:rsidRDefault="00DC29BE" w:rsidP="00C30A34">
      <w:pPr>
        <w:rPr>
          <w:rFonts w:ascii="Times New Roman" w:hAnsi="Times New Roman"/>
        </w:rPr>
      </w:pPr>
      <w:r>
        <w:rPr>
          <w:rFonts w:ascii="Times New Roman" w:hAnsi="Times New Roman"/>
        </w:rPr>
        <w:t xml:space="preserve">WAC 480-143-170 requires utility transfers to be “consistent with the public interest.” In previous property transfer requests, the </w:t>
      </w:r>
      <w:r w:rsidR="00DE1131">
        <w:rPr>
          <w:rFonts w:ascii="Times New Roman" w:hAnsi="Times New Roman"/>
        </w:rPr>
        <w:t>commission has interpreted this rule:</w:t>
      </w:r>
    </w:p>
    <w:p w14:paraId="3E6BC9E9" w14:textId="77777777" w:rsidR="00DE1131" w:rsidRDefault="00DE1131" w:rsidP="00C30A34">
      <w:pPr>
        <w:rPr>
          <w:rFonts w:ascii="Times New Roman" w:hAnsi="Times New Roman"/>
        </w:rPr>
      </w:pPr>
    </w:p>
    <w:p w14:paraId="3E6BC9EA" w14:textId="77777777" w:rsidR="00DE1131" w:rsidRPr="005476F1" w:rsidRDefault="00DE1131" w:rsidP="00DE1131">
      <w:pPr>
        <w:ind w:left="720" w:right="720"/>
        <w:rPr>
          <w:rFonts w:ascii="Times New Roman" w:hAnsi="Times New Roman"/>
        </w:rPr>
      </w:pPr>
      <w:r w:rsidRPr="005476F1">
        <w:rPr>
          <w:rFonts w:ascii="Times New Roman" w:hAnsi="Times New Roman"/>
        </w:rPr>
        <w:t>As a ‘no-harm’ standard. That is, we will deny the application if the transaction is not consistent with the public interest, but will approve it, if the applicant demonstrates that the transaction, on balance, at least does not harm.</w:t>
      </w:r>
      <w:r w:rsidRPr="005476F1">
        <w:rPr>
          <w:rStyle w:val="FootnoteReference"/>
          <w:rFonts w:ascii="Times New Roman" w:hAnsi="Times New Roman"/>
        </w:rPr>
        <w:footnoteReference w:id="5"/>
      </w:r>
    </w:p>
    <w:p w14:paraId="3E6BC9EB" w14:textId="77777777" w:rsidR="00DC29BE" w:rsidRDefault="00DC29BE" w:rsidP="00C30A34">
      <w:pPr>
        <w:rPr>
          <w:rFonts w:ascii="Times New Roman" w:hAnsi="Times New Roman"/>
        </w:rPr>
      </w:pPr>
    </w:p>
    <w:p w14:paraId="3E6BC9EC" w14:textId="77777777" w:rsidR="00DE1131" w:rsidRDefault="00DE1131" w:rsidP="00C30A34">
      <w:pPr>
        <w:rPr>
          <w:rFonts w:ascii="Times New Roman" w:hAnsi="Times New Roman"/>
        </w:rPr>
      </w:pPr>
      <w:r>
        <w:rPr>
          <w:rFonts w:ascii="Times New Roman" w:hAnsi="Times New Roman"/>
        </w:rPr>
        <w:t>In determining whether the no-harm standard has been met, the commission has established a four-part test:</w:t>
      </w:r>
    </w:p>
    <w:p w14:paraId="3E6BC9ED" w14:textId="77777777" w:rsidR="00DE1131" w:rsidRDefault="00DE1131" w:rsidP="00C30A34">
      <w:pPr>
        <w:rPr>
          <w:rFonts w:ascii="Times New Roman" w:hAnsi="Times New Roman"/>
        </w:rPr>
      </w:pPr>
    </w:p>
    <w:p w14:paraId="3E6BC9EE" w14:textId="77777777" w:rsidR="00DE1131" w:rsidRDefault="00DE1131" w:rsidP="00DE1131">
      <w:pPr>
        <w:pStyle w:val="ListParagraph"/>
        <w:numPr>
          <w:ilvl w:val="0"/>
          <w:numId w:val="7"/>
        </w:numPr>
        <w:rPr>
          <w:rFonts w:ascii="Times New Roman" w:hAnsi="Times New Roman"/>
        </w:rPr>
      </w:pPr>
      <w:r>
        <w:rPr>
          <w:rFonts w:ascii="Times New Roman" w:hAnsi="Times New Roman"/>
        </w:rPr>
        <w:t>The rates and risks faced by ratepayers;</w:t>
      </w:r>
    </w:p>
    <w:p w14:paraId="3E6BC9EF" w14:textId="77777777" w:rsidR="00DE1131" w:rsidRDefault="00DE1131" w:rsidP="00DE1131">
      <w:pPr>
        <w:pStyle w:val="ListParagraph"/>
        <w:numPr>
          <w:ilvl w:val="0"/>
          <w:numId w:val="7"/>
        </w:numPr>
        <w:rPr>
          <w:rFonts w:ascii="Times New Roman" w:hAnsi="Times New Roman"/>
        </w:rPr>
      </w:pPr>
      <w:r>
        <w:rPr>
          <w:rFonts w:ascii="Times New Roman" w:hAnsi="Times New Roman"/>
        </w:rPr>
        <w:t>The balance of interests among customers, shareholders, and the broader public;</w:t>
      </w:r>
    </w:p>
    <w:p w14:paraId="3E6BC9F0" w14:textId="77777777" w:rsidR="00DE1131" w:rsidRDefault="00DE1131" w:rsidP="00DE1131">
      <w:pPr>
        <w:pStyle w:val="ListParagraph"/>
        <w:numPr>
          <w:ilvl w:val="0"/>
          <w:numId w:val="7"/>
        </w:numPr>
        <w:rPr>
          <w:rFonts w:ascii="Times New Roman" w:hAnsi="Times New Roman"/>
        </w:rPr>
      </w:pPr>
      <w:r>
        <w:rPr>
          <w:rFonts w:ascii="Times New Roman" w:hAnsi="Times New Roman"/>
        </w:rPr>
        <w:t>The effect of the transaction on competitive markets; and</w:t>
      </w:r>
    </w:p>
    <w:p w14:paraId="3E6BC9F1" w14:textId="77777777" w:rsidR="00DE1131" w:rsidRPr="00DE1131" w:rsidRDefault="00DE1131" w:rsidP="00974023">
      <w:pPr>
        <w:pStyle w:val="ListParagraph"/>
        <w:numPr>
          <w:ilvl w:val="0"/>
          <w:numId w:val="7"/>
        </w:numPr>
        <w:rPr>
          <w:rFonts w:ascii="Times New Roman" w:hAnsi="Times New Roman"/>
        </w:rPr>
      </w:pPr>
      <w:r w:rsidRPr="00DE1131">
        <w:rPr>
          <w:rFonts w:ascii="Times New Roman" w:hAnsi="Times New Roman"/>
        </w:rPr>
        <w:t>Protection of the interests of Washington ratepayers.</w:t>
      </w:r>
      <w:r>
        <w:rPr>
          <w:rStyle w:val="FootnoteReference"/>
          <w:rFonts w:ascii="Times New Roman" w:hAnsi="Times New Roman"/>
        </w:rPr>
        <w:footnoteReference w:id="6"/>
      </w:r>
    </w:p>
    <w:p w14:paraId="3E6BC9F2" w14:textId="77777777" w:rsidR="00DE1131" w:rsidRDefault="00DE1131" w:rsidP="00C30A34">
      <w:pPr>
        <w:rPr>
          <w:rFonts w:ascii="Times New Roman" w:hAnsi="Times New Roman"/>
        </w:rPr>
      </w:pPr>
    </w:p>
    <w:p w14:paraId="3E6BC9F3" w14:textId="414EB5A3" w:rsidR="00DE1131" w:rsidRDefault="00AD1477" w:rsidP="00C30A34">
      <w:pPr>
        <w:rPr>
          <w:rFonts w:ascii="Times New Roman" w:hAnsi="Times New Roman"/>
        </w:rPr>
      </w:pPr>
      <w:r>
        <w:rPr>
          <w:rFonts w:ascii="Times New Roman" w:hAnsi="Times New Roman"/>
        </w:rPr>
        <w:t xml:space="preserve">Based on the company’s filing and responses to staff’s data requests, staff believes that the </w:t>
      </w:r>
      <w:r w:rsidR="006A547D">
        <w:rPr>
          <w:rFonts w:ascii="Times New Roman" w:hAnsi="Times New Roman"/>
        </w:rPr>
        <w:t xml:space="preserve">petition </w:t>
      </w:r>
      <w:r w:rsidR="006B5DFD">
        <w:rPr>
          <w:rFonts w:ascii="Times New Roman" w:hAnsi="Times New Roman"/>
        </w:rPr>
        <w:t xml:space="preserve">satisfies </w:t>
      </w:r>
      <w:r w:rsidR="006A547D">
        <w:rPr>
          <w:rFonts w:ascii="Times New Roman" w:hAnsi="Times New Roman"/>
        </w:rPr>
        <w:t>the four-part test as outlined below.</w:t>
      </w:r>
    </w:p>
    <w:p w14:paraId="3E6BC9F4" w14:textId="77777777" w:rsidR="006A547D" w:rsidRDefault="006A547D" w:rsidP="00C30A34">
      <w:pPr>
        <w:rPr>
          <w:rFonts w:ascii="Times New Roman" w:hAnsi="Times New Roman"/>
        </w:rPr>
      </w:pPr>
    </w:p>
    <w:p w14:paraId="3E6BC9F5" w14:textId="77777777" w:rsidR="006A547D" w:rsidRDefault="006A547D" w:rsidP="00C30A34">
      <w:pPr>
        <w:rPr>
          <w:rFonts w:ascii="Times New Roman" w:hAnsi="Times New Roman"/>
        </w:rPr>
      </w:pPr>
      <w:r>
        <w:rPr>
          <w:rFonts w:ascii="Times New Roman" w:hAnsi="Times New Roman"/>
          <w:i/>
        </w:rPr>
        <w:t>The rates and risks f</w:t>
      </w:r>
      <w:r w:rsidR="00F60DA0">
        <w:rPr>
          <w:rFonts w:ascii="Times New Roman" w:hAnsi="Times New Roman"/>
          <w:i/>
        </w:rPr>
        <w:t>aced by ratepayers</w:t>
      </w:r>
    </w:p>
    <w:p w14:paraId="3E6BC9F6" w14:textId="77777777" w:rsidR="006A547D" w:rsidRDefault="006A547D" w:rsidP="00C30A34">
      <w:pPr>
        <w:rPr>
          <w:rFonts w:ascii="Times New Roman" w:hAnsi="Times New Roman"/>
        </w:rPr>
      </w:pPr>
    </w:p>
    <w:p w14:paraId="3E6BC9F7" w14:textId="7510566F" w:rsidR="006A547D" w:rsidRDefault="006A547D" w:rsidP="00C30A34">
      <w:pPr>
        <w:rPr>
          <w:rFonts w:ascii="Times New Roman" w:hAnsi="Times New Roman"/>
        </w:rPr>
      </w:pPr>
      <w:r>
        <w:rPr>
          <w:rFonts w:ascii="Times New Roman" w:hAnsi="Times New Roman"/>
        </w:rPr>
        <w:t>Pacific Power represents that the transaction is not expected to affect the company’</w:t>
      </w:r>
      <w:r w:rsidR="00453355">
        <w:rPr>
          <w:rFonts w:ascii="Times New Roman" w:hAnsi="Times New Roman"/>
        </w:rPr>
        <w:t>s rates</w:t>
      </w:r>
      <w:r>
        <w:rPr>
          <w:rFonts w:ascii="Times New Roman" w:hAnsi="Times New Roman"/>
        </w:rPr>
        <w:t>.</w:t>
      </w:r>
      <w:r>
        <w:rPr>
          <w:rStyle w:val="FootnoteReference"/>
          <w:rFonts w:ascii="Times New Roman" w:hAnsi="Times New Roman"/>
        </w:rPr>
        <w:footnoteReference w:id="7"/>
      </w:r>
      <w:r w:rsidR="00453355">
        <w:rPr>
          <w:rFonts w:ascii="Times New Roman" w:hAnsi="Times New Roman"/>
        </w:rPr>
        <w:t xml:space="preserve"> </w:t>
      </w:r>
      <w:r w:rsidR="00F60DA0">
        <w:rPr>
          <w:rFonts w:ascii="Times New Roman" w:hAnsi="Times New Roman"/>
        </w:rPr>
        <w:t>In testimony</w:t>
      </w:r>
      <w:r w:rsidR="00453355">
        <w:rPr>
          <w:rFonts w:ascii="Times New Roman" w:hAnsi="Times New Roman"/>
        </w:rPr>
        <w:t xml:space="preserve"> submitted with the filing, </w:t>
      </w:r>
      <w:r w:rsidR="00F60DA0">
        <w:rPr>
          <w:rFonts w:ascii="Times New Roman" w:hAnsi="Times New Roman"/>
        </w:rPr>
        <w:t xml:space="preserve">the company </w:t>
      </w:r>
      <w:r w:rsidR="00453355">
        <w:rPr>
          <w:rFonts w:ascii="Times New Roman" w:hAnsi="Times New Roman"/>
        </w:rPr>
        <w:t>states that the transaction is “financially neutral” to retail customers.</w:t>
      </w:r>
      <w:r w:rsidR="00453355">
        <w:rPr>
          <w:rStyle w:val="FootnoteReference"/>
          <w:rFonts w:ascii="Times New Roman" w:hAnsi="Times New Roman"/>
        </w:rPr>
        <w:footnoteReference w:id="8"/>
      </w:r>
      <w:r w:rsidR="00453355">
        <w:rPr>
          <w:rFonts w:ascii="Times New Roman" w:hAnsi="Times New Roman"/>
        </w:rPr>
        <w:t xml:space="preserve"> In response to a staff data request asking for more detail, the company </w:t>
      </w:r>
      <w:r w:rsidR="0064781D">
        <w:rPr>
          <w:rFonts w:ascii="Times New Roman" w:hAnsi="Times New Roman"/>
        </w:rPr>
        <w:t>indicated that the potential impacts of the transaction on Washington rates would be a near-term increase of about $575,000, but cautioned that any actual increase would depend on the test period used.</w:t>
      </w:r>
      <w:r w:rsidR="0064781D">
        <w:rPr>
          <w:rStyle w:val="FootnoteReference"/>
          <w:rFonts w:ascii="Times New Roman" w:hAnsi="Times New Roman"/>
        </w:rPr>
        <w:footnoteReference w:id="9"/>
      </w:r>
      <w:r w:rsidR="0064781D">
        <w:rPr>
          <w:rFonts w:ascii="Times New Roman" w:hAnsi="Times New Roman"/>
        </w:rPr>
        <w:t xml:space="preserve"> By staff’s estimate, $575,000 would represent an increase of about 0.2 percent</w:t>
      </w:r>
      <w:r w:rsidR="006B5DFD">
        <w:rPr>
          <w:rFonts w:ascii="Times New Roman" w:hAnsi="Times New Roman"/>
        </w:rPr>
        <w:t>, or $0.23 per month for the average residential customer</w:t>
      </w:r>
      <w:r w:rsidR="0064781D">
        <w:rPr>
          <w:rFonts w:ascii="Times New Roman" w:hAnsi="Times New Roman"/>
        </w:rPr>
        <w:t xml:space="preserve">. </w:t>
      </w:r>
    </w:p>
    <w:p w14:paraId="3E6BC9F8" w14:textId="77777777" w:rsidR="0064781D" w:rsidRDefault="0064781D" w:rsidP="00C30A34">
      <w:pPr>
        <w:rPr>
          <w:rFonts w:ascii="Times New Roman" w:hAnsi="Times New Roman"/>
        </w:rPr>
      </w:pPr>
    </w:p>
    <w:p w14:paraId="3E6BC9F9" w14:textId="77777777" w:rsidR="0064781D" w:rsidRDefault="0064781D" w:rsidP="00C30A34">
      <w:pPr>
        <w:rPr>
          <w:rFonts w:ascii="Times New Roman" w:hAnsi="Times New Roman"/>
        </w:rPr>
      </w:pPr>
      <w:r>
        <w:rPr>
          <w:rFonts w:ascii="Times New Roman" w:hAnsi="Times New Roman"/>
        </w:rPr>
        <w:t>In balance of that potential increase, the company identifies non-quantifiable benefits such as increased efficiency</w:t>
      </w:r>
      <w:r w:rsidR="001D6106">
        <w:rPr>
          <w:rFonts w:ascii="Times New Roman" w:hAnsi="Times New Roman"/>
        </w:rPr>
        <w:t xml:space="preserve"> and transparency in its transmission operations, opportunities to share costs with Idaho Power on future projects, and additional rights on Idaho Power’s system through OATT transactions, such as reassignment, redirection and rollover.</w:t>
      </w:r>
    </w:p>
    <w:p w14:paraId="3E6BC9FA" w14:textId="77777777" w:rsidR="001D6106" w:rsidRDefault="001D6106" w:rsidP="00C30A34">
      <w:pPr>
        <w:rPr>
          <w:rFonts w:ascii="Times New Roman" w:hAnsi="Times New Roman"/>
        </w:rPr>
      </w:pPr>
    </w:p>
    <w:p w14:paraId="3E6BC9FB" w14:textId="77777777" w:rsidR="00566465" w:rsidRDefault="001D6106" w:rsidP="00701E13">
      <w:pPr>
        <w:rPr>
          <w:rFonts w:ascii="Times New Roman" w:hAnsi="Times New Roman"/>
        </w:rPr>
      </w:pPr>
      <w:r>
        <w:rPr>
          <w:rFonts w:ascii="Times New Roman" w:hAnsi="Times New Roman"/>
        </w:rPr>
        <w:t xml:space="preserve">The transaction appears to </w:t>
      </w:r>
      <w:r w:rsidR="00701E13">
        <w:rPr>
          <w:rFonts w:ascii="Times New Roman" w:hAnsi="Times New Roman"/>
        </w:rPr>
        <w:t xml:space="preserve">slightly reduce risks for </w:t>
      </w:r>
      <w:r w:rsidR="00F60DA0">
        <w:rPr>
          <w:rFonts w:ascii="Times New Roman" w:hAnsi="Times New Roman"/>
        </w:rPr>
        <w:t xml:space="preserve">Washington </w:t>
      </w:r>
      <w:r w:rsidR="00701E13">
        <w:rPr>
          <w:rFonts w:ascii="Times New Roman" w:hAnsi="Times New Roman"/>
        </w:rPr>
        <w:t xml:space="preserve">ratepayers in two ways. The first is reducing </w:t>
      </w:r>
      <w:r w:rsidR="00F60DA0">
        <w:rPr>
          <w:rFonts w:ascii="Times New Roman" w:hAnsi="Times New Roman"/>
        </w:rPr>
        <w:t xml:space="preserve">the </w:t>
      </w:r>
      <w:r w:rsidR="00701E13">
        <w:rPr>
          <w:rFonts w:ascii="Times New Roman" w:hAnsi="Times New Roman"/>
        </w:rPr>
        <w:t xml:space="preserve">impact of line outages. As stated above, Pacific Power currently owns a full share of two transmission lines out of the Bridger plant. If one goes down, the company only has one other line to replace it. The proposed transaction would give the company a two-thirds share in each of three lines, meaning that if one goes down, the company has one and one-third lines to replace it. </w:t>
      </w:r>
    </w:p>
    <w:p w14:paraId="3E6BC9FC" w14:textId="77777777" w:rsidR="00701E13" w:rsidRDefault="00701E13" w:rsidP="00701E13">
      <w:pPr>
        <w:rPr>
          <w:rFonts w:ascii="Times New Roman" w:hAnsi="Times New Roman"/>
        </w:rPr>
      </w:pPr>
    </w:p>
    <w:p w14:paraId="3E6BC9FD" w14:textId="335A9B8F" w:rsidR="00701E13" w:rsidRDefault="00701E13" w:rsidP="00701E13">
      <w:pPr>
        <w:rPr>
          <w:rFonts w:ascii="Times New Roman" w:hAnsi="Times New Roman"/>
        </w:rPr>
      </w:pPr>
      <w:r>
        <w:rPr>
          <w:rFonts w:ascii="Times New Roman" w:hAnsi="Times New Roman"/>
        </w:rPr>
        <w:t>The second potential risk reduction comes from the company’s reduced need for wheeling. By acquiring a larger ownership interest in the lines it uses to move power across Idaho, the company will red</w:t>
      </w:r>
      <w:r w:rsidR="000602DE">
        <w:rPr>
          <w:rFonts w:ascii="Times New Roman" w:hAnsi="Times New Roman"/>
        </w:rPr>
        <w:t xml:space="preserve">uce the need for wheeling </w:t>
      </w:r>
      <w:r>
        <w:rPr>
          <w:rFonts w:ascii="Times New Roman" w:hAnsi="Times New Roman"/>
        </w:rPr>
        <w:t>on Idaho Power’s system. This could provide immediate benefits, as Idaho Power has a pending request before FERC to increase its OATT rates</w:t>
      </w:r>
      <w:r w:rsidR="00CE16B3">
        <w:rPr>
          <w:rFonts w:ascii="Times New Roman" w:hAnsi="Times New Roman"/>
        </w:rPr>
        <w:t xml:space="preserve"> by as much as 46 percent</w:t>
      </w:r>
      <w:r>
        <w:rPr>
          <w:rFonts w:ascii="Times New Roman" w:hAnsi="Times New Roman"/>
        </w:rPr>
        <w:t>.</w:t>
      </w:r>
      <w:r w:rsidR="00CE16B3">
        <w:rPr>
          <w:rStyle w:val="FootnoteReference"/>
          <w:rFonts w:ascii="Times New Roman" w:hAnsi="Times New Roman"/>
        </w:rPr>
        <w:footnoteReference w:id="10"/>
      </w:r>
      <w:r>
        <w:rPr>
          <w:rFonts w:ascii="Times New Roman" w:hAnsi="Times New Roman"/>
        </w:rPr>
        <w:t xml:space="preserve"> </w:t>
      </w:r>
    </w:p>
    <w:p w14:paraId="3E6BC9FE" w14:textId="77777777" w:rsidR="00701E13" w:rsidRDefault="00701E13" w:rsidP="00701E13">
      <w:pPr>
        <w:rPr>
          <w:rFonts w:ascii="Times New Roman" w:hAnsi="Times New Roman"/>
        </w:rPr>
      </w:pPr>
    </w:p>
    <w:p w14:paraId="3E6BC9FF" w14:textId="77777777" w:rsidR="00701E13" w:rsidRDefault="00701E13" w:rsidP="00701E13">
      <w:pPr>
        <w:rPr>
          <w:rFonts w:ascii="Times New Roman" w:hAnsi="Times New Roman"/>
        </w:rPr>
      </w:pPr>
      <w:r>
        <w:rPr>
          <w:rFonts w:ascii="Times New Roman" w:hAnsi="Times New Roman"/>
        </w:rPr>
        <w:t xml:space="preserve">While the benefits are largely intangible or unquantifiable at this point, </w:t>
      </w:r>
      <w:r w:rsidR="00473737">
        <w:rPr>
          <w:rFonts w:ascii="Times New Roman" w:hAnsi="Times New Roman"/>
        </w:rPr>
        <w:t>a potential rate increase of 0.2 percent appears reasonable to attain them. Based on this analysis, staff believes that the proposed transaction’s projected impact on the rates and risk for Washington ratepayers would not be harmful.</w:t>
      </w:r>
    </w:p>
    <w:p w14:paraId="3E6BCA00" w14:textId="77777777" w:rsidR="00473737" w:rsidRDefault="00473737" w:rsidP="00701E13">
      <w:pPr>
        <w:rPr>
          <w:rFonts w:ascii="Times New Roman" w:hAnsi="Times New Roman"/>
        </w:rPr>
      </w:pPr>
    </w:p>
    <w:p w14:paraId="3E6BCA01" w14:textId="77777777" w:rsidR="00473737" w:rsidRPr="00473737" w:rsidRDefault="00473737" w:rsidP="00701E13">
      <w:pPr>
        <w:rPr>
          <w:rFonts w:ascii="Times New Roman" w:hAnsi="Times New Roman"/>
          <w:i/>
        </w:rPr>
      </w:pPr>
      <w:r w:rsidRPr="00473737">
        <w:rPr>
          <w:rFonts w:ascii="Times New Roman" w:hAnsi="Times New Roman"/>
          <w:i/>
        </w:rPr>
        <w:t>The balance of interests among customers, shareholders, and the broader</w:t>
      </w:r>
      <w:r>
        <w:rPr>
          <w:rFonts w:ascii="Times New Roman" w:hAnsi="Times New Roman"/>
          <w:i/>
        </w:rPr>
        <w:t xml:space="preserve"> public</w:t>
      </w:r>
    </w:p>
    <w:p w14:paraId="3E6BCA02" w14:textId="77777777" w:rsidR="00473737" w:rsidRDefault="00473737" w:rsidP="00701E13">
      <w:pPr>
        <w:rPr>
          <w:rFonts w:ascii="Times New Roman" w:hAnsi="Times New Roman"/>
          <w:i/>
        </w:rPr>
      </w:pPr>
    </w:p>
    <w:p w14:paraId="3E6BCA03" w14:textId="77777777" w:rsidR="00566465" w:rsidRDefault="00473737" w:rsidP="00881FCB">
      <w:pPr>
        <w:rPr>
          <w:rFonts w:ascii="Times New Roman" w:hAnsi="Times New Roman"/>
        </w:rPr>
      </w:pPr>
      <w:r>
        <w:rPr>
          <w:rFonts w:ascii="Times New Roman" w:hAnsi="Times New Roman"/>
        </w:rPr>
        <w:t xml:space="preserve">As stated above, the proposed transaction appears to </w:t>
      </w:r>
      <w:r w:rsidR="006F0B66">
        <w:rPr>
          <w:rFonts w:ascii="Times New Roman" w:hAnsi="Times New Roman"/>
        </w:rPr>
        <w:t xml:space="preserve">create </w:t>
      </w:r>
      <w:r w:rsidR="00F420AB">
        <w:rPr>
          <w:rFonts w:ascii="Times New Roman" w:hAnsi="Times New Roman"/>
        </w:rPr>
        <w:t xml:space="preserve">some benefit to Washington ratepayers, though those benefits are likely small and difficult to quantify. </w:t>
      </w:r>
    </w:p>
    <w:p w14:paraId="3E6BCA04" w14:textId="77777777" w:rsidR="00F55288" w:rsidRDefault="00F55288" w:rsidP="00566465">
      <w:pPr>
        <w:rPr>
          <w:rFonts w:ascii="Times New Roman" w:hAnsi="Times New Roman"/>
        </w:rPr>
      </w:pPr>
    </w:p>
    <w:p w14:paraId="3E6BCA05" w14:textId="77777777" w:rsidR="00561CE6" w:rsidRDefault="00F55288" w:rsidP="00566465">
      <w:pPr>
        <w:rPr>
          <w:rFonts w:ascii="Times New Roman" w:hAnsi="Times New Roman"/>
        </w:rPr>
      </w:pPr>
      <w:r>
        <w:rPr>
          <w:rFonts w:ascii="Times New Roman" w:hAnsi="Times New Roman"/>
        </w:rPr>
        <w:t xml:space="preserve">Pacific Power’s shareholders have an interest in this </w:t>
      </w:r>
      <w:r w:rsidR="00561CE6">
        <w:rPr>
          <w:rFonts w:ascii="Times New Roman" w:hAnsi="Times New Roman"/>
        </w:rPr>
        <w:t xml:space="preserve">transaction because it improves the company’s ability to serve Idaho loads and it positions </w:t>
      </w:r>
      <w:r w:rsidR="000602DE">
        <w:rPr>
          <w:rFonts w:ascii="Times New Roman" w:hAnsi="Times New Roman"/>
        </w:rPr>
        <w:t xml:space="preserve">the company </w:t>
      </w:r>
      <w:r w:rsidR="00561CE6">
        <w:rPr>
          <w:rFonts w:ascii="Times New Roman" w:hAnsi="Times New Roman"/>
        </w:rPr>
        <w:t xml:space="preserve">for a strategic relationship with Idaho power to share costs on future transmission projects. </w:t>
      </w:r>
    </w:p>
    <w:p w14:paraId="3E6BCA06" w14:textId="77777777" w:rsidR="00561CE6" w:rsidRDefault="00561CE6" w:rsidP="00566465">
      <w:pPr>
        <w:rPr>
          <w:rFonts w:ascii="Times New Roman" w:hAnsi="Times New Roman"/>
        </w:rPr>
      </w:pPr>
    </w:p>
    <w:p w14:paraId="3E6BCA07" w14:textId="77777777" w:rsidR="00F55288" w:rsidRDefault="00561CE6" w:rsidP="00566465">
      <w:pPr>
        <w:rPr>
          <w:rFonts w:ascii="Times New Roman" w:hAnsi="Times New Roman"/>
        </w:rPr>
      </w:pPr>
      <w:r>
        <w:rPr>
          <w:rFonts w:ascii="Times New Roman" w:hAnsi="Times New Roman"/>
        </w:rPr>
        <w:t xml:space="preserve">In the Wyoming Public Service Commission proceeding on this matter, the company represented that the impetus for the proposed exchange was a 2013 power outage in </w:t>
      </w:r>
      <w:r w:rsidR="000602DE">
        <w:rPr>
          <w:rFonts w:ascii="Times New Roman" w:hAnsi="Times New Roman"/>
        </w:rPr>
        <w:t xml:space="preserve">its </w:t>
      </w:r>
      <w:r>
        <w:rPr>
          <w:rFonts w:ascii="Times New Roman" w:hAnsi="Times New Roman"/>
        </w:rPr>
        <w:t xml:space="preserve">Idaho </w:t>
      </w:r>
      <w:r w:rsidR="000602DE">
        <w:rPr>
          <w:rFonts w:ascii="Times New Roman" w:hAnsi="Times New Roman"/>
        </w:rPr>
        <w:t xml:space="preserve">service territory </w:t>
      </w:r>
      <w:r>
        <w:rPr>
          <w:rFonts w:ascii="Times New Roman" w:hAnsi="Times New Roman"/>
        </w:rPr>
        <w:t>that prompted the company t</w:t>
      </w:r>
      <w:r w:rsidR="000602DE">
        <w:rPr>
          <w:rFonts w:ascii="Times New Roman" w:hAnsi="Times New Roman"/>
        </w:rPr>
        <w:t>o begin negotiating with Idaho P</w:t>
      </w:r>
      <w:r>
        <w:rPr>
          <w:rFonts w:ascii="Times New Roman" w:hAnsi="Times New Roman"/>
        </w:rPr>
        <w:t>ower for additional transmission capacity.</w:t>
      </w:r>
      <w:r>
        <w:rPr>
          <w:rStyle w:val="FootnoteReference"/>
          <w:rFonts w:ascii="Times New Roman" w:hAnsi="Times New Roman"/>
        </w:rPr>
        <w:footnoteReference w:id="11"/>
      </w:r>
      <w:r>
        <w:rPr>
          <w:rFonts w:ascii="Times New Roman" w:hAnsi="Times New Roman"/>
        </w:rPr>
        <w:t xml:space="preserve"> The proposed exchange gives the company the ability to better serve its Idaho territory without appearing to harm any of its other territories.</w:t>
      </w:r>
    </w:p>
    <w:p w14:paraId="3E6BCA08" w14:textId="77777777" w:rsidR="00561CE6" w:rsidRDefault="00561CE6" w:rsidP="00566465">
      <w:pPr>
        <w:rPr>
          <w:rFonts w:ascii="Times New Roman" w:hAnsi="Times New Roman"/>
        </w:rPr>
      </w:pPr>
    </w:p>
    <w:p w14:paraId="3E6BCA09" w14:textId="77777777" w:rsidR="00561CE6" w:rsidRDefault="00561CE6" w:rsidP="00566465">
      <w:pPr>
        <w:rPr>
          <w:rFonts w:ascii="Times New Roman" w:hAnsi="Times New Roman"/>
        </w:rPr>
      </w:pPr>
      <w:r>
        <w:rPr>
          <w:rFonts w:ascii="Times New Roman" w:hAnsi="Times New Roman"/>
        </w:rPr>
        <w:t>On the second point, the company argues that the proposed exchange creates a strong foundation for Pacific Power and Idaho Power to work together on future project</w:t>
      </w:r>
      <w:r w:rsidR="00F3361D">
        <w:rPr>
          <w:rFonts w:ascii="Times New Roman" w:hAnsi="Times New Roman"/>
        </w:rPr>
        <w:t>s of mutual interest.</w:t>
      </w:r>
      <w:r w:rsidR="00F3361D">
        <w:rPr>
          <w:rStyle w:val="FootnoteReference"/>
          <w:rFonts w:ascii="Times New Roman" w:hAnsi="Times New Roman"/>
        </w:rPr>
        <w:footnoteReference w:id="12"/>
      </w:r>
      <w:r w:rsidR="00F3361D">
        <w:rPr>
          <w:rFonts w:ascii="Times New Roman" w:hAnsi="Times New Roman"/>
        </w:rPr>
        <w:t xml:space="preserve"> This is a minor, intangible benefit, but one worth noting as meeting the interests of shareholders.</w:t>
      </w:r>
    </w:p>
    <w:p w14:paraId="3E6BCA0A" w14:textId="77777777" w:rsidR="00F3361D" w:rsidRDefault="00F3361D" w:rsidP="00566465">
      <w:pPr>
        <w:rPr>
          <w:rFonts w:ascii="Times New Roman" w:hAnsi="Times New Roman"/>
        </w:rPr>
      </w:pPr>
    </w:p>
    <w:p w14:paraId="3E6BCA0B" w14:textId="4110AA3F" w:rsidR="00F3361D" w:rsidRDefault="00F3361D" w:rsidP="00566465">
      <w:pPr>
        <w:rPr>
          <w:rFonts w:ascii="Times New Roman" w:hAnsi="Times New Roman"/>
        </w:rPr>
      </w:pPr>
      <w:r>
        <w:rPr>
          <w:rFonts w:ascii="Times New Roman" w:hAnsi="Times New Roman"/>
        </w:rPr>
        <w:t xml:space="preserve">Based on this review, staff believes that the proposed agreement serves </w:t>
      </w:r>
      <w:r w:rsidR="00CE16B3">
        <w:rPr>
          <w:rFonts w:ascii="Times New Roman" w:hAnsi="Times New Roman"/>
        </w:rPr>
        <w:t xml:space="preserve">the </w:t>
      </w:r>
      <w:r>
        <w:rPr>
          <w:rFonts w:ascii="Times New Roman" w:hAnsi="Times New Roman"/>
        </w:rPr>
        <w:t>interests of Washington ratepayers and company shareholders without harming either party.</w:t>
      </w:r>
    </w:p>
    <w:p w14:paraId="3E6BCA0C" w14:textId="77777777" w:rsidR="00F3361D" w:rsidRDefault="00F3361D" w:rsidP="00566465">
      <w:pPr>
        <w:rPr>
          <w:rFonts w:ascii="Times New Roman" w:hAnsi="Times New Roman"/>
        </w:rPr>
      </w:pPr>
    </w:p>
    <w:p w14:paraId="3E6BCA0D" w14:textId="77777777" w:rsidR="00F3361D" w:rsidRDefault="00F3361D" w:rsidP="00566465">
      <w:pPr>
        <w:rPr>
          <w:rFonts w:ascii="Times New Roman" w:hAnsi="Times New Roman"/>
        </w:rPr>
      </w:pPr>
      <w:r>
        <w:rPr>
          <w:rFonts w:ascii="Times New Roman" w:hAnsi="Times New Roman"/>
          <w:i/>
        </w:rPr>
        <w:t>The effect of the transaction on competitive markets</w:t>
      </w:r>
    </w:p>
    <w:p w14:paraId="3E6BCA0E" w14:textId="77777777" w:rsidR="00F3361D" w:rsidRDefault="00F3361D" w:rsidP="00566465">
      <w:pPr>
        <w:rPr>
          <w:rFonts w:ascii="Times New Roman" w:hAnsi="Times New Roman"/>
        </w:rPr>
      </w:pPr>
    </w:p>
    <w:p w14:paraId="3E6BCA0F" w14:textId="51C8F47A" w:rsidR="00F3361D" w:rsidRDefault="00F3361D" w:rsidP="00566465">
      <w:pPr>
        <w:rPr>
          <w:rFonts w:ascii="Times New Roman" w:hAnsi="Times New Roman"/>
        </w:rPr>
      </w:pPr>
      <w:r>
        <w:rPr>
          <w:rFonts w:ascii="Times New Roman" w:hAnsi="Times New Roman"/>
        </w:rPr>
        <w:t>From a competitive standpoint, the proposed exchange’s most significant impact would be the increased capacity for Pacific Power to dynamically schedule power across Idaho Power’s system. Through the MSP process, staff understands that the company has fully allocated the dynamic overlay</w:t>
      </w:r>
      <w:r w:rsidR="00CE16B3">
        <w:rPr>
          <w:rFonts w:ascii="Times New Roman" w:hAnsi="Times New Roman"/>
        </w:rPr>
        <w:t xml:space="preserve"> for making transactions in the</w:t>
      </w:r>
      <w:r>
        <w:rPr>
          <w:rFonts w:ascii="Times New Roman" w:hAnsi="Times New Roman"/>
        </w:rPr>
        <w:t xml:space="preserve"> Energy Imbalance Market (EIM) with the California Independent System Operator (CAISO). Increasing the dynamic overlay from 200 MW to 400 MW would allow for more transfers between Pacific Power and CAISO, thereby increasing the depth of that market and the cost savings that the company has realized since entering the EIM.</w:t>
      </w:r>
    </w:p>
    <w:p w14:paraId="3E6BCA10" w14:textId="77777777" w:rsidR="00F3361D" w:rsidRDefault="00F3361D" w:rsidP="00566465">
      <w:pPr>
        <w:rPr>
          <w:rFonts w:ascii="Times New Roman" w:hAnsi="Times New Roman"/>
        </w:rPr>
      </w:pPr>
    </w:p>
    <w:p w14:paraId="3E6BCA11" w14:textId="77777777" w:rsidR="00F3361D" w:rsidRDefault="00F3361D" w:rsidP="00566465">
      <w:pPr>
        <w:rPr>
          <w:rFonts w:ascii="Times New Roman" w:hAnsi="Times New Roman"/>
        </w:rPr>
      </w:pPr>
      <w:r>
        <w:rPr>
          <w:rFonts w:ascii="Times New Roman" w:hAnsi="Times New Roman"/>
        </w:rPr>
        <w:t xml:space="preserve">For Idaho Power, the transaction appears to improve the company’s ability to access energy market hubs in Oregon and California. </w:t>
      </w:r>
    </w:p>
    <w:p w14:paraId="3E6BCA12" w14:textId="77777777" w:rsidR="00F3361D" w:rsidRDefault="00F3361D" w:rsidP="00566465">
      <w:pPr>
        <w:rPr>
          <w:rFonts w:ascii="Times New Roman" w:hAnsi="Times New Roman"/>
        </w:rPr>
      </w:pPr>
    </w:p>
    <w:p w14:paraId="3E6BCA13" w14:textId="77777777" w:rsidR="00F3361D" w:rsidRPr="00F3361D" w:rsidRDefault="00F3361D" w:rsidP="00566465">
      <w:pPr>
        <w:rPr>
          <w:rFonts w:ascii="Times New Roman" w:hAnsi="Times New Roman"/>
        </w:rPr>
      </w:pPr>
      <w:r>
        <w:rPr>
          <w:rFonts w:ascii="Times New Roman" w:hAnsi="Times New Roman"/>
        </w:rPr>
        <w:t>Based on this review, staff believes that the proposed exchange would increase market access in the region. Staff did not identify any potential anti-competitive outcomes of the agreement.</w:t>
      </w:r>
      <w:r>
        <w:rPr>
          <w:rStyle w:val="FootnoteReference"/>
          <w:rFonts w:ascii="Times New Roman" w:hAnsi="Times New Roman"/>
        </w:rPr>
        <w:footnoteReference w:id="13"/>
      </w:r>
    </w:p>
    <w:p w14:paraId="3E6BCA14" w14:textId="77777777" w:rsidR="003D062E" w:rsidRDefault="003D062E" w:rsidP="00C30A34">
      <w:pPr>
        <w:rPr>
          <w:rFonts w:ascii="Times New Roman" w:hAnsi="Times New Roman"/>
        </w:rPr>
      </w:pPr>
    </w:p>
    <w:p w14:paraId="3E6BCA15" w14:textId="77777777" w:rsidR="00881FCB" w:rsidRDefault="00881FCB">
      <w:pPr>
        <w:rPr>
          <w:rFonts w:ascii="Times New Roman" w:hAnsi="Times New Roman"/>
        </w:rPr>
      </w:pPr>
      <w:r>
        <w:rPr>
          <w:rFonts w:ascii="Times New Roman" w:hAnsi="Times New Roman"/>
          <w:i/>
        </w:rPr>
        <w:t>Protection of the interests of Washington ratepayers</w:t>
      </w:r>
    </w:p>
    <w:p w14:paraId="3E6BCA16" w14:textId="77777777" w:rsidR="00881FCB" w:rsidRDefault="00881FCB">
      <w:pPr>
        <w:rPr>
          <w:rFonts w:ascii="Times New Roman" w:hAnsi="Times New Roman"/>
        </w:rPr>
      </w:pPr>
    </w:p>
    <w:p w14:paraId="3E6BCA17" w14:textId="73C4E8B3" w:rsidR="000602DE" w:rsidRDefault="00881FCB" w:rsidP="00881FCB">
      <w:pPr>
        <w:rPr>
          <w:rFonts w:ascii="Times New Roman" w:hAnsi="Times New Roman"/>
        </w:rPr>
      </w:pPr>
      <w:r>
        <w:rPr>
          <w:rFonts w:ascii="Times New Roman" w:hAnsi="Times New Roman"/>
        </w:rPr>
        <w:t>Washington is the only state in the company’s six-state system that has not signed onto the 2010 Protocol, which determines how the company’s costs are divided amongst the states. For the purposes of Washington ratemaking, the commission has directed Pacific Power to use the Western Control Area (WCA) methodology, which primarily allocates Washington’s costs based only</w:t>
      </w:r>
      <w:r w:rsidR="00B12A48">
        <w:rPr>
          <w:rFonts w:ascii="Times New Roman" w:hAnsi="Times New Roman"/>
        </w:rPr>
        <w:t xml:space="preserve"> on</w:t>
      </w:r>
      <w:r>
        <w:rPr>
          <w:rFonts w:ascii="Times New Roman" w:hAnsi="Times New Roman"/>
        </w:rPr>
        <w:t xml:space="preserve"> the costs that the company incurs </w:t>
      </w:r>
      <w:r w:rsidR="000602DE">
        <w:rPr>
          <w:rFonts w:ascii="Times New Roman" w:hAnsi="Times New Roman"/>
        </w:rPr>
        <w:t xml:space="preserve">to serve </w:t>
      </w:r>
      <w:r>
        <w:rPr>
          <w:rFonts w:ascii="Times New Roman" w:hAnsi="Times New Roman"/>
        </w:rPr>
        <w:t>its western balancing area (Washington, Oregon and California).</w:t>
      </w:r>
      <w:r>
        <w:rPr>
          <w:rStyle w:val="FootnoteReference"/>
          <w:rFonts w:ascii="Times New Roman" w:hAnsi="Times New Roman"/>
        </w:rPr>
        <w:footnoteReference w:id="14"/>
      </w:r>
      <w:r>
        <w:rPr>
          <w:rFonts w:ascii="Times New Roman" w:hAnsi="Times New Roman"/>
        </w:rPr>
        <w:t xml:space="preserve"> In ordering the WCA, the commission determined that the company had not demonstrated that resources in its east balancing area (</w:t>
      </w:r>
      <w:r w:rsidR="009F10C8">
        <w:rPr>
          <w:rFonts w:ascii="Times New Roman" w:hAnsi="Times New Roman"/>
        </w:rPr>
        <w:t xml:space="preserve">generally </w:t>
      </w:r>
      <w:r>
        <w:rPr>
          <w:rFonts w:ascii="Times New Roman" w:hAnsi="Times New Roman"/>
        </w:rPr>
        <w:t>Utah, Wyoming and Idaho) were used and useful for serving Washington ratepayers.</w:t>
      </w:r>
      <w:r>
        <w:rPr>
          <w:rStyle w:val="FootnoteReference"/>
          <w:rFonts w:ascii="Times New Roman" w:hAnsi="Times New Roman"/>
        </w:rPr>
        <w:footnoteReference w:id="15"/>
      </w:r>
      <w:r>
        <w:rPr>
          <w:rFonts w:ascii="Times New Roman" w:hAnsi="Times New Roman"/>
        </w:rPr>
        <w:t xml:space="preserve"> The commission also established a test for determining whether a resource in the company’s east balancing area could be included in the WCA – “whether it provides quantifiable direct or indirect benefits to Washington commensurate with its cost.”</w:t>
      </w:r>
      <w:r>
        <w:rPr>
          <w:rStyle w:val="FootnoteReference"/>
          <w:rFonts w:ascii="Times New Roman" w:hAnsi="Times New Roman"/>
        </w:rPr>
        <w:footnoteReference w:id="16"/>
      </w:r>
      <w:r>
        <w:rPr>
          <w:rFonts w:ascii="Times New Roman" w:hAnsi="Times New Roman"/>
        </w:rPr>
        <w:t xml:space="preserve"> </w:t>
      </w:r>
    </w:p>
    <w:p w14:paraId="3E6BCA18" w14:textId="77777777" w:rsidR="000602DE" w:rsidRDefault="000602DE" w:rsidP="00881FCB">
      <w:pPr>
        <w:rPr>
          <w:rFonts w:ascii="Times New Roman" w:hAnsi="Times New Roman"/>
        </w:rPr>
      </w:pPr>
    </w:p>
    <w:p w14:paraId="4BEDC912" w14:textId="77777777" w:rsidR="00C04E4E" w:rsidRDefault="00881FCB" w:rsidP="00881FCB">
      <w:pPr>
        <w:rPr>
          <w:rFonts w:ascii="Times New Roman" w:hAnsi="Times New Roman"/>
        </w:rPr>
      </w:pPr>
      <w:r>
        <w:rPr>
          <w:rFonts w:ascii="Times New Roman" w:hAnsi="Times New Roman"/>
        </w:rPr>
        <w:t>The company has not proposed a different methodology for Washington sin</w:t>
      </w:r>
      <w:r w:rsidR="000602DE">
        <w:rPr>
          <w:rFonts w:ascii="Times New Roman" w:hAnsi="Times New Roman"/>
        </w:rPr>
        <w:t>ce the establishment of t</w:t>
      </w:r>
      <w:r w:rsidR="00C04E4E">
        <w:rPr>
          <w:rFonts w:ascii="Times New Roman" w:hAnsi="Times New Roman"/>
        </w:rPr>
        <w:t xml:space="preserve">he WCA. This proposed transaction would grant the company some increased flexibility; it would be the company’s prerogative to request to change the WCA and the commission’s authority to determine whether changes are warranted. </w:t>
      </w:r>
    </w:p>
    <w:p w14:paraId="63AEE4BB" w14:textId="77777777" w:rsidR="00C04E4E" w:rsidRDefault="00C04E4E" w:rsidP="00881FCB">
      <w:pPr>
        <w:rPr>
          <w:rFonts w:ascii="Times New Roman" w:hAnsi="Times New Roman"/>
        </w:rPr>
      </w:pPr>
    </w:p>
    <w:p w14:paraId="3E6BCA1B" w14:textId="7C47A5C1" w:rsidR="00881FCB" w:rsidRDefault="00881FCB" w:rsidP="00881FCB">
      <w:pPr>
        <w:rPr>
          <w:rFonts w:ascii="Times New Roman" w:hAnsi="Times New Roman"/>
        </w:rPr>
      </w:pPr>
      <w:r>
        <w:rPr>
          <w:rFonts w:ascii="Times New Roman" w:hAnsi="Times New Roman"/>
        </w:rPr>
        <w:t>Staff</w:t>
      </w:r>
      <w:r w:rsidR="000602DE">
        <w:rPr>
          <w:rFonts w:ascii="Times New Roman" w:hAnsi="Times New Roman"/>
        </w:rPr>
        <w:t>, however,</w:t>
      </w:r>
      <w:r>
        <w:rPr>
          <w:rFonts w:ascii="Times New Roman" w:hAnsi="Times New Roman"/>
        </w:rPr>
        <w:t xml:space="preserve"> does not believe that this </w:t>
      </w:r>
      <w:r w:rsidR="00C04E4E">
        <w:rPr>
          <w:rFonts w:ascii="Times New Roman" w:hAnsi="Times New Roman"/>
        </w:rPr>
        <w:t>exchange</w:t>
      </w:r>
      <w:r>
        <w:rPr>
          <w:rFonts w:ascii="Times New Roman" w:hAnsi="Times New Roman"/>
        </w:rPr>
        <w:t xml:space="preserve"> would affect the WCA, and Pacific Power appears to agree. Staff asked the company to model how the proposed transaction would change the way that it dispatches its system, and the company responded that it had not done that study because </w:t>
      </w:r>
    </w:p>
    <w:p w14:paraId="3E6BCA1C" w14:textId="77777777" w:rsidR="00881FCB" w:rsidRDefault="00881FCB" w:rsidP="00881FCB">
      <w:pPr>
        <w:rPr>
          <w:rFonts w:ascii="Times New Roman" w:hAnsi="Times New Roman"/>
        </w:rPr>
      </w:pPr>
    </w:p>
    <w:p w14:paraId="3E6BCA1D" w14:textId="77777777" w:rsidR="00881FCB" w:rsidRPr="00F55288" w:rsidRDefault="00881FCB" w:rsidP="00881FCB">
      <w:pPr>
        <w:ind w:left="720" w:right="720"/>
        <w:rPr>
          <w:rFonts w:ascii="Times New Roman" w:hAnsi="Times New Roman"/>
          <w:sz w:val="22"/>
          <w:szCs w:val="22"/>
        </w:rPr>
      </w:pPr>
      <w:r w:rsidRPr="005476F1">
        <w:rPr>
          <w:rFonts w:ascii="Times New Roman" w:hAnsi="Times New Roman"/>
        </w:rPr>
        <w:t>There would be no changes in modeled transfers in a West Control Area (WCA) Generation and Regulation Initiative Decision Tool (GRID) study because none of the resources in PacifiCorp’s east balancing authority area (BAA) are included in the WCA methodology and therefore are not available for transfer under the currently approved WCA methodology.</w:t>
      </w:r>
      <w:r w:rsidRPr="00F55288">
        <w:rPr>
          <w:rStyle w:val="FootnoteReference"/>
          <w:rFonts w:ascii="Times New Roman" w:hAnsi="Times New Roman"/>
          <w:sz w:val="22"/>
          <w:szCs w:val="22"/>
        </w:rPr>
        <w:footnoteReference w:id="17"/>
      </w:r>
      <w:r w:rsidRPr="00F55288">
        <w:rPr>
          <w:rFonts w:ascii="Times New Roman" w:hAnsi="Times New Roman"/>
          <w:sz w:val="22"/>
          <w:szCs w:val="22"/>
        </w:rPr>
        <w:t xml:space="preserve"> </w:t>
      </w:r>
    </w:p>
    <w:p w14:paraId="3E6BCA1E" w14:textId="77777777" w:rsidR="005665E8" w:rsidRDefault="005665E8" w:rsidP="00881FCB">
      <w:pPr>
        <w:rPr>
          <w:rFonts w:ascii="Times New Roman" w:hAnsi="Times New Roman"/>
        </w:rPr>
      </w:pPr>
    </w:p>
    <w:p w14:paraId="3E6BCA1F" w14:textId="55CEE2CE" w:rsidR="005665E8" w:rsidRDefault="005665E8" w:rsidP="00881FCB">
      <w:pPr>
        <w:rPr>
          <w:rFonts w:ascii="Times New Roman" w:hAnsi="Times New Roman"/>
        </w:rPr>
      </w:pPr>
      <w:r>
        <w:rPr>
          <w:rFonts w:ascii="Times New Roman" w:hAnsi="Times New Roman"/>
        </w:rPr>
        <w:t>In response to another staff data request, the company stated that after the exchange “there will be no change in paths used to move power from Jim Bridger to the Pacific Northwest.”</w:t>
      </w:r>
      <w:r>
        <w:rPr>
          <w:rStyle w:val="FootnoteReference"/>
          <w:rFonts w:ascii="Times New Roman" w:hAnsi="Times New Roman"/>
        </w:rPr>
        <w:footnoteReference w:id="18"/>
      </w:r>
      <w:r w:rsidR="000602DE">
        <w:rPr>
          <w:rFonts w:ascii="Times New Roman" w:hAnsi="Times New Roman"/>
        </w:rPr>
        <w:t xml:space="preserve"> Based on these responses, staff concludes that the transaction would not </w:t>
      </w:r>
      <w:r w:rsidR="009F10C8">
        <w:rPr>
          <w:rFonts w:ascii="Times New Roman" w:hAnsi="Times New Roman"/>
        </w:rPr>
        <w:t xml:space="preserve">materially </w:t>
      </w:r>
      <w:r w:rsidR="000602DE">
        <w:rPr>
          <w:rFonts w:ascii="Times New Roman" w:hAnsi="Times New Roman"/>
        </w:rPr>
        <w:t>change the way that Pacific Power dispatches its system, and therefore no change in cost allocation would be warranted.</w:t>
      </w:r>
    </w:p>
    <w:p w14:paraId="3E6BCA20" w14:textId="77777777" w:rsidR="005665E8" w:rsidRDefault="005665E8" w:rsidP="00881FCB">
      <w:pPr>
        <w:rPr>
          <w:rFonts w:ascii="Times New Roman" w:hAnsi="Times New Roman"/>
        </w:rPr>
      </w:pPr>
    </w:p>
    <w:p w14:paraId="3E6BCA23" w14:textId="77777777" w:rsidR="00881FCB" w:rsidRDefault="00FD312A" w:rsidP="00881FCB">
      <w:pPr>
        <w:rPr>
          <w:rFonts w:ascii="Times New Roman" w:hAnsi="Times New Roman"/>
        </w:rPr>
      </w:pPr>
      <w:r>
        <w:rPr>
          <w:rFonts w:ascii="Times New Roman" w:hAnsi="Times New Roman"/>
        </w:rPr>
        <w:t>T</w:t>
      </w:r>
      <w:r w:rsidR="00881FCB">
        <w:rPr>
          <w:rFonts w:ascii="Times New Roman" w:hAnsi="Times New Roman"/>
        </w:rPr>
        <w:t xml:space="preserve">he proposed transaction </w:t>
      </w:r>
      <w:r w:rsidR="00C17C51">
        <w:rPr>
          <w:rFonts w:ascii="Times New Roman" w:hAnsi="Times New Roman"/>
        </w:rPr>
        <w:t xml:space="preserve">does not appear to </w:t>
      </w:r>
      <w:r w:rsidR="00881FCB">
        <w:rPr>
          <w:rFonts w:ascii="Times New Roman" w:hAnsi="Times New Roman"/>
        </w:rPr>
        <w:t xml:space="preserve">negatively affect the interests of </w:t>
      </w:r>
      <w:r w:rsidR="00C17C51">
        <w:rPr>
          <w:rFonts w:ascii="Times New Roman" w:hAnsi="Times New Roman"/>
        </w:rPr>
        <w:t xml:space="preserve">Washington ratepayers, and </w:t>
      </w:r>
      <w:r>
        <w:rPr>
          <w:rFonts w:ascii="Times New Roman" w:hAnsi="Times New Roman"/>
        </w:rPr>
        <w:t>t</w:t>
      </w:r>
      <w:r w:rsidR="00881FCB">
        <w:rPr>
          <w:rFonts w:ascii="Times New Roman" w:hAnsi="Times New Roman"/>
        </w:rPr>
        <w:t>he commission has established a process that ensures that were the company to represent increased costs as a result of this transaction, those costs could only be passed onto ratepayers if there is a commensurate benefit identified.</w:t>
      </w:r>
    </w:p>
    <w:p w14:paraId="3E6BCA24" w14:textId="77777777" w:rsidR="00881FCB" w:rsidRDefault="00881FCB" w:rsidP="00881FCB">
      <w:pPr>
        <w:rPr>
          <w:rFonts w:ascii="Times New Roman" w:hAnsi="Times New Roman"/>
        </w:rPr>
      </w:pPr>
    </w:p>
    <w:p w14:paraId="3E6BCA25" w14:textId="77777777" w:rsidR="00881FCB" w:rsidRDefault="00881FCB" w:rsidP="00881FCB">
      <w:pPr>
        <w:rPr>
          <w:rFonts w:ascii="Times New Roman" w:hAnsi="Times New Roman"/>
          <w:b/>
        </w:rPr>
      </w:pPr>
      <w:r>
        <w:rPr>
          <w:rFonts w:ascii="Times New Roman" w:hAnsi="Times New Roman"/>
          <w:b/>
        </w:rPr>
        <w:t>Conclusion</w:t>
      </w:r>
    </w:p>
    <w:p w14:paraId="3E6BCA26" w14:textId="77777777" w:rsidR="00881FCB" w:rsidRDefault="00881FCB" w:rsidP="00881FCB">
      <w:pPr>
        <w:rPr>
          <w:rFonts w:ascii="Times New Roman" w:hAnsi="Times New Roman"/>
          <w:b/>
        </w:rPr>
      </w:pPr>
    </w:p>
    <w:p w14:paraId="3E6BCA27" w14:textId="77777777" w:rsidR="00881FCB" w:rsidRDefault="00881FCB" w:rsidP="00881FCB">
      <w:pPr>
        <w:rPr>
          <w:rFonts w:ascii="Times New Roman" w:hAnsi="Times New Roman"/>
        </w:rPr>
      </w:pPr>
      <w:r>
        <w:rPr>
          <w:rFonts w:ascii="Times New Roman" w:hAnsi="Times New Roman"/>
        </w:rPr>
        <w:t xml:space="preserve">The simplest way to summarize this proposed transaction is in terms of what </w:t>
      </w:r>
      <w:r w:rsidR="00FD312A">
        <w:rPr>
          <w:rFonts w:ascii="Times New Roman" w:hAnsi="Times New Roman"/>
        </w:rPr>
        <w:t>it would do and what it would not</w:t>
      </w:r>
      <w:r>
        <w:rPr>
          <w:rFonts w:ascii="Times New Roman" w:hAnsi="Times New Roman"/>
        </w:rPr>
        <w:t xml:space="preserve"> do.</w:t>
      </w:r>
    </w:p>
    <w:p w14:paraId="3E6BCA28" w14:textId="77777777" w:rsidR="00881FCB" w:rsidRDefault="00881FCB" w:rsidP="00881FCB">
      <w:pPr>
        <w:rPr>
          <w:rFonts w:ascii="Times New Roman" w:hAnsi="Times New Roman"/>
        </w:rPr>
      </w:pPr>
    </w:p>
    <w:p w14:paraId="3E6BCA29" w14:textId="77777777" w:rsidR="00881FCB" w:rsidRDefault="00881FCB" w:rsidP="00881FCB">
      <w:pPr>
        <w:rPr>
          <w:rFonts w:ascii="Times New Roman" w:hAnsi="Times New Roman"/>
        </w:rPr>
      </w:pPr>
      <w:r>
        <w:rPr>
          <w:rFonts w:ascii="Times New Roman" w:hAnsi="Times New Roman"/>
          <w:i/>
        </w:rPr>
        <w:t>What the transaction would do:</w:t>
      </w:r>
    </w:p>
    <w:p w14:paraId="3E6BCA2A" w14:textId="77777777" w:rsidR="00881FCB" w:rsidRDefault="00881FCB" w:rsidP="00881FCB">
      <w:pPr>
        <w:rPr>
          <w:rFonts w:ascii="Times New Roman" w:hAnsi="Times New Roman"/>
        </w:rPr>
      </w:pPr>
    </w:p>
    <w:p w14:paraId="3E6BCA2B" w14:textId="77777777" w:rsidR="00881FCB" w:rsidRDefault="00881FCB" w:rsidP="00881FCB">
      <w:pPr>
        <w:pStyle w:val="ListParagraph"/>
        <w:numPr>
          <w:ilvl w:val="0"/>
          <w:numId w:val="7"/>
        </w:numPr>
        <w:rPr>
          <w:rFonts w:ascii="Times New Roman" w:hAnsi="Times New Roman"/>
        </w:rPr>
      </w:pPr>
      <w:r>
        <w:rPr>
          <w:rFonts w:ascii="Times New Roman" w:hAnsi="Times New Roman"/>
        </w:rPr>
        <w:t>Increase reliability for the company’s Idaho service territory</w:t>
      </w:r>
      <w:r w:rsidR="005665E8">
        <w:rPr>
          <w:rFonts w:ascii="Times New Roman" w:hAnsi="Times New Roman"/>
        </w:rPr>
        <w:t>;</w:t>
      </w:r>
    </w:p>
    <w:p w14:paraId="3E6BCA2C" w14:textId="7B1AF8B1" w:rsidR="00881FCB" w:rsidRDefault="00881FCB" w:rsidP="00881FCB">
      <w:pPr>
        <w:pStyle w:val="ListParagraph"/>
        <w:numPr>
          <w:ilvl w:val="0"/>
          <w:numId w:val="7"/>
        </w:numPr>
        <w:rPr>
          <w:rFonts w:ascii="Times New Roman" w:hAnsi="Times New Roman"/>
        </w:rPr>
      </w:pPr>
      <w:r>
        <w:rPr>
          <w:rFonts w:ascii="Times New Roman" w:hAnsi="Times New Roman"/>
        </w:rPr>
        <w:t xml:space="preserve">Increase the company’s ability to serve loads in the west balancing area in </w:t>
      </w:r>
      <w:r w:rsidR="00C04E4E">
        <w:rPr>
          <w:rFonts w:ascii="Times New Roman" w:hAnsi="Times New Roman"/>
        </w:rPr>
        <w:t xml:space="preserve">certain line </w:t>
      </w:r>
      <w:r>
        <w:rPr>
          <w:rFonts w:ascii="Times New Roman" w:hAnsi="Times New Roman"/>
        </w:rPr>
        <w:t>outage situation</w:t>
      </w:r>
      <w:r w:rsidR="00C04E4E">
        <w:rPr>
          <w:rFonts w:ascii="Times New Roman" w:hAnsi="Times New Roman"/>
        </w:rPr>
        <w:t>s</w:t>
      </w:r>
      <w:r w:rsidR="005665E8">
        <w:rPr>
          <w:rFonts w:ascii="Times New Roman" w:hAnsi="Times New Roman"/>
        </w:rPr>
        <w:t>;</w:t>
      </w:r>
    </w:p>
    <w:p w14:paraId="3E6BCA2D" w14:textId="77777777" w:rsidR="00881FCB" w:rsidRDefault="005665E8" w:rsidP="00881FCB">
      <w:pPr>
        <w:pStyle w:val="ListParagraph"/>
        <w:numPr>
          <w:ilvl w:val="0"/>
          <w:numId w:val="7"/>
        </w:numPr>
        <w:rPr>
          <w:rFonts w:ascii="Times New Roman" w:hAnsi="Times New Roman"/>
        </w:rPr>
      </w:pPr>
      <w:r>
        <w:rPr>
          <w:rFonts w:ascii="Times New Roman" w:hAnsi="Times New Roman"/>
        </w:rPr>
        <w:t>Improve administrative efficiency by replacing the legacy agreements with transparent, OATT-based transactions;</w:t>
      </w:r>
    </w:p>
    <w:p w14:paraId="3E6BCA2E" w14:textId="77777777" w:rsidR="005665E8" w:rsidRDefault="005665E8" w:rsidP="00881FCB">
      <w:pPr>
        <w:pStyle w:val="ListParagraph"/>
        <w:numPr>
          <w:ilvl w:val="0"/>
          <w:numId w:val="7"/>
        </w:numPr>
        <w:rPr>
          <w:rFonts w:ascii="Times New Roman" w:hAnsi="Times New Roman"/>
        </w:rPr>
      </w:pPr>
      <w:r>
        <w:rPr>
          <w:rFonts w:ascii="Times New Roman" w:hAnsi="Times New Roman"/>
        </w:rPr>
        <w:t>Improve prospects for cost sharing with Idaho Power on future transmission projects; and</w:t>
      </w:r>
    </w:p>
    <w:p w14:paraId="3E6BCA2F" w14:textId="01ED0EBC" w:rsidR="005665E8" w:rsidRDefault="005665E8" w:rsidP="00881FCB">
      <w:pPr>
        <w:pStyle w:val="ListParagraph"/>
        <w:numPr>
          <w:ilvl w:val="0"/>
          <w:numId w:val="7"/>
        </w:numPr>
        <w:rPr>
          <w:rFonts w:ascii="Times New Roman" w:hAnsi="Times New Roman"/>
        </w:rPr>
      </w:pPr>
      <w:r>
        <w:rPr>
          <w:rFonts w:ascii="Times New Roman" w:hAnsi="Times New Roman"/>
        </w:rPr>
        <w:t xml:space="preserve">Increase Pacific Power’s ownership in the transmission lines that it uses to </w:t>
      </w:r>
      <w:r w:rsidR="00C04E4E">
        <w:rPr>
          <w:rFonts w:ascii="Times New Roman" w:hAnsi="Times New Roman"/>
        </w:rPr>
        <w:t xml:space="preserve">serve the west balancing area, thereby reducing </w:t>
      </w:r>
      <w:r>
        <w:rPr>
          <w:rFonts w:ascii="Times New Roman" w:hAnsi="Times New Roman"/>
        </w:rPr>
        <w:t>the need for wheeling on Idaho Power lines.</w:t>
      </w:r>
    </w:p>
    <w:p w14:paraId="3E6BCA30" w14:textId="77777777" w:rsidR="005665E8" w:rsidRDefault="005665E8" w:rsidP="005665E8">
      <w:pPr>
        <w:rPr>
          <w:rFonts w:ascii="Times New Roman" w:hAnsi="Times New Roman"/>
        </w:rPr>
      </w:pPr>
    </w:p>
    <w:p w14:paraId="3E6BCA31" w14:textId="77777777" w:rsidR="005665E8" w:rsidRDefault="005665E8" w:rsidP="005665E8">
      <w:pPr>
        <w:rPr>
          <w:rFonts w:ascii="Times New Roman" w:hAnsi="Times New Roman"/>
        </w:rPr>
      </w:pPr>
      <w:r>
        <w:rPr>
          <w:rFonts w:ascii="Times New Roman" w:hAnsi="Times New Roman"/>
          <w:i/>
        </w:rPr>
        <w:t>What the transaction would not do:</w:t>
      </w:r>
    </w:p>
    <w:p w14:paraId="3E6BCA32" w14:textId="77777777" w:rsidR="005665E8" w:rsidRDefault="005665E8" w:rsidP="005665E8">
      <w:pPr>
        <w:rPr>
          <w:rFonts w:ascii="Times New Roman" w:hAnsi="Times New Roman"/>
        </w:rPr>
      </w:pPr>
    </w:p>
    <w:p w14:paraId="3E6BCA33" w14:textId="77777777" w:rsidR="005665E8" w:rsidRDefault="005665E8" w:rsidP="005665E8">
      <w:pPr>
        <w:pStyle w:val="ListParagraph"/>
        <w:numPr>
          <w:ilvl w:val="0"/>
          <w:numId w:val="7"/>
        </w:numPr>
        <w:rPr>
          <w:rFonts w:ascii="Times New Roman" w:hAnsi="Times New Roman"/>
        </w:rPr>
      </w:pPr>
      <w:r>
        <w:rPr>
          <w:rFonts w:ascii="Times New Roman" w:hAnsi="Times New Roman"/>
        </w:rPr>
        <w:t>Increase transmission capacity; or</w:t>
      </w:r>
    </w:p>
    <w:p w14:paraId="3E6BCA34" w14:textId="77777777" w:rsidR="005665E8" w:rsidRDefault="005665E8" w:rsidP="005665E8">
      <w:pPr>
        <w:pStyle w:val="ListParagraph"/>
        <w:numPr>
          <w:ilvl w:val="0"/>
          <w:numId w:val="7"/>
        </w:numPr>
        <w:rPr>
          <w:rFonts w:ascii="Times New Roman" w:hAnsi="Times New Roman"/>
        </w:rPr>
      </w:pPr>
      <w:r>
        <w:rPr>
          <w:rFonts w:ascii="Times New Roman" w:hAnsi="Times New Roman"/>
        </w:rPr>
        <w:t>Change the way the company operates its system.</w:t>
      </w:r>
    </w:p>
    <w:p w14:paraId="3E6BCA35" w14:textId="77777777" w:rsidR="00FD312A" w:rsidRDefault="00FD312A" w:rsidP="00FD312A">
      <w:pPr>
        <w:rPr>
          <w:rFonts w:ascii="Times New Roman" w:hAnsi="Times New Roman"/>
        </w:rPr>
      </w:pPr>
    </w:p>
    <w:p w14:paraId="3E6BCA36" w14:textId="77777777" w:rsidR="00FD312A" w:rsidRDefault="00FD312A" w:rsidP="00FD312A">
      <w:pPr>
        <w:rPr>
          <w:rFonts w:ascii="Times New Roman" w:hAnsi="Times New Roman"/>
        </w:rPr>
      </w:pPr>
      <w:r>
        <w:rPr>
          <w:rFonts w:ascii="Times New Roman" w:hAnsi="Times New Roman"/>
        </w:rPr>
        <w:t xml:space="preserve">Staff’s analysis of the proposed transaction concludes that, on balance, the proposed transaction does not appear to be harmful to Washington ratepayers. The potential for </w:t>
      </w:r>
      <w:r w:rsidR="0091129C">
        <w:rPr>
          <w:rFonts w:ascii="Times New Roman" w:hAnsi="Times New Roman"/>
        </w:rPr>
        <w:t xml:space="preserve">a minor rate increase is balanced by potential </w:t>
      </w:r>
      <w:r>
        <w:rPr>
          <w:rFonts w:ascii="Times New Roman" w:hAnsi="Times New Roman"/>
        </w:rPr>
        <w:t>benefits such as improved operational efficiency</w:t>
      </w:r>
      <w:r w:rsidR="0091129C">
        <w:rPr>
          <w:rFonts w:ascii="Times New Roman" w:hAnsi="Times New Roman"/>
        </w:rPr>
        <w:t>, increased reliability</w:t>
      </w:r>
      <w:r>
        <w:rPr>
          <w:rFonts w:ascii="Times New Roman" w:hAnsi="Times New Roman"/>
        </w:rPr>
        <w:t xml:space="preserve"> and reduced wheeling expenses. Furthermore, the commission’s practices ensure that any cost increases arising from this transaction will only be passed on to ratepayers if the company can identify commensurate benefits. </w:t>
      </w:r>
    </w:p>
    <w:p w14:paraId="3E6BCA37" w14:textId="77777777" w:rsidR="00FD312A" w:rsidRDefault="00FD312A" w:rsidP="00FD312A">
      <w:pPr>
        <w:rPr>
          <w:rFonts w:ascii="Times New Roman" w:hAnsi="Times New Roman"/>
        </w:rPr>
      </w:pPr>
    </w:p>
    <w:p w14:paraId="3E6BCA38" w14:textId="77777777" w:rsidR="00FD312A" w:rsidRPr="00FD312A" w:rsidRDefault="00FD312A" w:rsidP="00FD312A">
      <w:pPr>
        <w:rPr>
          <w:rFonts w:ascii="Times New Roman" w:hAnsi="Times New Roman"/>
        </w:rPr>
      </w:pPr>
      <w:r>
        <w:rPr>
          <w:rFonts w:ascii="Times New Roman" w:hAnsi="Times New Roman"/>
        </w:rPr>
        <w:t>Staff therefore recommends that the commission grant the company’s petition for an order authorizing the exchange, subject to the administrative conditions listed in the Recommendation section, which are intended to notify the commission of any substantive changes to the agreement and of the agreement’s execution.</w:t>
      </w:r>
    </w:p>
    <w:p w14:paraId="3E6BCA39" w14:textId="77777777" w:rsidR="00DE1131" w:rsidRDefault="00DE1131">
      <w:pPr>
        <w:rPr>
          <w:rFonts w:ascii="Times New Roman" w:hAnsi="Times New Roman"/>
          <w:b/>
          <w:u w:val="single"/>
        </w:rPr>
      </w:pPr>
      <w:r>
        <w:rPr>
          <w:rFonts w:ascii="Times New Roman" w:hAnsi="Times New Roman"/>
          <w:b/>
          <w:u w:val="single"/>
        </w:rPr>
        <w:br w:type="page"/>
      </w:r>
    </w:p>
    <w:p w14:paraId="3E6BCA3A" w14:textId="77777777" w:rsidR="00AD1477" w:rsidRDefault="00DE1131" w:rsidP="00DE1131">
      <w:pPr>
        <w:jc w:val="center"/>
        <w:rPr>
          <w:rFonts w:ascii="Times New Roman" w:hAnsi="Times New Roman"/>
          <w:b/>
          <w:u w:val="single"/>
        </w:rPr>
      </w:pPr>
      <w:r>
        <w:rPr>
          <w:rFonts w:ascii="Times New Roman" w:hAnsi="Times New Roman"/>
          <w:b/>
          <w:u w:val="single"/>
        </w:rPr>
        <w:t xml:space="preserve">Attachment A: </w:t>
      </w:r>
    </w:p>
    <w:p w14:paraId="3E6BCA3B" w14:textId="77777777" w:rsidR="003D062E" w:rsidRPr="0099491F" w:rsidRDefault="00DE1131" w:rsidP="00DE1131">
      <w:pPr>
        <w:jc w:val="center"/>
        <w:rPr>
          <w:rFonts w:ascii="Times New Roman" w:hAnsi="Times New Roman"/>
        </w:rPr>
      </w:pPr>
      <w:r w:rsidRPr="0099491F">
        <w:rPr>
          <w:rFonts w:ascii="Times New Roman" w:hAnsi="Times New Roman"/>
          <w:b/>
        </w:rPr>
        <w:t xml:space="preserve">Decisions of </w:t>
      </w:r>
      <w:r w:rsidR="003D062E" w:rsidRPr="0099491F">
        <w:rPr>
          <w:rFonts w:ascii="Times New Roman" w:hAnsi="Times New Roman"/>
          <w:b/>
        </w:rPr>
        <w:t>Other Jurisdictions</w:t>
      </w:r>
    </w:p>
    <w:p w14:paraId="3E6BCA3C" w14:textId="77777777" w:rsidR="003D062E" w:rsidRDefault="003D062E" w:rsidP="00C30A34">
      <w:pPr>
        <w:rPr>
          <w:rFonts w:ascii="Times New Roman" w:hAnsi="Times New Roman"/>
        </w:rPr>
      </w:pPr>
    </w:p>
    <w:p w14:paraId="3E6BCA3D" w14:textId="77777777" w:rsidR="003D062E" w:rsidRDefault="003D062E" w:rsidP="00C30A34">
      <w:pPr>
        <w:rPr>
          <w:rFonts w:ascii="Times New Roman" w:hAnsi="Times New Roman"/>
        </w:rPr>
      </w:pPr>
      <w:r>
        <w:rPr>
          <w:rFonts w:ascii="Times New Roman" w:hAnsi="Times New Roman"/>
        </w:rPr>
        <w:t>Pacific Power was also required to seek approval of this transaction from FERC and from the state regulatory commissions in California, Idaho, Oregon and Wyoming. Utah’s statutes only require an informational filing from the company</w:t>
      </w:r>
      <w:r w:rsidR="007A398A">
        <w:rPr>
          <w:rFonts w:ascii="Times New Roman" w:hAnsi="Times New Roman"/>
        </w:rPr>
        <w:t>; the transaction is not subject to approval by the Utah Public Service Commission</w:t>
      </w:r>
      <w:r>
        <w:rPr>
          <w:rFonts w:ascii="Times New Roman" w:hAnsi="Times New Roman"/>
        </w:rPr>
        <w:t xml:space="preserve">. Every other jurisdiction has acted upon Pacific Power’s request and approved it with varying conditions. Following is a brief summary of each jurisdiction’s </w:t>
      </w:r>
      <w:r w:rsidR="00B751E1">
        <w:rPr>
          <w:rFonts w:ascii="Times New Roman" w:hAnsi="Times New Roman"/>
        </w:rPr>
        <w:t xml:space="preserve">findings and </w:t>
      </w:r>
      <w:r>
        <w:rPr>
          <w:rFonts w:ascii="Times New Roman" w:hAnsi="Times New Roman"/>
        </w:rPr>
        <w:t>ruling:</w:t>
      </w:r>
    </w:p>
    <w:p w14:paraId="3E6BCA3E" w14:textId="77777777" w:rsidR="003D062E" w:rsidRDefault="003D062E" w:rsidP="00C30A34">
      <w:pPr>
        <w:rPr>
          <w:rFonts w:ascii="Times New Roman" w:hAnsi="Times New Roman"/>
        </w:rPr>
      </w:pPr>
    </w:p>
    <w:p w14:paraId="3E6BCA3F" w14:textId="77777777" w:rsidR="003D062E" w:rsidRDefault="003D062E" w:rsidP="00C30A34">
      <w:pPr>
        <w:rPr>
          <w:rFonts w:ascii="Times New Roman" w:hAnsi="Times New Roman"/>
        </w:rPr>
      </w:pPr>
      <w:r>
        <w:rPr>
          <w:rFonts w:ascii="Times New Roman" w:hAnsi="Times New Roman"/>
          <w:i/>
        </w:rPr>
        <w:t>FERC</w:t>
      </w:r>
    </w:p>
    <w:p w14:paraId="3E6BCA40" w14:textId="77777777" w:rsidR="003D062E" w:rsidRDefault="003D062E" w:rsidP="00C30A34">
      <w:pPr>
        <w:rPr>
          <w:rFonts w:ascii="Times New Roman" w:hAnsi="Times New Roman"/>
        </w:rPr>
      </w:pPr>
    </w:p>
    <w:p w14:paraId="3E6BCA41" w14:textId="77777777" w:rsidR="003D062E" w:rsidRDefault="003D062E" w:rsidP="00C30A34">
      <w:pPr>
        <w:rPr>
          <w:rFonts w:ascii="Times New Roman" w:hAnsi="Times New Roman"/>
        </w:rPr>
      </w:pPr>
      <w:r>
        <w:rPr>
          <w:rFonts w:ascii="Times New Roman" w:hAnsi="Times New Roman"/>
        </w:rPr>
        <w:t xml:space="preserve">FERC issued an order approving the transaction on June 17, 2015. The body only imposed two administrative conditions, requiring Pacific Power and Idaho Power to </w:t>
      </w:r>
      <w:r w:rsidR="00FF41F6">
        <w:rPr>
          <w:rFonts w:ascii="Times New Roman" w:hAnsi="Times New Roman"/>
        </w:rPr>
        <w:t>notify FERC when the transaction is executed or cancelled, and update any tariffs affected by the transaction within 10 days of its closure.</w:t>
      </w:r>
    </w:p>
    <w:p w14:paraId="3E6BCA42" w14:textId="77777777" w:rsidR="00FF41F6" w:rsidRDefault="00FF41F6" w:rsidP="00C30A34">
      <w:pPr>
        <w:rPr>
          <w:rFonts w:ascii="Times New Roman" w:hAnsi="Times New Roman"/>
        </w:rPr>
      </w:pPr>
    </w:p>
    <w:p w14:paraId="3E6BCA43" w14:textId="77777777" w:rsidR="009718F8" w:rsidRDefault="00FF41F6" w:rsidP="00C30A34">
      <w:pPr>
        <w:rPr>
          <w:rFonts w:ascii="Times New Roman" w:hAnsi="Times New Roman"/>
        </w:rPr>
      </w:pPr>
      <w:r>
        <w:rPr>
          <w:rFonts w:ascii="Times New Roman" w:hAnsi="Times New Roman"/>
        </w:rPr>
        <w:t>Several parties intervened in the FERC filing and a handful expressed concerns with the transaction in written comments. The four major concerns were that the ownership exchanges seemed to be reallocating transmission access outside of the parties’ OATTs, that Idaho Power unfairly granted Pacific Power increased dynamic transfer capability, that the exchange would result in a dramatic</w:t>
      </w:r>
      <w:r w:rsidR="0091129C">
        <w:rPr>
          <w:rFonts w:ascii="Times New Roman" w:hAnsi="Times New Roman"/>
        </w:rPr>
        <w:t xml:space="preserve"> rate</w:t>
      </w:r>
      <w:r>
        <w:rPr>
          <w:rFonts w:ascii="Times New Roman" w:hAnsi="Times New Roman"/>
        </w:rPr>
        <w:t xml:space="preserve"> increase for Pacific Power’s and Idaho Power’s network customers and subsidize the utilities’ own native load customer</w:t>
      </w:r>
      <w:r w:rsidR="00AD1477">
        <w:rPr>
          <w:rFonts w:ascii="Times New Roman" w:hAnsi="Times New Roman"/>
        </w:rPr>
        <w:t>s</w:t>
      </w:r>
      <w:r>
        <w:rPr>
          <w:rFonts w:ascii="Times New Roman" w:hAnsi="Times New Roman"/>
        </w:rPr>
        <w:t>, and that FERC should consider whether the transaction would affect the ability of Pacific Power and Idaho Power to exercise market power in their respective balancing areas.</w:t>
      </w:r>
    </w:p>
    <w:p w14:paraId="3E6BCA44" w14:textId="77777777" w:rsidR="00B751E1" w:rsidRDefault="00B751E1" w:rsidP="00C30A34">
      <w:pPr>
        <w:rPr>
          <w:rFonts w:ascii="Times New Roman" w:hAnsi="Times New Roman"/>
        </w:rPr>
      </w:pPr>
    </w:p>
    <w:p w14:paraId="3E6BCA45" w14:textId="77777777" w:rsidR="00BC63A3" w:rsidRDefault="00FF41F6" w:rsidP="00C30A34">
      <w:pPr>
        <w:rPr>
          <w:rFonts w:ascii="Times New Roman" w:hAnsi="Times New Roman"/>
        </w:rPr>
      </w:pPr>
      <w:r>
        <w:rPr>
          <w:rFonts w:ascii="Times New Roman" w:hAnsi="Times New Roman"/>
        </w:rPr>
        <w:t xml:space="preserve">On the first concern, FERC ruled that ownership and access are not the same, and that Pacific Power and Idaho Power had </w:t>
      </w:r>
      <w:r w:rsidR="0003583C">
        <w:rPr>
          <w:rFonts w:ascii="Times New Roman" w:hAnsi="Times New Roman"/>
        </w:rPr>
        <w:t xml:space="preserve">established that access would be handled under their respective OATTs, regardless of which resources changed hands. On the second point, FERC ruled that Idaho Power’s offering of increased dynamic transfer capability to Pacific Power was done according to established business practices. On the third point, FERC ruled that </w:t>
      </w:r>
      <w:r w:rsidR="00A83D14">
        <w:rPr>
          <w:rFonts w:ascii="Times New Roman" w:hAnsi="Times New Roman"/>
        </w:rPr>
        <w:t xml:space="preserve">concerns about transmission rates would be addressed in the next transmission formula rate updates filed by Pacific Power and Idaho Power, and that the parties would have an opportunity to intervene in those proceedings. On the fourth point, FERC ruled that the proposed transaction </w:t>
      </w:r>
      <w:r w:rsidR="00BC63A3">
        <w:rPr>
          <w:rFonts w:ascii="Times New Roman" w:hAnsi="Times New Roman"/>
        </w:rPr>
        <w:t xml:space="preserve">had no bearing </w:t>
      </w:r>
      <w:r w:rsidR="00A83D14">
        <w:rPr>
          <w:rFonts w:ascii="Times New Roman" w:hAnsi="Times New Roman"/>
        </w:rPr>
        <w:t>on its ongoing investigation into the market</w:t>
      </w:r>
      <w:r w:rsidR="00BC63A3">
        <w:rPr>
          <w:rFonts w:ascii="Times New Roman" w:hAnsi="Times New Roman"/>
        </w:rPr>
        <w:t xml:space="preserve"> power of certain Berkshire Energy subsidiaries, including Pacific Power.</w:t>
      </w:r>
    </w:p>
    <w:p w14:paraId="3E6BCA46" w14:textId="77777777" w:rsidR="00BC63A3" w:rsidRDefault="00BC63A3" w:rsidP="00C30A34">
      <w:pPr>
        <w:rPr>
          <w:rFonts w:ascii="Times New Roman" w:hAnsi="Times New Roman"/>
        </w:rPr>
      </w:pPr>
    </w:p>
    <w:p w14:paraId="3E6BCA47" w14:textId="77777777" w:rsidR="00BC63A3" w:rsidRDefault="00BC63A3" w:rsidP="00C30A34">
      <w:pPr>
        <w:rPr>
          <w:rFonts w:ascii="Times New Roman" w:hAnsi="Times New Roman"/>
        </w:rPr>
      </w:pPr>
      <w:r>
        <w:rPr>
          <w:rFonts w:ascii="Times New Roman" w:hAnsi="Times New Roman"/>
          <w:i/>
        </w:rPr>
        <w:t>California</w:t>
      </w:r>
    </w:p>
    <w:p w14:paraId="3E6BCA48" w14:textId="77777777" w:rsidR="00BC63A3" w:rsidRDefault="00BC63A3" w:rsidP="00C30A34">
      <w:pPr>
        <w:rPr>
          <w:rFonts w:ascii="Times New Roman" w:hAnsi="Times New Roman"/>
        </w:rPr>
      </w:pPr>
    </w:p>
    <w:p w14:paraId="3E6BCA49" w14:textId="77777777" w:rsidR="00BC63A3" w:rsidRDefault="00154C66" w:rsidP="00C30A34">
      <w:pPr>
        <w:rPr>
          <w:rFonts w:ascii="Times New Roman" w:hAnsi="Times New Roman"/>
        </w:rPr>
      </w:pPr>
      <w:r>
        <w:rPr>
          <w:rFonts w:ascii="Times New Roman" w:hAnsi="Times New Roman"/>
        </w:rPr>
        <w:t>The California Public Utilities Commission (CPUC) unanimously approved the transaction on Aug. 27, 2015. The approval included a stipulation between the CPUC’s Office of Ratepayer Advocates and Pacific Power that the company would, in its next general rate case, provide a full accounting of all assets exchanged, how their values were determined, and an any necessary supporting information.</w:t>
      </w:r>
    </w:p>
    <w:p w14:paraId="3E6BCA4A" w14:textId="77777777" w:rsidR="00154C66" w:rsidRDefault="00154C66" w:rsidP="00C30A34">
      <w:pPr>
        <w:rPr>
          <w:rFonts w:ascii="Times New Roman" w:hAnsi="Times New Roman"/>
        </w:rPr>
      </w:pPr>
    </w:p>
    <w:p w14:paraId="3E6BCA4B" w14:textId="77777777" w:rsidR="00AD1477" w:rsidRDefault="00AD1477" w:rsidP="00C30A34">
      <w:pPr>
        <w:rPr>
          <w:rFonts w:ascii="Times New Roman" w:hAnsi="Times New Roman"/>
          <w:i/>
        </w:rPr>
      </w:pPr>
    </w:p>
    <w:p w14:paraId="3E6BCA4C" w14:textId="77777777" w:rsidR="00154C66" w:rsidRDefault="00154C66" w:rsidP="00C30A34">
      <w:pPr>
        <w:rPr>
          <w:rFonts w:ascii="Times New Roman" w:hAnsi="Times New Roman"/>
          <w:i/>
        </w:rPr>
      </w:pPr>
      <w:r>
        <w:rPr>
          <w:rFonts w:ascii="Times New Roman" w:hAnsi="Times New Roman"/>
          <w:i/>
        </w:rPr>
        <w:t>Idaho</w:t>
      </w:r>
    </w:p>
    <w:p w14:paraId="3E6BCA4D" w14:textId="77777777" w:rsidR="00154C66" w:rsidRDefault="00154C66" w:rsidP="00C30A34">
      <w:pPr>
        <w:rPr>
          <w:rFonts w:ascii="Times New Roman" w:hAnsi="Times New Roman"/>
          <w:i/>
        </w:rPr>
      </w:pPr>
    </w:p>
    <w:p w14:paraId="3E6BCA4E" w14:textId="77777777" w:rsidR="00154C66" w:rsidRDefault="00771DA4" w:rsidP="00C30A34">
      <w:pPr>
        <w:rPr>
          <w:rFonts w:ascii="Times New Roman" w:hAnsi="Times New Roman"/>
        </w:rPr>
      </w:pPr>
      <w:r>
        <w:rPr>
          <w:rFonts w:ascii="Times New Roman" w:hAnsi="Times New Roman"/>
        </w:rPr>
        <w:t xml:space="preserve">Idaho is one of two states that regulates both Pacific Power and Idaho Power. </w:t>
      </w:r>
      <w:r w:rsidR="00154C66">
        <w:rPr>
          <w:rFonts w:ascii="Times New Roman" w:hAnsi="Times New Roman"/>
        </w:rPr>
        <w:t xml:space="preserve">The Idaho Public Utilities Commission (IPUC) approved </w:t>
      </w:r>
      <w:r>
        <w:rPr>
          <w:rFonts w:ascii="Times New Roman" w:hAnsi="Times New Roman"/>
        </w:rPr>
        <w:t>the transaction on June 5, 2015, after consolidating the separate applications of the two companies.</w:t>
      </w:r>
      <w:r w:rsidR="00154C66">
        <w:rPr>
          <w:rFonts w:ascii="Times New Roman" w:hAnsi="Times New Roman"/>
        </w:rPr>
        <w:t xml:space="preserve"> </w:t>
      </w:r>
      <w:r>
        <w:rPr>
          <w:rFonts w:ascii="Times New Roman" w:hAnsi="Times New Roman"/>
        </w:rPr>
        <w:t>Idaho</w:t>
      </w:r>
      <w:r w:rsidR="00B61FEB">
        <w:rPr>
          <w:rFonts w:ascii="Times New Roman" w:hAnsi="Times New Roman"/>
        </w:rPr>
        <w:t>’s statute governing utility transactions require a utility to demonstrate that rates will not increase as a result of the transaction; IPUC determined that the company met that burden of proof. IPUC’s approval came with the following conditions</w:t>
      </w:r>
      <w:r>
        <w:rPr>
          <w:rFonts w:ascii="Times New Roman" w:hAnsi="Times New Roman"/>
        </w:rPr>
        <w:t xml:space="preserve"> for Pacific Power</w:t>
      </w:r>
      <w:r w:rsidR="00B61FEB">
        <w:rPr>
          <w:rFonts w:ascii="Times New Roman" w:hAnsi="Times New Roman"/>
        </w:rPr>
        <w:t>:</w:t>
      </w:r>
    </w:p>
    <w:p w14:paraId="3E6BCA4F" w14:textId="77777777" w:rsidR="00B61FEB" w:rsidRDefault="00B61FEB" w:rsidP="00C30A34">
      <w:pPr>
        <w:rPr>
          <w:rFonts w:ascii="Times New Roman" w:hAnsi="Times New Roman"/>
        </w:rPr>
      </w:pPr>
    </w:p>
    <w:p w14:paraId="3E6BCA50" w14:textId="57D55648" w:rsidR="00B61FEB" w:rsidRDefault="00B61FEB" w:rsidP="00B61FEB">
      <w:pPr>
        <w:pStyle w:val="ListParagraph"/>
        <w:numPr>
          <w:ilvl w:val="0"/>
          <w:numId w:val="2"/>
        </w:numPr>
        <w:rPr>
          <w:rFonts w:ascii="Times New Roman" w:hAnsi="Times New Roman"/>
        </w:rPr>
      </w:pPr>
      <w:r>
        <w:rPr>
          <w:rFonts w:ascii="Times New Roman" w:hAnsi="Times New Roman"/>
        </w:rPr>
        <w:t xml:space="preserve">Pacific Power must establish a regulatory account to defer </w:t>
      </w:r>
      <w:r w:rsidR="006B5DFD">
        <w:rPr>
          <w:rFonts w:ascii="Times New Roman" w:hAnsi="Times New Roman"/>
        </w:rPr>
        <w:t>any reduced wheeling expenses</w:t>
      </w:r>
      <w:r>
        <w:rPr>
          <w:rFonts w:ascii="Times New Roman" w:hAnsi="Times New Roman"/>
        </w:rPr>
        <w:t xml:space="preserve"> and provide an annual report of that account; </w:t>
      </w:r>
    </w:p>
    <w:p w14:paraId="3E6BCA51" w14:textId="77777777" w:rsidR="00B61FEB" w:rsidRDefault="00B61FEB" w:rsidP="00B61FEB">
      <w:pPr>
        <w:pStyle w:val="ListParagraph"/>
        <w:numPr>
          <w:ilvl w:val="0"/>
          <w:numId w:val="2"/>
        </w:numPr>
        <w:rPr>
          <w:rFonts w:ascii="Times New Roman" w:hAnsi="Times New Roman"/>
        </w:rPr>
      </w:pPr>
      <w:r>
        <w:rPr>
          <w:rFonts w:ascii="Times New Roman" w:hAnsi="Times New Roman"/>
        </w:rPr>
        <w:t>Pacific Power must file documentation of the true-up costs calculated at the deal’s closing, final journal entries, an updated list of its common equipment with Idaho Power, the common line loss methodology that the company and Idaho Power proposed to use for joint facilities, and a yearly report showing the change in the company’s wheeling expenses resulting from the transaction.</w:t>
      </w:r>
    </w:p>
    <w:p w14:paraId="3E6BCA52" w14:textId="77777777" w:rsidR="00B61FEB" w:rsidRDefault="00B61FEB" w:rsidP="00B61FEB">
      <w:pPr>
        <w:rPr>
          <w:rFonts w:ascii="Times New Roman" w:hAnsi="Times New Roman"/>
        </w:rPr>
      </w:pPr>
    </w:p>
    <w:p w14:paraId="3E6BCA53" w14:textId="77777777" w:rsidR="00B61FEB" w:rsidRPr="00B61FEB" w:rsidRDefault="00B61FEB" w:rsidP="00B61FEB">
      <w:pPr>
        <w:rPr>
          <w:rFonts w:ascii="Times New Roman" w:hAnsi="Times New Roman"/>
        </w:rPr>
      </w:pPr>
      <w:r>
        <w:rPr>
          <w:rFonts w:ascii="Times New Roman" w:hAnsi="Times New Roman"/>
          <w:i/>
        </w:rPr>
        <w:t>Oregon</w:t>
      </w:r>
    </w:p>
    <w:p w14:paraId="3E6BCA54" w14:textId="77777777" w:rsidR="00DC6070" w:rsidRDefault="00DC6070" w:rsidP="00C30A34">
      <w:pPr>
        <w:rPr>
          <w:rFonts w:ascii="Times New Roman" w:hAnsi="Times New Roman"/>
        </w:rPr>
      </w:pPr>
    </w:p>
    <w:p w14:paraId="3E6BCA55" w14:textId="77777777" w:rsidR="008F14E3" w:rsidRDefault="00771DA4" w:rsidP="00C30A34">
      <w:pPr>
        <w:rPr>
          <w:rFonts w:ascii="Times New Roman" w:hAnsi="Times New Roman"/>
        </w:rPr>
      </w:pPr>
      <w:r>
        <w:rPr>
          <w:rFonts w:ascii="Times New Roman" w:hAnsi="Times New Roman"/>
        </w:rPr>
        <w:t xml:space="preserve">In Oregon, the other state that regulates both utilities, Pacific Power and Idaho Power filed a joint petition for approval of the exchange. The Oregon Public Utilities Commission (OPUC) </w:t>
      </w:r>
      <w:r w:rsidR="000002BE">
        <w:rPr>
          <w:rFonts w:ascii="Times New Roman" w:hAnsi="Times New Roman"/>
        </w:rPr>
        <w:t>granted the petition</w:t>
      </w:r>
      <w:r>
        <w:rPr>
          <w:rFonts w:ascii="Times New Roman" w:hAnsi="Times New Roman"/>
        </w:rPr>
        <w:t xml:space="preserve"> on June 9, 2015. OPUC accepted two staff-recommended conditions to the approval, which require the companies to notify the commission of any substantive changes to the agreement and to file the final journal entry recording the transaction within 60 days of the transaction’s closure. Oregon’s statute governing utility transactions require that they be in the public interest, which OPUC has interpreted to mean that a utility must show that the transaction will cause no harm to the public. </w:t>
      </w:r>
    </w:p>
    <w:p w14:paraId="3E6BCA56" w14:textId="77777777" w:rsidR="00EB0B84" w:rsidRDefault="00EB0B84" w:rsidP="00C30A34">
      <w:pPr>
        <w:rPr>
          <w:rFonts w:ascii="Times New Roman" w:hAnsi="Times New Roman"/>
        </w:rPr>
      </w:pPr>
    </w:p>
    <w:p w14:paraId="3E6BCA57" w14:textId="77777777" w:rsidR="00EB0B84" w:rsidRDefault="00EB0B84" w:rsidP="00C30A34">
      <w:pPr>
        <w:rPr>
          <w:rFonts w:ascii="Times New Roman" w:hAnsi="Times New Roman"/>
        </w:rPr>
      </w:pPr>
      <w:r>
        <w:rPr>
          <w:rFonts w:ascii="Times New Roman" w:hAnsi="Times New Roman"/>
          <w:i/>
        </w:rPr>
        <w:t>Wyoming</w:t>
      </w:r>
    </w:p>
    <w:p w14:paraId="3E6BCA58" w14:textId="77777777" w:rsidR="00EB0B84" w:rsidRDefault="00EB0B84" w:rsidP="00C30A34">
      <w:pPr>
        <w:rPr>
          <w:rFonts w:ascii="Times New Roman" w:hAnsi="Times New Roman"/>
        </w:rPr>
      </w:pPr>
    </w:p>
    <w:p w14:paraId="3E6BCA59" w14:textId="77777777" w:rsidR="00EB0B84" w:rsidRDefault="00EB0B84" w:rsidP="00C30A34">
      <w:pPr>
        <w:rPr>
          <w:rFonts w:ascii="Times New Roman" w:hAnsi="Times New Roman"/>
        </w:rPr>
      </w:pPr>
      <w:r>
        <w:rPr>
          <w:rFonts w:ascii="Times New Roman" w:hAnsi="Times New Roman"/>
        </w:rPr>
        <w:t xml:space="preserve">The Wyoming Public Service Commission (WPSC) approved the transaction </w:t>
      </w:r>
      <w:r w:rsidR="007A398A">
        <w:rPr>
          <w:rFonts w:ascii="Times New Roman" w:hAnsi="Times New Roman"/>
        </w:rPr>
        <w:t>on August 7, 2015, subject to the conditions that the company notify WPSC in advance of any substantive changes to the agreement and that it file the final journal entry recording the transaction within 60 days of the transaction’s closure.</w:t>
      </w:r>
    </w:p>
    <w:p w14:paraId="3E6BCA5A" w14:textId="77777777" w:rsidR="007A398A" w:rsidRDefault="007A398A" w:rsidP="00C30A34">
      <w:pPr>
        <w:rPr>
          <w:rFonts w:ascii="Times New Roman" w:hAnsi="Times New Roman"/>
        </w:rPr>
      </w:pPr>
    </w:p>
    <w:p w14:paraId="3E6BCA5B" w14:textId="77777777" w:rsidR="007A398A" w:rsidRPr="00EB0B84" w:rsidRDefault="007A398A" w:rsidP="00C30A34">
      <w:pPr>
        <w:rPr>
          <w:rFonts w:ascii="Times New Roman" w:hAnsi="Times New Roman"/>
        </w:rPr>
      </w:pPr>
    </w:p>
    <w:sectPr w:rsidR="007A398A" w:rsidRPr="00EB0B84" w:rsidSect="0091129C">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835BE" w14:textId="77777777" w:rsidR="00CE63DE" w:rsidRDefault="00CE63DE" w:rsidP="00E11CA0">
      <w:r>
        <w:separator/>
      </w:r>
    </w:p>
  </w:endnote>
  <w:endnote w:type="continuationSeparator" w:id="0">
    <w:p w14:paraId="70E769A2" w14:textId="77777777" w:rsidR="00CE63DE" w:rsidRDefault="00CE63DE" w:rsidP="00E1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2A0D7" w14:textId="77777777" w:rsidR="00CE63DE" w:rsidRDefault="00CE63DE" w:rsidP="00E11CA0">
      <w:r>
        <w:separator/>
      </w:r>
    </w:p>
  </w:footnote>
  <w:footnote w:type="continuationSeparator" w:id="0">
    <w:p w14:paraId="19C80A17" w14:textId="77777777" w:rsidR="00CE63DE" w:rsidRDefault="00CE63DE" w:rsidP="00E11CA0">
      <w:r>
        <w:continuationSeparator/>
      </w:r>
    </w:p>
  </w:footnote>
  <w:footnote w:id="1">
    <w:p w14:paraId="3E6BCA65" w14:textId="77777777" w:rsidR="0085035B" w:rsidRPr="0091129C" w:rsidRDefault="0085035B">
      <w:pPr>
        <w:pStyle w:val="FootnoteText"/>
        <w:rPr>
          <w:rFonts w:ascii="Times New Roman" w:hAnsi="Times New Roman"/>
        </w:rPr>
      </w:pPr>
      <w:r w:rsidRPr="0091129C">
        <w:rPr>
          <w:rStyle w:val="FootnoteReference"/>
          <w:rFonts w:ascii="Times New Roman" w:hAnsi="Times New Roman"/>
        </w:rPr>
        <w:footnoteRef/>
      </w:r>
      <w:r w:rsidRPr="0091129C">
        <w:rPr>
          <w:rFonts w:ascii="Times New Roman" w:hAnsi="Times New Roman"/>
        </w:rPr>
        <w:t xml:space="preserve"> For the purposes of the transfer, the value of all assets is calculated on a net book value basis. Any variance in the net book value of the two groups of assets would be addressed through a cash transfer.</w:t>
      </w:r>
    </w:p>
  </w:footnote>
  <w:footnote w:id="2">
    <w:p w14:paraId="3E6BCA66" w14:textId="77777777" w:rsidR="0085035B" w:rsidRPr="0091129C" w:rsidRDefault="0085035B">
      <w:pPr>
        <w:pStyle w:val="FootnoteText"/>
        <w:rPr>
          <w:rFonts w:ascii="Times New Roman" w:hAnsi="Times New Roman"/>
        </w:rPr>
      </w:pPr>
      <w:r w:rsidRPr="0091129C">
        <w:rPr>
          <w:rStyle w:val="FootnoteReference"/>
          <w:rFonts w:ascii="Times New Roman" w:hAnsi="Times New Roman"/>
        </w:rPr>
        <w:footnoteRef/>
      </w:r>
      <w:r w:rsidRPr="0091129C">
        <w:rPr>
          <w:rFonts w:ascii="Times New Roman" w:hAnsi="Times New Roman"/>
        </w:rPr>
        <w:t xml:space="preserve"> The three primary legacy agreements are the Restated Transmission Service Agreement, the Restated and Amended Transmission Facilities Agreement, and the Interconnection and Transmission Service Agreement.</w:t>
      </w:r>
    </w:p>
  </w:footnote>
  <w:footnote w:id="3">
    <w:p w14:paraId="3E6BCA67" w14:textId="77777777" w:rsidR="0085035B" w:rsidRPr="0091129C" w:rsidRDefault="0085035B">
      <w:pPr>
        <w:pStyle w:val="FootnoteText"/>
        <w:rPr>
          <w:rFonts w:ascii="Times New Roman" w:hAnsi="Times New Roman"/>
        </w:rPr>
      </w:pPr>
      <w:r w:rsidRPr="0091129C">
        <w:rPr>
          <w:rStyle w:val="FootnoteReference"/>
          <w:rFonts w:ascii="Times New Roman" w:hAnsi="Times New Roman"/>
        </w:rPr>
        <w:footnoteRef/>
      </w:r>
      <w:r w:rsidRPr="0091129C">
        <w:rPr>
          <w:rFonts w:ascii="Times New Roman" w:hAnsi="Times New Roman"/>
        </w:rPr>
        <w:t xml:space="preserve"> FERC Order 888 at 277-278.</w:t>
      </w:r>
    </w:p>
  </w:footnote>
  <w:footnote w:id="4">
    <w:p w14:paraId="3E6BCA68" w14:textId="77777777" w:rsidR="0085035B" w:rsidRPr="0091129C" w:rsidRDefault="0085035B">
      <w:pPr>
        <w:pStyle w:val="FootnoteText"/>
        <w:rPr>
          <w:rFonts w:ascii="Times New Roman" w:hAnsi="Times New Roman"/>
        </w:rPr>
      </w:pPr>
      <w:r w:rsidRPr="0091129C">
        <w:rPr>
          <w:rStyle w:val="FootnoteReference"/>
          <w:rFonts w:ascii="Times New Roman" w:hAnsi="Times New Roman"/>
        </w:rPr>
        <w:footnoteRef/>
      </w:r>
      <w:r w:rsidRPr="0091129C">
        <w:rPr>
          <w:rFonts w:ascii="Times New Roman" w:hAnsi="Times New Roman"/>
        </w:rPr>
        <w:t xml:space="preserve"> Dynamic scheduling means that the amount of power moved over the line can be adjusted within the hour. Under traditional scheduling, it can only be adjusted hourly.</w:t>
      </w:r>
    </w:p>
  </w:footnote>
  <w:footnote w:id="5">
    <w:p w14:paraId="3E6BCA69" w14:textId="77777777" w:rsidR="0085035B" w:rsidRPr="0091129C" w:rsidRDefault="0085035B">
      <w:pPr>
        <w:pStyle w:val="FootnoteText"/>
        <w:rPr>
          <w:rFonts w:ascii="Times New Roman" w:hAnsi="Times New Roman"/>
        </w:rPr>
      </w:pPr>
      <w:r w:rsidRPr="0091129C">
        <w:rPr>
          <w:rStyle w:val="FootnoteReference"/>
          <w:rFonts w:ascii="Times New Roman" w:hAnsi="Times New Roman"/>
        </w:rPr>
        <w:footnoteRef/>
      </w:r>
      <w:r w:rsidRPr="0091129C">
        <w:rPr>
          <w:rFonts w:ascii="Times New Roman" w:hAnsi="Times New Roman"/>
        </w:rPr>
        <w:t xml:space="preserve"> Docket UE-991255, Second Supplemental Order (March 6, 2000) ¶ 29.</w:t>
      </w:r>
    </w:p>
  </w:footnote>
  <w:footnote w:id="6">
    <w:p w14:paraId="3E6BCA6A" w14:textId="77777777" w:rsidR="0085035B" w:rsidRPr="0091129C" w:rsidRDefault="0085035B">
      <w:pPr>
        <w:pStyle w:val="FootnoteText"/>
        <w:rPr>
          <w:rFonts w:ascii="Times New Roman" w:hAnsi="Times New Roman"/>
        </w:rPr>
      </w:pPr>
      <w:r w:rsidRPr="0091129C">
        <w:rPr>
          <w:rStyle w:val="FootnoteReference"/>
          <w:rFonts w:ascii="Times New Roman" w:hAnsi="Times New Roman"/>
        </w:rPr>
        <w:footnoteRef/>
      </w:r>
      <w:r w:rsidRPr="0091129C">
        <w:rPr>
          <w:rFonts w:ascii="Times New Roman" w:hAnsi="Times New Roman"/>
        </w:rPr>
        <w:t xml:space="preserve"> </w:t>
      </w:r>
      <w:r w:rsidRPr="0091129C">
        <w:rPr>
          <w:rFonts w:ascii="Times New Roman" w:hAnsi="Times New Roman"/>
          <w:i/>
        </w:rPr>
        <w:t>Id.</w:t>
      </w:r>
    </w:p>
  </w:footnote>
  <w:footnote w:id="7">
    <w:p w14:paraId="3E6BCA6B" w14:textId="77777777" w:rsidR="0085035B" w:rsidRPr="0091129C" w:rsidRDefault="0085035B">
      <w:pPr>
        <w:pStyle w:val="FootnoteText"/>
        <w:rPr>
          <w:rFonts w:ascii="Times New Roman" w:hAnsi="Times New Roman"/>
        </w:rPr>
      </w:pPr>
      <w:r w:rsidRPr="0091129C">
        <w:rPr>
          <w:rStyle w:val="FootnoteReference"/>
          <w:rFonts w:ascii="Times New Roman" w:hAnsi="Times New Roman"/>
        </w:rPr>
        <w:footnoteRef/>
      </w:r>
      <w:r w:rsidRPr="0091129C">
        <w:rPr>
          <w:rFonts w:ascii="Times New Roman" w:hAnsi="Times New Roman"/>
        </w:rPr>
        <w:t xml:space="preserve"> </w:t>
      </w:r>
      <w:r w:rsidRPr="0091129C">
        <w:rPr>
          <w:rFonts w:ascii="Times New Roman" w:hAnsi="Times New Roman"/>
          <w:i/>
        </w:rPr>
        <w:t>Petition for and Order Authorizing the Exchange of Certain Transmission Assets,</w:t>
      </w:r>
      <w:r w:rsidRPr="0091129C">
        <w:rPr>
          <w:rFonts w:ascii="Times New Roman" w:hAnsi="Times New Roman"/>
        </w:rPr>
        <w:t xml:space="preserve"> Docket UE-144136 (Dec. 19, 2014) ¶ 18.</w:t>
      </w:r>
    </w:p>
  </w:footnote>
  <w:footnote w:id="8">
    <w:p w14:paraId="3E6BCA6C" w14:textId="77777777" w:rsidR="0085035B" w:rsidRPr="0091129C" w:rsidRDefault="0085035B">
      <w:pPr>
        <w:pStyle w:val="FootnoteText"/>
        <w:rPr>
          <w:rFonts w:ascii="Times New Roman" w:hAnsi="Times New Roman"/>
        </w:rPr>
      </w:pPr>
      <w:r w:rsidRPr="0091129C">
        <w:rPr>
          <w:rStyle w:val="FootnoteReference"/>
          <w:rFonts w:ascii="Times New Roman" w:hAnsi="Times New Roman"/>
        </w:rPr>
        <w:footnoteRef/>
      </w:r>
      <w:r w:rsidRPr="0091129C">
        <w:rPr>
          <w:rFonts w:ascii="Times New Roman" w:hAnsi="Times New Roman"/>
        </w:rPr>
        <w:t xml:space="preserve"> GND-1T, page 2 at 21-22.</w:t>
      </w:r>
    </w:p>
  </w:footnote>
  <w:footnote w:id="9">
    <w:p w14:paraId="3E6BCA6D" w14:textId="3234EC44" w:rsidR="0085035B" w:rsidRPr="0091129C" w:rsidRDefault="0085035B">
      <w:pPr>
        <w:pStyle w:val="FootnoteText"/>
        <w:rPr>
          <w:rFonts w:ascii="Times New Roman" w:hAnsi="Times New Roman"/>
        </w:rPr>
      </w:pPr>
      <w:r w:rsidRPr="0091129C">
        <w:rPr>
          <w:rStyle w:val="FootnoteReference"/>
          <w:rFonts w:ascii="Times New Roman" w:hAnsi="Times New Roman"/>
        </w:rPr>
        <w:footnoteRef/>
      </w:r>
      <w:r w:rsidRPr="0091129C">
        <w:rPr>
          <w:rFonts w:ascii="Times New Roman" w:hAnsi="Times New Roman"/>
        </w:rPr>
        <w:t xml:space="preserve"> Pacific Power </w:t>
      </w:r>
      <w:r w:rsidR="006B5DFD">
        <w:rPr>
          <w:rFonts w:ascii="Times New Roman" w:hAnsi="Times New Roman"/>
        </w:rPr>
        <w:t>response to WUTC Data Request 8. The company projected that the transaction could reduce Washington-allocated assets by $175,000 and increase power costs by $750,000. The increase in power costs is the result of moving to OATT-based rates for wheeling on Idaho Power’s system.</w:t>
      </w:r>
    </w:p>
  </w:footnote>
  <w:footnote w:id="10">
    <w:p w14:paraId="360E7E70" w14:textId="5AE02BA5" w:rsidR="00CE16B3" w:rsidRDefault="00CE16B3">
      <w:pPr>
        <w:pStyle w:val="FootnoteText"/>
      </w:pPr>
      <w:r>
        <w:rPr>
          <w:rStyle w:val="FootnoteReference"/>
        </w:rPr>
        <w:footnoteRef/>
      </w:r>
      <w:r>
        <w:t xml:space="preserve"> FERC Docket ER15-2292.</w:t>
      </w:r>
    </w:p>
  </w:footnote>
  <w:footnote w:id="11">
    <w:p w14:paraId="3E6BCA6E" w14:textId="77777777" w:rsidR="0085035B" w:rsidRPr="0091129C" w:rsidRDefault="0085035B">
      <w:pPr>
        <w:pStyle w:val="FootnoteText"/>
        <w:rPr>
          <w:rFonts w:ascii="Times New Roman" w:hAnsi="Times New Roman"/>
        </w:rPr>
      </w:pPr>
      <w:r w:rsidRPr="0091129C">
        <w:rPr>
          <w:rStyle w:val="FootnoteReference"/>
          <w:rFonts w:ascii="Times New Roman" w:hAnsi="Times New Roman"/>
        </w:rPr>
        <w:footnoteRef/>
      </w:r>
      <w:r w:rsidRPr="0091129C">
        <w:rPr>
          <w:rFonts w:ascii="Times New Roman" w:hAnsi="Times New Roman"/>
        </w:rPr>
        <w:t xml:space="preserve"> Public Service Commission of Wyoming, </w:t>
      </w:r>
      <w:r w:rsidRPr="0091129C">
        <w:rPr>
          <w:rFonts w:ascii="Times New Roman" w:hAnsi="Times New Roman"/>
          <w:i/>
        </w:rPr>
        <w:t>In the Matter of the Application of Rocky Mountain Power for an Order Authorizing the Exchange of Certain Transmission Assets with Idaho Power Company</w:t>
      </w:r>
      <w:r w:rsidRPr="0091129C">
        <w:rPr>
          <w:rFonts w:ascii="Times New Roman" w:hAnsi="Times New Roman"/>
        </w:rPr>
        <w:t>, Record No. 14043, Order  (Aug. 7, 2015) ¶ 8.</w:t>
      </w:r>
    </w:p>
  </w:footnote>
  <w:footnote w:id="12">
    <w:p w14:paraId="3E6BCA6F" w14:textId="77777777" w:rsidR="0085035B" w:rsidRPr="0091129C" w:rsidRDefault="0085035B">
      <w:pPr>
        <w:pStyle w:val="FootnoteText"/>
        <w:rPr>
          <w:rFonts w:ascii="Times New Roman" w:hAnsi="Times New Roman"/>
        </w:rPr>
      </w:pPr>
      <w:r w:rsidRPr="0091129C">
        <w:rPr>
          <w:rStyle w:val="FootnoteReference"/>
          <w:rFonts w:ascii="Times New Roman" w:hAnsi="Times New Roman"/>
        </w:rPr>
        <w:footnoteRef/>
      </w:r>
      <w:r w:rsidRPr="0091129C">
        <w:rPr>
          <w:rFonts w:ascii="Times New Roman" w:hAnsi="Times New Roman"/>
        </w:rPr>
        <w:t xml:space="preserve"> </w:t>
      </w:r>
      <w:r w:rsidRPr="0091129C">
        <w:rPr>
          <w:rFonts w:ascii="Times New Roman" w:hAnsi="Times New Roman"/>
          <w:i/>
        </w:rPr>
        <w:t>Petition for and Order Authorizing the Exchange of Certain Transmission Assets,</w:t>
      </w:r>
      <w:r w:rsidRPr="0091129C">
        <w:rPr>
          <w:rFonts w:ascii="Times New Roman" w:hAnsi="Times New Roman"/>
        </w:rPr>
        <w:t xml:space="preserve"> Docket UE-144136 (Dec. 19, 2014) ¶ 20.</w:t>
      </w:r>
    </w:p>
  </w:footnote>
  <w:footnote w:id="13">
    <w:p w14:paraId="3E6BCA70" w14:textId="77777777" w:rsidR="0085035B" w:rsidRPr="0091129C" w:rsidRDefault="0085035B">
      <w:pPr>
        <w:pStyle w:val="FootnoteText"/>
        <w:rPr>
          <w:rFonts w:ascii="Times New Roman" w:hAnsi="Times New Roman"/>
        </w:rPr>
      </w:pPr>
      <w:r w:rsidRPr="0091129C">
        <w:rPr>
          <w:rStyle w:val="FootnoteReference"/>
          <w:rFonts w:ascii="Times New Roman" w:hAnsi="Times New Roman"/>
        </w:rPr>
        <w:footnoteRef/>
      </w:r>
      <w:r w:rsidRPr="0091129C">
        <w:rPr>
          <w:rFonts w:ascii="Times New Roman" w:hAnsi="Times New Roman"/>
        </w:rPr>
        <w:t xml:space="preserve"> Several parties raised concerns about the exchange’s potential impact on competitive markets before FERC, but FERC refuted those claims. See Attachment A.</w:t>
      </w:r>
    </w:p>
  </w:footnote>
  <w:footnote w:id="14">
    <w:p w14:paraId="3E6BCA71" w14:textId="77777777" w:rsidR="0085035B" w:rsidRPr="0091129C" w:rsidRDefault="0085035B" w:rsidP="00881FCB">
      <w:pPr>
        <w:pStyle w:val="FootnoteText"/>
        <w:rPr>
          <w:rFonts w:ascii="Times New Roman" w:hAnsi="Times New Roman"/>
        </w:rPr>
      </w:pPr>
      <w:r w:rsidRPr="0091129C">
        <w:rPr>
          <w:rStyle w:val="FootnoteReference"/>
          <w:rFonts w:ascii="Times New Roman" w:hAnsi="Times New Roman"/>
        </w:rPr>
        <w:footnoteRef/>
      </w:r>
      <w:r w:rsidRPr="0091129C">
        <w:rPr>
          <w:rFonts w:ascii="Times New Roman" w:hAnsi="Times New Roman"/>
        </w:rPr>
        <w:t xml:space="preserve"> The Jim Bridger plant in Wyoming and the Colstrip plant in Montana are located in the company’s west balancing area, due to their primary interconnections to the Pacific Northwest.</w:t>
      </w:r>
    </w:p>
  </w:footnote>
  <w:footnote w:id="15">
    <w:p w14:paraId="3E6BCA72" w14:textId="77777777" w:rsidR="0085035B" w:rsidRPr="0091129C" w:rsidRDefault="0085035B" w:rsidP="00881FCB">
      <w:pPr>
        <w:pStyle w:val="FootnoteText"/>
        <w:rPr>
          <w:rFonts w:ascii="Times New Roman" w:hAnsi="Times New Roman"/>
        </w:rPr>
      </w:pPr>
      <w:r w:rsidRPr="0091129C">
        <w:rPr>
          <w:rStyle w:val="FootnoteReference"/>
          <w:rFonts w:ascii="Times New Roman" w:hAnsi="Times New Roman"/>
        </w:rPr>
        <w:footnoteRef/>
      </w:r>
      <w:r w:rsidRPr="0091129C">
        <w:rPr>
          <w:rFonts w:ascii="Times New Roman" w:hAnsi="Times New Roman"/>
        </w:rPr>
        <w:t xml:space="preserve"> Docket UE-050684, Order 04 ¶ 63.</w:t>
      </w:r>
    </w:p>
  </w:footnote>
  <w:footnote w:id="16">
    <w:p w14:paraId="3E6BCA73" w14:textId="77777777" w:rsidR="0085035B" w:rsidRPr="0091129C" w:rsidRDefault="0085035B" w:rsidP="00881FCB">
      <w:pPr>
        <w:pStyle w:val="FootnoteText"/>
        <w:rPr>
          <w:rFonts w:ascii="Times New Roman" w:hAnsi="Times New Roman"/>
        </w:rPr>
      </w:pPr>
      <w:r w:rsidRPr="0091129C">
        <w:rPr>
          <w:rStyle w:val="FootnoteReference"/>
          <w:rFonts w:ascii="Times New Roman" w:hAnsi="Times New Roman"/>
        </w:rPr>
        <w:footnoteRef/>
      </w:r>
      <w:r w:rsidRPr="0091129C">
        <w:rPr>
          <w:rFonts w:ascii="Times New Roman" w:hAnsi="Times New Roman"/>
        </w:rPr>
        <w:t xml:space="preserve"> </w:t>
      </w:r>
      <w:r w:rsidRPr="0091129C">
        <w:rPr>
          <w:rFonts w:ascii="Times New Roman" w:hAnsi="Times New Roman"/>
          <w:i/>
        </w:rPr>
        <w:t>Id</w:t>
      </w:r>
      <w:r w:rsidRPr="0091129C">
        <w:rPr>
          <w:rFonts w:ascii="Times New Roman" w:hAnsi="Times New Roman"/>
        </w:rPr>
        <w:t xml:space="preserve"> ¶ 68.</w:t>
      </w:r>
    </w:p>
  </w:footnote>
  <w:footnote w:id="17">
    <w:p w14:paraId="3E6BCA74" w14:textId="77777777" w:rsidR="0085035B" w:rsidRPr="0091129C" w:rsidRDefault="0085035B" w:rsidP="00881FCB">
      <w:pPr>
        <w:pStyle w:val="FootnoteText"/>
        <w:rPr>
          <w:rFonts w:ascii="Times New Roman" w:hAnsi="Times New Roman"/>
        </w:rPr>
      </w:pPr>
      <w:r w:rsidRPr="0091129C">
        <w:rPr>
          <w:rStyle w:val="FootnoteReference"/>
          <w:rFonts w:ascii="Times New Roman" w:hAnsi="Times New Roman"/>
        </w:rPr>
        <w:footnoteRef/>
      </w:r>
      <w:r w:rsidRPr="0091129C">
        <w:rPr>
          <w:rFonts w:ascii="Times New Roman" w:hAnsi="Times New Roman"/>
        </w:rPr>
        <w:t xml:space="preserve"> Company response to WUTC Data Request 7.</w:t>
      </w:r>
    </w:p>
  </w:footnote>
  <w:footnote w:id="18">
    <w:p w14:paraId="3E6BCA75" w14:textId="77777777" w:rsidR="0085035B" w:rsidRPr="0091129C" w:rsidRDefault="0085035B">
      <w:pPr>
        <w:pStyle w:val="FootnoteText"/>
        <w:rPr>
          <w:rFonts w:ascii="Times New Roman" w:hAnsi="Times New Roman"/>
        </w:rPr>
      </w:pPr>
      <w:r w:rsidRPr="0091129C">
        <w:rPr>
          <w:rStyle w:val="FootnoteReference"/>
          <w:rFonts w:ascii="Times New Roman" w:hAnsi="Times New Roman"/>
        </w:rPr>
        <w:footnoteRef/>
      </w:r>
      <w:r w:rsidRPr="0091129C">
        <w:rPr>
          <w:rFonts w:ascii="Times New Roman" w:hAnsi="Times New Roman"/>
        </w:rPr>
        <w:t xml:space="preserve"> Company response to WUTC Data Request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BCA60" w14:textId="77777777" w:rsidR="0085035B" w:rsidRPr="0091129C" w:rsidRDefault="0085035B">
    <w:pPr>
      <w:pStyle w:val="Header"/>
      <w:rPr>
        <w:rFonts w:ascii="Times New Roman" w:hAnsi="Times New Roman"/>
        <w:sz w:val="20"/>
        <w:szCs w:val="20"/>
      </w:rPr>
    </w:pPr>
    <w:r w:rsidRPr="0091129C">
      <w:rPr>
        <w:rFonts w:ascii="Times New Roman" w:hAnsi="Times New Roman"/>
        <w:sz w:val="20"/>
        <w:szCs w:val="20"/>
      </w:rPr>
      <w:t>Docket UE-144136</w:t>
    </w:r>
  </w:p>
  <w:p w14:paraId="3E6BCA61" w14:textId="77777777" w:rsidR="0085035B" w:rsidRPr="0091129C" w:rsidRDefault="0085035B">
    <w:pPr>
      <w:pStyle w:val="Header"/>
      <w:rPr>
        <w:rFonts w:ascii="Times New Roman" w:hAnsi="Times New Roman"/>
        <w:sz w:val="20"/>
        <w:szCs w:val="20"/>
      </w:rPr>
    </w:pPr>
    <w:r w:rsidRPr="0091129C">
      <w:rPr>
        <w:rFonts w:ascii="Times New Roman" w:hAnsi="Times New Roman"/>
        <w:sz w:val="20"/>
        <w:szCs w:val="20"/>
      </w:rPr>
      <w:t>Sept. 24, 2015</w:t>
    </w:r>
  </w:p>
  <w:p w14:paraId="3E6BCA62" w14:textId="77777777" w:rsidR="0085035B" w:rsidRPr="0091129C" w:rsidRDefault="0085035B">
    <w:pPr>
      <w:pStyle w:val="Header"/>
      <w:rPr>
        <w:rFonts w:ascii="Times New Roman" w:hAnsi="Times New Roman"/>
        <w:sz w:val="20"/>
        <w:szCs w:val="20"/>
      </w:rPr>
    </w:pPr>
    <w:r w:rsidRPr="0091129C">
      <w:rPr>
        <w:rFonts w:ascii="Times New Roman" w:hAnsi="Times New Roman"/>
        <w:sz w:val="20"/>
        <w:szCs w:val="20"/>
      </w:rPr>
      <w:t xml:space="preserve">Page </w:t>
    </w:r>
    <w:sdt>
      <w:sdtPr>
        <w:rPr>
          <w:rFonts w:ascii="Times New Roman" w:hAnsi="Times New Roman"/>
          <w:sz w:val="20"/>
          <w:szCs w:val="20"/>
        </w:rPr>
        <w:id w:val="-1097479996"/>
        <w:docPartObj>
          <w:docPartGallery w:val="Page Numbers (Top of Page)"/>
          <w:docPartUnique/>
        </w:docPartObj>
      </w:sdtPr>
      <w:sdtEndPr>
        <w:rPr>
          <w:noProof/>
        </w:rPr>
      </w:sdtEndPr>
      <w:sdtContent>
        <w:r w:rsidRPr="0091129C">
          <w:rPr>
            <w:rFonts w:ascii="Times New Roman" w:hAnsi="Times New Roman"/>
            <w:sz w:val="20"/>
            <w:szCs w:val="20"/>
          </w:rPr>
          <w:fldChar w:fldCharType="begin"/>
        </w:r>
        <w:r w:rsidRPr="0091129C">
          <w:rPr>
            <w:rFonts w:ascii="Times New Roman" w:hAnsi="Times New Roman"/>
            <w:sz w:val="20"/>
            <w:szCs w:val="20"/>
          </w:rPr>
          <w:instrText xml:space="preserve"> PAGE   \* MERGEFORMAT </w:instrText>
        </w:r>
        <w:r w:rsidRPr="0091129C">
          <w:rPr>
            <w:rFonts w:ascii="Times New Roman" w:hAnsi="Times New Roman"/>
            <w:sz w:val="20"/>
            <w:szCs w:val="20"/>
          </w:rPr>
          <w:fldChar w:fldCharType="separate"/>
        </w:r>
        <w:r w:rsidR="005F4E65">
          <w:rPr>
            <w:rFonts w:ascii="Times New Roman" w:hAnsi="Times New Roman"/>
            <w:noProof/>
            <w:sz w:val="20"/>
            <w:szCs w:val="20"/>
          </w:rPr>
          <w:t>9</w:t>
        </w:r>
        <w:r w:rsidRPr="0091129C">
          <w:rPr>
            <w:rFonts w:ascii="Times New Roman" w:hAnsi="Times New Roman"/>
            <w:noProof/>
            <w:sz w:val="20"/>
            <w:szCs w:val="20"/>
          </w:rPr>
          <w:fldChar w:fldCharType="end"/>
        </w:r>
      </w:sdtContent>
    </w:sdt>
  </w:p>
  <w:p w14:paraId="3E6BCA63" w14:textId="77777777" w:rsidR="0085035B" w:rsidRPr="0091129C" w:rsidRDefault="0085035B">
    <w:pPr>
      <w:pStyle w:val="Header"/>
      <w:rPr>
        <w:rFonts w:ascii="Times New Roman" w:hAnsi="Times New Roman"/>
        <w:sz w:val="20"/>
        <w:szCs w:val="20"/>
      </w:rPr>
    </w:pPr>
  </w:p>
  <w:p w14:paraId="3E6BCA64" w14:textId="77777777" w:rsidR="0085035B" w:rsidRPr="0091129C" w:rsidRDefault="0085035B">
    <w:pP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2565"/>
    <w:multiLevelType w:val="hybridMultilevel"/>
    <w:tmpl w:val="E15E972A"/>
    <w:lvl w:ilvl="0" w:tplc="42F046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117C9E"/>
    <w:multiLevelType w:val="hybridMultilevel"/>
    <w:tmpl w:val="0EFEA9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4528D"/>
    <w:multiLevelType w:val="hybridMultilevel"/>
    <w:tmpl w:val="BAEA5D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242E1"/>
    <w:multiLevelType w:val="hybridMultilevel"/>
    <w:tmpl w:val="9ABED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41154"/>
    <w:multiLevelType w:val="hybridMultilevel"/>
    <w:tmpl w:val="B0F675AC"/>
    <w:lvl w:ilvl="0" w:tplc="635A034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83D50"/>
    <w:multiLevelType w:val="hybridMultilevel"/>
    <w:tmpl w:val="07E66602"/>
    <w:lvl w:ilvl="0" w:tplc="4A74C7F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A50BB"/>
    <w:multiLevelType w:val="hybridMultilevel"/>
    <w:tmpl w:val="95CC5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34"/>
    <w:rsid w:val="000002BE"/>
    <w:rsid w:val="00007EB1"/>
    <w:rsid w:val="0003583C"/>
    <w:rsid w:val="00054FE7"/>
    <w:rsid w:val="000602DE"/>
    <w:rsid w:val="000926E4"/>
    <w:rsid w:val="000B4B32"/>
    <w:rsid w:val="000E640C"/>
    <w:rsid w:val="00112875"/>
    <w:rsid w:val="0012259D"/>
    <w:rsid w:val="00124BF4"/>
    <w:rsid w:val="001357E8"/>
    <w:rsid w:val="00154C66"/>
    <w:rsid w:val="001C5AB1"/>
    <w:rsid w:val="001D6106"/>
    <w:rsid w:val="001E1D7A"/>
    <w:rsid w:val="002C039A"/>
    <w:rsid w:val="00377B8A"/>
    <w:rsid w:val="00385923"/>
    <w:rsid w:val="003D062E"/>
    <w:rsid w:val="004027F3"/>
    <w:rsid w:val="00405945"/>
    <w:rsid w:val="004131CA"/>
    <w:rsid w:val="00423001"/>
    <w:rsid w:val="00453355"/>
    <w:rsid w:val="00473737"/>
    <w:rsid w:val="004A05A4"/>
    <w:rsid w:val="005476F1"/>
    <w:rsid w:val="00552600"/>
    <w:rsid w:val="00561CE6"/>
    <w:rsid w:val="0056337E"/>
    <w:rsid w:val="00566465"/>
    <w:rsid w:val="005665E8"/>
    <w:rsid w:val="005A6C74"/>
    <w:rsid w:val="005B6BAF"/>
    <w:rsid w:val="005C34BE"/>
    <w:rsid w:val="005D3B62"/>
    <w:rsid w:val="005F4E65"/>
    <w:rsid w:val="0062769C"/>
    <w:rsid w:val="0064781D"/>
    <w:rsid w:val="00672F7B"/>
    <w:rsid w:val="006A41EE"/>
    <w:rsid w:val="006A547D"/>
    <w:rsid w:val="006B5DFD"/>
    <w:rsid w:val="006F0B66"/>
    <w:rsid w:val="00701E13"/>
    <w:rsid w:val="00771DA4"/>
    <w:rsid w:val="007A398A"/>
    <w:rsid w:val="007A6894"/>
    <w:rsid w:val="007D0064"/>
    <w:rsid w:val="0085035B"/>
    <w:rsid w:val="0087463C"/>
    <w:rsid w:val="00881FCB"/>
    <w:rsid w:val="008F14E3"/>
    <w:rsid w:val="0091129C"/>
    <w:rsid w:val="00935450"/>
    <w:rsid w:val="0094772E"/>
    <w:rsid w:val="009718F8"/>
    <w:rsid w:val="00974023"/>
    <w:rsid w:val="0099491F"/>
    <w:rsid w:val="009C3D5F"/>
    <w:rsid w:val="009D7514"/>
    <w:rsid w:val="009F10C8"/>
    <w:rsid w:val="009F5631"/>
    <w:rsid w:val="00A610DE"/>
    <w:rsid w:val="00A83D14"/>
    <w:rsid w:val="00A84C2A"/>
    <w:rsid w:val="00AA713F"/>
    <w:rsid w:val="00AD1477"/>
    <w:rsid w:val="00AD3312"/>
    <w:rsid w:val="00AE273E"/>
    <w:rsid w:val="00B12A48"/>
    <w:rsid w:val="00B13041"/>
    <w:rsid w:val="00B61FEB"/>
    <w:rsid w:val="00B751E1"/>
    <w:rsid w:val="00B85288"/>
    <w:rsid w:val="00BC63A3"/>
    <w:rsid w:val="00C04E4E"/>
    <w:rsid w:val="00C17C51"/>
    <w:rsid w:val="00C30A34"/>
    <w:rsid w:val="00C77D62"/>
    <w:rsid w:val="00C820FC"/>
    <w:rsid w:val="00C86114"/>
    <w:rsid w:val="00CA2814"/>
    <w:rsid w:val="00CE16B3"/>
    <w:rsid w:val="00CE63DE"/>
    <w:rsid w:val="00D569B8"/>
    <w:rsid w:val="00DA1B86"/>
    <w:rsid w:val="00DC29BE"/>
    <w:rsid w:val="00DC6070"/>
    <w:rsid w:val="00DD2A47"/>
    <w:rsid w:val="00DE1131"/>
    <w:rsid w:val="00E11CA0"/>
    <w:rsid w:val="00E15747"/>
    <w:rsid w:val="00E33534"/>
    <w:rsid w:val="00E5582F"/>
    <w:rsid w:val="00EB0B84"/>
    <w:rsid w:val="00ED6EF5"/>
    <w:rsid w:val="00EF133A"/>
    <w:rsid w:val="00EF5A16"/>
    <w:rsid w:val="00F21B68"/>
    <w:rsid w:val="00F3361D"/>
    <w:rsid w:val="00F420AB"/>
    <w:rsid w:val="00F55288"/>
    <w:rsid w:val="00F60DA0"/>
    <w:rsid w:val="00F70027"/>
    <w:rsid w:val="00FC0770"/>
    <w:rsid w:val="00FD312A"/>
    <w:rsid w:val="00FF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C9B7"/>
  <w15:chartTrackingRefBased/>
  <w15:docId w15:val="{E26D54F3-6BB9-4A2D-B264-A37C5893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A34"/>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30A34"/>
    <w:pPr>
      <w:ind w:left="720"/>
      <w:contextualSpacing/>
    </w:pPr>
  </w:style>
  <w:style w:type="paragraph" w:styleId="FootnoteText">
    <w:name w:val="footnote text"/>
    <w:basedOn w:val="Normal"/>
    <w:link w:val="FootnoteTextChar"/>
    <w:uiPriority w:val="99"/>
    <w:semiHidden/>
    <w:unhideWhenUsed/>
    <w:rsid w:val="00E11CA0"/>
    <w:rPr>
      <w:sz w:val="20"/>
      <w:szCs w:val="20"/>
    </w:rPr>
  </w:style>
  <w:style w:type="character" w:customStyle="1" w:styleId="FootnoteTextChar">
    <w:name w:val="Footnote Text Char"/>
    <w:basedOn w:val="DefaultParagraphFont"/>
    <w:link w:val="FootnoteText"/>
    <w:uiPriority w:val="99"/>
    <w:semiHidden/>
    <w:rsid w:val="00E11CA0"/>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E11CA0"/>
    <w:rPr>
      <w:vertAlign w:val="superscript"/>
    </w:rPr>
  </w:style>
  <w:style w:type="character" w:styleId="PlaceholderText">
    <w:name w:val="Placeholder Text"/>
    <w:basedOn w:val="DefaultParagraphFont"/>
    <w:uiPriority w:val="99"/>
    <w:semiHidden/>
    <w:rsid w:val="006A547D"/>
    <w:rPr>
      <w:color w:val="808080"/>
    </w:rPr>
  </w:style>
  <w:style w:type="paragraph" w:styleId="Header">
    <w:name w:val="header"/>
    <w:basedOn w:val="Normal"/>
    <w:link w:val="HeaderChar"/>
    <w:uiPriority w:val="99"/>
    <w:unhideWhenUsed/>
    <w:rsid w:val="0091129C"/>
    <w:pPr>
      <w:tabs>
        <w:tab w:val="center" w:pos="4680"/>
        <w:tab w:val="right" w:pos="9360"/>
      </w:tabs>
    </w:pPr>
  </w:style>
  <w:style w:type="character" w:customStyle="1" w:styleId="HeaderChar">
    <w:name w:val="Header Char"/>
    <w:basedOn w:val="DefaultParagraphFont"/>
    <w:link w:val="Header"/>
    <w:uiPriority w:val="99"/>
    <w:rsid w:val="0091129C"/>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91129C"/>
    <w:pPr>
      <w:tabs>
        <w:tab w:val="center" w:pos="4680"/>
        <w:tab w:val="right" w:pos="9360"/>
      </w:tabs>
    </w:pPr>
  </w:style>
  <w:style w:type="character" w:customStyle="1" w:styleId="FooterChar">
    <w:name w:val="Footer Char"/>
    <w:basedOn w:val="DefaultParagraphFont"/>
    <w:link w:val="Footer"/>
    <w:uiPriority w:val="99"/>
    <w:rsid w:val="0091129C"/>
    <w:rPr>
      <w:rFonts w:ascii="Palatino Linotype" w:eastAsia="Times New Roman" w:hAnsi="Palatino Linotype" w:cs="Times New Roman"/>
      <w:sz w:val="24"/>
      <w:szCs w:val="24"/>
    </w:rPr>
  </w:style>
  <w:style w:type="character" w:styleId="CommentReference">
    <w:name w:val="annotation reference"/>
    <w:basedOn w:val="DefaultParagraphFont"/>
    <w:uiPriority w:val="99"/>
    <w:semiHidden/>
    <w:unhideWhenUsed/>
    <w:rsid w:val="00974023"/>
    <w:rPr>
      <w:sz w:val="16"/>
      <w:szCs w:val="16"/>
    </w:rPr>
  </w:style>
  <w:style w:type="paragraph" w:styleId="CommentText">
    <w:name w:val="annotation text"/>
    <w:basedOn w:val="Normal"/>
    <w:link w:val="CommentTextChar"/>
    <w:uiPriority w:val="99"/>
    <w:semiHidden/>
    <w:unhideWhenUsed/>
    <w:rsid w:val="00974023"/>
    <w:rPr>
      <w:sz w:val="20"/>
      <w:szCs w:val="20"/>
    </w:rPr>
  </w:style>
  <w:style w:type="character" w:customStyle="1" w:styleId="CommentTextChar">
    <w:name w:val="Comment Text Char"/>
    <w:basedOn w:val="DefaultParagraphFont"/>
    <w:link w:val="CommentText"/>
    <w:uiPriority w:val="99"/>
    <w:semiHidden/>
    <w:rsid w:val="00974023"/>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974023"/>
    <w:rPr>
      <w:b/>
      <w:bCs/>
    </w:rPr>
  </w:style>
  <w:style w:type="character" w:customStyle="1" w:styleId="CommentSubjectChar">
    <w:name w:val="Comment Subject Char"/>
    <w:basedOn w:val="CommentTextChar"/>
    <w:link w:val="CommentSubject"/>
    <w:uiPriority w:val="99"/>
    <w:semiHidden/>
    <w:rsid w:val="00974023"/>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974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0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23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2014-12-19T08:00:00+00:00</OpenedDate>
    <Date1 xmlns="dc463f71-b30c-4ab2-9473-d307f9d35888">2015-09-24T07:00:00+00:00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8A188FF635E448BB43AE8437DC1D73" ma:contentTypeVersion="175" ma:contentTypeDescription="" ma:contentTypeScope="" ma:versionID="630037fac3aa665da6deadcd56c474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AD7F7B8-50D5-49E0-BA18-26858860DEEB}"/>
</file>

<file path=customXml/itemProps2.xml><?xml version="1.0" encoding="utf-8"?>
<ds:datastoreItem xmlns:ds="http://schemas.openxmlformats.org/officeDocument/2006/customXml" ds:itemID="{BAE7E8D9-9D7E-4A4F-89D5-A50CCADA4CAE}"/>
</file>

<file path=customXml/itemProps3.xml><?xml version="1.0" encoding="utf-8"?>
<ds:datastoreItem xmlns:ds="http://schemas.openxmlformats.org/officeDocument/2006/customXml" ds:itemID="{6E932F99-78C6-479B-BA07-AD8524D8821A}"/>
</file>

<file path=customXml/itemProps4.xml><?xml version="1.0" encoding="utf-8"?>
<ds:datastoreItem xmlns:ds="http://schemas.openxmlformats.org/officeDocument/2006/customXml" ds:itemID="{5EC5CFD4-714D-4EC3-9DEE-A9E73FE3B85D}"/>
</file>

<file path=customXml/itemProps5.xml><?xml version="1.0" encoding="utf-8"?>
<ds:datastoreItem xmlns:ds="http://schemas.openxmlformats.org/officeDocument/2006/customXml" ds:itemID="{964957C8-92D4-407B-9E00-8C2289FD7A86}"/>
</file>

<file path=docProps/app.xml><?xml version="1.0" encoding="utf-8"?>
<Properties xmlns="http://schemas.openxmlformats.org/officeDocument/2006/extended-properties" xmlns:vt="http://schemas.openxmlformats.org/officeDocument/2006/docPropsVTypes">
  <Template>Normal.dotm</Template>
  <TotalTime>0</TotalTime>
  <Pages>9</Pages>
  <Words>2833</Words>
  <Characters>17395</Characters>
  <Application>Microsoft Office Word</Application>
  <DocSecurity>0</DocSecurity>
  <Lines>404</Lines>
  <Paragraphs>204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Wyse, Lisa (UTC)</cp:lastModifiedBy>
  <cp:revision>2</cp:revision>
  <dcterms:created xsi:type="dcterms:W3CDTF">2015-09-21T22:42:00Z</dcterms:created>
  <dcterms:modified xsi:type="dcterms:W3CDTF">2015-09-21T22:42:00Z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0x0101006E56B4D1795A2E4DB2F0B01679ED314A003C8A188FF635E448BB43AE8437DC1D73</vt:lpwstr>
  </property>
  <property fmtid="{D5CDD505-2E9C-101B-9397-08002B2CF9AE}" pid="3" name="_docset_NoMedatataSyncRequired">
    <vt:lpwstr>False</vt:lpwstr>
  </property>
</Properties>
</file>