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1C390" w14:textId="434BD2E2" w:rsidR="003B18D4" w:rsidRPr="002D5A23" w:rsidRDefault="003B18D4" w:rsidP="003B18D4">
      <w:pPr>
        <w:rPr>
          <w:rFonts w:ascii="Times New Roman" w:hAnsi="Times New Roman"/>
        </w:rPr>
      </w:pPr>
      <w:bookmarkStart w:id="0" w:name="_GoBack"/>
      <w:bookmarkEnd w:id="0"/>
      <w:r w:rsidRPr="002D5A23">
        <w:rPr>
          <w:rFonts w:ascii="Times New Roman" w:hAnsi="Times New Roman"/>
        </w:rPr>
        <w:t>Agenda Date:</w:t>
      </w:r>
      <w:r w:rsidRPr="002D5A23">
        <w:rPr>
          <w:rFonts w:ascii="Times New Roman" w:hAnsi="Times New Roman"/>
        </w:rPr>
        <w:tab/>
      </w:r>
      <w:r w:rsidRPr="002D5A23">
        <w:rPr>
          <w:rFonts w:ascii="Times New Roman" w:hAnsi="Times New Roman"/>
        </w:rPr>
        <w:tab/>
      </w:r>
      <w:r w:rsidR="00D60EB1">
        <w:rPr>
          <w:rFonts w:ascii="Times New Roman" w:hAnsi="Times New Roman"/>
        </w:rPr>
        <w:t>December 22, 2016</w:t>
      </w:r>
    </w:p>
    <w:p w14:paraId="657833D7" w14:textId="4019D752" w:rsidR="003B18D4" w:rsidRPr="002D5A23" w:rsidRDefault="003B18D4" w:rsidP="003B18D4">
      <w:pPr>
        <w:ind w:left="2160" w:hanging="2160"/>
        <w:rPr>
          <w:rFonts w:ascii="Times New Roman" w:hAnsi="Times New Roman"/>
        </w:rPr>
      </w:pPr>
      <w:r w:rsidRPr="002D5A23">
        <w:rPr>
          <w:rFonts w:ascii="Times New Roman" w:hAnsi="Times New Roman"/>
        </w:rPr>
        <w:t>Item Number:</w:t>
      </w:r>
      <w:r w:rsidRPr="002D5A23">
        <w:rPr>
          <w:rFonts w:ascii="Times New Roman" w:hAnsi="Times New Roman"/>
        </w:rPr>
        <w:tab/>
      </w:r>
      <w:r w:rsidR="00705A3D">
        <w:rPr>
          <w:rFonts w:ascii="Times New Roman" w:hAnsi="Times New Roman"/>
        </w:rPr>
        <w:t>A1</w:t>
      </w:r>
    </w:p>
    <w:p w14:paraId="4F69B8B7" w14:textId="77777777" w:rsidR="003B18D4" w:rsidRPr="002D5A23" w:rsidRDefault="003B18D4" w:rsidP="003B18D4">
      <w:pPr>
        <w:rPr>
          <w:rFonts w:ascii="Times New Roman" w:hAnsi="Times New Roman"/>
        </w:rPr>
      </w:pPr>
    </w:p>
    <w:p w14:paraId="25E016C1" w14:textId="77777777" w:rsidR="00AB25BC" w:rsidRDefault="003B18D4" w:rsidP="003B18D4">
      <w:pPr>
        <w:rPr>
          <w:rFonts w:ascii="Times New Roman" w:hAnsi="Times New Roman"/>
          <w:b/>
          <w:bCs/>
        </w:rPr>
      </w:pPr>
      <w:r w:rsidRPr="002D5A23">
        <w:rPr>
          <w:rFonts w:ascii="Times New Roman" w:hAnsi="Times New Roman"/>
          <w:b/>
          <w:bCs/>
        </w:rPr>
        <w:t>Docket:</w:t>
      </w:r>
      <w:r w:rsidRPr="002D5A23">
        <w:rPr>
          <w:rFonts w:ascii="Times New Roman" w:hAnsi="Times New Roman"/>
          <w:b/>
          <w:bCs/>
        </w:rPr>
        <w:tab/>
      </w:r>
      <w:r w:rsidRPr="002D5A23">
        <w:rPr>
          <w:rFonts w:ascii="Times New Roman" w:hAnsi="Times New Roman"/>
          <w:b/>
          <w:bCs/>
        </w:rPr>
        <w:tab/>
        <w:t>U</w:t>
      </w:r>
      <w:r w:rsidR="00D1354A">
        <w:rPr>
          <w:rFonts w:ascii="Times New Roman" w:hAnsi="Times New Roman"/>
          <w:b/>
          <w:bCs/>
        </w:rPr>
        <w:t>E-143915</w:t>
      </w:r>
    </w:p>
    <w:p w14:paraId="20D5AE86" w14:textId="1522AC35" w:rsidR="003B18D4" w:rsidRPr="002D5A23" w:rsidRDefault="00D60C68" w:rsidP="003B18D4">
      <w:pPr>
        <w:rPr>
          <w:rFonts w:ascii="Times New Roman" w:hAnsi="Times New Roman"/>
        </w:rPr>
      </w:pPr>
      <w:r>
        <w:rPr>
          <w:rFonts w:ascii="Times New Roman" w:hAnsi="Times New Roman"/>
        </w:rPr>
        <w:t>Company</w:t>
      </w:r>
      <w:r w:rsidR="00AB25BC">
        <w:rPr>
          <w:rFonts w:ascii="Times New Roman" w:hAnsi="Times New Roman"/>
        </w:rPr>
        <w:t>:</w:t>
      </w:r>
      <w:r w:rsidR="00AB25BC">
        <w:rPr>
          <w:rFonts w:ascii="Times New Roman" w:hAnsi="Times New Roman"/>
        </w:rPr>
        <w:tab/>
      </w:r>
      <w:r w:rsidR="00AB25BC">
        <w:rPr>
          <w:rFonts w:ascii="Times New Roman" w:hAnsi="Times New Roman"/>
        </w:rPr>
        <w:tab/>
      </w:r>
      <w:r w:rsidR="00D1354A">
        <w:rPr>
          <w:rFonts w:ascii="Times New Roman" w:hAnsi="Times New Roman"/>
        </w:rPr>
        <w:t xml:space="preserve">Pacific Power &amp; Light </w:t>
      </w:r>
      <w:r>
        <w:rPr>
          <w:rFonts w:ascii="Times New Roman" w:hAnsi="Times New Roman"/>
        </w:rPr>
        <w:t>Company</w:t>
      </w:r>
    </w:p>
    <w:p w14:paraId="40951E4D" w14:textId="77777777" w:rsidR="003B18D4" w:rsidRPr="002D5A23" w:rsidRDefault="003B18D4" w:rsidP="003B18D4">
      <w:pPr>
        <w:rPr>
          <w:rFonts w:ascii="Times New Roman" w:hAnsi="Times New Roman"/>
        </w:rPr>
      </w:pPr>
    </w:p>
    <w:p w14:paraId="33B83EB9" w14:textId="77777777" w:rsidR="003B18D4" w:rsidRDefault="003B18D4" w:rsidP="003B18D4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>Staff:</w:t>
      </w:r>
      <w:r w:rsidRPr="002D5A23">
        <w:rPr>
          <w:rFonts w:ascii="Times New Roman" w:hAnsi="Times New Roman"/>
        </w:rPr>
        <w:tab/>
      </w:r>
      <w:r w:rsidRPr="002D5A23">
        <w:rPr>
          <w:rFonts w:ascii="Times New Roman" w:hAnsi="Times New Roman"/>
        </w:rPr>
        <w:tab/>
      </w:r>
      <w:r w:rsidRPr="002D5A23">
        <w:rPr>
          <w:rFonts w:ascii="Times New Roman" w:hAnsi="Times New Roman"/>
        </w:rPr>
        <w:tab/>
        <w:t>Jason Ball, Regulatory Analyst</w:t>
      </w:r>
    </w:p>
    <w:p w14:paraId="3E4B1560" w14:textId="6C5B64D1" w:rsidR="00B03CEA" w:rsidRPr="002D5A23" w:rsidRDefault="00B03CEA" w:rsidP="003B18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Kyle </w:t>
      </w:r>
      <w:r w:rsidR="009A7240">
        <w:rPr>
          <w:rFonts w:ascii="Times New Roman" w:hAnsi="Times New Roman"/>
        </w:rPr>
        <w:t>Frankiewich</w:t>
      </w:r>
      <w:r>
        <w:rPr>
          <w:rFonts w:ascii="Times New Roman" w:hAnsi="Times New Roman"/>
        </w:rPr>
        <w:t>, Regulatory Analyst</w:t>
      </w:r>
    </w:p>
    <w:p w14:paraId="617FD95E" w14:textId="77777777" w:rsidR="003B18D4" w:rsidRPr="002D5A23" w:rsidRDefault="003B18D4" w:rsidP="003B18D4">
      <w:pPr>
        <w:rPr>
          <w:rFonts w:ascii="Times New Roman" w:hAnsi="Times New Roman"/>
        </w:rPr>
      </w:pPr>
    </w:p>
    <w:p w14:paraId="00C2CEA8" w14:textId="77777777" w:rsidR="003B18D4" w:rsidRPr="002D5A23" w:rsidRDefault="003B18D4" w:rsidP="00943421">
      <w:pPr>
        <w:rPr>
          <w:rFonts w:ascii="Times New Roman" w:hAnsi="Times New Roman"/>
          <w:b/>
          <w:bCs/>
          <w:u w:val="single"/>
        </w:rPr>
      </w:pPr>
      <w:r w:rsidRPr="002D5A23">
        <w:rPr>
          <w:rFonts w:ascii="Times New Roman" w:hAnsi="Times New Roman"/>
          <w:b/>
          <w:bCs/>
          <w:u w:val="single"/>
        </w:rPr>
        <w:t>Recommendation</w:t>
      </w:r>
    </w:p>
    <w:p w14:paraId="4C7EBEE6" w14:textId="77777777" w:rsidR="003B18D4" w:rsidRPr="002D5A23" w:rsidRDefault="003B18D4" w:rsidP="00943421">
      <w:pPr>
        <w:rPr>
          <w:rFonts w:ascii="Times New Roman" w:hAnsi="Times New Roman"/>
        </w:rPr>
      </w:pPr>
    </w:p>
    <w:p w14:paraId="356E5C6B" w14:textId="309CDC90" w:rsidR="00D840B9" w:rsidRDefault="003B18D4" w:rsidP="00943421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 xml:space="preserve">Issue an Order </w:t>
      </w:r>
      <w:r w:rsidR="00B57491">
        <w:rPr>
          <w:rFonts w:ascii="Times New Roman" w:hAnsi="Times New Roman"/>
        </w:rPr>
        <w:t>to</w:t>
      </w:r>
      <w:r w:rsidR="00D840B9">
        <w:rPr>
          <w:rFonts w:ascii="Times New Roman" w:hAnsi="Times New Roman"/>
        </w:rPr>
        <w:t>:</w:t>
      </w:r>
    </w:p>
    <w:p w14:paraId="65DC3229" w14:textId="77777777" w:rsidR="008D3C18" w:rsidRDefault="008D3C18" w:rsidP="00943421">
      <w:pPr>
        <w:rPr>
          <w:rFonts w:ascii="Times New Roman" w:hAnsi="Times New Roman"/>
        </w:rPr>
      </w:pPr>
    </w:p>
    <w:p w14:paraId="4B7D3F10" w14:textId="26F97456" w:rsidR="003B18D4" w:rsidRDefault="00B57491" w:rsidP="00D840B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D840B9">
        <w:rPr>
          <w:rFonts w:ascii="Times New Roman" w:hAnsi="Times New Roman"/>
        </w:rPr>
        <w:t>uthoriz</w:t>
      </w:r>
      <w:r>
        <w:rPr>
          <w:rFonts w:ascii="Times New Roman" w:hAnsi="Times New Roman"/>
        </w:rPr>
        <w:t>e</w:t>
      </w:r>
      <w:r w:rsidRPr="00D840B9">
        <w:rPr>
          <w:rFonts w:ascii="Times New Roman" w:hAnsi="Times New Roman"/>
        </w:rPr>
        <w:t xml:space="preserve"> </w:t>
      </w:r>
      <w:r w:rsidR="00FC7408">
        <w:rPr>
          <w:rFonts w:ascii="Times New Roman" w:hAnsi="Times New Roman"/>
        </w:rPr>
        <w:t>deferral of the</w:t>
      </w:r>
      <w:r w:rsidR="00B03CEA" w:rsidRPr="00D840B9">
        <w:rPr>
          <w:rFonts w:ascii="Times New Roman" w:hAnsi="Times New Roman"/>
        </w:rPr>
        <w:t xml:space="preserve"> costs to purchas</w:t>
      </w:r>
      <w:r>
        <w:rPr>
          <w:rFonts w:ascii="Times New Roman" w:hAnsi="Times New Roman"/>
        </w:rPr>
        <w:t>e</w:t>
      </w:r>
      <w:r w:rsidR="00B03CEA" w:rsidRPr="00D840B9">
        <w:rPr>
          <w:rFonts w:ascii="Times New Roman" w:hAnsi="Times New Roman"/>
        </w:rPr>
        <w:t xml:space="preserve"> Renewable Energy Certificates</w:t>
      </w:r>
      <w:r>
        <w:rPr>
          <w:rFonts w:ascii="Times New Roman" w:hAnsi="Times New Roman"/>
        </w:rPr>
        <w:t xml:space="preserve"> for 2014</w:t>
      </w:r>
      <w:r w:rsidR="00CB447F">
        <w:rPr>
          <w:rFonts w:ascii="Times New Roman" w:hAnsi="Times New Roman"/>
        </w:rPr>
        <w:t xml:space="preserve"> (</w:t>
      </w:r>
      <w:r w:rsidR="008D3C18">
        <w:rPr>
          <w:rFonts w:ascii="Times New Roman" w:hAnsi="Times New Roman"/>
        </w:rPr>
        <w:t xml:space="preserve">2014 </w:t>
      </w:r>
      <w:r w:rsidR="00CF1C66">
        <w:rPr>
          <w:rFonts w:ascii="Times New Roman" w:hAnsi="Times New Roman"/>
        </w:rPr>
        <w:t>Credits</w:t>
      </w:r>
      <w:r w:rsidR="00CB447F">
        <w:rPr>
          <w:rFonts w:ascii="Times New Roman" w:hAnsi="Times New Roman"/>
        </w:rPr>
        <w:t>)</w:t>
      </w:r>
      <w:r w:rsidR="00FC7408">
        <w:rPr>
          <w:rFonts w:ascii="Times New Roman" w:hAnsi="Times New Roman"/>
        </w:rPr>
        <w:t xml:space="preserve"> in Account 182.3, Regulatory Assets</w:t>
      </w:r>
    </w:p>
    <w:p w14:paraId="1EE91F6F" w14:textId="032CAA2D" w:rsidR="00D840B9" w:rsidRDefault="008D3C18" w:rsidP="00D840B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Find</w:t>
      </w:r>
      <w:r w:rsidR="00CB447F">
        <w:rPr>
          <w:rFonts w:ascii="Times New Roman" w:hAnsi="Times New Roman"/>
        </w:rPr>
        <w:t xml:space="preserve"> </w:t>
      </w:r>
      <w:r w:rsidR="00B57491">
        <w:rPr>
          <w:rFonts w:ascii="Times New Roman" w:hAnsi="Times New Roman"/>
        </w:rPr>
        <w:t xml:space="preserve">that </w:t>
      </w:r>
      <w:r w:rsidR="00CB447F">
        <w:rPr>
          <w:rFonts w:ascii="Times New Roman" w:hAnsi="Times New Roman"/>
        </w:rPr>
        <w:t xml:space="preserve">the </w:t>
      </w:r>
      <w:r w:rsidR="00036F57">
        <w:rPr>
          <w:rFonts w:ascii="Times New Roman" w:hAnsi="Times New Roman"/>
        </w:rPr>
        <w:t>purchase</w:t>
      </w:r>
      <w:r w:rsidR="00B57491">
        <w:rPr>
          <w:rFonts w:ascii="Times New Roman" w:hAnsi="Times New Roman"/>
        </w:rPr>
        <w:t xml:space="preserve"> of</w:t>
      </w:r>
      <w:r w:rsidR="00CB447F">
        <w:rPr>
          <w:rFonts w:ascii="Times New Roman" w:hAnsi="Times New Roman"/>
        </w:rPr>
        <w:t xml:space="preserve"> </w:t>
      </w:r>
      <w:r w:rsidR="00DA6183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2014 </w:t>
      </w:r>
      <w:r w:rsidR="00CF1C66">
        <w:rPr>
          <w:rFonts w:ascii="Times New Roman" w:hAnsi="Times New Roman"/>
        </w:rPr>
        <w:t>Credits</w:t>
      </w:r>
      <w:r w:rsidR="00CB447F">
        <w:rPr>
          <w:rFonts w:ascii="Times New Roman" w:hAnsi="Times New Roman"/>
        </w:rPr>
        <w:t xml:space="preserve"> </w:t>
      </w:r>
      <w:r w:rsidR="00B57491">
        <w:rPr>
          <w:rFonts w:ascii="Times New Roman" w:hAnsi="Times New Roman"/>
        </w:rPr>
        <w:t>was</w:t>
      </w:r>
      <w:r w:rsidR="00036F57">
        <w:rPr>
          <w:rFonts w:ascii="Times New Roman" w:hAnsi="Times New Roman"/>
        </w:rPr>
        <w:t xml:space="preserve"> prudent</w:t>
      </w:r>
    </w:p>
    <w:p w14:paraId="706797E6" w14:textId="014DFDBF" w:rsidR="00CB447F" w:rsidRPr="00D840B9" w:rsidRDefault="00B57491" w:rsidP="00D840B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Authorize </w:t>
      </w:r>
      <w:r w:rsidR="00036F57">
        <w:rPr>
          <w:rFonts w:ascii="Times New Roman" w:hAnsi="Times New Roman"/>
        </w:rPr>
        <w:t xml:space="preserve">the recovery of the cost of </w:t>
      </w:r>
      <w:r w:rsidR="008D3C18">
        <w:rPr>
          <w:rFonts w:ascii="Times New Roman" w:hAnsi="Times New Roman"/>
        </w:rPr>
        <w:t xml:space="preserve">the 2014 </w:t>
      </w:r>
      <w:r w:rsidR="00CF1C66">
        <w:rPr>
          <w:rFonts w:ascii="Times New Roman" w:hAnsi="Times New Roman"/>
        </w:rPr>
        <w:t>Credits</w:t>
      </w:r>
      <w:r w:rsidR="00036F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="00036F57">
        <w:rPr>
          <w:rFonts w:ascii="Times New Roman" w:hAnsi="Times New Roman"/>
        </w:rPr>
        <w:t>Schedule 95.</w:t>
      </w:r>
      <w:r w:rsidR="00690530">
        <w:rPr>
          <w:rFonts w:ascii="Times New Roman" w:hAnsi="Times New Roman"/>
        </w:rPr>
        <w:t xml:space="preserve"> </w:t>
      </w:r>
    </w:p>
    <w:p w14:paraId="513B43B2" w14:textId="77777777" w:rsidR="003B18D4" w:rsidRPr="002D5A23" w:rsidRDefault="003B18D4" w:rsidP="00943421">
      <w:pPr>
        <w:rPr>
          <w:rFonts w:ascii="Times New Roman" w:hAnsi="Times New Roman"/>
        </w:rPr>
      </w:pPr>
    </w:p>
    <w:p w14:paraId="69A0E84A" w14:textId="77777777" w:rsidR="003B18D4" w:rsidRPr="002D5A23" w:rsidRDefault="003B18D4" w:rsidP="0094342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5CFC5CE9" w14:textId="77777777" w:rsidR="003B18D4" w:rsidRPr="002D5A23" w:rsidRDefault="003B18D4" w:rsidP="00943421">
      <w:pPr>
        <w:rPr>
          <w:rFonts w:ascii="Times New Roman" w:hAnsi="Times New Roman"/>
        </w:rPr>
      </w:pPr>
    </w:p>
    <w:p w14:paraId="4CCA8E0A" w14:textId="5682DC45" w:rsidR="00214850" w:rsidRDefault="00214850" w:rsidP="00214850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 xml:space="preserve">November 18, 2014, Pacific Power &amp; Light </w:t>
      </w:r>
      <w:r w:rsidR="00D60C68">
        <w:rPr>
          <w:rFonts w:ascii="Times New Roman" w:hAnsi="Times New Roman"/>
        </w:rPr>
        <w:t>Company</w:t>
      </w:r>
      <w:r w:rsidRPr="002D5A2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Pacific Power</w:t>
      </w:r>
      <w:r w:rsidRPr="002D5A23">
        <w:rPr>
          <w:rFonts w:ascii="Times New Roman" w:hAnsi="Times New Roman"/>
        </w:rPr>
        <w:t xml:space="preserve"> or </w:t>
      </w:r>
      <w:r w:rsidR="00D60C68">
        <w:rPr>
          <w:rFonts w:ascii="Times New Roman" w:hAnsi="Times New Roman"/>
        </w:rPr>
        <w:t>Company</w:t>
      </w:r>
      <w:r w:rsidRPr="002D5A23">
        <w:rPr>
          <w:rFonts w:ascii="Times New Roman" w:hAnsi="Times New Roman"/>
        </w:rPr>
        <w:t>) filed an accounting petition seeki</w:t>
      </w:r>
      <w:r>
        <w:rPr>
          <w:rFonts w:ascii="Times New Roman" w:hAnsi="Times New Roman"/>
        </w:rPr>
        <w:t xml:space="preserve">ng authorization to defer costs related to the purchase of unbundled </w:t>
      </w:r>
      <w:r w:rsidR="002E4967">
        <w:rPr>
          <w:rFonts w:ascii="Times New Roman" w:hAnsi="Times New Roman"/>
        </w:rPr>
        <w:t xml:space="preserve">Renewable Energy </w:t>
      </w:r>
      <w:r w:rsidR="006E01FC" w:rsidRPr="00D840B9">
        <w:rPr>
          <w:rFonts w:ascii="Times New Roman" w:hAnsi="Times New Roman"/>
        </w:rPr>
        <w:t>Certificates</w:t>
      </w:r>
      <w:r w:rsidR="006E01FC">
        <w:rPr>
          <w:rFonts w:ascii="Times New Roman" w:hAnsi="Times New Roman"/>
        </w:rPr>
        <w:t xml:space="preserve"> </w:t>
      </w:r>
      <w:r w:rsidR="002E4967">
        <w:rPr>
          <w:rFonts w:ascii="Times New Roman" w:hAnsi="Times New Roman"/>
        </w:rPr>
        <w:t>(RECs)</w:t>
      </w:r>
      <w:r>
        <w:rPr>
          <w:rFonts w:ascii="Times New Roman" w:hAnsi="Times New Roman"/>
        </w:rPr>
        <w:t xml:space="preserve">. The RECs were purchased by Pacific Power to meet the </w:t>
      </w:r>
      <w:r w:rsidR="00D60C68">
        <w:rPr>
          <w:rFonts w:ascii="Times New Roman" w:hAnsi="Times New Roman"/>
        </w:rPr>
        <w:t>Company</w:t>
      </w:r>
      <w:r w:rsidRPr="00603270">
        <w:rPr>
          <w:rFonts w:ascii="Times New Roman" w:hAnsi="Times New Roman"/>
        </w:rPr>
        <w:t xml:space="preserve">’s RPS </w:t>
      </w:r>
      <w:r>
        <w:rPr>
          <w:rFonts w:ascii="Times New Roman" w:hAnsi="Times New Roman"/>
        </w:rPr>
        <w:t>r</w:t>
      </w:r>
      <w:r w:rsidRPr="00603270">
        <w:rPr>
          <w:rFonts w:ascii="Times New Roman" w:hAnsi="Times New Roman"/>
        </w:rPr>
        <w:t>equirement</w:t>
      </w:r>
      <w:r>
        <w:rPr>
          <w:rFonts w:ascii="Times New Roman" w:hAnsi="Times New Roman"/>
        </w:rPr>
        <w:t xml:space="preserve"> in </w:t>
      </w:r>
      <w:r w:rsidR="00C824AE">
        <w:rPr>
          <w:rFonts w:ascii="Times New Roman" w:hAnsi="Times New Roman"/>
        </w:rPr>
        <w:t>2015, 2016, and 2017</w:t>
      </w:r>
      <w:r>
        <w:rPr>
          <w:rFonts w:ascii="Times New Roman" w:hAnsi="Times New Roman"/>
        </w:rPr>
        <w:t xml:space="preserve">. </w:t>
      </w:r>
    </w:p>
    <w:p w14:paraId="11B7E343" w14:textId="77777777" w:rsidR="00214850" w:rsidRDefault="00214850" w:rsidP="00214850">
      <w:pPr>
        <w:rPr>
          <w:rFonts w:ascii="Times New Roman" w:hAnsi="Times New Roman"/>
        </w:rPr>
      </w:pPr>
    </w:p>
    <w:p w14:paraId="636D6CFE" w14:textId="61EAB0A7" w:rsidR="00A34DD6" w:rsidRDefault="00A34DD6" w:rsidP="00A34DD6">
      <w:pPr>
        <w:rPr>
          <w:rFonts w:ascii="Times New Roman" w:hAnsi="Times New Roman"/>
        </w:rPr>
      </w:pPr>
      <w:r w:rsidRPr="006C20E8">
        <w:rPr>
          <w:rFonts w:ascii="Times New Roman" w:hAnsi="Times New Roman"/>
        </w:rPr>
        <w:t>The Energy Independence Act (EIA or Act)</w:t>
      </w:r>
      <w:r w:rsidRPr="006C20E8">
        <w:rPr>
          <w:rFonts w:ascii="Times New Roman" w:hAnsi="Times New Roman"/>
          <w:vertAlign w:val="superscript"/>
        </w:rPr>
        <w:footnoteReference w:id="1"/>
      </w:r>
      <w:r w:rsidRPr="006C2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sets a Renewable Portfolio Standard (RPS) which </w:t>
      </w:r>
      <w:r w:rsidRPr="006C20E8">
        <w:rPr>
          <w:rFonts w:ascii="Times New Roman" w:hAnsi="Times New Roman"/>
        </w:rPr>
        <w:t>requires qualifying electric utilities to obtain certain percentages of their electricity from eligible renewable resources. The Washington Utilities and Transportation Commission (Commission) enforces compliance with the EIA by investor-owned utilities.</w:t>
      </w:r>
      <w:r w:rsidRPr="006C20E8">
        <w:rPr>
          <w:rFonts w:ascii="Times New Roman" w:hAnsi="Times New Roman"/>
          <w:vertAlign w:val="superscript"/>
        </w:rPr>
        <w:footnoteReference w:id="2"/>
      </w:r>
      <w:r w:rsidRPr="006C2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Utilities may generate RE</w:t>
      </w:r>
      <w:r w:rsidR="002E4967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s using eligible renewable resources, purchase RECs from other generators, or a combination of the two approaches. The RPS requirement </w:t>
      </w:r>
      <w:r w:rsidR="00214850">
        <w:rPr>
          <w:rFonts w:ascii="Times New Roman" w:hAnsi="Times New Roman"/>
        </w:rPr>
        <w:t xml:space="preserve">starting in 2012 </w:t>
      </w:r>
      <w:r>
        <w:rPr>
          <w:rFonts w:ascii="Times New Roman" w:hAnsi="Times New Roman"/>
        </w:rPr>
        <w:t>was three percent of retail load</w:t>
      </w:r>
      <w:r w:rsidR="00214850">
        <w:rPr>
          <w:rFonts w:ascii="Times New Roman" w:hAnsi="Times New Roman"/>
        </w:rPr>
        <w:t>.</w:t>
      </w:r>
      <w:r w:rsidR="00690530">
        <w:rPr>
          <w:rFonts w:ascii="Times New Roman" w:hAnsi="Times New Roman"/>
        </w:rPr>
        <w:t xml:space="preserve"> </w:t>
      </w:r>
      <w:r w:rsidR="00214850">
        <w:rPr>
          <w:rFonts w:ascii="Times New Roman" w:hAnsi="Times New Roman"/>
        </w:rPr>
        <w:t>This requirement</w:t>
      </w:r>
      <w:r>
        <w:rPr>
          <w:rFonts w:ascii="Times New Roman" w:hAnsi="Times New Roman"/>
        </w:rPr>
        <w:t xml:space="preserve"> adjust</w:t>
      </w:r>
      <w:r w:rsidR="00214850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upward to nine percent in 2016, and moves up to 15 percent in 2020.</w:t>
      </w:r>
    </w:p>
    <w:p w14:paraId="77FB262F" w14:textId="77777777" w:rsidR="00A34DD6" w:rsidRDefault="00A34DD6" w:rsidP="00A34DD6">
      <w:pPr>
        <w:rPr>
          <w:rFonts w:ascii="Times New Roman" w:hAnsi="Times New Roman"/>
        </w:rPr>
      </w:pPr>
    </w:p>
    <w:p w14:paraId="522763F5" w14:textId="77777777" w:rsidR="003B18D4" w:rsidRPr="00CE6A55" w:rsidRDefault="003B18D4" w:rsidP="0094342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Discussion</w:t>
      </w:r>
    </w:p>
    <w:p w14:paraId="4C329016" w14:textId="77777777" w:rsidR="003B18D4" w:rsidRDefault="003B18D4" w:rsidP="00943421">
      <w:pPr>
        <w:rPr>
          <w:rFonts w:ascii="Times New Roman" w:hAnsi="Times New Roman"/>
        </w:rPr>
      </w:pPr>
    </w:p>
    <w:p w14:paraId="297D5B7E" w14:textId="77777777" w:rsidR="00F82298" w:rsidRDefault="00F82298" w:rsidP="00F8229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Time to resolve petition</w:t>
      </w:r>
    </w:p>
    <w:p w14:paraId="492BBD46" w14:textId="7DC1AF32" w:rsidR="00F82298" w:rsidRDefault="00F82298" w:rsidP="00F82298">
      <w:pPr>
        <w:rPr>
          <w:rFonts w:ascii="Times New Roman" w:hAnsi="Times New Roman"/>
        </w:rPr>
      </w:pPr>
      <w:r>
        <w:rPr>
          <w:rFonts w:ascii="Times New Roman" w:hAnsi="Times New Roman"/>
        </w:rPr>
        <w:t>The accounting petition presented by Pacific Power is over 2 years old. Ideally, a petition such as this would be consolidated into a general rate case (GRC) filing for prudence evaluation and cost recovery. However, Pacific Power</w:t>
      </w:r>
      <w:r w:rsidR="006F0952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most recent GRC was completed at the end of September. The final order in Docket UE-152253 authorized the </w:t>
      </w:r>
      <w:r w:rsidR="00D60C68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to engage in a rate plan extending through 2018. Deferring this accounting petition would therefore result in an addition</w:t>
      </w:r>
      <w:r w:rsidR="001815BF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2 years before any cost recovery could begin.  </w:t>
      </w:r>
    </w:p>
    <w:p w14:paraId="2E0911BA" w14:textId="77777777" w:rsidR="00F82298" w:rsidRDefault="00F82298" w:rsidP="00F82298">
      <w:pPr>
        <w:rPr>
          <w:rFonts w:ascii="Times New Roman" w:hAnsi="Times New Roman"/>
        </w:rPr>
      </w:pPr>
    </w:p>
    <w:p w14:paraId="2CF9EA9B" w14:textId="6A63C33F" w:rsidR="00F82298" w:rsidRDefault="00F82298" w:rsidP="00F8229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Staff regrets the amount of time it has taken to process this accounting petition. The petition was incorrectly excluded from consideration for consolidation in the </w:t>
      </w:r>
      <w:r w:rsidR="00D60C68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most recent GRC. To correct for this procedural lapse, </w:t>
      </w:r>
      <w:r w:rsidR="006F095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taff proposes to conduct an evaluation of the prudence of the 2014 REC’s now. This prevents a delay in cost recovery and the accumulation of additional interest.  </w:t>
      </w:r>
    </w:p>
    <w:p w14:paraId="6CE85E7A" w14:textId="77777777" w:rsidR="00F82298" w:rsidRPr="002D5A23" w:rsidRDefault="00F82298" w:rsidP="00943421">
      <w:pPr>
        <w:rPr>
          <w:rFonts w:ascii="Times New Roman" w:hAnsi="Times New Roman"/>
        </w:rPr>
      </w:pPr>
    </w:p>
    <w:p w14:paraId="4CACD76C" w14:textId="77777777" w:rsidR="007F7AA5" w:rsidRDefault="007F7AA5" w:rsidP="007F7A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Prudency Evaluation</w:t>
      </w:r>
    </w:p>
    <w:p w14:paraId="1DD1311D" w14:textId="1046282C" w:rsidR="00B03AE8" w:rsidRDefault="00C97954" w:rsidP="007F7AA5">
      <w:pPr>
        <w:rPr>
          <w:rFonts w:ascii="Times New Roman" w:hAnsi="Times New Roman"/>
        </w:rPr>
      </w:pPr>
      <w:r w:rsidRPr="00C97954">
        <w:rPr>
          <w:rFonts w:ascii="Times New Roman" w:hAnsi="Times New Roman"/>
        </w:rPr>
        <w:t xml:space="preserve">Staff </w:t>
      </w:r>
      <w:r w:rsidR="00C4410F">
        <w:rPr>
          <w:rFonts w:ascii="Times New Roman" w:hAnsi="Times New Roman"/>
        </w:rPr>
        <w:t xml:space="preserve">has reviewed the </w:t>
      </w:r>
      <w:r w:rsidR="00D60C68">
        <w:rPr>
          <w:rFonts w:ascii="Times New Roman" w:hAnsi="Times New Roman"/>
        </w:rPr>
        <w:t>Company</w:t>
      </w:r>
      <w:r w:rsidR="00621CB7">
        <w:rPr>
          <w:rFonts w:ascii="Times New Roman" w:hAnsi="Times New Roman"/>
        </w:rPr>
        <w:t xml:space="preserve">’s </w:t>
      </w:r>
      <w:r w:rsidR="003968E7">
        <w:rPr>
          <w:rFonts w:ascii="Times New Roman" w:hAnsi="Times New Roman"/>
        </w:rPr>
        <w:t xml:space="preserve">procurement of the 2014 </w:t>
      </w:r>
      <w:r w:rsidR="00CF1C66">
        <w:rPr>
          <w:rFonts w:ascii="Times New Roman" w:hAnsi="Times New Roman"/>
        </w:rPr>
        <w:t>Credits</w:t>
      </w:r>
      <w:r w:rsidR="003968E7">
        <w:rPr>
          <w:rFonts w:ascii="Times New Roman" w:hAnsi="Times New Roman"/>
        </w:rPr>
        <w:t xml:space="preserve"> and recommends the </w:t>
      </w:r>
      <w:r w:rsidR="00621CB7">
        <w:rPr>
          <w:rFonts w:ascii="Times New Roman" w:hAnsi="Times New Roman"/>
        </w:rPr>
        <w:t xml:space="preserve">commission </w:t>
      </w:r>
      <w:r w:rsidR="003968E7">
        <w:rPr>
          <w:rFonts w:ascii="Times New Roman" w:hAnsi="Times New Roman"/>
        </w:rPr>
        <w:t xml:space="preserve">find them to be a prudent </w:t>
      </w:r>
      <w:r w:rsidR="00B03AE8">
        <w:rPr>
          <w:rFonts w:ascii="Times New Roman" w:hAnsi="Times New Roman"/>
        </w:rPr>
        <w:t>acquisition</w:t>
      </w:r>
      <w:r w:rsidR="003968E7">
        <w:rPr>
          <w:rFonts w:ascii="Times New Roman" w:hAnsi="Times New Roman"/>
        </w:rPr>
        <w:t xml:space="preserve"> fo</w:t>
      </w:r>
      <w:r w:rsidR="00B03AE8">
        <w:rPr>
          <w:rFonts w:ascii="Times New Roman" w:hAnsi="Times New Roman"/>
        </w:rPr>
        <w:t>r RPS compliance</w:t>
      </w:r>
      <w:r w:rsidR="003968E7">
        <w:rPr>
          <w:rFonts w:ascii="Times New Roman" w:hAnsi="Times New Roman"/>
        </w:rPr>
        <w:t xml:space="preserve">. </w:t>
      </w:r>
      <w:r w:rsidR="00B31689">
        <w:rPr>
          <w:rFonts w:ascii="Times New Roman" w:hAnsi="Times New Roman"/>
        </w:rPr>
        <w:t>Staff’s</w:t>
      </w:r>
      <w:r w:rsidR="00B03AE8">
        <w:rPr>
          <w:rFonts w:ascii="Times New Roman" w:hAnsi="Times New Roman"/>
        </w:rPr>
        <w:t xml:space="preserve"> evaluation relie</w:t>
      </w:r>
      <w:r w:rsidR="00B31689">
        <w:rPr>
          <w:rFonts w:ascii="Times New Roman" w:hAnsi="Times New Roman"/>
        </w:rPr>
        <w:t>d</w:t>
      </w:r>
      <w:r w:rsidR="00B03AE8">
        <w:rPr>
          <w:rFonts w:ascii="Times New Roman" w:hAnsi="Times New Roman"/>
        </w:rPr>
        <w:t xml:space="preserve"> on several different </w:t>
      </w:r>
      <w:r w:rsidR="00B31689">
        <w:rPr>
          <w:rFonts w:ascii="Times New Roman" w:hAnsi="Times New Roman"/>
        </w:rPr>
        <w:t>factors for determining prudence</w:t>
      </w:r>
      <w:r w:rsidR="00B03AE8">
        <w:rPr>
          <w:rFonts w:ascii="Times New Roman" w:hAnsi="Times New Roman"/>
        </w:rPr>
        <w:t>:</w:t>
      </w:r>
    </w:p>
    <w:p w14:paraId="7D55E811" w14:textId="77777777" w:rsidR="00B03AE8" w:rsidRDefault="00B03AE8" w:rsidP="007F7AA5">
      <w:pPr>
        <w:rPr>
          <w:rFonts w:ascii="Times New Roman" w:hAnsi="Times New Roman"/>
        </w:rPr>
      </w:pPr>
    </w:p>
    <w:p w14:paraId="2CF94B54" w14:textId="11D625C0" w:rsidR="000B2E57" w:rsidRPr="00455570" w:rsidRDefault="00A34DD6" w:rsidP="00C824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55570">
        <w:rPr>
          <w:rFonts w:ascii="Times New Roman" w:hAnsi="Times New Roman"/>
        </w:rPr>
        <w:t>The Need for the Resource</w:t>
      </w:r>
      <w:r w:rsidR="00A64EFE">
        <w:rPr>
          <w:rFonts w:ascii="Times New Roman" w:hAnsi="Times New Roman"/>
        </w:rPr>
        <w:t xml:space="preserve"> </w:t>
      </w:r>
      <w:r w:rsidRPr="00B57491">
        <w:rPr>
          <w:rStyle w:val="FootnoteReference"/>
          <w:rFonts w:ascii="Times New Roman" w:hAnsi="Times New Roman"/>
        </w:rPr>
        <w:footnoteReference w:id="3"/>
      </w:r>
      <w:r w:rsidRPr="00455570">
        <w:rPr>
          <w:rFonts w:ascii="Times New Roman" w:hAnsi="Times New Roman"/>
        </w:rPr>
        <w:t xml:space="preserve"> – The RPS requirement can be met in two ways: applying RECs generated by the </w:t>
      </w:r>
      <w:r w:rsidR="00D60C68">
        <w:rPr>
          <w:rFonts w:ascii="Times New Roman" w:hAnsi="Times New Roman"/>
        </w:rPr>
        <w:t>Company</w:t>
      </w:r>
      <w:r w:rsidRPr="00455570">
        <w:rPr>
          <w:rFonts w:ascii="Times New Roman" w:hAnsi="Times New Roman"/>
        </w:rPr>
        <w:t xml:space="preserve">’s generating resources, or purchasing RECs from other generators. From 2012 through 2014, Pacific Power generated more RECs than were needed to meet the </w:t>
      </w:r>
      <w:r w:rsidR="006F0952">
        <w:rPr>
          <w:rFonts w:ascii="Times New Roman" w:hAnsi="Times New Roman"/>
        </w:rPr>
        <w:t>3</w:t>
      </w:r>
      <w:r w:rsidRPr="00455570">
        <w:rPr>
          <w:rFonts w:ascii="Times New Roman" w:hAnsi="Times New Roman"/>
        </w:rPr>
        <w:t xml:space="preserve"> percent target.</w:t>
      </w:r>
      <w:r w:rsidR="00466469" w:rsidRPr="00455570">
        <w:rPr>
          <w:rStyle w:val="FootnoteReference"/>
          <w:rFonts w:ascii="Times New Roman" w:hAnsi="Times New Roman"/>
        </w:rPr>
        <w:t xml:space="preserve"> </w:t>
      </w:r>
      <w:r w:rsidR="00466469">
        <w:rPr>
          <w:rStyle w:val="FootnoteReference"/>
          <w:rFonts w:ascii="Times New Roman" w:hAnsi="Times New Roman"/>
        </w:rPr>
        <w:footnoteReference w:id="4"/>
      </w:r>
      <w:r w:rsidRPr="00455570">
        <w:rPr>
          <w:rFonts w:ascii="Times New Roman" w:hAnsi="Times New Roman"/>
        </w:rPr>
        <w:t xml:space="preserve"> The excess RECs were sold, and the funds generated returned to Washington ratepayers</w:t>
      </w:r>
      <w:r w:rsidR="0077730D" w:rsidRPr="00455570">
        <w:rPr>
          <w:rFonts w:ascii="Times New Roman" w:hAnsi="Times New Roman"/>
        </w:rPr>
        <w:t xml:space="preserve"> through a separate tracking mechanism</w:t>
      </w:r>
      <w:r w:rsidR="003B29BD">
        <w:rPr>
          <w:rFonts w:ascii="Times New Roman" w:hAnsi="Times New Roman"/>
        </w:rPr>
        <w:t xml:space="preserve"> discussed below</w:t>
      </w:r>
      <w:r w:rsidRPr="00455570">
        <w:rPr>
          <w:rFonts w:ascii="Times New Roman" w:hAnsi="Times New Roman"/>
        </w:rPr>
        <w:t>.</w:t>
      </w:r>
      <w:r w:rsidRPr="00B57491">
        <w:rPr>
          <w:rStyle w:val="FootnoteReference"/>
          <w:rFonts w:ascii="Times New Roman" w:hAnsi="Times New Roman"/>
        </w:rPr>
        <w:footnoteReference w:id="5"/>
      </w:r>
      <w:r w:rsidRPr="00455570">
        <w:rPr>
          <w:rFonts w:ascii="Times New Roman" w:hAnsi="Times New Roman"/>
        </w:rPr>
        <w:br/>
      </w:r>
      <w:r w:rsidRPr="00455570">
        <w:rPr>
          <w:rFonts w:ascii="Times New Roman" w:hAnsi="Times New Roman"/>
        </w:rPr>
        <w:br/>
        <w:t xml:space="preserve">The </w:t>
      </w:r>
      <w:r w:rsidR="00D60C68">
        <w:rPr>
          <w:rFonts w:ascii="Times New Roman" w:hAnsi="Times New Roman"/>
        </w:rPr>
        <w:t>Company</w:t>
      </w:r>
      <w:r w:rsidRPr="00455570">
        <w:rPr>
          <w:rFonts w:ascii="Times New Roman" w:hAnsi="Times New Roman"/>
        </w:rPr>
        <w:t>’s future REC needs were identified and planned for in Pacific Power’s 2013 Integrated Resource Plan (IRP), and further honed in its 2013 IRP update.</w:t>
      </w:r>
      <w:r>
        <w:rPr>
          <w:rStyle w:val="FootnoteReference"/>
          <w:rFonts w:ascii="Times New Roman" w:hAnsi="Times New Roman"/>
        </w:rPr>
        <w:footnoteReference w:id="6"/>
      </w:r>
      <w:r w:rsidRPr="00455570">
        <w:rPr>
          <w:rFonts w:ascii="Times New Roman" w:hAnsi="Times New Roman"/>
        </w:rPr>
        <w:t xml:space="preserve"> The </w:t>
      </w:r>
      <w:r w:rsidR="00D60C68">
        <w:rPr>
          <w:rFonts w:ascii="Times New Roman" w:hAnsi="Times New Roman"/>
        </w:rPr>
        <w:t>Company</w:t>
      </w:r>
      <w:r w:rsidRPr="00455570">
        <w:rPr>
          <w:rFonts w:ascii="Times New Roman" w:hAnsi="Times New Roman"/>
        </w:rPr>
        <w:t xml:space="preserve"> planned for the increasing RPS requirement in 2016 by securing low-priced RECs in 2014, and by saving all Washington-allocated RECs generated in 2015. </w:t>
      </w:r>
      <w:r w:rsidRPr="00455570">
        <w:rPr>
          <w:rFonts w:ascii="Times New Roman" w:hAnsi="Times New Roman"/>
        </w:rPr>
        <w:br/>
      </w:r>
    </w:p>
    <w:p w14:paraId="72CBA948" w14:textId="73CCAD88" w:rsidR="00B31689" w:rsidRPr="00B31689" w:rsidRDefault="00B31689" w:rsidP="000B2E57">
      <w:pPr>
        <w:ind w:left="720" w:hanging="360"/>
        <w:rPr>
          <w:rFonts w:ascii="Times New Roman" w:hAnsi="Times New Roman"/>
        </w:rPr>
      </w:pPr>
      <w:r w:rsidRPr="00B31689">
        <w:rPr>
          <w:rFonts w:ascii="Times New Roman" w:hAnsi="Times New Roman"/>
        </w:rPr>
        <w:t>2)</w:t>
      </w:r>
      <w:r w:rsidRPr="00B31689">
        <w:rPr>
          <w:rFonts w:ascii="Times New Roman" w:hAnsi="Times New Roman"/>
        </w:rPr>
        <w:tab/>
        <w:t xml:space="preserve">Evaluation of Alternatives – </w:t>
      </w:r>
      <w:r w:rsidR="000B2E57">
        <w:rPr>
          <w:rFonts w:ascii="Times New Roman" w:hAnsi="Times New Roman"/>
        </w:rPr>
        <w:t xml:space="preserve">The </w:t>
      </w:r>
      <w:r w:rsidR="00D60C68">
        <w:rPr>
          <w:rFonts w:ascii="Times New Roman" w:hAnsi="Times New Roman"/>
        </w:rPr>
        <w:t>Company</w:t>
      </w:r>
      <w:r w:rsidR="000E147E">
        <w:rPr>
          <w:rFonts w:ascii="Times New Roman" w:hAnsi="Times New Roman"/>
        </w:rPr>
        <w:t xml:space="preserve"> </w:t>
      </w:r>
      <w:r w:rsidR="000B2E57">
        <w:rPr>
          <w:rFonts w:ascii="Times New Roman" w:hAnsi="Times New Roman"/>
        </w:rPr>
        <w:t xml:space="preserve">evaluated several alternatives both in its </w:t>
      </w:r>
      <w:r w:rsidR="00455570">
        <w:rPr>
          <w:rFonts w:ascii="Times New Roman" w:hAnsi="Times New Roman"/>
        </w:rPr>
        <w:t xml:space="preserve">2013 </w:t>
      </w:r>
      <w:r w:rsidR="000B2E57">
        <w:rPr>
          <w:rFonts w:ascii="Times New Roman" w:hAnsi="Times New Roman"/>
        </w:rPr>
        <w:t>IRP as well through a request for proposal</w:t>
      </w:r>
      <w:r w:rsidR="00455570">
        <w:rPr>
          <w:rFonts w:ascii="Times New Roman" w:hAnsi="Times New Roman"/>
        </w:rPr>
        <w:t xml:space="preserve"> (RFP)</w:t>
      </w:r>
      <w:r w:rsidR="000B2E57">
        <w:rPr>
          <w:rFonts w:ascii="Times New Roman" w:hAnsi="Times New Roman"/>
        </w:rPr>
        <w:t xml:space="preserve"> related to the actual purchases</w:t>
      </w:r>
      <w:r w:rsidR="00455570">
        <w:rPr>
          <w:rFonts w:ascii="Times New Roman" w:hAnsi="Times New Roman"/>
        </w:rPr>
        <w:t>.</w:t>
      </w:r>
      <w:r w:rsidR="00690530">
        <w:rPr>
          <w:rFonts w:ascii="Times New Roman" w:hAnsi="Times New Roman"/>
        </w:rPr>
        <w:t xml:space="preserve"> </w:t>
      </w:r>
      <w:r w:rsidR="00455570">
        <w:rPr>
          <w:rFonts w:ascii="Times New Roman" w:hAnsi="Times New Roman"/>
        </w:rPr>
        <w:t>Staff reviewed the RFP</w:t>
      </w:r>
      <w:r w:rsidR="006E01FC">
        <w:rPr>
          <w:rFonts w:ascii="Times New Roman" w:hAnsi="Times New Roman"/>
        </w:rPr>
        <w:t>s</w:t>
      </w:r>
      <w:r w:rsidR="00455570">
        <w:rPr>
          <w:rFonts w:ascii="Times New Roman" w:hAnsi="Times New Roman"/>
        </w:rPr>
        <w:t xml:space="preserve"> at the </w:t>
      </w:r>
      <w:r w:rsidR="00D60C68">
        <w:rPr>
          <w:rFonts w:ascii="Times New Roman" w:hAnsi="Times New Roman"/>
        </w:rPr>
        <w:t>Company</w:t>
      </w:r>
      <w:r w:rsidR="00455570">
        <w:rPr>
          <w:rFonts w:ascii="Times New Roman" w:hAnsi="Times New Roman"/>
        </w:rPr>
        <w:t>’s headquarters.</w:t>
      </w:r>
      <w:r w:rsidR="00690530">
        <w:rPr>
          <w:rFonts w:ascii="Times New Roman" w:hAnsi="Times New Roman"/>
        </w:rPr>
        <w:t xml:space="preserve"> </w:t>
      </w:r>
      <w:r w:rsidR="00455570">
        <w:rPr>
          <w:rFonts w:ascii="Times New Roman" w:hAnsi="Times New Roman"/>
        </w:rPr>
        <w:t xml:space="preserve">The </w:t>
      </w:r>
      <w:r w:rsidR="00D60C68">
        <w:rPr>
          <w:rFonts w:ascii="Times New Roman" w:hAnsi="Times New Roman"/>
        </w:rPr>
        <w:t>Company</w:t>
      </w:r>
      <w:r w:rsidR="00455570">
        <w:rPr>
          <w:rFonts w:ascii="Times New Roman" w:hAnsi="Times New Roman"/>
        </w:rPr>
        <w:t xml:space="preserve"> conducted an appropriate evaluation of various alternatives.</w:t>
      </w:r>
      <w:r w:rsidR="00690530">
        <w:rPr>
          <w:rFonts w:ascii="Times New Roman" w:hAnsi="Times New Roman"/>
        </w:rPr>
        <w:t xml:space="preserve"> </w:t>
      </w:r>
      <w:r w:rsidR="00455570">
        <w:rPr>
          <w:rFonts w:ascii="Times New Roman" w:hAnsi="Times New Roman"/>
        </w:rPr>
        <w:t>The choice to purchase RECs was the most cost-effective way to comply with the 2016 RPS requirements.</w:t>
      </w:r>
      <w:r w:rsidR="00690530">
        <w:rPr>
          <w:rFonts w:ascii="Times New Roman" w:hAnsi="Times New Roman"/>
        </w:rPr>
        <w:t xml:space="preserve"> </w:t>
      </w:r>
    </w:p>
    <w:p w14:paraId="0A2A3236" w14:textId="1DE890EE" w:rsidR="00B31689" w:rsidRPr="00B31689" w:rsidRDefault="00B31689" w:rsidP="00B31689">
      <w:pPr>
        <w:rPr>
          <w:rFonts w:ascii="Times New Roman" w:hAnsi="Times New Roman"/>
        </w:rPr>
      </w:pPr>
    </w:p>
    <w:p w14:paraId="0FD4E942" w14:textId="6C176380" w:rsidR="00B31689" w:rsidRPr="00B31689" w:rsidRDefault="00B31689" w:rsidP="00C824AE">
      <w:pPr>
        <w:ind w:left="720" w:hanging="360"/>
        <w:rPr>
          <w:rFonts w:ascii="Times New Roman" w:hAnsi="Times New Roman"/>
        </w:rPr>
      </w:pPr>
      <w:r w:rsidRPr="00B31689">
        <w:rPr>
          <w:rFonts w:ascii="Times New Roman" w:hAnsi="Times New Roman"/>
        </w:rPr>
        <w:t>3)</w:t>
      </w:r>
      <w:r w:rsidRPr="00B31689">
        <w:rPr>
          <w:rFonts w:ascii="Times New Roman" w:hAnsi="Times New Roman"/>
        </w:rPr>
        <w:tab/>
        <w:t xml:space="preserve">Involvement of the </w:t>
      </w:r>
      <w:r w:rsidR="00D60C68">
        <w:rPr>
          <w:rFonts w:ascii="Times New Roman" w:hAnsi="Times New Roman"/>
        </w:rPr>
        <w:t>Company</w:t>
      </w:r>
      <w:r w:rsidR="000E147E" w:rsidRPr="00B31689">
        <w:rPr>
          <w:rFonts w:ascii="Times New Roman" w:hAnsi="Times New Roman"/>
        </w:rPr>
        <w:t xml:space="preserve">’s </w:t>
      </w:r>
      <w:r w:rsidRPr="00B31689">
        <w:rPr>
          <w:rFonts w:ascii="Times New Roman" w:hAnsi="Times New Roman"/>
        </w:rPr>
        <w:t xml:space="preserve">Board of Directors </w:t>
      </w:r>
      <w:r w:rsidR="00455570">
        <w:rPr>
          <w:rFonts w:ascii="Times New Roman" w:hAnsi="Times New Roman"/>
        </w:rPr>
        <w:t xml:space="preserve">– </w:t>
      </w:r>
      <w:r w:rsidR="00B17013">
        <w:rPr>
          <w:rFonts w:ascii="Times New Roman" w:hAnsi="Times New Roman"/>
        </w:rPr>
        <w:t xml:space="preserve">Since </w:t>
      </w:r>
      <w:r w:rsidR="001B1618">
        <w:rPr>
          <w:rFonts w:ascii="Times New Roman" w:hAnsi="Times New Roman"/>
        </w:rPr>
        <w:t>Pacific Power does not operate with a</w:t>
      </w:r>
      <w:r w:rsidR="00B17013">
        <w:rPr>
          <w:rFonts w:ascii="Times New Roman" w:hAnsi="Times New Roman"/>
        </w:rPr>
        <w:t xml:space="preserve"> formal board of directors, </w:t>
      </w:r>
      <w:r w:rsidR="006F0952">
        <w:rPr>
          <w:rFonts w:ascii="Times New Roman" w:hAnsi="Times New Roman"/>
        </w:rPr>
        <w:t>s</w:t>
      </w:r>
      <w:r w:rsidR="00B17013">
        <w:rPr>
          <w:rFonts w:ascii="Times New Roman" w:hAnsi="Times New Roman"/>
        </w:rPr>
        <w:t>taff generally applies a</w:t>
      </w:r>
      <w:r w:rsidR="00670E79">
        <w:rPr>
          <w:rFonts w:ascii="Times New Roman" w:hAnsi="Times New Roman"/>
        </w:rPr>
        <w:t xml:space="preserve"> reasonableness standard for the purposes of prudence.</w:t>
      </w:r>
      <w:r w:rsidR="00690530">
        <w:rPr>
          <w:rFonts w:ascii="Times New Roman" w:hAnsi="Times New Roman"/>
        </w:rPr>
        <w:t xml:space="preserve"> </w:t>
      </w:r>
      <w:r w:rsidR="00455570">
        <w:rPr>
          <w:rFonts w:ascii="Times New Roman" w:hAnsi="Times New Roman"/>
        </w:rPr>
        <w:t xml:space="preserve">The </w:t>
      </w:r>
      <w:r w:rsidR="00D60C68">
        <w:rPr>
          <w:rFonts w:ascii="Times New Roman" w:hAnsi="Times New Roman"/>
        </w:rPr>
        <w:t>Company</w:t>
      </w:r>
      <w:r w:rsidR="001B1618">
        <w:rPr>
          <w:rFonts w:ascii="Times New Roman" w:hAnsi="Times New Roman"/>
        </w:rPr>
        <w:t xml:space="preserve"> involved several key executives in the decision to purchases RECs for compliance and </w:t>
      </w:r>
      <w:r w:rsidR="00670E79">
        <w:rPr>
          <w:rFonts w:ascii="Times New Roman" w:hAnsi="Times New Roman"/>
        </w:rPr>
        <w:t>analyzed the business case for different options for compliance.</w:t>
      </w:r>
      <w:r w:rsidR="00690530">
        <w:rPr>
          <w:rFonts w:ascii="Times New Roman" w:hAnsi="Times New Roman"/>
        </w:rPr>
        <w:t xml:space="preserve"> </w:t>
      </w:r>
      <w:r w:rsidR="00024799">
        <w:rPr>
          <w:rFonts w:ascii="Times New Roman" w:hAnsi="Times New Roman"/>
        </w:rPr>
        <w:t xml:space="preserve">After reviewing internal communications, </w:t>
      </w:r>
      <w:r w:rsidR="006F0952">
        <w:rPr>
          <w:rFonts w:ascii="Times New Roman" w:hAnsi="Times New Roman"/>
        </w:rPr>
        <w:t>s</w:t>
      </w:r>
      <w:r w:rsidR="00024799">
        <w:rPr>
          <w:rFonts w:ascii="Times New Roman" w:hAnsi="Times New Roman"/>
        </w:rPr>
        <w:t xml:space="preserve">taff </w:t>
      </w:r>
      <w:r w:rsidR="00BA2B46">
        <w:rPr>
          <w:rFonts w:ascii="Times New Roman" w:hAnsi="Times New Roman"/>
        </w:rPr>
        <w:t>believes</w:t>
      </w:r>
      <w:r w:rsidR="00024799">
        <w:rPr>
          <w:rFonts w:ascii="Times New Roman" w:hAnsi="Times New Roman"/>
        </w:rPr>
        <w:t xml:space="preserve"> the REC purchases </w:t>
      </w:r>
      <w:r w:rsidR="00BA2B46">
        <w:rPr>
          <w:rFonts w:ascii="Times New Roman" w:hAnsi="Times New Roman"/>
        </w:rPr>
        <w:t xml:space="preserve">are </w:t>
      </w:r>
      <w:r w:rsidR="00024799">
        <w:rPr>
          <w:rFonts w:ascii="Times New Roman" w:hAnsi="Times New Roman"/>
        </w:rPr>
        <w:t>in line</w:t>
      </w:r>
      <w:r w:rsidR="00670E79">
        <w:rPr>
          <w:rFonts w:ascii="Times New Roman" w:hAnsi="Times New Roman"/>
        </w:rPr>
        <w:t xml:space="preserve"> with the actions of a reasonable board of directors.</w:t>
      </w:r>
      <w:r w:rsidR="00690530">
        <w:rPr>
          <w:rFonts w:ascii="Times New Roman" w:hAnsi="Times New Roman"/>
        </w:rPr>
        <w:t xml:space="preserve"> </w:t>
      </w:r>
    </w:p>
    <w:p w14:paraId="76053FD2" w14:textId="77777777" w:rsidR="00B31689" w:rsidRPr="00B31689" w:rsidRDefault="00B31689" w:rsidP="00B31689">
      <w:pPr>
        <w:rPr>
          <w:rFonts w:ascii="Times New Roman" w:hAnsi="Times New Roman"/>
        </w:rPr>
      </w:pPr>
    </w:p>
    <w:p w14:paraId="426E59FE" w14:textId="3CAFF5AC" w:rsidR="003968E7" w:rsidRDefault="00B31689" w:rsidP="000E147E">
      <w:pPr>
        <w:ind w:left="720" w:hanging="360"/>
        <w:rPr>
          <w:rFonts w:ascii="Times New Roman" w:hAnsi="Times New Roman"/>
        </w:rPr>
      </w:pPr>
      <w:r w:rsidRPr="00B31689">
        <w:rPr>
          <w:rFonts w:ascii="Times New Roman" w:hAnsi="Times New Roman"/>
        </w:rPr>
        <w:t>4)</w:t>
      </w:r>
      <w:r w:rsidRPr="00B31689">
        <w:rPr>
          <w:rFonts w:ascii="Times New Roman" w:hAnsi="Times New Roman"/>
        </w:rPr>
        <w:tab/>
        <w:t xml:space="preserve">Adequate Documentation </w:t>
      </w:r>
      <w:r w:rsidR="005426DF">
        <w:rPr>
          <w:rFonts w:ascii="Times New Roman" w:hAnsi="Times New Roman"/>
        </w:rPr>
        <w:t>–</w:t>
      </w:r>
      <w:r w:rsidRPr="00B31689">
        <w:rPr>
          <w:rFonts w:ascii="Times New Roman" w:hAnsi="Times New Roman"/>
        </w:rPr>
        <w:t xml:space="preserve"> </w:t>
      </w:r>
      <w:r w:rsidR="005426DF">
        <w:rPr>
          <w:rFonts w:ascii="Times New Roman" w:hAnsi="Times New Roman"/>
        </w:rPr>
        <w:t xml:space="preserve">The </w:t>
      </w:r>
      <w:r w:rsidR="00D60C68">
        <w:rPr>
          <w:rFonts w:ascii="Times New Roman" w:hAnsi="Times New Roman"/>
        </w:rPr>
        <w:t>Company</w:t>
      </w:r>
      <w:r w:rsidR="000E147E">
        <w:rPr>
          <w:rFonts w:ascii="Times New Roman" w:hAnsi="Times New Roman"/>
        </w:rPr>
        <w:t xml:space="preserve"> </w:t>
      </w:r>
      <w:r w:rsidR="00FC7408">
        <w:rPr>
          <w:rFonts w:ascii="Times New Roman" w:hAnsi="Times New Roman"/>
        </w:rPr>
        <w:t>responded</w:t>
      </w:r>
      <w:r w:rsidR="005426DF">
        <w:rPr>
          <w:rFonts w:ascii="Times New Roman" w:hAnsi="Times New Roman"/>
        </w:rPr>
        <w:t xml:space="preserve"> to several data requests along with information detailing its involvement of the </w:t>
      </w:r>
      <w:r w:rsidR="00D60C68">
        <w:rPr>
          <w:rFonts w:ascii="Times New Roman" w:hAnsi="Times New Roman"/>
        </w:rPr>
        <w:t>Company</w:t>
      </w:r>
      <w:r w:rsidR="000E147E">
        <w:rPr>
          <w:rFonts w:ascii="Times New Roman" w:hAnsi="Times New Roman"/>
        </w:rPr>
        <w:t xml:space="preserve">’s </w:t>
      </w:r>
      <w:r w:rsidR="005426DF">
        <w:rPr>
          <w:rFonts w:ascii="Times New Roman" w:hAnsi="Times New Roman"/>
        </w:rPr>
        <w:t>management, evaluation of alternatives through an RFP, and the need for the resource.</w:t>
      </w:r>
      <w:r w:rsidR="00690530">
        <w:rPr>
          <w:rFonts w:ascii="Times New Roman" w:hAnsi="Times New Roman"/>
        </w:rPr>
        <w:t xml:space="preserve"> </w:t>
      </w:r>
      <w:r w:rsidR="00BA2B46">
        <w:rPr>
          <w:rFonts w:ascii="Times New Roman" w:hAnsi="Times New Roman"/>
        </w:rPr>
        <w:t>Staff has reviewed these responses in relation to each of the other standards for prudency.</w:t>
      </w:r>
      <w:r w:rsidR="00690530">
        <w:rPr>
          <w:rFonts w:ascii="Times New Roman" w:hAnsi="Times New Roman"/>
        </w:rPr>
        <w:t xml:space="preserve"> </w:t>
      </w:r>
      <w:r w:rsidR="00BA2B46">
        <w:rPr>
          <w:rFonts w:ascii="Times New Roman" w:hAnsi="Times New Roman"/>
        </w:rPr>
        <w:t>Staff supports a finding of prudence for the purchase of these RECs.</w:t>
      </w:r>
      <w:r w:rsidR="00690530">
        <w:rPr>
          <w:rFonts w:ascii="Times New Roman" w:hAnsi="Times New Roman"/>
        </w:rPr>
        <w:t xml:space="preserve"> </w:t>
      </w:r>
    </w:p>
    <w:p w14:paraId="6100A85A" w14:textId="77777777" w:rsidR="00C15F64" w:rsidRDefault="00C15F64" w:rsidP="005426DF">
      <w:pPr>
        <w:rPr>
          <w:rFonts w:ascii="Times New Roman" w:hAnsi="Times New Roman"/>
        </w:rPr>
      </w:pPr>
    </w:p>
    <w:p w14:paraId="138B02DD" w14:textId="77777777" w:rsidR="002C4353" w:rsidRPr="002C4353" w:rsidRDefault="002C4353" w:rsidP="002C4353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Cost Recovery</w:t>
      </w:r>
    </w:p>
    <w:p w14:paraId="56F99AE5" w14:textId="0BC1AC26" w:rsidR="005426DF" w:rsidRPr="00C97954" w:rsidRDefault="00964226" w:rsidP="00542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Concurrent </w:t>
      </w:r>
      <w:r w:rsidR="002C4353">
        <w:rPr>
          <w:rFonts w:ascii="Times New Roman" w:hAnsi="Times New Roman"/>
        </w:rPr>
        <w:t xml:space="preserve">with the </w:t>
      </w:r>
      <w:r w:rsidR="00D60C68">
        <w:rPr>
          <w:rFonts w:ascii="Times New Roman" w:hAnsi="Times New Roman"/>
        </w:rPr>
        <w:t>Company</w:t>
      </w:r>
      <w:r w:rsidR="000E147E">
        <w:rPr>
          <w:rFonts w:ascii="Times New Roman" w:hAnsi="Times New Roman"/>
        </w:rPr>
        <w:t xml:space="preserve">’s </w:t>
      </w:r>
      <w:r w:rsidR="002C4353">
        <w:rPr>
          <w:rFonts w:ascii="Times New Roman" w:hAnsi="Times New Roman"/>
        </w:rPr>
        <w:t xml:space="preserve">procurement of </w:t>
      </w:r>
      <w:r w:rsidR="00012E21">
        <w:rPr>
          <w:rFonts w:ascii="Times New Roman" w:hAnsi="Times New Roman"/>
        </w:rPr>
        <w:t xml:space="preserve">the 2014 </w:t>
      </w:r>
      <w:r w:rsidR="00FC7408">
        <w:rPr>
          <w:rFonts w:ascii="Times New Roman" w:hAnsi="Times New Roman"/>
        </w:rPr>
        <w:t>Credits</w:t>
      </w:r>
      <w:r w:rsidR="002C4353">
        <w:rPr>
          <w:rFonts w:ascii="Times New Roman" w:hAnsi="Times New Roman"/>
        </w:rPr>
        <w:t xml:space="preserve">, Pacific Power was ordered by the </w:t>
      </w:r>
      <w:r w:rsidR="000E147E">
        <w:rPr>
          <w:rFonts w:ascii="Times New Roman" w:hAnsi="Times New Roman"/>
        </w:rPr>
        <w:t xml:space="preserve">commission </w:t>
      </w:r>
      <w:r w:rsidR="002C4353">
        <w:rPr>
          <w:rFonts w:ascii="Times New Roman" w:hAnsi="Times New Roman"/>
        </w:rPr>
        <w:t>to recover certain costs through a tracker mechanism in schedule 95.</w:t>
      </w:r>
      <w:r w:rsidR="002C4353">
        <w:rPr>
          <w:rStyle w:val="FootnoteReference"/>
          <w:rFonts w:ascii="Times New Roman" w:hAnsi="Times New Roman"/>
        </w:rPr>
        <w:footnoteReference w:id="7"/>
      </w:r>
      <w:r w:rsidR="002C4353">
        <w:rPr>
          <w:rFonts w:ascii="Times New Roman" w:hAnsi="Times New Roman"/>
        </w:rPr>
        <w:t xml:space="preserve"> The remaining balance in the tracker mechanism is </w:t>
      </w:r>
      <w:r w:rsidR="00C15F64">
        <w:rPr>
          <w:rFonts w:ascii="Times New Roman" w:hAnsi="Times New Roman"/>
        </w:rPr>
        <w:t>$898,851</w:t>
      </w:r>
      <w:r w:rsidR="002C4353">
        <w:rPr>
          <w:rFonts w:ascii="Times New Roman" w:hAnsi="Times New Roman"/>
        </w:rPr>
        <w:t xml:space="preserve"> and is expected to be fully amortized in March 2017. </w:t>
      </w:r>
      <w:r w:rsidR="00012E21">
        <w:rPr>
          <w:rFonts w:ascii="Times New Roman" w:hAnsi="Times New Roman"/>
        </w:rPr>
        <w:t xml:space="preserve">Adding an additional </w:t>
      </w:r>
      <w:r w:rsidR="00012E21" w:rsidRPr="00C824AE">
        <w:rPr>
          <w:rFonts w:ascii="Times New Roman" w:hAnsi="Times New Roman"/>
        </w:rPr>
        <w:t>$</w:t>
      </w:r>
      <w:r>
        <w:rPr>
          <w:rFonts w:ascii="Times New Roman" w:hAnsi="Times New Roman"/>
        </w:rPr>
        <w:t xml:space="preserve">432,137 </w:t>
      </w:r>
      <w:r w:rsidR="00012E21">
        <w:rPr>
          <w:rFonts w:ascii="Times New Roman" w:hAnsi="Times New Roman"/>
        </w:rPr>
        <w:t xml:space="preserve">related to the 2014 </w:t>
      </w:r>
      <w:r w:rsidR="00CF1C66">
        <w:rPr>
          <w:rFonts w:ascii="Times New Roman" w:hAnsi="Times New Roman"/>
        </w:rPr>
        <w:t>Credits</w:t>
      </w:r>
      <w:r w:rsidR="00012E21">
        <w:rPr>
          <w:rFonts w:ascii="Times New Roman" w:hAnsi="Times New Roman"/>
        </w:rPr>
        <w:t xml:space="preserve"> and the accumulating interest extends the </w:t>
      </w:r>
      <w:r w:rsidR="00F55779">
        <w:rPr>
          <w:rFonts w:ascii="Times New Roman" w:hAnsi="Times New Roman"/>
        </w:rPr>
        <w:t>ending date of Schedule 95</w:t>
      </w:r>
      <w:r w:rsidR="00012E21">
        <w:rPr>
          <w:rFonts w:ascii="Times New Roman" w:hAnsi="Times New Roman"/>
        </w:rPr>
        <w:t xml:space="preserve"> </w:t>
      </w:r>
      <w:r w:rsidR="00F55779">
        <w:rPr>
          <w:rFonts w:ascii="Times New Roman" w:hAnsi="Times New Roman"/>
        </w:rPr>
        <w:t>from March 2017 to June 2017</w:t>
      </w:r>
      <w:r w:rsidR="00012E21">
        <w:rPr>
          <w:rFonts w:ascii="Times New Roman" w:hAnsi="Times New Roman"/>
        </w:rPr>
        <w:t xml:space="preserve">. </w:t>
      </w:r>
      <w:r w:rsidR="00920EA3">
        <w:rPr>
          <w:rFonts w:ascii="Times New Roman" w:hAnsi="Times New Roman"/>
        </w:rPr>
        <w:t xml:space="preserve">Staff </w:t>
      </w:r>
      <w:r w:rsidR="00886D89">
        <w:rPr>
          <w:rFonts w:ascii="Times New Roman" w:hAnsi="Times New Roman"/>
        </w:rPr>
        <w:t>asserts that using the Schedule 95 mechanism is a</w:t>
      </w:r>
      <w:r w:rsidR="00920EA3">
        <w:rPr>
          <w:rFonts w:ascii="Times New Roman" w:hAnsi="Times New Roman"/>
        </w:rPr>
        <w:t xml:space="preserve"> reasonable </w:t>
      </w:r>
      <w:r w:rsidR="00886D89">
        <w:rPr>
          <w:rFonts w:ascii="Times New Roman" w:hAnsi="Times New Roman"/>
        </w:rPr>
        <w:t xml:space="preserve">way to grant </w:t>
      </w:r>
      <w:r w:rsidR="00920EA3">
        <w:rPr>
          <w:rFonts w:ascii="Times New Roman" w:hAnsi="Times New Roman"/>
        </w:rPr>
        <w:t xml:space="preserve">the </w:t>
      </w:r>
      <w:r w:rsidR="00D60C68">
        <w:rPr>
          <w:rFonts w:ascii="Times New Roman" w:hAnsi="Times New Roman"/>
        </w:rPr>
        <w:t>Company</w:t>
      </w:r>
      <w:r w:rsidR="006F0952">
        <w:rPr>
          <w:rFonts w:ascii="Times New Roman" w:hAnsi="Times New Roman"/>
        </w:rPr>
        <w:t xml:space="preserve"> </w:t>
      </w:r>
      <w:r w:rsidR="00920EA3">
        <w:rPr>
          <w:rFonts w:ascii="Times New Roman" w:hAnsi="Times New Roman"/>
        </w:rPr>
        <w:t xml:space="preserve">cost recovery while preventing any immediate </w:t>
      </w:r>
      <w:r w:rsidR="00886D89">
        <w:rPr>
          <w:rFonts w:ascii="Times New Roman" w:hAnsi="Times New Roman"/>
        </w:rPr>
        <w:t>change</w:t>
      </w:r>
      <w:r w:rsidR="00920EA3">
        <w:rPr>
          <w:rFonts w:ascii="Times New Roman" w:hAnsi="Times New Roman"/>
        </w:rPr>
        <w:t xml:space="preserve"> to rates for ratepayers.</w:t>
      </w:r>
      <w:r w:rsidR="00690530">
        <w:rPr>
          <w:rFonts w:ascii="Times New Roman" w:hAnsi="Times New Roman"/>
        </w:rPr>
        <w:t xml:space="preserve"> </w:t>
      </w:r>
    </w:p>
    <w:p w14:paraId="40B82F63" w14:textId="77777777" w:rsidR="007F7AA5" w:rsidRDefault="007F7AA5" w:rsidP="00943421">
      <w:pPr>
        <w:rPr>
          <w:rFonts w:ascii="Times New Roman" w:hAnsi="Times New Roman"/>
        </w:rPr>
      </w:pPr>
    </w:p>
    <w:p w14:paraId="6E2D975D" w14:textId="77777777" w:rsidR="003B18D4" w:rsidRPr="002D5A23" w:rsidRDefault="003B18D4" w:rsidP="00943421">
      <w:pPr>
        <w:rPr>
          <w:rFonts w:ascii="Times New Roman" w:hAnsi="Times New Roman"/>
          <w:b/>
          <w:u w:val="single"/>
        </w:rPr>
      </w:pPr>
      <w:r w:rsidRPr="002D5A23">
        <w:rPr>
          <w:rFonts w:ascii="Times New Roman" w:hAnsi="Times New Roman"/>
          <w:b/>
          <w:u w:val="single"/>
        </w:rPr>
        <w:t>Conclusion</w:t>
      </w:r>
    </w:p>
    <w:p w14:paraId="6614CE95" w14:textId="77777777" w:rsidR="003B18D4" w:rsidRDefault="003B18D4" w:rsidP="00943421">
      <w:pPr>
        <w:rPr>
          <w:rFonts w:ascii="Times New Roman" w:hAnsi="Times New Roman"/>
        </w:rPr>
      </w:pPr>
    </w:p>
    <w:p w14:paraId="47461773" w14:textId="1F3FC543" w:rsidR="006C001D" w:rsidRDefault="006C001D" w:rsidP="009434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has reviewed the accounting petition and recommends the </w:t>
      </w:r>
      <w:r w:rsidR="000E147E">
        <w:rPr>
          <w:rFonts w:ascii="Times New Roman" w:hAnsi="Times New Roman"/>
        </w:rPr>
        <w:t xml:space="preserve">commission </w:t>
      </w:r>
      <w:r>
        <w:rPr>
          <w:rFonts w:ascii="Times New Roman" w:hAnsi="Times New Roman"/>
        </w:rPr>
        <w:t xml:space="preserve">issue an order authorizing accounting treatment for the costs related to the purchase of the 2014 </w:t>
      </w:r>
      <w:r w:rsidR="00CF1C66">
        <w:rPr>
          <w:rFonts w:ascii="Times New Roman" w:hAnsi="Times New Roman"/>
        </w:rPr>
        <w:t>Credits</w:t>
      </w:r>
      <w:r>
        <w:rPr>
          <w:rFonts w:ascii="Times New Roman" w:hAnsi="Times New Roman"/>
        </w:rPr>
        <w:t xml:space="preserve">. Staff has reviewed these purchases and believes the costs related to the 2014 </w:t>
      </w:r>
      <w:r w:rsidR="00CF1C66">
        <w:rPr>
          <w:rFonts w:ascii="Times New Roman" w:hAnsi="Times New Roman"/>
        </w:rPr>
        <w:t>Credits</w:t>
      </w:r>
      <w:r>
        <w:rPr>
          <w:rFonts w:ascii="Times New Roman" w:hAnsi="Times New Roman"/>
        </w:rPr>
        <w:t xml:space="preserve"> to be prudently incurred.</w:t>
      </w:r>
      <w:r w:rsidR="00690530">
        <w:rPr>
          <w:rFonts w:ascii="Times New Roman" w:hAnsi="Times New Roman"/>
        </w:rPr>
        <w:t xml:space="preserve"> S</w:t>
      </w:r>
      <w:r w:rsidR="000E147E">
        <w:rPr>
          <w:rFonts w:ascii="Times New Roman" w:hAnsi="Times New Roman"/>
        </w:rPr>
        <w:t xml:space="preserve">taff </w:t>
      </w:r>
      <w:r>
        <w:rPr>
          <w:rFonts w:ascii="Times New Roman" w:hAnsi="Times New Roman"/>
        </w:rPr>
        <w:t xml:space="preserve">recommends the </w:t>
      </w:r>
      <w:r w:rsidR="000E147E">
        <w:rPr>
          <w:rFonts w:ascii="Times New Roman" w:hAnsi="Times New Roman"/>
        </w:rPr>
        <w:t xml:space="preserve">commission </w:t>
      </w:r>
      <w:r w:rsidR="00773B0D">
        <w:rPr>
          <w:rFonts w:ascii="Times New Roman" w:hAnsi="Times New Roman"/>
        </w:rPr>
        <w:t xml:space="preserve">authorize Pacific Power to </w:t>
      </w:r>
      <w:r w:rsidR="00FC7408">
        <w:rPr>
          <w:rFonts w:ascii="Times New Roman" w:hAnsi="Times New Roman"/>
        </w:rPr>
        <w:t xml:space="preserve">recover </w:t>
      </w:r>
      <w:r w:rsidR="00773B0D">
        <w:rPr>
          <w:rFonts w:ascii="Times New Roman" w:hAnsi="Times New Roman"/>
        </w:rPr>
        <w:t xml:space="preserve">the costs of the 2014 </w:t>
      </w:r>
      <w:r w:rsidR="00CF1C66">
        <w:rPr>
          <w:rFonts w:ascii="Times New Roman" w:hAnsi="Times New Roman"/>
        </w:rPr>
        <w:t>Credits</w:t>
      </w:r>
      <w:r w:rsidR="00690530">
        <w:rPr>
          <w:rFonts w:ascii="Times New Roman" w:hAnsi="Times New Roman"/>
        </w:rPr>
        <w:t xml:space="preserve"> </w:t>
      </w:r>
      <w:r w:rsidR="00773B0D">
        <w:rPr>
          <w:rFonts w:ascii="Times New Roman" w:hAnsi="Times New Roman"/>
        </w:rPr>
        <w:t>in rates through the Schedule 95 tracker mechanism.</w:t>
      </w:r>
      <w:r w:rsidR="00690530">
        <w:rPr>
          <w:rFonts w:ascii="Times New Roman" w:hAnsi="Times New Roman"/>
        </w:rPr>
        <w:t xml:space="preserve"> </w:t>
      </w:r>
    </w:p>
    <w:p w14:paraId="66FE7124" w14:textId="77777777" w:rsidR="003B18D4" w:rsidRDefault="003B18D4" w:rsidP="00943421">
      <w:pPr>
        <w:rPr>
          <w:rFonts w:ascii="Times New Roman" w:hAnsi="Times New Roman"/>
        </w:rPr>
      </w:pPr>
    </w:p>
    <w:p w14:paraId="4A474E2A" w14:textId="77777777" w:rsidR="003B18D4" w:rsidRDefault="003B18D4" w:rsidP="00943421">
      <w:pPr>
        <w:rPr>
          <w:rFonts w:ascii="Times New Roman" w:hAnsi="Times New Roman"/>
          <w:b/>
          <w:u w:val="single"/>
        </w:rPr>
      </w:pPr>
      <w:r w:rsidRPr="0038309B">
        <w:rPr>
          <w:rFonts w:ascii="Times New Roman" w:hAnsi="Times New Roman"/>
          <w:b/>
          <w:u w:val="single"/>
        </w:rPr>
        <w:t>Recommendation</w:t>
      </w:r>
    </w:p>
    <w:p w14:paraId="2C8E842A" w14:textId="77777777" w:rsidR="003B18D4" w:rsidRPr="0038309B" w:rsidRDefault="003B18D4" w:rsidP="00943421">
      <w:pPr>
        <w:rPr>
          <w:rFonts w:ascii="Times New Roman" w:hAnsi="Times New Roman"/>
          <w:b/>
          <w:u w:val="single"/>
        </w:rPr>
      </w:pPr>
    </w:p>
    <w:p w14:paraId="7271101A" w14:textId="77777777" w:rsidR="008D3C18" w:rsidRDefault="008D3C18" w:rsidP="008D3C18">
      <w:pPr>
        <w:rPr>
          <w:rFonts w:ascii="Times New Roman" w:hAnsi="Times New Roman"/>
        </w:rPr>
      </w:pPr>
      <w:r w:rsidRPr="002D5A23">
        <w:rPr>
          <w:rFonts w:ascii="Times New Roman" w:hAnsi="Times New Roman"/>
        </w:rPr>
        <w:t xml:space="preserve">Issue an Order </w:t>
      </w:r>
      <w:r>
        <w:rPr>
          <w:rFonts w:ascii="Times New Roman" w:hAnsi="Times New Roman"/>
        </w:rPr>
        <w:t>for the following:</w:t>
      </w:r>
    </w:p>
    <w:p w14:paraId="7683B545" w14:textId="77777777" w:rsidR="008D3C18" w:rsidRDefault="008D3C18" w:rsidP="008D3C18">
      <w:pPr>
        <w:rPr>
          <w:rFonts w:ascii="Times New Roman" w:hAnsi="Times New Roman"/>
        </w:rPr>
      </w:pPr>
    </w:p>
    <w:p w14:paraId="491E6B3B" w14:textId="024555D1" w:rsidR="00B57491" w:rsidRDefault="00B57491" w:rsidP="00C824AE">
      <w:pPr>
        <w:pStyle w:val="ListParagraph"/>
        <w:numPr>
          <w:ilvl w:val="0"/>
          <w:numId w:val="6"/>
        </w:numPr>
        <w:tabs>
          <w:tab w:val="left" w:pos="1080"/>
          <w:tab w:val="left" w:pos="144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D840B9">
        <w:rPr>
          <w:rFonts w:ascii="Times New Roman" w:hAnsi="Times New Roman"/>
        </w:rPr>
        <w:t>uthoriz</w:t>
      </w:r>
      <w:r>
        <w:rPr>
          <w:rFonts w:ascii="Times New Roman" w:hAnsi="Times New Roman"/>
        </w:rPr>
        <w:t>e</w:t>
      </w:r>
      <w:r w:rsidRPr="00D840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deferral of the</w:t>
      </w:r>
      <w:r w:rsidRPr="00D840B9">
        <w:rPr>
          <w:rFonts w:ascii="Times New Roman" w:hAnsi="Times New Roman"/>
        </w:rPr>
        <w:t xml:space="preserve"> costs to purchas</w:t>
      </w:r>
      <w:r>
        <w:rPr>
          <w:rFonts w:ascii="Times New Roman" w:hAnsi="Times New Roman"/>
        </w:rPr>
        <w:t>e</w:t>
      </w:r>
      <w:r w:rsidRPr="00D840B9">
        <w:rPr>
          <w:rFonts w:ascii="Times New Roman" w:hAnsi="Times New Roman"/>
        </w:rPr>
        <w:t xml:space="preserve"> Renewable Energy Certificates</w:t>
      </w:r>
      <w:r>
        <w:rPr>
          <w:rFonts w:ascii="Times New Roman" w:hAnsi="Times New Roman"/>
        </w:rPr>
        <w:t xml:space="preserve"> for 2014 (2014 Credits) in Account 182.3, Regulatory Assets</w:t>
      </w:r>
      <w:r w:rsidR="006F0952">
        <w:rPr>
          <w:rFonts w:ascii="Times New Roman" w:hAnsi="Times New Roman"/>
        </w:rPr>
        <w:t>.</w:t>
      </w:r>
    </w:p>
    <w:p w14:paraId="2F049C1D" w14:textId="38F9D8EA" w:rsidR="00B57491" w:rsidRDefault="00B57491" w:rsidP="00C824A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Find that the purchase of the 2014 Credits was prudent</w:t>
      </w:r>
      <w:r w:rsidR="006F0952">
        <w:rPr>
          <w:rFonts w:ascii="Times New Roman" w:hAnsi="Times New Roman"/>
        </w:rPr>
        <w:t>.</w:t>
      </w:r>
    </w:p>
    <w:p w14:paraId="588D9A7B" w14:textId="6B97D2BE" w:rsidR="008D3C18" w:rsidRPr="00D840B9" w:rsidRDefault="00B57491" w:rsidP="00C824A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Authorize the recovery of the cost of the 2014 Credits in Schedule 95.</w:t>
      </w:r>
      <w:r w:rsidR="00690530">
        <w:rPr>
          <w:rFonts w:ascii="Times New Roman" w:hAnsi="Times New Roman"/>
        </w:rPr>
        <w:t xml:space="preserve"> </w:t>
      </w:r>
    </w:p>
    <w:sectPr w:rsidR="008D3C18" w:rsidRPr="00D840B9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F44DE" w14:textId="77777777" w:rsidR="00FA3DD4" w:rsidRDefault="00FA3DD4" w:rsidP="003B18D4">
      <w:r>
        <w:separator/>
      </w:r>
    </w:p>
  </w:endnote>
  <w:endnote w:type="continuationSeparator" w:id="0">
    <w:p w14:paraId="18A993AA" w14:textId="77777777" w:rsidR="00FA3DD4" w:rsidRDefault="00FA3DD4" w:rsidP="003B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B7D86" w14:textId="77777777" w:rsidR="00FA3DD4" w:rsidRDefault="00FA3DD4" w:rsidP="003B18D4">
      <w:r>
        <w:separator/>
      </w:r>
    </w:p>
  </w:footnote>
  <w:footnote w:type="continuationSeparator" w:id="0">
    <w:p w14:paraId="4820A692" w14:textId="77777777" w:rsidR="00FA3DD4" w:rsidRDefault="00FA3DD4" w:rsidP="003B18D4">
      <w:r>
        <w:continuationSeparator/>
      </w:r>
    </w:p>
  </w:footnote>
  <w:footnote w:id="1">
    <w:p w14:paraId="64124C9B" w14:textId="77777777" w:rsidR="00A34DD6" w:rsidRPr="00A34DD6" w:rsidRDefault="00A34DD6" w:rsidP="00A34DD6">
      <w:pPr>
        <w:pStyle w:val="FootnoteText"/>
        <w:rPr>
          <w:rFonts w:ascii="Times New Roman" w:hAnsi="Times New Roman"/>
        </w:rPr>
      </w:pPr>
      <w:r w:rsidRPr="00A34DD6">
        <w:rPr>
          <w:rStyle w:val="FootnoteReference"/>
          <w:rFonts w:ascii="Times New Roman" w:hAnsi="Times New Roman"/>
        </w:rPr>
        <w:footnoteRef/>
      </w:r>
      <w:r w:rsidRPr="00A34DD6">
        <w:rPr>
          <w:rFonts w:ascii="Times New Roman" w:hAnsi="Times New Roman"/>
        </w:rPr>
        <w:t xml:space="preserve"> RCW Chapter 19.285.</w:t>
      </w:r>
    </w:p>
  </w:footnote>
  <w:footnote w:id="2">
    <w:p w14:paraId="2D11D251" w14:textId="77777777" w:rsidR="00A34DD6" w:rsidRPr="00A34DD6" w:rsidRDefault="00A34DD6" w:rsidP="00A34DD6">
      <w:pPr>
        <w:pStyle w:val="FootnoteText"/>
        <w:rPr>
          <w:rFonts w:ascii="Times New Roman" w:hAnsi="Times New Roman"/>
        </w:rPr>
      </w:pPr>
      <w:r w:rsidRPr="00A34DD6">
        <w:rPr>
          <w:rStyle w:val="FootnoteReference"/>
          <w:rFonts w:ascii="Times New Roman" w:hAnsi="Times New Roman"/>
        </w:rPr>
        <w:footnoteRef/>
      </w:r>
      <w:r w:rsidRPr="00A34DD6">
        <w:rPr>
          <w:rFonts w:ascii="Times New Roman" w:hAnsi="Times New Roman"/>
        </w:rPr>
        <w:t xml:space="preserve"> RCW 19.285.060(6).</w:t>
      </w:r>
    </w:p>
  </w:footnote>
  <w:footnote w:id="3">
    <w:p w14:paraId="10394478" w14:textId="77777777" w:rsidR="00A34DD6" w:rsidRPr="00A34DD6" w:rsidRDefault="00A34DD6" w:rsidP="00A34DD6">
      <w:pPr>
        <w:pStyle w:val="FootnoteText"/>
        <w:rPr>
          <w:rFonts w:ascii="Times New Roman" w:hAnsi="Times New Roman"/>
        </w:rPr>
      </w:pPr>
      <w:r w:rsidRPr="00A34DD6">
        <w:rPr>
          <w:rStyle w:val="FootnoteReference"/>
          <w:rFonts w:ascii="Times New Roman" w:hAnsi="Times New Roman"/>
        </w:rPr>
        <w:footnoteRef/>
      </w:r>
      <w:r w:rsidRPr="00A34DD6">
        <w:rPr>
          <w:rFonts w:ascii="Times New Roman" w:hAnsi="Times New Roman"/>
        </w:rPr>
        <w:t xml:space="preserve"> More information about these criteria can be found in Order 9 of Docket UE-111048 at ¶409.</w:t>
      </w:r>
    </w:p>
  </w:footnote>
  <w:footnote w:id="4">
    <w:p w14:paraId="75246F41" w14:textId="365C3202" w:rsidR="00466469" w:rsidRPr="004B2A99" w:rsidRDefault="00466469" w:rsidP="00455570">
      <w:pPr>
        <w:pStyle w:val="FootnoteText"/>
        <w:ind w:left="90" w:hanging="90"/>
        <w:rPr>
          <w:rFonts w:ascii="Times New Roman" w:hAnsi="Times New Roman"/>
        </w:rPr>
      </w:pPr>
      <w:r w:rsidRPr="004B2A99">
        <w:rPr>
          <w:rStyle w:val="FootnoteReference"/>
          <w:rFonts w:ascii="Times New Roman" w:hAnsi="Times New Roman"/>
        </w:rPr>
        <w:footnoteRef/>
      </w:r>
      <w:r w:rsidRPr="004B2A99">
        <w:rPr>
          <w:rFonts w:ascii="Times New Roman" w:hAnsi="Times New Roman"/>
        </w:rPr>
        <w:t xml:space="preserve"> </w:t>
      </w:r>
      <w:r w:rsidR="005E1A2C">
        <w:rPr>
          <w:rFonts w:ascii="Times New Roman" w:hAnsi="Times New Roman"/>
        </w:rPr>
        <w:t>A Company’s annual requirement is determined through a filing in June of each year.</w:t>
      </w:r>
      <w:r w:rsidR="00690530">
        <w:rPr>
          <w:rFonts w:ascii="Times New Roman" w:hAnsi="Times New Roman"/>
        </w:rPr>
        <w:t xml:space="preserve"> </w:t>
      </w:r>
      <w:r w:rsidRPr="004B2A99">
        <w:rPr>
          <w:rFonts w:ascii="Times New Roman" w:hAnsi="Times New Roman"/>
        </w:rPr>
        <w:t>Reports are filed per WAC 480-109-210. The company’s yearly reports are filed under the following dockets: 2012 – UE-120813; 2013 – UE-131063; 2014 – UE-140802; 2015 – UE-151162; 2016 – UE-160777.</w:t>
      </w:r>
    </w:p>
  </w:footnote>
  <w:footnote w:id="5">
    <w:p w14:paraId="00047522" w14:textId="3A7CA841" w:rsidR="00A34DD6" w:rsidRPr="00A34DD6" w:rsidRDefault="00A34DD6" w:rsidP="00A34DD6">
      <w:pPr>
        <w:pStyle w:val="FootnoteText"/>
        <w:rPr>
          <w:rFonts w:ascii="Times New Roman" w:hAnsi="Times New Roman"/>
        </w:rPr>
      </w:pPr>
      <w:r w:rsidRPr="00A34DD6">
        <w:rPr>
          <w:rStyle w:val="FootnoteReference"/>
          <w:rFonts w:ascii="Times New Roman" w:hAnsi="Times New Roman"/>
        </w:rPr>
        <w:footnoteRef/>
      </w:r>
      <w:r w:rsidRPr="00A34DD6">
        <w:rPr>
          <w:rFonts w:ascii="Times New Roman" w:hAnsi="Times New Roman"/>
        </w:rPr>
        <w:t xml:space="preserve"> For </w:t>
      </w:r>
      <w:r w:rsidR="00B5337D">
        <w:rPr>
          <w:rFonts w:ascii="Times New Roman" w:hAnsi="Times New Roman"/>
        </w:rPr>
        <w:t>Commission</w:t>
      </w:r>
      <w:r w:rsidRPr="00A34DD6">
        <w:rPr>
          <w:rFonts w:ascii="Times New Roman" w:hAnsi="Times New Roman"/>
        </w:rPr>
        <w:t xml:space="preserve"> orders regarding REC sales, and for Pacific Power’s yearly REC sale filings, see Docket UE-100749.</w:t>
      </w:r>
    </w:p>
  </w:footnote>
  <w:footnote w:id="6">
    <w:p w14:paraId="2B224FA9" w14:textId="77777777" w:rsidR="00A34DD6" w:rsidRPr="00A34DD6" w:rsidRDefault="00A34DD6" w:rsidP="00A34DD6">
      <w:pPr>
        <w:pStyle w:val="FootnoteText"/>
        <w:rPr>
          <w:rFonts w:ascii="Times New Roman" w:hAnsi="Times New Roman"/>
        </w:rPr>
      </w:pPr>
      <w:r w:rsidRPr="00A34DD6">
        <w:rPr>
          <w:rStyle w:val="FootnoteReference"/>
          <w:rFonts w:ascii="Times New Roman" w:hAnsi="Times New Roman"/>
        </w:rPr>
        <w:footnoteRef/>
      </w:r>
      <w:r w:rsidRPr="00A34DD6">
        <w:rPr>
          <w:rFonts w:ascii="Times New Roman" w:hAnsi="Times New Roman"/>
        </w:rPr>
        <w:t xml:space="preserve"> PacifiCorp 2013 IRP Update, filed 3/14/2014 under Docket UE-120416.</w:t>
      </w:r>
    </w:p>
  </w:footnote>
  <w:footnote w:id="7">
    <w:p w14:paraId="6DC9DAA3" w14:textId="5EE5FCA0" w:rsidR="00FA3DD4" w:rsidRPr="00A34DD6" w:rsidRDefault="00FA3DD4" w:rsidP="006C20E8">
      <w:pPr>
        <w:pStyle w:val="FootnoteText"/>
        <w:rPr>
          <w:rFonts w:ascii="Times New Roman" w:hAnsi="Times New Roman"/>
        </w:rPr>
      </w:pPr>
      <w:r w:rsidRPr="00A34DD6">
        <w:rPr>
          <w:rStyle w:val="FootnoteReference"/>
          <w:rFonts w:ascii="Times New Roman" w:hAnsi="Times New Roman"/>
        </w:rPr>
        <w:footnoteRef/>
      </w:r>
      <w:r w:rsidRPr="00A34DD6">
        <w:rPr>
          <w:rFonts w:ascii="Times New Roman" w:hAnsi="Times New Roman"/>
        </w:rPr>
        <w:t xml:space="preserve"> These costs were related to the over-crediting of revenues from the sales of </w:t>
      </w:r>
      <w:r w:rsidR="00964226">
        <w:rPr>
          <w:rFonts w:ascii="Times New Roman" w:hAnsi="Times New Roman"/>
        </w:rPr>
        <w:t>REC revenues</w:t>
      </w:r>
      <w:r w:rsidR="008447DC" w:rsidRPr="00A34DD6">
        <w:rPr>
          <w:rFonts w:ascii="Times New Roman" w:hAnsi="Times New Roman"/>
        </w:rPr>
        <w:t xml:space="preserve"> </w:t>
      </w:r>
      <w:r w:rsidRPr="00A34DD6">
        <w:rPr>
          <w:rFonts w:ascii="Times New Roman" w:hAnsi="Times New Roman"/>
        </w:rPr>
        <w:t>prior to 2014</w:t>
      </w:r>
      <w:r w:rsidR="008447DC">
        <w:rPr>
          <w:rFonts w:ascii="Times New Roman" w:hAnsi="Times New Roman"/>
        </w:rPr>
        <w:t xml:space="preserve">, </w:t>
      </w:r>
      <w:r w:rsidR="008447DC" w:rsidRPr="00A34DD6">
        <w:rPr>
          <w:rFonts w:ascii="Times New Roman" w:hAnsi="Times New Roman"/>
        </w:rPr>
        <w:t>see Docket UE-100749.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DC33A" w14:textId="77777777" w:rsidR="00FA3DD4" w:rsidRPr="00082D5F" w:rsidRDefault="00FA3DD4">
    <w:pPr>
      <w:pStyle w:val="Header"/>
      <w:rPr>
        <w:rFonts w:ascii="Times New Roman" w:hAnsi="Times New Roman"/>
        <w:sz w:val="20"/>
        <w:szCs w:val="20"/>
      </w:rPr>
    </w:pPr>
    <w:r w:rsidRPr="00082D5F">
      <w:rPr>
        <w:rFonts w:ascii="Times New Roman" w:hAnsi="Times New Roman"/>
        <w:sz w:val="20"/>
        <w:szCs w:val="20"/>
      </w:rPr>
      <w:t>DOCKET UE-143915</w:t>
    </w:r>
  </w:p>
  <w:p w14:paraId="0DB78534" w14:textId="5B16711B" w:rsidR="00FA3DD4" w:rsidRPr="00082D5F" w:rsidRDefault="000F450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December 22, 2016</w:t>
    </w:r>
  </w:p>
  <w:p w14:paraId="547DDC67" w14:textId="77777777" w:rsidR="00FA3DD4" w:rsidRPr="00082D5F" w:rsidRDefault="00FA3DD4">
    <w:pPr>
      <w:pStyle w:val="Header"/>
      <w:rPr>
        <w:rStyle w:val="PageNumber"/>
        <w:rFonts w:ascii="Times New Roman" w:hAnsi="Times New Roman"/>
        <w:sz w:val="20"/>
        <w:szCs w:val="20"/>
      </w:rPr>
    </w:pPr>
    <w:r w:rsidRPr="00082D5F">
      <w:rPr>
        <w:rFonts w:ascii="Times New Roman" w:hAnsi="Times New Roman"/>
        <w:sz w:val="20"/>
        <w:szCs w:val="20"/>
      </w:rPr>
      <w:t xml:space="preserve">Page </w:t>
    </w:r>
    <w:r w:rsidRPr="00082D5F">
      <w:rPr>
        <w:rStyle w:val="PageNumber"/>
        <w:rFonts w:ascii="Times New Roman" w:hAnsi="Times New Roman"/>
        <w:sz w:val="20"/>
        <w:szCs w:val="20"/>
      </w:rPr>
      <w:fldChar w:fldCharType="begin"/>
    </w:r>
    <w:r w:rsidRPr="00082D5F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082D5F">
      <w:rPr>
        <w:rStyle w:val="PageNumber"/>
        <w:rFonts w:ascii="Times New Roman" w:hAnsi="Times New Roman"/>
        <w:sz w:val="20"/>
        <w:szCs w:val="20"/>
      </w:rPr>
      <w:fldChar w:fldCharType="separate"/>
    </w:r>
    <w:r w:rsidR="00000BC1">
      <w:rPr>
        <w:rStyle w:val="PageNumber"/>
        <w:rFonts w:ascii="Times New Roman" w:hAnsi="Times New Roman"/>
        <w:noProof/>
        <w:sz w:val="20"/>
        <w:szCs w:val="20"/>
      </w:rPr>
      <w:t>2</w:t>
    </w:r>
    <w:r w:rsidRPr="00082D5F">
      <w:rPr>
        <w:rStyle w:val="PageNumber"/>
        <w:rFonts w:ascii="Times New Roman" w:hAnsi="Times New Roman"/>
        <w:sz w:val="20"/>
        <w:szCs w:val="20"/>
      </w:rPr>
      <w:fldChar w:fldCharType="end"/>
    </w:r>
  </w:p>
  <w:p w14:paraId="7B7D4450" w14:textId="77777777" w:rsidR="00FA3DD4" w:rsidRDefault="00FA3DD4">
    <w:pPr>
      <w:pStyle w:val="Header"/>
      <w:rPr>
        <w:rStyle w:val="PageNumber"/>
        <w:sz w:val="20"/>
      </w:rPr>
    </w:pPr>
  </w:p>
  <w:p w14:paraId="0FB2BCA8" w14:textId="77777777" w:rsidR="00FA3DD4" w:rsidRDefault="00FA3DD4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E64"/>
    <w:multiLevelType w:val="hybridMultilevel"/>
    <w:tmpl w:val="47889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7D4E"/>
    <w:multiLevelType w:val="hybridMultilevel"/>
    <w:tmpl w:val="A0127A7E"/>
    <w:lvl w:ilvl="0" w:tplc="FF644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B31FF"/>
    <w:multiLevelType w:val="hybridMultilevel"/>
    <w:tmpl w:val="A0127A7E"/>
    <w:lvl w:ilvl="0" w:tplc="FF644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86DB7"/>
    <w:multiLevelType w:val="hybridMultilevel"/>
    <w:tmpl w:val="9D5EB8FA"/>
    <w:lvl w:ilvl="0" w:tplc="FF644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A85D4F"/>
    <w:multiLevelType w:val="hybridMultilevel"/>
    <w:tmpl w:val="9D5EB8FA"/>
    <w:lvl w:ilvl="0" w:tplc="FF644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030C50"/>
    <w:multiLevelType w:val="hybridMultilevel"/>
    <w:tmpl w:val="9D5EB8FA"/>
    <w:lvl w:ilvl="0" w:tplc="FF644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4A"/>
    <w:rsid w:val="00000BC1"/>
    <w:rsid w:val="00012E21"/>
    <w:rsid w:val="00015CD8"/>
    <w:rsid w:val="00016D8C"/>
    <w:rsid w:val="00024799"/>
    <w:rsid w:val="00036F57"/>
    <w:rsid w:val="000375DF"/>
    <w:rsid w:val="00082D5F"/>
    <w:rsid w:val="000B2E57"/>
    <w:rsid w:val="000E147E"/>
    <w:rsid w:val="000F4501"/>
    <w:rsid w:val="001177EB"/>
    <w:rsid w:val="00171293"/>
    <w:rsid w:val="001815BF"/>
    <w:rsid w:val="001B1618"/>
    <w:rsid w:val="001E7FD4"/>
    <w:rsid w:val="00212A81"/>
    <w:rsid w:val="00214850"/>
    <w:rsid w:val="002C0808"/>
    <w:rsid w:val="002C4353"/>
    <w:rsid w:val="002E4967"/>
    <w:rsid w:val="00344CF2"/>
    <w:rsid w:val="003968E7"/>
    <w:rsid w:val="003A48EE"/>
    <w:rsid w:val="003B0FB2"/>
    <w:rsid w:val="003B18D4"/>
    <w:rsid w:val="003B29BD"/>
    <w:rsid w:val="0041028B"/>
    <w:rsid w:val="00411EBD"/>
    <w:rsid w:val="00447179"/>
    <w:rsid w:val="00455570"/>
    <w:rsid w:val="00466469"/>
    <w:rsid w:val="004B1C1D"/>
    <w:rsid w:val="005300FD"/>
    <w:rsid w:val="005426DF"/>
    <w:rsid w:val="00547B3C"/>
    <w:rsid w:val="005540BB"/>
    <w:rsid w:val="00574050"/>
    <w:rsid w:val="005E1A2C"/>
    <w:rsid w:val="00604CA7"/>
    <w:rsid w:val="00621CB7"/>
    <w:rsid w:val="00670E79"/>
    <w:rsid w:val="00690530"/>
    <w:rsid w:val="006A5CD3"/>
    <w:rsid w:val="006C001D"/>
    <w:rsid w:val="006C20E8"/>
    <w:rsid w:val="006E01FC"/>
    <w:rsid w:val="006F0952"/>
    <w:rsid w:val="00704CCB"/>
    <w:rsid w:val="00705A3D"/>
    <w:rsid w:val="00767EF3"/>
    <w:rsid w:val="00773B0D"/>
    <w:rsid w:val="00776C45"/>
    <w:rsid w:val="0077730D"/>
    <w:rsid w:val="00793217"/>
    <w:rsid w:val="007F7AA5"/>
    <w:rsid w:val="00821E0A"/>
    <w:rsid w:val="008447DC"/>
    <w:rsid w:val="008729F6"/>
    <w:rsid w:val="00886D89"/>
    <w:rsid w:val="008D3C18"/>
    <w:rsid w:val="00911C7E"/>
    <w:rsid w:val="00920EA3"/>
    <w:rsid w:val="00943421"/>
    <w:rsid w:val="00964226"/>
    <w:rsid w:val="009A1F07"/>
    <w:rsid w:val="009A276E"/>
    <w:rsid w:val="009A7240"/>
    <w:rsid w:val="00A34DD6"/>
    <w:rsid w:val="00A36031"/>
    <w:rsid w:val="00A36734"/>
    <w:rsid w:val="00A64EFE"/>
    <w:rsid w:val="00AB25BC"/>
    <w:rsid w:val="00B03AE8"/>
    <w:rsid w:val="00B03CEA"/>
    <w:rsid w:val="00B17013"/>
    <w:rsid w:val="00B22488"/>
    <w:rsid w:val="00B31689"/>
    <w:rsid w:val="00B415B6"/>
    <w:rsid w:val="00B5337D"/>
    <w:rsid w:val="00B57491"/>
    <w:rsid w:val="00BA2B46"/>
    <w:rsid w:val="00BB6915"/>
    <w:rsid w:val="00C15F64"/>
    <w:rsid w:val="00C24AF7"/>
    <w:rsid w:val="00C4410F"/>
    <w:rsid w:val="00C568E5"/>
    <w:rsid w:val="00C8003D"/>
    <w:rsid w:val="00C824AE"/>
    <w:rsid w:val="00C90501"/>
    <w:rsid w:val="00C963CF"/>
    <w:rsid w:val="00C97954"/>
    <w:rsid w:val="00CA14EC"/>
    <w:rsid w:val="00CB447F"/>
    <w:rsid w:val="00CD0076"/>
    <w:rsid w:val="00CF1C66"/>
    <w:rsid w:val="00D1354A"/>
    <w:rsid w:val="00D60C68"/>
    <w:rsid w:val="00D60EB1"/>
    <w:rsid w:val="00D65660"/>
    <w:rsid w:val="00D840B9"/>
    <w:rsid w:val="00DA6183"/>
    <w:rsid w:val="00E17EC4"/>
    <w:rsid w:val="00E248C5"/>
    <w:rsid w:val="00E27E9B"/>
    <w:rsid w:val="00E9235C"/>
    <w:rsid w:val="00EB4AD1"/>
    <w:rsid w:val="00ED03FB"/>
    <w:rsid w:val="00EF4A81"/>
    <w:rsid w:val="00F250B5"/>
    <w:rsid w:val="00F55779"/>
    <w:rsid w:val="00F62414"/>
    <w:rsid w:val="00F82298"/>
    <w:rsid w:val="00F92C8C"/>
    <w:rsid w:val="00FA3DD4"/>
    <w:rsid w:val="00FB6530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E75C"/>
  <w15:docId w15:val="{A7243F0C-83B6-460C-9E05-C1FEE817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D4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18D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3B18D4"/>
  </w:style>
  <w:style w:type="paragraph" w:styleId="FootnoteText">
    <w:name w:val="footnote text"/>
    <w:basedOn w:val="Normal"/>
    <w:link w:val="FootnoteTextChar"/>
    <w:rsid w:val="003B18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18D4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B18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D840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050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050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5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0F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217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2016-12-22T08:00:00+00:00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143915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643C80764D77488DCA1FD348992143" ma:contentTypeVersion="175" ma:contentTypeDescription="" ma:contentTypeScope="" ma:versionID="d8c0892425b90bd33573e1b0dbe1f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11B3EB-E14D-43DD-9727-2757BD701277}">
  <ds:schemaRefs>
    <ds:schemaRef ds:uri="http://purl.org/dc/dcmitype/"/>
    <ds:schemaRef ds:uri="http://schemas.openxmlformats.org/package/2006/metadata/core-properties"/>
    <ds:schemaRef ds:uri="http://purl.org/dc/elements/1.1/"/>
    <ds:schemaRef ds:uri="751276d0-61bc-4dad-b75c-21dfd12630ad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35B63BF-1577-4819-83DB-D7201CA24EE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DCA7F3-39B3-4CA8-88F6-26ABDD6D0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86AE6-25CE-4433-975B-8EA553B0ECFA}"/>
</file>

<file path=customXml/itemProps4.xml><?xml version="1.0" encoding="utf-8"?>
<ds:datastoreItem xmlns:ds="http://schemas.openxmlformats.org/officeDocument/2006/customXml" ds:itemID="{A50004FB-6017-49BA-A1DC-26379C7B31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6F63E5-15E6-4C40-8404-B1F475F48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UE-143915 Memo</vt:lpstr>
    </vt:vector>
  </TitlesOfParts>
  <Company>Washington Utilities and Transportation Commission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UE-143915 Memo</dc:title>
  <dc:creator>Jason Ball</dc:creator>
  <cp:lastModifiedBy>Wyse, Lisa (UTC)</cp:lastModifiedBy>
  <cp:revision>2</cp:revision>
  <dcterms:created xsi:type="dcterms:W3CDTF">2016-12-19T23:34:00Z</dcterms:created>
  <dcterms:modified xsi:type="dcterms:W3CDTF">2016-12-19T23:34:00Z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0x0101006E56B4D1795A2E4DB2F0B01679ED314A00B9643C80764D77488DCA1FD348992143</vt:lpwstr>
  </property>
  <property fmtid="{D5CDD505-2E9C-101B-9397-08002B2CF9AE}" pid="3" name="_docset_NoMedatataSyncRequired">
    <vt:lpwstr>False</vt:lpwstr>
  </property>
</Properties>
</file>