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A85B4" w14:textId="77777777" w:rsidR="007832F0" w:rsidRDefault="007832F0" w:rsidP="00961458">
      <w:pPr>
        <w:spacing w:line="264" w:lineRule="auto"/>
        <w:jc w:val="center"/>
        <w:rPr>
          <w:b/>
          <w:bCs/>
          <w:sz w:val="25"/>
          <w:szCs w:val="25"/>
        </w:rPr>
      </w:pPr>
      <w:r>
        <w:rPr>
          <w:b/>
          <w:bCs/>
          <w:sz w:val="25"/>
          <w:szCs w:val="25"/>
        </w:rPr>
        <w:t xml:space="preserve">BEFORE THE WASHINGTON </w:t>
      </w:r>
    </w:p>
    <w:p w14:paraId="62D7FFBD" w14:textId="77777777" w:rsidR="007832F0" w:rsidRDefault="007832F0" w:rsidP="00961458">
      <w:pPr>
        <w:spacing w:line="264" w:lineRule="auto"/>
        <w:jc w:val="center"/>
        <w:rPr>
          <w:b/>
          <w:bCs/>
          <w:sz w:val="25"/>
          <w:szCs w:val="25"/>
        </w:rPr>
      </w:pPr>
      <w:r>
        <w:rPr>
          <w:b/>
          <w:bCs/>
          <w:sz w:val="25"/>
          <w:szCs w:val="25"/>
        </w:rPr>
        <w:t>UTILITIES AND TRANSPORTATION COMMISSION</w:t>
      </w:r>
    </w:p>
    <w:p w14:paraId="137ADC18" w14:textId="77777777" w:rsidR="009B0EBA" w:rsidRDefault="009B0EBA" w:rsidP="00961458">
      <w:pPr>
        <w:spacing w:line="264" w:lineRule="auto"/>
        <w:jc w:val="center"/>
        <w:rPr>
          <w:b/>
          <w:bCs/>
          <w:sz w:val="25"/>
          <w:szCs w:val="25"/>
        </w:rPr>
      </w:pPr>
    </w:p>
    <w:tbl>
      <w:tblPr>
        <w:tblW w:w="8910" w:type="dxa"/>
        <w:tblBorders>
          <w:insideH w:val="single" w:sz="4" w:space="0" w:color="auto"/>
        </w:tblBorders>
        <w:tblLayout w:type="fixed"/>
        <w:tblLook w:val="0000" w:firstRow="0" w:lastRow="0" w:firstColumn="0" w:lastColumn="0" w:noHBand="0" w:noVBand="0"/>
      </w:tblPr>
      <w:tblGrid>
        <w:gridCol w:w="8910"/>
      </w:tblGrid>
      <w:tr w:rsidR="00961458" w:rsidRPr="00EA66A8" w14:paraId="764241B1" w14:textId="77777777" w:rsidTr="00961458">
        <w:tc>
          <w:tcPr>
            <w:tcW w:w="8910" w:type="dxa"/>
          </w:tcPr>
          <w:tbl>
            <w:tblPr>
              <w:tblW w:w="8572" w:type="dxa"/>
              <w:tblBorders>
                <w:insideH w:val="single" w:sz="4" w:space="0" w:color="auto"/>
              </w:tblBorders>
              <w:tblLayout w:type="fixed"/>
              <w:tblLook w:val="0000" w:firstRow="0" w:lastRow="0" w:firstColumn="0" w:lastColumn="0" w:noHBand="0" w:noVBand="0"/>
            </w:tblPr>
            <w:tblGrid>
              <w:gridCol w:w="4392"/>
              <w:gridCol w:w="360"/>
              <w:gridCol w:w="3820"/>
            </w:tblGrid>
            <w:tr w:rsidR="00961458" w:rsidRPr="00E41827" w14:paraId="16EEABC2" w14:textId="77777777" w:rsidTr="00A03814">
              <w:tc>
                <w:tcPr>
                  <w:tcW w:w="4392" w:type="dxa"/>
                </w:tcPr>
                <w:p w14:paraId="6B5A3472" w14:textId="77777777" w:rsidR="00961458" w:rsidRPr="00E41827" w:rsidRDefault="00961458" w:rsidP="00961458">
                  <w:pPr>
                    <w:keepLines/>
                    <w:spacing w:line="264" w:lineRule="auto"/>
                    <w:rPr>
                      <w:sz w:val="25"/>
                      <w:szCs w:val="25"/>
                    </w:rPr>
                  </w:pPr>
                </w:p>
                <w:p w14:paraId="7E9AEE4C" w14:textId="77777777" w:rsidR="00961458" w:rsidRPr="00E41827" w:rsidRDefault="00961458" w:rsidP="00961458">
                  <w:pPr>
                    <w:keepLines/>
                    <w:spacing w:line="264" w:lineRule="auto"/>
                    <w:rPr>
                      <w:sz w:val="25"/>
                      <w:szCs w:val="25"/>
                    </w:rPr>
                  </w:pPr>
                  <w:r w:rsidRPr="00E41827">
                    <w:rPr>
                      <w:caps/>
                      <w:sz w:val="25"/>
                      <w:szCs w:val="25"/>
                    </w:rPr>
                    <w:t>Washington Utilities and Transportation Commission</w:t>
                  </w:r>
                  <w:r w:rsidRPr="00E41827">
                    <w:rPr>
                      <w:sz w:val="25"/>
                      <w:szCs w:val="25"/>
                    </w:rPr>
                    <w:t>,</w:t>
                  </w:r>
                </w:p>
                <w:p w14:paraId="18B4E79A" w14:textId="77777777" w:rsidR="00961458" w:rsidRPr="00E41827" w:rsidRDefault="00961458" w:rsidP="00961458">
                  <w:pPr>
                    <w:keepLines/>
                    <w:spacing w:line="264" w:lineRule="auto"/>
                    <w:rPr>
                      <w:sz w:val="25"/>
                      <w:szCs w:val="25"/>
                    </w:rPr>
                  </w:pPr>
                </w:p>
                <w:p w14:paraId="6F25BA83" w14:textId="77777777" w:rsidR="00961458" w:rsidRPr="00E41827" w:rsidRDefault="00961458" w:rsidP="00961458">
                  <w:pPr>
                    <w:keepLines/>
                    <w:tabs>
                      <w:tab w:val="left" w:pos="1400"/>
                    </w:tabs>
                    <w:spacing w:line="264" w:lineRule="auto"/>
                    <w:rPr>
                      <w:sz w:val="25"/>
                      <w:szCs w:val="25"/>
                    </w:rPr>
                  </w:pPr>
                  <w:r w:rsidRPr="00E41827">
                    <w:rPr>
                      <w:sz w:val="25"/>
                      <w:szCs w:val="25"/>
                    </w:rPr>
                    <w:tab/>
                  </w:r>
                  <w:r>
                    <w:rPr>
                      <w:sz w:val="25"/>
                      <w:szCs w:val="25"/>
                    </w:rPr>
                    <w:t xml:space="preserve">                  </w:t>
                  </w:r>
                  <w:r w:rsidRPr="00E41827">
                    <w:rPr>
                      <w:sz w:val="25"/>
                      <w:szCs w:val="25"/>
                    </w:rPr>
                    <w:t>Complainant,</w:t>
                  </w:r>
                </w:p>
                <w:p w14:paraId="15711CF1" w14:textId="77777777" w:rsidR="00961458" w:rsidRPr="00E41827" w:rsidRDefault="00961458" w:rsidP="00961458">
                  <w:pPr>
                    <w:keepLines/>
                    <w:spacing w:line="264" w:lineRule="auto"/>
                    <w:rPr>
                      <w:sz w:val="25"/>
                      <w:szCs w:val="25"/>
                    </w:rPr>
                  </w:pPr>
                </w:p>
                <w:p w14:paraId="2F700C03" w14:textId="77777777" w:rsidR="00961458" w:rsidRPr="00C318B2" w:rsidRDefault="00961458" w:rsidP="00961458">
                  <w:pPr>
                    <w:keepLines/>
                    <w:spacing w:line="264" w:lineRule="auto"/>
                    <w:rPr>
                      <w:sz w:val="25"/>
                      <w:szCs w:val="25"/>
                    </w:rPr>
                  </w:pPr>
                  <w:r w:rsidRPr="00C318B2">
                    <w:rPr>
                      <w:sz w:val="25"/>
                      <w:szCs w:val="25"/>
                    </w:rPr>
                    <w:t>v.</w:t>
                  </w:r>
                </w:p>
                <w:p w14:paraId="7889AD59" w14:textId="77777777" w:rsidR="00961458" w:rsidRPr="00C318B2" w:rsidRDefault="00961458" w:rsidP="00961458">
                  <w:pPr>
                    <w:keepLines/>
                    <w:spacing w:line="264" w:lineRule="auto"/>
                    <w:rPr>
                      <w:sz w:val="25"/>
                      <w:szCs w:val="25"/>
                    </w:rPr>
                  </w:pPr>
                </w:p>
                <w:p w14:paraId="54CC1C80" w14:textId="77777777" w:rsidR="00961458" w:rsidRPr="00F92C57" w:rsidRDefault="00961458" w:rsidP="00961458">
                  <w:pPr>
                    <w:spacing w:line="264" w:lineRule="auto"/>
                    <w:rPr>
                      <w:caps/>
                      <w:sz w:val="25"/>
                      <w:szCs w:val="25"/>
                    </w:rPr>
                  </w:pPr>
                  <w:r w:rsidRPr="00F92C57">
                    <w:rPr>
                      <w:caps/>
                      <w:sz w:val="25"/>
                      <w:szCs w:val="25"/>
                    </w:rPr>
                    <w:t>ethos communications Group, inc., go solo technologies, inc., ibfa acquisition company, llc, inmate communic</w:t>
                  </w:r>
                  <w:r>
                    <w:rPr>
                      <w:caps/>
                      <w:sz w:val="25"/>
                      <w:szCs w:val="25"/>
                    </w:rPr>
                    <w:t>A</w:t>
                  </w:r>
                  <w:r w:rsidRPr="00F92C57">
                    <w:rPr>
                      <w:caps/>
                      <w:sz w:val="25"/>
                      <w:szCs w:val="25"/>
                    </w:rPr>
                    <w:t>tions c</w:t>
                  </w:r>
                  <w:r>
                    <w:rPr>
                      <w:caps/>
                      <w:sz w:val="25"/>
                      <w:szCs w:val="25"/>
                    </w:rPr>
                    <w:t xml:space="preserve">orporation, net talk.com, inc., </w:t>
                  </w:r>
                  <w:r w:rsidRPr="00F92C57">
                    <w:rPr>
                      <w:caps/>
                      <w:sz w:val="25"/>
                      <w:szCs w:val="25"/>
                    </w:rPr>
                    <w:t xml:space="preserve">tcast communications, inc., telecare, inc., </w:t>
                  </w:r>
                </w:p>
                <w:p w14:paraId="356E4D5E" w14:textId="77777777" w:rsidR="00961458" w:rsidRPr="00A604DB" w:rsidRDefault="00961458" w:rsidP="00961458">
                  <w:pPr>
                    <w:pStyle w:val="Header"/>
                    <w:keepLines/>
                    <w:tabs>
                      <w:tab w:val="clear" w:pos="4320"/>
                      <w:tab w:val="clear" w:pos="8640"/>
                    </w:tabs>
                    <w:spacing w:line="264" w:lineRule="auto"/>
                    <w:rPr>
                      <w:sz w:val="25"/>
                      <w:szCs w:val="25"/>
                      <w:lang w:val="en-US" w:eastAsia="en-US"/>
                    </w:rPr>
                  </w:pPr>
                </w:p>
                <w:p w14:paraId="639AD415" w14:textId="77777777" w:rsidR="00961458" w:rsidRDefault="00961458" w:rsidP="00961458">
                  <w:pPr>
                    <w:keepLines/>
                    <w:tabs>
                      <w:tab w:val="left" w:pos="1425"/>
                    </w:tabs>
                    <w:spacing w:line="264" w:lineRule="auto"/>
                    <w:rPr>
                      <w:sz w:val="25"/>
                      <w:szCs w:val="25"/>
                    </w:rPr>
                  </w:pPr>
                  <w:r w:rsidRPr="00C318B2">
                    <w:rPr>
                      <w:sz w:val="25"/>
                      <w:szCs w:val="25"/>
                    </w:rPr>
                    <w:tab/>
                  </w:r>
                  <w:r>
                    <w:rPr>
                      <w:sz w:val="25"/>
                      <w:szCs w:val="25"/>
                    </w:rPr>
                    <w:t xml:space="preserve">                 </w:t>
                  </w:r>
                  <w:r w:rsidRPr="00C318B2">
                    <w:rPr>
                      <w:sz w:val="25"/>
                      <w:szCs w:val="25"/>
                    </w:rPr>
                    <w:t>Respondents.</w:t>
                  </w:r>
                </w:p>
                <w:p w14:paraId="45C707AA" w14:textId="77777777" w:rsidR="00961458" w:rsidRPr="00E41827" w:rsidRDefault="00961458" w:rsidP="00961458">
                  <w:pPr>
                    <w:keepLines/>
                    <w:spacing w:line="264" w:lineRule="auto"/>
                    <w:rPr>
                      <w:sz w:val="25"/>
                      <w:szCs w:val="25"/>
                    </w:rPr>
                  </w:pPr>
                  <w:r w:rsidRPr="00E41827">
                    <w:rPr>
                      <w:sz w:val="25"/>
                      <w:szCs w:val="25"/>
                    </w:rPr>
                    <w:t xml:space="preserve">. . . . .. . . . . . . . . . . . . . . . . . . . . . . . . . . . . </w:t>
                  </w:r>
                </w:p>
              </w:tc>
              <w:tc>
                <w:tcPr>
                  <w:tcW w:w="360" w:type="dxa"/>
                </w:tcPr>
                <w:p w14:paraId="7F7DDD05" w14:textId="77777777" w:rsidR="00961458" w:rsidRPr="00E41827" w:rsidRDefault="00961458" w:rsidP="00961458">
                  <w:pPr>
                    <w:keepLines/>
                    <w:spacing w:line="264" w:lineRule="auto"/>
                    <w:rPr>
                      <w:sz w:val="25"/>
                      <w:szCs w:val="25"/>
                    </w:rPr>
                  </w:pPr>
                </w:p>
                <w:p w14:paraId="1A9507F9" w14:textId="77777777" w:rsidR="00961458" w:rsidRPr="00E41827" w:rsidRDefault="00961458" w:rsidP="00961458">
                  <w:pPr>
                    <w:keepLines/>
                    <w:spacing w:line="264" w:lineRule="auto"/>
                    <w:rPr>
                      <w:sz w:val="25"/>
                      <w:szCs w:val="25"/>
                    </w:rPr>
                  </w:pPr>
                  <w:r w:rsidRPr="00E41827">
                    <w:rPr>
                      <w:sz w:val="25"/>
                      <w:szCs w:val="25"/>
                    </w:rPr>
                    <w:t>)</w:t>
                  </w:r>
                </w:p>
                <w:p w14:paraId="625F985F" w14:textId="77777777" w:rsidR="00961458" w:rsidRPr="00E41827" w:rsidRDefault="00961458" w:rsidP="00961458">
                  <w:pPr>
                    <w:keepLines/>
                    <w:spacing w:line="264" w:lineRule="auto"/>
                    <w:rPr>
                      <w:sz w:val="25"/>
                      <w:szCs w:val="25"/>
                    </w:rPr>
                  </w:pPr>
                  <w:r w:rsidRPr="00E41827">
                    <w:rPr>
                      <w:sz w:val="25"/>
                      <w:szCs w:val="25"/>
                    </w:rPr>
                    <w:t>)</w:t>
                  </w:r>
                </w:p>
                <w:p w14:paraId="08656834" w14:textId="77777777" w:rsidR="00961458" w:rsidRPr="00E41827" w:rsidRDefault="00961458" w:rsidP="00961458">
                  <w:pPr>
                    <w:keepLines/>
                    <w:spacing w:line="264" w:lineRule="auto"/>
                    <w:rPr>
                      <w:sz w:val="25"/>
                      <w:szCs w:val="25"/>
                    </w:rPr>
                  </w:pPr>
                  <w:r w:rsidRPr="00E41827">
                    <w:rPr>
                      <w:sz w:val="25"/>
                      <w:szCs w:val="25"/>
                    </w:rPr>
                    <w:t>)</w:t>
                  </w:r>
                </w:p>
                <w:p w14:paraId="355B57C0" w14:textId="77777777" w:rsidR="00961458" w:rsidRPr="00E41827" w:rsidRDefault="00961458" w:rsidP="00961458">
                  <w:pPr>
                    <w:keepLines/>
                    <w:spacing w:line="264" w:lineRule="auto"/>
                    <w:rPr>
                      <w:sz w:val="25"/>
                      <w:szCs w:val="25"/>
                    </w:rPr>
                  </w:pPr>
                  <w:r w:rsidRPr="00E41827">
                    <w:rPr>
                      <w:sz w:val="25"/>
                      <w:szCs w:val="25"/>
                    </w:rPr>
                    <w:t>)</w:t>
                  </w:r>
                </w:p>
                <w:p w14:paraId="0C4237D2" w14:textId="77777777" w:rsidR="00961458" w:rsidRPr="00E41827" w:rsidRDefault="00961458" w:rsidP="00961458">
                  <w:pPr>
                    <w:keepLines/>
                    <w:spacing w:line="264" w:lineRule="auto"/>
                    <w:rPr>
                      <w:sz w:val="25"/>
                      <w:szCs w:val="25"/>
                    </w:rPr>
                  </w:pPr>
                  <w:r w:rsidRPr="00E41827">
                    <w:rPr>
                      <w:sz w:val="25"/>
                      <w:szCs w:val="25"/>
                    </w:rPr>
                    <w:t>)</w:t>
                  </w:r>
                </w:p>
                <w:p w14:paraId="6364294F" w14:textId="77777777" w:rsidR="00961458" w:rsidRPr="00E41827" w:rsidRDefault="00961458" w:rsidP="00961458">
                  <w:pPr>
                    <w:keepLines/>
                    <w:spacing w:line="264" w:lineRule="auto"/>
                    <w:rPr>
                      <w:sz w:val="25"/>
                      <w:szCs w:val="25"/>
                    </w:rPr>
                  </w:pPr>
                  <w:r w:rsidRPr="00E41827">
                    <w:rPr>
                      <w:sz w:val="25"/>
                      <w:szCs w:val="25"/>
                    </w:rPr>
                    <w:t>)</w:t>
                  </w:r>
                </w:p>
                <w:p w14:paraId="1491BA7B" w14:textId="77777777" w:rsidR="00961458" w:rsidRPr="00E41827" w:rsidRDefault="00961458" w:rsidP="00961458">
                  <w:pPr>
                    <w:keepLines/>
                    <w:spacing w:line="264" w:lineRule="auto"/>
                    <w:rPr>
                      <w:sz w:val="25"/>
                      <w:szCs w:val="25"/>
                    </w:rPr>
                  </w:pPr>
                  <w:r w:rsidRPr="00E41827">
                    <w:rPr>
                      <w:sz w:val="25"/>
                      <w:szCs w:val="25"/>
                    </w:rPr>
                    <w:t>)</w:t>
                  </w:r>
                </w:p>
                <w:p w14:paraId="35ABC10C" w14:textId="77777777" w:rsidR="00961458" w:rsidRPr="00E41827" w:rsidRDefault="00961458" w:rsidP="00961458">
                  <w:pPr>
                    <w:keepLines/>
                    <w:spacing w:line="264" w:lineRule="auto"/>
                    <w:rPr>
                      <w:sz w:val="25"/>
                      <w:szCs w:val="25"/>
                    </w:rPr>
                  </w:pPr>
                  <w:r w:rsidRPr="00E41827">
                    <w:rPr>
                      <w:sz w:val="25"/>
                      <w:szCs w:val="25"/>
                    </w:rPr>
                    <w:t>)</w:t>
                  </w:r>
                </w:p>
                <w:p w14:paraId="1919C453" w14:textId="77777777" w:rsidR="00961458" w:rsidRPr="00E41827" w:rsidRDefault="00961458" w:rsidP="00961458">
                  <w:pPr>
                    <w:keepLines/>
                    <w:spacing w:line="264" w:lineRule="auto"/>
                    <w:rPr>
                      <w:sz w:val="25"/>
                      <w:szCs w:val="25"/>
                    </w:rPr>
                  </w:pPr>
                  <w:r w:rsidRPr="00E41827">
                    <w:rPr>
                      <w:sz w:val="25"/>
                      <w:szCs w:val="25"/>
                    </w:rPr>
                    <w:t>)</w:t>
                  </w:r>
                </w:p>
                <w:p w14:paraId="0C8D6B43" w14:textId="77777777" w:rsidR="00961458" w:rsidRPr="00E41827" w:rsidRDefault="00961458" w:rsidP="00961458">
                  <w:pPr>
                    <w:keepLines/>
                    <w:spacing w:line="264" w:lineRule="auto"/>
                    <w:rPr>
                      <w:sz w:val="25"/>
                      <w:szCs w:val="25"/>
                    </w:rPr>
                  </w:pPr>
                  <w:r w:rsidRPr="00E41827">
                    <w:rPr>
                      <w:sz w:val="25"/>
                      <w:szCs w:val="25"/>
                    </w:rPr>
                    <w:t>)</w:t>
                  </w:r>
                </w:p>
                <w:p w14:paraId="2858AB47" w14:textId="77777777" w:rsidR="00961458" w:rsidRPr="00E41827" w:rsidRDefault="00961458" w:rsidP="00961458">
                  <w:pPr>
                    <w:keepLines/>
                    <w:spacing w:line="264" w:lineRule="auto"/>
                    <w:rPr>
                      <w:sz w:val="25"/>
                      <w:szCs w:val="25"/>
                    </w:rPr>
                  </w:pPr>
                  <w:r w:rsidRPr="00E41827">
                    <w:rPr>
                      <w:sz w:val="25"/>
                      <w:szCs w:val="25"/>
                    </w:rPr>
                    <w:t>)</w:t>
                  </w:r>
                </w:p>
                <w:p w14:paraId="6CAF96A3" w14:textId="77777777" w:rsidR="00961458" w:rsidRPr="00E41827" w:rsidRDefault="00961458" w:rsidP="00961458">
                  <w:pPr>
                    <w:keepLines/>
                    <w:spacing w:line="264" w:lineRule="auto"/>
                    <w:rPr>
                      <w:sz w:val="25"/>
                      <w:szCs w:val="25"/>
                    </w:rPr>
                  </w:pPr>
                  <w:r w:rsidRPr="00E41827">
                    <w:rPr>
                      <w:sz w:val="25"/>
                      <w:szCs w:val="25"/>
                    </w:rPr>
                    <w:t>)</w:t>
                  </w:r>
                </w:p>
                <w:p w14:paraId="2732CEDF" w14:textId="77777777" w:rsidR="00961458" w:rsidRPr="00E41827" w:rsidRDefault="00961458" w:rsidP="00961458">
                  <w:pPr>
                    <w:keepLines/>
                    <w:spacing w:line="264" w:lineRule="auto"/>
                    <w:rPr>
                      <w:sz w:val="25"/>
                      <w:szCs w:val="25"/>
                    </w:rPr>
                  </w:pPr>
                  <w:r w:rsidRPr="00E41827">
                    <w:rPr>
                      <w:sz w:val="25"/>
                      <w:szCs w:val="25"/>
                    </w:rPr>
                    <w:t>)</w:t>
                  </w:r>
                </w:p>
                <w:p w14:paraId="63370AF7" w14:textId="77777777" w:rsidR="00961458" w:rsidRPr="00E41827" w:rsidRDefault="00961458" w:rsidP="00961458">
                  <w:pPr>
                    <w:keepLines/>
                    <w:spacing w:line="264" w:lineRule="auto"/>
                    <w:rPr>
                      <w:sz w:val="25"/>
                      <w:szCs w:val="25"/>
                    </w:rPr>
                  </w:pPr>
                  <w:r w:rsidRPr="00E41827">
                    <w:rPr>
                      <w:sz w:val="25"/>
                      <w:szCs w:val="25"/>
                    </w:rPr>
                    <w:t>)</w:t>
                  </w:r>
                </w:p>
                <w:p w14:paraId="51AC8A49" w14:textId="77777777" w:rsidR="00961458" w:rsidRPr="00E41827" w:rsidRDefault="00961458" w:rsidP="00961458">
                  <w:pPr>
                    <w:keepLines/>
                    <w:spacing w:line="264" w:lineRule="auto"/>
                    <w:rPr>
                      <w:sz w:val="25"/>
                      <w:szCs w:val="25"/>
                    </w:rPr>
                  </w:pPr>
                  <w:r w:rsidRPr="00E41827">
                    <w:rPr>
                      <w:sz w:val="25"/>
                      <w:szCs w:val="25"/>
                    </w:rPr>
                    <w:t>)</w:t>
                  </w:r>
                </w:p>
                <w:p w14:paraId="6341E337" w14:textId="77777777" w:rsidR="00961458" w:rsidRDefault="00961458" w:rsidP="00961458">
                  <w:pPr>
                    <w:keepLines/>
                    <w:spacing w:line="264" w:lineRule="auto"/>
                    <w:rPr>
                      <w:sz w:val="25"/>
                      <w:szCs w:val="25"/>
                    </w:rPr>
                  </w:pPr>
                  <w:r>
                    <w:rPr>
                      <w:sz w:val="25"/>
                      <w:szCs w:val="25"/>
                    </w:rPr>
                    <w:t>)</w:t>
                  </w:r>
                </w:p>
                <w:p w14:paraId="71B6A6DE" w14:textId="77777777" w:rsidR="00961458" w:rsidRDefault="00961458" w:rsidP="00961458">
                  <w:pPr>
                    <w:keepLines/>
                    <w:spacing w:line="264" w:lineRule="auto"/>
                    <w:rPr>
                      <w:sz w:val="25"/>
                      <w:szCs w:val="25"/>
                    </w:rPr>
                  </w:pPr>
                  <w:r>
                    <w:rPr>
                      <w:sz w:val="25"/>
                      <w:szCs w:val="25"/>
                    </w:rPr>
                    <w:t>)</w:t>
                  </w:r>
                </w:p>
                <w:p w14:paraId="072C9673" w14:textId="77777777" w:rsidR="00A03814" w:rsidRPr="00E41827" w:rsidRDefault="00A03814" w:rsidP="00961458">
                  <w:pPr>
                    <w:keepLines/>
                    <w:spacing w:line="264" w:lineRule="auto"/>
                    <w:rPr>
                      <w:sz w:val="25"/>
                      <w:szCs w:val="25"/>
                    </w:rPr>
                  </w:pPr>
                  <w:r>
                    <w:rPr>
                      <w:sz w:val="25"/>
                      <w:szCs w:val="25"/>
                    </w:rPr>
                    <w:t>)</w:t>
                  </w:r>
                </w:p>
              </w:tc>
              <w:tc>
                <w:tcPr>
                  <w:tcW w:w="3820" w:type="dxa"/>
                </w:tcPr>
                <w:p w14:paraId="549480BC" w14:textId="77777777" w:rsidR="00961458" w:rsidRPr="00A604DB" w:rsidRDefault="00961458" w:rsidP="00961458">
                  <w:pPr>
                    <w:pStyle w:val="Header"/>
                    <w:keepLines/>
                    <w:tabs>
                      <w:tab w:val="clear" w:pos="4320"/>
                      <w:tab w:val="clear" w:pos="8640"/>
                    </w:tabs>
                    <w:spacing w:line="264" w:lineRule="auto"/>
                    <w:rPr>
                      <w:sz w:val="25"/>
                      <w:szCs w:val="25"/>
                      <w:lang w:val="en-US" w:eastAsia="en-US"/>
                    </w:rPr>
                  </w:pPr>
                </w:p>
                <w:p w14:paraId="601B86A9" w14:textId="77777777" w:rsidR="00961458" w:rsidRPr="00B73BC6" w:rsidRDefault="00961458" w:rsidP="00961458">
                  <w:pPr>
                    <w:keepLines/>
                    <w:spacing w:line="264" w:lineRule="auto"/>
                    <w:rPr>
                      <w:sz w:val="25"/>
                      <w:szCs w:val="25"/>
                    </w:rPr>
                  </w:pPr>
                  <w:r w:rsidRPr="00B73BC6">
                    <w:rPr>
                      <w:sz w:val="25"/>
                      <w:szCs w:val="25"/>
                    </w:rPr>
                    <w:t xml:space="preserve">DOCKET </w:t>
                  </w:r>
                  <w:r>
                    <w:rPr>
                      <w:sz w:val="25"/>
                      <w:szCs w:val="25"/>
                    </w:rPr>
                    <w:t>UT-143237</w:t>
                  </w:r>
                </w:p>
                <w:p w14:paraId="1B09DD7C" w14:textId="77777777" w:rsidR="00961458" w:rsidRPr="00B73BC6" w:rsidRDefault="00961458" w:rsidP="00961458">
                  <w:pPr>
                    <w:keepLines/>
                    <w:spacing w:line="264" w:lineRule="auto"/>
                    <w:rPr>
                      <w:sz w:val="25"/>
                      <w:szCs w:val="25"/>
                    </w:rPr>
                  </w:pPr>
                </w:p>
                <w:p w14:paraId="64829A96" w14:textId="77777777" w:rsidR="00961458" w:rsidRDefault="00961458" w:rsidP="00961458">
                  <w:pPr>
                    <w:keepLines/>
                    <w:spacing w:line="264" w:lineRule="auto"/>
                    <w:rPr>
                      <w:sz w:val="25"/>
                      <w:szCs w:val="25"/>
                    </w:rPr>
                  </w:pPr>
                  <w:r>
                    <w:rPr>
                      <w:sz w:val="25"/>
                      <w:szCs w:val="25"/>
                    </w:rPr>
                    <w:t>ORDER 01</w:t>
                  </w:r>
                </w:p>
                <w:p w14:paraId="017163B5" w14:textId="77777777" w:rsidR="00961458" w:rsidRDefault="00961458" w:rsidP="00961458">
                  <w:pPr>
                    <w:keepLines/>
                    <w:spacing w:line="264" w:lineRule="auto"/>
                    <w:rPr>
                      <w:sz w:val="25"/>
                      <w:szCs w:val="25"/>
                    </w:rPr>
                  </w:pPr>
                </w:p>
                <w:p w14:paraId="760AC9DA" w14:textId="77777777" w:rsidR="00961458" w:rsidRPr="00A604DB" w:rsidRDefault="00961458" w:rsidP="00961458">
                  <w:pPr>
                    <w:pStyle w:val="Header"/>
                    <w:keepLines/>
                    <w:tabs>
                      <w:tab w:val="clear" w:pos="4320"/>
                      <w:tab w:val="clear" w:pos="8640"/>
                    </w:tabs>
                    <w:spacing w:line="264" w:lineRule="auto"/>
                    <w:rPr>
                      <w:bCs/>
                      <w:sz w:val="25"/>
                      <w:szCs w:val="25"/>
                      <w:lang w:val="en-US" w:eastAsia="en-US"/>
                    </w:rPr>
                  </w:pPr>
                  <w:r w:rsidRPr="00A604DB">
                    <w:rPr>
                      <w:bCs/>
                      <w:sz w:val="25"/>
                      <w:szCs w:val="25"/>
                      <w:lang w:val="en-US" w:eastAsia="en-US"/>
                    </w:rPr>
                    <w:t xml:space="preserve">INITIAL ORDER </w:t>
                  </w:r>
                  <w:r w:rsidRPr="00A604DB">
                    <w:rPr>
                      <w:sz w:val="25"/>
                      <w:szCs w:val="25"/>
                      <w:lang w:val="en-US" w:eastAsia="en-US"/>
                    </w:rPr>
                    <w:t xml:space="preserve">GRANTING REQUEST TO FIND </w:t>
                  </w:r>
                  <w:r>
                    <w:rPr>
                      <w:sz w:val="25"/>
                      <w:szCs w:val="25"/>
                      <w:lang w:val="en-US" w:eastAsia="en-US"/>
                    </w:rPr>
                    <w:t xml:space="preserve">COMPANIES </w:t>
                  </w:r>
                  <w:r w:rsidRPr="00A604DB">
                    <w:rPr>
                      <w:sz w:val="25"/>
                      <w:szCs w:val="25"/>
                      <w:lang w:val="en-US" w:eastAsia="en-US"/>
                    </w:rPr>
                    <w:t xml:space="preserve">IN DEFAULT AND </w:t>
                  </w:r>
                  <w:r w:rsidRPr="00A604DB">
                    <w:rPr>
                      <w:bCs/>
                      <w:sz w:val="25"/>
                      <w:szCs w:val="25"/>
                      <w:lang w:val="en-US" w:eastAsia="en-US"/>
                    </w:rPr>
                    <w:t>CANCEL PERMIT</w:t>
                  </w:r>
                  <w:r>
                    <w:rPr>
                      <w:bCs/>
                      <w:sz w:val="25"/>
                      <w:szCs w:val="25"/>
                      <w:lang w:val="en-US" w:eastAsia="en-US"/>
                    </w:rPr>
                    <w:t>S</w:t>
                  </w:r>
                  <w:r w:rsidRPr="00A604DB">
                    <w:rPr>
                      <w:bCs/>
                      <w:sz w:val="25"/>
                      <w:szCs w:val="25"/>
                      <w:lang w:val="en-US" w:eastAsia="en-US"/>
                    </w:rPr>
                    <w:t xml:space="preserve"> FOR FAILURE TO </w:t>
                  </w:r>
                  <w:r>
                    <w:rPr>
                      <w:bCs/>
                      <w:sz w:val="25"/>
                      <w:szCs w:val="25"/>
                      <w:lang w:val="en-US" w:eastAsia="en-US"/>
                    </w:rPr>
                    <w:t xml:space="preserve">FILE ANNUAL REPORTS </w:t>
                  </w:r>
                  <w:r w:rsidRPr="00A604DB">
                    <w:rPr>
                      <w:bCs/>
                      <w:sz w:val="25"/>
                      <w:szCs w:val="25"/>
                      <w:lang w:val="en-US" w:eastAsia="en-US"/>
                    </w:rPr>
                    <w:t xml:space="preserve">AND PAY REGULATORY FEES </w:t>
                  </w:r>
                </w:p>
              </w:tc>
            </w:tr>
          </w:tbl>
          <w:p w14:paraId="5D3FDE5B" w14:textId="77777777" w:rsidR="00961458" w:rsidRDefault="00961458" w:rsidP="00961458">
            <w:pPr>
              <w:spacing w:line="264" w:lineRule="auto"/>
            </w:pPr>
          </w:p>
        </w:tc>
      </w:tr>
    </w:tbl>
    <w:p w14:paraId="66DF0E12" w14:textId="77777777" w:rsidR="00614E38" w:rsidRDefault="00614E38" w:rsidP="00961458">
      <w:pPr>
        <w:pStyle w:val="FindingsConclusions"/>
        <w:numPr>
          <w:ilvl w:val="0"/>
          <w:numId w:val="0"/>
        </w:numPr>
        <w:spacing w:line="264" w:lineRule="auto"/>
        <w:rPr>
          <w:sz w:val="25"/>
          <w:szCs w:val="25"/>
        </w:rPr>
      </w:pPr>
    </w:p>
    <w:p w14:paraId="162BC29A" w14:textId="77777777" w:rsidR="0029686B" w:rsidRDefault="0029686B" w:rsidP="00961458">
      <w:pPr>
        <w:pStyle w:val="FindingsConclusions"/>
        <w:numPr>
          <w:ilvl w:val="0"/>
          <w:numId w:val="0"/>
        </w:numPr>
        <w:spacing w:line="264" w:lineRule="auto"/>
        <w:jc w:val="center"/>
        <w:rPr>
          <w:sz w:val="25"/>
          <w:szCs w:val="25"/>
        </w:rPr>
      </w:pPr>
      <w:r>
        <w:rPr>
          <w:b/>
          <w:sz w:val="25"/>
          <w:szCs w:val="25"/>
        </w:rPr>
        <w:t>BACKGROUND</w:t>
      </w:r>
    </w:p>
    <w:p w14:paraId="27D53D4D" w14:textId="77777777" w:rsidR="0029686B" w:rsidRDefault="0029686B" w:rsidP="00961458">
      <w:pPr>
        <w:pStyle w:val="FindingsConclusions"/>
        <w:numPr>
          <w:ilvl w:val="0"/>
          <w:numId w:val="0"/>
        </w:numPr>
        <w:spacing w:line="264" w:lineRule="auto"/>
        <w:rPr>
          <w:sz w:val="25"/>
          <w:szCs w:val="25"/>
        </w:rPr>
      </w:pPr>
    </w:p>
    <w:p w14:paraId="3A9D8505" w14:textId="77777777" w:rsidR="00652675" w:rsidRDefault="00A64197" w:rsidP="00961458">
      <w:pPr>
        <w:pStyle w:val="FindingsConclusions"/>
        <w:numPr>
          <w:ilvl w:val="0"/>
          <w:numId w:val="2"/>
        </w:numPr>
        <w:tabs>
          <w:tab w:val="clear" w:pos="720"/>
          <w:tab w:val="num" w:pos="0"/>
        </w:tabs>
        <w:spacing w:line="264" w:lineRule="auto"/>
        <w:rPr>
          <w:sz w:val="25"/>
          <w:szCs w:val="25"/>
        </w:rPr>
      </w:pPr>
      <w:r w:rsidRPr="00717844">
        <w:rPr>
          <w:sz w:val="25"/>
          <w:szCs w:val="25"/>
        </w:rPr>
        <w:t xml:space="preserve">On </w:t>
      </w:r>
      <w:r w:rsidR="00B2352E">
        <w:rPr>
          <w:sz w:val="25"/>
          <w:szCs w:val="25"/>
        </w:rPr>
        <w:t xml:space="preserve">September </w:t>
      </w:r>
      <w:r w:rsidR="002801F4">
        <w:rPr>
          <w:sz w:val="25"/>
          <w:szCs w:val="25"/>
        </w:rPr>
        <w:t>30</w:t>
      </w:r>
      <w:r w:rsidR="006C6EC4" w:rsidRPr="00717844">
        <w:rPr>
          <w:sz w:val="25"/>
          <w:szCs w:val="25"/>
        </w:rPr>
        <w:t>, 20</w:t>
      </w:r>
      <w:r w:rsidR="00717844" w:rsidRPr="00717844">
        <w:rPr>
          <w:sz w:val="25"/>
          <w:szCs w:val="25"/>
        </w:rPr>
        <w:t>1</w:t>
      </w:r>
      <w:r w:rsidR="0029686B">
        <w:rPr>
          <w:sz w:val="25"/>
          <w:szCs w:val="25"/>
        </w:rPr>
        <w:t>4</w:t>
      </w:r>
      <w:r w:rsidRPr="00717844">
        <w:rPr>
          <w:sz w:val="25"/>
          <w:szCs w:val="25"/>
        </w:rPr>
        <w:t xml:space="preserve">, the </w:t>
      </w:r>
      <w:r w:rsidR="0036711B">
        <w:rPr>
          <w:sz w:val="25"/>
          <w:szCs w:val="25"/>
        </w:rPr>
        <w:t xml:space="preserve">Washington Utilities and Transportation </w:t>
      </w:r>
      <w:r w:rsidRPr="00717844">
        <w:rPr>
          <w:sz w:val="25"/>
          <w:szCs w:val="25"/>
        </w:rPr>
        <w:t>Commission</w:t>
      </w:r>
      <w:r w:rsidR="0036711B">
        <w:rPr>
          <w:sz w:val="25"/>
          <w:szCs w:val="25"/>
        </w:rPr>
        <w:t xml:space="preserve"> (Commission)</w:t>
      </w:r>
      <w:r w:rsidRPr="00717844">
        <w:rPr>
          <w:sz w:val="25"/>
          <w:szCs w:val="25"/>
        </w:rPr>
        <w:t xml:space="preserve"> entered a </w:t>
      </w:r>
      <w:r w:rsidR="00237D35" w:rsidRPr="00717844">
        <w:rPr>
          <w:sz w:val="25"/>
          <w:szCs w:val="25"/>
        </w:rPr>
        <w:t>c</w:t>
      </w:r>
      <w:r w:rsidRPr="00717844">
        <w:rPr>
          <w:sz w:val="25"/>
          <w:szCs w:val="25"/>
        </w:rPr>
        <w:t>omplaint against</w:t>
      </w:r>
      <w:r w:rsidR="00665A22" w:rsidRPr="00717844">
        <w:rPr>
          <w:sz w:val="25"/>
          <w:szCs w:val="25"/>
        </w:rPr>
        <w:t xml:space="preserve"> </w:t>
      </w:r>
      <w:r w:rsidR="002801F4">
        <w:rPr>
          <w:sz w:val="25"/>
          <w:szCs w:val="25"/>
        </w:rPr>
        <w:t>E</w:t>
      </w:r>
      <w:r w:rsidR="00EF20F1">
        <w:rPr>
          <w:sz w:val="25"/>
          <w:szCs w:val="25"/>
        </w:rPr>
        <w:t xml:space="preserve">thos Communications Group, Inc., </w:t>
      </w:r>
      <w:r w:rsidR="002801F4">
        <w:rPr>
          <w:sz w:val="25"/>
          <w:szCs w:val="25"/>
        </w:rPr>
        <w:t>Go S</w:t>
      </w:r>
      <w:r w:rsidR="00EF20F1">
        <w:rPr>
          <w:sz w:val="25"/>
          <w:szCs w:val="25"/>
        </w:rPr>
        <w:t>olo Technologies, Inc.</w:t>
      </w:r>
      <w:r w:rsidR="00B2352E">
        <w:rPr>
          <w:sz w:val="25"/>
          <w:szCs w:val="25"/>
        </w:rPr>
        <w:t xml:space="preserve">, </w:t>
      </w:r>
      <w:r w:rsidR="00EF20F1">
        <w:rPr>
          <w:sz w:val="25"/>
          <w:szCs w:val="25"/>
        </w:rPr>
        <w:t>IBFA Acquisition Company</w:t>
      </w:r>
      <w:r w:rsidR="00B2352E">
        <w:rPr>
          <w:sz w:val="25"/>
          <w:szCs w:val="25"/>
        </w:rPr>
        <w:t xml:space="preserve">, </w:t>
      </w:r>
      <w:r w:rsidR="00690DE9">
        <w:rPr>
          <w:sz w:val="25"/>
          <w:szCs w:val="25"/>
        </w:rPr>
        <w:t xml:space="preserve">LLC </w:t>
      </w:r>
      <w:r w:rsidR="002801F4">
        <w:rPr>
          <w:sz w:val="25"/>
          <w:szCs w:val="25"/>
        </w:rPr>
        <w:t>In</w:t>
      </w:r>
      <w:r w:rsidR="00EF20F1">
        <w:rPr>
          <w:sz w:val="25"/>
          <w:szCs w:val="25"/>
        </w:rPr>
        <w:t>mate Communications Corporation</w:t>
      </w:r>
      <w:r w:rsidR="002801F4">
        <w:rPr>
          <w:sz w:val="25"/>
          <w:szCs w:val="25"/>
        </w:rPr>
        <w:t xml:space="preserve">, Net Talk.com, Inc., Tcast </w:t>
      </w:r>
      <w:r w:rsidR="00EF20F1">
        <w:rPr>
          <w:sz w:val="25"/>
          <w:szCs w:val="25"/>
        </w:rPr>
        <w:t xml:space="preserve">Communications, Inc., </w:t>
      </w:r>
      <w:r w:rsidR="002801F4">
        <w:rPr>
          <w:sz w:val="25"/>
          <w:szCs w:val="25"/>
        </w:rPr>
        <w:t>and Telecare, Inc.</w:t>
      </w:r>
      <w:r w:rsidRPr="008C3AAE">
        <w:rPr>
          <w:sz w:val="25"/>
          <w:szCs w:val="25"/>
        </w:rPr>
        <w:t xml:space="preserve">  The </w:t>
      </w:r>
      <w:r w:rsidR="009B71AB" w:rsidRPr="008C3AAE">
        <w:rPr>
          <w:sz w:val="25"/>
          <w:szCs w:val="25"/>
        </w:rPr>
        <w:t>c</w:t>
      </w:r>
      <w:r w:rsidRPr="008C3AAE">
        <w:rPr>
          <w:sz w:val="25"/>
          <w:szCs w:val="25"/>
        </w:rPr>
        <w:t xml:space="preserve">omplaint alleges that </w:t>
      </w:r>
      <w:r w:rsidR="00B2352E">
        <w:rPr>
          <w:sz w:val="25"/>
          <w:szCs w:val="25"/>
        </w:rPr>
        <w:t>each company</w:t>
      </w:r>
      <w:r w:rsidRPr="008C3AAE">
        <w:rPr>
          <w:sz w:val="25"/>
          <w:szCs w:val="25"/>
        </w:rPr>
        <w:t xml:space="preserve"> </w:t>
      </w:r>
      <w:r w:rsidR="006C6EC4" w:rsidRPr="008C3AAE">
        <w:rPr>
          <w:sz w:val="25"/>
          <w:szCs w:val="25"/>
        </w:rPr>
        <w:t>failed to file required annual reports</w:t>
      </w:r>
      <w:r w:rsidR="009847DF" w:rsidRPr="008C3AAE">
        <w:rPr>
          <w:sz w:val="25"/>
          <w:szCs w:val="25"/>
        </w:rPr>
        <w:t xml:space="preserve"> for 20</w:t>
      </w:r>
      <w:r w:rsidR="009D366D">
        <w:rPr>
          <w:sz w:val="25"/>
          <w:szCs w:val="25"/>
        </w:rPr>
        <w:t>1</w:t>
      </w:r>
      <w:r w:rsidR="00B2352E">
        <w:rPr>
          <w:sz w:val="25"/>
          <w:szCs w:val="25"/>
        </w:rPr>
        <w:t>3</w:t>
      </w:r>
      <w:r w:rsidR="009847DF" w:rsidRPr="008C3AAE">
        <w:rPr>
          <w:sz w:val="25"/>
          <w:szCs w:val="25"/>
        </w:rPr>
        <w:t xml:space="preserve"> and also failed to pay required regulatory fees for 20</w:t>
      </w:r>
      <w:r w:rsidR="008C3AAE" w:rsidRPr="008C3AAE">
        <w:rPr>
          <w:sz w:val="25"/>
          <w:szCs w:val="25"/>
        </w:rPr>
        <w:t>1</w:t>
      </w:r>
      <w:r w:rsidR="00B2352E">
        <w:rPr>
          <w:sz w:val="25"/>
          <w:szCs w:val="25"/>
        </w:rPr>
        <w:t>4</w:t>
      </w:r>
      <w:r w:rsidRPr="008C3AAE">
        <w:rPr>
          <w:sz w:val="25"/>
          <w:szCs w:val="25"/>
        </w:rPr>
        <w:t>.  The Commission</w:t>
      </w:r>
      <w:r>
        <w:rPr>
          <w:sz w:val="25"/>
          <w:szCs w:val="25"/>
        </w:rPr>
        <w:t xml:space="preserve"> set this matter for hearing </w:t>
      </w:r>
      <w:r w:rsidR="009B71AB">
        <w:rPr>
          <w:sz w:val="25"/>
          <w:szCs w:val="25"/>
        </w:rPr>
        <w:t>and</w:t>
      </w:r>
      <w:r w:rsidR="006929F5">
        <w:rPr>
          <w:sz w:val="25"/>
          <w:szCs w:val="25"/>
        </w:rPr>
        <w:t xml:space="preserve"> notified all respondents that </w:t>
      </w:r>
      <w:r w:rsidR="00836E2D">
        <w:rPr>
          <w:sz w:val="25"/>
          <w:szCs w:val="25"/>
        </w:rPr>
        <w:t xml:space="preserve">any party that </w:t>
      </w:r>
      <w:r w:rsidR="006929F5">
        <w:rPr>
          <w:sz w:val="25"/>
          <w:szCs w:val="25"/>
        </w:rPr>
        <w:t>fail</w:t>
      </w:r>
      <w:r w:rsidR="00836E2D">
        <w:rPr>
          <w:sz w:val="25"/>
          <w:szCs w:val="25"/>
        </w:rPr>
        <w:t>ed</w:t>
      </w:r>
      <w:r w:rsidR="006929F5">
        <w:rPr>
          <w:sz w:val="25"/>
          <w:szCs w:val="25"/>
        </w:rPr>
        <w:t xml:space="preserve"> to attend or participate in the hearing may be held in default.</w:t>
      </w:r>
    </w:p>
    <w:p w14:paraId="4804E6AF" w14:textId="77777777" w:rsidR="006C6EC4" w:rsidRDefault="006C6EC4" w:rsidP="00961458">
      <w:pPr>
        <w:pStyle w:val="FindingsConclusions"/>
        <w:numPr>
          <w:ilvl w:val="0"/>
          <w:numId w:val="0"/>
        </w:numPr>
        <w:spacing w:line="264" w:lineRule="auto"/>
        <w:rPr>
          <w:sz w:val="25"/>
          <w:szCs w:val="25"/>
        </w:rPr>
      </w:pPr>
    </w:p>
    <w:p w14:paraId="7F12A78E" w14:textId="77777777" w:rsidR="0029686B" w:rsidRDefault="004F51CF" w:rsidP="00961458">
      <w:pPr>
        <w:pStyle w:val="FindingsConclusions"/>
        <w:numPr>
          <w:ilvl w:val="0"/>
          <w:numId w:val="2"/>
        </w:numPr>
        <w:tabs>
          <w:tab w:val="clear" w:pos="720"/>
          <w:tab w:val="num" w:pos="0"/>
        </w:tabs>
        <w:spacing w:line="264" w:lineRule="auto"/>
        <w:rPr>
          <w:sz w:val="25"/>
          <w:szCs w:val="25"/>
        </w:rPr>
      </w:pPr>
      <w:r>
        <w:rPr>
          <w:sz w:val="25"/>
          <w:szCs w:val="25"/>
        </w:rPr>
        <w:t xml:space="preserve">The complaint was heard on </w:t>
      </w:r>
      <w:r w:rsidR="002801F4">
        <w:rPr>
          <w:sz w:val="25"/>
          <w:szCs w:val="25"/>
        </w:rPr>
        <w:t>November 18, 2014</w:t>
      </w:r>
      <w:r>
        <w:rPr>
          <w:sz w:val="25"/>
          <w:szCs w:val="25"/>
        </w:rPr>
        <w:t>, in Olympia, Washington</w:t>
      </w:r>
      <w:r w:rsidR="001F1010">
        <w:rPr>
          <w:sz w:val="25"/>
          <w:szCs w:val="25"/>
        </w:rPr>
        <w:t xml:space="preserve"> before </w:t>
      </w:r>
      <w:r w:rsidR="00B2352E">
        <w:rPr>
          <w:sz w:val="25"/>
          <w:szCs w:val="25"/>
        </w:rPr>
        <w:t>A</w:t>
      </w:r>
      <w:r w:rsidR="001F1010">
        <w:rPr>
          <w:sz w:val="25"/>
          <w:szCs w:val="25"/>
        </w:rPr>
        <w:t xml:space="preserve">dministrative </w:t>
      </w:r>
      <w:r w:rsidR="00B2352E">
        <w:rPr>
          <w:sz w:val="25"/>
          <w:szCs w:val="25"/>
        </w:rPr>
        <w:t>Law J</w:t>
      </w:r>
      <w:r w:rsidR="001F1010">
        <w:rPr>
          <w:sz w:val="25"/>
          <w:szCs w:val="25"/>
        </w:rPr>
        <w:t xml:space="preserve">udge </w:t>
      </w:r>
      <w:r w:rsidR="00B2352E">
        <w:rPr>
          <w:sz w:val="25"/>
          <w:szCs w:val="25"/>
        </w:rPr>
        <w:t>Rayne Pearson</w:t>
      </w:r>
      <w:r>
        <w:rPr>
          <w:sz w:val="25"/>
          <w:szCs w:val="25"/>
        </w:rPr>
        <w:t xml:space="preserve">.  </w:t>
      </w:r>
      <w:r w:rsidR="002801F4">
        <w:rPr>
          <w:sz w:val="25"/>
          <w:szCs w:val="25"/>
        </w:rPr>
        <w:t>Jennifer Cameron-Rulkowski</w:t>
      </w:r>
      <w:r w:rsidR="0036711B" w:rsidRPr="00836E2D">
        <w:rPr>
          <w:sz w:val="25"/>
          <w:szCs w:val="25"/>
        </w:rPr>
        <w:t>, Assistant Attorney General, Olympia, Washington represen</w:t>
      </w:r>
      <w:r w:rsidR="0036711B">
        <w:rPr>
          <w:sz w:val="25"/>
          <w:szCs w:val="25"/>
        </w:rPr>
        <w:t>ts Commission staff (Staff)</w:t>
      </w:r>
      <w:r w:rsidR="0036711B" w:rsidRPr="00836E2D">
        <w:rPr>
          <w:sz w:val="25"/>
          <w:szCs w:val="25"/>
        </w:rPr>
        <w:t>.</w:t>
      </w:r>
      <w:r w:rsidR="0036711B">
        <w:rPr>
          <w:rStyle w:val="FootnoteReference"/>
          <w:sz w:val="25"/>
          <w:szCs w:val="25"/>
        </w:rPr>
        <w:footnoteReference w:id="1"/>
      </w:r>
      <w:r w:rsidR="0036711B" w:rsidRPr="00836E2D">
        <w:rPr>
          <w:sz w:val="25"/>
          <w:szCs w:val="25"/>
        </w:rPr>
        <w:t xml:space="preserve">  </w:t>
      </w:r>
      <w:r>
        <w:rPr>
          <w:sz w:val="25"/>
          <w:szCs w:val="25"/>
        </w:rPr>
        <w:lastRenderedPageBreak/>
        <w:t xml:space="preserve">During the hearing, </w:t>
      </w:r>
      <w:r w:rsidR="0036711B">
        <w:rPr>
          <w:sz w:val="25"/>
          <w:szCs w:val="25"/>
        </w:rPr>
        <w:t xml:space="preserve">Staff </w:t>
      </w:r>
      <w:r>
        <w:rPr>
          <w:sz w:val="25"/>
          <w:szCs w:val="25"/>
        </w:rPr>
        <w:t xml:space="preserve">presented the </w:t>
      </w:r>
      <w:r w:rsidRPr="004C7E93">
        <w:rPr>
          <w:sz w:val="25"/>
          <w:szCs w:val="25"/>
        </w:rPr>
        <w:t xml:space="preserve">testimony of </w:t>
      </w:r>
      <w:r w:rsidR="00B2352E">
        <w:rPr>
          <w:sz w:val="25"/>
          <w:szCs w:val="25"/>
        </w:rPr>
        <w:t>Amy Andrews</w:t>
      </w:r>
      <w:r w:rsidRPr="004C7E93">
        <w:rPr>
          <w:sz w:val="25"/>
          <w:szCs w:val="25"/>
        </w:rPr>
        <w:t xml:space="preserve">, </w:t>
      </w:r>
      <w:r w:rsidR="00B2352E">
        <w:rPr>
          <w:sz w:val="25"/>
          <w:szCs w:val="25"/>
        </w:rPr>
        <w:t>Regulatory Analyst</w:t>
      </w:r>
      <w:r w:rsidR="008942CB">
        <w:rPr>
          <w:sz w:val="25"/>
          <w:szCs w:val="25"/>
        </w:rPr>
        <w:t xml:space="preserve">.  </w:t>
      </w:r>
      <w:r w:rsidR="008C46F0">
        <w:rPr>
          <w:sz w:val="25"/>
          <w:szCs w:val="25"/>
        </w:rPr>
        <w:t>N</w:t>
      </w:r>
      <w:r w:rsidR="00B2352E">
        <w:rPr>
          <w:sz w:val="25"/>
          <w:szCs w:val="25"/>
        </w:rPr>
        <w:t>one</w:t>
      </w:r>
      <w:r w:rsidR="008C46F0">
        <w:rPr>
          <w:sz w:val="25"/>
          <w:szCs w:val="25"/>
        </w:rPr>
        <w:t xml:space="preserve"> of the </w:t>
      </w:r>
      <w:r w:rsidR="00EF20F1">
        <w:rPr>
          <w:sz w:val="25"/>
          <w:szCs w:val="25"/>
        </w:rPr>
        <w:t>telecommunications</w:t>
      </w:r>
      <w:r w:rsidR="008C46F0">
        <w:rPr>
          <w:sz w:val="25"/>
          <w:szCs w:val="25"/>
        </w:rPr>
        <w:t xml:space="preserve"> </w:t>
      </w:r>
      <w:r w:rsidR="001E668C">
        <w:rPr>
          <w:sz w:val="25"/>
          <w:szCs w:val="25"/>
        </w:rPr>
        <w:t xml:space="preserve">companies </w:t>
      </w:r>
      <w:r w:rsidR="008C46F0">
        <w:rPr>
          <w:sz w:val="25"/>
          <w:szCs w:val="25"/>
        </w:rPr>
        <w:t xml:space="preserve">named in the complaint appeared </w:t>
      </w:r>
      <w:r w:rsidR="0036711B">
        <w:rPr>
          <w:sz w:val="25"/>
          <w:szCs w:val="25"/>
        </w:rPr>
        <w:t xml:space="preserve">at the hearing </w:t>
      </w:r>
      <w:r w:rsidR="008C46F0">
        <w:rPr>
          <w:sz w:val="25"/>
          <w:szCs w:val="25"/>
        </w:rPr>
        <w:t>or presented testimony.</w:t>
      </w:r>
    </w:p>
    <w:p w14:paraId="09B2E694" w14:textId="77777777" w:rsidR="00961458" w:rsidRPr="0036711B" w:rsidRDefault="00961458" w:rsidP="00961458">
      <w:pPr>
        <w:pStyle w:val="FindingsConclusions"/>
        <w:numPr>
          <w:ilvl w:val="0"/>
          <w:numId w:val="0"/>
        </w:numPr>
        <w:spacing w:line="264" w:lineRule="auto"/>
        <w:rPr>
          <w:sz w:val="25"/>
          <w:szCs w:val="25"/>
        </w:rPr>
      </w:pPr>
    </w:p>
    <w:p w14:paraId="2F447623" w14:textId="77777777" w:rsidR="004F51CF" w:rsidRDefault="004F51CF" w:rsidP="00961458">
      <w:pPr>
        <w:pStyle w:val="FindingsConclusions"/>
        <w:numPr>
          <w:ilvl w:val="0"/>
          <w:numId w:val="0"/>
        </w:numPr>
        <w:spacing w:line="264" w:lineRule="auto"/>
        <w:ind w:left="360"/>
        <w:jc w:val="center"/>
        <w:rPr>
          <w:b/>
          <w:sz w:val="25"/>
          <w:szCs w:val="25"/>
        </w:rPr>
      </w:pPr>
      <w:r>
        <w:rPr>
          <w:b/>
          <w:sz w:val="25"/>
          <w:szCs w:val="25"/>
        </w:rPr>
        <w:t>DISCUSSION</w:t>
      </w:r>
      <w:r w:rsidR="00F71C86">
        <w:rPr>
          <w:b/>
          <w:sz w:val="25"/>
          <w:szCs w:val="25"/>
        </w:rPr>
        <w:t xml:space="preserve"> AND DECISION</w:t>
      </w:r>
    </w:p>
    <w:p w14:paraId="7074E34B" w14:textId="77777777" w:rsidR="00961458" w:rsidRDefault="00961458" w:rsidP="00961458">
      <w:pPr>
        <w:pStyle w:val="FindingsConclusions"/>
        <w:numPr>
          <w:ilvl w:val="0"/>
          <w:numId w:val="0"/>
        </w:numPr>
        <w:spacing w:line="264" w:lineRule="auto"/>
        <w:ind w:left="360"/>
        <w:jc w:val="center"/>
        <w:rPr>
          <w:sz w:val="25"/>
          <w:szCs w:val="25"/>
        </w:rPr>
      </w:pPr>
    </w:p>
    <w:p w14:paraId="4F40B87E" w14:textId="77777777" w:rsidR="007832F0" w:rsidRPr="00EF20F1" w:rsidRDefault="0058228D" w:rsidP="00E73EAA">
      <w:pPr>
        <w:pStyle w:val="FindingsConclusions"/>
        <w:numPr>
          <w:ilvl w:val="0"/>
          <w:numId w:val="2"/>
        </w:numPr>
        <w:tabs>
          <w:tab w:val="clear" w:pos="720"/>
          <w:tab w:val="num" w:pos="0"/>
        </w:tabs>
        <w:spacing w:line="264" w:lineRule="auto"/>
        <w:rPr>
          <w:sz w:val="25"/>
          <w:szCs w:val="25"/>
        </w:rPr>
      </w:pPr>
      <w:r>
        <w:rPr>
          <w:b/>
          <w:sz w:val="25"/>
          <w:szCs w:val="25"/>
        </w:rPr>
        <w:t xml:space="preserve">Applicable Law.  </w:t>
      </w:r>
      <w:r w:rsidR="004F51CF" w:rsidRPr="004F51CF">
        <w:rPr>
          <w:sz w:val="25"/>
          <w:szCs w:val="25"/>
        </w:rPr>
        <w:t xml:space="preserve">Every public service company </w:t>
      </w:r>
      <w:r w:rsidR="00EF20F1">
        <w:rPr>
          <w:sz w:val="25"/>
          <w:szCs w:val="25"/>
        </w:rPr>
        <w:t>regulated by the Commission</w:t>
      </w:r>
      <w:r w:rsidR="004F51CF" w:rsidRPr="004F51CF">
        <w:rPr>
          <w:sz w:val="25"/>
          <w:szCs w:val="25"/>
        </w:rPr>
        <w:t xml:space="preserve"> is required to file an annual report that sets forth the company’s operations during t</w:t>
      </w:r>
      <w:r w:rsidR="00A07A46">
        <w:rPr>
          <w:sz w:val="25"/>
          <w:szCs w:val="25"/>
        </w:rPr>
        <w:t>he preceding year.</w:t>
      </w:r>
      <w:r w:rsidR="00A07A46">
        <w:rPr>
          <w:rStyle w:val="FootnoteReference"/>
          <w:sz w:val="25"/>
          <w:szCs w:val="25"/>
        </w:rPr>
        <w:footnoteReference w:id="2"/>
      </w:r>
      <w:r w:rsidR="004F51CF" w:rsidRPr="004F51CF">
        <w:rPr>
          <w:i/>
          <w:sz w:val="25"/>
          <w:szCs w:val="25"/>
        </w:rPr>
        <w:t xml:space="preserve">  </w:t>
      </w:r>
      <w:r w:rsidR="00EF20F1">
        <w:rPr>
          <w:sz w:val="25"/>
          <w:szCs w:val="25"/>
        </w:rPr>
        <w:t>In addition</w:t>
      </w:r>
      <w:r w:rsidR="00EF20F1" w:rsidRPr="0005163F">
        <w:rPr>
          <w:sz w:val="25"/>
          <w:szCs w:val="25"/>
        </w:rPr>
        <w:t>, every public service company subject to regulation by the Commission must pay a regulatory fee each year on or before the date specified by the C</w:t>
      </w:r>
      <w:r w:rsidR="00EF20F1">
        <w:rPr>
          <w:sz w:val="25"/>
          <w:szCs w:val="25"/>
        </w:rPr>
        <w:t>ommission.</w:t>
      </w:r>
      <w:r w:rsidR="00A07A46">
        <w:rPr>
          <w:rStyle w:val="FootnoteReference"/>
          <w:sz w:val="25"/>
          <w:szCs w:val="25"/>
        </w:rPr>
        <w:footnoteReference w:id="3"/>
      </w:r>
      <w:r w:rsidR="00EF20F1">
        <w:rPr>
          <w:sz w:val="25"/>
          <w:szCs w:val="25"/>
        </w:rPr>
        <w:t xml:space="preserve">  </w:t>
      </w:r>
      <w:r w:rsidR="004F51CF" w:rsidRPr="00EF20F1">
        <w:rPr>
          <w:sz w:val="25"/>
          <w:szCs w:val="25"/>
        </w:rPr>
        <w:t>Com</w:t>
      </w:r>
      <w:r w:rsidR="00147769" w:rsidRPr="00EF20F1">
        <w:rPr>
          <w:sz w:val="25"/>
          <w:szCs w:val="25"/>
        </w:rPr>
        <w:t xml:space="preserve">mission rules require </w:t>
      </w:r>
      <w:r w:rsidR="00BA3D4F" w:rsidRPr="00EF20F1">
        <w:rPr>
          <w:sz w:val="25"/>
          <w:szCs w:val="25"/>
        </w:rPr>
        <w:t xml:space="preserve">all </w:t>
      </w:r>
      <w:r w:rsidR="00EF20F1">
        <w:rPr>
          <w:sz w:val="25"/>
          <w:szCs w:val="25"/>
        </w:rPr>
        <w:t>regulated telecommunications companies</w:t>
      </w:r>
      <w:r w:rsidR="000A3882" w:rsidRPr="00EF20F1">
        <w:rPr>
          <w:sz w:val="25"/>
          <w:szCs w:val="25"/>
        </w:rPr>
        <w:t xml:space="preserve"> </w:t>
      </w:r>
      <w:r w:rsidR="00147769" w:rsidRPr="00EF20F1">
        <w:rPr>
          <w:sz w:val="25"/>
          <w:szCs w:val="25"/>
        </w:rPr>
        <w:t>to</w:t>
      </w:r>
      <w:r w:rsidR="000A3882" w:rsidRPr="00EF20F1">
        <w:rPr>
          <w:sz w:val="25"/>
          <w:szCs w:val="25"/>
        </w:rPr>
        <w:t xml:space="preserve"> file annual reports and pay regulatory fees by</w:t>
      </w:r>
      <w:r w:rsidR="00147769" w:rsidRPr="00EF20F1">
        <w:rPr>
          <w:sz w:val="25"/>
          <w:szCs w:val="25"/>
        </w:rPr>
        <w:t xml:space="preserve"> May 1.</w:t>
      </w:r>
      <w:r w:rsidR="00A07A46">
        <w:rPr>
          <w:rStyle w:val="FootnoteReference"/>
          <w:sz w:val="25"/>
          <w:szCs w:val="25"/>
        </w:rPr>
        <w:footnoteReference w:id="4"/>
      </w:r>
      <w:r w:rsidR="00147769" w:rsidRPr="00EF20F1">
        <w:rPr>
          <w:sz w:val="25"/>
          <w:szCs w:val="25"/>
        </w:rPr>
        <w:t xml:space="preserve">  </w:t>
      </w:r>
      <w:r w:rsidR="004F51CF" w:rsidRPr="00EF20F1">
        <w:rPr>
          <w:sz w:val="25"/>
          <w:szCs w:val="25"/>
        </w:rPr>
        <w:t>T</w:t>
      </w:r>
      <w:r w:rsidR="00AA3B66" w:rsidRPr="00EF20F1">
        <w:rPr>
          <w:sz w:val="25"/>
          <w:szCs w:val="25"/>
        </w:rPr>
        <w:t xml:space="preserve">he Commission may </w:t>
      </w:r>
      <w:r w:rsidR="00EF20F1" w:rsidRPr="0005163F">
        <w:rPr>
          <w:sz w:val="25"/>
          <w:szCs w:val="25"/>
        </w:rPr>
        <w:t>revoke the</w:t>
      </w:r>
      <w:r w:rsidR="00C26F4C">
        <w:rPr>
          <w:sz w:val="25"/>
          <w:szCs w:val="25"/>
        </w:rPr>
        <w:t xml:space="preserve"> </w:t>
      </w:r>
      <w:r w:rsidR="00EF20F1" w:rsidRPr="0005163F">
        <w:rPr>
          <w:sz w:val="25"/>
          <w:szCs w:val="25"/>
        </w:rPr>
        <w:t>registration of a telecommunications</w:t>
      </w:r>
      <w:r w:rsidR="00EF20F1">
        <w:rPr>
          <w:sz w:val="25"/>
          <w:szCs w:val="25"/>
        </w:rPr>
        <w:t xml:space="preserve"> company for failure to file an</w:t>
      </w:r>
      <w:r w:rsidR="00EF20F1" w:rsidRPr="0005163F">
        <w:rPr>
          <w:sz w:val="25"/>
          <w:szCs w:val="25"/>
        </w:rPr>
        <w:t xml:space="preserve"> annual report or pay regulatory fees.</w:t>
      </w:r>
      <w:r w:rsidR="00A07A46">
        <w:rPr>
          <w:rStyle w:val="FootnoteReference"/>
          <w:sz w:val="25"/>
          <w:szCs w:val="25"/>
        </w:rPr>
        <w:footnoteReference w:id="5"/>
      </w:r>
      <w:r w:rsidR="00EF20F1">
        <w:rPr>
          <w:sz w:val="25"/>
          <w:szCs w:val="25"/>
        </w:rPr>
        <w:t xml:space="preserve">  </w:t>
      </w:r>
      <w:r w:rsidR="006929F5" w:rsidRPr="00EF20F1">
        <w:rPr>
          <w:sz w:val="25"/>
          <w:szCs w:val="25"/>
        </w:rPr>
        <w:t>Any party who fails to attend or participate in a hearing scheduled by the Commission may be held in default.</w:t>
      </w:r>
      <w:r w:rsidR="00A07A46">
        <w:rPr>
          <w:rStyle w:val="FootnoteReference"/>
          <w:sz w:val="25"/>
          <w:szCs w:val="25"/>
        </w:rPr>
        <w:footnoteReference w:id="6"/>
      </w:r>
      <w:r w:rsidR="006929F5" w:rsidRPr="00EF20F1">
        <w:rPr>
          <w:sz w:val="25"/>
          <w:szCs w:val="25"/>
        </w:rPr>
        <w:t xml:space="preserve">  </w:t>
      </w:r>
      <w:r w:rsidR="00EF20F1">
        <w:rPr>
          <w:sz w:val="25"/>
          <w:szCs w:val="25"/>
        </w:rPr>
        <w:br/>
      </w:r>
    </w:p>
    <w:p w14:paraId="00F2AA8B" w14:textId="77777777" w:rsidR="00F71C86" w:rsidRPr="004C7E93" w:rsidRDefault="00F71C86" w:rsidP="00961458">
      <w:pPr>
        <w:pStyle w:val="FindingsConclusions"/>
        <w:numPr>
          <w:ilvl w:val="0"/>
          <w:numId w:val="2"/>
        </w:numPr>
        <w:tabs>
          <w:tab w:val="clear" w:pos="720"/>
          <w:tab w:val="num" w:pos="0"/>
        </w:tabs>
        <w:spacing w:line="264" w:lineRule="auto"/>
        <w:rPr>
          <w:sz w:val="25"/>
          <w:szCs w:val="25"/>
        </w:rPr>
      </w:pPr>
      <w:r w:rsidRPr="004C7E93">
        <w:rPr>
          <w:b/>
          <w:sz w:val="25"/>
          <w:szCs w:val="25"/>
        </w:rPr>
        <w:t xml:space="preserve">Default.  </w:t>
      </w:r>
      <w:r w:rsidRPr="004C7E93">
        <w:rPr>
          <w:sz w:val="25"/>
          <w:szCs w:val="25"/>
        </w:rPr>
        <w:t>Staff moved that</w:t>
      </w:r>
      <w:r w:rsidRPr="009847DF">
        <w:rPr>
          <w:sz w:val="25"/>
          <w:szCs w:val="25"/>
        </w:rPr>
        <w:t xml:space="preserve"> </w:t>
      </w:r>
      <w:r w:rsidR="00EF20F1">
        <w:rPr>
          <w:sz w:val="25"/>
          <w:szCs w:val="25"/>
        </w:rPr>
        <w:t xml:space="preserve">Ethos Communications Group, Inc., Go Solo Technologies, Inc., IBFA Acquisition Company, </w:t>
      </w:r>
      <w:r w:rsidR="00690DE9">
        <w:rPr>
          <w:sz w:val="25"/>
          <w:szCs w:val="25"/>
        </w:rPr>
        <w:t xml:space="preserve">LLC, </w:t>
      </w:r>
      <w:r w:rsidR="00EF20F1">
        <w:rPr>
          <w:sz w:val="25"/>
          <w:szCs w:val="25"/>
        </w:rPr>
        <w:t xml:space="preserve">Inmate Communications Corporation, Net Talk.com, Inc., Tcast Communications, Inc., and Telecare, Inc. </w:t>
      </w:r>
      <w:r w:rsidRPr="009847DF">
        <w:rPr>
          <w:sz w:val="25"/>
          <w:szCs w:val="25"/>
        </w:rPr>
        <w:t>be held in default for fail</w:t>
      </w:r>
      <w:r w:rsidR="00B2352E">
        <w:rPr>
          <w:sz w:val="25"/>
          <w:szCs w:val="25"/>
        </w:rPr>
        <w:t>ing</w:t>
      </w:r>
      <w:r w:rsidRPr="009847DF">
        <w:rPr>
          <w:sz w:val="25"/>
          <w:szCs w:val="25"/>
        </w:rPr>
        <w:t xml:space="preserve"> to appear at </w:t>
      </w:r>
      <w:r w:rsidR="000871AD">
        <w:rPr>
          <w:sz w:val="25"/>
          <w:szCs w:val="25"/>
        </w:rPr>
        <w:t xml:space="preserve">the </w:t>
      </w:r>
      <w:r w:rsidRPr="009847DF">
        <w:rPr>
          <w:sz w:val="25"/>
          <w:szCs w:val="25"/>
        </w:rPr>
        <w:t>hearing.</w:t>
      </w:r>
      <w:r w:rsidR="0044602E" w:rsidRPr="009847DF">
        <w:rPr>
          <w:sz w:val="25"/>
          <w:szCs w:val="25"/>
        </w:rPr>
        <w:t xml:space="preserve">  </w:t>
      </w:r>
      <w:r w:rsidR="009E6EFF" w:rsidRPr="009847DF">
        <w:rPr>
          <w:sz w:val="25"/>
          <w:szCs w:val="25"/>
        </w:rPr>
        <w:t xml:space="preserve">The record reflects that </w:t>
      </w:r>
      <w:r w:rsidR="00B2352E">
        <w:rPr>
          <w:sz w:val="25"/>
          <w:szCs w:val="25"/>
        </w:rPr>
        <w:t>each company</w:t>
      </w:r>
      <w:r w:rsidR="009E6EFF" w:rsidRPr="009847DF">
        <w:rPr>
          <w:sz w:val="25"/>
          <w:szCs w:val="25"/>
        </w:rPr>
        <w:t xml:space="preserve"> </w:t>
      </w:r>
      <w:r w:rsidR="00104A0C">
        <w:rPr>
          <w:sz w:val="25"/>
          <w:szCs w:val="25"/>
        </w:rPr>
        <w:t>was sent</w:t>
      </w:r>
      <w:r w:rsidR="009E6EFF" w:rsidRPr="009847DF">
        <w:rPr>
          <w:sz w:val="25"/>
          <w:szCs w:val="25"/>
        </w:rPr>
        <w:t xml:space="preserve"> notice of the hearing by </w:t>
      </w:r>
      <w:r w:rsidR="004C7E93">
        <w:rPr>
          <w:sz w:val="25"/>
          <w:szCs w:val="25"/>
        </w:rPr>
        <w:t xml:space="preserve">both </w:t>
      </w:r>
      <w:r w:rsidR="009E6EFF" w:rsidRPr="009847DF">
        <w:rPr>
          <w:sz w:val="25"/>
          <w:szCs w:val="25"/>
        </w:rPr>
        <w:t>certified</w:t>
      </w:r>
      <w:r w:rsidR="00104A0C">
        <w:rPr>
          <w:sz w:val="25"/>
          <w:szCs w:val="25"/>
        </w:rPr>
        <w:t xml:space="preserve"> </w:t>
      </w:r>
      <w:r w:rsidR="004C7E93">
        <w:rPr>
          <w:sz w:val="25"/>
          <w:szCs w:val="25"/>
        </w:rPr>
        <w:t xml:space="preserve">and first class </w:t>
      </w:r>
      <w:r w:rsidR="009E6EFF" w:rsidRPr="009847DF">
        <w:rPr>
          <w:sz w:val="25"/>
          <w:szCs w:val="25"/>
        </w:rPr>
        <w:t>mail</w:t>
      </w:r>
      <w:r w:rsidR="00104A0C">
        <w:rPr>
          <w:sz w:val="25"/>
          <w:szCs w:val="25"/>
        </w:rPr>
        <w:t xml:space="preserve"> </w:t>
      </w:r>
      <w:r w:rsidR="00665A22" w:rsidRPr="009847DF">
        <w:rPr>
          <w:sz w:val="25"/>
          <w:szCs w:val="25"/>
        </w:rPr>
        <w:t xml:space="preserve">at </w:t>
      </w:r>
      <w:r w:rsidR="000871AD">
        <w:rPr>
          <w:sz w:val="25"/>
          <w:szCs w:val="25"/>
        </w:rPr>
        <w:t>its</w:t>
      </w:r>
      <w:r w:rsidR="00665A22" w:rsidRPr="009847DF">
        <w:rPr>
          <w:sz w:val="25"/>
          <w:szCs w:val="25"/>
        </w:rPr>
        <w:t xml:space="preserve"> address of record </w:t>
      </w:r>
      <w:r w:rsidR="00EA66A8" w:rsidRPr="009847DF">
        <w:rPr>
          <w:sz w:val="25"/>
          <w:szCs w:val="25"/>
        </w:rPr>
        <w:t>and failed to appear or otherwise respond to the complaint</w:t>
      </w:r>
      <w:r w:rsidR="009E6EFF" w:rsidRPr="009847DF">
        <w:rPr>
          <w:sz w:val="25"/>
          <w:szCs w:val="25"/>
        </w:rPr>
        <w:t xml:space="preserve">.  </w:t>
      </w:r>
      <w:r w:rsidR="0044602E" w:rsidRPr="009847DF">
        <w:rPr>
          <w:sz w:val="25"/>
          <w:szCs w:val="25"/>
        </w:rPr>
        <w:t>T</w:t>
      </w:r>
      <w:r w:rsidR="00530FDA" w:rsidRPr="009847DF">
        <w:rPr>
          <w:sz w:val="25"/>
          <w:szCs w:val="25"/>
        </w:rPr>
        <w:t>he</w:t>
      </w:r>
      <w:r w:rsidR="009E6EFF" w:rsidRPr="009847DF">
        <w:rPr>
          <w:sz w:val="25"/>
          <w:szCs w:val="25"/>
        </w:rPr>
        <w:t>refore, the</w:t>
      </w:r>
      <w:r w:rsidR="00530FDA" w:rsidRPr="009847DF">
        <w:rPr>
          <w:sz w:val="25"/>
          <w:szCs w:val="25"/>
        </w:rPr>
        <w:t xml:space="preserve"> </w:t>
      </w:r>
      <w:r w:rsidR="00B2352E">
        <w:rPr>
          <w:sz w:val="25"/>
          <w:szCs w:val="25"/>
        </w:rPr>
        <w:t xml:space="preserve">motion for default against each of the </w:t>
      </w:r>
      <w:r w:rsidR="00EF20F1">
        <w:rPr>
          <w:sz w:val="25"/>
          <w:szCs w:val="25"/>
        </w:rPr>
        <w:t xml:space="preserve">seven </w:t>
      </w:r>
      <w:r w:rsidR="00B2352E">
        <w:rPr>
          <w:sz w:val="25"/>
          <w:szCs w:val="25"/>
        </w:rPr>
        <w:t>companies was</w:t>
      </w:r>
      <w:r w:rsidR="00530FDA">
        <w:rPr>
          <w:sz w:val="25"/>
          <w:szCs w:val="25"/>
        </w:rPr>
        <w:t xml:space="preserve"> granted.</w:t>
      </w:r>
      <w:r>
        <w:rPr>
          <w:sz w:val="25"/>
          <w:szCs w:val="25"/>
        </w:rPr>
        <w:t xml:space="preserve">  </w:t>
      </w:r>
      <w:r w:rsidR="0044602E">
        <w:rPr>
          <w:sz w:val="25"/>
          <w:szCs w:val="25"/>
        </w:rPr>
        <w:t xml:space="preserve">Even so, </w:t>
      </w:r>
      <w:r>
        <w:rPr>
          <w:sz w:val="25"/>
          <w:szCs w:val="25"/>
        </w:rPr>
        <w:t xml:space="preserve">Staff requested that the Commission </w:t>
      </w:r>
      <w:r w:rsidR="00530FDA" w:rsidRPr="004C7E93">
        <w:rPr>
          <w:sz w:val="25"/>
          <w:szCs w:val="25"/>
        </w:rPr>
        <w:t xml:space="preserve">hear and </w:t>
      </w:r>
      <w:r w:rsidRPr="004C7E93">
        <w:rPr>
          <w:sz w:val="25"/>
          <w:szCs w:val="25"/>
        </w:rPr>
        <w:t>dispose of the substantive issues</w:t>
      </w:r>
      <w:r w:rsidR="00530FDA" w:rsidRPr="004C7E93">
        <w:rPr>
          <w:sz w:val="25"/>
          <w:szCs w:val="25"/>
        </w:rPr>
        <w:t xml:space="preserve"> brought</w:t>
      </w:r>
      <w:r w:rsidRPr="004C7E93">
        <w:rPr>
          <w:sz w:val="25"/>
          <w:szCs w:val="25"/>
        </w:rPr>
        <w:t xml:space="preserve"> in the complaint against </w:t>
      </w:r>
      <w:r w:rsidR="00EF20F1">
        <w:rPr>
          <w:sz w:val="25"/>
          <w:szCs w:val="25"/>
        </w:rPr>
        <w:t xml:space="preserve">Ethos Communications Group, Inc., Go Solo Technologies, Inc., IBFA Acquisition Company, </w:t>
      </w:r>
      <w:r w:rsidR="00690DE9">
        <w:rPr>
          <w:sz w:val="25"/>
          <w:szCs w:val="25"/>
        </w:rPr>
        <w:t xml:space="preserve">LLC, </w:t>
      </w:r>
      <w:r w:rsidR="00EF20F1">
        <w:rPr>
          <w:sz w:val="25"/>
          <w:szCs w:val="25"/>
        </w:rPr>
        <w:t>Inmate Communications Corporation, Net Talk.com, Inc., Tcast Communications, Inc., and Telecare, Inc.</w:t>
      </w:r>
      <w:r w:rsidR="00EF20F1" w:rsidRPr="008C3AAE">
        <w:rPr>
          <w:sz w:val="25"/>
          <w:szCs w:val="25"/>
        </w:rPr>
        <w:t xml:space="preserve">  </w:t>
      </w:r>
    </w:p>
    <w:p w14:paraId="78855821" w14:textId="77777777" w:rsidR="004C7E93" w:rsidRDefault="00126419" w:rsidP="00961458">
      <w:pPr>
        <w:pStyle w:val="FindingsConclusions"/>
        <w:numPr>
          <w:ilvl w:val="0"/>
          <w:numId w:val="2"/>
        </w:numPr>
        <w:tabs>
          <w:tab w:val="clear" w:pos="720"/>
          <w:tab w:val="num" w:pos="0"/>
        </w:tabs>
        <w:spacing w:line="264" w:lineRule="auto"/>
        <w:rPr>
          <w:sz w:val="25"/>
          <w:szCs w:val="25"/>
        </w:rPr>
      </w:pPr>
      <w:r w:rsidRPr="004C7E93">
        <w:rPr>
          <w:b/>
          <w:sz w:val="25"/>
          <w:szCs w:val="25"/>
        </w:rPr>
        <w:lastRenderedPageBreak/>
        <w:t xml:space="preserve">Complaint.  </w:t>
      </w:r>
      <w:r w:rsidRPr="004C7E93">
        <w:rPr>
          <w:sz w:val="25"/>
          <w:szCs w:val="25"/>
        </w:rPr>
        <w:t xml:space="preserve">Ms. </w:t>
      </w:r>
      <w:r w:rsidR="00B2352E">
        <w:rPr>
          <w:sz w:val="25"/>
          <w:szCs w:val="25"/>
        </w:rPr>
        <w:t>Amy Andrews</w:t>
      </w:r>
      <w:r w:rsidRPr="004C7E93">
        <w:rPr>
          <w:sz w:val="25"/>
          <w:szCs w:val="25"/>
        </w:rPr>
        <w:t xml:space="preserve"> testified that </w:t>
      </w:r>
      <w:r w:rsidR="002124C2" w:rsidRPr="004C7E93">
        <w:rPr>
          <w:sz w:val="25"/>
          <w:szCs w:val="25"/>
        </w:rPr>
        <w:t>she reviews the Commission’s Annual Report Tracking System (ARTS) to obtain</w:t>
      </w:r>
      <w:r w:rsidRPr="004C7E93">
        <w:rPr>
          <w:sz w:val="25"/>
          <w:szCs w:val="25"/>
        </w:rPr>
        <w:t xml:space="preserve"> a list of all companies that are delinquent in filing their annual reports</w:t>
      </w:r>
      <w:r w:rsidR="00530FDA" w:rsidRPr="004C7E93">
        <w:rPr>
          <w:sz w:val="25"/>
          <w:szCs w:val="25"/>
        </w:rPr>
        <w:t xml:space="preserve"> or paying their regulatory fees</w:t>
      </w:r>
      <w:r w:rsidRPr="004C7E93">
        <w:rPr>
          <w:sz w:val="25"/>
          <w:szCs w:val="25"/>
        </w:rPr>
        <w:t xml:space="preserve">.  </w:t>
      </w:r>
    </w:p>
    <w:p w14:paraId="2E92EEB0" w14:textId="77777777" w:rsidR="00961458" w:rsidRDefault="00961458" w:rsidP="00961458">
      <w:pPr>
        <w:pStyle w:val="FindingsConclusions"/>
        <w:numPr>
          <w:ilvl w:val="0"/>
          <w:numId w:val="0"/>
        </w:numPr>
        <w:spacing w:line="264" w:lineRule="auto"/>
        <w:rPr>
          <w:sz w:val="25"/>
          <w:szCs w:val="25"/>
        </w:rPr>
      </w:pPr>
    </w:p>
    <w:p w14:paraId="55DBAF53" w14:textId="77777777" w:rsidR="00D158F4" w:rsidRDefault="005877D3" w:rsidP="00961458">
      <w:pPr>
        <w:pStyle w:val="FindingsConclusions"/>
        <w:numPr>
          <w:ilvl w:val="0"/>
          <w:numId w:val="2"/>
        </w:numPr>
        <w:tabs>
          <w:tab w:val="clear" w:pos="720"/>
          <w:tab w:val="num" w:pos="0"/>
        </w:tabs>
        <w:spacing w:line="264" w:lineRule="auto"/>
        <w:rPr>
          <w:sz w:val="25"/>
          <w:szCs w:val="25"/>
        </w:rPr>
      </w:pPr>
      <w:r>
        <w:rPr>
          <w:sz w:val="25"/>
          <w:szCs w:val="25"/>
        </w:rPr>
        <w:t xml:space="preserve">Ethos Communications Group, Inc. </w:t>
      </w:r>
      <w:r w:rsidR="002743B6">
        <w:rPr>
          <w:sz w:val="25"/>
          <w:szCs w:val="25"/>
        </w:rPr>
        <w:t xml:space="preserve">(Ethos) </w:t>
      </w:r>
      <w:r w:rsidR="0058228D">
        <w:rPr>
          <w:sz w:val="25"/>
          <w:szCs w:val="25"/>
        </w:rPr>
        <w:t>is a</w:t>
      </w:r>
      <w:r w:rsidR="00B2352E">
        <w:rPr>
          <w:sz w:val="25"/>
          <w:szCs w:val="25"/>
        </w:rPr>
        <w:t xml:space="preserve"> public service compan</w:t>
      </w:r>
      <w:r w:rsidR="0058228D">
        <w:rPr>
          <w:sz w:val="25"/>
          <w:szCs w:val="25"/>
        </w:rPr>
        <w:t>y</w:t>
      </w:r>
      <w:r w:rsidR="00D158F4" w:rsidRPr="004C7E93">
        <w:rPr>
          <w:sz w:val="25"/>
          <w:szCs w:val="25"/>
        </w:rPr>
        <w:t xml:space="preserve"> as defined </w:t>
      </w:r>
      <w:r w:rsidR="00EC7BF3" w:rsidRPr="004C7E93">
        <w:rPr>
          <w:sz w:val="25"/>
          <w:szCs w:val="25"/>
        </w:rPr>
        <w:t>in RCW </w:t>
      </w:r>
      <w:r w:rsidR="00D158F4" w:rsidRPr="004C7E93">
        <w:rPr>
          <w:sz w:val="25"/>
          <w:szCs w:val="25"/>
        </w:rPr>
        <w:t>8</w:t>
      </w:r>
      <w:r>
        <w:rPr>
          <w:sz w:val="25"/>
          <w:szCs w:val="25"/>
        </w:rPr>
        <w:t>0</w:t>
      </w:r>
      <w:r w:rsidR="00D158F4" w:rsidRPr="004C7E93">
        <w:rPr>
          <w:sz w:val="25"/>
          <w:szCs w:val="25"/>
        </w:rPr>
        <w:t xml:space="preserve">.04.010.  </w:t>
      </w:r>
      <w:r>
        <w:rPr>
          <w:sz w:val="25"/>
          <w:szCs w:val="25"/>
        </w:rPr>
        <w:t>Ethos is registered under RCW 80.36 and WAC 480-121 to provide telecommunications services in Washington</w:t>
      </w:r>
      <w:r w:rsidR="00D158F4" w:rsidRPr="004C7E93">
        <w:rPr>
          <w:sz w:val="25"/>
          <w:szCs w:val="25"/>
        </w:rPr>
        <w:t xml:space="preserve">.  </w:t>
      </w:r>
      <w:r w:rsidR="00AA3B66" w:rsidRPr="004C7E93">
        <w:rPr>
          <w:sz w:val="25"/>
          <w:szCs w:val="25"/>
        </w:rPr>
        <w:t>A</w:t>
      </w:r>
      <w:r>
        <w:rPr>
          <w:sz w:val="25"/>
          <w:szCs w:val="25"/>
        </w:rPr>
        <w:t xml:space="preserve">s such, Ethos </w:t>
      </w:r>
      <w:r w:rsidR="0058228D">
        <w:rPr>
          <w:sz w:val="25"/>
          <w:szCs w:val="25"/>
        </w:rPr>
        <w:t>is</w:t>
      </w:r>
      <w:r w:rsidR="00A75711" w:rsidRPr="004C7E93">
        <w:rPr>
          <w:sz w:val="25"/>
          <w:szCs w:val="25"/>
        </w:rPr>
        <w:t xml:space="preserve"> required to submit </w:t>
      </w:r>
      <w:r w:rsidR="0058228D">
        <w:rPr>
          <w:sz w:val="25"/>
          <w:szCs w:val="25"/>
        </w:rPr>
        <w:t xml:space="preserve">an </w:t>
      </w:r>
      <w:r w:rsidR="00A75711" w:rsidRPr="004C7E93">
        <w:rPr>
          <w:sz w:val="25"/>
          <w:szCs w:val="25"/>
        </w:rPr>
        <w:t>annual report to the Commi</w:t>
      </w:r>
      <w:r w:rsidR="001A7485">
        <w:rPr>
          <w:sz w:val="25"/>
          <w:szCs w:val="25"/>
        </w:rPr>
        <w:t xml:space="preserve">ssion and pay regulatory fees. </w:t>
      </w:r>
      <w:r w:rsidR="00153810">
        <w:rPr>
          <w:sz w:val="25"/>
          <w:szCs w:val="25"/>
        </w:rPr>
        <w:t>A review of</w:t>
      </w:r>
      <w:r w:rsidR="00D158F4" w:rsidRPr="004C7E93">
        <w:rPr>
          <w:sz w:val="25"/>
          <w:szCs w:val="25"/>
        </w:rPr>
        <w:t xml:space="preserve"> the Commission’s files and records</w:t>
      </w:r>
      <w:r w:rsidR="00153810">
        <w:rPr>
          <w:sz w:val="25"/>
          <w:szCs w:val="25"/>
        </w:rPr>
        <w:t xml:space="preserve"> shows</w:t>
      </w:r>
      <w:r w:rsidR="00D158F4" w:rsidRPr="004C7E93">
        <w:rPr>
          <w:sz w:val="25"/>
          <w:szCs w:val="25"/>
        </w:rPr>
        <w:t xml:space="preserve"> that </w:t>
      </w:r>
      <w:r>
        <w:rPr>
          <w:sz w:val="25"/>
          <w:szCs w:val="25"/>
        </w:rPr>
        <w:t xml:space="preserve">Ethos </w:t>
      </w:r>
      <w:r w:rsidR="00D158F4" w:rsidRPr="004C7E93">
        <w:rPr>
          <w:sz w:val="25"/>
          <w:szCs w:val="25"/>
        </w:rPr>
        <w:t xml:space="preserve">failed to </w:t>
      </w:r>
      <w:r w:rsidR="00A75711" w:rsidRPr="004C7E93">
        <w:rPr>
          <w:sz w:val="25"/>
          <w:szCs w:val="25"/>
        </w:rPr>
        <w:t xml:space="preserve">file its annual report </w:t>
      </w:r>
      <w:r w:rsidR="002124C2" w:rsidRPr="004C7E93">
        <w:rPr>
          <w:sz w:val="25"/>
          <w:szCs w:val="25"/>
        </w:rPr>
        <w:t xml:space="preserve">for </w:t>
      </w:r>
      <w:r w:rsidR="00C210F9">
        <w:rPr>
          <w:sz w:val="25"/>
          <w:szCs w:val="25"/>
        </w:rPr>
        <w:t>201</w:t>
      </w:r>
      <w:r w:rsidR="00B2352E">
        <w:rPr>
          <w:sz w:val="25"/>
          <w:szCs w:val="25"/>
        </w:rPr>
        <w:t>3</w:t>
      </w:r>
      <w:r w:rsidR="00A75711" w:rsidRPr="004C7E93">
        <w:rPr>
          <w:sz w:val="25"/>
          <w:szCs w:val="25"/>
        </w:rPr>
        <w:t xml:space="preserve"> and failed to </w:t>
      </w:r>
      <w:r w:rsidR="00D158F4" w:rsidRPr="004C7E93">
        <w:rPr>
          <w:sz w:val="25"/>
          <w:szCs w:val="25"/>
        </w:rPr>
        <w:t xml:space="preserve">pay </w:t>
      </w:r>
      <w:r w:rsidR="00AA3B66" w:rsidRPr="004C7E93">
        <w:rPr>
          <w:sz w:val="25"/>
          <w:szCs w:val="25"/>
        </w:rPr>
        <w:t>regulatory fees</w:t>
      </w:r>
      <w:r w:rsidR="00A75711" w:rsidRPr="004C7E93">
        <w:rPr>
          <w:sz w:val="25"/>
          <w:szCs w:val="25"/>
        </w:rPr>
        <w:t xml:space="preserve">.  </w:t>
      </w:r>
      <w:r w:rsidR="00EB7F77" w:rsidRPr="004C7E93">
        <w:rPr>
          <w:sz w:val="25"/>
          <w:szCs w:val="25"/>
        </w:rPr>
        <w:t xml:space="preserve">Moreover, </w:t>
      </w:r>
      <w:r>
        <w:rPr>
          <w:sz w:val="25"/>
          <w:szCs w:val="25"/>
        </w:rPr>
        <w:t xml:space="preserve">Ethos </w:t>
      </w:r>
      <w:r w:rsidR="00EB7F77" w:rsidRPr="004C7E93">
        <w:rPr>
          <w:sz w:val="25"/>
          <w:szCs w:val="25"/>
        </w:rPr>
        <w:t xml:space="preserve">failed to appear at the time and place scheduled for hearing in this matter and is in default.  </w:t>
      </w:r>
      <w:r w:rsidR="000B1EFE" w:rsidRPr="004C7E93">
        <w:rPr>
          <w:sz w:val="25"/>
          <w:szCs w:val="25"/>
        </w:rPr>
        <w:t xml:space="preserve">Accordingly, </w:t>
      </w:r>
      <w:r>
        <w:rPr>
          <w:sz w:val="25"/>
          <w:szCs w:val="25"/>
        </w:rPr>
        <w:t>Ethos</w:t>
      </w:r>
      <w:r w:rsidR="002743B6">
        <w:rPr>
          <w:sz w:val="25"/>
          <w:szCs w:val="25"/>
        </w:rPr>
        <w:t>’s</w:t>
      </w:r>
      <w:r>
        <w:rPr>
          <w:sz w:val="25"/>
          <w:szCs w:val="25"/>
        </w:rPr>
        <w:t xml:space="preserve"> telecommunications registration should be revoked</w:t>
      </w:r>
      <w:r w:rsidR="000B1EFE" w:rsidRPr="004C7E93">
        <w:rPr>
          <w:sz w:val="25"/>
          <w:szCs w:val="25"/>
        </w:rPr>
        <w:t xml:space="preserve">. </w:t>
      </w:r>
      <w:r w:rsidR="00A75711" w:rsidRPr="004C7E93">
        <w:rPr>
          <w:sz w:val="25"/>
          <w:szCs w:val="25"/>
        </w:rPr>
        <w:t xml:space="preserve"> </w:t>
      </w:r>
    </w:p>
    <w:p w14:paraId="67E1F7BD" w14:textId="77777777" w:rsidR="00961458" w:rsidRDefault="00961458" w:rsidP="00961458">
      <w:pPr>
        <w:pStyle w:val="FindingsConclusions"/>
        <w:numPr>
          <w:ilvl w:val="0"/>
          <w:numId w:val="0"/>
        </w:numPr>
        <w:spacing w:line="264" w:lineRule="auto"/>
        <w:rPr>
          <w:sz w:val="25"/>
          <w:szCs w:val="25"/>
        </w:rPr>
      </w:pPr>
    </w:p>
    <w:p w14:paraId="62E9FFC6" w14:textId="77777777" w:rsidR="005877D3" w:rsidRDefault="005877D3" w:rsidP="00961458">
      <w:pPr>
        <w:pStyle w:val="FindingsConclusions"/>
        <w:numPr>
          <w:ilvl w:val="0"/>
          <w:numId w:val="2"/>
        </w:numPr>
        <w:tabs>
          <w:tab w:val="clear" w:pos="720"/>
          <w:tab w:val="num" w:pos="0"/>
        </w:tabs>
        <w:spacing w:line="264" w:lineRule="auto"/>
        <w:rPr>
          <w:sz w:val="25"/>
          <w:szCs w:val="25"/>
        </w:rPr>
      </w:pPr>
      <w:r>
        <w:rPr>
          <w:sz w:val="25"/>
          <w:szCs w:val="25"/>
        </w:rPr>
        <w:t>Go Solo Technologies, Inc.</w:t>
      </w:r>
      <w:r w:rsidR="002743B6">
        <w:rPr>
          <w:sz w:val="25"/>
          <w:szCs w:val="25"/>
        </w:rPr>
        <w:t xml:space="preserve"> (Go Solo)</w:t>
      </w:r>
      <w:r>
        <w:rPr>
          <w:sz w:val="25"/>
          <w:szCs w:val="25"/>
        </w:rPr>
        <w:t xml:space="preserve"> is a public service company</w:t>
      </w:r>
      <w:r w:rsidRPr="004C7E93">
        <w:rPr>
          <w:sz w:val="25"/>
          <w:szCs w:val="25"/>
        </w:rPr>
        <w:t xml:space="preserve"> as defined in RCW 8</w:t>
      </w:r>
      <w:r>
        <w:rPr>
          <w:sz w:val="25"/>
          <w:szCs w:val="25"/>
        </w:rPr>
        <w:t>0</w:t>
      </w:r>
      <w:r w:rsidRPr="004C7E93">
        <w:rPr>
          <w:sz w:val="25"/>
          <w:szCs w:val="25"/>
        </w:rPr>
        <w:t xml:space="preserve">.04.010.  </w:t>
      </w:r>
      <w:r>
        <w:rPr>
          <w:sz w:val="25"/>
          <w:szCs w:val="25"/>
        </w:rPr>
        <w:t>Go Solo is registered under RCW 80.36 and WAC 480-121 to provide telecommunications services in Washington</w:t>
      </w:r>
      <w:r w:rsidRPr="004C7E93">
        <w:rPr>
          <w:sz w:val="25"/>
          <w:szCs w:val="25"/>
        </w:rPr>
        <w:t>.  A</w:t>
      </w:r>
      <w:r>
        <w:rPr>
          <w:sz w:val="25"/>
          <w:szCs w:val="25"/>
        </w:rPr>
        <w:t>s such, Go Solo is</w:t>
      </w:r>
      <w:r w:rsidRPr="004C7E93">
        <w:rPr>
          <w:sz w:val="25"/>
          <w:szCs w:val="25"/>
        </w:rPr>
        <w:t xml:space="preserve"> required to submit </w:t>
      </w:r>
      <w:r>
        <w:rPr>
          <w:sz w:val="25"/>
          <w:szCs w:val="25"/>
        </w:rPr>
        <w:t xml:space="preserve">an </w:t>
      </w:r>
      <w:r w:rsidRPr="004C7E93">
        <w:rPr>
          <w:sz w:val="25"/>
          <w:szCs w:val="25"/>
        </w:rPr>
        <w:t>annual report to the Commi</w:t>
      </w:r>
      <w:r>
        <w:rPr>
          <w:sz w:val="25"/>
          <w:szCs w:val="25"/>
        </w:rPr>
        <w:t>ssion and pay regulatory fees. A review of</w:t>
      </w:r>
      <w:r w:rsidRPr="004C7E93">
        <w:rPr>
          <w:sz w:val="25"/>
          <w:szCs w:val="25"/>
        </w:rPr>
        <w:t xml:space="preserve"> the Commission’s files and records</w:t>
      </w:r>
      <w:r>
        <w:rPr>
          <w:sz w:val="25"/>
          <w:szCs w:val="25"/>
        </w:rPr>
        <w:t xml:space="preserve"> shows</w:t>
      </w:r>
      <w:r w:rsidRPr="004C7E93">
        <w:rPr>
          <w:sz w:val="25"/>
          <w:szCs w:val="25"/>
        </w:rPr>
        <w:t xml:space="preserve"> that </w:t>
      </w:r>
      <w:r>
        <w:rPr>
          <w:sz w:val="25"/>
          <w:szCs w:val="25"/>
        </w:rPr>
        <w:t xml:space="preserve">Go Solo </w:t>
      </w:r>
      <w:r w:rsidRPr="004C7E93">
        <w:rPr>
          <w:sz w:val="25"/>
          <w:szCs w:val="25"/>
        </w:rPr>
        <w:t xml:space="preserve">failed to file its annual report for </w:t>
      </w:r>
      <w:r>
        <w:rPr>
          <w:sz w:val="25"/>
          <w:szCs w:val="25"/>
        </w:rPr>
        <w:t>2013</w:t>
      </w:r>
      <w:r w:rsidRPr="004C7E93">
        <w:rPr>
          <w:sz w:val="25"/>
          <w:szCs w:val="25"/>
        </w:rPr>
        <w:t xml:space="preserve"> and failed to pay regulatory fees.  Moreover, </w:t>
      </w:r>
      <w:r>
        <w:rPr>
          <w:sz w:val="25"/>
          <w:szCs w:val="25"/>
        </w:rPr>
        <w:t xml:space="preserve">Go Solo </w:t>
      </w:r>
      <w:r w:rsidRPr="004C7E93">
        <w:rPr>
          <w:sz w:val="25"/>
          <w:szCs w:val="25"/>
        </w:rPr>
        <w:t xml:space="preserve">failed to appear at the time and place scheduled for hearing in this matter and is in default.  Accordingly, </w:t>
      </w:r>
      <w:r>
        <w:rPr>
          <w:sz w:val="25"/>
          <w:szCs w:val="25"/>
        </w:rPr>
        <w:t>Go Solo’s telecommunications registration should be revoked</w:t>
      </w:r>
      <w:r w:rsidRPr="004C7E93">
        <w:rPr>
          <w:sz w:val="25"/>
          <w:szCs w:val="25"/>
        </w:rPr>
        <w:t xml:space="preserve">.  </w:t>
      </w:r>
    </w:p>
    <w:p w14:paraId="46064145" w14:textId="77777777" w:rsidR="00961458" w:rsidRDefault="00961458" w:rsidP="00961458">
      <w:pPr>
        <w:pStyle w:val="FindingsConclusions"/>
        <w:numPr>
          <w:ilvl w:val="0"/>
          <w:numId w:val="0"/>
        </w:numPr>
        <w:spacing w:line="264" w:lineRule="auto"/>
        <w:rPr>
          <w:sz w:val="25"/>
          <w:szCs w:val="25"/>
        </w:rPr>
      </w:pPr>
    </w:p>
    <w:p w14:paraId="7902D4F2" w14:textId="77777777" w:rsidR="005877D3" w:rsidRDefault="005877D3" w:rsidP="00961458">
      <w:pPr>
        <w:pStyle w:val="FindingsConclusions"/>
        <w:numPr>
          <w:ilvl w:val="0"/>
          <w:numId w:val="2"/>
        </w:numPr>
        <w:tabs>
          <w:tab w:val="clear" w:pos="720"/>
          <w:tab w:val="num" w:pos="0"/>
        </w:tabs>
        <w:spacing w:line="264" w:lineRule="auto"/>
        <w:rPr>
          <w:sz w:val="25"/>
          <w:szCs w:val="25"/>
        </w:rPr>
      </w:pPr>
      <w:r>
        <w:rPr>
          <w:sz w:val="25"/>
          <w:szCs w:val="25"/>
        </w:rPr>
        <w:t xml:space="preserve">IBFA Acquisition Company, LLC </w:t>
      </w:r>
      <w:r w:rsidR="002743B6">
        <w:rPr>
          <w:sz w:val="25"/>
          <w:szCs w:val="25"/>
        </w:rPr>
        <w:t xml:space="preserve">(IBFA) </w:t>
      </w:r>
      <w:r>
        <w:rPr>
          <w:sz w:val="25"/>
          <w:szCs w:val="25"/>
        </w:rPr>
        <w:t>is a public service company</w:t>
      </w:r>
      <w:r w:rsidRPr="004C7E93">
        <w:rPr>
          <w:sz w:val="25"/>
          <w:szCs w:val="25"/>
        </w:rPr>
        <w:t xml:space="preserve"> as defined in RCW 8</w:t>
      </w:r>
      <w:r>
        <w:rPr>
          <w:sz w:val="25"/>
          <w:szCs w:val="25"/>
        </w:rPr>
        <w:t>0</w:t>
      </w:r>
      <w:r w:rsidRPr="004C7E93">
        <w:rPr>
          <w:sz w:val="25"/>
          <w:szCs w:val="25"/>
        </w:rPr>
        <w:t xml:space="preserve">.04.010.  </w:t>
      </w:r>
      <w:r>
        <w:rPr>
          <w:sz w:val="25"/>
          <w:szCs w:val="25"/>
        </w:rPr>
        <w:t>IBFA is registered under RCW 80.36 and WAC 480-121 to provide telecommunications services in Washington</w:t>
      </w:r>
      <w:r w:rsidRPr="004C7E93">
        <w:rPr>
          <w:sz w:val="25"/>
          <w:szCs w:val="25"/>
        </w:rPr>
        <w:t>.  A</w:t>
      </w:r>
      <w:r>
        <w:rPr>
          <w:sz w:val="25"/>
          <w:szCs w:val="25"/>
        </w:rPr>
        <w:t>s such, IBFA is</w:t>
      </w:r>
      <w:r w:rsidRPr="004C7E93">
        <w:rPr>
          <w:sz w:val="25"/>
          <w:szCs w:val="25"/>
        </w:rPr>
        <w:t xml:space="preserve"> required to submit </w:t>
      </w:r>
      <w:r>
        <w:rPr>
          <w:sz w:val="25"/>
          <w:szCs w:val="25"/>
        </w:rPr>
        <w:t xml:space="preserve">an </w:t>
      </w:r>
      <w:r w:rsidRPr="004C7E93">
        <w:rPr>
          <w:sz w:val="25"/>
          <w:szCs w:val="25"/>
        </w:rPr>
        <w:t>annual report to the Commi</w:t>
      </w:r>
      <w:r>
        <w:rPr>
          <w:sz w:val="25"/>
          <w:szCs w:val="25"/>
        </w:rPr>
        <w:t>ssion and pay regulatory fees. A review of</w:t>
      </w:r>
      <w:r w:rsidRPr="004C7E93">
        <w:rPr>
          <w:sz w:val="25"/>
          <w:szCs w:val="25"/>
        </w:rPr>
        <w:t xml:space="preserve"> the Commission’s files and records</w:t>
      </w:r>
      <w:r>
        <w:rPr>
          <w:sz w:val="25"/>
          <w:szCs w:val="25"/>
        </w:rPr>
        <w:t xml:space="preserve"> shows</w:t>
      </w:r>
      <w:r w:rsidRPr="004C7E93">
        <w:rPr>
          <w:sz w:val="25"/>
          <w:szCs w:val="25"/>
        </w:rPr>
        <w:t xml:space="preserve"> that </w:t>
      </w:r>
      <w:r>
        <w:rPr>
          <w:sz w:val="25"/>
          <w:szCs w:val="25"/>
        </w:rPr>
        <w:t xml:space="preserve">IBFA </w:t>
      </w:r>
      <w:r w:rsidRPr="004C7E93">
        <w:rPr>
          <w:sz w:val="25"/>
          <w:szCs w:val="25"/>
        </w:rPr>
        <w:t xml:space="preserve">failed to file its annual report for </w:t>
      </w:r>
      <w:r>
        <w:rPr>
          <w:sz w:val="25"/>
          <w:szCs w:val="25"/>
        </w:rPr>
        <w:t>2013</w:t>
      </w:r>
      <w:r w:rsidRPr="004C7E93">
        <w:rPr>
          <w:sz w:val="25"/>
          <w:szCs w:val="25"/>
        </w:rPr>
        <w:t xml:space="preserve"> and failed to pay regulatory fees.  Moreover, </w:t>
      </w:r>
      <w:r>
        <w:rPr>
          <w:sz w:val="25"/>
          <w:szCs w:val="25"/>
        </w:rPr>
        <w:t xml:space="preserve">IBFA </w:t>
      </w:r>
      <w:r w:rsidRPr="004C7E93">
        <w:rPr>
          <w:sz w:val="25"/>
          <w:szCs w:val="25"/>
        </w:rPr>
        <w:t xml:space="preserve">failed to appear at the time and place scheduled for hearing in this matter and is in default.  Accordingly, </w:t>
      </w:r>
      <w:r>
        <w:rPr>
          <w:sz w:val="25"/>
          <w:szCs w:val="25"/>
        </w:rPr>
        <w:t>IBFA’s telecommunications registration should be revoked</w:t>
      </w:r>
      <w:r w:rsidRPr="004C7E93">
        <w:rPr>
          <w:sz w:val="25"/>
          <w:szCs w:val="25"/>
        </w:rPr>
        <w:t xml:space="preserve">.  </w:t>
      </w:r>
    </w:p>
    <w:p w14:paraId="7CB042CB" w14:textId="77777777" w:rsidR="00961458" w:rsidRDefault="00961458" w:rsidP="00961458">
      <w:pPr>
        <w:pStyle w:val="FindingsConclusions"/>
        <w:numPr>
          <w:ilvl w:val="0"/>
          <w:numId w:val="0"/>
        </w:numPr>
        <w:spacing w:line="264" w:lineRule="auto"/>
        <w:rPr>
          <w:sz w:val="25"/>
          <w:szCs w:val="25"/>
        </w:rPr>
      </w:pPr>
    </w:p>
    <w:p w14:paraId="10FF61C1" w14:textId="77777777" w:rsidR="005877D3" w:rsidRDefault="005877D3" w:rsidP="00961458">
      <w:pPr>
        <w:pStyle w:val="FindingsConclusions"/>
        <w:numPr>
          <w:ilvl w:val="0"/>
          <w:numId w:val="2"/>
        </w:numPr>
        <w:tabs>
          <w:tab w:val="clear" w:pos="720"/>
          <w:tab w:val="num" w:pos="0"/>
        </w:tabs>
        <w:spacing w:line="264" w:lineRule="auto"/>
        <w:rPr>
          <w:sz w:val="25"/>
          <w:szCs w:val="25"/>
        </w:rPr>
      </w:pPr>
      <w:r>
        <w:rPr>
          <w:sz w:val="25"/>
          <w:szCs w:val="25"/>
        </w:rPr>
        <w:t xml:space="preserve">Inmate Communications Corporation </w:t>
      </w:r>
      <w:r w:rsidR="002743B6">
        <w:rPr>
          <w:sz w:val="25"/>
          <w:szCs w:val="25"/>
        </w:rPr>
        <w:t xml:space="preserve">(Inmate) </w:t>
      </w:r>
      <w:r>
        <w:rPr>
          <w:sz w:val="25"/>
          <w:szCs w:val="25"/>
        </w:rPr>
        <w:t>is a public service company</w:t>
      </w:r>
      <w:r w:rsidRPr="004C7E93">
        <w:rPr>
          <w:sz w:val="25"/>
          <w:szCs w:val="25"/>
        </w:rPr>
        <w:t xml:space="preserve"> as defined in RCW 8</w:t>
      </w:r>
      <w:r>
        <w:rPr>
          <w:sz w:val="25"/>
          <w:szCs w:val="25"/>
        </w:rPr>
        <w:t>0</w:t>
      </w:r>
      <w:r w:rsidRPr="004C7E93">
        <w:rPr>
          <w:sz w:val="25"/>
          <w:szCs w:val="25"/>
        </w:rPr>
        <w:t xml:space="preserve">.04.010.  </w:t>
      </w:r>
      <w:r>
        <w:rPr>
          <w:sz w:val="25"/>
          <w:szCs w:val="25"/>
        </w:rPr>
        <w:t>Inmate is registered under RCW 80.36 and WAC 480-121 to provide telecommunications services in Washington</w:t>
      </w:r>
      <w:r w:rsidRPr="004C7E93">
        <w:rPr>
          <w:sz w:val="25"/>
          <w:szCs w:val="25"/>
        </w:rPr>
        <w:t>.  A</w:t>
      </w:r>
      <w:r>
        <w:rPr>
          <w:sz w:val="25"/>
          <w:szCs w:val="25"/>
        </w:rPr>
        <w:t>s such, Inmate is</w:t>
      </w:r>
      <w:r w:rsidRPr="004C7E93">
        <w:rPr>
          <w:sz w:val="25"/>
          <w:szCs w:val="25"/>
        </w:rPr>
        <w:t xml:space="preserve"> required to submit </w:t>
      </w:r>
      <w:r>
        <w:rPr>
          <w:sz w:val="25"/>
          <w:szCs w:val="25"/>
        </w:rPr>
        <w:t xml:space="preserve">an </w:t>
      </w:r>
      <w:r w:rsidRPr="004C7E93">
        <w:rPr>
          <w:sz w:val="25"/>
          <w:szCs w:val="25"/>
        </w:rPr>
        <w:t>annual report to the Commi</w:t>
      </w:r>
      <w:r>
        <w:rPr>
          <w:sz w:val="25"/>
          <w:szCs w:val="25"/>
        </w:rPr>
        <w:t>ssion and pay regulatory fees. A review of</w:t>
      </w:r>
      <w:r w:rsidRPr="004C7E93">
        <w:rPr>
          <w:sz w:val="25"/>
          <w:szCs w:val="25"/>
        </w:rPr>
        <w:t xml:space="preserve"> the Commission’s files and records</w:t>
      </w:r>
      <w:r>
        <w:rPr>
          <w:sz w:val="25"/>
          <w:szCs w:val="25"/>
        </w:rPr>
        <w:t xml:space="preserve"> shows</w:t>
      </w:r>
      <w:r w:rsidRPr="004C7E93">
        <w:rPr>
          <w:sz w:val="25"/>
          <w:szCs w:val="25"/>
        </w:rPr>
        <w:t xml:space="preserve"> that </w:t>
      </w:r>
      <w:r>
        <w:rPr>
          <w:sz w:val="25"/>
          <w:szCs w:val="25"/>
        </w:rPr>
        <w:t xml:space="preserve">Inmate </w:t>
      </w:r>
      <w:r w:rsidRPr="004C7E93">
        <w:rPr>
          <w:sz w:val="25"/>
          <w:szCs w:val="25"/>
        </w:rPr>
        <w:t xml:space="preserve">failed to file its annual report for </w:t>
      </w:r>
      <w:r>
        <w:rPr>
          <w:sz w:val="25"/>
          <w:szCs w:val="25"/>
        </w:rPr>
        <w:t>2013</w:t>
      </w:r>
      <w:r w:rsidRPr="004C7E93">
        <w:rPr>
          <w:sz w:val="25"/>
          <w:szCs w:val="25"/>
        </w:rPr>
        <w:t xml:space="preserve"> and failed to pay regulatory fees.  Moreover, </w:t>
      </w:r>
      <w:r>
        <w:rPr>
          <w:sz w:val="25"/>
          <w:szCs w:val="25"/>
        </w:rPr>
        <w:t xml:space="preserve">Inmate </w:t>
      </w:r>
      <w:r w:rsidRPr="004C7E93">
        <w:rPr>
          <w:sz w:val="25"/>
          <w:szCs w:val="25"/>
        </w:rPr>
        <w:t xml:space="preserve">failed to appear at the time </w:t>
      </w:r>
      <w:r w:rsidRPr="004C7E93">
        <w:rPr>
          <w:sz w:val="25"/>
          <w:szCs w:val="25"/>
        </w:rPr>
        <w:lastRenderedPageBreak/>
        <w:t xml:space="preserve">and place scheduled for hearing in this matter and is in default.  Accordingly, </w:t>
      </w:r>
      <w:r w:rsidR="002743B6">
        <w:rPr>
          <w:sz w:val="25"/>
          <w:szCs w:val="25"/>
        </w:rPr>
        <w:t xml:space="preserve">Inmate’s </w:t>
      </w:r>
      <w:r>
        <w:rPr>
          <w:sz w:val="25"/>
          <w:szCs w:val="25"/>
        </w:rPr>
        <w:t>telecommunications registration should be revoked</w:t>
      </w:r>
      <w:r w:rsidRPr="004C7E93">
        <w:rPr>
          <w:sz w:val="25"/>
          <w:szCs w:val="25"/>
        </w:rPr>
        <w:t xml:space="preserve">.  </w:t>
      </w:r>
    </w:p>
    <w:p w14:paraId="3055F445" w14:textId="77777777" w:rsidR="00961458" w:rsidRDefault="00961458" w:rsidP="00961458">
      <w:pPr>
        <w:pStyle w:val="FindingsConclusions"/>
        <w:numPr>
          <w:ilvl w:val="0"/>
          <w:numId w:val="0"/>
        </w:numPr>
        <w:spacing w:line="264" w:lineRule="auto"/>
        <w:rPr>
          <w:sz w:val="25"/>
          <w:szCs w:val="25"/>
        </w:rPr>
      </w:pPr>
    </w:p>
    <w:p w14:paraId="6C88B5A8" w14:textId="77777777" w:rsidR="005877D3" w:rsidRDefault="005877D3" w:rsidP="00961458">
      <w:pPr>
        <w:pStyle w:val="FindingsConclusions"/>
        <w:numPr>
          <w:ilvl w:val="0"/>
          <w:numId w:val="2"/>
        </w:numPr>
        <w:tabs>
          <w:tab w:val="clear" w:pos="720"/>
          <w:tab w:val="num" w:pos="0"/>
        </w:tabs>
        <w:spacing w:line="264" w:lineRule="auto"/>
        <w:rPr>
          <w:sz w:val="25"/>
          <w:szCs w:val="25"/>
        </w:rPr>
      </w:pPr>
      <w:r>
        <w:rPr>
          <w:sz w:val="25"/>
          <w:szCs w:val="25"/>
        </w:rPr>
        <w:t xml:space="preserve">Net Talk.com, Inc. </w:t>
      </w:r>
      <w:r w:rsidR="002743B6">
        <w:rPr>
          <w:sz w:val="25"/>
          <w:szCs w:val="25"/>
        </w:rPr>
        <w:t xml:space="preserve">(Net Talk.com) </w:t>
      </w:r>
      <w:r>
        <w:rPr>
          <w:sz w:val="25"/>
          <w:szCs w:val="25"/>
        </w:rPr>
        <w:t>is a public service company</w:t>
      </w:r>
      <w:r w:rsidRPr="004C7E93">
        <w:rPr>
          <w:sz w:val="25"/>
          <w:szCs w:val="25"/>
        </w:rPr>
        <w:t xml:space="preserve"> as defined in RCW 8</w:t>
      </w:r>
      <w:r>
        <w:rPr>
          <w:sz w:val="25"/>
          <w:szCs w:val="25"/>
        </w:rPr>
        <w:t>0</w:t>
      </w:r>
      <w:r w:rsidRPr="004C7E93">
        <w:rPr>
          <w:sz w:val="25"/>
          <w:szCs w:val="25"/>
        </w:rPr>
        <w:t xml:space="preserve">.04.010.  </w:t>
      </w:r>
      <w:r>
        <w:rPr>
          <w:sz w:val="25"/>
          <w:szCs w:val="25"/>
        </w:rPr>
        <w:t>Net Talk.com</w:t>
      </w:r>
      <w:r w:rsidR="002743B6">
        <w:rPr>
          <w:sz w:val="25"/>
          <w:szCs w:val="25"/>
        </w:rPr>
        <w:t xml:space="preserve"> </w:t>
      </w:r>
      <w:r>
        <w:rPr>
          <w:sz w:val="25"/>
          <w:szCs w:val="25"/>
        </w:rPr>
        <w:t>is registered under RCW 80.36 and WAC 480-121 to provide telecommunications services in Washington</w:t>
      </w:r>
      <w:r w:rsidRPr="004C7E93">
        <w:rPr>
          <w:sz w:val="25"/>
          <w:szCs w:val="25"/>
        </w:rPr>
        <w:t>.  A</w:t>
      </w:r>
      <w:r>
        <w:rPr>
          <w:sz w:val="25"/>
          <w:szCs w:val="25"/>
        </w:rPr>
        <w:t>s such, Net Talk.com is</w:t>
      </w:r>
      <w:r w:rsidRPr="004C7E93">
        <w:rPr>
          <w:sz w:val="25"/>
          <w:szCs w:val="25"/>
        </w:rPr>
        <w:t xml:space="preserve"> required to submit </w:t>
      </w:r>
      <w:r>
        <w:rPr>
          <w:sz w:val="25"/>
          <w:szCs w:val="25"/>
        </w:rPr>
        <w:t xml:space="preserve">an </w:t>
      </w:r>
      <w:r w:rsidRPr="004C7E93">
        <w:rPr>
          <w:sz w:val="25"/>
          <w:szCs w:val="25"/>
        </w:rPr>
        <w:t>annual report to the Commi</w:t>
      </w:r>
      <w:r>
        <w:rPr>
          <w:sz w:val="25"/>
          <w:szCs w:val="25"/>
        </w:rPr>
        <w:t>ssion and pay regulatory fees. A review of</w:t>
      </w:r>
      <w:r w:rsidRPr="004C7E93">
        <w:rPr>
          <w:sz w:val="25"/>
          <w:szCs w:val="25"/>
        </w:rPr>
        <w:t xml:space="preserve"> the Commission’s files and records</w:t>
      </w:r>
      <w:r>
        <w:rPr>
          <w:sz w:val="25"/>
          <w:szCs w:val="25"/>
        </w:rPr>
        <w:t xml:space="preserve"> shows</w:t>
      </w:r>
      <w:r w:rsidRPr="004C7E93">
        <w:rPr>
          <w:sz w:val="25"/>
          <w:szCs w:val="25"/>
        </w:rPr>
        <w:t xml:space="preserve"> that </w:t>
      </w:r>
      <w:r>
        <w:rPr>
          <w:sz w:val="25"/>
          <w:szCs w:val="25"/>
        </w:rPr>
        <w:t xml:space="preserve">Net Talk.com </w:t>
      </w:r>
      <w:r w:rsidRPr="004C7E93">
        <w:rPr>
          <w:sz w:val="25"/>
          <w:szCs w:val="25"/>
        </w:rPr>
        <w:t xml:space="preserve">failed to file its annual report for </w:t>
      </w:r>
      <w:r>
        <w:rPr>
          <w:sz w:val="25"/>
          <w:szCs w:val="25"/>
        </w:rPr>
        <w:t>2013</w:t>
      </w:r>
      <w:r w:rsidRPr="004C7E93">
        <w:rPr>
          <w:sz w:val="25"/>
          <w:szCs w:val="25"/>
        </w:rPr>
        <w:t xml:space="preserve"> and failed to pay regulatory fees.  Moreover, </w:t>
      </w:r>
      <w:r>
        <w:rPr>
          <w:sz w:val="25"/>
          <w:szCs w:val="25"/>
        </w:rPr>
        <w:t xml:space="preserve">Net Talk.com </w:t>
      </w:r>
      <w:r w:rsidRPr="004C7E93">
        <w:rPr>
          <w:sz w:val="25"/>
          <w:szCs w:val="25"/>
        </w:rPr>
        <w:t xml:space="preserve">failed to appear at the time and place scheduled for hearing in this matter and is in default.  Accordingly, </w:t>
      </w:r>
      <w:r>
        <w:rPr>
          <w:sz w:val="25"/>
          <w:szCs w:val="25"/>
        </w:rPr>
        <w:t>Net Talk.com’s telecommunications registration should be revoked</w:t>
      </w:r>
      <w:r w:rsidRPr="004C7E93">
        <w:rPr>
          <w:sz w:val="25"/>
          <w:szCs w:val="25"/>
        </w:rPr>
        <w:t xml:space="preserve">.  </w:t>
      </w:r>
    </w:p>
    <w:p w14:paraId="53ADEFE2" w14:textId="77777777" w:rsidR="00961458" w:rsidRDefault="00961458" w:rsidP="00961458">
      <w:pPr>
        <w:pStyle w:val="FindingsConclusions"/>
        <w:numPr>
          <w:ilvl w:val="0"/>
          <w:numId w:val="0"/>
        </w:numPr>
        <w:spacing w:line="264" w:lineRule="auto"/>
        <w:rPr>
          <w:sz w:val="25"/>
          <w:szCs w:val="25"/>
        </w:rPr>
      </w:pPr>
    </w:p>
    <w:p w14:paraId="52D882B3" w14:textId="77777777" w:rsidR="005877D3" w:rsidRDefault="005877D3" w:rsidP="00961458">
      <w:pPr>
        <w:pStyle w:val="FindingsConclusions"/>
        <w:numPr>
          <w:ilvl w:val="0"/>
          <w:numId w:val="2"/>
        </w:numPr>
        <w:tabs>
          <w:tab w:val="clear" w:pos="720"/>
          <w:tab w:val="num" w:pos="0"/>
        </w:tabs>
        <w:spacing w:line="264" w:lineRule="auto"/>
        <w:rPr>
          <w:sz w:val="25"/>
          <w:szCs w:val="25"/>
        </w:rPr>
      </w:pPr>
      <w:r>
        <w:rPr>
          <w:sz w:val="25"/>
          <w:szCs w:val="25"/>
        </w:rPr>
        <w:t xml:space="preserve">Tcast Communications, Inc. </w:t>
      </w:r>
      <w:r w:rsidR="002743B6">
        <w:rPr>
          <w:sz w:val="25"/>
          <w:szCs w:val="25"/>
        </w:rPr>
        <w:t xml:space="preserve">(Tcast) </w:t>
      </w:r>
      <w:r>
        <w:rPr>
          <w:sz w:val="25"/>
          <w:szCs w:val="25"/>
        </w:rPr>
        <w:t>is a public service company</w:t>
      </w:r>
      <w:r w:rsidRPr="004C7E93">
        <w:rPr>
          <w:sz w:val="25"/>
          <w:szCs w:val="25"/>
        </w:rPr>
        <w:t xml:space="preserve"> as defined in RCW 8</w:t>
      </w:r>
      <w:r>
        <w:rPr>
          <w:sz w:val="25"/>
          <w:szCs w:val="25"/>
        </w:rPr>
        <w:t>0</w:t>
      </w:r>
      <w:r w:rsidRPr="004C7E93">
        <w:rPr>
          <w:sz w:val="25"/>
          <w:szCs w:val="25"/>
        </w:rPr>
        <w:t xml:space="preserve">.04.010.  </w:t>
      </w:r>
      <w:r>
        <w:rPr>
          <w:sz w:val="25"/>
          <w:szCs w:val="25"/>
        </w:rPr>
        <w:t>Tcast is registered under RCW 80.36 and WAC 480-121 to provide telecommunications services in Washington</w:t>
      </w:r>
      <w:r w:rsidRPr="004C7E93">
        <w:rPr>
          <w:sz w:val="25"/>
          <w:szCs w:val="25"/>
        </w:rPr>
        <w:t>.  A</w:t>
      </w:r>
      <w:r>
        <w:rPr>
          <w:sz w:val="25"/>
          <w:szCs w:val="25"/>
        </w:rPr>
        <w:t>s such, Tcast is</w:t>
      </w:r>
      <w:r w:rsidRPr="004C7E93">
        <w:rPr>
          <w:sz w:val="25"/>
          <w:szCs w:val="25"/>
        </w:rPr>
        <w:t xml:space="preserve"> required to submit </w:t>
      </w:r>
      <w:r>
        <w:rPr>
          <w:sz w:val="25"/>
          <w:szCs w:val="25"/>
        </w:rPr>
        <w:t xml:space="preserve">an </w:t>
      </w:r>
      <w:r w:rsidRPr="004C7E93">
        <w:rPr>
          <w:sz w:val="25"/>
          <w:szCs w:val="25"/>
        </w:rPr>
        <w:t>annual report to the Commi</w:t>
      </w:r>
      <w:r>
        <w:rPr>
          <w:sz w:val="25"/>
          <w:szCs w:val="25"/>
        </w:rPr>
        <w:t>ssion and pay regulatory fees. A review of</w:t>
      </w:r>
      <w:r w:rsidRPr="004C7E93">
        <w:rPr>
          <w:sz w:val="25"/>
          <w:szCs w:val="25"/>
        </w:rPr>
        <w:t xml:space="preserve"> the Commission’s files and records</w:t>
      </w:r>
      <w:r>
        <w:rPr>
          <w:sz w:val="25"/>
          <w:szCs w:val="25"/>
        </w:rPr>
        <w:t xml:space="preserve"> shows</w:t>
      </w:r>
      <w:r w:rsidRPr="004C7E93">
        <w:rPr>
          <w:sz w:val="25"/>
          <w:szCs w:val="25"/>
        </w:rPr>
        <w:t xml:space="preserve"> that </w:t>
      </w:r>
      <w:r>
        <w:rPr>
          <w:sz w:val="25"/>
          <w:szCs w:val="25"/>
        </w:rPr>
        <w:t xml:space="preserve">Tcast </w:t>
      </w:r>
      <w:r w:rsidRPr="004C7E93">
        <w:rPr>
          <w:sz w:val="25"/>
          <w:szCs w:val="25"/>
        </w:rPr>
        <w:t xml:space="preserve">failed to file its annual report for </w:t>
      </w:r>
      <w:r>
        <w:rPr>
          <w:sz w:val="25"/>
          <w:szCs w:val="25"/>
        </w:rPr>
        <w:t>2013</w:t>
      </w:r>
      <w:r w:rsidRPr="004C7E93">
        <w:rPr>
          <w:sz w:val="25"/>
          <w:szCs w:val="25"/>
        </w:rPr>
        <w:t xml:space="preserve"> and failed to pay regulatory fees.  Moreover, </w:t>
      </w:r>
      <w:r>
        <w:rPr>
          <w:sz w:val="25"/>
          <w:szCs w:val="25"/>
        </w:rPr>
        <w:t xml:space="preserve">Tcast </w:t>
      </w:r>
      <w:r w:rsidRPr="004C7E93">
        <w:rPr>
          <w:sz w:val="25"/>
          <w:szCs w:val="25"/>
        </w:rPr>
        <w:t xml:space="preserve">failed to appear at the time and place scheduled for hearing in this matter and is in default.  Accordingly, </w:t>
      </w:r>
      <w:r>
        <w:rPr>
          <w:sz w:val="25"/>
          <w:szCs w:val="25"/>
        </w:rPr>
        <w:t>Tcast’s telecommunications registration should be revoked</w:t>
      </w:r>
      <w:r w:rsidRPr="004C7E93">
        <w:rPr>
          <w:sz w:val="25"/>
          <w:szCs w:val="25"/>
        </w:rPr>
        <w:t xml:space="preserve">.  </w:t>
      </w:r>
    </w:p>
    <w:p w14:paraId="571ADF73" w14:textId="77777777" w:rsidR="00961458" w:rsidRDefault="00961458" w:rsidP="00961458">
      <w:pPr>
        <w:pStyle w:val="FindingsConclusions"/>
        <w:numPr>
          <w:ilvl w:val="0"/>
          <w:numId w:val="0"/>
        </w:numPr>
        <w:spacing w:line="264" w:lineRule="auto"/>
        <w:rPr>
          <w:sz w:val="25"/>
          <w:szCs w:val="25"/>
        </w:rPr>
      </w:pPr>
    </w:p>
    <w:p w14:paraId="3CFB1120" w14:textId="77777777" w:rsidR="0058228D" w:rsidRPr="005877D3" w:rsidRDefault="005877D3" w:rsidP="00AA2BEA">
      <w:pPr>
        <w:pStyle w:val="FindingsConclusions"/>
        <w:numPr>
          <w:ilvl w:val="0"/>
          <w:numId w:val="2"/>
        </w:numPr>
        <w:spacing w:line="264" w:lineRule="auto"/>
        <w:rPr>
          <w:sz w:val="25"/>
          <w:szCs w:val="25"/>
        </w:rPr>
      </w:pPr>
      <w:r>
        <w:rPr>
          <w:sz w:val="25"/>
          <w:szCs w:val="25"/>
        </w:rPr>
        <w:t xml:space="preserve">Telecare, Inc. </w:t>
      </w:r>
      <w:r w:rsidR="002743B6">
        <w:rPr>
          <w:sz w:val="25"/>
          <w:szCs w:val="25"/>
        </w:rPr>
        <w:t xml:space="preserve">(Telecare) </w:t>
      </w:r>
      <w:r>
        <w:rPr>
          <w:sz w:val="25"/>
          <w:szCs w:val="25"/>
        </w:rPr>
        <w:t>is a public service company</w:t>
      </w:r>
      <w:r w:rsidRPr="004C7E93">
        <w:rPr>
          <w:sz w:val="25"/>
          <w:szCs w:val="25"/>
        </w:rPr>
        <w:t xml:space="preserve"> as defined in RCW 8</w:t>
      </w:r>
      <w:r>
        <w:rPr>
          <w:sz w:val="25"/>
          <w:szCs w:val="25"/>
        </w:rPr>
        <w:t>0</w:t>
      </w:r>
      <w:r w:rsidRPr="004C7E93">
        <w:rPr>
          <w:sz w:val="25"/>
          <w:szCs w:val="25"/>
        </w:rPr>
        <w:t xml:space="preserve">.04.010.  </w:t>
      </w:r>
      <w:r>
        <w:rPr>
          <w:sz w:val="25"/>
          <w:szCs w:val="25"/>
        </w:rPr>
        <w:t>Telecare</w:t>
      </w:r>
      <w:r w:rsidR="002743B6">
        <w:rPr>
          <w:sz w:val="25"/>
          <w:szCs w:val="25"/>
        </w:rPr>
        <w:t xml:space="preserve"> </w:t>
      </w:r>
      <w:r>
        <w:rPr>
          <w:sz w:val="25"/>
          <w:szCs w:val="25"/>
        </w:rPr>
        <w:t>is registered under RCW 80.36 and WAC 480-121 to provide telecommunications services in Washington</w:t>
      </w:r>
      <w:r w:rsidRPr="004C7E93">
        <w:rPr>
          <w:sz w:val="25"/>
          <w:szCs w:val="25"/>
        </w:rPr>
        <w:t>.  A</w:t>
      </w:r>
      <w:r>
        <w:rPr>
          <w:sz w:val="25"/>
          <w:szCs w:val="25"/>
        </w:rPr>
        <w:t xml:space="preserve">s such, </w:t>
      </w:r>
      <w:r w:rsidR="008D039C">
        <w:rPr>
          <w:sz w:val="25"/>
          <w:szCs w:val="25"/>
        </w:rPr>
        <w:t>Telecare</w:t>
      </w:r>
      <w:r>
        <w:rPr>
          <w:sz w:val="25"/>
          <w:szCs w:val="25"/>
        </w:rPr>
        <w:t xml:space="preserve"> is</w:t>
      </w:r>
      <w:r w:rsidRPr="004C7E93">
        <w:rPr>
          <w:sz w:val="25"/>
          <w:szCs w:val="25"/>
        </w:rPr>
        <w:t xml:space="preserve"> required to submit </w:t>
      </w:r>
      <w:r>
        <w:rPr>
          <w:sz w:val="25"/>
          <w:szCs w:val="25"/>
        </w:rPr>
        <w:t xml:space="preserve">an </w:t>
      </w:r>
      <w:r w:rsidRPr="004C7E93">
        <w:rPr>
          <w:sz w:val="25"/>
          <w:szCs w:val="25"/>
        </w:rPr>
        <w:t>annual report to the Commi</w:t>
      </w:r>
      <w:r>
        <w:rPr>
          <w:sz w:val="25"/>
          <w:szCs w:val="25"/>
        </w:rPr>
        <w:t>ssion and pay regulatory fees. A review of</w:t>
      </w:r>
      <w:r w:rsidRPr="004C7E93">
        <w:rPr>
          <w:sz w:val="25"/>
          <w:szCs w:val="25"/>
        </w:rPr>
        <w:t xml:space="preserve"> the Commission’s files and records</w:t>
      </w:r>
      <w:r>
        <w:rPr>
          <w:sz w:val="25"/>
          <w:szCs w:val="25"/>
        </w:rPr>
        <w:t xml:space="preserve"> shows</w:t>
      </w:r>
      <w:r w:rsidRPr="004C7E93">
        <w:rPr>
          <w:sz w:val="25"/>
          <w:szCs w:val="25"/>
        </w:rPr>
        <w:t xml:space="preserve"> that </w:t>
      </w:r>
      <w:r w:rsidR="008D039C">
        <w:rPr>
          <w:sz w:val="25"/>
          <w:szCs w:val="25"/>
        </w:rPr>
        <w:t>Telecare</w:t>
      </w:r>
      <w:r>
        <w:rPr>
          <w:sz w:val="25"/>
          <w:szCs w:val="25"/>
        </w:rPr>
        <w:t xml:space="preserve"> </w:t>
      </w:r>
      <w:r w:rsidRPr="004C7E93">
        <w:rPr>
          <w:sz w:val="25"/>
          <w:szCs w:val="25"/>
        </w:rPr>
        <w:t xml:space="preserve">failed to file its annual report for </w:t>
      </w:r>
      <w:r>
        <w:rPr>
          <w:sz w:val="25"/>
          <w:szCs w:val="25"/>
        </w:rPr>
        <w:t>2013</w:t>
      </w:r>
      <w:r w:rsidRPr="004C7E93">
        <w:rPr>
          <w:sz w:val="25"/>
          <w:szCs w:val="25"/>
        </w:rPr>
        <w:t xml:space="preserve"> and failed to pay regulatory fees.  Moreover, </w:t>
      </w:r>
      <w:r w:rsidR="008D039C">
        <w:rPr>
          <w:sz w:val="25"/>
          <w:szCs w:val="25"/>
        </w:rPr>
        <w:t>Telecare</w:t>
      </w:r>
      <w:r>
        <w:rPr>
          <w:sz w:val="25"/>
          <w:szCs w:val="25"/>
        </w:rPr>
        <w:t xml:space="preserve"> </w:t>
      </w:r>
      <w:r w:rsidRPr="004C7E93">
        <w:rPr>
          <w:sz w:val="25"/>
          <w:szCs w:val="25"/>
        </w:rPr>
        <w:t xml:space="preserve">failed to appear at the time and place scheduled for hearing in this matter and is in default.  Accordingly, </w:t>
      </w:r>
      <w:r w:rsidR="008D039C">
        <w:rPr>
          <w:sz w:val="25"/>
          <w:szCs w:val="25"/>
        </w:rPr>
        <w:t>Telecare</w:t>
      </w:r>
      <w:r>
        <w:rPr>
          <w:sz w:val="25"/>
          <w:szCs w:val="25"/>
        </w:rPr>
        <w:t>’s telecommunications registration should be revoked</w:t>
      </w:r>
      <w:r w:rsidRPr="004C7E93">
        <w:rPr>
          <w:sz w:val="25"/>
          <w:szCs w:val="25"/>
        </w:rPr>
        <w:t xml:space="preserve">.  </w:t>
      </w:r>
    </w:p>
    <w:p w14:paraId="06CCC402" w14:textId="77777777" w:rsidR="00961458" w:rsidRDefault="00961458" w:rsidP="00961458">
      <w:pPr>
        <w:pStyle w:val="FindingsConclusions"/>
        <w:numPr>
          <w:ilvl w:val="0"/>
          <w:numId w:val="0"/>
        </w:numPr>
        <w:spacing w:line="264" w:lineRule="auto"/>
        <w:rPr>
          <w:b/>
          <w:sz w:val="25"/>
          <w:szCs w:val="25"/>
        </w:rPr>
      </w:pPr>
    </w:p>
    <w:p w14:paraId="788829DC" w14:textId="77777777" w:rsidR="007832F0" w:rsidRDefault="00044F1F" w:rsidP="00961458">
      <w:pPr>
        <w:pStyle w:val="FindingsConclusions"/>
        <w:numPr>
          <w:ilvl w:val="0"/>
          <w:numId w:val="0"/>
        </w:numPr>
        <w:spacing w:line="264" w:lineRule="auto"/>
        <w:jc w:val="center"/>
        <w:rPr>
          <w:b/>
          <w:sz w:val="25"/>
          <w:szCs w:val="25"/>
        </w:rPr>
      </w:pPr>
      <w:r>
        <w:rPr>
          <w:b/>
          <w:sz w:val="25"/>
          <w:szCs w:val="25"/>
        </w:rPr>
        <w:t xml:space="preserve">FINDINGS </w:t>
      </w:r>
      <w:r w:rsidR="00B2352E">
        <w:rPr>
          <w:b/>
          <w:sz w:val="25"/>
          <w:szCs w:val="25"/>
        </w:rPr>
        <w:t>AND CONCLUSIONS</w:t>
      </w:r>
    </w:p>
    <w:p w14:paraId="1ABAD269" w14:textId="77777777" w:rsidR="00961458" w:rsidRDefault="00961458" w:rsidP="00961458">
      <w:pPr>
        <w:pStyle w:val="FindingsConclusions"/>
        <w:numPr>
          <w:ilvl w:val="0"/>
          <w:numId w:val="0"/>
        </w:numPr>
        <w:spacing w:line="264" w:lineRule="auto"/>
        <w:jc w:val="center"/>
        <w:rPr>
          <w:b/>
          <w:sz w:val="25"/>
          <w:szCs w:val="25"/>
        </w:rPr>
      </w:pPr>
    </w:p>
    <w:p w14:paraId="0C26D8CB" w14:textId="77777777" w:rsidR="00690DE9" w:rsidRDefault="00E73EAA" w:rsidP="00A03814">
      <w:pPr>
        <w:pStyle w:val="FindingsConclusions"/>
        <w:numPr>
          <w:ilvl w:val="0"/>
          <w:numId w:val="2"/>
        </w:numPr>
        <w:tabs>
          <w:tab w:val="clear" w:pos="720"/>
          <w:tab w:val="left" w:pos="0"/>
        </w:tabs>
        <w:spacing w:line="264" w:lineRule="auto"/>
        <w:ind w:left="720" w:hanging="1440"/>
        <w:rPr>
          <w:sz w:val="25"/>
          <w:szCs w:val="25"/>
        </w:rPr>
      </w:pPr>
      <w:r>
        <w:rPr>
          <w:sz w:val="25"/>
          <w:szCs w:val="25"/>
        </w:rPr>
        <w:t>(1)</w:t>
      </w:r>
      <w:r>
        <w:rPr>
          <w:sz w:val="25"/>
          <w:szCs w:val="25"/>
        </w:rPr>
        <w:tab/>
      </w:r>
      <w:r w:rsidR="00FE029A">
        <w:rPr>
          <w:sz w:val="25"/>
          <w:szCs w:val="25"/>
        </w:rPr>
        <w:t>The Washington Utilities and Transportation Commission is an agency of the State of Washington,</w:t>
      </w:r>
      <w:r w:rsidR="002D6CC2">
        <w:rPr>
          <w:sz w:val="25"/>
          <w:szCs w:val="25"/>
        </w:rPr>
        <w:t xml:space="preserve"> </w:t>
      </w:r>
      <w:r w:rsidR="00FE029A">
        <w:rPr>
          <w:sz w:val="25"/>
          <w:szCs w:val="25"/>
        </w:rPr>
        <w:t xml:space="preserve">vested by statute with authority to regulate rates, rules, regulations, practices, and accounts of public service companies, including </w:t>
      </w:r>
      <w:r w:rsidR="008D039C">
        <w:rPr>
          <w:sz w:val="25"/>
          <w:szCs w:val="25"/>
        </w:rPr>
        <w:t>telecommunications companies</w:t>
      </w:r>
      <w:r w:rsidR="00FE029A">
        <w:rPr>
          <w:sz w:val="25"/>
          <w:szCs w:val="25"/>
        </w:rPr>
        <w:t xml:space="preserve">.  </w:t>
      </w:r>
    </w:p>
    <w:p w14:paraId="4957A4A2" w14:textId="77777777" w:rsidR="008F5B03" w:rsidRDefault="00FE029A" w:rsidP="00A03814">
      <w:pPr>
        <w:pStyle w:val="FindingsConclusions"/>
        <w:numPr>
          <w:ilvl w:val="0"/>
          <w:numId w:val="2"/>
        </w:numPr>
        <w:tabs>
          <w:tab w:val="clear" w:pos="720"/>
          <w:tab w:val="left" w:pos="0"/>
        </w:tabs>
        <w:spacing w:line="264" w:lineRule="auto"/>
        <w:ind w:left="720" w:hanging="1440"/>
        <w:rPr>
          <w:sz w:val="25"/>
          <w:szCs w:val="25"/>
        </w:rPr>
      </w:pPr>
      <w:r w:rsidRPr="00690DE9">
        <w:rPr>
          <w:sz w:val="25"/>
          <w:szCs w:val="25"/>
        </w:rPr>
        <w:t>(2)</w:t>
      </w:r>
      <w:r w:rsidRPr="00690DE9">
        <w:rPr>
          <w:sz w:val="25"/>
          <w:szCs w:val="25"/>
        </w:rPr>
        <w:tab/>
      </w:r>
      <w:r w:rsidR="008D039C" w:rsidRPr="00690DE9">
        <w:rPr>
          <w:sz w:val="25"/>
          <w:szCs w:val="25"/>
        </w:rPr>
        <w:t xml:space="preserve">Ethos Communications Group, Inc., Go Solo Technologies, Inc., IBFA Acquisition Company, </w:t>
      </w:r>
      <w:r w:rsidR="00690DE9">
        <w:rPr>
          <w:sz w:val="25"/>
          <w:szCs w:val="25"/>
        </w:rPr>
        <w:t xml:space="preserve">LLC, </w:t>
      </w:r>
      <w:r w:rsidR="008D039C" w:rsidRPr="00690DE9">
        <w:rPr>
          <w:sz w:val="25"/>
          <w:szCs w:val="25"/>
        </w:rPr>
        <w:t xml:space="preserve">Inmate Communications Corporation, Net Talk.com, Inc., Tcast Communications, Inc., and Telecare, Inc. </w:t>
      </w:r>
      <w:r w:rsidR="00B2352E" w:rsidRPr="00690DE9">
        <w:rPr>
          <w:sz w:val="25"/>
          <w:szCs w:val="25"/>
        </w:rPr>
        <w:t xml:space="preserve">are </w:t>
      </w:r>
      <w:r w:rsidRPr="00690DE9">
        <w:rPr>
          <w:sz w:val="25"/>
          <w:szCs w:val="25"/>
        </w:rPr>
        <w:t>each</w:t>
      </w:r>
      <w:r w:rsidR="00EE4EAF" w:rsidRPr="00690DE9">
        <w:rPr>
          <w:sz w:val="25"/>
          <w:szCs w:val="25"/>
        </w:rPr>
        <w:t xml:space="preserve"> </w:t>
      </w:r>
      <w:r w:rsidR="0058228D" w:rsidRPr="00690DE9">
        <w:rPr>
          <w:sz w:val="25"/>
          <w:szCs w:val="25"/>
        </w:rPr>
        <w:t xml:space="preserve">a </w:t>
      </w:r>
      <w:r w:rsidR="00EE4EAF" w:rsidRPr="00690DE9">
        <w:rPr>
          <w:sz w:val="25"/>
          <w:szCs w:val="25"/>
        </w:rPr>
        <w:t>“public service</w:t>
      </w:r>
      <w:r w:rsidR="00690DE9">
        <w:rPr>
          <w:sz w:val="25"/>
          <w:szCs w:val="25"/>
        </w:rPr>
        <w:t xml:space="preserve"> </w:t>
      </w:r>
      <w:r w:rsidR="00EE4EAF" w:rsidRPr="00690DE9">
        <w:rPr>
          <w:sz w:val="25"/>
          <w:szCs w:val="25"/>
        </w:rPr>
        <w:t xml:space="preserve">company” </w:t>
      </w:r>
      <w:r w:rsidR="008D039C" w:rsidRPr="00690DE9">
        <w:rPr>
          <w:sz w:val="25"/>
          <w:szCs w:val="25"/>
        </w:rPr>
        <w:t xml:space="preserve">and </w:t>
      </w:r>
      <w:r w:rsidR="00EE4EAF" w:rsidRPr="00690DE9">
        <w:rPr>
          <w:sz w:val="25"/>
          <w:szCs w:val="25"/>
        </w:rPr>
        <w:t>“</w:t>
      </w:r>
      <w:r w:rsidR="008D039C" w:rsidRPr="00690DE9">
        <w:rPr>
          <w:sz w:val="25"/>
          <w:szCs w:val="25"/>
        </w:rPr>
        <w:t>telecommunications company</w:t>
      </w:r>
      <w:r w:rsidR="00E2294A" w:rsidRPr="00690DE9">
        <w:rPr>
          <w:sz w:val="25"/>
          <w:szCs w:val="25"/>
        </w:rPr>
        <w:t>”</w:t>
      </w:r>
      <w:r w:rsidR="007F6934" w:rsidRPr="00690DE9">
        <w:rPr>
          <w:sz w:val="25"/>
          <w:szCs w:val="25"/>
        </w:rPr>
        <w:t xml:space="preserve"> </w:t>
      </w:r>
      <w:r w:rsidR="00DC46F1" w:rsidRPr="00690DE9">
        <w:rPr>
          <w:sz w:val="25"/>
          <w:szCs w:val="25"/>
        </w:rPr>
        <w:t>as</w:t>
      </w:r>
      <w:r w:rsidR="00EE4EAF" w:rsidRPr="00690DE9">
        <w:rPr>
          <w:sz w:val="25"/>
          <w:szCs w:val="25"/>
        </w:rPr>
        <w:t xml:space="preserve"> those terms are </w:t>
      </w:r>
      <w:r w:rsidR="00B100D0" w:rsidRPr="00690DE9">
        <w:rPr>
          <w:sz w:val="25"/>
          <w:szCs w:val="25"/>
        </w:rPr>
        <w:t>defined and used in RCW Title 8</w:t>
      </w:r>
      <w:r w:rsidR="008D039C" w:rsidRPr="00690DE9">
        <w:rPr>
          <w:sz w:val="25"/>
          <w:szCs w:val="25"/>
        </w:rPr>
        <w:t>0</w:t>
      </w:r>
      <w:r w:rsidR="00EE4EAF" w:rsidRPr="00690DE9">
        <w:rPr>
          <w:sz w:val="25"/>
          <w:szCs w:val="25"/>
        </w:rPr>
        <w:t>.</w:t>
      </w:r>
    </w:p>
    <w:p w14:paraId="4253C03B" w14:textId="77777777" w:rsidR="00961458" w:rsidRPr="00690DE9" w:rsidRDefault="00961458" w:rsidP="00961458">
      <w:pPr>
        <w:pStyle w:val="FindingsConclusions"/>
        <w:numPr>
          <w:ilvl w:val="0"/>
          <w:numId w:val="0"/>
        </w:numPr>
        <w:spacing w:line="264" w:lineRule="auto"/>
        <w:rPr>
          <w:sz w:val="25"/>
          <w:szCs w:val="25"/>
        </w:rPr>
      </w:pPr>
    </w:p>
    <w:p w14:paraId="2202680F" w14:textId="77777777" w:rsidR="00B91B65" w:rsidRDefault="00B91B65" w:rsidP="00A03814">
      <w:pPr>
        <w:pStyle w:val="FindingsConclusions"/>
        <w:numPr>
          <w:ilvl w:val="0"/>
          <w:numId w:val="2"/>
        </w:numPr>
        <w:tabs>
          <w:tab w:val="clear" w:pos="720"/>
          <w:tab w:val="left" w:pos="0"/>
        </w:tabs>
        <w:spacing w:line="264" w:lineRule="auto"/>
        <w:ind w:left="720" w:hanging="1440"/>
        <w:rPr>
          <w:sz w:val="25"/>
          <w:szCs w:val="25"/>
        </w:rPr>
      </w:pPr>
      <w:r>
        <w:rPr>
          <w:sz w:val="25"/>
          <w:szCs w:val="25"/>
        </w:rPr>
        <w:t>(3)</w:t>
      </w:r>
      <w:r>
        <w:rPr>
          <w:sz w:val="25"/>
          <w:szCs w:val="25"/>
        </w:rPr>
        <w:tab/>
        <w:t xml:space="preserve">On </w:t>
      </w:r>
      <w:r w:rsidR="003471B9">
        <w:rPr>
          <w:sz w:val="25"/>
          <w:szCs w:val="25"/>
        </w:rPr>
        <w:t xml:space="preserve">September </w:t>
      </w:r>
      <w:r w:rsidR="008D039C">
        <w:rPr>
          <w:sz w:val="25"/>
          <w:szCs w:val="25"/>
        </w:rPr>
        <w:t>30</w:t>
      </w:r>
      <w:r w:rsidR="00CB051A" w:rsidRPr="00405903">
        <w:rPr>
          <w:sz w:val="25"/>
          <w:szCs w:val="25"/>
        </w:rPr>
        <w:t>, 20</w:t>
      </w:r>
      <w:r w:rsidR="00717844" w:rsidRPr="00405903">
        <w:rPr>
          <w:sz w:val="25"/>
          <w:szCs w:val="25"/>
        </w:rPr>
        <w:t>1</w:t>
      </w:r>
      <w:r w:rsidR="00404306">
        <w:rPr>
          <w:sz w:val="25"/>
          <w:szCs w:val="25"/>
        </w:rPr>
        <w:t>4</w:t>
      </w:r>
      <w:r w:rsidRPr="00405903">
        <w:rPr>
          <w:sz w:val="25"/>
          <w:szCs w:val="25"/>
        </w:rPr>
        <w:t xml:space="preserve">, the Commission entered a complaint </w:t>
      </w:r>
      <w:r w:rsidR="002D6CC2" w:rsidRPr="00405903">
        <w:rPr>
          <w:sz w:val="25"/>
          <w:szCs w:val="25"/>
        </w:rPr>
        <w:t xml:space="preserve">and notice of hearing.  The complaint against each of the above-named </w:t>
      </w:r>
      <w:r w:rsidR="008D039C">
        <w:rPr>
          <w:sz w:val="25"/>
          <w:szCs w:val="25"/>
        </w:rPr>
        <w:t xml:space="preserve">telecommunications companies </w:t>
      </w:r>
      <w:r w:rsidR="002D6CC2" w:rsidRPr="00405903">
        <w:rPr>
          <w:sz w:val="25"/>
          <w:szCs w:val="25"/>
        </w:rPr>
        <w:t xml:space="preserve">sought </w:t>
      </w:r>
      <w:r w:rsidR="008D039C">
        <w:rPr>
          <w:sz w:val="25"/>
          <w:szCs w:val="25"/>
        </w:rPr>
        <w:t>revocation</w:t>
      </w:r>
      <w:r w:rsidRPr="00405903">
        <w:rPr>
          <w:sz w:val="25"/>
          <w:szCs w:val="25"/>
        </w:rPr>
        <w:t xml:space="preserve"> of </w:t>
      </w:r>
      <w:r w:rsidR="002D6CC2" w:rsidRPr="00405903">
        <w:rPr>
          <w:sz w:val="25"/>
          <w:szCs w:val="25"/>
        </w:rPr>
        <w:t xml:space="preserve">the </w:t>
      </w:r>
      <w:r w:rsidR="007F3B69" w:rsidRPr="00405903">
        <w:rPr>
          <w:sz w:val="25"/>
          <w:szCs w:val="25"/>
        </w:rPr>
        <w:t xml:space="preserve">company’s </w:t>
      </w:r>
      <w:r w:rsidR="008D039C">
        <w:rPr>
          <w:sz w:val="25"/>
          <w:szCs w:val="25"/>
        </w:rPr>
        <w:t xml:space="preserve">registration </w:t>
      </w:r>
      <w:r w:rsidRPr="00405903">
        <w:rPr>
          <w:sz w:val="25"/>
          <w:szCs w:val="25"/>
        </w:rPr>
        <w:t xml:space="preserve">for failure to </w:t>
      </w:r>
      <w:r w:rsidR="00020C7F" w:rsidRPr="00405903">
        <w:rPr>
          <w:sz w:val="25"/>
          <w:szCs w:val="25"/>
        </w:rPr>
        <w:t xml:space="preserve">submit an annual report and </w:t>
      </w:r>
      <w:r w:rsidRPr="00405903">
        <w:rPr>
          <w:sz w:val="25"/>
          <w:szCs w:val="25"/>
        </w:rPr>
        <w:t xml:space="preserve">pay </w:t>
      </w:r>
      <w:r w:rsidR="00B100D0" w:rsidRPr="00405903">
        <w:rPr>
          <w:sz w:val="25"/>
          <w:szCs w:val="25"/>
        </w:rPr>
        <w:t>regulatory fees</w:t>
      </w:r>
      <w:r w:rsidR="007F3B69" w:rsidRPr="00405903">
        <w:rPr>
          <w:sz w:val="25"/>
          <w:szCs w:val="25"/>
        </w:rPr>
        <w:t>.  T</w:t>
      </w:r>
      <w:r w:rsidR="002D6CC2" w:rsidRPr="00405903">
        <w:rPr>
          <w:sz w:val="25"/>
          <w:szCs w:val="25"/>
        </w:rPr>
        <w:t xml:space="preserve">he </w:t>
      </w:r>
      <w:r w:rsidRPr="00405903">
        <w:rPr>
          <w:sz w:val="25"/>
          <w:szCs w:val="25"/>
        </w:rPr>
        <w:t xml:space="preserve">notice of hearing scheduled </w:t>
      </w:r>
      <w:r w:rsidR="002D6CC2" w:rsidRPr="00405903">
        <w:rPr>
          <w:sz w:val="25"/>
          <w:szCs w:val="25"/>
        </w:rPr>
        <w:t xml:space="preserve">a hearing </w:t>
      </w:r>
      <w:r w:rsidRPr="00405903">
        <w:rPr>
          <w:sz w:val="25"/>
          <w:szCs w:val="25"/>
        </w:rPr>
        <w:t xml:space="preserve">to convene on </w:t>
      </w:r>
      <w:r w:rsidR="00AA44A8">
        <w:rPr>
          <w:sz w:val="25"/>
          <w:szCs w:val="25"/>
        </w:rPr>
        <w:t>November 18</w:t>
      </w:r>
      <w:r w:rsidR="00404306">
        <w:rPr>
          <w:sz w:val="25"/>
          <w:szCs w:val="25"/>
        </w:rPr>
        <w:t>, 2014</w:t>
      </w:r>
      <w:r w:rsidR="007F3B69" w:rsidRPr="00405903">
        <w:rPr>
          <w:sz w:val="25"/>
          <w:szCs w:val="25"/>
        </w:rPr>
        <w:t>, in Olympia, Washington</w:t>
      </w:r>
      <w:r w:rsidRPr="00405903">
        <w:rPr>
          <w:sz w:val="25"/>
          <w:szCs w:val="25"/>
        </w:rPr>
        <w:t>.</w:t>
      </w:r>
      <w:r w:rsidR="004D3C5F">
        <w:rPr>
          <w:sz w:val="25"/>
          <w:szCs w:val="25"/>
        </w:rPr>
        <w:t xml:space="preserve">  Each of </w:t>
      </w:r>
      <w:r w:rsidR="00AA44A8">
        <w:rPr>
          <w:sz w:val="25"/>
          <w:szCs w:val="25"/>
        </w:rPr>
        <w:t xml:space="preserve">the </w:t>
      </w:r>
      <w:r w:rsidR="004D3C5F">
        <w:rPr>
          <w:sz w:val="25"/>
          <w:szCs w:val="25"/>
        </w:rPr>
        <w:t xml:space="preserve">above-named </w:t>
      </w:r>
      <w:r w:rsidR="006405BD">
        <w:rPr>
          <w:sz w:val="25"/>
          <w:szCs w:val="25"/>
        </w:rPr>
        <w:t xml:space="preserve">telecommunications companies </w:t>
      </w:r>
      <w:r w:rsidR="004D3C5F">
        <w:rPr>
          <w:sz w:val="25"/>
          <w:szCs w:val="25"/>
        </w:rPr>
        <w:t xml:space="preserve">was properly served and notified of </w:t>
      </w:r>
      <w:r w:rsidR="00AA44A8">
        <w:rPr>
          <w:sz w:val="25"/>
          <w:szCs w:val="25"/>
        </w:rPr>
        <w:t xml:space="preserve">the </w:t>
      </w:r>
      <w:r w:rsidR="004D3C5F">
        <w:rPr>
          <w:sz w:val="25"/>
          <w:szCs w:val="25"/>
        </w:rPr>
        <w:t>hearing.</w:t>
      </w:r>
    </w:p>
    <w:p w14:paraId="515ECC02" w14:textId="77777777" w:rsidR="00961458" w:rsidRPr="00405903" w:rsidRDefault="00961458" w:rsidP="00961458">
      <w:pPr>
        <w:pStyle w:val="FindingsConclusions"/>
        <w:numPr>
          <w:ilvl w:val="0"/>
          <w:numId w:val="0"/>
        </w:numPr>
        <w:spacing w:line="264" w:lineRule="auto"/>
        <w:rPr>
          <w:sz w:val="25"/>
          <w:szCs w:val="25"/>
        </w:rPr>
      </w:pPr>
    </w:p>
    <w:p w14:paraId="3CC54A49" w14:textId="77777777" w:rsidR="006973FD" w:rsidRDefault="00B91B65" w:rsidP="00A03814">
      <w:pPr>
        <w:pStyle w:val="FindingsConclusions"/>
        <w:numPr>
          <w:ilvl w:val="0"/>
          <w:numId w:val="2"/>
        </w:numPr>
        <w:tabs>
          <w:tab w:val="clear" w:pos="720"/>
          <w:tab w:val="left" w:pos="0"/>
        </w:tabs>
        <w:spacing w:line="264" w:lineRule="auto"/>
        <w:ind w:left="720" w:hanging="1440"/>
        <w:rPr>
          <w:sz w:val="25"/>
          <w:szCs w:val="25"/>
        </w:rPr>
      </w:pPr>
      <w:r w:rsidRPr="006405BD">
        <w:rPr>
          <w:sz w:val="25"/>
          <w:szCs w:val="25"/>
        </w:rPr>
        <w:t>(4)</w:t>
      </w:r>
      <w:r w:rsidRPr="006405BD">
        <w:rPr>
          <w:sz w:val="25"/>
          <w:szCs w:val="25"/>
        </w:rPr>
        <w:tab/>
      </w:r>
      <w:r w:rsidR="006405BD">
        <w:rPr>
          <w:sz w:val="25"/>
          <w:szCs w:val="25"/>
        </w:rPr>
        <w:t>Ethos Communications Group, Inc.</w:t>
      </w:r>
      <w:r w:rsidR="00A07A46">
        <w:rPr>
          <w:sz w:val="25"/>
          <w:szCs w:val="25"/>
        </w:rPr>
        <w:t>’s failure</w:t>
      </w:r>
      <w:r w:rsidR="006405BD">
        <w:rPr>
          <w:sz w:val="25"/>
          <w:szCs w:val="25"/>
        </w:rPr>
        <w:t xml:space="preserve"> </w:t>
      </w:r>
      <w:r w:rsidR="00E2294A" w:rsidRPr="006405BD">
        <w:rPr>
          <w:sz w:val="25"/>
          <w:szCs w:val="25"/>
        </w:rPr>
        <w:t xml:space="preserve">to </w:t>
      </w:r>
      <w:r w:rsidR="00A07A46">
        <w:rPr>
          <w:sz w:val="25"/>
          <w:szCs w:val="25"/>
        </w:rPr>
        <w:t>file its</w:t>
      </w:r>
      <w:r w:rsidR="00614E38" w:rsidRPr="006405BD">
        <w:rPr>
          <w:sz w:val="25"/>
          <w:szCs w:val="25"/>
        </w:rPr>
        <w:t xml:space="preserve"> annual report for </w:t>
      </w:r>
      <w:r w:rsidR="00A07A46">
        <w:rPr>
          <w:sz w:val="25"/>
          <w:szCs w:val="25"/>
        </w:rPr>
        <w:tab/>
      </w:r>
      <w:r w:rsidR="00614E38" w:rsidRPr="006405BD">
        <w:rPr>
          <w:sz w:val="25"/>
          <w:szCs w:val="25"/>
        </w:rPr>
        <w:t>20</w:t>
      </w:r>
      <w:r w:rsidR="003471B9" w:rsidRPr="006405BD">
        <w:rPr>
          <w:sz w:val="25"/>
          <w:szCs w:val="25"/>
        </w:rPr>
        <w:t>1</w:t>
      </w:r>
      <w:r w:rsidR="00404306" w:rsidRPr="006405BD">
        <w:rPr>
          <w:sz w:val="25"/>
          <w:szCs w:val="25"/>
        </w:rPr>
        <w:t>3</w:t>
      </w:r>
      <w:r w:rsidR="00614E38" w:rsidRPr="006405BD">
        <w:rPr>
          <w:sz w:val="25"/>
          <w:szCs w:val="25"/>
        </w:rPr>
        <w:t xml:space="preserve"> and </w:t>
      </w:r>
      <w:r w:rsidR="00E2294A" w:rsidRPr="006405BD">
        <w:rPr>
          <w:sz w:val="25"/>
          <w:szCs w:val="25"/>
        </w:rPr>
        <w:t xml:space="preserve">pay </w:t>
      </w:r>
      <w:r w:rsidR="00614E38" w:rsidRPr="006405BD">
        <w:rPr>
          <w:sz w:val="25"/>
          <w:szCs w:val="25"/>
        </w:rPr>
        <w:t xml:space="preserve">regulatory fees </w:t>
      </w:r>
      <w:r w:rsidR="00E2294A" w:rsidRPr="006405BD">
        <w:rPr>
          <w:sz w:val="25"/>
          <w:szCs w:val="25"/>
        </w:rPr>
        <w:t xml:space="preserve">constitutes good cause to </w:t>
      </w:r>
      <w:r w:rsidR="006405BD">
        <w:rPr>
          <w:sz w:val="25"/>
          <w:szCs w:val="25"/>
        </w:rPr>
        <w:t>revoke</w:t>
      </w:r>
      <w:r w:rsidR="00A07A46">
        <w:rPr>
          <w:sz w:val="25"/>
          <w:szCs w:val="25"/>
        </w:rPr>
        <w:t xml:space="preserve"> its</w:t>
      </w:r>
      <w:r w:rsidR="001444E6" w:rsidRPr="006405BD">
        <w:rPr>
          <w:sz w:val="25"/>
          <w:szCs w:val="25"/>
        </w:rPr>
        <w:t xml:space="preserve"> </w:t>
      </w:r>
      <w:r w:rsidR="006405BD">
        <w:rPr>
          <w:sz w:val="25"/>
          <w:szCs w:val="25"/>
        </w:rPr>
        <w:t>registration</w:t>
      </w:r>
      <w:r w:rsidR="00E2294A" w:rsidRPr="006405BD">
        <w:rPr>
          <w:sz w:val="25"/>
          <w:szCs w:val="25"/>
        </w:rPr>
        <w:t xml:space="preserve"> to operate in Washington.  </w:t>
      </w:r>
      <w:r w:rsidR="00A07A46">
        <w:rPr>
          <w:sz w:val="25"/>
          <w:szCs w:val="25"/>
        </w:rPr>
        <w:t>Ethos Communications Group, Inc. is in default for failing</w:t>
      </w:r>
      <w:r w:rsidR="00A07A46" w:rsidRPr="006973FD">
        <w:rPr>
          <w:sz w:val="25"/>
          <w:szCs w:val="25"/>
        </w:rPr>
        <w:t xml:space="preserve"> to appear at the </w:t>
      </w:r>
      <w:r w:rsidR="00A07A46">
        <w:rPr>
          <w:sz w:val="25"/>
          <w:szCs w:val="25"/>
        </w:rPr>
        <w:t>November 18, 2014</w:t>
      </w:r>
      <w:r w:rsidR="00A07A46" w:rsidRPr="006973FD">
        <w:rPr>
          <w:sz w:val="25"/>
          <w:szCs w:val="25"/>
        </w:rPr>
        <w:t>, hearing in this matter.</w:t>
      </w:r>
    </w:p>
    <w:p w14:paraId="77BF9906" w14:textId="77777777" w:rsidR="00961458" w:rsidRPr="006405BD" w:rsidRDefault="00961458" w:rsidP="00961458">
      <w:pPr>
        <w:pStyle w:val="FindingsConclusions"/>
        <w:numPr>
          <w:ilvl w:val="0"/>
          <w:numId w:val="0"/>
        </w:numPr>
        <w:spacing w:line="264" w:lineRule="auto"/>
        <w:rPr>
          <w:sz w:val="25"/>
          <w:szCs w:val="25"/>
        </w:rPr>
      </w:pPr>
    </w:p>
    <w:p w14:paraId="0C5E7877" w14:textId="77777777" w:rsidR="00A07A46" w:rsidRDefault="00935A73" w:rsidP="00A03814">
      <w:pPr>
        <w:pStyle w:val="FindingsConclusions"/>
        <w:numPr>
          <w:ilvl w:val="0"/>
          <w:numId w:val="2"/>
        </w:numPr>
        <w:tabs>
          <w:tab w:val="clear" w:pos="720"/>
          <w:tab w:val="left" w:pos="0"/>
        </w:tabs>
        <w:spacing w:line="264" w:lineRule="auto"/>
        <w:ind w:left="720" w:hanging="1440"/>
        <w:rPr>
          <w:sz w:val="25"/>
          <w:szCs w:val="25"/>
        </w:rPr>
      </w:pPr>
      <w:r w:rsidRPr="006973FD">
        <w:rPr>
          <w:sz w:val="25"/>
          <w:szCs w:val="25"/>
        </w:rPr>
        <w:t>(</w:t>
      </w:r>
      <w:r w:rsidR="00DA0F42">
        <w:rPr>
          <w:sz w:val="25"/>
          <w:szCs w:val="25"/>
        </w:rPr>
        <w:t>5</w:t>
      </w:r>
      <w:r w:rsidRPr="006973FD">
        <w:rPr>
          <w:sz w:val="25"/>
          <w:szCs w:val="25"/>
        </w:rPr>
        <w:t>)</w:t>
      </w:r>
      <w:r w:rsidRPr="006973FD">
        <w:rPr>
          <w:sz w:val="25"/>
          <w:szCs w:val="25"/>
        </w:rPr>
        <w:tab/>
      </w:r>
      <w:r w:rsidR="00A07A46">
        <w:rPr>
          <w:sz w:val="25"/>
          <w:szCs w:val="25"/>
        </w:rPr>
        <w:t xml:space="preserve">Go Solo Technologies, Inc.’s failure </w:t>
      </w:r>
      <w:r w:rsidR="00A07A46" w:rsidRPr="006405BD">
        <w:rPr>
          <w:sz w:val="25"/>
          <w:szCs w:val="25"/>
        </w:rPr>
        <w:t xml:space="preserve">to </w:t>
      </w:r>
      <w:r w:rsidR="00A07A46">
        <w:rPr>
          <w:sz w:val="25"/>
          <w:szCs w:val="25"/>
        </w:rPr>
        <w:t>file its</w:t>
      </w:r>
      <w:r w:rsidR="00A07A46" w:rsidRPr="006405BD">
        <w:rPr>
          <w:sz w:val="25"/>
          <w:szCs w:val="25"/>
        </w:rPr>
        <w:t xml:space="preserve"> annual report for 2013 and pay regulatory fees constitutes good cause to </w:t>
      </w:r>
      <w:r w:rsidR="00A07A46">
        <w:rPr>
          <w:sz w:val="25"/>
          <w:szCs w:val="25"/>
        </w:rPr>
        <w:t>revoke its</w:t>
      </w:r>
      <w:r w:rsidR="00A07A46" w:rsidRPr="006405BD">
        <w:rPr>
          <w:sz w:val="25"/>
          <w:szCs w:val="25"/>
        </w:rPr>
        <w:t xml:space="preserve"> </w:t>
      </w:r>
      <w:r w:rsidR="00A07A46">
        <w:rPr>
          <w:sz w:val="25"/>
          <w:szCs w:val="25"/>
        </w:rPr>
        <w:t>registration</w:t>
      </w:r>
      <w:r w:rsidR="00A07A46" w:rsidRPr="006405BD">
        <w:rPr>
          <w:sz w:val="25"/>
          <w:szCs w:val="25"/>
        </w:rPr>
        <w:t xml:space="preserve"> to operate in Washington.  </w:t>
      </w:r>
      <w:r w:rsidR="00A07A46">
        <w:rPr>
          <w:sz w:val="25"/>
          <w:szCs w:val="25"/>
        </w:rPr>
        <w:t>Go Solo Technologies, Inc. is in default for failing</w:t>
      </w:r>
      <w:r w:rsidR="00A07A46" w:rsidRPr="006973FD">
        <w:rPr>
          <w:sz w:val="25"/>
          <w:szCs w:val="25"/>
        </w:rPr>
        <w:t xml:space="preserve"> to appear at the </w:t>
      </w:r>
      <w:r w:rsidR="00A07A46">
        <w:rPr>
          <w:sz w:val="25"/>
          <w:szCs w:val="25"/>
        </w:rPr>
        <w:t>November 18, 2014</w:t>
      </w:r>
      <w:r w:rsidR="00A07A46" w:rsidRPr="006973FD">
        <w:rPr>
          <w:sz w:val="25"/>
          <w:szCs w:val="25"/>
        </w:rPr>
        <w:t>, hearing in this matter.</w:t>
      </w:r>
    </w:p>
    <w:p w14:paraId="1F401552" w14:textId="77777777" w:rsidR="00961458" w:rsidRPr="006405BD" w:rsidRDefault="00961458" w:rsidP="00961458">
      <w:pPr>
        <w:pStyle w:val="FindingsConclusions"/>
        <w:numPr>
          <w:ilvl w:val="0"/>
          <w:numId w:val="0"/>
        </w:numPr>
        <w:spacing w:line="264" w:lineRule="auto"/>
        <w:rPr>
          <w:sz w:val="25"/>
          <w:szCs w:val="25"/>
        </w:rPr>
      </w:pPr>
    </w:p>
    <w:p w14:paraId="787EA515" w14:textId="77777777" w:rsidR="00A07A46" w:rsidRDefault="00A07A46" w:rsidP="00A03814">
      <w:pPr>
        <w:pStyle w:val="FindingsConclusions"/>
        <w:numPr>
          <w:ilvl w:val="0"/>
          <w:numId w:val="2"/>
        </w:numPr>
        <w:tabs>
          <w:tab w:val="clear" w:pos="720"/>
          <w:tab w:val="left" w:pos="0"/>
        </w:tabs>
        <w:spacing w:line="264" w:lineRule="auto"/>
        <w:ind w:left="720" w:hanging="1440"/>
        <w:rPr>
          <w:sz w:val="25"/>
          <w:szCs w:val="25"/>
        </w:rPr>
      </w:pPr>
      <w:r>
        <w:rPr>
          <w:sz w:val="25"/>
          <w:szCs w:val="25"/>
        </w:rPr>
        <w:t>(6)</w:t>
      </w:r>
      <w:r>
        <w:rPr>
          <w:sz w:val="25"/>
          <w:szCs w:val="25"/>
        </w:rPr>
        <w:tab/>
        <w:t>IBFA Acquisition Company</w:t>
      </w:r>
      <w:r w:rsidR="00690DE9">
        <w:rPr>
          <w:sz w:val="25"/>
          <w:szCs w:val="25"/>
        </w:rPr>
        <w:t>, LLC</w:t>
      </w:r>
      <w:r>
        <w:rPr>
          <w:sz w:val="25"/>
          <w:szCs w:val="25"/>
        </w:rPr>
        <w:t xml:space="preserve">’s failure </w:t>
      </w:r>
      <w:r w:rsidRPr="006405BD">
        <w:rPr>
          <w:sz w:val="25"/>
          <w:szCs w:val="25"/>
        </w:rPr>
        <w:t xml:space="preserve">to </w:t>
      </w:r>
      <w:r>
        <w:rPr>
          <w:sz w:val="25"/>
          <w:szCs w:val="25"/>
        </w:rPr>
        <w:t>file its</w:t>
      </w:r>
      <w:r w:rsidRPr="006405BD">
        <w:rPr>
          <w:sz w:val="25"/>
          <w:szCs w:val="25"/>
        </w:rPr>
        <w:t xml:space="preserve"> annual report for 2013 and pay regulatory fees constitutes good cause to </w:t>
      </w:r>
      <w:r>
        <w:rPr>
          <w:sz w:val="25"/>
          <w:szCs w:val="25"/>
        </w:rPr>
        <w:t>revoke its</w:t>
      </w:r>
      <w:r w:rsidRPr="006405BD">
        <w:rPr>
          <w:sz w:val="25"/>
          <w:szCs w:val="25"/>
        </w:rPr>
        <w:t xml:space="preserve"> </w:t>
      </w:r>
      <w:r>
        <w:rPr>
          <w:sz w:val="25"/>
          <w:szCs w:val="25"/>
        </w:rPr>
        <w:t>registration</w:t>
      </w:r>
      <w:r w:rsidRPr="006405BD">
        <w:rPr>
          <w:sz w:val="25"/>
          <w:szCs w:val="25"/>
        </w:rPr>
        <w:t xml:space="preserve"> to operate in Washington.  </w:t>
      </w:r>
      <w:r>
        <w:rPr>
          <w:sz w:val="25"/>
          <w:szCs w:val="25"/>
        </w:rPr>
        <w:t>IBFA Acquisition Company</w:t>
      </w:r>
      <w:r w:rsidR="00690DE9">
        <w:rPr>
          <w:sz w:val="25"/>
          <w:szCs w:val="25"/>
        </w:rPr>
        <w:t>, LLC</w:t>
      </w:r>
      <w:r>
        <w:rPr>
          <w:sz w:val="25"/>
          <w:szCs w:val="25"/>
        </w:rPr>
        <w:t xml:space="preserve"> is in default for failing</w:t>
      </w:r>
      <w:r w:rsidRPr="006973FD">
        <w:rPr>
          <w:sz w:val="25"/>
          <w:szCs w:val="25"/>
        </w:rPr>
        <w:t xml:space="preserve"> to appear at the </w:t>
      </w:r>
      <w:r>
        <w:rPr>
          <w:sz w:val="25"/>
          <w:szCs w:val="25"/>
        </w:rPr>
        <w:t>November 18, 2014</w:t>
      </w:r>
      <w:r w:rsidRPr="006973FD">
        <w:rPr>
          <w:sz w:val="25"/>
          <w:szCs w:val="25"/>
        </w:rPr>
        <w:t>, hearing in this matter.</w:t>
      </w:r>
    </w:p>
    <w:p w14:paraId="2D8FFC9C" w14:textId="77777777" w:rsidR="00961458" w:rsidRPr="006405BD" w:rsidRDefault="00961458" w:rsidP="00961458">
      <w:pPr>
        <w:pStyle w:val="FindingsConclusions"/>
        <w:numPr>
          <w:ilvl w:val="0"/>
          <w:numId w:val="0"/>
        </w:numPr>
        <w:spacing w:line="264" w:lineRule="auto"/>
        <w:rPr>
          <w:sz w:val="25"/>
          <w:szCs w:val="25"/>
        </w:rPr>
      </w:pPr>
    </w:p>
    <w:p w14:paraId="07DAA865" w14:textId="77777777" w:rsidR="00A07A46" w:rsidRDefault="00A07A46" w:rsidP="00A03814">
      <w:pPr>
        <w:pStyle w:val="FindingsConclusions"/>
        <w:numPr>
          <w:ilvl w:val="0"/>
          <w:numId w:val="2"/>
        </w:numPr>
        <w:tabs>
          <w:tab w:val="clear" w:pos="720"/>
          <w:tab w:val="left" w:pos="0"/>
        </w:tabs>
        <w:spacing w:line="264" w:lineRule="auto"/>
        <w:ind w:left="720" w:hanging="1440"/>
        <w:rPr>
          <w:sz w:val="25"/>
          <w:szCs w:val="25"/>
        </w:rPr>
      </w:pPr>
      <w:r>
        <w:rPr>
          <w:sz w:val="25"/>
          <w:szCs w:val="25"/>
        </w:rPr>
        <w:t>(7)</w:t>
      </w:r>
      <w:r>
        <w:rPr>
          <w:sz w:val="25"/>
          <w:szCs w:val="25"/>
        </w:rPr>
        <w:tab/>
        <w:t xml:space="preserve">Inmate Communications Corporation’s failure </w:t>
      </w:r>
      <w:r w:rsidRPr="006405BD">
        <w:rPr>
          <w:sz w:val="25"/>
          <w:szCs w:val="25"/>
        </w:rPr>
        <w:t xml:space="preserve">to </w:t>
      </w:r>
      <w:r>
        <w:rPr>
          <w:sz w:val="25"/>
          <w:szCs w:val="25"/>
        </w:rPr>
        <w:t>file its</w:t>
      </w:r>
      <w:r w:rsidRPr="006405BD">
        <w:rPr>
          <w:sz w:val="25"/>
          <w:szCs w:val="25"/>
        </w:rPr>
        <w:t xml:space="preserve"> annual report for 2013 and pay regulatory fees constitutes good cause to </w:t>
      </w:r>
      <w:r>
        <w:rPr>
          <w:sz w:val="25"/>
          <w:szCs w:val="25"/>
        </w:rPr>
        <w:t>revoke its</w:t>
      </w:r>
      <w:r w:rsidRPr="006405BD">
        <w:rPr>
          <w:sz w:val="25"/>
          <w:szCs w:val="25"/>
        </w:rPr>
        <w:t xml:space="preserve"> </w:t>
      </w:r>
      <w:r>
        <w:rPr>
          <w:sz w:val="25"/>
          <w:szCs w:val="25"/>
        </w:rPr>
        <w:t>registration</w:t>
      </w:r>
      <w:r w:rsidRPr="006405BD">
        <w:rPr>
          <w:sz w:val="25"/>
          <w:szCs w:val="25"/>
        </w:rPr>
        <w:t xml:space="preserve"> to operate in Washington.  </w:t>
      </w:r>
      <w:r>
        <w:rPr>
          <w:sz w:val="25"/>
          <w:szCs w:val="25"/>
        </w:rPr>
        <w:t>Inmate Communications Corporation is in default for failing</w:t>
      </w:r>
      <w:r w:rsidRPr="006973FD">
        <w:rPr>
          <w:sz w:val="25"/>
          <w:szCs w:val="25"/>
        </w:rPr>
        <w:t xml:space="preserve"> to appear at the </w:t>
      </w:r>
      <w:r>
        <w:rPr>
          <w:sz w:val="25"/>
          <w:szCs w:val="25"/>
        </w:rPr>
        <w:t>November 18, 2014</w:t>
      </w:r>
      <w:r w:rsidRPr="006973FD">
        <w:rPr>
          <w:sz w:val="25"/>
          <w:szCs w:val="25"/>
        </w:rPr>
        <w:t>, hearing in this matter.</w:t>
      </w:r>
    </w:p>
    <w:p w14:paraId="6A7AD540" w14:textId="77777777" w:rsidR="00961458" w:rsidRPr="006405BD" w:rsidRDefault="00961458" w:rsidP="00961458">
      <w:pPr>
        <w:pStyle w:val="FindingsConclusions"/>
        <w:numPr>
          <w:ilvl w:val="0"/>
          <w:numId w:val="0"/>
        </w:numPr>
        <w:spacing w:line="264" w:lineRule="auto"/>
        <w:rPr>
          <w:sz w:val="25"/>
          <w:szCs w:val="25"/>
        </w:rPr>
      </w:pPr>
    </w:p>
    <w:p w14:paraId="0553D8B0" w14:textId="77777777" w:rsidR="00A07A46" w:rsidRDefault="00A07A46" w:rsidP="00A03814">
      <w:pPr>
        <w:pStyle w:val="FindingsConclusions"/>
        <w:numPr>
          <w:ilvl w:val="0"/>
          <w:numId w:val="2"/>
        </w:numPr>
        <w:tabs>
          <w:tab w:val="clear" w:pos="720"/>
          <w:tab w:val="left" w:pos="0"/>
        </w:tabs>
        <w:spacing w:line="264" w:lineRule="auto"/>
        <w:ind w:left="720" w:hanging="1440"/>
        <w:rPr>
          <w:sz w:val="25"/>
          <w:szCs w:val="25"/>
        </w:rPr>
      </w:pPr>
      <w:r>
        <w:rPr>
          <w:sz w:val="25"/>
          <w:szCs w:val="25"/>
        </w:rPr>
        <w:t>(8)</w:t>
      </w:r>
      <w:r>
        <w:rPr>
          <w:sz w:val="25"/>
          <w:szCs w:val="25"/>
        </w:rPr>
        <w:tab/>
        <w:t xml:space="preserve">Net Talk.com, Inc.’s failure </w:t>
      </w:r>
      <w:r w:rsidRPr="006405BD">
        <w:rPr>
          <w:sz w:val="25"/>
          <w:szCs w:val="25"/>
        </w:rPr>
        <w:t xml:space="preserve">to </w:t>
      </w:r>
      <w:r>
        <w:rPr>
          <w:sz w:val="25"/>
          <w:szCs w:val="25"/>
        </w:rPr>
        <w:t>file its</w:t>
      </w:r>
      <w:r w:rsidRPr="006405BD">
        <w:rPr>
          <w:sz w:val="25"/>
          <w:szCs w:val="25"/>
        </w:rPr>
        <w:t xml:space="preserve"> annual report for 2013 and pay regulatory fees constitutes good cause to </w:t>
      </w:r>
      <w:r>
        <w:rPr>
          <w:sz w:val="25"/>
          <w:szCs w:val="25"/>
        </w:rPr>
        <w:t>revoke its</w:t>
      </w:r>
      <w:r w:rsidRPr="006405BD">
        <w:rPr>
          <w:sz w:val="25"/>
          <w:szCs w:val="25"/>
        </w:rPr>
        <w:t xml:space="preserve"> </w:t>
      </w:r>
      <w:r>
        <w:rPr>
          <w:sz w:val="25"/>
          <w:szCs w:val="25"/>
        </w:rPr>
        <w:t>registration</w:t>
      </w:r>
      <w:r w:rsidR="00E94945">
        <w:rPr>
          <w:sz w:val="25"/>
          <w:szCs w:val="25"/>
        </w:rPr>
        <w:t xml:space="preserve"> to operate in Washington.  </w:t>
      </w:r>
      <w:r>
        <w:rPr>
          <w:sz w:val="25"/>
          <w:szCs w:val="25"/>
        </w:rPr>
        <w:t>Net Talk.com, Inc. is in default for failing</w:t>
      </w:r>
      <w:r w:rsidRPr="006973FD">
        <w:rPr>
          <w:sz w:val="25"/>
          <w:szCs w:val="25"/>
        </w:rPr>
        <w:t xml:space="preserve"> to appear at the </w:t>
      </w:r>
      <w:r>
        <w:rPr>
          <w:sz w:val="25"/>
          <w:szCs w:val="25"/>
        </w:rPr>
        <w:t>November 18, 2014</w:t>
      </w:r>
      <w:r w:rsidRPr="006973FD">
        <w:rPr>
          <w:sz w:val="25"/>
          <w:szCs w:val="25"/>
        </w:rPr>
        <w:t>, hearing in this matter.</w:t>
      </w:r>
    </w:p>
    <w:p w14:paraId="7CAC82A5" w14:textId="77777777" w:rsidR="00961458" w:rsidRPr="006405BD" w:rsidRDefault="00961458" w:rsidP="00961458">
      <w:pPr>
        <w:pStyle w:val="FindingsConclusions"/>
        <w:numPr>
          <w:ilvl w:val="0"/>
          <w:numId w:val="0"/>
        </w:numPr>
        <w:spacing w:line="264" w:lineRule="auto"/>
        <w:rPr>
          <w:sz w:val="25"/>
          <w:szCs w:val="25"/>
        </w:rPr>
      </w:pPr>
    </w:p>
    <w:p w14:paraId="011CE251" w14:textId="77777777" w:rsidR="00A07A46" w:rsidRDefault="00A07A46" w:rsidP="00A03814">
      <w:pPr>
        <w:pStyle w:val="FindingsConclusions"/>
        <w:numPr>
          <w:ilvl w:val="0"/>
          <w:numId w:val="2"/>
        </w:numPr>
        <w:tabs>
          <w:tab w:val="clear" w:pos="720"/>
          <w:tab w:val="left" w:pos="0"/>
        </w:tabs>
        <w:spacing w:line="264" w:lineRule="auto"/>
        <w:ind w:left="720" w:hanging="1440"/>
        <w:rPr>
          <w:sz w:val="25"/>
          <w:szCs w:val="25"/>
        </w:rPr>
      </w:pPr>
      <w:r>
        <w:rPr>
          <w:sz w:val="25"/>
          <w:szCs w:val="25"/>
        </w:rPr>
        <w:lastRenderedPageBreak/>
        <w:t>(9)</w:t>
      </w:r>
      <w:r>
        <w:rPr>
          <w:sz w:val="25"/>
          <w:szCs w:val="25"/>
        </w:rPr>
        <w:tab/>
        <w:t xml:space="preserve">Tcast Communications, Inc.’s failure </w:t>
      </w:r>
      <w:r w:rsidRPr="006405BD">
        <w:rPr>
          <w:sz w:val="25"/>
          <w:szCs w:val="25"/>
        </w:rPr>
        <w:t xml:space="preserve">to </w:t>
      </w:r>
      <w:r>
        <w:rPr>
          <w:sz w:val="25"/>
          <w:szCs w:val="25"/>
        </w:rPr>
        <w:t>file its</w:t>
      </w:r>
      <w:r w:rsidRPr="006405BD">
        <w:rPr>
          <w:sz w:val="25"/>
          <w:szCs w:val="25"/>
        </w:rPr>
        <w:t xml:space="preserve"> annual report for </w:t>
      </w:r>
      <w:r>
        <w:rPr>
          <w:sz w:val="25"/>
          <w:szCs w:val="25"/>
        </w:rPr>
        <w:tab/>
      </w:r>
      <w:r w:rsidRPr="006405BD">
        <w:rPr>
          <w:sz w:val="25"/>
          <w:szCs w:val="25"/>
        </w:rPr>
        <w:t xml:space="preserve">2013 and pay regulatory fees constitutes good cause to </w:t>
      </w:r>
      <w:r>
        <w:rPr>
          <w:sz w:val="25"/>
          <w:szCs w:val="25"/>
        </w:rPr>
        <w:t>revoke its</w:t>
      </w:r>
      <w:r w:rsidRPr="006405BD">
        <w:rPr>
          <w:sz w:val="25"/>
          <w:szCs w:val="25"/>
        </w:rPr>
        <w:t xml:space="preserve"> </w:t>
      </w:r>
      <w:r>
        <w:rPr>
          <w:sz w:val="25"/>
          <w:szCs w:val="25"/>
        </w:rPr>
        <w:t>registration</w:t>
      </w:r>
      <w:r w:rsidRPr="006405BD">
        <w:rPr>
          <w:sz w:val="25"/>
          <w:szCs w:val="25"/>
        </w:rPr>
        <w:t xml:space="preserve"> to operate in </w:t>
      </w:r>
      <w:r w:rsidR="00E94945">
        <w:rPr>
          <w:sz w:val="25"/>
          <w:szCs w:val="25"/>
        </w:rPr>
        <w:t>Wa</w:t>
      </w:r>
      <w:r w:rsidRPr="006405BD">
        <w:rPr>
          <w:sz w:val="25"/>
          <w:szCs w:val="25"/>
        </w:rPr>
        <w:t xml:space="preserve">shington.  </w:t>
      </w:r>
      <w:r>
        <w:rPr>
          <w:sz w:val="25"/>
          <w:szCs w:val="25"/>
        </w:rPr>
        <w:t>Tcast Communications, Inc. is in default for failing</w:t>
      </w:r>
      <w:r w:rsidRPr="006973FD">
        <w:rPr>
          <w:sz w:val="25"/>
          <w:szCs w:val="25"/>
        </w:rPr>
        <w:t xml:space="preserve"> to appear at the </w:t>
      </w:r>
      <w:r>
        <w:rPr>
          <w:sz w:val="25"/>
          <w:szCs w:val="25"/>
        </w:rPr>
        <w:t>November 18, 2014</w:t>
      </w:r>
      <w:r w:rsidRPr="006973FD">
        <w:rPr>
          <w:sz w:val="25"/>
          <w:szCs w:val="25"/>
        </w:rPr>
        <w:t>, hearing in this matter.</w:t>
      </w:r>
    </w:p>
    <w:p w14:paraId="4C22DFF8" w14:textId="77777777" w:rsidR="00961458" w:rsidRPr="006405BD" w:rsidRDefault="00961458" w:rsidP="00961458">
      <w:pPr>
        <w:pStyle w:val="FindingsConclusions"/>
        <w:numPr>
          <w:ilvl w:val="0"/>
          <w:numId w:val="0"/>
        </w:numPr>
        <w:spacing w:line="264" w:lineRule="auto"/>
        <w:rPr>
          <w:sz w:val="25"/>
          <w:szCs w:val="25"/>
        </w:rPr>
      </w:pPr>
    </w:p>
    <w:p w14:paraId="70F6FCD1" w14:textId="77777777" w:rsidR="00405903" w:rsidRDefault="00A07A46" w:rsidP="00A03814">
      <w:pPr>
        <w:pStyle w:val="FindingsConclusions"/>
        <w:numPr>
          <w:ilvl w:val="0"/>
          <w:numId w:val="2"/>
        </w:numPr>
        <w:tabs>
          <w:tab w:val="clear" w:pos="720"/>
          <w:tab w:val="left" w:pos="0"/>
        </w:tabs>
        <w:spacing w:line="264" w:lineRule="auto"/>
        <w:ind w:left="720" w:hanging="1440"/>
        <w:rPr>
          <w:sz w:val="25"/>
          <w:szCs w:val="25"/>
        </w:rPr>
      </w:pPr>
      <w:r w:rsidRPr="00690DE9">
        <w:rPr>
          <w:sz w:val="25"/>
          <w:szCs w:val="25"/>
        </w:rPr>
        <w:t>(10)</w:t>
      </w:r>
      <w:r w:rsidRPr="00690DE9">
        <w:rPr>
          <w:sz w:val="25"/>
          <w:szCs w:val="25"/>
        </w:rPr>
        <w:tab/>
        <w:t xml:space="preserve">Telecare, Inc.’s failure to file its annual report for </w:t>
      </w:r>
      <w:r w:rsidRPr="00690DE9">
        <w:rPr>
          <w:sz w:val="25"/>
          <w:szCs w:val="25"/>
        </w:rPr>
        <w:tab/>
        <w:t>2013 and pay regulatory fees constitutes good cause to revoke its registrat</w:t>
      </w:r>
      <w:r w:rsidR="00E94945">
        <w:rPr>
          <w:sz w:val="25"/>
          <w:szCs w:val="25"/>
        </w:rPr>
        <w:t xml:space="preserve">ion to operate in Washington.  </w:t>
      </w:r>
      <w:r w:rsidRPr="00690DE9">
        <w:rPr>
          <w:sz w:val="25"/>
          <w:szCs w:val="25"/>
        </w:rPr>
        <w:t>Telecare, Inc. is in default for failing to appear at the November 18, 2014, hearing in this matter.</w:t>
      </w:r>
    </w:p>
    <w:p w14:paraId="4E4DCD6B" w14:textId="77777777" w:rsidR="00961458" w:rsidRPr="00690DE9" w:rsidRDefault="00961458" w:rsidP="00961458">
      <w:pPr>
        <w:pStyle w:val="FindingsConclusions"/>
        <w:numPr>
          <w:ilvl w:val="0"/>
          <w:numId w:val="0"/>
        </w:numPr>
        <w:spacing w:line="264" w:lineRule="auto"/>
        <w:rPr>
          <w:sz w:val="25"/>
          <w:szCs w:val="25"/>
        </w:rPr>
      </w:pPr>
    </w:p>
    <w:p w14:paraId="19CE6681" w14:textId="77777777" w:rsidR="00D4265D" w:rsidRDefault="00D4265D" w:rsidP="00961458">
      <w:pPr>
        <w:pStyle w:val="FindingsConclusions"/>
        <w:numPr>
          <w:ilvl w:val="0"/>
          <w:numId w:val="0"/>
        </w:numPr>
        <w:spacing w:line="264" w:lineRule="auto"/>
        <w:jc w:val="center"/>
        <w:rPr>
          <w:b/>
          <w:sz w:val="25"/>
          <w:szCs w:val="25"/>
        </w:rPr>
      </w:pPr>
      <w:r w:rsidRPr="00405903">
        <w:rPr>
          <w:b/>
          <w:sz w:val="25"/>
          <w:szCs w:val="25"/>
        </w:rPr>
        <w:t>ORDER</w:t>
      </w:r>
    </w:p>
    <w:p w14:paraId="1E3F142B" w14:textId="77777777" w:rsidR="00961458" w:rsidRPr="00405903" w:rsidRDefault="00961458" w:rsidP="00961458">
      <w:pPr>
        <w:pStyle w:val="FindingsConclusions"/>
        <w:numPr>
          <w:ilvl w:val="0"/>
          <w:numId w:val="0"/>
        </w:numPr>
        <w:spacing w:line="264" w:lineRule="auto"/>
        <w:jc w:val="center"/>
        <w:rPr>
          <w:sz w:val="25"/>
          <w:szCs w:val="25"/>
        </w:rPr>
      </w:pPr>
    </w:p>
    <w:p w14:paraId="74F57D06" w14:textId="77777777" w:rsidR="00D4265D" w:rsidRDefault="00D4265D" w:rsidP="00961458">
      <w:pPr>
        <w:pStyle w:val="FindingsConclusions"/>
        <w:numPr>
          <w:ilvl w:val="0"/>
          <w:numId w:val="0"/>
        </w:numPr>
        <w:spacing w:line="264" w:lineRule="auto"/>
        <w:rPr>
          <w:sz w:val="25"/>
          <w:szCs w:val="25"/>
        </w:rPr>
      </w:pPr>
      <w:r>
        <w:rPr>
          <w:sz w:val="25"/>
          <w:szCs w:val="25"/>
        </w:rPr>
        <w:t xml:space="preserve">THE </w:t>
      </w:r>
      <w:r w:rsidRPr="00614E38">
        <w:rPr>
          <w:sz w:val="25"/>
          <w:szCs w:val="25"/>
        </w:rPr>
        <w:t>COMMISSION ORDERS THAT:</w:t>
      </w:r>
    </w:p>
    <w:p w14:paraId="08CA535B" w14:textId="77777777" w:rsidR="00961458" w:rsidRPr="00614E38" w:rsidRDefault="00961458" w:rsidP="00961458">
      <w:pPr>
        <w:pStyle w:val="FindingsConclusions"/>
        <w:numPr>
          <w:ilvl w:val="0"/>
          <w:numId w:val="0"/>
        </w:numPr>
        <w:spacing w:line="264" w:lineRule="auto"/>
        <w:rPr>
          <w:sz w:val="25"/>
          <w:szCs w:val="25"/>
        </w:rPr>
      </w:pPr>
    </w:p>
    <w:p w14:paraId="54EC8D6B" w14:textId="77777777" w:rsidR="004237BD" w:rsidRPr="00961458" w:rsidRDefault="00D4265D" w:rsidP="00A03814">
      <w:pPr>
        <w:pStyle w:val="FindingsConclusions"/>
        <w:numPr>
          <w:ilvl w:val="0"/>
          <w:numId w:val="2"/>
        </w:numPr>
        <w:tabs>
          <w:tab w:val="clear" w:pos="720"/>
          <w:tab w:val="left" w:pos="0"/>
        </w:tabs>
        <w:spacing w:line="264" w:lineRule="auto"/>
        <w:ind w:left="720" w:hanging="1440"/>
        <w:rPr>
          <w:i/>
          <w:sz w:val="25"/>
          <w:szCs w:val="25"/>
        </w:rPr>
      </w:pPr>
      <w:r w:rsidRPr="006405BD">
        <w:rPr>
          <w:sz w:val="25"/>
          <w:szCs w:val="25"/>
        </w:rPr>
        <w:t>(1)</w:t>
      </w:r>
      <w:r w:rsidRPr="006405BD">
        <w:rPr>
          <w:sz w:val="25"/>
          <w:szCs w:val="25"/>
        </w:rPr>
        <w:tab/>
      </w:r>
      <w:r w:rsidR="006405BD">
        <w:rPr>
          <w:sz w:val="25"/>
          <w:szCs w:val="25"/>
        </w:rPr>
        <w:t>Et</w:t>
      </w:r>
      <w:r w:rsidR="005E221F">
        <w:rPr>
          <w:sz w:val="25"/>
          <w:szCs w:val="25"/>
        </w:rPr>
        <w:t>hos Communications Group, Inc. is</w:t>
      </w:r>
      <w:r w:rsidR="00CD7E86" w:rsidRPr="006405BD">
        <w:rPr>
          <w:sz w:val="25"/>
          <w:szCs w:val="25"/>
        </w:rPr>
        <w:t xml:space="preserve"> </w:t>
      </w:r>
      <w:r w:rsidR="004237BD" w:rsidRPr="006405BD">
        <w:rPr>
          <w:sz w:val="25"/>
          <w:szCs w:val="25"/>
        </w:rPr>
        <w:t>in default</w:t>
      </w:r>
      <w:r w:rsidR="001F1010" w:rsidRPr="006405BD">
        <w:rPr>
          <w:sz w:val="25"/>
          <w:szCs w:val="25"/>
        </w:rPr>
        <w:t>.</w:t>
      </w:r>
      <w:r w:rsidR="005E221F">
        <w:rPr>
          <w:sz w:val="25"/>
          <w:szCs w:val="25"/>
        </w:rPr>
        <w:t xml:space="preserve">  </w:t>
      </w:r>
      <w:r w:rsidR="005E221F" w:rsidRPr="009E2010">
        <w:rPr>
          <w:sz w:val="25"/>
          <w:szCs w:val="25"/>
        </w:rPr>
        <w:t xml:space="preserve">The </w:t>
      </w:r>
      <w:r w:rsidR="005E221F">
        <w:rPr>
          <w:sz w:val="25"/>
          <w:szCs w:val="25"/>
        </w:rPr>
        <w:t>telecommunications registration</w:t>
      </w:r>
      <w:r w:rsidR="005E221F" w:rsidRPr="009E2010">
        <w:rPr>
          <w:sz w:val="25"/>
          <w:szCs w:val="25"/>
        </w:rPr>
        <w:t xml:space="preserve"> held by </w:t>
      </w:r>
      <w:r w:rsidR="005E221F">
        <w:rPr>
          <w:sz w:val="25"/>
          <w:szCs w:val="25"/>
        </w:rPr>
        <w:t>Ethos Communications Group, Inc. is revoked</w:t>
      </w:r>
      <w:r w:rsidR="005E221F" w:rsidRPr="009E2010">
        <w:rPr>
          <w:sz w:val="25"/>
          <w:szCs w:val="25"/>
        </w:rPr>
        <w:t xml:space="preserve"> for </w:t>
      </w:r>
      <w:r w:rsidR="005E221F">
        <w:rPr>
          <w:sz w:val="25"/>
          <w:szCs w:val="25"/>
        </w:rPr>
        <w:t xml:space="preserve">failure </w:t>
      </w:r>
      <w:r w:rsidR="005E221F" w:rsidRPr="006973FD">
        <w:rPr>
          <w:sz w:val="25"/>
          <w:szCs w:val="25"/>
        </w:rPr>
        <w:t xml:space="preserve">to file </w:t>
      </w:r>
      <w:r w:rsidR="005E221F">
        <w:rPr>
          <w:sz w:val="25"/>
          <w:szCs w:val="25"/>
        </w:rPr>
        <w:t xml:space="preserve">an </w:t>
      </w:r>
      <w:r w:rsidR="005E221F" w:rsidRPr="006973FD">
        <w:rPr>
          <w:sz w:val="25"/>
          <w:szCs w:val="25"/>
        </w:rPr>
        <w:t>annual report for 201</w:t>
      </w:r>
      <w:r w:rsidR="005E221F">
        <w:rPr>
          <w:sz w:val="25"/>
          <w:szCs w:val="25"/>
        </w:rPr>
        <w:t xml:space="preserve">3 </w:t>
      </w:r>
      <w:r w:rsidR="005E221F" w:rsidRPr="006973FD">
        <w:rPr>
          <w:sz w:val="25"/>
          <w:szCs w:val="25"/>
        </w:rPr>
        <w:t>and pay regulatory fees</w:t>
      </w:r>
      <w:r w:rsidR="005E221F" w:rsidRPr="009E2010">
        <w:rPr>
          <w:sz w:val="25"/>
          <w:szCs w:val="25"/>
        </w:rPr>
        <w:t>.</w:t>
      </w:r>
    </w:p>
    <w:p w14:paraId="11FA2707" w14:textId="77777777" w:rsidR="00961458" w:rsidRPr="006405BD" w:rsidRDefault="00961458" w:rsidP="00961458">
      <w:pPr>
        <w:pStyle w:val="FindingsConclusions"/>
        <w:numPr>
          <w:ilvl w:val="0"/>
          <w:numId w:val="0"/>
        </w:numPr>
        <w:spacing w:line="264" w:lineRule="auto"/>
        <w:rPr>
          <w:i/>
          <w:sz w:val="25"/>
          <w:szCs w:val="25"/>
        </w:rPr>
      </w:pPr>
    </w:p>
    <w:p w14:paraId="44B7F343" w14:textId="77777777" w:rsidR="005E221F" w:rsidRDefault="004237BD" w:rsidP="00A03814">
      <w:pPr>
        <w:pStyle w:val="FindingsConclusions"/>
        <w:numPr>
          <w:ilvl w:val="0"/>
          <w:numId w:val="2"/>
        </w:numPr>
        <w:tabs>
          <w:tab w:val="clear" w:pos="720"/>
          <w:tab w:val="left" w:pos="0"/>
        </w:tabs>
        <w:spacing w:line="264" w:lineRule="auto"/>
        <w:ind w:left="720" w:hanging="1440"/>
        <w:rPr>
          <w:sz w:val="25"/>
          <w:szCs w:val="25"/>
        </w:rPr>
      </w:pPr>
      <w:r w:rsidRPr="005E221F">
        <w:rPr>
          <w:sz w:val="25"/>
          <w:szCs w:val="25"/>
        </w:rPr>
        <w:t>(</w:t>
      </w:r>
      <w:r w:rsidR="00DA0F42" w:rsidRPr="005E221F">
        <w:rPr>
          <w:sz w:val="25"/>
          <w:szCs w:val="25"/>
        </w:rPr>
        <w:t>2</w:t>
      </w:r>
      <w:r w:rsidR="00D4265D" w:rsidRPr="005E221F">
        <w:rPr>
          <w:sz w:val="25"/>
          <w:szCs w:val="25"/>
        </w:rPr>
        <w:t>)</w:t>
      </w:r>
      <w:r w:rsidR="00D4265D" w:rsidRPr="005E221F">
        <w:rPr>
          <w:sz w:val="25"/>
          <w:szCs w:val="25"/>
        </w:rPr>
        <w:tab/>
      </w:r>
      <w:r w:rsidR="005E221F">
        <w:rPr>
          <w:sz w:val="25"/>
          <w:szCs w:val="25"/>
        </w:rPr>
        <w:t>Go Solo Technologies, Inc. is</w:t>
      </w:r>
      <w:r w:rsidR="005E221F" w:rsidRPr="006405BD">
        <w:rPr>
          <w:sz w:val="25"/>
          <w:szCs w:val="25"/>
        </w:rPr>
        <w:t xml:space="preserve"> in default.</w:t>
      </w:r>
      <w:r w:rsidR="005E221F">
        <w:rPr>
          <w:sz w:val="25"/>
          <w:szCs w:val="25"/>
        </w:rPr>
        <w:t xml:space="preserve">  </w:t>
      </w:r>
      <w:r w:rsidR="005E221F" w:rsidRPr="009E2010">
        <w:rPr>
          <w:sz w:val="25"/>
          <w:szCs w:val="25"/>
        </w:rPr>
        <w:t xml:space="preserve">The </w:t>
      </w:r>
      <w:r w:rsidR="005E221F">
        <w:rPr>
          <w:sz w:val="25"/>
          <w:szCs w:val="25"/>
        </w:rPr>
        <w:t>telecommunications registration</w:t>
      </w:r>
      <w:r w:rsidR="005E221F" w:rsidRPr="009E2010">
        <w:rPr>
          <w:sz w:val="25"/>
          <w:szCs w:val="25"/>
        </w:rPr>
        <w:t xml:space="preserve"> held by </w:t>
      </w:r>
      <w:r w:rsidR="005E221F">
        <w:rPr>
          <w:sz w:val="25"/>
          <w:szCs w:val="25"/>
        </w:rPr>
        <w:t>Go Solo Technologies, Inc. is revoked</w:t>
      </w:r>
      <w:r w:rsidR="005E221F" w:rsidRPr="009E2010">
        <w:rPr>
          <w:sz w:val="25"/>
          <w:szCs w:val="25"/>
        </w:rPr>
        <w:t xml:space="preserve"> for </w:t>
      </w:r>
      <w:r w:rsidR="005E221F">
        <w:rPr>
          <w:sz w:val="25"/>
          <w:szCs w:val="25"/>
        </w:rPr>
        <w:t xml:space="preserve">failure </w:t>
      </w:r>
      <w:r w:rsidR="005E221F" w:rsidRPr="006973FD">
        <w:rPr>
          <w:sz w:val="25"/>
          <w:szCs w:val="25"/>
        </w:rPr>
        <w:t>to file</w:t>
      </w:r>
      <w:r w:rsidR="005E221F">
        <w:rPr>
          <w:sz w:val="25"/>
          <w:szCs w:val="25"/>
        </w:rPr>
        <w:t xml:space="preserve"> an</w:t>
      </w:r>
      <w:r w:rsidR="005E221F" w:rsidRPr="006973FD">
        <w:rPr>
          <w:sz w:val="25"/>
          <w:szCs w:val="25"/>
        </w:rPr>
        <w:t xml:space="preserve"> annual report for 201</w:t>
      </w:r>
      <w:r w:rsidR="005E221F">
        <w:rPr>
          <w:sz w:val="25"/>
          <w:szCs w:val="25"/>
        </w:rPr>
        <w:t xml:space="preserve">3 </w:t>
      </w:r>
      <w:r w:rsidR="005E221F" w:rsidRPr="006973FD">
        <w:rPr>
          <w:sz w:val="25"/>
          <w:szCs w:val="25"/>
        </w:rPr>
        <w:t>and pay regulatory fees</w:t>
      </w:r>
      <w:r w:rsidR="005E221F" w:rsidRPr="009E2010">
        <w:rPr>
          <w:sz w:val="25"/>
          <w:szCs w:val="25"/>
        </w:rPr>
        <w:t>.</w:t>
      </w:r>
    </w:p>
    <w:p w14:paraId="5FFC2243" w14:textId="77777777" w:rsidR="00961458" w:rsidRDefault="00961458" w:rsidP="00961458">
      <w:pPr>
        <w:pStyle w:val="FindingsConclusions"/>
        <w:numPr>
          <w:ilvl w:val="0"/>
          <w:numId w:val="0"/>
        </w:numPr>
        <w:spacing w:line="264" w:lineRule="auto"/>
        <w:rPr>
          <w:sz w:val="25"/>
          <w:szCs w:val="25"/>
        </w:rPr>
      </w:pPr>
    </w:p>
    <w:p w14:paraId="66BB44C5" w14:textId="77777777" w:rsidR="005E221F" w:rsidRDefault="005E221F" w:rsidP="00A03814">
      <w:pPr>
        <w:pStyle w:val="FindingsConclusions"/>
        <w:numPr>
          <w:ilvl w:val="0"/>
          <w:numId w:val="2"/>
        </w:numPr>
        <w:tabs>
          <w:tab w:val="clear" w:pos="720"/>
          <w:tab w:val="left" w:pos="0"/>
        </w:tabs>
        <w:spacing w:line="264" w:lineRule="auto"/>
        <w:ind w:left="720" w:hanging="1440"/>
        <w:rPr>
          <w:sz w:val="25"/>
          <w:szCs w:val="25"/>
        </w:rPr>
      </w:pPr>
      <w:r>
        <w:rPr>
          <w:sz w:val="25"/>
          <w:szCs w:val="25"/>
        </w:rPr>
        <w:t>(3)</w:t>
      </w:r>
      <w:r>
        <w:rPr>
          <w:sz w:val="25"/>
          <w:szCs w:val="25"/>
        </w:rPr>
        <w:tab/>
        <w:t>IBFA Acquisition Company</w:t>
      </w:r>
      <w:r w:rsidR="00690DE9">
        <w:rPr>
          <w:sz w:val="25"/>
          <w:szCs w:val="25"/>
        </w:rPr>
        <w:t>, LLC</w:t>
      </w:r>
      <w:r>
        <w:rPr>
          <w:sz w:val="25"/>
          <w:szCs w:val="25"/>
        </w:rPr>
        <w:t xml:space="preserve"> is</w:t>
      </w:r>
      <w:r w:rsidRPr="006405BD">
        <w:rPr>
          <w:sz w:val="25"/>
          <w:szCs w:val="25"/>
        </w:rPr>
        <w:t xml:space="preserve"> in default.</w:t>
      </w:r>
      <w:r>
        <w:rPr>
          <w:sz w:val="25"/>
          <w:szCs w:val="25"/>
        </w:rPr>
        <w:t xml:space="preserve">  </w:t>
      </w:r>
      <w:r w:rsidRPr="009E2010">
        <w:rPr>
          <w:sz w:val="25"/>
          <w:szCs w:val="25"/>
        </w:rPr>
        <w:t xml:space="preserve">The </w:t>
      </w:r>
      <w:r>
        <w:rPr>
          <w:sz w:val="25"/>
          <w:szCs w:val="25"/>
        </w:rPr>
        <w:t>telecommunications registration</w:t>
      </w:r>
      <w:r w:rsidRPr="009E2010">
        <w:rPr>
          <w:sz w:val="25"/>
          <w:szCs w:val="25"/>
        </w:rPr>
        <w:t xml:space="preserve"> held by </w:t>
      </w:r>
      <w:r>
        <w:rPr>
          <w:sz w:val="25"/>
          <w:szCs w:val="25"/>
        </w:rPr>
        <w:t>IBFA Acquisition Company</w:t>
      </w:r>
      <w:r w:rsidR="00690DE9">
        <w:rPr>
          <w:sz w:val="25"/>
          <w:szCs w:val="25"/>
        </w:rPr>
        <w:t>, LLC</w:t>
      </w:r>
      <w:r>
        <w:rPr>
          <w:sz w:val="25"/>
          <w:szCs w:val="25"/>
        </w:rPr>
        <w:t xml:space="preserve"> is revoked</w:t>
      </w:r>
      <w:r w:rsidRPr="009E2010">
        <w:rPr>
          <w:sz w:val="25"/>
          <w:szCs w:val="25"/>
        </w:rPr>
        <w:t xml:space="preserve"> for </w:t>
      </w:r>
      <w:r>
        <w:rPr>
          <w:sz w:val="25"/>
          <w:szCs w:val="25"/>
        </w:rPr>
        <w:t xml:space="preserve">failure </w:t>
      </w:r>
      <w:r w:rsidRPr="006973FD">
        <w:rPr>
          <w:sz w:val="25"/>
          <w:szCs w:val="25"/>
        </w:rPr>
        <w:t xml:space="preserve">to file </w:t>
      </w:r>
      <w:r>
        <w:rPr>
          <w:sz w:val="25"/>
          <w:szCs w:val="25"/>
        </w:rPr>
        <w:t xml:space="preserve">an </w:t>
      </w:r>
      <w:r w:rsidRPr="006973FD">
        <w:rPr>
          <w:sz w:val="25"/>
          <w:szCs w:val="25"/>
        </w:rPr>
        <w:t>annual report for 201</w:t>
      </w:r>
      <w:r>
        <w:rPr>
          <w:sz w:val="25"/>
          <w:szCs w:val="25"/>
        </w:rPr>
        <w:t xml:space="preserve">3 </w:t>
      </w:r>
      <w:r w:rsidRPr="006973FD">
        <w:rPr>
          <w:sz w:val="25"/>
          <w:szCs w:val="25"/>
        </w:rPr>
        <w:t>and pay regulatory fees</w:t>
      </w:r>
      <w:r w:rsidRPr="009E2010">
        <w:rPr>
          <w:sz w:val="25"/>
          <w:szCs w:val="25"/>
        </w:rPr>
        <w:t>.</w:t>
      </w:r>
    </w:p>
    <w:p w14:paraId="394A3101" w14:textId="77777777" w:rsidR="00961458" w:rsidRDefault="00961458" w:rsidP="00961458">
      <w:pPr>
        <w:pStyle w:val="FindingsConclusions"/>
        <w:numPr>
          <w:ilvl w:val="0"/>
          <w:numId w:val="0"/>
        </w:numPr>
        <w:spacing w:line="264" w:lineRule="auto"/>
        <w:rPr>
          <w:sz w:val="25"/>
          <w:szCs w:val="25"/>
        </w:rPr>
      </w:pPr>
    </w:p>
    <w:p w14:paraId="6E46BB5E" w14:textId="77777777" w:rsidR="005E221F" w:rsidRDefault="005E221F" w:rsidP="00A03814">
      <w:pPr>
        <w:pStyle w:val="FindingsConclusions"/>
        <w:numPr>
          <w:ilvl w:val="0"/>
          <w:numId w:val="2"/>
        </w:numPr>
        <w:tabs>
          <w:tab w:val="clear" w:pos="720"/>
          <w:tab w:val="left" w:pos="0"/>
        </w:tabs>
        <w:spacing w:line="264" w:lineRule="auto"/>
        <w:ind w:left="720" w:hanging="1440"/>
        <w:rPr>
          <w:sz w:val="25"/>
          <w:szCs w:val="25"/>
        </w:rPr>
      </w:pPr>
      <w:r>
        <w:rPr>
          <w:sz w:val="25"/>
          <w:szCs w:val="25"/>
        </w:rPr>
        <w:t>(4)</w:t>
      </w:r>
      <w:r>
        <w:rPr>
          <w:sz w:val="25"/>
          <w:szCs w:val="25"/>
        </w:rPr>
        <w:tab/>
        <w:t>Inmate Communications Corporation is</w:t>
      </w:r>
      <w:r w:rsidRPr="006405BD">
        <w:rPr>
          <w:sz w:val="25"/>
          <w:szCs w:val="25"/>
        </w:rPr>
        <w:t xml:space="preserve"> in default.</w:t>
      </w:r>
      <w:r>
        <w:rPr>
          <w:sz w:val="25"/>
          <w:szCs w:val="25"/>
        </w:rPr>
        <w:t xml:space="preserve">  </w:t>
      </w:r>
      <w:r w:rsidRPr="009E2010">
        <w:rPr>
          <w:sz w:val="25"/>
          <w:szCs w:val="25"/>
        </w:rPr>
        <w:t xml:space="preserve">The </w:t>
      </w:r>
      <w:r>
        <w:rPr>
          <w:sz w:val="25"/>
          <w:szCs w:val="25"/>
        </w:rPr>
        <w:t>telecommunications registration</w:t>
      </w:r>
      <w:r w:rsidRPr="009E2010">
        <w:rPr>
          <w:sz w:val="25"/>
          <w:szCs w:val="25"/>
        </w:rPr>
        <w:t xml:space="preserve"> held by </w:t>
      </w:r>
      <w:r>
        <w:rPr>
          <w:sz w:val="25"/>
          <w:szCs w:val="25"/>
        </w:rPr>
        <w:t>Inmate Communications Corporation is revoked</w:t>
      </w:r>
      <w:r w:rsidRPr="009E2010">
        <w:rPr>
          <w:sz w:val="25"/>
          <w:szCs w:val="25"/>
        </w:rPr>
        <w:t xml:space="preserve"> for </w:t>
      </w:r>
      <w:r>
        <w:rPr>
          <w:sz w:val="25"/>
          <w:szCs w:val="25"/>
        </w:rPr>
        <w:t xml:space="preserve">failure </w:t>
      </w:r>
      <w:r w:rsidRPr="006973FD">
        <w:rPr>
          <w:sz w:val="25"/>
          <w:szCs w:val="25"/>
        </w:rPr>
        <w:t xml:space="preserve">to </w:t>
      </w:r>
      <w:r>
        <w:rPr>
          <w:sz w:val="25"/>
          <w:szCs w:val="25"/>
        </w:rPr>
        <w:t>f</w:t>
      </w:r>
      <w:r w:rsidRPr="006973FD">
        <w:rPr>
          <w:sz w:val="25"/>
          <w:szCs w:val="25"/>
        </w:rPr>
        <w:t xml:space="preserve">ile </w:t>
      </w:r>
      <w:r>
        <w:rPr>
          <w:sz w:val="25"/>
          <w:szCs w:val="25"/>
        </w:rPr>
        <w:t xml:space="preserve">an </w:t>
      </w:r>
      <w:r w:rsidRPr="006973FD">
        <w:rPr>
          <w:sz w:val="25"/>
          <w:szCs w:val="25"/>
        </w:rPr>
        <w:t>annual report for 201</w:t>
      </w:r>
      <w:r>
        <w:rPr>
          <w:sz w:val="25"/>
          <w:szCs w:val="25"/>
        </w:rPr>
        <w:t xml:space="preserve">3 </w:t>
      </w:r>
      <w:r w:rsidRPr="006973FD">
        <w:rPr>
          <w:sz w:val="25"/>
          <w:szCs w:val="25"/>
        </w:rPr>
        <w:t>and pay regulatory fees</w:t>
      </w:r>
      <w:r w:rsidRPr="009E2010">
        <w:rPr>
          <w:sz w:val="25"/>
          <w:szCs w:val="25"/>
        </w:rPr>
        <w:t>.</w:t>
      </w:r>
    </w:p>
    <w:p w14:paraId="2A8EF458" w14:textId="77777777" w:rsidR="00961458" w:rsidRDefault="00961458" w:rsidP="00961458">
      <w:pPr>
        <w:pStyle w:val="FindingsConclusions"/>
        <w:numPr>
          <w:ilvl w:val="0"/>
          <w:numId w:val="0"/>
        </w:numPr>
        <w:spacing w:line="264" w:lineRule="auto"/>
        <w:rPr>
          <w:sz w:val="25"/>
          <w:szCs w:val="25"/>
        </w:rPr>
      </w:pPr>
    </w:p>
    <w:p w14:paraId="49409CB9" w14:textId="77777777" w:rsidR="005E221F" w:rsidRDefault="005E221F" w:rsidP="00A03814">
      <w:pPr>
        <w:pStyle w:val="FindingsConclusions"/>
        <w:numPr>
          <w:ilvl w:val="0"/>
          <w:numId w:val="2"/>
        </w:numPr>
        <w:tabs>
          <w:tab w:val="clear" w:pos="720"/>
          <w:tab w:val="left" w:pos="0"/>
        </w:tabs>
        <w:spacing w:line="264" w:lineRule="auto"/>
        <w:ind w:left="720" w:hanging="1440"/>
        <w:rPr>
          <w:sz w:val="25"/>
          <w:szCs w:val="25"/>
        </w:rPr>
      </w:pPr>
      <w:r>
        <w:rPr>
          <w:sz w:val="25"/>
          <w:szCs w:val="25"/>
        </w:rPr>
        <w:t>(5)</w:t>
      </w:r>
      <w:r>
        <w:rPr>
          <w:sz w:val="25"/>
          <w:szCs w:val="25"/>
        </w:rPr>
        <w:tab/>
        <w:t>Net Talk.com, Inc. is</w:t>
      </w:r>
      <w:r w:rsidRPr="006405BD">
        <w:rPr>
          <w:sz w:val="25"/>
          <w:szCs w:val="25"/>
        </w:rPr>
        <w:t xml:space="preserve"> in default.</w:t>
      </w:r>
      <w:r>
        <w:rPr>
          <w:sz w:val="25"/>
          <w:szCs w:val="25"/>
        </w:rPr>
        <w:t xml:space="preserve">  </w:t>
      </w:r>
      <w:r w:rsidRPr="009E2010">
        <w:rPr>
          <w:sz w:val="25"/>
          <w:szCs w:val="25"/>
        </w:rPr>
        <w:t xml:space="preserve">The </w:t>
      </w:r>
      <w:r>
        <w:rPr>
          <w:sz w:val="25"/>
          <w:szCs w:val="25"/>
        </w:rPr>
        <w:t>telecommunications registration</w:t>
      </w:r>
      <w:r w:rsidRPr="009E2010">
        <w:rPr>
          <w:sz w:val="25"/>
          <w:szCs w:val="25"/>
        </w:rPr>
        <w:t xml:space="preserve"> held by </w:t>
      </w:r>
      <w:r>
        <w:rPr>
          <w:sz w:val="25"/>
          <w:szCs w:val="25"/>
        </w:rPr>
        <w:t>Net Talk.com, Inc. is revoked</w:t>
      </w:r>
      <w:r w:rsidRPr="009E2010">
        <w:rPr>
          <w:sz w:val="25"/>
          <w:szCs w:val="25"/>
        </w:rPr>
        <w:t xml:space="preserve"> for </w:t>
      </w:r>
      <w:r>
        <w:rPr>
          <w:sz w:val="25"/>
          <w:szCs w:val="25"/>
        </w:rPr>
        <w:t xml:space="preserve">failure </w:t>
      </w:r>
      <w:r w:rsidRPr="006973FD">
        <w:rPr>
          <w:sz w:val="25"/>
          <w:szCs w:val="25"/>
        </w:rPr>
        <w:t xml:space="preserve">to file </w:t>
      </w:r>
      <w:r>
        <w:rPr>
          <w:sz w:val="25"/>
          <w:szCs w:val="25"/>
        </w:rPr>
        <w:t xml:space="preserve">an </w:t>
      </w:r>
      <w:r w:rsidRPr="006973FD">
        <w:rPr>
          <w:sz w:val="25"/>
          <w:szCs w:val="25"/>
        </w:rPr>
        <w:t>annual report for 201</w:t>
      </w:r>
      <w:r>
        <w:rPr>
          <w:sz w:val="25"/>
          <w:szCs w:val="25"/>
        </w:rPr>
        <w:t xml:space="preserve">3 </w:t>
      </w:r>
      <w:r w:rsidRPr="006973FD">
        <w:rPr>
          <w:sz w:val="25"/>
          <w:szCs w:val="25"/>
        </w:rPr>
        <w:t>and pay regulatory fees</w:t>
      </w:r>
      <w:r w:rsidRPr="009E2010">
        <w:rPr>
          <w:sz w:val="25"/>
          <w:szCs w:val="25"/>
        </w:rPr>
        <w:t>.</w:t>
      </w:r>
    </w:p>
    <w:p w14:paraId="4EC94D5B" w14:textId="77777777" w:rsidR="00961458" w:rsidRDefault="00961458" w:rsidP="00961458">
      <w:pPr>
        <w:pStyle w:val="FindingsConclusions"/>
        <w:numPr>
          <w:ilvl w:val="0"/>
          <w:numId w:val="0"/>
        </w:numPr>
        <w:spacing w:line="264" w:lineRule="auto"/>
        <w:rPr>
          <w:sz w:val="25"/>
          <w:szCs w:val="25"/>
        </w:rPr>
      </w:pPr>
    </w:p>
    <w:p w14:paraId="1BA98855" w14:textId="77777777" w:rsidR="005E221F" w:rsidRDefault="005E221F" w:rsidP="00A03814">
      <w:pPr>
        <w:pStyle w:val="FindingsConclusions"/>
        <w:numPr>
          <w:ilvl w:val="0"/>
          <w:numId w:val="2"/>
        </w:numPr>
        <w:tabs>
          <w:tab w:val="clear" w:pos="720"/>
          <w:tab w:val="left" w:pos="0"/>
        </w:tabs>
        <w:spacing w:line="264" w:lineRule="auto"/>
        <w:ind w:left="720" w:hanging="1440"/>
        <w:rPr>
          <w:sz w:val="25"/>
          <w:szCs w:val="25"/>
        </w:rPr>
      </w:pPr>
      <w:r>
        <w:rPr>
          <w:sz w:val="25"/>
          <w:szCs w:val="25"/>
        </w:rPr>
        <w:t>(6)</w:t>
      </w:r>
      <w:r>
        <w:rPr>
          <w:sz w:val="25"/>
          <w:szCs w:val="25"/>
        </w:rPr>
        <w:tab/>
        <w:t>Tcast Communications, Inc. is</w:t>
      </w:r>
      <w:r w:rsidRPr="006405BD">
        <w:rPr>
          <w:sz w:val="25"/>
          <w:szCs w:val="25"/>
        </w:rPr>
        <w:t xml:space="preserve"> in default.</w:t>
      </w:r>
      <w:r>
        <w:rPr>
          <w:sz w:val="25"/>
          <w:szCs w:val="25"/>
        </w:rPr>
        <w:t xml:space="preserve">  </w:t>
      </w:r>
      <w:r w:rsidRPr="009E2010">
        <w:rPr>
          <w:sz w:val="25"/>
          <w:szCs w:val="25"/>
        </w:rPr>
        <w:t xml:space="preserve">The </w:t>
      </w:r>
      <w:r>
        <w:rPr>
          <w:sz w:val="25"/>
          <w:szCs w:val="25"/>
        </w:rPr>
        <w:t>telecommunications registration</w:t>
      </w:r>
      <w:r w:rsidRPr="009E2010">
        <w:rPr>
          <w:sz w:val="25"/>
          <w:szCs w:val="25"/>
        </w:rPr>
        <w:t xml:space="preserve"> held by </w:t>
      </w:r>
      <w:r>
        <w:rPr>
          <w:sz w:val="25"/>
          <w:szCs w:val="25"/>
        </w:rPr>
        <w:t>Tcast Communications, Inc. is revoked</w:t>
      </w:r>
      <w:r w:rsidRPr="009E2010">
        <w:rPr>
          <w:sz w:val="25"/>
          <w:szCs w:val="25"/>
        </w:rPr>
        <w:t xml:space="preserve"> for </w:t>
      </w:r>
      <w:r>
        <w:rPr>
          <w:sz w:val="25"/>
          <w:szCs w:val="25"/>
        </w:rPr>
        <w:t xml:space="preserve">failure </w:t>
      </w:r>
      <w:r w:rsidRPr="006973FD">
        <w:rPr>
          <w:sz w:val="25"/>
          <w:szCs w:val="25"/>
        </w:rPr>
        <w:t xml:space="preserve">to file </w:t>
      </w:r>
      <w:r>
        <w:rPr>
          <w:sz w:val="25"/>
          <w:szCs w:val="25"/>
        </w:rPr>
        <w:t xml:space="preserve">an </w:t>
      </w:r>
      <w:r w:rsidRPr="006973FD">
        <w:rPr>
          <w:sz w:val="25"/>
          <w:szCs w:val="25"/>
        </w:rPr>
        <w:t>annual report for 201</w:t>
      </w:r>
      <w:r>
        <w:rPr>
          <w:sz w:val="25"/>
          <w:szCs w:val="25"/>
        </w:rPr>
        <w:t xml:space="preserve">3 </w:t>
      </w:r>
      <w:r w:rsidRPr="006973FD">
        <w:rPr>
          <w:sz w:val="25"/>
          <w:szCs w:val="25"/>
        </w:rPr>
        <w:t>and pay regulatory fees</w:t>
      </w:r>
      <w:r w:rsidRPr="009E2010">
        <w:rPr>
          <w:sz w:val="25"/>
          <w:szCs w:val="25"/>
        </w:rPr>
        <w:t>.</w:t>
      </w:r>
    </w:p>
    <w:p w14:paraId="51DFEA69" w14:textId="77777777" w:rsidR="00961458" w:rsidRDefault="00961458" w:rsidP="00961458">
      <w:pPr>
        <w:pStyle w:val="FindingsConclusions"/>
        <w:numPr>
          <w:ilvl w:val="0"/>
          <w:numId w:val="0"/>
        </w:numPr>
        <w:spacing w:line="264" w:lineRule="auto"/>
        <w:rPr>
          <w:sz w:val="25"/>
          <w:szCs w:val="25"/>
        </w:rPr>
      </w:pPr>
    </w:p>
    <w:p w14:paraId="1630AD91" w14:textId="77777777" w:rsidR="00E94945" w:rsidRDefault="005E221F" w:rsidP="00A03814">
      <w:pPr>
        <w:pStyle w:val="FindingsConclusions"/>
        <w:numPr>
          <w:ilvl w:val="0"/>
          <w:numId w:val="2"/>
        </w:numPr>
        <w:tabs>
          <w:tab w:val="clear" w:pos="720"/>
          <w:tab w:val="left" w:pos="0"/>
        </w:tabs>
        <w:spacing w:line="264" w:lineRule="auto"/>
        <w:ind w:left="720" w:hanging="1440"/>
        <w:rPr>
          <w:sz w:val="25"/>
          <w:szCs w:val="25"/>
        </w:rPr>
      </w:pPr>
      <w:r>
        <w:rPr>
          <w:sz w:val="25"/>
          <w:szCs w:val="25"/>
        </w:rPr>
        <w:lastRenderedPageBreak/>
        <w:t>(7)</w:t>
      </w:r>
      <w:r>
        <w:rPr>
          <w:sz w:val="25"/>
          <w:szCs w:val="25"/>
        </w:rPr>
        <w:tab/>
        <w:t>Telecare, Inc. is</w:t>
      </w:r>
      <w:r w:rsidRPr="006405BD">
        <w:rPr>
          <w:sz w:val="25"/>
          <w:szCs w:val="25"/>
        </w:rPr>
        <w:t xml:space="preserve"> in default.</w:t>
      </w:r>
      <w:r>
        <w:rPr>
          <w:sz w:val="25"/>
          <w:szCs w:val="25"/>
        </w:rPr>
        <w:t xml:space="preserve">  </w:t>
      </w:r>
      <w:r w:rsidRPr="009E2010">
        <w:rPr>
          <w:sz w:val="25"/>
          <w:szCs w:val="25"/>
        </w:rPr>
        <w:t xml:space="preserve">The </w:t>
      </w:r>
      <w:r>
        <w:rPr>
          <w:sz w:val="25"/>
          <w:szCs w:val="25"/>
        </w:rPr>
        <w:t>telecommunications registration</w:t>
      </w:r>
      <w:r w:rsidRPr="009E2010">
        <w:rPr>
          <w:sz w:val="25"/>
          <w:szCs w:val="25"/>
        </w:rPr>
        <w:t xml:space="preserve"> held by </w:t>
      </w:r>
      <w:r>
        <w:rPr>
          <w:sz w:val="25"/>
          <w:szCs w:val="25"/>
        </w:rPr>
        <w:t>Telecare, Inc. is revoked</w:t>
      </w:r>
      <w:r w:rsidRPr="009E2010">
        <w:rPr>
          <w:sz w:val="25"/>
          <w:szCs w:val="25"/>
        </w:rPr>
        <w:t xml:space="preserve"> for </w:t>
      </w:r>
      <w:r>
        <w:rPr>
          <w:sz w:val="25"/>
          <w:szCs w:val="25"/>
        </w:rPr>
        <w:t xml:space="preserve">failure </w:t>
      </w:r>
      <w:r w:rsidRPr="006973FD">
        <w:rPr>
          <w:sz w:val="25"/>
          <w:szCs w:val="25"/>
        </w:rPr>
        <w:t>to file</w:t>
      </w:r>
      <w:r>
        <w:rPr>
          <w:sz w:val="25"/>
          <w:szCs w:val="25"/>
        </w:rPr>
        <w:t xml:space="preserve"> an</w:t>
      </w:r>
      <w:r w:rsidRPr="006973FD">
        <w:rPr>
          <w:sz w:val="25"/>
          <w:szCs w:val="25"/>
        </w:rPr>
        <w:t xml:space="preserve"> annual report for 201</w:t>
      </w:r>
      <w:r>
        <w:rPr>
          <w:sz w:val="25"/>
          <w:szCs w:val="25"/>
        </w:rPr>
        <w:t xml:space="preserve">3 </w:t>
      </w:r>
      <w:r w:rsidRPr="006973FD">
        <w:rPr>
          <w:sz w:val="25"/>
          <w:szCs w:val="25"/>
        </w:rPr>
        <w:t>and pay regulatory fees</w:t>
      </w:r>
      <w:r w:rsidRPr="009E2010">
        <w:rPr>
          <w:sz w:val="25"/>
          <w:szCs w:val="25"/>
        </w:rPr>
        <w:t>.</w:t>
      </w:r>
    </w:p>
    <w:p w14:paraId="647F4AF9" w14:textId="77777777" w:rsidR="00E94945" w:rsidRDefault="00E94945" w:rsidP="00E94945">
      <w:pPr>
        <w:pStyle w:val="FindingsConclusions"/>
        <w:numPr>
          <w:ilvl w:val="0"/>
          <w:numId w:val="0"/>
        </w:numPr>
        <w:spacing w:line="264" w:lineRule="auto"/>
        <w:rPr>
          <w:sz w:val="25"/>
          <w:szCs w:val="25"/>
        </w:rPr>
      </w:pPr>
    </w:p>
    <w:p w14:paraId="026C0E40" w14:textId="77777777" w:rsidR="007832F0" w:rsidRDefault="007832F0" w:rsidP="00E94945">
      <w:pPr>
        <w:pStyle w:val="FindingsConclusions"/>
        <w:numPr>
          <w:ilvl w:val="0"/>
          <w:numId w:val="0"/>
        </w:numPr>
        <w:spacing w:line="264" w:lineRule="auto"/>
        <w:rPr>
          <w:sz w:val="25"/>
          <w:szCs w:val="25"/>
        </w:rPr>
      </w:pPr>
      <w:r w:rsidRPr="005E221F">
        <w:rPr>
          <w:sz w:val="25"/>
          <w:szCs w:val="25"/>
        </w:rPr>
        <w:t>DATED at Olympia, Washington, and effective</w:t>
      </w:r>
      <w:r w:rsidR="00392AC0" w:rsidRPr="005E221F">
        <w:rPr>
          <w:sz w:val="25"/>
          <w:szCs w:val="25"/>
        </w:rPr>
        <w:t xml:space="preserve"> </w:t>
      </w:r>
      <w:r w:rsidR="006405BD" w:rsidRPr="005E221F">
        <w:rPr>
          <w:sz w:val="25"/>
          <w:szCs w:val="25"/>
        </w:rPr>
        <w:t xml:space="preserve">November </w:t>
      </w:r>
      <w:r w:rsidR="005E221F">
        <w:rPr>
          <w:sz w:val="25"/>
          <w:szCs w:val="25"/>
        </w:rPr>
        <w:t>20</w:t>
      </w:r>
      <w:r w:rsidR="00404306" w:rsidRPr="005E221F">
        <w:rPr>
          <w:sz w:val="25"/>
          <w:szCs w:val="25"/>
        </w:rPr>
        <w:t>, 2014</w:t>
      </w:r>
      <w:r w:rsidRPr="005E221F">
        <w:rPr>
          <w:sz w:val="25"/>
          <w:szCs w:val="25"/>
        </w:rPr>
        <w:t>.</w:t>
      </w:r>
    </w:p>
    <w:p w14:paraId="066B4DEC" w14:textId="77777777" w:rsidR="00961458" w:rsidRPr="005E221F" w:rsidRDefault="00961458" w:rsidP="00961458">
      <w:pPr>
        <w:pStyle w:val="FindingsConclusions"/>
        <w:numPr>
          <w:ilvl w:val="0"/>
          <w:numId w:val="0"/>
        </w:numPr>
        <w:spacing w:line="264" w:lineRule="auto"/>
        <w:rPr>
          <w:sz w:val="25"/>
          <w:szCs w:val="25"/>
        </w:rPr>
      </w:pPr>
    </w:p>
    <w:p w14:paraId="5D9911B4" w14:textId="77777777" w:rsidR="00701BFA" w:rsidRDefault="007832F0" w:rsidP="009019AD">
      <w:pPr>
        <w:pStyle w:val="FindingsConclusions"/>
        <w:numPr>
          <w:ilvl w:val="0"/>
          <w:numId w:val="0"/>
        </w:numPr>
        <w:tabs>
          <w:tab w:val="left" w:pos="0"/>
        </w:tabs>
        <w:spacing w:line="264" w:lineRule="auto"/>
        <w:ind w:left="540"/>
        <w:rPr>
          <w:sz w:val="25"/>
          <w:szCs w:val="25"/>
        </w:rPr>
      </w:pPr>
      <w:r>
        <w:rPr>
          <w:sz w:val="25"/>
          <w:szCs w:val="25"/>
        </w:rPr>
        <w:t xml:space="preserve">WASHINGTON </w:t>
      </w:r>
      <w:r w:rsidR="006973FD">
        <w:rPr>
          <w:sz w:val="25"/>
          <w:szCs w:val="25"/>
        </w:rPr>
        <w:t>U</w:t>
      </w:r>
      <w:r>
        <w:rPr>
          <w:sz w:val="25"/>
          <w:szCs w:val="25"/>
        </w:rPr>
        <w:t>TILITIES AND TRANSPORT</w:t>
      </w:r>
      <w:r w:rsidR="00655F29">
        <w:rPr>
          <w:sz w:val="25"/>
          <w:szCs w:val="25"/>
        </w:rPr>
        <w:t>A</w:t>
      </w:r>
      <w:r>
        <w:rPr>
          <w:sz w:val="25"/>
          <w:szCs w:val="25"/>
        </w:rPr>
        <w:t>TION COMMISSION</w:t>
      </w:r>
    </w:p>
    <w:p w14:paraId="54491559" w14:textId="77777777" w:rsidR="00B14FE9" w:rsidRDefault="00B14FE9" w:rsidP="00961458">
      <w:pPr>
        <w:spacing w:line="264" w:lineRule="auto"/>
        <w:rPr>
          <w:sz w:val="25"/>
          <w:szCs w:val="25"/>
        </w:rPr>
      </w:pPr>
    </w:p>
    <w:p w14:paraId="12C4E8A0" w14:textId="77777777" w:rsidR="00EC7BF3" w:rsidRDefault="00EC7BF3" w:rsidP="00961458">
      <w:pPr>
        <w:spacing w:line="264" w:lineRule="auto"/>
        <w:rPr>
          <w:sz w:val="25"/>
          <w:szCs w:val="25"/>
        </w:rPr>
      </w:pPr>
    </w:p>
    <w:p w14:paraId="271D0E2E" w14:textId="77777777" w:rsidR="00961458" w:rsidRDefault="00961458" w:rsidP="00961458">
      <w:pPr>
        <w:spacing w:line="264" w:lineRule="auto"/>
        <w:rPr>
          <w:sz w:val="25"/>
          <w:szCs w:val="25"/>
        </w:rPr>
      </w:pPr>
    </w:p>
    <w:p w14:paraId="20B5BC33" w14:textId="77777777" w:rsidR="007832F0" w:rsidRPr="00AC111E" w:rsidRDefault="00404306" w:rsidP="00961458">
      <w:pPr>
        <w:spacing w:line="264" w:lineRule="auto"/>
        <w:ind w:left="4320" w:firstLine="720"/>
        <w:rPr>
          <w:sz w:val="25"/>
          <w:szCs w:val="25"/>
        </w:rPr>
      </w:pPr>
      <w:r>
        <w:rPr>
          <w:sz w:val="25"/>
          <w:szCs w:val="25"/>
        </w:rPr>
        <w:t>RAYNE PEARSON</w:t>
      </w:r>
    </w:p>
    <w:p w14:paraId="7701C0EC" w14:textId="77777777" w:rsidR="00AC111E" w:rsidRPr="00AC111E" w:rsidRDefault="00AC111E" w:rsidP="00961458">
      <w:pPr>
        <w:spacing w:line="264" w:lineRule="auto"/>
        <w:ind w:left="4320" w:firstLine="720"/>
        <w:rPr>
          <w:sz w:val="25"/>
          <w:szCs w:val="25"/>
        </w:rPr>
      </w:pPr>
      <w:r w:rsidRPr="00AC111E">
        <w:rPr>
          <w:sz w:val="25"/>
          <w:szCs w:val="25"/>
        </w:rPr>
        <w:t xml:space="preserve">Administrative Law Judge </w:t>
      </w:r>
    </w:p>
    <w:p w14:paraId="19531A1E" w14:textId="77777777" w:rsidR="007832F0" w:rsidRDefault="007832F0" w:rsidP="00621CFE">
      <w:pPr>
        <w:spacing w:after="240" w:line="288" w:lineRule="auto"/>
        <w:rPr>
          <w:sz w:val="25"/>
          <w:szCs w:val="25"/>
        </w:rPr>
      </w:pPr>
    </w:p>
    <w:p w14:paraId="241DB875" w14:textId="77777777" w:rsidR="00176C76" w:rsidRPr="00176C76" w:rsidRDefault="00176C76" w:rsidP="00621CFE">
      <w:pPr>
        <w:spacing w:after="240" w:line="288" w:lineRule="auto"/>
        <w:jc w:val="center"/>
        <w:rPr>
          <w:b/>
          <w:sz w:val="25"/>
          <w:szCs w:val="25"/>
        </w:rPr>
      </w:pPr>
      <w:r>
        <w:rPr>
          <w:sz w:val="25"/>
          <w:szCs w:val="25"/>
        </w:rPr>
        <w:br w:type="page"/>
      </w:r>
      <w:r w:rsidR="004237BD">
        <w:rPr>
          <w:b/>
          <w:sz w:val="25"/>
          <w:szCs w:val="25"/>
        </w:rPr>
        <w:lastRenderedPageBreak/>
        <w:t>NOTICE TO PARTIES</w:t>
      </w:r>
    </w:p>
    <w:p w14:paraId="233A25E4" w14:textId="77777777" w:rsidR="00176C76" w:rsidRPr="00507BCA" w:rsidRDefault="00176C76" w:rsidP="00621CFE">
      <w:pPr>
        <w:pStyle w:val="NoSpacing"/>
        <w:spacing w:line="288" w:lineRule="auto"/>
        <w:rPr>
          <w:sz w:val="25"/>
          <w:szCs w:val="25"/>
        </w:rPr>
      </w:pPr>
      <w:r w:rsidRPr="00507BCA">
        <w:rPr>
          <w:sz w:val="25"/>
          <w:szCs w:val="25"/>
        </w:rPr>
        <w:t>This is an Initial Order.  The acti</w:t>
      </w:r>
      <w:r w:rsidR="00507BCA">
        <w:rPr>
          <w:sz w:val="25"/>
          <w:szCs w:val="25"/>
        </w:rPr>
        <w:t>o</w:t>
      </w:r>
      <w:r w:rsidRPr="00507BCA">
        <w:rPr>
          <w:sz w:val="25"/>
          <w:szCs w:val="25"/>
        </w:rPr>
        <w:t>n proposed in this Initial Order is not yet effective.  If you disagree with this Initial Order and want the Co</w:t>
      </w:r>
      <w:r w:rsidR="009E2010">
        <w:rPr>
          <w:sz w:val="25"/>
          <w:szCs w:val="25"/>
        </w:rPr>
        <w:t>m</w:t>
      </w:r>
      <w:r w:rsidRPr="00507BCA">
        <w:rPr>
          <w:sz w:val="25"/>
          <w:szCs w:val="25"/>
        </w:rPr>
        <w:t>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08CC56F3" w14:textId="77777777" w:rsidR="00176C76" w:rsidRPr="00507BCA" w:rsidRDefault="00176C76" w:rsidP="00621CFE">
      <w:pPr>
        <w:pStyle w:val="NoSpacing"/>
        <w:spacing w:line="288" w:lineRule="auto"/>
        <w:rPr>
          <w:sz w:val="25"/>
          <w:szCs w:val="25"/>
        </w:rPr>
      </w:pPr>
    </w:p>
    <w:p w14:paraId="223067D2" w14:textId="77777777" w:rsidR="00507BCA" w:rsidRDefault="00176C76" w:rsidP="00621CFE">
      <w:pPr>
        <w:pStyle w:val="NoSpacing"/>
        <w:spacing w:line="288" w:lineRule="auto"/>
        <w:rPr>
          <w:sz w:val="25"/>
          <w:szCs w:val="25"/>
        </w:rPr>
      </w:pPr>
      <w:r w:rsidRPr="00507BCA">
        <w:rPr>
          <w:sz w:val="25"/>
          <w:szCs w:val="25"/>
        </w:rPr>
        <w:t xml:space="preserve">WAC 480-07-825(2) provides that any party to this proceeding has twenty (20) days after the entry of this Initial Order to file a </w:t>
      </w:r>
      <w:r w:rsidRPr="009E2010">
        <w:rPr>
          <w:sz w:val="25"/>
          <w:szCs w:val="25"/>
        </w:rPr>
        <w:t xml:space="preserve">Petition for Administrative Review.  </w:t>
      </w:r>
      <w:r w:rsidRPr="00507BCA">
        <w:rPr>
          <w:sz w:val="25"/>
          <w:szCs w:val="25"/>
        </w:rPr>
        <w:t xml:space="preserve">What must be included in any Petition and other requirements for a Petition are stated in WAC 480-07-825(3).  WAC 480-07-825(4) states that any party may file an </w:t>
      </w:r>
      <w:r w:rsidRPr="009E2010">
        <w:rPr>
          <w:sz w:val="25"/>
          <w:szCs w:val="25"/>
        </w:rPr>
        <w:t xml:space="preserve">Answer </w:t>
      </w:r>
      <w:r w:rsidRPr="00507BCA">
        <w:rPr>
          <w:sz w:val="25"/>
          <w:szCs w:val="25"/>
        </w:rPr>
        <w:t xml:space="preserve">to a Petition for </w:t>
      </w:r>
      <w:r w:rsidR="009E2010">
        <w:rPr>
          <w:sz w:val="25"/>
          <w:szCs w:val="25"/>
        </w:rPr>
        <w:t>R</w:t>
      </w:r>
      <w:r w:rsidRPr="00507BCA">
        <w:rPr>
          <w:sz w:val="25"/>
          <w:szCs w:val="25"/>
        </w:rPr>
        <w:t>eview within</w:t>
      </w:r>
      <w:r w:rsidR="00507BCA" w:rsidRPr="00507BCA">
        <w:rPr>
          <w:sz w:val="25"/>
          <w:szCs w:val="25"/>
        </w:rPr>
        <w:t xml:space="preserve"> ten (10) days after service of the Petition.</w:t>
      </w:r>
      <w:r w:rsidR="00507BCA">
        <w:rPr>
          <w:sz w:val="25"/>
          <w:szCs w:val="25"/>
        </w:rPr>
        <w:t xml:space="preserve">  </w:t>
      </w:r>
    </w:p>
    <w:p w14:paraId="360B97F7" w14:textId="77777777" w:rsidR="00507BCA" w:rsidRDefault="00507BCA" w:rsidP="00621CFE">
      <w:pPr>
        <w:pStyle w:val="NoSpacing"/>
        <w:spacing w:line="288" w:lineRule="auto"/>
        <w:rPr>
          <w:sz w:val="25"/>
          <w:szCs w:val="25"/>
        </w:rPr>
      </w:pPr>
    </w:p>
    <w:p w14:paraId="75D1ACCE" w14:textId="77777777" w:rsidR="00507BCA" w:rsidRDefault="00507BCA" w:rsidP="00621CFE">
      <w:pPr>
        <w:pStyle w:val="NoSpacing"/>
        <w:spacing w:line="288" w:lineRule="auto"/>
        <w:rPr>
          <w:sz w:val="25"/>
          <w:szCs w:val="25"/>
        </w:rPr>
      </w:pPr>
      <w:r>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07DF3F05" w14:textId="77777777" w:rsidR="00507BCA" w:rsidRDefault="00507BCA" w:rsidP="00621CFE">
      <w:pPr>
        <w:pStyle w:val="NoSpacing"/>
        <w:spacing w:line="288" w:lineRule="auto"/>
        <w:rPr>
          <w:sz w:val="25"/>
          <w:szCs w:val="25"/>
        </w:rPr>
      </w:pPr>
    </w:p>
    <w:p w14:paraId="1A8150C0" w14:textId="77777777" w:rsidR="00507BCA" w:rsidRDefault="00507BCA" w:rsidP="00621CFE">
      <w:pPr>
        <w:pStyle w:val="NoSpacing"/>
        <w:spacing w:line="288" w:lineRule="auto"/>
        <w:rPr>
          <w:sz w:val="25"/>
          <w:szCs w:val="25"/>
        </w:rPr>
      </w:pPr>
      <w:r>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6E03967C" w14:textId="77777777" w:rsidR="00507BCA" w:rsidRDefault="00507BCA" w:rsidP="00621CFE">
      <w:pPr>
        <w:pStyle w:val="NoSpacing"/>
        <w:spacing w:line="288" w:lineRule="auto"/>
        <w:rPr>
          <w:sz w:val="25"/>
          <w:szCs w:val="25"/>
        </w:rPr>
      </w:pPr>
    </w:p>
    <w:p w14:paraId="1AB110DB" w14:textId="77777777" w:rsidR="00507BCA" w:rsidRDefault="00507BCA" w:rsidP="00621CFE">
      <w:pPr>
        <w:pStyle w:val="NoSpacing"/>
        <w:spacing w:line="288" w:lineRule="auto"/>
        <w:rPr>
          <w:sz w:val="25"/>
          <w:szCs w:val="25"/>
        </w:rPr>
      </w:pPr>
      <w:r>
        <w:rPr>
          <w:sz w:val="25"/>
          <w:szCs w:val="25"/>
        </w:rPr>
        <w:t>One copy of any Petition or Answer filed must be served on each party of record with proof of service as required by WAC 480-07-150(8) and (9</w:t>
      </w:r>
      <w:r w:rsidRPr="00DC46F1">
        <w:rPr>
          <w:sz w:val="25"/>
          <w:szCs w:val="25"/>
        </w:rPr>
        <w:t xml:space="preserve">).  An </w:t>
      </w:r>
      <w:r w:rsidR="009E2010">
        <w:rPr>
          <w:sz w:val="25"/>
          <w:szCs w:val="25"/>
        </w:rPr>
        <w:t>o</w:t>
      </w:r>
      <w:r w:rsidRPr="00DC46F1">
        <w:rPr>
          <w:sz w:val="25"/>
          <w:szCs w:val="25"/>
        </w:rPr>
        <w:t xml:space="preserve">riginal and </w:t>
      </w:r>
      <w:r w:rsidR="0005025A">
        <w:rPr>
          <w:b/>
          <w:sz w:val="25"/>
          <w:szCs w:val="25"/>
        </w:rPr>
        <w:t>seven</w:t>
      </w:r>
      <w:r w:rsidR="00173893" w:rsidRPr="00DC46F1">
        <w:rPr>
          <w:b/>
          <w:sz w:val="25"/>
          <w:szCs w:val="25"/>
        </w:rPr>
        <w:t xml:space="preserve"> (</w:t>
      </w:r>
      <w:r w:rsidR="0005025A">
        <w:rPr>
          <w:b/>
          <w:sz w:val="25"/>
          <w:szCs w:val="25"/>
        </w:rPr>
        <w:t>7</w:t>
      </w:r>
      <w:r w:rsidR="00173893" w:rsidRPr="00DC46F1">
        <w:rPr>
          <w:b/>
          <w:sz w:val="25"/>
          <w:szCs w:val="25"/>
        </w:rPr>
        <w:t>)</w:t>
      </w:r>
      <w:r w:rsidR="00173893" w:rsidRPr="00DC46F1">
        <w:rPr>
          <w:sz w:val="25"/>
          <w:szCs w:val="25"/>
        </w:rPr>
        <w:t xml:space="preserve"> c</w:t>
      </w:r>
      <w:r w:rsidRPr="00DC46F1">
        <w:rPr>
          <w:sz w:val="25"/>
          <w:szCs w:val="25"/>
        </w:rPr>
        <w:t>opies of any Petition or Answer must be filed by mail delivery to:</w:t>
      </w:r>
    </w:p>
    <w:p w14:paraId="15E05423" w14:textId="77777777" w:rsidR="00507BCA" w:rsidRDefault="00507BCA" w:rsidP="00621CFE">
      <w:pPr>
        <w:pStyle w:val="NoSpacing"/>
        <w:spacing w:line="288" w:lineRule="auto"/>
        <w:rPr>
          <w:sz w:val="25"/>
          <w:szCs w:val="25"/>
        </w:rPr>
      </w:pPr>
    </w:p>
    <w:p w14:paraId="5A088D7E" w14:textId="77777777" w:rsidR="00507BCA" w:rsidRDefault="00507BCA" w:rsidP="00621CFE">
      <w:pPr>
        <w:pStyle w:val="NoSpacing"/>
        <w:spacing w:line="288" w:lineRule="auto"/>
        <w:rPr>
          <w:sz w:val="25"/>
          <w:szCs w:val="25"/>
        </w:rPr>
      </w:pPr>
      <w:r>
        <w:rPr>
          <w:sz w:val="25"/>
          <w:szCs w:val="25"/>
        </w:rPr>
        <w:t xml:space="preserve">Attn:  </w:t>
      </w:r>
      <w:r w:rsidR="00E94945">
        <w:rPr>
          <w:sz w:val="25"/>
          <w:szCs w:val="25"/>
        </w:rPr>
        <w:t>Steven V. King</w:t>
      </w:r>
      <w:r>
        <w:rPr>
          <w:sz w:val="25"/>
          <w:szCs w:val="25"/>
        </w:rPr>
        <w:t>, Executive Director and Secretary</w:t>
      </w:r>
    </w:p>
    <w:p w14:paraId="1528FF41" w14:textId="77777777" w:rsidR="00507BCA" w:rsidRDefault="00507BCA" w:rsidP="00621CFE">
      <w:pPr>
        <w:pStyle w:val="NoSpacing"/>
        <w:spacing w:line="288" w:lineRule="auto"/>
        <w:rPr>
          <w:sz w:val="25"/>
          <w:szCs w:val="25"/>
        </w:rPr>
      </w:pPr>
      <w:r>
        <w:rPr>
          <w:sz w:val="25"/>
          <w:szCs w:val="25"/>
        </w:rPr>
        <w:t>Washington Utilities and Transportation Commission</w:t>
      </w:r>
    </w:p>
    <w:p w14:paraId="60D52A57" w14:textId="77777777" w:rsidR="00507BCA" w:rsidRDefault="00507BCA" w:rsidP="00621CFE">
      <w:pPr>
        <w:pStyle w:val="NoSpacing"/>
        <w:spacing w:line="288" w:lineRule="auto"/>
        <w:rPr>
          <w:sz w:val="25"/>
          <w:szCs w:val="25"/>
        </w:rPr>
      </w:pPr>
      <w:r>
        <w:rPr>
          <w:sz w:val="25"/>
          <w:szCs w:val="25"/>
        </w:rPr>
        <w:t>P.O. Box 47250</w:t>
      </w:r>
    </w:p>
    <w:p w14:paraId="6CC6419D" w14:textId="77777777" w:rsidR="00507BCA" w:rsidRPr="00507BCA" w:rsidRDefault="00507BCA" w:rsidP="00621CFE">
      <w:pPr>
        <w:pStyle w:val="NoSpacing"/>
        <w:spacing w:line="288" w:lineRule="auto"/>
        <w:rPr>
          <w:sz w:val="25"/>
          <w:szCs w:val="25"/>
        </w:rPr>
      </w:pPr>
      <w:r>
        <w:rPr>
          <w:sz w:val="25"/>
          <w:szCs w:val="25"/>
        </w:rPr>
        <w:t>Olympia, Washington  98504-7250</w:t>
      </w:r>
    </w:p>
    <w:p w14:paraId="0CD02776" w14:textId="77777777" w:rsidR="00507BCA" w:rsidRPr="00507BCA" w:rsidRDefault="00507BCA" w:rsidP="00621CFE">
      <w:pPr>
        <w:spacing w:after="240" w:line="288" w:lineRule="auto"/>
        <w:rPr>
          <w:sz w:val="25"/>
          <w:szCs w:val="25"/>
        </w:rPr>
      </w:pPr>
    </w:p>
    <w:sectPr w:rsidR="00507BCA" w:rsidRPr="00507BCA" w:rsidSect="0075045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30AD3" w14:textId="77777777" w:rsidR="00675AD8" w:rsidRDefault="00675AD8">
      <w:r>
        <w:separator/>
      </w:r>
    </w:p>
  </w:endnote>
  <w:endnote w:type="continuationSeparator" w:id="0">
    <w:p w14:paraId="42ACA3BA" w14:textId="77777777" w:rsidR="00675AD8" w:rsidRDefault="0067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FB66" w14:textId="77777777" w:rsidR="0075045C" w:rsidRDefault="00750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FECB" w14:textId="77777777" w:rsidR="0075045C" w:rsidRDefault="007504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F1211" w14:textId="77777777" w:rsidR="0075045C" w:rsidRDefault="00750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49BDB" w14:textId="77777777" w:rsidR="00675AD8" w:rsidRDefault="00675AD8">
      <w:r>
        <w:separator/>
      </w:r>
    </w:p>
  </w:footnote>
  <w:footnote w:type="continuationSeparator" w:id="0">
    <w:p w14:paraId="4C8C5CBF" w14:textId="77777777" w:rsidR="00675AD8" w:rsidRDefault="00675AD8">
      <w:r>
        <w:continuationSeparator/>
      </w:r>
    </w:p>
  </w:footnote>
  <w:footnote w:id="1">
    <w:p w14:paraId="73567B10" w14:textId="77777777" w:rsidR="0036711B" w:rsidRPr="00961458" w:rsidRDefault="0036711B" w:rsidP="00961458">
      <w:pPr>
        <w:pStyle w:val="FootnoteText"/>
        <w:spacing w:after="120"/>
        <w:rPr>
          <w:sz w:val="20"/>
        </w:rPr>
      </w:pPr>
      <w:r w:rsidRPr="00961458">
        <w:rPr>
          <w:rStyle w:val="FootnoteReference"/>
          <w:sz w:val="20"/>
        </w:rPr>
        <w:footnoteRef/>
      </w:r>
      <w:r w:rsidRPr="00961458">
        <w:rPr>
          <w:sz w:val="20"/>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961458">
        <w:rPr>
          <w:i/>
          <w:sz w:val="20"/>
        </w:rPr>
        <w:t>See</w:t>
      </w:r>
      <w:r w:rsidRPr="00961458">
        <w:rPr>
          <w:sz w:val="20"/>
        </w:rPr>
        <w:t xml:space="preserve"> RCW 34.05.455.</w:t>
      </w:r>
    </w:p>
  </w:footnote>
  <w:footnote w:id="2">
    <w:p w14:paraId="57BC1217" w14:textId="77777777" w:rsidR="00A07A46" w:rsidRPr="00961458" w:rsidRDefault="00A07A46" w:rsidP="00961458">
      <w:pPr>
        <w:pStyle w:val="FootnoteText"/>
        <w:spacing w:after="120"/>
        <w:rPr>
          <w:sz w:val="20"/>
        </w:rPr>
      </w:pPr>
      <w:r w:rsidRPr="00961458">
        <w:rPr>
          <w:rStyle w:val="FootnoteReference"/>
          <w:sz w:val="20"/>
        </w:rPr>
        <w:footnoteRef/>
      </w:r>
      <w:r w:rsidRPr="00961458">
        <w:rPr>
          <w:sz w:val="20"/>
        </w:rPr>
        <w:t xml:space="preserve"> </w:t>
      </w:r>
      <w:r w:rsidRPr="00961458">
        <w:rPr>
          <w:i/>
          <w:sz w:val="20"/>
        </w:rPr>
        <w:t xml:space="preserve">See </w:t>
      </w:r>
      <w:r w:rsidRPr="00961458">
        <w:rPr>
          <w:sz w:val="20"/>
        </w:rPr>
        <w:t>RCW 80.04.080.</w:t>
      </w:r>
    </w:p>
  </w:footnote>
  <w:footnote w:id="3">
    <w:p w14:paraId="650EF12B" w14:textId="77777777" w:rsidR="00A07A46" w:rsidRPr="00961458" w:rsidRDefault="00A07A46" w:rsidP="00961458">
      <w:pPr>
        <w:pStyle w:val="FootnoteText"/>
        <w:spacing w:after="120"/>
        <w:rPr>
          <w:sz w:val="20"/>
        </w:rPr>
      </w:pPr>
      <w:r w:rsidRPr="00961458">
        <w:rPr>
          <w:rStyle w:val="FootnoteReference"/>
          <w:sz w:val="20"/>
        </w:rPr>
        <w:footnoteRef/>
      </w:r>
      <w:r w:rsidRPr="00961458">
        <w:rPr>
          <w:sz w:val="20"/>
        </w:rPr>
        <w:t xml:space="preserve"> </w:t>
      </w:r>
      <w:r w:rsidRPr="00961458">
        <w:rPr>
          <w:i/>
          <w:sz w:val="20"/>
        </w:rPr>
        <w:t>See</w:t>
      </w:r>
      <w:r w:rsidRPr="00961458">
        <w:rPr>
          <w:sz w:val="20"/>
        </w:rPr>
        <w:t xml:space="preserve"> RCW 80.24.010.  </w:t>
      </w:r>
    </w:p>
  </w:footnote>
  <w:footnote w:id="4">
    <w:p w14:paraId="0946DF48" w14:textId="77777777" w:rsidR="00A07A46" w:rsidRPr="00961458" w:rsidRDefault="00A07A46" w:rsidP="00961458">
      <w:pPr>
        <w:pStyle w:val="FootnoteText"/>
        <w:spacing w:after="120"/>
        <w:rPr>
          <w:i/>
          <w:sz w:val="20"/>
        </w:rPr>
      </w:pPr>
      <w:r w:rsidRPr="00961458">
        <w:rPr>
          <w:rStyle w:val="FootnoteReference"/>
          <w:sz w:val="20"/>
        </w:rPr>
        <w:footnoteRef/>
      </w:r>
      <w:r w:rsidRPr="00961458">
        <w:rPr>
          <w:sz w:val="20"/>
        </w:rPr>
        <w:t xml:space="preserve"> </w:t>
      </w:r>
      <w:r w:rsidRPr="00961458">
        <w:rPr>
          <w:i/>
          <w:sz w:val="20"/>
        </w:rPr>
        <w:t xml:space="preserve">See </w:t>
      </w:r>
      <w:r w:rsidRPr="00961458">
        <w:rPr>
          <w:sz w:val="20"/>
        </w:rPr>
        <w:t>WAC 480-120-382 (competitively classified companies); WAC 480-120-385 (companies not classified as competitive).</w:t>
      </w:r>
    </w:p>
  </w:footnote>
  <w:footnote w:id="5">
    <w:p w14:paraId="7EF08CC4" w14:textId="77777777" w:rsidR="00A07A46" w:rsidRPr="00961458" w:rsidRDefault="00A07A46" w:rsidP="00961458">
      <w:pPr>
        <w:pStyle w:val="FootnoteText"/>
        <w:spacing w:after="120"/>
        <w:rPr>
          <w:sz w:val="20"/>
        </w:rPr>
      </w:pPr>
      <w:r w:rsidRPr="00961458">
        <w:rPr>
          <w:rStyle w:val="FootnoteReference"/>
          <w:sz w:val="20"/>
        </w:rPr>
        <w:footnoteRef/>
      </w:r>
      <w:r w:rsidRPr="00961458">
        <w:rPr>
          <w:sz w:val="20"/>
        </w:rPr>
        <w:t xml:space="preserve"> </w:t>
      </w:r>
      <w:r w:rsidRPr="00961458">
        <w:rPr>
          <w:i/>
          <w:sz w:val="20"/>
        </w:rPr>
        <w:t xml:space="preserve">See </w:t>
      </w:r>
      <w:r w:rsidRPr="00961458">
        <w:rPr>
          <w:sz w:val="20"/>
        </w:rPr>
        <w:t>WAC 480-121-060.</w:t>
      </w:r>
    </w:p>
  </w:footnote>
  <w:footnote w:id="6">
    <w:p w14:paraId="6D554392" w14:textId="77777777" w:rsidR="00A07A46" w:rsidRPr="00A07A46" w:rsidRDefault="00A07A46" w:rsidP="00961458">
      <w:pPr>
        <w:pStyle w:val="FootnoteText"/>
        <w:spacing w:after="120"/>
      </w:pPr>
      <w:r w:rsidRPr="00961458">
        <w:rPr>
          <w:rStyle w:val="FootnoteReference"/>
          <w:sz w:val="20"/>
        </w:rPr>
        <w:footnoteRef/>
      </w:r>
      <w:r w:rsidRPr="00961458">
        <w:rPr>
          <w:sz w:val="20"/>
        </w:rPr>
        <w:t xml:space="preserve"> </w:t>
      </w:r>
      <w:r w:rsidRPr="00961458">
        <w:rPr>
          <w:i/>
          <w:sz w:val="20"/>
        </w:rPr>
        <w:t xml:space="preserve">See </w:t>
      </w:r>
      <w:r w:rsidRPr="00961458">
        <w:rPr>
          <w:sz w:val="20"/>
        </w:rPr>
        <w:t>RCW 34.05.440; WAC 480-07-450.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B246B" w14:textId="77777777" w:rsidR="0075045C" w:rsidRDefault="00750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3F07" w14:textId="77777777" w:rsidR="007D454E" w:rsidRPr="00C35B68" w:rsidRDefault="007D454E">
    <w:pPr>
      <w:pStyle w:val="Header"/>
      <w:tabs>
        <w:tab w:val="clear" w:pos="4320"/>
        <w:tab w:val="clear" w:pos="8640"/>
        <w:tab w:val="right" w:pos="8500"/>
      </w:tabs>
      <w:rPr>
        <w:rStyle w:val="PageNumber"/>
        <w:b/>
        <w:bCs/>
        <w:sz w:val="20"/>
        <w:lang w:val="fr-FR"/>
      </w:rPr>
    </w:pPr>
    <w:r w:rsidRPr="00C35B68">
      <w:rPr>
        <w:b/>
        <w:bCs/>
        <w:sz w:val="20"/>
      </w:rPr>
      <w:t xml:space="preserve">DOCKET </w:t>
    </w:r>
    <w:r w:rsidR="002801F4">
      <w:rPr>
        <w:b/>
        <w:bCs/>
        <w:sz w:val="20"/>
        <w:lang w:val="fr-FR"/>
      </w:rPr>
      <w:t>UT</w:t>
    </w:r>
    <w:r>
      <w:rPr>
        <w:b/>
        <w:bCs/>
        <w:sz w:val="20"/>
        <w:lang w:val="fr-FR"/>
      </w:rPr>
      <w:t>-1</w:t>
    </w:r>
    <w:r w:rsidR="00404306">
      <w:rPr>
        <w:b/>
        <w:bCs/>
        <w:sz w:val="20"/>
        <w:lang w:val="fr-FR"/>
      </w:rPr>
      <w:t>4323</w:t>
    </w:r>
    <w:r w:rsidR="002801F4">
      <w:rPr>
        <w:b/>
        <w:bCs/>
        <w:sz w:val="20"/>
        <w:lang w:val="fr-FR"/>
      </w:rPr>
      <w:t>7</w:t>
    </w:r>
    <w:r w:rsidRPr="00C35B68">
      <w:rPr>
        <w:b/>
        <w:bCs/>
        <w:sz w:val="20"/>
        <w:lang w:val="fr-FR"/>
      </w:rPr>
      <w:tab/>
      <w:t xml:space="preserve">PAGE </w:t>
    </w:r>
    <w:r w:rsidRPr="00C35B68">
      <w:rPr>
        <w:rStyle w:val="PageNumber"/>
        <w:b/>
        <w:bCs/>
        <w:sz w:val="20"/>
      </w:rPr>
      <w:fldChar w:fldCharType="begin"/>
    </w:r>
    <w:r w:rsidRPr="00C35B68">
      <w:rPr>
        <w:rStyle w:val="PageNumber"/>
        <w:b/>
        <w:bCs/>
        <w:sz w:val="20"/>
        <w:lang w:val="fr-FR"/>
      </w:rPr>
      <w:instrText xml:space="preserve"> PAGE </w:instrText>
    </w:r>
    <w:r w:rsidRPr="00C35B68">
      <w:rPr>
        <w:rStyle w:val="PageNumber"/>
        <w:b/>
        <w:bCs/>
        <w:sz w:val="20"/>
      </w:rPr>
      <w:fldChar w:fldCharType="separate"/>
    </w:r>
    <w:r w:rsidR="0075045C">
      <w:rPr>
        <w:rStyle w:val="PageNumber"/>
        <w:b/>
        <w:bCs/>
        <w:noProof/>
        <w:sz w:val="20"/>
        <w:lang w:val="fr-FR"/>
      </w:rPr>
      <w:t>8</w:t>
    </w:r>
    <w:r w:rsidRPr="00C35B68">
      <w:rPr>
        <w:rStyle w:val="PageNumber"/>
        <w:b/>
        <w:bCs/>
        <w:sz w:val="20"/>
      </w:rPr>
      <w:fldChar w:fldCharType="end"/>
    </w:r>
  </w:p>
  <w:p w14:paraId="4DE6E15C" w14:textId="77777777" w:rsidR="007D454E" w:rsidRPr="00C35B68" w:rsidRDefault="007D454E">
    <w:pPr>
      <w:pStyle w:val="Header"/>
      <w:tabs>
        <w:tab w:val="left" w:pos="7000"/>
      </w:tabs>
      <w:rPr>
        <w:rStyle w:val="PageNumber"/>
        <w:b/>
        <w:bCs/>
        <w:sz w:val="20"/>
        <w:lang w:val="fr-FR"/>
      </w:rPr>
    </w:pPr>
    <w:r>
      <w:rPr>
        <w:rStyle w:val="PageNumber"/>
        <w:b/>
        <w:bCs/>
        <w:sz w:val="20"/>
        <w:lang w:val="fr-FR"/>
      </w:rPr>
      <w:t>ORDER 01</w:t>
    </w:r>
  </w:p>
  <w:p w14:paraId="2D605CE4" w14:textId="77777777" w:rsidR="007D454E" w:rsidRPr="00C35B68" w:rsidRDefault="007D454E">
    <w:pPr>
      <w:pStyle w:val="Header"/>
      <w:tabs>
        <w:tab w:val="left" w:pos="7000"/>
      </w:tabs>
      <w:rPr>
        <w:rStyle w:val="PageNumber"/>
        <w:b/>
        <w:bCs/>
        <w:sz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1D795" w14:textId="77777777" w:rsidR="007D454E" w:rsidRPr="0075045C" w:rsidRDefault="007D454E" w:rsidP="00903D9D">
    <w:pPr>
      <w:pStyle w:val="Header"/>
      <w:jc w:val="right"/>
      <w:rPr>
        <w:b/>
        <w:sz w:val="20"/>
        <w:szCs w:val="20"/>
        <w:lang w:val="en-US"/>
      </w:rPr>
    </w:pPr>
    <w:r>
      <w:rPr>
        <w:b/>
        <w:sz w:val="22"/>
        <w:szCs w:val="22"/>
      </w:rPr>
      <w:tab/>
    </w:r>
    <w:r w:rsidRPr="00207C0D">
      <w:rPr>
        <w:b/>
        <w:sz w:val="20"/>
        <w:szCs w:val="20"/>
      </w:rPr>
      <w:tab/>
    </w:r>
    <w:r w:rsidR="0075045C">
      <w:rPr>
        <w:b/>
        <w:sz w:val="20"/>
        <w:szCs w:val="20"/>
        <w:lang w:val="en-US"/>
      </w:rPr>
      <w:t xml:space="preserve">[Service date November 20, </w:t>
    </w:r>
    <w:r w:rsidR="0075045C">
      <w:rPr>
        <w:b/>
        <w:sz w:val="20"/>
        <w:szCs w:val="20"/>
        <w:lang w:val="en-US"/>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833C73"/>
    <w:multiLevelType w:val="hybridMultilevel"/>
    <w:tmpl w:val="AD88DA5E"/>
    <w:lvl w:ilvl="0" w:tplc="0409000F">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09"/>
    <w:rsid w:val="000159A7"/>
    <w:rsid w:val="00016CC7"/>
    <w:rsid w:val="00020C7F"/>
    <w:rsid w:val="00030AF9"/>
    <w:rsid w:val="00032C83"/>
    <w:rsid w:val="00034030"/>
    <w:rsid w:val="00043634"/>
    <w:rsid w:val="00044F1F"/>
    <w:rsid w:val="0005025A"/>
    <w:rsid w:val="000512C9"/>
    <w:rsid w:val="0005163F"/>
    <w:rsid w:val="00054D83"/>
    <w:rsid w:val="00055188"/>
    <w:rsid w:val="000560EE"/>
    <w:rsid w:val="00056657"/>
    <w:rsid w:val="00061573"/>
    <w:rsid w:val="00063640"/>
    <w:rsid w:val="00065683"/>
    <w:rsid w:val="000714EB"/>
    <w:rsid w:val="00071E04"/>
    <w:rsid w:val="00087085"/>
    <w:rsid w:val="000871AD"/>
    <w:rsid w:val="00090B56"/>
    <w:rsid w:val="000920AC"/>
    <w:rsid w:val="000944F4"/>
    <w:rsid w:val="0009593B"/>
    <w:rsid w:val="000A3882"/>
    <w:rsid w:val="000A75BE"/>
    <w:rsid w:val="000B1EFE"/>
    <w:rsid w:val="000B7E4E"/>
    <w:rsid w:val="000B7F3F"/>
    <w:rsid w:val="000C05EA"/>
    <w:rsid w:val="000C2DC5"/>
    <w:rsid w:val="000C386B"/>
    <w:rsid w:val="000D02BD"/>
    <w:rsid w:val="000D7B5E"/>
    <w:rsid w:val="000F17A3"/>
    <w:rsid w:val="000F17BF"/>
    <w:rsid w:val="000F21AB"/>
    <w:rsid w:val="00100729"/>
    <w:rsid w:val="001011A2"/>
    <w:rsid w:val="00101404"/>
    <w:rsid w:val="00104A0C"/>
    <w:rsid w:val="0011110D"/>
    <w:rsid w:val="00114D2C"/>
    <w:rsid w:val="001163B1"/>
    <w:rsid w:val="001216C8"/>
    <w:rsid w:val="0012299D"/>
    <w:rsid w:val="00123423"/>
    <w:rsid w:val="001239C1"/>
    <w:rsid w:val="00123CA8"/>
    <w:rsid w:val="00123FBC"/>
    <w:rsid w:val="00126419"/>
    <w:rsid w:val="00127918"/>
    <w:rsid w:val="00130DB0"/>
    <w:rsid w:val="00135F33"/>
    <w:rsid w:val="00136050"/>
    <w:rsid w:val="00141FEF"/>
    <w:rsid w:val="00142BB2"/>
    <w:rsid w:val="00143A99"/>
    <w:rsid w:val="001444E6"/>
    <w:rsid w:val="00147769"/>
    <w:rsid w:val="00153810"/>
    <w:rsid w:val="00160CAF"/>
    <w:rsid w:val="00160E63"/>
    <w:rsid w:val="001633C9"/>
    <w:rsid w:val="001634D4"/>
    <w:rsid w:val="0016354E"/>
    <w:rsid w:val="00163E9A"/>
    <w:rsid w:val="0016482D"/>
    <w:rsid w:val="00173893"/>
    <w:rsid w:val="00176C76"/>
    <w:rsid w:val="00181DFF"/>
    <w:rsid w:val="00183A7F"/>
    <w:rsid w:val="00190EF3"/>
    <w:rsid w:val="00191FE3"/>
    <w:rsid w:val="00197594"/>
    <w:rsid w:val="001A14F3"/>
    <w:rsid w:val="001A7084"/>
    <w:rsid w:val="001A7485"/>
    <w:rsid w:val="001A7D84"/>
    <w:rsid w:val="001B762A"/>
    <w:rsid w:val="001C22FB"/>
    <w:rsid w:val="001C5774"/>
    <w:rsid w:val="001C63F5"/>
    <w:rsid w:val="001D023D"/>
    <w:rsid w:val="001D1197"/>
    <w:rsid w:val="001D6A7C"/>
    <w:rsid w:val="001D6F00"/>
    <w:rsid w:val="001D7186"/>
    <w:rsid w:val="001E0150"/>
    <w:rsid w:val="001E668C"/>
    <w:rsid w:val="001E69BE"/>
    <w:rsid w:val="001E7CAE"/>
    <w:rsid w:val="001F1010"/>
    <w:rsid w:val="001F1A38"/>
    <w:rsid w:val="001F3B55"/>
    <w:rsid w:val="001F4232"/>
    <w:rsid w:val="001F43BD"/>
    <w:rsid w:val="00203C97"/>
    <w:rsid w:val="00206BC8"/>
    <w:rsid w:val="002075B1"/>
    <w:rsid w:val="00207C0D"/>
    <w:rsid w:val="002118EF"/>
    <w:rsid w:val="00212324"/>
    <w:rsid w:val="002124C2"/>
    <w:rsid w:val="00212C9A"/>
    <w:rsid w:val="0022152F"/>
    <w:rsid w:val="00234724"/>
    <w:rsid w:val="00237D35"/>
    <w:rsid w:val="00241209"/>
    <w:rsid w:val="00241A57"/>
    <w:rsid w:val="00257016"/>
    <w:rsid w:val="002576BD"/>
    <w:rsid w:val="002611BB"/>
    <w:rsid w:val="0026404B"/>
    <w:rsid w:val="002727FF"/>
    <w:rsid w:val="002743B6"/>
    <w:rsid w:val="00275A9B"/>
    <w:rsid w:val="002760EE"/>
    <w:rsid w:val="002801F4"/>
    <w:rsid w:val="002827BF"/>
    <w:rsid w:val="00283E27"/>
    <w:rsid w:val="002956AB"/>
    <w:rsid w:val="0029686B"/>
    <w:rsid w:val="002A2159"/>
    <w:rsid w:val="002A262E"/>
    <w:rsid w:val="002A2C48"/>
    <w:rsid w:val="002A4C7E"/>
    <w:rsid w:val="002A6A66"/>
    <w:rsid w:val="002B17C0"/>
    <w:rsid w:val="002B75C2"/>
    <w:rsid w:val="002C616D"/>
    <w:rsid w:val="002C6D9E"/>
    <w:rsid w:val="002C7833"/>
    <w:rsid w:val="002D39FB"/>
    <w:rsid w:val="002D60EF"/>
    <w:rsid w:val="002D6CC2"/>
    <w:rsid w:val="002E081E"/>
    <w:rsid w:val="002E107D"/>
    <w:rsid w:val="002E4B52"/>
    <w:rsid w:val="002E69F2"/>
    <w:rsid w:val="002E6DBC"/>
    <w:rsid w:val="002F22C5"/>
    <w:rsid w:val="00302CC1"/>
    <w:rsid w:val="00311905"/>
    <w:rsid w:val="00321976"/>
    <w:rsid w:val="00324C62"/>
    <w:rsid w:val="00331345"/>
    <w:rsid w:val="00331917"/>
    <w:rsid w:val="00342D69"/>
    <w:rsid w:val="0034321F"/>
    <w:rsid w:val="003471B9"/>
    <w:rsid w:val="003555ED"/>
    <w:rsid w:val="00362D15"/>
    <w:rsid w:val="003658D4"/>
    <w:rsid w:val="00366F4D"/>
    <w:rsid w:val="0036711B"/>
    <w:rsid w:val="003671ED"/>
    <w:rsid w:val="00370F0D"/>
    <w:rsid w:val="00372895"/>
    <w:rsid w:val="00381959"/>
    <w:rsid w:val="00386D71"/>
    <w:rsid w:val="00392AC0"/>
    <w:rsid w:val="00395809"/>
    <w:rsid w:val="003A194D"/>
    <w:rsid w:val="003B323B"/>
    <w:rsid w:val="003B58B4"/>
    <w:rsid w:val="003B78EF"/>
    <w:rsid w:val="003D2FB7"/>
    <w:rsid w:val="003D669B"/>
    <w:rsid w:val="003E0EA0"/>
    <w:rsid w:val="003E1155"/>
    <w:rsid w:val="003E3AED"/>
    <w:rsid w:val="003E60C7"/>
    <w:rsid w:val="003E7EE8"/>
    <w:rsid w:val="003F2F69"/>
    <w:rsid w:val="003F37C7"/>
    <w:rsid w:val="003F49DB"/>
    <w:rsid w:val="00404306"/>
    <w:rsid w:val="00405903"/>
    <w:rsid w:val="00407B20"/>
    <w:rsid w:val="004107E5"/>
    <w:rsid w:val="0042109D"/>
    <w:rsid w:val="004237BD"/>
    <w:rsid w:val="00424E23"/>
    <w:rsid w:val="00426D05"/>
    <w:rsid w:val="004272F2"/>
    <w:rsid w:val="00430619"/>
    <w:rsid w:val="00432554"/>
    <w:rsid w:val="0043255A"/>
    <w:rsid w:val="00441C73"/>
    <w:rsid w:val="0044602E"/>
    <w:rsid w:val="00464E6C"/>
    <w:rsid w:val="004661D0"/>
    <w:rsid w:val="0047035B"/>
    <w:rsid w:val="004801AB"/>
    <w:rsid w:val="0048317E"/>
    <w:rsid w:val="004906A9"/>
    <w:rsid w:val="00495785"/>
    <w:rsid w:val="004A05F4"/>
    <w:rsid w:val="004A1AD1"/>
    <w:rsid w:val="004A64AE"/>
    <w:rsid w:val="004A7F90"/>
    <w:rsid w:val="004B74E3"/>
    <w:rsid w:val="004C07BA"/>
    <w:rsid w:val="004C7E93"/>
    <w:rsid w:val="004D1D87"/>
    <w:rsid w:val="004D2819"/>
    <w:rsid w:val="004D3C5F"/>
    <w:rsid w:val="004E2365"/>
    <w:rsid w:val="004E38B6"/>
    <w:rsid w:val="004E73C0"/>
    <w:rsid w:val="004F04BC"/>
    <w:rsid w:val="004F51CF"/>
    <w:rsid w:val="00502316"/>
    <w:rsid w:val="00503AC3"/>
    <w:rsid w:val="00507BCA"/>
    <w:rsid w:val="005110BE"/>
    <w:rsid w:val="005164DD"/>
    <w:rsid w:val="00523F33"/>
    <w:rsid w:val="00524705"/>
    <w:rsid w:val="00526506"/>
    <w:rsid w:val="00530FDA"/>
    <w:rsid w:val="00536D36"/>
    <w:rsid w:val="00543781"/>
    <w:rsid w:val="00545439"/>
    <w:rsid w:val="005818F7"/>
    <w:rsid w:val="00581FCF"/>
    <w:rsid w:val="0058228D"/>
    <w:rsid w:val="00585EAF"/>
    <w:rsid w:val="005877D3"/>
    <w:rsid w:val="00591D93"/>
    <w:rsid w:val="00595BC5"/>
    <w:rsid w:val="005971F5"/>
    <w:rsid w:val="005A2F10"/>
    <w:rsid w:val="005A635A"/>
    <w:rsid w:val="005A695F"/>
    <w:rsid w:val="005A753A"/>
    <w:rsid w:val="005B599D"/>
    <w:rsid w:val="005B7FC7"/>
    <w:rsid w:val="005C0EFF"/>
    <w:rsid w:val="005C1C62"/>
    <w:rsid w:val="005C374F"/>
    <w:rsid w:val="005C78AF"/>
    <w:rsid w:val="005D0CDC"/>
    <w:rsid w:val="005D0D95"/>
    <w:rsid w:val="005E0D49"/>
    <w:rsid w:val="005E221F"/>
    <w:rsid w:val="005E22FA"/>
    <w:rsid w:val="005E7155"/>
    <w:rsid w:val="005E7431"/>
    <w:rsid w:val="005F1188"/>
    <w:rsid w:val="006042B6"/>
    <w:rsid w:val="006062B0"/>
    <w:rsid w:val="00607538"/>
    <w:rsid w:val="006075EF"/>
    <w:rsid w:val="00612BDD"/>
    <w:rsid w:val="00613EAD"/>
    <w:rsid w:val="00614E38"/>
    <w:rsid w:val="00617273"/>
    <w:rsid w:val="00617E58"/>
    <w:rsid w:val="00621CFE"/>
    <w:rsid w:val="00622C7C"/>
    <w:rsid w:val="00622C9E"/>
    <w:rsid w:val="00625512"/>
    <w:rsid w:val="00633143"/>
    <w:rsid w:val="006354B0"/>
    <w:rsid w:val="006405BD"/>
    <w:rsid w:val="006415ED"/>
    <w:rsid w:val="00642DC0"/>
    <w:rsid w:val="00645D55"/>
    <w:rsid w:val="0064612F"/>
    <w:rsid w:val="00650E04"/>
    <w:rsid w:val="00652675"/>
    <w:rsid w:val="00655546"/>
    <w:rsid w:val="00655F29"/>
    <w:rsid w:val="00657166"/>
    <w:rsid w:val="00662B7F"/>
    <w:rsid w:val="00664D95"/>
    <w:rsid w:val="00665A22"/>
    <w:rsid w:val="00666AAD"/>
    <w:rsid w:val="006718BE"/>
    <w:rsid w:val="00675295"/>
    <w:rsid w:val="006756E7"/>
    <w:rsid w:val="00675AD8"/>
    <w:rsid w:val="0068228D"/>
    <w:rsid w:val="00690DE9"/>
    <w:rsid w:val="006929F5"/>
    <w:rsid w:val="00696671"/>
    <w:rsid w:val="006973FD"/>
    <w:rsid w:val="0069741C"/>
    <w:rsid w:val="006A1523"/>
    <w:rsid w:val="006A3E95"/>
    <w:rsid w:val="006A44D9"/>
    <w:rsid w:val="006A7C6A"/>
    <w:rsid w:val="006B3A12"/>
    <w:rsid w:val="006B4402"/>
    <w:rsid w:val="006B5160"/>
    <w:rsid w:val="006B52BF"/>
    <w:rsid w:val="006B7DA2"/>
    <w:rsid w:val="006C6EC4"/>
    <w:rsid w:val="006C76DC"/>
    <w:rsid w:val="006D58DC"/>
    <w:rsid w:val="006E3D33"/>
    <w:rsid w:val="006F041E"/>
    <w:rsid w:val="006F0E44"/>
    <w:rsid w:val="006F3DC2"/>
    <w:rsid w:val="006F581B"/>
    <w:rsid w:val="006F7B90"/>
    <w:rsid w:val="00701BFA"/>
    <w:rsid w:val="00711278"/>
    <w:rsid w:val="00716CD6"/>
    <w:rsid w:val="00717844"/>
    <w:rsid w:val="00733B08"/>
    <w:rsid w:val="007359F9"/>
    <w:rsid w:val="0073688F"/>
    <w:rsid w:val="0073776D"/>
    <w:rsid w:val="00744C7D"/>
    <w:rsid w:val="00745270"/>
    <w:rsid w:val="00745566"/>
    <w:rsid w:val="00747F23"/>
    <w:rsid w:val="0075045C"/>
    <w:rsid w:val="007539D1"/>
    <w:rsid w:val="007630D3"/>
    <w:rsid w:val="0077401F"/>
    <w:rsid w:val="00775C53"/>
    <w:rsid w:val="00781DF9"/>
    <w:rsid w:val="007832F0"/>
    <w:rsid w:val="00783E4B"/>
    <w:rsid w:val="00787BD4"/>
    <w:rsid w:val="00797D15"/>
    <w:rsid w:val="007A5CBC"/>
    <w:rsid w:val="007A66E1"/>
    <w:rsid w:val="007B40BD"/>
    <w:rsid w:val="007B7FE0"/>
    <w:rsid w:val="007C1E73"/>
    <w:rsid w:val="007C6207"/>
    <w:rsid w:val="007C6433"/>
    <w:rsid w:val="007C6B3D"/>
    <w:rsid w:val="007C6E43"/>
    <w:rsid w:val="007D3F08"/>
    <w:rsid w:val="007D454E"/>
    <w:rsid w:val="007D56DD"/>
    <w:rsid w:val="007D7F5C"/>
    <w:rsid w:val="007E2ED6"/>
    <w:rsid w:val="007E4813"/>
    <w:rsid w:val="007E59B8"/>
    <w:rsid w:val="007E5C80"/>
    <w:rsid w:val="007F2D70"/>
    <w:rsid w:val="007F3B69"/>
    <w:rsid w:val="007F6934"/>
    <w:rsid w:val="007F6D4C"/>
    <w:rsid w:val="008024B8"/>
    <w:rsid w:val="0080322B"/>
    <w:rsid w:val="00804921"/>
    <w:rsid w:val="00807C86"/>
    <w:rsid w:val="00811C91"/>
    <w:rsid w:val="00811F26"/>
    <w:rsid w:val="00812003"/>
    <w:rsid w:val="00812837"/>
    <w:rsid w:val="008152C3"/>
    <w:rsid w:val="008159D9"/>
    <w:rsid w:val="008165B6"/>
    <w:rsid w:val="008177F1"/>
    <w:rsid w:val="008240BC"/>
    <w:rsid w:val="00824E8E"/>
    <w:rsid w:val="0082791C"/>
    <w:rsid w:val="00830DA5"/>
    <w:rsid w:val="008319AB"/>
    <w:rsid w:val="00832FE8"/>
    <w:rsid w:val="00833CE8"/>
    <w:rsid w:val="00833CEC"/>
    <w:rsid w:val="008352FA"/>
    <w:rsid w:val="00835454"/>
    <w:rsid w:val="00836E2D"/>
    <w:rsid w:val="008372F2"/>
    <w:rsid w:val="00837820"/>
    <w:rsid w:val="00846453"/>
    <w:rsid w:val="00847928"/>
    <w:rsid w:val="00856837"/>
    <w:rsid w:val="00861B41"/>
    <w:rsid w:val="008679EB"/>
    <w:rsid w:val="008729CF"/>
    <w:rsid w:val="00874364"/>
    <w:rsid w:val="0089180E"/>
    <w:rsid w:val="00891BE0"/>
    <w:rsid w:val="0089351B"/>
    <w:rsid w:val="008938BD"/>
    <w:rsid w:val="008942CB"/>
    <w:rsid w:val="00895148"/>
    <w:rsid w:val="008961B1"/>
    <w:rsid w:val="00897548"/>
    <w:rsid w:val="008A4632"/>
    <w:rsid w:val="008A65C3"/>
    <w:rsid w:val="008B1414"/>
    <w:rsid w:val="008C17A4"/>
    <w:rsid w:val="008C23DA"/>
    <w:rsid w:val="008C3AAE"/>
    <w:rsid w:val="008C46F0"/>
    <w:rsid w:val="008C535C"/>
    <w:rsid w:val="008D039C"/>
    <w:rsid w:val="008D04E5"/>
    <w:rsid w:val="008D2B1D"/>
    <w:rsid w:val="008D515A"/>
    <w:rsid w:val="008D6E05"/>
    <w:rsid w:val="008D7A4B"/>
    <w:rsid w:val="008E1A8D"/>
    <w:rsid w:val="008E1C61"/>
    <w:rsid w:val="008E3B00"/>
    <w:rsid w:val="008E7BBB"/>
    <w:rsid w:val="008E7DDF"/>
    <w:rsid w:val="008F0769"/>
    <w:rsid w:val="008F5B03"/>
    <w:rsid w:val="00900833"/>
    <w:rsid w:val="009019AD"/>
    <w:rsid w:val="00903D9D"/>
    <w:rsid w:val="00910395"/>
    <w:rsid w:val="009118A3"/>
    <w:rsid w:val="00912097"/>
    <w:rsid w:val="00921BC5"/>
    <w:rsid w:val="00927A39"/>
    <w:rsid w:val="009327F4"/>
    <w:rsid w:val="009359DC"/>
    <w:rsid w:val="00935A73"/>
    <w:rsid w:val="00937F67"/>
    <w:rsid w:val="0094013D"/>
    <w:rsid w:val="00940EF5"/>
    <w:rsid w:val="00951621"/>
    <w:rsid w:val="00961458"/>
    <w:rsid w:val="00964C68"/>
    <w:rsid w:val="0097742F"/>
    <w:rsid w:val="0098118F"/>
    <w:rsid w:val="00981B5C"/>
    <w:rsid w:val="00982851"/>
    <w:rsid w:val="009847DF"/>
    <w:rsid w:val="00984DB8"/>
    <w:rsid w:val="00987A24"/>
    <w:rsid w:val="00990BC2"/>
    <w:rsid w:val="00992544"/>
    <w:rsid w:val="0099727C"/>
    <w:rsid w:val="009A2080"/>
    <w:rsid w:val="009A2BFA"/>
    <w:rsid w:val="009B0EBA"/>
    <w:rsid w:val="009B1BCC"/>
    <w:rsid w:val="009B32BB"/>
    <w:rsid w:val="009B6646"/>
    <w:rsid w:val="009B71AB"/>
    <w:rsid w:val="009C0CF2"/>
    <w:rsid w:val="009C3BB2"/>
    <w:rsid w:val="009D0B27"/>
    <w:rsid w:val="009D366D"/>
    <w:rsid w:val="009E2010"/>
    <w:rsid w:val="009E53F5"/>
    <w:rsid w:val="009E6EFF"/>
    <w:rsid w:val="009F0231"/>
    <w:rsid w:val="009F174B"/>
    <w:rsid w:val="009F39D8"/>
    <w:rsid w:val="009F4646"/>
    <w:rsid w:val="00A03814"/>
    <w:rsid w:val="00A0737E"/>
    <w:rsid w:val="00A07A46"/>
    <w:rsid w:val="00A12DBD"/>
    <w:rsid w:val="00A22EB8"/>
    <w:rsid w:val="00A24762"/>
    <w:rsid w:val="00A267FE"/>
    <w:rsid w:val="00A27275"/>
    <w:rsid w:val="00A276C9"/>
    <w:rsid w:val="00A303DE"/>
    <w:rsid w:val="00A31EFB"/>
    <w:rsid w:val="00A322FA"/>
    <w:rsid w:val="00A369E1"/>
    <w:rsid w:val="00A37711"/>
    <w:rsid w:val="00A42256"/>
    <w:rsid w:val="00A4261E"/>
    <w:rsid w:val="00A45B9A"/>
    <w:rsid w:val="00A4609A"/>
    <w:rsid w:val="00A47229"/>
    <w:rsid w:val="00A4730B"/>
    <w:rsid w:val="00A500A6"/>
    <w:rsid w:val="00A52281"/>
    <w:rsid w:val="00A52E98"/>
    <w:rsid w:val="00A604DB"/>
    <w:rsid w:val="00A614B1"/>
    <w:rsid w:val="00A64197"/>
    <w:rsid w:val="00A65F44"/>
    <w:rsid w:val="00A71002"/>
    <w:rsid w:val="00A72556"/>
    <w:rsid w:val="00A734B3"/>
    <w:rsid w:val="00A73F9A"/>
    <w:rsid w:val="00A75711"/>
    <w:rsid w:val="00A8534B"/>
    <w:rsid w:val="00A857C8"/>
    <w:rsid w:val="00A95311"/>
    <w:rsid w:val="00AA1EE6"/>
    <w:rsid w:val="00AA2BEA"/>
    <w:rsid w:val="00AA3B66"/>
    <w:rsid w:val="00AA44A8"/>
    <w:rsid w:val="00AA4913"/>
    <w:rsid w:val="00AB1A7F"/>
    <w:rsid w:val="00AC111E"/>
    <w:rsid w:val="00AC1C42"/>
    <w:rsid w:val="00AC541A"/>
    <w:rsid w:val="00AC605F"/>
    <w:rsid w:val="00AC6E54"/>
    <w:rsid w:val="00AC77A8"/>
    <w:rsid w:val="00AD4DC8"/>
    <w:rsid w:val="00AE37F9"/>
    <w:rsid w:val="00AE39EB"/>
    <w:rsid w:val="00AF4BF5"/>
    <w:rsid w:val="00B042BB"/>
    <w:rsid w:val="00B100D0"/>
    <w:rsid w:val="00B14FE9"/>
    <w:rsid w:val="00B21F8E"/>
    <w:rsid w:val="00B2352E"/>
    <w:rsid w:val="00B24490"/>
    <w:rsid w:val="00B317F5"/>
    <w:rsid w:val="00B320DF"/>
    <w:rsid w:val="00B34171"/>
    <w:rsid w:val="00B36E74"/>
    <w:rsid w:val="00B37264"/>
    <w:rsid w:val="00B410DC"/>
    <w:rsid w:val="00B42456"/>
    <w:rsid w:val="00B43E17"/>
    <w:rsid w:val="00B643BF"/>
    <w:rsid w:val="00B645E3"/>
    <w:rsid w:val="00B71D74"/>
    <w:rsid w:val="00B737D5"/>
    <w:rsid w:val="00B73BC6"/>
    <w:rsid w:val="00B755B9"/>
    <w:rsid w:val="00B8160B"/>
    <w:rsid w:val="00B8547E"/>
    <w:rsid w:val="00B9010A"/>
    <w:rsid w:val="00B91B65"/>
    <w:rsid w:val="00B94404"/>
    <w:rsid w:val="00BA0BC0"/>
    <w:rsid w:val="00BA3D4F"/>
    <w:rsid w:val="00BA4FD3"/>
    <w:rsid w:val="00BB35CA"/>
    <w:rsid w:val="00BB4A47"/>
    <w:rsid w:val="00BC151B"/>
    <w:rsid w:val="00BC4150"/>
    <w:rsid w:val="00BD23E0"/>
    <w:rsid w:val="00BD39B9"/>
    <w:rsid w:val="00BD5CD4"/>
    <w:rsid w:val="00BD6A9C"/>
    <w:rsid w:val="00BE45AE"/>
    <w:rsid w:val="00BE5C84"/>
    <w:rsid w:val="00BE74E0"/>
    <w:rsid w:val="00BF032F"/>
    <w:rsid w:val="00BF6C1A"/>
    <w:rsid w:val="00BF7B43"/>
    <w:rsid w:val="00C018DF"/>
    <w:rsid w:val="00C04569"/>
    <w:rsid w:val="00C05E7A"/>
    <w:rsid w:val="00C06918"/>
    <w:rsid w:val="00C176CC"/>
    <w:rsid w:val="00C20396"/>
    <w:rsid w:val="00C210F9"/>
    <w:rsid w:val="00C26F4C"/>
    <w:rsid w:val="00C35B68"/>
    <w:rsid w:val="00C42173"/>
    <w:rsid w:val="00C4602E"/>
    <w:rsid w:val="00C50123"/>
    <w:rsid w:val="00C50870"/>
    <w:rsid w:val="00C57B89"/>
    <w:rsid w:val="00C57B91"/>
    <w:rsid w:val="00C61D41"/>
    <w:rsid w:val="00C650D3"/>
    <w:rsid w:val="00C74AC5"/>
    <w:rsid w:val="00C75068"/>
    <w:rsid w:val="00C810FA"/>
    <w:rsid w:val="00C83292"/>
    <w:rsid w:val="00C8387A"/>
    <w:rsid w:val="00C90BCB"/>
    <w:rsid w:val="00C92B3F"/>
    <w:rsid w:val="00C92F4B"/>
    <w:rsid w:val="00C955D7"/>
    <w:rsid w:val="00CA38D8"/>
    <w:rsid w:val="00CA3E6B"/>
    <w:rsid w:val="00CB051A"/>
    <w:rsid w:val="00CB32E7"/>
    <w:rsid w:val="00CB36ED"/>
    <w:rsid w:val="00CB7BC3"/>
    <w:rsid w:val="00CC119A"/>
    <w:rsid w:val="00CC20D8"/>
    <w:rsid w:val="00CC2CFE"/>
    <w:rsid w:val="00CC607E"/>
    <w:rsid w:val="00CD7E86"/>
    <w:rsid w:val="00CE059C"/>
    <w:rsid w:val="00CE71FF"/>
    <w:rsid w:val="00CF15D1"/>
    <w:rsid w:val="00CF3AFA"/>
    <w:rsid w:val="00D0138D"/>
    <w:rsid w:val="00D0166A"/>
    <w:rsid w:val="00D0219F"/>
    <w:rsid w:val="00D130B2"/>
    <w:rsid w:val="00D158F4"/>
    <w:rsid w:val="00D17091"/>
    <w:rsid w:val="00D22ECE"/>
    <w:rsid w:val="00D24CB9"/>
    <w:rsid w:val="00D2510D"/>
    <w:rsid w:val="00D276A9"/>
    <w:rsid w:val="00D37CB8"/>
    <w:rsid w:val="00D4265D"/>
    <w:rsid w:val="00D442B3"/>
    <w:rsid w:val="00D45714"/>
    <w:rsid w:val="00D56511"/>
    <w:rsid w:val="00D6768F"/>
    <w:rsid w:val="00D67A13"/>
    <w:rsid w:val="00D86459"/>
    <w:rsid w:val="00D870CE"/>
    <w:rsid w:val="00D87710"/>
    <w:rsid w:val="00D87BCC"/>
    <w:rsid w:val="00D91776"/>
    <w:rsid w:val="00D91BB8"/>
    <w:rsid w:val="00D920F1"/>
    <w:rsid w:val="00D92F62"/>
    <w:rsid w:val="00D947C0"/>
    <w:rsid w:val="00DA0F42"/>
    <w:rsid w:val="00DA6F29"/>
    <w:rsid w:val="00DB1152"/>
    <w:rsid w:val="00DB333D"/>
    <w:rsid w:val="00DB597D"/>
    <w:rsid w:val="00DB7A26"/>
    <w:rsid w:val="00DB7EB5"/>
    <w:rsid w:val="00DC0370"/>
    <w:rsid w:val="00DC1BE6"/>
    <w:rsid w:val="00DC46F1"/>
    <w:rsid w:val="00DC513B"/>
    <w:rsid w:val="00DD6C8A"/>
    <w:rsid w:val="00DD6E5B"/>
    <w:rsid w:val="00DD7920"/>
    <w:rsid w:val="00DE0FB5"/>
    <w:rsid w:val="00DE28AE"/>
    <w:rsid w:val="00DE3C09"/>
    <w:rsid w:val="00DE409C"/>
    <w:rsid w:val="00DE418F"/>
    <w:rsid w:val="00DE5991"/>
    <w:rsid w:val="00DE7A0F"/>
    <w:rsid w:val="00DF0D54"/>
    <w:rsid w:val="00DF1AD2"/>
    <w:rsid w:val="00DF5CBF"/>
    <w:rsid w:val="00E01C8C"/>
    <w:rsid w:val="00E05523"/>
    <w:rsid w:val="00E058C3"/>
    <w:rsid w:val="00E2294A"/>
    <w:rsid w:val="00E23291"/>
    <w:rsid w:val="00E308D7"/>
    <w:rsid w:val="00E315C6"/>
    <w:rsid w:val="00E32121"/>
    <w:rsid w:val="00E32AD6"/>
    <w:rsid w:val="00E34579"/>
    <w:rsid w:val="00E362EF"/>
    <w:rsid w:val="00E40476"/>
    <w:rsid w:val="00E50B63"/>
    <w:rsid w:val="00E54580"/>
    <w:rsid w:val="00E60719"/>
    <w:rsid w:val="00E642D2"/>
    <w:rsid w:val="00E6467F"/>
    <w:rsid w:val="00E66A7F"/>
    <w:rsid w:val="00E70D88"/>
    <w:rsid w:val="00E73EAA"/>
    <w:rsid w:val="00E76DBA"/>
    <w:rsid w:val="00E774C0"/>
    <w:rsid w:val="00E8108E"/>
    <w:rsid w:val="00E857ED"/>
    <w:rsid w:val="00E85F78"/>
    <w:rsid w:val="00E9231F"/>
    <w:rsid w:val="00E94945"/>
    <w:rsid w:val="00E94E42"/>
    <w:rsid w:val="00E96164"/>
    <w:rsid w:val="00EA098F"/>
    <w:rsid w:val="00EA13A0"/>
    <w:rsid w:val="00EA3EDA"/>
    <w:rsid w:val="00EA4D23"/>
    <w:rsid w:val="00EA4FCC"/>
    <w:rsid w:val="00EA51D6"/>
    <w:rsid w:val="00EA66A8"/>
    <w:rsid w:val="00EB4F1D"/>
    <w:rsid w:val="00EB7F77"/>
    <w:rsid w:val="00EC00A2"/>
    <w:rsid w:val="00EC02F3"/>
    <w:rsid w:val="00EC0571"/>
    <w:rsid w:val="00EC1097"/>
    <w:rsid w:val="00EC50BD"/>
    <w:rsid w:val="00EC7BF3"/>
    <w:rsid w:val="00ED45C3"/>
    <w:rsid w:val="00ED465A"/>
    <w:rsid w:val="00ED4DF0"/>
    <w:rsid w:val="00ED6C41"/>
    <w:rsid w:val="00EE4EAF"/>
    <w:rsid w:val="00EE5895"/>
    <w:rsid w:val="00EE6D76"/>
    <w:rsid w:val="00EF1D7D"/>
    <w:rsid w:val="00EF20F1"/>
    <w:rsid w:val="00EF329B"/>
    <w:rsid w:val="00EF4F00"/>
    <w:rsid w:val="00EF6607"/>
    <w:rsid w:val="00F02A27"/>
    <w:rsid w:val="00F03C44"/>
    <w:rsid w:val="00F047A9"/>
    <w:rsid w:val="00F0480C"/>
    <w:rsid w:val="00F12606"/>
    <w:rsid w:val="00F12CCD"/>
    <w:rsid w:val="00F12F6E"/>
    <w:rsid w:val="00F14451"/>
    <w:rsid w:val="00F23019"/>
    <w:rsid w:val="00F25CBE"/>
    <w:rsid w:val="00F26C0D"/>
    <w:rsid w:val="00F2773A"/>
    <w:rsid w:val="00F337D3"/>
    <w:rsid w:val="00F374E1"/>
    <w:rsid w:val="00F4526E"/>
    <w:rsid w:val="00F57051"/>
    <w:rsid w:val="00F57D7C"/>
    <w:rsid w:val="00F57F74"/>
    <w:rsid w:val="00F6082C"/>
    <w:rsid w:val="00F60DB3"/>
    <w:rsid w:val="00F648B0"/>
    <w:rsid w:val="00F7134A"/>
    <w:rsid w:val="00F7186C"/>
    <w:rsid w:val="00F71C86"/>
    <w:rsid w:val="00F816F7"/>
    <w:rsid w:val="00F832BF"/>
    <w:rsid w:val="00F906FD"/>
    <w:rsid w:val="00F90FB2"/>
    <w:rsid w:val="00F92CA8"/>
    <w:rsid w:val="00F93605"/>
    <w:rsid w:val="00F967E7"/>
    <w:rsid w:val="00FA07CF"/>
    <w:rsid w:val="00FA1A65"/>
    <w:rsid w:val="00FA3FEB"/>
    <w:rsid w:val="00FA4DFC"/>
    <w:rsid w:val="00FA6AE1"/>
    <w:rsid w:val="00FA6DB2"/>
    <w:rsid w:val="00FB33AC"/>
    <w:rsid w:val="00FB496F"/>
    <w:rsid w:val="00FB65E0"/>
    <w:rsid w:val="00FC31DE"/>
    <w:rsid w:val="00FC5C0B"/>
    <w:rsid w:val="00FD627A"/>
    <w:rsid w:val="00FE029A"/>
    <w:rsid w:val="00FE4BD1"/>
    <w:rsid w:val="00FE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D30C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sid w:val="00665A22"/>
    <w:rPr>
      <w:sz w:val="22"/>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rsid w:val="00123FBC"/>
    <w:rPr>
      <w:vertAlign w:val="superscript"/>
    </w:rPr>
  </w:style>
  <w:style w:type="paragraph" w:styleId="NoSpacing">
    <w:name w:val="No Spacing"/>
    <w:uiPriority w:val="1"/>
    <w:qFormat/>
    <w:rsid w:val="00507BCA"/>
    <w:rPr>
      <w:sz w:val="24"/>
      <w:szCs w:val="24"/>
    </w:rPr>
  </w:style>
  <w:style w:type="character" w:customStyle="1" w:styleId="HeaderChar">
    <w:name w:val="Header Char"/>
    <w:link w:val="Header"/>
    <w:uiPriority w:val="99"/>
    <w:locked/>
    <w:rsid w:val="00B73BC6"/>
    <w:rPr>
      <w:sz w:val="24"/>
      <w:szCs w:val="24"/>
    </w:rPr>
  </w:style>
  <w:style w:type="paragraph" w:styleId="Revision">
    <w:name w:val="Revision"/>
    <w:hidden/>
    <w:uiPriority w:val="99"/>
    <w:semiHidden/>
    <w:rsid w:val="001F1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2014-09-02T07:00:00+00:00</OpenedDate>
    <Date1 xmlns="dc463f71-b30c-4ab2-9473-d307f9d35888">2014-11-20T08:00:00+00:00</Date1>
    <IsDocumentOrder xmlns="dc463f71-b30c-4ab2-9473-d307f9d35888">true</IsDocumentOrder>
    <IsHighlyConfidential xmlns="dc463f71-b30c-4ab2-9473-d307f9d35888">false</IsHighlyConfidential>
    <CaseCompanyNames xmlns="dc463f71-b30c-4ab2-9473-d307f9d35888">Ethos Communications Group, Inc.;Go Solo Technologies, Inc.;IBFA Acquisition Company, LLC;Inmate Communications Corporation;NET TALK.COM, INC.;Tcast Communications, Inc.;Telecare, Inc.</CaseCompanyNames>
    <DocketNumber xmlns="dc463f71-b30c-4ab2-9473-d307f9d35888">143237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546D610413084EAB184EF866410E65" ma:contentTypeVersion="175" ma:contentTypeDescription="" ma:contentTypeScope="" ma:versionID="6dbce6f41ece89d4fc72ac1387ce39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B945C-CC9B-44AB-BCA8-BBF4B00B0B5D}"/>
</file>

<file path=customXml/itemProps2.xml><?xml version="1.0" encoding="utf-8"?>
<ds:datastoreItem xmlns:ds="http://schemas.openxmlformats.org/officeDocument/2006/customXml" ds:itemID="{7A90E341-7CA7-435A-BB03-DB6CB8F23BA4}"/>
</file>

<file path=customXml/itemProps3.xml><?xml version="1.0" encoding="utf-8"?>
<ds:datastoreItem xmlns:ds="http://schemas.openxmlformats.org/officeDocument/2006/customXml" ds:itemID="{54DBECE1-7F34-436E-B8E2-D20125113478}"/>
</file>

<file path=customXml/itemProps4.xml><?xml version="1.0" encoding="utf-8"?>
<ds:datastoreItem xmlns:ds="http://schemas.openxmlformats.org/officeDocument/2006/customXml" ds:itemID="{C78B3BC0-2A2B-408D-8748-50338983BE02}"/>
</file>

<file path=customXml/itemProps5.xml><?xml version="1.0" encoding="utf-8"?>
<ds:datastoreItem xmlns:ds="http://schemas.openxmlformats.org/officeDocument/2006/customXml" ds:itemID="{61422215-35A6-45A4-AA95-63ACE1A7A5F4}"/>
</file>

<file path=docProps/app.xml><?xml version="1.0" encoding="utf-8"?>
<Properties xmlns="http://schemas.openxmlformats.org/officeDocument/2006/extended-properties" xmlns:vt="http://schemas.openxmlformats.org/officeDocument/2006/docPropsVTypes">
  <Template>Normal.dotm</Template>
  <TotalTime>0</TotalTime>
  <Pages>8</Pages>
  <Words>2312</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2014-11-20T20:05:00Z</dcterms:created>
  <dcterms:modified xsi:type="dcterms:W3CDTF">2014-11-20T20:05:00Z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0x0101006E56B4D1795A2E4DB2F0B01679ED314A00FB546D610413084EAB184EF866410E65</vt:lpwstr>
  </property>
  <property fmtid="{D5CDD505-2E9C-101B-9397-08002B2CF9AE}" pid="3" name="_docset_NoMedatataSyncRequired">
    <vt:lpwstr>False</vt:lpwstr>
  </property>
</Properties>
</file>