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289BD" w14:textId="77777777" w:rsidR="00445CED" w:rsidRDefault="00445CED" w:rsidP="00604A41">
      <w:pPr>
        <w:tabs>
          <w:tab w:val="center" w:pos="4680"/>
        </w:tabs>
        <w:ind w:right="-108" w:hanging="180"/>
        <w:jc w:val="center"/>
        <w:rPr>
          <w:sz w:val="24"/>
        </w:rPr>
      </w:pPr>
    </w:p>
    <w:p w14:paraId="7675B03A" w14:textId="77777777" w:rsidR="00445CED" w:rsidRDefault="00445CED" w:rsidP="00604A41">
      <w:pPr>
        <w:tabs>
          <w:tab w:val="center" w:pos="4680"/>
        </w:tabs>
        <w:ind w:right="-108" w:hanging="180"/>
        <w:jc w:val="center"/>
        <w:rPr>
          <w:sz w:val="24"/>
        </w:rPr>
      </w:pPr>
    </w:p>
    <w:p w14:paraId="4A025F3F" w14:textId="77777777" w:rsidR="00445CED" w:rsidRDefault="00445CED" w:rsidP="00604A41">
      <w:pPr>
        <w:tabs>
          <w:tab w:val="center" w:pos="4680"/>
        </w:tabs>
        <w:ind w:right="-108" w:hanging="180"/>
        <w:jc w:val="center"/>
        <w:rPr>
          <w:sz w:val="24"/>
        </w:rPr>
      </w:pPr>
    </w:p>
    <w:p w14:paraId="0888CA21" w14:textId="6CA0C0F5" w:rsidR="000A46F5" w:rsidRPr="004A2910" w:rsidRDefault="000A46F5" w:rsidP="00604A41">
      <w:pPr>
        <w:tabs>
          <w:tab w:val="center" w:pos="4680"/>
        </w:tabs>
        <w:ind w:right="-108" w:hanging="180"/>
        <w:jc w:val="center"/>
        <w:rPr>
          <w:sz w:val="24"/>
        </w:rPr>
      </w:pPr>
      <w:r w:rsidRPr="004A2910">
        <w:rPr>
          <w:sz w:val="24"/>
        </w:rPr>
        <w:t>BEFORE THE WASHINGTON UTILITIES AND TRANSPORTATION COMMISSION</w:t>
      </w:r>
    </w:p>
    <w:p w14:paraId="02BEFD47" w14:textId="77777777" w:rsidR="000A46F5" w:rsidRPr="004A2910" w:rsidRDefault="000A46F5" w:rsidP="000A46F5">
      <w:pPr>
        <w:jc w:val="both"/>
        <w:rPr>
          <w:sz w:val="24"/>
        </w:rPr>
      </w:pPr>
    </w:p>
    <w:p w14:paraId="7407437D" w14:textId="77777777" w:rsidR="000A46F5" w:rsidRPr="004A2910" w:rsidRDefault="000A46F5" w:rsidP="000A46F5">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0A46F5" w:rsidRPr="004A2910" w14:paraId="28B0624A" w14:textId="77777777" w:rsidTr="001F50E7">
        <w:tc>
          <w:tcPr>
            <w:tcW w:w="4590" w:type="dxa"/>
            <w:tcBorders>
              <w:top w:val="single" w:sz="6" w:space="0" w:color="FFFFFF"/>
              <w:left w:val="single" w:sz="6" w:space="0" w:color="FFFFFF"/>
              <w:bottom w:val="single" w:sz="7" w:space="0" w:color="000000"/>
              <w:right w:val="single" w:sz="6" w:space="0" w:color="FFFFFF"/>
            </w:tcBorders>
          </w:tcPr>
          <w:p w14:paraId="55B5032E" w14:textId="77777777" w:rsidR="00FB4DB4" w:rsidRDefault="000A46F5" w:rsidP="001F50E7">
            <w:pPr>
              <w:rPr>
                <w:sz w:val="24"/>
              </w:rPr>
            </w:pPr>
            <w:r>
              <w:rPr>
                <w:sz w:val="24"/>
              </w:rPr>
              <w:t xml:space="preserve">In the Matter of the Petition of </w:t>
            </w:r>
          </w:p>
          <w:p w14:paraId="1C47D45B" w14:textId="77777777" w:rsidR="00FB4DB4" w:rsidRDefault="00FB4DB4" w:rsidP="001F50E7">
            <w:pPr>
              <w:rPr>
                <w:sz w:val="24"/>
              </w:rPr>
            </w:pPr>
          </w:p>
          <w:p w14:paraId="0AAA55F8" w14:textId="77777777" w:rsidR="00FB4DB4" w:rsidRDefault="00FB4DB4" w:rsidP="001F50E7">
            <w:pPr>
              <w:rPr>
                <w:sz w:val="24"/>
              </w:rPr>
            </w:pPr>
            <w:r>
              <w:rPr>
                <w:sz w:val="24"/>
              </w:rPr>
              <w:t xml:space="preserve">PUGET SOUND ENERGY, INC. </w:t>
            </w:r>
          </w:p>
          <w:p w14:paraId="43B0B355" w14:textId="77777777" w:rsidR="00FB4DB4" w:rsidRDefault="00FB4DB4" w:rsidP="001F50E7">
            <w:pPr>
              <w:rPr>
                <w:sz w:val="24"/>
              </w:rPr>
            </w:pPr>
          </w:p>
          <w:p w14:paraId="6CDC8C1B" w14:textId="77777777" w:rsidR="00FB4DB4" w:rsidRDefault="00FB4DB4" w:rsidP="001F50E7">
            <w:pPr>
              <w:rPr>
                <w:sz w:val="24"/>
              </w:rPr>
            </w:pPr>
            <w:r>
              <w:rPr>
                <w:sz w:val="24"/>
              </w:rPr>
              <w:t>F</w:t>
            </w:r>
            <w:r w:rsidR="000A46F5">
              <w:rPr>
                <w:sz w:val="24"/>
              </w:rPr>
              <w:t xml:space="preserve">or a Declaratory Order </w:t>
            </w:r>
            <w:r>
              <w:rPr>
                <w:sz w:val="24"/>
              </w:rPr>
              <w:t xml:space="preserve">on the Commitment To Accelerate Conservation as Part of PSE’s Decoupling Mechanism </w:t>
            </w:r>
          </w:p>
          <w:p w14:paraId="63F7EBE8" w14:textId="77777777" w:rsidR="000A46F5" w:rsidRPr="00595D41" w:rsidRDefault="000A46F5" w:rsidP="001F50E7">
            <w:pPr>
              <w:rPr>
                <w:sz w:val="24"/>
              </w:rPr>
            </w:pPr>
          </w:p>
          <w:p w14:paraId="3922061D" w14:textId="77777777" w:rsidR="000A46F5" w:rsidRPr="004A2910" w:rsidRDefault="000A46F5" w:rsidP="001F50E7">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6951506A" w14:textId="77777777" w:rsidR="000A46F5" w:rsidRPr="004A2910" w:rsidRDefault="000A46F5" w:rsidP="001F50E7">
            <w:pPr>
              <w:ind w:firstLine="720"/>
              <w:rPr>
                <w:sz w:val="24"/>
              </w:rPr>
            </w:pPr>
            <w:r>
              <w:rPr>
                <w:sz w:val="24"/>
              </w:rPr>
              <w:t xml:space="preserve">DOCKET </w:t>
            </w:r>
            <w:r w:rsidR="00FB4DB4">
              <w:rPr>
                <w:sz w:val="24"/>
              </w:rPr>
              <w:t>UE-141357</w:t>
            </w:r>
          </w:p>
          <w:p w14:paraId="6F86D017" w14:textId="77777777" w:rsidR="000A46F5" w:rsidRPr="004A2910" w:rsidRDefault="000A46F5" w:rsidP="001F50E7">
            <w:pPr>
              <w:rPr>
                <w:sz w:val="24"/>
              </w:rPr>
            </w:pPr>
          </w:p>
          <w:p w14:paraId="21E9FD8A" w14:textId="77777777" w:rsidR="000A46F5" w:rsidRPr="004A2910" w:rsidRDefault="000A46F5" w:rsidP="00E506BE">
            <w:pPr>
              <w:spacing w:after="19"/>
              <w:ind w:left="720"/>
              <w:rPr>
                <w:sz w:val="24"/>
              </w:rPr>
            </w:pPr>
            <w:r>
              <w:rPr>
                <w:sz w:val="24"/>
              </w:rPr>
              <w:t xml:space="preserve">COMMISSION STAFF </w:t>
            </w:r>
            <w:r w:rsidR="00582165">
              <w:rPr>
                <w:sz w:val="24"/>
              </w:rPr>
              <w:t xml:space="preserve">RESPONSE TO PETITION </w:t>
            </w:r>
            <w:r w:rsidRPr="00FB4DB4">
              <w:rPr>
                <w:sz w:val="24"/>
              </w:rPr>
              <w:t>FOR DECLARATORY ORDER</w:t>
            </w:r>
          </w:p>
        </w:tc>
      </w:tr>
    </w:tbl>
    <w:p w14:paraId="11B76B7B" w14:textId="77777777" w:rsidR="000A46F5" w:rsidRDefault="000A46F5" w:rsidP="000A46F5">
      <w:pPr>
        <w:jc w:val="both"/>
        <w:rPr>
          <w:sz w:val="24"/>
        </w:rPr>
      </w:pPr>
    </w:p>
    <w:p w14:paraId="44A302CF" w14:textId="77777777" w:rsidR="00332B61" w:rsidRDefault="00332B61" w:rsidP="000A46F5">
      <w:pPr>
        <w:jc w:val="both"/>
        <w:rPr>
          <w:sz w:val="24"/>
        </w:rPr>
      </w:pPr>
    </w:p>
    <w:p w14:paraId="3CAF90B9" w14:textId="77777777" w:rsidR="000A46F5" w:rsidRPr="00AE5ECC" w:rsidRDefault="000A46F5" w:rsidP="000A46F5">
      <w:pPr>
        <w:jc w:val="center"/>
        <w:rPr>
          <w:b/>
          <w:sz w:val="24"/>
        </w:rPr>
      </w:pPr>
      <w:r w:rsidRPr="00AE5ECC">
        <w:rPr>
          <w:b/>
          <w:sz w:val="24"/>
        </w:rPr>
        <w:t>I.</w:t>
      </w:r>
      <w:r w:rsidRPr="00AE5ECC">
        <w:rPr>
          <w:b/>
          <w:sz w:val="24"/>
        </w:rPr>
        <w:tab/>
        <w:t>INTRODUCTION</w:t>
      </w:r>
    </w:p>
    <w:p w14:paraId="364FD4A9" w14:textId="77777777" w:rsidR="000A46F5" w:rsidRDefault="000A46F5" w:rsidP="000A46F5">
      <w:pPr>
        <w:jc w:val="both"/>
        <w:rPr>
          <w:sz w:val="24"/>
        </w:rPr>
      </w:pPr>
    </w:p>
    <w:p w14:paraId="2F9E2DDD" w14:textId="6BCDFC6B" w:rsidR="00AC694F" w:rsidRPr="00604A41" w:rsidRDefault="00604A41" w:rsidP="00604A41">
      <w:pPr>
        <w:pStyle w:val="ListParagraph"/>
        <w:numPr>
          <w:ilvl w:val="0"/>
          <w:numId w:val="3"/>
        </w:numPr>
        <w:spacing w:line="480" w:lineRule="auto"/>
        <w:rPr>
          <w:sz w:val="24"/>
        </w:rPr>
      </w:pPr>
      <w:r>
        <w:rPr>
          <w:sz w:val="24"/>
        </w:rPr>
        <w:tab/>
      </w:r>
      <w:r w:rsidR="00FB4DB4" w:rsidRPr="00604A41">
        <w:rPr>
          <w:sz w:val="24"/>
        </w:rPr>
        <w:t xml:space="preserve">On June 27, 2014 </w:t>
      </w:r>
      <w:r w:rsidR="000A46F5" w:rsidRPr="00604A41">
        <w:rPr>
          <w:sz w:val="24"/>
        </w:rPr>
        <w:t xml:space="preserve">Puget Sound Energy, Inc. (“PSE” or the “Company”) </w:t>
      </w:r>
      <w:r w:rsidR="00FB4DB4" w:rsidRPr="00604A41">
        <w:rPr>
          <w:sz w:val="24"/>
        </w:rPr>
        <w:t xml:space="preserve">filed a Petition </w:t>
      </w:r>
      <w:r w:rsidR="00AD6463" w:rsidRPr="00604A41">
        <w:rPr>
          <w:sz w:val="24"/>
        </w:rPr>
        <w:t>for</w:t>
      </w:r>
      <w:r w:rsidR="00FB4DB4" w:rsidRPr="00604A41">
        <w:rPr>
          <w:sz w:val="24"/>
        </w:rPr>
        <w:t xml:space="preserve"> Declaratory Order </w:t>
      </w:r>
      <w:r w:rsidR="002F09F0" w:rsidRPr="00604A41">
        <w:rPr>
          <w:sz w:val="24"/>
        </w:rPr>
        <w:t xml:space="preserve">(“Petition”) </w:t>
      </w:r>
      <w:r w:rsidR="00FB4DB4" w:rsidRPr="00604A41">
        <w:rPr>
          <w:sz w:val="24"/>
        </w:rPr>
        <w:t>on its commitment to accelerate conservation performance as a condition related to its decoupling mechanism.</w:t>
      </w:r>
      <w:r w:rsidR="00ED6429">
        <w:rPr>
          <w:rStyle w:val="FootnoteReference"/>
          <w:sz w:val="24"/>
        </w:rPr>
        <w:footnoteReference w:id="1"/>
      </w:r>
      <w:r w:rsidR="00604E1D" w:rsidRPr="00604A41">
        <w:rPr>
          <w:sz w:val="24"/>
        </w:rPr>
        <w:t xml:space="preserve">  By notice dated July 1, 2014, the Washington Utilities and Transportation Commission (“Commission”)</w:t>
      </w:r>
      <w:r w:rsidR="00582165" w:rsidRPr="00604A41">
        <w:rPr>
          <w:sz w:val="24"/>
        </w:rPr>
        <w:t xml:space="preserve"> invited interested persons to submit a statement of fact and law on the issues raised by the PSE’s Petition.</w:t>
      </w:r>
      <w:r w:rsidR="00E506BE" w:rsidRPr="00604A41">
        <w:rPr>
          <w:sz w:val="24"/>
        </w:rPr>
        <w:t xml:space="preserve"> Commission Staff submits this r</w:t>
      </w:r>
      <w:r w:rsidR="00582165" w:rsidRPr="00604A41">
        <w:rPr>
          <w:sz w:val="24"/>
        </w:rPr>
        <w:t xml:space="preserve">esponse in accordance with that invitation. </w:t>
      </w:r>
    </w:p>
    <w:p w14:paraId="08C5E3E8" w14:textId="77777777" w:rsidR="00AC694F" w:rsidRPr="00AC694F" w:rsidRDefault="00AC694F" w:rsidP="00AC694F">
      <w:pPr>
        <w:spacing w:line="480" w:lineRule="auto"/>
        <w:jc w:val="center"/>
        <w:rPr>
          <w:sz w:val="24"/>
        </w:rPr>
      </w:pPr>
      <w:r>
        <w:rPr>
          <w:b/>
          <w:sz w:val="24"/>
        </w:rPr>
        <w:t>I</w:t>
      </w:r>
      <w:r w:rsidRPr="00AC694F">
        <w:rPr>
          <w:b/>
          <w:sz w:val="24"/>
        </w:rPr>
        <w:t>I.</w:t>
      </w:r>
      <w:r w:rsidRPr="00AC694F">
        <w:rPr>
          <w:b/>
          <w:sz w:val="24"/>
        </w:rPr>
        <w:tab/>
      </w:r>
      <w:r>
        <w:rPr>
          <w:b/>
          <w:sz w:val="24"/>
        </w:rPr>
        <w:t>SUMMARY OF ISSUES PRESENTED</w:t>
      </w:r>
    </w:p>
    <w:p w14:paraId="6183C913" w14:textId="33CA2C11" w:rsidR="00604E1D" w:rsidRPr="00604A41" w:rsidRDefault="00604A41" w:rsidP="00604A41">
      <w:pPr>
        <w:pStyle w:val="ListParagraph"/>
        <w:numPr>
          <w:ilvl w:val="0"/>
          <w:numId w:val="3"/>
        </w:numPr>
        <w:spacing w:line="480" w:lineRule="auto"/>
        <w:rPr>
          <w:sz w:val="24"/>
        </w:rPr>
      </w:pPr>
      <w:r>
        <w:rPr>
          <w:sz w:val="24"/>
        </w:rPr>
        <w:tab/>
      </w:r>
      <w:r w:rsidR="00ED6429" w:rsidRPr="00604A41">
        <w:rPr>
          <w:sz w:val="24"/>
        </w:rPr>
        <w:t xml:space="preserve">PSE </w:t>
      </w:r>
      <w:r w:rsidR="00A64C37" w:rsidRPr="00604A41">
        <w:rPr>
          <w:sz w:val="24"/>
        </w:rPr>
        <w:t xml:space="preserve">seeks </w:t>
      </w:r>
      <w:r w:rsidR="00B15EB4" w:rsidRPr="00604A41">
        <w:rPr>
          <w:sz w:val="24"/>
        </w:rPr>
        <w:t xml:space="preserve">a Commission order finding that its commitment to increase electric conservation to a level representing 105 percent of its biennial target (referred to hereafter as its “conservation commitment”) does not apply to the </w:t>
      </w:r>
      <w:r w:rsidR="007072FB" w:rsidRPr="00604A41">
        <w:rPr>
          <w:sz w:val="24"/>
        </w:rPr>
        <w:t xml:space="preserve">entire </w:t>
      </w:r>
      <w:r w:rsidR="00B15EB4" w:rsidRPr="00604A41">
        <w:rPr>
          <w:sz w:val="24"/>
        </w:rPr>
        <w:t xml:space="preserve">2012-13 </w:t>
      </w:r>
      <w:r w:rsidR="00F75C68" w:rsidRPr="00604A41">
        <w:rPr>
          <w:sz w:val="24"/>
        </w:rPr>
        <w:t>Biennium</w:t>
      </w:r>
      <w:r w:rsidR="00854CEE" w:rsidRPr="00604A41">
        <w:rPr>
          <w:sz w:val="24"/>
        </w:rPr>
        <w:t xml:space="preserve">. </w:t>
      </w:r>
      <w:r w:rsidR="00CB7F30" w:rsidRPr="00604A41">
        <w:rPr>
          <w:sz w:val="24"/>
        </w:rPr>
        <w:t xml:space="preserve">Specifically, PSE </w:t>
      </w:r>
      <w:r w:rsidR="003E7B02" w:rsidRPr="00604A41">
        <w:rPr>
          <w:sz w:val="24"/>
        </w:rPr>
        <w:t xml:space="preserve">asks the </w:t>
      </w:r>
      <w:r w:rsidR="00360AA6" w:rsidRPr="00604A41">
        <w:rPr>
          <w:sz w:val="24"/>
        </w:rPr>
        <w:t>Commission to find that</w:t>
      </w:r>
      <w:r w:rsidR="003E7B02" w:rsidRPr="00604A41">
        <w:rPr>
          <w:sz w:val="24"/>
        </w:rPr>
        <w:t xml:space="preserve"> </w:t>
      </w:r>
      <w:r w:rsidR="00795B92" w:rsidRPr="00604A41">
        <w:rPr>
          <w:sz w:val="24"/>
        </w:rPr>
        <w:t xml:space="preserve">its </w:t>
      </w:r>
      <w:r w:rsidR="00795B92" w:rsidRPr="00604A41">
        <w:rPr>
          <w:i/>
          <w:sz w:val="24"/>
        </w:rPr>
        <w:t>Decoupling Order</w:t>
      </w:r>
      <w:r w:rsidR="00795B92" w:rsidRPr="00604A41">
        <w:rPr>
          <w:sz w:val="24"/>
        </w:rPr>
        <w:t xml:space="preserve"> </w:t>
      </w:r>
      <w:r w:rsidR="00DA4F90" w:rsidRPr="00604A41">
        <w:rPr>
          <w:sz w:val="24"/>
        </w:rPr>
        <w:t>did</w:t>
      </w:r>
      <w:r w:rsidR="00795B92" w:rsidRPr="00604A41">
        <w:rPr>
          <w:sz w:val="24"/>
        </w:rPr>
        <w:t xml:space="preserve"> not obligate PSE</w:t>
      </w:r>
      <w:r w:rsidR="00685407" w:rsidRPr="00604A41">
        <w:rPr>
          <w:sz w:val="24"/>
        </w:rPr>
        <w:t xml:space="preserve"> </w:t>
      </w:r>
      <w:r w:rsidR="00CB7F30" w:rsidRPr="00604A41">
        <w:rPr>
          <w:sz w:val="24"/>
        </w:rPr>
        <w:t xml:space="preserve">to meet its </w:t>
      </w:r>
      <w:r w:rsidR="00A44381" w:rsidRPr="00604A41">
        <w:rPr>
          <w:sz w:val="24"/>
        </w:rPr>
        <w:t xml:space="preserve">conservation commitment </w:t>
      </w:r>
      <w:r w:rsidR="00CB7F30" w:rsidRPr="00604A41">
        <w:rPr>
          <w:sz w:val="24"/>
        </w:rPr>
        <w:t xml:space="preserve">until </w:t>
      </w:r>
      <w:r w:rsidR="00084EB8" w:rsidRPr="00604A41">
        <w:rPr>
          <w:sz w:val="24"/>
        </w:rPr>
        <w:t xml:space="preserve">the </w:t>
      </w:r>
      <w:r w:rsidR="00CB7F30" w:rsidRPr="00604A41">
        <w:rPr>
          <w:sz w:val="24"/>
        </w:rPr>
        <w:t xml:space="preserve">decoupling program </w:t>
      </w:r>
      <w:r w:rsidR="00084EB8" w:rsidRPr="00604A41">
        <w:rPr>
          <w:sz w:val="24"/>
        </w:rPr>
        <w:t xml:space="preserve">began </w:t>
      </w:r>
      <w:r w:rsidR="00CB7F30" w:rsidRPr="00604A41">
        <w:rPr>
          <w:sz w:val="24"/>
        </w:rPr>
        <w:t xml:space="preserve">in July 2013. </w:t>
      </w:r>
      <w:r w:rsidR="003E7B02" w:rsidRPr="00604A41">
        <w:rPr>
          <w:sz w:val="24"/>
        </w:rPr>
        <w:t xml:space="preserve"> </w:t>
      </w:r>
      <w:r w:rsidR="003E7B02" w:rsidRPr="00604A41">
        <w:rPr>
          <w:sz w:val="24"/>
        </w:rPr>
        <w:lastRenderedPageBreak/>
        <w:t xml:space="preserve">Consistent with this relief, it then seeks to prorate the conservation commitment over the </w:t>
      </w:r>
      <w:r w:rsidR="00604E1D" w:rsidRPr="00604A41">
        <w:rPr>
          <w:sz w:val="24"/>
        </w:rPr>
        <w:t xml:space="preserve">months in the </w:t>
      </w:r>
      <w:r w:rsidR="003E7B02" w:rsidRPr="00604A41">
        <w:rPr>
          <w:sz w:val="24"/>
        </w:rPr>
        <w:t xml:space="preserve">biennial period </w:t>
      </w:r>
      <w:r w:rsidR="00604E1D" w:rsidRPr="00604A41">
        <w:rPr>
          <w:sz w:val="24"/>
        </w:rPr>
        <w:t>in wh</w:t>
      </w:r>
      <w:r w:rsidR="003E7B02" w:rsidRPr="00604A41">
        <w:rPr>
          <w:sz w:val="24"/>
        </w:rPr>
        <w:t xml:space="preserve">ich the decoupling program </w:t>
      </w:r>
      <w:r w:rsidR="00604E1D" w:rsidRPr="00604A41">
        <w:rPr>
          <w:sz w:val="24"/>
        </w:rPr>
        <w:t xml:space="preserve">has been </w:t>
      </w:r>
      <w:r w:rsidR="003E7B02" w:rsidRPr="00604A41">
        <w:rPr>
          <w:sz w:val="24"/>
        </w:rPr>
        <w:t>in effect</w:t>
      </w:r>
      <w:r w:rsidR="00604E1D" w:rsidRPr="00604A41">
        <w:rPr>
          <w:sz w:val="24"/>
        </w:rPr>
        <w:t xml:space="preserve"> (“decoupling period”)</w:t>
      </w:r>
      <w:r w:rsidR="003E7B02" w:rsidRPr="00604A41">
        <w:rPr>
          <w:sz w:val="24"/>
        </w:rPr>
        <w:t xml:space="preserve">. </w:t>
      </w:r>
      <w:r w:rsidR="00604E1D" w:rsidRPr="00604A41">
        <w:rPr>
          <w:sz w:val="24"/>
        </w:rPr>
        <w:t xml:space="preserve"> </w:t>
      </w:r>
      <w:r w:rsidR="003E7B02" w:rsidRPr="00604A41">
        <w:rPr>
          <w:sz w:val="24"/>
        </w:rPr>
        <w:t>Finally, it seeks judgment on the ultimate question – whether its performance during the decoupling period</w:t>
      </w:r>
      <w:r w:rsidR="00604E1D" w:rsidRPr="00604A41">
        <w:rPr>
          <w:sz w:val="24"/>
        </w:rPr>
        <w:t xml:space="preserve"> satisfies its conservation commitment.</w:t>
      </w:r>
      <w:r w:rsidR="00925D7D" w:rsidRPr="00604A41">
        <w:rPr>
          <w:rStyle w:val="FootnoteReference"/>
          <w:sz w:val="24"/>
        </w:rPr>
        <w:t xml:space="preserve"> </w:t>
      </w:r>
      <w:r w:rsidR="00925D7D">
        <w:rPr>
          <w:rStyle w:val="FootnoteReference"/>
          <w:sz w:val="24"/>
        </w:rPr>
        <w:footnoteReference w:id="2"/>
      </w:r>
      <w:r w:rsidR="00925D7D" w:rsidRPr="00604A41">
        <w:rPr>
          <w:sz w:val="24"/>
        </w:rPr>
        <w:t xml:space="preserve"> </w:t>
      </w:r>
      <w:r w:rsidR="00604E1D" w:rsidRPr="00604A41">
        <w:rPr>
          <w:sz w:val="24"/>
        </w:rPr>
        <w:t xml:space="preserve"> </w:t>
      </w:r>
    </w:p>
    <w:p w14:paraId="1BCCD028" w14:textId="77777777" w:rsidR="00AC694F" w:rsidRDefault="002F09F0" w:rsidP="002F09F0">
      <w:pPr>
        <w:spacing w:line="480" w:lineRule="auto"/>
        <w:jc w:val="center"/>
        <w:rPr>
          <w:b/>
          <w:sz w:val="24"/>
        </w:rPr>
      </w:pPr>
      <w:r w:rsidRPr="002F09F0">
        <w:rPr>
          <w:b/>
          <w:sz w:val="24"/>
        </w:rPr>
        <w:t>III.</w:t>
      </w:r>
      <w:r w:rsidR="003F7367">
        <w:rPr>
          <w:b/>
          <w:sz w:val="24"/>
        </w:rPr>
        <w:tab/>
      </w:r>
      <w:r w:rsidRPr="002F09F0">
        <w:rPr>
          <w:b/>
          <w:sz w:val="24"/>
        </w:rPr>
        <w:t>LEGAL ISSUES</w:t>
      </w:r>
    </w:p>
    <w:p w14:paraId="7399F641" w14:textId="3CA3E215" w:rsidR="005452BD" w:rsidRPr="00604A41" w:rsidRDefault="00604A41" w:rsidP="00604A41">
      <w:pPr>
        <w:pStyle w:val="ListParagraph"/>
        <w:numPr>
          <w:ilvl w:val="0"/>
          <w:numId w:val="3"/>
        </w:numPr>
        <w:spacing w:line="480" w:lineRule="auto"/>
        <w:rPr>
          <w:sz w:val="24"/>
        </w:rPr>
      </w:pPr>
      <w:r>
        <w:tab/>
      </w:r>
      <w:r w:rsidR="003F7367" w:rsidRPr="00604A41">
        <w:rPr>
          <w:sz w:val="24"/>
        </w:rPr>
        <w:t>The Company’s Petition is filed under RCW 34.05.240.</w:t>
      </w:r>
      <w:r w:rsidR="00FE7F5D">
        <w:rPr>
          <w:rStyle w:val="FootnoteReference"/>
          <w:sz w:val="24"/>
        </w:rPr>
        <w:footnoteReference w:id="3"/>
      </w:r>
      <w:r w:rsidR="003F7367" w:rsidRPr="00604A41">
        <w:rPr>
          <w:sz w:val="24"/>
        </w:rPr>
        <w:t xml:space="preserve">  The primary legal issue, therefore, is whether the</w:t>
      </w:r>
      <w:r w:rsidR="003F7367" w:rsidRPr="00604A41">
        <w:rPr>
          <w:b/>
          <w:sz w:val="24"/>
        </w:rPr>
        <w:t xml:space="preserve"> </w:t>
      </w:r>
      <w:r w:rsidR="003F7367" w:rsidRPr="00604A41">
        <w:rPr>
          <w:sz w:val="24"/>
        </w:rPr>
        <w:t xml:space="preserve">Petition meets the requirements of the statute, allowing the Commission to enter a declaratory order.  Staff concludes that the Petition meets the statutory requirements with regard to those issues directly pertaining to the Commission’s interpretation of its </w:t>
      </w:r>
      <w:r w:rsidR="00084EB8" w:rsidRPr="00604A41">
        <w:rPr>
          <w:i/>
          <w:sz w:val="24"/>
        </w:rPr>
        <w:t>Decoupling Order</w:t>
      </w:r>
      <w:r w:rsidR="003F7367" w:rsidRPr="00604A41">
        <w:rPr>
          <w:sz w:val="24"/>
        </w:rPr>
        <w:t xml:space="preserve">. </w:t>
      </w:r>
      <w:r w:rsidR="006762A1" w:rsidRPr="00604A41">
        <w:rPr>
          <w:sz w:val="24"/>
        </w:rPr>
        <w:t xml:space="preserve"> </w:t>
      </w:r>
      <w:r w:rsidR="00795B92" w:rsidRPr="00604A41">
        <w:rPr>
          <w:sz w:val="24"/>
        </w:rPr>
        <w:t xml:space="preserve">However, PSE’s request for a finding of compliance with the </w:t>
      </w:r>
      <w:r w:rsidR="00084EB8" w:rsidRPr="00604A41">
        <w:rPr>
          <w:i/>
          <w:sz w:val="24"/>
        </w:rPr>
        <w:t>Decoupling Order</w:t>
      </w:r>
      <w:r w:rsidR="00795B92" w:rsidRPr="00604A41">
        <w:rPr>
          <w:sz w:val="24"/>
        </w:rPr>
        <w:t xml:space="preserve"> should </w:t>
      </w:r>
      <w:r w:rsidR="008175E4" w:rsidRPr="00604A41">
        <w:rPr>
          <w:sz w:val="24"/>
        </w:rPr>
        <w:t xml:space="preserve">be decided in </w:t>
      </w:r>
      <w:r w:rsidR="00166EE5" w:rsidRPr="00604A41">
        <w:rPr>
          <w:sz w:val="24"/>
        </w:rPr>
        <w:t>PSE’s</w:t>
      </w:r>
      <w:r w:rsidR="00401556" w:rsidRPr="00604A41">
        <w:rPr>
          <w:sz w:val="24"/>
        </w:rPr>
        <w:t xml:space="preserve"> existing </w:t>
      </w:r>
      <w:r w:rsidR="00084EB8" w:rsidRPr="00604A41">
        <w:rPr>
          <w:sz w:val="24"/>
        </w:rPr>
        <w:t>conservation docket</w:t>
      </w:r>
      <w:r w:rsidR="00166EE5">
        <w:rPr>
          <w:rStyle w:val="FootnoteReference"/>
          <w:sz w:val="24"/>
        </w:rPr>
        <w:footnoteReference w:id="4"/>
      </w:r>
      <w:r w:rsidR="00084EB8" w:rsidRPr="00604A41">
        <w:rPr>
          <w:sz w:val="24"/>
        </w:rPr>
        <w:t>, if</w:t>
      </w:r>
      <w:r w:rsidR="00DA4F90" w:rsidRPr="00604A41">
        <w:rPr>
          <w:sz w:val="24"/>
        </w:rPr>
        <w:t xml:space="preserve"> such a proceeding is necessary</w:t>
      </w:r>
      <w:r w:rsidR="00084EB8" w:rsidRPr="00604A41">
        <w:rPr>
          <w:sz w:val="24"/>
        </w:rPr>
        <w:t>.</w:t>
      </w:r>
      <w:r w:rsidR="008175E4">
        <w:rPr>
          <w:rStyle w:val="FootnoteReference"/>
          <w:sz w:val="24"/>
        </w:rPr>
        <w:footnoteReference w:id="5"/>
      </w:r>
      <w:r w:rsidR="008175E4" w:rsidRPr="00604A41">
        <w:rPr>
          <w:sz w:val="24"/>
        </w:rPr>
        <w:t xml:space="preserve">  </w:t>
      </w:r>
    </w:p>
    <w:p w14:paraId="48DACB3F" w14:textId="0AAC8769" w:rsidR="00DF7810" w:rsidRPr="00604A41" w:rsidRDefault="00604A41" w:rsidP="00604A41">
      <w:pPr>
        <w:pStyle w:val="ListParagraph"/>
        <w:numPr>
          <w:ilvl w:val="0"/>
          <w:numId w:val="3"/>
        </w:numPr>
        <w:spacing w:line="480" w:lineRule="auto"/>
        <w:rPr>
          <w:sz w:val="24"/>
        </w:rPr>
      </w:pPr>
      <w:r>
        <w:rPr>
          <w:sz w:val="24"/>
        </w:rPr>
        <w:tab/>
      </w:r>
      <w:r w:rsidR="005452BD" w:rsidRPr="00604A41">
        <w:rPr>
          <w:sz w:val="24"/>
        </w:rPr>
        <w:t xml:space="preserve">The pivotal </w:t>
      </w:r>
      <w:r w:rsidR="006762A1" w:rsidRPr="00604A41">
        <w:rPr>
          <w:sz w:val="24"/>
        </w:rPr>
        <w:t xml:space="preserve">issue </w:t>
      </w:r>
      <w:r w:rsidR="005452BD" w:rsidRPr="00604A41">
        <w:rPr>
          <w:sz w:val="24"/>
        </w:rPr>
        <w:t>presented in</w:t>
      </w:r>
      <w:r w:rsidR="00401556" w:rsidRPr="00604A41">
        <w:rPr>
          <w:sz w:val="24"/>
        </w:rPr>
        <w:t xml:space="preserve"> the</w:t>
      </w:r>
      <w:r w:rsidR="005452BD" w:rsidRPr="00604A41">
        <w:rPr>
          <w:sz w:val="24"/>
        </w:rPr>
        <w:t xml:space="preserve"> PSE Petition is whether the </w:t>
      </w:r>
      <w:r w:rsidR="00084EB8" w:rsidRPr="00604A41">
        <w:rPr>
          <w:i/>
          <w:sz w:val="24"/>
        </w:rPr>
        <w:t>Decoupling Order</w:t>
      </w:r>
      <w:r w:rsidR="0096772E" w:rsidRPr="00604A41">
        <w:rPr>
          <w:sz w:val="24"/>
        </w:rPr>
        <w:t xml:space="preserve"> </w:t>
      </w:r>
      <w:r w:rsidR="006762A1" w:rsidRPr="00604A41">
        <w:rPr>
          <w:sz w:val="24"/>
        </w:rPr>
        <w:t>intend</w:t>
      </w:r>
      <w:r w:rsidR="005452BD" w:rsidRPr="00604A41">
        <w:rPr>
          <w:sz w:val="24"/>
        </w:rPr>
        <w:t>ed</w:t>
      </w:r>
      <w:r w:rsidR="006762A1" w:rsidRPr="00604A41">
        <w:rPr>
          <w:sz w:val="24"/>
        </w:rPr>
        <w:t xml:space="preserve"> to apply PSE’s conservation performance obligation </w:t>
      </w:r>
      <w:r w:rsidR="00BA3E8A" w:rsidRPr="00604A41">
        <w:rPr>
          <w:sz w:val="24"/>
        </w:rPr>
        <w:t>to</w:t>
      </w:r>
      <w:r w:rsidR="006762A1" w:rsidRPr="00604A41">
        <w:rPr>
          <w:sz w:val="24"/>
        </w:rPr>
        <w:t xml:space="preserve"> the entire 2012-13 biennial period or only upon the decoupling period</w:t>
      </w:r>
      <w:r w:rsidR="0096772E" w:rsidRPr="00604A41">
        <w:rPr>
          <w:sz w:val="24"/>
        </w:rPr>
        <w:t xml:space="preserve">. </w:t>
      </w:r>
      <w:r w:rsidR="00DF7810" w:rsidRPr="00604A41">
        <w:rPr>
          <w:sz w:val="24"/>
        </w:rPr>
        <w:t xml:space="preserve"> </w:t>
      </w:r>
      <w:r w:rsidR="002E2915" w:rsidRPr="00604A41">
        <w:rPr>
          <w:sz w:val="24"/>
        </w:rPr>
        <w:t xml:space="preserve">Staff </w:t>
      </w:r>
      <w:r w:rsidR="001B5790" w:rsidRPr="00604A41">
        <w:rPr>
          <w:sz w:val="24"/>
        </w:rPr>
        <w:t xml:space="preserve">sees no </w:t>
      </w:r>
      <w:r w:rsidR="0081106A" w:rsidRPr="00604A41">
        <w:rPr>
          <w:sz w:val="24"/>
        </w:rPr>
        <w:t xml:space="preserve">legal </w:t>
      </w:r>
      <w:r w:rsidR="001B5790" w:rsidRPr="00604A41">
        <w:rPr>
          <w:sz w:val="24"/>
        </w:rPr>
        <w:t xml:space="preserve">issue with </w:t>
      </w:r>
      <w:r w:rsidR="0081106A" w:rsidRPr="00604A41">
        <w:rPr>
          <w:sz w:val="24"/>
        </w:rPr>
        <w:t xml:space="preserve">the Commission </w:t>
      </w:r>
      <w:r w:rsidR="001B5790" w:rsidRPr="00604A41">
        <w:rPr>
          <w:sz w:val="24"/>
        </w:rPr>
        <w:t>resolving th</w:t>
      </w:r>
      <w:r w:rsidR="00087A0D" w:rsidRPr="00604A41">
        <w:rPr>
          <w:sz w:val="24"/>
        </w:rPr>
        <w:t xml:space="preserve">e </w:t>
      </w:r>
      <w:r w:rsidR="0072233C" w:rsidRPr="00604A41">
        <w:rPr>
          <w:sz w:val="24"/>
        </w:rPr>
        <w:t xml:space="preserve">intent </w:t>
      </w:r>
      <w:r w:rsidR="002E2915" w:rsidRPr="00604A41">
        <w:rPr>
          <w:sz w:val="24"/>
        </w:rPr>
        <w:t xml:space="preserve">question in this proceeding. </w:t>
      </w:r>
      <w:r w:rsidR="00E2798B" w:rsidRPr="00604A41">
        <w:rPr>
          <w:sz w:val="24"/>
        </w:rPr>
        <w:t xml:space="preserve">That said, </w:t>
      </w:r>
      <w:r w:rsidR="00723D91" w:rsidRPr="00604A41">
        <w:rPr>
          <w:sz w:val="24"/>
        </w:rPr>
        <w:t xml:space="preserve">Staff disagrees with PSE’s interpretation of the </w:t>
      </w:r>
      <w:r w:rsidR="00723D91" w:rsidRPr="00604A41">
        <w:rPr>
          <w:i/>
          <w:sz w:val="24"/>
        </w:rPr>
        <w:t>Decoupling Order</w:t>
      </w:r>
      <w:r w:rsidR="00723D91" w:rsidRPr="00604A41">
        <w:rPr>
          <w:sz w:val="24"/>
        </w:rPr>
        <w:t xml:space="preserve">, and its reasons are set forth herein. </w:t>
      </w:r>
      <w:r w:rsidR="006B31C1" w:rsidRPr="00604A41">
        <w:rPr>
          <w:sz w:val="24"/>
        </w:rPr>
        <w:t xml:space="preserve"> </w:t>
      </w:r>
      <w:r w:rsidR="001B5790" w:rsidRPr="00604A41">
        <w:rPr>
          <w:sz w:val="24"/>
        </w:rPr>
        <w:t xml:space="preserve"> </w:t>
      </w:r>
      <w:r w:rsidR="00723D91" w:rsidRPr="00604A41">
        <w:rPr>
          <w:sz w:val="24"/>
        </w:rPr>
        <w:t xml:space="preserve"> </w:t>
      </w:r>
    </w:p>
    <w:p w14:paraId="6F7ED1EA" w14:textId="0039DD28" w:rsidR="001F4CE4" w:rsidRDefault="00604A41" w:rsidP="00445CED">
      <w:pPr>
        <w:widowControl/>
        <w:spacing w:line="480" w:lineRule="auto"/>
        <w:rPr>
          <w:sz w:val="24"/>
        </w:rPr>
      </w:pPr>
      <w:r>
        <w:rPr>
          <w:sz w:val="24"/>
        </w:rPr>
        <w:lastRenderedPageBreak/>
        <w:tab/>
      </w:r>
      <w:r w:rsidR="00A6719C">
        <w:rPr>
          <w:sz w:val="24"/>
        </w:rPr>
        <w:t>If t</w:t>
      </w:r>
      <w:r w:rsidR="00636757">
        <w:rPr>
          <w:sz w:val="24"/>
        </w:rPr>
        <w:t>he Commission agree</w:t>
      </w:r>
      <w:r w:rsidR="00A6719C">
        <w:rPr>
          <w:sz w:val="24"/>
        </w:rPr>
        <w:t>s</w:t>
      </w:r>
      <w:r w:rsidR="00636757">
        <w:rPr>
          <w:sz w:val="24"/>
        </w:rPr>
        <w:t xml:space="preserve"> with Staff’s interpretation of the </w:t>
      </w:r>
      <w:r w:rsidR="00636757" w:rsidRPr="00334C06">
        <w:rPr>
          <w:i/>
          <w:sz w:val="24"/>
        </w:rPr>
        <w:t>Decoupling Order</w:t>
      </w:r>
      <w:r w:rsidR="00636757">
        <w:rPr>
          <w:sz w:val="24"/>
        </w:rPr>
        <w:t xml:space="preserve">, it would have no need to address </w:t>
      </w:r>
      <w:r w:rsidR="00132ABD">
        <w:rPr>
          <w:sz w:val="24"/>
        </w:rPr>
        <w:t xml:space="preserve">PSE’s second issue - whether it can pro rate program results in the </w:t>
      </w:r>
      <w:r w:rsidR="008E162D">
        <w:rPr>
          <w:sz w:val="24"/>
        </w:rPr>
        <w:t>2012-</w:t>
      </w:r>
      <w:r w:rsidR="00132ABD">
        <w:rPr>
          <w:sz w:val="24"/>
        </w:rPr>
        <w:t xml:space="preserve">13 biennium. </w:t>
      </w:r>
      <w:r w:rsidR="005755D7">
        <w:rPr>
          <w:sz w:val="24"/>
        </w:rPr>
        <w:t xml:space="preserve"> </w:t>
      </w:r>
      <w:r w:rsidR="00132ABD">
        <w:rPr>
          <w:sz w:val="24"/>
        </w:rPr>
        <w:t xml:space="preserve">On the other hand, if the Commission finds that PSE’s interpretation of the </w:t>
      </w:r>
      <w:r w:rsidR="00132ABD" w:rsidRPr="0010242C">
        <w:rPr>
          <w:i/>
          <w:sz w:val="24"/>
        </w:rPr>
        <w:t>Decoupling Order</w:t>
      </w:r>
      <w:r w:rsidR="00132ABD">
        <w:rPr>
          <w:sz w:val="24"/>
        </w:rPr>
        <w:t xml:space="preserve"> is reasonable, then Staff believes the Company’s </w:t>
      </w:r>
      <w:r w:rsidR="00132ABD" w:rsidRPr="00084EB8">
        <w:rPr>
          <w:i/>
          <w:sz w:val="24"/>
        </w:rPr>
        <w:t>actual</w:t>
      </w:r>
      <w:r w:rsidR="00132ABD">
        <w:rPr>
          <w:sz w:val="24"/>
        </w:rPr>
        <w:t xml:space="preserve"> performance for the decoupling period should be evaluated.</w:t>
      </w:r>
      <w:r w:rsidR="00132ABD">
        <w:rPr>
          <w:rStyle w:val="FootnoteReference"/>
          <w:sz w:val="24"/>
        </w:rPr>
        <w:footnoteReference w:id="6"/>
      </w:r>
      <w:r w:rsidR="00132ABD">
        <w:rPr>
          <w:sz w:val="24"/>
        </w:rPr>
        <w:t xml:space="preserve">  But, </w:t>
      </w:r>
      <w:r w:rsidR="00E63F0A">
        <w:rPr>
          <w:sz w:val="24"/>
        </w:rPr>
        <w:t xml:space="preserve">this evaluation </w:t>
      </w:r>
      <w:r w:rsidR="00132ABD">
        <w:rPr>
          <w:sz w:val="24"/>
        </w:rPr>
        <w:t xml:space="preserve">should not be </w:t>
      </w:r>
      <w:r w:rsidR="00E63F0A">
        <w:rPr>
          <w:sz w:val="24"/>
        </w:rPr>
        <w:t xml:space="preserve">conducted </w:t>
      </w:r>
      <w:r w:rsidR="00132ABD">
        <w:rPr>
          <w:sz w:val="24"/>
        </w:rPr>
        <w:t>in this proceeding. The proper place for such an evaluation would be Docket UE- 111881, which contains the existing record of PSE’s conservation port</w:t>
      </w:r>
      <w:r w:rsidR="008E162D">
        <w:rPr>
          <w:sz w:val="24"/>
        </w:rPr>
        <w:t xml:space="preserve">folio </w:t>
      </w:r>
      <w:r w:rsidR="00A6719C">
        <w:rPr>
          <w:sz w:val="24"/>
        </w:rPr>
        <w:t xml:space="preserve">performance </w:t>
      </w:r>
      <w:r w:rsidR="008E162D">
        <w:rPr>
          <w:sz w:val="24"/>
        </w:rPr>
        <w:t>over the 2012-</w:t>
      </w:r>
      <w:r w:rsidR="00C2313C">
        <w:rPr>
          <w:sz w:val="24"/>
        </w:rPr>
        <w:t>13 biennium.</w:t>
      </w:r>
    </w:p>
    <w:p w14:paraId="37CDB0EB" w14:textId="5625686A" w:rsidR="000E3F51" w:rsidRPr="00604A41" w:rsidRDefault="00604A41" w:rsidP="00604A41">
      <w:pPr>
        <w:pStyle w:val="ListParagraph"/>
        <w:numPr>
          <w:ilvl w:val="0"/>
          <w:numId w:val="3"/>
        </w:numPr>
        <w:spacing w:line="480" w:lineRule="auto"/>
        <w:rPr>
          <w:sz w:val="24"/>
        </w:rPr>
      </w:pPr>
      <w:r>
        <w:rPr>
          <w:sz w:val="24"/>
        </w:rPr>
        <w:tab/>
      </w:r>
      <w:r w:rsidR="00603CEC" w:rsidRPr="00604A41">
        <w:rPr>
          <w:sz w:val="24"/>
        </w:rPr>
        <w:t>Finally</w:t>
      </w:r>
      <w:r w:rsidR="00A6719C" w:rsidRPr="00604A41">
        <w:rPr>
          <w:sz w:val="24"/>
        </w:rPr>
        <w:t>, the</w:t>
      </w:r>
      <w:r w:rsidR="0096772E" w:rsidRPr="00604A41">
        <w:rPr>
          <w:sz w:val="24"/>
        </w:rPr>
        <w:t xml:space="preserve"> ultimate question as to whether PSE satisfied its conservation commitment during the decoupling period cannot be resolved with the record herein this docket</w:t>
      </w:r>
      <w:r w:rsidR="00B75A93" w:rsidRPr="00604A41">
        <w:rPr>
          <w:sz w:val="24"/>
        </w:rPr>
        <w:t xml:space="preserve">. </w:t>
      </w:r>
      <w:r w:rsidR="00C86C80" w:rsidRPr="00604A41">
        <w:rPr>
          <w:sz w:val="24"/>
        </w:rPr>
        <w:t xml:space="preserve">As noted above, the facts </w:t>
      </w:r>
      <w:r w:rsidR="00ED5B25" w:rsidRPr="00604A41">
        <w:rPr>
          <w:sz w:val="24"/>
        </w:rPr>
        <w:t>that c</w:t>
      </w:r>
      <w:r w:rsidR="00C86C80" w:rsidRPr="00604A41">
        <w:rPr>
          <w:sz w:val="24"/>
        </w:rPr>
        <w:t xml:space="preserve">ould support PSE’s assertion of compliance are not in this record.  </w:t>
      </w:r>
      <w:r w:rsidR="00ED5B25" w:rsidRPr="00604A41">
        <w:rPr>
          <w:sz w:val="24"/>
        </w:rPr>
        <w:t xml:space="preserve">The Petition does not address this problem. </w:t>
      </w:r>
      <w:r w:rsidR="008E162D" w:rsidRPr="00604A41">
        <w:rPr>
          <w:sz w:val="24"/>
        </w:rPr>
        <w:t xml:space="preserve"> </w:t>
      </w:r>
      <w:r w:rsidR="005872ED" w:rsidRPr="00604A41">
        <w:rPr>
          <w:sz w:val="24"/>
        </w:rPr>
        <w:t>The proper place for a compliance proceeding should be the relevant docket containing evidence sufficient to make such a finding</w:t>
      </w:r>
      <w:r w:rsidR="00C2313C" w:rsidRPr="00604A41">
        <w:rPr>
          <w:sz w:val="24"/>
        </w:rPr>
        <w:t xml:space="preserve">. </w:t>
      </w:r>
    </w:p>
    <w:p w14:paraId="1666E9FC" w14:textId="77777777" w:rsidR="000E3F51" w:rsidRPr="00604A41" w:rsidRDefault="000E3F51" w:rsidP="00DB5F5B">
      <w:pPr>
        <w:spacing w:line="480" w:lineRule="auto"/>
        <w:jc w:val="center"/>
        <w:rPr>
          <w:b/>
          <w:sz w:val="24"/>
        </w:rPr>
      </w:pPr>
      <w:r w:rsidRPr="00604A41">
        <w:rPr>
          <w:b/>
          <w:sz w:val="24"/>
        </w:rPr>
        <w:t>III.</w:t>
      </w:r>
      <w:r w:rsidRPr="00604A41">
        <w:rPr>
          <w:b/>
          <w:sz w:val="24"/>
        </w:rPr>
        <w:tab/>
        <w:t>DISCUSSION</w:t>
      </w:r>
    </w:p>
    <w:p w14:paraId="2C82D3F1" w14:textId="3DB3AC8A" w:rsidR="00DB5F5B" w:rsidRDefault="00DB5F5B" w:rsidP="00604A41">
      <w:pPr>
        <w:pStyle w:val="ListParagraph"/>
        <w:numPr>
          <w:ilvl w:val="0"/>
          <w:numId w:val="2"/>
        </w:numPr>
        <w:ind w:hanging="720"/>
        <w:rPr>
          <w:b/>
          <w:sz w:val="24"/>
        </w:rPr>
      </w:pPr>
      <w:r w:rsidRPr="00716EE2">
        <w:rPr>
          <w:b/>
          <w:sz w:val="24"/>
        </w:rPr>
        <w:t xml:space="preserve">Should PSE’s Conservation </w:t>
      </w:r>
      <w:r w:rsidR="00401556">
        <w:rPr>
          <w:b/>
          <w:sz w:val="24"/>
        </w:rPr>
        <w:t>Commitment</w:t>
      </w:r>
      <w:r w:rsidR="00401556" w:rsidRPr="00716EE2">
        <w:rPr>
          <w:b/>
          <w:sz w:val="24"/>
        </w:rPr>
        <w:t xml:space="preserve"> </w:t>
      </w:r>
      <w:r w:rsidRPr="00716EE2">
        <w:rPr>
          <w:b/>
          <w:sz w:val="24"/>
        </w:rPr>
        <w:t>for the 2012-2013 Be Limited to the Decoupling Period?</w:t>
      </w:r>
    </w:p>
    <w:p w14:paraId="41142A9D" w14:textId="77777777" w:rsidR="00604A41" w:rsidRPr="00604A41" w:rsidRDefault="00604A41" w:rsidP="00604A41">
      <w:pPr>
        <w:rPr>
          <w:b/>
          <w:sz w:val="24"/>
        </w:rPr>
      </w:pPr>
    </w:p>
    <w:p w14:paraId="320999D2" w14:textId="76F41E0C" w:rsidR="00BF7B94" w:rsidRPr="00604A41" w:rsidRDefault="00604A41" w:rsidP="00445CED">
      <w:pPr>
        <w:pStyle w:val="ListParagraph"/>
        <w:widowControl/>
        <w:numPr>
          <w:ilvl w:val="0"/>
          <w:numId w:val="3"/>
        </w:numPr>
        <w:spacing w:line="480" w:lineRule="auto"/>
        <w:rPr>
          <w:sz w:val="24"/>
        </w:rPr>
      </w:pPr>
      <w:r>
        <w:rPr>
          <w:sz w:val="24"/>
        </w:rPr>
        <w:tab/>
      </w:r>
      <w:r w:rsidR="00A6719C" w:rsidRPr="00604A41">
        <w:rPr>
          <w:sz w:val="24"/>
        </w:rPr>
        <w:t xml:space="preserve">Seeking to </w:t>
      </w:r>
      <w:r w:rsidR="00B72B8C" w:rsidRPr="00604A41">
        <w:rPr>
          <w:sz w:val="24"/>
        </w:rPr>
        <w:t xml:space="preserve">avoid </w:t>
      </w:r>
      <w:r w:rsidR="00E52978" w:rsidRPr="00604A41">
        <w:rPr>
          <w:sz w:val="24"/>
        </w:rPr>
        <w:t xml:space="preserve">a penalty, </w:t>
      </w:r>
      <w:r w:rsidR="00A6719C" w:rsidRPr="00604A41">
        <w:rPr>
          <w:sz w:val="24"/>
        </w:rPr>
        <w:t>PSE asks the</w:t>
      </w:r>
      <w:r w:rsidR="00B72B8C" w:rsidRPr="00604A41">
        <w:rPr>
          <w:sz w:val="24"/>
        </w:rPr>
        <w:t xml:space="preserve"> Commission to decide whether </w:t>
      </w:r>
      <w:r w:rsidR="00CA68DB" w:rsidRPr="00604A41">
        <w:rPr>
          <w:sz w:val="24"/>
        </w:rPr>
        <w:t xml:space="preserve">its conservation </w:t>
      </w:r>
      <w:r w:rsidR="00B72B8C" w:rsidRPr="00604A41">
        <w:rPr>
          <w:sz w:val="24"/>
        </w:rPr>
        <w:t>commitment</w:t>
      </w:r>
      <w:r w:rsidR="00CA68DB" w:rsidRPr="00604A41">
        <w:rPr>
          <w:sz w:val="24"/>
        </w:rPr>
        <w:t xml:space="preserve"> appl</w:t>
      </w:r>
      <w:r w:rsidR="00B72B8C" w:rsidRPr="00604A41">
        <w:rPr>
          <w:sz w:val="24"/>
        </w:rPr>
        <w:t>ies</w:t>
      </w:r>
      <w:r w:rsidR="00CA68DB" w:rsidRPr="00604A41">
        <w:rPr>
          <w:sz w:val="24"/>
        </w:rPr>
        <w:t xml:space="preserve"> to the entire 2012-13 biennium</w:t>
      </w:r>
      <w:r w:rsidR="00EC5C0E" w:rsidRPr="00604A41">
        <w:rPr>
          <w:sz w:val="24"/>
        </w:rPr>
        <w:t xml:space="preserve"> or only to the decoupling period</w:t>
      </w:r>
      <w:r w:rsidR="00A6719C" w:rsidRPr="00604A41">
        <w:rPr>
          <w:sz w:val="24"/>
        </w:rPr>
        <w:t>.</w:t>
      </w:r>
      <w:r w:rsidR="00CA68DB" w:rsidRPr="00604A41">
        <w:rPr>
          <w:sz w:val="24"/>
        </w:rPr>
        <w:t xml:space="preserve"> </w:t>
      </w:r>
      <w:r w:rsidR="00A6719C" w:rsidRPr="00604A41">
        <w:rPr>
          <w:sz w:val="24"/>
        </w:rPr>
        <w:t xml:space="preserve">PSE would limit its commitment to the biennium’s final quarter. </w:t>
      </w:r>
      <w:r w:rsidR="00B72B8C" w:rsidRPr="00604A41">
        <w:rPr>
          <w:sz w:val="24"/>
        </w:rPr>
        <w:t xml:space="preserve">Staff believes that it </w:t>
      </w:r>
      <w:r w:rsidR="00B72B8C" w:rsidRPr="00604A41">
        <w:rPr>
          <w:sz w:val="24"/>
        </w:rPr>
        <w:lastRenderedPageBreak/>
        <w:t xml:space="preserve">applies to </w:t>
      </w:r>
      <w:r w:rsidR="00E52978" w:rsidRPr="00604A41">
        <w:rPr>
          <w:sz w:val="24"/>
        </w:rPr>
        <w:t xml:space="preserve">the </w:t>
      </w:r>
      <w:r w:rsidR="00B72B8C" w:rsidRPr="00604A41">
        <w:rPr>
          <w:sz w:val="24"/>
        </w:rPr>
        <w:t xml:space="preserve">entire biennium. </w:t>
      </w:r>
      <w:r w:rsidR="00CD5B34" w:rsidRPr="00604A41">
        <w:rPr>
          <w:sz w:val="24"/>
        </w:rPr>
        <w:t xml:space="preserve">Neither the </w:t>
      </w:r>
      <w:r w:rsidR="00CD5B34" w:rsidRPr="00604A41">
        <w:rPr>
          <w:i/>
          <w:sz w:val="24"/>
        </w:rPr>
        <w:t>Multiparty Settlement</w:t>
      </w:r>
      <w:r w:rsidR="00CD5B34">
        <w:rPr>
          <w:rStyle w:val="FootnoteReference"/>
          <w:sz w:val="24"/>
        </w:rPr>
        <w:footnoteReference w:id="7"/>
      </w:r>
      <w:r w:rsidR="00CD5B34" w:rsidRPr="00604A41">
        <w:rPr>
          <w:sz w:val="24"/>
        </w:rPr>
        <w:t xml:space="preserve"> nor the </w:t>
      </w:r>
      <w:r w:rsidR="00A6719C" w:rsidRPr="00604A41">
        <w:rPr>
          <w:i/>
          <w:sz w:val="24"/>
        </w:rPr>
        <w:t>Decoupling Order</w:t>
      </w:r>
      <w:r w:rsidR="00CA68DB" w:rsidRPr="00604A41">
        <w:rPr>
          <w:sz w:val="24"/>
        </w:rPr>
        <w:t xml:space="preserve"> </w:t>
      </w:r>
      <w:r w:rsidR="00234438" w:rsidRPr="00604A41">
        <w:rPr>
          <w:sz w:val="24"/>
        </w:rPr>
        <w:t xml:space="preserve">provides </w:t>
      </w:r>
      <w:r w:rsidR="0061412C" w:rsidRPr="00604A41">
        <w:rPr>
          <w:sz w:val="24"/>
        </w:rPr>
        <w:t xml:space="preserve">specific </w:t>
      </w:r>
      <w:r w:rsidR="00CD5B34" w:rsidRPr="00604A41">
        <w:rPr>
          <w:sz w:val="24"/>
        </w:rPr>
        <w:t xml:space="preserve">guidance on </w:t>
      </w:r>
      <w:r w:rsidR="00D92A2E" w:rsidRPr="00604A41">
        <w:rPr>
          <w:sz w:val="24"/>
        </w:rPr>
        <w:t xml:space="preserve">PSE’s conservation </w:t>
      </w:r>
      <w:r w:rsidR="00A6719C" w:rsidRPr="00604A41">
        <w:rPr>
          <w:sz w:val="24"/>
        </w:rPr>
        <w:t xml:space="preserve">commitment </w:t>
      </w:r>
      <w:r w:rsidR="00234438" w:rsidRPr="00604A41">
        <w:rPr>
          <w:sz w:val="24"/>
        </w:rPr>
        <w:t>during this initial period</w:t>
      </w:r>
      <w:r w:rsidR="00D92A2E" w:rsidRPr="00604A41">
        <w:rPr>
          <w:sz w:val="24"/>
        </w:rPr>
        <w:t xml:space="preserve">. </w:t>
      </w:r>
    </w:p>
    <w:p w14:paraId="13268210" w14:textId="295BAA7E" w:rsidR="00843B76" w:rsidRPr="00604A41" w:rsidRDefault="00604A41" w:rsidP="00604A41">
      <w:pPr>
        <w:pStyle w:val="ListParagraph"/>
        <w:numPr>
          <w:ilvl w:val="0"/>
          <w:numId w:val="3"/>
        </w:numPr>
        <w:spacing w:line="480" w:lineRule="auto"/>
        <w:rPr>
          <w:sz w:val="24"/>
        </w:rPr>
      </w:pPr>
      <w:r>
        <w:rPr>
          <w:sz w:val="24"/>
        </w:rPr>
        <w:tab/>
      </w:r>
      <w:r w:rsidR="00E563DC" w:rsidRPr="00604A41">
        <w:rPr>
          <w:sz w:val="24"/>
        </w:rPr>
        <w:t xml:space="preserve">PSE </w:t>
      </w:r>
      <w:r w:rsidR="000E3C81" w:rsidRPr="00604A41">
        <w:rPr>
          <w:sz w:val="24"/>
        </w:rPr>
        <w:t>cites</w:t>
      </w:r>
      <w:r w:rsidR="00E563DC" w:rsidRPr="00604A41">
        <w:rPr>
          <w:sz w:val="24"/>
        </w:rPr>
        <w:t xml:space="preserve"> to statements contained in pleadings filed </w:t>
      </w:r>
      <w:r w:rsidR="00CB7F69" w:rsidRPr="00604A41">
        <w:rPr>
          <w:sz w:val="24"/>
        </w:rPr>
        <w:t xml:space="preserve">in </w:t>
      </w:r>
      <w:r w:rsidR="000E3C81" w:rsidRPr="00604A41">
        <w:rPr>
          <w:sz w:val="24"/>
        </w:rPr>
        <w:t>Dockets UE-121697 and UG-121705</w:t>
      </w:r>
      <w:r w:rsidR="000E3C81" w:rsidRPr="00DB5F5B">
        <w:rPr>
          <w:rStyle w:val="FootnoteReference"/>
          <w:sz w:val="24"/>
        </w:rPr>
        <w:footnoteReference w:id="8"/>
      </w:r>
      <w:r w:rsidR="00E563DC" w:rsidRPr="00604A41">
        <w:rPr>
          <w:sz w:val="24"/>
        </w:rPr>
        <w:t>,</w:t>
      </w:r>
      <w:r w:rsidR="000E3C81" w:rsidRPr="00604A41">
        <w:rPr>
          <w:sz w:val="24"/>
        </w:rPr>
        <w:t xml:space="preserve"> </w:t>
      </w:r>
      <w:r w:rsidR="00CB7F69" w:rsidRPr="00604A41">
        <w:rPr>
          <w:sz w:val="24"/>
        </w:rPr>
        <w:t>and the testimony of Mr. Jon Piliaris</w:t>
      </w:r>
      <w:r w:rsidR="00CB7F69">
        <w:rPr>
          <w:rStyle w:val="FootnoteReference"/>
          <w:sz w:val="24"/>
        </w:rPr>
        <w:footnoteReference w:id="9"/>
      </w:r>
      <w:r w:rsidR="00CB7F69" w:rsidRPr="00604A41">
        <w:rPr>
          <w:sz w:val="24"/>
        </w:rPr>
        <w:t xml:space="preserve"> </w:t>
      </w:r>
      <w:r w:rsidR="00A6719C" w:rsidRPr="00604A41">
        <w:rPr>
          <w:sz w:val="24"/>
        </w:rPr>
        <w:t xml:space="preserve">to make the point that PSE’s </w:t>
      </w:r>
      <w:r w:rsidR="00DA4F90" w:rsidRPr="00604A41">
        <w:rPr>
          <w:sz w:val="24"/>
        </w:rPr>
        <w:t xml:space="preserve">conservation </w:t>
      </w:r>
      <w:r w:rsidR="00A6719C" w:rsidRPr="00604A41">
        <w:rPr>
          <w:sz w:val="24"/>
        </w:rPr>
        <w:t xml:space="preserve">commitment </w:t>
      </w:r>
      <w:r w:rsidR="00DA4F90" w:rsidRPr="00604A41">
        <w:rPr>
          <w:sz w:val="24"/>
        </w:rPr>
        <w:t>began</w:t>
      </w:r>
      <w:r w:rsidR="00D92A2E" w:rsidRPr="00604A41">
        <w:rPr>
          <w:sz w:val="24"/>
        </w:rPr>
        <w:t xml:space="preserve"> </w:t>
      </w:r>
      <w:r w:rsidR="00A6719C" w:rsidRPr="00604A41">
        <w:rPr>
          <w:sz w:val="24"/>
        </w:rPr>
        <w:t xml:space="preserve">on </w:t>
      </w:r>
      <w:r w:rsidR="00D92A2E" w:rsidRPr="00604A41">
        <w:rPr>
          <w:sz w:val="24"/>
        </w:rPr>
        <w:t>July 1, 2013</w:t>
      </w:r>
      <w:r w:rsidR="00A6719C" w:rsidRPr="00604A41">
        <w:rPr>
          <w:sz w:val="24"/>
        </w:rPr>
        <w:t xml:space="preserve"> – the </w:t>
      </w:r>
      <w:r w:rsidR="00D92A2E" w:rsidRPr="00604A41">
        <w:rPr>
          <w:sz w:val="24"/>
        </w:rPr>
        <w:t>commencement of its decoupling mechanism.</w:t>
      </w:r>
      <w:r w:rsidR="00AE7D14" w:rsidRPr="00604A41">
        <w:rPr>
          <w:sz w:val="24"/>
        </w:rPr>
        <w:t xml:space="preserve"> </w:t>
      </w:r>
      <w:r w:rsidR="00401556" w:rsidRPr="00604A41">
        <w:rPr>
          <w:sz w:val="24"/>
        </w:rPr>
        <w:t>However</w:t>
      </w:r>
      <w:r w:rsidR="00AE7D14" w:rsidRPr="00604A41">
        <w:rPr>
          <w:sz w:val="24"/>
        </w:rPr>
        <w:t>,</w:t>
      </w:r>
      <w:r w:rsidR="00D50604" w:rsidRPr="00604A41">
        <w:rPr>
          <w:sz w:val="24"/>
        </w:rPr>
        <w:t xml:space="preserve"> the start date for decoupling does not prove that </w:t>
      </w:r>
      <w:r w:rsidR="00463F34" w:rsidRPr="00604A41">
        <w:rPr>
          <w:sz w:val="24"/>
        </w:rPr>
        <w:t xml:space="preserve">the measuring period for </w:t>
      </w:r>
      <w:r w:rsidR="00D50604" w:rsidRPr="00604A41">
        <w:rPr>
          <w:sz w:val="24"/>
        </w:rPr>
        <w:t xml:space="preserve">its </w:t>
      </w:r>
      <w:r w:rsidR="00463F34" w:rsidRPr="00604A41">
        <w:rPr>
          <w:sz w:val="24"/>
        </w:rPr>
        <w:t xml:space="preserve">accelerated performance target </w:t>
      </w:r>
      <w:r w:rsidR="006C7051" w:rsidRPr="00604A41">
        <w:rPr>
          <w:sz w:val="24"/>
        </w:rPr>
        <w:t xml:space="preserve">was </w:t>
      </w:r>
      <w:r w:rsidR="00463F34" w:rsidRPr="00604A41">
        <w:rPr>
          <w:sz w:val="24"/>
        </w:rPr>
        <w:t xml:space="preserve">intended to be the final quarter </w:t>
      </w:r>
      <w:r w:rsidR="00D50604" w:rsidRPr="00604A41">
        <w:rPr>
          <w:sz w:val="24"/>
        </w:rPr>
        <w:t xml:space="preserve">of the 2012-13 biennium. </w:t>
      </w:r>
      <w:r w:rsidR="009B5BDB" w:rsidRPr="00604A41">
        <w:rPr>
          <w:sz w:val="24"/>
        </w:rPr>
        <w:t xml:space="preserve"> </w:t>
      </w:r>
      <w:r w:rsidR="00730E45" w:rsidRPr="00604A41">
        <w:rPr>
          <w:sz w:val="24"/>
        </w:rPr>
        <w:t xml:space="preserve"> </w:t>
      </w:r>
    </w:p>
    <w:p w14:paraId="231588D5" w14:textId="5BF3B4B7" w:rsidR="000C355F" w:rsidRPr="00604A41" w:rsidRDefault="00604A41" w:rsidP="00604A41">
      <w:pPr>
        <w:pStyle w:val="ListParagraph"/>
        <w:numPr>
          <w:ilvl w:val="0"/>
          <w:numId w:val="3"/>
        </w:numPr>
        <w:spacing w:line="480" w:lineRule="auto"/>
        <w:rPr>
          <w:sz w:val="24"/>
        </w:rPr>
      </w:pPr>
      <w:r>
        <w:rPr>
          <w:sz w:val="24"/>
        </w:rPr>
        <w:tab/>
      </w:r>
      <w:r w:rsidR="00463F34" w:rsidRPr="00604A41">
        <w:rPr>
          <w:sz w:val="24"/>
        </w:rPr>
        <w:t xml:space="preserve">PSE’s </w:t>
      </w:r>
      <w:r w:rsidR="004C7E72" w:rsidRPr="00604A41">
        <w:rPr>
          <w:sz w:val="24"/>
        </w:rPr>
        <w:t>oft</w:t>
      </w:r>
      <w:r w:rsidR="008D6D90" w:rsidRPr="00604A41">
        <w:rPr>
          <w:sz w:val="24"/>
        </w:rPr>
        <w:t>en</w:t>
      </w:r>
      <w:r w:rsidR="004C7E72" w:rsidRPr="00604A41">
        <w:rPr>
          <w:sz w:val="24"/>
        </w:rPr>
        <w:t xml:space="preserve">-repeated </w:t>
      </w:r>
      <w:r w:rsidR="008D6D90" w:rsidRPr="00604A41">
        <w:rPr>
          <w:sz w:val="24"/>
        </w:rPr>
        <w:t xml:space="preserve">commitment </w:t>
      </w:r>
      <w:r w:rsidR="004C7E72" w:rsidRPr="00604A41">
        <w:rPr>
          <w:sz w:val="24"/>
        </w:rPr>
        <w:t>was to</w:t>
      </w:r>
      <w:r w:rsidR="0095557A" w:rsidRPr="00604A41">
        <w:rPr>
          <w:sz w:val="24"/>
        </w:rPr>
        <w:t xml:space="preserve"> </w:t>
      </w:r>
      <w:r w:rsidR="00AE7D14" w:rsidRPr="00604A41">
        <w:rPr>
          <w:sz w:val="24"/>
        </w:rPr>
        <w:t xml:space="preserve">achieve electric conservation five percent above the pro rata share of its </w:t>
      </w:r>
      <w:r w:rsidR="0095557A" w:rsidRPr="00604A41">
        <w:rPr>
          <w:sz w:val="24"/>
        </w:rPr>
        <w:t>ten-year conservation potential</w:t>
      </w:r>
      <w:r w:rsidR="008D6D90" w:rsidRPr="00604A41">
        <w:rPr>
          <w:sz w:val="24"/>
        </w:rPr>
        <w:t xml:space="preserve"> if decoupling were approved. </w:t>
      </w:r>
      <w:r w:rsidR="004C7E72" w:rsidRPr="00604A41">
        <w:rPr>
          <w:sz w:val="24"/>
        </w:rPr>
        <w:t>This commitment</w:t>
      </w:r>
      <w:r w:rsidR="00401556" w:rsidRPr="00604A41">
        <w:rPr>
          <w:sz w:val="24"/>
        </w:rPr>
        <w:t xml:space="preserve"> to deliver </w:t>
      </w:r>
      <w:r w:rsidR="0095557A" w:rsidRPr="00604A41">
        <w:rPr>
          <w:sz w:val="24"/>
        </w:rPr>
        <w:t xml:space="preserve">based </w:t>
      </w:r>
      <w:r w:rsidR="00401556" w:rsidRPr="00604A41">
        <w:rPr>
          <w:sz w:val="24"/>
        </w:rPr>
        <w:t>on its ten-year potential, which is reflected in the biennial target,</w:t>
      </w:r>
      <w:r w:rsidR="004C7E72" w:rsidRPr="00604A41">
        <w:rPr>
          <w:sz w:val="24"/>
        </w:rPr>
        <w:t xml:space="preserve"> was one of the centerpieces of PSE’s proposed decoupling program and </w:t>
      </w:r>
      <w:r w:rsidR="00C72AE0" w:rsidRPr="00604A41">
        <w:rPr>
          <w:sz w:val="24"/>
        </w:rPr>
        <w:t>sh</w:t>
      </w:r>
      <w:r w:rsidR="00F84B3B" w:rsidRPr="00604A41">
        <w:rPr>
          <w:sz w:val="24"/>
        </w:rPr>
        <w:t xml:space="preserve">ould be </w:t>
      </w:r>
      <w:r w:rsidR="000C355F" w:rsidRPr="00604A41">
        <w:rPr>
          <w:sz w:val="24"/>
        </w:rPr>
        <w:t>read as a promise to accelerate its performance over the entire biennium</w:t>
      </w:r>
      <w:r w:rsidR="008D6D90" w:rsidRPr="00604A41">
        <w:rPr>
          <w:sz w:val="24"/>
        </w:rPr>
        <w:t xml:space="preserve"> not just a part of it. </w:t>
      </w:r>
      <w:r w:rsidR="000C1B71" w:rsidRPr="00604A41">
        <w:rPr>
          <w:sz w:val="24"/>
        </w:rPr>
        <w:t xml:space="preserve">There is no dispute that </w:t>
      </w:r>
      <w:r w:rsidR="0010556B" w:rsidRPr="00604A41">
        <w:rPr>
          <w:sz w:val="24"/>
        </w:rPr>
        <w:t xml:space="preserve">PSE’s biennial conservation target represents one-fifth of its ten-year potential. </w:t>
      </w:r>
      <w:r w:rsidR="00B104C9" w:rsidRPr="00604A41">
        <w:rPr>
          <w:sz w:val="24"/>
        </w:rPr>
        <w:t xml:space="preserve">Nor is there any question </w:t>
      </w:r>
      <w:r w:rsidR="000C1B71" w:rsidRPr="00604A41">
        <w:rPr>
          <w:sz w:val="24"/>
        </w:rPr>
        <w:t>that</w:t>
      </w:r>
      <w:r w:rsidR="0095557A" w:rsidRPr="00604A41">
        <w:rPr>
          <w:sz w:val="24"/>
        </w:rPr>
        <w:t xml:space="preserve"> the </w:t>
      </w:r>
      <w:r w:rsidR="000C1B71" w:rsidRPr="00604A41">
        <w:rPr>
          <w:sz w:val="24"/>
        </w:rPr>
        <w:t xml:space="preserve">parties participating in the decoupling proceeding understood </w:t>
      </w:r>
      <w:r w:rsidR="00E52978" w:rsidRPr="00604A41">
        <w:rPr>
          <w:sz w:val="24"/>
        </w:rPr>
        <w:t>what PSE was promising to accomplish</w:t>
      </w:r>
      <w:r w:rsidR="000C1B71" w:rsidRPr="00604A41">
        <w:rPr>
          <w:sz w:val="24"/>
        </w:rPr>
        <w:t xml:space="preserve">. </w:t>
      </w:r>
      <w:r w:rsidR="0010556B" w:rsidRPr="00604A41">
        <w:rPr>
          <w:sz w:val="24"/>
        </w:rPr>
        <w:t xml:space="preserve"> </w:t>
      </w:r>
      <w:r w:rsidR="000C355F" w:rsidRPr="00604A41">
        <w:rPr>
          <w:sz w:val="24"/>
        </w:rPr>
        <w:t xml:space="preserve"> </w:t>
      </w:r>
    </w:p>
    <w:p w14:paraId="0576F698" w14:textId="390F8AA6" w:rsidR="000824D7" w:rsidRPr="00604A41" w:rsidRDefault="00604A41" w:rsidP="00604A41">
      <w:pPr>
        <w:pStyle w:val="ListParagraph"/>
        <w:numPr>
          <w:ilvl w:val="0"/>
          <w:numId w:val="3"/>
        </w:numPr>
        <w:spacing w:line="480" w:lineRule="auto"/>
        <w:rPr>
          <w:sz w:val="24"/>
        </w:rPr>
      </w:pPr>
      <w:r>
        <w:rPr>
          <w:sz w:val="24"/>
        </w:rPr>
        <w:tab/>
      </w:r>
      <w:r w:rsidR="008D6D90" w:rsidRPr="00604A41">
        <w:rPr>
          <w:sz w:val="24"/>
        </w:rPr>
        <w:t xml:space="preserve">In its </w:t>
      </w:r>
      <w:r w:rsidR="00FB23A1" w:rsidRPr="00604A41">
        <w:rPr>
          <w:sz w:val="24"/>
        </w:rPr>
        <w:t xml:space="preserve">amended </w:t>
      </w:r>
      <w:r w:rsidR="00D9567B" w:rsidRPr="00604A41">
        <w:rPr>
          <w:sz w:val="24"/>
        </w:rPr>
        <w:t xml:space="preserve">decoupling </w:t>
      </w:r>
      <w:r w:rsidR="0095557A" w:rsidRPr="00604A41">
        <w:rPr>
          <w:sz w:val="24"/>
        </w:rPr>
        <w:t>filing</w:t>
      </w:r>
      <w:r w:rsidR="008D6D90" w:rsidRPr="00604A41">
        <w:rPr>
          <w:sz w:val="24"/>
        </w:rPr>
        <w:t xml:space="preserve">, PSE </w:t>
      </w:r>
      <w:r w:rsidR="00F0246D" w:rsidRPr="00604A41">
        <w:rPr>
          <w:sz w:val="24"/>
        </w:rPr>
        <w:t>sought an effective approval date of May 1, 2013 – appr</w:t>
      </w:r>
      <w:r w:rsidR="00FB23A1" w:rsidRPr="00604A41">
        <w:rPr>
          <w:sz w:val="24"/>
        </w:rPr>
        <w:t>oximately</w:t>
      </w:r>
      <w:r w:rsidR="00F0246D" w:rsidRPr="00604A41">
        <w:rPr>
          <w:sz w:val="24"/>
        </w:rPr>
        <w:t xml:space="preserve"> three quarters of </w:t>
      </w:r>
      <w:r w:rsidR="00FB23A1" w:rsidRPr="00604A41">
        <w:rPr>
          <w:sz w:val="24"/>
        </w:rPr>
        <w:t xml:space="preserve">the </w:t>
      </w:r>
      <w:r w:rsidR="00F0246D" w:rsidRPr="00604A41">
        <w:rPr>
          <w:sz w:val="24"/>
        </w:rPr>
        <w:t xml:space="preserve">way through the </w:t>
      </w:r>
      <w:r w:rsidR="00D9567B" w:rsidRPr="00604A41">
        <w:rPr>
          <w:sz w:val="24"/>
        </w:rPr>
        <w:t>biennium</w:t>
      </w:r>
      <w:r w:rsidR="00F0246D" w:rsidRPr="00604A41">
        <w:rPr>
          <w:sz w:val="24"/>
        </w:rPr>
        <w:t>.</w:t>
      </w:r>
      <w:r w:rsidR="0095557A">
        <w:rPr>
          <w:rStyle w:val="FootnoteReference"/>
          <w:sz w:val="24"/>
        </w:rPr>
        <w:footnoteReference w:id="10"/>
      </w:r>
      <w:r w:rsidR="00F0246D" w:rsidRPr="00604A41">
        <w:rPr>
          <w:sz w:val="24"/>
        </w:rPr>
        <w:t xml:space="preserve"> If PSE intended to limit its accelerated conservation performance in this biennium, it had many opportunities </w:t>
      </w:r>
      <w:r w:rsidR="008D6D90" w:rsidRPr="00604A41">
        <w:rPr>
          <w:sz w:val="24"/>
        </w:rPr>
        <w:t xml:space="preserve">to </w:t>
      </w:r>
      <w:r w:rsidR="00E52978" w:rsidRPr="00604A41">
        <w:rPr>
          <w:sz w:val="24"/>
        </w:rPr>
        <w:t xml:space="preserve">express its intent </w:t>
      </w:r>
      <w:r w:rsidR="008D6D90" w:rsidRPr="00604A41">
        <w:rPr>
          <w:sz w:val="24"/>
        </w:rPr>
        <w:t xml:space="preserve">do so. </w:t>
      </w:r>
      <w:r w:rsidR="00F0246D" w:rsidRPr="00604A41">
        <w:rPr>
          <w:sz w:val="24"/>
        </w:rPr>
        <w:t>But, it did not</w:t>
      </w:r>
      <w:r w:rsidR="008D6D90" w:rsidRPr="00604A41">
        <w:rPr>
          <w:sz w:val="24"/>
        </w:rPr>
        <w:t xml:space="preserve">. </w:t>
      </w:r>
      <w:r w:rsidR="003729AA" w:rsidRPr="00604A41">
        <w:rPr>
          <w:sz w:val="24"/>
        </w:rPr>
        <w:t xml:space="preserve">Nor did it ask the Commission to pro rate its obligation over the months left in the biennium. </w:t>
      </w:r>
      <w:r w:rsidR="000824D7" w:rsidRPr="00604A41">
        <w:rPr>
          <w:sz w:val="24"/>
        </w:rPr>
        <w:t xml:space="preserve">PSE proposed its accelerated conservation </w:t>
      </w:r>
      <w:r w:rsidR="0095557A" w:rsidRPr="00604A41">
        <w:rPr>
          <w:sz w:val="24"/>
        </w:rPr>
        <w:t xml:space="preserve">commitment </w:t>
      </w:r>
      <w:r w:rsidR="000824D7" w:rsidRPr="00604A41">
        <w:rPr>
          <w:sz w:val="24"/>
        </w:rPr>
        <w:t xml:space="preserve">and </w:t>
      </w:r>
      <w:r w:rsidR="005A7D7D" w:rsidRPr="00604A41">
        <w:rPr>
          <w:sz w:val="24"/>
        </w:rPr>
        <w:t xml:space="preserve">used </w:t>
      </w:r>
      <w:r w:rsidR="002B3D0B" w:rsidRPr="00604A41">
        <w:rPr>
          <w:sz w:val="24"/>
        </w:rPr>
        <w:t xml:space="preserve">this </w:t>
      </w:r>
      <w:r w:rsidR="005A7D7D" w:rsidRPr="00604A41">
        <w:rPr>
          <w:sz w:val="24"/>
        </w:rPr>
        <w:t xml:space="preserve">proposal </w:t>
      </w:r>
      <w:r w:rsidR="000824D7" w:rsidRPr="00604A41">
        <w:rPr>
          <w:sz w:val="24"/>
        </w:rPr>
        <w:t>as an enticement for approval</w:t>
      </w:r>
      <w:r w:rsidR="002B3D0B" w:rsidRPr="00604A41">
        <w:rPr>
          <w:sz w:val="24"/>
        </w:rPr>
        <w:t xml:space="preserve"> of its decoupling program</w:t>
      </w:r>
      <w:r w:rsidR="000824D7" w:rsidRPr="00604A41">
        <w:rPr>
          <w:sz w:val="24"/>
        </w:rPr>
        <w:t xml:space="preserve">. </w:t>
      </w:r>
      <w:r w:rsidR="000824D7" w:rsidRPr="00604A41">
        <w:rPr>
          <w:sz w:val="24"/>
        </w:rPr>
        <w:lastRenderedPageBreak/>
        <w:t xml:space="preserve">It was incumbent upon PSE to clearly </w:t>
      </w:r>
      <w:r w:rsidR="00A74A61" w:rsidRPr="00604A41">
        <w:rPr>
          <w:sz w:val="24"/>
        </w:rPr>
        <w:t xml:space="preserve">express </w:t>
      </w:r>
      <w:r w:rsidR="000824D7" w:rsidRPr="00604A41">
        <w:rPr>
          <w:sz w:val="24"/>
        </w:rPr>
        <w:t xml:space="preserve">its intentions with regard to it. If PSE intended to modify its conservation </w:t>
      </w:r>
      <w:r w:rsidR="0095557A" w:rsidRPr="00604A41">
        <w:rPr>
          <w:sz w:val="24"/>
        </w:rPr>
        <w:t xml:space="preserve">commitment to exclude the majority of </w:t>
      </w:r>
      <w:r w:rsidR="000824D7" w:rsidRPr="00604A41">
        <w:rPr>
          <w:sz w:val="24"/>
        </w:rPr>
        <w:t>the 2012-13 biennium, it should have notified the Commission and parties.</w:t>
      </w:r>
      <w:r w:rsidR="000824D7">
        <w:rPr>
          <w:rStyle w:val="FootnoteReference"/>
          <w:sz w:val="24"/>
        </w:rPr>
        <w:footnoteReference w:id="11"/>
      </w:r>
      <w:r w:rsidR="000824D7" w:rsidRPr="00604A41">
        <w:rPr>
          <w:sz w:val="24"/>
        </w:rPr>
        <w:t xml:space="preserve"> It did not</w:t>
      </w:r>
      <w:r w:rsidR="00843B76" w:rsidRPr="00604A41">
        <w:rPr>
          <w:sz w:val="24"/>
        </w:rPr>
        <w:t xml:space="preserve"> do so, and has now has received the benefit of the bargain</w:t>
      </w:r>
      <w:r w:rsidR="000824D7" w:rsidRPr="00604A41">
        <w:rPr>
          <w:sz w:val="24"/>
        </w:rPr>
        <w:t xml:space="preserve">.  </w:t>
      </w:r>
      <w:r w:rsidR="00A74A61" w:rsidRPr="00604A41">
        <w:rPr>
          <w:sz w:val="24"/>
        </w:rPr>
        <w:t xml:space="preserve">From Staff’s perspective, PSE </w:t>
      </w:r>
      <w:r w:rsidR="00843B76" w:rsidRPr="00604A41">
        <w:rPr>
          <w:sz w:val="24"/>
        </w:rPr>
        <w:t xml:space="preserve">promised </w:t>
      </w:r>
      <w:r w:rsidR="00A74A61" w:rsidRPr="00604A41">
        <w:rPr>
          <w:sz w:val="24"/>
        </w:rPr>
        <w:t xml:space="preserve">to “achieve electric conservation five percent above the </w:t>
      </w:r>
      <w:r w:rsidR="00E2798B" w:rsidRPr="00604A41">
        <w:rPr>
          <w:sz w:val="24"/>
        </w:rPr>
        <w:t xml:space="preserve">biennial targets set by the Commission” </w:t>
      </w:r>
      <w:r w:rsidR="00A74A61" w:rsidRPr="00604A41">
        <w:rPr>
          <w:sz w:val="24"/>
        </w:rPr>
        <w:t xml:space="preserve">so long its decoupling program is </w:t>
      </w:r>
      <w:r w:rsidR="005A7D7D" w:rsidRPr="00604A41">
        <w:rPr>
          <w:sz w:val="24"/>
        </w:rPr>
        <w:t>in place.</w:t>
      </w:r>
      <w:r w:rsidR="005A7D7D">
        <w:rPr>
          <w:rStyle w:val="FootnoteReference"/>
          <w:sz w:val="24"/>
        </w:rPr>
        <w:footnoteReference w:id="12"/>
      </w:r>
      <w:r w:rsidR="005A7D7D" w:rsidRPr="00604A41">
        <w:rPr>
          <w:sz w:val="24"/>
        </w:rPr>
        <w:t xml:space="preserve"> It is in place now and PSE should perform.</w:t>
      </w:r>
      <w:r w:rsidR="00A74A61" w:rsidRPr="00604A41">
        <w:rPr>
          <w:sz w:val="24"/>
        </w:rPr>
        <w:t xml:space="preserve"> </w:t>
      </w:r>
      <w:r w:rsidR="000C1B71" w:rsidRPr="00604A41">
        <w:rPr>
          <w:sz w:val="24"/>
        </w:rPr>
        <w:t xml:space="preserve"> </w:t>
      </w:r>
      <w:r w:rsidR="00967B0F" w:rsidRPr="00604A41">
        <w:rPr>
          <w:sz w:val="24"/>
        </w:rPr>
        <w:t xml:space="preserve">The </w:t>
      </w:r>
      <w:r w:rsidR="0095557A" w:rsidRPr="00604A41">
        <w:rPr>
          <w:sz w:val="24"/>
        </w:rPr>
        <w:t xml:space="preserve">other </w:t>
      </w:r>
      <w:r w:rsidR="00967B0F" w:rsidRPr="00604A41">
        <w:rPr>
          <w:sz w:val="24"/>
        </w:rPr>
        <w:t>parties should receive the benefit of the</w:t>
      </w:r>
      <w:r w:rsidR="0095557A" w:rsidRPr="00604A41">
        <w:rPr>
          <w:sz w:val="24"/>
        </w:rPr>
        <w:t>ir</w:t>
      </w:r>
      <w:r w:rsidR="00967B0F" w:rsidRPr="00604A41">
        <w:rPr>
          <w:sz w:val="24"/>
        </w:rPr>
        <w:t xml:space="preserve"> bargain - accelerated conservation five percent above PSE’s biennial targets – not a portion of it.  </w:t>
      </w:r>
    </w:p>
    <w:p w14:paraId="24C85282" w14:textId="5A42B614" w:rsidR="00967B0F" w:rsidRDefault="00946469" w:rsidP="00604A41">
      <w:pPr>
        <w:pStyle w:val="ListParagraph"/>
        <w:numPr>
          <w:ilvl w:val="0"/>
          <w:numId w:val="2"/>
        </w:numPr>
        <w:ind w:hanging="720"/>
        <w:rPr>
          <w:b/>
          <w:sz w:val="24"/>
        </w:rPr>
      </w:pPr>
      <w:r w:rsidRPr="00716EE2">
        <w:rPr>
          <w:b/>
          <w:sz w:val="24"/>
        </w:rPr>
        <w:t xml:space="preserve">Should the Commission Pro Rate PSE’s </w:t>
      </w:r>
      <w:r w:rsidR="00DB5F5B" w:rsidRPr="00716EE2">
        <w:rPr>
          <w:b/>
          <w:sz w:val="24"/>
        </w:rPr>
        <w:t>Conservation Performance</w:t>
      </w:r>
      <w:r w:rsidR="00716EE2">
        <w:rPr>
          <w:b/>
          <w:sz w:val="24"/>
        </w:rPr>
        <w:t xml:space="preserve"> in 2012-</w:t>
      </w:r>
      <w:r w:rsidR="00C347C0" w:rsidRPr="00716EE2">
        <w:rPr>
          <w:b/>
          <w:sz w:val="24"/>
        </w:rPr>
        <w:t>13 Biennium</w:t>
      </w:r>
      <w:r w:rsidRPr="00716EE2">
        <w:rPr>
          <w:b/>
          <w:sz w:val="24"/>
        </w:rPr>
        <w:t>?</w:t>
      </w:r>
      <w:r w:rsidR="00DB5F5B" w:rsidRPr="00716EE2">
        <w:rPr>
          <w:b/>
          <w:sz w:val="24"/>
        </w:rPr>
        <w:t xml:space="preserve"> </w:t>
      </w:r>
    </w:p>
    <w:p w14:paraId="31AD23C9" w14:textId="77777777" w:rsidR="00604A41" w:rsidRPr="00604A41" w:rsidRDefault="00604A41" w:rsidP="00604A41">
      <w:pPr>
        <w:rPr>
          <w:b/>
          <w:sz w:val="24"/>
        </w:rPr>
      </w:pPr>
    </w:p>
    <w:p w14:paraId="3411F87B" w14:textId="3619D2F3" w:rsidR="00DC6FED" w:rsidRPr="00604A41" w:rsidRDefault="00604A41" w:rsidP="00604A41">
      <w:pPr>
        <w:pStyle w:val="ListParagraph"/>
        <w:numPr>
          <w:ilvl w:val="0"/>
          <w:numId w:val="3"/>
        </w:numPr>
        <w:spacing w:line="480" w:lineRule="auto"/>
        <w:rPr>
          <w:sz w:val="24"/>
        </w:rPr>
      </w:pPr>
      <w:r>
        <w:rPr>
          <w:sz w:val="24"/>
        </w:rPr>
        <w:tab/>
      </w:r>
      <w:r w:rsidR="00967B0F" w:rsidRPr="00604A41">
        <w:rPr>
          <w:sz w:val="24"/>
        </w:rPr>
        <w:t xml:space="preserve">As noted, there is no need to address this issue if the Commission agrees with Staff’s interpretation of the </w:t>
      </w:r>
      <w:r w:rsidR="00967B0F" w:rsidRPr="00604A41">
        <w:rPr>
          <w:i/>
          <w:sz w:val="24"/>
        </w:rPr>
        <w:t xml:space="preserve">Decoupling Order, </w:t>
      </w:r>
      <w:r w:rsidR="00967B0F" w:rsidRPr="00604A41">
        <w:rPr>
          <w:sz w:val="24"/>
        </w:rPr>
        <w:t xml:space="preserve">and finds that PSE’s conservation commitment </w:t>
      </w:r>
      <w:r w:rsidR="00DB4373" w:rsidRPr="00604A41">
        <w:rPr>
          <w:sz w:val="24"/>
        </w:rPr>
        <w:t>covers the entire 2012-</w:t>
      </w:r>
      <w:r w:rsidR="00DC6FED" w:rsidRPr="00604A41">
        <w:rPr>
          <w:sz w:val="24"/>
        </w:rPr>
        <w:t>13</w:t>
      </w:r>
      <w:r w:rsidR="00DB4373" w:rsidRPr="00604A41">
        <w:rPr>
          <w:sz w:val="24"/>
        </w:rPr>
        <w:t xml:space="preserve"> biennium</w:t>
      </w:r>
      <w:r w:rsidR="00DC6FED" w:rsidRPr="00604A41">
        <w:rPr>
          <w:sz w:val="24"/>
        </w:rPr>
        <w:t>.  However</w:t>
      </w:r>
      <w:r w:rsidR="0095557A" w:rsidRPr="00604A41">
        <w:rPr>
          <w:sz w:val="24"/>
        </w:rPr>
        <w:t>, if</w:t>
      </w:r>
      <w:r w:rsidR="00FA179E" w:rsidRPr="00604A41">
        <w:rPr>
          <w:sz w:val="24"/>
        </w:rPr>
        <w:t xml:space="preserve"> </w:t>
      </w:r>
      <w:r w:rsidR="001F7B1C" w:rsidRPr="00604A41">
        <w:rPr>
          <w:sz w:val="24"/>
        </w:rPr>
        <w:t xml:space="preserve">the Commission </w:t>
      </w:r>
      <w:r w:rsidR="00FE3144" w:rsidRPr="00604A41">
        <w:rPr>
          <w:sz w:val="24"/>
        </w:rPr>
        <w:t xml:space="preserve">concludes </w:t>
      </w:r>
      <w:r w:rsidR="001F7B1C" w:rsidRPr="00604A41">
        <w:rPr>
          <w:sz w:val="24"/>
        </w:rPr>
        <w:t xml:space="preserve">that </w:t>
      </w:r>
      <w:r w:rsidR="00FE3144" w:rsidRPr="00604A41">
        <w:rPr>
          <w:sz w:val="24"/>
        </w:rPr>
        <w:t xml:space="preserve">PSE’s </w:t>
      </w:r>
      <w:r w:rsidR="00716EE2" w:rsidRPr="00604A41">
        <w:rPr>
          <w:sz w:val="24"/>
        </w:rPr>
        <w:t>conservation</w:t>
      </w:r>
      <w:r w:rsidR="00212333" w:rsidRPr="00604A41">
        <w:rPr>
          <w:sz w:val="24"/>
        </w:rPr>
        <w:t xml:space="preserve"> obligation</w:t>
      </w:r>
      <w:r w:rsidR="00716EE2" w:rsidRPr="00604A41">
        <w:rPr>
          <w:sz w:val="24"/>
        </w:rPr>
        <w:t xml:space="preserve"> </w:t>
      </w:r>
      <w:r w:rsidR="00FA179E" w:rsidRPr="00604A41">
        <w:rPr>
          <w:sz w:val="24"/>
        </w:rPr>
        <w:t xml:space="preserve">should be </w:t>
      </w:r>
      <w:r w:rsidR="001F7B1C" w:rsidRPr="00604A41">
        <w:rPr>
          <w:sz w:val="24"/>
        </w:rPr>
        <w:t xml:space="preserve">limited </w:t>
      </w:r>
      <w:r w:rsidR="00716EE2" w:rsidRPr="00604A41">
        <w:rPr>
          <w:sz w:val="24"/>
        </w:rPr>
        <w:t xml:space="preserve">to the </w:t>
      </w:r>
      <w:r w:rsidR="00212333" w:rsidRPr="00604A41">
        <w:rPr>
          <w:sz w:val="24"/>
        </w:rPr>
        <w:t xml:space="preserve">final </w:t>
      </w:r>
      <w:r w:rsidR="00F236CC" w:rsidRPr="00604A41">
        <w:rPr>
          <w:sz w:val="24"/>
        </w:rPr>
        <w:t>quarter (</w:t>
      </w:r>
      <w:r w:rsidR="00212333" w:rsidRPr="00604A41">
        <w:rPr>
          <w:sz w:val="24"/>
        </w:rPr>
        <w:t>six months</w:t>
      </w:r>
      <w:r w:rsidR="00F236CC" w:rsidRPr="00604A41">
        <w:rPr>
          <w:sz w:val="24"/>
        </w:rPr>
        <w:t>)</w:t>
      </w:r>
      <w:r w:rsidR="00212333" w:rsidRPr="00604A41">
        <w:rPr>
          <w:sz w:val="24"/>
        </w:rPr>
        <w:t xml:space="preserve"> in </w:t>
      </w:r>
      <w:r w:rsidR="001F7B1C" w:rsidRPr="00604A41">
        <w:rPr>
          <w:sz w:val="24"/>
        </w:rPr>
        <w:t xml:space="preserve">the biennium, </w:t>
      </w:r>
      <w:r w:rsidR="00FA179E" w:rsidRPr="00604A41">
        <w:rPr>
          <w:sz w:val="24"/>
        </w:rPr>
        <w:t xml:space="preserve">then it </w:t>
      </w:r>
      <w:r w:rsidR="0095557A" w:rsidRPr="00604A41">
        <w:rPr>
          <w:sz w:val="24"/>
        </w:rPr>
        <w:t>would also</w:t>
      </w:r>
      <w:r w:rsidR="00FE3144" w:rsidRPr="00604A41">
        <w:rPr>
          <w:sz w:val="24"/>
        </w:rPr>
        <w:t xml:space="preserve"> </w:t>
      </w:r>
      <w:r w:rsidR="00DC6FED" w:rsidRPr="00604A41">
        <w:rPr>
          <w:sz w:val="24"/>
        </w:rPr>
        <w:t xml:space="preserve">be </w:t>
      </w:r>
      <w:r w:rsidR="00FA179E" w:rsidRPr="00604A41">
        <w:rPr>
          <w:sz w:val="24"/>
        </w:rPr>
        <w:t>reasonable to de</w:t>
      </w:r>
      <w:r w:rsidR="00FE3144" w:rsidRPr="00604A41">
        <w:rPr>
          <w:sz w:val="24"/>
        </w:rPr>
        <w:t xml:space="preserve">cide </w:t>
      </w:r>
      <w:r w:rsidR="00DC6FED" w:rsidRPr="00604A41">
        <w:rPr>
          <w:sz w:val="24"/>
        </w:rPr>
        <w:t xml:space="preserve">how </w:t>
      </w:r>
      <w:r w:rsidR="0095557A" w:rsidRPr="00604A41">
        <w:rPr>
          <w:sz w:val="24"/>
        </w:rPr>
        <w:t>to calculate</w:t>
      </w:r>
      <w:r w:rsidR="00FE3144" w:rsidRPr="00604A41">
        <w:rPr>
          <w:sz w:val="24"/>
        </w:rPr>
        <w:t xml:space="preserve"> PSE’s </w:t>
      </w:r>
      <w:r w:rsidR="00FA179E" w:rsidRPr="00604A41">
        <w:rPr>
          <w:sz w:val="24"/>
        </w:rPr>
        <w:t>conservation p</w:t>
      </w:r>
      <w:r w:rsidR="00FE3144" w:rsidRPr="00604A41">
        <w:rPr>
          <w:sz w:val="24"/>
        </w:rPr>
        <w:t>erformance over this</w:t>
      </w:r>
      <w:r w:rsidR="00DC6FED" w:rsidRPr="00604A41">
        <w:rPr>
          <w:sz w:val="24"/>
        </w:rPr>
        <w:t xml:space="preserve"> shortened</w:t>
      </w:r>
      <w:r w:rsidR="00FE3144" w:rsidRPr="00604A41">
        <w:rPr>
          <w:sz w:val="24"/>
        </w:rPr>
        <w:t xml:space="preserve"> period. </w:t>
      </w:r>
    </w:p>
    <w:p w14:paraId="44067888" w14:textId="17983B1C" w:rsidR="00071958" w:rsidRPr="00604A41" w:rsidRDefault="00604A41" w:rsidP="00604A41">
      <w:pPr>
        <w:pStyle w:val="ListParagraph"/>
        <w:numPr>
          <w:ilvl w:val="0"/>
          <w:numId w:val="3"/>
        </w:numPr>
        <w:spacing w:line="480" w:lineRule="auto"/>
        <w:rPr>
          <w:sz w:val="24"/>
        </w:rPr>
      </w:pPr>
      <w:r>
        <w:rPr>
          <w:sz w:val="24"/>
        </w:rPr>
        <w:tab/>
      </w:r>
      <w:r w:rsidR="00FE3144" w:rsidRPr="00604A41">
        <w:rPr>
          <w:sz w:val="24"/>
        </w:rPr>
        <w:t xml:space="preserve">PSE recommends pro rating its conservation results over the </w:t>
      </w:r>
      <w:r w:rsidR="00DC6FED" w:rsidRPr="00604A41">
        <w:rPr>
          <w:sz w:val="24"/>
        </w:rPr>
        <w:t xml:space="preserve">biennium’s final </w:t>
      </w:r>
      <w:r w:rsidR="0095557A" w:rsidRPr="00604A41">
        <w:rPr>
          <w:sz w:val="24"/>
        </w:rPr>
        <w:t>quarter, and</w:t>
      </w:r>
      <w:r w:rsidR="00FE3144" w:rsidRPr="00604A41">
        <w:rPr>
          <w:sz w:val="24"/>
        </w:rPr>
        <w:t xml:space="preserve"> </w:t>
      </w:r>
      <w:r w:rsidR="000972C6" w:rsidRPr="00604A41">
        <w:rPr>
          <w:sz w:val="24"/>
        </w:rPr>
        <w:t>offers</w:t>
      </w:r>
      <w:r w:rsidR="00843B76" w:rsidRPr="00604A41">
        <w:rPr>
          <w:sz w:val="24"/>
        </w:rPr>
        <w:t xml:space="preserve"> </w:t>
      </w:r>
      <w:r w:rsidR="00DB4373" w:rsidRPr="00604A41">
        <w:rPr>
          <w:sz w:val="24"/>
        </w:rPr>
        <w:t xml:space="preserve">its conservation results from the entire biennium </w:t>
      </w:r>
      <w:r w:rsidR="008974C5" w:rsidRPr="00604A41">
        <w:rPr>
          <w:sz w:val="24"/>
        </w:rPr>
        <w:t>as evidence of its performance.</w:t>
      </w:r>
      <w:r w:rsidR="00843B76">
        <w:rPr>
          <w:rStyle w:val="FootnoteReference"/>
          <w:sz w:val="24"/>
        </w:rPr>
        <w:footnoteReference w:id="13"/>
      </w:r>
      <w:r w:rsidR="00FE3144" w:rsidRPr="00604A41">
        <w:rPr>
          <w:sz w:val="24"/>
        </w:rPr>
        <w:t xml:space="preserve"> </w:t>
      </w:r>
      <w:r w:rsidR="00DC6FED" w:rsidRPr="00604A41">
        <w:rPr>
          <w:sz w:val="24"/>
        </w:rPr>
        <w:t xml:space="preserve">To come up with a target for the period, </w:t>
      </w:r>
      <w:r w:rsidR="008974C5" w:rsidRPr="00604A41">
        <w:rPr>
          <w:sz w:val="24"/>
        </w:rPr>
        <w:t>PSE</w:t>
      </w:r>
      <w:r w:rsidR="00FE3144" w:rsidRPr="00604A41">
        <w:rPr>
          <w:sz w:val="24"/>
        </w:rPr>
        <w:t xml:space="preserve"> </w:t>
      </w:r>
      <w:r w:rsidR="005C319F" w:rsidRPr="00604A41">
        <w:rPr>
          <w:sz w:val="24"/>
        </w:rPr>
        <w:t xml:space="preserve">submits </w:t>
      </w:r>
      <w:r w:rsidR="00FE3144" w:rsidRPr="00604A41">
        <w:rPr>
          <w:sz w:val="24"/>
        </w:rPr>
        <w:t>that it “committed to achieve electric savings 1.25% above</w:t>
      </w:r>
      <w:r w:rsidR="005C319F" w:rsidRPr="00604A41">
        <w:rPr>
          <w:sz w:val="24"/>
        </w:rPr>
        <w:t>”</w:t>
      </w:r>
      <w:r w:rsidR="00FE3144" w:rsidRPr="00604A41">
        <w:rPr>
          <w:sz w:val="24"/>
        </w:rPr>
        <w:t xml:space="preserve"> </w:t>
      </w:r>
      <w:r w:rsidR="00BD7791" w:rsidRPr="00604A41">
        <w:rPr>
          <w:sz w:val="24"/>
        </w:rPr>
        <w:t>its savings</w:t>
      </w:r>
      <w:r w:rsidR="005C319F" w:rsidRPr="00604A41">
        <w:rPr>
          <w:sz w:val="24"/>
        </w:rPr>
        <w:t xml:space="preserve"> target for the quarter.</w:t>
      </w:r>
      <w:r w:rsidR="005C319F">
        <w:rPr>
          <w:rStyle w:val="FootnoteReference"/>
          <w:sz w:val="24"/>
        </w:rPr>
        <w:footnoteReference w:id="14"/>
      </w:r>
      <w:r w:rsidR="005C319F" w:rsidRPr="00604A41">
        <w:rPr>
          <w:sz w:val="24"/>
        </w:rPr>
        <w:t xml:space="preserve"> It gets there by dividing its 5% </w:t>
      </w:r>
      <w:r w:rsidR="00B37D2B" w:rsidRPr="00604A41">
        <w:rPr>
          <w:sz w:val="24"/>
        </w:rPr>
        <w:t xml:space="preserve">incremental </w:t>
      </w:r>
      <w:r w:rsidR="00DB4373" w:rsidRPr="00604A41">
        <w:rPr>
          <w:sz w:val="24"/>
        </w:rPr>
        <w:t xml:space="preserve">performance </w:t>
      </w:r>
      <w:r w:rsidR="005C319F" w:rsidRPr="00604A41">
        <w:rPr>
          <w:sz w:val="24"/>
        </w:rPr>
        <w:t xml:space="preserve">target by 4, reflecting its </w:t>
      </w:r>
      <w:r w:rsidR="0095557A" w:rsidRPr="00604A41">
        <w:rPr>
          <w:sz w:val="24"/>
        </w:rPr>
        <w:t>argument that</w:t>
      </w:r>
      <w:r w:rsidR="005C319F" w:rsidRPr="00604A41">
        <w:rPr>
          <w:sz w:val="24"/>
        </w:rPr>
        <w:t xml:space="preserve"> </w:t>
      </w:r>
      <w:r w:rsidR="00DB4373" w:rsidRPr="00604A41">
        <w:rPr>
          <w:sz w:val="24"/>
        </w:rPr>
        <w:t>the</w:t>
      </w:r>
      <w:r w:rsidR="005C319F" w:rsidRPr="00604A41">
        <w:rPr>
          <w:sz w:val="24"/>
        </w:rPr>
        <w:t xml:space="preserve"> </w:t>
      </w:r>
      <w:r w:rsidR="005C319F" w:rsidRPr="00604A41">
        <w:rPr>
          <w:sz w:val="24"/>
        </w:rPr>
        <w:lastRenderedPageBreak/>
        <w:t xml:space="preserve">conservation </w:t>
      </w:r>
      <w:r w:rsidR="00DC6FED" w:rsidRPr="00604A41">
        <w:rPr>
          <w:sz w:val="24"/>
        </w:rPr>
        <w:t>commitment</w:t>
      </w:r>
      <w:r w:rsidR="005C319F" w:rsidRPr="00604A41">
        <w:rPr>
          <w:sz w:val="24"/>
        </w:rPr>
        <w:t xml:space="preserve"> extended only to the final quarter of the biennium. </w:t>
      </w:r>
      <w:r w:rsidR="00DB4373" w:rsidRPr="00604A41">
        <w:rPr>
          <w:sz w:val="24"/>
        </w:rPr>
        <w:t xml:space="preserve">The Company then </w:t>
      </w:r>
      <w:r w:rsidR="00BD7791" w:rsidRPr="00604A41">
        <w:rPr>
          <w:sz w:val="24"/>
        </w:rPr>
        <w:t xml:space="preserve">asserts that </w:t>
      </w:r>
      <w:r w:rsidR="002B1B09" w:rsidRPr="00604A41">
        <w:rPr>
          <w:sz w:val="24"/>
        </w:rPr>
        <w:t xml:space="preserve">since </w:t>
      </w:r>
      <w:r w:rsidR="00BD7791" w:rsidRPr="00604A41">
        <w:rPr>
          <w:sz w:val="24"/>
        </w:rPr>
        <w:t xml:space="preserve">its performance over the entire </w:t>
      </w:r>
      <w:r w:rsidR="00401556" w:rsidRPr="00604A41">
        <w:rPr>
          <w:sz w:val="24"/>
        </w:rPr>
        <w:t xml:space="preserve">biennium </w:t>
      </w:r>
      <w:r w:rsidR="00BD7791" w:rsidRPr="00604A41">
        <w:rPr>
          <w:sz w:val="24"/>
        </w:rPr>
        <w:t xml:space="preserve">exceeded </w:t>
      </w:r>
      <w:r w:rsidR="002B1B09" w:rsidRPr="00604A41">
        <w:rPr>
          <w:sz w:val="24"/>
        </w:rPr>
        <w:t>the conservation</w:t>
      </w:r>
      <w:r w:rsidR="00BD7791" w:rsidRPr="00604A41">
        <w:rPr>
          <w:sz w:val="24"/>
        </w:rPr>
        <w:t xml:space="preserve"> target by 4.8%, </w:t>
      </w:r>
      <w:r w:rsidR="002B1B09" w:rsidRPr="00604A41">
        <w:rPr>
          <w:sz w:val="24"/>
        </w:rPr>
        <w:t xml:space="preserve">it has </w:t>
      </w:r>
      <w:r w:rsidR="00BD7791" w:rsidRPr="00604A41">
        <w:rPr>
          <w:sz w:val="24"/>
        </w:rPr>
        <w:t xml:space="preserve">successfully </w:t>
      </w:r>
      <w:r w:rsidR="002B1B09" w:rsidRPr="00604A41">
        <w:rPr>
          <w:sz w:val="24"/>
        </w:rPr>
        <w:t xml:space="preserve">achieved its </w:t>
      </w:r>
      <w:r w:rsidR="00BD7791" w:rsidRPr="00604A41">
        <w:rPr>
          <w:sz w:val="24"/>
        </w:rPr>
        <w:t>conservation obligation during the decoupling period.</w:t>
      </w:r>
      <w:r w:rsidR="00BD7791">
        <w:rPr>
          <w:rStyle w:val="FootnoteReference"/>
          <w:sz w:val="24"/>
        </w:rPr>
        <w:footnoteReference w:id="15"/>
      </w:r>
      <w:r w:rsidR="00BD7791" w:rsidRPr="00604A41">
        <w:rPr>
          <w:sz w:val="24"/>
        </w:rPr>
        <w:t xml:space="preserve"> </w:t>
      </w:r>
      <w:r w:rsidR="005C319F" w:rsidRPr="00604A41">
        <w:rPr>
          <w:sz w:val="24"/>
        </w:rPr>
        <w:t xml:space="preserve"> </w:t>
      </w:r>
      <w:r w:rsidR="00DC6FED" w:rsidRPr="00604A41">
        <w:rPr>
          <w:sz w:val="24"/>
        </w:rPr>
        <w:t xml:space="preserve">In other words, 4.8% is greater than 1.25%. </w:t>
      </w:r>
      <w:r w:rsidR="002B1B09" w:rsidRPr="00604A41">
        <w:rPr>
          <w:sz w:val="24"/>
        </w:rPr>
        <w:t xml:space="preserve">PSE’s calculation </w:t>
      </w:r>
      <w:r w:rsidR="00071958" w:rsidRPr="00604A41">
        <w:rPr>
          <w:sz w:val="24"/>
        </w:rPr>
        <w:t xml:space="preserve">ignores </w:t>
      </w:r>
      <w:r w:rsidR="00003665" w:rsidRPr="00604A41">
        <w:rPr>
          <w:sz w:val="24"/>
        </w:rPr>
        <w:t xml:space="preserve">two </w:t>
      </w:r>
      <w:r w:rsidR="00071958" w:rsidRPr="00604A41">
        <w:rPr>
          <w:sz w:val="24"/>
        </w:rPr>
        <w:t>important detail</w:t>
      </w:r>
      <w:r w:rsidR="00003665" w:rsidRPr="00604A41">
        <w:rPr>
          <w:sz w:val="24"/>
        </w:rPr>
        <w:t>s</w:t>
      </w:r>
      <w:r w:rsidR="00071958" w:rsidRPr="00604A41">
        <w:rPr>
          <w:sz w:val="24"/>
        </w:rPr>
        <w:t xml:space="preserve"> – its </w:t>
      </w:r>
      <w:r w:rsidR="00071958" w:rsidRPr="00604A41">
        <w:rPr>
          <w:i/>
          <w:sz w:val="24"/>
        </w:rPr>
        <w:t>actual</w:t>
      </w:r>
      <w:r w:rsidR="00071958" w:rsidRPr="00604A41">
        <w:rPr>
          <w:sz w:val="24"/>
        </w:rPr>
        <w:t xml:space="preserve"> performance during the decoupling period</w:t>
      </w:r>
      <w:r w:rsidR="00003665" w:rsidRPr="00604A41">
        <w:rPr>
          <w:sz w:val="24"/>
        </w:rPr>
        <w:t xml:space="preserve"> and</w:t>
      </w:r>
      <w:r w:rsidR="00C25CE0" w:rsidRPr="00604A41">
        <w:rPr>
          <w:sz w:val="24"/>
        </w:rPr>
        <w:t xml:space="preserve"> any</w:t>
      </w:r>
      <w:r w:rsidR="00003665" w:rsidRPr="00604A41">
        <w:rPr>
          <w:sz w:val="24"/>
        </w:rPr>
        <w:t xml:space="preserve"> </w:t>
      </w:r>
      <w:r w:rsidR="00003665" w:rsidRPr="00604A41">
        <w:rPr>
          <w:i/>
          <w:sz w:val="24"/>
        </w:rPr>
        <w:t>actual</w:t>
      </w:r>
      <w:r w:rsidR="00003665" w:rsidRPr="00604A41">
        <w:rPr>
          <w:sz w:val="24"/>
        </w:rPr>
        <w:t xml:space="preserve"> target for the period</w:t>
      </w:r>
      <w:r w:rsidR="00B37D2B" w:rsidRPr="00604A41">
        <w:rPr>
          <w:sz w:val="24"/>
        </w:rPr>
        <w:t xml:space="preserve">, </w:t>
      </w:r>
      <w:r w:rsidR="0095557A" w:rsidRPr="00604A41">
        <w:rPr>
          <w:sz w:val="24"/>
        </w:rPr>
        <w:t xml:space="preserve">which should include </w:t>
      </w:r>
      <w:r w:rsidR="00B37D2B" w:rsidRPr="00604A41">
        <w:rPr>
          <w:sz w:val="24"/>
        </w:rPr>
        <w:t>its 5% incremental conservation commitment</w:t>
      </w:r>
      <w:r w:rsidR="00071958" w:rsidRPr="00604A41">
        <w:rPr>
          <w:sz w:val="24"/>
        </w:rPr>
        <w:t xml:space="preserve">. </w:t>
      </w:r>
    </w:p>
    <w:p w14:paraId="1AAE3F8C" w14:textId="56790E7E" w:rsidR="00CB4AF9" w:rsidRPr="00604A41" w:rsidRDefault="00604A41" w:rsidP="00604A41">
      <w:pPr>
        <w:pStyle w:val="ListParagraph"/>
        <w:numPr>
          <w:ilvl w:val="0"/>
          <w:numId w:val="3"/>
        </w:numPr>
        <w:spacing w:line="480" w:lineRule="auto"/>
        <w:rPr>
          <w:sz w:val="24"/>
        </w:rPr>
      </w:pPr>
      <w:r>
        <w:rPr>
          <w:sz w:val="24"/>
        </w:rPr>
        <w:tab/>
      </w:r>
      <w:r w:rsidR="007B5C8F" w:rsidRPr="00604A41">
        <w:rPr>
          <w:sz w:val="24"/>
        </w:rPr>
        <w:t xml:space="preserve">In Staff’s view, PSE must </w:t>
      </w:r>
      <w:r w:rsidR="00A425D4" w:rsidRPr="00604A41">
        <w:rPr>
          <w:sz w:val="24"/>
        </w:rPr>
        <w:t xml:space="preserve">calculate </w:t>
      </w:r>
      <w:r w:rsidR="007B5C8F" w:rsidRPr="00604A41">
        <w:rPr>
          <w:sz w:val="24"/>
        </w:rPr>
        <w:t xml:space="preserve">its </w:t>
      </w:r>
      <w:r w:rsidR="007B5C8F" w:rsidRPr="00604A41">
        <w:rPr>
          <w:i/>
          <w:sz w:val="24"/>
        </w:rPr>
        <w:t>actual</w:t>
      </w:r>
      <w:r w:rsidR="007B5C8F" w:rsidRPr="00604A41">
        <w:rPr>
          <w:sz w:val="24"/>
        </w:rPr>
        <w:t xml:space="preserve"> performance over the final quarter</w:t>
      </w:r>
      <w:r w:rsidR="00A425D4" w:rsidRPr="00604A41">
        <w:rPr>
          <w:sz w:val="24"/>
        </w:rPr>
        <w:t xml:space="preserve"> to demonstrate compliance. Simply applying out-of-period results to the final quarter does not </w:t>
      </w:r>
      <w:r w:rsidR="0014662E" w:rsidRPr="00604A41">
        <w:rPr>
          <w:sz w:val="24"/>
        </w:rPr>
        <w:t xml:space="preserve">answer whether PSE </w:t>
      </w:r>
      <w:r w:rsidR="0095557A" w:rsidRPr="00604A41">
        <w:rPr>
          <w:sz w:val="24"/>
        </w:rPr>
        <w:t xml:space="preserve">actually </w:t>
      </w:r>
      <w:r w:rsidR="0014662E" w:rsidRPr="00604A41">
        <w:rPr>
          <w:sz w:val="24"/>
        </w:rPr>
        <w:t xml:space="preserve">achieved sufficient </w:t>
      </w:r>
      <w:r w:rsidR="00A425D4" w:rsidRPr="00604A41">
        <w:rPr>
          <w:sz w:val="24"/>
        </w:rPr>
        <w:t>fourth quarter results</w:t>
      </w:r>
      <w:r w:rsidR="00D25E2F" w:rsidRPr="00604A41">
        <w:rPr>
          <w:sz w:val="24"/>
        </w:rPr>
        <w:t xml:space="preserve"> to avoid a compliance penalty</w:t>
      </w:r>
      <w:r w:rsidR="00A425D4" w:rsidRPr="00604A41">
        <w:rPr>
          <w:sz w:val="24"/>
        </w:rPr>
        <w:t xml:space="preserve">. </w:t>
      </w:r>
      <w:r w:rsidR="0014662E" w:rsidRPr="00604A41">
        <w:rPr>
          <w:sz w:val="24"/>
        </w:rPr>
        <w:t>PSE’s proposed calculation is a</w:t>
      </w:r>
      <w:r w:rsidR="00D25E2F" w:rsidRPr="00604A41">
        <w:rPr>
          <w:sz w:val="24"/>
        </w:rPr>
        <w:t xml:space="preserve">kin </w:t>
      </w:r>
      <w:r w:rsidR="0014662E" w:rsidRPr="00604A41">
        <w:rPr>
          <w:sz w:val="24"/>
        </w:rPr>
        <w:t xml:space="preserve">to using </w:t>
      </w:r>
      <w:r w:rsidR="00790FCE" w:rsidRPr="00604A41">
        <w:rPr>
          <w:sz w:val="24"/>
        </w:rPr>
        <w:t xml:space="preserve">Service Quality Index (SQI) results from the </w:t>
      </w:r>
      <w:r w:rsidR="008974C5" w:rsidRPr="00604A41">
        <w:rPr>
          <w:sz w:val="24"/>
        </w:rPr>
        <w:t xml:space="preserve">first </w:t>
      </w:r>
      <w:r w:rsidR="00003665" w:rsidRPr="00604A41">
        <w:rPr>
          <w:sz w:val="24"/>
        </w:rPr>
        <w:t xml:space="preserve">three quarters </w:t>
      </w:r>
      <w:r w:rsidR="00790FCE" w:rsidRPr="00604A41">
        <w:rPr>
          <w:sz w:val="24"/>
        </w:rPr>
        <w:t xml:space="preserve">of the year to determine whether the company met its SQI obligations for </w:t>
      </w:r>
      <w:r w:rsidR="00D25E2F" w:rsidRPr="00604A41">
        <w:rPr>
          <w:sz w:val="24"/>
        </w:rPr>
        <w:t>the</w:t>
      </w:r>
      <w:r w:rsidR="00790FCE" w:rsidRPr="00604A41">
        <w:rPr>
          <w:sz w:val="24"/>
        </w:rPr>
        <w:t xml:space="preserve"> full year. </w:t>
      </w:r>
      <w:r w:rsidR="00D25E2F" w:rsidRPr="00604A41">
        <w:rPr>
          <w:sz w:val="24"/>
        </w:rPr>
        <w:t xml:space="preserve"> The Commission would not permit this to happen. Nor should it</w:t>
      </w:r>
      <w:r w:rsidR="00CB4AF9" w:rsidRPr="00604A41">
        <w:rPr>
          <w:sz w:val="24"/>
        </w:rPr>
        <w:t xml:space="preserve"> be allowed here</w:t>
      </w:r>
      <w:r w:rsidR="00D25E2F" w:rsidRPr="00604A41">
        <w:rPr>
          <w:sz w:val="24"/>
        </w:rPr>
        <w:t xml:space="preserve">.  </w:t>
      </w:r>
    </w:p>
    <w:p w14:paraId="0FEC515D" w14:textId="58FED737" w:rsidR="00E44DAA" w:rsidRPr="00604A41" w:rsidRDefault="00604A41" w:rsidP="00604A41">
      <w:pPr>
        <w:pStyle w:val="ListParagraph"/>
        <w:numPr>
          <w:ilvl w:val="0"/>
          <w:numId w:val="3"/>
        </w:numPr>
        <w:spacing w:line="480" w:lineRule="auto"/>
        <w:rPr>
          <w:sz w:val="24"/>
        </w:rPr>
      </w:pPr>
      <w:r>
        <w:rPr>
          <w:sz w:val="24"/>
        </w:rPr>
        <w:tab/>
      </w:r>
      <w:r w:rsidR="00D25E2F" w:rsidRPr="00604A41">
        <w:rPr>
          <w:sz w:val="24"/>
        </w:rPr>
        <w:t xml:space="preserve">In </w:t>
      </w:r>
      <w:r w:rsidR="00790FCE" w:rsidRPr="00604A41">
        <w:rPr>
          <w:sz w:val="24"/>
        </w:rPr>
        <w:t xml:space="preserve">matters dealing with compliance, the Commission is best served by </w:t>
      </w:r>
      <w:r w:rsidR="008974C5" w:rsidRPr="00604A41">
        <w:rPr>
          <w:sz w:val="24"/>
        </w:rPr>
        <w:t>f</w:t>
      </w:r>
      <w:r w:rsidR="00790FCE" w:rsidRPr="00604A41">
        <w:rPr>
          <w:sz w:val="24"/>
        </w:rPr>
        <w:t xml:space="preserve">acts material to the question at hand. </w:t>
      </w:r>
      <w:r w:rsidR="00D90C63" w:rsidRPr="00604A41">
        <w:rPr>
          <w:sz w:val="24"/>
        </w:rPr>
        <w:t>A finding of compliance cannot be based on hypothetical</w:t>
      </w:r>
      <w:r w:rsidR="00E44DAA" w:rsidRPr="00604A41">
        <w:rPr>
          <w:sz w:val="24"/>
        </w:rPr>
        <w:t xml:space="preserve"> conclusions or </w:t>
      </w:r>
      <w:r w:rsidR="008974C5" w:rsidRPr="00604A41">
        <w:rPr>
          <w:sz w:val="24"/>
        </w:rPr>
        <w:t>assertions</w:t>
      </w:r>
      <w:r w:rsidR="00D90C63" w:rsidRPr="00604A41">
        <w:rPr>
          <w:sz w:val="24"/>
        </w:rPr>
        <w:t xml:space="preserve">. </w:t>
      </w:r>
      <w:r w:rsidR="00D25E2F" w:rsidRPr="00604A41">
        <w:rPr>
          <w:sz w:val="24"/>
        </w:rPr>
        <w:t xml:space="preserve">If as PSE argues, the final quarter is the only relevant period to consider when judging its compliance, then its </w:t>
      </w:r>
      <w:r w:rsidR="009C2A46" w:rsidRPr="00604A41">
        <w:rPr>
          <w:sz w:val="24"/>
        </w:rPr>
        <w:t xml:space="preserve">actual </w:t>
      </w:r>
      <w:r w:rsidR="00D25E2F" w:rsidRPr="00604A41">
        <w:rPr>
          <w:sz w:val="24"/>
        </w:rPr>
        <w:t xml:space="preserve">conservation results from the final quarter are the only relevant </w:t>
      </w:r>
      <w:r w:rsidR="00E44DAA" w:rsidRPr="00604A41">
        <w:rPr>
          <w:sz w:val="24"/>
        </w:rPr>
        <w:t>facts</w:t>
      </w:r>
      <w:r w:rsidR="00CB4AF9" w:rsidRPr="00604A41">
        <w:rPr>
          <w:sz w:val="24"/>
        </w:rPr>
        <w:t xml:space="preserve"> needed. </w:t>
      </w:r>
      <w:r w:rsidR="00E91B83" w:rsidRPr="00604A41">
        <w:rPr>
          <w:sz w:val="24"/>
        </w:rPr>
        <w:t>To produce this evidence, PSE should be required to disaggregate its electric conservation portfolio performance over the biennium’s four quarters</w:t>
      </w:r>
      <w:r w:rsidR="007F32F5" w:rsidRPr="00604A41">
        <w:rPr>
          <w:sz w:val="24"/>
        </w:rPr>
        <w:t>, and present its final quarter’s results to demonstrate compliance</w:t>
      </w:r>
      <w:r w:rsidR="00E91B83" w:rsidRPr="00604A41">
        <w:rPr>
          <w:sz w:val="24"/>
        </w:rPr>
        <w:t>.</w:t>
      </w:r>
    </w:p>
    <w:p w14:paraId="50AD5C3C" w14:textId="21D364BD" w:rsidR="00003665" w:rsidRPr="00604A41" w:rsidRDefault="00604A41" w:rsidP="00604A41">
      <w:pPr>
        <w:pStyle w:val="ListParagraph"/>
        <w:numPr>
          <w:ilvl w:val="0"/>
          <w:numId w:val="3"/>
        </w:numPr>
        <w:spacing w:line="480" w:lineRule="auto"/>
        <w:rPr>
          <w:sz w:val="24"/>
        </w:rPr>
      </w:pPr>
      <w:r>
        <w:rPr>
          <w:sz w:val="24"/>
        </w:rPr>
        <w:tab/>
      </w:r>
      <w:r w:rsidR="00E91B83" w:rsidRPr="00604A41">
        <w:rPr>
          <w:sz w:val="24"/>
        </w:rPr>
        <w:t xml:space="preserve">PSE asserts that its target for the quarter is not 5% but 1.25%, which is derived from </w:t>
      </w:r>
      <w:r w:rsidR="007F32F5" w:rsidRPr="00604A41">
        <w:rPr>
          <w:sz w:val="24"/>
        </w:rPr>
        <w:t xml:space="preserve">taking its conservation commitment of </w:t>
      </w:r>
      <w:r w:rsidR="00E91B83" w:rsidRPr="00604A41">
        <w:rPr>
          <w:sz w:val="24"/>
        </w:rPr>
        <w:t xml:space="preserve">5% </w:t>
      </w:r>
      <w:r w:rsidR="007F32F5" w:rsidRPr="00604A41">
        <w:rPr>
          <w:sz w:val="24"/>
        </w:rPr>
        <w:t xml:space="preserve">and dividing it </w:t>
      </w:r>
      <w:r w:rsidR="00E91B83" w:rsidRPr="00604A41">
        <w:rPr>
          <w:sz w:val="24"/>
        </w:rPr>
        <w:t>by 4.</w:t>
      </w:r>
      <w:r w:rsidR="004B15DB">
        <w:rPr>
          <w:rStyle w:val="FootnoteReference"/>
          <w:sz w:val="24"/>
        </w:rPr>
        <w:footnoteReference w:id="16"/>
      </w:r>
      <w:r w:rsidR="00E91B83" w:rsidRPr="00604A41">
        <w:rPr>
          <w:sz w:val="24"/>
        </w:rPr>
        <w:t xml:space="preserve">  </w:t>
      </w:r>
      <w:r w:rsidR="009C2A46" w:rsidRPr="00604A41">
        <w:rPr>
          <w:sz w:val="24"/>
        </w:rPr>
        <w:t xml:space="preserve">Other than </w:t>
      </w:r>
      <w:r w:rsidR="00B37D2B" w:rsidRPr="00604A41">
        <w:rPr>
          <w:sz w:val="24"/>
        </w:rPr>
        <w:t xml:space="preserve">the results of </w:t>
      </w:r>
      <w:r w:rsidR="009C2A46" w:rsidRPr="00604A41">
        <w:rPr>
          <w:sz w:val="24"/>
        </w:rPr>
        <w:lastRenderedPageBreak/>
        <w:t>simple division, t</w:t>
      </w:r>
      <w:r w:rsidR="00E91B83" w:rsidRPr="00604A41">
        <w:rPr>
          <w:sz w:val="24"/>
        </w:rPr>
        <w:t xml:space="preserve">he Company offers no </w:t>
      </w:r>
      <w:r w:rsidR="00B8195B" w:rsidRPr="00604A41">
        <w:rPr>
          <w:sz w:val="24"/>
        </w:rPr>
        <w:t xml:space="preserve">rationale </w:t>
      </w:r>
      <w:r w:rsidR="007F32F5" w:rsidRPr="00604A41">
        <w:rPr>
          <w:sz w:val="24"/>
        </w:rPr>
        <w:t xml:space="preserve">for </w:t>
      </w:r>
      <w:r w:rsidR="00E91B83" w:rsidRPr="00604A41">
        <w:rPr>
          <w:sz w:val="24"/>
        </w:rPr>
        <w:t>its</w:t>
      </w:r>
      <w:r w:rsidR="009C2A46" w:rsidRPr="00604A41">
        <w:rPr>
          <w:sz w:val="24"/>
        </w:rPr>
        <w:t xml:space="preserve"> </w:t>
      </w:r>
      <w:r w:rsidR="00E91B83" w:rsidRPr="00604A41">
        <w:rPr>
          <w:sz w:val="24"/>
        </w:rPr>
        <w:t xml:space="preserve">interpretation of </w:t>
      </w:r>
      <w:r w:rsidR="009F1904" w:rsidRPr="00604A41">
        <w:rPr>
          <w:sz w:val="24"/>
        </w:rPr>
        <w:t xml:space="preserve">the </w:t>
      </w:r>
      <w:r w:rsidR="007F32F5" w:rsidRPr="00604A41">
        <w:rPr>
          <w:sz w:val="24"/>
        </w:rPr>
        <w:t>correct target</w:t>
      </w:r>
      <w:r w:rsidR="00E91B83" w:rsidRPr="00604A41">
        <w:rPr>
          <w:sz w:val="24"/>
        </w:rPr>
        <w:t xml:space="preserve">. </w:t>
      </w:r>
      <w:r w:rsidR="009F1904" w:rsidRPr="00604A41">
        <w:rPr>
          <w:sz w:val="24"/>
        </w:rPr>
        <w:t xml:space="preserve">To Staff, </w:t>
      </w:r>
      <w:r w:rsidR="007F32F5" w:rsidRPr="00604A41">
        <w:rPr>
          <w:sz w:val="24"/>
        </w:rPr>
        <w:t xml:space="preserve">the </w:t>
      </w:r>
      <w:r w:rsidR="007F32F5" w:rsidRPr="00604A41">
        <w:rPr>
          <w:i/>
          <w:sz w:val="24"/>
        </w:rPr>
        <w:t>Decoupling</w:t>
      </w:r>
      <w:r w:rsidR="009F1904" w:rsidRPr="00604A41">
        <w:rPr>
          <w:i/>
          <w:sz w:val="24"/>
        </w:rPr>
        <w:t xml:space="preserve"> Order</w:t>
      </w:r>
      <w:r w:rsidR="009F1904" w:rsidRPr="00604A41">
        <w:rPr>
          <w:sz w:val="24"/>
        </w:rPr>
        <w:t xml:space="preserve"> is clear – PSE must demonstrate its conservation portfolio performed 5% better than its target or face a penalty. This is the Company’s obligation whether applied to the full biennium or a portion of it.  </w:t>
      </w:r>
    </w:p>
    <w:p w14:paraId="285B1DA6" w14:textId="55AAA7E2" w:rsidR="00E44DAA" w:rsidRPr="00604A41" w:rsidRDefault="00604A41" w:rsidP="00604A41">
      <w:pPr>
        <w:pStyle w:val="ListParagraph"/>
        <w:numPr>
          <w:ilvl w:val="0"/>
          <w:numId w:val="3"/>
        </w:numPr>
        <w:spacing w:line="480" w:lineRule="auto"/>
        <w:rPr>
          <w:sz w:val="24"/>
        </w:rPr>
      </w:pPr>
      <w:r>
        <w:rPr>
          <w:sz w:val="24"/>
        </w:rPr>
        <w:tab/>
      </w:r>
      <w:r w:rsidR="00CB4AF9" w:rsidRPr="00604A41">
        <w:rPr>
          <w:sz w:val="24"/>
        </w:rPr>
        <w:t xml:space="preserve">Staff </w:t>
      </w:r>
      <w:r w:rsidR="00E44DAA" w:rsidRPr="00604A41">
        <w:rPr>
          <w:sz w:val="24"/>
        </w:rPr>
        <w:t xml:space="preserve">understands </w:t>
      </w:r>
      <w:r w:rsidR="00CB4AF9" w:rsidRPr="00604A41">
        <w:rPr>
          <w:sz w:val="24"/>
        </w:rPr>
        <w:t xml:space="preserve">that disaggregating programs and performance over the biennium could be </w:t>
      </w:r>
      <w:r w:rsidR="00B104C9" w:rsidRPr="00604A41">
        <w:rPr>
          <w:sz w:val="24"/>
        </w:rPr>
        <w:t>difficult, but it is not impossible. To accomplish this task, PSE must consider its entire program and the uneven distribution of individual program results over the biennium.</w:t>
      </w:r>
      <w:r w:rsidR="004D1169">
        <w:rPr>
          <w:rStyle w:val="FootnoteReference"/>
          <w:sz w:val="24"/>
        </w:rPr>
        <w:footnoteReference w:id="17"/>
      </w:r>
      <w:r w:rsidR="00B104C9" w:rsidRPr="00604A41">
        <w:rPr>
          <w:sz w:val="24"/>
        </w:rPr>
        <w:t xml:space="preserve"> </w:t>
      </w:r>
      <w:r w:rsidR="004D1169" w:rsidRPr="00604A41">
        <w:rPr>
          <w:sz w:val="24"/>
        </w:rPr>
        <w:t xml:space="preserve">Once the distribution of program results is known, it can then determine its final quarter performance. </w:t>
      </w:r>
      <w:r w:rsidR="00CB4AF9" w:rsidRPr="00604A41">
        <w:rPr>
          <w:sz w:val="24"/>
        </w:rPr>
        <w:t xml:space="preserve"> </w:t>
      </w:r>
      <w:r w:rsidR="004D1169" w:rsidRPr="00604A41">
        <w:rPr>
          <w:sz w:val="24"/>
        </w:rPr>
        <w:t xml:space="preserve">In Staff’s opinion, this </w:t>
      </w:r>
      <w:r w:rsidR="00D90C63" w:rsidRPr="00604A41">
        <w:rPr>
          <w:sz w:val="24"/>
        </w:rPr>
        <w:t xml:space="preserve">is </w:t>
      </w:r>
      <w:r w:rsidR="00CB4AF9" w:rsidRPr="00604A41">
        <w:rPr>
          <w:sz w:val="24"/>
        </w:rPr>
        <w:t xml:space="preserve">the only accurate way to determine </w:t>
      </w:r>
      <w:r w:rsidR="0098143F" w:rsidRPr="00604A41">
        <w:rPr>
          <w:sz w:val="24"/>
        </w:rPr>
        <w:t xml:space="preserve">the Company’s </w:t>
      </w:r>
      <w:r w:rsidR="00CB4AF9" w:rsidRPr="00604A41">
        <w:rPr>
          <w:sz w:val="24"/>
        </w:rPr>
        <w:t>compliance</w:t>
      </w:r>
      <w:r w:rsidR="0098143F" w:rsidRPr="00604A41">
        <w:rPr>
          <w:sz w:val="24"/>
        </w:rPr>
        <w:t xml:space="preserve"> with the </w:t>
      </w:r>
      <w:r w:rsidR="0098143F" w:rsidRPr="00604A41">
        <w:rPr>
          <w:i/>
          <w:sz w:val="24"/>
        </w:rPr>
        <w:t>Decoupling Order</w:t>
      </w:r>
      <w:r w:rsidR="004D1169" w:rsidRPr="00604A41">
        <w:rPr>
          <w:sz w:val="24"/>
        </w:rPr>
        <w:t xml:space="preserve"> when evaluating a partial biennia</w:t>
      </w:r>
      <w:r w:rsidR="00CB4AF9" w:rsidRPr="00604A41">
        <w:rPr>
          <w:sz w:val="24"/>
        </w:rPr>
        <w:t xml:space="preserve">. </w:t>
      </w:r>
    </w:p>
    <w:p w14:paraId="2514199F" w14:textId="26642AE8" w:rsidR="00CB4AF9" w:rsidRPr="00604A41" w:rsidRDefault="00604A41" w:rsidP="00604A41">
      <w:pPr>
        <w:pStyle w:val="ListParagraph"/>
        <w:numPr>
          <w:ilvl w:val="0"/>
          <w:numId w:val="3"/>
        </w:numPr>
        <w:spacing w:line="480" w:lineRule="auto"/>
        <w:rPr>
          <w:sz w:val="24"/>
        </w:rPr>
      </w:pPr>
      <w:r>
        <w:rPr>
          <w:sz w:val="24"/>
        </w:rPr>
        <w:tab/>
      </w:r>
      <w:r w:rsidR="0098143F" w:rsidRPr="00604A41">
        <w:rPr>
          <w:sz w:val="24"/>
        </w:rPr>
        <w:t xml:space="preserve">As an alternative, Staff recommends setting aside this compliance question for the 2012-13 </w:t>
      </w:r>
      <w:r w:rsidR="00F50082" w:rsidRPr="00604A41">
        <w:rPr>
          <w:sz w:val="24"/>
        </w:rPr>
        <w:t>biennium</w:t>
      </w:r>
      <w:r w:rsidR="00D90C63" w:rsidRPr="00604A41">
        <w:rPr>
          <w:sz w:val="24"/>
        </w:rPr>
        <w:t xml:space="preserve"> in favor of examining PSE’s compliance in </w:t>
      </w:r>
      <w:r w:rsidR="00F46E59" w:rsidRPr="00604A41">
        <w:rPr>
          <w:sz w:val="24"/>
        </w:rPr>
        <w:t xml:space="preserve">the </w:t>
      </w:r>
      <w:r w:rsidR="00D90C63" w:rsidRPr="00604A41">
        <w:rPr>
          <w:sz w:val="24"/>
        </w:rPr>
        <w:t>whole biennial periods</w:t>
      </w:r>
      <w:r w:rsidR="007F32F5" w:rsidRPr="00604A41">
        <w:rPr>
          <w:sz w:val="24"/>
        </w:rPr>
        <w:t xml:space="preserve"> that follow and</w:t>
      </w:r>
      <w:r w:rsidR="00573041" w:rsidRPr="00604A41">
        <w:rPr>
          <w:sz w:val="24"/>
        </w:rPr>
        <w:t xml:space="preserve"> during which the decoupling mechanism is in effect</w:t>
      </w:r>
      <w:r w:rsidR="00B8195B" w:rsidRPr="00604A41">
        <w:rPr>
          <w:sz w:val="24"/>
        </w:rPr>
        <w:t xml:space="preserve"> - </w:t>
      </w:r>
      <w:r w:rsidR="00F46E59" w:rsidRPr="00604A41">
        <w:rPr>
          <w:sz w:val="24"/>
        </w:rPr>
        <w:t xml:space="preserve">with one </w:t>
      </w:r>
      <w:r w:rsidR="00B8195B" w:rsidRPr="00604A41">
        <w:rPr>
          <w:sz w:val="24"/>
        </w:rPr>
        <w:t xml:space="preserve">important </w:t>
      </w:r>
      <w:r w:rsidR="00F46E59" w:rsidRPr="00604A41">
        <w:rPr>
          <w:sz w:val="24"/>
        </w:rPr>
        <w:t>exception</w:t>
      </w:r>
      <w:r w:rsidR="00D90C63" w:rsidRPr="00604A41">
        <w:rPr>
          <w:sz w:val="24"/>
        </w:rPr>
        <w:t xml:space="preserve">.  </w:t>
      </w:r>
      <w:r w:rsidR="00F46E59" w:rsidRPr="00604A41">
        <w:rPr>
          <w:sz w:val="24"/>
        </w:rPr>
        <w:t xml:space="preserve">Staff </w:t>
      </w:r>
      <w:r w:rsidR="00573041" w:rsidRPr="00604A41">
        <w:rPr>
          <w:sz w:val="24"/>
        </w:rPr>
        <w:t>recommend</w:t>
      </w:r>
      <w:r w:rsidR="00401556" w:rsidRPr="00604A41">
        <w:rPr>
          <w:sz w:val="24"/>
        </w:rPr>
        <w:t>s</w:t>
      </w:r>
      <w:r w:rsidR="00573041" w:rsidRPr="00604A41">
        <w:rPr>
          <w:sz w:val="24"/>
        </w:rPr>
        <w:t xml:space="preserve"> </w:t>
      </w:r>
      <w:r w:rsidR="00F46E59" w:rsidRPr="00604A41">
        <w:rPr>
          <w:sz w:val="24"/>
        </w:rPr>
        <w:t>treat</w:t>
      </w:r>
      <w:r w:rsidR="00573041" w:rsidRPr="00604A41">
        <w:rPr>
          <w:sz w:val="24"/>
        </w:rPr>
        <w:t>ing</w:t>
      </w:r>
      <w:r w:rsidR="00F46E59" w:rsidRPr="00604A41">
        <w:rPr>
          <w:sz w:val="24"/>
        </w:rPr>
        <w:t xml:space="preserve"> PSE’s last biennium as a full biennium w</w:t>
      </w:r>
      <w:r w:rsidR="007B592B" w:rsidRPr="00604A41">
        <w:rPr>
          <w:sz w:val="24"/>
        </w:rPr>
        <w:t>hether or not PSE’s decoupling program remains in effect during the entire period</w:t>
      </w:r>
      <w:r w:rsidR="00F46E59" w:rsidRPr="00604A41">
        <w:rPr>
          <w:sz w:val="24"/>
        </w:rPr>
        <w:t xml:space="preserve">. </w:t>
      </w:r>
      <w:r w:rsidR="007B592B" w:rsidRPr="00604A41">
        <w:rPr>
          <w:sz w:val="24"/>
        </w:rPr>
        <w:t xml:space="preserve">To Staff, this would be a fair result that avoids the complications inherent in disaggregating program performance into partial biennia for the purpose of making a compliance finding. In short, Staff is willing to </w:t>
      </w:r>
      <w:r w:rsidR="00573041" w:rsidRPr="00604A41">
        <w:rPr>
          <w:sz w:val="24"/>
        </w:rPr>
        <w:t>compromise now in exchange for assurance on PSE’s commitment</w:t>
      </w:r>
      <w:r w:rsidR="00E44DAA" w:rsidRPr="00604A41">
        <w:rPr>
          <w:sz w:val="24"/>
        </w:rPr>
        <w:t xml:space="preserve"> </w:t>
      </w:r>
      <w:r w:rsidR="007B592B" w:rsidRPr="00604A41">
        <w:rPr>
          <w:sz w:val="24"/>
        </w:rPr>
        <w:t xml:space="preserve">when the decoupling program ends or no longer requires an accelerated performance requirement.  </w:t>
      </w:r>
    </w:p>
    <w:p w14:paraId="7E709884" w14:textId="77777777" w:rsidR="00DB5F5B" w:rsidRPr="002655E6" w:rsidRDefault="00DD3DEA" w:rsidP="00673C80">
      <w:pPr>
        <w:pStyle w:val="ListParagraph"/>
        <w:keepNext/>
        <w:numPr>
          <w:ilvl w:val="0"/>
          <w:numId w:val="2"/>
        </w:numPr>
        <w:spacing w:line="480" w:lineRule="auto"/>
        <w:ind w:hanging="720"/>
        <w:rPr>
          <w:b/>
          <w:sz w:val="24"/>
        </w:rPr>
      </w:pPr>
      <w:r w:rsidRPr="002655E6">
        <w:rPr>
          <w:b/>
          <w:sz w:val="24"/>
        </w:rPr>
        <w:lastRenderedPageBreak/>
        <w:t>Should the Commission Make a Compliance Filing in this Docket?</w:t>
      </w:r>
    </w:p>
    <w:p w14:paraId="23C07F78" w14:textId="61ED0ED9" w:rsidR="007872A2" w:rsidRPr="00604A41" w:rsidRDefault="00604A41" w:rsidP="00445CED">
      <w:pPr>
        <w:pStyle w:val="ListParagraph"/>
        <w:keepNext/>
        <w:widowControl/>
        <w:numPr>
          <w:ilvl w:val="0"/>
          <w:numId w:val="7"/>
        </w:numPr>
        <w:spacing w:line="480" w:lineRule="auto"/>
        <w:rPr>
          <w:sz w:val="24"/>
        </w:rPr>
      </w:pPr>
      <w:r>
        <w:rPr>
          <w:sz w:val="24"/>
        </w:rPr>
        <w:tab/>
      </w:r>
      <w:r w:rsidR="00E44DAA" w:rsidRPr="00604A41">
        <w:rPr>
          <w:sz w:val="24"/>
        </w:rPr>
        <w:t xml:space="preserve">PSE seeks a determination that it complied with </w:t>
      </w:r>
      <w:r w:rsidR="007F32F5" w:rsidRPr="00604A41">
        <w:rPr>
          <w:sz w:val="24"/>
        </w:rPr>
        <w:t xml:space="preserve">the </w:t>
      </w:r>
      <w:r w:rsidR="007F32F5" w:rsidRPr="00604A41">
        <w:rPr>
          <w:i/>
          <w:sz w:val="24"/>
        </w:rPr>
        <w:t>Decoupling</w:t>
      </w:r>
      <w:r w:rsidR="00E44DAA" w:rsidRPr="00604A41">
        <w:rPr>
          <w:i/>
          <w:sz w:val="24"/>
        </w:rPr>
        <w:t xml:space="preserve"> Order’s</w:t>
      </w:r>
      <w:r w:rsidR="00E44DAA" w:rsidRPr="00604A41">
        <w:rPr>
          <w:sz w:val="24"/>
        </w:rPr>
        <w:t xml:space="preserve"> requirement to accelerate its conservation performance during the 2012-13 biennium. Staff </w:t>
      </w:r>
      <w:r w:rsidR="00C7403D" w:rsidRPr="00604A41">
        <w:rPr>
          <w:sz w:val="24"/>
        </w:rPr>
        <w:t>recommends against such a finding</w:t>
      </w:r>
      <w:r w:rsidR="00CF6800" w:rsidRPr="00604A41">
        <w:rPr>
          <w:sz w:val="24"/>
        </w:rPr>
        <w:t xml:space="preserve">. </w:t>
      </w:r>
      <w:r w:rsidR="00C7403D" w:rsidRPr="00604A41">
        <w:rPr>
          <w:sz w:val="24"/>
        </w:rPr>
        <w:t xml:space="preserve"> </w:t>
      </w:r>
    </w:p>
    <w:p w14:paraId="7543A0A1" w14:textId="5128BEAC" w:rsidR="007872A2" w:rsidRPr="00604A41" w:rsidRDefault="00604A41" w:rsidP="00604A41">
      <w:pPr>
        <w:pStyle w:val="ListParagraph"/>
        <w:numPr>
          <w:ilvl w:val="0"/>
          <w:numId w:val="7"/>
        </w:numPr>
        <w:spacing w:line="480" w:lineRule="auto"/>
        <w:rPr>
          <w:sz w:val="24"/>
        </w:rPr>
      </w:pPr>
      <w:r>
        <w:rPr>
          <w:sz w:val="24"/>
        </w:rPr>
        <w:tab/>
      </w:r>
      <w:r w:rsidR="007872A2" w:rsidRPr="00604A41">
        <w:rPr>
          <w:sz w:val="24"/>
        </w:rPr>
        <w:t>First</w:t>
      </w:r>
      <w:r w:rsidR="00CF6800" w:rsidRPr="00604A41">
        <w:rPr>
          <w:sz w:val="24"/>
        </w:rPr>
        <w:t xml:space="preserve"> and as pointed out above</w:t>
      </w:r>
      <w:r w:rsidR="007872A2" w:rsidRPr="00604A41">
        <w:rPr>
          <w:sz w:val="24"/>
        </w:rPr>
        <w:t xml:space="preserve">, the Company has failed to demonstrate a factual basis for making a </w:t>
      </w:r>
      <w:r w:rsidR="00CF6800" w:rsidRPr="00604A41">
        <w:rPr>
          <w:sz w:val="24"/>
        </w:rPr>
        <w:t>finding o</w:t>
      </w:r>
      <w:r w:rsidR="007872A2" w:rsidRPr="00604A41">
        <w:rPr>
          <w:sz w:val="24"/>
        </w:rPr>
        <w:t xml:space="preserve">f compliance. </w:t>
      </w:r>
      <w:r w:rsidR="00CF6800" w:rsidRPr="00604A41">
        <w:rPr>
          <w:sz w:val="24"/>
        </w:rPr>
        <w:t xml:space="preserve">Simply stated, </w:t>
      </w:r>
      <w:r w:rsidR="008E162D" w:rsidRPr="00604A41">
        <w:rPr>
          <w:sz w:val="24"/>
        </w:rPr>
        <w:t xml:space="preserve">the evidence supporting such a finding is not in this record.  </w:t>
      </w:r>
      <w:r w:rsidR="007872A2" w:rsidRPr="00604A41">
        <w:rPr>
          <w:sz w:val="24"/>
        </w:rPr>
        <w:t>PSE has not shown its actual conservation results</w:t>
      </w:r>
      <w:r w:rsidR="00573041" w:rsidRPr="00604A41">
        <w:rPr>
          <w:sz w:val="24"/>
        </w:rPr>
        <w:t>, nor identified a</w:t>
      </w:r>
      <w:r w:rsidR="008A0C53" w:rsidRPr="00604A41">
        <w:rPr>
          <w:sz w:val="24"/>
        </w:rPr>
        <w:t>n effective</w:t>
      </w:r>
      <w:r w:rsidR="00573041" w:rsidRPr="00604A41">
        <w:rPr>
          <w:sz w:val="24"/>
        </w:rPr>
        <w:t xml:space="preserve"> target</w:t>
      </w:r>
      <w:r w:rsidR="007F32F5" w:rsidRPr="00604A41">
        <w:rPr>
          <w:sz w:val="24"/>
        </w:rPr>
        <w:t xml:space="preserve"> </w:t>
      </w:r>
      <w:r w:rsidR="007872A2" w:rsidRPr="00604A41">
        <w:rPr>
          <w:sz w:val="24"/>
        </w:rPr>
        <w:t xml:space="preserve">for the final quarter of the biennium. </w:t>
      </w:r>
      <w:r w:rsidR="00170C17" w:rsidRPr="00604A41">
        <w:rPr>
          <w:sz w:val="24"/>
        </w:rPr>
        <w:t xml:space="preserve">Until these issues are resolved, PSE is not entitled to a finding of compliance.   </w:t>
      </w:r>
    </w:p>
    <w:p w14:paraId="57F04B64" w14:textId="22A5E297" w:rsidR="00636D96" w:rsidRPr="00604A41" w:rsidRDefault="00604A41" w:rsidP="00604A41">
      <w:pPr>
        <w:pStyle w:val="ListParagraph"/>
        <w:numPr>
          <w:ilvl w:val="0"/>
          <w:numId w:val="7"/>
        </w:numPr>
        <w:spacing w:line="480" w:lineRule="auto"/>
        <w:rPr>
          <w:sz w:val="24"/>
        </w:rPr>
      </w:pPr>
      <w:r>
        <w:rPr>
          <w:sz w:val="24"/>
        </w:rPr>
        <w:tab/>
      </w:r>
      <w:r w:rsidR="00170C17" w:rsidRPr="00604A41">
        <w:rPr>
          <w:sz w:val="24"/>
        </w:rPr>
        <w:t xml:space="preserve">Further, the relevant docket to determine PSE’s conservation performance </w:t>
      </w:r>
      <w:r w:rsidR="00636D96" w:rsidRPr="00604A41">
        <w:rPr>
          <w:sz w:val="24"/>
        </w:rPr>
        <w:t xml:space="preserve">is </w:t>
      </w:r>
      <w:r w:rsidR="00170C17" w:rsidRPr="00604A41">
        <w:rPr>
          <w:sz w:val="24"/>
        </w:rPr>
        <w:t xml:space="preserve">Docket UE- 111881, which contains the existing record of PSE’s conservation </w:t>
      </w:r>
      <w:r w:rsidR="00636D96" w:rsidRPr="00604A41">
        <w:rPr>
          <w:sz w:val="24"/>
        </w:rPr>
        <w:t xml:space="preserve">portfolio </w:t>
      </w:r>
      <w:r w:rsidR="00170C17" w:rsidRPr="00604A41">
        <w:rPr>
          <w:sz w:val="24"/>
        </w:rPr>
        <w:t>over the 2012-13 biennium.</w:t>
      </w:r>
      <w:r w:rsidR="00636D96" w:rsidRPr="00604A41">
        <w:rPr>
          <w:sz w:val="24"/>
        </w:rPr>
        <w:t xml:space="preserve">  PSE will need to do further analysis </w:t>
      </w:r>
      <w:r w:rsidR="0062230E" w:rsidRPr="00604A41">
        <w:rPr>
          <w:sz w:val="24"/>
        </w:rPr>
        <w:t xml:space="preserve">that is </w:t>
      </w:r>
      <w:r w:rsidR="00636D96" w:rsidRPr="00604A41">
        <w:rPr>
          <w:sz w:val="24"/>
        </w:rPr>
        <w:t xml:space="preserve">based on this record to demonstrate compliance should the Commission conclude that Staff’s position on partial biennia performance is correct.  </w:t>
      </w:r>
      <w:r w:rsidR="005755D7" w:rsidRPr="00604A41">
        <w:rPr>
          <w:sz w:val="24"/>
        </w:rPr>
        <w:t>T</w:t>
      </w:r>
      <w:r w:rsidR="00636D96" w:rsidRPr="00604A41">
        <w:rPr>
          <w:sz w:val="24"/>
        </w:rPr>
        <w:t xml:space="preserve">his work should be performed in Docket UE-111881, and not in this proceeding. </w:t>
      </w:r>
    </w:p>
    <w:p w14:paraId="000BECA1" w14:textId="6A3AA7F1" w:rsidR="005755D7" w:rsidRDefault="00604A41" w:rsidP="00604A41">
      <w:pPr>
        <w:pStyle w:val="ListParagraph"/>
        <w:numPr>
          <w:ilvl w:val="0"/>
          <w:numId w:val="7"/>
        </w:numPr>
        <w:spacing w:line="480" w:lineRule="auto"/>
        <w:rPr>
          <w:sz w:val="24"/>
        </w:rPr>
      </w:pPr>
      <w:r>
        <w:tab/>
      </w:r>
      <w:r w:rsidR="00FE55F6" w:rsidRPr="00604A41">
        <w:rPr>
          <w:sz w:val="24"/>
        </w:rPr>
        <w:t xml:space="preserve">Finally, </w:t>
      </w:r>
      <w:r w:rsidR="00AB7CB2" w:rsidRPr="00604A41">
        <w:rPr>
          <w:sz w:val="24"/>
        </w:rPr>
        <w:t>Staff is reluctant to use d</w:t>
      </w:r>
      <w:r w:rsidR="00C7403D" w:rsidRPr="00604A41">
        <w:rPr>
          <w:sz w:val="24"/>
        </w:rPr>
        <w:t>eclaratory order proceeding</w:t>
      </w:r>
      <w:r w:rsidR="00FE55F6" w:rsidRPr="00604A41">
        <w:rPr>
          <w:sz w:val="24"/>
        </w:rPr>
        <w:t>s</w:t>
      </w:r>
      <w:r w:rsidR="00AB7CB2" w:rsidRPr="00604A41">
        <w:rPr>
          <w:sz w:val="24"/>
        </w:rPr>
        <w:t xml:space="preserve"> to determine </w:t>
      </w:r>
      <w:r w:rsidR="005755D7" w:rsidRPr="00604A41">
        <w:rPr>
          <w:sz w:val="24"/>
        </w:rPr>
        <w:t xml:space="preserve">a </w:t>
      </w:r>
      <w:r w:rsidR="00FE55F6" w:rsidRPr="00604A41">
        <w:rPr>
          <w:sz w:val="24"/>
        </w:rPr>
        <w:t>company</w:t>
      </w:r>
      <w:r w:rsidR="005755D7" w:rsidRPr="00604A41">
        <w:rPr>
          <w:sz w:val="24"/>
        </w:rPr>
        <w:t>’s</w:t>
      </w:r>
      <w:r w:rsidR="00FE55F6" w:rsidRPr="00604A41">
        <w:rPr>
          <w:sz w:val="24"/>
        </w:rPr>
        <w:t xml:space="preserve"> compliance</w:t>
      </w:r>
      <w:r w:rsidR="005755D7" w:rsidRPr="00604A41">
        <w:rPr>
          <w:sz w:val="24"/>
        </w:rPr>
        <w:t xml:space="preserve"> with Commission orders</w:t>
      </w:r>
      <w:r w:rsidR="00FE55F6" w:rsidRPr="00604A41">
        <w:rPr>
          <w:sz w:val="24"/>
        </w:rPr>
        <w:t xml:space="preserve">. </w:t>
      </w:r>
      <w:r w:rsidR="00AB7CB2" w:rsidRPr="00604A41">
        <w:rPr>
          <w:sz w:val="24"/>
        </w:rPr>
        <w:t>Declaratory order proceeding</w:t>
      </w:r>
      <w:r w:rsidR="009E27AD" w:rsidRPr="00604A41">
        <w:rPr>
          <w:sz w:val="24"/>
        </w:rPr>
        <w:t xml:space="preserve">s </w:t>
      </w:r>
      <w:r w:rsidR="00AB7CB2" w:rsidRPr="00604A41">
        <w:rPr>
          <w:sz w:val="24"/>
        </w:rPr>
        <w:t xml:space="preserve">are </w:t>
      </w:r>
      <w:r w:rsidR="00FE55F6" w:rsidRPr="00604A41">
        <w:rPr>
          <w:sz w:val="24"/>
        </w:rPr>
        <w:t>allowed when a party seeks an interpretation of an</w:t>
      </w:r>
      <w:r w:rsidR="00C7403D" w:rsidRPr="00604A41">
        <w:rPr>
          <w:sz w:val="24"/>
        </w:rPr>
        <w:t xml:space="preserve"> order</w:t>
      </w:r>
      <w:r w:rsidR="00FE55F6" w:rsidRPr="00604A41">
        <w:rPr>
          <w:sz w:val="24"/>
        </w:rPr>
        <w:t>, rule or statute</w:t>
      </w:r>
      <w:r w:rsidR="00C7403D" w:rsidRPr="00604A41">
        <w:rPr>
          <w:sz w:val="24"/>
        </w:rPr>
        <w:t xml:space="preserve"> enforceable by the Commission.</w:t>
      </w:r>
      <w:r w:rsidR="00C7403D">
        <w:rPr>
          <w:rStyle w:val="FootnoteReference"/>
          <w:sz w:val="24"/>
        </w:rPr>
        <w:footnoteReference w:id="18"/>
      </w:r>
      <w:r w:rsidR="009E27AD" w:rsidRPr="00604A41">
        <w:rPr>
          <w:sz w:val="24"/>
        </w:rPr>
        <w:t xml:space="preserve"> </w:t>
      </w:r>
      <w:r w:rsidR="00FE55F6" w:rsidRPr="00604A41">
        <w:rPr>
          <w:sz w:val="24"/>
        </w:rPr>
        <w:t xml:space="preserve">Here, PSE asks </w:t>
      </w:r>
      <w:r w:rsidR="009E27AD" w:rsidRPr="00604A41">
        <w:rPr>
          <w:sz w:val="24"/>
        </w:rPr>
        <w:t>the Commission to interpret</w:t>
      </w:r>
      <w:r w:rsidR="00D02C61" w:rsidRPr="00604A41">
        <w:rPr>
          <w:sz w:val="24"/>
        </w:rPr>
        <w:t xml:space="preserve"> </w:t>
      </w:r>
      <w:r w:rsidR="00FE55F6" w:rsidRPr="00604A41">
        <w:rPr>
          <w:sz w:val="24"/>
        </w:rPr>
        <w:t xml:space="preserve">its </w:t>
      </w:r>
      <w:r w:rsidR="00D02C61" w:rsidRPr="00604A41">
        <w:rPr>
          <w:i/>
          <w:sz w:val="24"/>
        </w:rPr>
        <w:t>Decoupling Order</w:t>
      </w:r>
      <w:r w:rsidR="00D02C61" w:rsidRPr="00604A41">
        <w:rPr>
          <w:sz w:val="24"/>
        </w:rPr>
        <w:t>. This request is consistent with Staff’s view</w:t>
      </w:r>
      <w:r w:rsidR="0062230E" w:rsidRPr="00604A41">
        <w:rPr>
          <w:sz w:val="24"/>
        </w:rPr>
        <w:t xml:space="preserve"> of the purpose of declaratory o</w:t>
      </w:r>
      <w:r w:rsidR="00D02C61" w:rsidRPr="00604A41">
        <w:rPr>
          <w:sz w:val="24"/>
        </w:rPr>
        <w:t xml:space="preserve">rder proceedings. </w:t>
      </w:r>
      <w:r w:rsidR="0062230E" w:rsidRPr="00604A41">
        <w:rPr>
          <w:sz w:val="24"/>
        </w:rPr>
        <w:t xml:space="preserve">However, </w:t>
      </w:r>
      <w:r w:rsidR="00D02C61" w:rsidRPr="00604A41">
        <w:rPr>
          <w:sz w:val="24"/>
        </w:rPr>
        <w:t xml:space="preserve">PSE also requests the Commission to </w:t>
      </w:r>
      <w:r w:rsidR="00E52978" w:rsidRPr="00604A41">
        <w:rPr>
          <w:sz w:val="24"/>
        </w:rPr>
        <w:t xml:space="preserve">make a compliance finding in this docket. </w:t>
      </w:r>
      <w:r w:rsidR="00D02C61" w:rsidRPr="00604A41">
        <w:rPr>
          <w:sz w:val="24"/>
        </w:rPr>
        <w:t xml:space="preserve">While within the purview of </w:t>
      </w:r>
      <w:r w:rsidR="00391A71" w:rsidRPr="00604A41">
        <w:rPr>
          <w:sz w:val="24"/>
        </w:rPr>
        <w:t xml:space="preserve">the </w:t>
      </w:r>
      <w:r w:rsidR="00D02C61" w:rsidRPr="00604A41">
        <w:rPr>
          <w:sz w:val="24"/>
        </w:rPr>
        <w:t>Commission</w:t>
      </w:r>
      <w:r w:rsidR="00391A71" w:rsidRPr="00604A41">
        <w:rPr>
          <w:sz w:val="24"/>
        </w:rPr>
        <w:t xml:space="preserve">’s authority, </w:t>
      </w:r>
      <w:r w:rsidR="00D02C61" w:rsidRPr="00604A41">
        <w:rPr>
          <w:sz w:val="24"/>
        </w:rPr>
        <w:t xml:space="preserve">Staff </w:t>
      </w:r>
      <w:r w:rsidR="0062230E" w:rsidRPr="00604A41">
        <w:rPr>
          <w:sz w:val="24"/>
        </w:rPr>
        <w:t>does not want to see declaratory o</w:t>
      </w:r>
      <w:r w:rsidR="00391A71" w:rsidRPr="00604A41">
        <w:rPr>
          <w:sz w:val="24"/>
        </w:rPr>
        <w:t xml:space="preserve">rder petitions becoming the preferred vehicle for determining </w:t>
      </w:r>
      <w:r w:rsidR="00AD569F" w:rsidRPr="00604A41">
        <w:rPr>
          <w:sz w:val="24"/>
        </w:rPr>
        <w:t xml:space="preserve">company </w:t>
      </w:r>
      <w:r w:rsidR="00391A71" w:rsidRPr="00604A41">
        <w:rPr>
          <w:sz w:val="24"/>
        </w:rPr>
        <w:lastRenderedPageBreak/>
        <w:t xml:space="preserve">compliance. </w:t>
      </w:r>
      <w:r w:rsidR="005755D7" w:rsidRPr="00604A41">
        <w:rPr>
          <w:sz w:val="24"/>
        </w:rPr>
        <w:t xml:space="preserve">If used for this purpose, it should </w:t>
      </w:r>
      <w:r w:rsidR="0062230E" w:rsidRPr="00604A41">
        <w:rPr>
          <w:sz w:val="24"/>
        </w:rPr>
        <w:t xml:space="preserve">be </w:t>
      </w:r>
      <w:r w:rsidR="005755D7" w:rsidRPr="00604A41">
        <w:rPr>
          <w:sz w:val="24"/>
        </w:rPr>
        <w:t xml:space="preserve">reserved for unique circumstances, and this is not one of them. </w:t>
      </w:r>
      <w:r w:rsidR="0062230E" w:rsidRPr="00604A41">
        <w:rPr>
          <w:sz w:val="24"/>
        </w:rPr>
        <w:t xml:space="preserve"> </w:t>
      </w:r>
      <w:r w:rsidR="005755D7" w:rsidRPr="00604A41">
        <w:rPr>
          <w:sz w:val="24"/>
        </w:rPr>
        <w:t xml:space="preserve">Docket UE-111881 </w:t>
      </w:r>
      <w:r w:rsidR="00E52978" w:rsidRPr="00604A41">
        <w:rPr>
          <w:sz w:val="24"/>
        </w:rPr>
        <w:t xml:space="preserve">is </w:t>
      </w:r>
      <w:r w:rsidR="005755D7" w:rsidRPr="00604A41">
        <w:rPr>
          <w:sz w:val="24"/>
        </w:rPr>
        <w:t>the proper place for any remaining work</w:t>
      </w:r>
      <w:r w:rsidR="00B72BD5" w:rsidRPr="00604A41">
        <w:rPr>
          <w:sz w:val="24"/>
        </w:rPr>
        <w:t xml:space="preserve"> required to </w:t>
      </w:r>
      <w:r w:rsidR="005755D7" w:rsidRPr="00604A41">
        <w:rPr>
          <w:sz w:val="24"/>
        </w:rPr>
        <w:t>be done on the issues presented here.</w:t>
      </w:r>
      <w:r w:rsidR="0062230E">
        <w:rPr>
          <w:rStyle w:val="FootnoteReference"/>
          <w:sz w:val="24"/>
        </w:rPr>
        <w:footnoteReference w:id="19"/>
      </w:r>
      <w:r w:rsidR="0062230E" w:rsidRPr="00604A41">
        <w:rPr>
          <w:sz w:val="24"/>
        </w:rPr>
        <w:t xml:space="preserve"> </w:t>
      </w:r>
      <w:r w:rsidR="005755D7" w:rsidRPr="00604A41">
        <w:rPr>
          <w:sz w:val="24"/>
        </w:rPr>
        <w:t xml:space="preserve">  </w:t>
      </w:r>
    </w:p>
    <w:p w14:paraId="45C3FF31" w14:textId="54C0012E" w:rsidR="00A75E2A" w:rsidRDefault="00A75E2A" w:rsidP="00A75E2A">
      <w:pPr>
        <w:pStyle w:val="ListParagraph"/>
        <w:spacing w:line="480" w:lineRule="auto"/>
        <w:ind w:left="0"/>
        <w:jc w:val="center"/>
        <w:rPr>
          <w:b/>
          <w:sz w:val="24"/>
        </w:rPr>
      </w:pPr>
      <w:r>
        <w:rPr>
          <w:b/>
          <w:sz w:val="24"/>
        </w:rPr>
        <w:t>IV.</w:t>
      </w:r>
      <w:r>
        <w:rPr>
          <w:b/>
          <w:sz w:val="24"/>
        </w:rPr>
        <w:tab/>
        <w:t>CONCLUSION</w:t>
      </w:r>
    </w:p>
    <w:p w14:paraId="5C66D0C4" w14:textId="499FE82E" w:rsidR="00641C7E" w:rsidRDefault="00641C7E" w:rsidP="003458CB">
      <w:pPr>
        <w:pStyle w:val="ListParagraph"/>
        <w:numPr>
          <w:ilvl w:val="0"/>
          <w:numId w:val="7"/>
        </w:numPr>
        <w:spacing w:line="480" w:lineRule="auto"/>
        <w:rPr>
          <w:sz w:val="24"/>
        </w:rPr>
      </w:pPr>
      <w:r>
        <w:rPr>
          <w:sz w:val="24"/>
        </w:rPr>
        <w:tab/>
      </w:r>
      <w:r w:rsidRPr="00641C7E">
        <w:rPr>
          <w:sz w:val="24"/>
        </w:rPr>
        <w:t xml:space="preserve">For the reasons set forth herein, Staff recommends that the Commission </w:t>
      </w:r>
      <w:r w:rsidR="00007F3C">
        <w:rPr>
          <w:sz w:val="24"/>
        </w:rPr>
        <w:t>find</w:t>
      </w:r>
      <w:r w:rsidRPr="00641C7E">
        <w:rPr>
          <w:sz w:val="24"/>
        </w:rPr>
        <w:t xml:space="preserve"> PSE’s </w:t>
      </w:r>
      <w:r w:rsidR="00007F3C">
        <w:rPr>
          <w:sz w:val="24"/>
        </w:rPr>
        <w:t xml:space="preserve">decoupling commitment applies to the entire 2012-13 biennium.  </w:t>
      </w:r>
      <w:r w:rsidRPr="00641C7E">
        <w:rPr>
          <w:sz w:val="24"/>
        </w:rPr>
        <w:t xml:space="preserve">In the alternative, Staff recommends that any factual findings required to determine compliance with the </w:t>
      </w:r>
      <w:r w:rsidRPr="00641C7E">
        <w:rPr>
          <w:i/>
          <w:sz w:val="24"/>
        </w:rPr>
        <w:t>Decoupling Order</w:t>
      </w:r>
      <w:r w:rsidRPr="00641C7E">
        <w:rPr>
          <w:sz w:val="24"/>
        </w:rPr>
        <w:t xml:space="preserve"> be decided in Docket UE-111881.  </w:t>
      </w:r>
      <w:bookmarkStart w:id="0" w:name="_GoBack"/>
      <w:bookmarkEnd w:id="0"/>
    </w:p>
    <w:p w14:paraId="5B62928C" w14:textId="1A7A5DDF" w:rsidR="002655E6" w:rsidRPr="00641C7E" w:rsidRDefault="002655E6" w:rsidP="00641C7E">
      <w:pPr>
        <w:pStyle w:val="ListParagraph"/>
        <w:spacing w:line="480" w:lineRule="auto"/>
        <w:ind w:left="0" w:firstLine="720"/>
        <w:rPr>
          <w:sz w:val="24"/>
        </w:rPr>
      </w:pPr>
      <w:r w:rsidRPr="00641C7E">
        <w:rPr>
          <w:sz w:val="24"/>
        </w:rPr>
        <w:t xml:space="preserve">Dated this </w:t>
      </w:r>
      <w:r w:rsidR="00604A41" w:rsidRPr="00641C7E">
        <w:rPr>
          <w:sz w:val="24"/>
        </w:rPr>
        <w:t>18</w:t>
      </w:r>
      <w:r w:rsidR="00604A41" w:rsidRPr="00641C7E">
        <w:rPr>
          <w:sz w:val="24"/>
          <w:vertAlign w:val="superscript"/>
        </w:rPr>
        <w:t>th</w:t>
      </w:r>
      <w:r w:rsidR="00604A41" w:rsidRPr="00641C7E">
        <w:rPr>
          <w:sz w:val="24"/>
        </w:rPr>
        <w:t xml:space="preserve"> </w:t>
      </w:r>
      <w:r w:rsidRPr="00641C7E">
        <w:rPr>
          <w:sz w:val="24"/>
        </w:rPr>
        <w:t xml:space="preserve">day of July, 2014. </w:t>
      </w:r>
    </w:p>
    <w:p w14:paraId="6B03419F" w14:textId="77777777" w:rsidR="00461091" w:rsidRPr="004A2910" w:rsidRDefault="00461091" w:rsidP="00461091">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76F95709" w14:textId="77777777" w:rsidR="00461091" w:rsidRPr="004A2910" w:rsidRDefault="00461091" w:rsidP="00461091">
      <w:pPr>
        <w:pStyle w:val="BodyTextIndent2"/>
        <w:rPr>
          <w:rFonts w:ascii="Times New Roman" w:hAnsi="Times New Roman"/>
        </w:rPr>
      </w:pPr>
    </w:p>
    <w:p w14:paraId="568CF239" w14:textId="77777777" w:rsidR="00461091" w:rsidRPr="004A2910" w:rsidRDefault="00461091" w:rsidP="00461091">
      <w:pPr>
        <w:ind w:left="5040"/>
        <w:jc w:val="both"/>
        <w:rPr>
          <w:sz w:val="24"/>
        </w:rPr>
      </w:pPr>
      <w:r w:rsidRPr="004A2910">
        <w:rPr>
          <w:sz w:val="24"/>
        </w:rPr>
        <w:t>ROB</w:t>
      </w:r>
      <w:r>
        <w:rPr>
          <w:sz w:val="24"/>
        </w:rPr>
        <w:t>ERT W. FERGUSON</w:t>
      </w:r>
      <w:r w:rsidRPr="004A2910">
        <w:rPr>
          <w:sz w:val="24"/>
        </w:rPr>
        <w:t xml:space="preserve"> </w:t>
      </w:r>
    </w:p>
    <w:p w14:paraId="78355B95" w14:textId="77777777" w:rsidR="00461091" w:rsidRPr="004A2910" w:rsidRDefault="00461091" w:rsidP="00461091">
      <w:pPr>
        <w:ind w:firstLine="5040"/>
        <w:jc w:val="both"/>
        <w:rPr>
          <w:sz w:val="24"/>
        </w:rPr>
      </w:pPr>
      <w:r w:rsidRPr="004A2910">
        <w:rPr>
          <w:sz w:val="24"/>
        </w:rPr>
        <w:t>Attorney General</w:t>
      </w:r>
    </w:p>
    <w:p w14:paraId="32074C08" w14:textId="77777777" w:rsidR="00461091" w:rsidRPr="004A2910" w:rsidRDefault="00461091" w:rsidP="00461091">
      <w:pPr>
        <w:jc w:val="both"/>
        <w:rPr>
          <w:sz w:val="24"/>
        </w:rPr>
      </w:pPr>
    </w:p>
    <w:p w14:paraId="5CFC8DC5" w14:textId="77777777" w:rsidR="00461091" w:rsidRDefault="00461091" w:rsidP="00461091">
      <w:pPr>
        <w:jc w:val="both"/>
        <w:rPr>
          <w:sz w:val="24"/>
        </w:rPr>
      </w:pPr>
    </w:p>
    <w:p w14:paraId="6F462533" w14:textId="77777777" w:rsidR="00461091" w:rsidRPr="004A2910" w:rsidRDefault="00461091" w:rsidP="00461091">
      <w:pPr>
        <w:ind w:left="1440" w:firstLine="3600"/>
        <w:jc w:val="both"/>
        <w:rPr>
          <w:sz w:val="24"/>
        </w:rPr>
      </w:pPr>
      <w:r w:rsidRPr="004A2910">
        <w:rPr>
          <w:sz w:val="24"/>
        </w:rPr>
        <w:t>______________________________</w:t>
      </w:r>
    </w:p>
    <w:p w14:paraId="710DF655" w14:textId="1D64EDC3" w:rsidR="00461091" w:rsidRPr="004A2910" w:rsidRDefault="00461091" w:rsidP="00461091">
      <w:pPr>
        <w:ind w:firstLine="5040"/>
        <w:jc w:val="both"/>
        <w:rPr>
          <w:sz w:val="24"/>
        </w:rPr>
      </w:pPr>
      <w:r>
        <w:rPr>
          <w:sz w:val="24"/>
        </w:rPr>
        <w:t xml:space="preserve">PATRICK J. OSHIE </w:t>
      </w:r>
    </w:p>
    <w:p w14:paraId="3FB00ECB" w14:textId="77777777" w:rsidR="00461091" w:rsidRPr="004A2910" w:rsidRDefault="00461091" w:rsidP="00461091">
      <w:pPr>
        <w:ind w:left="1440" w:firstLine="3600"/>
        <w:jc w:val="both"/>
        <w:rPr>
          <w:sz w:val="24"/>
        </w:rPr>
      </w:pPr>
      <w:r w:rsidRPr="004A2910">
        <w:rPr>
          <w:sz w:val="24"/>
        </w:rPr>
        <w:t>Assistant Attorney General</w:t>
      </w:r>
    </w:p>
    <w:p w14:paraId="60345B95" w14:textId="77777777" w:rsidR="00461091" w:rsidRPr="004A2910" w:rsidRDefault="00461091" w:rsidP="00461091">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049EFE31" w14:textId="201C3D5D" w:rsidR="00461091" w:rsidRPr="00461091" w:rsidRDefault="00461091" w:rsidP="00461091">
      <w:pPr>
        <w:ind w:left="2880" w:firstLine="2160"/>
        <w:jc w:val="both"/>
      </w:pPr>
      <w:r>
        <w:rPr>
          <w:sz w:val="24"/>
        </w:rPr>
        <w:t>Transportation Commission Staff</w:t>
      </w:r>
    </w:p>
    <w:sectPr w:rsidR="00461091" w:rsidRPr="00461091" w:rsidSect="00445CED">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B0863" w14:textId="77777777" w:rsidR="00606013" w:rsidRDefault="00606013" w:rsidP="000A46F5">
      <w:r>
        <w:separator/>
      </w:r>
    </w:p>
  </w:endnote>
  <w:endnote w:type="continuationSeparator" w:id="0">
    <w:p w14:paraId="0ADF2E49" w14:textId="77777777" w:rsidR="00606013" w:rsidRDefault="00606013" w:rsidP="000A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964B4" w14:textId="77777777" w:rsidR="00445CED" w:rsidRPr="00445CED" w:rsidRDefault="00445CED">
    <w:pPr>
      <w:pStyle w:val="Footer"/>
      <w:rPr>
        <w:szCs w:val="20"/>
      </w:rPr>
    </w:pPr>
  </w:p>
  <w:p w14:paraId="21BE01C9" w14:textId="77777777" w:rsidR="00445CED" w:rsidRDefault="00445CED">
    <w:pPr>
      <w:pStyle w:val="Footer"/>
      <w:rPr>
        <w:szCs w:val="20"/>
      </w:rPr>
    </w:pPr>
    <w:r w:rsidRPr="00445CED">
      <w:rPr>
        <w:szCs w:val="20"/>
      </w:rPr>
      <w:t xml:space="preserve">COMMISSION STAFF RESPONSE TO </w:t>
    </w:r>
  </w:p>
  <w:p w14:paraId="2708BCB2" w14:textId="0BA95DD1" w:rsidR="00445CED" w:rsidRPr="00445CED" w:rsidRDefault="00445CED">
    <w:pPr>
      <w:pStyle w:val="Footer"/>
      <w:rPr>
        <w:szCs w:val="20"/>
      </w:rPr>
    </w:pPr>
    <w:r w:rsidRPr="00445CED">
      <w:rPr>
        <w:szCs w:val="20"/>
      </w:rPr>
      <w:t>PETITION FOR DECLARATORY ORDER</w:t>
    </w:r>
    <w:r>
      <w:rPr>
        <w:szCs w:val="20"/>
      </w:rPr>
      <w:t xml:space="preserve"> - </w:t>
    </w:r>
    <w:r w:rsidRPr="00445CED">
      <w:rPr>
        <w:szCs w:val="20"/>
      </w:rPr>
      <w:fldChar w:fldCharType="begin"/>
    </w:r>
    <w:r w:rsidRPr="00445CED">
      <w:rPr>
        <w:szCs w:val="20"/>
      </w:rPr>
      <w:instrText xml:space="preserve"> PAGE   \* MERGEFORMAT </w:instrText>
    </w:r>
    <w:r w:rsidRPr="00445CED">
      <w:rPr>
        <w:szCs w:val="20"/>
      </w:rPr>
      <w:fldChar w:fldCharType="separate"/>
    </w:r>
    <w:r w:rsidR="00007F3C">
      <w:rPr>
        <w:noProof/>
        <w:szCs w:val="20"/>
      </w:rPr>
      <w:t>9</w:t>
    </w:r>
    <w:r w:rsidRPr="00445CED">
      <w:rPr>
        <w:noProo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CE5F7" w14:textId="77777777" w:rsidR="00606013" w:rsidRDefault="00606013" w:rsidP="000A46F5">
      <w:r>
        <w:separator/>
      </w:r>
    </w:p>
  </w:footnote>
  <w:footnote w:type="continuationSeparator" w:id="0">
    <w:p w14:paraId="37A4ADE3" w14:textId="77777777" w:rsidR="00606013" w:rsidRDefault="00606013" w:rsidP="000A46F5">
      <w:r>
        <w:continuationSeparator/>
      </w:r>
    </w:p>
  </w:footnote>
  <w:footnote w:id="1">
    <w:p w14:paraId="7887D791" w14:textId="26F0FC89" w:rsidR="00ED6429" w:rsidRPr="00604A41" w:rsidRDefault="00ED6429">
      <w:pPr>
        <w:pStyle w:val="FootnoteText"/>
        <w:rPr>
          <w:bCs/>
          <w:lang w:eastAsia="zh-CN"/>
        </w:rPr>
      </w:pPr>
      <w:r w:rsidRPr="00604A41">
        <w:rPr>
          <w:rStyle w:val="FootnoteReference"/>
        </w:rPr>
        <w:footnoteRef/>
      </w:r>
      <w:r w:rsidRPr="00604A41">
        <w:t xml:space="preserve"> </w:t>
      </w:r>
      <w:r w:rsidRPr="00604A41">
        <w:rPr>
          <w:i/>
          <w:lang w:eastAsia="zh-CN"/>
        </w:rPr>
        <w:t>In re Petition of Puget Sound Energy, Inc. and Northwest Energy</w:t>
      </w:r>
      <w:r w:rsidRPr="00604A41">
        <w:rPr>
          <w:bCs/>
          <w:i/>
        </w:rPr>
        <w:t xml:space="preserve"> Coalition </w:t>
      </w:r>
      <w:r w:rsidRPr="00604A41">
        <w:rPr>
          <w:bCs/>
          <w:i/>
          <w:lang w:eastAsia="zh-CN"/>
        </w:rPr>
        <w:t>For an Order Authorizing PSE To Implement Electric and Natural Gas Decoupling Mechanisms and To Record Accounting Entries Associated With the Mechanisms</w:t>
      </w:r>
      <w:r w:rsidRPr="00604A41">
        <w:rPr>
          <w:bCs/>
          <w:lang w:eastAsia="zh-CN"/>
        </w:rPr>
        <w:t>,</w:t>
      </w:r>
      <w:r w:rsidRPr="00604A41">
        <w:rPr>
          <w:bCs/>
          <w:i/>
          <w:lang w:eastAsia="zh-CN"/>
        </w:rPr>
        <w:t xml:space="preserve"> </w:t>
      </w:r>
      <w:r w:rsidRPr="00604A41">
        <w:rPr>
          <w:bCs/>
          <w:lang w:eastAsia="zh-CN"/>
        </w:rPr>
        <w:t>Dockets UE-</w:t>
      </w:r>
      <w:r w:rsidR="00A64FD3" w:rsidRPr="00604A41">
        <w:rPr>
          <w:bCs/>
          <w:lang w:eastAsia="zh-CN"/>
        </w:rPr>
        <w:t xml:space="preserve"> </w:t>
      </w:r>
      <w:r w:rsidR="00B15EB4" w:rsidRPr="00604A41">
        <w:rPr>
          <w:bCs/>
          <w:lang w:eastAsia="zh-CN"/>
        </w:rPr>
        <w:t xml:space="preserve">121697 </w:t>
      </w:r>
      <w:r w:rsidRPr="00604A41">
        <w:rPr>
          <w:bCs/>
          <w:lang w:eastAsia="zh-CN"/>
        </w:rPr>
        <w:t>and UG-121705</w:t>
      </w:r>
      <w:r w:rsidR="00E8250D" w:rsidRPr="00604A41">
        <w:rPr>
          <w:bCs/>
          <w:lang w:eastAsia="zh-CN"/>
        </w:rPr>
        <w:t>,</w:t>
      </w:r>
      <w:r w:rsidRPr="00604A41">
        <w:rPr>
          <w:bCs/>
          <w:lang w:eastAsia="zh-CN"/>
        </w:rPr>
        <w:t xml:space="preserve"> Order 07, Final Order Granting Petition (</w:t>
      </w:r>
      <w:r w:rsidR="0061412C" w:rsidRPr="00604A41">
        <w:rPr>
          <w:bCs/>
          <w:lang w:eastAsia="zh-CN"/>
        </w:rPr>
        <w:t xml:space="preserve">hereinafter </w:t>
      </w:r>
      <w:r w:rsidRPr="00604A41">
        <w:rPr>
          <w:bCs/>
          <w:i/>
          <w:lang w:eastAsia="zh-CN"/>
        </w:rPr>
        <w:t>Decoupling Order</w:t>
      </w:r>
      <w:r w:rsidRPr="00604A41">
        <w:rPr>
          <w:bCs/>
          <w:lang w:eastAsia="zh-CN"/>
        </w:rPr>
        <w:t xml:space="preserve">).  </w:t>
      </w:r>
    </w:p>
  </w:footnote>
  <w:footnote w:id="2">
    <w:p w14:paraId="0E65DE46" w14:textId="7F936D67" w:rsidR="00925D7D" w:rsidRPr="00604A41" w:rsidRDefault="00925D7D" w:rsidP="00925D7D">
      <w:pPr>
        <w:pStyle w:val="FootnoteText"/>
      </w:pPr>
      <w:r w:rsidRPr="00604A41">
        <w:rPr>
          <w:rStyle w:val="FootnoteReference"/>
        </w:rPr>
        <w:footnoteRef/>
      </w:r>
      <w:r w:rsidRPr="00604A41">
        <w:t xml:space="preserve"> See</w:t>
      </w:r>
      <w:r w:rsidR="00087A0D" w:rsidRPr="00604A41">
        <w:t xml:space="preserve"> </w:t>
      </w:r>
      <w:r w:rsidRPr="00604A41">
        <w:t xml:space="preserve">e.g., </w:t>
      </w:r>
      <w:r w:rsidR="00CC3779" w:rsidRPr="00604A41">
        <w:rPr>
          <w:i/>
        </w:rPr>
        <w:t xml:space="preserve">Petition </w:t>
      </w:r>
      <w:r w:rsidR="00AD6463" w:rsidRPr="00604A41">
        <w:rPr>
          <w:i/>
        </w:rPr>
        <w:t>for</w:t>
      </w:r>
      <w:r w:rsidR="00CC3779" w:rsidRPr="00604A41">
        <w:rPr>
          <w:i/>
        </w:rPr>
        <w:t xml:space="preserve"> Declaratory Order</w:t>
      </w:r>
      <w:r w:rsidR="000972C6" w:rsidRPr="00604A41">
        <w:rPr>
          <w:i/>
        </w:rPr>
        <w:t xml:space="preserve"> </w:t>
      </w:r>
      <w:r w:rsidRPr="00604A41">
        <w:t xml:space="preserve">at ¶¶ 3, 14, and 27. </w:t>
      </w:r>
    </w:p>
  </w:footnote>
  <w:footnote w:id="3">
    <w:p w14:paraId="750CDBFF" w14:textId="77777777" w:rsidR="00FE7F5D" w:rsidRPr="00604A41" w:rsidRDefault="00FE7F5D" w:rsidP="00604A41">
      <w:pPr>
        <w:rPr>
          <w:szCs w:val="20"/>
        </w:rPr>
      </w:pPr>
      <w:r w:rsidRPr="00604A41">
        <w:rPr>
          <w:rStyle w:val="FootnoteReference"/>
          <w:szCs w:val="20"/>
        </w:rPr>
        <w:footnoteRef/>
      </w:r>
      <w:r w:rsidRPr="00604A41">
        <w:rPr>
          <w:szCs w:val="20"/>
        </w:rPr>
        <w:t xml:space="preserve"> </w:t>
      </w:r>
      <w:r w:rsidR="000035D9" w:rsidRPr="00604A41">
        <w:rPr>
          <w:szCs w:val="20"/>
        </w:rPr>
        <w:t>F</w:t>
      </w:r>
      <w:r w:rsidRPr="00604A41">
        <w:rPr>
          <w:szCs w:val="20"/>
        </w:rPr>
        <w:t>or the Commission to enter a declaratory order, the petitioner must show that:</w:t>
      </w:r>
    </w:p>
    <w:p w14:paraId="0960CB2A" w14:textId="77777777" w:rsidR="00FE7F5D" w:rsidRPr="00604A41" w:rsidRDefault="00FE7F5D" w:rsidP="00FE7F5D">
      <w:pPr>
        <w:ind w:firstLine="720"/>
        <w:rPr>
          <w:szCs w:val="20"/>
        </w:rPr>
      </w:pPr>
      <w:r w:rsidRPr="00604A41">
        <w:rPr>
          <w:szCs w:val="20"/>
        </w:rPr>
        <w:t>(1)</w:t>
      </w:r>
      <w:r w:rsidRPr="00604A41">
        <w:rPr>
          <w:szCs w:val="20"/>
        </w:rPr>
        <w:tab/>
        <w:t>Uncertainty necessitating resolution exists;</w:t>
      </w:r>
    </w:p>
    <w:p w14:paraId="615EB1BE" w14:textId="77777777" w:rsidR="00FE7F5D" w:rsidRPr="00604A41" w:rsidRDefault="00FE7F5D" w:rsidP="00FE7F5D">
      <w:pPr>
        <w:ind w:left="1440" w:hanging="720"/>
        <w:rPr>
          <w:szCs w:val="20"/>
        </w:rPr>
      </w:pPr>
      <w:r w:rsidRPr="00604A41">
        <w:rPr>
          <w:szCs w:val="20"/>
        </w:rPr>
        <w:t>(2)</w:t>
      </w:r>
      <w:r w:rsidRPr="00604A41">
        <w:rPr>
          <w:szCs w:val="20"/>
        </w:rPr>
        <w:tab/>
        <w:t>There is actual controversy arising from the uncertainty such that a declaratory order will not be merely an advisory opinion;</w:t>
      </w:r>
    </w:p>
    <w:p w14:paraId="08D5BBAA" w14:textId="77777777" w:rsidR="00FE7F5D" w:rsidRPr="00604A41" w:rsidRDefault="00FE7F5D" w:rsidP="00FE7F5D">
      <w:pPr>
        <w:ind w:left="1440" w:hanging="720"/>
        <w:rPr>
          <w:szCs w:val="20"/>
        </w:rPr>
      </w:pPr>
      <w:r w:rsidRPr="00604A41">
        <w:rPr>
          <w:szCs w:val="20"/>
        </w:rPr>
        <w:t>(3)</w:t>
      </w:r>
      <w:r w:rsidRPr="00604A41">
        <w:rPr>
          <w:szCs w:val="20"/>
        </w:rPr>
        <w:tab/>
        <w:t>The uncertainty adversely affects the petitioner; and</w:t>
      </w:r>
    </w:p>
    <w:p w14:paraId="0A8D22FB" w14:textId="77777777" w:rsidR="00FE7F5D" w:rsidRPr="00604A41" w:rsidRDefault="00FE7F5D" w:rsidP="00084EB8">
      <w:pPr>
        <w:ind w:left="1440" w:hanging="720"/>
        <w:rPr>
          <w:szCs w:val="20"/>
        </w:rPr>
      </w:pPr>
      <w:r w:rsidRPr="00604A41">
        <w:rPr>
          <w:szCs w:val="20"/>
        </w:rPr>
        <w:t>(4)</w:t>
      </w:r>
      <w:r w:rsidRPr="00604A41">
        <w:rPr>
          <w:szCs w:val="20"/>
        </w:rPr>
        <w:tab/>
        <w:t>The adverse effect of uncertainty on the petitioner outweighs any adverse effects on others or on the general public that may likely arise from the order requested.</w:t>
      </w:r>
    </w:p>
  </w:footnote>
  <w:footnote w:id="4">
    <w:p w14:paraId="6383AFD4" w14:textId="77777777" w:rsidR="00166EE5" w:rsidRPr="00604A41" w:rsidRDefault="00166EE5" w:rsidP="00084EB8">
      <w:pPr>
        <w:rPr>
          <w:szCs w:val="20"/>
        </w:rPr>
      </w:pPr>
      <w:r w:rsidRPr="00604A41">
        <w:rPr>
          <w:rStyle w:val="FootnoteReference"/>
          <w:szCs w:val="20"/>
        </w:rPr>
        <w:footnoteRef/>
      </w:r>
      <w:r w:rsidR="00DF7810" w:rsidRPr="00604A41">
        <w:rPr>
          <w:szCs w:val="20"/>
        </w:rPr>
        <w:t xml:space="preserve"> </w:t>
      </w:r>
      <w:r w:rsidR="00DF7810" w:rsidRPr="00604A41">
        <w:rPr>
          <w:i/>
          <w:szCs w:val="20"/>
        </w:rPr>
        <w:t xml:space="preserve">In the Matter of </w:t>
      </w:r>
      <w:r w:rsidR="0062230E" w:rsidRPr="00604A41">
        <w:rPr>
          <w:i/>
          <w:szCs w:val="20"/>
        </w:rPr>
        <w:t xml:space="preserve">Puget Sound Energy 2012-2021 </w:t>
      </w:r>
      <w:r w:rsidR="00DF7810" w:rsidRPr="00604A41">
        <w:rPr>
          <w:i/>
          <w:szCs w:val="20"/>
        </w:rPr>
        <w:t>Ten-Year Achievable Conservation Potential and 2012-2013 Biennial Conservation Target Under RCW 19.285.040 and WAC 480</w:t>
      </w:r>
      <w:r w:rsidR="00DF7810" w:rsidRPr="00604A41">
        <w:rPr>
          <w:i/>
          <w:szCs w:val="20"/>
        </w:rPr>
        <w:noBreakHyphen/>
        <w:t>109</w:t>
      </w:r>
      <w:r w:rsidR="00DF7810" w:rsidRPr="00604A41">
        <w:rPr>
          <w:i/>
          <w:szCs w:val="20"/>
        </w:rPr>
        <w:noBreakHyphen/>
        <w:t xml:space="preserve">010, </w:t>
      </w:r>
      <w:r w:rsidR="00DF7810" w:rsidRPr="00604A41">
        <w:rPr>
          <w:szCs w:val="20"/>
        </w:rPr>
        <w:t xml:space="preserve">Docket UE-111881. </w:t>
      </w:r>
    </w:p>
  </w:footnote>
  <w:footnote w:id="5">
    <w:p w14:paraId="4DFD3E24" w14:textId="77777777" w:rsidR="008175E4" w:rsidRPr="00604A41" w:rsidRDefault="008175E4">
      <w:pPr>
        <w:pStyle w:val="FootnoteText"/>
      </w:pPr>
      <w:r w:rsidRPr="00604A41">
        <w:rPr>
          <w:rStyle w:val="FootnoteReference"/>
        </w:rPr>
        <w:footnoteRef/>
      </w:r>
      <w:r w:rsidRPr="00604A41">
        <w:t xml:space="preserve"> Staff</w:t>
      </w:r>
      <w:r w:rsidR="00BA3E8A" w:rsidRPr="00604A41">
        <w:t xml:space="preserve">’s position assumes that the Commission will clarify PSE’s compliance obligations in this docket. Staff can determine whether or not a compliance action is warranted after </w:t>
      </w:r>
      <w:r w:rsidR="0062230E" w:rsidRPr="00604A41">
        <w:t xml:space="preserve">and if the Commission rules on PSE’s Petition. </w:t>
      </w:r>
      <w:r w:rsidR="00BA3E8A" w:rsidRPr="00604A41">
        <w:t xml:space="preserve"> </w:t>
      </w:r>
    </w:p>
  </w:footnote>
  <w:footnote w:id="6">
    <w:p w14:paraId="1DF036E5" w14:textId="7ACC65C7" w:rsidR="00132ABD" w:rsidRPr="00604A41" w:rsidRDefault="00132ABD" w:rsidP="00604A41">
      <w:pPr>
        <w:rPr>
          <w:szCs w:val="20"/>
        </w:rPr>
      </w:pPr>
      <w:r w:rsidRPr="00604A41">
        <w:rPr>
          <w:rStyle w:val="FootnoteReference"/>
          <w:szCs w:val="20"/>
        </w:rPr>
        <w:footnoteRef/>
      </w:r>
      <w:r w:rsidRPr="00604A41">
        <w:rPr>
          <w:szCs w:val="20"/>
        </w:rPr>
        <w:t xml:space="preserve"> To effectively resolve this question, PSE would have to disaggregate its conservation program performance for the 2012-13 biennium into two periods </w:t>
      </w:r>
      <w:r w:rsidR="00E63F0A" w:rsidRPr="00604A41">
        <w:rPr>
          <w:szCs w:val="20"/>
        </w:rPr>
        <w:t xml:space="preserve">- </w:t>
      </w:r>
      <w:r w:rsidRPr="00604A41">
        <w:rPr>
          <w:szCs w:val="20"/>
        </w:rPr>
        <w:t xml:space="preserve">the decoupling period and the pre-decoupling period. Once its performance in the decoupling period is known, it could then demonstrate that its conservation program performance for the decoupling period effectively produced the equivalent of 105 percent of the biennial target.  </w:t>
      </w:r>
    </w:p>
  </w:footnote>
  <w:footnote w:id="7">
    <w:p w14:paraId="2376AE22" w14:textId="77777777" w:rsidR="00CD5B34" w:rsidRPr="00604A41" w:rsidRDefault="00CD5B34">
      <w:pPr>
        <w:pStyle w:val="FootnoteText"/>
      </w:pPr>
      <w:r w:rsidRPr="00604A41">
        <w:rPr>
          <w:rStyle w:val="FootnoteReference"/>
        </w:rPr>
        <w:footnoteRef/>
      </w:r>
      <w:r w:rsidRPr="00604A41">
        <w:t xml:space="preserve"> See Docket</w:t>
      </w:r>
      <w:r w:rsidR="006C7051" w:rsidRPr="00604A41">
        <w:t>s</w:t>
      </w:r>
      <w:r w:rsidRPr="00604A41">
        <w:t xml:space="preserve"> UE-121697 and UG-121705. </w:t>
      </w:r>
    </w:p>
  </w:footnote>
  <w:footnote w:id="8">
    <w:p w14:paraId="1B031802" w14:textId="77777777" w:rsidR="000E3C81" w:rsidRPr="00604A41" w:rsidRDefault="000E3C81" w:rsidP="000E3C81">
      <w:pPr>
        <w:pStyle w:val="FootnoteText"/>
      </w:pPr>
      <w:r w:rsidRPr="00604A41">
        <w:rPr>
          <w:rStyle w:val="FootnoteReference"/>
        </w:rPr>
        <w:footnoteRef/>
      </w:r>
      <w:r w:rsidRPr="00604A41">
        <w:t xml:space="preserve"> See</w:t>
      </w:r>
      <w:r w:rsidR="0062230E" w:rsidRPr="00604A41">
        <w:t xml:space="preserve"> </w:t>
      </w:r>
      <w:r w:rsidRPr="00604A41">
        <w:rPr>
          <w:i/>
        </w:rPr>
        <w:t>Amended Petition For Decoupling Mechanism</w:t>
      </w:r>
      <w:r w:rsidR="000972C6" w:rsidRPr="00604A41">
        <w:rPr>
          <w:i/>
        </w:rPr>
        <w:t>s</w:t>
      </w:r>
      <w:r w:rsidR="0062230E" w:rsidRPr="00604A41">
        <w:rPr>
          <w:i/>
        </w:rPr>
        <w:t xml:space="preserve"> </w:t>
      </w:r>
      <w:r w:rsidR="000972C6" w:rsidRPr="00604A41">
        <w:t>at</w:t>
      </w:r>
      <w:r w:rsidRPr="00604A41">
        <w:t xml:space="preserve"> ¶ 31. </w:t>
      </w:r>
    </w:p>
  </w:footnote>
  <w:footnote w:id="9">
    <w:p w14:paraId="60BCCD68" w14:textId="77777777" w:rsidR="00CB7F69" w:rsidRPr="00604A41" w:rsidRDefault="00CB7F69">
      <w:pPr>
        <w:pStyle w:val="FootnoteText"/>
      </w:pPr>
      <w:r w:rsidRPr="00604A41">
        <w:rPr>
          <w:rStyle w:val="FootnoteReference"/>
        </w:rPr>
        <w:footnoteRef/>
      </w:r>
      <w:r w:rsidRPr="00604A41">
        <w:t xml:space="preserve"> </w:t>
      </w:r>
      <w:r w:rsidR="00E2798B" w:rsidRPr="00604A41">
        <w:t xml:space="preserve">See </w:t>
      </w:r>
      <w:r w:rsidR="00E2798B" w:rsidRPr="00604A41">
        <w:rPr>
          <w:i/>
        </w:rPr>
        <w:t>Petition For Declaratory Order</w:t>
      </w:r>
      <w:r w:rsidR="00E2798B" w:rsidRPr="00604A41">
        <w:t xml:space="preserve"> </w:t>
      </w:r>
      <w:r w:rsidR="00C13925" w:rsidRPr="00604A41">
        <w:t>at ¶¶ 7 and 8.</w:t>
      </w:r>
    </w:p>
  </w:footnote>
  <w:footnote w:id="10">
    <w:p w14:paraId="4620EFF7" w14:textId="00B9BE45" w:rsidR="0095557A" w:rsidRPr="0095557A" w:rsidRDefault="0095557A">
      <w:pPr>
        <w:pStyle w:val="FootnoteText"/>
      </w:pPr>
      <w:r>
        <w:rPr>
          <w:rStyle w:val="FootnoteReference"/>
        </w:rPr>
        <w:footnoteRef/>
      </w:r>
      <w:r>
        <w:t xml:space="preserve"> See </w:t>
      </w:r>
      <w:r w:rsidRPr="005C319F">
        <w:rPr>
          <w:i/>
        </w:rPr>
        <w:t xml:space="preserve">Amended </w:t>
      </w:r>
      <w:r>
        <w:rPr>
          <w:i/>
        </w:rPr>
        <w:t xml:space="preserve">Petition </w:t>
      </w:r>
      <w:r w:rsidR="00AD6463">
        <w:rPr>
          <w:i/>
        </w:rPr>
        <w:t>for</w:t>
      </w:r>
      <w:r>
        <w:rPr>
          <w:i/>
        </w:rPr>
        <w:t xml:space="preserve"> Decoupling Mechanisms </w:t>
      </w:r>
      <w:r>
        <w:t>at ¶21.</w:t>
      </w:r>
    </w:p>
  </w:footnote>
  <w:footnote w:id="11">
    <w:p w14:paraId="78A2A0C2" w14:textId="77777777" w:rsidR="000824D7" w:rsidRDefault="000824D7" w:rsidP="000824D7">
      <w:pPr>
        <w:pStyle w:val="FootnoteText"/>
      </w:pPr>
      <w:r>
        <w:rPr>
          <w:rStyle w:val="FootnoteReference"/>
        </w:rPr>
        <w:footnoteRef/>
      </w:r>
      <w:r>
        <w:t xml:space="preserve"> Staff notes that “dangling” biennium quarters could be an issue in the future should PSE end its decoupling program before the end of a biennium.  </w:t>
      </w:r>
    </w:p>
  </w:footnote>
  <w:footnote w:id="12">
    <w:p w14:paraId="11FE1E00" w14:textId="544C0855" w:rsidR="005A7D7D" w:rsidRDefault="005A7D7D" w:rsidP="005A7D7D">
      <w:pPr>
        <w:pStyle w:val="FootnoteText"/>
      </w:pPr>
      <w:r>
        <w:rPr>
          <w:rStyle w:val="FootnoteReference"/>
        </w:rPr>
        <w:footnoteRef/>
      </w:r>
      <w:r>
        <w:t xml:space="preserve"> See </w:t>
      </w:r>
      <w:r w:rsidRPr="005C319F">
        <w:rPr>
          <w:i/>
        </w:rPr>
        <w:t xml:space="preserve">Amended </w:t>
      </w:r>
      <w:r w:rsidR="000972C6">
        <w:rPr>
          <w:i/>
        </w:rPr>
        <w:t xml:space="preserve">Petition </w:t>
      </w:r>
      <w:r w:rsidR="00AD6463">
        <w:rPr>
          <w:i/>
        </w:rPr>
        <w:t>for</w:t>
      </w:r>
      <w:r w:rsidR="000972C6">
        <w:rPr>
          <w:i/>
        </w:rPr>
        <w:t xml:space="preserve"> Decoupling Mechanisms</w:t>
      </w:r>
      <w:r w:rsidR="000972C6">
        <w:t xml:space="preserve"> at ¶31.</w:t>
      </w:r>
    </w:p>
  </w:footnote>
  <w:footnote w:id="13">
    <w:p w14:paraId="5CD1B2A6" w14:textId="77777777" w:rsidR="00843B76" w:rsidRDefault="00843B76">
      <w:pPr>
        <w:pStyle w:val="FootnoteText"/>
      </w:pPr>
      <w:r>
        <w:rPr>
          <w:rStyle w:val="FootnoteReference"/>
        </w:rPr>
        <w:footnoteRef/>
      </w:r>
      <w:r>
        <w:t xml:space="preserve"> See Docket UE-111881.</w:t>
      </w:r>
    </w:p>
  </w:footnote>
  <w:footnote w:id="14">
    <w:p w14:paraId="73BF8389" w14:textId="082737F8" w:rsidR="005C319F" w:rsidRPr="0062230E" w:rsidRDefault="005C319F">
      <w:pPr>
        <w:pStyle w:val="FootnoteText"/>
      </w:pPr>
      <w:r>
        <w:rPr>
          <w:rStyle w:val="FootnoteReference"/>
        </w:rPr>
        <w:footnoteRef/>
      </w:r>
      <w:r>
        <w:t xml:space="preserve"> </w:t>
      </w:r>
      <w:r w:rsidRPr="0062230E">
        <w:t xml:space="preserve">See </w:t>
      </w:r>
      <w:r w:rsidRPr="0062230E">
        <w:rPr>
          <w:i/>
        </w:rPr>
        <w:t xml:space="preserve">Petition </w:t>
      </w:r>
      <w:r w:rsidR="00AD6463" w:rsidRPr="0062230E">
        <w:rPr>
          <w:i/>
        </w:rPr>
        <w:t>for</w:t>
      </w:r>
      <w:r w:rsidRPr="0062230E">
        <w:rPr>
          <w:i/>
        </w:rPr>
        <w:t xml:space="preserve"> Declaratory Order</w:t>
      </w:r>
      <w:r w:rsidRPr="0062230E">
        <w:t>, at ¶11.</w:t>
      </w:r>
    </w:p>
  </w:footnote>
  <w:footnote w:id="15">
    <w:p w14:paraId="15261AEE" w14:textId="77777777" w:rsidR="00BD7791" w:rsidRDefault="00BD7791">
      <w:pPr>
        <w:pStyle w:val="FootnoteText"/>
      </w:pPr>
      <w:r w:rsidRPr="0062230E">
        <w:rPr>
          <w:rStyle w:val="FootnoteReference"/>
        </w:rPr>
        <w:footnoteRef/>
      </w:r>
      <w:r w:rsidRPr="0062230E">
        <w:t xml:space="preserve"> Id.</w:t>
      </w:r>
    </w:p>
  </w:footnote>
  <w:footnote w:id="16">
    <w:p w14:paraId="71E3CF2F" w14:textId="77777777" w:rsidR="004B15DB" w:rsidRPr="004B15DB" w:rsidRDefault="004B15DB">
      <w:pPr>
        <w:pStyle w:val="FootnoteText"/>
      </w:pPr>
      <w:r>
        <w:rPr>
          <w:rStyle w:val="FootnoteReference"/>
        </w:rPr>
        <w:footnoteRef/>
      </w:r>
      <w:r>
        <w:t xml:space="preserve"> </w:t>
      </w:r>
      <w:r w:rsidRPr="004B15DB">
        <w:t xml:space="preserve">Even </w:t>
      </w:r>
      <w:r>
        <w:t xml:space="preserve">if Staff </w:t>
      </w:r>
      <w:r w:rsidRPr="004B15DB">
        <w:t>accept</w:t>
      </w:r>
      <w:r>
        <w:t xml:space="preserve">ed </w:t>
      </w:r>
      <w:r w:rsidRPr="004B15DB">
        <w:t xml:space="preserve">PSE’s </w:t>
      </w:r>
      <w:r>
        <w:t xml:space="preserve">target calculation, </w:t>
      </w:r>
      <w:r w:rsidRPr="004B15DB">
        <w:t xml:space="preserve">the Company’s portfolio performance of 4.8% above target </w:t>
      </w:r>
      <w:r>
        <w:t xml:space="preserve">for the biennium </w:t>
      </w:r>
      <w:r w:rsidRPr="004B15DB">
        <w:t xml:space="preserve">would </w:t>
      </w:r>
      <w:r>
        <w:t xml:space="preserve">only </w:t>
      </w:r>
      <w:r w:rsidRPr="004B15DB">
        <w:t xml:space="preserve">equate to 1.2% above </w:t>
      </w:r>
      <w:r>
        <w:t xml:space="preserve">the </w:t>
      </w:r>
      <w:r w:rsidRPr="004B15DB">
        <w:t xml:space="preserve">target </w:t>
      </w:r>
      <w:r>
        <w:t xml:space="preserve">in the final </w:t>
      </w:r>
      <w:r w:rsidRPr="004B15DB">
        <w:t>quarter</w:t>
      </w:r>
      <w:r>
        <w:t xml:space="preserve">. Again, it misses the target.  </w:t>
      </w:r>
    </w:p>
  </w:footnote>
  <w:footnote w:id="17">
    <w:p w14:paraId="4B903D27" w14:textId="77777777" w:rsidR="004D1169" w:rsidRDefault="004D1169">
      <w:pPr>
        <w:pStyle w:val="FootnoteText"/>
      </w:pPr>
      <w:r>
        <w:rPr>
          <w:rStyle w:val="FootnoteReference"/>
        </w:rPr>
        <w:footnoteRef/>
      </w:r>
      <w:r>
        <w:t xml:space="preserve"> Conservation resource acquisition</w:t>
      </w:r>
      <w:r w:rsidR="00A21D31">
        <w:t xml:space="preserve"> varies with </w:t>
      </w:r>
      <w:r w:rsidR="00B8195B">
        <w:t xml:space="preserve">changes in programs offered, and </w:t>
      </w:r>
      <w:r>
        <w:t xml:space="preserve">generally peaks in the winter months. </w:t>
      </w:r>
    </w:p>
  </w:footnote>
  <w:footnote w:id="18">
    <w:p w14:paraId="7786DD67" w14:textId="77777777" w:rsidR="00C7403D" w:rsidRPr="00604A41" w:rsidRDefault="00C7403D">
      <w:pPr>
        <w:pStyle w:val="FootnoteText"/>
      </w:pPr>
      <w:r w:rsidRPr="00604A41">
        <w:rPr>
          <w:rStyle w:val="FootnoteReference"/>
        </w:rPr>
        <w:footnoteRef/>
      </w:r>
      <w:r w:rsidRPr="00604A41">
        <w:t xml:space="preserve"> See RCW 34.05.240(1) and WAC 480-07-930(1).</w:t>
      </w:r>
    </w:p>
  </w:footnote>
  <w:footnote w:id="19">
    <w:p w14:paraId="77B23818" w14:textId="7703327B" w:rsidR="0062230E" w:rsidRPr="00604A41" w:rsidRDefault="0062230E" w:rsidP="00604A41">
      <w:pPr>
        <w:rPr>
          <w:szCs w:val="20"/>
        </w:rPr>
      </w:pPr>
      <w:r w:rsidRPr="00604A41">
        <w:rPr>
          <w:rStyle w:val="FootnoteReference"/>
          <w:szCs w:val="20"/>
        </w:rPr>
        <w:footnoteRef/>
      </w:r>
      <w:r w:rsidRPr="00604A41">
        <w:rPr>
          <w:szCs w:val="20"/>
        </w:rPr>
        <w:t xml:space="preserve"> Again,</w:t>
      </w:r>
      <w:r w:rsidR="00B72BD5" w:rsidRPr="00604A41">
        <w:rPr>
          <w:szCs w:val="20"/>
        </w:rPr>
        <w:t xml:space="preserve"> this is assuming that </w:t>
      </w:r>
      <w:r w:rsidRPr="00604A41">
        <w:rPr>
          <w:szCs w:val="20"/>
        </w:rPr>
        <w:t xml:space="preserve">the Commission </w:t>
      </w:r>
      <w:r w:rsidR="00B72BD5" w:rsidRPr="00604A41">
        <w:rPr>
          <w:szCs w:val="20"/>
        </w:rPr>
        <w:t xml:space="preserve">would </w:t>
      </w:r>
      <w:r w:rsidRPr="00604A41">
        <w:rPr>
          <w:szCs w:val="20"/>
        </w:rPr>
        <w:t xml:space="preserve">rule that 1) PSE’s conservation obligation extends only to the final quarter of the biennium and 2) </w:t>
      </w:r>
      <w:r w:rsidR="00B72BD5" w:rsidRPr="00604A41">
        <w:rPr>
          <w:szCs w:val="20"/>
        </w:rPr>
        <w:t xml:space="preserve">that it must use actual results to demonstrate compliance.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27BA"/>
    <w:multiLevelType w:val="hybridMultilevel"/>
    <w:tmpl w:val="CF3CB876"/>
    <w:lvl w:ilvl="0" w:tplc="0DB683EA">
      <w:start w:val="1"/>
      <w:numFmt w:val="decimal"/>
      <w:lvlText w:val="%1"/>
      <w:lvlJc w:val="left"/>
      <w:pPr>
        <w:ind w:left="720" w:hanging="720"/>
      </w:pPr>
      <w:rPr>
        <w:rFonts w:hint="default"/>
        <w:b w:val="0"/>
        <w: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9A223C3"/>
    <w:multiLevelType w:val="hybridMultilevel"/>
    <w:tmpl w:val="B1407DFC"/>
    <w:lvl w:ilvl="0" w:tplc="3604A18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019CA"/>
    <w:multiLevelType w:val="hybridMultilevel"/>
    <w:tmpl w:val="606A4A3A"/>
    <w:lvl w:ilvl="0" w:tplc="FA0A14B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D50E0"/>
    <w:multiLevelType w:val="hybridMultilevel"/>
    <w:tmpl w:val="FAE60B5C"/>
    <w:lvl w:ilvl="0" w:tplc="BB4E3C70">
      <w:start w:val="17"/>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65AA7"/>
    <w:multiLevelType w:val="hybridMultilevel"/>
    <w:tmpl w:val="0716585A"/>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F65879"/>
    <w:multiLevelType w:val="hybridMultilevel"/>
    <w:tmpl w:val="DF7ADC26"/>
    <w:lvl w:ilvl="0" w:tplc="FA0A14B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B387F"/>
    <w:multiLevelType w:val="hybridMultilevel"/>
    <w:tmpl w:val="A7DE917E"/>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F22086"/>
    <w:multiLevelType w:val="hybridMultilevel"/>
    <w:tmpl w:val="F27E6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4"/>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F5"/>
    <w:rsid w:val="000035D9"/>
    <w:rsid w:val="00003665"/>
    <w:rsid w:val="00007F3C"/>
    <w:rsid w:val="00071958"/>
    <w:rsid w:val="000824D7"/>
    <w:rsid w:val="00082D29"/>
    <w:rsid w:val="00084EB8"/>
    <w:rsid w:val="00087A0D"/>
    <w:rsid w:val="000972C6"/>
    <w:rsid w:val="000A46F5"/>
    <w:rsid w:val="000C1B71"/>
    <w:rsid w:val="000C2560"/>
    <w:rsid w:val="000C355F"/>
    <w:rsid w:val="000C531C"/>
    <w:rsid w:val="000E3C81"/>
    <w:rsid w:val="000E3F51"/>
    <w:rsid w:val="0010556B"/>
    <w:rsid w:val="00113D00"/>
    <w:rsid w:val="0012692C"/>
    <w:rsid w:val="00132ABD"/>
    <w:rsid w:val="0014662E"/>
    <w:rsid w:val="00166EE5"/>
    <w:rsid w:val="00170C17"/>
    <w:rsid w:val="00192E3E"/>
    <w:rsid w:val="001B5790"/>
    <w:rsid w:val="001D78E1"/>
    <w:rsid w:val="001F4CE4"/>
    <w:rsid w:val="001F7B1C"/>
    <w:rsid w:val="00212333"/>
    <w:rsid w:val="0021502A"/>
    <w:rsid w:val="00234438"/>
    <w:rsid w:val="00247515"/>
    <w:rsid w:val="00261EE4"/>
    <w:rsid w:val="00264524"/>
    <w:rsid w:val="002655E6"/>
    <w:rsid w:val="0027183D"/>
    <w:rsid w:val="002B1B09"/>
    <w:rsid w:val="002B3D0B"/>
    <w:rsid w:val="002C37F2"/>
    <w:rsid w:val="002D712E"/>
    <w:rsid w:val="002E2915"/>
    <w:rsid w:val="002E3335"/>
    <w:rsid w:val="002E640F"/>
    <w:rsid w:val="002F09F0"/>
    <w:rsid w:val="00301EE6"/>
    <w:rsid w:val="00306794"/>
    <w:rsid w:val="00323C1C"/>
    <w:rsid w:val="00332B61"/>
    <w:rsid w:val="003458CB"/>
    <w:rsid w:val="00360AA6"/>
    <w:rsid w:val="003729AA"/>
    <w:rsid w:val="003755F0"/>
    <w:rsid w:val="00391A71"/>
    <w:rsid w:val="003E7B02"/>
    <w:rsid w:val="003F7367"/>
    <w:rsid w:val="00401556"/>
    <w:rsid w:val="00402092"/>
    <w:rsid w:val="00445CED"/>
    <w:rsid w:val="00461091"/>
    <w:rsid w:val="00463F34"/>
    <w:rsid w:val="00495055"/>
    <w:rsid w:val="004B15DB"/>
    <w:rsid w:val="004C7E72"/>
    <w:rsid w:val="004D1169"/>
    <w:rsid w:val="004F131E"/>
    <w:rsid w:val="00505818"/>
    <w:rsid w:val="005452BD"/>
    <w:rsid w:val="00573041"/>
    <w:rsid w:val="005755D7"/>
    <w:rsid w:val="00582165"/>
    <w:rsid w:val="005872ED"/>
    <w:rsid w:val="005A4577"/>
    <w:rsid w:val="005A7D7D"/>
    <w:rsid w:val="005B3C19"/>
    <w:rsid w:val="005C319F"/>
    <w:rsid w:val="005D5413"/>
    <w:rsid w:val="00603CEC"/>
    <w:rsid w:val="00604A41"/>
    <w:rsid w:val="00604E1D"/>
    <w:rsid w:val="00606013"/>
    <w:rsid w:val="006066C4"/>
    <w:rsid w:val="0061412C"/>
    <w:rsid w:val="0062230E"/>
    <w:rsid w:val="006243B1"/>
    <w:rsid w:val="00632A54"/>
    <w:rsid w:val="00634D62"/>
    <w:rsid w:val="00636757"/>
    <w:rsid w:val="00636D96"/>
    <w:rsid w:val="00641C7E"/>
    <w:rsid w:val="00656393"/>
    <w:rsid w:val="00673C80"/>
    <w:rsid w:val="006762A1"/>
    <w:rsid w:val="00681354"/>
    <w:rsid w:val="00685407"/>
    <w:rsid w:val="006B31C1"/>
    <w:rsid w:val="006C7051"/>
    <w:rsid w:val="007072FB"/>
    <w:rsid w:val="00716EE2"/>
    <w:rsid w:val="0072233C"/>
    <w:rsid w:val="00723CF9"/>
    <w:rsid w:val="00723D91"/>
    <w:rsid w:val="00730E45"/>
    <w:rsid w:val="0076667C"/>
    <w:rsid w:val="007872A2"/>
    <w:rsid w:val="00787417"/>
    <w:rsid w:val="00790FCE"/>
    <w:rsid w:val="00795B92"/>
    <w:rsid w:val="007B592B"/>
    <w:rsid w:val="007B5C8F"/>
    <w:rsid w:val="007C6C2D"/>
    <w:rsid w:val="007F32F5"/>
    <w:rsid w:val="0080583B"/>
    <w:rsid w:val="0081106A"/>
    <w:rsid w:val="008171E7"/>
    <w:rsid w:val="008175E4"/>
    <w:rsid w:val="00837E97"/>
    <w:rsid w:val="00843B76"/>
    <w:rsid w:val="00854CEE"/>
    <w:rsid w:val="008626F9"/>
    <w:rsid w:val="008669A8"/>
    <w:rsid w:val="008974C5"/>
    <w:rsid w:val="008A0C53"/>
    <w:rsid w:val="008A5304"/>
    <w:rsid w:val="008C2B5E"/>
    <w:rsid w:val="008D141A"/>
    <w:rsid w:val="008D6D90"/>
    <w:rsid w:val="008E162D"/>
    <w:rsid w:val="008F6479"/>
    <w:rsid w:val="00915ED8"/>
    <w:rsid w:val="00920812"/>
    <w:rsid w:val="00925D7D"/>
    <w:rsid w:val="00946469"/>
    <w:rsid w:val="0095557A"/>
    <w:rsid w:val="0096772E"/>
    <w:rsid w:val="00967B0F"/>
    <w:rsid w:val="0098143F"/>
    <w:rsid w:val="0099529C"/>
    <w:rsid w:val="009A245A"/>
    <w:rsid w:val="009B5BDB"/>
    <w:rsid w:val="009C133D"/>
    <w:rsid w:val="009C2A46"/>
    <w:rsid w:val="009E27AD"/>
    <w:rsid w:val="009F1904"/>
    <w:rsid w:val="00A21D31"/>
    <w:rsid w:val="00A425D4"/>
    <w:rsid w:val="00A42A66"/>
    <w:rsid w:val="00A44381"/>
    <w:rsid w:val="00A63744"/>
    <w:rsid w:val="00A64C37"/>
    <w:rsid w:val="00A64FD3"/>
    <w:rsid w:val="00A6719C"/>
    <w:rsid w:val="00A74A61"/>
    <w:rsid w:val="00A75E2A"/>
    <w:rsid w:val="00AB7CB2"/>
    <w:rsid w:val="00AC694F"/>
    <w:rsid w:val="00AD569F"/>
    <w:rsid w:val="00AD6463"/>
    <w:rsid w:val="00AE7D14"/>
    <w:rsid w:val="00B104C9"/>
    <w:rsid w:val="00B15EB4"/>
    <w:rsid w:val="00B37D2B"/>
    <w:rsid w:val="00B72B8C"/>
    <w:rsid w:val="00B72BD5"/>
    <w:rsid w:val="00B75A93"/>
    <w:rsid w:val="00B75FC2"/>
    <w:rsid w:val="00B8195B"/>
    <w:rsid w:val="00BA3E8A"/>
    <w:rsid w:val="00BB5CA4"/>
    <w:rsid w:val="00BC47ED"/>
    <w:rsid w:val="00BD7791"/>
    <w:rsid w:val="00BE54D7"/>
    <w:rsid w:val="00BF147F"/>
    <w:rsid w:val="00BF2C2D"/>
    <w:rsid w:val="00BF351F"/>
    <w:rsid w:val="00BF7B94"/>
    <w:rsid w:val="00C13925"/>
    <w:rsid w:val="00C2313C"/>
    <w:rsid w:val="00C25CE0"/>
    <w:rsid w:val="00C347C0"/>
    <w:rsid w:val="00C61B67"/>
    <w:rsid w:val="00C72AE0"/>
    <w:rsid w:val="00C7403D"/>
    <w:rsid w:val="00C86C80"/>
    <w:rsid w:val="00CA68DB"/>
    <w:rsid w:val="00CB4AF9"/>
    <w:rsid w:val="00CB7F30"/>
    <w:rsid w:val="00CB7F69"/>
    <w:rsid w:val="00CC3779"/>
    <w:rsid w:val="00CD5B34"/>
    <w:rsid w:val="00CE5DBD"/>
    <w:rsid w:val="00CF6800"/>
    <w:rsid w:val="00D02C61"/>
    <w:rsid w:val="00D07C2C"/>
    <w:rsid w:val="00D10420"/>
    <w:rsid w:val="00D230CD"/>
    <w:rsid w:val="00D25E2F"/>
    <w:rsid w:val="00D50604"/>
    <w:rsid w:val="00D90C63"/>
    <w:rsid w:val="00D92A2E"/>
    <w:rsid w:val="00D9567B"/>
    <w:rsid w:val="00DA4F90"/>
    <w:rsid w:val="00DB4373"/>
    <w:rsid w:val="00DB5F5B"/>
    <w:rsid w:val="00DC6FED"/>
    <w:rsid w:val="00DD3DEA"/>
    <w:rsid w:val="00DF7810"/>
    <w:rsid w:val="00E11D21"/>
    <w:rsid w:val="00E122E2"/>
    <w:rsid w:val="00E2798B"/>
    <w:rsid w:val="00E418A4"/>
    <w:rsid w:val="00E44DAA"/>
    <w:rsid w:val="00E506BE"/>
    <w:rsid w:val="00E52978"/>
    <w:rsid w:val="00E563DC"/>
    <w:rsid w:val="00E63F0A"/>
    <w:rsid w:val="00E65ECB"/>
    <w:rsid w:val="00E805EF"/>
    <w:rsid w:val="00E8250D"/>
    <w:rsid w:val="00E91B83"/>
    <w:rsid w:val="00E96452"/>
    <w:rsid w:val="00EC5C0E"/>
    <w:rsid w:val="00ED5B25"/>
    <w:rsid w:val="00ED6429"/>
    <w:rsid w:val="00F0246D"/>
    <w:rsid w:val="00F236CC"/>
    <w:rsid w:val="00F4587D"/>
    <w:rsid w:val="00F46E59"/>
    <w:rsid w:val="00F50082"/>
    <w:rsid w:val="00F70275"/>
    <w:rsid w:val="00F75C68"/>
    <w:rsid w:val="00F84B3B"/>
    <w:rsid w:val="00F858D3"/>
    <w:rsid w:val="00FA179E"/>
    <w:rsid w:val="00FB23A1"/>
    <w:rsid w:val="00FB4DB4"/>
    <w:rsid w:val="00FC43A6"/>
    <w:rsid w:val="00FE3144"/>
    <w:rsid w:val="00FE3281"/>
    <w:rsid w:val="00FE55F6"/>
    <w:rsid w:val="00FE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7ECC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F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A46F5"/>
    <w:rPr>
      <w:szCs w:val="20"/>
    </w:rPr>
  </w:style>
  <w:style w:type="character" w:customStyle="1" w:styleId="FootnoteTextChar">
    <w:name w:val="Footnote Text Char"/>
    <w:basedOn w:val="DefaultParagraphFont"/>
    <w:link w:val="FootnoteText"/>
    <w:semiHidden/>
    <w:rsid w:val="000A46F5"/>
    <w:rPr>
      <w:rFonts w:ascii="Times New Roman" w:eastAsia="Times New Roman" w:hAnsi="Times New Roman" w:cs="Times New Roman"/>
      <w:sz w:val="20"/>
      <w:szCs w:val="20"/>
    </w:rPr>
  </w:style>
  <w:style w:type="character" w:styleId="FootnoteReference">
    <w:name w:val="footnote reference"/>
    <w:semiHidden/>
    <w:rsid w:val="000A46F5"/>
    <w:rPr>
      <w:vertAlign w:val="superscript"/>
    </w:rPr>
  </w:style>
  <w:style w:type="paragraph" w:styleId="ListParagraph">
    <w:name w:val="List Paragraph"/>
    <w:basedOn w:val="Normal"/>
    <w:uiPriority w:val="34"/>
    <w:qFormat/>
    <w:rsid w:val="00AC694F"/>
    <w:pPr>
      <w:ind w:left="720"/>
      <w:contextualSpacing/>
    </w:pPr>
  </w:style>
  <w:style w:type="character" w:styleId="CommentReference">
    <w:name w:val="annotation reference"/>
    <w:basedOn w:val="DefaultParagraphFont"/>
    <w:uiPriority w:val="99"/>
    <w:semiHidden/>
    <w:unhideWhenUsed/>
    <w:rsid w:val="00F75C68"/>
    <w:rPr>
      <w:sz w:val="16"/>
      <w:szCs w:val="16"/>
    </w:rPr>
  </w:style>
  <w:style w:type="paragraph" w:styleId="CommentText">
    <w:name w:val="annotation text"/>
    <w:basedOn w:val="Normal"/>
    <w:link w:val="CommentTextChar"/>
    <w:uiPriority w:val="99"/>
    <w:semiHidden/>
    <w:unhideWhenUsed/>
    <w:rsid w:val="00F75C68"/>
    <w:rPr>
      <w:szCs w:val="20"/>
    </w:rPr>
  </w:style>
  <w:style w:type="character" w:customStyle="1" w:styleId="CommentTextChar">
    <w:name w:val="Comment Text Char"/>
    <w:basedOn w:val="DefaultParagraphFont"/>
    <w:link w:val="CommentText"/>
    <w:uiPriority w:val="99"/>
    <w:semiHidden/>
    <w:rsid w:val="00F75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5C68"/>
    <w:rPr>
      <w:b/>
      <w:bCs/>
    </w:rPr>
  </w:style>
  <w:style w:type="character" w:customStyle="1" w:styleId="CommentSubjectChar">
    <w:name w:val="Comment Subject Char"/>
    <w:basedOn w:val="CommentTextChar"/>
    <w:link w:val="CommentSubject"/>
    <w:uiPriority w:val="99"/>
    <w:semiHidden/>
    <w:rsid w:val="00F75C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5C68"/>
    <w:rPr>
      <w:rFonts w:ascii="Tahoma" w:hAnsi="Tahoma" w:cs="Tahoma"/>
      <w:sz w:val="16"/>
      <w:szCs w:val="16"/>
    </w:rPr>
  </w:style>
  <w:style w:type="character" w:customStyle="1" w:styleId="BalloonTextChar">
    <w:name w:val="Balloon Text Char"/>
    <w:basedOn w:val="DefaultParagraphFont"/>
    <w:link w:val="BalloonText"/>
    <w:uiPriority w:val="99"/>
    <w:semiHidden/>
    <w:rsid w:val="00F75C68"/>
    <w:rPr>
      <w:rFonts w:ascii="Tahoma" w:eastAsia="Times New Roman" w:hAnsi="Tahoma" w:cs="Tahoma"/>
      <w:sz w:val="16"/>
      <w:szCs w:val="16"/>
    </w:rPr>
  </w:style>
  <w:style w:type="paragraph" w:styleId="BodyTextIndent2">
    <w:name w:val="Body Text Indent 2"/>
    <w:basedOn w:val="Normal"/>
    <w:link w:val="BodyTextIndent2Char"/>
    <w:rsid w:val="00461091"/>
    <w:pPr>
      <w:widowControl/>
      <w:autoSpaceDE/>
      <w:autoSpaceDN/>
      <w:adjustRightInd/>
      <w:ind w:left="686"/>
    </w:pPr>
    <w:rPr>
      <w:rFonts w:ascii="Palatino Linotype" w:hAnsi="Palatino Linotype"/>
      <w:sz w:val="24"/>
    </w:rPr>
  </w:style>
  <w:style w:type="character" w:customStyle="1" w:styleId="BodyTextIndent2Char">
    <w:name w:val="Body Text Indent 2 Char"/>
    <w:basedOn w:val="DefaultParagraphFont"/>
    <w:link w:val="BodyTextIndent2"/>
    <w:rsid w:val="00461091"/>
    <w:rPr>
      <w:rFonts w:ascii="Palatino Linotype" w:eastAsia="Times New Roman" w:hAnsi="Palatino Linotype" w:cs="Times New Roman"/>
      <w:sz w:val="24"/>
      <w:szCs w:val="24"/>
    </w:rPr>
  </w:style>
  <w:style w:type="paragraph" w:styleId="Header">
    <w:name w:val="header"/>
    <w:basedOn w:val="Normal"/>
    <w:link w:val="HeaderChar"/>
    <w:uiPriority w:val="99"/>
    <w:unhideWhenUsed/>
    <w:rsid w:val="00445CED"/>
    <w:pPr>
      <w:tabs>
        <w:tab w:val="center" w:pos="4680"/>
        <w:tab w:val="right" w:pos="9360"/>
      </w:tabs>
    </w:pPr>
  </w:style>
  <w:style w:type="character" w:customStyle="1" w:styleId="HeaderChar">
    <w:name w:val="Header Char"/>
    <w:basedOn w:val="DefaultParagraphFont"/>
    <w:link w:val="Header"/>
    <w:uiPriority w:val="99"/>
    <w:rsid w:val="00445CE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45CED"/>
    <w:pPr>
      <w:tabs>
        <w:tab w:val="center" w:pos="4680"/>
        <w:tab w:val="right" w:pos="9360"/>
      </w:tabs>
    </w:pPr>
  </w:style>
  <w:style w:type="character" w:customStyle="1" w:styleId="FooterChar">
    <w:name w:val="Footer Char"/>
    <w:basedOn w:val="DefaultParagraphFont"/>
    <w:link w:val="Footer"/>
    <w:uiPriority w:val="99"/>
    <w:rsid w:val="00445CED"/>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F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A46F5"/>
    <w:rPr>
      <w:szCs w:val="20"/>
    </w:rPr>
  </w:style>
  <w:style w:type="character" w:customStyle="1" w:styleId="FootnoteTextChar">
    <w:name w:val="Footnote Text Char"/>
    <w:basedOn w:val="DefaultParagraphFont"/>
    <w:link w:val="FootnoteText"/>
    <w:semiHidden/>
    <w:rsid w:val="000A46F5"/>
    <w:rPr>
      <w:rFonts w:ascii="Times New Roman" w:eastAsia="Times New Roman" w:hAnsi="Times New Roman" w:cs="Times New Roman"/>
      <w:sz w:val="20"/>
      <w:szCs w:val="20"/>
    </w:rPr>
  </w:style>
  <w:style w:type="character" w:styleId="FootnoteReference">
    <w:name w:val="footnote reference"/>
    <w:semiHidden/>
    <w:rsid w:val="000A46F5"/>
    <w:rPr>
      <w:vertAlign w:val="superscript"/>
    </w:rPr>
  </w:style>
  <w:style w:type="paragraph" w:styleId="ListParagraph">
    <w:name w:val="List Paragraph"/>
    <w:basedOn w:val="Normal"/>
    <w:uiPriority w:val="34"/>
    <w:qFormat/>
    <w:rsid w:val="00AC694F"/>
    <w:pPr>
      <w:ind w:left="720"/>
      <w:contextualSpacing/>
    </w:pPr>
  </w:style>
  <w:style w:type="character" w:styleId="CommentReference">
    <w:name w:val="annotation reference"/>
    <w:basedOn w:val="DefaultParagraphFont"/>
    <w:uiPriority w:val="99"/>
    <w:semiHidden/>
    <w:unhideWhenUsed/>
    <w:rsid w:val="00F75C68"/>
    <w:rPr>
      <w:sz w:val="16"/>
      <w:szCs w:val="16"/>
    </w:rPr>
  </w:style>
  <w:style w:type="paragraph" w:styleId="CommentText">
    <w:name w:val="annotation text"/>
    <w:basedOn w:val="Normal"/>
    <w:link w:val="CommentTextChar"/>
    <w:uiPriority w:val="99"/>
    <w:semiHidden/>
    <w:unhideWhenUsed/>
    <w:rsid w:val="00F75C68"/>
    <w:rPr>
      <w:szCs w:val="20"/>
    </w:rPr>
  </w:style>
  <w:style w:type="character" w:customStyle="1" w:styleId="CommentTextChar">
    <w:name w:val="Comment Text Char"/>
    <w:basedOn w:val="DefaultParagraphFont"/>
    <w:link w:val="CommentText"/>
    <w:uiPriority w:val="99"/>
    <w:semiHidden/>
    <w:rsid w:val="00F75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5C68"/>
    <w:rPr>
      <w:b/>
      <w:bCs/>
    </w:rPr>
  </w:style>
  <w:style w:type="character" w:customStyle="1" w:styleId="CommentSubjectChar">
    <w:name w:val="Comment Subject Char"/>
    <w:basedOn w:val="CommentTextChar"/>
    <w:link w:val="CommentSubject"/>
    <w:uiPriority w:val="99"/>
    <w:semiHidden/>
    <w:rsid w:val="00F75C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5C68"/>
    <w:rPr>
      <w:rFonts w:ascii="Tahoma" w:hAnsi="Tahoma" w:cs="Tahoma"/>
      <w:sz w:val="16"/>
      <w:szCs w:val="16"/>
    </w:rPr>
  </w:style>
  <w:style w:type="character" w:customStyle="1" w:styleId="BalloonTextChar">
    <w:name w:val="Balloon Text Char"/>
    <w:basedOn w:val="DefaultParagraphFont"/>
    <w:link w:val="BalloonText"/>
    <w:uiPriority w:val="99"/>
    <w:semiHidden/>
    <w:rsid w:val="00F75C68"/>
    <w:rPr>
      <w:rFonts w:ascii="Tahoma" w:eastAsia="Times New Roman" w:hAnsi="Tahoma" w:cs="Tahoma"/>
      <w:sz w:val="16"/>
      <w:szCs w:val="16"/>
    </w:rPr>
  </w:style>
  <w:style w:type="paragraph" w:styleId="BodyTextIndent2">
    <w:name w:val="Body Text Indent 2"/>
    <w:basedOn w:val="Normal"/>
    <w:link w:val="BodyTextIndent2Char"/>
    <w:rsid w:val="00461091"/>
    <w:pPr>
      <w:widowControl/>
      <w:autoSpaceDE/>
      <w:autoSpaceDN/>
      <w:adjustRightInd/>
      <w:ind w:left="686"/>
    </w:pPr>
    <w:rPr>
      <w:rFonts w:ascii="Palatino Linotype" w:hAnsi="Palatino Linotype"/>
      <w:sz w:val="24"/>
    </w:rPr>
  </w:style>
  <w:style w:type="character" w:customStyle="1" w:styleId="BodyTextIndent2Char">
    <w:name w:val="Body Text Indent 2 Char"/>
    <w:basedOn w:val="DefaultParagraphFont"/>
    <w:link w:val="BodyTextIndent2"/>
    <w:rsid w:val="00461091"/>
    <w:rPr>
      <w:rFonts w:ascii="Palatino Linotype" w:eastAsia="Times New Roman" w:hAnsi="Palatino Linotype" w:cs="Times New Roman"/>
      <w:sz w:val="24"/>
      <w:szCs w:val="24"/>
    </w:rPr>
  </w:style>
  <w:style w:type="paragraph" w:styleId="Header">
    <w:name w:val="header"/>
    <w:basedOn w:val="Normal"/>
    <w:link w:val="HeaderChar"/>
    <w:uiPriority w:val="99"/>
    <w:unhideWhenUsed/>
    <w:rsid w:val="00445CED"/>
    <w:pPr>
      <w:tabs>
        <w:tab w:val="center" w:pos="4680"/>
        <w:tab w:val="right" w:pos="9360"/>
      </w:tabs>
    </w:pPr>
  </w:style>
  <w:style w:type="character" w:customStyle="1" w:styleId="HeaderChar">
    <w:name w:val="Header Char"/>
    <w:basedOn w:val="DefaultParagraphFont"/>
    <w:link w:val="Header"/>
    <w:uiPriority w:val="99"/>
    <w:rsid w:val="00445CE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45CED"/>
    <w:pPr>
      <w:tabs>
        <w:tab w:val="center" w:pos="4680"/>
        <w:tab w:val="right" w:pos="9360"/>
      </w:tabs>
    </w:pPr>
  </w:style>
  <w:style w:type="character" w:customStyle="1" w:styleId="FooterChar">
    <w:name w:val="Footer Char"/>
    <w:basedOn w:val="DefaultParagraphFont"/>
    <w:link w:val="Footer"/>
    <w:uiPriority w:val="99"/>
    <w:rsid w:val="00445CE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2014-06-30T07:00:00+00:00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521CD64E66D14996E5573361FF229D" ma:contentTypeVersion="175" ma:contentTypeDescription="" ma:contentTypeScope="" ma:versionID="b56e67f2da0217cfd5401ac62f65cb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1E5C6-ACAA-47D9-9913-31B0077E1DED}"/>
</file>

<file path=customXml/itemProps2.xml><?xml version="1.0" encoding="utf-8"?>
<ds:datastoreItem xmlns:ds="http://schemas.openxmlformats.org/officeDocument/2006/customXml" ds:itemID="{B705A8CC-1035-4643-BBE7-542CCE55C5A5}"/>
</file>

<file path=customXml/itemProps3.xml><?xml version="1.0" encoding="utf-8"?>
<ds:datastoreItem xmlns:ds="http://schemas.openxmlformats.org/officeDocument/2006/customXml" ds:itemID="{ED676053-7055-4E20-9696-4B985FFD4C53}"/>
</file>

<file path=customXml/itemProps4.xml><?xml version="1.0" encoding="utf-8"?>
<ds:datastoreItem xmlns:ds="http://schemas.openxmlformats.org/officeDocument/2006/customXml" ds:itemID="{EBF46AE9-626C-471A-8429-CDABA6EE2C9E}"/>
</file>

<file path=customXml/itemProps5.xml><?xml version="1.0" encoding="utf-8"?>
<ds:datastoreItem xmlns:ds="http://schemas.openxmlformats.org/officeDocument/2006/customXml" ds:itemID="{71FF222A-FEFF-4048-A3AC-3199D8D7FAE6}"/>
</file>

<file path=docProps/app.xml><?xml version="1.0" encoding="utf-8"?>
<Properties xmlns="http://schemas.openxmlformats.org/officeDocument/2006/extended-properties" xmlns:vt="http://schemas.openxmlformats.org/officeDocument/2006/docPropsVTypes">
  <Template>Normal.dotm</Template>
  <TotalTime>22</TotalTime>
  <Pages>9</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Oshie</dc:creator>
  <cp:lastModifiedBy>Krista Gross</cp:lastModifiedBy>
  <cp:revision>10</cp:revision>
  <dcterms:created xsi:type="dcterms:W3CDTF">2014-07-18T21:41:00Z</dcterms:created>
  <dcterms:modified xsi:type="dcterms:W3CDTF">2014-07-18T22:19:00Z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0x0101006E56B4D1795A2E4DB2F0B01679ED314A0038521CD64E66D14996E5573361FF229D</vt:lpwstr>
  </property>
  <property fmtid="{D5CDD505-2E9C-101B-9397-08002B2CF9AE}" pid="3" name="_docset_NoMedatataSyncRequired">
    <vt:lpwstr>False</vt:lpwstr>
  </property>
</Properties>
</file>