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4D294C60" w:rsidR="009008D5" w:rsidRDefault="008342EB" w:rsidP="009008D5">
      <w:pPr>
        <w:spacing w:after="0" w:line="240" w:lineRule="auto"/>
        <w:rPr>
          <w:rFonts w:ascii="Times New Roman" w:hAnsi="Times New Roman"/>
          <w:sz w:val="24"/>
          <w:szCs w:val="24"/>
        </w:rPr>
      </w:pPr>
      <w:r>
        <w:rPr>
          <w:rFonts w:ascii="Times New Roman" w:hAnsi="Times New Roman"/>
          <w:sz w:val="24"/>
          <w:szCs w:val="24"/>
        </w:rPr>
        <w:t>July 28</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23D1A349"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8342EB">
        <w:rPr>
          <w:rFonts w:ascii="Times New Roman" w:hAnsi="Times New Roman"/>
          <w:i/>
          <w:sz w:val="24"/>
          <w:szCs w:val="24"/>
        </w:rPr>
        <w:t>Apex Limo Service LLC</w:t>
      </w:r>
    </w:p>
    <w:p w14:paraId="2079200F" w14:textId="77777777" w:rsidR="00B33055" w:rsidRDefault="00B33055" w:rsidP="009008D5">
      <w:pPr>
        <w:spacing w:after="0" w:line="240" w:lineRule="auto"/>
        <w:rPr>
          <w:rFonts w:ascii="Times New Roman" w:hAnsi="Times New Roman"/>
          <w:sz w:val="24"/>
          <w:szCs w:val="24"/>
        </w:rPr>
      </w:pPr>
    </w:p>
    <w:p w14:paraId="61CF9C97" w14:textId="7BE4A104"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8342EB">
        <w:rPr>
          <w:rFonts w:ascii="Times New Roman" w:hAnsi="Times New Roman"/>
          <w:sz w:val="24"/>
          <w:szCs w:val="24"/>
        </w:rPr>
        <w:t>TE-141051</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2C7C1243"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232810">
        <w:rPr>
          <w:rFonts w:ascii="Times New Roman" w:hAnsi="Times New Roman"/>
          <w:sz w:val="24"/>
          <w:szCs w:val="24"/>
        </w:rPr>
        <w:t>3</w:t>
      </w:r>
      <w:r>
        <w:rPr>
          <w:rFonts w:ascii="Times New Roman" w:hAnsi="Times New Roman"/>
          <w:sz w:val="24"/>
          <w:szCs w:val="24"/>
        </w:rPr>
        <w:t xml:space="preserve">, 2014, the Utilities and Transportation Commission issued a $1,000 Penalty Assessment in Docket </w:t>
      </w:r>
      <w:r w:rsidR="00232810">
        <w:rPr>
          <w:rFonts w:ascii="Times New Roman" w:hAnsi="Times New Roman"/>
          <w:sz w:val="24"/>
          <w:szCs w:val="24"/>
        </w:rPr>
        <w:t>TE-</w:t>
      </w:r>
      <w:r w:rsidR="008342EB">
        <w:rPr>
          <w:rFonts w:ascii="Times New Roman" w:hAnsi="Times New Roman"/>
          <w:sz w:val="24"/>
          <w:szCs w:val="24"/>
        </w:rPr>
        <w:t>141051</w:t>
      </w:r>
      <w:r>
        <w:rPr>
          <w:rFonts w:ascii="Times New Roman" w:hAnsi="Times New Roman"/>
          <w:sz w:val="24"/>
          <w:szCs w:val="24"/>
        </w:rPr>
        <w:t xml:space="preserve"> against </w:t>
      </w:r>
      <w:r w:rsidR="008342EB">
        <w:rPr>
          <w:rFonts w:ascii="Times New Roman" w:hAnsi="Times New Roman"/>
          <w:sz w:val="24"/>
          <w:szCs w:val="24"/>
        </w:rPr>
        <w:t>Apex Limo Service LLC</w:t>
      </w:r>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7DA24A00"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8342EB">
        <w:rPr>
          <w:rFonts w:ascii="Times New Roman" w:hAnsi="Times New Roman"/>
          <w:sz w:val="24"/>
          <w:szCs w:val="24"/>
        </w:rPr>
        <w:t>June 5</w:t>
      </w:r>
      <w:r w:rsidR="000260AC">
        <w:rPr>
          <w:rFonts w:ascii="Times New Roman" w:hAnsi="Times New Roman"/>
          <w:sz w:val="24"/>
          <w:szCs w:val="24"/>
        </w:rPr>
        <w:t>,</w:t>
      </w:r>
      <w:r w:rsidR="008342EB">
        <w:rPr>
          <w:rFonts w:ascii="Times New Roman" w:hAnsi="Times New Roman"/>
          <w:sz w:val="24"/>
          <w:szCs w:val="24"/>
        </w:rPr>
        <w:t xml:space="preserve"> 2014</w:t>
      </w:r>
      <w:r w:rsidR="000260AC">
        <w:rPr>
          <w:rFonts w:ascii="Times New Roman" w:hAnsi="Times New Roman"/>
          <w:sz w:val="24"/>
          <w:szCs w:val="24"/>
        </w:rPr>
        <w:t xml:space="preserve"> </w:t>
      </w:r>
      <w:r w:rsidR="008342EB">
        <w:rPr>
          <w:rFonts w:ascii="Times New Roman" w:hAnsi="Times New Roman"/>
          <w:sz w:val="24"/>
          <w:szCs w:val="24"/>
        </w:rPr>
        <w:t>Apex Limo Service LLC</w:t>
      </w:r>
      <w:r w:rsidR="00F30891">
        <w:rPr>
          <w:rFonts w:ascii="Times New Roman" w:hAnsi="Times New Roman"/>
          <w:sz w:val="24"/>
          <w:szCs w:val="24"/>
        </w:rPr>
        <w:t xml:space="preserve"> </w:t>
      </w:r>
      <w:r w:rsidR="008342EB">
        <w:rPr>
          <w:rFonts w:ascii="Times New Roman" w:hAnsi="Times New Roman"/>
          <w:sz w:val="24"/>
          <w:szCs w:val="24"/>
        </w:rPr>
        <w:t xml:space="preserve">submitted a request for a hearing but failed to provide a written </w:t>
      </w:r>
      <w:proofErr w:type="gramStart"/>
      <w:r w:rsidR="008342EB">
        <w:rPr>
          <w:rFonts w:ascii="Times New Roman" w:hAnsi="Times New Roman"/>
          <w:sz w:val="24"/>
          <w:szCs w:val="24"/>
        </w:rPr>
        <w:t>statement.</w:t>
      </w:r>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8342EB">
        <w:rPr>
          <w:rFonts w:ascii="Times New Roman" w:hAnsi="Times New Roman"/>
          <w:sz w:val="24"/>
          <w:szCs w:val="24"/>
        </w:rPr>
        <w:t>On</w:t>
      </w:r>
      <w:proofErr w:type="gramEnd"/>
      <w:r w:rsidR="008342EB">
        <w:rPr>
          <w:rFonts w:ascii="Times New Roman" w:hAnsi="Times New Roman"/>
          <w:sz w:val="24"/>
          <w:szCs w:val="24"/>
        </w:rPr>
        <w:t xml:space="preserve"> July 9, 2014 the commission issued a notice denying the request for hearing, but allowed for opportunity to submit reason(s) in support for application for mitigation within one week of the service date.</w:t>
      </w:r>
      <w:r w:rsidR="008342EB" w:rsidRPr="008342EB">
        <w:rPr>
          <w:rFonts w:ascii="Times New Roman" w:hAnsi="Times New Roman"/>
          <w:sz w:val="24"/>
          <w:szCs w:val="24"/>
          <w:vertAlign w:val="superscript"/>
        </w:rPr>
        <w:t>3</w:t>
      </w:r>
      <w:r w:rsidR="008342EB">
        <w:rPr>
          <w:rFonts w:ascii="Times New Roman" w:hAnsi="Times New Roman"/>
          <w:sz w:val="24"/>
          <w:szCs w:val="24"/>
        </w:rPr>
        <w:t xml:space="preserve">  </w:t>
      </w:r>
      <w:r w:rsidR="00F30891" w:rsidRPr="008342EB">
        <w:rPr>
          <w:rFonts w:ascii="Times New Roman" w:hAnsi="Times New Roman"/>
          <w:sz w:val="24"/>
          <w:szCs w:val="24"/>
        </w:rPr>
        <w:t>In</w:t>
      </w:r>
      <w:r w:rsidR="00F30891">
        <w:rPr>
          <w:rFonts w:ascii="Times New Roman" w:hAnsi="Times New Roman"/>
          <w:sz w:val="24"/>
          <w:szCs w:val="24"/>
        </w:rPr>
        <w:t xml:space="preserve"> its Mitigation Request</w:t>
      </w:r>
      <w:r w:rsidR="00E03C8B">
        <w:rPr>
          <w:rFonts w:ascii="Times New Roman" w:hAnsi="Times New Roman"/>
          <w:sz w:val="24"/>
          <w:szCs w:val="24"/>
          <w:vertAlign w:val="superscript"/>
        </w:rPr>
        <w:t>4</w:t>
      </w:r>
      <w:r w:rsidR="00E03C8B">
        <w:rPr>
          <w:rFonts w:ascii="Times New Roman" w:hAnsi="Times New Roman"/>
          <w:sz w:val="24"/>
          <w:szCs w:val="24"/>
        </w:rPr>
        <w:t xml:space="preserve"> which was received by the commission on July 15, 2014</w:t>
      </w:r>
      <w:r w:rsidR="00F30891">
        <w:rPr>
          <w:rFonts w:ascii="Times New Roman" w:hAnsi="Times New Roman"/>
          <w:sz w:val="24"/>
          <w:szCs w:val="24"/>
        </w:rPr>
        <w:t xml:space="preserve">, </w:t>
      </w:r>
      <w:r w:rsidR="008342EB">
        <w:rPr>
          <w:rFonts w:ascii="Times New Roman" w:hAnsi="Times New Roman"/>
          <w:sz w:val="24"/>
          <w:szCs w:val="24"/>
        </w:rPr>
        <w:t>Apex Limo Service LLC</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w:t>
      </w:r>
      <w:r w:rsidR="008342EB">
        <w:rPr>
          <w:rFonts w:ascii="Times New Roman" w:hAnsi="Times New Roman"/>
          <w:sz w:val="24"/>
          <w:szCs w:val="24"/>
        </w:rPr>
        <w:t>provided a statement regarding the owner’s confusion regarding the UTC requirements and only became aware of the annual report requirement when he asked another company to purchase his vehicle.</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1ECDCE62" w14:textId="79EDAE5D" w:rsidR="00E052D4" w:rsidRDefault="000D42CE" w:rsidP="009008D5">
      <w:pPr>
        <w:spacing w:after="0" w:line="240" w:lineRule="auto"/>
        <w:rPr>
          <w:rFonts w:ascii="Times New Roman" w:hAnsi="Times New Roman"/>
          <w:sz w:val="24"/>
          <w:szCs w:val="24"/>
        </w:rPr>
      </w:pPr>
      <w:r>
        <w:rPr>
          <w:rFonts w:ascii="Times New Roman" w:hAnsi="Times New Roman"/>
          <w:sz w:val="24"/>
          <w:szCs w:val="24"/>
        </w:rPr>
        <w:t>UTC Annual Reports</w:t>
      </w:r>
    </w:p>
    <w:p w14:paraId="351B7895" w14:textId="355694EB" w:rsidR="000D42CE" w:rsidRDefault="00E03C8B" w:rsidP="009008D5">
      <w:pPr>
        <w:spacing w:after="0" w:line="240" w:lineRule="auto"/>
        <w:rPr>
          <w:rFonts w:ascii="Times New Roman" w:hAnsi="Times New Roman"/>
          <w:sz w:val="24"/>
          <w:szCs w:val="24"/>
        </w:rPr>
      </w:pPr>
      <w:r>
        <w:rPr>
          <w:rFonts w:ascii="Times New Roman" w:hAnsi="Times New Roman"/>
          <w:sz w:val="24"/>
          <w:szCs w:val="24"/>
        </w:rPr>
        <w:t>July 28</w:t>
      </w:r>
      <w:r w:rsidR="000D42CE">
        <w:rPr>
          <w:rFonts w:ascii="Times New Roman" w:hAnsi="Times New Roman"/>
          <w:sz w:val="24"/>
          <w:szCs w:val="24"/>
        </w:rPr>
        <w:t>, 2014</w:t>
      </w:r>
    </w:p>
    <w:p w14:paraId="2E471581" w14:textId="37000972"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Page 2</w:t>
      </w:r>
    </w:p>
    <w:p w14:paraId="7D35893E" w14:textId="77777777" w:rsidR="00F63DB1" w:rsidRDefault="00F63DB1" w:rsidP="009008D5">
      <w:pPr>
        <w:spacing w:after="0" w:line="240" w:lineRule="auto"/>
        <w:rPr>
          <w:rFonts w:ascii="Times New Roman" w:hAnsi="Times New Roman"/>
          <w:sz w:val="24"/>
          <w:szCs w:val="24"/>
        </w:rPr>
      </w:pPr>
    </w:p>
    <w:p w14:paraId="559BD98E" w14:textId="77777777" w:rsidR="00E03C8B" w:rsidRDefault="00E03C8B" w:rsidP="009008D5">
      <w:pPr>
        <w:spacing w:after="0" w:line="240" w:lineRule="auto"/>
        <w:rPr>
          <w:rFonts w:ascii="Times New Roman" w:hAnsi="Times New Roman"/>
          <w:sz w:val="24"/>
          <w:szCs w:val="24"/>
        </w:rPr>
      </w:pPr>
    </w:p>
    <w:p w14:paraId="5B949591" w14:textId="19746898" w:rsidR="00E052D4"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8342EB">
        <w:rPr>
          <w:rFonts w:ascii="Times New Roman" w:hAnsi="Times New Roman"/>
          <w:sz w:val="24"/>
          <w:szCs w:val="24"/>
        </w:rPr>
        <w:t>June 5, 2014</w:t>
      </w:r>
      <w:r>
        <w:rPr>
          <w:rFonts w:ascii="Times New Roman" w:hAnsi="Times New Roman"/>
          <w:sz w:val="24"/>
          <w:szCs w:val="24"/>
        </w:rPr>
        <w:t xml:space="preserve">, </w:t>
      </w:r>
      <w:r w:rsidR="008342EB">
        <w:rPr>
          <w:rFonts w:ascii="Times New Roman" w:hAnsi="Times New Roman"/>
          <w:sz w:val="24"/>
          <w:szCs w:val="24"/>
        </w:rPr>
        <w:t>Apex Limo LLC</w:t>
      </w:r>
      <w:r>
        <w:rPr>
          <w:rFonts w:ascii="Times New Roman" w:hAnsi="Times New Roman"/>
          <w:sz w:val="24"/>
          <w:szCs w:val="24"/>
        </w:rPr>
        <w:t xml:space="preserve"> filed the 2013 annual report and paid the required regulatory </w:t>
      </w:r>
      <w:r w:rsidR="008342EB">
        <w:rPr>
          <w:rFonts w:ascii="Times New Roman" w:hAnsi="Times New Roman"/>
          <w:sz w:val="24"/>
          <w:szCs w:val="24"/>
        </w:rPr>
        <w:t>and late payment fees</w:t>
      </w:r>
      <w:r>
        <w:rPr>
          <w:rFonts w:ascii="Times New Roman" w:hAnsi="Times New Roman"/>
          <w:sz w:val="24"/>
          <w:szCs w:val="24"/>
        </w:rPr>
        <w:t xml:space="preserve">.  The company </w:t>
      </w:r>
      <w:r w:rsidR="008342EB">
        <w:rPr>
          <w:rFonts w:ascii="Times New Roman" w:hAnsi="Times New Roman"/>
          <w:sz w:val="24"/>
          <w:szCs w:val="24"/>
        </w:rPr>
        <w:t>initial application was submitted on May 3, 2013</w:t>
      </w:r>
      <w:r>
        <w:rPr>
          <w:rFonts w:ascii="Times New Roman" w:hAnsi="Times New Roman"/>
          <w:sz w:val="24"/>
          <w:szCs w:val="24"/>
        </w:rPr>
        <w:t xml:space="preserve">.  No previous violations of WAC 480-30-071 are on commission record.  </w:t>
      </w:r>
      <w:r w:rsidR="00F63DB1">
        <w:rPr>
          <w:rFonts w:ascii="Times New Roman" w:hAnsi="Times New Roman"/>
          <w:sz w:val="24"/>
          <w:szCs w:val="24"/>
        </w:rPr>
        <w:t>The UTC also recently adopted new rules requiring the annual report to be filed by May 1 while the regulatory fees remained due on December 31.  Despite the commission communication regarding these filing changes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3961A3A0" w:rsidR="000D42CE" w:rsidRDefault="00E03C8B" w:rsidP="00E03C8B">
      <w:pPr>
        <w:jc w:val="center"/>
        <w:rPr>
          <w:rFonts w:ascii="Times New Roman" w:hAnsi="Times New Roman"/>
          <w:sz w:val="24"/>
          <w:szCs w:val="24"/>
        </w:rPr>
      </w:pPr>
      <w:r>
        <w:rPr>
          <w:rFonts w:ascii="Times New Roman" w:hAnsi="Times New Roman"/>
          <w:noProof/>
          <w:sz w:val="24"/>
          <w:szCs w:val="24"/>
        </w:rPr>
        <w:drawing>
          <wp:inline distT="0" distB="0" distL="0" distR="0" wp14:anchorId="71CEF5E8" wp14:editId="23221AD0">
            <wp:extent cx="5126355" cy="6789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a:extLst>
                        <a:ext uri="{28A0092B-C50C-407E-A947-70E740481C1C}">
                          <a14:useLocalDpi xmlns:a14="http://schemas.microsoft.com/office/drawing/2010/main" val="0"/>
                        </a:ext>
                      </a:extLst>
                    </a:blip>
                    <a:stretch>
                      <a:fillRect/>
                    </a:stretch>
                  </pic:blipFill>
                  <pic:spPr>
                    <a:xfrm>
                      <a:off x="0" y="0"/>
                      <a:ext cx="5134607" cy="6800349"/>
                    </a:xfrm>
                    <a:prstGeom prst="rect">
                      <a:avLst/>
                    </a:prstGeom>
                  </pic:spPr>
                </pic:pic>
              </a:graphicData>
            </a:graphic>
          </wp:inline>
        </w:drawing>
      </w:r>
      <w:r w:rsidR="000D42CE">
        <w:rPr>
          <w:rFonts w:ascii="Times New Roman" w:hAnsi="Times New Roman"/>
          <w:sz w:val="24"/>
          <w:szCs w:val="24"/>
        </w:rPr>
        <w:br w:type="textWrapping" w:clear="all"/>
      </w:r>
    </w:p>
    <w:p w14:paraId="0FDC4372" w14:textId="4733C867" w:rsidR="00232810" w:rsidRPr="000D42CE" w:rsidRDefault="00232810" w:rsidP="000D42CE">
      <w:pPr>
        <w:rPr>
          <w:rFonts w:ascii="Times New Roman" w:hAnsi="Times New Roman"/>
          <w:sz w:val="24"/>
          <w:szCs w:val="24"/>
        </w:rPr>
      </w:pPr>
    </w:p>
    <w:p w14:paraId="0734B7E5" w14:textId="143BA5A9" w:rsidR="000D42CE" w:rsidRPr="000D42CE" w:rsidRDefault="000D42CE" w:rsidP="00E03C8B">
      <w:pPr>
        <w:jc w:val="cente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6E4D5CC2" w:rsidR="00232810" w:rsidRDefault="00E03C8B" w:rsidP="00E03C8B">
      <w:pPr>
        <w:jc w:val="center"/>
        <w:rPr>
          <w:rFonts w:ascii="Times New Roman" w:hAnsi="Times New Roman"/>
          <w:sz w:val="24"/>
          <w:szCs w:val="24"/>
        </w:rPr>
      </w:pPr>
      <w:r>
        <w:rPr>
          <w:noProof/>
        </w:rPr>
        <w:drawing>
          <wp:inline distT="0" distB="0" distL="0" distR="0" wp14:anchorId="28EC80EE" wp14:editId="144F6D8E">
            <wp:extent cx="5268846" cy="642366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3599" cy="6429455"/>
                    </a:xfrm>
                    <a:prstGeom prst="rect">
                      <a:avLst/>
                    </a:prstGeom>
                  </pic:spPr>
                </pic:pic>
              </a:graphicData>
            </a:graphic>
          </wp:inline>
        </w:drawing>
      </w:r>
    </w:p>
    <w:p w14:paraId="2D5669A9" w14:textId="77777777" w:rsidR="00232810" w:rsidRDefault="00232810" w:rsidP="000D42CE">
      <w:pPr>
        <w:rPr>
          <w:rFonts w:ascii="Times New Roman" w:hAnsi="Times New Roman"/>
          <w:sz w:val="24"/>
          <w:szCs w:val="24"/>
        </w:rPr>
      </w:pPr>
    </w:p>
    <w:p w14:paraId="67204319" w14:textId="11C0B17C" w:rsidR="00232810" w:rsidRDefault="00E03C8B" w:rsidP="00E03C8B">
      <w:pPr>
        <w:jc w:val="center"/>
        <w:rPr>
          <w:noProof/>
        </w:rPr>
      </w:pPr>
      <w:r>
        <w:rPr>
          <w:noProof/>
        </w:rPr>
        <w:lastRenderedPageBreak/>
        <w:drawing>
          <wp:inline distT="0" distB="0" distL="0" distR="0" wp14:anchorId="28658DF5" wp14:editId="42DFFA34">
            <wp:extent cx="5227320" cy="7376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32561" cy="7384020"/>
                    </a:xfrm>
                    <a:prstGeom prst="rect">
                      <a:avLst/>
                    </a:prstGeom>
                  </pic:spPr>
                </pic:pic>
              </a:graphicData>
            </a:graphic>
          </wp:inline>
        </w:drawing>
      </w:r>
    </w:p>
    <w:p w14:paraId="4A757264" w14:textId="4396C16A" w:rsidR="00D03E1A" w:rsidRPr="000D42CE" w:rsidRDefault="00D03E1A" w:rsidP="000D42CE">
      <w:pPr>
        <w:rPr>
          <w:rFonts w:ascii="Times New Roman" w:hAnsi="Times New Roman"/>
          <w:sz w:val="24"/>
          <w:szCs w:val="24"/>
        </w:rPr>
      </w:pPr>
    </w:p>
    <w:p w14:paraId="1A1FD29B" w14:textId="77777777" w:rsidR="00E03C8B" w:rsidRDefault="00E03C8B" w:rsidP="00E03C8B">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2A2288FF" w14:textId="77616B3A" w:rsidR="000D42CE" w:rsidRDefault="00E03C8B" w:rsidP="00E03C8B">
      <w:pPr>
        <w:ind w:firstLine="720"/>
        <w:jc w:val="center"/>
        <w:rPr>
          <w:rFonts w:ascii="Times New Roman" w:hAnsi="Times New Roman"/>
          <w:sz w:val="24"/>
          <w:szCs w:val="24"/>
        </w:rPr>
      </w:pPr>
      <w:r>
        <w:rPr>
          <w:noProof/>
        </w:rPr>
        <w:drawing>
          <wp:inline distT="0" distB="0" distL="0" distR="0" wp14:anchorId="6F5B7B71" wp14:editId="3D5F3DCE">
            <wp:extent cx="4896182" cy="6972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1073" cy="6979265"/>
                    </a:xfrm>
                    <a:prstGeom prst="rect">
                      <a:avLst/>
                    </a:prstGeom>
                  </pic:spPr>
                </pic:pic>
              </a:graphicData>
            </a:graphic>
          </wp:inline>
        </w:drawing>
      </w:r>
    </w:p>
    <w:p w14:paraId="6B34AD89" w14:textId="77777777" w:rsidR="00232810" w:rsidRDefault="00232810" w:rsidP="00232810">
      <w:pPr>
        <w:ind w:firstLine="720"/>
        <w:rPr>
          <w:rFonts w:ascii="Times New Roman" w:hAnsi="Times New Roman"/>
          <w:sz w:val="24"/>
          <w:szCs w:val="24"/>
        </w:rPr>
      </w:pPr>
    </w:p>
    <w:p w14:paraId="5DA67229" w14:textId="58BD78E0" w:rsidR="000D42CE" w:rsidRDefault="00E03C8B"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C</w:t>
      </w:r>
    </w:p>
    <w:p w14:paraId="7B326E46" w14:textId="5FD400AB" w:rsidR="00E03C8B" w:rsidRDefault="00E03C8B" w:rsidP="000D42CE">
      <w:pPr>
        <w:tabs>
          <w:tab w:val="left" w:pos="1020"/>
        </w:tabs>
        <w:jc w:val="center"/>
        <w:rPr>
          <w:rFonts w:ascii="Times New Roman" w:hAnsi="Times New Roman"/>
          <w:sz w:val="24"/>
          <w:szCs w:val="24"/>
        </w:rPr>
      </w:pPr>
      <w:r>
        <w:rPr>
          <w:noProof/>
        </w:rPr>
        <w:drawing>
          <wp:inline distT="0" distB="0" distL="0" distR="0" wp14:anchorId="632A8772" wp14:editId="54035EEE">
            <wp:extent cx="5120612" cy="68961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24254" cy="6901005"/>
                    </a:xfrm>
                    <a:prstGeom prst="rect">
                      <a:avLst/>
                    </a:prstGeom>
                  </pic:spPr>
                </pic:pic>
              </a:graphicData>
            </a:graphic>
          </wp:inline>
        </w:drawing>
      </w:r>
    </w:p>
    <w:p w14:paraId="557685F4" w14:textId="0986E530" w:rsidR="000D42CE" w:rsidRDefault="000D42CE" w:rsidP="000D42CE">
      <w:pPr>
        <w:tabs>
          <w:tab w:val="left" w:pos="1020"/>
        </w:tabs>
        <w:jc w:val="center"/>
        <w:rPr>
          <w:rFonts w:ascii="Times New Roman" w:hAnsi="Times New Roman"/>
          <w:sz w:val="24"/>
          <w:szCs w:val="24"/>
        </w:rPr>
      </w:pPr>
    </w:p>
    <w:p w14:paraId="483AD107" w14:textId="244F2F0E" w:rsidR="00E03C8B" w:rsidRDefault="00E03C8B" w:rsidP="00E03C8B">
      <w:pPr>
        <w:tabs>
          <w:tab w:val="left" w:pos="1020"/>
        </w:tabs>
        <w:jc w:val="center"/>
        <w:rPr>
          <w:rFonts w:ascii="Times New Roman" w:hAnsi="Times New Roman"/>
          <w:sz w:val="24"/>
          <w:szCs w:val="24"/>
        </w:rPr>
      </w:pPr>
      <w:r>
        <w:rPr>
          <w:rFonts w:ascii="Times New Roman" w:hAnsi="Times New Roman"/>
          <w:sz w:val="24"/>
          <w:szCs w:val="24"/>
        </w:rPr>
        <w:lastRenderedPageBreak/>
        <w:t>APPENDIX D</w:t>
      </w:r>
    </w:p>
    <w:p w14:paraId="7C495502" w14:textId="011E4A26" w:rsidR="00E03C8B" w:rsidRDefault="00E03C8B" w:rsidP="00E03C8B">
      <w:pPr>
        <w:tabs>
          <w:tab w:val="left" w:pos="1020"/>
        </w:tabs>
        <w:jc w:val="center"/>
        <w:rPr>
          <w:rFonts w:ascii="Times New Roman" w:hAnsi="Times New Roman"/>
          <w:sz w:val="24"/>
          <w:szCs w:val="24"/>
        </w:rPr>
      </w:pPr>
      <w:r>
        <w:rPr>
          <w:noProof/>
        </w:rPr>
        <w:drawing>
          <wp:inline distT="0" distB="0" distL="0" distR="0" wp14:anchorId="2061D89E" wp14:editId="002AB2E9">
            <wp:extent cx="5182852" cy="67970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86985" cy="6802461"/>
                    </a:xfrm>
                    <a:prstGeom prst="rect">
                      <a:avLst/>
                    </a:prstGeom>
                  </pic:spPr>
                </pic:pic>
              </a:graphicData>
            </a:graphic>
          </wp:inline>
        </w:drawing>
      </w:r>
    </w:p>
    <w:p w14:paraId="020F5271" w14:textId="77777777" w:rsidR="00E03C8B" w:rsidRPr="00E03C8B" w:rsidRDefault="00E03C8B" w:rsidP="00E03C8B">
      <w:pPr>
        <w:jc w:val="center"/>
        <w:rPr>
          <w:rFonts w:ascii="Times New Roman" w:hAnsi="Times New Roman"/>
          <w:sz w:val="24"/>
          <w:szCs w:val="24"/>
        </w:rPr>
      </w:pPr>
      <w:bookmarkStart w:id="0" w:name="_GoBack"/>
      <w:bookmarkEnd w:id="0"/>
    </w:p>
    <w:sectPr w:rsidR="00E03C8B" w:rsidRPr="00E03C8B" w:rsidSect="00F63DB1">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0E727" w14:textId="77777777" w:rsidR="007D1A65" w:rsidRDefault="007D1A65" w:rsidP="00CE5EE6">
      <w:pPr>
        <w:spacing w:after="0" w:line="240" w:lineRule="auto"/>
      </w:pPr>
      <w:r>
        <w:separator/>
      </w:r>
    </w:p>
  </w:endnote>
  <w:endnote w:type="continuationSeparator" w:id="0">
    <w:p w14:paraId="6A902DCF" w14:textId="77777777" w:rsidR="007D1A65" w:rsidRDefault="007D1A65"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2F94DF66" w14:textId="77777777" w:rsidR="00E03C8B" w:rsidRPr="0060644B" w:rsidRDefault="00E03C8B" w:rsidP="00E03C8B">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23</w:t>
    </w:r>
    <w:r w:rsidRPr="0060644B">
      <w:rPr>
        <w:rFonts w:ascii="Times New Roman" w:hAnsi="Times New Roman"/>
        <w:sz w:val="20"/>
      </w:rPr>
      <w:t>, 2014</w:t>
    </w:r>
  </w:p>
  <w:p w14:paraId="7D4B2152" w14:textId="77777777" w:rsidR="00E03C8B" w:rsidRDefault="00E03C8B" w:rsidP="00E03C8B">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Apex Limo’s Hearing Request received on June 5, 2014</w:t>
    </w:r>
  </w:p>
  <w:p w14:paraId="464A3BC1" w14:textId="77777777" w:rsidR="00E03C8B" w:rsidRDefault="00E03C8B" w:rsidP="00E03C8B">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See attachment C for a copy of the Notice Denying Request for Hearing sent on July 9, 2014</w:t>
    </w:r>
  </w:p>
  <w:p w14:paraId="28E3236C" w14:textId="77777777" w:rsidR="00E03C8B" w:rsidRPr="00E03C8B" w:rsidRDefault="00E03C8B" w:rsidP="00E03C8B">
    <w:pPr>
      <w:pStyle w:val="Footer"/>
      <w:rPr>
        <w:rFonts w:ascii="Times New Roman" w:hAnsi="Times New Roman"/>
        <w:sz w:val="20"/>
      </w:rPr>
    </w:pPr>
    <w:r>
      <w:rPr>
        <w:rFonts w:ascii="Times New Roman" w:hAnsi="Times New Roman"/>
        <w:sz w:val="20"/>
        <w:vertAlign w:val="superscript"/>
      </w:rPr>
      <w:t>4</w:t>
    </w:r>
    <w:r>
      <w:rPr>
        <w:rFonts w:ascii="Times New Roman" w:hAnsi="Times New Roman"/>
        <w:sz w:val="20"/>
      </w:rPr>
      <w:t>See attachment D for a copy of Apex Limo’s Mitigation Request received on July 15, 2014</w:t>
    </w:r>
  </w:p>
  <w:p w14:paraId="3227F097" w14:textId="6A85F1A9" w:rsidR="0060644B" w:rsidRPr="0060644B" w:rsidRDefault="0060644B" w:rsidP="00E03C8B">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5B54893B"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23</w:t>
    </w:r>
    <w:r w:rsidRPr="0060644B">
      <w:rPr>
        <w:rFonts w:ascii="Times New Roman" w:hAnsi="Times New Roman"/>
        <w:sz w:val="20"/>
      </w:rPr>
      <w:t>, 2014</w:t>
    </w:r>
  </w:p>
  <w:p w14:paraId="230E04AD" w14:textId="5132AFCA" w:rsidR="00F63DB1"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8342EB">
      <w:rPr>
        <w:rFonts w:ascii="Times New Roman" w:hAnsi="Times New Roman"/>
        <w:sz w:val="20"/>
      </w:rPr>
      <w:t>Apex Limo’s</w:t>
    </w:r>
    <w:r w:rsidR="00232810">
      <w:rPr>
        <w:rFonts w:ascii="Times New Roman" w:hAnsi="Times New Roman"/>
        <w:sz w:val="20"/>
      </w:rPr>
      <w:t xml:space="preserve"> </w:t>
    </w:r>
    <w:r w:rsidR="008342EB">
      <w:rPr>
        <w:rFonts w:ascii="Times New Roman" w:hAnsi="Times New Roman"/>
        <w:sz w:val="20"/>
      </w:rPr>
      <w:t>Hearing</w:t>
    </w:r>
    <w:r>
      <w:rPr>
        <w:rFonts w:ascii="Times New Roman" w:hAnsi="Times New Roman"/>
        <w:sz w:val="20"/>
      </w:rPr>
      <w:t xml:space="preserve"> Request received on </w:t>
    </w:r>
    <w:r w:rsidR="008342EB">
      <w:rPr>
        <w:rFonts w:ascii="Times New Roman" w:hAnsi="Times New Roman"/>
        <w:sz w:val="20"/>
      </w:rPr>
      <w:t>June 5, 2014</w:t>
    </w:r>
  </w:p>
  <w:p w14:paraId="7DAC2C76" w14:textId="27766BC8" w:rsidR="008342EB" w:rsidRDefault="008342EB" w:rsidP="00F63DB1">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See attachment C for a copy of the Notice Denying Request for Hearing sent on July 9, 2014</w:t>
    </w:r>
  </w:p>
  <w:p w14:paraId="73127DF1" w14:textId="469CC037" w:rsidR="008342EB" w:rsidRPr="00E03C8B" w:rsidRDefault="00E03C8B" w:rsidP="00F63DB1">
    <w:pPr>
      <w:pStyle w:val="Footer"/>
      <w:rPr>
        <w:rFonts w:ascii="Times New Roman" w:hAnsi="Times New Roman"/>
        <w:sz w:val="20"/>
      </w:rPr>
    </w:pPr>
    <w:r>
      <w:rPr>
        <w:rFonts w:ascii="Times New Roman" w:hAnsi="Times New Roman"/>
        <w:sz w:val="20"/>
        <w:vertAlign w:val="superscript"/>
      </w:rPr>
      <w:t>4</w:t>
    </w:r>
    <w:r>
      <w:rPr>
        <w:rFonts w:ascii="Times New Roman" w:hAnsi="Times New Roman"/>
        <w:sz w:val="20"/>
      </w:rPr>
      <w:t>See attachment D for a copy of Apex Limo’s Mitigation Request received on July 15,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45F18" w14:textId="77777777" w:rsidR="007D1A65" w:rsidRDefault="007D1A65" w:rsidP="00CE5EE6">
      <w:pPr>
        <w:spacing w:after="0" w:line="240" w:lineRule="auto"/>
      </w:pPr>
      <w:r>
        <w:separator/>
      </w:r>
    </w:p>
  </w:footnote>
  <w:footnote w:type="continuationSeparator" w:id="0">
    <w:p w14:paraId="4BDFBD0E" w14:textId="77777777" w:rsidR="007D1A65" w:rsidRDefault="007D1A65"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42CE"/>
    <w:rsid w:val="001C127D"/>
    <w:rsid w:val="0022310E"/>
    <w:rsid w:val="00232810"/>
    <w:rsid w:val="002451F2"/>
    <w:rsid w:val="002C6A9E"/>
    <w:rsid w:val="00350C05"/>
    <w:rsid w:val="00433B58"/>
    <w:rsid w:val="00596113"/>
    <w:rsid w:val="0060644B"/>
    <w:rsid w:val="00650C1A"/>
    <w:rsid w:val="007D1A65"/>
    <w:rsid w:val="008342EB"/>
    <w:rsid w:val="009008D5"/>
    <w:rsid w:val="0093094A"/>
    <w:rsid w:val="00B33055"/>
    <w:rsid w:val="00B478A1"/>
    <w:rsid w:val="00CE5EE6"/>
    <w:rsid w:val="00D03E1A"/>
    <w:rsid w:val="00D61AB4"/>
    <w:rsid w:val="00DE034C"/>
    <w:rsid w:val="00E03C8B"/>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D8700B6BB2B64CB80A411AFCB2E16A" ma:contentTypeVersion="175" ma:contentTypeDescription="" ma:contentTypeScope="" ma:versionID="90264d653e7cd732454b0380ed0ae7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2014-07-28T07:00:00+00:00</Date1>
    <IsDocumentOrder xmlns="dc463f71-b30c-4ab2-9473-d307f9d35888" xsi:nil="true"/>
    <IsHighlyConfidential xmlns="dc463f71-b30c-4ab2-9473-d307f9d35888">false</IsHighlyConfidential>
    <CaseCompanyNames xmlns="dc463f71-b30c-4ab2-9473-d307f9d35888">Apex Limo Service LLC</CaseCompanyNames>
    <DocketNumber xmlns="dc463f71-b30c-4ab2-9473-d307f9d35888">141051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6F809A8-3BD7-459B-9238-852D95296314}"/>
</file>

<file path=customXml/itemProps2.xml><?xml version="1.0" encoding="utf-8"?>
<ds:datastoreItem xmlns:ds="http://schemas.openxmlformats.org/officeDocument/2006/customXml" ds:itemID="{29BE1B13-15F9-4E6B-A8DC-F5E67B2AA497}"/>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F86AB9E9-7D92-4B2F-9055-C67A7F6A400A}"/>
</file>

<file path=docProps/app.xml><?xml version="1.0" encoding="utf-8"?>
<Properties xmlns="http://schemas.openxmlformats.org/officeDocument/2006/extended-properties" xmlns:vt="http://schemas.openxmlformats.org/officeDocument/2006/docPropsVTypes">
  <Template>Normal</Template>
  <TotalTime>0</TotalTime>
  <Pages>8</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2014-07-25T23:05:00Z</dcterms:created>
  <dcterms:modified xsi:type="dcterms:W3CDTF">2014-07-25T23:05:00Z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0x0101006E56B4D1795A2E4DB2F0B01679ED314A00E0D8700B6BB2B64CB80A411AFCB2E16A</vt:lpwstr>
  </property>
  <property fmtid="{D5CDD505-2E9C-101B-9397-08002B2CF9AE}" pid="3" name="_docset_NoMedatataSyncRequired">
    <vt:lpwstr>False</vt:lpwstr>
  </property>
</Properties>
</file>