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31629" w14:textId="77777777" w:rsidR="00C011AB" w:rsidRPr="003A7B35" w:rsidRDefault="00C011AB" w:rsidP="00ED1F2D">
      <w:pPr>
        <w:pStyle w:val="BodyText"/>
        <w:spacing w:line="264" w:lineRule="auto"/>
        <w:rPr>
          <w:b/>
          <w:bCs/>
          <w:sz w:val="25"/>
          <w:szCs w:val="25"/>
        </w:rPr>
      </w:pPr>
      <w:r w:rsidRPr="003A7B35">
        <w:rPr>
          <w:b/>
          <w:bCs/>
          <w:sz w:val="25"/>
          <w:szCs w:val="25"/>
        </w:rPr>
        <w:t>BEFORE THE WASHINGTON</w:t>
      </w:r>
    </w:p>
    <w:p w14:paraId="7245E7E7" w14:textId="77777777" w:rsidR="00C011AB" w:rsidRPr="003A7B35" w:rsidRDefault="00C011AB" w:rsidP="00ED1F2D">
      <w:pPr>
        <w:pStyle w:val="BodyText"/>
        <w:spacing w:line="264" w:lineRule="auto"/>
        <w:rPr>
          <w:b/>
          <w:bCs/>
          <w:sz w:val="25"/>
          <w:szCs w:val="25"/>
        </w:rPr>
      </w:pPr>
      <w:r w:rsidRPr="003A7B35">
        <w:rPr>
          <w:b/>
          <w:bCs/>
          <w:sz w:val="25"/>
          <w:szCs w:val="25"/>
        </w:rPr>
        <w:t>UTILITIES AND TRANSPORTATION COMMISSION</w:t>
      </w:r>
    </w:p>
    <w:p w14:paraId="7EDE6DEB"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C011AB" w:rsidRPr="00347054" w14:paraId="67639736" w14:textId="77777777" w:rsidTr="00E17611">
        <w:trPr>
          <w:trHeight w:val="2610"/>
        </w:trPr>
        <w:tc>
          <w:tcPr>
            <w:tcW w:w="4372" w:type="dxa"/>
          </w:tcPr>
          <w:p w14:paraId="362BCAE1" w14:textId="77777777" w:rsidR="00DB78B7" w:rsidRPr="00347054" w:rsidRDefault="00B97D0B" w:rsidP="00ED1F2D">
            <w:pPr>
              <w:spacing w:line="264"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4912F2FA" w14:textId="77777777" w:rsidR="00DB78B7" w:rsidRPr="00347054" w:rsidRDefault="00DB78B7" w:rsidP="00ED1F2D">
            <w:pPr>
              <w:spacing w:line="264" w:lineRule="auto"/>
              <w:rPr>
                <w:bCs/>
                <w:sz w:val="25"/>
                <w:szCs w:val="25"/>
              </w:rPr>
            </w:pPr>
          </w:p>
          <w:p w14:paraId="77004778" w14:textId="77777777" w:rsidR="00005893" w:rsidRPr="00347054" w:rsidRDefault="0079303C" w:rsidP="00ED1F2D">
            <w:pPr>
              <w:spacing w:line="264" w:lineRule="auto"/>
              <w:rPr>
                <w:bCs/>
                <w:sz w:val="25"/>
                <w:szCs w:val="25"/>
              </w:rPr>
            </w:pPr>
            <w:r>
              <w:rPr>
                <w:bCs/>
                <w:sz w:val="25"/>
                <w:szCs w:val="25"/>
              </w:rPr>
              <w:t>YELM ADULT COMMUNITY CENTER</w:t>
            </w:r>
          </w:p>
          <w:p w14:paraId="60C2C0F3" w14:textId="77777777" w:rsidR="00F13566" w:rsidRPr="00347054" w:rsidRDefault="00F13566" w:rsidP="00ED1F2D">
            <w:pPr>
              <w:spacing w:line="264" w:lineRule="auto"/>
              <w:rPr>
                <w:bCs/>
                <w:sz w:val="25"/>
                <w:szCs w:val="25"/>
              </w:rPr>
            </w:pPr>
          </w:p>
          <w:p w14:paraId="2A711BF2" w14:textId="77777777" w:rsidR="00A01D98" w:rsidRPr="00347054" w:rsidRDefault="00A01D98" w:rsidP="00ED1F2D">
            <w:pPr>
              <w:spacing w:line="264" w:lineRule="auto"/>
              <w:rPr>
                <w:sz w:val="25"/>
                <w:szCs w:val="25"/>
              </w:rPr>
            </w:pPr>
            <w:r w:rsidRPr="00347054">
              <w:rPr>
                <w:bCs/>
                <w:sz w:val="25"/>
                <w:szCs w:val="25"/>
              </w:rPr>
              <w:t>in the amount of $</w:t>
            </w:r>
            <w:r w:rsidR="00B60347" w:rsidRPr="00347054">
              <w:rPr>
                <w:bCs/>
                <w:sz w:val="25"/>
                <w:szCs w:val="25"/>
              </w:rPr>
              <w:t>1</w:t>
            </w:r>
            <w:r w:rsidR="00703594">
              <w:rPr>
                <w:bCs/>
                <w:sz w:val="25"/>
                <w:szCs w:val="25"/>
              </w:rPr>
              <w:t>,000</w:t>
            </w:r>
          </w:p>
          <w:p w14:paraId="5049DB72" w14:textId="77777777" w:rsidR="00C011AB" w:rsidRPr="00347054" w:rsidRDefault="00C011AB" w:rsidP="00ED1F2D">
            <w:pPr>
              <w:spacing w:line="264" w:lineRule="auto"/>
              <w:rPr>
                <w:sz w:val="25"/>
                <w:szCs w:val="25"/>
              </w:rPr>
            </w:pPr>
            <w:r w:rsidRPr="00347054">
              <w:rPr>
                <w:sz w:val="25"/>
                <w:szCs w:val="25"/>
              </w:rPr>
              <w:t xml:space="preserve">. . . . . . . . . . . . . . . . . . . . . . . . . . . . . . . . . </w:t>
            </w:r>
          </w:p>
        </w:tc>
        <w:tc>
          <w:tcPr>
            <w:tcW w:w="236" w:type="dxa"/>
          </w:tcPr>
          <w:p w14:paraId="3C7477A9" w14:textId="77777777" w:rsidR="00C011AB" w:rsidRPr="00347054" w:rsidRDefault="00C011AB" w:rsidP="00ED1F2D">
            <w:pPr>
              <w:spacing w:line="264" w:lineRule="auto"/>
              <w:rPr>
                <w:sz w:val="25"/>
                <w:szCs w:val="25"/>
              </w:rPr>
            </w:pPr>
            <w:r w:rsidRPr="00347054">
              <w:rPr>
                <w:sz w:val="25"/>
                <w:szCs w:val="25"/>
              </w:rPr>
              <w:t>)</w:t>
            </w:r>
          </w:p>
          <w:p w14:paraId="5B1F60AA" w14:textId="77777777" w:rsidR="00C011AB" w:rsidRPr="00347054" w:rsidRDefault="00C011AB" w:rsidP="00ED1F2D">
            <w:pPr>
              <w:spacing w:line="264" w:lineRule="auto"/>
              <w:rPr>
                <w:sz w:val="25"/>
                <w:szCs w:val="25"/>
              </w:rPr>
            </w:pPr>
            <w:r w:rsidRPr="00347054">
              <w:rPr>
                <w:sz w:val="25"/>
                <w:szCs w:val="25"/>
              </w:rPr>
              <w:t>)</w:t>
            </w:r>
          </w:p>
          <w:p w14:paraId="5DCC4487" w14:textId="77777777" w:rsidR="00C011AB" w:rsidRPr="00347054" w:rsidRDefault="00C011AB" w:rsidP="00ED1F2D">
            <w:pPr>
              <w:spacing w:line="264" w:lineRule="auto"/>
              <w:rPr>
                <w:sz w:val="25"/>
                <w:szCs w:val="25"/>
              </w:rPr>
            </w:pPr>
            <w:r w:rsidRPr="00347054">
              <w:rPr>
                <w:sz w:val="25"/>
                <w:szCs w:val="25"/>
              </w:rPr>
              <w:t>)</w:t>
            </w:r>
          </w:p>
          <w:p w14:paraId="006DE908" w14:textId="77777777" w:rsidR="00C011AB" w:rsidRPr="00347054" w:rsidRDefault="00C011AB" w:rsidP="00ED1F2D">
            <w:pPr>
              <w:spacing w:line="264" w:lineRule="auto"/>
              <w:rPr>
                <w:sz w:val="25"/>
                <w:szCs w:val="25"/>
              </w:rPr>
            </w:pPr>
            <w:r w:rsidRPr="00347054">
              <w:rPr>
                <w:sz w:val="25"/>
                <w:szCs w:val="25"/>
              </w:rPr>
              <w:t>)</w:t>
            </w:r>
          </w:p>
          <w:p w14:paraId="1391804C" w14:textId="77777777" w:rsidR="00C011AB" w:rsidRPr="00347054" w:rsidRDefault="00C011AB" w:rsidP="00ED1F2D">
            <w:pPr>
              <w:spacing w:line="264" w:lineRule="auto"/>
              <w:rPr>
                <w:sz w:val="25"/>
                <w:szCs w:val="25"/>
              </w:rPr>
            </w:pPr>
            <w:r w:rsidRPr="00347054">
              <w:rPr>
                <w:sz w:val="25"/>
                <w:szCs w:val="25"/>
              </w:rPr>
              <w:t>)</w:t>
            </w:r>
          </w:p>
          <w:p w14:paraId="4FF3936A" w14:textId="77777777" w:rsidR="00C011AB" w:rsidRPr="00347054" w:rsidRDefault="00C011AB" w:rsidP="00ED1F2D">
            <w:pPr>
              <w:spacing w:line="264" w:lineRule="auto"/>
              <w:rPr>
                <w:sz w:val="25"/>
                <w:szCs w:val="25"/>
              </w:rPr>
            </w:pPr>
            <w:r w:rsidRPr="00347054">
              <w:rPr>
                <w:sz w:val="25"/>
                <w:szCs w:val="25"/>
              </w:rPr>
              <w:t>)</w:t>
            </w:r>
          </w:p>
          <w:p w14:paraId="4E6B2A80" w14:textId="77777777" w:rsidR="000E4BC7" w:rsidRDefault="000E4BC7" w:rsidP="00ED1F2D">
            <w:pPr>
              <w:spacing w:line="264" w:lineRule="auto"/>
              <w:rPr>
                <w:sz w:val="25"/>
                <w:szCs w:val="25"/>
              </w:rPr>
            </w:pPr>
            <w:r w:rsidRPr="00347054">
              <w:rPr>
                <w:sz w:val="25"/>
                <w:szCs w:val="25"/>
              </w:rPr>
              <w:t>)</w:t>
            </w:r>
          </w:p>
          <w:p w14:paraId="004A62B2" w14:textId="77777777" w:rsidR="006C5AA6" w:rsidRPr="00347054" w:rsidRDefault="00ED1F2D" w:rsidP="00ED1F2D">
            <w:pPr>
              <w:spacing w:line="264" w:lineRule="auto"/>
              <w:rPr>
                <w:sz w:val="25"/>
                <w:szCs w:val="25"/>
              </w:rPr>
            </w:pPr>
            <w:r>
              <w:rPr>
                <w:sz w:val="25"/>
                <w:szCs w:val="25"/>
              </w:rPr>
              <w:t>)</w:t>
            </w:r>
          </w:p>
        </w:tc>
        <w:tc>
          <w:tcPr>
            <w:tcW w:w="3888" w:type="dxa"/>
          </w:tcPr>
          <w:p w14:paraId="40B8F33F" w14:textId="77777777" w:rsidR="00C011AB" w:rsidRPr="00347054" w:rsidRDefault="00C011AB" w:rsidP="00ED1F2D">
            <w:pPr>
              <w:spacing w:line="264" w:lineRule="auto"/>
              <w:rPr>
                <w:sz w:val="25"/>
                <w:szCs w:val="25"/>
              </w:rPr>
            </w:pPr>
            <w:r w:rsidRPr="00347054">
              <w:rPr>
                <w:sz w:val="25"/>
                <w:szCs w:val="25"/>
              </w:rPr>
              <w:t xml:space="preserve">DOCKET </w:t>
            </w:r>
            <w:r w:rsidR="00D91A9A" w:rsidRPr="00347054">
              <w:rPr>
                <w:bCs/>
                <w:sz w:val="25"/>
                <w:szCs w:val="25"/>
              </w:rPr>
              <w:t>T</w:t>
            </w:r>
            <w:r w:rsidR="0079303C">
              <w:rPr>
                <w:bCs/>
                <w:sz w:val="25"/>
                <w:szCs w:val="25"/>
              </w:rPr>
              <w:t>N</w:t>
            </w:r>
            <w:r w:rsidR="00C05407" w:rsidRPr="00347054">
              <w:rPr>
                <w:bCs/>
                <w:sz w:val="25"/>
                <w:szCs w:val="25"/>
              </w:rPr>
              <w:t>-</w:t>
            </w:r>
            <w:r w:rsidR="008A54E8">
              <w:rPr>
                <w:bCs/>
                <w:sz w:val="25"/>
                <w:szCs w:val="25"/>
              </w:rPr>
              <w:t>14</w:t>
            </w:r>
            <w:r w:rsidR="0047720D">
              <w:rPr>
                <w:bCs/>
                <w:sz w:val="25"/>
                <w:szCs w:val="25"/>
              </w:rPr>
              <w:t>1</w:t>
            </w:r>
            <w:r w:rsidR="0079303C">
              <w:rPr>
                <w:bCs/>
                <w:sz w:val="25"/>
                <w:szCs w:val="25"/>
              </w:rPr>
              <w:t>042</w:t>
            </w:r>
          </w:p>
          <w:p w14:paraId="125894A7" w14:textId="77777777" w:rsidR="00C011AB" w:rsidRPr="00347054" w:rsidRDefault="00C011AB" w:rsidP="00ED1F2D">
            <w:pPr>
              <w:spacing w:line="264" w:lineRule="auto"/>
              <w:rPr>
                <w:sz w:val="25"/>
                <w:szCs w:val="25"/>
              </w:rPr>
            </w:pPr>
          </w:p>
          <w:p w14:paraId="6B4B8795" w14:textId="77777777" w:rsidR="00C011AB" w:rsidRPr="00347054" w:rsidRDefault="00C011AB" w:rsidP="00ED1F2D">
            <w:pPr>
              <w:spacing w:line="264" w:lineRule="auto"/>
              <w:rPr>
                <w:sz w:val="25"/>
                <w:szCs w:val="25"/>
              </w:rPr>
            </w:pPr>
            <w:r w:rsidRPr="00347054">
              <w:rPr>
                <w:sz w:val="25"/>
                <w:szCs w:val="25"/>
              </w:rPr>
              <w:t>ORDER 0</w:t>
            </w:r>
            <w:r w:rsidR="00A01D98" w:rsidRPr="00347054">
              <w:rPr>
                <w:bCs/>
                <w:sz w:val="25"/>
                <w:szCs w:val="25"/>
              </w:rPr>
              <w:t>1</w:t>
            </w:r>
          </w:p>
          <w:p w14:paraId="4B9D52D1" w14:textId="77777777" w:rsidR="00C011AB" w:rsidRPr="00347054" w:rsidRDefault="00C011AB" w:rsidP="00ED1F2D">
            <w:pPr>
              <w:spacing w:line="264" w:lineRule="auto"/>
              <w:rPr>
                <w:sz w:val="25"/>
                <w:szCs w:val="25"/>
              </w:rPr>
            </w:pPr>
          </w:p>
          <w:p w14:paraId="6D7F0725" w14:textId="77777777" w:rsidR="000E4BC7" w:rsidRPr="00347054" w:rsidRDefault="00F13566" w:rsidP="00ED1F2D">
            <w:pPr>
              <w:spacing w:line="264" w:lineRule="auto"/>
              <w:rPr>
                <w:sz w:val="25"/>
                <w:szCs w:val="25"/>
              </w:rPr>
            </w:pPr>
            <w:r w:rsidRPr="00347054">
              <w:rPr>
                <w:sz w:val="25"/>
                <w:szCs w:val="25"/>
              </w:rPr>
              <w:t xml:space="preserve">ORDER </w:t>
            </w:r>
            <w:r w:rsidR="004A3E2A" w:rsidRPr="00347054">
              <w:rPr>
                <w:sz w:val="25"/>
                <w:szCs w:val="25"/>
              </w:rPr>
              <w:t xml:space="preserve">GRANTING </w:t>
            </w:r>
            <w:r w:rsidRPr="00347054">
              <w:rPr>
                <w:sz w:val="25"/>
                <w:szCs w:val="25"/>
              </w:rPr>
              <w:t xml:space="preserve"> MITIGATION</w:t>
            </w:r>
            <w:r w:rsidR="00F0357E">
              <w:rPr>
                <w:sz w:val="25"/>
                <w:szCs w:val="25"/>
              </w:rPr>
              <w:t xml:space="preserve"> </w:t>
            </w:r>
          </w:p>
          <w:p w14:paraId="3D4213DF" w14:textId="77777777" w:rsidR="00117299" w:rsidRDefault="00117299" w:rsidP="00ED1F2D">
            <w:pPr>
              <w:pStyle w:val="Header"/>
              <w:tabs>
                <w:tab w:val="clear" w:pos="4320"/>
                <w:tab w:val="clear" w:pos="8640"/>
              </w:tabs>
              <w:spacing w:line="264" w:lineRule="auto"/>
              <w:rPr>
                <w:sz w:val="25"/>
                <w:szCs w:val="25"/>
              </w:rPr>
            </w:pPr>
          </w:p>
          <w:p w14:paraId="2B012E8D" w14:textId="77777777" w:rsidR="00A84893" w:rsidRPr="00347054" w:rsidRDefault="00A84893" w:rsidP="00347054">
            <w:pPr>
              <w:pStyle w:val="Header"/>
              <w:tabs>
                <w:tab w:val="clear" w:pos="4320"/>
                <w:tab w:val="clear" w:pos="8640"/>
              </w:tabs>
              <w:spacing w:line="288" w:lineRule="auto"/>
              <w:rPr>
                <w:sz w:val="25"/>
                <w:szCs w:val="25"/>
              </w:rPr>
            </w:pPr>
          </w:p>
        </w:tc>
      </w:tr>
    </w:tbl>
    <w:p w14:paraId="72ACD119" w14:textId="77777777" w:rsidR="00ED1F2D" w:rsidRDefault="00ED1F2D" w:rsidP="00ED1F2D">
      <w:pPr>
        <w:spacing w:line="264" w:lineRule="auto"/>
        <w:jc w:val="center"/>
        <w:rPr>
          <w:b/>
          <w:sz w:val="25"/>
          <w:szCs w:val="25"/>
        </w:rPr>
      </w:pPr>
    </w:p>
    <w:p w14:paraId="6ADEAE28" w14:textId="77777777" w:rsidR="002E3C80" w:rsidRPr="00347054" w:rsidRDefault="00F32856" w:rsidP="00ED1F2D">
      <w:pPr>
        <w:spacing w:line="264" w:lineRule="auto"/>
        <w:jc w:val="center"/>
        <w:rPr>
          <w:b/>
          <w:sz w:val="25"/>
          <w:szCs w:val="25"/>
        </w:rPr>
      </w:pPr>
      <w:r w:rsidRPr="00347054">
        <w:rPr>
          <w:b/>
          <w:sz w:val="25"/>
          <w:szCs w:val="25"/>
        </w:rPr>
        <w:t>BACKGROUND</w:t>
      </w:r>
    </w:p>
    <w:p w14:paraId="7BCC1AF4" w14:textId="77777777" w:rsidR="00841996" w:rsidRPr="00347054" w:rsidRDefault="00841996" w:rsidP="00ED1F2D">
      <w:pPr>
        <w:spacing w:line="264" w:lineRule="auto"/>
        <w:rPr>
          <w:sz w:val="25"/>
          <w:szCs w:val="25"/>
        </w:rPr>
      </w:pPr>
    </w:p>
    <w:p w14:paraId="60330E88" w14:textId="77777777" w:rsidR="005F24F9" w:rsidRPr="00347054" w:rsidRDefault="005F24F9" w:rsidP="00ED1F2D">
      <w:pPr>
        <w:numPr>
          <w:ilvl w:val="0"/>
          <w:numId w:val="1"/>
        </w:numPr>
        <w:tabs>
          <w:tab w:val="clear" w:pos="1080"/>
          <w:tab w:val="left" w:pos="0"/>
        </w:tabs>
        <w:spacing w:line="264" w:lineRule="auto"/>
        <w:ind w:left="0" w:hanging="720"/>
        <w:rPr>
          <w:sz w:val="25"/>
          <w:szCs w:val="25"/>
        </w:rPr>
      </w:pPr>
      <w:r w:rsidRPr="00347054">
        <w:rPr>
          <w:bCs/>
          <w:sz w:val="25"/>
          <w:szCs w:val="25"/>
        </w:rPr>
        <w:t xml:space="preserve">Washington law requires </w:t>
      </w:r>
      <w:r w:rsidR="0079303C">
        <w:rPr>
          <w:bCs/>
          <w:sz w:val="25"/>
          <w:szCs w:val="25"/>
        </w:rPr>
        <w:t>private, nonprofit transportation providers</w:t>
      </w:r>
      <w:r w:rsidRPr="00347054">
        <w:rPr>
          <w:bCs/>
          <w:sz w:val="25"/>
          <w:szCs w:val="25"/>
        </w:rPr>
        <w:t xml:space="preserve"> to file annual reports and pay regulatory fees by May 1 </w:t>
      </w:r>
      <w:r w:rsidR="00CD595A" w:rsidRPr="00347054">
        <w:rPr>
          <w:bCs/>
          <w:sz w:val="25"/>
          <w:szCs w:val="25"/>
        </w:rPr>
        <w:t xml:space="preserve">of each year.  WAC </w:t>
      </w:r>
      <w:r w:rsidR="0047720D">
        <w:rPr>
          <w:bCs/>
          <w:sz w:val="25"/>
          <w:szCs w:val="25"/>
        </w:rPr>
        <w:t>480-</w:t>
      </w:r>
      <w:r w:rsidR="0079303C">
        <w:rPr>
          <w:bCs/>
          <w:sz w:val="25"/>
          <w:szCs w:val="25"/>
        </w:rPr>
        <w:t>31</w:t>
      </w:r>
      <w:r w:rsidR="00DE1AD6" w:rsidRPr="00347054">
        <w:rPr>
          <w:bCs/>
          <w:sz w:val="25"/>
          <w:szCs w:val="25"/>
        </w:rPr>
        <w:t>-</w:t>
      </w:r>
      <w:r w:rsidR="0079303C">
        <w:rPr>
          <w:bCs/>
          <w:sz w:val="25"/>
          <w:szCs w:val="25"/>
        </w:rPr>
        <w:t>080</w:t>
      </w:r>
      <w:r w:rsidR="00CD595A" w:rsidRPr="00347054">
        <w:rPr>
          <w:bCs/>
          <w:sz w:val="25"/>
          <w:szCs w:val="25"/>
        </w:rPr>
        <w:t xml:space="preserve">.  </w:t>
      </w:r>
      <w:r w:rsidR="006F5053" w:rsidRPr="00347054">
        <w:rPr>
          <w:bCs/>
          <w:sz w:val="25"/>
          <w:szCs w:val="25"/>
        </w:rPr>
        <w:t xml:space="preserve">On </w:t>
      </w:r>
      <w:r w:rsidR="008A54E8">
        <w:rPr>
          <w:bCs/>
          <w:sz w:val="25"/>
          <w:szCs w:val="25"/>
        </w:rPr>
        <w:t>February 28, 2014</w:t>
      </w:r>
      <w:r w:rsidR="006F5053" w:rsidRPr="00347054">
        <w:rPr>
          <w:bCs/>
          <w:sz w:val="25"/>
          <w:szCs w:val="25"/>
        </w:rPr>
        <w:t xml:space="preserve">, the Washington Utilities and Transportation Commission (Commission) mailed annual report and regulatory fee packets to all </w:t>
      </w:r>
      <w:r w:rsidR="00E373EF">
        <w:rPr>
          <w:bCs/>
          <w:sz w:val="25"/>
          <w:szCs w:val="25"/>
        </w:rPr>
        <w:t xml:space="preserve">regulated </w:t>
      </w:r>
      <w:r w:rsidR="0079303C">
        <w:rPr>
          <w:bCs/>
          <w:sz w:val="25"/>
          <w:szCs w:val="25"/>
        </w:rPr>
        <w:t>private, nonprofit transportation providers</w:t>
      </w:r>
      <w:r w:rsidR="006F5053" w:rsidRPr="00347054">
        <w:rPr>
          <w:bCs/>
          <w:sz w:val="25"/>
          <w:szCs w:val="25"/>
        </w:rPr>
        <w:t xml:space="preserve">.  </w:t>
      </w:r>
      <w:r w:rsidR="008A54E8">
        <w:rPr>
          <w:bCs/>
          <w:sz w:val="25"/>
          <w:szCs w:val="25"/>
        </w:rPr>
        <w:t>The forms included a reminder that</w:t>
      </w:r>
      <w:r w:rsidR="006F5053" w:rsidRPr="00347054">
        <w:rPr>
          <w:bCs/>
          <w:sz w:val="25"/>
          <w:szCs w:val="25"/>
        </w:rPr>
        <w:t xml:space="preserve"> companies </w:t>
      </w:r>
      <w:r w:rsidR="008A54E8">
        <w:rPr>
          <w:bCs/>
          <w:sz w:val="25"/>
          <w:szCs w:val="25"/>
        </w:rPr>
        <w:t>must</w:t>
      </w:r>
      <w:r w:rsidR="006F5053" w:rsidRPr="00347054">
        <w:rPr>
          <w:bCs/>
          <w:sz w:val="25"/>
          <w:szCs w:val="25"/>
        </w:rPr>
        <w:t xml:space="preserve"> file their annual reports and pay their regulatory fees by May 1, 201</w:t>
      </w:r>
      <w:r w:rsidR="008A54E8">
        <w:rPr>
          <w:bCs/>
          <w:sz w:val="25"/>
          <w:szCs w:val="25"/>
        </w:rPr>
        <w:t>4</w:t>
      </w:r>
      <w:r w:rsidR="006F5053" w:rsidRPr="00347054">
        <w:rPr>
          <w:bCs/>
          <w:sz w:val="25"/>
          <w:szCs w:val="25"/>
        </w:rPr>
        <w:t xml:space="preserve">, </w:t>
      </w:r>
      <w:r w:rsidR="008A54E8">
        <w:rPr>
          <w:bCs/>
          <w:sz w:val="25"/>
          <w:szCs w:val="25"/>
        </w:rPr>
        <w:t>or face penalties</w:t>
      </w:r>
      <w:r w:rsidR="000426C0" w:rsidRPr="00347054">
        <w:rPr>
          <w:bCs/>
          <w:sz w:val="25"/>
          <w:szCs w:val="25"/>
        </w:rPr>
        <w:t xml:space="preserve"> of</w:t>
      </w:r>
      <w:r w:rsidR="00F929AB" w:rsidRPr="00347054">
        <w:rPr>
          <w:bCs/>
          <w:sz w:val="25"/>
          <w:szCs w:val="25"/>
        </w:rPr>
        <w:t xml:space="preserve"> </w:t>
      </w:r>
      <w:r w:rsidRPr="00347054">
        <w:rPr>
          <w:bCs/>
          <w:sz w:val="25"/>
          <w:szCs w:val="25"/>
        </w:rPr>
        <w:t>$100</w:t>
      </w:r>
      <w:r w:rsidR="00B24948" w:rsidRPr="00347054">
        <w:rPr>
          <w:bCs/>
          <w:sz w:val="25"/>
          <w:szCs w:val="25"/>
        </w:rPr>
        <w:t xml:space="preserve"> </w:t>
      </w:r>
      <w:r w:rsidRPr="00347054">
        <w:rPr>
          <w:bCs/>
          <w:sz w:val="25"/>
          <w:szCs w:val="25"/>
        </w:rPr>
        <w:t xml:space="preserve">for </w:t>
      </w:r>
      <w:r w:rsidR="005E3095" w:rsidRPr="00347054">
        <w:rPr>
          <w:bCs/>
          <w:sz w:val="25"/>
          <w:szCs w:val="25"/>
        </w:rPr>
        <w:t xml:space="preserve">each </w:t>
      </w:r>
      <w:r w:rsidR="008A54E8">
        <w:rPr>
          <w:bCs/>
          <w:sz w:val="25"/>
          <w:szCs w:val="25"/>
        </w:rPr>
        <w:t>violation of Commission rules.</w:t>
      </w:r>
      <w:r w:rsidRPr="00347054">
        <w:rPr>
          <w:bCs/>
          <w:sz w:val="25"/>
          <w:szCs w:val="25"/>
        </w:rPr>
        <w:t xml:space="preserve"> </w:t>
      </w:r>
      <w:r w:rsidR="008A54E8">
        <w:rPr>
          <w:bCs/>
          <w:sz w:val="25"/>
          <w:szCs w:val="25"/>
        </w:rPr>
        <w:t xml:space="preserve"> I</w:t>
      </w:r>
      <w:r w:rsidRPr="00347054">
        <w:rPr>
          <w:bCs/>
          <w:sz w:val="25"/>
          <w:szCs w:val="25"/>
        </w:rPr>
        <w:t xml:space="preserve">n the case of continuing violations, each day’s continuance is a separate violation.  </w:t>
      </w:r>
      <w:r w:rsidR="00B24948" w:rsidRPr="00347054">
        <w:rPr>
          <w:bCs/>
          <w:sz w:val="25"/>
          <w:szCs w:val="25"/>
        </w:rPr>
        <w:t>RCW 80.04.405.</w:t>
      </w:r>
    </w:p>
    <w:p w14:paraId="21C1560B" w14:textId="77777777" w:rsidR="005F24F9" w:rsidRPr="00347054" w:rsidRDefault="005F24F9" w:rsidP="00ED1F2D">
      <w:pPr>
        <w:tabs>
          <w:tab w:val="left" w:pos="720"/>
        </w:tabs>
        <w:spacing w:line="264" w:lineRule="auto"/>
        <w:ind w:left="720"/>
        <w:rPr>
          <w:sz w:val="25"/>
          <w:szCs w:val="25"/>
        </w:rPr>
      </w:pPr>
    </w:p>
    <w:p w14:paraId="110EA749" w14:textId="77777777" w:rsidR="00801D54" w:rsidRPr="00307182" w:rsidRDefault="0079303C" w:rsidP="00ED1F2D">
      <w:pPr>
        <w:numPr>
          <w:ilvl w:val="0"/>
          <w:numId w:val="1"/>
        </w:numPr>
        <w:tabs>
          <w:tab w:val="clear" w:pos="1080"/>
          <w:tab w:val="left" w:pos="0"/>
        </w:tabs>
        <w:spacing w:line="264" w:lineRule="auto"/>
        <w:ind w:left="0" w:hanging="720"/>
        <w:rPr>
          <w:rStyle w:val="CommentReference"/>
          <w:sz w:val="25"/>
          <w:szCs w:val="25"/>
        </w:rPr>
      </w:pPr>
      <w:r>
        <w:rPr>
          <w:bCs/>
          <w:sz w:val="25"/>
          <w:szCs w:val="25"/>
        </w:rPr>
        <w:t>Yelm Adult Community Center</w:t>
      </w:r>
      <w:r w:rsidR="005E1EA6" w:rsidRPr="00307182">
        <w:rPr>
          <w:bCs/>
          <w:sz w:val="25"/>
          <w:szCs w:val="25"/>
        </w:rPr>
        <w:t xml:space="preserve"> did not file its annual report on May 1, 2014</w:t>
      </w:r>
      <w:r w:rsidR="004E42C9" w:rsidRPr="00307182">
        <w:rPr>
          <w:bCs/>
          <w:sz w:val="25"/>
          <w:szCs w:val="25"/>
        </w:rPr>
        <w:t>, and had not made that filing by May 15</w:t>
      </w:r>
      <w:r w:rsidR="005E1EA6" w:rsidRPr="00307182">
        <w:rPr>
          <w:bCs/>
          <w:sz w:val="25"/>
          <w:szCs w:val="25"/>
        </w:rPr>
        <w:t xml:space="preserve">.  </w:t>
      </w:r>
      <w:r w:rsidR="000164A8" w:rsidRPr="00307182">
        <w:rPr>
          <w:bCs/>
          <w:sz w:val="25"/>
          <w:szCs w:val="25"/>
        </w:rPr>
        <w:t xml:space="preserve">On </w:t>
      </w:r>
      <w:r>
        <w:rPr>
          <w:bCs/>
          <w:sz w:val="25"/>
          <w:szCs w:val="25"/>
        </w:rPr>
        <w:t>May 22</w:t>
      </w:r>
      <w:r w:rsidR="005E1EA6" w:rsidRPr="00307182">
        <w:rPr>
          <w:bCs/>
          <w:sz w:val="25"/>
          <w:szCs w:val="25"/>
        </w:rPr>
        <w:t>,</w:t>
      </w:r>
      <w:r w:rsidR="000164A8" w:rsidRPr="00307182">
        <w:rPr>
          <w:bCs/>
          <w:sz w:val="25"/>
          <w:szCs w:val="25"/>
        </w:rPr>
        <w:t xml:space="preserve"> the Comm</w:t>
      </w:r>
      <w:r w:rsidR="008A54E8" w:rsidRPr="00307182">
        <w:rPr>
          <w:bCs/>
          <w:sz w:val="25"/>
          <w:szCs w:val="25"/>
        </w:rPr>
        <w:t>ission assessed a penalty of $1</w:t>
      </w:r>
      <w:r w:rsidR="0080504E" w:rsidRPr="00307182">
        <w:rPr>
          <w:bCs/>
          <w:sz w:val="25"/>
          <w:szCs w:val="25"/>
        </w:rPr>
        <w:t>,0</w:t>
      </w:r>
      <w:r w:rsidR="008A54E8" w:rsidRPr="00307182">
        <w:rPr>
          <w:bCs/>
          <w:sz w:val="25"/>
          <w:szCs w:val="25"/>
        </w:rPr>
        <w:t>00</w:t>
      </w:r>
      <w:r w:rsidR="000164A8" w:rsidRPr="00307182">
        <w:rPr>
          <w:bCs/>
          <w:sz w:val="25"/>
          <w:szCs w:val="25"/>
        </w:rPr>
        <w:t xml:space="preserve"> against </w:t>
      </w:r>
      <w:r>
        <w:rPr>
          <w:bCs/>
          <w:sz w:val="25"/>
          <w:szCs w:val="25"/>
        </w:rPr>
        <w:t>Yelm Adult Community Center</w:t>
      </w:r>
      <w:r w:rsidR="000164A8" w:rsidRPr="00307182">
        <w:rPr>
          <w:rStyle w:val="CommentReference"/>
          <w:sz w:val="25"/>
          <w:szCs w:val="25"/>
        </w:rPr>
        <w:t>,</w:t>
      </w:r>
      <w:r w:rsidR="001D765C" w:rsidRPr="00307182">
        <w:rPr>
          <w:rStyle w:val="CommentReference"/>
          <w:sz w:val="25"/>
          <w:szCs w:val="25"/>
        </w:rPr>
        <w:t xml:space="preserve"> </w:t>
      </w:r>
      <w:r w:rsidR="000164A8" w:rsidRPr="00307182">
        <w:rPr>
          <w:rStyle w:val="CommentReference"/>
          <w:sz w:val="25"/>
          <w:szCs w:val="25"/>
        </w:rPr>
        <w:t xml:space="preserve">calculated as $100 per business day from May 1 to May </w:t>
      </w:r>
      <w:r w:rsidR="004E42C9" w:rsidRPr="00307182">
        <w:rPr>
          <w:rStyle w:val="CommentReference"/>
          <w:sz w:val="25"/>
          <w:szCs w:val="25"/>
        </w:rPr>
        <w:t>15</w:t>
      </w:r>
      <w:r w:rsidR="001D765C" w:rsidRPr="00307182">
        <w:rPr>
          <w:rStyle w:val="CommentReference"/>
          <w:sz w:val="25"/>
          <w:szCs w:val="25"/>
        </w:rPr>
        <w:t>.</w:t>
      </w:r>
    </w:p>
    <w:p w14:paraId="7A345356" w14:textId="77777777" w:rsidR="004F5E53" w:rsidRDefault="004F5E53" w:rsidP="00ED1F2D">
      <w:pPr>
        <w:pStyle w:val="ListParagraph"/>
        <w:spacing w:line="264" w:lineRule="auto"/>
        <w:rPr>
          <w:rStyle w:val="CommentReference"/>
          <w:sz w:val="25"/>
          <w:szCs w:val="25"/>
        </w:rPr>
      </w:pPr>
    </w:p>
    <w:p w14:paraId="446E16CF" w14:textId="77777777" w:rsidR="0079303C" w:rsidRDefault="00264C0F" w:rsidP="00ED1F2D">
      <w:pPr>
        <w:numPr>
          <w:ilvl w:val="0"/>
          <w:numId w:val="1"/>
        </w:numPr>
        <w:tabs>
          <w:tab w:val="clear" w:pos="1080"/>
          <w:tab w:val="left" w:pos="0"/>
        </w:tabs>
        <w:spacing w:line="264" w:lineRule="auto"/>
        <w:ind w:left="0" w:hanging="720"/>
        <w:rPr>
          <w:sz w:val="25"/>
          <w:szCs w:val="25"/>
        </w:rPr>
      </w:pPr>
      <w:r w:rsidRPr="00347054">
        <w:rPr>
          <w:sz w:val="25"/>
          <w:szCs w:val="25"/>
        </w:rPr>
        <w:t>On</w:t>
      </w:r>
      <w:r w:rsidR="00426C92" w:rsidRPr="00347054">
        <w:rPr>
          <w:sz w:val="25"/>
          <w:szCs w:val="25"/>
        </w:rPr>
        <w:t xml:space="preserve"> </w:t>
      </w:r>
      <w:r w:rsidR="008A54E8">
        <w:rPr>
          <w:sz w:val="25"/>
          <w:szCs w:val="25"/>
        </w:rPr>
        <w:t xml:space="preserve">June </w:t>
      </w:r>
      <w:r w:rsidR="00304560">
        <w:rPr>
          <w:sz w:val="25"/>
          <w:szCs w:val="25"/>
        </w:rPr>
        <w:t>1</w:t>
      </w:r>
      <w:r w:rsidR="0079303C">
        <w:rPr>
          <w:sz w:val="25"/>
          <w:szCs w:val="25"/>
        </w:rPr>
        <w:t>2</w:t>
      </w:r>
      <w:r w:rsidR="008A54E8">
        <w:rPr>
          <w:sz w:val="25"/>
          <w:szCs w:val="25"/>
        </w:rPr>
        <w:t>, 2014</w:t>
      </w:r>
      <w:r w:rsidR="005B60F9" w:rsidRPr="00347054">
        <w:rPr>
          <w:sz w:val="25"/>
          <w:szCs w:val="25"/>
        </w:rPr>
        <w:t xml:space="preserve">, </w:t>
      </w:r>
      <w:r w:rsidR="0079303C">
        <w:rPr>
          <w:bCs/>
          <w:sz w:val="25"/>
          <w:szCs w:val="25"/>
        </w:rPr>
        <w:t>Yelm Adult Community Center</w:t>
      </w:r>
      <w:r w:rsidR="0079303C" w:rsidRPr="00307182">
        <w:rPr>
          <w:bCs/>
          <w:sz w:val="25"/>
          <w:szCs w:val="25"/>
        </w:rPr>
        <w:t xml:space="preserve"> </w:t>
      </w:r>
      <w:r w:rsidR="008A54E8">
        <w:rPr>
          <w:sz w:val="25"/>
          <w:szCs w:val="25"/>
        </w:rPr>
        <w:t>r</w:t>
      </w:r>
      <w:r w:rsidR="00371E20" w:rsidRPr="00347054">
        <w:rPr>
          <w:sz w:val="25"/>
          <w:szCs w:val="25"/>
        </w:rPr>
        <w:t>esponded</w:t>
      </w:r>
      <w:r w:rsidRPr="00347054">
        <w:rPr>
          <w:sz w:val="25"/>
          <w:szCs w:val="25"/>
        </w:rPr>
        <w:t xml:space="preserve"> to the Commission</w:t>
      </w:r>
      <w:r w:rsidR="00B77835" w:rsidRPr="00347054">
        <w:rPr>
          <w:sz w:val="25"/>
          <w:szCs w:val="25"/>
        </w:rPr>
        <w:t xml:space="preserve">’s penalty </w:t>
      </w:r>
      <w:r w:rsidR="0014354E" w:rsidRPr="00347054">
        <w:rPr>
          <w:sz w:val="25"/>
          <w:szCs w:val="25"/>
        </w:rPr>
        <w:t>assessment</w:t>
      </w:r>
      <w:r w:rsidR="00B77835" w:rsidRPr="00347054">
        <w:rPr>
          <w:sz w:val="25"/>
          <w:szCs w:val="25"/>
        </w:rPr>
        <w:t xml:space="preserve"> </w:t>
      </w:r>
      <w:r w:rsidR="00304560">
        <w:rPr>
          <w:sz w:val="25"/>
          <w:szCs w:val="25"/>
        </w:rPr>
        <w:t>admitting the violations and requesting</w:t>
      </w:r>
      <w:r w:rsidR="00B77835" w:rsidRPr="00347054">
        <w:rPr>
          <w:sz w:val="25"/>
          <w:szCs w:val="25"/>
        </w:rPr>
        <w:t xml:space="preserve"> </w:t>
      </w:r>
      <w:r w:rsidR="008A54E8">
        <w:rPr>
          <w:sz w:val="25"/>
          <w:szCs w:val="25"/>
        </w:rPr>
        <w:t xml:space="preserve">mitigation </w:t>
      </w:r>
      <w:r w:rsidR="00304560">
        <w:rPr>
          <w:sz w:val="25"/>
          <w:szCs w:val="25"/>
        </w:rPr>
        <w:t xml:space="preserve">of the penalty </w:t>
      </w:r>
      <w:r w:rsidR="008A54E8">
        <w:rPr>
          <w:sz w:val="25"/>
          <w:szCs w:val="25"/>
        </w:rPr>
        <w:t>based on the written information provided</w:t>
      </w:r>
      <w:r w:rsidR="00B77835" w:rsidRPr="00347054">
        <w:rPr>
          <w:sz w:val="25"/>
          <w:szCs w:val="25"/>
        </w:rPr>
        <w:t xml:space="preserve">.  </w:t>
      </w:r>
      <w:r w:rsidR="008A54E8">
        <w:rPr>
          <w:sz w:val="25"/>
          <w:szCs w:val="25"/>
        </w:rPr>
        <w:t xml:space="preserve">The </w:t>
      </w:r>
      <w:r w:rsidR="00F0357E">
        <w:rPr>
          <w:sz w:val="25"/>
          <w:szCs w:val="25"/>
        </w:rPr>
        <w:t>C</w:t>
      </w:r>
      <w:r w:rsidR="00D11175">
        <w:rPr>
          <w:sz w:val="25"/>
          <w:szCs w:val="25"/>
        </w:rPr>
        <w:t>ompany</w:t>
      </w:r>
      <w:r w:rsidR="00307182">
        <w:rPr>
          <w:sz w:val="25"/>
          <w:szCs w:val="25"/>
        </w:rPr>
        <w:t xml:space="preserve"> explained that </w:t>
      </w:r>
      <w:r w:rsidR="0079303C">
        <w:rPr>
          <w:sz w:val="25"/>
          <w:szCs w:val="25"/>
        </w:rPr>
        <w:t xml:space="preserve">in September of 2013, its center manager was terminated based on allegations of financial mismanagement and theft.  Following the manager’s dismissal, the center fell under the control of its board of directors, comprised of senior </w:t>
      </w:r>
      <w:r w:rsidR="0079303C">
        <w:rPr>
          <w:sz w:val="25"/>
          <w:szCs w:val="25"/>
        </w:rPr>
        <w:lastRenderedPageBreak/>
        <w:t>citizens who did not understand the governance and fiduciary responsibilities of the organization.  In addition, the Company states the penalty would have a devastating financial impact on the center and</w:t>
      </w:r>
      <w:r w:rsidR="0013506D">
        <w:rPr>
          <w:sz w:val="25"/>
          <w:szCs w:val="25"/>
        </w:rPr>
        <w:t>, in turn,</w:t>
      </w:r>
      <w:r w:rsidR="0079303C">
        <w:rPr>
          <w:sz w:val="25"/>
          <w:szCs w:val="25"/>
        </w:rPr>
        <w:t xml:space="preserve"> the senior citizens of Yelm that it serves.</w:t>
      </w:r>
    </w:p>
    <w:p w14:paraId="4E6DD3BF" w14:textId="77777777" w:rsidR="0079303C" w:rsidRDefault="0079303C" w:rsidP="00ED1F2D">
      <w:pPr>
        <w:pStyle w:val="ListParagraph"/>
        <w:spacing w:line="264" w:lineRule="auto"/>
        <w:rPr>
          <w:sz w:val="25"/>
          <w:szCs w:val="25"/>
        </w:rPr>
      </w:pPr>
    </w:p>
    <w:p w14:paraId="66612A57" w14:textId="77777777" w:rsidR="0079303C" w:rsidRPr="004F5E53" w:rsidRDefault="0079303C" w:rsidP="00ED1F2D">
      <w:pPr>
        <w:numPr>
          <w:ilvl w:val="0"/>
          <w:numId w:val="1"/>
        </w:numPr>
        <w:tabs>
          <w:tab w:val="clear" w:pos="1080"/>
          <w:tab w:val="left" w:pos="0"/>
        </w:tabs>
        <w:spacing w:line="264" w:lineRule="auto"/>
        <w:ind w:left="0" w:hanging="720"/>
        <w:rPr>
          <w:rStyle w:val="CommentReference"/>
          <w:sz w:val="25"/>
          <w:szCs w:val="25"/>
        </w:rPr>
      </w:pPr>
      <w:r>
        <w:rPr>
          <w:bCs/>
          <w:sz w:val="25"/>
          <w:szCs w:val="25"/>
        </w:rPr>
        <w:t>On June 16, 2014, Yelm Adult Community Center</w:t>
      </w:r>
      <w:r w:rsidRPr="00307182">
        <w:rPr>
          <w:bCs/>
          <w:sz w:val="25"/>
          <w:szCs w:val="25"/>
        </w:rPr>
        <w:t xml:space="preserve"> </w:t>
      </w:r>
      <w:r>
        <w:rPr>
          <w:bCs/>
          <w:sz w:val="25"/>
          <w:szCs w:val="25"/>
        </w:rPr>
        <w:t>filed its annual report and paid its regulatory and late payment fees.</w:t>
      </w:r>
    </w:p>
    <w:p w14:paraId="38A23149" w14:textId="77777777" w:rsidR="00776B35" w:rsidRPr="004F5E53" w:rsidRDefault="00776B35" w:rsidP="00ED1F2D">
      <w:pPr>
        <w:tabs>
          <w:tab w:val="left" w:pos="0"/>
        </w:tabs>
        <w:spacing w:line="264" w:lineRule="auto"/>
        <w:rPr>
          <w:sz w:val="25"/>
          <w:szCs w:val="25"/>
        </w:rPr>
      </w:pPr>
    </w:p>
    <w:p w14:paraId="414983A7" w14:textId="77777777" w:rsidR="00D526A9" w:rsidRPr="00347054" w:rsidRDefault="008A54E8" w:rsidP="00ED1F2D">
      <w:pPr>
        <w:numPr>
          <w:ilvl w:val="0"/>
          <w:numId w:val="1"/>
        </w:numPr>
        <w:tabs>
          <w:tab w:val="clear" w:pos="1080"/>
          <w:tab w:val="left" w:pos="0"/>
        </w:tabs>
        <w:spacing w:line="264" w:lineRule="auto"/>
        <w:ind w:left="0" w:hanging="720"/>
        <w:rPr>
          <w:sz w:val="25"/>
          <w:szCs w:val="25"/>
        </w:rPr>
      </w:pPr>
      <w:r>
        <w:rPr>
          <w:sz w:val="25"/>
          <w:szCs w:val="25"/>
        </w:rPr>
        <w:t xml:space="preserve">On </w:t>
      </w:r>
      <w:r w:rsidR="0079303C">
        <w:rPr>
          <w:sz w:val="25"/>
          <w:szCs w:val="25"/>
        </w:rPr>
        <w:t>June 26</w:t>
      </w:r>
      <w:r>
        <w:rPr>
          <w:sz w:val="25"/>
          <w:szCs w:val="25"/>
        </w:rPr>
        <w:t xml:space="preserve">, 2014, </w:t>
      </w:r>
      <w:r w:rsidR="00126995">
        <w:rPr>
          <w:sz w:val="25"/>
          <w:szCs w:val="25"/>
        </w:rPr>
        <w:t>Commission Staff (</w:t>
      </w:r>
      <w:r>
        <w:rPr>
          <w:sz w:val="25"/>
          <w:szCs w:val="25"/>
        </w:rPr>
        <w:t>Staff</w:t>
      </w:r>
      <w:r w:rsidR="00126995">
        <w:rPr>
          <w:sz w:val="25"/>
          <w:szCs w:val="25"/>
        </w:rPr>
        <w:t>)</w:t>
      </w:r>
      <w:r>
        <w:rPr>
          <w:sz w:val="25"/>
          <w:szCs w:val="25"/>
        </w:rPr>
        <w:t xml:space="preserve"> filed a response recommending</w:t>
      </w:r>
      <w:r w:rsidR="00824020">
        <w:rPr>
          <w:sz w:val="25"/>
          <w:szCs w:val="25"/>
        </w:rPr>
        <w:t xml:space="preserve"> the Commission</w:t>
      </w:r>
      <w:r>
        <w:rPr>
          <w:sz w:val="25"/>
          <w:szCs w:val="25"/>
        </w:rPr>
        <w:t xml:space="preserve"> </w:t>
      </w:r>
      <w:r w:rsidR="0079303C">
        <w:rPr>
          <w:sz w:val="25"/>
          <w:szCs w:val="25"/>
        </w:rPr>
        <w:t>waive the penalty in full due to the compelling circumstances presented by the Company</w:t>
      </w:r>
      <w:r>
        <w:rPr>
          <w:sz w:val="25"/>
          <w:szCs w:val="25"/>
        </w:rPr>
        <w:t>.</w:t>
      </w:r>
      <w:r w:rsidR="00304560">
        <w:rPr>
          <w:sz w:val="25"/>
          <w:szCs w:val="25"/>
        </w:rPr>
        <w:t xml:space="preserve">  </w:t>
      </w:r>
      <w:r w:rsidR="0079303C">
        <w:rPr>
          <w:sz w:val="25"/>
          <w:szCs w:val="25"/>
        </w:rPr>
        <w:t>Staff also noted that the Company has been active since 2006, and has no prior violations of WAC 480-31-080.</w:t>
      </w:r>
      <w:r w:rsidR="00304560">
        <w:rPr>
          <w:sz w:val="25"/>
          <w:szCs w:val="25"/>
        </w:rPr>
        <w:br/>
      </w:r>
    </w:p>
    <w:p w14:paraId="3C4C781B" w14:textId="77777777" w:rsidR="00841996" w:rsidRPr="00347054" w:rsidRDefault="00F32856" w:rsidP="00ED1F2D">
      <w:pPr>
        <w:tabs>
          <w:tab w:val="left" w:pos="0"/>
        </w:tabs>
        <w:spacing w:line="264" w:lineRule="auto"/>
        <w:jc w:val="center"/>
        <w:rPr>
          <w:b/>
          <w:sz w:val="25"/>
          <w:szCs w:val="25"/>
        </w:rPr>
      </w:pPr>
      <w:r w:rsidRPr="00347054">
        <w:rPr>
          <w:b/>
          <w:sz w:val="25"/>
          <w:szCs w:val="25"/>
        </w:rPr>
        <w:t>DISCUSSION</w:t>
      </w:r>
    </w:p>
    <w:p w14:paraId="5CA886DD" w14:textId="77777777" w:rsidR="001A220D" w:rsidRPr="00347054" w:rsidRDefault="001A220D" w:rsidP="00ED1F2D">
      <w:pPr>
        <w:spacing w:line="264" w:lineRule="auto"/>
        <w:rPr>
          <w:sz w:val="25"/>
          <w:szCs w:val="25"/>
        </w:rPr>
      </w:pPr>
    </w:p>
    <w:p w14:paraId="484AAB12" w14:textId="77777777" w:rsidR="0013506D" w:rsidRPr="003470BB" w:rsidRDefault="0013506D" w:rsidP="00ED1F2D">
      <w:pPr>
        <w:numPr>
          <w:ilvl w:val="0"/>
          <w:numId w:val="1"/>
        </w:numPr>
        <w:tabs>
          <w:tab w:val="clear" w:pos="1080"/>
          <w:tab w:val="left" w:pos="0"/>
        </w:tabs>
        <w:spacing w:line="264" w:lineRule="auto"/>
        <w:ind w:left="0" w:hanging="720"/>
        <w:rPr>
          <w:sz w:val="25"/>
          <w:szCs w:val="25"/>
        </w:rPr>
      </w:pPr>
      <w:r w:rsidRPr="00347054">
        <w:rPr>
          <w:sz w:val="25"/>
          <w:szCs w:val="25"/>
        </w:rPr>
        <w:t>The Commission</w:t>
      </w:r>
      <w:r>
        <w:rPr>
          <w:sz w:val="25"/>
          <w:szCs w:val="25"/>
        </w:rPr>
        <w:t xml:space="preserve"> agrees with Staff’s recommendation and will not impose a penalty</w:t>
      </w:r>
      <w:r w:rsidRPr="00347054">
        <w:rPr>
          <w:sz w:val="25"/>
          <w:szCs w:val="25"/>
        </w:rPr>
        <w:t xml:space="preserve">. </w:t>
      </w:r>
      <w:r>
        <w:rPr>
          <w:sz w:val="25"/>
          <w:szCs w:val="25"/>
        </w:rPr>
        <w:t xml:space="preserve"> The Commission’s primary objective in any enforcement action is to ensure compliance with a company’s legal obligations; penalties both punish past violations and provide an incentive to comply in the future</w:t>
      </w:r>
      <w:r w:rsidRPr="00347054">
        <w:rPr>
          <w:sz w:val="25"/>
          <w:szCs w:val="25"/>
        </w:rPr>
        <w:t>.</w:t>
      </w:r>
      <w:r>
        <w:rPr>
          <w:sz w:val="25"/>
          <w:szCs w:val="25"/>
        </w:rPr>
        <w:t xml:space="preserve">  Given the circumstances here, we believe neither punishment nor incentive is warranted.</w:t>
      </w:r>
      <w:r w:rsidRPr="00347054">
        <w:rPr>
          <w:sz w:val="25"/>
          <w:szCs w:val="25"/>
        </w:rPr>
        <w:t xml:space="preserve"> </w:t>
      </w:r>
      <w:r>
        <w:rPr>
          <w:sz w:val="25"/>
          <w:szCs w:val="25"/>
        </w:rPr>
        <w:t xml:space="preserve"> </w:t>
      </w:r>
      <w:r w:rsidR="00EF588F">
        <w:rPr>
          <w:sz w:val="25"/>
          <w:szCs w:val="25"/>
        </w:rPr>
        <w:t>The Company suffered a serious financial loss in 2013, and is still recovering from its impact.  Moreover, t</w:t>
      </w:r>
      <w:r>
        <w:rPr>
          <w:sz w:val="25"/>
          <w:szCs w:val="25"/>
        </w:rPr>
        <w:t xml:space="preserve">he Company’s </w:t>
      </w:r>
      <w:r w:rsidR="00EF588F">
        <w:rPr>
          <w:sz w:val="25"/>
          <w:szCs w:val="25"/>
        </w:rPr>
        <w:t>primary purpose is to provide a valuable service to a vulnerable population; the imposition of a penalty would only harm the people it serves</w:t>
      </w:r>
      <w:r>
        <w:rPr>
          <w:sz w:val="25"/>
          <w:szCs w:val="25"/>
        </w:rPr>
        <w:t>.  Under these circumstances, we will grant full mitigation of the penalty.</w:t>
      </w:r>
    </w:p>
    <w:p w14:paraId="7391A2C2" w14:textId="77777777" w:rsidR="00347054" w:rsidRPr="00347054" w:rsidRDefault="00347054" w:rsidP="00ED1F2D">
      <w:pPr>
        <w:tabs>
          <w:tab w:val="left" w:pos="0"/>
        </w:tabs>
        <w:spacing w:line="264" w:lineRule="auto"/>
        <w:rPr>
          <w:sz w:val="25"/>
          <w:szCs w:val="25"/>
        </w:rPr>
      </w:pPr>
    </w:p>
    <w:p w14:paraId="351DE8C9" w14:textId="77777777" w:rsidR="00F32856" w:rsidRPr="00347054" w:rsidRDefault="00F32856" w:rsidP="00ED1F2D">
      <w:pPr>
        <w:spacing w:line="264" w:lineRule="auto"/>
        <w:jc w:val="center"/>
        <w:rPr>
          <w:b/>
          <w:sz w:val="25"/>
          <w:szCs w:val="25"/>
        </w:rPr>
      </w:pPr>
      <w:r w:rsidRPr="00347054">
        <w:rPr>
          <w:b/>
          <w:sz w:val="25"/>
          <w:szCs w:val="25"/>
        </w:rPr>
        <w:t>ORDER</w:t>
      </w:r>
    </w:p>
    <w:p w14:paraId="577827AE" w14:textId="77777777" w:rsidR="00892232" w:rsidRPr="00347054" w:rsidRDefault="00892232" w:rsidP="00ED1F2D">
      <w:pPr>
        <w:pStyle w:val="ListParagraph"/>
        <w:spacing w:line="264" w:lineRule="auto"/>
        <w:ind w:left="0"/>
        <w:rPr>
          <w:sz w:val="25"/>
          <w:szCs w:val="25"/>
        </w:rPr>
      </w:pPr>
    </w:p>
    <w:p w14:paraId="3797350C" w14:textId="77777777" w:rsidR="00F32856" w:rsidRPr="00347054" w:rsidRDefault="00F32856" w:rsidP="00ED1F2D">
      <w:pPr>
        <w:spacing w:line="264"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3EDAEA59" w14:textId="77777777" w:rsidR="00F32856" w:rsidRPr="00347054" w:rsidRDefault="00F32856" w:rsidP="00ED1F2D">
      <w:pPr>
        <w:spacing w:line="264" w:lineRule="auto"/>
        <w:ind w:left="720"/>
        <w:rPr>
          <w:sz w:val="25"/>
          <w:szCs w:val="25"/>
        </w:rPr>
      </w:pPr>
    </w:p>
    <w:p w14:paraId="6F5D1BC4" w14:textId="77777777" w:rsidR="005E3095" w:rsidRPr="00347054" w:rsidRDefault="005E3095" w:rsidP="00ED1F2D">
      <w:pPr>
        <w:numPr>
          <w:ilvl w:val="0"/>
          <w:numId w:val="1"/>
        </w:numPr>
        <w:tabs>
          <w:tab w:val="clear" w:pos="1080"/>
          <w:tab w:val="left" w:pos="0"/>
        </w:tabs>
        <w:spacing w:line="264"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13506D">
        <w:rPr>
          <w:bCs/>
          <w:sz w:val="25"/>
          <w:szCs w:val="25"/>
        </w:rPr>
        <w:t>Yelm Adult Community Center</w:t>
      </w:r>
      <w:r w:rsidR="0013506D" w:rsidRPr="00307182">
        <w:rPr>
          <w:bCs/>
          <w:sz w:val="25"/>
          <w:szCs w:val="25"/>
        </w:rPr>
        <w:t xml:space="preserve">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930F0E" w:rsidRPr="00347054">
        <w:rPr>
          <w:sz w:val="25"/>
          <w:szCs w:val="25"/>
        </w:rPr>
        <w:t>1</w:t>
      </w:r>
      <w:r w:rsidR="00776B35">
        <w:rPr>
          <w:sz w:val="25"/>
          <w:szCs w:val="25"/>
        </w:rPr>
        <w:t>,0</w:t>
      </w:r>
      <w:r w:rsidR="008A54E8">
        <w:rPr>
          <w:sz w:val="25"/>
          <w:szCs w:val="25"/>
        </w:rPr>
        <w:t>00</w:t>
      </w:r>
      <w:r w:rsidR="00E0789C" w:rsidRPr="00347054">
        <w:rPr>
          <w:sz w:val="25"/>
          <w:szCs w:val="25"/>
        </w:rPr>
        <w:t xml:space="preserve"> penalty </w:t>
      </w:r>
      <w:r w:rsidR="006A0236" w:rsidRPr="00347054">
        <w:rPr>
          <w:sz w:val="25"/>
          <w:szCs w:val="25"/>
        </w:rPr>
        <w:t>is GRANTED</w:t>
      </w:r>
      <w:r w:rsidR="00E0789C" w:rsidRPr="00347054">
        <w:rPr>
          <w:sz w:val="25"/>
          <w:szCs w:val="25"/>
        </w:rPr>
        <w:t xml:space="preserve">.  </w:t>
      </w:r>
    </w:p>
    <w:p w14:paraId="61FF1A53" w14:textId="77777777" w:rsidR="005E3095" w:rsidRPr="00347054" w:rsidRDefault="005E3095" w:rsidP="00ED1F2D">
      <w:pPr>
        <w:spacing w:line="264" w:lineRule="auto"/>
        <w:ind w:left="720"/>
        <w:rPr>
          <w:sz w:val="25"/>
          <w:szCs w:val="25"/>
        </w:rPr>
      </w:pPr>
    </w:p>
    <w:p w14:paraId="12A1C031" w14:textId="77777777" w:rsidR="00D10DF0" w:rsidRPr="00347054" w:rsidRDefault="005E3095" w:rsidP="00ED1F2D">
      <w:pPr>
        <w:numPr>
          <w:ilvl w:val="0"/>
          <w:numId w:val="1"/>
        </w:numPr>
        <w:tabs>
          <w:tab w:val="clear" w:pos="1080"/>
          <w:tab w:val="left" w:pos="0"/>
        </w:tabs>
        <w:spacing w:line="264" w:lineRule="auto"/>
        <w:ind w:left="0" w:hanging="720"/>
        <w:rPr>
          <w:sz w:val="25"/>
          <w:szCs w:val="25"/>
        </w:rPr>
      </w:pPr>
      <w:r w:rsidRPr="00347054">
        <w:rPr>
          <w:sz w:val="25"/>
          <w:szCs w:val="25"/>
        </w:rPr>
        <w:t>(2)</w:t>
      </w:r>
      <w:r w:rsidRPr="00347054">
        <w:rPr>
          <w:sz w:val="25"/>
          <w:szCs w:val="25"/>
        </w:rPr>
        <w:tab/>
      </w:r>
      <w:r w:rsidR="0013506D">
        <w:rPr>
          <w:sz w:val="25"/>
          <w:szCs w:val="25"/>
        </w:rPr>
        <w:t>No penalty is due</w:t>
      </w:r>
      <w:r w:rsidR="009B4C93" w:rsidRPr="00347054">
        <w:rPr>
          <w:sz w:val="25"/>
          <w:szCs w:val="25"/>
        </w:rPr>
        <w:t>.</w:t>
      </w:r>
    </w:p>
    <w:p w14:paraId="6256C9B4" w14:textId="77777777" w:rsidR="00AA6988" w:rsidRPr="00347054" w:rsidRDefault="00AA6988" w:rsidP="00ED1F2D">
      <w:pPr>
        <w:pStyle w:val="ListParagraph"/>
        <w:spacing w:line="264" w:lineRule="auto"/>
        <w:rPr>
          <w:sz w:val="25"/>
          <w:szCs w:val="25"/>
        </w:rPr>
      </w:pPr>
    </w:p>
    <w:p w14:paraId="3684D72E" w14:textId="77777777" w:rsidR="006F2E4D" w:rsidRPr="00347054" w:rsidRDefault="00860038" w:rsidP="00ED1F2D">
      <w:pPr>
        <w:numPr>
          <w:ilvl w:val="0"/>
          <w:numId w:val="1"/>
        </w:numPr>
        <w:tabs>
          <w:tab w:val="clear" w:pos="1080"/>
          <w:tab w:val="left" w:pos="0"/>
        </w:tabs>
        <w:spacing w:line="264"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213FE2EB" w14:textId="77777777" w:rsidR="00860038" w:rsidRPr="00347054" w:rsidRDefault="00860038" w:rsidP="00ED1F2D">
      <w:pPr>
        <w:spacing w:line="264" w:lineRule="auto"/>
        <w:rPr>
          <w:sz w:val="25"/>
          <w:szCs w:val="25"/>
        </w:rPr>
      </w:pPr>
    </w:p>
    <w:p w14:paraId="2AF117BB" w14:textId="77777777" w:rsidR="00C011AB" w:rsidRPr="00347054" w:rsidRDefault="00BD11E4" w:rsidP="00ED1F2D">
      <w:pPr>
        <w:spacing w:line="264"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8A54E8">
        <w:rPr>
          <w:sz w:val="25"/>
          <w:szCs w:val="25"/>
        </w:rPr>
        <w:t xml:space="preserve">July </w:t>
      </w:r>
      <w:r w:rsidR="00E539C0">
        <w:rPr>
          <w:sz w:val="25"/>
          <w:szCs w:val="25"/>
        </w:rPr>
        <w:t>1</w:t>
      </w:r>
      <w:r w:rsidR="00ED1F2D">
        <w:rPr>
          <w:sz w:val="25"/>
          <w:szCs w:val="25"/>
        </w:rPr>
        <w:t>6</w:t>
      </w:r>
      <w:r w:rsidR="008A54E8">
        <w:rPr>
          <w:sz w:val="25"/>
          <w:szCs w:val="25"/>
        </w:rPr>
        <w:t>, 2014</w:t>
      </w:r>
      <w:r w:rsidR="00C011AB" w:rsidRPr="00347054">
        <w:rPr>
          <w:sz w:val="25"/>
          <w:szCs w:val="25"/>
        </w:rPr>
        <w:t>.</w:t>
      </w:r>
    </w:p>
    <w:p w14:paraId="7E2829E9" w14:textId="77777777" w:rsidR="00C011AB" w:rsidRPr="00347054" w:rsidRDefault="00C011AB" w:rsidP="00ED1F2D">
      <w:pPr>
        <w:pStyle w:val="Header"/>
        <w:tabs>
          <w:tab w:val="clear" w:pos="4320"/>
          <w:tab w:val="clear" w:pos="8640"/>
        </w:tabs>
        <w:spacing w:line="264" w:lineRule="auto"/>
        <w:rPr>
          <w:sz w:val="25"/>
          <w:szCs w:val="25"/>
        </w:rPr>
      </w:pPr>
    </w:p>
    <w:p w14:paraId="65DCCCB3" w14:textId="77777777" w:rsidR="00C011AB" w:rsidRPr="00347054" w:rsidRDefault="00C011AB" w:rsidP="00ED1F2D">
      <w:pPr>
        <w:spacing w:line="264" w:lineRule="auto"/>
        <w:jc w:val="center"/>
        <w:rPr>
          <w:sz w:val="25"/>
          <w:szCs w:val="25"/>
        </w:rPr>
      </w:pPr>
      <w:r w:rsidRPr="00347054">
        <w:rPr>
          <w:sz w:val="25"/>
          <w:szCs w:val="25"/>
        </w:rPr>
        <w:t>WASHINGTON UTILITIES AND TRANSPORTATION COMMISSION</w:t>
      </w:r>
    </w:p>
    <w:p w14:paraId="62A5CF02" w14:textId="77777777" w:rsidR="00981531" w:rsidRPr="00347054" w:rsidRDefault="00981531" w:rsidP="00ED1F2D">
      <w:pPr>
        <w:pStyle w:val="Header"/>
        <w:tabs>
          <w:tab w:val="clear" w:pos="4320"/>
          <w:tab w:val="clear" w:pos="8640"/>
        </w:tabs>
        <w:spacing w:line="264" w:lineRule="auto"/>
        <w:rPr>
          <w:sz w:val="25"/>
          <w:szCs w:val="25"/>
        </w:rPr>
      </w:pPr>
    </w:p>
    <w:p w14:paraId="0E0373B8" w14:textId="77777777" w:rsidR="00293EC2" w:rsidRPr="00347054" w:rsidRDefault="00293EC2" w:rsidP="00ED1F2D">
      <w:pPr>
        <w:spacing w:line="264" w:lineRule="auto"/>
        <w:ind w:left="2880" w:firstLine="720"/>
        <w:jc w:val="center"/>
        <w:rPr>
          <w:sz w:val="25"/>
          <w:szCs w:val="25"/>
        </w:rPr>
      </w:pPr>
    </w:p>
    <w:p w14:paraId="357B1437" w14:textId="77777777" w:rsidR="00293EC2" w:rsidRPr="00347054" w:rsidRDefault="00293EC2" w:rsidP="00ED1F2D">
      <w:pPr>
        <w:spacing w:line="264" w:lineRule="auto"/>
        <w:ind w:left="2880" w:firstLine="720"/>
        <w:jc w:val="center"/>
        <w:rPr>
          <w:sz w:val="25"/>
          <w:szCs w:val="25"/>
        </w:rPr>
      </w:pPr>
    </w:p>
    <w:p w14:paraId="4DC34890" w14:textId="77777777" w:rsidR="00C011AB" w:rsidRPr="00347054" w:rsidRDefault="008A37A3" w:rsidP="00ED1F2D">
      <w:pPr>
        <w:spacing w:line="264" w:lineRule="auto"/>
        <w:ind w:left="3600" w:firstLine="720"/>
        <w:rPr>
          <w:sz w:val="25"/>
          <w:szCs w:val="25"/>
        </w:rPr>
      </w:pPr>
      <w:r w:rsidRPr="00347054">
        <w:rPr>
          <w:sz w:val="25"/>
          <w:szCs w:val="25"/>
        </w:rPr>
        <w:t>STEVEN V. KING</w:t>
      </w:r>
    </w:p>
    <w:p w14:paraId="57C39A32" w14:textId="77777777" w:rsidR="00C011AB" w:rsidRPr="00347054" w:rsidRDefault="00C011AB" w:rsidP="00ED1F2D">
      <w:pPr>
        <w:spacing w:line="264"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05FF60DC" w14:textId="77777777" w:rsidR="006972FB" w:rsidRPr="00347054" w:rsidRDefault="006972FB" w:rsidP="00ED1F2D">
      <w:pPr>
        <w:spacing w:line="264" w:lineRule="auto"/>
        <w:rPr>
          <w:sz w:val="25"/>
          <w:szCs w:val="25"/>
        </w:rPr>
      </w:pPr>
    </w:p>
    <w:p w14:paraId="31339298" w14:textId="77777777" w:rsidR="00F637C2" w:rsidRPr="00347054" w:rsidRDefault="00F637C2" w:rsidP="00ED1F2D">
      <w:pPr>
        <w:spacing w:line="264" w:lineRule="auto"/>
        <w:rPr>
          <w:sz w:val="25"/>
          <w:szCs w:val="25"/>
        </w:rPr>
      </w:pPr>
    </w:p>
    <w:p w14:paraId="228B8D50" w14:textId="77777777" w:rsidR="006972FB" w:rsidRPr="00347054" w:rsidRDefault="006972FB" w:rsidP="00ED1F2D">
      <w:pPr>
        <w:spacing w:line="264"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B20685" w:rsidRPr="00347054">
        <w:rPr>
          <w:b/>
          <w:bCs/>
          <w:sz w:val="25"/>
          <w:szCs w:val="25"/>
        </w:rPr>
        <w:t>w</w:t>
      </w:r>
      <w:r w:rsidR="00491D29" w:rsidRPr="00347054">
        <w:rPr>
          <w:b/>
          <w:bCs/>
          <w:sz w:val="25"/>
          <w:szCs w:val="25"/>
        </w:rPr>
        <w:t>ebsite.</w:t>
      </w:r>
    </w:p>
    <w:sectPr w:rsidR="006972FB" w:rsidRPr="00347054"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69096" w14:textId="77777777" w:rsidR="000A6806" w:rsidRDefault="000A6806">
      <w:r>
        <w:separator/>
      </w:r>
    </w:p>
  </w:endnote>
  <w:endnote w:type="continuationSeparator" w:id="0">
    <w:p w14:paraId="1713B6C9" w14:textId="77777777" w:rsidR="000A6806" w:rsidRDefault="000A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02EE" w14:textId="77777777" w:rsidR="00761967" w:rsidRDefault="00761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E844E" w14:textId="77777777" w:rsidR="00761967" w:rsidRDefault="00761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482" w14:textId="77777777" w:rsidR="00761967" w:rsidRDefault="00761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1594" w14:textId="77777777" w:rsidR="000A6806" w:rsidRDefault="000A6806">
      <w:r>
        <w:separator/>
      </w:r>
    </w:p>
  </w:footnote>
  <w:footnote w:type="continuationSeparator" w:id="0">
    <w:p w14:paraId="6D1196C5" w14:textId="77777777" w:rsidR="000A6806" w:rsidRDefault="000A6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F436D" w14:textId="77777777" w:rsidR="00761967" w:rsidRDefault="00761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5BB6"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47720D">
      <w:rPr>
        <w:b/>
        <w:bCs/>
        <w:sz w:val="20"/>
        <w:szCs w:val="20"/>
      </w:rPr>
      <w:t>T</w:t>
    </w:r>
    <w:r w:rsidR="0079303C">
      <w:rPr>
        <w:b/>
        <w:bCs/>
        <w:sz w:val="20"/>
        <w:szCs w:val="20"/>
      </w:rPr>
      <w:t>N</w:t>
    </w:r>
    <w:r w:rsidR="0047720D">
      <w:rPr>
        <w:b/>
        <w:bCs/>
        <w:sz w:val="20"/>
        <w:szCs w:val="20"/>
      </w:rPr>
      <w:t>-141</w:t>
    </w:r>
    <w:r w:rsidR="0079303C">
      <w:rPr>
        <w:b/>
        <w:bCs/>
        <w:sz w:val="20"/>
        <w:szCs w:val="20"/>
      </w:rPr>
      <w:t>042</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761967">
      <w:rPr>
        <w:rStyle w:val="PageNumber"/>
        <w:b/>
        <w:bCs/>
        <w:noProof/>
        <w:sz w:val="20"/>
        <w:szCs w:val="20"/>
      </w:rPr>
      <w:t>2</w:t>
    </w:r>
    <w:r w:rsidRPr="00B85B2D">
      <w:rPr>
        <w:rStyle w:val="PageNumber"/>
        <w:b/>
        <w:bCs/>
        <w:sz w:val="20"/>
        <w:szCs w:val="20"/>
      </w:rPr>
      <w:fldChar w:fldCharType="end"/>
    </w:r>
  </w:p>
  <w:p w14:paraId="1F2A39AC"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31F34C2F"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09D4B" w14:textId="77777777" w:rsidR="00761967" w:rsidRDefault="00761967" w:rsidP="00761967">
    <w:pPr>
      <w:pStyle w:val="Header"/>
      <w:tabs>
        <w:tab w:val="right" w:pos="8460"/>
      </w:tabs>
      <w:jc w:val="right"/>
      <w:rPr>
        <w:b/>
        <w:sz w:val="20"/>
        <w:szCs w:val="20"/>
      </w:rPr>
    </w:pPr>
    <w:r>
      <w:rPr>
        <w:b/>
        <w:sz w:val="20"/>
        <w:szCs w:val="20"/>
      </w:rPr>
      <w:t>[Service date July 16,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3213"/>
    <w:rsid w:val="00040C1A"/>
    <w:rsid w:val="000425D2"/>
    <w:rsid w:val="000426C0"/>
    <w:rsid w:val="00046349"/>
    <w:rsid w:val="00064277"/>
    <w:rsid w:val="00064471"/>
    <w:rsid w:val="000677EC"/>
    <w:rsid w:val="00084377"/>
    <w:rsid w:val="000A14A5"/>
    <w:rsid w:val="000A424F"/>
    <w:rsid w:val="000A5612"/>
    <w:rsid w:val="000A60F5"/>
    <w:rsid w:val="000A6806"/>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06D"/>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D0DC8"/>
    <w:rsid w:val="001D1073"/>
    <w:rsid w:val="001D765C"/>
    <w:rsid w:val="001E64D7"/>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73073"/>
    <w:rsid w:val="00281ABD"/>
    <w:rsid w:val="002834B4"/>
    <w:rsid w:val="00285B43"/>
    <w:rsid w:val="0028697C"/>
    <w:rsid w:val="00287672"/>
    <w:rsid w:val="00291C3E"/>
    <w:rsid w:val="00293EC2"/>
    <w:rsid w:val="002969C0"/>
    <w:rsid w:val="002A44FE"/>
    <w:rsid w:val="002A547A"/>
    <w:rsid w:val="002B0F91"/>
    <w:rsid w:val="002C03F6"/>
    <w:rsid w:val="002C1C05"/>
    <w:rsid w:val="002C513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7054"/>
    <w:rsid w:val="003470BB"/>
    <w:rsid w:val="00361888"/>
    <w:rsid w:val="00362AC7"/>
    <w:rsid w:val="00363B2A"/>
    <w:rsid w:val="003717D9"/>
    <w:rsid w:val="00371E20"/>
    <w:rsid w:val="00372516"/>
    <w:rsid w:val="003815A3"/>
    <w:rsid w:val="00383B52"/>
    <w:rsid w:val="00386898"/>
    <w:rsid w:val="00397A87"/>
    <w:rsid w:val="003A38E3"/>
    <w:rsid w:val="003A7B35"/>
    <w:rsid w:val="003B10D2"/>
    <w:rsid w:val="003C5E47"/>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D2214"/>
    <w:rsid w:val="004D24E3"/>
    <w:rsid w:val="004D2B76"/>
    <w:rsid w:val="004E14C5"/>
    <w:rsid w:val="004E42C9"/>
    <w:rsid w:val="004F19C5"/>
    <w:rsid w:val="004F5A39"/>
    <w:rsid w:val="004F5E53"/>
    <w:rsid w:val="00503A76"/>
    <w:rsid w:val="00506F82"/>
    <w:rsid w:val="00516019"/>
    <w:rsid w:val="00521A82"/>
    <w:rsid w:val="00524F39"/>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F48"/>
    <w:rsid w:val="006D3BA8"/>
    <w:rsid w:val="006E06FD"/>
    <w:rsid w:val="006F0806"/>
    <w:rsid w:val="006F2E4D"/>
    <w:rsid w:val="006F5053"/>
    <w:rsid w:val="006F7C3C"/>
    <w:rsid w:val="00703594"/>
    <w:rsid w:val="00714FA1"/>
    <w:rsid w:val="00717D10"/>
    <w:rsid w:val="007201A1"/>
    <w:rsid w:val="0073050C"/>
    <w:rsid w:val="0073407F"/>
    <w:rsid w:val="00737EB2"/>
    <w:rsid w:val="00745582"/>
    <w:rsid w:val="007510EC"/>
    <w:rsid w:val="0075129E"/>
    <w:rsid w:val="007535A9"/>
    <w:rsid w:val="0076093A"/>
    <w:rsid w:val="00761967"/>
    <w:rsid w:val="0076509F"/>
    <w:rsid w:val="00772D78"/>
    <w:rsid w:val="007742B0"/>
    <w:rsid w:val="0077507E"/>
    <w:rsid w:val="00775994"/>
    <w:rsid w:val="00775FEF"/>
    <w:rsid w:val="007767BA"/>
    <w:rsid w:val="00776B35"/>
    <w:rsid w:val="00781CE1"/>
    <w:rsid w:val="00790390"/>
    <w:rsid w:val="0079303C"/>
    <w:rsid w:val="007977BC"/>
    <w:rsid w:val="007A0EF6"/>
    <w:rsid w:val="007A3293"/>
    <w:rsid w:val="007B74DA"/>
    <w:rsid w:val="007C1AF6"/>
    <w:rsid w:val="007D1ED9"/>
    <w:rsid w:val="007E43FB"/>
    <w:rsid w:val="007E6EE7"/>
    <w:rsid w:val="007E70A0"/>
    <w:rsid w:val="007F2B40"/>
    <w:rsid w:val="008002A6"/>
    <w:rsid w:val="00801D54"/>
    <w:rsid w:val="0080504E"/>
    <w:rsid w:val="00805912"/>
    <w:rsid w:val="00807A37"/>
    <w:rsid w:val="00811797"/>
    <w:rsid w:val="0081220C"/>
    <w:rsid w:val="0082073A"/>
    <w:rsid w:val="00820BD5"/>
    <w:rsid w:val="008215F8"/>
    <w:rsid w:val="00824020"/>
    <w:rsid w:val="008263FC"/>
    <w:rsid w:val="00827DA2"/>
    <w:rsid w:val="00830040"/>
    <w:rsid w:val="00834160"/>
    <w:rsid w:val="0084064A"/>
    <w:rsid w:val="00840E3F"/>
    <w:rsid w:val="00841996"/>
    <w:rsid w:val="00845187"/>
    <w:rsid w:val="00845C37"/>
    <w:rsid w:val="00852803"/>
    <w:rsid w:val="008554A7"/>
    <w:rsid w:val="00860038"/>
    <w:rsid w:val="00872122"/>
    <w:rsid w:val="0087222E"/>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C77DA"/>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4AC0"/>
    <w:rsid w:val="00CA0EC2"/>
    <w:rsid w:val="00CA18D9"/>
    <w:rsid w:val="00CC2029"/>
    <w:rsid w:val="00CC56C9"/>
    <w:rsid w:val="00CC6B86"/>
    <w:rsid w:val="00CD595A"/>
    <w:rsid w:val="00CD6B55"/>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60CB"/>
    <w:rsid w:val="00D72076"/>
    <w:rsid w:val="00D74337"/>
    <w:rsid w:val="00D74382"/>
    <w:rsid w:val="00D81C73"/>
    <w:rsid w:val="00D8205D"/>
    <w:rsid w:val="00D83729"/>
    <w:rsid w:val="00D90AEB"/>
    <w:rsid w:val="00D91720"/>
    <w:rsid w:val="00D91A9A"/>
    <w:rsid w:val="00D92A0C"/>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924E8"/>
    <w:rsid w:val="00E97729"/>
    <w:rsid w:val="00E97923"/>
    <w:rsid w:val="00ED0C7E"/>
    <w:rsid w:val="00ED1F2D"/>
    <w:rsid w:val="00EE49DE"/>
    <w:rsid w:val="00EE7F1C"/>
    <w:rsid w:val="00EF2565"/>
    <w:rsid w:val="00EF588F"/>
    <w:rsid w:val="00F02433"/>
    <w:rsid w:val="00F02CEA"/>
    <w:rsid w:val="00F0357E"/>
    <w:rsid w:val="00F12E35"/>
    <w:rsid w:val="00F13566"/>
    <w:rsid w:val="00F207F0"/>
    <w:rsid w:val="00F228D5"/>
    <w:rsid w:val="00F230DF"/>
    <w:rsid w:val="00F24170"/>
    <w:rsid w:val="00F24AE8"/>
    <w:rsid w:val="00F32856"/>
    <w:rsid w:val="00F42087"/>
    <w:rsid w:val="00F51228"/>
    <w:rsid w:val="00F5374F"/>
    <w:rsid w:val="00F57FC6"/>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B20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rsid w:val="00761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2014-05-14T07:00:00+00:00</OpenedDate>
    <Date1 xmlns="dc463f71-b30c-4ab2-9473-d307f9d35888">2014-07-16T07:00:00+00:00</Date1>
    <IsDocumentOrder xmlns="dc463f71-b30c-4ab2-9473-d307f9d35888">true</IsDocumentOrder>
    <IsHighlyConfidential xmlns="dc463f71-b30c-4ab2-9473-d307f9d35888">false</IsHighlyConfidential>
    <CaseCompanyNames xmlns="dc463f71-b30c-4ab2-9473-d307f9d35888">YELM ADULT COMMUNITY CENTER</CaseCompanyNames>
    <DocketNumber xmlns="dc463f71-b30c-4ab2-9473-d307f9d35888">141042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B5973675160B498DA0C6F0996C2A2B" ma:contentTypeVersion="175" ma:contentTypeDescription="" ma:contentTypeScope="" ma:versionID="9581f23de07b18f58704cd2c76248b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1A100-E400-410D-B804-F365ED458247}"/>
</file>

<file path=customXml/itemProps2.xml><?xml version="1.0" encoding="utf-8"?>
<ds:datastoreItem xmlns:ds="http://schemas.openxmlformats.org/officeDocument/2006/customXml" ds:itemID="{9EC1B60E-BCEF-422E-8F97-4EA50FB2F214}"/>
</file>

<file path=customXml/itemProps3.xml><?xml version="1.0" encoding="utf-8"?>
<ds:datastoreItem xmlns:ds="http://schemas.openxmlformats.org/officeDocument/2006/customXml" ds:itemID="{59C8AB1F-396A-413A-B813-8BB2A44A277C}"/>
</file>

<file path=customXml/itemProps4.xml><?xml version="1.0" encoding="utf-8"?>
<ds:datastoreItem xmlns:ds="http://schemas.openxmlformats.org/officeDocument/2006/customXml" ds:itemID="{13793FAF-59A0-4BCC-BBBA-F35F5FB87E8C}"/>
</file>

<file path=customXml/itemProps5.xml><?xml version="1.0" encoding="utf-8"?>
<ds:datastoreItem xmlns:ds="http://schemas.openxmlformats.org/officeDocument/2006/customXml" ds:itemID="{166A0C20-D3AE-450C-8DE7-4A3BC35EFB27}"/>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2014-07-15T16:21:00Z</dcterms:created>
  <dcterms:modified xsi:type="dcterms:W3CDTF">2014-07-15T16:21:00Z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0x0101006E56B4D1795A2E4DB2F0B01679ED314A00D0B5973675160B498DA0C6F0996C2A2B</vt:lpwstr>
  </property>
  <property fmtid="{D5CDD505-2E9C-101B-9397-08002B2CF9AE}" pid="3" name="_docset_NoMedatataSyncRequired">
    <vt:lpwstr>False</vt:lpwstr>
  </property>
</Properties>
</file>