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EF73F" w14:textId="77777777" w:rsidR="00B47E45" w:rsidRPr="00BB0D32" w:rsidRDefault="00B47E45">
      <w:pPr>
        <w:pStyle w:val="BodyText"/>
        <w:rPr>
          <w:b/>
          <w:bCs/>
        </w:rPr>
      </w:pPr>
      <w:r w:rsidRPr="00BB0D32">
        <w:rPr>
          <w:b/>
          <w:bCs/>
        </w:rPr>
        <w:t>BEFORE THE WASHINGTON</w:t>
      </w:r>
    </w:p>
    <w:p w14:paraId="7B6EF740" w14:textId="77777777" w:rsidR="00B47E45" w:rsidRPr="00BB0D32" w:rsidRDefault="00B47E45">
      <w:pPr>
        <w:pStyle w:val="BodyText"/>
        <w:rPr>
          <w:b/>
          <w:bCs/>
        </w:rPr>
      </w:pPr>
      <w:r w:rsidRPr="00BB0D32">
        <w:rPr>
          <w:b/>
          <w:bCs/>
        </w:rPr>
        <w:t>UTILITIES AND TRANSPORTATION COMMISSION</w:t>
      </w:r>
    </w:p>
    <w:p w14:paraId="7B6EF741" w14:textId="10D2672C" w:rsidR="00B47E45" w:rsidRPr="00BB0D32" w:rsidRDefault="00781C20">
      <w:pPr>
        <w:rPr>
          <w:b/>
          <w:bCs/>
        </w:rPr>
      </w:pPr>
      <w:r>
        <w:rPr>
          <w:b/>
          <w:bCs/>
          <w:noProof/>
        </w:rPr>
        <mc:AlternateContent>
          <mc:Choice Requires="wps">
            <w:drawing>
              <wp:anchor distT="0" distB="0" distL="114300" distR="114300" simplePos="0" relativeHeight="251659264" behindDoc="0" locked="0" layoutInCell="1" allowOverlap="1" wp14:anchorId="72CCAC0B" wp14:editId="7201F350">
                <wp:simplePos x="0" y="0"/>
                <wp:positionH relativeFrom="column">
                  <wp:posOffset>2777881</wp:posOffset>
                </wp:positionH>
                <wp:positionV relativeFrom="paragraph">
                  <wp:posOffset>155917</wp:posOffset>
                </wp:positionV>
                <wp:extent cx="488" cy="1512277"/>
                <wp:effectExtent l="0" t="0" r="19050" b="12065"/>
                <wp:wrapNone/>
                <wp:docPr id="2" name="Straight Connector 2"/>
                <wp:cNvGraphicFramePr/>
                <a:graphic xmlns:a="http://schemas.openxmlformats.org/drawingml/2006/main">
                  <a:graphicData uri="http://schemas.microsoft.com/office/word/2010/wordprocessingShape">
                    <wps:wsp>
                      <wps:cNvCnPr/>
                      <wps:spPr>
                        <a:xfrm flipH="1">
                          <a:off x="0" y="0"/>
                          <a:ext cx="488" cy="15122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5F70112" id="Straight Connector 2" o:spid="_x0000_s1026" style="position:absolute;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75pt,12.3pt" to="218.8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" strokecolor="black [3040]"/>
            </w:pict>
          </mc:Fallback>
        </mc:AlternateContent>
      </w:r>
    </w:p>
    <w:tbl>
      <w:tblPr>
        <w:tblW w:w="0" w:type="auto"/>
        <w:tblLook w:val="0000" w:firstRow="0" w:lastRow="0" w:firstColumn="0" w:lastColumn="0" w:noHBand="0" w:noVBand="0"/>
      </w:tblPr>
      <w:tblGrid>
        <w:gridCol w:w="4108"/>
        <w:gridCol w:w="700"/>
        <w:gridCol w:w="3900"/>
      </w:tblGrid>
      <w:tr w:rsidR="00B426BB" w:rsidRPr="00BB0D32" w14:paraId="7B6EF74E" w14:textId="77777777">
        <w:tc>
          <w:tcPr>
            <w:tcW w:w="4108" w:type="dxa"/>
          </w:tcPr>
          <w:p w14:paraId="7B6EF742" w14:textId="77777777" w:rsidR="00F86017" w:rsidRPr="00BB0D32" w:rsidRDefault="00F86017">
            <w:r w:rsidRPr="00BB0D32">
              <w:t xml:space="preserve">In the Matter of the Petition of </w:t>
            </w:r>
          </w:p>
          <w:p w14:paraId="7B6EF743" w14:textId="77777777" w:rsidR="00F86017" w:rsidRPr="00BB0D32" w:rsidRDefault="00F86017"/>
          <w:p w14:paraId="7B6EF744" w14:textId="01A69C59" w:rsidR="00F86017" w:rsidRPr="00BB0D32" w:rsidRDefault="00F86017">
            <w:r w:rsidRPr="00BB0D32">
              <w:t>Avista Corporation, dba Avista Utilities</w:t>
            </w:r>
          </w:p>
          <w:p w14:paraId="7B6EF745" w14:textId="77777777" w:rsidR="00F86017" w:rsidRPr="00BB0D32" w:rsidRDefault="00F86017"/>
          <w:p w14:paraId="7B6EF746" w14:textId="77777777" w:rsidR="00F86017" w:rsidRPr="00BB0D32" w:rsidRDefault="00F86017">
            <w:r w:rsidRPr="00BB0D32">
              <w:t>For an Order Approving a Service Territory Agreement Between Avista Corporation and Inland Power and Light Company.</w:t>
            </w:r>
          </w:p>
        </w:tc>
        <w:tc>
          <w:tcPr>
            <w:tcW w:w="700" w:type="dxa"/>
          </w:tcPr>
          <w:p w14:paraId="7B6EF747" w14:textId="661028D6" w:rsidR="00B47E45" w:rsidRPr="00BB0D32" w:rsidRDefault="00B47E45" w:rsidP="00781C20">
            <w:pPr>
              <w:tabs>
                <w:tab w:val="left" w:pos="168"/>
              </w:tabs>
              <w:jc w:val="center"/>
            </w:pPr>
          </w:p>
        </w:tc>
        <w:tc>
          <w:tcPr>
            <w:tcW w:w="3900" w:type="dxa"/>
          </w:tcPr>
          <w:p w14:paraId="7B6EF748" w14:textId="77777777" w:rsidR="00B47E45" w:rsidRPr="00BB0D32" w:rsidRDefault="00A43CFD">
            <w:r w:rsidRPr="00BB0D32">
              <w:t>DOCKET</w:t>
            </w:r>
            <w:r w:rsidR="00F86017" w:rsidRPr="00BB0D32">
              <w:t xml:space="preserve"> UE-141029</w:t>
            </w:r>
          </w:p>
          <w:p w14:paraId="7B6EF749" w14:textId="77777777" w:rsidR="00B47E45" w:rsidRPr="00BB0D32" w:rsidRDefault="00B47E45">
            <w:pPr>
              <w:ind w:left="720"/>
            </w:pPr>
          </w:p>
          <w:p w14:paraId="7B6EF74A" w14:textId="77777777" w:rsidR="00B47E45" w:rsidRPr="00BB0D32" w:rsidRDefault="00A43CFD">
            <w:r w:rsidRPr="00BB0D32">
              <w:t>ORDER</w:t>
            </w:r>
            <w:r w:rsidR="00204C62" w:rsidRPr="00BB0D32">
              <w:t xml:space="preserve"> </w:t>
            </w:r>
            <w:r w:rsidR="0052339D" w:rsidRPr="00BB0D32">
              <w:fldChar w:fldCharType="begin"/>
            </w:r>
            <w:r w:rsidR="0052339D" w:rsidRPr="00BB0D32">
              <w:instrText xml:space="preserve"> ASK order_no "Enter Order Number"</w:instrText>
            </w:r>
            <w:r w:rsidR="0052339D" w:rsidRPr="00BB0D32">
              <w:fldChar w:fldCharType="separate"/>
            </w:r>
            <w:bookmarkStart w:id="0" w:name="order_no"/>
            <w:r w:rsidR="00573090" w:rsidRPr="00BB0D32">
              <w:t>01</w:t>
            </w:r>
            <w:bookmarkEnd w:id="0"/>
            <w:r w:rsidR="0052339D" w:rsidRPr="00BB0D32">
              <w:fldChar w:fldCharType="end"/>
            </w:r>
            <w:fldSimple w:instr=" REF order_no \* MERGEFORMAT">
              <w:r w:rsidR="00CA042D" w:rsidRPr="00BB0D32">
                <w:t>01</w:t>
              </w:r>
            </w:fldSimple>
          </w:p>
          <w:p w14:paraId="7B6EF74B" w14:textId="77777777" w:rsidR="00B47E45" w:rsidRPr="00BB0D32" w:rsidRDefault="00B47E45">
            <w:pPr>
              <w:ind w:left="720"/>
            </w:pPr>
          </w:p>
          <w:p w14:paraId="7B6EF74C" w14:textId="77777777" w:rsidR="00B47E45" w:rsidRPr="00BB0D32" w:rsidRDefault="00B47E45">
            <w:pPr>
              <w:ind w:left="720"/>
            </w:pPr>
          </w:p>
          <w:p w14:paraId="7B6EF74D" w14:textId="77777777" w:rsidR="00B47E45" w:rsidRPr="00BB0D32" w:rsidRDefault="00B47E45" w:rsidP="00F86017">
            <w:r w:rsidRPr="00BB0D32">
              <w:t xml:space="preserve">ORDER </w:t>
            </w:r>
            <w:r w:rsidR="00F86017" w:rsidRPr="00BB0D32">
              <w:t>APPROVING SERVICE TERRITORY AGREEMENT</w:t>
            </w:r>
          </w:p>
        </w:tc>
      </w:tr>
    </w:tbl>
    <w:p w14:paraId="7B6EF74F" w14:textId="54670EE4" w:rsidR="00B47E45" w:rsidRPr="00BB0D32" w:rsidRDefault="00781C20">
      <w:r>
        <w:rPr>
          <w:noProof/>
        </w:rPr>
        <mc:AlternateContent>
          <mc:Choice Requires="wps">
            <w:drawing>
              <wp:anchor distT="0" distB="0" distL="114300" distR="114300" simplePos="0" relativeHeight="251660288" behindDoc="0" locked="0" layoutInCell="1" allowOverlap="1" wp14:anchorId="10B32323" wp14:editId="2AE4B858">
                <wp:simplePos x="0" y="0"/>
                <wp:positionH relativeFrom="column">
                  <wp:posOffset>-35169</wp:posOffset>
                </wp:positionH>
                <wp:positionV relativeFrom="paragraph">
                  <wp:posOffset>90854</wp:posOffset>
                </wp:positionV>
                <wp:extent cx="2813343"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28133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F0DEF0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7.15pt" to="218.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" strokecolor="black [3040]"/>
            </w:pict>
          </mc:Fallback>
        </mc:AlternateContent>
      </w:r>
      <w:r w:rsidR="0052339D" w:rsidRPr="00BB0D32">
        <w:fldChar w:fldCharType="begin"/>
      </w:r>
      <w:r w:rsidR="0052339D" w:rsidRPr="00BB0D32">
        <w:instrText xml:space="preserve"> ASK company_type "Enter company type. (e.g., Electric, Gas, Water)"</w:instrText>
      </w:r>
      <w:r w:rsidR="00686457" w:rsidRPr="00BB0D32">
        <w:instrText xml:space="preserve"> \</w:instrText>
      </w:r>
      <w:r w:rsidR="00CF296D" w:rsidRPr="00BB0D32">
        <w:instrText>*Firstcap</w:instrText>
      </w:r>
      <w:r w:rsidR="0052339D" w:rsidRPr="00BB0D32">
        <w:instrText xml:space="preserve"> </w:instrText>
      </w:r>
      <w:r w:rsidR="0052339D" w:rsidRPr="00BB0D32">
        <w:fldChar w:fldCharType="separate"/>
      </w:r>
      <w:bookmarkStart w:id="1" w:name="company_type"/>
      <w:r w:rsidR="00573090" w:rsidRPr="00BB0D32">
        <w:t>Electric</w:t>
      </w:r>
      <w:bookmarkEnd w:id="1"/>
      <w:r w:rsidR="0052339D" w:rsidRPr="00BB0D32">
        <w:fldChar w:fldCharType="end"/>
      </w:r>
    </w:p>
    <w:p w14:paraId="5578F280" w14:textId="77777777" w:rsidR="0070065F" w:rsidRDefault="0070065F" w:rsidP="004C7BFD">
      <w:pPr>
        <w:pStyle w:val="Heading2"/>
        <w:spacing w:line="320" w:lineRule="exact"/>
        <w:rPr>
          <w:b/>
          <w:bCs/>
          <w:u w:val="none"/>
        </w:rPr>
      </w:pPr>
    </w:p>
    <w:p w14:paraId="7B6EF750" w14:textId="77777777" w:rsidR="00B47E45" w:rsidRPr="00BB0D32" w:rsidRDefault="00B47E45" w:rsidP="004C7BFD">
      <w:pPr>
        <w:pStyle w:val="Heading2"/>
        <w:spacing w:line="320" w:lineRule="exact"/>
        <w:rPr>
          <w:b/>
          <w:bCs/>
          <w:u w:val="none"/>
        </w:rPr>
      </w:pPr>
      <w:r w:rsidRPr="00BB0D32">
        <w:rPr>
          <w:b/>
          <w:bCs/>
          <w:u w:val="none"/>
        </w:rPr>
        <w:t>BACKGROUND</w:t>
      </w:r>
    </w:p>
    <w:p w14:paraId="7B6EF751" w14:textId="77777777" w:rsidR="0052339D" w:rsidRPr="00BB0D32" w:rsidRDefault="0052339D" w:rsidP="004C7BFD">
      <w:pPr>
        <w:spacing w:line="320" w:lineRule="exact"/>
      </w:pPr>
      <w:r w:rsidRPr="00BB0D32">
        <w:fldChar w:fldCharType="begin"/>
      </w:r>
      <w:r w:rsidRPr="00BB0D32">
        <w:instrText xml:space="preserve"> ASK num_revisions "Does this filing affect more than one tariff sheet? (</w:instrText>
      </w:r>
      <w:r w:rsidR="00CF296D" w:rsidRPr="00BB0D32">
        <w:instrText>Y</w:instrText>
      </w:r>
      <w:r w:rsidRPr="00BB0D32">
        <w:instrText>es/</w:instrText>
      </w:r>
      <w:r w:rsidR="00CF296D" w:rsidRPr="00BB0D32">
        <w:instrText>N</w:instrText>
      </w:r>
      <w:r w:rsidRPr="00BB0D32">
        <w:instrText>o)" \* MERGEFORMAT</w:instrText>
      </w:r>
      <w:r w:rsidR="00CF296D" w:rsidRPr="00BB0D32">
        <w:instrText xml:space="preserve"> \* Firstcap</w:instrText>
      </w:r>
      <w:r w:rsidRPr="00BB0D32">
        <w:instrText xml:space="preserve"> </w:instrText>
      </w:r>
      <w:r w:rsidRPr="00BB0D32">
        <w:fldChar w:fldCharType="separate"/>
      </w:r>
      <w:bookmarkStart w:id="2" w:name="num_revisions"/>
      <w:r w:rsidR="00573090" w:rsidRPr="00BB0D32">
        <w:t>Yes</w:t>
      </w:r>
      <w:bookmarkEnd w:id="2"/>
      <w:r w:rsidRPr="00BB0D32">
        <w:fldChar w:fldCharType="end"/>
      </w:r>
    </w:p>
    <w:p w14:paraId="7B6EF752" w14:textId="11B0C400" w:rsidR="00DB184F" w:rsidRPr="00BB0D32" w:rsidRDefault="00B47E45" w:rsidP="00DB184F">
      <w:pPr>
        <w:numPr>
          <w:ilvl w:val="0"/>
          <w:numId w:val="14"/>
        </w:numPr>
        <w:spacing w:line="320" w:lineRule="exact"/>
      </w:pPr>
      <w:r w:rsidRPr="00BB0D32">
        <w:t>On</w:t>
      </w:r>
      <w:r w:rsidR="00F86017" w:rsidRPr="00BB0D32">
        <w:t xml:space="preserve"> May 1</w:t>
      </w:r>
      <w:r w:rsidR="00EF1BD3" w:rsidRPr="00BB0D32">
        <w:t>3</w:t>
      </w:r>
      <w:r w:rsidR="00781C20">
        <w:t>, 2014, Avista Corporation, db</w:t>
      </w:r>
      <w:r w:rsidR="00F86017" w:rsidRPr="00BB0D32">
        <w:t xml:space="preserve">a Avista Utilities (Avista or Company) </w:t>
      </w:r>
      <w:r w:rsidR="0048003B" w:rsidRPr="00BB0D32">
        <w:t>filed with the</w:t>
      </w:r>
      <w:r w:rsidR="000534E8" w:rsidRPr="00BB0D32">
        <w:t xml:space="preserve"> Washington Utilities and Transportation Commission (</w:t>
      </w:r>
      <w:r w:rsidRPr="00BB0D32">
        <w:t>Commission</w:t>
      </w:r>
      <w:r w:rsidR="000534E8" w:rsidRPr="00BB0D32">
        <w:t xml:space="preserve">) </w:t>
      </w:r>
      <w:r w:rsidR="00F86017" w:rsidRPr="00BB0D32">
        <w:t xml:space="preserve">a petition requesting that the Commission issue an order approving a proposed Service Territory Agreement </w:t>
      </w:r>
      <w:r w:rsidR="009C6474" w:rsidRPr="00BB0D32">
        <w:t xml:space="preserve">(Agreement) between the Company and Inland Power and Light Company (IPL).  Avista is a utility that provides service to approximately 360,000 electric customers and 226,000 natural gas customers in eastern Washington and northern Idaho.  The largest community the Company serves is Spokane, Washington.  IPL is an electric cooperative serving approximately 39,000 customers in eastern Washington, </w:t>
      </w:r>
      <w:r w:rsidR="00DB184F" w:rsidRPr="00BB0D32">
        <w:t>including areas around Spokane.</w:t>
      </w:r>
    </w:p>
    <w:p w14:paraId="7B6EF753" w14:textId="77777777" w:rsidR="00EF1BD3" w:rsidRDefault="00EF1BD3" w:rsidP="00EF1BD3">
      <w:pPr>
        <w:spacing w:line="320" w:lineRule="exact"/>
      </w:pPr>
    </w:p>
    <w:p w14:paraId="7B6EF754" w14:textId="77777777" w:rsidR="00EF1BD3" w:rsidRDefault="00EF1BD3" w:rsidP="00DB184F">
      <w:pPr>
        <w:numPr>
          <w:ilvl w:val="0"/>
          <w:numId w:val="14"/>
        </w:numPr>
        <w:spacing w:line="320" w:lineRule="exact"/>
      </w:pPr>
      <w:r>
        <w:t xml:space="preserve">On May 19, 2014, the Company filed electronic GIS shape files of the map included as </w:t>
      </w:r>
      <w:r w:rsidR="00E30B08">
        <w:t>Exhibit</w:t>
      </w:r>
      <w:r>
        <w:t xml:space="preserve"> A to the Agreement. </w:t>
      </w:r>
    </w:p>
    <w:p w14:paraId="7B6EF755" w14:textId="77777777" w:rsidR="00DB184F" w:rsidRDefault="00DB184F" w:rsidP="00DB184F">
      <w:pPr>
        <w:spacing w:line="320" w:lineRule="exact"/>
      </w:pPr>
    </w:p>
    <w:p w14:paraId="7B6EF756" w14:textId="533A679B" w:rsidR="00E30B08" w:rsidRDefault="00E30B08" w:rsidP="00E30B08">
      <w:pPr>
        <w:numPr>
          <w:ilvl w:val="0"/>
          <w:numId w:val="14"/>
        </w:numPr>
        <w:spacing w:line="320" w:lineRule="exact"/>
      </w:pPr>
      <w:r>
        <w:t>The Commission approved previous service territory agreements between Avista and IPL on November 21, 1973</w:t>
      </w:r>
      <w:r w:rsidR="00B642E7">
        <w:t>,</w:t>
      </w:r>
      <w:r>
        <w:t xml:space="preserve"> and October 9, 1998.  The term of the 1998 agreement was fifteen years and the term shall continue unless terminated by either Party.</w:t>
      </w:r>
      <w:r w:rsidR="003B267C">
        <w:rPr>
          <w:rStyle w:val="FootnoteReference"/>
        </w:rPr>
        <w:footnoteReference w:id="1"/>
      </w:r>
      <w:r>
        <w:t xml:space="preserve">  On April 25, 2014, Avista and IPL (Parties) signed a new Agreement as attached to this petition.  The new Agreement builds upon the prior two agreements.  It modified language in some sections to add clarity.    </w:t>
      </w:r>
    </w:p>
    <w:p w14:paraId="7B6EF757" w14:textId="460CF04A" w:rsidR="0086449F" w:rsidRDefault="0086449F">
      <w:r>
        <w:br w:type="page"/>
      </w:r>
    </w:p>
    <w:p w14:paraId="7B6EF758" w14:textId="77777777" w:rsidR="001620FA" w:rsidRPr="00881CEF" w:rsidRDefault="001620FA" w:rsidP="001620FA">
      <w:pPr>
        <w:numPr>
          <w:ilvl w:val="0"/>
          <w:numId w:val="14"/>
        </w:numPr>
        <w:spacing w:line="320" w:lineRule="exact"/>
      </w:pPr>
      <w:r w:rsidRPr="00881CEF">
        <w:lastRenderedPageBreak/>
        <w:t>The Agreement contains the following main provisions:</w:t>
      </w:r>
    </w:p>
    <w:p w14:paraId="7B6EF759" w14:textId="77777777" w:rsidR="001620FA" w:rsidRPr="00881CEF" w:rsidRDefault="001620FA" w:rsidP="001620FA">
      <w:pPr>
        <w:pStyle w:val="ListParagraph"/>
      </w:pPr>
    </w:p>
    <w:p w14:paraId="7B6EF75A" w14:textId="2B0C4106" w:rsidR="00573E6E" w:rsidRPr="00881CEF" w:rsidRDefault="00573E6E" w:rsidP="00193E3D">
      <w:pPr>
        <w:pStyle w:val="ListParagraph"/>
        <w:numPr>
          <w:ilvl w:val="0"/>
          <w:numId w:val="23"/>
        </w:numPr>
        <w:spacing w:line="320" w:lineRule="exact"/>
        <w:ind w:left="360"/>
      </w:pPr>
      <w:r w:rsidRPr="00881CEF">
        <w:t xml:space="preserve">Services to Existing Customers: </w:t>
      </w:r>
      <w:r w:rsidR="00881CEF" w:rsidRPr="00881CEF">
        <w:t xml:space="preserve"> </w:t>
      </w:r>
      <w:r w:rsidRPr="00881CEF">
        <w:t xml:space="preserve">Neither </w:t>
      </w:r>
      <w:r w:rsidR="00BB0D32">
        <w:t>Party</w:t>
      </w:r>
      <w:r w:rsidRPr="00881CEF">
        <w:t xml:space="preserve"> will extend its electric service facilities to</w:t>
      </w:r>
      <w:r w:rsidR="00B92FE6">
        <w:t>,</w:t>
      </w:r>
      <w:r w:rsidRPr="00881CEF">
        <w:t xml:space="preserve"> or solicit electric service from</w:t>
      </w:r>
      <w:r w:rsidR="00B92FE6">
        <w:t>,</w:t>
      </w:r>
      <w:r w:rsidRPr="00881CEF">
        <w:t xml:space="preserve"> a customer that is currently being </w:t>
      </w:r>
      <w:r w:rsidR="00E30B08">
        <w:t>served</w:t>
      </w:r>
      <w:r w:rsidRPr="00881CEF">
        <w:t xml:space="preserve"> by the other </w:t>
      </w:r>
      <w:r w:rsidR="00BB0D32">
        <w:t>Party</w:t>
      </w:r>
      <w:r w:rsidRPr="00881CEF">
        <w:t xml:space="preserve">.  Neither </w:t>
      </w:r>
      <w:r w:rsidR="00BB0D32">
        <w:t>Party</w:t>
      </w:r>
      <w:r w:rsidRPr="00881CEF">
        <w:t xml:space="preserve"> will extend its electric service facilities to provide</w:t>
      </w:r>
      <w:r w:rsidR="00A8362D">
        <w:t xml:space="preserve"> </w:t>
      </w:r>
      <w:r w:rsidRPr="00881CEF">
        <w:t xml:space="preserve">service to a location where the electric service is not currently connected but was served within the previous two years by the other </w:t>
      </w:r>
      <w:r w:rsidR="00BB0D32">
        <w:t>Party</w:t>
      </w:r>
      <w:r w:rsidRPr="00881CEF">
        <w:t xml:space="preserve">. </w:t>
      </w:r>
    </w:p>
    <w:p w14:paraId="7B6EF75B" w14:textId="77777777" w:rsidR="00573E6E" w:rsidRPr="00881CEF" w:rsidRDefault="00573E6E" w:rsidP="00573E6E">
      <w:pPr>
        <w:pStyle w:val="ListParagraph"/>
        <w:spacing w:line="320" w:lineRule="exact"/>
        <w:ind w:left="360"/>
      </w:pPr>
    </w:p>
    <w:p w14:paraId="7B6EF75C" w14:textId="77777777" w:rsidR="001620FA" w:rsidRPr="00881CEF" w:rsidRDefault="00573E6E" w:rsidP="00573E6E">
      <w:pPr>
        <w:pStyle w:val="ListParagraph"/>
        <w:numPr>
          <w:ilvl w:val="0"/>
          <w:numId w:val="23"/>
        </w:numPr>
        <w:spacing w:line="320" w:lineRule="exact"/>
        <w:ind w:left="360"/>
      </w:pPr>
      <w:r w:rsidRPr="00881CEF">
        <w:t xml:space="preserve">Services to Expansions of Existing Customers: </w:t>
      </w:r>
      <w:r w:rsidR="00881CEF" w:rsidRPr="00881CEF">
        <w:t xml:space="preserve"> </w:t>
      </w:r>
      <w:r w:rsidRPr="00881CEF">
        <w:t xml:space="preserve">The </w:t>
      </w:r>
      <w:r w:rsidR="00BB0D32">
        <w:t>Party</w:t>
      </w:r>
      <w:r w:rsidRPr="00881CEF">
        <w:t xml:space="preserve"> providing service to a customer at a particular location will provide service to any expansion at that location for a contiguous facility or on contiguous property and not crossing any roads.  The </w:t>
      </w:r>
      <w:r w:rsidR="00BB0D32">
        <w:t>Party</w:t>
      </w:r>
      <w:r w:rsidRPr="00881CEF">
        <w:t xml:space="preserve"> providing service to a Development will serve Expansions to the Development, regardless of service territory boundaries, if the Expansion is part of the developer’s original approved plat at the time the Development </w:t>
      </w:r>
      <w:r w:rsidR="00E30B08">
        <w:t>started.  This does not include</w:t>
      </w:r>
      <w:r w:rsidRPr="00881CEF">
        <w:t xml:space="preserve"> any revised plats that expand the area covered by the original plat. </w:t>
      </w:r>
    </w:p>
    <w:p w14:paraId="7B6EF75D" w14:textId="77777777" w:rsidR="00573E6E" w:rsidRPr="00881CEF" w:rsidRDefault="00573E6E" w:rsidP="00573E6E">
      <w:pPr>
        <w:spacing w:line="320" w:lineRule="exact"/>
      </w:pPr>
    </w:p>
    <w:p w14:paraId="7B6EF75E" w14:textId="58F3853F" w:rsidR="001620FA" w:rsidRPr="00881CEF" w:rsidRDefault="00881CEF" w:rsidP="001620FA">
      <w:pPr>
        <w:pStyle w:val="ListParagraph"/>
        <w:numPr>
          <w:ilvl w:val="0"/>
          <w:numId w:val="23"/>
        </w:numPr>
        <w:spacing w:line="320" w:lineRule="exact"/>
        <w:ind w:left="360"/>
      </w:pPr>
      <w:r w:rsidRPr="00881CEF">
        <w:t xml:space="preserve">Services </w:t>
      </w:r>
      <w:r w:rsidR="0086449F" w:rsidRPr="00881CEF">
        <w:t>within</w:t>
      </w:r>
      <w:r w:rsidRPr="00881CEF">
        <w:t xml:space="preserve"> Assigned Areas:  Neither </w:t>
      </w:r>
      <w:r w:rsidR="00BB0D32">
        <w:t>Party</w:t>
      </w:r>
      <w:r w:rsidRPr="00881CEF">
        <w:t xml:space="preserve"> will extend its electric facilities to serve a customer within the other </w:t>
      </w:r>
      <w:r w:rsidR="00BB0D32">
        <w:t>Party</w:t>
      </w:r>
      <w:r w:rsidRPr="00881CEF">
        <w:t xml:space="preserve">’s assigned area unless such exception is </w:t>
      </w:r>
      <w:r w:rsidR="00BB0D32" w:rsidRPr="00881CEF">
        <w:t>mutually</w:t>
      </w:r>
      <w:r w:rsidRPr="00881CEF">
        <w:t xml:space="preserve"> agreed upon in writing.  Assigned areas are specified in the color coded map contained in Exhibit A of the Agreement.  Any changes or modifications to the map must be </w:t>
      </w:r>
      <w:r w:rsidR="00654E0F" w:rsidRPr="00881CEF">
        <w:t>agreed upon</w:t>
      </w:r>
      <w:r w:rsidRPr="00881CEF">
        <w:t xml:space="preserve"> in writing by authorized representatives of each </w:t>
      </w:r>
      <w:r w:rsidR="00BB0D32">
        <w:t>Party</w:t>
      </w:r>
      <w:r w:rsidRPr="00881CEF">
        <w:t xml:space="preserve"> and incorporated into the Agreement as an amendment. </w:t>
      </w:r>
    </w:p>
    <w:p w14:paraId="7B6EF75F" w14:textId="77777777" w:rsidR="00881CEF" w:rsidRPr="00881CEF" w:rsidRDefault="00881CEF" w:rsidP="00881CEF">
      <w:pPr>
        <w:pStyle w:val="ListParagraph"/>
      </w:pPr>
    </w:p>
    <w:p w14:paraId="7B6EF760" w14:textId="77777777" w:rsidR="00881CEF" w:rsidRPr="00881CEF" w:rsidRDefault="00881CEF" w:rsidP="001620FA">
      <w:pPr>
        <w:pStyle w:val="ListParagraph"/>
        <w:numPr>
          <w:ilvl w:val="0"/>
          <w:numId w:val="23"/>
        </w:numPr>
        <w:spacing w:line="320" w:lineRule="exact"/>
        <w:ind w:left="360"/>
      </w:pPr>
      <w:r w:rsidRPr="00881CEF">
        <w:t xml:space="preserve">Services to New Customers in Unassigned Areas:  </w:t>
      </w:r>
    </w:p>
    <w:p w14:paraId="7B6EF761" w14:textId="77777777" w:rsidR="00881CEF" w:rsidRPr="00881CEF" w:rsidRDefault="00881CEF" w:rsidP="00881CEF">
      <w:pPr>
        <w:pStyle w:val="ListParagraph"/>
      </w:pPr>
    </w:p>
    <w:p w14:paraId="7B6EF762" w14:textId="185386A7" w:rsidR="00881CEF" w:rsidRPr="00881CEF" w:rsidRDefault="00881CEF" w:rsidP="00881CEF">
      <w:pPr>
        <w:pStyle w:val="ListParagraph"/>
        <w:numPr>
          <w:ilvl w:val="2"/>
          <w:numId w:val="23"/>
        </w:numPr>
        <w:spacing w:line="320" w:lineRule="exact"/>
      </w:pPr>
      <w:r w:rsidRPr="00881CEF">
        <w:t xml:space="preserve">If one </w:t>
      </w:r>
      <w:r w:rsidR="00BB0D32">
        <w:t>Party</w:t>
      </w:r>
      <w:r w:rsidRPr="00881CEF">
        <w:t xml:space="preserve"> has existing electric facilities located within one quarter mile of the metering point of a new customer and the other </w:t>
      </w:r>
      <w:r w:rsidR="00BB0D32">
        <w:t>Party</w:t>
      </w:r>
      <w:r w:rsidRPr="00881CEF">
        <w:t xml:space="preserve"> does not, then the </w:t>
      </w:r>
      <w:r w:rsidR="00B92FE6">
        <w:t>closer</w:t>
      </w:r>
      <w:r w:rsidR="00B92FE6" w:rsidRPr="00881CEF">
        <w:t xml:space="preserve"> </w:t>
      </w:r>
      <w:r w:rsidR="00BB0D32">
        <w:t>Party</w:t>
      </w:r>
      <w:r w:rsidRPr="00881CEF">
        <w:t xml:space="preserve"> shall</w:t>
      </w:r>
      <w:r w:rsidR="00B92FE6">
        <w:t xml:space="preserve"> provide</w:t>
      </w:r>
      <w:r w:rsidRPr="00881CEF">
        <w:t xml:space="preserve"> service</w:t>
      </w:r>
      <w:r w:rsidR="00A50E35">
        <w:t>.</w:t>
      </w:r>
    </w:p>
    <w:p w14:paraId="7B6EF763" w14:textId="3A5822D5" w:rsidR="00881CEF" w:rsidRPr="00881CEF" w:rsidRDefault="00881CEF" w:rsidP="00881CEF">
      <w:pPr>
        <w:pStyle w:val="ListParagraph"/>
        <w:numPr>
          <w:ilvl w:val="2"/>
          <w:numId w:val="23"/>
        </w:numPr>
        <w:spacing w:line="320" w:lineRule="exact"/>
      </w:pPr>
      <w:r w:rsidRPr="00881CEF">
        <w:t xml:space="preserve">If both </w:t>
      </w:r>
      <w:r w:rsidR="00BB0D32">
        <w:t>Parties</w:t>
      </w:r>
      <w:r w:rsidRPr="00881CEF">
        <w:t xml:space="preserve"> have existing electric facilities located within one quarter mile of the metering point, and the difference between the measured </w:t>
      </w:r>
      <w:r w:rsidR="00A8362D" w:rsidRPr="00881CEF">
        <w:t>distances</w:t>
      </w:r>
      <w:r w:rsidRPr="00881CEF">
        <w:t xml:space="preserve"> from each </w:t>
      </w:r>
      <w:r w:rsidR="00BB0D32">
        <w:t>Party</w:t>
      </w:r>
      <w:r w:rsidRPr="00881CEF">
        <w:t xml:space="preserve"> is 20 feet or less, the customer may choose the serving </w:t>
      </w:r>
      <w:r w:rsidR="00E30B08">
        <w:t>p</w:t>
      </w:r>
      <w:r w:rsidR="00BB0D32">
        <w:t>arty</w:t>
      </w:r>
      <w:r w:rsidRPr="00881CEF">
        <w:t>.</w:t>
      </w:r>
    </w:p>
    <w:p w14:paraId="7B6EF764" w14:textId="77777777" w:rsidR="00881CEF" w:rsidRPr="00881CEF" w:rsidRDefault="00881CEF" w:rsidP="00881CEF">
      <w:pPr>
        <w:pStyle w:val="ListParagraph"/>
        <w:numPr>
          <w:ilvl w:val="2"/>
          <w:numId w:val="23"/>
        </w:numPr>
        <w:spacing w:line="320" w:lineRule="exact"/>
      </w:pPr>
      <w:r w:rsidRPr="00881CEF">
        <w:t xml:space="preserve">If neither </w:t>
      </w:r>
      <w:r w:rsidR="00BB0D32">
        <w:t>Party</w:t>
      </w:r>
      <w:r w:rsidRPr="00881CEF">
        <w:t xml:space="preserve"> has existing electric facilities located within one quarter mile of the metering point, the customer may choose the serving </w:t>
      </w:r>
      <w:r w:rsidR="00E30B08">
        <w:t>p</w:t>
      </w:r>
      <w:r w:rsidR="00BB0D32">
        <w:t>arty</w:t>
      </w:r>
      <w:r w:rsidRPr="00881CEF">
        <w:t>.</w:t>
      </w:r>
    </w:p>
    <w:p w14:paraId="7B6EF765" w14:textId="77777777" w:rsidR="00364C52" w:rsidRPr="00881CEF" w:rsidRDefault="00881CEF" w:rsidP="00364C52">
      <w:pPr>
        <w:pStyle w:val="ListParagraph"/>
        <w:numPr>
          <w:ilvl w:val="2"/>
          <w:numId w:val="23"/>
        </w:numPr>
        <w:spacing w:line="320" w:lineRule="exact"/>
      </w:pPr>
      <w:r w:rsidRPr="00881CEF">
        <w:t xml:space="preserve">If a new customer’s load is an Industrial Load, the customer may choose the serving </w:t>
      </w:r>
      <w:r w:rsidR="00E30B08">
        <w:t>p</w:t>
      </w:r>
      <w:r w:rsidR="00BB0D32">
        <w:t>arty</w:t>
      </w:r>
      <w:r w:rsidRPr="00881CEF">
        <w:t xml:space="preserve"> regardless of the distances. </w:t>
      </w:r>
    </w:p>
    <w:p w14:paraId="7B6EF766" w14:textId="77777777" w:rsidR="001620FA" w:rsidRPr="001620FA" w:rsidRDefault="001620FA" w:rsidP="001620FA">
      <w:pPr>
        <w:pStyle w:val="ListParagraph"/>
        <w:rPr>
          <w:highlight w:val="yellow"/>
        </w:rPr>
      </w:pPr>
    </w:p>
    <w:p w14:paraId="7B6EF767" w14:textId="77777777" w:rsidR="00654E0F" w:rsidRDefault="00364C52" w:rsidP="001620FA">
      <w:pPr>
        <w:pStyle w:val="ListParagraph"/>
        <w:numPr>
          <w:ilvl w:val="0"/>
          <w:numId w:val="23"/>
        </w:numPr>
        <w:spacing w:line="320" w:lineRule="exact"/>
        <w:ind w:left="360"/>
      </w:pPr>
      <w:r>
        <w:lastRenderedPageBreak/>
        <w:t xml:space="preserve">Rules Regarding Distance Measurement for </w:t>
      </w:r>
      <w:r w:rsidR="00654E0F">
        <w:t xml:space="preserve">Customers in Unassigned Areas: </w:t>
      </w:r>
    </w:p>
    <w:p w14:paraId="7B6EF768" w14:textId="77777777" w:rsidR="00D634C5" w:rsidRDefault="00D634C5" w:rsidP="00D634C5">
      <w:pPr>
        <w:pStyle w:val="ListParagraph"/>
        <w:spacing w:line="320" w:lineRule="exact"/>
        <w:ind w:left="360"/>
      </w:pPr>
    </w:p>
    <w:p w14:paraId="7B6EF769" w14:textId="77777777" w:rsidR="00654E0F" w:rsidRDefault="00364C52" w:rsidP="00654E0F">
      <w:pPr>
        <w:pStyle w:val="ListParagraph"/>
        <w:numPr>
          <w:ilvl w:val="2"/>
          <w:numId w:val="23"/>
        </w:numPr>
        <w:spacing w:line="320" w:lineRule="exact"/>
      </w:pPr>
      <w:r>
        <w:t xml:space="preserve">Distance measurements will be made from the takeoff point of the existing electric facilities along the proposed route of construction to the permanent metering point of delivery to the first customer.  Both </w:t>
      </w:r>
      <w:r w:rsidR="00BB0D32">
        <w:t>Parties</w:t>
      </w:r>
      <w:r>
        <w:t xml:space="preserve"> agree to make reasonable efforts to ensure that the actual route does not deviate materially from the proposed route.  </w:t>
      </w:r>
    </w:p>
    <w:p w14:paraId="7B6EF76A" w14:textId="455C000D" w:rsidR="00364C52" w:rsidRDefault="00364C52" w:rsidP="00654E0F">
      <w:pPr>
        <w:pStyle w:val="ListParagraph"/>
        <w:numPr>
          <w:ilvl w:val="2"/>
          <w:numId w:val="23"/>
        </w:numPr>
        <w:spacing w:line="320" w:lineRule="exact"/>
      </w:pPr>
      <w:r>
        <w:t xml:space="preserve">The following lines may not be used as a starting point for distance measurements until seven years after construction: </w:t>
      </w:r>
      <w:r w:rsidR="00781C20">
        <w:t xml:space="preserve"> </w:t>
      </w:r>
      <w:r>
        <w:t xml:space="preserve">Tie-lines; prebuilt lines that are not requested in writing by a customer; or dedicated lines that are in place to serve either </w:t>
      </w:r>
      <w:r w:rsidR="00BB0D32">
        <w:t>Party</w:t>
      </w:r>
      <w:r>
        <w:t xml:space="preserve">’s own office or warehouse facilities and built after the effective date of this </w:t>
      </w:r>
      <w:r w:rsidR="00BB0D32">
        <w:t>Agreement</w:t>
      </w:r>
      <w:r>
        <w:t>.</w:t>
      </w:r>
    </w:p>
    <w:p w14:paraId="7B6EF76B" w14:textId="77777777" w:rsidR="00654E0F" w:rsidRDefault="00654E0F" w:rsidP="00654E0F">
      <w:pPr>
        <w:pStyle w:val="ListParagraph"/>
        <w:numPr>
          <w:ilvl w:val="2"/>
          <w:numId w:val="23"/>
        </w:numPr>
        <w:spacing w:line="320" w:lineRule="exact"/>
      </w:pPr>
      <w:r>
        <w:t xml:space="preserve">In no cases will lines that are built to serve insignificant loads such as security lights or lighted signs be used as a starting point for measurement, regardless of when constructed. </w:t>
      </w:r>
    </w:p>
    <w:p w14:paraId="7B6EF76C" w14:textId="77777777" w:rsidR="00364C52" w:rsidRDefault="00364C52" w:rsidP="00364C52">
      <w:pPr>
        <w:pStyle w:val="ListParagraph"/>
        <w:spacing w:line="320" w:lineRule="exact"/>
        <w:ind w:left="360"/>
      </w:pPr>
    </w:p>
    <w:p w14:paraId="7B6EF76D" w14:textId="77777777" w:rsidR="00364C52" w:rsidRPr="00364C52" w:rsidRDefault="00364C52" w:rsidP="001620FA">
      <w:pPr>
        <w:pStyle w:val="ListParagraph"/>
        <w:numPr>
          <w:ilvl w:val="0"/>
          <w:numId w:val="23"/>
        </w:numPr>
        <w:spacing w:line="320" w:lineRule="exact"/>
        <w:ind w:left="360"/>
      </w:pPr>
      <w:r w:rsidRPr="00364C52">
        <w:t xml:space="preserve">Excluded Areas and Customers:  The </w:t>
      </w:r>
      <w:r w:rsidR="00BB0D32">
        <w:t>Parties</w:t>
      </w:r>
      <w:r w:rsidRPr="00364C52">
        <w:t xml:space="preserve"> agree that Fairchild Air Force Base and </w:t>
      </w:r>
      <w:proofErr w:type="spellStart"/>
      <w:r w:rsidRPr="00364C52">
        <w:t>Westbow</w:t>
      </w:r>
      <w:proofErr w:type="spellEnd"/>
      <w:r w:rsidRPr="00364C52">
        <w:t xml:space="preserve"> Area are open for competition.  The Agreement does not apply to offices or warehouses owned by either </w:t>
      </w:r>
      <w:r w:rsidR="00BB0D32">
        <w:t>Party</w:t>
      </w:r>
      <w:r w:rsidRPr="00364C52">
        <w:t xml:space="preserve">. </w:t>
      </w:r>
    </w:p>
    <w:p w14:paraId="7B6EF76E" w14:textId="77777777" w:rsidR="00364C52" w:rsidRPr="00364C52" w:rsidRDefault="00364C52" w:rsidP="00364C52">
      <w:pPr>
        <w:pStyle w:val="ListParagraph"/>
        <w:spacing w:line="320" w:lineRule="exact"/>
        <w:ind w:left="360"/>
      </w:pPr>
    </w:p>
    <w:p w14:paraId="7B6EF76F" w14:textId="77777777" w:rsidR="001620FA" w:rsidRPr="00364C52" w:rsidRDefault="001620FA" w:rsidP="001620FA">
      <w:pPr>
        <w:pStyle w:val="ListParagraph"/>
        <w:numPr>
          <w:ilvl w:val="0"/>
          <w:numId w:val="23"/>
        </w:numPr>
        <w:spacing w:line="320" w:lineRule="exact"/>
        <w:ind w:left="360"/>
      </w:pPr>
      <w:r w:rsidRPr="00364C52">
        <w:t xml:space="preserve">The Agreement provides assistance by the Commission in dispute resolution, including disputes involving customers. </w:t>
      </w:r>
    </w:p>
    <w:p w14:paraId="7B6EF770" w14:textId="77777777" w:rsidR="001620FA" w:rsidRPr="001620FA" w:rsidRDefault="001620FA" w:rsidP="001620FA">
      <w:pPr>
        <w:pStyle w:val="ListParagraph"/>
        <w:rPr>
          <w:highlight w:val="yellow"/>
        </w:rPr>
      </w:pPr>
    </w:p>
    <w:p w14:paraId="7B6EF771" w14:textId="77777777" w:rsidR="001620FA" w:rsidRDefault="001620FA" w:rsidP="001620FA">
      <w:pPr>
        <w:numPr>
          <w:ilvl w:val="0"/>
          <w:numId w:val="14"/>
        </w:numPr>
        <w:spacing w:line="320" w:lineRule="exact"/>
      </w:pPr>
      <w:r w:rsidRPr="0096126B">
        <w:t xml:space="preserve">There are </w:t>
      </w:r>
      <w:r w:rsidR="00364C52">
        <w:t>minor</w:t>
      </w:r>
      <w:r w:rsidRPr="0096126B">
        <w:t xml:space="preserve"> revisions to the service te</w:t>
      </w:r>
      <w:r>
        <w:t xml:space="preserve">rritory map.  A few additional geographic areas have been designated to each utility for service to new customers. </w:t>
      </w:r>
    </w:p>
    <w:p w14:paraId="7B6EF772" w14:textId="77777777" w:rsidR="001620FA" w:rsidRDefault="001620FA" w:rsidP="001620FA">
      <w:pPr>
        <w:spacing w:line="320" w:lineRule="exact"/>
      </w:pPr>
    </w:p>
    <w:p w14:paraId="7B6EF773" w14:textId="77777777" w:rsidR="001620FA" w:rsidRPr="000534E8" w:rsidRDefault="001620FA" w:rsidP="001620FA">
      <w:pPr>
        <w:numPr>
          <w:ilvl w:val="0"/>
          <w:numId w:val="14"/>
        </w:numPr>
        <w:spacing w:line="320" w:lineRule="exact"/>
      </w:pPr>
      <w:r>
        <w:t xml:space="preserve">The Agreement has a primary term of fifteen years.  However, either </w:t>
      </w:r>
      <w:r w:rsidR="00BB0D32">
        <w:t>Party</w:t>
      </w:r>
      <w:r>
        <w:t xml:space="preserve"> can terminate the Agreement after ten years by providing written notice 180 days prior to the desired cancellation date. </w:t>
      </w:r>
    </w:p>
    <w:p w14:paraId="7B6EF774" w14:textId="77777777" w:rsidR="009C6474" w:rsidRDefault="009C6474" w:rsidP="009C6474">
      <w:pPr>
        <w:spacing w:line="320" w:lineRule="exact"/>
      </w:pPr>
    </w:p>
    <w:p w14:paraId="7B6EF775" w14:textId="77777777" w:rsidR="00DB184F" w:rsidRDefault="00DB184F" w:rsidP="00DB184F">
      <w:pPr>
        <w:pStyle w:val="Heading2"/>
        <w:spacing w:line="320" w:lineRule="exact"/>
        <w:ind w:left="-1080" w:firstLine="1080"/>
        <w:rPr>
          <w:bCs/>
          <w:u w:val="none"/>
        </w:rPr>
      </w:pPr>
      <w:r>
        <w:rPr>
          <w:b/>
          <w:bCs/>
          <w:u w:val="none"/>
        </w:rPr>
        <w:t>DISCUSSION</w:t>
      </w:r>
    </w:p>
    <w:p w14:paraId="7B6EF776" w14:textId="77777777" w:rsidR="00753290" w:rsidRPr="00753290" w:rsidRDefault="00753290" w:rsidP="00753290"/>
    <w:p w14:paraId="7B6EF777" w14:textId="77777777" w:rsidR="00B9256A" w:rsidRPr="007A0D98" w:rsidRDefault="001620FA" w:rsidP="00FC41DF">
      <w:pPr>
        <w:pStyle w:val="FindingsConclusions"/>
        <w:rPr>
          <w:color w:val="auto"/>
        </w:rPr>
      </w:pPr>
      <w:r w:rsidRPr="007A0D98">
        <w:rPr>
          <w:color w:val="auto"/>
        </w:rPr>
        <w:t>The Agreement is filed pursuant to RCW 54.48.020 and 54.48.030.  RCW 54.48.020 encourages the service territory agreement between public utilities and cooperatives to avoid facility duplication.  It states</w:t>
      </w:r>
      <w:r w:rsidR="00B9256A" w:rsidRPr="007A0D98">
        <w:rPr>
          <w:color w:val="auto"/>
        </w:rPr>
        <w:t>:</w:t>
      </w:r>
    </w:p>
    <w:p w14:paraId="7B6EF779" w14:textId="77777777" w:rsidR="001620FA" w:rsidRPr="007A0D98" w:rsidRDefault="00B9256A" w:rsidP="00FC41DF">
      <w:pPr>
        <w:pStyle w:val="FindingsConclusions"/>
        <w:numPr>
          <w:ilvl w:val="0"/>
          <w:numId w:val="0"/>
        </w:numPr>
        <w:ind w:left="720"/>
        <w:rPr>
          <w:color w:val="auto"/>
        </w:rPr>
      </w:pPr>
      <w:bookmarkStart w:id="3" w:name="_GoBack"/>
      <w:bookmarkEnd w:id="3"/>
      <w:r w:rsidRPr="007A0D98">
        <w:rPr>
          <w:color w:val="auto"/>
        </w:rPr>
        <w:lastRenderedPageBreak/>
        <w:t>T</w:t>
      </w:r>
      <w:r w:rsidR="001620FA" w:rsidRPr="007A0D98">
        <w:rPr>
          <w:color w:val="auto"/>
        </w:rPr>
        <w:t>he legislature hereby declares that the duplication of the electric lines and service of public utilities and cooperatives is uneconomical, may create unnecessary hazards to the public safety, discourages investment in permanent underground facilities, and is unattractive, and thus is contrary to the public interest and further declares that it is in the public interest for public utilities and cooperatives to enter into agreements for the purpose of avoiding or eliminating such duplication.</w:t>
      </w:r>
    </w:p>
    <w:p w14:paraId="7B6EF77A" w14:textId="77777777" w:rsidR="001620FA" w:rsidRPr="001620FA" w:rsidRDefault="001620FA" w:rsidP="001620FA">
      <w:pPr>
        <w:pStyle w:val="ListParagraph"/>
      </w:pPr>
    </w:p>
    <w:p w14:paraId="7B6EF77B" w14:textId="77777777" w:rsidR="00B9256A" w:rsidRDefault="001620FA" w:rsidP="001620FA">
      <w:pPr>
        <w:numPr>
          <w:ilvl w:val="0"/>
          <w:numId w:val="14"/>
        </w:numPr>
        <w:spacing w:line="320" w:lineRule="exact"/>
      </w:pPr>
      <w:r>
        <w:t>RCW 54.48.030 provides the Commission’s authority to approve service territory agreements.  It states</w:t>
      </w:r>
      <w:r w:rsidR="00B9256A">
        <w:t>:</w:t>
      </w:r>
    </w:p>
    <w:p w14:paraId="7B6EF77C" w14:textId="77777777" w:rsidR="00B9256A" w:rsidRDefault="00B9256A" w:rsidP="00D634C5">
      <w:pPr>
        <w:spacing w:line="320" w:lineRule="exact"/>
      </w:pPr>
    </w:p>
    <w:p w14:paraId="7B6EF77D" w14:textId="757ADA92" w:rsidR="001620FA" w:rsidRDefault="00B9256A" w:rsidP="00D634C5">
      <w:pPr>
        <w:spacing w:line="320" w:lineRule="exact"/>
        <w:ind w:left="720" w:right="720"/>
      </w:pPr>
      <w:r>
        <w:t>[A]</w:t>
      </w:r>
      <w:proofErr w:type="spellStart"/>
      <w:r w:rsidR="001620FA" w:rsidRPr="0060163F">
        <w:t>ny</w:t>
      </w:r>
      <w:proofErr w:type="spellEnd"/>
      <w:r w:rsidR="001620FA" w:rsidRPr="0060163F">
        <w:t xml:space="preserve"> public utility and any cooperative is hereby authorized to enter into agreements with any one or more other public utility or one or more other cooperative for the designation of the boundaries of adjoining service areas which each such public utility or each such cooperative shall observe, for the establishment of procedures for orderly extension of service in adjoining areas not currently served by any such public utility or any such cooperative and for the acquisition or disposal by purchase or sale by any such public utility or any such cooperative of duplicating utility facilities, which agreements shall be for a reasonable period of time not in excess of twenty-five years: </w:t>
      </w:r>
      <w:r w:rsidR="00781C20">
        <w:t xml:space="preserve"> </w:t>
      </w:r>
      <w:r w:rsidR="001620FA" w:rsidRPr="0060163F">
        <w:t>PROVIDED, That the participation in such agreement of any public utility which is an electrical company under RCW 80.04.010, excepting cities and towns, shall be approved by the Washington utilities and transportation commission</w:t>
      </w:r>
      <w:r w:rsidR="001620FA">
        <w:t>.</w:t>
      </w:r>
    </w:p>
    <w:p w14:paraId="7B6EF77E" w14:textId="77777777" w:rsidR="001620FA" w:rsidRDefault="001620FA" w:rsidP="001620FA">
      <w:pPr>
        <w:spacing w:line="320" w:lineRule="exact"/>
      </w:pPr>
    </w:p>
    <w:p w14:paraId="7B6EF77F" w14:textId="2B5D1FCE" w:rsidR="004B793A" w:rsidRDefault="0073627E" w:rsidP="0060163F">
      <w:pPr>
        <w:numPr>
          <w:ilvl w:val="0"/>
          <w:numId w:val="14"/>
        </w:numPr>
        <w:spacing w:line="320" w:lineRule="exact"/>
      </w:pPr>
      <w:proofErr w:type="spellStart"/>
      <w:r>
        <w:t>Avista</w:t>
      </w:r>
      <w:proofErr w:type="spellEnd"/>
      <w:r>
        <w:t xml:space="preserve"> </w:t>
      </w:r>
      <w:r w:rsidR="00212872">
        <w:t>asserts</w:t>
      </w:r>
      <w:r w:rsidR="00B9256A">
        <w:t>,</w:t>
      </w:r>
      <w:r>
        <w:t xml:space="preserve"> and </w:t>
      </w:r>
      <w:r w:rsidR="004B793A">
        <w:t>Commission</w:t>
      </w:r>
      <w:r w:rsidR="00A50E35">
        <w:t>’s regulatory staff</w:t>
      </w:r>
      <w:r w:rsidR="004B793A">
        <w:t xml:space="preserve"> </w:t>
      </w:r>
      <w:r w:rsidR="00A50E35">
        <w:t>(</w:t>
      </w:r>
      <w:r w:rsidR="001620FA">
        <w:t>S</w:t>
      </w:r>
      <w:r w:rsidR="004B793A">
        <w:t>taff</w:t>
      </w:r>
      <w:r w:rsidR="008A1FAC">
        <w:t>)</w:t>
      </w:r>
      <w:r w:rsidR="004B793A">
        <w:t xml:space="preserve"> agrees</w:t>
      </w:r>
      <w:r w:rsidR="00B9256A">
        <w:t>,</w:t>
      </w:r>
      <w:r w:rsidR="004B793A">
        <w:t xml:space="preserve"> that the negotiated Agreement is in the public interest</w:t>
      </w:r>
      <w:r w:rsidR="00B92FE6">
        <w:t xml:space="preserve"> and </w:t>
      </w:r>
      <w:r w:rsidR="004B793A">
        <w:t xml:space="preserve">consistent with RCW 54.48.020.  </w:t>
      </w:r>
      <w:r w:rsidR="00B9256A">
        <w:t>The Agreement</w:t>
      </w:r>
      <w:r w:rsidR="004B793A">
        <w:t xml:space="preserve"> will minimize the potential duplication of facilities between the two utilities to serve new customers, </w:t>
      </w:r>
      <w:r>
        <w:t xml:space="preserve">encourage the installation of permanent facilities and reduce possible hazards to the public safety. </w:t>
      </w:r>
      <w:r w:rsidR="0096126B">
        <w:t xml:space="preserve"> The Agreement will also minimize the potential stranding of electric service facilities presently in place to serve existing customers.</w:t>
      </w:r>
    </w:p>
    <w:p w14:paraId="7B6EF780" w14:textId="77777777" w:rsidR="001620FA" w:rsidRDefault="001620FA" w:rsidP="001620FA">
      <w:pPr>
        <w:pStyle w:val="ListParagraph"/>
      </w:pPr>
    </w:p>
    <w:p w14:paraId="7B6EF781" w14:textId="77777777" w:rsidR="0073627E" w:rsidRPr="00FC41DF" w:rsidRDefault="001620FA" w:rsidP="00FC41DF">
      <w:pPr>
        <w:pStyle w:val="FindingsConclusions"/>
        <w:rPr>
          <w:color w:val="auto"/>
        </w:rPr>
      </w:pPr>
      <w:r w:rsidRPr="00FC41DF">
        <w:rPr>
          <w:color w:val="auto"/>
        </w:rPr>
        <w:t xml:space="preserve">The Commission agrees </w:t>
      </w:r>
      <w:r w:rsidR="00F75122" w:rsidRPr="00FC41DF">
        <w:rPr>
          <w:color w:val="auto"/>
        </w:rPr>
        <w:t xml:space="preserve">with Staff’s analysis that Avista and IPL have entered </w:t>
      </w:r>
      <w:r w:rsidR="00B9256A" w:rsidRPr="00FC41DF">
        <w:rPr>
          <w:color w:val="auto"/>
        </w:rPr>
        <w:t xml:space="preserve">into </w:t>
      </w:r>
      <w:r w:rsidR="00F75122" w:rsidRPr="00FC41DF">
        <w:rPr>
          <w:color w:val="auto"/>
        </w:rPr>
        <w:t>an agreement that meets the policy objectives of the statute.  The Agreement designates a specific service provider in most areas</w:t>
      </w:r>
      <w:r w:rsidR="00014808" w:rsidRPr="00FC41DF">
        <w:rPr>
          <w:color w:val="auto"/>
        </w:rPr>
        <w:t xml:space="preserve">.  For areas where both utilities can reasonably </w:t>
      </w:r>
      <w:r w:rsidR="00014808" w:rsidRPr="00FC41DF">
        <w:rPr>
          <w:color w:val="auto"/>
        </w:rPr>
        <w:lastRenderedPageBreak/>
        <w:t xml:space="preserve">serve new load and new customers, the </w:t>
      </w:r>
      <w:r w:rsidR="00E30B08" w:rsidRPr="00FC41DF">
        <w:rPr>
          <w:color w:val="auto"/>
        </w:rPr>
        <w:t xml:space="preserve">two </w:t>
      </w:r>
      <w:r w:rsidR="00014808" w:rsidRPr="00FC41DF">
        <w:rPr>
          <w:color w:val="auto"/>
        </w:rPr>
        <w:t xml:space="preserve">utilities have established explicit rules that </w:t>
      </w:r>
      <w:r w:rsidR="00F75122" w:rsidRPr="00FC41DF">
        <w:rPr>
          <w:color w:val="auto"/>
        </w:rPr>
        <w:t xml:space="preserve">provides for an orderly extension of service. </w:t>
      </w:r>
      <w:r w:rsidR="00212872" w:rsidRPr="00FC41DF">
        <w:rPr>
          <w:color w:val="auto"/>
        </w:rPr>
        <w:t xml:space="preserve"> </w:t>
      </w:r>
      <w:r w:rsidR="00014808" w:rsidRPr="00FC41DF">
        <w:rPr>
          <w:color w:val="auto"/>
        </w:rPr>
        <w:t>Furthermore, t</w:t>
      </w:r>
      <w:r w:rsidR="00212872" w:rsidRPr="00FC41DF">
        <w:rPr>
          <w:color w:val="auto"/>
        </w:rPr>
        <w:t>he Agreement also recognizes the unique na</w:t>
      </w:r>
      <w:r w:rsidR="00014808" w:rsidRPr="00FC41DF">
        <w:rPr>
          <w:color w:val="auto"/>
        </w:rPr>
        <w:t xml:space="preserve">ture of large customers and allows those large load customers to choose the serving utility. </w:t>
      </w:r>
    </w:p>
    <w:p w14:paraId="7B6EF782" w14:textId="77777777" w:rsidR="0073627E" w:rsidRDefault="0073627E" w:rsidP="004C7BFD">
      <w:pPr>
        <w:pStyle w:val="Header"/>
        <w:tabs>
          <w:tab w:val="clear" w:pos="4320"/>
          <w:tab w:val="clear" w:pos="8640"/>
        </w:tabs>
        <w:spacing w:line="320" w:lineRule="exact"/>
      </w:pPr>
    </w:p>
    <w:p w14:paraId="7B6EF783" w14:textId="77777777" w:rsidR="00B47E45" w:rsidRPr="000534E8" w:rsidRDefault="00B47E45" w:rsidP="004C7BFD">
      <w:pPr>
        <w:pStyle w:val="Heading2"/>
        <w:spacing w:line="320" w:lineRule="exact"/>
        <w:ind w:left="-1080" w:firstLine="1080"/>
        <w:rPr>
          <w:b/>
          <w:bCs/>
          <w:u w:val="none"/>
        </w:rPr>
      </w:pPr>
      <w:r w:rsidRPr="000534E8">
        <w:rPr>
          <w:b/>
          <w:bCs/>
          <w:u w:val="none"/>
        </w:rPr>
        <w:t>FINDINGS AND CONCLUSIONS</w:t>
      </w:r>
    </w:p>
    <w:p w14:paraId="7B6EF784" w14:textId="77777777" w:rsidR="00B47E45" w:rsidRPr="000534E8" w:rsidRDefault="00B47E45" w:rsidP="004C7BFD">
      <w:pPr>
        <w:spacing w:line="320" w:lineRule="exact"/>
        <w:rPr>
          <w:b/>
          <w:bCs/>
        </w:rPr>
      </w:pPr>
    </w:p>
    <w:p w14:paraId="7B6EF785" w14:textId="69BEDE33" w:rsidR="003631A1" w:rsidRPr="00FC41DF" w:rsidRDefault="00FC41DF" w:rsidP="00FC41DF">
      <w:pPr>
        <w:pStyle w:val="FindingsConclusions"/>
        <w:ind w:left="720" w:hanging="1440"/>
        <w:rPr>
          <w:color w:val="auto"/>
        </w:rPr>
      </w:pPr>
      <w:r>
        <w:rPr>
          <w:color w:val="auto"/>
        </w:rPr>
        <w:t>(1)</w:t>
      </w:r>
      <w:r w:rsidR="00B47E45" w:rsidRPr="00FC41DF">
        <w:rPr>
          <w:color w:val="auto"/>
        </w:rPr>
        <w:tab/>
        <w:t xml:space="preserve">The Washington Utilities and Transportation Commission is an agency of the </w:t>
      </w:r>
      <w:r w:rsidR="00204C62" w:rsidRPr="00FC41DF">
        <w:rPr>
          <w:color w:val="auto"/>
        </w:rPr>
        <w:t>S</w:t>
      </w:r>
      <w:r w:rsidR="00B47E45" w:rsidRPr="00FC41DF">
        <w:rPr>
          <w:color w:val="auto"/>
        </w:rPr>
        <w:t xml:space="preserve">tate of Washington vested by statute with the authority to regulate </w:t>
      </w:r>
      <w:r w:rsidR="008E25A5" w:rsidRPr="00FC41DF">
        <w:rPr>
          <w:color w:val="auto"/>
        </w:rPr>
        <w:t xml:space="preserve">the </w:t>
      </w:r>
      <w:r w:rsidR="00B47E45" w:rsidRPr="00FC41DF">
        <w:rPr>
          <w:color w:val="auto"/>
        </w:rPr>
        <w:t xml:space="preserve">rates, rules, regulations, practices, </w:t>
      </w:r>
      <w:r w:rsidR="00B9256A" w:rsidRPr="00FC41DF">
        <w:rPr>
          <w:color w:val="auto"/>
        </w:rPr>
        <w:t xml:space="preserve">and </w:t>
      </w:r>
      <w:r w:rsidR="00B47E45" w:rsidRPr="00FC41DF">
        <w:rPr>
          <w:color w:val="auto"/>
        </w:rPr>
        <w:t>accounts</w:t>
      </w:r>
      <w:r w:rsidR="008E25A5" w:rsidRPr="00FC41DF">
        <w:rPr>
          <w:color w:val="auto"/>
        </w:rPr>
        <w:t xml:space="preserve"> </w:t>
      </w:r>
      <w:r w:rsidR="0043152F" w:rsidRPr="00FC41DF">
        <w:rPr>
          <w:color w:val="auto"/>
        </w:rPr>
        <w:t xml:space="preserve">of </w:t>
      </w:r>
      <w:r w:rsidR="00B47E45" w:rsidRPr="00FC41DF">
        <w:rPr>
          <w:color w:val="auto"/>
        </w:rPr>
        <w:t xml:space="preserve">public service companies, including </w:t>
      </w:r>
      <w:r w:rsidR="00753290" w:rsidRPr="00FC41DF">
        <w:rPr>
          <w:color w:val="auto"/>
        </w:rPr>
        <w:fldChar w:fldCharType="begin"/>
      </w:r>
      <w:r w:rsidR="00753290" w:rsidRPr="00FC41DF">
        <w:rPr>
          <w:color w:val="auto"/>
        </w:rPr>
        <w:instrText xml:space="preserve"> REF company_type \* lower \* MERGEFORMAT </w:instrText>
      </w:r>
      <w:r w:rsidR="00753290" w:rsidRPr="00FC41DF">
        <w:rPr>
          <w:color w:val="auto"/>
        </w:rPr>
        <w:fldChar w:fldCharType="separate"/>
      </w:r>
      <w:r w:rsidR="00CA042D" w:rsidRPr="00CA042D">
        <w:rPr>
          <w:color w:val="auto"/>
        </w:rPr>
        <w:t>electric</w:t>
      </w:r>
      <w:r w:rsidR="00753290" w:rsidRPr="00FC41DF">
        <w:rPr>
          <w:color w:val="auto"/>
        </w:rPr>
        <w:fldChar w:fldCharType="end"/>
      </w:r>
      <w:r w:rsidR="00B47E45" w:rsidRPr="00FC41DF">
        <w:rPr>
          <w:color w:val="auto"/>
        </w:rPr>
        <w:t xml:space="preserve"> companies. </w:t>
      </w:r>
      <w:r w:rsidR="00F75122" w:rsidRPr="00FC41DF">
        <w:rPr>
          <w:color w:val="auto"/>
        </w:rPr>
        <w:t xml:space="preserve"> </w:t>
      </w:r>
    </w:p>
    <w:p w14:paraId="7B6EF786" w14:textId="77777777" w:rsidR="003631A1" w:rsidRPr="00FC41DF" w:rsidRDefault="003631A1" w:rsidP="00FC41DF">
      <w:pPr>
        <w:pStyle w:val="FindingsConclusions"/>
        <w:numPr>
          <w:ilvl w:val="0"/>
          <w:numId w:val="0"/>
        </w:numPr>
        <w:tabs>
          <w:tab w:val="num" w:pos="0"/>
        </w:tabs>
        <w:ind w:left="720" w:hanging="1440"/>
        <w:rPr>
          <w:color w:val="auto"/>
        </w:rPr>
      </w:pPr>
    </w:p>
    <w:p w14:paraId="7B6EF787" w14:textId="5F9DF67A" w:rsidR="003631A1" w:rsidRPr="00FC41DF" w:rsidRDefault="00FC41DF" w:rsidP="00FC41DF">
      <w:pPr>
        <w:pStyle w:val="FindingsConclusions"/>
        <w:ind w:left="720" w:hanging="1440"/>
        <w:rPr>
          <w:color w:val="auto"/>
        </w:rPr>
      </w:pPr>
      <w:r>
        <w:rPr>
          <w:color w:val="auto"/>
        </w:rPr>
        <w:t>(2)</w:t>
      </w:r>
      <w:r w:rsidR="00B47E45" w:rsidRPr="00FC41DF">
        <w:rPr>
          <w:color w:val="auto"/>
        </w:rPr>
        <w:tab/>
      </w:r>
      <w:r w:rsidR="0073627E" w:rsidRPr="00FC41DF">
        <w:rPr>
          <w:color w:val="auto"/>
        </w:rPr>
        <w:t xml:space="preserve">Avista </w:t>
      </w:r>
      <w:r w:rsidR="00B47E45" w:rsidRPr="00FC41DF">
        <w:rPr>
          <w:color w:val="auto"/>
        </w:rPr>
        <w:t>is</w:t>
      </w:r>
      <w:r w:rsidR="0052339D" w:rsidRPr="00FC41DF">
        <w:rPr>
          <w:color w:val="auto"/>
        </w:rPr>
        <w:t xml:space="preserve"> </w:t>
      </w:r>
      <w:r w:rsidR="0073627E" w:rsidRPr="00FC41DF">
        <w:rPr>
          <w:color w:val="auto"/>
        </w:rPr>
        <w:t xml:space="preserve">an electric </w:t>
      </w:r>
      <w:r w:rsidR="00B47E45" w:rsidRPr="00FC41DF">
        <w:rPr>
          <w:color w:val="auto"/>
        </w:rPr>
        <w:t xml:space="preserve">company and a public service company subject to </w:t>
      </w:r>
      <w:r w:rsidR="00BB37FE" w:rsidRPr="00FC41DF">
        <w:rPr>
          <w:color w:val="auto"/>
        </w:rPr>
        <w:t>Commission</w:t>
      </w:r>
      <w:r w:rsidR="00B47E45" w:rsidRPr="00FC41DF">
        <w:rPr>
          <w:color w:val="auto"/>
        </w:rPr>
        <w:t xml:space="preserve"> jurisdiction.</w:t>
      </w:r>
    </w:p>
    <w:p w14:paraId="7B6EF788" w14:textId="77777777" w:rsidR="003631A1" w:rsidRPr="00FC41DF" w:rsidRDefault="003631A1" w:rsidP="00FC41DF">
      <w:pPr>
        <w:pStyle w:val="ListParagraph"/>
        <w:tabs>
          <w:tab w:val="num" w:pos="0"/>
        </w:tabs>
        <w:ind w:hanging="1440"/>
      </w:pPr>
    </w:p>
    <w:p w14:paraId="7B6EF789" w14:textId="57616EF6" w:rsidR="003631A1" w:rsidRPr="00FC41DF" w:rsidRDefault="00F75122" w:rsidP="00FC41DF">
      <w:pPr>
        <w:pStyle w:val="FindingsConclusions"/>
        <w:ind w:left="720" w:hanging="1440"/>
        <w:rPr>
          <w:color w:val="auto"/>
        </w:rPr>
      </w:pPr>
      <w:r w:rsidRPr="00FC41DF">
        <w:rPr>
          <w:color w:val="auto"/>
        </w:rPr>
        <w:t>(3)</w:t>
      </w:r>
      <w:r w:rsidRPr="00FC41DF">
        <w:rPr>
          <w:color w:val="auto"/>
        </w:rPr>
        <w:tab/>
        <w:t xml:space="preserve">On May 13, 2014, Avista filed a petition requesting the Commission enter an order approving a proposed Service Territory Agreement between the Company and IPL. </w:t>
      </w:r>
    </w:p>
    <w:p w14:paraId="7B6EF78A" w14:textId="77777777" w:rsidR="003631A1" w:rsidRPr="00FC41DF" w:rsidRDefault="003631A1" w:rsidP="00FC41DF">
      <w:pPr>
        <w:pStyle w:val="ListParagraph"/>
        <w:tabs>
          <w:tab w:val="num" w:pos="0"/>
        </w:tabs>
        <w:ind w:hanging="1440"/>
      </w:pPr>
    </w:p>
    <w:p w14:paraId="7B6EF78B" w14:textId="77777777" w:rsidR="003631A1" w:rsidRPr="00FC41DF" w:rsidRDefault="00F75122" w:rsidP="00FC41DF">
      <w:pPr>
        <w:pStyle w:val="FindingsConclusions"/>
        <w:ind w:left="720" w:hanging="1440"/>
        <w:rPr>
          <w:color w:val="auto"/>
        </w:rPr>
      </w:pPr>
      <w:r w:rsidRPr="00FC41DF">
        <w:rPr>
          <w:color w:val="auto"/>
        </w:rPr>
        <w:t>(4)</w:t>
      </w:r>
      <w:r w:rsidRPr="00FC41DF">
        <w:rPr>
          <w:color w:val="auto"/>
        </w:rPr>
        <w:tab/>
        <w:t xml:space="preserve">The Service Territory Agreement will minimize the potential uneconomic duplication of facilities, will avoid creating unnecessary hazards to public safety, and will promote the orderly extension of service, thereby promoting the public interest. </w:t>
      </w:r>
    </w:p>
    <w:p w14:paraId="7B6EF78C" w14:textId="77777777" w:rsidR="003631A1" w:rsidRPr="00FC41DF" w:rsidRDefault="003631A1" w:rsidP="00FC41DF">
      <w:pPr>
        <w:pStyle w:val="ListParagraph"/>
        <w:tabs>
          <w:tab w:val="num" w:pos="0"/>
        </w:tabs>
        <w:ind w:hanging="1440"/>
      </w:pPr>
    </w:p>
    <w:p w14:paraId="7B6EF78D" w14:textId="4FEAB958" w:rsidR="00B47E45" w:rsidRPr="00FC41DF" w:rsidRDefault="003631A1" w:rsidP="00FC41DF">
      <w:pPr>
        <w:pStyle w:val="FindingsConclusions"/>
        <w:ind w:left="720" w:hanging="1440"/>
        <w:rPr>
          <w:color w:val="auto"/>
        </w:rPr>
      </w:pPr>
      <w:r w:rsidRPr="00FC41DF">
        <w:rPr>
          <w:color w:val="auto"/>
        </w:rPr>
        <w:t>(</w:t>
      </w:r>
      <w:r w:rsidR="00B9256A" w:rsidRPr="00FC41DF">
        <w:rPr>
          <w:color w:val="auto"/>
        </w:rPr>
        <w:t>5</w:t>
      </w:r>
      <w:r w:rsidRPr="00FC41DF">
        <w:rPr>
          <w:color w:val="auto"/>
        </w:rPr>
        <w:t>)</w:t>
      </w:r>
      <w:r w:rsidRPr="00FC41DF">
        <w:rPr>
          <w:color w:val="auto"/>
        </w:rPr>
        <w:tab/>
      </w:r>
      <w:r w:rsidR="00B47E45" w:rsidRPr="00FC41DF">
        <w:rPr>
          <w:color w:val="auto"/>
        </w:rPr>
        <w:t xml:space="preserve">The </w:t>
      </w:r>
      <w:r w:rsidRPr="00FC41DF">
        <w:rPr>
          <w:color w:val="auto"/>
        </w:rPr>
        <w:t xml:space="preserve">terms of the proposed Service Territory Agreement are consistent with the public </w:t>
      </w:r>
      <w:r w:rsidR="00F9527D" w:rsidRPr="00FC41DF">
        <w:rPr>
          <w:color w:val="auto"/>
        </w:rPr>
        <w:t>interest</w:t>
      </w:r>
      <w:r w:rsidRPr="00FC41DF">
        <w:rPr>
          <w:color w:val="auto"/>
        </w:rPr>
        <w:t xml:space="preserve"> and the public policy set forth in RCW 54.48 encouraging the use of service territory agreements.  The Service Territory Agreement should be approved.  </w:t>
      </w:r>
    </w:p>
    <w:p w14:paraId="7B6EF78E" w14:textId="77777777" w:rsidR="0073627E" w:rsidRPr="00FC41DF" w:rsidRDefault="0073627E" w:rsidP="00FC41DF">
      <w:pPr>
        <w:pStyle w:val="FindingsConclusions"/>
        <w:numPr>
          <w:ilvl w:val="0"/>
          <w:numId w:val="0"/>
        </w:numPr>
        <w:tabs>
          <w:tab w:val="num" w:pos="0"/>
        </w:tabs>
        <w:ind w:left="720" w:hanging="1440"/>
        <w:rPr>
          <w:color w:val="auto"/>
        </w:rPr>
      </w:pPr>
    </w:p>
    <w:p w14:paraId="7B6EF78F" w14:textId="77777777" w:rsidR="00B47E45" w:rsidRPr="00FC41DF" w:rsidRDefault="00B47E45" w:rsidP="004C7BFD">
      <w:pPr>
        <w:pStyle w:val="Heading2"/>
        <w:spacing w:line="320" w:lineRule="exact"/>
        <w:rPr>
          <w:b/>
          <w:bCs/>
          <w:u w:val="none"/>
        </w:rPr>
      </w:pPr>
      <w:r w:rsidRPr="00FC41DF">
        <w:rPr>
          <w:b/>
          <w:bCs/>
          <w:u w:val="none"/>
        </w:rPr>
        <w:t>O R D E R</w:t>
      </w:r>
    </w:p>
    <w:p w14:paraId="7B6EF790" w14:textId="77777777" w:rsidR="00B47E45" w:rsidRPr="00FC41DF" w:rsidRDefault="00B47E45" w:rsidP="004C7BFD">
      <w:pPr>
        <w:spacing w:line="320" w:lineRule="exact"/>
      </w:pPr>
    </w:p>
    <w:p w14:paraId="7B6EF791" w14:textId="251C9AE5" w:rsidR="00291C61" w:rsidRPr="008F35FA" w:rsidRDefault="00B47E45" w:rsidP="003631A1">
      <w:pPr>
        <w:spacing w:line="320" w:lineRule="exact"/>
        <w:ind w:left="-720" w:firstLine="720"/>
        <w:rPr>
          <w:b/>
        </w:rPr>
      </w:pPr>
      <w:r w:rsidRPr="008F35FA">
        <w:rPr>
          <w:b/>
        </w:rPr>
        <w:t>THE COMMISSION ORDERS</w:t>
      </w:r>
      <w:r w:rsidR="003631A1" w:rsidRPr="008F35FA">
        <w:rPr>
          <w:b/>
        </w:rPr>
        <w:t xml:space="preserve"> That</w:t>
      </w:r>
      <w:r w:rsidR="008A1FAC" w:rsidRPr="008F35FA">
        <w:rPr>
          <w:b/>
        </w:rPr>
        <w:t>:</w:t>
      </w:r>
      <w:r w:rsidR="003631A1" w:rsidRPr="008F35FA">
        <w:rPr>
          <w:b/>
        </w:rPr>
        <w:t xml:space="preserve"> </w:t>
      </w:r>
    </w:p>
    <w:p w14:paraId="7B6EF792" w14:textId="77777777" w:rsidR="00291C61" w:rsidRDefault="00291C61" w:rsidP="003631A1">
      <w:pPr>
        <w:spacing w:line="320" w:lineRule="exact"/>
        <w:ind w:left="-720" w:firstLine="720"/>
      </w:pPr>
    </w:p>
    <w:p w14:paraId="7B6EF793" w14:textId="196050C0" w:rsidR="00B47E45" w:rsidRPr="003631A1" w:rsidRDefault="007A0D98" w:rsidP="007A0D98">
      <w:pPr>
        <w:tabs>
          <w:tab w:val="left" w:pos="0"/>
        </w:tabs>
        <w:spacing w:line="320" w:lineRule="exact"/>
        <w:ind w:left="720" w:hanging="1620"/>
      </w:pPr>
      <w:r>
        <w:rPr>
          <w:i/>
          <w:sz w:val="20"/>
          <w:szCs w:val="20"/>
        </w:rPr>
        <w:t>16</w:t>
      </w:r>
      <w:r>
        <w:rPr>
          <w:i/>
          <w:sz w:val="20"/>
          <w:szCs w:val="20"/>
        </w:rPr>
        <w:tab/>
      </w:r>
      <w:r w:rsidR="00291C61">
        <w:t>(1)</w:t>
      </w:r>
      <w:r w:rsidR="00291C61">
        <w:tab/>
        <w:t>T</w:t>
      </w:r>
      <w:r w:rsidR="003631A1" w:rsidRPr="003631A1">
        <w:t xml:space="preserve">he proposed Service Territory Agreement </w:t>
      </w:r>
      <w:r w:rsidR="00291C61">
        <w:t>b</w:t>
      </w:r>
      <w:r w:rsidR="00FC41DF">
        <w:t>etween Avista Corporation, db</w:t>
      </w:r>
      <w:r w:rsidR="00291C61" w:rsidRPr="00BB0D32">
        <w:t>a Avista Utilities and Inland Power and Light Company</w:t>
      </w:r>
      <w:r w:rsidR="003631A1" w:rsidRPr="003631A1">
        <w:t xml:space="preserve"> is approved. </w:t>
      </w:r>
    </w:p>
    <w:p w14:paraId="7B6EF794" w14:textId="77777777" w:rsidR="003631A1" w:rsidRPr="003631A1" w:rsidRDefault="003631A1" w:rsidP="003631A1">
      <w:pPr>
        <w:spacing w:line="320" w:lineRule="exact"/>
        <w:ind w:left="-720" w:firstLine="720"/>
      </w:pPr>
    </w:p>
    <w:p w14:paraId="7B6EF795" w14:textId="7D750ACD" w:rsidR="003631A1" w:rsidRPr="003631A1" w:rsidRDefault="007A0D98" w:rsidP="007A0D98">
      <w:pPr>
        <w:tabs>
          <w:tab w:val="left" w:pos="0"/>
        </w:tabs>
        <w:spacing w:line="320" w:lineRule="exact"/>
        <w:ind w:left="720" w:hanging="1620"/>
      </w:pPr>
      <w:r w:rsidRPr="007A0D98">
        <w:rPr>
          <w:i/>
          <w:sz w:val="20"/>
          <w:szCs w:val="20"/>
        </w:rPr>
        <w:lastRenderedPageBreak/>
        <w:t>17</w:t>
      </w:r>
      <w:r>
        <w:tab/>
      </w:r>
      <w:r w:rsidR="00291C61">
        <w:t>(2)</w:t>
      </w:r>
      <w:r w:rsidR="00291C61">
        <w:tab/>
      </w:r>
      <w:r w:rsidR="003631A1" w:rsidRPr="003631A1">
        <w:t>The Commission retains jurisdiction as necessary to effectuate the provisions of this Order.</w:t>
      </w:r>
    </w:p>
    <w:p w14:paraId="7B6EF796" w14:textId="77777777" w:rsidR="003631A1" w:rsidRPr="003631A1" w:rsidRDefault="003631A1" w:rsidP="003631A1">
      <w:pPr>
        <w:spacing w:line="320" w:lineRule="exact"/>
        <w:ind w:left="-720" w:firstLine="720"/>
      </w:pPr>
    </w:p>
    <w:p w14:paraId="7B6EF797" w14:textId="77777777" w:rsidR="00B47E45" w:rsidRPr="003631A1" w:rsidRDefault="00B47E45" w:rsidP="00FC41DF">
      <w:pPr>
        <w:spacing w:line="320" w:lineRule="exact"/>
      </w:pPr>
      <w:r w:rsidRPr="003631A1">
        <w:t>The Commissioners, having determined this</w:t>
      </w:r>
      <w:r w:rsidR="003631A1">
        <w:t xml:space="preserve"> Order to be consistent with the </w:t>
      </w:r>
      <w:r w:rsidR="005F01CF" w:rsidRPr="003631A1">
        <w:t>public interest, directed the</w:t>
      </w:r>
      <w:r w:rsidR="00BB37FE" w:rsidRPr="003631A1">
        <w:t xml:space="preserve"> </w:t>
      </w:r>
      <w:r w:rsidRPr="003631A1">
        <w:t>Secretary to enter this Order.</w:t>
      </w:r>
    </w:p>
    <w:p w14:paraId="7B6EF798" w14:textId="77777777" w:rsidR="00B47E45" w:rsidRPr="003631A1" w:rsidRDefault="00B47E45" w:rsidP="003631A1">
      <w:pPr>
        <w:spacing w:line="320" w:lineRule="exact"/>
        <w:ind w:left="-720" w:firstLine="720"/>
      </w:pPr>
    </w:p>
    <w:p w14:paraId="7B6EF799" w14:textId="77777777" w:rsidR="00B47E45" w:rsidRPr="003631A1" w:rsidRDefault="00B47E45" w:rsidP="004C7BFD">
      <w:pPr>
        <w:spacing w:line="320" w:lineRule="exact"/>
      </w:pPr>
      <w:r w:rsidRPr="003631A1">
        <w:t>DATED at Olympia, Washington, and effectiv</w:t>
      </w:r>
      <w:r w:rsidR="0073627E" w:rsidRPr="003631A1">
        <w:t>e June 12, 2014</w:t>
      </w:r>
      <w:r w:rsidRPr="003631A1">
        <w:t>.</w:t>
      </w:r>
    </w:p>
    <w:p w14:paraId="7B6EF79A" w14:textId="77777777" w:rsidR="00B47E45" w:rsidRPr="003631A1" w:rsidRDefault="00B47E45" w:rsidP="004C7BFD">
      <w:pPr>
        <w:pStyle w:val="Header"/>
        <w:tabs>
          <w:tab w:val="clear" w:pos="4320"/>
          <w:tab w:val="clear" w:pos="8640"/>
        </w:tabs>
        <w:spacing w:line="320" w:lineRule="exact"/>
      </w:pPr>
    </w:p>
    <w:p w14:paraId="7B6EF79B" w14:textId="77777777" w:rsidR="00B47E45" w:rsidRPr="003631A1" w:rsidRDefault="00B47E45" w:rsidP="004C7BFD">
      <w:pPr>
        <w:spacing w:line="320" w:lineRule="exact"/>
        <w:jc w:val="center"/>
      </w:pPr>
      <w:r w:rsidRPr="003631A1">
        <w:t>WASHINGTON UTILITIES AND TRANSPORTATION COMMISSION</w:t>
      </w:r>
    </w:p>
    <w:p w14:paraId="7B6EF79C" w14:textId="77777777" w:rsidR="00B47E45" w:rsidRPr="000534E8" w:rsidRDefault="00B47E45" w:rsidP="004C7BFD">
      <w:pPr>
        <w:spacing w:line="320" w:lineRule="exact"/>
      </w:pPr>
    </w:p>
    <w:p w14:paraId="7B6EF79D" w14:textId="77777777" w:rsidR="00B47E45" w:rsidRPr="000534E8" w:rsidRDefault="00B47E45" w:rsidP="004C7BFD">
      <w:pPr>
        <w:pStyle w:val="Header"/>
        <w:tabs>
          <w:tab w:val="clear" w:pos="4320"/>
          <w:tab w:val="clear" w:pos="8640"/>
        </w:tabs>
        <w:spacing w:line="320" w:lineRule="exact"/>
      </w:pPr>
    </w:p>
    <w:p w14:paraId="7B6EF79E" w14:textId="77777777" w:rsidR="00B47E45" w:rsidRPr="000534E8" w:rsidRDefault="00B47E45" w:rsidP="004C7BFD">
      <w:pPr>
        <w:spacing w:line="320" w:lineRule="exact"/>
      </w:pPr>
    </w:p>
    <w:p w14:paraId="7B6EF79F" w14:textId="77777777" w:rsidR="00B47E45" w:rsidRDefault="003C1AC7" w:rsidP="004C7BFD">
      <w:pPr>
        <w:pStyle w:val="Header"/>
        <w:tabs>
          <w:tab w:val="clear" w:pos="4320"/>
          <w:tab w:val="clear" w:pos="8640"/>
        </w:tabs>
        <w:spacing w:line="320" w:lineRule="exact"/>
      </w:pPr>
      <w:r>
        <w:tab/>
      </w:r>
      <w:r>
        <w:tab/>
      </w:r>
      <w:r>
        <w:tab/>
      </w:r>
      <w:r w:rsidR="00906F3C">
        <w:t>STEVEN V. KING</w:t>
      </w:r>
      <w:r w:rsidR="00F97309">
        <w:t>, Executive Director</w:t>
      </w:r>
      <w:r>
        <w:t xml:space="preserve"> and Secretary</w:t>
      </w:r>
    </w:p>
    <w:p w14:paraId="7B6EF7A0" w14:textId="77777777" w:rsidR="002B229B" w:rsidRDefault="002B229B" w:rsidP="004C7BFD">
      <w:pPr>
        <w:pStyle w:val="Header"/>
        <w:tabs>
          <w:tab w:val="clear" w:pos="4320"/>
          <w:tab w:val="clear" w:pos="8640"/>
        </w:tabs>
        <w:spacing w:line="320" w:lineRule="exact"/>
      </w:pPr>
    </w:p>
    <w:p w14:paraId="7B6EF7A1" w14:textId="77777777" w:rsidR="002B229B" w:rsidRDefault="002B229B" w:rsidP="004C7BFD">
      <w:pPr>
        <w:pStyle w:val="Header"/>
        <w:tabs>
          <w:tab w:val="clear" w:pos="4320"/>
          <w:tab w:val="clear" w:pos="8640"/>
        </w:tabs>
        <w:spacing w:line="320" w:lineRule="exact"/>
      </w:pPr>
    </w:p>
    <w:sectPr w:rsidR="002B229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EF7A4" w14:textId="77777777" w:rsidR="00FC41DF" w:rsidRDefault="00FC41DF">
      <w:r>
        <w:separator/>
      </w:r>
    </w:p>
  </w:endnote>
  <w:endnote w:type="continuationSeparator" w:id="0">
    <w:p w14:paraId="7B6EF7A5" w14:textId="77777777" w:rsidR="00FC41DF" w:rsidRDefault="00FC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B61F7" w14:textId="77777777" w:rsidR="00CE20E4" w:rsidRDefault="00CE2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ABC0C" w14:textId="77777777" w:rsidR="00CE20E4" w:rsidRDefault="00CE20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C28C5" w14:textId="77777777" w:rsidR="00CE20E4" w:rsidRDefault="00CE2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EF7A2" w14:textId="77777777" w:rsidR="00FC41DF" w:rsidRDefault="00FC41DF">
      <w:r>
        <w:separator/>
      </w:r>
    </w:p>
  </w:footnote>
  <w:footnote w:type="continuationSeparator" w:id="0">
    <w:p w14:paraId="7B6EF7A3" w14:textId="77777777" w:rsidR="00FC41DF" w:rsidRDefault="00FC41DF">
      <w:r>
        <w:continuationSeparator/>
      </w:r>
    </w:p>
  </w:footnote>
  <w:footnote w:id="1">
    <w:p w14:paraId="7B6EF7A6" w14:textId="77777777" w:rsidR="00FC41DF" w:rsidRDefault="00FC41DF">
      <w:pPr>
        <w:pStyle w:val="FootnoteText"/>
      </w:pPr>
      <w:r>
        <w:rPr>
          <w:rStyle w:val="FootnoteReference"/>
        </w:rPr>
        <w:footnoteRef/>
      </w:r>
      <w:r>
        <w:t xml:space="preserve"> UE-981149, Order Approving Service Territory Agreement.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AA9D2" w14:textId="77777777" w:rsidR="00CE20E4" w:rsidRDefault="00CE20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8D193" w14:textId="6173A611" w:rsidR="00193E3D" w:rsidRPr="00CE20E4" w:rsidRDefault="00CE20E4">
    <w:pPr>
      <w:pStyle w:val="Header"/>
      <w:rPr>
        <w:b/>
        <w:noProof/>
        <w:sz w:val="20"/>
        <w:szCs w:val="20"/>
      </w:rPr>
    </w:pPr>
    <w:r>
      <w:rPr>
        <w:b/>
        <w:sz w:val="20"/>
        <w:szCs w:val="20"/>
      </w:rPr>
      <w:t>DOCKET</w:t>
    </w:r>
    <w:r w:rsidR="00193E3D" w:rsidRPr="00CE20E4">
      <w:rPr>
        <w:b/>
        <w:sz w:val="20"/>
        <w:szCs w:val="20"/>
      </w:rPr>
      <w:t xml:space="preserve"> UE-141029</w:t>
    </w:r>
    <w:r w:rsidR="00193E3D" w:rsidRPr="00CE20E4">
      <w:rPr>
        <w:b/>
        <w:sz w:val="20"/>
        <w:szCs w:val="20"/>
      </w:rPr>
      <w:tab/>
    </w:r>
    <w:r w:rsidR="00193E3D" w:rsidRPr="00CE20E4">
      <w:rPr>
        <w:b/>
        <w:sz w:val="20"/>
        <w:szCs w:val="20"/>
      </w:rPr>
      <w:tab/>
      <w:t xml:space="preserve">Page </w:t>
    </w:r>
    <w:r w:rsidR="00193E3D" w:rsidRPr="00CE20E4">
      <w:rPr>
        <w:b/>
        <w:sz w:val="20"/>
        <w:szCs w:val="20"/>
      </w:rPr>
      <w:fldChar w:fldCharType="begin"/>
    </w:r>
    <w:r w:rsidR="00193E3D" w:rsidRPr="00CE20E4">
      <w:rPr>
        <w:b/>
        <w:sz w:val="20"/>
        <w:szCs w:val="20"/>
      </w:rPr>
      <w:instrText xml:space="preserve"> PAGE   \* MERGEFORMAT </w:instrText>
    </w:r>
    <w:r w:rsidR="00193E3D" w:rsidRPr="00CE20E4">
      <w:rPr>
        <w:b/>
        <w:sz w:val="20"/>
        <w:szCs w:val="20"/>
      </w:rPr>
      <w:fldChar w:fldCharType="separate"/>
    </w:r>
    <w:r w:rsidR="00DB449E">
      <w:rPr>
        <w:b/>
        <w:noProof/>
        <w:sz w:val="20"/>
        <w:szCs w:val="20"/>
      </w:rPr>
      <w:t>6</w:t>
    </w:r>
    <w:r w:rsidR="00193E3D" w:rsidRPr="00CE20E4">
      <w:rPr>
        <w:b/>
        <w:noProof/>
        <w:sz w:val="20"/>
        <w:szCs w:val="20"/>
      </w:rPr>
      <w:fldChar w:fldCharType="end"/>
    </w:r>
  </w:p>
  <w:p w14:paraId="1F7361DF" w14:textId="6127BCE5" w:rsidR="00193E3D" w:rsidRPr="00CE20E4" w:rsidRDefault="00193E3D">
    <w:pPr>
      <w:pStyle w:val="Header"/>
      <w:rPr>
        <w:b/>
        <w:noProof/>
        <w:sz w:val="20"/>
        <w:szCs w:val="20"/>
      </w:rPr>
    </w:pPr>
    <w:r w:rsidRPr="00CE20E4">
      <w:rPr>
        <w:b/>
        <w:noProof/>
        <w:sz w:val="20"/>
        <w:szCs w:val="20"/>
      </w:rPr>
      <w:t>O</w:t>
    </w:r>
    <w:r w:rsidR="00CE20E4">
      <w:rPr>
        <w:b/>
        <w:noProof/>
        <w:sz w:val="20"/>
        <w:szCs w:val="20"/>
      </w:rPr>
      <w:t>RDER</w:t>
    </w:r>
    <w:r w:rsidRPr="00CE20E4">
      <w:rPr>
        <w:b/>
        <w:noProof/>
        <w:sz w:val="20"/>
        <w:szCs w:val="20"/>
      </w:rPr>
      <w:t xml:space="preserve"> 01</w:t>
    </w:r>
  </w:p>
  <w:p w14:paraId="287E5E43" w14:textId="77777777" w:rsidR="00193E3D" w:rsidRDefault="00193E3D">
    <w:pPr>
      <w:pStyle w:val="Header"/>
    </w:pPr>
  </w:p>
  <w:p w14:paraId="1BA7CA61" w14:textId="77777777" w:rsidR="00193E3D" w:rsidRDefault="00193E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0CE0A" w14:textId="77777777" w:rsidR="00CE20E4" w:rsidRDefault="00CE2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B3334C"/>
    <w:multiLevelType w:val="hybridMultilevel"/>
    <w:tmpl w:val="29EE0A3C"/>
    <w:lvl w:ilvl="0" w:tplc="04090001">
      <w:start w:val="1"/>
      <w:numFmt w:val="bullet"/>
      <w:lvlText w:val=""/>
      <w:lvlJc w:val="left"/>
      <w:pPr>
        <w:ind w:left="-360" w:hanging="360"/>
      </w:pPr>
      <w:rPr>
        <w:rFonts w:ascii="Symbol" w:hAnsi="Symbol" w:hint="default"/>
      </w:rPr>
    </w:lvl>
    <w:lvl w:ilvl="1" w:tplc="BCF219D2">
      <w:start w:val="1"/>
      <w:numFmt w:val="bullet"/>
      <w:lvlText w:val="-"/>
      <w:lvlJc w:val="left"/>
      <w:pPr>
        <w:ind w:left="360" w:hanging="360"/>
      </w:pPr>
      <w:rPr>
        <w:rFonts w:ascii="Times New Roman" w:eastAsia="Times New Roman" w:hAnsi="Times New Roman" w:cs="Times New Roman"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51B4247C"/>
    <w:multiLevelType w:val="hybridMultilevel"/>
    <w:tmpl w:val="CEA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2F70F3"/>
    <w:multiLevelType w:val="hybridMultilevel"/>
    <w:tmpl w:val="DEC6066E"/>
    <w:lvl w:ilvl="0" w:tplc="076611D4">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9"/>
  </w:num>
  <w:num w:numId="3">
    <w:abstractNumId w:val="0"/>
  </w:num>
  <w:num w:numId="4">
    <w:abstractNumId w:val="15"/>
  </w:num>
  <w:num w:numId="5">
    <w:abstractNumId w:val="3"/>
  </w:num>
  <w:num w:numId="6">
    <w:abstractNumId w:val="12"/>
  </w:num>
  <w:num w:numId="7">
    <w:abstractNumId w:val="5"/>
  </w:num>
  <w:num w:numId="8">
    <w:abstractNumId w:val="14"/>
  </w:num>
  <w:num w:numId="9">
    <w:abstractNumId w:val="8"/>
  </w:num>
  <w:num w:numId="10">
    <w:abstractNumId w:val="13"/>
  </w:num>
  <w:num w:numId="11">
    <w:abstractNumId w:val="1"/>
  </w:num>
  <w:num w:numId="12">
    <w:abstractNumId w:val="2"/>
  </w:num>
  <w:num w:numId="13">
    <w:abstractNumId w:val="4"/>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0"/>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iedlander, Marguerite (UTC)">
    <w15:presenceInfo w15:providerId="AD" w15:userId="S-1-5-21-1844237615-1844823847-839522115-189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67"/>
    <w:rsid w:val="00014808"/>
    <w:rsid w:val="000534E8"/>
    <w:rsid w:val="00062FF7"/>
    <w:rsid w:val="000C1F72"/>
    <w:rsid w:val="001476B6"/>
    <w:rsid w:val="001620FA"/>
    <w:rsid w:val="00177ECC"/>
    <w:rsid w:val="00193E3D"/>
    <w:rsid w:val="001A72B1"/>
    <w:rsid w:val="001F728A"/>
    <w:rsid w:val="00204C62"/>
    <w:rsid w:val="00212872"/>
    <w:rsid w:val="00245B0B"/>
    <w:rsid w:val="002602B2"/>
    <w:rsid w:val="002673AE"/>
    <w:rsid w:val="00291C61"/>
    <w:rsid w:val="002A6883"/>
    <w:rsid w:val="002B0514"/>
    <w:rsid w:val="002B229B"/>
    <w:rsid w:val="002C1F3F"/>
    <w:rsid w:val="002C7F85"/>
    <w:rsid w:val="003505FA"/>
    <w:rsid w:val="003631A1"/>
    <w:rsid w:val="00364C52"/>
    <w:rsid w:val="00386C3F"/>
    <w:rsid w:val="003A2533"/>
    <w:rsid w:val="003B267C"/>
    <w:rsid w:val="003C1AC7"/>
    <w:rsid w:val="003D1A41"/>
    <w:rsid w:val="003F107F"/>
    <w:rsid w:val="0043152F"/>
    <w:rsid w:val="004534CD"/>
    <w:rsid w:val="0048003B"/>
    <w:rsid w:val="004B6127"/>
    <w:rsid w:val="004B793A"/>
    <w:rsid w:val="004C7BFD"/>
    <w:rsid w:val="004D07BD"/>
    <w:rsid w:val="00504167"/>
    <w:rsid w:val="0052339D"/>
    <w:rsid w:val="005540FF"/>
    <w:rsid w:val="00557F4F"/>
    <w:rsid w:val="005721AB"/>
    <w:rsid w:val="00573090"/>
    <w:rsid w:val="00573E6E"/>
    <w:rsid w:val="00575BDC"/>
    <w:rsid w:val="00592C31"/>
    <w:rsid w:val="005930B7"/>
    <w:rsid w:val="00597F89"/>
    <w:rsid w:val="005D18D3"/>
    <w:rsid w:val="005F01CF"/>
    <w:rsid w:val="0060163F"/>
    <w:rsid w:val="00615A46"/>
    <w:rsid w:val="00623BB7"/>
    <w:rsid w:val="00654E0F"/>
    <w:rsid w:val="00662E48"/>
    <w:rsid w:val="00686457"/>
    <w:rsid w:val="00693D1D"/>
    <w:rsid w:val="006A25C3"/>
    <w:rsid w:val="0070065F"/>
    <w:rsid w:val="00712729"/>
    <w:rsid w:val="0072692F"/>
    <w:rsid w:val="0073627E"/>
    <w:rsid w:val="00753290"/>
    <w:rsid w:val="007636CA"/>
    <w:rsid w:val="00781C20"/>
    <w:rsid w:val="007A0D98"/>
    <w:rsid w:val="007B6F05"/>
    <w:rsid w:val="007C2559"/>
    <w:rsid w:val="007D39C2"/>
    <w:rsid w:val="007F3FF6"/>
    <w:rsid w:val="007F7AA7"/>
    <w:rsid w:val="00817A2D"/>
    <w:rsid w:val="008204CE"/>
    <w:rsid w:val="008257E5"/>
    <w:rsid w:val="008263E2"/>
    <w:rsid w:val="00851697"/>
    <w:rsid w:val="00861B8B"/>
    <w:rsid w:val="0086449F"/>
    <w:rsid w:val="00866A46"/>
    <w:rsid w:val="00881CEF"/>
    <w:rsid w:val="00891C1A"/>
    <w:rsid w:val="008A1FAC"/>
    <w:rsid w:val="008B6DFE"/>
    <w:rsid w:val="008E25A5"/>
    <w:rsid w:val="008F35FA"/>
    <w:rsid w:val="008F3F25"/>
    <w:rsid w:val="00906F3C"/>
    <w:rsid w:val="00913709"/>
    <w:rsid w:val="00920E4D"/>
    <w:rsid w:val="00946987"/>
    <w:rsid w:val="00952081"/>
    <w:rsid w:val="0095425E"/>
    <w:rsid w:val="0096126B"/>
    <w:rsid w:val="00972130"/>
    <w:rsid w:val="00973BB3"/>
    <w:rsid w:val="009A2617"/>
    <w:rsid w:val="009B0729"/>
    <w:rsid w:val="009C6474"/>
    <w:rsid w:val="009C73D7"/>
    <w:rsid w:val="009E5D95"/>
    <w:rsid w:val="00A06B81"/>
    <w:rsid w:val="00A23571"/>
    <w:rsid w:val="00A43CFD"/>
    <w:rsid w:val="00A50E35"/>
    <w:rsid w:val="00A52501"/>
    <w:rsid w:val="00A579B2"/>
    <w:rsid w:val="00A8362D"/>
    <w:rsid w:val="00AB4264"/>
    <w:rsid w:val="00AE51B1"/>
    <w:rsid w:val="00AF5645"/>
    <w:rsid w:val="00AF7317"/>
    <w:rsid w:val="00B04D38"/>
    <w:rsid w:val="00B340B3"/>
    <w:rsid w:val="00B426BB"/>
    <w:rsid w:val="00B47E45"/>
    <w:rsid w:val="00B642E7"/>
    <w:rsid w:val="00B7320E"/>
    <w:rsid w:val="00B9256A"/>
    <w:rsid w:val="00B92FE6"/>
    <w:rsid w:val="00BB0D32"/>
    <w:rsid w:val="00BB37FE"/>
    <w:rsid w:val="00BD1867"/>
    <w:rsid w:val="00BD37A7"/>
    <w:rsid w:val="00C76DFB"/>
    <w:rsid w:val="00CA042D"/>
    <w:rsid w:val="00CC65FD"/>
    <w:rsid w:val="00CE20E4"/>
    <w:rsid w:val="00CF296D"/>
    <w:rsid w:val="00D1319D"/>
    <w:rsid w:val="00D634C5"/>
    <w:rsid w:val="00DB184F"/>
    <w:rsid w:val="00DB449E"/>
    <w:rsid w:val="00DF16B3"/>
    <w:rsid w:val="00E00BE5"/>
    <w:rsid w:val="00E23629"/>
    <w:rsid w:val="00E30B08"/>
    <w:rsid w:val="00E864A4"/>
    <w:rsid w:val="00EB2658"/>
    <w:rsid w:val="00EE752F"/>
    <w:rsid w:val="00EF1BD3"/>
    <w:rsid w:val="00F030CD"/>
    <w:rsid w:val="00F56E7B"/>
    <w:rsid w:val="00F61E82"/>
    <w:rsid w:val="00F75122"/>
    <w:rsid w:val="00F86017"/>
    <w:rsid w:val="00F9527D"/>
    <w:rsid w:val="00F97309"/>
    <w:rsid w:val="00FC26F9"/>
    <w:rsid w:val="00FC41DF"/>
    <w:rsid w:val="00FF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E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73BB3"/>
    <w:rPr>
      <w:rFonts w:ascii="Tahoma" w:hAnsi="Tahoma" w:cs="Tahoma"/>
      <w:sz w:val="16"/>
      <w:szCs w:val="16"/>
    </w:rPr>
  </w:style>
  <w:style w:type="paragraph" w:customStyle="1" w:styleId="FindingsConclusions">
    <w:name w:val="Findings &amp; Conclusions"/>
    <w:basedOn w:val="Normal"/>
    <w:autoRedefine/>
    <w:rsid w:val="00FC41DF"/>
    <w:pPr>
      <w:numPr>
        <w:numId w:val="14"/>
      </w:numPr>
      <w:spacing w:line="320" w:lineRule="exact"/>
    </w:pPr>
    <w:rPr>
      <w:color w:val="FF0000"/>
    </w:rPr>
  </w:style>
  <w:style w:type="character" w:styleId="Hyperlink">
    <w:name w:val="Hyperlink"/>
    <w:rsid w:val="00AF5645"/>
    <w:rPr>
      <w:color w:val="0000FF"/>
      <w:u w:val="none"/>
    </w:rPr>
  </w:style>
  <w:style w:type="character" w:styleId="FollowedHyperlink">
    <w:name w:val="FollowedHyperlink"/>
    <w:rsid w:val="00AF5645"/>
    <w:rPr>
      <w:color w:val="800080"/>
      <w:u w:val="none"/>
    </w:rPr>
  </w:style>
  <w:style w:type="paragraph" w:styleId="ListParagraph">
    <w:name w:val="List Paragraph"/>
    <w:basedOn w:val="Normal"/>
    <w:uiPriority w:val="34"/>
    <w:qFormat/>
    <w:rsid w:val="0060163F"/>
    <w:pPr>
      <w:ind w:left="720"/>
      <w:contextualSpacing/>
    </w:pPr>
  </w:style>
  <w:style w:type="paragraph" w:styleId="FootnoteText">
    <w:name w:val="footnote text"/>
    <w:basedOn w:val="Normal"/>
    <w:link w:val="FootnoteTextChar"/>
    <w:rsid w:val="003B267C"/>
    <w:rPr>
      <w:sz w:val="20"/>
      <w:szCs w:val="20"/>
    </w:rPr>
  </w:style>
  <w:style w:type="character" w:customStyle="1" w:styleId="FootnoteTextChar">
    <w:name w:val="Footnote Text Char"/>
    <w:basedOn w:val="DefaultParagraphFont"/>
    <w:link w:val="FootnoteText"/>
    <w:rsid w:val="003B267C"/>
  </w:style>
  <w:style w:type="character" w:styleId="FootnoteReference">
    <w:name w:val="footnote reference"/>
    <w:basedOn w:val="DefaultParagraphFont"/>
    <w:rsid w:val="003B267C"/>
    <w:rPr>
      <w:vertAlign w:val="superscript"/>
    </w:rPr>
  </w:style>
  <w:style w:type="character" w:styleId="LineNumber">
    <w:name w:val="line number"/>
    <w:basedOn w:val="DefaultParagraphFont"/>
    <w:rsid w:val="007C2559"/>
  </w:style>
  <w:style w:type="character" w:customStyle="1" w:styleId="HeaderChar">
    <w:name w:val="Header Char"/>
    <w:basedOn w:val="DefaultParagraphFont"/>
    <w:link w:val="Header"/>
    <w:uiPriority w:val="99"/>
    <w:rsid w:val="00193E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73BB3"/>
    <w:rPr>
      <w:rFonts w:ascii="Tahoma" w:hAnsi="Tahoma" w:cs="Tahoma"/>
      <w:sz w:val="16"/>
      <w:szCs w:val="16"/>
    </w:rPr>
  </w:style>
  <w:style w:type="paragraph" w:customStyle="1" w:styleId="FindingsConclusions">
    <w:name w:val="Findings &amp; Conclusions"/>
    <w:basedOn w:val="Normal"/>
    <w:autoRedefine/>
    <w:rsid w:val="00FC41DF"/>
    <w:pPr>
      <w:numPr>
        <w:numId w:val="14"/>
      </w:numPr>
      <w:spacing w:line="320" w:lineRule="exact"/>
    </w:pPr>
    <w:rPr>
      <w:color w:val="FF0000"/>
    </w:rPr>
  </w:style>
  <w:style w:type="character" w:styleId="Hyperlink">
    <w:name w:val="Hyperlink"/>
    <w:rsid w:val="00AF5645"/>
    <w:rPr>
      <w:color w:val="0000FF"/>
      <w:u w:val="none"/>
    </w:rPr>
  </w:style>
  <w:style w:type="character" w:styleId="FollowedHyperlink">
    <w:name w:val="FollowedHyperlink"/>
    <w:rsid w:val="00AF5645"/>
    <w:rPr>
      <w:color w:val="800080"/>
      <w:u w:val="none"/>
    </w:rPr>
  </w:style>
  <w:style w:type="paragraph" w:styleId="ListParagraph">
    <w:name w:val="List Paragraph"/>
    <w:basedOn w:val="Normal"/>
    <w:uiPriority w:val="34"/>
    <w:qFormat/>
    <w:rsid w:val="0060163F"/>
    <w:pPr>
      <w:ind w:left="720"/>
      <w:contextualSpacing/>
    </w:pPr>
  </w:style>
  <w:style w:type="paragraph" w:styleId="FootnoteText">
    <w:name w:val="footnote text"/>
    <w:basedOn w:val="Normal"/>
    <w:link w:val="FootnoteTextChar"/>
    <w:rsid w:val="003B267C"/>
    <w:rPr>
      <w:sz w:val="20"/>
      <w:szCs w:val="20"/>
    </w:rPr>
  </w:style>
  <w:style w:type="character" w:customStyle="1" w:styleId="FootnoteTextChar">
    <w:name w:val="Footnote Text Char"/>
    <w:basedOn w:val="DefaultParagraphFont"/>
    <w:link w:val="FootnoteText"/>
    <w:rsid w:val="003B267C"/>
  </w:style>
  <w:style w:type="character" w:styleId="FootnoteReference">
    <w:name w:val="footnote reference"/>
    <w:basedOn w:val="DefaultParagraphFont"/>
    <w:rsid w:val="003B267C"/>
    <w:rPr>
      <w:vertAlign w:val="superscript"/>
    </w:rPr>
  </w:style>
  <w:style w:type="character" w:styleId="LineNumber">
    <w:name w:val="line number"/>
    <w:basedOn w:val="DefaultParagraphFont"/>
    <w:rsid w:val="007C2559"/>
  </w:style>
  <w:style w:type="character" w:customStyle="1" w:styleId="HeaderChar">
    <w:name w:val="Header Char"/>
    <w:basedOn w:val="DefaultParagraphFont"/>
    <w:link w:val="Header"/>
    <w:uiPriority w:val="99"/>
    <w:rsid w:val="00193E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Order%20Granting%20Withdrawal%20in%20Suspended%20C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4E9B39B89D6F429657CF2DDA142958" ma:contentTypeVersion="175" ma:contentTypeDescription="" ma:contentTypeScope="" ma:versionID="170663ec98f6f9d113e134951cd235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140</IndustryCode>
    <CaseStatus xmlns="dc463f71-b30c-4ab2-9473-d307f9d35888">Closed</CaseStatus>
    <OpenedDate xmlns="dc463f71-b30c-4ab2-9473-d307f9d35888">2014-05-14T07:00:00+00:00</OpenedDate>
    <Date1 xmlns="dc463f71-b30c-4ab2-9473-d307f9d35888">2014-06-12T07:00:00+00:00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141029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E4D563-34E2-44AD-BDC2-95879C611CE6}"/>
</file>

<file path=customXml/itemProps2.xml><?xml version="1.0" encoding="utf-8"?>
<ds:datastoreItem xmlns:ds="http://schemas.openxmlformats.org/officeDocument/2006/customXml" ds:itemID="{82BA542D-BD42-4ED3-9A86-65FF25248742}"/>
</file>

<file path=customXml/itemProps3.xml><?xml version="1.0" encoding="utf-8"?>
<ds:datastoreItem xmlns:ds="http://schemas.openxmlformats.org/officeDocument/2006/customXml" ds:itemID="{D336374F-3EFB-45D1-9185-52A18457E9E7}"/>
</file>

<file path=customXml/itemProps4.xml><?xml version="1.0" encoding="utf-8"?>
<ds:datastoreItem xmlns:ds="http://schemas.openxmlformats.org/officeDocument/2006/customXml" ds:itemID="{8A6B1ECF-373D-4EB2-BF2E-BEFDA38804BB}"/>
</file>

<file path=customXml/itemProps5.xml><?xml version="1.0" encoding="utf-8"?>
<ds:datastoreItem xmlns:ds="http://schemas.openxmlformats.org/officeDocument/2006/customXml" ds:itemID="{685AF338-4629-4CD9-B0FC-FF9D96609397}"/>
</file>

<file path=docProps/app.xml><?xml version="1.0" encoding="utf-8"?>
<Properties xmlns="http://schemas.openxmlformats.org/officeDocument/2006/extended-properties" xmlns:vt="http://schemas.openxmlformats.org/officeDocument/2006/docPropsVTypes">
  <Template>Order Granting Withdrawal in Suspended Case</Template>
  <TotalTime>1</TotalTime>
  <Pages>6</Pages>
  <Words>1515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UE-141029 Order</vt:lpstr>
    </vt:vector>
  </TitlesOfParts>
  <Company>WUTC</Company>
  <LinksUpToDate>false</LinksUpToDate>
  <CharactersWithSpaces>10246</CharactersWithSpaces>
  <SharedDoc>false</SharedDoc>
  <HLinks>
    <vt:vector size="42" baseType="variant">
      <vt:variant>
        <vt:i4>2490368</vt:i4>
      </vt:variant>
      <vt:variant>
        <vt:i4>166</vt:i4>
      </vt:variant>
      <vt:variant>
        <vt:i4>0</vt:i4>
      </vt:variant>
      <vt:variant>
        <vt:i4>5</vt:i4>
      </vt:variant>
      <vt:variant>
        <vt:lpwstr>mailto:Order_Template_Team@utc.wa.gov?subject=Template%20-%20filename</vt:lpwstr>
      </vt:variant>
      <vt:variant>
        <vt:lpwstr/>
      </vt:variant>
      <vt:variant>
        <vt:i4>2424881</vt:i4>
      </vt:variant>
      <vt:variant>
        <vt:i4>92</vt:i4>
      </vt:variant>
      <vt:variant>
        <vt:i4>0</vt:i4>
      </vt:variant>
      <vt:variant>
        <vt:i4>5</vt:i4>
      </vt:variant>
      <vt:variant>
        <vt:lpwstr>http://apps.leg.wa.gov/RCW/default.aspx?cite=80.28</vt:lpwstr>
      </vt:variant>
      <vt:variant>
        <vt:lpwstr/>
      </vt:variant>
      <vt:variant>
        <vt:i4>2818098</vt:i4>
      </vt:variant>
      <vt:variant>
        <vt:i4>89</vt:i4>
      </vt:variant>
      <vt:variant>
        <vt:i4>0</vt:i4>
      </vt:variant>
      <vt:variant>
        <vt:i4>5</vt:i4>
      </vt:variant>
      <vt:variant>
        <vt:lpwstr>http://apps.leg.wa.gov/RCW/default.aspx?cite=80.16</vt:lpwstr>
      </vt:variant>
      <vt:variant>
        <vt:lpwstr/>
      </vt:variant>
      <vt:variant>
        <vt:i4>3080242</vt:i4>
      </vt:variant>
      <vt:variant>
        <vt:i4>86</vt:i4>
      </vt:variant>
      <vt:variant>
        <vt:i4>0</vt:i4>
      </vt:variant>
      <vt:variant>
        <vt:i4>5</vt:i4>
      </vt:variant>
      <vt:variant>
        <vt:lpwstr>http://apps.leg.wa.gov/RCW/default.aspx?cite=80.12</vt:lpwstr>
      </vt:variant>
      <vt:variant>
        <vt:lpwstr/>
      </vt:variant>
      <vt:variant>
        <vt:i4>2424883</vt:i4>
      </vt:variant>
      <vt:variant>
        <vt:i4>83</vt:i4>
      </vt:variant>
      <vt:variant>
        <vt:i4>0</vt:i4>
      </vt:variant>
      <vt:variant>
        <vt:i4>5</vt:i4>
      </vt:variant>
      <vt:variant>
        <vt:lpwstr>http://apps.leg.wa.gov/RCW/default.aspx?cite=80.08</vt:lpwstr>
      </vt:variant>
      <vt:variant>
        <vt:lpwstr/>
      </vt:variant>
      <vt:variant>
        <vt:i4>2687027</vt:i4>
      </vt:variant>
      <vt:variant>
        <vt:i4>80</vt:i4>
      </vt:variant>
      <vt:variant>
        <vt:i4>0</vt:i4>
      </vt:variant>
      <vt:variant>
        <vt:i4>5</vt:i4>
      </vt:variant>
      <vt:variant>
        <vt:lpwstr>http://apps.leg.wa.gov/RCW/default.aspx?cite=80.04</vt:lpwstr>
      </vt:variant>
      <vt:variant>
        <vt:lpwstr/>
      </vt:variant>
      <vt:variant>
        <vt:i4>2883625</vt:i4>
      </vt:variant>
      <vt:variant>
        <vt:i4>77</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UE-141029 Order</dc:title>
  <dc:creator>Jing Liu</dc:creator>
  <cp:lastModifiedBy>Kern, Cathy (UTC)</cp:lastModifiedBy>
  <cp:revision>2</cp:revision>
  <cp:lastPrinted>2014-06-09T18:01:00Z</cp:lastPrinted>
  <dcterms:created xsi:type="dcterms:W3CDTF">2014-06-11T23:29:00Z</dcterms:created>
  <dcterms:modified xsi:type="dcterms:W3CDTF">2014-06-11T23:29:00Z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0x0101006E56B4D1795A2E4DB2F0B01679ED314A001E4E9B39B89D6F429657CF2DDA142958</vt:lpwstr>
  </property>
  <property fmtid="{D5CDD505-2E9C-101B-9397-08002B2CF9AE}" pid="3" name="_docset_NoMedatataSyncRequired">
    <vt:lpwstr>False</vt:lpwstr>
  </property>
</Properties>
</file>