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F77" w:rsidRDefault="00835F77">
      <w:pPr>
        <w:jc w:val="center"/>
        <w:rPr>
          <w:b/>
        </w:rPr>
      </w:pPr>
      <w:r>
        <w:rPr>
          <w:b/>
        </w:rPr>
        <w:t xml:space="preserve">BEFORE THE </w:t>
      </w:r>
      <w:smartTag w:uri="urn:schemas-microsoft-com:office:smarttags" w:element="State">
        <w:smartTag w:uri="urn:schemas-microsoft-com:office:smarttags" w:element="place">
          <w:r>
            <w:rPr>
              <w:b/>
            </w:rPr>
            <w:t>WASHINGTON</w:t>
          </w:r>
        </w:smartTag>
      </w:smartTag>
      <w:r>
        <w:rPr>
          <w:b/>
        </w:rPr>
        <w:t xml:space="preserve"> STATE UTILITIES AND TRANSPORTATION</w:t>
      </w:r>
    </w:p>
    <w:p w:rsidR="00835F77" w:rsidRDefault="00835F77" w:rsidP="00735999">
      <w:pPr>
        <w:jc w:val="center"/>
      </w:pPr>
      <w:r>
        <w:rPr>
          <w:b/>
        </w:rPr>
        <w:t>COMMISSION</w:t>
      </w:r>
    </w:p>
    <w:tbl>
      <w:tblPr>
        <w:tblW w:w="0" w:type="auto"/>
        <w:tblInd w:w="120" w:type="dxa"/>
        <w:tblLayout w:type="fixed"/>
        <w:tblCellMar>
          <w:left w:w="120" w:type="dxa"/>
          <w:right w:w="120" w:type="dxa"/>
        </w:tblCellMar>
        <w:tblLook w:val="0000"/>
      </w:tblPr>
      <w:tblGrid>
        <w:gridCol w:w="4680"/>
        <w:gridCol w:w="270"/>
        <w:gridCol w:w="3996"/>
      </w:tblGrid>
      <w:tr w:rsidR="00835F77" w:rsidRPr="00667748" w:rsidTr="004F31DF">
        <w:trPr>
          <w:cantSplit/>
        </w:trPr>
        <w:tc>
          <w:tcPr>
            <w:tcW w:w="4680" w:type="dxa"/>
            <w:tcBorders>
              <w:top w:val="nil"/>
              <w:left w:val="nil"/>
              <w:bottom w:val="nil"/>
              <w:right w:val="nil"/>
            </w:tcBorders>
          </w:tcPr>
          <w:p w:rsidR="00E5223B" w:rsidRPr="00667748" w:rsidRDefault="00E5223B" w:rsidP="00156A01">
            <w:pPr>
              <w:spacing w:before="144"/>
            </w:pPr>
            <w:bookmarkStart w:id="0" w:name="BM1"/>
            <w:bookmarkEnd w:id="0"/>
          </w:p>
          <w:p w:rsidR="00E5223B" w:rsidRPr="00667748" w:rsidRDefault="00E5223B" w:rsidP="00156A01">
            <w:pPr>
              <w:spacing w:before="144"/>
            </w:pPr>
          </w:p>
          <w:p w:rsidR="00E81AF6" w:rsidRDefault="00E5223B" w:rsidP="00175478">
            <w:pPr>
              <w:spacing w:before="144"/>
              <w:rPr>
                <w:bCs/>
              </w:rPr>
            </w:pPr>
            <w:r w:rsidRPr="00667748">
              <w:t xml:space="preserve">In </w:t>
            </w:r>
            <w:r w:rsidR="00835F77" w:rsidRPr="00667748">
              <w:t>the Matter of</w:t>
            </w:r>
            <w:r w:rsidR="00DF5E0C" w:rsidRPr="00667748">
              <w:t xml:space="preserve"> </w:t>
            </w:r>
            <w:r w:rsidRPr="00667748">
              <w:t xml:space="preserve">Avista’s </w:t>
            </w:r>
            <w:r w:rsidR="00E81AF6">
              <w:t>Renewable Target in</w:t>
            </w:r>
            <w:r w:rsidR="004C1649" w:rsidRPr="00667748">
              <w:t xml:space="preserve"> Compliance with </w:t>
            </w:r>
            <w:r w:rsidR="004C1649" w:rsidRPr="00667748">
              <w:rPr>
                <w:bCs/>
              </w:rPr>
              <w:t xml:space="preserve">RCW 19.285 and </w:t>
            </w:r>
            <w:r w:rsidR="004C1649" w:rsidRPr="00667748">
              <w:t>WAC 480-</w:t>
            </w:r>
            <w:r w:rsidR="004C1649" w:rsidRPr="00667748">
              <w:rPr>
                <w:bCs/>
              </w:rPr>
              <w:t>109</w:t>
            </w:r>
          </w:p>
          <w:p w:rsidR="00175478" w:rsidRPr="00E81AF6" w:rsidRDefault="00175478" w:rsidP="00175478">
            <w:pPr>
              <w:spacing w:before="144"/>
              <w:rPr>
                <w:bCs/>
              </w:rPr>
            </w:pPr>
            <w:r w:rsidRPr="00667748">
              <w:rPr>
                <w:bCs/>
              </w:rPr>
              <w:t>____________________________________</w:t>
            </w:r>
          </w:p>
        </w:tc>
        <w:tc>
          <w:tcPr>
            <w:tcW w:w="270" w:type="dxa"/>
            <w:tcBorders>
              <w:top w:val="nil"/>
              <w:left w:val="nil"/>
              <w:bottom w:val="nil"/>
              <w:right w:val="nil"/>
            </w:tcBorders>
          </w:tcPr>
          <w:p w:rsidR="00835F77" w:rsidRPr="00667748" w:rsidRDefault="00835F77">
            <w:pPr>
              <w:spacing w:before="144"/>
            </w:pPr>
            <w:r w:rsidRPr="00667748">
              <w:t>)</w:t>
            </w:r>
          </w:p>
          <w:p w:rsidR="00835F77" w:rsidRPr="00667748" w:rsidRDefault="00835F77">
            <w:r w:rsidRPr="00667748">
              <w:t>)</w:t>
            </w:r>
          </w:p>
          <w:p w:rsidR="00835F77" w:rsidRPr="00667748" w:rsidRDefault="00835F77">
            <w:r w:rsidRPr="00667748">
              <w:t>)</w:t>
            </w:r>
          </w:p>
          <w:p w:rsidR="00835F77" w:rsidRPr="00667748" w:rsidRDefault="00835F77">
            <w:r w:rsidRPr="00667748">
              <w:t>)</w:t>
            </w:r>
          </w:p>
          <w:p w:rsidR="00835F77" w:rsidRPr="00667748" w:rsidRDefault="00835F77">
            <w:r w:rsidRPr="00667748">
              <w:t>)</w:t>
            </w:r>
          </w:p>
          <w:p w:rsidR="00835F77" w:rsidRPr="00667748" w:rsidRDefault="00835F77">
            <w:r w:rsidRPr="00667748">
              <w:t>)</w:t>
            </w:r>
          </w:p>
          <w:p w:rsidR="00835F77" w:rsidRPr="00667748" w:rsidRDefault="00835F77">
            <w:r w:rsidRPr="00667748">
              <w:t>)</w:t>
            </w:r>
          </w:p>
          <w:p w:rsidR="00835F77" w:rsidRPr="00667748" w:rsidRDefault="00835F77">
            <w:r w:rsidRPr="00667748">
              <w:t>)</w:t>
            </w:r>
          </w:p>
          <w:p w:rsidR="00835F77" w:rsidRPr="00667748" w:rsidRDefault="00835F77"/>
        </w:tc>
        <w:tc>
          <w:tcPr>
            <w:tcW w:w="3996" w:type="dxa"/>
            <w:tcBorders>
              <w:top w:val="nil"/>
              <w:left w:val="nil"/>
              <w:bottom w:val="nil"/>
              <w:right w:val="nil"/>
            </w:tcBorders>
          </w:tcPr>
          <w:p w:rsidR="00835F77" w:rsidRPr="00667748" w:rsidRDefault="00835F77">
            <w:pPr>
              <w:spacing w:before="144"/>
            </w:pPr>
          </w:p>
          <w:p w:rsidR="00835F77" w:rsidRPr="00667748" w:rsidRDefault="00835F77">
            <w:bookmarkStart w:id="1" w:name="BM5"/>
            <w:bookmarkEnd w:id="1"/>
            <w:r w:rsidRPr="00667748">
              <w:t xml:space="preserve">DOCKET NO. </w:t>
            </w:r>
            <w:r w:rsidR="00DF5E0C" w:rsidRPr="00667748">
              <w:t>UE-</w:t>
            </w:r>
          </w:p>
          <w:p w:rsidR="00835F77" w:rsidRPr="00667748" w:rsidRDefault="00835F77"/>
          <w:p w:rsidR="00835F77" w:rsidRPr="00667748" w:rsidRDefault="00835F77">
            <w:bookmarkStart w:id="2" w:name="BM7"/>
            <w:bookmarkEnd w:id="2"/>
          </w:p>
          <w:p w:rsidR="00835F77" w:rsidRPr="00667748" w:rsidRDefault="00E81AF6" w:rsidP="00E81AF6">
            <w:r>
              <w:t>COMPLIANCE REPORT</w:t>
            </w:r>
            <w:r w:rsidR="004F31DF" w:rsidRPr="00667748">
              <w:t xml:space="preserve"> OF</w:t>
            </w:r>
            <w:r w:rsidR="00835F77" w:rsidRPr="00667748">
              <w:t xml:space="preserve"> AVISTA CORPORATION</w:t>
            </w:r>
          </w:p>
        </w:tc>
      </w:tr>
      <w:tr w:rsidR="00E81AF6" w:rsidRPr="00667748" w:rsidTr="004F31DF">
        <w:trPr>
          <w:cantSplit/>
        </w:trPr>
        <w:tc>
          <w:tcPr>
            <w:tcW w:w="4680" w:type="dxa"/>
            <w:tcBorders>
              <w:top w:val="nil"/>
              <w:left w:val="nil"/>
              <w:bottom w:val="nil"/>
              <w:right w:val="nil"/>
            </w:tcBorders>
          </w:tcPr>
          <w:p w:rsidR="00E81AF6" w:rsidRPr="00667748" w:rsidRDefault="00E81AF6" w:rsidP="00156A01">
            <w:pPr>
              <w:spacing w:before="144"/>
            </w:pPr>
          </w:p>
        </w:tc>
        <w:tc>
          <w:tcPr>
            <w:tcW w:w="270" w:type="dxa"/>
            <w:tcBorders>
              <w:top w:val="nil"/>
              <w:left w:val="nil"/>
              <w:bottom w:val="nil"/>
              <w:right w:val="nil"/>
            </w:tcBorders>
          </w:tcPr>
          <w:p w:rsidR="00E81AF6" w:rsidRPr="00667748" w:rsidRDefault="00E81AF6">
            <w:pPr>
              <w:spacing w:before="144"/>
            </w:pPr>
          </w:p>
        </w:tc>
        <w:tc>
          <w:tcPr>
            <w:tcW w:w="3996" w:type="dxa"/>
            <w:tcBorders>
              <w:top w:val="nil"/>
              <w:left w:val="nil"/>
              <w:bottom w:val="nil"/>
              <w:right w:val="nil"/>
            </w:tcBorders>
          </w:tcPr>
          <w:p w:rsidR="00E81AF6" w:rsidRPr="00667748" w:rsidRDefault="00E81AF6">
            <w:pPr>
              <w:spacing w:before="144"/>
            </w:pPr>
          </w:p>
        </w:tc>
      </w:tr>
    </w:tbl>
    <w:p w:rsidR="00835F77" w:rsidRDefault="0071546D" w:rsidP="007D4AD6">
      <w:r w:rsidRPr="00E5223B">
        <w:t xml:space="preserve">In compliance </w:t>
      </w:r>
      <w:r w:rsidR="00E81AF6">
        <w:t>with WAC 480-109-040</w:t>
      </w:r>
      <w:r w:rsidR="00724BA4" w:rsidRPr="00E5223B">
        <w:t>,</w:t>
      </w:r>
      <w:r w:rsidRPr="00E5223B">
        <w:t xml:space="preserve"> </w:t>
      </w:r>
      <w:r w:rsidR="00835F77" w:rsidRPr="00E5223B">
        <w:t>Avista Corporation (here</w:t>
      </w:r>
      <w:r w:rsidR="00223956">
        <w:t>inafter Avista</w:t>
      </w:r>
      <w:r w:rsidR="00835F77" w:rsidRPr="00E5223B">
        <w:t xml:space="preserve"> or Company) respectfu</w:t>
      </w:r>
      <w:r w:rsidR="004402B5">
        <w:t>l</w:t>
      </w:r>
      <w:r w:rsidR="00835F77" w:rsidRPr="00E5223B">
        <w:t xml:space="preserve">ly submits </w:t>
      </w:r>
      <w:r w:rsidR="00717550">
        <w:t>its</w:t>
      </w:r>
      <w:r w:rsidR="00835F77" w:rsidRPr="00E5223B">
        <w:t xml:space="preserve"> </w:t>
      </w:r>
      <w:r w:rsidR="00E81AF6" w:rsidRPr="00041B42">
        <w:t xml:space="preserve">report demonstrating compliance with the renewable energy component </w:t>
      </w:r>
      <w:r w:rsidR="00E81AF6">
        <w:t>of the Energy Independence Act in the above captured matter.</w:t>
      </w:r>
      <w:r w:rsidR="007D4AD6">
        <w:t xml:space="preserve"> A checklist of the required contents and a table of contents </w:t>
      </w:r>
      <w:proofErr w:type="gramStart"/>
      <w:r w:rsidR="007D4AD6">
        <w:t>is</w:t>
      </w:r>
      <w:proofErr w:type="gramEnd"/>
      <w:r w:rsidR="007D4AD6">
        <w:t xml:space="preserve"> below.</w:t>
      </w:r>
    </w:p>
    <w:p w:rsidR="007D4AD6" w:rsidRDefault="007D4AD6" w:rsidP="007D4AD6"/>
    <w:tbl>
      <w:tblPr>
        <w:tblStyle w:val="TableGrid"/>
        <w:tblW w:w="10008" w:type="dxa"/>
        <w:tblLook w:val="01E0"/>
      </w:tblPr>
      <w:tblGrid>
        <w:gridCol w:w="2898"/>
        <w:gridCol w:w="4770"/>
        <w:gridCol w:w="2340"/>
      </w:tblGrid>
      <w:tr w:rsidR="007D4AD6" w:rsidTr="007D4AD6">
        <w:trPr>
          <w:trHeight w:val="272"/>
        </w:trPr>
        <w:tc>
          <w:tcPr>
            <w:tcW w:w="2898" w:type="dxa"/>
          </w:tcPr>
          <w:p w:rsidR="007D4AD6" w:rsidRPr="00174090" w:rsidRDefault="007D4AD6" w:rsidP="001D6BCB">
            <w:pPr>
              <w:rPr>
                <w:b/>
              </w:rPr>
            </w:pPr>
            <w:r w:rsidRPr="00174090">
              <w:rPr>
                <w:b/>
              </w:rPr>
              <w:t>RCW</w:t>
            </w:r>
            <w:r>
              <w:rPr>
                <w:b/>
              </w:rPr>
              <w:t xml:space="preserve"> 19.285</w:t>
            </w:r>
          </w:p>
        </w:tc>
        <w:tc>
          <w:tcPr>
            <w:tcW w:w="4770" w:type="dxa"/>
          </w:tcPr>
          <w:p w:rsidR="007D4AD6" w:rsidRPr="00174090" w:rsidRDefault="007D4AD6" w:rsidP="001D6BCB">
            <w:pPr>
              <w:rPr>
                <w:b/>
              </w:rPr>
            </w:pPr>
            <w:r w:rsidRPr="00174090">
              <w:rPr>
                <w:b/>
              </w:rPr>
              <w:t>WAC</w:t>
            </w:r>
            <w:r>
              <w:rPr>
                <w:b/>
              </w:rPr>
              <w:t xml:space="preserve"> 480-109</w:t>
            </w:r>
          </w:p>
        </w:tc>
        <w:tc>
          <w:tcPr>
            <w:tcW w:w="2340" w:type="dxa"/>
          </w:tcPr>
          <w:p w:rsidR="007D4AD6" w:rsidRPr="00174090" w:rsidRDefault="007D4AD6" w:rsidP="001D6BCB">
            <w:pPr>
              <w:rPr>
                <w:b/>
              </w:rPr>
            </w:pPr>
            <w:r>
              <w:rPr>
                <w:b/>
              </w:rPr>
              <w:t>Section/</w:t>
            </w:r>
            <w:r w:rsidRPr="00174090">
              <w:rPr>
                <w:b/>
              </w:rPr>
              <w:t>Page</w:t>
            </w:r>
          </w:p>
        </w:tc>
      </w:tr>
      <w:tr w:rsidR="007D4AD6" w:rsidTr="007D4AD6">
        <w:trPr>
          <w:trHeight w:val="2492"/>
        </w:trPr>
        <w:tc>
          <w:tcPr>
            <w:tcW w:w="2898" w:type="dxa"/>
          </w:tcPr>
          <w:p w:rsidR="007D4AD6" w:rsidRDefault="007D4AD6" w:rsidP="001D6BCB">
            <w:r>
              <w:t xml:space="preserve">For each year that a qualifying utility elects to demonstrate alternative compliance under RCW </w:t>
            </w:r>
            <w:hyperlink r:id="rId10" w:history="1">
              <w:r>
                <w:rPr>
                  <w:rStyle w:val="Hyperlink"/>
                </w:rPr>
                <w:t>19.285.040</w:t>
              </w:r>
            </w:hyperlink>
            <w:r>
              <w:t xml:space="preserve">(2) (d) or (i) or </w:t>
            </w:r>
            <w:hyperlink r:id="rId11" w:history="1">
              <w:r>
                <w:rPr>
                  <w:rStyle w:val="Hyperlink"/>
                </w:rPr>
                <w:t>19.285.050</w:t>
              </w:r>
            </w:hyperlink>
            <w:r>
              <w:t>(1), it must include in its annual report relevant data to demonstrate that it met the criteria in that section.</w:t>
            </w:r>
          </w:p>
        </w:tc>
        <w:tc>
          <w:tcPr>
            <w:tcW w:w="4770" w:type="dxa"/>
          </w:tcPr>
          <w:p w:rsidR="007D4AD6" w:rsidRDefault="007D4AD6" w:rsidP="001D6BCB">
            <w:r>
              <w:t xml:space="preserve">The report must state if the utility is relying upon one of the alternative compliance mechanisms provided in WAC </w:t>
            </w:r>
            <w:hyperlink r:id="rId12" w:history="1">
              <w:r>
                <w:rPr>
                  <w:rStyle w:val="Hyperlink"/>
                </w:rPr>
                <w:t>480-109-030</w:t>
              </w:r>
            </w:hyperlink>
            <w:r>
              <w:t xml:space="preserve"> instead of meeting its renewable resource target. A utility using an alternative compliance mechanism must include sufficient data, documentation and other information in its report to demonstrate that it qualifies to use that alternative mechanism.</w:t>
            </w:r>
          </w:p>
        </w:tc>
        <w:tc>
          <w:tcPr>
            <w:tcW w:w="2340" w:type="dxa"/>
          </w:tcPr>
          <w:p w:rsidR="007D4AD6" w:rsidRDefault="007D4AD6" w:rsidP="001D6BCB">
            <w:pPr>
              <w:rPr>
                <w:b/>
              </w:rPr>
            </w:pPr>
            <w:r w:rsidRPr="00A2108B">
              <w:rPr>
                <w:b/>
              </w:rPr>
              <w:t>Alternative Compliance</w:t>
            </w:r>
          </w:p>
          <w:p w:rsidR="007D4AD6" w:rsidRDefault="007D4AD6" w:rsidP="001D6BCB"/>
          <w:p w:rsidR="007D4AD6" w:rsidRDefault="007D4AD6" w:rsidP="007D4AD6">
            <w:r>
              <w:t>Page 3</w:t>
            </w:r>
          </w:p>
        </w:tc>
      </w:tr>
      <w:tr w:rsidR="007D4AD6" w:rsidTr="007D4AD6">
        <w:trPr>
          <w:trHeight w:val="560"/>
        </w:trPr>
        <w:tc>
          <w:tcPr>
            <w:tcW w:w="2898" w:type="dxa"/>
          </w:tcPr>
          <w:p w:rsidR="007D4AD6" w:rsidRDefault="007D4AD6" w:rsidP="001D6BCB">
            <w:r>
              <w:t>the utility's annual load for the prior two years,</w:t>
            </w:r>
          </w:p>
        </w:tc>
        <w:tc>
          <w:tcPr>
            <w:tcW w:w="4770" w:type="dxa"/>
          </w:tcPr>
          <w:p w:rsidR="007D4AD6" w:rsidRDefault="007D4AD6" w:rsidP="001D6BCB">
            <w:r>
              <w:t>the utility's annual load for the prior two years,</w:t>
            </w:r>
          </w:p>
        </w:tc>
        <w:tc>
          <w:tcPr>
            <w:tcW w:w="2340" w:type="dxa"/>
          </w:tcPr>
          <w:p w:rsidR="007D4AD6" w:rsidRPr="007828F3" w:rsidRDefault="007D4AD6" w:rsidP="001D6BCB">
            <w:pPr>
              <w:rPr>
                <w:b/>
              </w:rPr>
            </w:pPr>
            <w:r w:rsidRPr="007828F3">
              <w:rPr>
                <w:b/>
              </w:rPr>
              <w:t>Annual Load For Previous Two Years</w:t>
            </w:r>
          </w:p>
          <w:p w:rsidR="007D4AD6" w:rsidRDefault="007D4AD6" w:rsidP="001D6BCB"/>
          <w:p w:rsidR="007D4AD6" w:rsidRDefault="007D4AD6" w:rsidP="001D6BCB">
            <w:r>
              <w:t>Page 3</w:t>
            </w:r>
          </w:p>
        </w:tc>
      </w:tr>
      <w:tr w:rsidR="007D4AD6" w:rsidTr="007D4AD6">
        <w:trPr>
          <w:trHeight w:val="1394"/>
        </w:trPr>
        <w:tc>
          <w:tcPr>
            <w:tcW w:w="2898" w:type="dxa"/>
          </w:tcPr>
          <w:p w:rsidR="007D4AD6" w:rsidRDefault="007D4AD6" w:rsidP="001D6BCB">
            <w:r>
              <w:t>the amount of megawatt-hours needed to meet the annual renewable energy target,</w:t>
            </w:r>
          </w:p>
          <w:p w:rsidR="007D4AD6" w:rsidRDefault="007D4AD6" w:rsidP="001D6BCB"/>
        </w:tc>
        <w:tc>
          <w:tcPr>
            <w:tcW w:w="4770" w:type="dxa"/>
          </w:tcPr>
          <w:p w:rsidR="007D4AD6" w:rsidRDefault="007D4AD6" w:rsidP="001D6BCB">
            <w:r>
              <w:t>the total number of megawatt-hours from eligible renewable resources and/or renewable resource credits the utility needed to meet its annual renewable energy target by January 1 of the target year</w:t>
            </w:r>
          </w:p>
        </w:tc>
        <w:tc>
          <w:tcPr>
            <w:tcW w:w="2340" w:type="dxa"/>
          </w:tcPr>
          <w:p w:rsidR="007D4AD6" w:rsidRPr="007828F3" w:rsidRDefault="007D4AD6" w:rsidP="001D6BCB">
            <w:pPr>
              <w:rPr>
                <w:b/>
              </w:rPr>
            </w:pPr>
            <w:r>
              <w:rPr>
                <w:b/>
              </w:rPr>
              <w:t>Renewable Energy Target</w:t>
            </w:r>
          </w:p>
          <w:p w:rsidR="007D4AD6" w:rsidRDefault="007D4AD6" w:rsidP="001D6BCB"/>
          <w:p w:rsidR="007D4AD6" w:rsidRDefault="007D4AD6" w:rsidP="001D6BCB">
            <w:r>
              <w:t xml:space="preserve">Page </w:t>
            </w:r>
            <w:r w:rsidR="00151E58">
              <w:t>4</w:t>
            </w:r>
          </w:p>
        </w:tc>
      </w:tr>
      <w:tr w:rsidR="007D4AD6" w:rsidTr="007D4AD6">
        <w:trPr>
          <w:trHeight w:val="1763"/>
        </w:trPr>
        <w:tc>
          <w:tcPr>
            <w:tcW w:w="2898" w:type="dxa"/>
          </w:tcPr>
          <w:p w:rsidR="007D4AD6" w:rsidRDefault="007D4AD6" w:rsidP="001D6BCB">
            <w:r>
              <w:t>the amount of megawatt-hours of each type of eligible renewable resource acquired,</w:t>
            </w:r>
          </w:p>
          <w:p w:rsidR="007D4AD6" w:rsidRDefault="007D4AD6" w:rsidP="001D6BCB">
            <w:r>
              <w:t>the type and amount of renewable energy credits acquired,</w:t>
            </w:r>
          </w:p>
          <w:p w:rsidR="007D4AD6" w:rsidRDefault="007D4AD6" w:rsidP="001D6BCB"/>
        </w:tc>
        <w:tc>
          <w:tcPr>
            <w:tcW w:w="4770" w:type="dxa"/>
          </w:tcPr>
          <w:p w:rsidR="007D4AD6" w:rsidRDefault="007D4AD6" w:rsidP="001D6BCB">
            <w:r>
              <w:t>the amount (in megawatt-hours) and cost of each type of eligible renewable resource used</w:t>
            </w:r>
          </w:p>
          <w:p w:rsidR="007D4AD6" w:rsidRDefault="007D4AD6" w:rsidP="001D6BCB"/>
        </w:tc>
        <w:tc>
          <w:tcPr>
            <w:tcW w:w="2340" w:type="dxa"/>
          </w:tcPr>
          <w:p w:rsidR="007D4AD6" w:rsidRDefault="007D4AD6" w:rsidP="001D6BCB">
            <w:pPr>
              <w:rPr>
                <w:b/>
              </w:rPr>
            </w:pPr>
            <w:r w:rsidRPr="00DB0713">
              <w:rPr>
                <w:b/>
              </w:rPr>
              <w:t>Renewable Energy Acquired To Have Met Renewable Energy Target</w:t>
            </w:r>
          </w:p>
          <w:p w:rsidR="007D4AD6" w:rsidRDefault="007D4AD6" w:rsidP="001D6BCB"/>
          <w:p w:rsidR="007D4AD6" w:rsidRPr="00DB0713" w:rsidRDefault="007D4AD6" w:rsidP="00D44060">
            <w:r>
              <w:t>Page 4</w:t>
            </w:r>
          </w:p>
        </w:tc>
      </w:tr>
      <w:tr w:rsidR="007D4AD6" w:rsidTr="007D4AD6">
        <w:trPr>
          <w:trHeight w:val="272"/>
        </w:trPr>
        <w:tc>
          <w:tcPr>
            <w:tcW w:w="2898" w:type="dxa"/>
          </w:tcPr>
          <w:p w:rsidR="007D4AD6" w:rsidRDefault="007D4AD6" w:rsidP="001D6BCB"/>
          <w:p w:rsidR="007D4AD6" w:rsidRDefault="007D4AD6" w:rsidP="001D6BCB">
            <w:proofErr w:type="gramStart"/>
            <w:r>
              <w:t>the</w:t>
            </w:r>
            <w:proofErr w:type="gramEnd"/>
            <w:r>
              <w:t xml:space="preserve"> percent of its total annual retail revenue requirement invested in the incremental cost of eligible renewable resources and the cost of renewable energy credits.</w:t>
            </w:r>
          </w:p>
          <w:p w:rsidR="007D4AD6" w:rsidRDefault="007D4AD6" w:rsidP="001D6BCB"/>
        </w:tc>
        <w:tc>
          <w:tcPr>
            <w:tcW w:w="4770" w:type="dxa"/>
          </w:tcPr>
          <w:p w:rsidR="007D4AD6" w:rsidRDefault="007D4AD6" w:rsidP="001D6BCB"/>
          <w:p w:rsidR="007D4AD6" w:rsidRDefault="007D4AD6" w:rsidP="001D6BCB">
            <w:r>
              <w:t>the type and cost (per megawatt-hour) of the least-cost substitute resources available to the utility that do not qualify as eligible renewable resources, the incremental cost of eligible renewable resources and renewable energy credits, and the ratio of this investment relative to the utility's total annual retail revenue requirement.</w:t>
            </w:r>
          </w:p>
        </w:tc>
        <w:tc>
          <w:tcPr>
            <w:tcW w:w="2340" w:type="dxa"/>
          </w:tcPr>
          <w:p w:rsidR="007D4AD6" w:rsidRDefault="007D4AD6" w:rsidP="001D6BCB">
            <w:pPr>
              <w:rPr>
                <w:b/>
              </w:rPr>
            </w:pPr>
          </w:p>
          <w:p w:rsidR="007D4AD6" w:rsidRDefault="007D4AD6" w:rsidP="001D6BCB">
            <w:pPr>
              <w:rPr>
                <w:b/>
              </w:rPr>
            </w:pPr>
            <w:r w:rsidRPr="00DB0713">
              <w:rPr>
                <w:b/>
              </w:rPr>
              <w:t>Incremental Cost Compared To Annual Retail Revenue Requirement</w:t>
            </w:r>
          </w:p>
          <w:p w:rsidR="007D4AD6" w:rsidRDefault="007D4AD6" w:rsidP="001D6BCB">
            <w:pPr>
              <w:rPr>
                <w:b/>
              </w:rPr>
            </w:pPr>
          </w:p>
          <w:p w:rsidR="007D4AD6" w:rsidRPr="00DB0713" w:rsidRDefault="007D4AD6" w:rsidP="00D44060">
            <w:r>
              <w:t xml:space="preserve">Page 5 </w:t>
            </w:r>
          </w:p>
        </w:tc>
      </w:tr>
      <w:tr w:rsidR="007D4AD6" w:rsidTr="007D4AD6">
        <w:trPr>
          <w:trHeight w:val="288"/>
        </w:trPr>
        <w:tc>
          <w:tcPr>
            <w:tcW w:w="2898" w:type="dxa"/>
          </w:tcPr>
          <w:p w:rsidR="007D4AD6" w:rsidRDefault="007D4AD6" w:rsidP="001D6BCB"/>
        </w:tc>
        <w:tc>
          <w:tcPr>
            <w:tcW w:w="4770" w:type="dxa"/>
          </w:tcPr>
          <w:p w:rsidR="007D4AD6" w:rsidRDefault="007D4AD6" w:rsidP="001D6BCB">
            <w:r>
              <w:t>The report must describe the steps the utility is taking to meet the renewable resource requirements for the current year. This description should indicate whether the utility plans to use or acquire its own renewable resources, plans to or has acquired contracted renewable resources, or plans to use an alternative compliance mechanism.</w:t>
            </w:r>
          </w:p>
        </w:tc>
        <w:tc>
          <w:tcPr>
            <w:tcW w:w="2340" w:type="dxa"/>
          </w:tcPr>
          <w:p w:rsidR="007D4AD6" w:rsidRPr="00D55F50" w:rsidRDefault="007D4AD6" w:rsidP="001D6BCB">
            <w:r w:rsidRPr="00D55F50">
              <w:rPr>
                <w:b/>
              </w:rPr>
              <w:t>Current Year Progress</w:t>
            </w:r>
          </w:p>
          <w:p w:rsidR="007D4AD6" w:rsidRDefault="007D4AD6" w:rsidP="001D6BCB"/>
          <w:p w:rsidR="007D4AD6" w:rsidRDefault="007D4AD6" w:rsidP="007D4AD6">
            <w:r>
              <w:t>Page 6</w:t>
            </w:r>
          </w:p>
        </w:tc>
      </w:tr>
    </w:tbl>
    <w:p w:rsidR="000D56A3" w:rsidRDefault="000D56A3"/>
    <w:p w:rsidR="006A1B7C" w:rsidRDefault="006A1B7C"/>
    <w:p w:rsidR="00835F77" w:rsidRDefault="00835F77" w:rsidP="000D56A3">
      <w:pPr>
        <w:pStyle w:val="Heading1"/>
      </w:pPr>
      <w:bookmarkStart w:id="3" w:name="_Toc307915603"/>
      <w:r>
        <w:t>I</w:t>
      </w:r>
      <w:r w:rsidR="00364527">
        <w:t xml:space="preserve">.    </w:t>
      </w:r>
      <w:bookmarkEnd w:id="3"/>
      <w:r w:rsidR="00364527">
        <w:t>BACKGROUND</w:t>
      </w:r>
    </w:p>
    <w:p w:rsidR="00835F77" w:rsidRDefault="00835F77" w:rsidP="005042B0">
      <w:pPr>
        <w:jc w:val="center"/>
      </w:pPr>
    </w:p>
    <w:p w:rsidR="00717550" w:rsidRDefault="00F97C2D" w:rsidP="00717550">
      <w:pPr>
        <w:pStyle w:val="NormalWeb"/>
        <w:spacing w:line="480" w:lineRule="auto"/>
        <w:ind w:firstLine="720"/>
        <w:jc w:val="both"/>
      </w:pPr>
      <w:r w:rsidRPr="00226668">
        <w:t xml:space="preserve">RCW </w:t>
      </w:r>
      <w:r w:rsidR="00D44060">
        <w:t xml:space="preserve">Chapter </w:t>
      </w:r>
      <w:r w:rsidR="00CB1C82" w:rsidRPr="00226668">
        <w:t>19.285</w:t>
      </w:r>
      <w:r w:rsidR="00CB1C82">
        <w:t>,</w:t>
      </w:r>
      <w:r w:rsidR="00CB1C82" w:rsidRPr="00226668">
        <w:rPr>
          <w:color w:val="000000"/>
        </w:rPr>
        <w:t xml:space="preserve"> </w:t>
      </w:r>
      <w:r w:rsidR="00467A08">
        <w:rPr>
          <w:color w:val="000000"/>
        </w:rPr>
        <w:t xml:space="preserve">the </w:t>
      </w:r>
      <w:r w:rsidR="00CB1C82" w:rsidRPr="00226668">
        <w:rPr>
          <w:color w:val="000000"/>
        </w:rPr>
        <w:t xml:space="preserve">Energy </w:t>
      </w:r>
      <w:r w:rsidR="00CB1C82">
        <w:rPr>
          <w:color w:val="000000"/>
        </w:rPr>
        <w:t>Independence Act</w:t>
      </w:r>
      <w:r w:rsidR="00CD6730">
        <w:rPr>
          <w:color w:val="000000"/>
        </w:rPr>
        <w:t>,</w:t>
      </w:r>
      <w:r w:rsidR="00CB1C82">
        <w:rPr>
          <w:color w:val="000000"/>
        </w:rPr>
        <w:t xml:space="preserve"> also known as </w:t>
      </w:r>
      <w:r w:rsidR="00B061E4" w:rsidRPr="00226668">
        <w:rPr>
          <w:color w:val="000000"/>
        </w:rPr>
        <w:t>Initiative Measure No. 937</w:t>
      </w:r>
      <w:r w:rsidR="00CB1C82">
        <w:rPr>
          <w:color w:val="000000"/>
        </w:rPr>
        <w:t xml:space="preserve"> or </w:t>
      </w:r>
      <w:r w:rsidR="00B061E4">
        <w:rPr>
          <w:color w:val="000000"/>
        </w:rPr>
        <w:t>I-937</w:t>
      </w:r>
      <w:r w:rsidR="00B061E4" w:rsidRPr="00226668">
        <w:rPr>
          <w:color w:val="000000"/>
        </w:rPr>
        <w:t xml:space="preserve">, </w:t>
      </w:r>
      <w:r w:rsidR="00717550" w:rsidRPr="00073D42">
        <w:t>requires large utilities to obtain fifteen percent of their electricity from new renewable resources such as solar and wind by 2020 and undertake cost-effective energy conservation.</w:t>
      </w:r>
      <w:r w:rsidR="00717550">
        <w:t xml:space="preserve"> </w:t>
      </w:r>
    </w:p>
    <w:p w:rsidR="007D4AD6" w:rsidRDefault="00717550" w:rsidP="00717550">
      <w:pPr>
        <w:pStyle w:val="NormalWeb"/>
        <w:spacing w:line="480" w:lineRule="auto"/>
        <w:ind w:firstLine="720"/>
        <w:jc w:val="both"/>
      </w:pPr>
      <w:r>
        <w:t>The Commission adopted</w:t>
      </w:r>
      <w:r w:rsidRPr="004538CE">
        <w:t xml:space="preserve"> WAC </w:t>
      </w:r>
      <w:r w:rsidR="00D44060">
        <w:t xml:space="preserve">Chapter </w:t>
      </w:r>
      <w:r w:rsidRPr="004538CE">
        <w:t xml:space="preserve">480-109, </w:t>
      </w:r>
      <w:r w:rsidRPr="00F07B0C">
        <w:rPr>
          <w:i/>
        </w:rPr>
        <w:t>Acquisition of Minimum Quantities of Conservation and Renewable Energy</w:t>
      </w:r>
      <w:r>
        <w:t xml:space="preserve"> to effectuate RCW </w:t>
      </w:r>
      <w:r w:rsidR="00D44060">
        <w:t xml:space="preserve">Chapter </w:t>
      </w:r>
      <w:r>
        <w:t>19.285</w:t>
      </w:r>
      <w:r w:rsidRPr="004538CE">
        <w:t>.</w:t>
      </w:r>
      <w:r>
        <w:t xml:space="preserve"> The compliance </w:t>
      </w:r>
      <w:r w:rsidRPr="009A62F8">
        <w:t>report</w:t>
      </w:r>
      <w:r>
        <w:t>, per WAC 480-109-040</w:t>
      </w:r>
      <w:r w:rsidR="005948C8">
        <w:t>,</w:t>
      </w:r>
      <w:r w:rsidRPr="009A62F8">
        <w:t xml:space="preserve"> must include</w:t>
      </w:r>
      <w:r w:rsidR="007D4AD6">
        <w:t>:</w:t>
      </w:r>
    </w:p>
    <w:p w:rsidR="007D4AD6" w:rsidRDefault="007D4AD6" w:rsidP="007D4AD6">
      <w:pPr>
        <w:pStyle w:val="NormalWeb"/>
        <w:numPr>
          <w:ilvl w:val="0"/>
          <w:numId w:val="31"/>
        </w:numPr>
        <w:spacing w:line="480" w:lineRule="auto"/>
        <w:ind w:left="360"/>
        <w:jc w:val="both"/>
      </w:pPr>
      <w:r>
        <w:t>T</w:t>
      </w:r>
      <w:r w:rsidR="00717550" w:rsidRPr="009A62F8">
        <w:t>he utility's annual load for the prior two years</w:t>
      </w:r>
      <w:r>
        <w:t>;</w:t>
      </w:r>
    </w:p>
    <w:p w:rsidR="007D4AD6" w:rsidRDefault="007D4AD6" w:rsidP="007D4AD6">
      <w:pPr>
        <w:pStyle w:val="NormalWeb"/>
        <w:numPr>
          <w:ilvl w:val="0"/>
          <w:numId w:val="31"/>
        </w:numPr>
        <w:spacing w:line="480" w:lineRule="auto"/>
        <w:ind w:left="360"/>
        <w:jc w:val="both"/>
      </w:pPr>
      <w:r>
        <w:t>T</w:t>
      </w:r>
      <w:r w:rsidR="00717550" w:rsidRPr="009A62F8">
        <w:t>he total number of megawatt-hours from eligible renewable resources and/or renewable resource credits the utility needed to meet its annual renewable energy target by January 1 of the target year</w:t>
      </w:r>
      <w:r>
        <w:t>;</w:t>
      </w:r>
    </w:p>
    <w:p w:rsidR="007D4AD6" w:rsidRDefault="007D4AD6" w:rsidP="007D4AD6">
      <w:pPr>
        <w:pStyle w:val="NormalWeb"/>
        <w:numPr>
          <w:ilvl w:val="0"/>
          <w:numId w:val="31"/>
        </w:numPr>
        <w:spacing w:line="480" w:lineRule="auto"/>
        <w:ind w:left="360"/>
        <w:jc w:val="both"/>
      </w:pPr>
      <w:r>
        <w:lastRenderedPageBreak/>
        <w:t>T</w:t>
      </w:r>
      <w:r w:rsidR="00717550" w:rsidRPr="009A62F8">
        <w:t>he amount (in megawatt-hours) and cost of each type of eligible renewable resource used</w:t>
      </w:r>
      <w:r>
        <w:t>;</w:t>
      </w:r>
    </w:p>
    <w:p w:rsidR="007D4AD6" w:rsidRDefault="007D4AD6" w:rsidP="007D4AD6">
      <w:pPr>
        <w:pStyle w:val="NormalWeb"/>
        <w:numPr>
          <w:ilvl w:val="0"/>
          <w:numId w:val="31"/>
        </w:numPr>
        <w:spacing w:line="480" w:lineRule="auto"/>
        <w:ind w:left="360"/>
        <w:jc w:val="both"/>
      </w:pPr>
      <w:r>
        <w:t>T</w:t>
      </w:r>
      <w:r w:rsidR="00717550" w:rsidRPr="009A62F8">
        <w:t>he amount (in megawatt-hours) and cost of renewable energy credits acquired</w:t>
      </w:r>
      <w:r>
        <w:t>;</w:t>
      </w:r>
      <w:r w:rsidR="00717550" w:rsidRPr="009A62F8">
        <w:t xml:space="preserve"> </w:t>
      </w:r>
    </w:p>
    <w:p w:rsidR="007D4AD6" w:rsidRDefault="007D4AD6" w:rsidP="007D4AD6">
      <w:pPr>
        <w:pStyle w:val="NormalWeb"/>
        <w:numPr>
          <w:ilvl w:val="0"/>
          <w:numId w:val="31"/>
        </w:numPr>
        <w:spacing w:line="480" w:lineRule="auto"/>
        <w:ind w:left="360"/>
        <w:jc w:val="both"/>
      </w:pPr>
      <w:r>
        <w:t>T</w:t>
      </w:r>
      <w:r w:rsidR="00717550" w:rsidRPr="009A62F8">
        <w:t>he type and cost (per megawatt-hour) of the least-cost substitute resources available to the utility that do not qualify as eligible renewable resources</w:t>
      </w:r>
      <w:r>
        <w:t>;</w:t>
      </w:r>
      <w:r w:rsidR="00717550" w:rsidRPr="009A62F8">
        <w:t xml:space="preserve"> </w:t>
      </w:r>
    </w:p>
    <w:p w:rsidR="007D4AD6" w:rsidRDefault="007D4AD6" w:rsidP="007D4AD6">
      <w:pPr>
        <w:pStyle w:val="NormalWeb"/>
        <w:numPr>
          <w:ilvl w:val="0"/>
          <w:numId w:val="31"/>
        </w:numPr>
        <w:spacing w:line="480" w:lineRule="auto"/>
        <w:ind w:left="360"/>
        <w:jc w:val="both"/>
      </w:pPr>
      <w:r>
        <w:t>T</w:t>
      </w:r>
      <w:r w:rsidR="00717550" w:rsidRPr="009A62F8">
        <w:t>he incremental cost of eligible renewable resources and renewable energy credits</w:t>
      </w:r>
      <w:r>
        <w:t>;</w:t>
      </w:r>
      <w:r w:rsidR="00717550" w:rsidRPr="009A62F8">
        <w:t xml:space="preserve"> and </w:t>
      </w:r>
    </w:p>
    <w:p w:rsidR="00FB7660" w:rsidRDefault="007D4AD6" w:rsidP="007D4AD6">
      <w:pPr>
        <w:pStyle w:val="NormalWeb"/>
        <w:numPr>
          <w:ilvl w:val="0"/>
          <w:numId w:val="31"/>
        </w:numPr>
        <w:spacing w:line="480" w:lineRule="auto"/>
        <w:ind w:left="360"/>
        <w:jc w:val="both"/>
      </w:pPr>
      <w:r>
        <w:t>T</w:t>
      </w:r>
      <w:r w:rsidR="00717550" w:rsidRPr="009A62F8">
        <w:t xml:space="preserve">he ratio of </w:t>
      </w:r>
      <w:r>
        <w:t xml:space="preserve">the incremental cost of the qualifying renewable resources </w:t>
      </w:r>
      <w:r w:rsidR="00717550" w:rsidRPr="009A62F8">
        <w:t>relative to the utility's total annual retail revenue requirement.</w:t>
      </w:r>
      <w:r w:rsidR="00226668" w:rsidRPr="00226668">
        <w:t xml:space="preserve"> </w:t>
      </w:r>
      <w:r w:rsidR="00F97C2D">
        <w:t xml:space="preserve">  </w:t>
      </w:r>
      <w:r w:rsidR="004538CE" w:rsidRPr="004538CE">
        <w:t xml:space="preserve">  </w:t>
      </w:r>
    </w:p>
    <w:p w:rsidR="00E81AF6" w:rsidRPr="00E81AF6" w:rsidRDefault="00E81AF6" w:rsidP="00F86220">
      <w:pPr>
        <w:ind w:left="1440" w:hanging="540"/>
        <w:jc w:val="center"/>
        <w:rPr>
          <w:b/>
          <w:sz w:val="28"/>
        </w:rPr>
      </w:pPr>
      <w:r w:rsidRPr="00F86220">
        <w:rPr>
          <w:b/>
        </w:rPr>
        <w:t>II.</w:t>
      </w:r>
      <w:r>
        <w:rPr>
          <w:b/>
          <w:sz w:val="28"/>
        </w:rPr>
        <w:tab/>
      </w:r>
      <w:r w:rsidR="00F86220" w:rsidRPr="00F86220">
        <w:rPr>
          <w:b/>
        </w:rPr>
        <w:t>ALTERNATIVE COMPLIANCE</w:t>
      </w:r>
    </w:p>
    <w:p w:rsidR="00E81AF6" w:rsidRDefault="00E81AF6" w:rsidP="00E81AF6"/>
    <w:p w:rsidR="00E81AF6" w:rsidRDefault="00E81AF6" w:rsidP="00F86220">
      <w:pPr>
        <w:spacing w:line="480" w:lineRule="auto"/>
        <w:ind w:firstLine="720"/>
      </w:pPr>
      <w:r>
        <w:t xml:space="preserve">WAC 480-109-030 provides three alternatives for meeting renewable resource requirements, including: </w:t>
      </w:r>
    </w:p>
    <w:p w:rsidR="00E81AF6" w:rsidRDefault="00E81AF6" w:rsidP="007D4AD6">
      <w:pPr>
        <w:pStyle w:val="ListParagraph"/>
        <w:numPr>
          <w:ilvl w:val="0"/>
          <w:numId w:val="33"/>
        </w:numPr>
        <w:ind w:left="360"/>
        <w:jc w:val="both"/>
      </w:pPr>
      <w:r>
        <w:t xml:space="preserve">Investment of at least four percent of the Company’s total annual retail revenue requirement on the incremental costs associated with the procurement of qualified renewable energy or renewable energy credits; </w:t>
      </w:r>
    </w:p>
    <w:p w:rsidR="00E81AF6" w:rsidRDefault="00E81AF6" w:rsidP="007D4AD6">
      <w:pPr>
        <w:pStyle w:val="ListParagraph"/>
        <w:numPr>
          <w:ilvl w:val="0"/>
          <w:numId w:val="33"/>
        </w:numPr>
        <w:ind w:left="360"/>
        <w:jc w:val="both"/>
      </w:pPr>
      <w:r>
        <w:t xml:space="preserve">Events beyond reasonable control prevented the utility from meeting the renewable energy target; and </w:t>
      </w:r>
    </w:p>
    <w:p w:rsidR="00E81AF6" w:rsidRDefault="00E81AF6" w:rsidP="007D4AD6">
      <w:pPr>
        <w:pStyle w:val="ListParagraph"/>
        <w:numPr>
          <w:ilvl w:val="0"/>
          <w:numId w:val="33"/>
        </w:numPr>
        <w:ind w:left="360"/>
        <w:jc w:val="both"/>
      </w:pPr>
      <w:r>
        <w:t xml:space="preserve">The utility experiencing zero load growth over the past three years. </w:t>
      </w:r>
    </w:p>
    <w:p w:rsidR="00E81AF6" w:rsidRDefault="00E81AF6" w:rsidP="00E81AF6"/>
    <w:p w:rsidR="00E81AF6" w:rsidRDefault="00E81AF6" w:rsidP="00F86220">
      <w:pPr>
        <w:spacing w:line="480" w:lineRule="auto"/>
        <w:ind w:firstLine="720"/>
        <w:jc w:val="both"/>
      </w:pPr>
      <w:r>
        <w:t>Avista does not anticipate using an alternative to the renewable resource requirement for the 2012 target. The Company plans to meet its r</w:t>
      </w:r>
      <w:r w:rsidRPr="005C573F">
        <w:t xml:space="preserve">enewable </w:t>
      </w:r>
      <w:r>
        <w:t>resource</w:t>
      </w:r>
      <w:r w:rsidRPr="005C573F">
        <w:t xml:space="preserve"> compliance using a combination of renewable energy credits and qualifying hydroelectric plant upgrades.</w:t>
      </w:r>
    </w:p>
    <w:p w:rsidR="00E81AF6" w:rsidRPr="005C573F" w:rsidRDefault="00E81AF6" w:rsidP="00E81AF6">
      <w:r w:rsidRPr="005C573F">
        <w:t xml:space="preserve"> </w:t>
      </w:r>
    </w:p>
    <w:p w:rsidR="00E81AF6" w:rsidRPr="00F86220" w:rsidRDefault="00F86220" w:rsidP="00F86220">
      <w:pPr>
        <w:jc w:val="center"/>
        <w:rPr>
          <w:b/>
        </w:rPr>
      </w:pPr>
      <w:r>
        <w:rPr>
          <w:b/>
        </w:rPr>
        <w:t>III.</w:t>
      </w:r>
      <w:r>
        <w:rPr>
          <w:b/>
        </w:rPr>
        <w:tab/>
      </w:r>
      <w:r w:rsidRPr="00F86220">
        <w:rPr>
          <w:b/>
        </w:rPr>
        <w:t>ANNUAL LOAD FOR PREVIOUS TWO YEARS</w:t>
      </w:r>
    </w:p>
    <w:p w:rsidR="00F86220" w:rsidRDefault="00F86220" w:rsidP="00E81AF6"/>
    <w:p w:rsidR="00E81AF6" w:rsidRDefault="00E81AF6" w:rsidP="00F86220">
      <w:pPr>
        <w:spacing w:line="480" w:lineRule="auto"/>
        <w:ind w:firstLine="720"/>
        <w:jc w:val="both"/>
      </w:pPr>
      <w:r>
        <w:t>Renewable targets for the compliance year are based on average Washington State retail loads from the two prior years. Avista’s annual delivered load to Washington retail customers was 5,467,176 MWh in 2010 and 5,602,601 MWh in 2011. The Company’s average retail load used for 2012 compliance is 5,534,889 MWh.</w:t>
      </w:r>
    </w:p>
    <w:p w:rsidR="007D4AD6" w:rsidRDefault="007D4AD6" w:rsidP="00F86220">
      <w:pPr>
        <w:spacing w:line="480" w:lineRule="auto"/>
        <w:ind w:firstLine="720"/>
        <w:jc w:val="both"/>
      </w:pPr>
    </w:p>
    <w:p w:rsidR="00E81AF6" w:rsidRPr="00F86220" w:rsidRDefault="00F86220" w:rsidP="00F86220">
      <w:pPr>
        <w:jc w:val="center"/>
        <w:rPr>
          <w:b/>
        </w:rPr>
      </w:pPr>
      <w:r>
        <w:rPr>
          <w:b/>
        </w:rPr>
        <w:lastRenderedPageBreak/>
        <w:t>IV.</w:t>
      </w:r>
      <w:r>
        <w:rPr>
          <w:b/>
        </w:rPr>
        <w:tab/>
      </w:r>
      <w:r w:rsidRPr="00F86220">
        <w:rPr>
          <w:b/>
        </w:rPr>
        <w:t>RENEWABLE ENERGY TARGET</w:t>
      </w:r>
    </w:p>
    <w:p w:rsidR="00F86220" w:rsidRDefault="00F86220" w:rsidP="00E81AF6"/>
    <w:p w:rsidR="00E81AF6" w:rsidRDefault="00467A08" w:rsidP="00F86220">
      <w:pPr>
        <w:spacing w:line="480" w:lineRule="auto"/>
        <w:ind w:firstLine="720"/>
      </w:pPr>
      <w:r>
        <w:t>Per RCW 19.285.040, there is no renewable resource target for 2011. The following information is for the 2012 compliance year</w:t>
      </w:r>
      <w:r w:rsidR="009B31C1">
        <w:t>, which has a 3 percent qualified renewable energy</w:t>
      </w:r>
      <w:r w:rsidR="007D4AD6">
        <w:t xml:space="preserve"> target</w:t>
      </w:r>
      <w:r w:rsidR="009B31C1">
        <w:t xml:space="preserve">. </w:t>
      </w:r>
      <w:r w:rsidR="00E81AF6" w:rsidRPr="000D2C0E">
        <w:t xml:space="preserve">Avista’s 2012 renewable energy target is 166,047 MWh </w:t>
      </w:r>
      <w:r w:rsidR="00DE1EA4">
        <w:t xml:space="preserve">of qualified renewable generation </w:t>
      </w:r>
      <w:r w:rsidR="00E81AF6" w:rsidRPr="000D2C0E">
        <w:t>or renewable energy credits.</w:t>
      </w:r>
      <w:r w:rsidR="00E81AF6">
        <w:t xml:space="preserve"> Table 1 </w:t>
      </w:r>
      <w:r w:rsidR="00DE1EA4">
        <w:t xml:space="preserve">provides </w:t>
      </w:r>
      <w:r w:rsidR="00E81AF6">
        <w:t xml:space="preserve">details </w:t>
      </w:r>
      <w:r w:rsidR="00DE1EA4">
        <w:t>about</w:t>
      </w:r>
      <w:r w:rsidR="00E81AF6">
        <w:t xml:space="preserve"> th</w:t>
      </w:r>
      <w:r w:rsidR="00DE1EA4">
        <w:t>e Company’s 2012 renewable energy target</w:t>
      </w:r>
      <w:r w:rsidR="00E81AF6">
        <w:t xml:space="preserve"> calculation.</w:t>
      </w:r>
    </w:p>
    <w:p w:rsidR="00F86220" w:rsidRDefault="00F86220" w:rsidP="00E81AF6"/>
    <w:p w:rsidR="00E81AF6" w:rsidRPr="00927395" w:rsidRDefault="00E81AF6" w:rsidP="00E81AF6">
      <w:pPr>
        <w:jc w:val="center"/>
        <w:rPr>
          <w:b/>
        </w:rPr>
      </w:pPr>
      <w:r w:rsidRPr="00927395">
        <w:rPr>
          <w:b/>
        </w:rPr>
        <w:t>Table 1: Energy Independence Act Renewable Energy Target</w:t>
      </w:r>
    </w:p>
    <w:p w:rsidR="00E81AF6" w:rsidRPr="000F6D9D" w:rsidRDefault="00E81AF6" w:rsidP="00E81AF6">
      <w:pPr>
        <w:jc w:val="center"/>
        <w:rPr>
          <w:b/>
        </w:rPr>
      </w:pPr>
    </w:p>
    <w:tbl>
      <w:tblPr>
        <w:tblW w:w="0" w:type="auto"/>
        <w:jc w:val="center"/>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3"/>
        <w:gridCol w:w="1176"/>
        <w:gridCol w:w="1176"/>
        <w:gridCol w:w="1176"/>
      </w:tblGrid>
      <w:tr w:rsidR="00E81AF6" w:rsidRPr="00F86220" w:rsidTr="00927395">
        <w:trPr>
          <w:jc w:val="center"/>
        </w:trPr>
        <w:tc>
          <w:tcPr>
            <w:tcW w:w="3663" w:type="dxa"/>
          </w:tcPr>
          <w:p w:rsidR="00E81AF6" w:rsidRPr="00F86220" w:rsidRDefault="00E81AF6" w:rsidP="00E81AF6"/>
        </w:tc>
        <w:tc>
          <w:tcPr>
            <w:tcW w:w="1176" w:type="dxa"/>
          </w:tcPr>
          <w:p w:rsidR="00E81AF6" w:rsidRPr="00F86220" w:rsidRDefault="00E81AF6" w:rsidP="00E81AF6">
            <w:pPr>
              <w:jc w:val="center"/>
              <w:rPr>
                <w:b/>
              </w:rPr>
            </w:pPr>
            <w:r w:rsidRPr="00F86220">
              <w:rPr>
                <w:b/>
              </w:rPr>
              <w:t>2010</w:t>
            </w:r>
          </w:p>
        </w:tc>
        <w:tc>
          <w:tcPr>
            <w:tcW w:w="1176" w:type="dxa"/>
          </w:tcPr>
          <w:p w:rsidR="00E81AF6" w:rsidRPr="00F86220" w:rsidRDefault="00E81AF6" w:rsidP="00E81AF6">
            <w:pPr>
              <w:jc w:val="center"/>
              <w:rPr>
                <w:b/>
              </w:rPr>
            </w:pPr>
            <w:r w:rsidRPr="00F86220">
              <w:rPr>
                <w:b/>
              </w:rPr>
              <w:t>2011</w:t>
            </w:r>
          </w:p>
        </w:tc>
        <w:tc>
          <w:tcPr>
            <w:tcW w:w="1176" w:type="dxa"/>
          </w:tcPr>
          <w:p w:rsidR="00E81AF6" w:rsidRPr="00F86220" w:rsidRDefault="00E81AF6" w:rsidP="00E81AF6">
            <w:pPr>
              <w:jc w:val="center"/>
              <w:rPr>
                <w:b/>
              </w:rPr>
            </w:pPr>
            <w:r w:rsidRPr="00F86220">
              <w:rPr>
                <w:b/>
              </w:rPr>
              <w:t>2012</w:t>
            </w:r>
          </w:p>
        </w:tc>
      </w:tr>
      <w:tr w:rsidR="00E81AF6" w:rsidRPr="00F86220" w:rsidTr="00927395">
        <w:trPr>
          <w:jc w:val="center"/>
        </w:trPr>
        <w:tc>
          <w:tcPr>
            <w:tcW w:w="3663" w:type="dxa"/>
          </w:tcPr>
          <w:p w:rsidR="00E81AF6" w:rsidRPr="00F86220" w:rsidRDefault="00E81AF6" w:rsidP="00E81AF6">
            <w:pPr>
              <w:rPr>
                <w:b/>
              </w:rPr>
            </w:pPr>
            <w:r w:rsidRPr="00F86220">
              <w:rPr>
                <w:b/>
              </w:rPr>
              <w:t>Washington Retail Load (MWh)</w:t>
            </w:r>
          </w:p>
        </w:tc>
        <w:tc>
          <w:tcPr>
            <w:tcW w:w="1176" w:type="dxa"/>
          </w:tcPr>
          <w:p w:rsidR="00E81AF6" w:rsidRPr="00F86220" w:rsidRDefault="00E81AF6" w:rsidP="00E81AF6">
            <w:pPr>
              <w:jc w:val="center"/>
            </w:pPr>
            <w:r w:rsidRPr="00F86220">
              <w:t>5,467,176</w:t>
            </w:r>
          </w:p>
        </w:tc>
        <w:tc>
          <w:tcPr>
            <w:tcW w:w="1176" w:type="dxa"/>
          </w:tcPr>
          <w:p w:rsidR="00E81AF6" w:rsidRPr="00F86220" w:rsidRDefault="00E81AF6" w:rsidP="00E81AF6">
            <w:pPr>
              <w:jc w:val="center"/>
            </w:pPr>
            <w:r w:rsidRPr="00F86220">
              <w:t>5,602,601</w:t>
            </w:r>
          </w:p>
        </w:tc>
        <w:tc>
          <w:tcPr>
            <w:tcW w:w="1176" w:type="dxa"/>
          </w:tcPr>
          <w:p w:rsidR="00E81AF6" w:rsidRPr="00F86220" w:rsidRDefault="00E81AF6" w:rsidP="00E81AF6">
            <w:pPr>
              <w:jc w:val="center"/>
            </w:pPr>
          </w:p>
        </w:tc>
      </w:tr>
      <w:tr w:rsidR="00E81AF6" w:rsidRPr="00F86220" w:rsidTr="00927395">
        <w:trPr>
          <w:jc w:val="center"/>
        </w:trPr>
        <w:tc>
          <w:tcPr>
            <w:tcW w:w="3663" w:type="dxa"/>
          </w:tcPr>
          <w:p w:rsidR="00E81AF6" w:rsidRPr="00F86220" w:rsidRDefault="00E81AF6" w:rsidP="005948C8">
            <w:pPr>
              <w:rPr>
                <w:b/>
              </w:rPr>
            </w:pPr>
            <w:r w:rsidRPr="00F86220">
              <w:rPr>
                <w:b/>
              </w:rPr>
              <w:t>Target Load</w:t>
            </w:r>
            <w:r w:rsidR="005948C8">
              <w:rPr>
                <w:b/>
              </w:rPr>
              <w:t xml:space="preserve"> (MWh)</w:t>
            </w:r>
          </w:p>
        </w:tc>
        <w:tc>
          <w:tcPr>
            <w:tcW w:w="1176" w:type="dxa"/>
          </w:tcPr>
          <w:p w:rsidR="00E81AF6" w:rsidRPr="00F86220" w:rsidRDefault="00E81AF6" w:rsidP="00E81AF6">
            <w:pPr>
              <w:jc w:val="center"/>
            </w:pPr>
          </w:p>
        </w:tc>
        <w:tc>
          <w:tcPr>
            <w:tcW w:w="1176" w:type="dxa"/>
          </w:tcPr>
          <w:p w:rsidR="00E81AF6" w:rsidRPr="00F86220" w:rsidRDefault="00E81AF6" w:rsidP="00E81AF6">
            <w:pPr>
              <w:jc w:val="center"/>
            </w:pPr>
          </w:p>
        </w:tc>
        <w:tc>
          <w:tcPr>
            <w:tcW w:w="1176" w:type="dxa"/>
          </w:tcPr>
          <w:p w:rsidR="00E81AF6" w:rsidRPr="00F86220" w:rsidRDefault="00E81AF6" w:rsidP="00E81AF6">
            <w:pPr>
              <w:jc w:val="center"/>
            </w:pPr>
            <w:r w:rsidRPr="00F86220">
              <w:t>5,534,889</w:t>
            </w:r>
          </w:p>
        </w:tc>
      </w:tr>
      <w:tr w:rsidR="00E81AF6" w:rsidRPr="00F86220" w:rsidTr="00927395">
        <w:trPr>
          <w:jc w:val="center"/>
        </w:trPr>
        <w:tc>
          <w:tcPr>
            <w:tcW w:w="3663" w:type="dxa"/>
          </w:tcPr>
          <w:p w:rsidR="00E81AF6" w:rsidRPr="00F86220" w:rsidRDefault="00E81AF6" w:rsidP="00E81AF6">
            <w:pPr>
              <w:rPr>
                <w:b/>
              </w:rPr>
            </w:pPr>
            <w:r w:rsidRPr="00F86220">
              <w:rPr>
                <w:b/>
              </w:rPr>
              <w:t>RCW 19.285 Requirement</w:t>
            </w:r>
          </w:p>
        </w:tc>
        <w:tc>
          <w:tcPr>
            <w:tcW w:w="1176" w:type="dxa"/>
          </w:tcPr>
          <w:p w:rsidR="00E81AF6" w:rsidRPr="00F86220" w:rsidRDefault="00E81AF6" w:rsidP="00E81AF6">
            <w:pPr>
              <w:jc w:val="center"/>
            </w:pPr>
            <w:r w:rsidRPr="00F86220">
              <w:t>0%</w:t>
            </w:r>
          </w:p>
        </w:tc>
        <w:tc>
          <w:tcPr>
            <w:tcW w:w="1176" w:type="dxa"/>
          </w:tcPr>
          <w:p w:rsidR="00E81AF6" w:rsidRPr="00F86220" w:rsidRDefault="00E81AF6" w:rsidP="00E81AF6">
            <w:pPr>
              <w:jc w:val="center"/>
            </w:pPr>
            <w:r w:rsidRPr="00F86220">
              <w:t>0%</w:t>
            </w:r>
          </w:p>
        </w:tc>
        <w:tc>
          <w:tcPr>
            <w:tcW w:w="1176" w:type="dxa"/>
          </w:tcPr>
          <w:p w:rsidR="00E81AF6" w:rsidRPr="00F86220" w:rsidRDefault="00E81AF6" w:rsidP="00E81AF6">
            <w:pPr>
              <w:jc w:val="center"/>
            </w:pPr>
            <w:r w:rsidRPr="00F86220">
              <w:t>3%</w:t>
            </w:r>
          </w:p>
        </w:tc>
      </w:tr>
      <w:tr w:rsidR="00E81AF6" w:rsidRPr="00F86220" w:rsidTr="00927395">
        <w:trPr>
          <w:jc w:val="center"/>
        </w:trPr>
        <w:tc>
          <w:tcPr>
            <w:tcW w:w="3663" w:type="dxa"/>
          </w:tcPr>
          <w:p w:rsidR="00E81AF6" w:rsidRPr="00F86220" w:rsidRDefault="00E81AF6" w:rsidP="00E81AF6">
            <w:pPr>
              <w:rPr>
                <w:b/>
              </w:rPr>
            </w:pPr>
            <w:r w:rsidRPr="00F86220">
              <w:rPr>
                <w:b/>
              </w:rPr>
              <w:t>Requirement (MWh)</w:t>
            </w:r>
          </w:p>
        </w:tc>
        <w:tc>
          <w:tcPr>
            <w:tcW w:w="1176" w:type="dxa"/>
          </w:tcPr>
          <w:p w:rsidR="00E81AF6" w:rsidRPr="00F86220" w:rsidRDefault="00E81AF6" w:rsidP="00E81AF6">
            <w:pPr>
              <w:jc w:val="center"/>
            </w:pPr>
            <w:r w:rsidRPr="00F86220">
              <w:t>0</w:t>
            </w:r>
          </w:p>
        </w:tc>
        <w:tc>
          <w:tcPr>
            <w:tcW w:w="1176" w:type="dxa"/>
          </w:tcPr>
          <w:p w:rsidR="00E81AF6" w:rsidRPr="00F86220" w:rsidRDefault="00E81AF6" w:rsidP="00E81AF6">
            <w:pPr>
              <w:jc w:val="center"/>
            </w:pPr>
            <w:r w:rsidRPr="00F86220">
              <w:t>0</w:t>
            </w:r>
          </w:p>
        </w:tc>
        <w:tc>
          <w:tcPr>
            <w:tcW w:w="1176" w:type="dxa"/>
          </w:tcPr>
          <w:p w:rsidR="00E81AF6" w:rsidRPr="00F86220" w:rsidRDefault="00E81AF6" w:rsidP="00E81AF6">
            <w:pPr>
              <w:jc w:val="center"/>
            </w:pPr>
            <w:r w:rsidRPr="00F86220">
              <w:t>166,047</w:t>
            </w:r>
          </w:p>
        </w:tc>
      </w:tr>
    </w:tbl>
    <w:p w:rsidR="00E81AF6" w:rsidRDefault="00E81AF6" w:rsidP="00E81AF6"/>
    <w:p w:rsidR="00F86220" w:rsidRDefault="00F86220" w:rsidP="00E81AF6">
      <w:pPr>
        <w:rPr>
          <w:b/>
          <w:sz w:val="28"/>
          <w:szCs w:val="28"/>
        </w:rPr>
      </w:pPr>
    </w:p>
    <w:p w:rsidR="00F86220" w:rsidRDefault="00F86220" w:rsidP="00E81AF6">
      <w:pPr>
        <w:rPr>
          <w:b/>
          <w:sz w:val="28"/>
          <w:szCs w:val="28"/>
        </w:rPr>
      </w:pPr>
    </w:p>
    <w:p w:rsidR="00E81AF6" w:rsidRPr="00F86220" w:rsidRDefault="00F86220" w:rsidP="00F86220">
      <w:pPr>
        <w:jc w:val="center"/>
        <w:rPr>
          <w:b/>
        </w:rPr>
      </w:pPr>
      <w:r>
        <w:rPr>
          <w:b/>
        </w:rPr>
        <w:t>V.</w:t>
      </w:r>
      <w:r>
        <w:rPr>
          <w:b/>
        </w:rPr>
        <w:tab/>
      </w:r>
      <w:r w:rsidRPr="00F86220">
        <w:rPr>
          <w:b/>
        </w:rPr>
        <w:t>RENEWABLE ENERGY ACQUIRED TO MEET RENEWABLE ENERGY TARGET</w:t>
      </w:r>
    </w:p>
    <w:p w:rsidR="00F86220" w:rsidRDefault="00F86220" w:rsidP="00E81AF6"/>
    <w:p w:rsidR="00E81AF6" w:rsidRDefault="00DE1EA4" w:rsidP="00F86220">
      <w:pPr>
        <w:spacing w:line="480" w:lineRule="auto"/>
        <w:ind w:firstLine="720"/>
        <w:jc w:val="both"/>
      </w:pPr>
      <w:r>
        <w:t xml:space="preserve">This compliance report covers the 2011 calendar year per </w:t>
      </w:r>
      <w:r w:rsidR="00730FB7">
        <w:t>RCW</w:t>
      </w:r>
      <w:r w:rsidR="00401820">
        <w:t xml:space="preserve"> 19.285.070. There is no renewable energy target for 2011, but qualified non-hydroelectric upgrade derived generation from 2011 can be carried forward for 2012 compliance. </w:t>
      </w:r>
      <w:r w:rsidR="00E81AF6">
        <w:t>The Company does not have a</w:t>
      </w:r>
      <w:r w:rsidR="00401820">
        <w:t>ny non-hydroelectric upgrade</w:t>
      </w:r>
      <w:r w:rsidR="00E81AF6">
        <w:t xml:space="preserve"> renewable energy for 2011</w:t>
      </w:r>
      <w:r w:rsidR="00730FB7">
        <w:t xml:space="preserve"> that can be used</w:t>
      </w:r>
      <w:r w:rsidR="00913A90">
        <w:t xml:space="preserve"> for</w:t>
      </w:r>
      <w:r w:rsidR="00730FB7">
        <w:t xml:space="preserve"> compliance in 2012</w:t>
      </w:r>
      <w:r w:rsidR="00E81AF6">
        <w:t xml:space="preserve">. Table 2 details qualifying hydroelectric upgrade credits expected in 2012 and credits from qualifying wind generation for the Company’s 2012 compliance period. Calculations supporting the figures in Table 2 are </w:t>
      </w:r>
      <w:r w:rsidR="00913A90">
        <w:t xml:space="preserve">provided </w:t>
      </w:r>
      <w:r w:rsidR="00E81AF6">
        <w:t>in Appendix A</w:t>
      </w:r>
      <w:r w:rsidR="009B31C1">
        <w:t xml:space="preserve"> and the </w:t>
      </w:r>
      <w:r w:rsidR="00043410">
        <w:t xml:space="preserve">supporting </w:t>
      </w:r>
      <w:r w:rsidR="009B31C1">
        <w:t xml:space="preserve">spreadsheets are </w:t>
      </w:r>
      <w:r w:rsidR="00913A90">
        <w:t xml:space="preserve">provided </w:t>
      </w:r>
      <w:r w:rsidR="009B31C1">
        <w:t>in the confidential workpapers for this filing</w:t>
      </w:r>
      <w:r w:rsidR="00E81AF6">
        <w:t>.</w:t>
      </w:r>
    </w:p>
    <w:p w:rsidR="00E81AF6" w:rsidRDefault="00E81AF6" w:rsidP="00E81AF6">
      <w:pPr>
        <w:pStyle w:val="ListParagraph"/>
        <w:autoSpaceDE w:val="0"/>
        <w:autoSpaceDN w:val="0"/>
        <w:adjustRightInd w:val="0"/>
        <w:ind w:left="0"/>
        <w:rPr>
          <w:b/>
          <w:sz w:val="28"/>
          <w:szCs w:val="28"/>
        </w:rPr>
      </w:pPr>
    </w:p>
    <w:p w:rsidR="009B31C1" w:rsidRDefault="009B31C1" w:rsidP="00E81AF6">
      <w:pPr>
        <w:pStyle w:val="ListParagraph"/>
        <w:autoSpaceDE w:val="0"/>
        <w:autoSpaceDN w:val="0"/>
        <w:adjustRightInd w:val="0"/>
        <w:ind w:left="0"/>
        <w:rPr>
          <w:b/>
          <w:sz w:val="28"/>
          <w:szCs w:val="28"/>
        </w:rPr>
      </w:pPr>
    </w:p>
    <w:p w:rsidR="009B31C1" w:rsidRDefault="009B31C1" w:rsidP="00E81AF6">
      <w:pPr>
        <w:pStyle w:val="ListParagraph"/>
        <w:autoSpaceDE w:val="0"/>
        <w:autoSpaceDN w:val="0"/>
        <w:adjustRightInd w:val="0"/>
        <w:ind w:left="0"/>
        <w:rPr>
          <w:b/>
          <w:sz w:val="28"/>
          <w:szCs w:val="28"/>
        </w:rPr>
      </w:pPr>
    </w:p>
    <w:p w:rsidR="00E81AF6" w:rsidRDefault="00E81AF6" w:rsidP="00E81AF6">
      <w:pPr>
        <w:pStyle w:val="ListParagraph"/>
        <w:autoSpaceDE w:val="0"/>
        <w:autoSpaceDN w:val="0"/>
        <w:adjustRightInd w:val="0"/>
        <w:ind w:left="0"/>
        <w:jc w:val="center"/>
        <w:rPr>
          <w:b/>
        </w:rPr>
      </w:pPr>
      <w:r w:rsidRPr="000F6D9D">
        <w:rPr>
          <w:b/>
        </w:rPr>
        <w:lastRenderedPageBreak/>
        <w:t xml:space="preserve">Table 2: </w:t>
      </w:r>
      <w:r>
        <w:rPr>
          <w:b/>
        </w:rPr>
        <w:t>Renewable Energy for 2012 Compliance</w:t>
      </w:r>
      <w:r w:rsidR="00401820">
        <w:rPr>
          <w:rStyle w:val="FootnoteReference"/>
          <w:b/>
        </w:rPr>
        <w:footnoteReference w:id="1"/>
      </w:r>
    </w:p>
    <w:p w:rsidR="00E81AF6" w:rsidRDefault="00E81AF6" w:rsidP="00E81AF6">
      <w:pPr>
        <w:pStyle w:val="ListParagraph"/>
        <w:autoSpaceDE w:val="0"/>
        <w:autoSpaceDN w:val="0"/>
        <w:adjustRightInd w:val="0"/>
        <w:ind w:left="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9"/>
        <w:gridCol w:w="996"/>
        <w:gridCol w:w="996"/>
        <w:gridCol w:w="858"/>
        <w:gridCol w:w="996"/>
      </w:tblGrid>
      <w:tr w:rsidR="00E81AF6" w:rsidRPr="00F86220" w:rsidTr="00927395">
        <w:trPr>
          <w:jc w:val="center"/>
        </w:trPr>
        <w:tc>
          <w:tcPr>
            <w:tcW w:w="4689" w:type="dxa"/>
          </w:tcPr>
          <w:p w:rsidR="00E81AF6" w:rsidRPr="00F86220" w:rsidRDefault="00E81AF6" w:rsidP="00E81AF6">
            <w:pPr>
              <w:pStyle w:val="ListParagraph"/>
              <w:autoSpaceDE w:val="0"/>
              <w:autoSpaceDN w:val="0"/>
              <w:adjustRightInd w:val="0"/>
              <w:ind w:left="0"/>
              <w:rPr>
                <w:b/>
              </w:rPr>
            </w:pPr>
          </w:p>
        </w:tc>
        <w:tc>
          <w:tcPr>
            <w:tcW w:w="996" w:type="dxa"/>
          </w:tcPr>
          <w:p w:rsidR="00E81AF6" w:rsidRPr="00F86220" w:rsidRDefault="00E81AF6" w:rsidP="00E81AF6">
            <w:pPr>
              <w:pStyle w:val="ListParagraph"/>
              <w:autoSpaceDE w:val="0"/>
              <w:autoSpaceDN w:val="0"/>
              <w:adjustRightInd w:val="0"/>
              <w:ind w:left="0"/>
              <w:jc w:val="center"/>
              <w:rPr>
                <w:b/>
              </w:rPr>
            </w:pPr>
            <w:r w:rsidRPr="00F86220">
              <w:rPr>
                <w:b/>
              </w:rPr>
              <w:t>2011</w:t>
            </w:r>
          </w:p>
        </w:tc>
        <w:tc>
          <w:tcPr>
            <w:tcW w:w="996" w:type="dxa"/>
          </w:tcPr>
          <w:p w:rsidR="00E81AF6" w:rsidRPr="00F86220" w:rsidRDefault="00E81AF6" w:rsidP="00E81AF6">
            <w:pPr>
              <w:pStyle w:val="ListParagraph"/>
              <w:autoSpaceDE w:val="0"/>
              <w:autoSpaceDN w:val="0"/>
              <w:adjustRightInd w:val="0"/>
              <w:ind w:left="0"/>
              <w:jc w:val="center"/>
              <w:rPr>
                <w:b/>
              </w:rPr>
            </w:pPr>
            <w:r w:rsidRPr="00F86220">
              <w:rPr>
                <w:b/>
              </w:rPr>
              <w:t>2012</w:t>
            </w:r>
          </w:p>
        </w:tc>
        <w:tc>
          <w:tcPr>
            <w:tcW w:w="858" w:type="dxa"/>
          </w:tcPr>
          <w:p w:rsidR="00E81AF6" w:rsidRPr="00F86220" w:rsidRDefault="00E81AF6" w:rsidP="00E81AF6">
            <w:pPr>
              <w:pStyle w:val="ListParagraph"/>
              <w:autoSpaceDE w:val="0"/>
              <w:autoSpaceDN w:val="0"/>
              <w:adjustRightInd w:val="0"/>
              <w:ind w:left="0"/>
              <w:jc w:val="center"/>
              <w:rPr>
                <w:b/>
              </w:rPr>
            </w:pPr>
            <w:r w:rsidRPr="00F86220">
              <w:rPr>
                <w:b/>
              </w:rPr>
              <w:t>2013</w:t>
            </w:r>
          </w:p>
        </w:tc>
        <w:tc>
          <w:tcPr>
            <w:tcW w:w="996" w:type="dxa"/>
          </w:tcPr>
          <w:p w:rsidR="00E81AF6" w:rsidRPr="00F86220" w:rsidRDefault="00E81AF6" w:rsidP="00E81AF6">
            <w:pPr>
              <w:pStyle w:val="ListParagraph"/>
              <w:autoSpaceDE w:val="0"/>
              <w:autoSpaceDN w:val="0"/>
              <w:adjustRightInd w:val="0"/>
              <w:ind w:left="0"/>
              <w:jc w:val="center"/>
              <w:rPr>
                <w:b/>
              </w:rPr>
            </w:pPr>
            <w:r w:rsidRPr="00F86220">
              <w:rPr>
                <w:b/>
              </w:rPr>
              <w:t>Total</w:t>
            </w:r>
          </w:p>
        </w:tc>
      </w:tr>
      <w:tr w:rsidR="00E81AF6" w:rsidRPr="00F86220" w:rsidTr="00927395">
        <w:trPr>
          <w:jc w:val="center"/>
        </w:trPr>
        <w:tc>
          <w:tcPr>
            <w:tcW w:w="4689" w:type="dxa"/>
          </w:tcPr>
          <w:p w:rsidR="00E81AF6" w:rsidRPr="00F86220" w:rsidRDefault="00E81AF6" w:rsidP="00E81AF6">
            <w:pPr>
              <w:pStyle w:val="ListParagraph"/>
              <w:autoSpaceDE w:val="0"/>
              <w:autoSpaceDN w:val="0"/>
              <w:adjustRightInd w:val="0"/>
              <w:ind w:left="0"/>
              <w:rPr>
                <w:b/>
              </w:rPr>
            </w:pPr>
            <w:r w:rsidRPr="00F86220">
              <w:rPr>
                <w:b/>
              </w:rPr>
              <w:t>Water (Qualified Hydroelectric Upgrades)</w:t>
            </w:r>
          </w:p>
        </w:tc>
        <w:tc>
          <w:tcPr>
            <w:tcW w:w="996" w:type="dxa"/>
          </w:tcPr>
          <w:p w:rsidR="00E81AF6" w:rsidRPr="00F86220" w:rsidRDefault="00401820" w:rsidP="00E81AF6">
            <w:pPr>
              <w:pStyle w:val="ListParagraph"/>
              <w:autoSpaceDE w:val="0"/>
              <w:autoSpaceDN w:val="0"/>
              <w:adjustRightInd w:val="0"/>
              <w:ind w:left="0"/>
              <w:jc w:val="center"/>
            </w:pPr>
            <w:r>
              <w:t>N/A</w:t>
            </w:r>
          </w:p>
        </w:tc>
        <w:tc>
          <w:tcPr>
            <w:tcW w:w="996" w:type="dxa"/>
          </w:tcPr>
          <w:p w:rsidR="00E81AF6" w:rsidRPr="00F86220" w:rsidRDefault="00E81AF6" w:rsidP="001D6BCB">
            <w:pPr>
              <w:pStyle w:val="ListParagraph"/>
              <w:autoSpaceDE w:val="0"/>
              <w:autoSpaceDN w:val="0"/>
              <w:adjustRightInd w:val="0"/>
              <w:ind w:left="0"/>
              <w:jc w:val="center"/>
            </w:pPr>
            <w:r w:rsidRPr="00F86220">
              <w:t>18</w:t>
            </w:r>
            <w:r w:rsidR="001D6BCB">
              <w:t>0</w:t>
            </w:r>
            <w:r w:rsidRPr="00F86220">
              <w:t>,</w:t>
            </w:r>
            <w:r w:rsidR="001D6BCB">
              <w:t>681</w:t>
            </w:r>
          </w:p>
        </w:tc>
        <w:tc>
          <w:tcPr>
            <w:tcW w:w="858" w:type="dxa"/>
          </w:tcPr>
          <w:p w:rsidR="00E81AF6" w:rsidRPr="00F86220" w:rsidRDefault="00E81AF6" w:rsidP="00E81AF6">
            <w:pPr>
              <w:pStyle w:val="ListParagraph"/>
              <w:autoSpaceDE w:val="0"/>
              <w:autoSpaceDN w:val="0"/>
              <w:adjustRightInd w:val="0"/>
              <w:ind w:left="0"/>
              <w:jc w:val="center"/>
            </w:pPr>
            <w:r w:rsidRPr="00F86220">
              <w:t>0</w:t>
            </w:r>
          </w:p>
        </w:tc>
        <w:tc>
          <w:tcPr>
            <w:tcW w:w="996" w:type="dxa"/>
          </w:tcPr>
          <w:p w:rsidR="00E81AF6" w:rsidRPr="00F86220" w:rsidRDefault="00B3597B" w:rsidP="001D6BCB">
            <w:pPr>
              <w:pStyle w:val="ListParagraph"/>
              <w:autoSpaceDE w:val="0"/>
              <w:autoSpaceDN w:val="0"/>
              <w:adjustRightInd w:val="0"/>
              <w:ind w:left="0"/>
              <w:jc w:val="center"/>
            </w:pPr>
            <w:r>
              <w:t>18</w:t>
            </w:r>
            <w:r w:rsidR="001D6BCB">
              <w:t>0</w:t>
            </w:r>
            <w:r>
              <w:t>,</w:t>
            </w:r>
            <w:r w:rsidR="001D6BCB">
              <w:t>681</w:t>
            </w:r>
          </w:p>
        </w:tc>
      </w:tr>
      <w:tr w:rsidR="00E81AF6" w:rsidRPr="00F86220" w:rsidTr="00927395">
        <w:trPr>
          <w:jc w:val="center"/>
        </w:trPr>
        <w:tc>
          <w:tcPr>
            <w:tcW w:w="4689" w:type="dxa"/>
          </w:tcPr>
          <w:p w:rsidR="00E81AF6" w:rsidRPr="00F86220" w:rsidRDefault="00E81AF6" w:rsidP="00E81AF6">
            <w:pPr>
              <w:pStyle w:val="ListParagraph"/>
              <w:autoSpaceDE w:val="0"/>
              <w:autoSpaceDN w:val="0"/>
              <w:adjustRightInd w:val="0"/>
              <w:ind w:left="0"/>
              <w:rPr>
                <w:b/>
              </w:rPr>
            </w:pPr>
            <w:r w:rsidRPr="00F86220">
              <w:rPr>
                <w:b/>
              </w:rPr>
              <w:t>Wind</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c>
          <w:tcPr>
            <w:tcW w:w="996" w:type="dxa"/>
          </w:tcPr>
          <w:p w:rsidR="00E81AF6" w:rsidRPr="00F86220" w:rsidRDefault="00E81AF6" w:rsidP="00E81AF6">
            <w:pPr>
              <w:pStyle w:val="ListParagraph"/>
              <w:autoSpaceDE w:val="0"/>
              <w:autoSpaceDN w:val="0"/>
              <w:adjustRightInd w:val="0"/>
              <w:ind w:left="0"/>
              <w:jc w:val="center"/>
            </w:pPr>
            <w:r w:rsidRPr="00F86220">
              <w:t>34,973</w:t>
            </w:r>
          </w:p>
        </w:tc>
        <w:tc>
          <w:tcPr>
            <w:tcW w:w="858" w:type="dxa"/>
          </w:tcPr>
          <w:p w:rsidR="00E81AF6" w:rsidRPr="00F86220" w:rsidRDefault="00E81AF6" w:rsidP="00E81AF6">
            <w:pPr>
              <w:pStyle w:val="ListParagraph"/>
              <w:autoSpaceDE w:val="0"/>
              <w:autoSpaceDN w:val="0"/>
              <w:adjustRightInd w:val="0"/>
              <w:ind w:left="0"/>
              <w:jc w:val="center"/>
            </w:pPr>
            <w:r w:rsidRPr="00F86220">
              <w:t>0</w:t>
            </w:r>
          </w:p>
        </w:tc>
        <w:tc>
          <w:tcPr>
            <w:tcW w:w="996" w:type="dxa"/>
          </w:tcPr>
          <w:p w:rsidR="00E81AF6" w:rsidRPr="00F86220" w:rsidRDefault="00E81AF6" w:rsidP="00E81AF6">
            <w:pPr>
              <w:pStyle w:val="ListParagraph"/>
              <w:autoSpaceDE w:val="0"/>
              <w:autoSpaceDN w:val="0"/>
              <w:adjustRightInd w:val="0"/>
              <w:ind w:left="0"/>
              <w:jc w:val="center"/>
            </w:pPr>
            <w:r w:rsidRPr="00F86220">
              <w:t>34,973</w:t>
            </w:r>
          </w:p>
        </w:tc>
      </w:tr>
      <w:tr w:rsidR="00E81AF6" w:rsidRPr="00F86220" w:rsidTr="00927395">
        <w:trPr>
          <w:jc w:val="center"/>
        </w:trPr>
        <w:tc>
          <w:tcPr>
            <w:tcW w:w="4689" w:type="dxa"/>
          </w:tcPr>
          <w:p w:rsidR="00E81AF6" w:rsidRPr="00F86220" w:rsidRDefault="00E81AF6" w:rsidP="00E81AF6">
            <w:pPr>
              <w:pStyle w:val="ListParagraph"/>
              <w:autoSpaceDE w:val="0"/>
              <w:autoSpaceDN w:val="0"/>
              <w:adjustRightInd w:val="0"/>
              <w:ind w:left="0"/>
              <w:rPr>
                <w:b/>
              </w:rPr>
            </w:pPr>
            <w:r w:rsidRPr="00F86220">
              <w:rPr>
                <w:b/>
              </w:rPr>
              <w:t>Solar</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c>
          <w:tcPr>
            <w:tcW w:w="858" w:type="dxa"/>
          </w:tcPr>
          <w:p w:rsidR="00E81AF6" w:rsidRPr="00F86220" w:rsidRDefault="00E81AF6" w:rsidP="00E81AF6">
            <w:pPr>
              <w:pStyle w:val="ListParagraph"/>
              <w:autoSpaceDE w:val="0"/>
              <w:autoSpaceDN w:val="0"/>
              <w:adjustRightInd w:val="0"/>
              <w:ind w:left="0"/>
              <w:jc w:val="center"/>
            </w:pPr>
            <w:r w:rsidRPr="00F86220">
              <w:t>0</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r>
      <w:tr w:rsidR="00E81AF6" w:rsidRPr="00F86220" w:rsidTr="00927395">
        <w:trPr>
          <w:jc w:val="center"/>
        </w:trPr>
        <w:tc>
          <w:tcPr>
            <w:tcW w:w="4689" w:type="dxa"/>
          </w:tcPr>
          <w:p w:rsidR="00E81AF6" w:rsidRPr="00F86220" w:rsidRDefault="00E81AF6" w:rsidP="00E81AF6">
            <w:pPr>
              <w:pStyle w:val="ListParagraph"/>
              <w:autoSpaceDE w:val="0"/>
              <w:autoSpaceDN w:val="0"/>
              <w:adjustRightInd w:val="0"/>
              <w:ind w:left="0"/>
              <w:rPr>
                <w:b/>
              </w:rPr>
            </w:pPr>
            <w:r w:rsidRPr="00F86220">
              <w:rPr>
                <w:b/>
              </w:rPr>
              <w:t>Geothermal</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c>
          <w:tcPr>
            <w:tcW w:w="858" w:type="dxa"/>
          </w:tcPr>
          <w:p w:rsidR="00E81AF6" w:rsidRPr="00F86220" w:rsidRDefault="00E81AF6" w:rsidP="00E81AF6">
            <w:pPr>
              <w:pStyle w:val="ListParagraph"/>
              <w:autoSpaceDE w:val="0"/>
              <w:autoSpaceDN w:val="0"/>
              <w:adjustRightInd w:val="0"/>
              <w:ind w:left="0"/>
              <w:jc w:val="center"/>
            </w:pPr>
            <w:r w:rsidRPr="00F86220">
              <w:t>0</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r>
      <w:tr w:rsidR="00E81AF6" w:rsidRPr="00F86220" w:rsidTr="00927395">
        <w:trPr>
          <w:jc w:val="center"/>
        </w:trPr>
        <w:tc>
          <w:tcPr>
            <w:tcW w:w="4689" w:type="dxa"/>
          </w:tcPr>
          <w:p w:rsidR="00E81AF6" w:rsidRPr="00F86220" w:rsidRDefault="00E81AF6" w:rsidP="00E81AF6">
            <w:pPr>
              <w:pStyle w:val="ListParagraph"/>
              <w:autoSpaceDE w:val="0"/>
              <w:autoSpaceDN w:val="0"/>
              <w:adjustRightInd w:val="0"/>
              <w:ind w:left="0"/>
              <w:rPr>
                <w:b/>
              </w:rPr>
            </w:pPr>
            <w:r w:rsidRPr="00F86220">
              <w:rPr>
                <w:b/>
              </w:rPr>
              <w:t>Landfill Gas</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c>
          <w:tcPr>
            <w:tcW w:w="858" w:type="dxa"/>
          </w:tcPr>
          <w:p w:rsidR="00E81AF6" w:rsidRPr="00F86220" w:rsidRDefault="00E81AF6" w:rsidP="00E81AF6">
            <w:pPr>
              <w:pStyle w:val="ListParagraph"/>
              <w:autoSpaceDE w:val="0"/>
              <w:autoSpaceDN w:val="0"/>
              <w:adjustRightInd w:val="0"/>
              <w:ind w:left="0"/>
              <w:jc w:val="center"/>
            </w:pPr>
            <w:r w:rsidRPr="00F86220">
              <w:t>0</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r>
      <w:tr w:rsidR="00E81AF6" w:rsidRPr="00F86220" w:rsidTr="00927395">
        <w:trPr>
          <w:jc w:val="center"/>
        </w:trPr>
        <w:tc>
          <w:tcPr>
            <w:tcW w:w="4689" w:type="dxa"/>
          </w:tcPr>
          <w:p w:rsidR="00E81AF6" w:rsidRPr="00F86220" w:rsidRDefault="00E81AF6" w:rsidP="00E81AF6">
            <w:pPr>
              <w:pStyle w:val="ListParagraph"/>
              <w:autoSpaceDE w:val="0"/>
              <w:autoSpaceDN w:val="0"/>
              <w:adjustRightInd w:val="0"/>
              <w:ind w:left="0"/>
              <w:rPr>
                <w:b/>
              </w:rPr>
            </w:pPr>
            <w:r w:rsidRPr="00F86220">
              <w:rPr>
                <w:b/>
              </w:rPr>
              <w:t>Wave, Ocean or Tidal</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c>
          <w:tcPr>
            <w:tcW w:w="858" w:type="dxa"/>
          </w:tcPr>
          <w:p w:rsidR="00E81AF6" w:rsidRPr="00F86220" w:rsidRDefault="00E81AF6" w:rsidP="00E81AF6">
            <w:pPr>
              <w:pStyle w:val="ListParagraph"/>
              <w:autoSpaceDE w:val="0"/>
              <w:autoSpaceDN w:val="0"/>
              <w:adjustRightInd w:val="0"/>
              <w:ind w:left="0"/>
              <w:jc w:val="center"/>
            </w:pPr>
            <w:r w:rsidRPr="00F86220">
              <w:t>0</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r>
      <w:tr w:rsidR="00E81AF6" w:rsidRPr="00F86220" w:rsidTr="00927395">
        <w:trPr>
          <w:jc w:val="center"/>
        </w:trPr>
        <w:tc>
          <w:tcPr>
            <w:tcW w:w="4689" w:type="dxa"/>
          </w:tcPr>
          <w:p w:rsidR="00E81AF6" w:rsidRPr="00F86220" w:rsidRDefault="00E81AF6" w:rsidP="00E81AF6">
            <w:pPr>
              <w:pStyle w:val="ListParagraph"/>
              <w:autoSpaceDE w:val="0"/>
              <w:autoSpaceDN w:val="0"/>
              <w:adjustRightInd w:val="0"/>
              <w:ind w:left="0"/>
              <w:rPr>
                <w:b/>
              </w:rPr>
            </w:pPr>
            <w:r w:rsidRPr="00F86220">
              <w:rPr>
                <w:b/>
              </w:rPr>
              <w:t>Gas from Sewage Treatment</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c>
          <w:tcPr>
            <w:tcW w:w="858" w:type="dxa"/>
          </w:tcPr>
          <w:p w:rsidR="00E81AF6" w:rsidRPr="00F86220" w:rsidRDefault="00E81AF6" w:rsidP="00E81AF6">
            <w:pPr>
              <w:pStyle w:val="ListParagraph"/>
              <w:autoSpaceDE w:val="0"/>
              <w:autoSpaceDN w:val="0"/>
              <w:adjustRightInd w:val="0"/>
              <w:ind w:left="0"/>
              <w:jc w:val="center"/>
            </w:pPr>
            <w:r w:rsidRPr="00F86220">
              <w:t>0</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r>
      <w:tr w:rsidR="00E81AF6" w:rsidRPr="00F86220" w:rsidTr="00927395">
        <w:trPr>
          <w:jc w:val="center"/>
        </w:trPr>
        <w:tc>
          <w:tcPr>
            <w:tcW w:w="4689" w:type="dxa"/>
          </w:tcPr>
          <w:p w:rsidR="00E81AF6" w:rsidRPr="00F86220" w:rsidRDefault="00E81AF6" w:rsidP="00E81AF6">
            <w:pPr>
              <w:pStyle w:val="ListParagraph"/>
              <w:autoSpaceDE w:val="0"/>
              <w:autoSpaceDN w:val="0"/>
              <w:adjustRightInd w:val="0"/>
              <w:ind w:left="0"/>
              <w:rPr>
                <w:b/>
              </w:rPr>
            </w:pPr>
            <w:r w:rsidRPr="00F86220">
              <w:rPr>
                <w:b/>
              </w:rPr>
              <w:t>Biodiesel Fuel</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c>
          <w:tcPr>
            <w:tcW w:w="858" w:type="dxa"/>
          </w:tcPr>
          <w:p w:rsidR="00E81AF6" w:rsidRPr="00F86220" w:rsidRDefault="00E81AF6" w:rsidP="00E81AF6">
            <w:pPr>
              <w:pStyle w:val="ListParagraph"/>
              <w:autoSpaceDE w:val="0"/>
              <w:autoSpaceDN w:val="0"/>
              <w:adjustRightInd w:val="0"/>
              <w:ind w:left="0"/>
              <w:jc w:val="center"/>
            </w:pPr>
            <w:r w:rsidRPr="00F86220">
              <w:t>0</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r>
      <w:tr w:rsidR="00E81AF6" w:rsidRPr="00F86220" w:rsidTr="00927395">
        <w:trPr>
          <w:jc w:val="center"/>
        </w:trPr>
        <w:tc>
          <w:tcPr>
            <w:tcW w:w="4689" w:type="dxa"/>
          </w:tcPr>
          <w:p w:rsidR="00E81AF6" w:rsidRPr="00F86220" w:rsidRDefault="00E81AF6" w:rsidP="00E81AF6">
            <w:pPr>
              <w:pStyle w:val="ListParagraph"/>
              <w:autoSpaceDE w:val="0"/>
              <w:autoSpaceDN w:val="0"/>
              <w:adjustRightInd w:val="0"/>
              <w:ind w:left="0"/>
              <w:rPr>
                <w:b/>
              </w:rPr>
            </w:pPr>
            <w:r w:rsidRPr="00F86220">
              <w:rPr>
                <w:b/>
              </w:rPr>
              <w:t>Biomass</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c>
          <w:tcPr>
            <w:tcW w:w="858" w:type="dxa"/>
          </w:tcPr>
          <w:p w:rsidR="00E81AF6" w:rsidRPr="00F86220" w:rsidRDefault="00E81AF6" w:rsidP="00E81AF6">
            <w:pPr>
              <w:pStyle w:val="ListParagraph"/>
              <w:autoSpaceDE w:val="0"/>
              <w:autoSpaceDN w:val="0"/>
              <w:adjustRightInd w:val="0"/>
              <w:ind w:left="0"/>
              <w:jc w:val="center"/>
            </w:pPr>
            <w:r w:rsidRPr="00F86220">
              <w:t>0</w:t>
            </w:r>
          </w:p>
        </w:tc>
        <w:tc>
          <w:tcPr>
            <w:tcW w:w="996" w:type="dxa"/>
          </w:tcPr>
          <w:p w:rsidR="00E81AF6" w:rsidRPr="00F86220" w:rsidRDefault="00E81AF6" w:rsidP="00E81AF6">
            <w:pPr>
              <w:pStyle w:val="ListParagraph"/>
              <w:autoSpaceDE w:val="0"/>
              <w:autoSpaceDN w:val="0"/>
              <w:adjustRightInd w:val="0"/>
              <w:ind w:left="0"/>
              <w:jc w:val="center"/>
            </w:pPr>
            <w:r w:rsidRPr="00F86220">
              <w:t>0</w:t>
            </w:r>
          </w:p>
        </w:tc>
      </w:tr>
      <w:tr w:rsidR="00E81AF6" w:rsidRPr="00F86220" w:rsidTr="00927395">
        <w:trPr>
          <w:jc w:val="center"/>
        </w:trPr>
        <w:tc>
          <w:tcPr>
            <w:tcW w:w="4689" w:type="dxa"/>
          </w:tcPr>
          <w:p w:rsidR="00E81AF6" w:rsidRPr="00F86220" w:rsidRDefault="00E81AF6" w:rsidP="00E81AF6">
            <w:pPr>
              <w:pStyle w:val="ListParagraph"/>
              <w:autoSpaceDE w:val="0"/>
              <w:autoSpaceDN w:val="0"/>
              <w:adjustRightInd w:val="0"/>
              <w:ind w:left="0"/>
              <w:rPr>
                <w:b/>
              </w:rPr>
            </w:pPr>
            <w:r w:rsidRPr="00F86220">
              <w:rPr>
                <w:b/>
              </w:rPr>
              <w:t>Total</w:t>
            </w:r>
          </w:p>
        </w:tc>
        <w:tc>
          <w:tcPr>
            <w:tcW w:w="996" w:type="dxa"/>
          </w:tcPr>
          <w:p w:rsidR="00E81AF6" w:rsidRPr="00F86220" w:rsidRDefault="00E81AF6" w:rsidP="00E81AF6">
            <w:pPr>
              <w:pStyle w:val="ListParagraph"/>
              <w:autoSpaceDE w:val="0"/>
              <w:autoSpaceDN w:val="0"/>
              <w:adjustRightInd w:val="0"/>
              <w:ind w:left="0"/>
              <w:jc w:val="center"/>
              <w:rPr>
                <w:b/>
              </w:rPr>
            </w:pPr>
            <w:r w:rsidRPr="00F86220">
              <w:rPr>
                <w:b/>
              </w:rPr>
              <w:t>0</w:t>
            </w:r>
          </w:p>
        </w:tc>
        <w:tc>
          <w:tcPr>
            <w:tcW w:w="996" w:type="dxa"/>
          </w:tcPr>
          <w:p w:rsidR="00E81AF6" w:rsidRPr="00F86220" w:rsidRDefault="00B3597B" w:rsidP="001D6BCB">
            <w:pPr>
              <w:pStyle w:val="ListParagraph"/>
              <w:autoSpaceDE w:val="0"/>
              <w:autoSpaceDN w:val="0"/>
              <w:adjustRightInd w:val="0"/>
              <w:ind w:left="0"/>
              <w:jc w:val="center"/>
              <w:rPr>
                <w:b/>
              </w:rPr>
            </w:pPr>
            <w:r>
              <w:rPr>
                <w:b/>
              </w:rPr>
              <w:t>21</w:t>
            </w:r>
            <w:r w:rsidR="001D6BCB">
              <w:rPr>
                <w:b/>
              </w:rPr>
              <w:t>5</w:t>
            </w:r>
            <w:r>
              <w:rPr>
                <w:b/>
              </w:rPr>
              <w:t>,</w:t>
            </w:r>
            <w:r w:rsidR="001D6BCB">
              <w:rPr>
                <w:b/>
              </w:rPr>
              <w:t>654</w:t>
            </w:r>
          </w:p>
        </w:tc>
        <w:tc>
          <w:tcPr>
            <w:tcW w:w="858" w:type="dxa"/>
          </w:tcPr>
          <w:p w:rsidR="00E81AF6" w:rsidRPr="00F86220" w:rsidRDefault="00E81AF6" w:rsidP="00E81AF6">
            <w:pPr>
              <w:pStyle w:val="ListParagraph"/>
              <w:autoSpaceDE w:val="0"/>
              <w:autoSpaceDN w:val="0"/>
              <w:adjustRightInd w:val="0"/>
              <w:ind w:left="0"/>
              <w:jc w:val="center"/>
              <w:rPr>
                <w:b/>
              </w:rPr>
            </w:pPr>
            <w:r w:rsidRPr="00F86220">
              <w:rPr>
                <w:b/>
              </w:rPr>
              <w:t>0</w:t>
            </w:r>
          </w:p>
        </w:tc>
        <w:tc>
          <w:tcPr>
            <w:tcW w:w="996" w:type="dxa"/>
          </w:tcPr>
          <w:p w:rsidR="00E81AF6" w:rsidRPr="00F86220" w:rsidRDefault="00B3597B" w:rsidP="001D6BCB">
            <w:pPr>
              <w:pStyle w:val="ListParagraph"/>
              <w:autoSpaceDE w:val="0"/>
              <w:autoSpaceDN w:val="0"/>
              <w:adjustRightInd w:val="0"/>
              <w:ind w:left="0"/>
              <w:jc w:val="center"/>
              <w:rPr>
                <w:b/>
              </w:rPr>
            </w:pPr>
            <w:r>
              <w:rPr>
                <w:b/>
              </w:rPr>
              <w:t>21</w:t>
            </w:r>
            <w:r w:rsidR="001D6BCB">
              <w:rPr>
                <w:b/>
              </w:rPr>
              <w:t>5</w:t>
            </w:r>
            <w:r>
              <w:rPr>
                <w:b/>
              </w:rPr>
              <w:t>,</w:t>
            </w:r>
            <w:r w:rsidR="001D6BCB">
              <w:rPr>
                <w:b/>
              </w:rPr>
              <w:t>654</w:t>
            </w:r>
          </w:p>
        </w:tc>
      </w:tr>
    </w:tbl>
    <w:p w:rsidR="00E81AF6" w:rsidRPr="000F6D9D" w:rsidRDefault="00E81AF6" w:rsidP="00E81AF6">
      <w:pPr>
        <w:pStyle w:val="ListParagraph"/>
        <w:autoSpaceDE w:val="0"/>
        <w:autoSpaceDN w:val="0"/>
        <w:adjustRightInd w:val="0"/>
        <w:ind w:left="0"/>
        <w:rPr>
          <w:b/>
        </w:rPr>
      </w:pPr>
    </w:p>
    <w:p w:rsidR="00F86220" w:rsidRDefault="00F86220" w:rsidP="00E81AF6">
      <w:pPr>
        <w:pStyle w:val="ListParagraph"/>
        <w:autoSpaceDE w:val="0"/>
        <w:autoSpaceDN w:val="0"/>
        <w:adjustRightInd w:val="0"/>
        <w:ind w:left="0"/>
        <w:rPr>
          <w:b/>
          <w:sz w:val="28"/>
          <w:szCs w:val="28"/>
        </w:rPr>
      </w:pPr>
    </w:p>
    <w:p w:rsidR="00E81AF6" w:rsidRPr="00F86220" w:rsidRDefault="00F86220" w:rsidP="00F86220">
      <w:pPr>
        <w:pStyle w:val="ListParagraph"/>
        <w:autoSpaceDE w:val="0"/>
        <w:autoSpaceDN w:val="0"/>
        <w:adjustRightInd w:val="0"/>
        <w:ind w:left="0"/>
        <w:jc w:val="center"/>
        <w:rPr>
          <w:b/>
        </w:rPr>
      </w:pPr>
      <w:r>
        <w:rPr>
          <w:b/>
        </w:rPr>
        <w:t>VI.</w:t>
      </w:r>
      <w:r>
        <w:rPr>
          <w:b/>
        </w:rPr>
        <w:tab/>
      </w:r>
      <w:r w:rsidRPr="00F86220">
        <w:rPr>
          <w:b/>
        </w:rPr>
        <w:t>INCREMENTAL COST COMPARED TO ANNUAL RETAIL REVENUE REQUIREMENT</w:t>
      </w:r>
    </w:p>
    <w:p w:rsidR="00F86220" w:rsidRDefault="00F86220" w:rsidP="00E81AF6"/>
    <w:p w:rsidR="00E81AF6" w:rsidRDefault="00E81AF6" w:rsidP="00F86220">
      <w:pPr>
        <w:spacing w:line="480" w:lineRule="auto"/>
        <w:ind w:firstLine="720"/>
        <w:jc w:val="both"/>
      </w:pPr>
      <w:r>
        <w:t xml:space="preserve">To calculate the incremental cost of investments made to meet RCW </w:t>
      </w:r>
      <w:r w:rsidR="00D44060">
        <w:t xml:space="preserve">Chapter </w:t>
      </w:r>
      <w:r>
        <w:t xml:space="preserve">19.285, the revenue requirement for each qualifying project was compared to the cost of alternative power over the same period. In this case, the least-cost substitute resource is actual 2011 Mid-Columbia </w:t>
      </w:r>
      <w:r w:rsidR="007D4AD6">
        <w:t xml:space="preserve">wholesale electric market </w:t>
      </w:r>
      <w:r>
        <w:t xml:space="preserve">power </w:t>
      </w:r>
      <w:r w:rsidR="00CC0D15">
        <w:t>price</w:t>
      </w:r>
      <w:r>
        <w:t xml:space="preserve">s. </w:t>
      </w:r>
      <w:r w:rsidR="00CC0D15">
        <w:t>As described above, n</w:t>
      </w:r>
      <w:r>
        <w:t xml:space="preserve">o renewable </w:t>
      </w:r>
      <w:r w:rsidR="00CC0D15">
        <w:t xml:space="preserve">energy </w:t>
      </w:r>
      <w:r>
        <w:t xml:space="preserve">target exists for 2011; however, to illustrate the concepts the Company calculated </w:t>
      </w:r>
      <w:r w:rsidR="007D4AD6">
        <w:t>the incremental cost of energy from the qualifying renewables resources compared to the cost of the least-cost substitute resource. The 2011 cost of the qualifying renewable resources was higher than the least-cost substitute resource by an amount equal to 0.5</w:t>
      </w:r>
      <w:r w:rsidR="001D6BCB">
        <w:t>50</w:t>
      </w:r>
      <w:r w:rsidR="007D4AD6">
        <w:t xml:space="preserve"> percent of Washington retail revenue requirement. </w:t>
      </w:r>
      <w:r>
        <w:t xml:space="preserve">Appendix B </w:t>
      </w:r>
      <w:r w:rsidR="00CC0D15">
        <w:t>shows the calculation of</w:t>
      </w:r>
      <w:r>
        <w:t xml:space="preserve"> this incremental </w:t>
      </w:r>
      <w:r w:rsidR="007D4AD6">
        <w:t>cost</w:t>
      </w:r>
      <w:r w:rsidR="00CC0D15">
        <w:t xml:space="preserve"> for the qualified renewable resource</w:t>
      </w:r>
      <w:r w:rsidR="004C722F">
        <w:t>s</w:t>
      </w:r>
      <w:r>
        <w:t>.</w:t>
      </w:r>
      <w:r w:rsidR="00CC0D15">
        <w:t xml:space="preserve"> The supporting documentation and spreadsheets are located in the confidential work papers for this filing.</w:t>
      </w:r>
    </w:p>
    <w:p w:rsidR="00E81AF6" w:rsidRPr="00F86220" w:rsidRDefault="00F86220" w:rsidP="00F86220">
      <w:pPr>
        <w:jc w:val="center"/>
        <w:rPr>
          <w:b/>
        </w:rPr>
      </w:pPr>
      <w:r>
        <w:rPr>
          <w:b/>
        </w:rPr>
        <w:lastRenderedPageBreak/>
        <w:t>VII.</w:t>
      </w:r>
      <w:r>
        <w:rPr>
          <w:b/>
        </w:rPr>
        <w:tab/>
      </w:r>
      <w:r w:rsidRPr="00F86220">
        <w:rPr>
          <w:b/>
        </w:rPr>
        <w:t>CURRENT YEAR PROGRESS</w:t>
      </w:r>
    </w:p>
    <w:p w:rsidR="00F86220" w:rsidRDefault="00F86220" w:rsidP="00E81AF6"/>
    <w:p w:rsidR="00E81AF6" w:rsidRDefault="00E81AF6" w:rsidP="00F86220">
      <w:pPr>
        <w:spacing w:line="480" w:lineRule="auto"/>
        <w:ind w:firstLine="720"/>
        <w:jc w:val="both"/>
      </w:pPr>
      <w:r>
        <w:t xml:space="preserve">Avista plans to meet its 2012 renewable energy targets with a combination of the qualified hydroelectric upgrades listed above and other renewable energy certificates from qualifying resources. Details </w:t>
      </w:r>
      <w:r w:rsidR="009B31C1">
        <w:t>about</w:t>
      </w:r>
      <w:r>
        <w:t xml:space="preserve"> Avista</w:t>
      </w:r>
      <w:r w:rsidR="009B31C1">
        <w:t>’s</w:t>
      </w:r>
      <w:r>
        <w:t xml:space="preserve"> plans </w:t>
      </w:r>
      <w:r w:rsidR="009B31C1">
        <w:t xml:space="preserve">for </w:t>
      </w:r>
      <w:r>
        <w:t xml:space="preserve">2012 compliance are </w:t>
      </w:r>
      <w:r w:rsidR="00913A90">
        <w:t xml:space="preserve">provided </w:t>
      </w:r>
      <w:r>
        <w:t>in Appendix A.</w:t>
      </w:r>
      <w:r w:rsidR="009B31C1">
        <w:t xml:space="preserve"> Table 3 provides a high level summary of the Company’s expected compliance summary.</w:t>
      </w:r>
    </w:p>
    <w:p w:rsidR="00CC0D15" w:rsidRDefault="00CC0D15" w:rsidP="00F86220">
      <w:pPr>
        <w:spacing w:line="480" w:lineRule="auto"/>
        <w:ind w:firstLine="720"/>
        <w:jc w:val="both"/>
      </w:pPr>
    </w:p>
    <w:p w:rsidR="000A51E4" w:rsidRDefault="000A51E4" w:rsidP="000A51E4">
      <w:pPr>
        <w:jc w:val="center"/>
        <w:rPr>
          <w:b/>
        </w:rPr>
      </w:pPr>
      <w:r w:rsidRPr="00927395">
        <w:rPr>
          <w:b/>
        </w:rPr>
        <w:t xml:space="preserve">Table </w:t>
      </w:r>
      <w:r>
        <w:rPr>
          <w:b/>
        </w:rPr>
        <w:t>3</w:t>
      </w:r>
      <w:r w:rsidRPr="00927395">
        <w:rPr>
          <w:b/>
        </w:rPr>
        <w:t xml:space="preserve">: </w:t>
      </w:r>
      <w:r>
        <w:rPr>
          <w:b/>
        </w:rPr>
        <w:t xml:space="preserve">2012 </w:t>
      </w:r>
      <w:r w:rsidR="009B31C1">
        <w:rPr>
          <w:b/>
        </w:rPr>
        <w:t xml:space="preserve">Energy Independence Act </w:t>
      </w:r>
      <w:r>
        <w:rPr>
          <w:b/>
        </w:rPr>
        <w:t xml:space="preserve">Compliance </w:t>
      </w:r>
      <w:proofErr w:type="gramStart"/>
      <w:r>
        <w:rPr>
          <w:b/>
        </w:rPr>
        <w:t>Summary</w:t>
      </w:r>
      <w:proofErr w:type="gramEnd"/>
    </w:p>
    <w:p w:rsidR="009B31C1" w:rsidRDefault="009B31C1" w:rsidP="000A51E4">
      <w:pPr>
        <w:jc w:val="center"/>
        <w:rPr>
          <w:b/>
        </w:rPr>
      </w:pPr>
    </w:p>
    <w:tbl>
      <w:tblPr>
        <w:tblW w:w="0" w:type="auto"/>
        <w:jc w:val="center"/>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3"/>
        <w:gridCol w:w="1176"/>
      </w:tblGrid>
      <w:tr w:rsidR="000A51E4" w:rsidRPr="00F86220" w:rsidTr="004C722F">
        <w:trPr>
          <w:jc w:val="center"/>
        </w:trPr>
        <w:tc>
          <w:tcPr>
            <w:tcW w:w="5323" w:type="dxa"/>
          </w:tcPr>
          <w:p w:rsidR="000A51E4" w:rsidRPr="00F86220" w:rsidRDefault="000A51E4" w:rsidP="000A51E4"/>
        </w:tc>
        <w:tc>
          <w:tcPr>
            <w:tcW w:w="1176" w:type="dxa"/>
          </w:tcPr>
          <w:p w:rsidR="000A51E4" w:rsidRPr="00F86220" w:rsidRDefault="000A51E4" w:rsidP="000A51E4">
            <w:pPr>
              <w:jc w:val="center"/>
              <w:rPr>
                <w:b/>
              </w:rPr>
            </w:pPr>
            <w:r w:rsidRPr="00F86220">
              <w:rPr>
                <w:b/>
              </w:rPr>
              <w:t>201</w:t>
            </w:r>
            <w:r>
              <w:rPr>
                <w:b/>
              </w:rPr>
              <w:t>2</w:t>
            </w:r>
          </w:p>
        </w:tc>
      </w:tr>
      <w:tr w:rsidR="000A51E4" w:rsidRPr="00F86220" w:rsidTr="004C722F">
        <w:trPr>
          <w:jc w:val="center"/>
        </w:trPr>
        <w:tc>
          <w:tcPr>
            <w:tcW w:w="5323" w:type="dxa"/>
          </w:tcPr>
          <w:p w:rsidR="000A51E4" w:rsidRPr="00F86220" w:rsidRDefault="000A51E4" w:rsidP="000A51E4">
            <w:pPr>
              <w:rPr>
                <w:b/>
              </w:rPr>
            </w:pPr>
            <w:r>
              <w:rPr>
                <w:b/>
              </w:rPr>
              <w:t>RCW 19.285 Compliance Need</w:t>
            </w:r>
            <w:r w:rsidRPr="00F86220">
              <w:rPr>
                <w:b/>
              </w:rPr>
              <w:t xml:space="preserve"> (MWh)</w:t>
            </w:r>
          </w:p>
        </w:tc>
        <w:tc>
          <w:tcPr>
            <w:tcW w:w="1176" w:type="dxa"/>
          </w:tcPr>
          <w:p w:rsidR="000A51E4" w:rsidRPr="00F86220" w:rsidRDefault="000A51E4" w:rsidP="000A51E4">
            <w:pPr>
              <w:jc w:val="center"/>
            </w:pPr>
            <w:r>
              <w:t>166,047</w:t>
            </w:r>
          </w:p>
        </w:tc>
      </w:tr>
      <w:tr w:rsidR="000A51E4" w:rsidRPr="00F86220" w:rsidTr="004C722F">
        <w:trPr>
          <w:jc w:val="center"/>
        </w:trPr>
        <w:tc>
          <w:tcPr>
            <w:tcW w:w="5323" w:type="dxa"/>
          </w:tcPr>
          <w:p w:rsidR="000A51E4" w:rsidRPr="00F86220" w:rsidRDefault="004C722F" w:rsidP="000A51E4">
            <w:pPr>
              <w:rPr>
                <w:b/>
              </w:rPr>
            </w:pPr>
            <w:r>
              <w:rPr>
                <w:b/>
              </w:rPr>
              <w:t xml:space="preserve">Estimated </w:t>
            </w:r>
            <w:r w:rsidR="000A51E4">
              <w:rPr>
                <w:b/>
              </w:rPr>
              <w:t>Eligible Renewable Resources (MWh)</w:t>
            </w:r>
          </w:p>
        </w:tc>
        <w:tc>
          <w:tcPr>
            <w:tcW w:w="1176" w:type="dxa"/>
          </w:tcPr>
          <w:p w:rsidR="000A51E4" w:rsidRPr="00F86220" w:rsidRDefault="000A51E4" w:rsidP="00D6287F">
            <w:pPr>
              <w:jc w:val="center"/>
            </w:pPr>
            <w:r>
              <w:t>21</w:t>
            </w:r>
            <w:r w:rsidR="00D6287F">
              <w:t>5</w:t>
            </w:r>
            <w:r>
              <w:t>,</w:t>
            </w:r>
            <w:r w:rsidR="00D6287F">
              <w:t>654</w:t>
            </w:r>
          </w:p>
        </w:tc>
      </w:tr>
      <w:tr w:rsidR="000A51E4" w:rsidRPr="00F86220" w:rsidTr="004C722F">
        <w:trPr>
          <w:jc w:val="center"/>
        </w:trPr>
        <w:tc>
          <w:tcPr>
            <w:tcW w:w="5323" w:type="dxa"/>
          </w:tcPr>
          <w:p w:rsidR="000A51E4" w:rsidRPr="00F86220" w:rsidRDefault="004C722F" w:rsidP="004C722F">
            <w:pPr>
              <w:rPr>
                <w:b/>
              </w:rPr>
            </w:pPr>
            <w:r>
              <w:rPr>
                <w:b/>
              </w:rPr>
              <w:t>Estimated Renewable Resource Surplus</w:t>
            </w:r>
          </w:p>
        </w:tc>
        <w:tc>
          <w:tcPr>
            <w:tcW w:w="1176" w:type="dxa"/>
          </w:tcPr>
          <w:p w:rsidR="000A51E4" w:rsidRPr="00F86220" w:rsidRDefault="00D6287F" w:rsidP="000A51E4">
            <w:pPr>
              <w:jc w:val="center"/>
            </w:pPr>
            <w:r>
              <w:t>49,607</w:t>
            </w:r>
          </w:p>
        </w:tc>
      </w:tr>
      <w:tr w:rsidR="000A51E4" w:rsidRPr="00F86220" w:rsidTr="004C722F">
        <w:trPr>
          <w:jc w:val="center"/>
        </w:trPr>
        <w:tc>
          <w:tcPr>
            <w:tcW w:w="5323" w:type="dxa"/>
          </w:tcPr>
          <w:p w:rsidR="000A51E4" w:rsidRPr="00F86220" w:rsidRDefault="004C722F" w:rsidP="004C722F">
            <w:pPr>
              <w:rPr>
                <w:b/>
              </w:rPr>
            </w:pPr>
            <w:r>
              <w:rPr>
                <w:b/>
              </w:rPr>
              <w:t>Estimated 2012 Surplus Applied to 2013</w:t>
            </w:r>
            <w:r>
              <w:rPr>
                <w:rStyle w:val="FootnoteReference"/>
                <w:b/>
              </w:rPr>
              <w:footnoteReference w:id="2"/>
            </w:r>
            <w:r>
              <w:rPr>
                <w:b/>
              </w:rPr>
              <w:t xml:space="preserve"> </w:t>
            </w:r>
          </w:p>
        </w:tc>
        <w:tc>
          <w:tcPr>
            <w:tcW w:w="1176" w:type="dxa"/>
          </w:tcPr>
          <w:p w:rsidR="000A51E4" w:rsidRPr="00F86220" w:rsidRDefault="004C722F" w:rsidP="004C722F">
            <w:pPr>
              <w:jc w:val="center"/>
            </w:pPr>
            <w:r>
              <w:t>(34,973)</w:t>
            </w:r>
          </w:p>
        </w:tc>
      </w:tr>
    </w:tbl>
    <w:p w:rsidR="000A51E4" w:rsidRPr="00927395" w:rsidRDefault="000A51E4" w:rsidP="000A51E4">
      <w:pPr>
        <w:jc w:val="center"/>
        <w:rPr>
          <w:b/>
        </w:rPr>
      </w:pPr>
    </w:p>
    <w:p w:rsidR="00E81AF6" w:rsidRDefault="00E81AF6" w:rsidP="00E81AF6"/>
    <w:p w:rsidR="00E81AF6" w:rsidRPr="00F86220" w:rsidRDefault="00F86220" w:rsidP="00F86220">
      <w:pPr>
        <w:jc w:val="center"/>
        <w:rPr>
          <w:b/>
        </w:rPr>
      </w:pPr>
      <w:r>
        <w:rPr>
          <w:b/>
        </w:rPr>
        <w:t>VIII.</w:t>
      </w:r>
      <w:r>
        <w:rPr>
          <w:b/>
        </w:rPr>
        <w:tab/>
      </w:r>
      <w:r w:rsidRPr="00F86220">
        <w:rPr>
          <w:b/>
        </w:rPr>
        <w:t>APPENDICES</w:t>
      </w:r>
    </w:p>
    <w:p w:rsidR="00F86220" w:rsidRDefault="00F86220" w:rsidP="00E81AF6"/>
    <w:p w:rsidR="00E81AF6" w:rsidRDefault="00E81AF6" w:rsidP="00F86220">
      <w:pPr>
        <w:spacing w:line="480" w:lineRule="auto"/>
        <w:ind w:firstLine="720"/>
        <w:jc w:val="both"/>
      </w:pPr>
      <w:r>
        <w:t>The following appendices provide details about the qualified hydroelectric upgrades and renewable energy credits the Company plans to use to meet its renewable energy goals under the Energy Independence Act</w:t>
      </w:r>
      <w:r w:rsidR="00DE1EA4">
        <w:t xml:space="preserve">. The Company does not have any </w:t>
      </w:r>
      <w:r w:rsidR="00306039">
        <w:t xml:space="preserve">non-hydroelectric </w:t>
      </w:r>
      <w:r w:rsidR="00DE1EA4">
        <w:t xml:space="preserve">renewable energy credits generated from qualified resources </w:t>
      </w:r>
      <w:r w:rsidR="00467A08">
        <w:t xml:space="preserve">in 2011 </w:t>
      </w:r>
      <w:r w:rsidR="00DE1EA4">
        <w:t xml:space="preserve">that can be </w:t>
      </w:r>
      <w:r w:rsidR="00306039">
        <w:t xml:space="preserve">carried forward and </w:t>
      </w:r>
      <w:r w:rsidR="00467A08">
        <w:t>used</w:t>
      </w:r>
      <w:r w:rsidR="00DE1EA4">
        <w:t xml:space="preserve"> for 2012 compliance, so there is no appendix with a listing of WREGIS certificate numbers </w:t>
      </w:r>
      <w:r w:rsidR="00306039">
        <w:t xml:space="preserve">from 2011 </w:t>
      </w:r>
      <w:r w:rsidR="00DE1EA4">
        <w:t>to submit.</w:t>
      </w:r>
      <w:r w:rsidR="00DE1EA4">
        <w:rPr>
          <w:rStyle w:val="FootnoteReference"/>
        </w:rPr>
        <w:footnoteReference w:id="3"/>
      </w:r>
    </w:p>
    <w:p w:rsidR="00E81AF6" w:rsidRDefault="00E81AF6" w:rsidP="00E81AF6">
      <w:r>
        <w:t>Appendix A – UTC Compliance Report Spreadsheet</w:t>
      </w:r>
    </w:p>
    <w:p w:rsidR="00E81AF6" w:rsidRDefault="00E81AF6" w:rsidP="00E81AF6">
      <w:r>
        <w:t>Appendix B – Incremental Cost Calculations</w:t>
      </w:r>
    </w:p>
    <w:p w:rsidR="00E81AF6" w:rsidRDefault="00E81AF6" w:rsidP="00E81AF6">
      <w:r>
        <w:t xml:space="preserve">Appendix C – Clark Fork </w:t>
      </w:r>
      <w:r w:rsidR="000A51E4">
        <w:t xml:space="preserve">River </w:t>
      </w:r>
      <w:r>
        <w:t>Hydroelectric Project Qualifying Upgrades Report</w:t>
      </w:r>
    </w:p>
    <w:p w:rsidR="00E81AF6" w:rsidRDefault="00E81AF6" w:rsidP="00E81AF6">
      <w:r>
        <w:t>Appendix D – Spokane River Hydroelectric Project Qualifying Upgrades Report</w:t>
      </w:r>
    </w:p>
    <w:p w:rsidR="000835C1" w:rsidRDefault="000835C1" w:rsidP="00E81AF6">
      <w:r>
        <w:t xml:space="preserve">Appendix E – </w:t>
      </w:r>
      <w:proofErr w:type="spellStart"/>
      <w:r>
        <w:t>Wanapum</w:t>
      </w:r>
      <w:proofErr w:type="spellEnd"/>
      <w:r>
        <w:t xml:space="preserve"> Hydroelectric </w:t>
      </w:r>
      <w:r w:rsidR="00306039">
        <w:t xml:space="preserve">Project </w:t>
      </w:r>
      <w:r w:rsidR="000A51E4">
        <w:t xml:space="preserve">Qualifying </w:t>
      </w:r>
      <w:r>
        <w:t>Upgrade</w:t>
      </w:r>
      <w:r w:rsidR="000A51E4">
        <w:t xml:space="preserve"> Report</w:t>
      </w:r>
    </w:p>
    <w:p w:rsidR="00E81AF6" w:rsidRDefault="00E81AF6" w:rsidP="00E81AF6">
      <w:r>
        <w:t xml:space="preserve">Appendix </w:t>
      </w:r>
      <w:r w:rsidR="000835C1">
        <w:t>F</w:t>
      </w:r>
      <w:r w:rsidR="004A35B4">
        <w:t xml:space="preserve"> </w:t>
      </w:r>
      <w:r>
        <w:t>– Department of Commerce Energy Independence Act Renewables Report</w:t>
      </w:r>
    </w:p>
    <w:p w:rsidR="00D6287F" w:rsidRDefault="00D6287F" w:rsidP="005042B0">
      <w:pPr>
        <w:spacing w:line="480" w:lineRule="auto"/>
        <w:jc w:val="both"/>
      </w:pPr>
    </w:p>
    <w:p w:rsidR="00835F77" w:rsidRDefault="00835F77" w:rsidP="005042B0">
      <w:pPr>
        <w:spacing w:line="480" w:lineRule="auto"/>
        <w:jc w:val="both"/>
      </w:pPr>
      <w:r>
        <w:t>RESPECTFULLY SUBM</w:t>
      </w:r>
      <w:r w:rsidR="0071546D">
        <w:t xml:space="preserve">ITTED this </w:t>
      </w:r>
      <w:r w:rsidR="00D44060">
        <w:t>1</w:t>
      </w:r>
      <w:r w:rsidR="00A64E37" w:rsidRPr="00A64E37">
        <w:rPr>
          <w:vertAlign w:val="superscript"/>
        </w:rPr>
        <w:t>st</w:t>
      </w:r>
      <w:r w:rsidR="0071546D">
        <w:t xml:space="preserve"> day of</w:t>
      </w:r>
      <w:r w:rsidR="00D44060">
        <w:t xml:space="preserve"> June</w:t>
      </w:r>
      <w:r w:rsidR="00F86220">
        <w:t xml:space="preserve"> 2012</w:t>
      </w:r>
      <w:r>
        <w:t>.</w:t>
      </w:r>
    </w:p>
    <w:p w:rsidR="00835F77" w:rsidRDefault="00835F77" w:rsidP="005042B0">
      <w:pPr>
        <w:jc w:val="both"/>
      </w:pPr>
    </w:p>
    <w:p w:rsidR="00835F77" w:rsidRDefault="00835F77" w:rsidP="005042B0">
      <w:pPr>
        <w:jc w:val="both"/>
      </w:pPr>
      <w:r>
        <w:tab/>
      </w:r>
      <w:r>
        <w:tab/>
      </w:r>
      <w:r>
        <w:tab/>
      </w:r>
      <w:r>
        <w:tab/>
      </w:r>
      <w:r>
        <w:tab/>
      </w:r>
      <w:r>
        <w:tab/>
        <w:t>AVISTA CORPORATION</w:t>
      </w:r>
    </w:p>
    <w:p w:rsidR="00835F77" w:rsidRDefault="00835F77" w:rsidP="005042B0">
      <w:pPr>
        <w:jc w:val="both"/>
      </w:pPr>
    </w:p>
    <w:p w:rsidR="00835F77" w:rsidRDefault="00835F77" w:rsidP="005042B0">
      <w:pPr>
        <w:jc w:val="both"/>
      </w:pPr>
    </w:p>
    <w:p w:rsidR="00835F77" w:rsidRDefault="00835F77" w:rsidP="005042B0">
      <w:pPr>
        <w:jc w:val="both"/>
      </w:pPr>
      <w:r>
        <w:tab/>
      </w:r>
      <w:r>
        <w:tab/>
      </w:r>
      <w:r>
        <w:tab/>
      </w:r>
      <w:r>
        <w:tab/>
      </w:r>
      <w:r>
        <w:tab/>
      </w:r>
      <w:r>
        <w:tab/>
        <w:t xml:space="preserve">By: </w:t>
      </w:r>
      <w:r>
        <w:rPr>
          <w:u w:val="single"/>
        </w:rPr>
        <w:tab/>
      </w:r>
      <w:r>
        <w:rPr>
          <w:u w:val="single"/>
        </w:rPr>
        <w:tab/>
      </w:r>
      <w:r>
        <w:rPr>
          <w:u w:val="single"/>
        </w:rPr>
        <w:tab/>
      </w:r>
      <w:r>
        <w:rPr>
          <w:u w:val="single"/>
        </w:rPr>
        <w:tab/>
      </w:r>
      <w:r>
        <w:rPr>
          <w:u w:val="single"/>
        </w:rPr>
        <w:tab/>
      </w:r>
      <w:r>
        <w:rPr>
          <w:u w:val="single"/>
        </w:rPr>
        <w:tab/>
      </w:r>
    </w:p>
    <w:p w:rsidR="00835F77" w:rsidRDefault="00835F77" w:rsidP="005042B0">
      <w:pPr>
        <w:jc w:val="both"/>
      </w:pPr>
      <w:r>
        <w:tab/>
      </w:r>
      <w:r>
        <w:tab/>
      </w:r>
      <w:r>
        <w:tab/>
      </w:r>
      <w:r>
        <w:tab/>
      </w:r>
      <w:r>
        <w:tab/>
      </w:r>
      <w:r>
        <w:tab/>
      </w:r>
      <w:r>
        <w:tab/>
      </w:r>
      <w:r w:rsidR="0071546D">
        <w:t>Kelly O. Norwood</w:t>
      </w:r>
    </w:p>
    <w:p w:rsidR="00835F77" w:rsidRDefault="0071546D" w:rsidP="005042B0">
      <w:pPr>
        <w:jc w:val="both"/>
      </w:pPr>
      <w:r>
        <w:tab/>
      </w:r>
      <w:r>
        <w:tab/>
      </w:r>
      <w:r>
        <w:tab/>
      </w:r>
      <w:r>
        <w:tab/>
      </w:r>
      <w:r>
        <w:tab/>
      </w:r>
      <w:r>
        <w:tab/>
      </w:r>
      <w:r>
        <w:tab/>
        <w:t>Vice President, State and Federal Regulation</w:t>
      </w:r>
    </w:p>
    <w:p w:rsidR="00D258AA" w:rsidRDefault="00D258AA" w:rsidP="00331EDA"/>
    <w:sectPr w:rsidR="00D258AA" w:rsidSect="00C62AC6">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BCB" w:rsidRDefault="001D6BCB">
      <w:r>
        <w:separator/>
      </w:r>
    </w:p>
  </w:endnote>
  <w:endnote w:type="continuationSeparator" w:id="0">
    <w:p w:rsidR="001D6BCB" w:rsidRDefault="001D6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BCB" w:rsidRDefault="001D6BCB">
    <w:pPr>
      <w:pStyle w:val="Footer"/>
    </w:pPr>
    <w:r>
      <w:rPr>
        <w:sz w:val="20"/>
        <w:szCs w:val="20"/>
      </w:rPr>
      <w:t xml:space="preserve">RENEWABLE TARGET COMPLIANCE REPORT OF AVISTA CORPORATION - </w:t>
    </w:r>
    <w:r w:rsidR="003769AF">
      <w:rPr>
        <w:rStyle w:val="PageNumber"/>
        <w:sz w:val="20"/>
        <w:szCs w:val="20"/>
      </w:rPr>
      <w:fldChar w:fldCharType="begin"/>
    </w:r>
    <w:r>
      <w:rPr>
        <w:rStyle w:val="PageNumber"/>
        <w:sz w:val="20"/>
        <w:szCs w:val="20"/>
      </w:rPr>
      <w:instrText xml:space="preserve"> PAGE </w:instrText>
    </w:r>
    <w:r w:rsidR="003769AF">
      <w:rPr>
        <w:rStyle w:val="PageNumber"/>
        <w:sz w:val="20"/>
        <w:szCs w:val="20"/>
      </w:rPr>
      <w:fldChar w:fldCharType="separate"/>
    </w:r>
    <w:r w:rsidR="00913A90">
      <w:rPr>
        <w:rStyle w:val="PageNumber"/>
        <w:noProof/>
        <w:sz w:val="20"/>
        <w:szCs w:val="20"/>
      </w:rPr>
      <w:t>1</w:t>
    </w:r>
    <w:r w:rsidR="003769AF">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BCB" w:rsidRDefault="001D6BCB">
      <w:r>
        <w:separator/>
      </w:r>
    </w:p>
  </w:footnote>
  <w:footnote w:type="continuationSeparator" w:id="0">
    <w:p w:rsidR="001D6BCB" w:rsidRDefault="001D6BCB">
      <w:r>
        <w:continuationSeparator/>
      </w:r>
    </w:p>
  </w:footnote>
  <w:footnote w:id="1">
    <w:p w:rsidR="001D6BCB" w:rsidRDefault="001D6BCB">
      <w:pPr>
        <w:pStyle w:val="FootnoteText"/>
      </w:pPr>
      <w:r>
        <w:rPr>
          <w:rStyle w:val="FootnoteReference"/>
        </w:rPr>
        <w:footnoteRef/>
      </w:r>
      <w:r>
        <w:t xml:space="preserve"> In 2008, Avista purchased 50,000 renewable energy certificates per year generated from the Stateline Wind Project for the 2012 through 2015 period to comply with RCW Chapter 19.285 requirements.  The renewable energy certificates for 2012 through 2014 have been sold because they were determined to be surplus of the Company’s needs in 2011 because of the acquisition of the Palouse Wind Power Purchase Agreement and decisions concerning the need for reserves for qualifying hydroelectric upgrades. The 2015 renewable energy certificates were not sold since they are eligible to be used for 2016 compliance obligations. </w:t>
      </w:r>
    </w:p>
  </w:footnote>
  <w:footnote w:id="2">
    <w:p w:rsidR="001D6BCB" w:rsidRDefault="001D6BCB">
      <w:pPr>
        <w:pStyle w:val="FootnoteText"/>
      </w:pPr>
      <w:r>
        <w:rPr>
          <w:rStyle w:val="FootnoteReference"/>
        </w:rPr>
        <w:footnoteRef/>
      </w:r>
      <w:r>
        <w:t xml:space="preserve"> The surplus applied to 2013 is lower than the total surplus because qualified hydroelectric upgrades must be used for compliance only in the year they are generated.</w:t>
      </w:r>
    </w:p>
  </w:footnote>
  <w:footnote w:id="3">
    <w:p w:rsidR="001D6BCB" w:rsidRDefault="001D6BCB">
      <w:pPr>
        <w:pStyle w:val="FootnoteText"/>
      </w:pPr>
      <w:r>
        <w:rPr>
          <w:rStyle w:val="FootnoteReference"/>
        </w:rPr>
        <w:footnoteRef/>
      </w:r>
      <w:r>
        <w:t xml:space="preserve"> Avista’s renewable target compliance report that will be submitted on or before June 1, 2013 will provide a list of WREGIS certificate numbers scheduled for retirement for the 2012 compliance year. The qualified hydroelectric upgrades cannot be used for compliance in the following year, so there are no 2011 certificate numbers to submit.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B5F"/>
    <w:multiLevelType w:val="hybridMultilevel"/>
    <w:tmpl w:val="5052D856"/>
    <w:lvl w:ilvl="0" w:tplc="329AA69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C6202"/>
    <w:multiLevelType w:val="hybridMultilevel"/>
    <w:tmpl w:val="A4A28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46A05"/>
    <w:multiLevelType w:val="hybridMultilevel"/>
    <w:tmpl w:val="D3BA3DBE"/>
    <w:lvl w:ilvl="0" w:tplc="2816519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2963A7"/>
    <w:multiLevelType w:val="hybridMultilevel"/>
    <w:tmpl w:val="CDEA2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94FA6"/>
    <w:multiLevelType w:val="hybridMultilevel"/>
    <w:tmpl w:val="E7DC9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A1A90"/>
    <w:multiLevelType w:val="hybridMultilevel"/>
    <w:tmpl w:val="69CC1C24"/>
    <w:lvl w:ilvl="0" w:tplc="37FC4494">
      <w:start w:val="14"/>
      <w:numFmt w:val="decimal"/>
      <w:lvlText w:val="%1"/>
      <w:lvlJc w:val="left"/>
      <w:pPr>
        <w:tabs>
          <w:tab w:val="num" w:pos="1080"/>
        </w:tabs>
        <w:ind w:left="1080" w:hanging="84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1BF41340"/>
    <w:multiLevelType w:val="hybridMultilevel"/>
    <w:tmpl w:val="C87E0AAE"/>
    <w:lvl w:ilvl="0" w:tplc="537C563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CBC7FAF"/>
    <w:multiLevelType w:val="hybridMultilevel"/>
    <w:tmpl w:val="D4344D6A"/>
    <w:lvl w:ilvl="0" w:tplc="0409000F">
      <w:start w:val="1"/>
      <w:numFmt w:val="decimal"/>
      <w:lvlText w:val="%1."/>
      <w:lvlJc w:val="left"/>
      <w:pPr>
        <w:tabs>
          <w:tab w:val="num" w:pos="1800"/>
        </w:tabs>
        <w:ind w:left="1800" w:hanging="360"/>
      </w:pPr>
    </w:lvl>
    <w:lvl w:ilvl="1" w:tplc="6920804A">
      <w:start w:val="1"/>
      <w:numFmt w:val="upperLetter"/>
      <w:lvlText w:val="(%2)"/>
      <w:lvlJc w:val="left"/>
      <w:pPr>
        <w:tabs>
          <w:tab w:val="num" w:pos="2550"/>
        </w:tabs>
        <w:ind w:left="2550" w:hanging="39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DFE523D"/>
    <w:multiLevelType w:val="hybridMultilevel"/>
    <w:tmpl w:val="7B12CE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2AC489D"/>
    <w:multiLevelType w:val="hybridMultilevel"/>
    <w:tmpl w:val="E5602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D5A7E"/>
    <w:multiLevelType w:val="hybridMultilevel"/>
    <w:tmpl w:val="C2D2A066"/>
    <w:lvl w:ilvl="0" w:tplc="67E8BE2A">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A3687C"/>
    <w:multiLevelType w:val="hybridMultilevel"/>
    <w:tmpl w:val="5C5C8B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4C62F9"/>
    <w:multiLevelType w:val="hybridMultilevel"/>
    <w:tmpl w:val="9184F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C7B98"/>
    <w:multiLevelType w:val="hybridMultilevel"/>
    <w:tmpl w:val="271CE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33724"/>
    <w:multiLevelType w:val="singleLevel"/>
    <w:tmpl w:val="04090015"/>
    <w:lvl w:ilvl="0">
      <w:start w:val="17"/>
      <w:numFmt w:val="upperLetter"/>
      <w:lvlText w:val="%1."/>
      <w:lvlJc w:val="left"/>
      <w:pPr>
        <w:tabs>
          <w:tab w:val="num" w:pos="360"/>
        </w:tabs>
        <w:ind w:left="360" w:hanging="360"/>
      </w:pPr>
      <w:rPr>
        <w:rFonts w:hint="default"/>
      </w:rPr>
    </w:lvl>
  </w:abstractNum>
  <w:abstractNum w:abstractNumId="15">
    <w:nsid w:val="35FE1D91"/>
    <w:multiLevelType w:val="hybridMultilevel"/>
    <w:tmpl w:val="BCCEE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CA3CAD"/>
    <w:multiLevelType w:val="hybridMultilevel"/>
    <w:tmpl w:val="F7B81AC4"/>
    <w:lvl w:ilvl="0" w:tplc="537C5634">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C7E7A7F"/>
    <w:multiLevelType w:val="hybridMultilevel"/>
    <w:tmpl w:val="6C9C2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A721C7"/>
    <w:multiLevelType w:val="hybridMultilevel"/>
    <w:tmpl w:val="F0A2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5C73E1"/>
    <w:multiLevelType w:val="hybridMultilevel"/>
    <w:tmpl w:val="8DC0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1D76B5"/>
    <w:multiLevelType w:val="hybridMultilevel"/>
    <w:tmpl w:val="736E9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5D3499"/>
    <w:multiLevelType w:val="hybridMultilevel"/>
    <w:tmpl w:val="08E46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41F3D"/>
    <w:multiLevelType w:val="hybridMultilevel"/>
    <w:tmpl w:val="FB466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867855"/>
    <w:multiLevelType w:val="hybridMultilevel"/>
    <w:tmpl w:val="E4DEDCE8"/>
    <w:lvl w:ilvl="0" w:tplc="FC6A01E4">
      <w:start w:val="4"/>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8F5EF1"/>
    <w:multiLevelType w:val="hybridMultilevel"/>
    <w:tmpl w:val="1186C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9A020E"/>
    <w:multiLevelType w:val="hybridMultilevel"/>
    <w:tmpl w:val="91BE9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A551D0"/>
    <w:multiLevelType w:val="hybridMultilevel"/>
    <w:tmpl w:val="A3649CA8"/>
    <w:lvl w:ilvl="0" w:tplc="91A6F1A6">
      <w:start w:val="1"/>
      <w:numFmt w:val="decimal"/>
      <w:lvlText w:val="%1"/>
      <w:lvlJc w:val="left"/>
      <w:pPr>
        <w:tabs>
          <w:tab w:val="num" w:pos="0"/>
        </w:tabs>
        <w:ind w:left="0" w:hanging="720"/>
      </w:pPr>
      <w:rPr>
        <w:rFonts w:ascii="Palatino Linotype" w:hAnsi="Palatino Linotype" w:hint="default"/>
        <w:b w:val="0"/>
        <w:i/>
        <w:sz w:val="20"/>
        <w:szCs w:val="20"/>
      </w:rPr>
    </w:lvl>
    <w:lvl w:ilvl="1" w:tplc="0A6AFE10">
      <w:start w:val="1"/>
      <w:numFmt w:val="lowerLetter"/>
      <w:lvlText w:val="%2."/>
      <w:lvlJc w:val="left"/>
      <w:pPr>
        <w:tabs>
          <w:tab w:val="num" w:pos="1440"/>
        </w:tabs>
        <w:ind w:left="1440" w:hanging="360"/>
      </w:pPr>
    </w:lvl>
    <w:lvl w:ilvl="2" w:tplc="3FAC19E6" w:tentative="1">
      <w:start w:val="1"/>
      <w:numFmt w:val="lowerRoman"/>
      <w:lvlText w:val="%3."/>
      <w:lvlJc w:val="right"/>
      <w:pPr>
        <w:tabs>
          <w:tab w:val="num" w:pos="2160"/>
        </w:tabs>
        <w:ind w:left="2160" w:hanging="180"/>
      </w:pPr>
    </w:lvl>
    <w:lvl w:ilvl="3" w:tplc="FCB67996" w:tentative="1">
      <w:start w:val="1"/>
      <w:numFmt w:val="decimal"/>
      <w:lvlText w:val="%4."/>
      <w:lvlJc w:val="left"/>
      <w:pPr>
        <w:tabs>
          <w:tab w:val="num" w:pos="2880"/>
        </w:tabs>
        <w:ind w:left="2880" w:hanging="360"/>
      </w:pPr>
    </w:lvl>
    <w:lvl w:ilvl="4" w:tplc="E438BDF0" w:tentative="1">
      <w:start w:val="1"/>
      <w:numFmt w:val="lowerLetter"/>
      <w:lvlText w:val="%5."/>
      <w:lvlJc w:val="left"/>
      <w:pPr>
        <w:tabs>
          <w:tab w:val="num" w:pos="3600"/>
        </w:tabs>
        <w:ind w:left="3600" w:hanging="360"/>
      </w:pPr>
    </w:lvl>
    <w:lvl w:ilvl="5" w:tplc="4910663C" w:tentative="1">
      <w:start w:val="1"/>
      <w:numFmt w:val="lowerRoman"/>
      <w:lvlText w:val="%6."/>
      <w:lvlJc w:val="right"/>
      <w:pPr>
        <w:tabs>
          <w:tab w:val="num" w:pos="4320"/>
        </w:tabs>
        <w:ind w:left="4320" w:hanging="180"/>
      </w:pPr>
    </w:lvl>
    <w:lvl w:ilvl="6" w:tplc="64E636E6" w:tentative="1">
      <w:start w:val="1"/>
      <w:numFmt w:val="decimal"/>
      <w:lvlText w:val="%7."/>
      <w:lvlJc w:val="left"/>
      <w:pPr>
        <w:tabs>
          <w:tab w:val="num" w:pos="5040"/>
        </w:tabs>
        <w:ind w:left="5040" w:hanging="360"/>
      </w:pPr>
    </w:lvl>
    <w:lvl w:ilvl="7" w:tplc="81D2E0A2" w:tentative="1">
      <w:start w:val="1"/>
      <w:numFmt w:val="lowerLetter"/>
      <w:lvlText w:val="%8."/>
      <w:lvlJc w:val="left"/>
      <w:pPr>
        <w:tabs>
          <w:tab w:val="num" w:pos="5760"/>
        </w:tabs>
        <w:ind w:left="5760" w:hanging="360"/>
      </w:pPr>
    </w:lvl>
    <w:lvl w:ilvl="8" w:tplc="6C627BF2" w:tentative="1">
      <w:start w:val="1"/>
      <w:numFmt w:val="lowerRoman"/>
      <w:lvlText w:val="%9."/>
      <w:lvlJc w:val="right"/>
      <w:pPr>
        <w:tabs>
          <w:tab w:val="num" w:pos="6480"/>
        </w:tabs>
        <w:ind w:left="6480" w:hanging="180"/>
      </w:pPr>
    </w:lvl>
  </w:abstractNum>
  <w:abstractNum w:abstractNumId="27">
    <w:nsid w:val="60404D89"/>
    <w:multiLevelType w:val="hybridMultilevel"/>
    <w:tmpl w:val="EEEC7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16447F"/>
    <w:multiLevelType w:val="hybridMultilevel"/>
    <w:tmpl w:val="146E3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776E10"/>
    <w:multiLevelType w:val="hybridMultilevel"/>
    <w:tmpl w:val="5184A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8367E6D"/>
    <w:multiLevelType w:val="hybridMultilevel"/>
    <w:tmpl w:val="D30A9D36"/>
    <w:lvl w:ilvl="0" w:tplc="537C56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286E90"/>
    <w:multiLevelType w:val="hybridMultilevel"/>
    <w:tmpl w:val="A3B4A702"/>
    <w:lvl w:ilvl="0" w:tplc="7102E2D8">
      <w:start w:val="1"/>
      <w:numFmt w:val="decimal"/>
      <w:lvlText w:val="%1"/>
      <w:lvlJc w:val="left"/>
      <w:pPr>
        <w:tabs>
          <w:tab w:val="num" w:pos="0"/>
        </w:tabs>
        <w:ind w:left="0" w:hanging="720"/>
      </w:pPr>
      <w:rPr>
        <w:rFonts w:hint="default"/>
        <w:b w:val="0"/>
        <w:i/>
        <w:sz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2"/>
  </w:num>
  <w:num w:numId="4">
    <w:abstractNumId w:val="29"/>
  </w:num>
  <w:num w:numId="5">
    <w:abstractNumId w:val="32"/>
  </w:num>
  <w:num w:numId="6">
    <w:abstractNumId w:val="17"/>
  </w:num>
  <w:num w:numId="7">
    <w:abstractNumId w:val="8"/>
  </w:num>
  <w:num w:numId="8">
    <w:abstractNumId w:val="14"/>
  </w:num>
  <w:num w:numId="9">
    <w:abstractNumId w:val="7"/>
  </w:num>
  <w:num w:numId="10">
    <w:abstractNumId w:val="5"/>
  </w:num>
  <w:num w:numId="11">
    <w:abstractNumId w:val="31"/>
  </w:num>
  <w:num w:numId="12">
    <w:abstractNumId w:val="19"/>
  </w:num>
  <w:num w:numId="13">
    <w:abstractNumId w:val="26"/>
  </w:num>
  <w:num w:numId="14">
    <w:abstractNumId w:val="20"/>
  </w:num>
  <w:num w:numId="15">
    <w:abstractNumId w:val="23"/>
  </w:num>
  <w:num w:numId="16">
    <w:abstractNumId w:val="18"/>
  </w:num>
  <w:num w:numId="17">
    <w:abstractNumId w:val="3"/>
  </w:num>
  <w:num w:numId="18">
    <w:abstractNumId w:val="25"/>
  </w:num>
  <w:num w:numId="19">
    <w:abstractNumId w:val="1"/>
  </w:num>
  <w:num w:numId="20">
    <w:abstractNumId w:val="21"/>
  </w:num>
  <w:num w:numId="21">
    <w:abstractNumId w:val="15"/>
  </w:num>
  <w:num w:numId="22">
    <w:abstractNumId w:val="13"/>
  </w:num>
  <w:num w:numId="23">
    <w:abstractNumId w:val="9"/>
  </w:num>
  <w:num w:numId="24">
    <w:abstractNumId w:val="11"/>
  </w:num>
  <w:num w:numId="25">
    <w:abstractNumId w:val="4"/>
  </w:num>
  <w:num w:numId="26">
    <w:abstractNumId w:val="27"/>
  </w:num>
  <w:num w:numId="27">
    <w:abstractNumId w:val="24"/>
  </w:num>
  <w:num w:numId="28">
    <w:abstractNumId w:val="22"/>
  </w:num>
  <w:num w:numId="29">
    <w:abstractNumId w:val="12"/>
  </w:num>
  <w:num w:numId="30">
    <w:abstractNumId w:val="28"/>
  </w:num>
  <w:num w:numId="31">
    <w:abstractNumId w:val="6"/>
  </w:num>
  <w:num w:numId="32">
    <w:abstractNumId w:val="30"/>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rsids>
    <w:rsidRoot w:val="00B55918"/>
    <w:rsid w:val="000011B7"/>
    <w:rsid w:val="000045C2"/>
    <w:rsid w:val="00004F3A"/>
    <w:rsid w:val="00011255"/>
    <w:rsid w:val="000160DA"/>
    <w:rsid w:val="0002055F"/>
    <w:rsid w:val="00023F14"/>
    <w:rsid w:val="00033FEB"/>
    <w:rsid w:val="000349B3"/>
    <w:rsid w:val="00034F0C"/>
    <w:rsid w:val="000364CC"/>
    <w:rsid w:val="0003776B"/>
    <w:rsid w:val="000426D4"/>
    <w:rsid w:val="00043410"/>
    <w:rsid w:val="00044C75"/>
    <w:rsid w:val="00056A1D"/>
    <w:rsid w:val="000608CB"/>
    <w:rsid w:val="00062A12"/>
    <w:rsid w:val="000641D2"/>
    <w:rsid w:val="00071434"/>
    <w:rsid w:val="00071CD5"/>
    <w:rsid w:val="00082303"/>
    <w:rsid w:val="000835C1"/>
    <w:rsid w:val="00083728"/>
    <w:rsid w:val="00093587"/>
    <w:rsid w:val="000971FD"/>
    <w:rsid w:val="00097E2A"/>
    <w:rsid w:val="000A195C"/>
    <w:rsid w:val="000A25E5"/>
    <w:rsid w:val="000A2834"/>
    <w:rsid w:val="000A3C09"/>
    <w:rsid w:val="000A51E4"/>
    <w:rsid w:val="000C4578"/>
    <w:rsid w:val="000D4C32"/>
    <w:rsid w:val="000D56A3"/>
    <w:rsid w:val="000E027F"/>
    <w:rsid w:val="000E2F22"/>
    <w:rsid w:val="000E3E76"/>
    <w:rsid w:val="000F506A"/>
    <w:rsid w:val="0010050E"/>
    <w:rsid w:val="00107C91"/>
    <w:rsid w:val="001132F2"/>
    <w:rsid w:val="001245E5"/>
    <w:rsid w:val="001275F1"/>
    <w:rsid w:val="00135FA7"/>
    <w:rsid w:val="001453BE"/>
    <w:rsid w:val="00147A68"/>
    <w:rsid w:val="00151E58"/>
    <w:rsid w:val="00153372"/>
    <w:rsid w:val="00156A01"/>
    <w:rsid w:val="00161747"/>
    <w:rsid w:val="00163C1A"/>
    <w:rsid w:val="00172002"/>
    <w:rsid w:val="00175478"/>
    <w:rsid w:val="001775EC"/>
    <w:rsid w:val="0017769A"/>
    <w:rsid w:val="00181897"/>
    <w:rsid w:val="00182D9C"/>
    <w:rsid w:val="00186B1F"/>
    <w:rsid w:val="00193F05"/>
    <w:rsid w:val="0019443D"/>
    <w:rsid w:val="001952EE"/>
    <w:rsid w:val="001959A0"/>
    <w:rsid w:val="00196499"/>
    <w:rsid w:val="0019703C"/>
    <w:rsid w:val="001A4FB4"/>
    <w:rsid w:val="001A5EF5"/>
    <w:rsid w:val="001B7D99"/>
    <w:rsid w:val="001C1A22"/>
    <w:rsid w:val="001C3871"/>
    <w:rsid w:val="001C792F"/>
    <w:rsid w:val="001D068F"/>
    <w:rsid w:val="001D6BCB"/>
    <w:rsid w:val="001E06F1"/>
    <w:rsid w:val="001F0FAA"/>
    <w:rsid w:val="0021662B"/>
    <w:rsid w:val="00222201"/>
    <w:rsid w:val="00223956"/>
    <w:rsid w:val="00225CB8"/>
    <w:rsid w:val="00226668"/>
    <w:rsid w:val="00227717"/>
    <w:rsid w:val="00227A6D"/>
    <w:rsid w:val="00241BAE"/>
    <w:rsid w:val="00244A4F"/>
    <w:rsid w:val="00245EAB"/>
    <w:rsid w:val="00252881"/>
    <w:rsid w:val="0027401B"/>
    <w:rsid w:val="0027770A"/>
    <w:rsid w:val="00280F1F"/>
    <w:rsid w:val="002814CC"/>
    <w:rsid w:val="00281B67"/>
    <w:rsid w:val="00282E11"/>
    <w:rsid w:val="002872E0"/>
    <w:rsid w:val="00293511"/>
    <w:rsid w:val="0029636E"/>
    <w:rsid w:val="00297D24"/>
    <w:rsid w:val="002A1947"/>
    <w:rsid w:val="002A36BC"/>
    <w:rsid w:val="002A48A6"/>
    <w:rsid w:val="002A796C"/>
    <w:rsid w:val="002B0F4E"/>
    <w:rsid w:val="002B1CC9"/>
    <w:rsid w:val="002B2B50"/>
    <w:rsid w:val="002B3999"/>
    <w:rsid w:val="002B64D2"/>
    <w:rsid w:val="002D1931"/>
    <w:rsid w:val="002D2D2A"/>
    <w:rsid w:val="002D5896"/>
    <w:rsid w:val="002E4343"/>
    <w:rsid w:val="002E4AD4"/>
    <w:rsid w:val="002E6244"/>
    <w:rsid w:val="002F061F"/>
    <w:rsid w:val="002F43CE"/>
    <w:rsid w:val="00301C34"/>
    <w:rsid w:val="003034DE"/>
    <w:rsid w:val="00306039"/>
    <w:rsid w:val="00315EEF"/>
    <w:rsid w:val="003222B1"/>
    <w:rsid w:val="00324D68"/>
    <w:rsid w:val="0032747E"/>
    <w:rsid w:val="00331EDA"/>
    <w:rsid w:val="0033217C"/>
    <w:rsid w:val="00335863"/>
    <w:rsid w:val="00353FD5"/>
    <w:rsid w:val="00364527"/>
    <w:rsid w:val="003677AF"/>
    <w:rsid w:val="00375397"/>
    <w:rsid w:val="00375A6D"/>
    <w:rsid w:val="00375F78"/>
    <w:rsid w:val="003769AF"/>
    <w:rsid w:val="00381096"/>
    <w:rsid w:val="00381672"/>
    <w:rsid w:val="0038574E"/>
    <w:rsid w:val="0038596C"/>
    <w:rsid w:val="0038635B"/>
    <w:rsid w:val="0039485C"/>
    <w:rsid w:val="00394B7A"/>
    <w:rsid w:val="003A2747"/>
    <w:rsid w:val="003A3019"/>
    <w:rsid w:val="003A5341"/>
    <w:rsid w:val="003B4625"/>
    <w:rsid w:val="003B616F"/>
    <w:rsid w:val="003C1C2F"/>
    <w:rsid w:val="003C4621"/>
    <w:rsid w:val="003C7804"/>
    <w:rsid w:val="003D01CA"/>
    <w:rsid w:val="003D783F"/>
    <w:rsid w:val="003F011A"/>
    <w:rsid w:val="003F155E"/>
    <w:rsid w:val="003F7C96"/>
    <w:rsid w:val="003F7DCF"/>
    <w:rsid w:val="003F7F2B"/>
    <w:rsid w:val="00401820"/>
    <w:rsid w:val="004032FC"/>
    <w:rsid w:val="004034FA"/>
    <w:rsid w:val="0040447B"/>
    <w:rsid w:val="00406500"/>
    <w:rsid w:val="004139AE"/>
    <w:rsid w:val="00417169"/>
    <w:rsid w:val="0042108E"/>
    <w:rsid w:val="00422EFA"/>
    <w:rsid w:val="0043271A"/>
    <w:rsid w:val="004402B5"/>
    <w:rsid w:val="0044513C"/>
    <w:rsid w:val="00450459"/>
    <w:rsid w:val="00452FAC"/>
    <w:rsid w:val="004538CE"/>
    <w:rsid w:val="00454961"/>
    <w:rsid w:val="00454CB0"/>
    <w:rsid w:val="00455A8F"/>
    <w:rsid w:val="0046173C"/>
    <w:rsid w:val="00467A08"/>
    <w:rsid w:val="00473325"/>
    <w:rsid w:val="00474DC7"/>
    <w:rsid w:val="00475E7B"/>
    <w:rsid w:val="0048183B"/>
    <w:rsid w:val="004904CF"/>
    <w:rsid w:val="00493A13"/>
    <w:rsid w:val="00494206"/>
    <w:rsid w:val="00495D7F"/>
    <w:rsid w:val="004972A0"/>
    <w:rsid w:val="004A190C"/>
    <w:rsid w:val="004A2773"/>
    <w:rsid w:val="004A28FE"/>
    <w:rsid w:val="004A35B4"/>
    <w:rsid w:val="004A549E"/>
    <w:rsid w:val="004A6AD2"/>
    <w:rsid w:val="004B1821"/>
    <w:rsid w:val="004B2A28"/>
    <w:rsid w:val="004B52D7"/>
    <w:rsid w:val="004B7500"/>
    <w:rsid w:val="004C1649"/>
    <w:rsid w:val="004C21A5"/>
    <w:rsid w:val="004C55D4"/>
    <w:rsid w:val="004C722F"/>
    <w:rsid w:val="004D0339"/>
    <w:rsid w:val="004D0617"/>
    <w:rsid w:val="004D1E6F"/>
    <w:rsid w:val="004E0F6F"/>
    <w:rsid w:val="004E221B"/>
    <w:rsid w:val="004E42E6"/>
    <w:rsid w:val="004F31B4"/>
    <w:rsid w:val="004F31DF"/>
    <w:rsid w:val="004F5120"/>
    <w:rsid w:val="004F5F6E"/>
    <w:rsid w:val="005042B0"/>
    <w:rsid w:val="00510396"/>
    <w:rsid w:val="00513A2B"/>
    <w:rsid w:val="0051735A"/>
    <w:rsid w:val="00541A2E"/>
    <w:rsid w:val="00541B85"/>
    <w:rsid w:val="005421B3"/>
    <w:rsid w:val="00542B82"/>
    <w:rsid w:val="0056094C"/>
    <w:rsid w:val="00565AE9"/>
    <w:rsid w:val="00574887"/>
    <w:rsid w:val="005779D9"/>
    <w:rsid w:val="00580251"/>
    <w:rsid w:val="005870D0"/>
    <w:rsid w:val="005948C8"/>
    <w:rsid w:val="00595A44"/>
    <w:rsid w:val="005978A9"/>
    <w:rsid w:val="005A166C"/>
    <w:rsid w:val="005B0D94"/>
    <w:rsid w:val="005C2684"/>
    <w:rsid w:val="005C269B"/>
    <w:rsid w:val="005C4B16"/>
    <w:rsid w:val="005D0BC4"/>
    <w:rsid w:val="005D750D"/>
    <w:rsid w:val="005E08C9"/>
    <w:rsid w:val="005E4D80"/>
    <w:rsid w:val="005E7DB5"/>
    <w:rsid w:val="005F0870"/>
    <w:rsid w:val="005F1C4D"/>
    <w:rsid w:val="005F30A9"/>
    <w:rsid w:val="005F3DFC"/>
    <w:rsid w:val="005F60A1"/>
    <w:rsid w:val="0060167E"/>
    <w:rsid w:val="00602602"/>
    <w:rsid w:val="0060316A"/>
    <w:rsid w:val="0060770A"/>
    <w:rsid w:val="00610028"/>
    <w:rsid w:val="0061650E"/>
    <w:rsid w:val="0062101D"/>
    <w:rsid w:val="00631A71"/>
    <w:rsid w:val="00634718"/>
    <w:rsid w:val="0065349E"/>
    <w:rsid w:val="006535E3"/>
    <w:rsid w:val="00667748"/>
    <w:rsid w:val="0066788A"/>
    <w:rsid w:val="00671C52"/>
    <w:rsid w:val="00682216"/>
    <w:rsid w:val="00682362"/>
    <w:rsid w:val="00682CB5"/>
    <w:rsid w:val="00683558"/>
    <w:rsid w:val="0068683A"/>
    <w:rsid w:val="00687D02"/>
    <w:rsid w:val="00694076"/>
    <w:rsid w:val="0069629B"/>
    <w:rsid w:val="006A0ACE"/>
    <w:rsid w:val="006A1B7C"/>
    <w:rsid w:val="006C4A50"/>
    <w:rsid w:val="006C7448"/>
    <w:rsid w:val="006C7534"/>
    <w:rsid w:val="006D2D9B"/>
    <w:rsid w:val="006D4A85"/>
    <w:rsid w:val="006F0B6C"/>
    <w:rsid w:val="006F1BB3"/>
    <w:rsid w:val="007013DE"/>
    <w:rsid w:val="00702034"/>
    <w:rsid w:val="007025A0"/>
    <w:rsid w:val="00704BBF"/>
    <w:rsid w:val="007151A4"/>
    <w:rsid w:val="0071546D"/>
    <w:rsid w:val="00717550"/>
    <w:rsid w:val="00722091"/>
    <w:rsid w:val="00723B9D"/>
    <w:rsid w:val="00724BA4"/>
    <w:rsid w:val="00730FB7"/>
    <w:rsid w:val="00735999"/>
    <w:rsid w:val="00736FAB"/>
    <w:rsid w:val="007376E1"/>
    <w:rsid w:val="00742558"/>
    <w:rsid w:val="00746C04"/>
    <w:rsid w:val="00774BD0"/>
    <w:rsid w:val="00781FC6"/>
    <w:rsid w:val="0078608A"/>
    <w:rsid w:val="007872C6"/>
    <w:rsid w:val="00793EF1"/>
    <w:rsid w:val="00795EF6"/>
    <w:rsid w:val="007A29A1"/>
    <w:rsid w:val="007A30F7"/>
    <w:rsid w:val="007A4697"/>
    <w:rsid w:val="007A53DB"/>
    <w:rsid w:val="007C0735"/>
    <w:rsid w:val="007D4AD6"/>
    <w:rsid w:val="007D4B29"/>
    <w:rsid w:val="007E3BDF"/>
    <w:rsid w:val="007E4C8A"/>
    <w:rsid w:val="007F0E72"/>
    <w:rsid w:val="007F0F55"/>
    <w:rsid w:val="008032B6"/>
    <w:rsid w:val="00812C27"/>
    <w:rsid w:val="00814BB0"/>
    <w:rsid w:val="0081555C"/>
    <w:rsid w:val="00815692"/>
    <w:rsid w:val="008158B2"/>
    <w:rsid w:val="008213FD"/>
    <w:rsid w:val="008242B9"/>
    <w:rsid w:val="00827A4D"/>
    <w:rsid w:val="00830D84"/>
    <w:rsid w:val="00834F48"/>
    <w:rsid w:val="00835F77"/>
    <w:rsid w:val="00853946"/>
    <w:rsid w:val="00856F59"/>
    <w:rsid w:val="00867CF6"/>
    <w:rsid w:val="00871A6E"/>
    <w:rsid w:val="00873ECA"/>
    <w:rsid w:val="00875146"/>
    <w:rsid w:val="00881FF6"/>
    <w:rsid w:val="008869FA"/>
    <w:rsid w:val="00893664"/>
    <w:rsid w:val="0089762E"/>
    <w:rsid w:val="008A38EE"/>
    <w:rsid w:val="008A599A"/>
    <w:rsid w:val="008A5EF4"/>
    <w:rsid w:val="008A782C"/>
    <w:rsid w:val="008B5B93"/>
    <w:rsid w:val="008C001F"/>
    <w:rsid w:val="008C3719"/>
    <w:rsid w:val="008C757F"/>
    <w:rsid w:val="008D3402"/>
    <w:rsid w:val="008D7508"/>
    <w:rsid w:val="008E5190"/>
    <w:rsid w:val="008E5EC3"/>
    <w:rsid w:val="008E6992"/>
    <w:rsid w:val="008F6FB5"/>
    <w:rsid w:val="00902AC9"/>
    <w:rsid w:val="00911AC1"/>
    <w:rsid w:val="009130BB"/>
    <w:rsid w:val="0091372A"/>
    <w:rsid w:val="00913A90"/>
    <w:rsid w:val="00915633"/>
    <w:rsid w:val="00923A3B"/>
    <w:rsid w:val="009243B9"/>
    <w:rsid w:val="00927395"/>
    <w:rsid w:val="00927837"/>
    <w:rsid w:val="00931F06"/>
    <w:rsid w:val="009321E3"/>
    <w:rsid w:val="00941202"/>
    <w:rsid w:val="00944B6B"/>
    <w:rsid w:val="009474CD"/>
    <w:rsid w:val="00947ED6"/>
    <w:rsid w:val="00952CF7"/>
    <w:rsid w:val="00956978"/>
    <w:rsid w:val="00967B18"/>
    <w:rsid w:val="00972484"/>
    <w:rsid w:val="00973A6D"/>
    <w:rsid w:val="00973F6B"/>
    <w:rsid w:val="00974E2F"/>
    <w:rsid w:val="00977A03"/>
    <w:rsid w:val="00982D3D"/>
    <w:rsid w:val="00982D87"/>
    <w:rsid w:val="00983CC9"/>
    <w:rsid w:val="00985A24"/>
    <w:rsid w:val="009930C1"/>
    <w:rsid w:val="009930FC"/>
    <w:rsid w:val="009955B7"/>
    <w:rsid w:val="009A5BAE"/>
    <w:rsid w:val="009A6D9B"/>
    <w:rsid w:val="009B31C1"/>
    <w:rsid w:val="009B7D17"/>
    <w:rsid w:val="009C568E"/>
    <w:rsid w:val="009D5CFB"/>
    <w:rsid w:val="009E0C5D"/>
    <w:rsid w:val="009E1C3C"/>
    <w:rsid w:val="009E621B"/>
    <w:rsid w:val="009E622F"/>
    <w:rsid w:val="009F2BE0"/>
    <w:rsid w:val="009F312B"/>
    <w:rsid w:val="009F3660"/>
    <w:rsid w:val="00A05457"/>
    <w:rsid w:val="00A168E1"/>
    <w:rsid w:val="00A21C31"/>
    <w:rsid w:val="00A3129B"/>
    <w:rsid w:val="00A346D8"/>
    <w:rsid w:val="00A35EB7"/>
    <w:rsid w:val="00A40793"/>
    <w:rsid w:val="00A416BF"/>
    <w:rsid w:val="00A64E37"/>
    <w:rsid w:val="00A71644"/>
    <w:rsid w:val="00A82818"/>
    <w:rsid w:val="00A858C1"/>
    <w:rsid w:val="00A91AEB"/>
    <w:rsid w:val="00A939AB"/>
    <w:rsid w:val="00AA323E"/>
    <w:rsid w:val="00AA3A4D"/>
    <w:rsid w:val="00AA443C"/>
    <w:rsid w:val="00AB247F"/>
    <w:rsid w:val="00AD406A"/>
    <w:rsid w:val="00AE3390"/>
    <w:rsid w:val="00AE5EE8"/>
    <w:rsid w:val="00AE7430"/>
    <w:rsid w:val="00B00BA7"/>
    <w:rsid w:val="00B01DB9"/>
    <w:rsid w:val="00B061E4"/>
    <w:rsid w:val="00B20FF4"/>
    <w:rsid w:val="00B2209E"/>
    <w:rsid w:val="00B229DF"/>
    <w:rsid w:val="00B22B0E"/>
    <w:rsid w:val="00B264D6"/>
    <w:rsid w:val="00B26887"/>
    <w:rsid w:val="00B3597B"/>
    <w:rsid w:val="00B36820"/>
    <w:rsid w:val="00B3752D"/>
    <w:rsid w:val="00B37FB0"/>
    <w:rsid w:val="00B40689"/>
    <w:rsid w:val="00B422E8"/>
    <w:rsid w:val="00B46470"/>
    <w:rsid w:val="00B55918"/>
    <w:rsid w:val="00B562E1"/>
    <w:rsid w:val="00B5640C"/>
    <w:rsid w:val="00B60431"/>
    <w:rsid w:val="00B6557B"/>
    <w:rsid w:val="00B753E4"/>
    <w:rsid w:val="00B80685"/>
    <w:rsid w:val="00B83723"/>
    <w:rsid w:val="00B8723F"/>
    <w:rsid w:val="00B91754"/>
    <w:rsid w:val="00B96D38"/>
    <w:rsid w:val="00B97280"/>
    <w:rsid w:val="00B97A2A"/>
    <w:rsid w:val="00BA342F"/>
    <w:rsid w:val="00BA555B"/>
    <w:rsid w:val="00BA591E"/>
    <w:rsid w:val="00BA5CB4"/>
    <w:rsid w:val="00BB76F4"/>
    <w:rsid w:val="00BC4C1D"/>
    <w:rsid w:val="00BC7287"/>
    <w:rsid w:val="00BD06BD"/>
    <w:rsid w:val="00BD07E3"/>
    <w:rsid w:val="00BD290A"/>
    <w:rsid w:val="00BE7F98"/>
    <w:rsid w:val="00C1109E"/>
    <w:rsid w:val="00C15A4B"/>
    <w:rsid w:val="00C15FB9"/>
    <w:rsid w:val="00C25984"/>
    <w:rsid w:val="00C26852"/>
    <w:rsid w:val="00C30A2D"/>
    <w:rsid w:val="00C33B04"/>
    <w:rsid w:val="00C40471"/>
    <w:rsid w:val="00C4798C"/>
    <w:rsid w:val="00C55694"/>
    <w:rsid w:val="00C561FA"/>
    <w:rsid w:val="00C5685C"/>
    <w:rsid w:val="00C56FC3"/>
    <w:rsid w:val="00C62AC6"/>
    <w:rsid w:val="00C64FBC"/>
    <w:rsid w:val="00C67588"/>
    <w:rsid w:val="00C741D3"/>
    <w:rsid w:val="00C82370"/>
    <w:rsid w:val="00C8754C"/>
    <w:rsid w:val="00C90C6B"/>
    <w:rsid w:val="00C93938"/>
    <w:rsid w:val="00C944EF"/>
    <w:rsid w:val="00C94842"/>
    <w:rsid w:val="00C97626"/>
    <w:rsid w:val="00CA0631"/>
    <w:rsid w:val="00CA417D"/>
    <w:rsid w:val="00CA719B"/>
    <w:rsid w:val="00CB1C82"/>
    <w:rsid w:val="00CB2F63"/>
    <w:rsid w:val="00CB41B8"/>
    <w:rsid w:val="00CB4604"/>
    <w:rsid w:val="00CC0D15"/>
    <w:rsid w:val="00CC41B6"/>
    <w:rsid w:val="00CC6403"/>
    <w:rsid w:val="00CC680F"/>
    <w:rsid w:val="00CC75DF"/>
    <w:rsid w:val="00CD06B5"/>
    <w:rsid w:val="00CD263C"/>
    <w:rsid w:val="00CD5A64"/>
    <w:rsid w:val="00CD6730"/>
    <w:rsid w:val="00CD686E"/>
    <w:rsid w:val="00CD6C90"/>
    <w:rsid w:val="00CD6DF6"/>
    <w:rsid w:val="00CE26AD"/>
    <w:rsid w:val="00CE3088"/>
    <w:rsid w:val="00CE4143"/>
    <w:rsid w:val="00CE5750"/>
    <w:rsid w:val="00CE6B5C"/>
    <w:rsid w:val="00CE6EFF"/>
    <w:rsid w:val="00CE70E2"/>
    <w:rsid w:val="00CF0F70"/>
    <w:rsid w:val="00CF3189"/>
    <w:rsid w:val="00CF43A1"/>
    <w:rsid w:val="00D11F6F"/>
    <w:rsid w:val="00D1205A"/>
    <w:rsid w:val="00D15DCB"/>
    <w:rsid w:val="00D23B5D"/>
    <w:rsid w:val="00D258AA"/>
    <w:rsid w:val="00D30FCD"/>
    <w:rsid w:val="00D332AB"/>
    <w:rsid w:val="00D41B59"/>
    <w:rsid w:val="00D44060"/>
    <w:rsid w:val="00D50CB3"/>
    <w:rsid w:val="00D6287F"/>
    <w:rsid w:val="00D74268"/>
    <w:rsid w:val="00D75329"/>
    <w:rsid w:val="00D757AB"/>
    <w:rsid w:val="00D76A47"/>
    <w:rsid w:val="00D81D62"/>
    <w:rsid w:val="00D85693"/>
    <w:rsid w:val="00D8573F"/>
    <w:rsid w:val="00D87718"/>
    <w:rsid w:val="00D877A1"/>
    <w:rsid w:val="00D94107"/>
    <w:rsid w:val="00D9529A"/>
    <w:rsid w:val="00D96A04"/>
    <w:rsid w:val="00D97DCC"/>
    <w:rsid w:val="00DA1F5F"/>
    <w:rsid w:val="00DD435A"/>
    <w:rsid w:val="00DE1EA4"/>
    <w:rsid w:val="00DF1C84"/>
    <w:rsid w:val="00DF1EDD"/>
    <w:rsid w:val="00DF5E0C"/>
    <w:rsid w:val="00DF6F4D"/>
    <w:rsid w:val="00E04DBD"/>
    <w:rsid w:val="00E0791B"/>
    <w:rsid w:val="00E157E1"/>
    <w:rsid w:val="00E22DA5"/>
    <w:rsid w:val="00E24287"/>
    <w:rsid w:val="00E37E86"/>
    <w:rsid w:val="00E4246D"/>
    <w:rsid w:val="00E460E6"/>
    <w:rsid w:val="00E51914"/>
    <w:rsid w:val="00E5223B"/>
    <w:rsid w:val="00E53C51"/>
    <w:rsid w:val="00E619B2"/>
    <w:rsid w:val="00E672BD"/>
    <w:rsid w:val="00E67C29"/>
    <w:rsid w:val="00E72741"/>
    <w:rsid w:val="00E73A78"/>
    <w:rsid w:val="00E73FCC"/>
    <w:rsid w:val="00E810D9"/>
    <w:rsid w:val="00E81AF6"/>
    <w:rsid w:val="00E86C4D"/>
    <w:rsid w:val="00E876DE"/>
    <w:rsid w:val="00E9563A"/>
    <w:rsid w:val="00E968BE"/>
    <w:rsid w:val="00E96E2B"/>
    <w:rsid w:val="00EA180F"/>
    <w:rsid w:val="00EA20DA"/>
    <w:rsid w:val="00EA253A"/>
    <w:rsid w:val="00EA267A"/>
    <w:rsid w:val="00EA2A6F"/>
    <w:rsid w:val="00EB0219"/>
    <w:rsid w:val="00EB2B3E"/>
    <w:rsid w:val="00EB5232"/>
    <w:rsid w:val="00EB6E01"/>
    <w:rsid w:val="00EB7A38"/>
    <w:rsid w:val="00EC1787"/>
    <w:rsid w:val="00EC4542"/>
    <w:rsid w:val="00EC5EBE"/>
    <w:rsid w:val="00ED0C42"/>
    <w:rsid w:val="00ED37AB"/>
    <w:rsid w:val="00ED4BF0"/>
    <w:rsid w:val="00ED5770"/>
    <w:rsid w:val="00EE44C8"/>
    <w:rsid w:val="00EE4F89"/>
    <w:rsid w:val="00EE70F1"/>
    <w:rsid w:val="00EF73F2"/>
    <w:rsid w:val="00F01FF6"/>
    <w:rsid w:val="00F073FF"/>
    <w:rsid w:val="00F07B0C"/>
    <w:rsid w:val="00F11BD6"/>
    <w:rsid w:val="00F17060"/>
    <w:rsid w:val="00F17181"/>
    <w:rsid w:val="00F222D0"/>
    <w:rsid w:val="00F22722"/>
    <w:rsid w:val="00F239A0"/>
    <w:rsid w:val="00F24482"/>
    <w:rsid w:val="00F25A26"/>
    <w:rsid w:val="00F303A5"/>
    <w:rsid w:val="00F30CA4"/>
    <w:rsid w:val="00F335C2"/>
    <w:rsid w:val="00F374AC"/>
    <w:rsid w:val="00F43670"/>
    <w:rsid w:val="00F55491"/>
    <w:rsid w:val="00F61A3A"/>
    <w:rsid w:val="00F66121"/>
    <w:rsid w:val="00F66CEA"/>
    <w:rsid w:val="00F67BEF"/>
    <w:rsid w:val="00F70AD0"/>
    <w:rsid w:val="00F74F3C"/>
    <w:rsid w:val="00F767DE"/>
    <w:rsid w:val="00F83564"/>
    <w:rsid w:val="00F83878"/>
    <w:rsid w:val="00F84401"/>
    <w:rsid w:val="00F86220"/>
    <w:rsid w:val="00F908BF"/>
    <w:rsid w:val="00F94393"/>
    <w:rsid w:val="00F94E72"/>
    <w:rsid w:val="00F96869"/>
    <w:rsid w:val="00F97C2D"/>
    <w:rsid w:val="00FA24B5"/>
    <w:rsid w:val="00FA3A68"/>
    <w:rsid w:val="00FB3276"/>
    <w:rsid w:val="00FB3EF4"/>
    <w:rsid w:val="00FB74D4"/>
    <w:rsid w:val="00FB7660"/>
    <w:rsid w:val="00FC0353"/>
    <w:rsid w:val="00FC1774"/>
    <w:rsid w:val="00FC2882"/>
    <w:rsid w:val="00FC56DC"/>
    <w:rsid w:val="00FD2893"/>
    <w:rsid w:val="00FD6F66"/>
    <w:rsid w:val="00FE182A"/>
    <w:rsid w:val="00FE19C8"/>
    <w:rsid w:val="00FE2BDB"/>
    <w:rsid w:val="00FE65B1"/>
    <w:rsid w:val="00FE7E5B"/>
    <w:rsid w:val="00FF4552"/>
    <w:rsid w:val="00FF4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CF6"/>
    <w:rPr>
      <w:sz w:val="24"/>
      <w:szCs w:val="24"/>
    </w:rPr>
  </w:style>
  <w:style w:type="paragraph" w:styleId="Heading1">
    <w:name w:val="heading 1"/>
    <w:basedOn w:val="Normal"/>
    <w:next w:val="Normal"/>
    <w:qFormat/>
    <w:rsid w:val="00867CF6"/>
    <w:pPr>
      <w:keepNext/>
      <w:ind w:left="1440" w:hanging="720"/>
      <w:jc w:val="center"/>
      <w:outlineLvl w:val="0"/>
    </w:pPr>
    <w:rPr>
      <w:b/>
    </w:rPr>
  </w:style>
  <w:style w:type="paragraph" w:styleId="Heading2">
    <w:name w:val="heading 2"/>
    <w:basedOn w:val="Normal"/>
    <w:next w:val="Normal"/>
    <w:qFormat/>
    <w:rsid w:val="000D56A3"/>
    <w:pPr>
      <w:keepNext/>
      <w:spacing w:line="480" w:lineRule="auto"/>
      <w:outlineLvl w:val="1"/>
    </w:pPr>
    <w:rPr>
      <w:u w:val="single"/>
    </w:rPr>
  </w:style>
  <w:style w:type="paragraph" w:styleId="Heading3">
    <w:name w:val="heading 3"/>
    <w:basedOn w:val="Normal"/>
    <w:next w:val="Normal"/>
    <w:qFormat/>
    <w:rsid w:val="00867CF6"/>
    <w:pPr>
      <w:keepNext/>
      <w:ind w:left="360"/>
      <w:jc w:val="center"/>
      <w:outlineLvl w:val="2"/>
    </w:pPr>
    <w:rPr>
      <w:b/>
    </w:rPr>
  </w:style>
  <w:style w:type="paragraph" w:styleId="Heading4">
    <w:name w:val="heading 4"/>
    <w:basedOn w:val="Normal"/>
    <w:next w:val="Normal"/>
    <w:qFormat/>
    <w:rsid w:val="00867CF6"/>
    <w:pPr>
      <w:keepNext/>
      <w:spacing w:before="240" w:after="60"/>
      <w:outlineLvl w:val="3"/>
    </w:pPr>
    <w:rPr>
      <w:b/>
      <w:bCs/>
      <w:sz w:val="28"/>
      <w:szCs w:val="28"/>
    </w:rPr>
  </w:style>
  <w:style w:type="paragraph" w:styleId="Heading5">
    <w:name w:val="heading 5"/>
    <w:basedOn w:val="Normal"/>
    <w:next w:val="Normal"/>
    <w:qFormat/>
    <w:rsid w:val="00867CF6"/>
    <w:pPr>
      <w:keepNext/>
      <w:pBdr>
        <w:right w:val="single" w:sz="4" w:space="0" w:color="000000"/>
      </w:pBdr>
      <w:autoSpaceDE w:val="0"/>
      <w:autoSpaceDN w:val="0"/>
      <w:adjustRightInd w:val="0"/>
      <w:spacing w:before="100" w:after="100"/>
      <w:jc w:val="center"/>
      <w:outlineLvl w:val="4"/>
    </w:pPr>
    <w:rPr>
      <w:b/>
      <w:color w:val="000000"/>
    </w:rPr>
  </w:style>
  <w:style w:type="paragraph" w:styleId="Heading6">
    <w:name w:val="heading 6"/>
    <w:basedOn w:val="Normal"/>
    <w:next w:val="Normal"/>
    <w:qFormat/>
    <w:rsid w:val="00867CF6"/>
    <w:pPr>
      <w:keepNext/>
      <w:spacing w:line="480" w:lineRule="auto"/>
      <w:jc w:val="both"/>
      <w:outlineLvl w:val="5"/>
    </w:pPr>
    <w:rPr>
      <w:b/>
      <w:bCs/>
      <w:color w:val="000000"/>
    </w:rPr>
  </w:style>
  <w:style w:type="paragraph" w:styleId="Heading7">
    <w:name w:val="heading 7"/>
    <w:basedOn w:val="Normal"/>
    <w:next w:val="Normal"/>
    <w:qFormat/>
    <w:rsid w:val="00867CF6"/>
    <w:pPr>
      <w:keepNext/>
      <w:spacing w:line="480" w:lineRule="auto"/>
      <w:ind w:left="2880" w:firstLine="720"/>
      <w:outlineLvl w:val="6"/>
    </w:pPr>
    <w:rPr>
      <w:b/>
      <w:bCs/>
    </w:rPr>
  </w:style>
  <w:style w:type="paragraph" w:styleId="Heading8">
    <w:name w:val="heading 8"/>
    <w:basedOn w:val="Normal"/>
    <w:next w:val="Normal"/>
    <w:qFormat/>
    <w:rsid w:val="00867CF6"/>
    <w:pPr>
      <w:keepNext/>
      <w:spacing w:line="480" w:lineRule="auto"/>
      <w:ind w:left="-720" w:firstLine="720"/>
      <w:jc w:val="both"/>
      <w:outlineLvl w:val="7"/>
    </w:pPr>
    <w:rPr>
      <w:b/>
      <w:bCs/>
    </w:rPr>
  </w:style>
  <w:style w:type="paragraph" w:styleId="Heading9">
    <w:name w:val="heading 9"/>
    <w:basedOn w:val="Normal"/>
    <w:next w:val="Normal"/>
    <w:qFormat/>
    <w:rsid w:val="00867CF6"/>
    <w:pPr>
      <w:keepNext/>
      <w:spacing w:line="480" w:lineRule="auto"/>
      <w:jc w:val="both"/>
      <w:outlineLvl w:val="8"/>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CF6"/>
    <w:pPr>
      <w:tabs>
        <w:tab w:val="center" w:pos="4320"/>
        <w:tab w:val="right" w:pos="8640"/>
      </w:tabs>
    </w:pPr>
  </w:style>
  <w:style w:type="paragraph" w:styleId="Footer">
    <w:name w:val="footer"/>
    <w:basedOn w:val="Normal"/>
    <w:rsid w:val="00867CF6"/>
    <w:pPr>
      <w:tabs>
        <w:tab w:val="center" w:pos="4320"/>
        <w:tab w:val="right" w:pos="8640"/>
      </w:tabs>
    </w:pPr>
  </w:style>
  <w:style w:type="character" w:styleId="PageNumber">
    <w:name w:val="page number"/>
    <w:basedOn w:val="DefaultParagraphFont"/>
    <w:rsid w:val="00867CF6"/>
  </w:style>
  <w:style w:type="paragraph" w:styleId="FootnoteText">
    <w:name w:val="footnote text"/>
    <w:aliases w:val="TBG Style,Footnote Text1 Char,Footnote Text Char Ch,ALTS FOOTNOTE,Footnote Text 2,fn,Footnote text,FOOTNOTE"/>
    <w:basedOn w:val="Normal"/>
    <w:link w:val="FootnoteTextChar"/>
    <w:uiPriority w:val="99"/>
    <w:rsid w:val="00867CF6"/>
    <w:rPr>
      <w:sz w:val="20"/>
      <w:szCs w:val="20"/>
    </w:rPr>
  </w:style>
  <w:style w:type="character" w:styleId="FootnoteReference">
    <w:name w:val="footnote reference"/>
    <w:basedOn w:val="DefaultParagraphFont"/>
    <w:uiPriority w:val="99"/>
    <w:rsid w:val="00867CF6"/>
    <w:rPr>
      <w:vertAlign w:val="superscript"/>
    </w:rPr>
  </w:style>
  <w:style w:type="paragraph" w:styleId="TOC1">
    <w:name w:val="toc 1"/>
    <w:basedOn w:val="Normal"/>
    <w:next w:val="Normal"/>
    <w:autoRedefine/>
    <w:uiPriority w:val="39"/>
    <w:rsid w:val="00867CF6"/>
    <w:pPr>
      <w:tabs>
        <w:tab w:val="right" w:leader="dot" w:pos="9350"/>
      </w:tabs>
      <w:ind w:left="720" w:hanging="720"/>
    </w:pPr>
  </w:style>
  <w:style w:type="paragraph" w:styleId="TOC2">
    <w:name w:val="toc 2"/>
    <w:basedOn w:val="Normal"/>
    <w:next w:val="Normal"/>
    <w:autoRedefine/>
    <w:uiPriority w:val="39"/>
    <w:rsid w:val="006A1B7C"/>
    <w:pPr>
      <w:tabs>
        <w:tab w:val="right" w:leader="dot" w:pos="9350"/>
      </w:tabs>
      <w:ind w:left="720" w:hanging="360"/>
    </w:pPr>
  </w:style>
  <w:style w:type="paragraph" w:styleId="TOC3">
    <w:name w:val="toc 3"/>
    <w:basedOn w:val="Normal"/>
    <w:next w:val="Normal"/>
    <w:autoRedefine/>
    <w:semiHidden/>
    <w:rsid w:val="00867CF6"/>
    <w:pPr>
      <w:tabs>
        <w:tab w:val="left" w:pos="960"/>
        <w:tab w:val="right" w:leader="dot" w:pos="9350"/>
      </w:tabs>
      <w:ind w:left="900" w:hanging="420"/>
    </w:pPr>
  </w:style>
  <w:style w:type="paragraph" w:styleId="TOC4">
    <w:name w:val="toc 4"/>
    <w:basedOn w:val="Normal"/>
    <w:next w:val="Normal"/>
    <w:autoRedefine/>
    <w:semiHidden/>
    <w:rsid w:val="00867CF6"/>
    <w:pPr>
      <w:ind w:left="720"/>
    </w:pPr>
  </w:style>
  <w:style w:type="character" w:styleId="Hyperlink">
    <w:name w:val="Hyperlink"/>
    <w:basedOn w:val="DefaultParagraphFont"/>
    <w:rsid w:val="00867CF6"/>
    <w:rPr>
      <w:color w:val="0000FF"/>
      <w:u w:val="single"/>
    </w:rPr>
  </w:style>
  <w:style w:type="paragraph" w:customStyle="1" w:styleId="TestBody">
    <w:name w:val="Test Body"/>
    <w:rsid w:val="00867CF6"/>
    <w:pPr>
      <w:autoSpaceDE w:val="0"/>
      <w:autoSpaceDN w:val="0"/>
      <w:adjustRightInd w:val="0"/>
      <w:jc w:val="both"/>
    </w:pPr>
    <w:rPr>
      <w:rFonts w:ascii="Arial" w:hAnsi="Arial"/>
      <w:sz w:val="24"/>
      <w:szCs w:val="24"/>
    </w:rPr>
  </w:style>
  <w:style w:type="paragraph" w:styleId="BodyTextIndent">
    <w:name w:val="Body Text Indent"/>
    <w:basedOn w:val="Normal"/>
    <w:rsid w:val="00867CF6"/>
    <w:pPr>
      <w:spacing w:line="480" w:lineRule="auto"/>
      <w:ind w:firstLine="720"/>
      <w:jc w:val="both"/>
    </w:pPr>
  </w:style>
  <w:style w:type="paragraph" w:styleId="BodyTextIndent2">
    <w:name w:val="Body Text Indent 2"/>
    <w:basedOn w:val="Normal"/>
    <w:rsid w:val="00867CF6"/>
    <w:pPr>
      <w:spacing w:line="480" w:lineRule="auto"/>
      <w:ind w:right="720" w:firstLine="720"/>
      <w:jc w:val="both"/>
    </w:pPr>
    <w:rPr>
      <w:szCs w:val="20"/>
    </w:rPr>
  </w:style>
  <w:style w:type="paragraph" w:styleId="BodyText">
    <w:name w:val="Body Text"/>
    <w:basedOn w:val="Normal"/>
    <w:rsid w:val="00867CF6"/>
    <w:pPr>
      <w:autoSpaceDE w:val="0"/>
      <w:autoSpaceDN w:val="0"/>
      <w:adjustRightInd w:val="0"/>
      <w:spacing w:line="480" w:lineRule="auto"/>
      <w:ind w:right="-108"/>
      <w:jc w:val="both"/>
    </w:pPr>
    <w:rPr>
      <w:color w:val="000000"/>
    </w:rPr>
  </w:style>
  <w:style w:type="paragraph" w:styleId="BodyTextIndent3">
    <w:name w:val="Body Text Indent 3"/>
    <w:basedOn w:val="Normal"/>
    <w:rsid w:val="00867CF6"/>
    <w:pPr>
      <w:autoSpaceDE w:val="0"/>
      <w:autoSpaceDN w:val="0"/>
      <w:adjustRightInd w:val="0"/>
      <w:spacing w:line="480" w:lineRule="auto"/>
      <w:ind w:right="-108" w:firstLine="720"/>
      <w:jc w:val="both"/>
    </w:pPr>
    <w:rPr>
      <w:color w:val="000000"/>
    </w:rPr>
  </w:style>
  <w:style w:type="paragraph" w:styleId="BlockText">
    <w:name w:val="Block Text"/>
    <w:basedOn w:val="Normal"/>
    <w:rsid w:val="00867CF6"/>
    <w:pPr>
      <w:ind w:left="720" w:right="720"/>
      <w:jc w:val="both"/>
    </w:pPr>
    <w:rPr>
      <w:sz w:val="20"/>
    </w:rPr>
  </w:style>
  <w:style w:type="paragraph" w:styleId="BodyText2">
    <w:name w:val="Body Text 2"/>
    <w:basedOn w:val="Normal"/>
    <w:rsid w:val="00867CF6"/>
    <w:pPr>
      <w:spacing w:line="480" w:lineRule="auto"/>
      <w:jc w:val="both"/>
    </w:pPr>
    <w:rPr>
      <w:szCs w:val="20"/>
    </w:rPr>
  </w:style>
  <w:style w:type="character" w:styleId="FollowedHyperlink">
    <w:name w:val="FollowedHyperlink"/>
    <w:basedOn w:val="DefaultParagraphFont"/>
    <w:rsid w:val="00867CF6"/>
    <w:rPr>
      <w:color w:val="800080"/>
      <w:u w:val="single"/>
    </w:rPr>
  </w:style>
  <w:style w:type="paragraph" w:styleId="ListParagraph">
    <w:name w:val="List Paragraph"/>
    <w:basedOn w:val="Normal"/>
    <w:qFormat/>
    <w:rsid w:val="004538CE"/>
    <w:pPr>
      <w:ind w:left="720"/>
      <w:contextualSpacing/>
    </w:pPr>
  </w:style>
  <w:style w:type="paragraph" w:styleId="BalloonText">
    <w:name w:val="Balloon Text"/>
    <w:basedOn w:val="Normal"/>
    <w:link w:val="BalloonTextChar"/>
    <w:rsid w:val="00542B82"/>
    <w:rPr>
      <w:rFonts w:ascii="Tahoma" w:hAnsi="Tahoma" w:cs="Tahoma"/>
      <w:sz w:val="16"/>
      <w:szCs w:val="16"/>
    </w:rPr>
  </w:style>
  <w:style w:type="character" w:customStyle="1" w:styleId="BalloonTextChar">
    <w:name w:val="Balloon Text Char"/>
    <w:basedOn w:val="DefaultParagraphFont"/>
    <w:link w:val="BalloonText"/>
    <w:rsid w:val="00542B82"/>
    <w:rPr>
      <w:rFonts w:ascii="Tahoma" w:hAnsi="Tahoma" w:cs="Tahoma"/>
      <w:sz w:val="16"/>
      <w:szCs w:val="16"/>
    </w:rPr>
  </w:style>
  <w:style w:type="paragraph" w:styleId="NoSpacing">
    <w:name w:val="No Spacing"/>
    <w:basedOn w:val="Normal"/>
    <w:uiPriority w:val="1"/>
    <w:qFormat/>
    <w:rsid w:val="00301C34"/>
    <w:pPr>
      <w:spacing w:before="100" w:beforeAutospacing="1" w:after="100" w:afterAutospacing="1"/>
    </w:pPr>
    <w:rPr>
      <w:rFonts w:eastAsiaTheme="minorHAnsi"/>
    </w:rPr>
  </w:style>
  <w:style w:type="paragraph" w:styleId="TableofFigures">
    <w:name w:val="table of figures"/>
    <w:basedOn w:val="Normal"/>
    <w:next w:val="Normal"/>
    <w:rsid w:val="00D30FCD"/>
    <w:rPr>
      <w:rFonts w:ascii="Arial" w:hAnsi="Arial"/>
      <w:sz w:val="20"/>
    </w:rPr>
  </w:style>
  <w:style w:type="paragraph" w:styleId="Revision">
    <w:name w:val="Revision"/>
    <w:hidden/>
    <w:uiPriority w:val="99"/>
    <w:semiHidden/>
    <w:rsid w:val="004402B5"/>
    <w:rPr>
      <w:sz w:val="24"/>
      <w:szCs w:val="24"/>
    </w:rPr>
  </w:style>
  <w:style w:type="character" w:customStyle="1" w:styleId="FootnoteTextChar">
    <w:name w:val="Footnote Text Char"/>
    <w:aliases w:val="TBG Style Char,Footnote Text1 Char Char,Footnote Text Char Ch Char,ALTS FOOTNOTE Char,Footnote Text 2 Char,fn Char,Footnote text Char,FOOTNOTE Char"/>
    <w:basedOn w:val="DefaultParagraphFont"/>
    <w:link w:val="FootnoteText"/>
    <w:uiPriority w:val="99"/>
    <w:rsid w:val="009E621B"/>
  </w:style>
  <w:style w:type="character" w:styleId="CommentReference">
    <w:name w:val="annotation reference"/>
    <w:basedOn w:val="DefaultParagraphFont"/>
    <w:rsid w:val="00FE7E5B"/>
    <w:rPr>
      <w:sz w:val="16"/>
      <w:szCs w:val="16"/>
    </w:rPr>
  </w:style>
  <w:style w:type="paragraph" w:styleId="CommentText">
    <w:name w:val="annotation text"/>
    <w:basedOn w:val="Normal"/>
    <w:link w:val="CommentTextChar"/>
    <w:rsid w:val="00FE7E5B"/>
    <w:rPr>
      <w:sz w:val="20"/>
      <w:szCs w:val="20"/>
    </w:rPr>
  </w:style>
  <w:style w:type="character" w:customStyle="1" w:styleId="CommentTextChar">
    <w:name w:val="Comment Text Char"/>
    <w:basedOn w:val="DefaultParagraphFont"/>
    <w:link w:val="CommentText"/>
    <w:rsid w:val="00FE7E5B"/>
  </w:style>
  <w:style w:type="paragraph" w:styleId="CommentSubject">
    <w:name w:val="annotation subject"/>
    <w:basedOn w:val="CommentText"/>
    <w:next w:val="CommentText"/>
    <w:link w:val="CommentSubjectChar"/>
    <w:rsid w:val="00FE7E5B"/>
    <w:rPr>
      <w:b/>
      <w:bCs/>
    </w:rPr>
  </w:style>
  <w:style w:type="character" w:customStyle="1" w:styleId="CommentSubjectChar">
    <w:name w:val="Comment Subject Char"/>
    <w:basedOn w:val="CommentTextChar"/>
    <w:link w:val="CommentSubject"/>
    <w:rsid w:val="00FE7E5B"/>
    <w:rPr>
      <w:b/>
      <w:bCs/>
    </w:rPr>
  </w:style>
  <w:style w:type="paragraph" w:styleId="Caption">
    <w:name w:val="caption"/>
    <w:basedOn w:val="Normal"/>
    <w:next w:val="Normal"/>
    <w:unhideWhenUsed/>
    <w:qFormat/>
    <w:rsid w:val="00C62AC6"/>
    <w:pPr>
      <w:spacing w:after="200"/>
    </w:pPr>
    <w:rPr>
      <w:b/>
      <w:bCs/>
      <w:color w:val="4F81BD" w:themeColor="accent1"/>
      <w:sz w:val="18"/>
      <w:szCs w:val="18"/>
    </w:rPr>
  </w:style>
  <w:style w:type="paragraph" w:styleId="PlainText">
    <w:name w:val="Plain Text"/>
    <w:basedOn w:val="Normal"/>
    <w:link w:val="PlainTextChar"/>
    <w:uiPriority w:val="99"/>
    <w:unhideWhenUsed/>
    <w:rsid w:val="00E22DA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22DA5"/>
    <w:rPr>
      <w:rFonts w:ascii="Consolas" w:eastAsiaTheme="minorHAnsi" w:hAnsi="Consolas" w:cstheme="minorBidi"/>
      <w:sz w:val="21"/>
      <w:szCs w:val="21"/>
    </w:rPr>
  </w:style>
  <w:style w:type="table" w:styleId="TableGrid">
    <w:name w:val="Table Grid"/>
    <w:basedOn w:val="TableNormal"/>
    <w:rsid w:val="00E22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0D56A3"/>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styleId="List">
    <w:name w:val="List"/>
    <w:basedOn w:val="Normal"/>
    <w:rsid w:val="00702034"/>
    <w:pPr>
      <w:tabs>
        <w:tab w:val="right" w:pos="2959"/>
      </w:tabs>
      <w:spacing w:line="240" w:lineRule="atLeast"/>
    </w:pPr>
    <w:rPr>
      <w:rFonts w:ascii="Arial Narrow" w:hAnsi="Arial Narrow"/>
      <w:spacing w:val="-2"/>
      <w:sz w:val="18"/>
      <w:szCs w:val="20"/>
    </w:rPr>
  </w:style>
  <w:style w:type="paragraph" w:customStyle="1" w:styleId="Name">
    <w:name w:val="Name"/>
    <w:basedOn w:val="BodyText"/>
    <w:rsid w:val="00702034"/>
    <w:pPr>
      <w:keepNext/>
      <w:tabs>
        <w:tab w:val="right" w:pos="2959"/>
      </w:tabs>
      <w:autoSpaceDE/>
      <w:autoSpaceDN/>
      <w:adjustRightInd/>
      <w:spacing w:line="240" w:lineRule="atLeast"/>
      <w:ind w:right="0"/>
      <w:jc w:val="left"/>
    </w:pPr>
    <w:rPr>
      <w:rFonts w:ascii="Arial Black" w:hAnsi="Arial Black"/>
      <w:color w:val="auto"/>
      <w:spacing w:val="-5"/>
      <w:sz w:val="16"/>
      <w:szCs w:val="20"/>
    </w:rPr>
  </w:style>
  <w:style w:type="paragraph" w:styleId="NormalWeb">
    <w:name w:val="Normal (Web)"/>
    <w:basedOn w:val="Normal"/>
    <w:uiPriority w:val="99"/>
    <w:unhideWhenUsed/>
    <w:rsid w:val="0071755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2038">
      <w:bodyDiv w:val="1"/>
      <w:marLeft w:val="0"/>
      <w:marRight w:val="0"/>
      <w:marTop w:val="0"/>
      <w:marBottom w:val="0"/>
      <w:divBdr>
        <w:top w:val="none" w:sz="0" w:space="0" w:color="auto"/>
        <w:left w:val="none" w:sz="0" w:space="0" w:color="auto"/>
        <w:bottom w:val="none" w:sz="0" w:space="0" w:color="auto"/>
        <w:right w:val="none" w:sz="0" w:space="0" w:color="auto"/>
      </w:divBdr>
    </w:div>
    <w:div w:id="1419211964">
      <w:bodyDiv w:val="1"/>
      <w:marLeft w:val="0"/>
      <w:marRight w:val="0"/>
      <w:marTop w:val="0"/>
      <w:marBottom w:val="0"/>
      <w:divBdr>
        <w:top w:val="none" w:sz="0" w:space="0" w:color="auto"/>
        <w:left w:val="none" w:sz="0" w:space="0" w:color="auto"/>
        <w:bottom w:val="none" w:sz="0" w:space="0" w:color="auto"/>
        <w:right w:val="none" w:sz="0" w:space="0" w:color="auto"/>
      </w:divBdr>
    </w:div>
    <w:div w:id="1463377825">
      <w:bodyDiv w:val="1"/>
      <w:marLeft w:val="0"/>
      <w:marRight w:val="0"/>
      <w:marTop w:val="0"/>
      <w:marBottom w:val="0"/>
      <w:divBdr>
        <w:top w:val="none" w:sz="0" w:space="0" w:color="auto"/>
        <w:left w:val="none" w:sz="0" w:space="0" w:color="auto"/>
        <w:bottom w:val="none" w:sz="0" w:space="0" w:color="auto"/>
        <w:right w:val="none" w:sz="0" w:space="0" w:color="auto"/>
      </w:divBdr>
    </w:div>
    <w:div w:id="21377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pps.leg.wa.gov/wac/default.aspx?cite=480-109-030"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rcw/default.aspx?cite=19.285.05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apps.leg.wa.gov/rcw/default.aspx?cite=19.285.040" TargetMode="External"/><Relationship Id="rId19" Type="http://schemas.openxmlformats.org/officeDocument/2006/relationships/customXml" Target="../customXml/item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2012-06-01T07:00:00+00:00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1af0c028-e016-4365-948e-cc2e26d65303" ContentTypeId="0x0101006E56B4D1795A2E4DB2F0B01679ED314A" PreviousValue="true"/>
</file>

<file path=customXml/item7.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35A4AC77D7E5428AD9BDA350F20B97" ma:contentTypeVersion="139" ma:contentTypeDescription="" ma:contentTypeScope="" ma:versionID="85612a15f0051ff5657306a9106b7a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EB376-38EB-42B8-A2E5-F5287C88D7E6}"/>
</file>

<file path=customXml/itemProps2.xml><?xml version="1.0" encoding="utf-8"?>
<ds:datastoreItem xmlns:ds="http://schemas.openxmlformats.org/officeDocument/2006/customXml" ds:itemID="{03850B58-B1EB-40E2-973A-0C78334C84C3}"/>
</file>

<file path=customXml/itemProps3.xml><?xml version="1.0" encoding="utf-8"?>
<ds:datastoreItem xmlns:ds="http://schemas.openxmlformats.org/officeDocument/2006/customXml" ds:itemID="{C61D7EE8-479B-4875-9C60-0D98DD8B005A}"/>
</file>

<file path=customXml/itemProps4.xml><?xml version="1.0" encoding="utf-8"?>
<ds:datastoreItem xmlns:ds="http://schemas.openxmlformats.org/officeDocument/2006/customXml" ds:itemID="{CF943910-E461-4CF7-819F-3074C2AD53EB}"/>
</file>

<file path=customXml/itemProps5.xml><?xml version="1.0" encoding="utf-8"?>
<ds:datastoreItem xmlns:ds="http://schemas.openxmlformats.org/officeDocument/2006/customXml" ds:itemID="{B27B924B-16BF-45FA-B935-05B74BB3DF9E}"/>
</file>

<file path=customXml/itemProps6.xml><?xml version="1.0" encoding="utf-8"?>
<ds:datastoreItem xmlns:ds="http://schemas.openxmlformats.org/officeDocument/2006/customXml" ds:itemID="{2E846182-2B60-41DC-AFEB-8B6896F5C0CA}"/>
</file>

<file path=customXml/itemProps7.xml><?xml version="1.0" encoding="utf-8"?>
<ds:datastoreItem xmlns:ds="http://schemas.openxmlformats.org/officeDocument/2006/customXml" ds:itemID="{97D734E7-F221-4DEA-ADD2-68B51E474162}"/>
</file>

<file path=docProps/app.xml><?xml version="1.0" encoding="utf-8"?>
<Properties xmlns="http://schemas.openxmlformats.org/officeDocument/2006/extended-properties" xmlns:vt="http://schemas.openxmlformats.org/officeDocument/2006/docPropsVTypes">
  <Template>Normal.dotm</Template>
  <TotalTime>151</TotalTime>
  <Pages>7</Pages>
  <Words>1467</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2012-2013 Biennial Conservation Plan</vt:lpstr>
    </vt:vector>
  </TitlesOfParts>
  <Company>Paine Hamblen</Company>
  <LinksUpToDate>false</LinksUpToDate>
  <CharactersWithSpaces>10091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Biennial Conservation Plan</dc:title>
  <dc:subject/>
  <dc:creator>Avista PPA Team</dc:creator>
  <cp:keywords/>
  <dc:description/>
  <cp:lastModifiedBy>Linda Gervais</cp:lastModifiedBy>
  <cp:revision>11</cp:revision>
  <cp:lastPrinted>2012-05-25T15:13:00Z</cp:lastPrinted>
  <dcterms:created xsi:type="dcterms:W3CDTF">2012-05-24T21:18:00Z</dcterms:created>
  <dcterms:modified xsi:type="dcterms:W3CDTF">2012-05-30T20:52:00Z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0x0101006E56B4D1795A2E4DB2F0B01679ED314A00FD35A4AC77D7E5428AD9BDA350F20B97</vt:lpwstr>
  </property>
  <property fmtid="{D5CDD505-2E9C-101B-9397-08002B2CF9AE}" pid="3" name="_docset_NoMedatataSyncRequired">
    <vt:lpwstr>False</vt:lpwstr>
  </property>
</Properties>
</file>