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742FFE">
            <w:pPr>
              <w:rPr>
                <w:rFonts w:ascii="Palatino Linotype" w:hAnsi="Palatino Linotype" w:cs="Arial"/>
                <w:sz w:val="20"/>
              </w:rPr>
            </w:pPr>
            <w:r>
              <w:rPr>
                <w:rFonts w:ascii="Palatino Linotype" w:hAnsi="Palatino Linotype" w:cs="Arial"/>
                <w:sz w:val="20"/>
              </w:rPr>
              <w:t>UT-08300</w:t>
            </w:r>
            <w:r w:rsidR="005A1E6B">
              <w:rPr>
                <w:rFonts w:ascii="Palatino Linotype" w:hAnsi="Palatino Linotype" w:cs="Arial"/>
                <w:sz w:val="20"/>
              </w:rPr>
              <w:t>3</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742FFE">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5A1E6B">
            <w:pPr>
              <w:tabs>
                <w:tab w:val="left" w:pos="360"/>
              </w:tabs>
              <w:rPr>
                <w:rFonts w:ascii="Palatino Linotype" w:hAnsi="Palatino Linotype" w:cs="Arial"/>
                <w:sz w:val="20"/>
              </w:rPr>
            </w:pPr>
            <w:r>
              <w:rPr>
                <w:rFonts w:ascii="Palatino Linotype" w:hAnsi="Palatino Linotype" w:cs="Arial"/>
                <w:sz w:val="20"/>
              </w:rPr>
              <w:t xml:space="preserve">BROADWING COMMUNICATIONS LLC </w:t>
            </w:r>
            <w:proofErr w:type="spellStart"/>
            <w:r>
              <w:rPr>
                <w:rFonts w:ascii="Palatino Linotype" w:hAnsi="Palatino Linotype" w:cs="Arial"/>
                <w:sz w:val="20"/>
              </w:rPr>
              <w:t>fka</w:t>
            </w:r>
            <w:proofErr w:type="spellEnd"/>
            <w:r>
              <w:rPr>
                <w:rFonts w:ascii="Palatino Linotype" w:hAnsi="Palatino Linotype" w:cs="Arial"/>
                <w:sz w:val="20"/>
              </w:rPr>
              <w:t xml:space="preserve"> FOCAL COMMUNICATIONS CORPORATIONOF WASHINGTON</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E1229C">
              <w:rPr>
                <w:rFonts w:ascii="Palatino Linotype" w:hAnsi="Palatino Linotype" w:cs="Arial"/>
                <w:sz w:val="20"/>
              </w:rPr>
              <w:t>4</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4C268C">
              <w:rPr>
                <w:rFonts w:ascii="Palatino Linotype" w:hAnsi="Palatino Linotype" w:cs="Arial"/>
                <w:sz w:val="20"/>
              </w:rPr>
              <w:t>Attachment 1</w:t>
            </w:r>
            <w:r>
              <w:rPr>
                <w:rFonts w:ascii="Palatino Linotype" w:hAnsi="Palatino Linotype" w:cs="Arial"/>
                <w:sz w:val="20"/>
              </w:rPr>
              <w:t xml:space="preserve"> to the amendment.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742FFE">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742FFE">
              <w:rPr>
                <w:rFonts w:ascii="Palatino Linotype" w:hAnsi="Palatino Linotype" w:cs="Arial"/>
                <w:sz w:val="20"/>
              </w:rPr>
              <w:t>February 29, 2008</w:t>
            </w:r>
            <w:r>
              <w:rPr>
                <w:rFonts w:ascii="Palatino Linotype" w:hAnsi="Palatino Linotype" w:cs="Arial"/>
                <w:sz w:val="20"/>
              </w:rPr>
              <w:t xml:space="preserve"> in Docket No. </w:t>
            </w:r>
            <w:r w:rsidR="00742FFE">
              <w:rPr>
                <w:rFonts w:ascii="Palatino Linotype" w:hAnsi="Palatino Linotype" w:cs="Arial"/>
                <w:sz w:val="20"/>
              </w:rPr>
              <w:t>UT-08300</w:t>
            </w:r>
            <w:r w:rsidR="005A1E6B">
              <w:rPr>
                <w:rFonts w:ascii="Palatino Linotype" w:hAnsi="Palatino Linotype" w:cs="Arial"/>
                <w:sz w:val="20"/>
              </w:rPr>
              <w:t>3</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rsidP="007B158A">
            <w:pPr>
              <w:pStyle w:val="Heading2"/>
              <w:rPr>
                <w:rFonts w:ascii="Palatino Linotype" w:hAnsi="Palatino Linotype"/>
              </w:rPr>
            </w:pPr>
            <w:r>
              <w:rPr>
                <w:rFonts w:ascii="Palatino Linotype" w:hAnsi="Palatino Linotype"/>
              </w:rPr>
              <w:t xml:space="preserve">Docket No. </w:t>
            </w:r>
            <w:r w:rsidR="00742FFE">
              <w:rPr>
                <w:rFonts w:ascii="Palatino Linotype" w:hAnsi="Palatino Linotype"/>
              </w:rPr>
              <w:t>UT-08300</w:t>
            </w:r>
            <w:r w:rsidR="005A1E6B">
              <w:rPr>
                <w:rFonts w:ascii="Palatino Linotype" w:hAnsi="Palatino Linotype"/>
              </w:rPr>
              <w:t>3</w:t>
            </w:r>
          </w:p>
          <w:p w:rsidR="007B158A" w:rsidRPr="007B158A" w:rsidRDefault="007B158A" w:rsidP="007B158A"/>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A4" w:rsidRDefault="00751AA4">
      <w:r>
        <w:separator/>
      </w:r>
    </w:p>
  </w:endnote>
  <w:endnote w:type="continuationSeparator" w:id="0">
    <w:p w:rsidR="00751AA4" w:rsidRDefault="0075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5D628A">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5D628A">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E1229C">
      <w:rPr>
        <w:rStyle w:val="PageNumber"/>
        <w:noProof/>
      </w:rPr>
      <w:t>1</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A4" w:rsidRDefault="00751AA4">
      <w:r>
        <w:separator/>
      </w:r>
    </w:p>
  </w:footnote>
  <w:footnote w:type="continuationSeparator" w:id="0">
    <w:p w:rsidR="00751AA4" w:rsidRDefault="00751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1A6558"/>
    <w:rsid w:val="002874DF"/>
    <w:rsid w:val="002E098D"/>
    <w:rsid w:val="002E7A9F"/>
    <w:rsid w:val="004721C4"/>
    <w:rsid w:val="004C268C"/>
    <w:rsid w:val="005A1E6B"/>
    <w:rsid w:val="005D628A"/>
    <w:rsid w:val="00742FFE"/>
    <w:rsid w:val="00751AA4"/>
    <w:rsid w:val="007A197C"/>
    <w:rsid w:val="007B158A"/>
    <w:rsid w:val="00853C5C"/>
    <w:rsid w:val="00B63CF3"/>
    <w:rsid w:val="00D15351"/>
    <w:rsid w:val="00DD1FB3"/>
    <w:rsid w:val="00E1229C"/>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742FFE"/>
    <w:rPr>
      <w:rFonts w:ascii="Tahoma" w:hAnsi="Tahoma" w:cs="Tahoma"/>
      <w:sz w:val="16"/>
      <w:szCs w:val="16"/>
    </w:rPr>
  </w:style>
  <w:style w:type="character" w:customStyle="1" w:styleId="BalloonTextChar">
    <w:name w:val="Balloon Text Char"/>
    <w:basedOn w:val="DefaultParagraphFont"/>
    <w:link w:val="BalloonText"/>
    <w:uiPriority w:val="99"/>
    <w:semiHidden/>
    <w:rsid w:val="0074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2008-01-30T08:00:00+00:00</OpenedDate>
    <Date1 xmlns="dc463f71-b30c-4ab2-9473-d307f9d35888">2013-10-21T07:00:00+00:00</Date1>
    <IsDocumentOrder xmlns="dc463f71-b30c-4ab2-9473-d307f9d35888" xsi:nil="true"/>
    <IsHighlyConfidential xmlns="dc463f71-b30c-4ab2-9473-d307f9d35888">false</IsHighlyConfidential>
    <CaseCompanyNames xmlns="dc463f71-b30c-4ab2-9473-d307f9d35888">Qwest Corporation;Broadwing Communications, LLC</CaseCompanyNames>
    <DocketNumber xmlns="dc463f71-b30c-4ab2-9473-d307f9d35888">083003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76ACAB7E25942809BB5B5F6D4BA3D" ma:contentTypeVersion="135" ma:contentTypeDescription="" ma:contentTypeScope="" ma:versionID="b6d27efc834ef8d43afe792ee2104b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E8CAE6C8-537F-42CE-9163-53C3D533497A}"/>
</file>

<file path=customXml/itemProps5.xml><?xml version="1.0" encoding="utf-8"?>
<ds:datastoreItem xmlns:ds="http://schemas.openxmlformats.org/officeDocument/2006/customXml" ds:itemID="{177CEE34-C3BC-485B-B5E2-FEE29A682AEB}"/>
</file>

<file path=docProps/app.xml><?xml version="1.0" encoding="utf-8"?>
<Properties xmlns="http://schemas.openxmlformats.org/officeDocument/2006/extended-properties" xmlns:vt="http://schemas.openxmlformats.org/officeDocument/2006/docPropsVTypes">
  <Template>Telecom ICA Formamendment.dotx</Template>
  <TotalTime>1</TotalTime>
  <Pages>2</Pages>
  <Words>387</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 </dc:title>
  <dc:subject/>
  <dc:creator>Peterson, Maura</dc:creator>
  <cp:keywords/>
  <dc:description/>
  <cp:lastModifiedBy>CenturyLink Employee</cp:lastModifiedBy>
  <cp:revision>2</cp:revision>
  <cp:lastPrinted>2013-10-03T22:50:00Z</cp:lastPrinted>
  <dcterms:created xsi:type="dcterms:W3CDTF">2013-10-17T20:51:00Z</dcterms:created>
  <dcterms:modified xsi:type="dcterms:W3CDTF">2013-10-17T20:51:00Z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0x0101006E56B4D1795A2E4DB2F0B01679ED314A00E5976ACAB7E25942809BB5B5F6D4BA3D</vt:lpwstr>
  </property>
  <property fmtid="{D5CDD505-2E9C-101B-9397-08002B2CF9AE}" pid="18" name="_docset_NoMedatataSyncRequired">
    <vt:lpwstr>False</vt:lpwstr>
  </property>
</Properties>
</file>