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jc w:val="center"/>
        <w:rPr>
          <w:sz w:val="28"/>
          <w:szCs w:val="28"/>
        </w:rPr>
      </w:pPr>
    </w:p>
    <w:p w:rsidR="00342364" w:rsidRPr="00F540CD" w:rsidRDefault="00342364">
      <w:pPr>
        <w:tabs>
          <w:tab w:val="left" w:pos="1260"/>
        </w:tabs>
        <w:spacing w:line="480" w:lineRule="auto"/>
        <w:ind w:firstLine="720"/>
        <w:jc w:val="center"/>
        <w:rPr>
          <w:sz w:val="28"/>
          <w:szCs w:val="28"/>
        </w:rPr>
      </w:pPr>
    </w:p>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pPr>
    </w:p>
    <w:p w:rsidR="00342364" w:rsidRPr="00F540CD" w:rsidRDefault="00342364">
      <w:pPr>
        <w:tabs>
          <w:tab w:val="left" w:pos="1260"/>
        </w:tabs>
        <w:spacing w:line="480" w:lineRule="auto"/>
        <w:ind w:firstLine="720"/>
        <w:jc w:val="center"/>
      </w:pPr>
    </w:p>
    <w:p w:rsidR="00342364" w:rsidRPr="00F540CD" w:rsidRDefault="00342364">
      <w:pPr>
        <w:spacing w:line="480" w:lineRule="auto"/>
        <w:jc w:val="center"/>
      </w:pPr>
      <w:r w:rsidRPr="00F540CD">
        <w:t>BEFORE THE WASHINGTON UTILITIES AND TRANSPORTATION COMMISSION</w:t>
      </w:r>
    </w:p>
    <w:p w:rsidR="00342364" w:rsidRPr="00F540CD" w:rsidRDefault="00342364">
      <w:pPr>
        <w:tabs>
          <w:tab w:val="left" w:pos="1260"/>
        </w:tabs>
        <w:spacing w:line="480" w:lineRule="auto"/>
      </w:pPr>
    </w:p>
    <w:p w:rsidR="00342364" w:rsidRPr="00F540CD" w:rsidRDefault="00D174A9">
      <w:pPr>
        <w:tabs>
          <w:tab w:val="left" w:pos="1260"/>
        </w:tabs>
        <w:spacing w:line="480" w:lineRule="auto"/>
        <w:jc w:val="center"/>
      </w:pPr>
      <w:r>
        <w:t>DOCKET NO. UE-150204</w:t>
      </w:r>
    </w:p>
    <w:p w:rsidR="00342364" w:rsidRPr="00F540CD" w:rsidRDefault="00D174A9">
      <w:pPr>
        <w:tabs>
          <w:tab w:val="left" w:pos="1260"/>
        </w:tabs>
        <w:spacing w:line="480" w:lineRule="auto"/>
        <w:jc w:val="center"/>
      </w:pPr>
      <w:r>
        <w:t>DOCKET NO. UG-150205</w:t>
      </w:r>
    </w:p>
    <w:p w:rsidR="007F71E2" w:rsidRPr="00F540CD" w:rsidRDefault="007F71E2" w:rsidP="007F71E2">
      <w:pPr>
        <w:tabs>
          <w:tab w:val="left" w:pos="1260"/>
        </w:tabs>
        <w:spacing w:line="480" w:lineRule="auto"/>
        <w:jc w:val="center"/>
      </w:pPr>
    </w:p>
    <w:p w:rsidR="00342364" w:rsidRPr="00F540CD" w:rsidRDefault="00342364">
      <w:pPr>
        <w:tabs>
          <w:tab w:val="left" w:pos="1260"/>
        </w:tabs>
        <w:spacing w:line="480" w:lineRule="auto"/>
        <w:jc w:val="center"/>
      </w:pPr>
      <w:r w:rsidRPr="00F540CD">
        <w:t xml:space="preserve">REBUTTAL TESTIMONY OF </w:t>
      </w:r>
    </w:p>
    <w:p w:rsidR="00342364" w:rsidRPr="00F540CD" w:rsidRDefault="00342364">
      <w:pPr>
        <w:tabs>
          <w:tab w:val="left" w:pos="1260"/>
        </w:tabs>
        <w:spacing w:line="480" w:lineRule="auto"/>
        <w:jc w:val="center"/>
      </w:pPr>
      <w:r w:rsidRPr="00F540CD">
        <w:t>KELLY O. NORWOOD</w:t>
      </w:r>
    </w:p>
    <w:p w:rsidR="00342364" w:rsidRPr="00F540CD" w:rsidRDefault="00342364">
      <w:pPr>
        <w:tabs>
          <w:tab w:val="left" w:pos="1260"/>
        </w:tabs>
        <w:spacing w:line="480" w:lineRule="auto"/>
        <w:jc w:val="center"/>
      </w:pPr>
      <w:r w:rsidRPr="00F540CD">
        <w:t>REPRESENTING AVISTA CORPORATION</w:t>
      </w:r>
    </w:p>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jc w:val="both"/>
      </w:pPr>
    </w:p>
    <w:p w:rsidR="00342364" w:rsidRPr="00F540CD" w:rsidRDefault="00342364">
      <w:pPr>
        <w:sectPr w:rsidR="00342364" w:rsidRPr="00F540CD" w:rsidSect="0009034F">
          <w:headerReference w:type="default" r:id="rId8"/>
          <w:pgSz w:w="12240" w:h="15840"/>
          <w:pgMar w:top="1440" w:right="1440" w:bottom="1440" w:left="1440" w:header="720" w:footer="1440" w:gutter="0"/>
          <w:pgBorders w:offsetFrom="page">
            <w:top w:val="single" w:sz="4" w:space="24" w:color="000000"/>
            <w:left w:val="single" w:sz="4" w:space="24" w:color="000000"/>
            <w:bottom w:val="single" w:sz="4" w:space="24" w:color="000000"/>
            <w:right w:val="single" w:sz="4" w:space="24" w:color="000000"/>
          </w:pgBorders>
          <w:cols w:space="720"/>
          <w:docGrid w:linePitch="360"/>
        </w:sectPr>
      </w:pPr>
    </w:p>
    <w:p w:rsidR="00342364" w:rsidRPr="00F540CD" w:rsidRDefault="00342364" w:rsidP="00867849">
      <w:pPr>
        <w:pStyle w:val="Heading5"/>
        <w:numPr>
          <w:ilvl w:val="0"/>
          <w:numId w:val="0"/>
        </w:numPr>
        <w:ind w:right="-54"/>
        <w:rPr>
          <w:rStyle w:val="PageNumber"/>
          <w:u w:val="single"/>
        </w:rPr>
      </w:pPr>
      <w:r w:rsidRPr="00F540CD">
        <w:rPr>
          <w:rStyle w:val="PageNumber"/>
          <w:u w:val="single"/>
        </w:rPr>
        <w:lastRenderedPageBreak/>
        <w:t>I.  INTRODUCTION</w:t>
      </w:r>
    </w:p>
    <w:p w:rsidR="00342364" w:rsidRPr="00F540CD" w:rsidRDefault="00342364" w:rsidP="00867849">
      <w:pPr>
        <w:pStyle w:val="BodyTextIndent3"/>
        <w:tabs>
          <w:tab w:val="clear" w:pos="1260"/>
          <w:tab w:val="left" w:pos="720"/>
        </w:tabs>
        <w:ind w:right="-54"/>
      </w:pPr>
      <w:r w:rsidRPr="00F540CD">
        <w:t>Q.</w:t>
      </w:r>
      <w:r w:rsidRPr="00F540CD">
        <w:tab/>
        <w:t>Please state your name, employer and business address.</w:t>
      </w:r>
    </w:p>
    <w:p w:rsidR="001D70B8" w:rsidRDefault="00342364" w:rsidP="00867849">
      <w:pPr>
        <w:pStyle w:val="BodyTextIndent"/>
        <w:tabs>
          <w:tab w:val="left" w:pos="720"/>
        </w:tabs>
        <w:spacing w:after="0" w:line="480" w:lineRule="auto"/>
        <w:ind w:left="0" w:right="-54" w:firstLine="720"/>
        <w:jc w:val="both"/>
      </w:pPr>
      <w:r w:rsidRPr="00F540CD">
        <w:t>A.</w:t>
      </w:r>
      <w:r w:rsidRPr="00F540CD">
        <w:tab/>
        <w:t xml:space="preserve">My name is Kelly O. Norwood.  I am employed by Avista </w:t>
      </w:r>
      <w:r w:rsidR="00CB3BE0" w:rsidRPr="00F540CD">
        <w:t>Utilities</w:t>
      </w:r>
      <w:r w:rsidRPr="00F540CD">
        <w:t xml:space="preserve"> as the Vice-President of State and Federal Regulation.  My business address is 1411 E. Mission Avenue, Spokane, Washington.</w:t>
      </w:r>
      <w:r w:rsidR="00CB3BE0" w:rsidRPr="00F540CD">
        <w:t xml:space="preserve">  </w:t>
      </w:r>
    </w:p>
    <w:p w:rsidR="001D70B8" w:rsidRPr="001D70B8" w:rsidRDefault="001D70B8" w:rsidP="00867849">
      <w:pPr>
        <w:pStyle w:val="BodyTextIndent"/>
        <w:tabs>
          <w:tab w:val="left" w:pos="720"/>
        </w:tabs>
        <w:spacing w:after="0" w:line="480" w:lineRule="auto"/>
        <w:ind w:left="0" w:right="-54" w:firstLine="720"/>
        <w:jc w:val="both"/>
        <w:rPr>
          <w:b/>
        </w:rPr>
      </w:pPr>
      <w:r w:rsidRPr="001D70B8">
        <w:rPr>
          <w:b/>
        </w:rPr>
        <w:t>Q.</w:t>
      </w:r>
      <w:r w:rsidRPr="001D70B8">
        <w:rPr>
          <w:b/>
        </w:rPr>
        <w:tab/>
        <w:t>Would you please briefly describe your educational background and professional experience?</w:t>
      </w:r>
    </w:p>
    <w:p w:rsidR="00CB3BE0" w:rsidRPr="00F540CD" w:rsidRDefault="001D70B8" w:rsidP="00867849">
      <w:pPr>
        <w:pStyle w:val="BodyTextIndent"/>
        <w:tabs>
          <w:tab w:val="left" w:pos="720"/>
        </w:tabs>
        <w:spacing w:after="0" w:line="480" w:lineRule="auto"/>
        <w:ind w:left="0" w:right="-54" w:firstLine="720"/>
        <w:jc w:val="both"/>
      </w:pPr>
      <w:r>
        <w:t>A.</w:t>
      </w:r>
      <w:r>
        <w:tab/>
      </w:r>
      <w:r w:rsidR="008F2DC6">
        <w:t xml:space="preserve">Yes.  </w:t>
      </w:r>
      <w:r w:rsidR="00CB3BE0" w:rsidRPr="00F540CD">
        <w:t>I am a graduate of Eastern Washington University with a Bachelor of Arts Degree in Business Administration, majoring in Accounting.  I joined the Company in</w:t>
      </w:r>
      <w:r w:rsidR="00B23042">
        <w:t xml:space="preserve"> June of 1981.  Over the past 34</w:t>
      </w:r>
      <w:r w:rsidR="00CB3BE0" w:rsidRPr="00F540CD">
        <w:t xml:space="preserve"> year</w:t>
      </w:r>
      <w:r w:rsidR="00B23042">
        <w:t>s, I have spent approximately 23</w:t>
      </w:r>
      <w:r w:rsidR="00CB3BE0" w:rsidRPr="00F540CD">
        <w:t xml:space="preserve"> years in the Rates Department with involvement in cost of service, rate design, revenue requirements and other aspects of ratemaking.  I spent approximately 11 years in the Energy Resources Department in a variety of roles, with involvement in resource planning, system operations, resource analysis, negotiation of power contracts, and risk management.  I was appointed Vice-President of State &amp; Federal Regulation in March 2002.</w:t>
      </w:r>
    </w:p>
    <w:p w:rsidR="00342364" w:rsidRPr="00F540CD" w:rsidRDefault="00532E9B" w:rsidP="00867849">
      <w:pPr>
        <w:tabs>
          <w:tab w:val="left" w:pos="720"/>
        </w:tabs>
        <w:spacing w:line="480" w:lineRule="auto"/>
        <w:ind w:right="-54" w:firstLine="720"/>
        <w:jc w:val="both"/>
        <w:rPr>
          <w:b/>
          <w:bCs/>
        </w:rPr>
      </w:pPr>
      <w:r>
        <w:rPr>
          <w:b/>
          <w:bCs/>
        </w:rPr>
        <w:t>Q.</w:t>
      </w:r>
      <w:r>
        <w:rPr>
          <w:b/>
          <w:bCs/>
        </w:rPr>
        <w:tab/>
        <w:t>Please provide an overview of</w:t>
      </w:r>
      <w:r w:rsidR="00342364" w:rsidRPr="00F540CD">
        <w:rPr>
          <w:b/>
          <w:bCs/>
        </w:rPr>
        <w:t xml:space="preserve"> your rebuttal testimony</w:t>
      </w:r>
      <w:r>
        <w:rPr>
          <w:b/>
          <w:bCs/>
        </w:rPr>
        <w:t>, and the rebuttal testimony of Avista</w:t>
      </w:r>
      <w:r w:rsidR="00342364" w:rsidRPr="00F540CD">
        <w:rPr>
          <w:b/>
          <w:bCs/>
        </w:rPr>
        <w:t xml:space="preserve"> in this proceeding?</w:t>
      </w:r>
    </w:p>
    <w:p w:rsidR="009A65B2" w:rsidRPr="009A65B2" w:rsidRDefault="00342364" w:rsidP="009A65B2">
      <w:pPr>
        <w:pStyle w:val="BodyText"/>
        <w:tabs>
          <w:tab w:val="left" w:pos="720"/>
        </w:tabs>
        <w:spacing w:line="480" w:lineRule="auto"/>
        <w:ind w:right="-54" w:firstLine="720"/>
        <w:jc w:val="both"/>
        <w:rPr>
          <w:b w:val="0"/>
          <w:bCs w:val="0"/>
        </w:rPr>
      </w:pPr>
      <w:r w:rsidRPr="00F540CD">
        <w:rPr>
          <w:b w:val="0"/>
          <w:bCs w:val="0"/>
        </w:rPr>
        <w:t>A.</w:t>
      </w:r>
      <w:r w:rsidRPr="00F540CD">
        <w:rPr>
          <w:b w:val="0"/>
          <w:bCs w:val="0"/>
        </w:rPr>
        <w:tab/>
      </w:r>
      <w:r w:rsidR="00D15D05">
        <w:rPr>
          <w:b w:val="0"/>
          <w:bCs w:val="0"/>
        </w:rPr>
        <w:t>After reviewing the testimony and exhibits of Staff and intervenors,</w:t>
      </w:r>
      <w:r w:rsidR="00CD2B9E">
        <w:rPr>
          <w:rStyle w:val="FootnoteReference"/>
          <w:b w:val="0"/>
          <w:bCs w:val="0"/>
        </w:rPr>
        <w:footnoteReference w:id="1"/>
      </w:r>
      <w:r w:rsidR="00D15D05">
        <w:rPr>
          <w:b w:val="0"/>
          <w:bCs w:val="0"/>
        </w:rPr>
        <w:t xml:space="preserve"> the </w:t>
      </w:r>
      <w:r w:rsidR="00CD2B9E">
        <w:rPr>
          <w:b w:val="0"/>
          <w:bCs w:val="0"/>
        </w:rPr>
        <w:t xml:space="preserve">Company considers the issues identified below </w:t>
      </w:r>
      <w:r w:rsidR="00D15D05">
        <w:rPr>
          <w:b w:val="0"/>
          <w:bCs w:val="0"/>
        </w:rPr>
        <w:t xml:space="preserve">to be </w:t>
      </w:r>
      <w:r w:rsidR="000D0E4C">
        <w:rPr>
          <w:b w:val="0"/>
          <w:bCs w:val="0"/>
        </w:rPr>
        <w:t>the “core”</w:t>
      </w:r>
      <w:r w:rsidR="00D15D05">
        <w:rPr>
          <w:b w:val="0"/>
          <w:bCs w:val="0"/>
        </w:rPr>
        <w:t xml:space="preserve"> issues</w:t>
      </w:r>
      <w:r w:rsidR="000D0E4C">
        <w:rPr>
          <w:b w:val="0"/>
          <w:bCs w:val="0"/>
        </w:rPr>
        <w:t xml:space="preserve"> remaining</w:t>
      </w:r>
      <w:r w:rsidR="00D15D05">
        <w:rPr>
          <w:b w:val="0"/>
          <w:bCs w:val="0"/>
        </w:rPr>
        <w:t xml:space="preserve"> in these Dockets:</w:t>
      </w:r>
      <w:r w:rsidR="009A65B2">
        <w:rPr>
          <w:b w:val="0"/>
          <w:bCs w:val="0"/>
        </w:rPr>
        <w:br w:type="page"/>
      </w:r>
    </w:p>
    <w:p w:rsidR="00D15D05" w:rsidRDefault="00D15D05" w:rsidP="00D15D05">
      <w:pPr>
        <w:pStyle w:val="BodyText"/>
        <w:numPr>
          <w:ilvl w:val="0"/>
          <w:numId w:val="17"/>
        </w:numPr>
        <w:tabs>
          <w:tab w:val="left" w:pos="1080"/>
        </w:tabs>
        <w:spacing w:line="240" w:lineRule="auto"/>
        <w:ind w:left="1080" w:right="-58" w:hanging="540"/>
        <w:jc w:val="both"/>
        <w:rPr>
          <w:bCs w:val="0"/>
        </w:rPr>
      </w:pPr>
      <w:r w:rsidRPr="00D15D05">
        <w:rPr>
          <w:bCs w:val="0"/>
        </w:rPr>
        <w:lastRenderedPageBreak/>
        <w:t xml:space="preserve">Use of attrition </w:t>
      </w:r>
      <w:r w:rsidR="009175C0" w:rsidRPr="00D15D05">
        <w:rPr>
          <w:bCs w:val="0"/>
        </w:rPr>
        <w:t>vs.</w:t>
      </w:r>
      <w:r w:rsidRPr="00D15D05">
        <w:rPr>
          <w:bCs w:val="0"/>
        </w:rPr>
        <w:t xml:space="preserve"> the sole use of </w:t>
      </w:r>
      <w:r w:rsidR="000D0E4C">
        <w:rPr>
          <w:bCs w:val="0"/>
        </w:rPr>
        <w:t xml:space="preserve">a </w:t>
      </w:r>
      <w:r w:rsidRPr="00D15D05">
        <w:rPr>
          <w:bCs w:val="0"/>
        </w:rPr>
        <w:t>modified historical test period with limited pro forma adjustments to determine revenue requirements</w:t>
      </w:r>
      <w:r w:rsidR="002275C2">
        <w:rPr>
          <w:bCs w:val="0"/>
        </w:rPr>
        <w:t>,</w:t>
      </w:r>
    </w:p>
    <w:p w:rsidR="000A5342" w:rsidRDefault="000A5342" w:rsidP="000A5342">
      <w:pPr>
        <w:pStyle w:val="BodyText"/>
        <w:tabs>
          <w:tab w:val="left" w:pos="1080"/>
        </w:tabs>
        <w:spacing w:line="240" w:lineRule="auto"/>
        <w:ind w:right="-58"/>
        <w:jc w:val="both"/>
        <w:rPr>
          <w:bCs w:val="0"/>
        </w:rPr>
      </w:pPr>
    </w:p>
    <w:p w:rsidR="00D15D05" w:rsidRDefault="00D15D05" w:rsidP="00D15D05">
      <w:pPr>
        <w:pStyle w:val="BodyText"/>
        <w:numPr>
          <w:ilvl w:val="0"/>
          <w:numId w:val="17"/>
        </w:numPr>
        <w:tabs>
          <w:tab w:val="left" w:pos="1080"/>
        </w:tabs>
        <w:spacing w:line="240" w:lineRule="auto"/>
        <w:ind w:left="1080" w:right="-58" w:hanging="540"/>
        <w:jc w:val="both"/>
        <w:rPr>
          <w:bCs w:val="0"/>
        </w:rPr>
      </w:pPr>
      <w:r>
        <w:rPr>
          <w:bCs w:val="0"/>
        </w:rPr>
        <w:t>Updated electric and natural gas revenue requirements</w:t>
      </w:r>
      <w:r w:rsidR="002275C2">
        <w:rPr>
          <w:bCs w:val="0"/>
        </w:rPr>
        <w:t>,</w:t>
      </w:r>
    </w:p>
    <w:p w:rsidR="000A5342" w:rsidRDefault="000A5342" w:rsidP="000A5342">
      <w:pPr>
        <w:pStyle w:val="BodyText"/>
        <w:tabs>
          <w:tab w:val="left" w:pos="1080"/>
        </w:tabs>
        <w:spacing w:line="240" w:lineRule="auto"/>
        <w:ind w:right="-58"/>
        <w:jc w:val="both"/>
        <w:rPr>
          <w:bCs w:val="0"/>
        </w:rPr>
      </w:pPr>
    </w:p>
    <w:p w:rsidR="00D15D05" w:rsidRDefault="000D0E4C" w:rsidP="00D15D05">
      <w:pPr>
        <w:pStyle w:val="BodyText"/>
        <w:numPr>
          <w:ilvl w:val="0"/>
          <w:numId w:val="17"/>
        </w:numPr>
        <w:tabs>
          <w:tab w:val="left" w:pos="1080"/>
        </w:tabs>
        <w:spacing w:line="240" w:lineRule="auto"/>
        <w:ind w:left="1080" w:right="-58" w:hanging="540"/>
        <w:jc w:val="both"/>
        <w:rPr>
          <w:bCs w:val="0"/>
        </w:rPr>
      </w:pPr>
      <w:r>
        <w:rPr>
          <w:bCs w:val="0"/>
        </w:rPr>
        <w:t xml:space="preserve">Approval, in principle, of </w:t>
      </w:r>
      <w:r w:rsidR="00D15D05">
        <w:rPr>
          <w:bCs w:val="0"/>
        </w:rPr>
        <w:t>Advanced Metering Infrastructure (AMI)</w:t>
      </w:r>
      <w:r w:rsidR="002275C2">
        <w:rPr>
          <w:bCs w:val="0"/>
        </w:rPr>
        <w:t>,</w:t>
      </w:r>
      <w:r>
        <w:rPr>
          <w:bCs w:val="0"/>
        </w:rPr>
        <w:t xml:space="preserve"> together with deferred accounting for retired meters,</w:t>
      </w:r>
    </w:p>
    <w:p w:rsidR="000A5342" w:rsidRDefault="000A5342" w:rsidP="000A5342">
      <w:pPr>
        <w:pStyle w:val="BodyText"/>
        <w:tabs>
          <w:tab w:val="left" w:pos="1080"/>
        </w:tabs>
        <w:spacing w:line="240" w:lineRule="auto"/>
        <w:ind w:right="-58"/>
        <w:jc w:val="both"/>
        <w:rPr>
          <w:bCs w:val="0"/>
        </w:rPr>
      </w:pPr>
    </w:p>
    <w:p w:rsidR="009C7045" w:rsidRDefault="009C7045" w:rsidP="009C7045">
      <w:pPr>
        <w:pStyle w:val="BodyText"/>
        <w:numPr>
          <w:ilvl w:val="0"/>
          <w:numId w:val="17"/>
        </w:numPr>
        <w:tabs>
          <w:tab w:val="left" w:pos="1080"/>
        </w:tabs>
        <w:spacing w:line="240" w:lineRule="auto"/>
        <w:ind w:left="1080" w:right="-58" w:hanging="540"/>
        <w:jc w:val="both"/>
        <w:rPr>
          <w:bCs w:val="0"/>
        </w:rPr>
      </w:pPr>
      <w:r>
        <w:rPr>
          <w:bCs w:val="0"/>
        </w:rPr>
        <w:t>Recovery of “hours-based” major thermal maintenance that do not occur every year</w:t>
      </w:r>
      <w:r w:rsidR="002275C2">
        <w:rPr>
          <w:bCs w:val="0"/>
        </w:rPr>
        <w:t>,</w:t>
      </w:r>
    </w:p>
    <w:p w:rsidR="009C7045" w:rsidRDefault="009C7045" w:rsidP="009C7045">
      <w:pPr>
        <w:pStyle w:val="BodyText"/>
        <w:tabs>
          <w:tab w:val="left" w:pos="1080"/>
        </w:tabs>
        <w:spacing w:line="240" w:lineRule="auto"/>
        <w:ind w:right="-58"/>
        <w:jc w:val="both"/>
        <w:rPr>
          <w:bCs w:val="0"/>
        </w:rPr>
      </w:pPr>
    </w:p>
    <w:p w:rsidR="00D15D05" w:rsidRDefault="00D15D05" w:rsidP="00D15D05">
      <w:pPr>
        <w:pStyle w:val="BodyText"/>
        <w:numPr>
          <w:ilvl w:val="0"/>
          <w:numId w:val="17"/>
        </w:numPr>
        <w:tabs>
          <w:tab w:val="left" w:pos="1080"/>
        </w:tabs>
        <w:spacing w:line="240" w:lineRule="auto"/>
        <w:ind w:left="1080" w:right="-58" w:hanging="540"/>
        <w:jc w:val="both"/>
        <w:rPr>
          <w:bCs w:val="0"/>
        </w:rPr>
      </w:pPr>
      <w:r>
        <w:rPr>
          <w:bCs w:val="0"/>
        </w:rPr>
        <w:t>Full recovery of Project Compass costs</w:t>
      </w:r>
      <w:r w:rsidR="002275C2">
        <w:rPr>
          <w:bCs w:val="0"/>
        </w:rPr>
        <w:t>, and</w:t>
      </w:r>
    </w:p>
    <w:p w:rsidR="000A5342" w:rsidRDefault="000A5342" w:rsidP="000A5342">
      <w:pPr>
        <w:pStyle w:val="BodyText"/>
        <w:tabs>
          <w:tab w:val="left" w:pos="1080"/>
        </w:tabs>
        <w:spacing w:line="240" w:lineRule="auto"/>
        <w:ind w:right="-58"/>
        <w:jc w:val="both"/>
        <w:rPr>
          <w:bCs w:val="0"/>
        </w:rPr>
      </w:pPr>
    </w:p>
    <w:p w:rsidR="00D15D05" w:rsidRPr="00D15D05" w:rsidRDefault="00D15D05" w:rsidP="00D15D05">
      <w:pPr>
        <w:pStyle w:val="BodyText"/>
        <w:numPr>
          <w:ilvl w:val="0"/>
          <w:numId w:val="17"/>
        </w:numPr>
        <w:tabs>
          <w:tab w:val="left" w:pos="1080"/>
        </w:tabs>
        <w:spacing w:line="240" w:lineRule="auto"/>
        <w:ind w:left="1080" w:right="-58" w:hanging="540"/>
        <w:jc w:val="both"/>
        <w:rPr>
          <w:bCs w:val="0"/>
        </w:rPr>
      </w:pPr>
      <w:r>
        <w:rPr>
          <w:bCs w:val="0"/>
        </w:rPr>
        <w:t>LIRAP funding</w:t>
      </w:r>
      <w:r w:rsidR="002275C2">
        <w:rPr>
          <w:bCs w:val="0"/>
        </w:rPr>
        <w:t>.</w:t>
      </w:r>
    </w:p>
    <w:p w:rsidR="00D15D05" w:rsidRDefault="00D15D05" w:rsidP="008C51CF">
      <w:pPr>
        <w:pStyle w:val="BodyText"/>
        <w:tabs>
          <w:tab w:val="left" w:pos="1080"/>
        </w:tabs>
        <w:spacing w:line="240" w:lineRule="auto"/>
        <w:ind w:left="1080" w:right="-58"/>
        <w:jc w:val="both"/>
        <w:rPr>
          <w:bCs w:val="0"/>
        </w:rPr>
      </w:pPr>
    </w:p>
    <w:p w:rsidR="00FB1832" w:rsidRDefault="00FB1832" w:rsidP="00867849">
      <w:pPr>
        <w:pStyle w:val="BodyText"/>
        <w:tabs>
          <w:tab w:val="left" w:pos="720"/>
        </w:tabs>
        <w:spacing w:line="480" w:lineRule="auto"/>
        <w:ind w:right="-54" w:firstLine="720"/>
        <w:jc w:val="both"/>
        <w:rPr>
          <w:b w:val="0"/>
          <w:bCs w:val="0"/>
        </w:rPr>
      </w:pPr>
      <w:r w:rsidRPr="00FB1832">
        <w:rPr>
          <w:b w:val="0"/>
          <w:bCs w:val="0"/>
        </w:rPr>
        <w:t xml:space="preserve">Although there are other </w:t>
      </w:r>
      <w:r>
        <w:rPr>
          <w:b w:val="0"/>
          <w:bCs w:val="0"/>
        </w:rPr>
        <w:t xml:space="preserve">issues that </w:t>
      </w:r>
      <w:r w:rsidR="000D0E4C">
        <w:rPr>
          <w:b w:val="0"/>
          <w:bCs w:val="0"/>
        </w:rPr>
        <w:t>remain</w:t>
      </w:r>
      <w:r>
        <w:rPr>
          <w:b w:val="0"/>
          <w:bCs w:val="0"/>
        </w:rPr>
        <w:t xml:space="preserve"> in these Dockets, these threshold</w:t>
      </w:r>
      <w:r w:rsidR="000D0E4C">
        <w:rPr>
          <w:b w:val="0"/>
          <w:bCs w:val="0"/>
        </w:rPr>
        <w:t xml:space="preserve"> or core</w:t>
      </w:r>
      <w:r>
        <w:rPr>
          <w:b w:val="0"/>
          <w:bCs w:val="0"/>
        </w:rPr>
        <w:t xml:space="preserve"> issues are of significant importance to the outcome of this case.  The manner in which they will be addressed in the Company’s rebuttal filing is as follows:</w:t>
      </w:r>
    </w:p>
    <w:p w:rsidR="00052572" w:rsidRPr="00052572" w:rsidRDefault="00052572" w:rsidP="00532E9B">
      <w:pPr>
        <w:pStyle w:val="BodyText"/>
        <w:tabs>
          <w:tab w:val="left" w:pos="720"/>
        </w:tabs>
        <w:spacing w:line="240" w:lineRule="auto"/>
        <w:ind w:right="-58"/>
        <w:jc w:val="both"/>
        <w:rPr>
          <w:bCs w:val="0"/>
          <w:u w:val="single"/>
        </w:rPr>
      </w:pPr>
      <w:r w:rsidRPr="00052572">
        <w:rPr>
          <w:bCs w:val="0"/>
          <w:u w:val="single"/>
        </w:rPr>
        <w:t>Attrition vs</w:t>
      </w:r>
      <w:r w:rsidR="0080153B">
        <w:rPr>
          <w:bCs w:val="0"/>
          <w:u w:val="single"/>
        </w:rPr>
        <w:t>.</w:t>
      </w:r>
      <w:r w:rsidRPr="00052572">
        <w:rPr>
          <w:bCs w:val="0"/>
          <w:u w:val="single"/>
        </w:rPr>
        <w:t xml:space="preserve"> Modified Historical Test Period with Limited Pro Forma Adjustments</w:t>
      </w:r>
    </w:p>
    <w:p w:rsidR="009C0988" w:rsidRDefault="00CE2543" w:rsidP="00CD2B9E">
      <w:pPr>
        <w:pStyle w:val="BodyText"/>
        <w:tabs>
          <w:tab w:val="left" w:pos="720"/>
        </w:tabs>
        <w:spacing w:line="240" w:lineRule="auto"/>
        <w:ind w:left="720" w:right="-58"/>
        <w:jc w:val="both"/>
        <w:rPr>
          <w:b w:val="0"/>
          <w:bCs w:val="0"/>
        </w:rPr>
      </w:pPr>
      <w:r>
        <w:rPr>
          <w:b w:val="0"/>
          <w:bCs w:val="0"/>
        </w:rPr>
        <w:t>My rebuttal</w:t>
      </w:r>
      <w:r w:rsidR="00BC530E">
        <w:rPr>
          <w:b w:val="0"/>
          <w:bCs w:val="0"/>
        </w:rPr>
        <w:t xml:space="preserve"> testimony </w:t>
      </w:r>
      <w:r>
        <w:rPr>
          <w:b w:val="0"/>
          <w:bCs w:val="0"/>
        </w:rPr>
        <w:t>will explain why an attrition anal</w:t>
      </w:r>
      <w:r w:rsidR="009175C0">
        <w:rPr>
          <w:b w:val="0"/>
          <w:bCs w:val="0"/>
        </w:rPr>
        <w:t>ysis, as proposed by Avista and</w:t>
      </w:r>
      <w:r w:rsidR="00BC530E">
        <w:rPr>
          <w:b w:val="0"/>
          <w:bCs w:val="0"/>
        </w:rPr>
        <w:t xml:space="preserve"> </w:t>
      </w:r>
      <w:r w:rsidR="00EB2427">
        <w:rPr>
          <w:b w:val="0"/>
          <w:bCs w:val="0"/>
        </w:rPr>
        <w:t>Staff</w:t>
      </w:r>
      <w:r w:rsidR="00BC530E">
        <w:rPr>
          <w:b w:val="0"/>
          <w:bCs w:val="0"/>
        </w:rPr>
        <w:t xml:space="preserve">, </w:t>
      </w:r>
      <w:r w:rsidR="00D648FC">
        <w:rPr>
          <w:b w:val="0"/>
          <w:bCs w:val="0"/>
        </w:rPr>
        <w:t>should be used</w:t>
      </w:r>
      <w:r>
        <w:rPr>
          <w:b w:val="0"/>
          <w:bCs w:val="0"/>
        </w:rPr>
        <w:t xml:space="preserve"> to determine</w:t>
      </w:r>
      <w:r w:rsidR="00D648FC">
        <w:rPr>
          <w:b w:val="0"/>
          <w:bCs w:val="0"/>
        </w:rPr>
        <w:t xml:space="preserve"> the electric and natural gas revenue re</w:t>
      </w:r>
      <w:r w:rsidR="00231926">
        <w:rPr>
          <w:b w:val="0"/>
          <w:bCs w:val="0"/>
        </w:rPr>
        <w:t>quirements in these Dockets.  I will also demonstrate</w:t>
      </w:r>
      <w:r w:rsidR="00D648FC">
        <w:rPr>
          <w:b w:val="0"/>
          <w:bCs w:val="0"/>
        </w:rPr>
        <w:t xml:space="preserve"> why the sole use of a modified historical test period with limited pro forma adjustments, as proposed by Public Counsel, ICNU and NWIGU, will not produce revenue requirements that are sufficient to allow the Company</w:t>
      </w:r>
      <w:r w:rsidR="00500064">
        <w:rPr>
          <w:b w:val="0"/>
          <w:bCs w:val="0"/>
        </w:rPr>
        <w:t xml:space="preserve"> an opportunity</w:t>
      </w:r>
      <w:r w:rsidR="00D648FC">
        <w:rPr>
          <w:b w:val="0"/>
          <w:bCs w:val="0"/>
        </w:rPr>
        <w:t xml:space="preserve"> to earn the rate of return </w:t>
      </w:r>
      <w:r w:rsidR="00231926">
        <w:rPr>
          <w:b w:val="0"/>
          <w:bCs w:val="0"/>
        </w:rPr>
        <w:t xml:space="preserve">agreed to by the parties, and presented to the Commission, in the May </w:t>
      </w:r>
      <w:r w:rsidR="00BE737C">
        <w:rPr>
          <w:b w:val="0"/>
          <w:bCs w:val="0"/>
        </w:rPr>
        <w:t>1</w:t>
      </w:r>
      <w:r w:rsidR="00231926">
        <w:rPr>
          <w:b w:val="0"/>
          <w:bCs w:val="0"/>
        </w:rPr>
        <w:t>, 2015</w:t>
      </w:r>
      <w:r w:rsidR="000D0E4C">
        <w:rPr>
          <w:b w:val="0"/>
          <w:bCs w:val="0"/>
        </w:rPr>
        <w:t>,</w:t>
      </w:r>
      <w:r w:rsidR="00231926">
        <w:rPr>
          <w:b w:val="0"/>
          <w:bCs w:val="0"/>
        </w:rPr>
        <w:t xml:space="preserve"> Multiparty Settlement Stipulation.</w:t>
      </w:r>
      <w:r w:rsidR="00B23042">
        <w:rPr>
          <w:b w:val="0"/>
          <w:bCs w:val="0"/>
        </w:rPr>
        <w:t xml:space="preserve">  </w:t>
      </w:r>
    </w:p>
    <w:p w:rsidR="009C0988" w:rsidRDefault="009C0988" w:rsidP="00CD2B9E">
      <w:pPr>
        <w:pStyle w:val="BodyText"/>
        <w:tabs>
          <w:tab w:val="left" w:pos="720"/>
        </w:tabs>
        <w:spacing w:line="240" w:lineRule="auto"/>
        <w:ind w:left="720" w:right="-58"/>
        <w:jc w:val="both"/>
        <w:rPr>
          <w:b w:val="0"/>
          <w:bCs w:val="0"/>
        </w:rPr>
      </w:pPr>
    </w:p>
    <w:p w:rsidR="009C0988" w:rsidRPr="00052572" w:rsidRDefault="009C0988" w:rsidP="00532E9B">
      <w:pPr>
        <w:pStyle w:val="BodyText"/>
        <w:tabs>
          <w:tab w:val="left" w:pos="720"/>
        </w:tabs>
        <w:spacing w:line="240" w:lineRule="auto"/>
        <w:ind w:right="-58"/>
        <w:jc w:val="both"/>
        <w:rPr>
          <w:bCs w:val="0"/>
          <w:u w:val="single"/>
        </w:rPr>
      </w:pPr>
      <w:r>
        <w:rPr>
          <w:bCs w:val="0"/>
          <w:u w:val="single"/>
        </w:rPr>
        <w:t>Updated Revenue Requirements</w:t>
      </w:r>
    </w:p>
    <w:p w:rsidR="009C0988" w:rsidRDefault="009C0988" w:rsidP="007D5EF5">
      <w:pPr>
        <w:pStyle w:val="BodyText"/>
        <w:tabs>
          <w:tab w:val="left" w:pos="720"/>
        </w:tabs>
        <w:spacing w:line="240" w:lineRule="auto"/>
        <w:ind w:left="720" w:right="-58"/>
        <w:jc w:val="both"/>
        <w:rPr>
          <w:b w:val="0"/>
          <w:bCs w:val="0"/>
        </w:rPr>
      </w:pPr>
      <w:r>
        <w:rPr>
          <w:b w:val="0"/>
          <w:bCs w:val="0"/>
        </w:rPr>
        <w:t xml:space="preserve">In this rebuttal filing, Avista has updated its electric and natural gas revenue requirement calculations in response to the testimony of the parties.  For this update, Avista started with </w:t>
      </w:r>
      <w:r w:rsidR="00EB2427">
        <w:rPr>
          <w:b w:val="0"/>
          <w:bCs w:val="0"/>
        </w:rPr>
        <w:t>Staff</w:t>
      </w:r>
      <w:r>
        <w:rPr>
          <w:b w:val="0"/>
          <w:bCs w:val="0"/>
        </w:rPr>
        <w:t>’s attrition model and methodology, and made a few corrections and adjustments to determine revised r</w:t>
      </w:r>
      <w:r w:rsidR="00113C5C">
        <w:rPr>
          <w:b w:val="0"/>
          <w:bCs w:val="0"/>
        </w:rPr>
        <w:t xml:space="preserve">evenue requirements. </w:t>
      </w:r>
      <w:r>
        <w:rPr>
          <w:b w:val="0"/>
          <w:bCs w:val="0"/>
        </w:rPr>
        <w:t xml:space="preserve"> Avista and </w:t>
      </w:r>
      <w:r w:rsidR="00EB2427">
        <w:rPr>
          <w:b w:val="0"/>
          <w:bCs w:val="0"/>
        </w:rPr>
        <w:t>Staff</w:t>
      </w:r>
      <w:r>
        <w:rPr>
          <w:b w:val="0"/>
          <w:bCs w:val="0"/>
        </w:rPr>
        <w:t xml:space="preserve"> are currently using essenti</w:t>
      </w:r>
      <w:r w:rsidR="00585F6A">
        <w:rPr>
          <w:b w:val="0"/>
          <w:bCs w:val="0"/>
        </w:rPr>
        <w:t>ally the same attrition model.  Avista’s updated natural gas revenue requirement is $</w:t>
      </w:r>
      <w:r w:rsidR="009175C0">
        <w:rPr>
          <w:b w:val="0"/>
          <w:bCs w:val="0"/>
        </w:rPr>
        <w:t xml:space="preserve">10.0 </w:t>
      </w:r>
      <w:r w:rsidR="00585F6A">
        <w:rPr>
          <w:b w:val="0"/>
          <w:bCs w:val="0"/>
        </w:rPr>
        <w:t xml:space="preserve">million, as compared to </w:t>
      </w:r>
      <w:r w:rsidR="00EB2427">
        <w:rPr>
          <w:b w:val="0"/>
          <w:bCs w:val="0"/>
        </w:rPr>
        <w:t>Staff</w:t>
      </w:r>
      <w:r w:rsidR="00585F6A">
        <w:rPr>
          <w:b w:val="0"/>
          <w:bCs w:val="0"/>
        </w:rPr>
        <w:t xml:space="preserve">’s proposal of $9.0 million.  Avista’s updated electric revenue requirement is </w:t>
      </w:r>
      <w:r w:rsidR="00D22DBD">
        <w:rPr>
          <w:b w:val="0"/>
          <w:bCs w:val="0"/>
        </w:rPr>
        <w:t xml:space="preserve">an increase of </w:t>
      </w:r>
      <w:r w:rsidR="00585F6A">
        <w:rPr>
          <w:b w:val="0"/>
          <w:bCs w:val="0"/>
        </w:rPr>
        <w:t xml:space="preserve">$3.6 million, as compared to </w:t>
      </w:r>
      <w:r w:rsidR="00EB2427">
        <w:rPr>
          <w:b w:val="0"/>
          <w:bCs w:val="0"/>
        </w:rPr>
        <w:t>Staff</w:t>
      </w:r>
      <w:r w:rsidR="00585F6A">
        <w:rPr>
          <w:b w:val="0"/>
          <w:bCs w:val="0"/>
        </w:rPr>
        <w:t>’</w:t>
      </w:r>
      <w:r w:rsidR="00D22DBD">
        <w:rPr>
          <w:b w:val="0"/>
          <w:bCs w:val="0"/>
        </w:rPr>
        <w:t>s proposed decrease</w:t>
      </w:r>
      <w:r w:rsidR="00585F6A">
        <w:rPr>
          <w:b w:val="0"/>
          <w:bCs w:val="0"/>
        </w:rPr>
        <w:t xml:space="preserve"> of $</w:t>
      </w:r>
      <w:r w:rsidR="009175C0">
        <w:rPr>
          <w:b w:val="0"/>
          <w:bCs w:val="0"/>
        </w:rPr>
        <w:t>6.2</w:t>
      </w:r>
      <w:r w:rsidR="00585F6A">
        <w:rPr>
          <w:b w:val="0"/>
          <w:bCs w:val="0"/>
        </w:rPr>
        <w:t xml:space="preserve"> million.  The primary difference between Avista and </w:t>
      </w:r>
      <w:r w:rsidR="00EB2427">
        <w:rPr>
          <w:b w:val="0"/>
          <w:bCs w:val="0"/>
        </w:rPr>
        <w:t>Staff</w:t>
      </w:r>
      <w:r w:rsidR="00585F6A">
        <w:rPr>
          <w:b w:val="0"/>
          <w:bCs w:val="0"/>
        </w:rPr>
        <w:t xml:space="preserve">’s electric revenue requirements is </w:t>
      </w:r>
      <w:r w:rsidR="00EB2427">
        <w:rPr>
          <w:b w:val="0"/>
          <w:bCs w:val="0"/>
        </w:rPr>
        <w:t>Staff</w:t>
      </w:r>
      <w:r w:rsidR="00585F6A">
        <w:rPr>
          <w:b w:val="0"/>
          <w:bCs w:val="0"/>
        </w:rPr>
        <w:t xml:space="preserve">’s use of an unreasonably low escalation factor for operations and maintenance (O&amp;M) expense based on developing a “trend” of O&amp;M for the </w:t>
      </w:r>
      <w:r w:rsidR="00585F6A" w:rsidRPr="009175C0">
        <w:rPr>
          <w:b w:val="0"/>
          <w:bCs w:val="0"/>
          <w:u w:val="single"/>
        </w:rPr>
        <w:t>one-</w:t>
      </w:r>
      <w:r w:rsidR="007D5EF5" w:rsidRPr="009175C0">
        <w:rPr>
          <w:b w:val="0"/>
          <w:bCs w:val="0"/>
          <w:u w:val="single"/>
        </w:rPr>
        <w:t>year</w:t>
      </w:r>
      <w:r w:rsidR="007D5EF5">
        <w:rPr>
          <w:b w:val="0"/>
          <w:bCs w:val="0"/>
        </w:rPr>
        <w:t xml:space="preserve"> period from 2013 to 2014.  </w:t>
      </w:r>
      <w:r>
        <w:rPr>
          <w:b w:val="0"/>
          <w:bCs w:val="0"/>
        </w:rPr>
        <w:t>I will provide an overview of the corrections/adjustments made by the Company and the resulting</w:t>
      </w:r>
      <w:r w:rsidR="00585F6A">
        <w:rPr>
          <w:b w:val="0"/>
          <w:bCs w:val="0"/>
        </w:rPr>
        <w:t xml:space="preserve"> revenue requirements</w:t>
      </w:r>
      <w:r>
        <w:rPr>
          <w:b w:val="0"/>
          <w:bCs w:val="0"/>
        </w:rPr>
        <w:t xml:space="preserve">, and </w:t>
      </w:r>
      <w:r w:rsidR="009175C0">
        <w:rPr>
          <w:b w:val="0"/>
          <w:bCs w:val="0"/>
        </w:rPr>
        <w:t xml:space="preserve">Company witness </w:t>
      </w:r>
      <w:r>
        <w:rPr>
          <w:b w:val="0"/>
          <w:bCs w:val="0"/>
        </w:rPr>
        <w:t xml:space="preserve">Ms. Andrews will provide additional details.  </w:t>
      </w:r>
    </w:p>
    <w:p w:rsidR="00052572" w:rsidRPr="00052572" w:rsidRDefault="00052572" w:rsidP="00532E9B">
      <w:pPr>
        <w:pStyle w:val="BodyText"/>
        <w:tabs>
          <w:tab w:val="left" w:pos="720"/>
        </w:tabs>
        <w:spacing w:line="240" w:lineRule="auto"/>
        <w:ind w:right="-58"/>
        <w:jc w:val="both"/>
        <w:rPr>
          <w:bCs w:val="0"/>
          <w:u w:val="single"/>
        </w:rPr>
      </w:pPr>
      <w:r w:rsidRPr="00052572">
        <w:rPr>
          <w:bCs w:val="0"/>
          <w:u w:val="single"/>
        </w:rPr>
        <w:lastRenderedPageBreak/>
        <w:t>Advanced Metering Infrastructure (AMI)</w:t>
      </w:r>
    </w:p>
    <w:p w:rsidR="00C6590F" w:rsidRDefault="00C6590F" w:rsidP="00795084">
      <w:pPr>
        <w:pStyle w:val="BodyText"/>
        <w:tabs>
          <w:tab w:val="left" w:pos="720"/>
        </w:tabs>
        <w:spacing w:line="240" w:lineRule="auto"/>
        <w:ind w:left="720" w:right="-58"/>
        <w:jc w:val="both"/>
        <w:rPr>
          <w:b w:val="0"/>
          <w:bCs w:val="0"/>
        </w:rPr>
      </w:pPr>
      <w:r>
        <w:rPr>
          <w:b w:val="0"/>
          <w:bCs w:val="0"/>
        </w:rPr>
        <w:t xml:space="preserve">In response to </w:t>
      </w:r>
      <w:r w:rsidR="00EB2427">
        <w:rPr>
          <w:b w:val="0"/>
          <w:bCs w:val="0"/>
        </w:rPr>
        <w:t>Staff</w:t>
      </w:r>
      <w:r>
        <w:rPr>
          <w:b w:val="0"/>
          <w:bCs w:val="0"/>
        </w:rPr>
        <w:t xml:space="preserve"> and intervenor testimony related to Advanced Metering Infrastructure (AMI), I will explain the Company’s proposal on rebuttal to agree to </w:t>
      </w:r>
      <w:r w:rsidR="000D0E4C">
        <w:rPr>
          <w:b w:val="0"/>
          <w:bCs w:val="0"/>
        </w:rPr>
        <w:t>remove</w:t>
      </w:r>
      <w:r>
        <w:rPr>
          <w:b w:val="0"/>
          <w:bCs w:val="0"/>
        </w:rPr>
        <w:t xml:space="preserve"> new plant investment </w:t>
      </w:r>
      <w:r w:rsidR="000D0E4C">
        <w:rPr>
          <w:b w:val="0"/>
          <w:bCs w:val="0"/>
        </w:rPr>
        <w:t>and</w:t>
      </w:r>
      <w:r>
        <w:rPr>
          <w:b w:val="0"/>
          <w:bCs w:val="0"/>
        </w:rPr>
        <w:t xml:space="preserve"> new operating expenses related to AMI </w:t>
      </w:r>
      <w:r w:rsidR="00427AD9">
        <w:rPr>
          <w:b w:val="0"/>
          <w:bCs w:val="0"/>
        </w:rPr>
        <w:t>in the determination of the</w:t>
      </w:r>
      <w:r>
        <w:rPr>
          <w:b w:val="0"/>
          <w:bCs w:val="0"/>
        </w:rPr>
        <w:t xml:space="preserve"> electric and natural gas revenue requirements</w:t>
      </w:r>
      <w:r w:rsidR="00427AD9">
        <w:rPr>
          <w:b w:val="0"/>
          <w:bCs w:val="0"/>
        </w:rPr>
        <w:t xml:space="preserve"> for the 2016 rate period</w:t>
      </w:r>
      <w:r>
        <w:rPr>
          <w:b w:val="0"/>
          <w:bCs w:val="0"/>
        </w:rPr>
        <w:t xml:space="preserve">.  </w:t>
      </w:r>
      <w:r w:rsidR="00A22770">
        <w:rPr>
          <w:b w:val="0"/>
          <w:bCs w:val="0"/>
        </w:rPr>
        <w:t>However, Avista plans to move forward with the implementation of AMI, absent a Commission order i</w:t>
      </w:r>
      <w:r w:rsidR="00325E48">
        <w:rPr>
          <w:b w:val="0"/>
          <w:bCs w:val="0"/>
        </w:rPr>
        <w:t>n these Dockets to the contrary.  Avista is requesting</w:t>
      </w:r>
      <w:r w:rsidR="000D0E4C">
        <w:rPr>
          <w:b w:val="0"/>
          <w:bCs w:val="0"/>
        </w:rPr>
        <w:t>, therefore,</w:t>
      </w:r>
      <w:r w:rsidR="00325E48">
        <w:rPr>
          <w:b w:val="0"/>
          <w:bCs w:val="0"/>
        </w:rPr>
        <w:t xml:space="preserve"> Commission approval of the Company’s </w:t>
      </w:r>
      <w:r w:rsidR="00325E48" w:rsidRPr="00325E48">
        <w:rPr>
          <w:b w:val="0"/>
          <w:bCs w:val="0"/>
          <w:u w:val="single"/>
        </w:rPr>
        <w:t>decision</w:t>
      </w:r>
      <w:r w:rsidR="000D0E4C" w:rsidRPr="000D0E4C">
        <w:rPr>
          <w:b w:val="0"/>
          <w:bCs w:val="0"/>
        </w:rPr>
        <w:t>, in principle,</w:t>
      </w:r>
      <w:r w:rsidR="00325E48">
        <w:rPr>
          <w:b w:val="0"/>
          <w:bCs w:val="0"/>
        </w:rPr>
        <w:t xml:space="preserve"> to move forward with AMI, but with the understanding that Avista would</w:t>
      </w:r>
      <w:r w:rsidR="00A22770">
        <w:rPr>
          <w:b w:val="0"/>
          <w:bCs w:val="0"/>
        </w:rPr>
        <w:t xml:space="preserve"> present </w:t>
      </w:r>
      <w:r w:rsidR="00325E48">
        <w:rPr>
          <w:b w:val="0"/>
          <w:bCs w:val="0"/>
        </w:rPr>
        <w:t>a</w:t>
      </w:r>
      <w:r w:rsidR="005D7806">
        <w:rPr>
          <w:b w:val="0"/>
          <w:bCs w:val="0"/>
        </w:rPr>
        <w:t xml:space="preserve"> showing in its next</w:t>
      </w:r>
      <w:r w:rsidR="000468FB">
        <w:rPr>
          <w:b w:val="0"/>
          <w:bCs w:val="0"/>
        </w:rPr>
        <w:t xml:space="preserve"> general rate case</w:t>
      </w:r>
      <w:r w:rsidR="009C1A2D">
        <w:rPr>
          <w:b w:val="0"/>
          <w:bCs w:val="0"/>
        </w:rPr>
        <w:t xml:space="preserve"> </w:t>
      </w:r>
      <w:r w:rsidR="000468FB">
        <w:rPr>
          <w:b w:val="0"/>
          <w:bCs w:val="0"/>
        </w:rPr>
        <w:t xml:space="preserve">on </w:t>
      </w:r>
      <w:r w:rsidR="00325E48">
        <w:rPr>
          <w:b w:val="0"/>
          <w:bCs w:val="0"/>
        </w:rPr>
        <w:t xml:space="preserve">the prudence of </w:t>
      </w:r>
      <w:r w:rsidR="000468FB">
        <w:rPr>
          <w:b w:val="0"/>
          <w:bCs w:val="0"/>
        </w:rPr>
        <w:t>any new investment</w:t>
      </w:r>
      <w:r w:rsidR="00325E48">
        <w:rPr>
          <w:b w:val="0"/>
          <w:bCs w:val="0"/>
        </w:rPr>
        <w:t xml:space="preserve"> dollars</w:t>
      </w:r>
      <w:r w:rsidR="000468FB">
        <w:rPr>
          <w:b w:val="0"/>
          <w:bCs w:val="0"/>
        </w:rPr>
        <w:t xml:space="preserve"> and operating costs associated with AMI</w:t>
      </w:r>
      <w:r w:rsidR="00A22770">
        <w:rPr>
          <w:b w:val="0"/>
          <w:bCs w:val="0"/>
        </w:rPr>
        <w:t>.</w:t>
      </w:r>
      <w:r w:rsidR="008111CF">
        <w:rPr>
          <w:b w:val="0"/>
          <w:bCs w:val="0"/>
        </w:rPr>
        <w:t xml:space="preserve">  I will also explain the significance and importance of Commission approval, in these Dockets, of the proposed accounting treatment related to the </w:t>
      </w:r>
      <w:r w:rsidR="008111CF" w:rsidRPr="008111CF">
        <w:rPr>
          <w:b w:val="0"/>
          <w:bCs w:val="0"/>
          <w:u w:val="single"/>
        </w:rPr>
        <w:t>existing electric meters</w:t>
      </w:r>
      <w:r w:rsidR="008111CF" w:rsidRPr="008111CF">
        <w:rPr>
          <w:b w:val="0"/>
          <w:bCs w:val="0"/>
        </w:rPr>
        <w:t xml:space="preserve"> (not the new </w:t>
      </w:r>
      <w:r w:rsidR="0070314F">
        <w:rPr>
          <w:b w:val="0"/>
          <w:bCs w:val="0"/>
        </w:rPr>
        <w:t xml:space="preserve">AMI </w:t>
      </w:r>
      <w:r w:rsidR="008111CF" w:rsidRPr="008111CF">
        <w:rPr>
          <w:b w:val="0"/>
          <w:bCs w:val="0"/>
        </w:rPr>
        <w:t>meters).</w:t>
      </w:r>
      <w:r w:rsidR="00A76EBD">
        <w:rPr>
          <w:b w:val="0"/>
          <w:bCs w:val="0"/>
        </w:rPr>
        <w:t xml:space="preserve">  Absent this accounting treatment</w:t>
      </w:r>
      <w:r w:rsidR="000D0E4C">
        <w:rPr>
          <w:b w:val="0"/>
          <w:bCs w:val="0"/>
        </w:rPr>
        <w:t xml:space="preserve"> as part of this case</w:t>
      </w:r>
      <w:r w:rsidR="00422043">
        <w:rPr>
          <w:b w:val="0"/>
          <w:bCs w:val="0"/>
        </w:rPr>
        <w:t>, the AMI project would</w:t>
      </w:r>
      <w:r w:rsidR="00A76EBD">
        <w:rPr>
          <w:b w:val="0"/>
          <w:bCs w:val="0"/>
        </w:rPr>
        <w:t xml:space="preserve"> be delayed or terminated.</w:t>
      </w:r>
    </w:p>
    <w:p w:rsidR="00795084" w:rsidRDefault="00795084" w:rsidP="00795084">
      <w:pPr>
        <w:pStyle w:val="BodyText"/>
        <w:tabs>
          <w:tab w:val="left" w:pos="720"/>
        </w:tabs>
        <w:spacing w:line="240" w:lineRule="auto"/>
        <w:ind w:left="720" w:right="-58"/>
        <w:jc w:val="both"/>
        <w:rPr>
          <w:b w:val="0"/>
          <w:bCs w:val="0"/>
        </w:rPr>
      </w:pPr>
    </w:p>
    <w:p w:rsidR="002F5970" w:rsidRPr="002F5970" w:rsidRDefault="00317AB4" w:rsidP="00532E9B">
      <w:pPr>
        <w:pStyle w:val="BodyText"/>
        <w:tabs>
          <w:tab w:val="left" w:pos="720"/>
        </w:tabs>
        <w:spacing w:line="240" w:lineRule="auto"/>
        <w:ind w:right="-58"/>
        <w:jc w:val="both"/>
        <w:rPr>
          <w:bCs w:val="0"/>
          <w:u w:val="single"/>
        </w:rPr>
      </w:pPr>
      <w:r>
        <w:rPr>
          <w:bCs w:val="0"/>
          <w:u w:val="single"/>
        </w:rPr>
        <w:t xml:space="preserve">“Hours-Based” </w:t>
      </w:r>
      <w:r w:rsidR="002F5970" w:rsidRPr="002F5970">
        <w:rPr>
          <w:bCs w:val="0"/>
          <w:u w:val="single"/>
        </w:rPr>
        <w:t>Major Thermal Maintenance</w:t>
      </w:r>
    </w:p>
    <w:p w:rsidR="008A1AD3" w:rsidRDefault="009B14B0" w:rsidP="00AC7B5B">
      <w:pPr>
        <w:pStyle w:val="BodyText"/>
        <w:tabs>
          <w:tab w:val="left" w:pos="720"/>
        </w:tabs>
        <w:spacing w:line="240" w:lineRule="auto"/>
        <w:ind w:left="720" w:right="-58"/>
        <w:jc w:val="both"/>
        <w:rPr>
          <w:b w:val="0"/>
          <w:bCs w:val="0"/>
        </w:rPr>
      </w:pPr>
      <w:r>
        <w:rPr>
          <w:b w:val="0"/>
          <w:bCs w:val="0"/>
        </w:rPr>
        <w:t xml:space="preserve">The testimony of </w:t>
      </w:r>
      <w:r w:rsidR="00EB2427">
        <w:rPr>
          <w:b w:val="0"/>
          <w:bCs w:val="0"/>
        </w:rPr>
        <w:t>Staff</w:t>
      </w:r>
      <w:r w:rsidR="00BE737C">
        <w:rPr>
          <w:b w:val="0"/>
          <w:bCs w:val="0"/>
        </w:rPr>
        <w:t xml:space="preserve"> </w:t>
      </w:r>
      <w:r w:rsidR="00AC7B5B">
        <w:rPr>
          <w:b w:val="0"/>
          <w:bCs w:val="0"/>
        </w:rPr>
        <w:t>and ICNU</w:t>
      </w:r>
      <w:r>
        <w:rPr>
          <w:b w:val="0"/>
          <w:bCs w:val="0"/>
        </w:rPr>
        <w:t xml:space="preserve"> address the “normalization” of certain major maintenance of therma</w:t>
      </w:r>
      <w:r w:rsidR="00317AB4">
        <w:rPr>
          <w:b w:val="0"/>
          <w:bCs w:val="0"/>
        </w:rPr>
        <w:t>l plants</w:t>
      </w:r>
      <w:r>
        <w:rPr>
          <w:b w:val="0"/>
          <w:bCs w:val="0"/>
        </w:rPr>
        <w:t>.  For example, Avista’s Coyote Spri</w:t>
      </w:r>
      <w:r w:rsidR="00EF5E24">
        <w:rPr>
          <w:b w:val="0"/>
          <w:bCs w:val="0"/>
        </w:rPr>
        <w:t>ngs 2 thermal generating</w:t>
      </w:r>
      <w:r>
        <w:rPr>
          <w:b w:val="0"/>
          <w:bCs w:val="0"/>
        </w:rPr>
        <w:t xml:space="preserve"> plant requires</w:t>
      </w:r>
      <w:r w:rsidR="00317AB4">
        <w:rPr>
          <w:b w:val="0"/>
          <w:bCs w:val="0"/>
        </w:rPr>
        <w:t xml:space="preserve"> a major overhaul </w:t>
      </w:r>
      <w:r>
        <w:rPr>
          <w:b w:val="0"/>
          <w:bCs w:val="0"/>
        </w:rPr>
        <w:t xml:space="preserve">every 24,000 hours, which occurs approximately every four years.  </w:t>
      </w:r>
      <w:r w:rsidR="00EB2427">
        <w:rPr>
          <w:b w:val="0"/>
          <w:bCs w:val="0"/>
        </w:rPr>
        <w:t>Staff</w:t>
      </w:r>
      <w:r w:rsidR="00BE737C">
        <w:rPr>
          <w:b w:val="0"/>
          <w:bCs w:val="0"/>
        </w:rPr>
        <w:t xml:space="preserve"> and ICNU</w:t>
      </w:r>
      <w:r>
        <w:rPr>
          <w:b w:val="0"/>
          <w:bCs w:val="0"/>
        </w:rPr>
        <w:t xml:space="preserve"> propose to normalize</w:t>
      </w:r>
      <w:r w:rsidR="009507A7">
        <w:rPr>
          <w:b w:val="0"/>
          <w:bCs w:val="0"/>
        </w:rPr>
        <w:t>,</w:t>
      </w:r>
      <w:r>
        <w:rPr>
          <w:b w:val="0"/>
          <w:bCs w:val="0"/>
        </w:rPr>
        <w:t xml:space="preserve"> or smooth</w:t>
      </w:r>
      <w:r w:rsidR="009507A7">
        <w:rPr>
          <w:b w:val="0"/>
          <w:bCs w:val="0"/>
        </w:rPr>
        <w:t>,</w:t>
      </w:r>
      <w:r>
        <w:rPr>
          <w:b w:val="0"/>
          <w:bCs w:val="0"/>
        </w:rPr>
        <w:t xml:space="preserve"> this cost to customers by spreading the </w:t>
      </w:r>
      <w:r w:rsidR="006E71D2">
        <w:rPr>
          <w:b w:val="0"/>
          <w:bCs w:val="0"/>
        </w:rPr>
        <w:t>cost e</w:t>
      </w:r>
      <w:r w:rsidR="005213BB">
        <w:rPr>
          <w:b w:val="0"/>
          <w:bCs w:val="0"/>
        </w:rPr>
        <w:t>qually over a multi-year period</w:t>
      </w:r>
      <w:r>
        <w:rPr>
          <w:b w:val="0"/>
          <w:bCs w:val="0"/>
        </w:rPr>
        <w:t xml:space="preserve">.  Their proposal, however, normalizes these costs for customers, but does not normalize it for the Company.  </w:t>
      </w:r>
      <w:r w:rsidR="009507A7">
        <w:rPr>
          <w:b w:val="0"/>
          <w:bCs w:val="0"/>
        </w:rPr>
        <w:t>Under their proposal</w:t>
      </w:r>
      <w:r w:rsidR="000D0E4C">
        <w:rPr>
          <w:b w:val="0"/>
          <w:bCs w:val="0"/>
        </w:rPr>
        <w:t>,</w:t>
      </w:r>
      <w:r w:rsidR="009507A7">
        <w:rPr>
          <w:b w:val="0"/>
          <w:bCs w:val="0"/>
        </w:rPr>
        <w:t xml:space="preserve"> the Company would experience the full expense in the year it occurs, </w:t>
      </w:r>
      <w:r w:rsidR="005213BB">
        <w:rPr>
          <w:b w:val="0"/>
          <w:bCs w:val="0"/>
        </w:rPr>
        <w:t xml:space="preserve">without cost recovery, </w:t>
      </w:r>
      <w:r w:rsidR="009507A7">
        <w:rPr>
          <w:b w:val="0"/>
          <w:bCs w:val="0"/>
        </w:rPr>
        <w:t>which would cause it to unde</w:t>
      </w:r>
      <w:r w:rsidR="005213BB">
        <w:rPr>
          <w:b w:val="0"/>
          <w:bCs w:val="0"/>
        </w:rPr>
        <w:t>r-earn its allowed return</w:t>
      </w:r>
      <w:r w:rsidR="009507A7">
        <w:rPr>
          <w:b w:val="0"/>
          <w:bCs w:val="0"/>
        </w:rPr>
        <w:t xml:space="preserve">.  My testimony will present a solution to normalize these costs for </w:t>
      </w:r>
      <w:r w:rsidR="009507A7" w:rsidRPr="000D0E4C">
        <w:rPr>
          <w:b w:val="0"/>
          <w:bCs w:val="0"/>
          <w:u w:val="single"/>
        </w:rPr>
        <w:t>both</w:t>
      </w:r>
      <w:r w:rsidR="009507A7">
        <w:rPr>
          <w:b w:val="0"/>
          <w:bCs w:val="0"/>
        </w:rPr>
        <w:t xml:space="preserve"> customers and the Company, at no additional cost to customers.</w:t>
      </w:r>
    </w:p>
    <w:p w:rsidR="00AC7B5B" w:rsidRDefault="00AC7B5B" w:rsidP="004C615D">
      <w:pPr>
        <w:pStyle w:val="BodyText"/>
        <w:tabs>
          <w:tab w:val="left" w:pos="720"/>
        </w:tabs>
        <w:spacing w:line="240" w:lineRule="auto"/>
        <w:ind w:right="-58" w:firstLine="720"/>
        <w:jc w:val="both"/>
        <w:rPr>
          <w:b w:val="0"/>
          <w:bCs w:val="0"/>
        </w:rPr>
      </w:pPr>
    </w:p>
    <w:p w:rsidR="0098683F" w:rsidRPr="002F5970" w:rsidRDefault="0098683F" w:rsidP="004C615D">
      <w:pPr>
        <w:pStyle w:val="BodyText"/>
        <w:tabs>
          <w:tab w:val="left" w:pos="720"/>
        </w:tabs>
        <w:spacing w:line="240" w:lineRule="auto"/>
        <w:ind w:right="-58"/>
        <w:jc w:val="both"/>
        <w:rPr>
          <w:bCs w:val="0"/>
          <w:u w:val="single"/>
        </w:rPr>
      </w:pPr>
      <w:r>
        <w:rPr>
          <w:bCs w:val="0"/>
          <w:u w:val="single"/>
        </w:rPr>
        <w:t>Project Compass</w:t>
      </w:r>
    </w:p>
    <w:p w:rsidR="0098683F" w:rsidRDefault="00EB2427" w:rsidP="00764834">
      <w:pPr>
        <w:pStyle w:val="BodyText"/>
        <w:tabs>
          <w:tab w:val="left" w:pos="720"/>
        </w:tabs>
        <w:spacing w:line="240" w:lineRule="auto"/>
        <w:ind w:left="720" w:right="-58"/>
        <w:jc w:val="both"/>
        <w:rPr>
          <w:b w:val="0"/>
          <w:bCs w:val="0"/>
        </w:rPr>
      </w:pPr>
      <w:r>
        <w:rPr>
          <w:b w:val="0"/>
          <w:bCs w:val="0"/>
        </w:rPr>
        <w:t>Staff</w:t>
      </w:r>
      <w:r w:rsidR="00576443">
        <w:rPr>
          <w:b w:val="0"/>
          <w:bCs w:val="0"/>
        </w:rPr>
        <w:t xml:space="preserve"> witness Mr. Gomez recommends a disallowance of </w:t>
      </w:r>
      <w:r w:rsidR="00764834">
        <w:rPr>
          <w:b w:val="0"/>
          <w:bCs w:val="0"/>
        </w:rPr>
        <w:t>a portion of the implementation costs of Avista’s new Customer Care and Bil</w:t>
      </w:r>
      <w:r w:rsidR="00FE43AE">
        <w:rPr>
          <w:b w:val="0"/>
          <w:bCs w:val="0"/>
        </w:rPr>
        <w:t xml:space="preserve">ling System (Project Compass).  In </w:t>
      </w:r>
      <w:r w:rsidR="009175C0">
        <w:rPr>
          <w:b w:val="0"/>
          <w:bCs w:val="0"/>
        </w:rPr>
        <w:t xml:space="preserve">Company witness </w:t>
      </w:r>
      <w:r w:rsidR="00FE43AE">
        <w:rPr>
          <w:b w:val="0"/>
          <w:bCs w:val="0"/>
        </w:rPr>
        <w:t>Mr. Kensok’s rebuttal testimony, he responds to the testimony of Mr. Gomez, and demonstrates that Avista’s investment in Project Compass was prudently incurred and should be fully recovered.</w:t>
      </w:r>
    </w:p>
    <w:p w:rsidR="00FE43AE" w:rsidRDefault="00FE43AE" w:rsidP="00764834">
      <w:pPr>
        <w:pStyle w:val="BodyText"/>
        <w:tabs>
          <w:tab w:val="left" w:pos="720"/>
        </w:tabs>
        <w:spacing w:line="240" w:lineRule="auto"/>
        <w:ind w:left="720" w:right="-58"/>
        <w:jc w:val="both"/>
        <w:rPr>
          <w:b w:val="0"/>
          <w:bCs w:val="0"/>
        </w:rPr>
      </w:pPr>
    </w:p>
    <w:p w:rsidR="00E75B5A" w:rsidRPr="00B927C1" w:rsidRDefault="00C3057C" w:rsidP="00532E9B">
      <w:pPr>
        <w:pStyle w:val="BodyText"/>
        <w:tabs>
          <w:tab w:val="left" w:pos="720"/>
        </w:tabs>
        <w:spacing w:line="240" w:lineRule="auto"/>
        <w:ind w:right="-58"/>
        <w:jc w:val="both"/>
        <w:rPr>
          <w:bCs w:val="0"/>
          <w:u w:val="single"/>
        </w:rPr>
      </w:pPr>
      <w:r>
        <w:rPr>
          <w:bCs w:val="0"/>
          <w:u w:val="single"/>
        </w:rPr>
        <w:t>Low Income Rate Assistance Program (LIRAP) Funding</w:t>
      </w:r>
    </w:p>
    <w:p w:rsidR="009A65B2" w:rsidRPr="009A65B2" w:rsidRDefault="00660719" w:rsidP="009A65B2">
      <w:pPr>
        <w:pStyle w:val="BodyText"/>
        <w:tabs>
          <w:tab w:val="left" w:pos="720"/>
        </w:tabs>
        <w:spacing w:line="240" w:lineRule="auto"/>
        <w:ind w:left="720" w:right="-58"/>
        <w:jc w:val="both"/>
        <w:rPr>
          <w:b w:val="0"/>
          <w:bCs w:val="0"/>
        </w:rPr>
      </w:pPr>
      <w:r>
        <w:rPr>
          <w:b w:val="0"/>
          <w:bCs w:val="0"/>
        </w:rPr>
        <w:t xml:space="preserve">The </w:t>
      </w:r>
      <w:r w:rsidR="00EB2427">
        <w:rPr>
          <w:b w:val="0"/>
          <w:bCs w:val="0"/>
        </w:rPr>
        <w:t>Staff</w:t>
      </w:r>
      <w:r>
        <w:rPr>
          <w:b w:val="0"/>
          <w:bCs w:val="0"/>
        </w:rPr>
        <w:t xml:space="preserve">, Public Counsel and the Energy Project proposed variations of a multi-year increase in funding for Avista’s Low Income Rate Assistance Program (LIRAP).  </w:t>
      </w:r>
      <w:r w:rsidR="009175C0">
        <w:rPr>
          <w:b w:val="0"/>
          <w:bCs w:val="0"/>
        </w:rPr>
        <w:t xml:space="preserve">Company witness </w:t>
      </w:r>
      <w:r>
        <w:rPr>
          <w:b w:val="0"/>
          <w:bCs w:val="0"/>
        </w:rPr>
        <w:t>Mr. Ehrbar will explain Avista’s support for a multi-year increase in funding for LIRAP, with certain modifications to the proposals presented by these parties.</w:t>
      </w:r>
      <w:r w:rsidR="009A65B2">
        <w:rPr>
          <w:b w:val="0"/>
          <w:bCs w:val="0"/>
        </w:rPr>
        <w:br w:type="page"/>
      </w:r>
    </w:p>
    <w:p w:rsidR="00A33C91" w:rsidRDefault="00595448" w:rsidP="00595448">
      <w:pPr>
        <w:pStyle w:val="BodyText"/>
        <w:tabs>
          <w:tab w:val="left" w:pos="720"/>
        </w:tabs>
        <w:spacing w:line="480" w:lineRule="auto"/>
        <w:ind w:right="-54" w:firstLine="720"/>
        <w:jc w:val="both"/>
        <w:rPr>
          <w:b w:val="0"/>
          <w:bCs w:val="0"/>
        </w:rPr>
      </w:pPr>
      <w:r>
        <w:rPr>
          <w:b w:val="0"/>
          <w:bCs w:val="0"/>
        </w:rPr>
        <w:lastRenderedPageBreak/>
        <w:t xml:space="preserve">In addition to the </w:t>
      </w:r>
      <w:r w:rsidR="000D0E4C">
        <w:rPr>
          <w:b w:val="0"/>
          <w:bCs w:val="0"/>
        </w:rPr>
        <w:t>core</w:t>
      </w:r>
      <w:r>
        <w:rPr>
          <w:b w:val="0"/>
          <w:bCs w:val="0"/>
        </w:rPr>
        <w:t xml:space="preserve"> issues identified above, I will </w:t>
      </w:r>
      <w:r w:rsidR="000D0E4C">
        <w:rPr>
          <w:b w:val="0"/>
          <w:bCs w:val="0"/>
        </w:rPr>
        <w:t>offer</w:t>
      </w:r>
      <w:r>
        <w:rPr>
          <w:b w:val="0"/>
          <w:bCs w:val="0"/>
        </w:rPr>
        <w:t xml:space="preserve"> some initial comments in response to the testimony of </w:t>
      </w:r>
      <w:r w:rsidR="00EB2427">
        <w:rPr>
          <w:b w:val="0"/>
          <w:bCs w:val="0"/>
        </w:rPr>
        <w:t>Staff</w:t>
      </w:r>
      <w:r>
        <w:rPr>
          <w:b w:val="0"/>
          <w:bCs w:val="0"/>
        </w:rPr>
        <w:t xml:space="preserve"> and intervenors.  </w:t>
      </w:r>
      <w:r w:rsidR="00DB6EDE">
        <w:rPr>
          <w:b w:val="0"/>
          <w:bCs w:val="0"/>
        </w:rPr>
        <w:t>I will also respond to testimony</w:t>
      </w:r>
      <w:r>
        <w:rPr>
          <w:b w:val="0"/>
          <w:bCs w:val="0"/>
        </w:rPr>
        <w:t xml:space="preserve"> related to Avista</w:t>
      </w:r>
      <w:r w:rsidR="000D0E4C">
        <w:rPr>
          <w:b w:val="0"/>
          <w:bCs w:val="0"/>
        </w:rPr>
        <w:t>’s</w:t>
      </w:r>
      <w:r>
        <w:rPr>
          <w:b w:val="0"/>
          <w:bCs w:val="0"/>
        </w:rPr>
        <w:t xml:space="preserve"> efforts to control costs.  </w:t>
      </w:r>
      <w:r w:rsidR="004D7E25">
        <w:rPr>
          <w:b w:val="0"/>
          <w:bCs w:val="0"/>
        </w:rPr>
        <w:t>I will close with an i</w:t>
      </w:r>
      <w:r w:rsidR="00A33C91">
        <w:rPr>
          <w:b w:val="0"/>
          <w:bCs w:val="0"/>
        </w:rPr>
        <w:t>ntroduction of other witnesses</w:t>
      </w:r>
      <w:r w:rsidR="004D7E25">
        <w:rPr>
          <w:b w:val="0"/>
          <w:bCs w:val="0"/>
        </w:rPr>
        <w:t xml:space="preserve"> sponsoring rebuttal testimony on behalf of Avista, including identification of the topic areas each will cover.</w:t>
      </w:r>
    </w:p>
    <w:p w:rsidR="00595448" w:rsidRDefault="00595448" w:rsidP="00595448">
      <w:pPr>
        <w:pStyle w:val="BodyText"/>
        <w:tabs>
          <w:tab w:val="left" w:pos="720"/>
        </w:tabs>
        <w:spacing w:line="480" w:lineRule="auto"/>
        <w:ind w:right="-54" w:firstLine="720"/>
        <w:jc w:val="both"/>
        <w:rPr>
          <w:b w:val="0"/>
          <w:bCs w:val="0"/>
        </w:rPr>
      </w:pPr>
      <w:r>
        <w:rPr>
          <w:b w:val="0"/>
          <w:bCs w:val="0"/>
        </w:rPr>
        <w:t>A table of contents for my testimony is as follows:</w:t>
      </w:r>
    </w:p>
    <w:p w:rsidR="009175C0" w:rsidRPr="007B58C5" w:rsidRDefault="009175C0" w:rsidP="009175C0">
      <w:pPr>
        <w:pStyle w:val="Heading1"/>
        <w:tabs>
          <w:tab w:val="left" w:pos="810"/>
          <w:tab w:val="left" w:pos="1440"/>
        </w:tabs>
        <w:ind w:right="-720" w:firstLine="720"/>
        <w:rPr>
          <w:b w:val="0"/>
          <w:u w:val="single"/>
        </w:rPr>
      </w:pPr>
      <w:r>
        <w:rPr>
          <w:b w:val="0"/>
          <w:u w:val="single"/>
        </w:rPr>
        <w:t>Description</w:t>
      </w:r>
      <w:r>
        <w:rPr>
          <w:b w:val="0"/>
          <w:u w:val="single"/>
        </w:rPr>
        <w:tab/>
      </w:r>
      <w:r>
        <w:rPr>
          <w:b w:val="0"/>
          <w:u w:val="single"/>
        </w:rPr>
        <w:tab/>
      </w:r>
      <w:r>
        <w:rPr>
          <w:b w:val="0"/>
          <w:u w:val="single"/>
        </w:rPr>
        <w:tab/>
        <w:t>Page</w:t>
      </w:r>
      <w:r>
        <w:rPr>
          <w:b w:val="0"/>
          <w:u w:val="single"/>
        </w:rPr>
        <w:tab/>
      </w:r>
    </w:p>
    <w:p w:rsidR="009175C0" w:rsidRPr="00593603" w:rsidRDefault="009175C0" w:rsidP="009175C0">
      <w:pPr>
        <w:numPr>
          <w:ilvl w:val="0"/>
          <w:numId w:val="18"/>
        </w:numPr>
        <w:tabs>
          <w:tab w:val="left" w:pos="810"/>
          <w:tab w:val="left" w:pos="1440"/>
          <w:tab w:val="left" w:pos="6120"/>
          <w:tab w:val="left" w:pos="7920"/>
        </w:tabs>
        <w:suppressAutoHyphens w:val="0"/>
        <w:autoSpaceDN w:val="0"/>
        <w:spacing w:line="360" w:lineRule="auto"/>
        <w:ind w:right="-720"/>
        <w:rPr>
          <w:bCs/>
          <w:szCs w:val="22"/>
        </w:rPr>
      </w:pPr>
      <w:r w:rsidRPr="00916D0F">
        <w:rPr>
          <w:bCs/>
          <w:szCs w:val="22"/>
        </w:rPr>
        <w:t>Introduction</w:t>
      </w:r>
      <w:r w:rsidRPr="00916D0F">
        <w:rPr>
          <w:bCs/>
          <w:szCs w:val="22"/>
        </w:rPr>
        <w:tab/>
      </w:r>
      <w:r w:rsidRPr="00916D0F">
        <w:rPr>
          <w:bCs/>
          <w:szCs w:val="22"/>
        </w:rPr>
        <w:tab/>
      </w:r>
      <w:r w:rsidRPr="0061606F">
        <w:rPr>
          <w:bCs/>
          <w:szCs w:val="22"/>
        </w:rPr>
        <w:t xml:space="preserve"> 1</w:t>
      </w:r>
    </w:p>
    <w:p w:rsidR="009175C0" w:rsidRPr="003E2C1F" w:rsidRDefault="009175C0" w:rsidP="009175C0">
      <w:pPr>
        <w:numPr>
          <w:ilvl w:val="0"/>
          <w:numId w:val="18"/>
        </w:numPr>
        <w:tabs>
          <w:tab w:val="right" w:pos="810"/>
          <w:tab w:val="left" w:pos="1440"/>
          <w:tab w:val="left" w:pos="6120"/>
          <w:tab w:val="left" w:pos="7920"/>
          <w:tab w:val="left" w:pos="8100"/>
        </w:tabs>
        <w:suppressAutoHyphens w:val="0"/>
        <w:autoSpaceDN w:val="0"/>
        <w:spacing w:line="360" w:lineRule="auto"/>
        <w:ind w:right="-720"/>
        <w:rPr>
          <w:bCs/>
          <w:szCs w:val="22"/>
        </w:rPr>
      </w:pPr>
      <w:r>
        <w:rPr>
          <w:bCs/>
          <w:szCs w:val="22"/>
        </w:rPr>
        <w:t>Initial Comments</w:t>
      </w:r>
      <w:r w:rsidRPr="003E2C1F">
        <w:rPr>
          <w:bCs/>
          <w:szCs w:val="22"/>
        </w:rPr>
        <w:tab/>
        <w:t xml:space="preserve"> </w:t>
      </w:r>
      <w:r w:rsidRPr="003E2C1F">
        <w:rPr>
          <w:bCs/>
          <w:szCs w:val="22"/>
        </w:rPr>
        <w:tab/>
      </w:r>
      <w:r>
        <w:rPr>
          <w:bCs/>
          <w:szCs w:val="22"/>
        </w:rPr>
        <w:t xml:space="preserve"> </w:t>
      </w:r>
      <w:r w:rsidR="009F0F42">
        <w:rPr>
          <w:bCs/>
          <w:szCs w:val="22"/>
        </w:rPr>
        <w:t>5</w:t>
      </w:r>
    </w:p>
    <w:p w:rsidR="009175C0" w:rsidRDefault="009175C0" w:rsidP="009175C0">
      <w:pPr>
        <w:numPr>
          <w:ilvl w:val="0"/>
          <w:numId w:val="18"/>
        </w:numPr>
        <w:tabs>
          <w:tab w:val="left" w:pos="1440"/>
        </w:tabs>
        <w:suppressAutoHyphens w:val="0"/>
        <w:autoSpaceDN w:val="0"/>
        <w:ind w:right="-720"/>
        <w:rPr>
          <w:bCs/>
          <w:szCs w:val="22"/>
        </w:rPr>
      </w:pPr>
      <w:r>
        <w:rPr>
          <w:bCs/>
          <w:szCs w:val="22"/>
        </w:rPr>
        <w:t xml:space="preserve">Attrition vs. Modified Historical Test Period with Limited Pro </w:t>
      </w:r>
    </w:p>
    <w:p w:rsidR="009175C0" w:rsidRDefault="009175C0" w:rsidP="009175C0">
      <w:pPr>
        <w:tabs>
          <w:tab w:val="left" w:pos="1440"/>
        </w:tabs>
        <w:suppressAutoHyphens w:val="0"/>
        <w:autoSpaceDN w:val="0"/>
        <w:ind w:left="720" w:right="-720"/>
        <w:rPr>
          <w:bCs/>
          <w:szCs w:val="22"/>
        </w:rPr>
      </w:pPr>
      <w:r>
        <w:rPr>
          <w:bCs/>
          <w:szCs w:val="22"/>
        </w:rPr>
        <w:tab/>
        <w:t xml:space="preserve">Forma Adjustments </w:t>
      </w:r>
      <w:r w:rsidRPr="003E2C1F">
        <w:rPr>
          <w:bCs/>
          <w:szCs w:val="22"/>
        </w:rPr>
        <w:tab/>
      </w:r>
      <w:r>
        <w:rPr>
          <w:bCs/>
          <w:szCs w:val="22"/>
        </w:rPr>
        <w:tab/>
      </w:r>
      <w:r w:rsidRPr="003E2C1F">
        <w:rPr>
          <w:bCs/>
          <w:szCs w:val="22"/>
        </w:rPr>
        <w:tab/>
      </w:r>
      <w:r w:rsidRPr="003E2C1F">
        <w:rPr>
          <w:bCs/>
          <w:szCs w:val="22"/>
        </w:rPr>
        <w:tab/>
      </w:r>
      <w:r w:rsidRPr="003E2C1F">
        <w:rPr>
          <w:bCs/>
          <w:szCs w:val="22"/>
        </w:rPr>
        <w:tab/>
      </w:r>
      <w:r>
        <w:rPr>
          <w:bCs/>
          <w:szCs w:val="22"/>
        </w:rPr>
        <w:tab/>
      </w:r>
      <w:r>
        <w:rPr>
          <w:bCs/>
          <w:szCs w:val="22"/>
        </w:rPr>
        <w:tab/>
      </w:r>
      <w:r w:rsidR="002434C6">
        <w:rPr>
          <w:bCs/>
          <w:szCs w:val="22"/>
        </w:rPr>
        <w:t>18</w:t>
      </w:r>
    </w:p>
    <w:p w:rsidR="009175C0" w:rsidRPr="003E2C1F" w:rsidRDefault="009175C0" w:rsidP="009175C0">
      <w:pPr>
        <w:tabs>
          <w:tab w:val="left" w:pos="1440"/>
        </w:tabs>
        <w:suppressAutoHyphens w:val="0"/>
        <w:autoSpaceDN w:val="0"/>
        <w:ind w:left="720" w:right="-720"/>
        <w:rPr>
          <w:bCs/>
          <w:szCs w:val="22"/>
        </w:rPr>
      </w:pPr>
    </w:p>
    <w:p w:rsidR="009175C0" w:rsidRDefault="009175C0" w:rsidP="009175C0">
      <w:pPr>
        <w:numPr>
          <w:ilvl w:val="0"/>
          <w:numId w:val="18"/>
        </w:numPr>
        <w:tabs>
          <w:tab w:val="left" w:pos="1440"/>
        </w:tabs>
        <w:suppressAutoHyphens w:val="0"/>
        <w:autoSpaceDN w:val="0"/>
        <w:spacing w:line="360" w:lineRule="auto"/>
        <w:ind w:right="-720"/>
        <w:rPr>
          <w:bCs/>
          <w:szCs w:val="22"/>
        </w:rPr>
      </w:pPr>
      <w:r>
        <w:rPr>
          <w:bCs/>
          <w:szCs w:val="22"/>
        </w:rPr>
        <w:t>Updated Revenue Requirements</w:t>
      </w:r>
      <w:r>
        <w:rPr>
          <w:bCs/>
          <w:szCs w:val="22"/>
        </w:rPr>
        <w:tab/>
      </w:r>
      <w:r>
        <w:rPr>
          <w:bCs/>
          <w:szCs w:val="22"/>
        </w:rPr>
        <w:tab/>
      </w:r>
      <w:r>
        <w:rPr>
          <w:bCs/>
          <w:szCs w:val="22"/>
        </w:rPr>
        <w:tab/>
      </w:r>
      <w:r>
        <w:rPr>
          <w:bCs/>
          <w:szCs w:val="22"/>
        </w:rPr>
        <w:tab/>
      </w:r>
      <w:r w:rsidRPr="003E2C1F">
        <w:rPr>
          <w:bCs/>
          <w:szCs w:val="22"/>
        </w:rPr>
        <w:tab/>
      </w:r>
      <w:r w:rsidR="002434C6">
        <w:rPr>
          <w:bCs/>
          <w:szCs w:val="22"/>
        </w:rPr>
        <w:t>3</w:t>
      </w:r>
      <w:r w:rsidR="009A65B2">
        <w:rPr>
          <w:bCs/>
          <w:szCs w:val="22"/>
        </w:rPr>
        <w:t>3</w:t>
      </w:r>
    </w:p>
    <w:p w:rsidR="009175C0" w:rsidRPr="009A65B2" w:rsidRDefault="009175C0" w:rsidP="009A65B2">
      <w:pPr>
        <w:numPr>
          <w:ilvl w:val="0"/>
          <w:numId w:val="18"/>
        </w:numPr>
        <w:tabs>
          <w:tab w:val="left" w:pos="1440"/>
        </w:tabs>
        <w:suppressAutoHyphens w:val="0"/>
        <w:autoSpaceDN w:val="0"/>
        <w:spacing w:line="360" w:lineRule="auto"/>
        <w:ind w:right="-720"/>
        <w:jc w:val="both"/>
        <w:rPr>
          <w:bCs/>
        </w:rPr>
      </w:pPr>
      <w:r w:rsidRPr="009A65B2">
        <w:rPr>
          <w:bCs/>
        </w:rPr>
        <w:t>Advanced Met</w:t>
      </w:r>
      <w:r w:rsidR="002434C6" w:rsidRPr="009A65B2">
        <w:rPr>
          <w:bCs/>
        </w:rPr>
        <w:t>ering Infrastructure (AMI)</w:t>
      </w:r>
      <w:r w:rsidR="002434C6" w:rsidRPr="009A65B2">
        <w:rPr>
          <w:bCs/>
        </w:rPr>
        <w:tab/>
      </w:r>
      <w:r w:rsidR="002434C6" w:rsidRPr="009A65B2">
        <w:rPr>
          <w:bCs/>
        </w:rPr>
        <w:tab/>
      </w:r>
      <w:r w:rsidR="002434C6" w:rsidRPr="009A65B2">
        <w:rPr>
          <w:bCs/>
        </w:rPr>
        <w:tab/>
      </w:r>
      <w:r w:rsidR="002434C6" w:rsidRPr="009A65B2">
        <w:rPr>
          <w:bCs/>
        </w:rPr>
        <w:tab/>
      </w:r>
      <w:r w:rsidR="0080494D" w:rsidRPr="009A65B2">
        <w:rPr>
          <w:bCs/>
        </w:rPr>
        <w:t>3</w:t>
      </w:r>
      <w:r w:rsidR="009A65B2">
        <w:rPr>
          <w:bCs/>
        </w:rPr>
        <w:t>8</w:t>
      </w:r>
    </w:p>
    <w:p w:rsidR="0080494D" w:rsidRPr="009A65B2" w:rsidRDefault="0080494D" w:rsidP="009A65B2">
      <w:pPr>
        <w:numPr>
          <w:ilvl w:val="0"/>
          <w:numId w:val="18"/>
        </w:numPr>
        <w:tabs>
          <w:tab w:val="left" w:pos="1440"/>
        </w:tabs>
        <w:suppressAutoHyphens w:val="0"/>
        <w:autoSpaceDN w:val="0"/>
        <w:spacing w:line="360" w:lineRule="auto"/>
        <w:ind w:right="-720"/>
        <w:jc w:val="both"/>
        <w:rPr>
          <w:bCs/>
        </w:rPr>
      </w:pPr>
      <w:r w:rsidRPr="009A65B2">
        <w:rPr>
          <w:bCs/>
        </w:rPr>
        <w:t>Normalization of “Hours-Based” Thermal Maintenance</w:t>
      </w:r>
      <w:r w:rsidRPr="009A65B2">
        <w:rPr>
          <w:bCs/>
        </w:rPr>
        <w:tab/>
      </w:r>
      <w:r w:rsidRPr="009A65B2">
        <w:rPr>
          <w:bCs/>
        </w:rPr>
        <w:tab/>
        <w:t>4</w:t>
      </w:r>
      <w:r w:rsidR="009A65B2">
        <w:rPr>
          <w:bCs/>
        </w:rPr>
        <w:t>2</w:t>
      </w:r>
    </w:p>
    <w:p w:rsidR="009175C0" w:rsidRPr="009A65B2" w:rsidRDefault="002434C6" w:rsidP="009A65B2">
      <w:pPr>
        <w:numPr>
          <w:ilvl w:val="0"/>
          <w:numId w:val="18"/>
        </w:numPr>
        <w:tabs>
          <w:tab w:val="left" w:pos="1440"/>
        </w:tabs>
        <w:suppressAutoHyphens w:val="0"/>
        <w:autoSpaceDN w:val="0"/>
        <w:spacing w:line="360" w:lineRule="auto"/>
        <w:ind w:right="-720"/>
        <w:jc w:val="both"/>
        <w:rPr>
          <w:bCs/>
        </w:rPr>
      </w:pPr>
      <w:r w:rsidRPr="009A65B2">
        <w:rPr>
          <w:bCs/>
        </w:rPr>
        <w:t>Other Company Witnesses</w:t>
      </w:r>
      <w:r w:rsidRPr="009A65B2">
        <w:rPr>
          <w:bCs/>
        </w:rPr>
        <w:tab/>
      </w:r>
      <w:r w:rsidRPr="009A65B2">
        <w:rPr>
          <w:bCs/>
        </w:rPr>
        <w:tab/>
      </w:r>
      <w:r w:rsidRPr="009A65B2">
        <w:rPr>
          <w:bCs/>
        </w:rPr>
        <w:tab/>
      </w:r>
      <w:r w:rsidRPr="009A65B2">
        <w:rPr>
          <w:bCs/>
        </w:rPr>
        <w:tab/>
      </w:r>
      <w:r w:rsidRPr="009A65B2">
        <w:rPr>
          <w:bCs/>
        </w:rPr>
        <w:tab/>
      </w:r>
      <w:r w:rsidRPr="009A65B2">
        <w:rPr>
          <w:bCs/>
        </w:rPr>
        <w:tab/>
        <w:t>4</w:t>
      </w:r>
      <w:r w:rsidR="009A65B2">
        <w:rPr>
          <w:bCs/>
        </w:rPr>
        <w:t>8</w:t>
      </w:r>
    </w:p>
    <w:p w:rsidR="009A65B2" w:rsidRPr="009A65B2" w:rsidRDefault="009A65B2" w:rsidP="009A65B2">
      <w:pPr>
        <w:pStyle w:val="P106"/>
        <w:jc w:val="both"/>
        <w:rPr>
          <w:rStyle w:val="T11"/>
          <w:rFonts w:ascii="Times New Roman" w:hAnsi="Times New Roman" w:cs="Times New Roman"/>
          <w:szCs w:val="24"/>
        </w:rPr>
      </w:pPr>
    </w:p>
    <w:p w:rsidR="009A65B2" w:rsidRPr="009A65B2" w:rsidRDefault="009175C0" w:rsidP="009A65B2">
      <w:pPr>
        <w:pStyle w:val="P106"/>
        <w:jc w:val="both"/>
        <w:rPr>
          <w:rStyle w:val="T11"/>
          <w:rFonts w:ascii="Times New Roman" w:hAnsi="Times New Roman" w:cs="Times New Roman"/>
          <w:szCs w:val="24"/>
        </w:rPr>
      </w:pPr>
      <w:r w:rsidRPr="009A65B2">
        <w:rPr>
          <w:rStyle w:val="T11"/>
          <w:rFonts w:ascii="Times New Roman" w:hAnsi="Times New Roman" w:cs="Times New Roman"/>
          <w:szCs w:val="24"/>
        </w:rPr>
        <w:t>Q.</w:t>
      </w:r>
      <w:r w:rsidRPr="009A65B2">
        <w:rPr>
          <w:rStyle w:val="T11"/>
          <w:rFonts w:ascii="Times New Roman" w:hAnsi="Times New Roman" w:cs="Times New Roman"/>
          <w:szCs w:val="24"/>
        </w:rPr>
        <w:tab/>
        <w:t>Are you sponsoring any exhibits that accompany your testimony?</w:t>
      </w:r>
    </w:p>
    <w:p w:rsidR="009A65B2" w:rsidRPr="009A65B2" w:rsidRDefault="009175C0" w:rsidP="009A65B2">
      <w:pPr>
        <w:pStyle w:val="P106"/>
        <w:jc w:val="both"/>
        <w:rPr>
          <w:rFonts w:ascii="Times New Roman" w:hAnsi="Times New Roman" w:cs="Times New Roman"/>
          <w:szCs w:val="24"/>
        </w:rPr>
      </w:pPr>
      <w:r w:rsidRPr="009A65B2">
        <w:rPr>
          <w:rFonts w:ascii="Times New Roman" w:hAnsi="Times New Roman" w:cs="Times New Roman"/>
          <w:szCs w:val="24"/>
        </w:rPr>
        <w:t>A.</w:t>
      </w:r>
      <w:r w:rsidRPr="009A65B2">
        <w:rPr>
          <w:rFonts w:ascii="Times New Roman" w:hAnsi="Times New Roman" w:cs="Times New Roman"/>
          <w:szCs w:val="24"/>
        </w:rPr>
        <w:tab/>
        <w:t>Yes.  I am sponsoring Exhibit Nos.___(KON-2) and (KON-3).  Exhibit No.___(KON-2) is a copy of the January 2014 Standard and Poor</w:t>
      </w:r>
      <w:r w:rsidR="00025892" w:rsidRPr="009A65B2">
        <w:rPr>
          <w:rFonts w:ascii="Times New Roman" w:hAnsi="Times New Roman" w:cs="Times New Roman"/>
          <w:szCs w:val="24"/>
        </w:rPr>
        <w:t>’s Ratings Services “Utility Regulatory Assessments for U.S. Investor-Owned Utilities</w:t>
      </w:r>
      <w:r w:rsidR="00CC4A43" w:rsidRPr="009A65B2">
        <w:rPr>
          <w:rFonts w:ascii="Times New Roman" w:hAnsi="Times New Roman" w:cs="Times New Roman"/>
          <w:szCs w:val="24"/>
        </w:rPr>
        <w:t xml:space="preserve">”.  </w:t>
      </w:r>
      <w:r w:rsidRPr="009A65B2">
        <w:rPr>
          <w:rFonts w:ascii="Times New Roman" w:hAnsi="Times New Roman" w:cs="Times New Roman"/>
          <w:szCs w:val="24"/>
        </w:rPr>
        <w:t xml:space="preserve">Exhibit No.___(KON-3) is </w:t>
      </w:r>
      <w:r w:rsidR="00EE30E9" w:rsidRPr="009A65B2">
        <w:rPr>
          <w:rFonts w:ascii="Times New Roman" w:hAnsi="Times New Roman" w:cs="Times New Roman"/>
          <w:szCs w:val="24"/>
        </w:rPr>
        <w:t xml:space="preserve">a </w:t>
      </w:r>
      <w:r w:rsidR="006023DC" w:rsidRPr="009A65B2">
        <w:rPr>
          <w:rFonts w:ascii="Times New Roman" w:hAnsi="Times New Roman" w:cs="Times New Roman"/>
          <w:szCs w:val="24"/>
        </w:rPr>
        <w:t>tabulation of a sample</w:t>
      </w:r>
      <w:r w:rsidR="00EE30E9" w:rsidRPr="009A65B2">
        <w:rPr>
          <w:rFonts w:ascii="Times New Roman" w:hAnsi="Times New Roman" w:cs="Times New Roman"/>
          <w:szCs w:val="24"/>
        </w:rPr>
        <w:t xml:space="preserve"> of the hundred</w:t>
      </w:r>
      <w:r w:rsidR="00CC4A43" w:rsidRPr="009A65B2">
        <w:rPr>
          <w:rFonts w:ascii="Times New Roman" w:hAnsi="Times New Roman" w:cs="Times New Roman"/>
          <w:szCs w:val="24"/>
        </w:rPr>
        <w:t>s</w:t>
      </w:r>
      <w:r w:rsidR="00EE30E9" w:rsidRPr="009A65B2">
        <w:rPr>
          <w:rFonts w:ascii="Times New Roman" w:hAnsi="Times New Roman" w:cs="Times New Roman"/>
          <w:szCs w:val="24"/>
        </w:rPr>
        <w:t xml:space="preserve"> of compliance and reporting requirements </w:t>
      </w:r>
      <w:r w:rsidR="006023DC" w:rsidRPr="009A65B2">
        <w:rPr>
          <w:rFonts w:ascii="Times New Roman" w:hAnsi="Times New Roman" w:cs="Times New Roman"/>
          <w:szCs w:val="24"/>
        </w:rPr>
        <w:t xml:space="preserve">of </w:t>
      </w:r>
      <w:r w:rsidR="00EE30E9" w:rsidRPr="009A65B2">
        <w:rPr>
          <w:rFonts w:ascii="Times New Roman" w:hAnsi="Times New Roman" w:cs="Times New Roman"/>
          <w:szCs w:val="24"/>
        </w:rPr>
        <w:t>Avista</w:t>
      </w:r>
      <w:r w:rsidR="006023DC" w:rsidRPr="009A65B2">
        <w:rPr>
          <w:rFonts w:ascii="Times New Roman" w:hAnsi="Times New Roman" w:cs="Times New Roman"/>
          <w:szCs w:val="24"/>
        </w:rPr>
        <w:t>.</w:t>
      </w:r>
      <w:r w:rsidRPr="009A65B2">
        <w:rPr>
          <w:rFonts w:ascii="Times New Roman" w:hAnsi="Times New Roman" w:cs="Times New Roman"/>
          <w:szCs w:val="24"/>
        </w:rPr>
        <w:t xml:space="preserve">  </w:t>
      </w:r>
      <w:r w:rsidR="00CC4A43" w:rsidRPr="009A65B2">
        <w:rPr>
          <w:rFonts w:ascii="Times New Roman" w:hAnsi="Times New Roman" w:cs="Times New Roman"/>
          <w:szCs w:val="24"/>
        </w:rPr>
        <w:t>These exhibits will be discussed later in my testimony.</w:t>
      </w:r>
      <w:r w:rsidR="009A65B2">
        <w:rPr>
          <w:rFonts w:ascii="Times New Roman" w:hAnsi="Times New Roman" w:cs="Times New Roman"/>
          <w:szCs w:val="24"/>
        </w:rPr>
        <w:br w:type="page"/>
      </w:r>
    </w:p>
    <w:p w:rsidR="00CB6C1E" w:rsidRPr="00F540CD" w:rsidRDefault="00CB6C1E" w:rsidP="00867849">
      <w:pPr>
        <w:pStyle w:val="Heading5"/>
        <w:numPr>
          <w:ilvl w:val="0"/>
          <w:numId w:val="0"/>
        </w:numPr>
        <w:ind w:right="-54"/>
        <w:rPr>
          <w:rStyle w:val="PageNumber"/>
          <w:u w:val="single"/>
        </w:rPr>
      </w:pPr>
      <w:r w:rsidRPr="00F540CD">
        <w:rPr>
          <w:rStyle w:val="PageNumber"/>
          <w:u w:val="single"/>
        </w:rPr>
        <w:lastRenderedPageBreak/>
        <w:t>I</w:t>
      </w:r>
      <w:r>
        <w:rPr>
          <w:rStyle w:val="PageNumber"/>
          <w:u w:val="single"/>
        </w:rPr>
        <w:t>I.  INITIAL COMMENTS</w:t>
      </w:r>
    </w:p>
    <w:p w:rsidR="00D726C2" w:rsidRDefault="004D7E25" w:rsidP="00867849">
      <w:pPr>
        <w:pStyle w:val="BodyText"/>
        <w:tabs>
          <w:tab w:val="left" w:pos="720"/>
        </w:tabs>
        <w:spacing w:line="480" w:lineRule="auto"/>
        <w:ind w:right="-54"/>
        <w:jc w:val="both"/>
        <w:rPr>
          <w:bCs w:val="0"/>
        </w:rPr>
      </w:pPr>
      <w:r>
        <w:rPr>
          <w:bCs w:val="0"/>
        </w:rPr>
        <w:tab/>
        <w:t>Q.</w:t>
      </w:r>
      <w:r>
        <w:rPr>
          <w:bCs w:val="0"/>
        </w:rPr>
        <w:tab/>
        <w:t>What i</w:t>
      </w:r>
      <w:r w:rsidR="00D726C2">
        <w:rPr>
          <w:bCs w:val="0"/>
        </w:rPr>
        <w:t>nitial comments</w:t>
      </w:r>
      <w:r>
        <w:rPr>
          <w:bCs w:val="0"/>
        </w:rPr>
        <w:t xml:space="preserve"> do you have</w:t>
      </w:r>
      <w:r w:rsidR="00D726C2">
        <w:rPr>
          <w:bCs w:val="0"/>
        </w:rPr>
        <w:t xml:space="preserve"> in response to t</w:t>
      </w:r>
      <w:r w:rsidR="00A95C15">
        <w:rPr>
          <w:bCs w:val="0"/>
        </w:rPr>
        <w:t xml:space="preserve">he testimony filed by </w:t>
      </w:r>
      <w:r w:rsidR="00EB2427">
        <w:rPr>
          <w:bCs w:val="0"/>
        </w:rPr>
        <w:t>Staff</w:t>
      </w:r>
      <w:r w:rsidR="00D726C2">
        <w:rPr>
          <w:bCs w:val="0"/>
        </w:rPr>
        <w:t xml:space="preserve"> and intervenors?</w:t>
      </w:r>
    </w:p>
    <w:p w:rsidR="00177BC9" w:rsidRPr="00177BC9" w:rsidRDefault="00D726C2" w:rsidP="00867849">
      <w:pPr>
        <w:pStyle w:val="BodyText"/>
        <w:tabs>
          <w:tab w:val="left" w:pos="720"/>
        </w:tabs>
        <w:spacing w:line="480" w:lineRule="auto"/>
        <w:ind w:right="-54"/>
        <w:jc w:val="both"/>
        <w:rPr>
          <w:b w:val="0"/>
          <w:bCs w:val="0"/>
        </w:rPr>
      </w:pPr>
      <w:r w:rsidRPr="00177BC9">
        <w:rPr>
          <w:b w:val="0"/>
          <w:bCs w:val="0"/>
        </w:rPr>
        <w:tab/>
        <w:t>A.</w:t>
      </w:r>
      <w:r w:rsidRPr="00177BC9">
        <w:rPr>
          <w:b w:val="0"/>
          <w:bCs w:val="0"/>
        </w:rPr>
        <w:tab/>
      </w:r>
      <w:r w:rsidR="00177BC9" w:rsidRPr="00177BC9">
        <w:rPr>
          <w:b w:val="0"/>
          <w:bCs w:val="0"/>
        </w:rPr>
        <w:t>At the outset</w:t>
      </w:r>
      <w:r w:rsidR="000D0E4C">
        <w:rPr>
          <w:b w:val="0"/>
          <w:bCs w:val="0"/>
        </w:rPr>
        <w:t>,</w:t>
      </w:r>
      <w:r w:rsidR="00A70BF0">
        <w:rPr>
          <w:b w:val="0"/>
          <w:bCs w:val="0"/>
        </w:rPr>
        <w:t xml:space="preserve"> I would like to address three</w:t>
      </w:r>
      <w:r w:rsidR="00177BC9" w:rsidRPr="00177BC9">
        <w:rPr>
          <w:b w:val="0"/>
          <w:bCs w:val="0"/>
        </w:rPr>
        <w:t xml:space="preserve"> areas </w:t>
      </w:r>
      <w:r w:rsidR="00C20874">
        <w:rPr>
          <w:b w:val="0"/>
          <w:bCs w:val="0"/>
        </w:rPr>
        <w:t>where</w:t>
      </w:r>
      <w:r w:rsidR="00775E3C">
        <w:rPr>
          <w:b w:val="0"/>
          <w:bCs w:val="0"/>
        </w:rPr>
        <w:t xml:space="preserve"> the</w:t>
      </w:r>
      <w:r w:rsidR="00A70BF0">
        <w:rPr>
          <w:b w:val="0"/>
          <w:bCs w:val="0"/>
        </w:rPr>
        <w:t>re are</w:t>
      </w:r>
      <w:r w:rsidR="00775E3C">
        <w:rPr>
          <w:b w:val="0"/>
          <w:bCs w:val="0"/>
        </w:rPr>
        <w:t xml:space="preserve"> statements</w:t>
      </w:r>
      <w:r w:rsidR="00177BC9">
        <w:rPr>
          <w:b w:val="0"/>
          <w:bCs w:val="0"/>
        </w:rPr>
        <w:t xml:space="preserve"> </w:t>
      </w:r>
      <w:r w:rsidR="00775E3C">
        <w:rPr>
          <w:b w:val="0"/>
          <w:bCs w:val="0"/>
        </w:rPr>
        <w:t xml:space="preserve">or representations </w:t>
      </w:r>
      <w:r w:rsidR="005C0590">
        <w:rPr>
          <w:b w:val="0"/>
          <w:bCs w:val="0"/>
        </w:rPr>
        <w:t xml:space="preserve">by the </w:t>
      </w:r>
      <w:r w:rsidR="00EB2427">
        <w:rPr>
          <w:b w:val="0"/>
          <w:bCs w:val="0"/>
        </w:rPr>
        <w:t>Staff</w:t>
      </w:r>
      <w:r w:rsidR="00775E3C">
        <w:rPr>
          <w:b w:val="0"/>
          <w:bCs w:val="0"/>
        </w:rPr>
        <w:t xml:space="preserve"> and intervenors</w:t>
      </w:r>
      <w:r w:rsidR="00A70BF0">
        <w:rPr>
          <w:b w:val="0"/>
          <w:bCs w:val="0"/>
        </w:rPr>
        <w:t xml:space="preserve"> that </w:t>
      </w:r>
      <w:r w:rsidR="00775E3C">
        <w:rPr>
          <w:b w:val="0"/>
          <w:bCs w:val="0"/>
        </w:rPr>
        <w:t>are e</w:t>
      </w:r>
      <w:r w:rsidR="00177BC9">
        <w:rPr>
          <w:b w:val="0"/>
          <w:bCs w:val="0"/>
        </w:rPr>
        <w:t xml:space="preserve">ither incorrect or misleading, and </w:t>
      </w:r>
      <w:r w:rsidR="00A70BF0">
        <w:rPr>
          <w:b w:val="0"/>
          <w:bCs w:val="0"/>
        </w:rPr>
        <w:t xml:space="preserve">which </w:t>
      </w:r>
      <w:r w:rsidR="00177BC9">
        <w:rPr>
          <w:b w:val="0"/>
          <w:bCs w:val="0"/>
        </w:rPr>
        <w:t>may cause the reader</w:t>
      </w:r>
      <w:r w:rsidR="00775E3C">
        <w:rPr>
          <w:b w:val="0"/>
          <w:bCs w:val="0"/>
        </w:rPr>
        <w:t>s</w:t>
      </w:r>
      <w:r w:rsidR="00177BC9">
        <w:rPr>
          <w:b w:val="0"/>
          <w:bCs w:val="0"/>
        </w:rPr>
        <w:t xml:space="preserve"> of their testimony to draw incorrect conclusions.</w:t>
      </w:r>
      <w:r w:rsidR="00C74D95">
        <w:rPr>
          <w:b w:val="0"/>
          <w:bCs w:val="0"/>
        </w:rPr>
        <w:t xml:space="preserve">  The three areas</w:t>
      </w:r>
      <w:r w:rsidR="00C20874">
        <w:rPr>
          <w:b w:val="0"/>
          <w:bCs w:val="0"/>
        </w:rPr>
        <w:t xml:space="preserve"> </w:t>
      </w:r>
      <w:r w:rsidR="00C74D95">
        <w:rPr>
          <w:b w:val="0"/>
          <w:bCs w:val="0"/>
        </w:rPr>
        <w:t>are as follows:</w:t>
      </w:r>
    </w:p>
    <w:p w:rsidR="009F5DE8" w:rsidRDefault="00C74D95" w:rsidP="00BE737C">
      <w:pPr>
        <w:pStyle w:val="BodyText"/>
        <w:tabs>
          <w:tab w:val="left" w:pos="540"/>
        </w:tabs>
        <w:spacing w:line="240" w:lineRule="auto"/>
        <w:ind w:left="1080" w:right="-54" w:hanging="1080"/>
        <w:jc w:val="both"/>
        <w:rPr>
          <w:bCs w:val="0"/>
        </w:rPr>
      </w:pPr>
      <w:r w:rsidRPr="00C62C8F">
        <w:rPr>
          <w:bCs w:val="0"/>
        </w:rPr>
        <w:tab/>
      </w:r>
      <w:r w:rsidR="003F37AA" w:rsidRPr="00C62C8F">
        <w:rPr>
          <w:bCs w:val="0"/>
        </w:rPr>
        <w:t>1.</w:t>
      </w:r>
      <w:r w:rsidR="003F37AA" w:rsidRPr="00C62C8F">
        <w:rPr>
          <w:bCs w:val="0"/>
        </w:rPr>
        <w:tab/>
      </w:r>
      <w:r w:rsidR="005355FA" w:rsidRPr="00C62C8F">
        <w:rPr>
          <w:bCs w:val="0"/>
        </w:rPr>
        <w:t>Correction of errors</w:t>
      </w:r>
      <w:r w:rsidR="009F5DE8" w:rsidRPr="00C62C8F">
        <w:rPr>
          <w:bCs w:val="0"/>
        </w:rPr>
        <w:t xml:space="preserve"> and </w:t>
      </w:r>
      <w:r w:rsidR="00D22703" w:rsidRPr="00C62C8F">
        <w:rPr>
          <w:bCs w:val="0"/>
        </w:rPr>
        <w:t>changes in numbers</w:t>
      </w:r>
      <w:r w:rsidR="009F5DE8" w:rsidRPr="00C62C8F">
        <w:rPr>
          <w:bCs w:val="0"/>
        </w:rPr>
        <w:t xml:space="preserve"> since Avista originally filed its case</w:t>
      </w:r>
      <w:r w:rsidR="003F37AA" w:rsidRPr="00C62C8F">
        <w:rPr>
          <w:bCs w:val="0"/>
        </w:rPr>
        <w:t>.</w:t>
      </w:r>
    </w:p>
    <w:p w:rsidR="00BE737C" w:rsidRPr="00C62C8F" w:rsidRDefault="00BE737C" w:rsidP="00BE737C">
      <w:pPr>
        <w:pStyle w:val="BodyText"/>
        <w:tabs>
          <w:tab w:val="left" w:pos="540"/>
        </w:tabs>
        <w:spacing w:line="240" w:lineRule="auto"/>
        <w:ind w:left="1080" w:right="-54" w:hanging="1080"/>
        <w:jc w:val="both"/>
        <w:rPr>
          <w:bCs w:val="0"/>
        </w:rPr>
      </w:pPr>
    </w:p>
    <w:p w:rsidR="003F37AA" w:rsidRPr="00C62C8F" w:rsidRDefault="003F37AA" w:rsidP="00BE737C">
      <w:pPr>
        <w:pStyle w:val="BodyText"/>
        <w:tabs>
          <w:tab w:val="left" w:pos="540"/>
        </w:tabs>
        <w:spacing w:line="240" w:lineRule="auto"/>
        <w:ind w:left="1080" w:right="-54" w:hanging="1080"/>
        <w:jc w:val="both"/>
        <w:rPr>
          <w:bCs w:val="0"/>
        </w:rPr>
      </w:pPr>
      <w:r w:rsidRPr="00C62C8F">
        <w:rPr>
          <w:bCs w:val="0"/>
        </w:rPr>
        <w:tab/>
        <w:t>2.</w:t>
      </w:r>
      <w:r w:rsidRPr="00C62C8F">
        <w:rPr>
          <w:bCs w:val="0"/>
        </w:rPr>
        <w:tab/>
      </w:r>
      <w:r w:rsidR="00406601" w:rsidRPr="00C62C8F">
        <w:rPr>
          <w:bCs w:val="0"/>
        </w:rPr>
        <w:t>The s</w:t>
      </w:r>
      <w:r w:rsidRPr="00C62C8F">
        <w:rPr>
          <w:bCs w:val="0"/>
        </w:rPr>
        <w:t>ufficiency of evidence provided by Avista in its initial filing, and through discovery.</w:t>
      </w:r>
    </w:p>
    <w:p w:rsidR="00BE737C" w:rsidRDefault="00BE737C" w:rsidP="00BE737C">
      <w:pPr>
        <w:pStyle w:val="BodyText"/>
        <w:tabs>
          <w:tab w:val="left" w:pos="540"/>
        </w:tabs>
        <w:spacing w:line="240" w:lineRule="auto"/>
        <w:ind w:left="1080" w:right="-54" w:hanging="1080"/>
        <w:jc w:val="both"/>
        <w:rPr>
          <w:bCs w:val="0"/>
        </w:rPr>
      </w:pPr>
    </w:p>
    <w:p w:rsidR="00406601" w:rsidRPr="00C62C8F" w:rsidRDefault="00406601" w:rsidP="00BE737C">
      <w:pPr>
        <w:pStyle w:val="BodyText"/>
        <w:tabs>
          <w:tab w:val="left" w:pos="540"/>
        </w:tabs>
        <w:spacing w:line="240" w:lineRule="auto"/>
        <w:ind w:left="1080" w:right="-54" w:hanging="1080"/>
        <w:jc w:val="both"/>
        <w:rPr>
          <w:bCs w:val="0"/>
        </w:rPr>
      </w:pPr>
      <w:r w:rsidRPr="00C62C8F">
        <w:rPr>
          <w:bCs w:val="0"/>
        </w:rPr>
        <w:tab/>
        <w:t>3.</w:t>
      </w:r>
      <w:r w:rsidRPr="00C62C8F">
        <w:rPr>
          <w:bCs w:val="0"/>
        </w:rPr>
        <w:tab/>
        <w:t>Avista’s earned returns for 2013 and 2014, and related conclusions to be drawn.</w:t>
      </w:r>
    </w:p>
    <w:p w:rsidR="00DF2B90" w:rsidRDefault="009F5DE8" w:rsidP="00867849">
      <w:pPr>
        <w:pStyle w:val="BodyText"/>
        <w:tabs>
          <w:tab w:val="left" w:pos="720"/>
        </w:tabs>
        <w:spacing w:line="480" w:lineRule="auto"/>
        <w:ind w:right="-54"/>
        <w:jc w:val="both"/>
        <w:rPr>
          <w:b w:val="0"/>
          <w:bCs w:val="0"/>
        </w:rPr>
      </w:pPr>
      <w:r>
        <w:rPr>
          <w:b w:val="0"/>
          <w:bCs w:val="0"/>
        </w:rPr>
        <w:tab/>
      </w:r>
    </w:p>
    <w:p w:rsidR="003F37AA" w:rsidRPr="006227F4" w:rsidRDefault="006227F4" w:rsidP="00867849">
      <w:pPr>
        <w:pStyle w:val="BodyText"/>
        <w:tabs>
          <w:tab w:val="left" w:pos="720"/>
        </w:tabs>
        <w:spacing w:line="480" w:lineRule="auto"/>
        <w:ind w:right="-54"/>
        <w:jc w:val="both"/>
        <w:rPr>
          <w:b w:val="0"/>
          <w:bCs w:val="0"/>
          <w:u w:val="single"/>
        </w:rPr>
      </w:pPr>
      <w:r w:rsidRPr="006227F4">
        <w:rPr>
          <w:bCs w:val="0"/>
          <w:u w:val="single"/>
        </w:rPr>
        <w:t>Correction of E</w:t>
      </w:r>
      <w:r w:rsidR="0084035F" w:rsidRPr="006227F4">
        <w:rPr>
          <w:bCs w:val="0"/>
          <w:u w:val="single"/>
        </w:rPr>
        <w:t xml:space="preserve">rrors and </w:t>
      </w:r>
      <w:r w:rsidRPr="006227F4">
        <w:rPr>
          <w:bCs w:val="0"/>
          <w:u w:val="single"/>
        </w:rPr>
        <w:t>Changes in N</w:t>
      </w:r>
      <w:r w:rsidR="0084035F" w:rsidRPr="006227F4">
        <w:rPr>
          <w:bCs w:val="0"/>
          <w:u w:val="single"/>
        </w:rPr>
        <w:t>umbers</w:t>
      </w:r>
      <w:r w:rsidRPr="006227F4">
        <w:rPr>
          <w:bCs w:val="0"/>
          <w:u w:val="single"/>
        </w:rPr>
        <w:t xml:space="preserve"> Since Avista Originally Filed its C</w:t>
      </w:r>
      <w:r w:rsidR="0084035F" w:rsidRPr="006227F4">
        <w:rPr>
          <w:bCs w:val="0"/>
          <w:u w:val="single"/>
        </w:rPr>
        <w:t>ase</w:t>
      </w:r>
    </w:p>
    <w:p w:rsidR="00786EB4" w:rsidRPr="000245EF" w:rsidRDefault="00786EB4" w:rsidP="00867849">
      <w:pPr>
        <w:pStyle w:val="BodyText"/>
        <w:tabs>
          <w:tab w:val="left" w:pos="720"/>
        </w:tabs>
        <w:spacing w:line="480" w:lineRule="auto"/>
        <w:ind w:right="-54" w:firstLine="720"/>
        <w:jc w:val="both"/>
        <w:rPr>
          <w:bCs w:val="0"/>
        </w:rPr>
      </w:pPr>
      <w:r w:rsidRPr="000245EF">
        <w:rPr>
          <w:bCs w:val="0"/>
        </w:rPr>
        <w:t>Q.</w:t>
      </w:r>
      <w:r w:rsidRPr="000245EF">
        <w:rPr>
          <w:bCs w:val="0"/>
        </w:rPr>
        <w:tab/>
        <w:t xml:space="preserve">What is the Company’s response to </w:t>
      </w:r>
      <w:r w:rsidR="00EB2427">
        <w:rPr>
          <w:bCs w:val="0"/>
        </w:rPr>
        <w:t>Staff</w:t>
      </w:r>
      <w:r w:rsidRPr="000245EF">
        <w:rPr>
          <w:bCs w:val="0"/>
        </w:rPr>
        <w:t xml:space="preserve"> and intervenor testimony regarding errors</w:t>
      </w:r>
      <w:r w:rsidR="000245EF" w:rsidRPr="000245EF">
        <w:rPr>
          <w:rStyle w:val="FootnoteReference"/>
          <w:bCs w:val="0"/>
        </w:rPr>
        <w:footnoteReference w:id="2"/>
      </w:r>
      <w:r w:rsidRPr="000245EF">
        <w:rPr>
          <w:bCs w:val="0"/>
        </w:rPr>
        <w:t xml:space="preserve"> in the original filing, and other changes to numbers?</w:t>
      </w:r>
    </w:p>
    <w:p w:rsidR="003F37AA" w:rsidRDefault="00786EB4" w:rsidP="00867849">
      <w:pPr>
        <w:pStyle w:val="BodyText"/>
        <w:tabs>
          <w:tab w:val="left" w:pos="720"/>
        </w:tabs>
        <w:spacing w:line="480" w:lineRule="auto"/>
        <w:ind w:right="-54" w:firstLine="720"/>
        <w:jc w:val="both"/>
        <w:rPr>
          <w:b w:val="0"/>
          <w:bCs w:val="0"/>
        </w:rPr>
      </w:pPr>
      <w:r>
        <w:rPr>
          <w:b w:val="0"/>
          <w:bCs w:val="0"/>
        </w:rPr>
        <w:t>A.</w:t>
      </w:r>
      <w:r>
        <w:rPr>
          <w:b w:val="0"/>
          <w:bCs w:val="0"/>
        </w:rPr>
        <w:tab/>
      </w:r>
      <w:r w:rsidR="00401002">
        <w:rPr>
          <w:b w:val="0"/>
          <w:bCs w:val="0"/>
        </w:rPr>
        <w:t>Some of the changes in numbers since our original filing are indeed corrections</w:t>
      </w:r>
      <w:r w:rsidR="00C62C8F">
        <w:rPr>
          <w:b w:val="0"/>
          <w:bCs w:val="0"/>
        </w:rPr>
        <w:t xml:space="preserve"> of errors.  Other</w:t>
      </w:r>
      <w:r w:rsidR="00F730BB">
        <w:rPr>
          <w:b w:val="0"/>
          <w:bCs w:val="0"/>
        </w:rPr>
        <w:t xml:space="preserve"> </w:t>
      </w:r>
      <w:r w:rsidR="00C62C8F">
        <w:rPr>
          <w:b w:val="0"/>
          <w:bCs w:val="0"/>
        </w:rPr>
        <w:t xml:space="preserve">changes </w:t>
      </w:r>
      <w:r w:rsidR="000245EF">
        <w:rPr>
          <w:b w:val="0"/>
          <w:bCs w:val="0"/>
        </w:rPr>
        <w:t>are</w:t>
      </w:r>
      <w:r w:rsidR="00F730BB">
        <w:rPr>
          <w:b w:val="0"/>
          <w:bCs w:val="0"/>
        </w:rPr>
        <w:t xml:space="preserve"> due </w:t>
      </w:r>
      <w:r w:rsidR="000245EF">
        <w:rPr>
          <w:b w:val="0"/>
          <w:bCs w:val="0"/>
        </w:rPr>
        <w:t>to known</w:t>
      </w:r>
      <w:r w:rsidR="00F730BB">
        <w:rPr>
          <w:b w:val="0"/>
          <w:bCs w:val="0"/>
        </w:rPr>
        <w:t xml:space="preserve"> change</w:t>
      </w:r>
      <w:r w:rsidR="0085129B">
        <w:rPr>
          <w:b w:val="0"/>
          <w:bCs w:val="0"/>
        </w:rPr>
        <w:t>s</w:t>
      </w:r>
      <w:r w:rsidR="00F730BB">
        <w:rPr>
          <w:b w:val="0"/>
          <w:bCs w:val="0"/>
        </w:rPr>
        <w:t xml:space="preserve"> </w:t>
      </w:r>
      <w:r w:rsidR="000245EF">
        <w:rPr>
          <w:b w:val="0"/>
          <w:bCs w:val="0"/>
        </w:rPr>
        <w:t>and updated information subsequent to the filing</w:t>
      </w:r>
      <w:r w:rsidR="00332C46">
        <w:rPr>
          <w:b w:val="0"/>
          <w:bCs w:val="0"/>
        </w:rPr>
        <w:t>.  And other changes</w:t>
      </w:r>
      <w:r w:rsidR="00F730BB">
        <w:rPr>
          <w:b w:val="0"/>
          <w:bCs w:val="0"/>
        </w:rPr>
        <w:t xml:space="preserve"> represent updated information specifically requested by one or m</w:t>
      </w:r>
      <w:r w:rsidR="0085129B">
        <w:rPr>
          <w:b w:val="0"/>
          <w:bCs w:val="0"/>
        </w:rPr>
        <w:t>ore of the parties to this case through discovery.</w:t>
      </w:r>
    </w:p>
    <w:p w:rsidR="003F37AA" w:rsidRDefault="00EB2427" w:rsidP="00867849">
      <w:pPr>
        <w:pStyle w:val="BodyText"/>
        <w:tabs>
          <w:tab w:val="left" w:pos="720"/>
        </w:tabs>
        <w:spacing w:line="480" w:lineRule="auto"/>
        <w:ind w:right="-54" w:firstLine="720"/>
        <w:jc w:val="both"/>
        <w:rPr>
          <w:b w:val="0"/>
          <w:bCs w:val="0"/>
        </w:rPr>
      </w:pPr>
      <w:r>
        <w:rPr>
          <w:b w:val="0"/>
          <w:bCs w:val="0"/>
        </w:rPr>
        <w:t>Staff</w:t>
      </w:r>
      <w:r w:rsidR="00FF4189">
        <w:rPr>
          <w:b w:val="0"/>
          <w:bCs w:val="0"/>
        </w:rPr>
        <w:t xml:space="preserve"> and intervenor testimony references to errors may lead one to believe that Avista’s original filing was pla</w:t>
      </w:r>
      <w:r w:rsidR="000F174D">
        <w:rPr>
          <w:b w:val="0"/>
          <w:bCs w:val="0"/>
        </w:rPr>
        <w:t xml:space="preserve">gued with errors.  It was not.  Our regulatory filings are prepared and/or reviewed by experienced Avista staff with attention to detail.  In spite of </w:t>
      </w:r>
      <w:r w:rsidR="000F174D">
        <w:rPr>
          <w:b w:val="0"/>
          <w:bCs w:val="0"/>
        </w:rPr>
        <w:lastRenderedPageBreak/>
        <w:t>efforts to create a “clean” filing, error</w:t>
      </w:r>
      <w:r w:rsidR="00741515">
        <w:rPr>
          <w:b w:val="0"/>
          <w:bCs w:val="0"/>
        </w:rPr>
        <w:t xml:space="preserve">s can and do occur, but there </w:t>
      </w:r>
      <w:r w:rsidR="00D335DF">
        <w:rPr>
          <w:b w:val="0"/>
          <w:bCs w:val="0"/>
        </w:rPr>
        <w:t>are</w:t>
      </w:r>
      <w:r w:rsidR="000F174D">
        <w:rPr>
          <w:b w:val="0"/>
          <w:bCs w:val="0"/>
        </w:rPr>
        <w:t xml:space="preserve"> not an inordinate number of errors</w:t>
      </w:r>
      <w:r w:rsidR="00741515">
        <w:rPr>
          <w:b w:val="0"/>
          <w:bCs w:val="0"/>
        </w:rPr>
        <w:t xml:space="preserve"> by the Company</w:t>
      </w:r>
      <w:r w:rsidR="00F34160">
        <w:rPr>
          <w:b w:val="0"/>
          <w:bCs w:val="0"/>
        </w:rPr>
        <w:t xml:space="preserve"> in these Dockets</w:t>
      </w:r>
      <w:r w:rsidR="00D335DF">
        <w:rPr>
          <w:b w:val="0"/>
          <w:bCs w:val="0"/>
        </w:rPr>
        <w:t xml:space="preserve"> – and, indeed, they do not account for the majority of items otherwise reducing the revenue requirement</w:t>
      </w:r>
      <w:r w:rsidR="000F174D">
        <w:rPr>
          <w:b w:val="0"/>
          <w:bCs w:val="0"/>
        </w:rPr>
        <w:t xml:space="preserve">.  </w:t>
      </w:r>
      <w:r w:rsidR="000D0E4C">
        <w:rPr>
          <w:b w:val="0"/>
          <w:bCs w:val="0"/>
        </w:rPr>
        <w:t>Nor are we</w:t>
      </w:r>
      <w:r w:rsidR="007C39D9">
        <w:rPr>
          <w:b w:val="0"/>
          <w:bCs w:val="0"/>
        </w:rPr>
        <w:t xml:space="preserve"> surprised to see</w:t>
      </w:r>
      <w:r w:rsidR="000245EF">
        <w:rPr>
          <w:b w:val="0"/>
          <w:bCs w:val="0"/>
        </w:rPr>
        <w:t xml:space="preserve"> errors in the testimony and exhibits filed by</w:t>
      </w:r>
      <w:r w:rsidR="000F174D">
        <w:rPr>
          <w:b w:val="0"/>
          <w:bCs w:val="0"/>
        </w:rPr>
        <w:t xml:space="preserve"> </w:t>
      </w:r>
      <w:r>
        <w:rPr>
          <w:b w:val="0"/>
          <w:bCs w:val="0"/>
        </w:rPr>
        <w:t>Staff</w:t>
      </w:r>
      <w:r w:rsidR="000245EF">
        <w:rPr>
          <w:b w:val="0"/>
          <w:bCs w:val="0"/>
        </w:rPr>
        <w:t xml:space="preserve"> and intervenors</w:t>
      </w:r>
      <w:r w:rsidR="000F174D">
        <w:rPr>
          <w:b w:val="0"/>
          <w:bCs w:val="0"/>
        </w:rPr>
        <w:t>.</w:t>
      </w:r>
      <w:r w:rsidR="00C4348A">
        <w:rPr>
          <w:b w:val="0"/>
          <w:bCs w:val="0"/>
        </w:rPr>
        <w:t xml:space="preserve">  As an example, </w:t>
      </w:r>
      <w:r w:rsidR="00632D00">
        <w:rPr>
          <w:b w:val="0"/>
          <w:bCs w:val="0"/>
        </w:rPr>
        <w:t>pages 4 and 5</w:t>
      </w:r>
      <w:r w:rsidR="00B70E62">
        <w:rPr>
          <w:b w:val="0"/>
          <w:bCs w:val="0"/>
        </w:rPr>
        <w:t xml:space="preserve"> of </w:t>
      </w:r>
      <w:r>
        <w:rPr>
          <w:b w:val="0"/>
          <w:bCs w:val="0"/>
        </w:rPr>
        <w:t>Staff</w:t>
      </w:r>
      <w:r w:rsidR="00C4348A">
        <w:rPr>
          <w:b w:val="0"/>
          <w:bCs w:val="0"/>
        </w:rPr>
        <w:t xml:space="preserve"> McGuire’s Exhibit</w:t>
      </w:r>
      <w:r w:rsidR="00632D00">
        <w:rPr>
          <w:b w:val="0"/>
          <w:bCs w:val="0"/>
        </w:rPr>
        <w:t xml:space="preserve"> No. _____ (CRM-2)</w:t>
      </w:r>
      <w:r w:rsidR="00773A4D">
        <w:rPr>
          <w:b w:val="0"/>
          <w:bCs w:val="0"/>
        </w:rPr>
        <w:t xml:space="preserve"> include</w:t>
      </w:r>
      <w:r w:rsidR="00C4348A">
        <w:rPr>
          <w:b w:val="0"/>
          <w:bCs w:val="0"/>
        </w:rPr>
        <w:t xml:space="preserve"> multiple errors as follows:</w:t>
      </w:r>
    </w:p>
    <w:p w:rsidR="00C4348A" w:rsidRDefault="00247D17" w:rsidP="00867849">
      <w:pPr>
        <w:pStyle w:val="BodyText"/>
        <w:tabs>
          <w:tab w:val="left" w:pos="540"/>
        </w:tabs>
        <w:spacing w:line="240" w:lineRule="auto"/>
        <w:ind w:left="1080" w:right="-54" w:hanging="1080"/>
        <w:jc w:val="both"/>
        <w:rPr>
          <w:b w:val="0"/>
          <w:bCs w:val="0"/>
        </w:rPr>
      </w:pPr>
      <w:r>
        <w:rPr>
          <w:b w:val="0"/>
          <w:bCs w:val="0"/>
        </w:rPr>
        <w:tab/>
        <w:t>1.</w:t>
      </w:r>
      <w:r>
        <w:rPr>
          <w:b w:val="0"/>
          <w:bCs w:val="0"/>
        </w:rPr>
        <w:tab/>
        <w:t>Staff proposed</w:t>
      </w:r>
      <w:r w:rsidR="00C4348A">
        <w:rPr>
          <w:b w:val="0"/>
          <w:bCs w:val="0"/>
        </w:rPr>
        <w:t xml:space="preserve"> to eliminate the regulatory asset and amortization</w:t>
      </w:r>
      <w:r w:rsidR="000F2D6A">
        <w:rPr>
          <w:b w:val="0"/>
          <w:bCs w:val="0"/>
        </w:rPr>
        <w:t xml:space="preserve"> expense</w:t>
      </w:r>
      <w:r w:rsidR="00C4348A">
        <w:rPr>
          <w:b w:val="0"/>
          <w:bCs w:val="0"/>
        </w:rPr>
        <w:t xml:space="preserve"> related to existing electric meters, however, on page</w:t>
      </w:r>
      <w:r w:rsidR="00632D00">
        <w:rPr>
          <w:b w:val="0"/>
          <w:bCs w:val="0"/>
        </w:rPr>
        <w:t>s 4 and 5, column C,</w:t>
      </w:r>
      <w:r w:rsidR="00C4348A">
        <w:rPr>
          <w:b w:val="0"/>
          <w:bCs w:val="0"/>
        </w:rPr>
        <w:t xml:space="preserve"> Mr. McGuire continues to include the regulatory asset and amortization expense as proposed by the Company.</w:t>
      </w:r>
    </w:p>
    <w:p w:rsidR="00DA597F" w:rsidRDefault="00DA597F" w:rsidP="00867849">
      <w:pPr>
        <w:pStyle w:val="BodyText"/>
        <w:tabs>
          <w:tab w:val="left" w:pos="540"/>
        </w:tabs>
        <w:spacing w:line="240" w:lineRule="auto"/>
        <w:ind w:left="1080" w:right="-54" w:hanging="1080"/>
        <w:jc w:val="both"/>
        <w:rPr>
          <w:b w:val="0"/>
          <w:bCs w:val="0"/>
        </w:rPr>
      </w:pPr>
    </w:p>
    <w:p w:rsidR="00C4348A" w:rsidRDefault="00C4348A" w:rsidP="00867849">
      <w:pPr>
        <w:pStyle w:val="BodyText"/>
        <w:tabs>
          <w:tab w:val="left" w:pos="540"/>
        </w:tabs>
        <w:spacing w:line="240" w:lineRule="auto"/>
        <w:ind w:left="1080" w:right="-54" w:hanging="1080"/>
        <w:jc w:val="both"/>
        <w:rPr>
          <w:b w:val="0"/>
          <w:bCs w:val="0"/>
        </w:rPr>
      </w:pPr>
      <w:r>
        <w:rPr>
          <w:b w:val="0"/>
          <w:bCs w:val="0"/>
        </w:rPr>
        <w:tab/>
      </w:r>
      <w:r w:rsidR="00AF4CC8">
        <w:rPr>
          <w:b w:val="0"/>
          <w:bCs w:val="0"/>
        </w:rPr>
        <w:t>2.</w:t>
      </w:r>
      <w:r w:rsidR="00AF4CC8">
        <w:rPr>
          <w:b w:val="0"/>
          <w:bCs w:val="0"/>
        </w:rPr>
        <w:tab/>
        <w:t>In</w:t>
      </w:r>
      <w:r w:rsidR="00427F72">
        <w:rPr>
          <w:b w:val="0"/>
          <w:bCs w:val="0"/>
        </w:rPr>
        <w:t xml:space="preserve"> column L, line 27 of</w:t>
      </w:r>
      <w:r w:rsidR="00AF4CC8">
        <w:rPr>
          <w:b w:val="0"/>
          <w:bCs w:val="0"/>
        </w:rPr>
        <w:t xml:space="preserve"> page</w:t>
      </w:r>
      <w:r w:rsidR="00427F72">
        <w:rPr>
          <w:b w:val="0"/>
          <w:bCs w:val="0"/>
        </w:rPr>
        <w:t xml:space="preserve"> 5</w:t>
      </w:r>
      <w:r w:rsidR="000F2D6A">
        <w:rPr>
          <w:b w:val="0"/>
          <w:bCs w:val="0"/>
        </w:rPr>
        <w:t>,</w:t>
      </w:r>
      <w:r w:rsidR="00606F96">
        <w:rPr>
          <w:b w:val="0"/>
          <w:bCs w:val="0"/>
        </w:rPr>
        <w:t xml:space="preserve"> Mr. McGuire failed to include the Restate Debt Interest amount for Project Compass.</w:t>
      </w:r>
    </w:p>
    <w:p w:rsidR="00DA597F" w:rsidRDefault="00DA597F" w:rsidP="00867849">
      <w:pPr>
        <w:pStyle w:val="BodyText"/>
        <w:tabs>
          <w:tab w:val="left" w:pos="540"/>
        </w:tabs>
        <w:spacing w:line="240" w:lineRule="auto"/>
        <w:ind w:left="1080" w:right="-54" w:hanging="1080"/>
        <w:jc w:val="both"/>
        <w:rPr>
          <w:b w:val="0"/>
          <w:bCs w:val="0"/>
        </w:rPr>
      </w:pPr>
    </w:p>
    <w:p w:rsidR="00606F96" w:rsidRDefault="00247D17" w:rsidP="00867849">
      <w:pPr>
        <w:pStyle w:val="BodyText"/>
        <w:tabs>
          <w:tab w:val="left" w:pos="540"/>
        </w:tabs>
        <w:spacing w:line="240" w:lineRule="auto"/>
        <w:ind w:left="1080" w:right="-54" w:hanging="1080"/>
        <w:jc w:val="both"/>
        <w:rPr>
          <w:b w:val="0"/>
          <w:bCs w:val="0"/>
        </w:rPr>
      </w:pPr>
      <w:r>
        <w:rPr>
          <w:b w:val="0"/>
          <w:bCs w:val="0"/>
        </w:rPr>
        <w:tab/>
        <w:t>3.</w:t>
      </w:r>
      <w:r>
        <w:rPr>
          <w:b w:val="0"/>
          <w:bCs w:val="0"/>
        </w:rPr>
        <w:tab/>
        <w:t>And in</w:t>
      </w:r>
      <w:r w:rsidR="00427F72">
        <w:rPr>
          <w:b w:val="0"/>
          <w:bCs w:val="0"/>
        </w:rPr>
        <w:t xml:space="preserve"> column M, lines 32</w:t>
      </w:r>
      <w:r w:rsidR="00606F96">
        <w:rPr>
          <w:b w:val="0"/>
          <w:bCs w:val="0"/>
        </w:rPr>
        <w:t xml:space="preserve"> </w:t>
      </w:r>
      <w:r w:rsidR="00427F72">
        <w:rPr>
          <w:b w:val="0"/>
          <w:bCs w:val="0"/>
        </w:rPr>
        <w:t>and 38</w:t>
      </w:r>
      <w:r w:rsidR="001A24DE">
        <w:rPr>
          <w:b w:val="0"/>
          <w:bCs w:val="0"/>
        </w:rPr>
        <w:t>,</w:t>
      </w:r>
      <w:r w:rsidR="00606F96">
        <w:rPr>
          <w:b w:val="0"/>
          <w:bCs w:val="0"/>
        </w:rPr>
        <w:t xml:space="preserve"> the formula</w:t>
      </w:r>
      <w:r w:rsidR="000F2D6A">
        <w:rPr>
          <w:b w:val="0"/>
          <w:bCs w:val="0"/>
        </w:rPr>
        <w:t xml:space="preserve">s </w:t>
      </w:r>
      <w:r w:rsidR="00606F96">
        <w:rPr>
          <w:b w:val="0"/>
          <w:bCs w:val="0"/>
        </w:rPr>
        <w:t>in</w:t>
      </w:r>
      <w:r w:rsidR="000F2D6A">
        <w:rPr>
          <w:b w:val="0"/>
          <w:bCs w:val="0"/>
        </w:rPr>
        <w:t xml:space="preserve"> the</w:t>
      </w:r>
      <w:r w:rsidR="00606F96">
        <w:rPr>
          <w:b w:val="0"/>
          <w:bCs w:val="0"/>
        </w:rPr>
        <w:t xml:space="preserve"> total column </w:t>
      </w:r>
      <w:r w:rsidR="000F2D6A">
        <w:rPr>
          <w:b w:val="0"/>
          <w:bCs w:val="0"/>
        </w:rPr>
        <w:t xml:space="preserve">are incorrect </w:t>
      </w:r>
      <w:r w:rsidR="00606F96">
        <w:rPr>
          <w:b w:val="0"/>
          <w:bCs w:val="0"/>
        </w:rPr>
        <w:t xml:space="preserve">and </w:t>
      </w:r>
      <w:r w:rsidR="000F2D6A">
        <w:rPr>
          <w:b w:val="0"/>
          <w:bCs w:val="0"/>
        </w:rPr>
        <w:t>fail</w:t>
      </w:r>
      <w:r w:rsidR="00606F96">
        <w:rPr>
          <w:b w:val="0"/>
          <w:bCs w:val="0"/>
        </w:rPr>
        <w:t xml:space="preserve"> t</w:t>
      </w:r>
      <w:r w:rsidR="00427F72">
        <w:rPr>
          <w:b w:val="0"/>
          <w:bCs w:val="0"/>
        </w:rPr>
        <w:t>o include amounts in column L</w:t>
      </w:r>
      <w:r w:rsidR="00606F96">
        <w:rPr>
          <w:b w:val="0"/>
          <w:bCs w:val="0"/>
        </w:rPr>
        <w:t>.</w:t>
      </w:r>
    </w:p>
    <w:p w:rsidR="00FF4189" w:rsidRDefault="00FF4189" w:rsidP="00867849">
      <w:pPr>
        <w:pStyle w:val="BodyText"/>
        <w:tabs>
          <w:tab w:val="left" w:pos="720"/>
        </w:tabs>
        <w:spacing w:line="480" w:lineRule="auto"/>
        <w:ind w:right="-54"/>
        <w:jc w:val="both"/>
        <w:rPr>
          <w:b w:val="0"/>
          <w:bCs w:val="0"/>
        </w:rPr>
      </w:pPr>
    </w:p>
    <w:p w:rsidR="00DA597F" w:rsidRDefault="00055242" w:rsidP="00867849">
      <w:pPr>
        <w:pStyle w:val="BodyText"/>
        <w:tabs>
          <w:tab w:val="left" w:pos="720"/>
        </w:tabs>
        <w:spacing w:line="480" w:lineRule="auto"/>
        <w:ind w:right="-54" w:firstLine="720"/>
        <w:jc w:val="both"/>
        <w:rPr>
          <w:b w:val="0"/>
          <w:bCs w:val="0"/>
        </w:rPr>
      </w:pPr>
      <w:r>
        <w:rPr>
          <w:b w:val="0"/>
          <w:bCs w:val="0"/>
        </w:rPr>
        <w:t xml:space="preserve">We </w:t>
      </w:r>
      <w:r w:rsidR="00D335DF">
        <w:rPr>
          <w:b w:val="0"/>
          <w:bCs w:val="0"/>
        </w:rPr>
        <w:t>know</w:t>
      </w:r>
      <w:r>
        <w:rPr>
          <w:b w:val="0"/>
          <w:bCs w:val="0"/>
        </w:rPr>
        <w:t xml:space="preserve"> these errors are not intentional and simply need to be identifi</w:t>
      </w:r>
      <w:r w:rsidR="00B70E62">
        <w:rPr>
          <w:b w:val="0"/>
          <w:bCs w:val="0"/>
        </w:rPr>
        <w:t>ed and corrected so that all</w:t>
      </w:r>
      <w:r>
        <w:rPr>
          <w:b w:val="0"/>
          <w:bCs w:val="0"/>
        </w:rPr>
        <w:t xml:space="preserve"> parties and the Commissioners have accurate information upon which to make decisions.</w:t>
      </w:r>
      <w:r w:rsidR="00B70E62">
        <w:rPr>
          <w:b w:val="0"/>
          <w:bCs w:val="0"/>
        </w:rPr>
        <w:t xml:space="preserve">  As Avista discovered</w:t>
      </w:r>
      <w:r w:rsidR="0024516A">
        <w:rPr>
          <w:b w:val="0"/>
          <w:bCs w:val="0"/>
        </w:rPr>
        <w:t xml:space="preserve"> errors</w:t>
      </w:r>
      <w:r w:rsidR="00A573CF">
        <w:rPr>
          <w:b w:val="0"/>
          <w:bCs w:val="0"/>
        </w:rPr>
        <w:t xml:space="preserve"> on its own</w:t>
      </w:r>
      <w:r w:rsidR="00BE737C">
        <w:rPr>
          <w:b w:val="0"/>
          <w:bCs w:val="0"/>
        </w:rPr>
        <w:t>,</w:t>
      </w:r>
      <w:r w:rsidR="00A573CF">
        <w:rPr>
          <w:b w:val="0"/>
          <w:bCs w:val="0"/>
        </w:rPr>
        <w:t xml:space="preserve"> subsequent to the</w:t>
      </w:r>
      <w:r>
        <w:rPr>
          <w:b w:val="0"/>
          <w:bCs w:val="0"/>
        </w:rPr>
        <w:t xml:space="preserve"> filing, or became aware of them through the discovery process, we notified the parties and provided corrected information, irrespective of whether the corrections increased or decreased revenue requirement.</w:t>
      </w:r>
    </w:p>
    <w:p w:rsidR="00A24009" w:rsidRDefault="003F6D28" w:rsidP="00867849">
      <w:pPr>
        <w:pStyle w:val="BodyText"/>
        <w:tabs>
          <w:tab w:val="left" w:pos="720"/>
        </w:tabs>
        <w:spacing w:line="480" w:lineRule="auto"/>
        <w:ind w:right="-54"/>
        <w:jc w:val="both"/>
        <w:rPr>
          <w:b w:val="0"/>
          <w:bCs w:val="0"/>
        </w:rPr>
      </w:pPr>
      <w:r>
        <w:rPr>
          <w:b w:val="0"/>
          <w:bCs w:val="0"/>
        </w:rPr>
        <w:tab/>
      </w:r>
      <w:r w:rsidR="00A24009">
        <w:rPr>
          <w:b w:val="0"/>
          <w:bCs w:val="0"/>
        </w:rPr>
        <w:t xml:space="preserve">With regard to </w:t>
      </w:r>
      <w:r w:rsidR="0024516A">
        <w:rPr>
          <w:b w:val="0"/>
          <w:bCs w:val="0"/>
        </w:rPr>
        <w:t xml:space="preserve">other </w:t>
      </w:r>
      <w:r w:rsidR="00A24009">
        <w:rPr>
          <w:b w:val="0"/>
          <w:bCs w:val="0"/>
        </w:rPr>
        <w:t>changes in numbers during the pendency of the case,</w:t>
      </w:r>
      <w:r w:rsidR="000E3E5D">
        <w:rPr>
          <w:b w:val="0"/>
          <w:bCs w:val="0"/>
        </w:rPr>
        <w:t xml:space="preserve"> o</w:t>
      </w:r>
      <w:r w:rsidR="00A24009">
        <w:rPr>
          <w:b w:val="0"/>
          <w:bCs w:val="0"/>
        </w:rPr>
        <w:t xml:space="preserve">ur practice is to be </w:t>
      </w:r>
      <w:r w:rsidR="000E3E5D">
        <w:rPr>
          <w:b w:val="0"/>
          <w:bCs w:val="0"/>
        </w:rPr>
        <w:t>transparent with any known changes or updated information.  The Commission has previously expressed it</w:t>
      </w:r>
      <w:r w:rsidR="00385621">
        <w:rPr>
          <w:b w:val="0"/>
          <w:bCs w:val="0"/>
        </w:rPr>
        <w:t>s</w:t>
      </w:r>
      <w:r w:rsidR="000E3E5D">
        <w:rPr>
          <w:b w:val="0"/>
          <w:bCs w:val="0"/>
        </w:rPr>
        <w:t xml:space="preserve"> desire to base its decisions o</w:t>
      </w:r>
      <w:r w:rsidR="00385621">
        <w:rPr>
          <w:b w:val="0"/>
          <w:bCs w:val="0"/>
        </w:rPr>
        <w:t>n the best available information</w:t>
      </w:r>
      <w:r w:rsidR="000E3E5D">
        <w:rPr>
          <w:b w:val="0"/>
          <w:bCs w:val="0"/>
        </w:rPr>
        <w:t>.</w:t>
      </w:r>
      <w:r w:rsidR="00A24009">
        <w:rPr>
          <w:b w:val="0"/>
          <w:bCs w:val="0"/>
        </w:rPr>
        <w:t xml:space="preserve"> </w:t>
      </w:r>
      <w:r w:rsidR="00385621">
        <w:rPr>
          <w:b w:val="0"/>
          <w:bCs w:val="0"/>
        </w:rPr>
        <w:t xml:space="preserve"> In its Order No. 04 in Dockets UE-080416 and UG-080417</w:t>
      </w:r>
      <w:r w:rsidR="000D0E4C">
        <w:rPr>
          <w:b w:val="0"/>
          <w:bCs w:val="0"/>
        </w:rPr>
        <w:t>, at paragraph 7,</w:t>
      </w:r>
      <w:r w:rsidR="003B57B3">
        <w:rPr>
          <w:b w:val="0"/>
          <w:bCs w:val="0"/>
        </w:rPr>
        <w:t xml:space="preserve"> the Commission stated as follows:</w:t>
      </w:r>
    </w:p>
    <w:p w:rsidR="003B57B3" w:rsidRDefault="00385621" w:rsidP="00385621">
      <w:pPr>
        <w:pStyle w:val="BodyText"/>
        <w:tabs>
          <w:tab w:val="left" w:pos="720"/>
        </w:tabs>
        <w:spacing w:line="240" w:lineRule="auto"/>
        <w:ind w:left="720" w:right="-58"/>
        <w:jc w:val="both"/>
        <w:rPr>
          <w:b w:val="0"/>
          <w:bCs w:val="0"/>
        </w:rPr>
      </w:pPr>
      <w:r>
        <w:rPr>
          <w:b w:val="0"/>
          <w:bCs w:val="0"/>
        </w:rPr>
        <w:t xml:space="preserve">In the PSE proceeding, PSE’s motion to file supplemental testimony was granted with the presiding officer concluding that “[T]he commission’s paramount interest is </w:t>
      </w:r>
      <w:r>
        <w:rPr>
          <w:b w:val="0"/>
          <w:bCs w:val="0"/>
        </w:rPr>
        <w:lastRenderedPageBreak/>
        <w:t>in having a full record with the best available evidence upon which to base its decisions.”  The presiding officer went on to consider PSE’s motion by application of a balancing test considering the Commission’s interest in having current information against the parties’ needs to have an adequate opportunity to conduct discovery and prepare their own testimony and exhibits.</w:t>
      </w:r>
    </w:p>
    <w:p w:rsidR="00385621" w:rsidRDefault="00385621" w:rsidP="00867849">
      <w:pPr>
        <w:pStyle w:val="BodyText"/>
        <w:tabs>
          <w:tab w:val="left" w:pos="720"/>
        </w:tabs>
        <w:spacing w:line="480" w:lineRule="auto"/>
        <w:ind w:right="-54"/>
        <w:jc w:val="both"/>
        <w:rPr>
          <w:b w:val="0"/>
          <w:bCs w:val="0"/>
        </w:rPr>
      </w:pPr>
    </w:p>
    <w:p w:rsidR="00953838" w:rsidRDefault="004D7795" w:rsidP="00867849">
      <w:pPr>
        <w:pStyle w:val="BodyText"/>
        <w:tabs>
          <w:tab w:val="left" w:pos="720"/>
        </w:tabs>
        <w:spacing w:line="480" w:lineRule="auto"/>
        <w:ind w:right="-54" w:firstLine="720"/>
        <w:jc w:val="both"/>
        <w:rPr>
          <w:b w:val="0"/>
          <w:bCs w:val="0"/>
        </w:rPr>
      </w:pPr>
      <w:r>
        <w:rPr>
          <w:b w:val="0"/>
          <w:bCs w:val="0"/>
        </w:rPr>
        <w:t>Throughout this ca</w:t>
      </w:r>
      <w:r w:rsidR="0024516A">
        <w:rPr>
          <w:b w:val="0"/>
          <w:bCs w:val="0"/>
        </w:rPr>
        <w:t>se we have continued to provide</w:t>
      </w:r>
      <w:r>
        <w:rPr>
          <w:b w:val="0"/>
          <w:bCs w:val="0"/>
        </w:rPr>
        <w:t xml:space="preserve"> updated information for any material changes that would affect revenue requirement, up or down.  Two examples include 1) the decrease in power supply costs, both as reflected in the May </w:t>
      </w:r>
      <w:r w:rsidR="00BE737C">
        <w:rPr>
          <w:b w:val="0"/>
          <w:bCs w:val="0"/>
        </w:rPr>
        <w:t>1</w:t>
      </w:r>
      <w:r>
        <w:rPr>
          <w:b w:val="0"/>
          <w:bCs w:val="0"/>
        </w:rPr>
        <w:t>, 2015</w:t>
      </w:r>
      <w:r w:rsidR="000D0E4C">
        <w:rPr>
          <w:b w:val="0"/>
          <w:bCs w:val="0"/>
        </w:rPr>
        <w:t>,</w:t>
      </w:r>
      <w:r>
        <w:rPr>
          <w:b w:val="0"/>
          <w:bCs w:val="0"/>
        </w:rPr>
        <w:t xml:space="preserve"> Mul</w:t>
      </w:r>
      <w:r w:rsidR="0024516A">
        <w:rPr>
          <w:b w:val="0"/>
          <w:bCs w:val="0"/>
        </w:rPr>
        <w:t>tiparty Settlement Agreement</w:t>
      </w:r>
      <w:r w:rsidR="00894D45">
        <w:rPr>
          <w:b w:val="0"/>
          <w:bCs w:val="0"/>
        </w:rPr>
        <w:t>,</w:t>
      </w:r>
      <w:r w:rsidR="0024516A">
        <w:rPr>
          <w:b w:val="0"/>
          <w:bCs w:val="0"/>
        </w:rPr>
        <w:t xml:space="preserve"> as well as</w:t>
      </w:r>
      <w:r>
        <w:rPr>
          <w:b w:val="0"/>
          <w:bCs w:val="0"/>
        </w:rPr>
        <w:t xml:space="preserve"> subsequent to that date, and 2) the update to our Production/Transmission Allocation Formula, which occurred </w:t>
      </w:r>
      <w:r w:rsidR="00BE737C">
        <w:rPr>
          <w:b w:val="0"/>
          <w:bCs w:val="0"/>
        </w:rPr>
        <w:t>in late January 2015</w:t>
      </w:r>
      <w:r w:rsidR="000D0E4C">
        <w:rPr>
          <w:b w:val="0"/>
          <w:bCs w:val="0"/>
        </w:rPr>
        <w:t>,</w:t>
      </w:r>
      <w:r w:rsidR="00BE737C">
        <w:rPr>
          <w:b w:val="0"/>
          <w:bCs w:val="0"/>
        </w:rPr>
        <w:t xml:space="preserve"> </w:t>
      </w:r>
      <w:r>
        <w:rPr>
          <w:b w:val="0"/>
          <w:bCs w:val="0"/>
        </w:rPr>
        <w:t xml:space="preserve">after </w:t>
      </w:r>
      <w:r w:rsidR="00BE737C">
        <w:rPr>
          <w:b w:val="0"/>
          <w:bCs w:val="0"/>
        </w:rPr>
        <w:t>completing our revenue requirement</w:t>
      </w:r>
      <w:r>
        <w:rPr>
          <w:b w:val="0"/>
          <w:bCs w:val="0"/>
        </w:rPr>
        <w:t>, and which shifted costs from our Washington jurisdiction to the Idaho jurisdiction, and reduced our Washington electric revenue requirement.</w:t>
      </w:r>
    </w:p>
    <w:p w:rsidR="00FD1392" w:rsidRPr="009C3198" w:rsidRDefault="00FD1392" w:rsidP="00867849">
      <w:pPr>
        <w:pStyle w:val="BodyText"/>
        <w:tabs>
          <w:tab w:val="left" w:pos="720"/>
        </w:tabs>
        <w:spacing w:line="480" w:lineRule="auto"/>
        <w:ind w:right="-54" w:firstLine="720"/>
        <w:jc w:val="both"/>
        <w:rPr>
          <w:bCs w:val="0"/>
        </w:rPr>
      </w:pPr>
      <w:r w:rsidRPr="009C3198">
        <w:rPr>
          <w:bCs w:val="0"/>
        </w:rPr>
        <w:t>Q.</w:t>
      </w:r>
      <w:r w:rsidRPr="009C3198">
        <w:rPr>
          <w:bCs w:val="0"/>
        </w:rPr>
        <w:tab/>
        <w:t>Beginning on page 44, line 14 of his testimony</w:t>
      </w:r>
      <w:r w:rsidR="008304AE">
        <w:rPr>
          <w:bCs w:val="0"/>
        </w:rPr>
        <w:t>,</w:t>
      </w:r>
      <w:r w:rsidR="000D0E4C">
        <w:rPr>
          <w:bCs w:val="0"/>
        </w:rPr>
        <w:t xml:space="preserve"> (Exhibit No.___(CRM-1T))</w:t>
      </w:r>
      <w:r w:rsidRPr="009C3198">
        <w:rPr>
          <w:bCs w:val="0"/>
        </w:rPr>
        <w:t>, Mr. McGuire describes the reduction in Avista’s electric revenue requirement from $33.2 million to $10.0 million, and the reduction in the natural gas revenue requirement from $12.0 million to $9.7 million.  He goes on to say on page 45</w:t>
      </w:r>
      <w:r w:rsidR="00A426CB">
        <w:rPr>
          <w:bCs w:val="0"/>
        </w:rPr>
        <w:t>, line 2</w:t>
      </w:r>
      <w:r w:rsidRPr="009C3198">
        <w:rPr>
          <w:bCs w:val="0"/>
        </w:rPr>
        <w:t xml:space="preserve"> that these lower revenue requirement amounts “represent what Avista should have provided in its direct case.”  </w:t>
      </w:r>
      <w:r w:rsidR="009C3198" w:rsidRPr="009C3198">
        <w:rPr>
          <w:bCs w:val="0"/>
        </w:rPr>
        <w:t xml:space="preserve">This same statement is repeated by </w:t>
      </w:r>
      <w:r w:rsidR="00EE30E9">
        <w:rPr>
          <w:bCs w:val="0"/>
        </w:rPr>
        <w:t xml:space="preserve">UTC witness </w:t>
      </w:r>
      <w:r w:rsidR="009C3198" w:rsidRPr="009C3198">
        <w:rPr>
          <w:bCs w:val="0"/>
        </w:rPr>
        <w:t>Mr. Hancock on page 6, line 2</w:t>
      </w:r>
      <w:r w:rsidR="000D0E4C">
        <w:rPr>
          <w:bCs w:val="0"/>
        </w:rPr>
        <w:t xml:space="preserve"> (Exhibit No.___(</w:t>
      </w:r>
      <w:proofErr w:type="spellStart"/>
      <w:r w:rsidR="000D0E4C">
        <w:rPr>
          <w:bCs w:val="0"/>
        </w:rPr>
        <w:t>CSH</w:t>
      </w:r>
      <w:proofErr w:type="spellEnd"/>
      <w:r w:rsidR="000D0E4C">
        <w:rPr>
          <w:bCs w:val="0"/>
        </w:rPr>
        <w:t>-1T))</w:t>
      </w:r>
      <w:r w:rsidR="009C3198" w:rsidRPr="009C3198">
        <w:rPr>
          <w:bCs w:val="0"/>
        </w:rPr>
        <w:t xml:space="preserve">.  </w:t>
      </w:r>
      <w:r w:rsidRPr="009C3198">
        <w:rPr>
          <w:bCs w:val="0"/>
        </w:rPr>
        <w:t>Is this an accurate statement?</w:t>
      </w:r>
    </w:p>
    <w:p w:rsidR="00FD1392" w:rsidRDefault="00FD1392" w:rsidP="00867849">
      <w:pPr>
        <w:pStyle w:val="BodyText"/>
        <w:tabs>
          <w:tab w:val="left" w:pos="720"/>
        </w:tabs>
        <w:spacing w:line="480" w:lineRule="auto"/>
        <w:ind w:right="-54" w:firstLine="720"/>
        <w:jc w:val="both"/>
        <w:rPr>
          <w:b w:val="0"/>
          <w:bCs w:val="0"/>
        </w:rPr>
      </w:pPr>
      <w:r>
        <w:rPr>
          <w:b w:val="0"/>
          <w:bCs w:val="0"/>
        </w:rPr>
        <w:t>A.</w:t>
      </w:r>
      <w:r>
        <w:rPr>
          <w:b w:val="0"/>
          <w:bCs w:val="0"/>
        </w:rPr>
        <w:tab/>
      </w:r>
      <w:r w:rsidR="009C3198">
        <w:rPr>
          <w:b w:val="0"/>
          <w:bCs w:val="0"/>
        </w:rPr>
        <w:t>No.  The majority of the reduction to revenue requirement was the result of updat</w:t>
      </w:r>
      <w:r w:rsidR="005B1020">
        <w:rPr>
          <w:b w:val="0"/>
          <w:bCs w:val="0"/>
        </w:rPr>
        <w:t>ed information subsequent to Avista’s</w:t>
      </w:r>
      <w:r w:rsidR="009C3198">
        <w:rPr>
          <w:b w:val="0"/>
          <w:bCs w:val="0"/>
        </w:rPr>
        <w:t xml:space="preserve"> February</w:t>
      </w:r>
      <w:r w:rsidR="005B1020">
        <w:rPr>
          <w:b w:val="0"/>
          <w:bCs w:val="0"/>
        </w:rPr>
        <w:t xml:space="preserve"> </w:t>
      </w:r>
      <w:r w:rsidR="00EE30E9">
        <w:rPr>
          <w:b w:val="0"/>
          <w:bCs w:val="0"/>
        </w:rPr>
        <w:t>9</w:t>
      </w:r>
      <w:r w:rsidR="005B1020">
        <w:rPr>
          <w:b w:val="0"/>
          <w:bCs w:val="0"/>
        </w:rPr>
        <w:t>,</w:t>
      </w:r>
      <w:r w:rsidR="009C3198">
        <w:rPr>
          <w:b w:val="0"/>
          <w:bCs w:val="0"/>
        </w:rPr>
        <w:t xml:space="preserve"> 2015 filing, or the result of negotiations related to the May </w:t>
      </w:r>
      <w:r w:rsidR="00BE737C">
        <w:rPr>
          <w:b w:val="0"/>
          <w:bCs w:val="0"/>
        </w:rPr>
        <w:t>1</w:t>
      </w:r>
      <w:r w:rsidR="005B1020">
        <w:rPr>
          <w:b w:val="0"/>
          <w:bCs w:val="0"/>
        </w:rPr>
        <w:t xml:space="preserve">, </w:t>
      </w:r>
      <w:r w:rsidR="009C3198">
        <w:rPr>
          <w:b w:val="0"/>
          <w:bCs w:val="0"/>
        </w:rPr>
        <w:t>2015 Multiparty Settlement Agreement.  Therefore, these lower numbers clearly do not “</w:t>
      </w:r>
      <w:r w:rsidR="009C3198" w:rsidRPr="009C3198">
        <w:rPr>
          <w:b w:val="0"/>
          <w:bCs w:val="0"/>
        </w:rPr>
        <w:t>represent what Avista should have provided in its direct case.”</w:t>
      </w:r>
    </w:p>
    <w:p w:rsidR="00C927A2" w:rsidRPr="00676B07" w:rsidRDefault="000656C9" w:rsidP="00867849">
      <w:pPr>
        <w:pStyle w:val="BodyText"/>
        <w:tabs>
          <w:tab w:val="left" w:pos="720"/>
        </w:tabs>
        <w:spacing w:line="480" w:lineRule="auto"/>
        <w:ind w:right="-54" w:firstLine="720"/>
        <w:jc w:val="both"/>
        <w:rPr>
          <w:bCs w:val="0"/>
        </w:rPr>
      </w:pPr>
      <w:r w:rsidRPr="00676B07">
        <w:rPr>
          <w:bCs w:val="0"/>
        </w:rPr>
        <w:lastRenderedPageBreak/>
        <w:t>Q.</w:t>
      </w:r>
      <w:r w:rsidRPr="00676B07">
        <w:rPr>
          <w:bCs w:val="0"/>
        </w:rPr>
        <w:tab/>
        <w:t>Mr. Gomez expr</w:t>
      </w:r>
      <w:r w:rsidR="00176BD4">
        <w:rPr>
          <w:bCs w:val="0"/>
        </w:rPr>
        <w:t>esses concerns</w:t>
      </w:r>
      <w:r w:rsidRPr="00676B07">
        <w:rPr>
          <w:bCs w:val="0"/>
        </w:rPr>
        <w:t xml:space="preserve"> regarding changes in the dollar amounts of the cost</w:t>
      </w:r>
      <w:r w:rsidR="00176BD4">
        <w:rPr>
          <w:bCs w:val="0"/>
        </w:rPr>
        <w:t>s</w:t>
      </w:r>
      <w:r w:rsidRPr="00676B07">
        <w:rPr>
          <w:bCs w:val="0"/>
        </w:rPr>
        <w:t xml:space="preserve"> to complete individual projects</w:t>
      </w:r>
      <w:r w:rsidR="00A573CF">
        <w:rPr>
          <w:bCs w:val="0"/>
        </w:rPr>
        <w:t xml:space="preserve">, and </w:t>
      </w:r>
      <w:r w:rsidR="00A573CF" w:rsidRPr="00676B07">
        <w:rPr>
          <w:bCs w:val="0"/>
        </w:rPr>
        <w:t>changes in the timing of the complet</w:t>
      </w:r>
      <w:r w:rsidR="00A573CF">
        <w:rPr>
          <w:bCs w:val="0"/>
        </w:rPr>
        <w:t>ion of capital projects</w:t>
      </w:r>
      <w:r w:rsidRPr="00676B07">
        <w:rPr>
          <w:bCs w:val="0"/>
        </w:rPr>
        <w:t>.</w:t>
      </w:r>
      <w:r w:rsidRPr="00676B07">
        <w:rPr>
          <w:rStyle w:val="FootnoteReference"/>
          <w:bCs w:val="0"/>
        </w:rPr>
        <w:footnoteReference w:id="3"/>
      </w:r>
      <w:r w:rsidRPr="00676B07">
        <w:rPr>
          <w:bCs w:val="0"/>
        </w:rPr>
        <w:t xml:space="preserve">  What is your response to this testimony?</w:t>
      </w:r>
    </w:p>
    <w:p w:rsidR="00FF7BF5" w:rsidRDefault="00BE1A58" w:rsidP="00867849">
      <w:pPr>
        <w:pStyle w:val="BodyText"/>
        <w:tabs>
          <w:tab w:val="left" w:pos="720"/>
        </w:tabs>
        <w:spacing w:line="480" w:lineRule="auto"/>
        <w:ind w:right="-54" w:firstLine="720"/>
        <w:jc w:val="both"/>
        <w:rPr>
          <w:b w:val="0"/>
        </w:rPr>
      </w:pPr>
      <w:r>
        <w:rPr>
          <w:b w:val="0"/>
          <w:bCs w:val="0"/>
        </w:rPr>
        <w:t>A.</w:t>
      </w:r>
      <w:r>
        <w:rPr>
          <w:b w:val="0"/>
          <w:bCs w:val="0"/>
        </w:rPr>
        <w:tab/>
      </w:r>
      <w:r w:rsidR="00B162A1">
        <w:rPr>
          <w:b w:val="0"/>
          <w:bCs w:val="0"/>
        </w:rPr>
        <w:t xml:space="preserve">The </w:t>
      </w:r>
      <w:r w:rsidR="007C6DC0">
        <w:rPr>
          <w:b w:val="0"/>
          <w:bCs w:val="0"/>
        </w:rPr>
        <w:t xml:space="preserve">changes in </w:t>
      </w:r>
      <w:r w:rsidR="000656C9">
        <w:rPr>
          <w:b w:val="0"/>
          <w:bCs w:val="0"/>
        </w:rPr>
        <w:t xml:space="preserve">numbers </w:t>
      </w:r>
      <w:r w:rsidR="00B162A1">
        <w:rPr>
          <w:b w:val="0"/>
          <w:bCs w:val="0"/>
        </w:rPr>
        <w:t xml:space="preserve">and changes in timing </w:t>
      </w:r>
      <w:r w:rsidR="000656C9">
        <w:rPr>
          <w:b w:val="0"/>
          <w:bCs w:val="0"/>
        </w:rPr>
        <w:t>that Mr. Gomez is expressing concerns about is a reflection</w:t>
      </w:r>
      <w:r w:rsidR="008542FA">
        <w:rPr>
          <w:b w:val="0"/>
          <w:bCs w:val="0"/>
        </w:rPr>
        <w:t>, in large part,</w:t>
      </w:r>
      <w:r w:rsidR="000656C9">
        <w:rPr>
          <w:b w:val="0"/>
          <w:bCs w:val="0"/>
        </w:rPr>
        <w:t xml:space="preserve"> of the actions </w:t>
      </w:r>
      <w:r w:rsidR="004E4E98">
        <w:rPr>
          <w:b w:val="0"/>
          <w:bCs w:val="0"/>
        </w:rPr>
        <w:t xml:space="preserve">taken by Avista </w:t>
      </w:r>
      <w:r w:rsidR="000656C9">
        <w:rPr>
          <w:b w:val="0"/>
          <w:bCs w:val="0"/>
        </w:rPr>
        <w:t>to do precisely what the Commission would expect the Company to do.</w:t>
      </w:r>
      <w:r w:rsidR="008542FA">
        <w:rPr>
          <w:b w:val="0"/>
          <w:bCs w:val="0"/>
        </w:rPr>
        <w:t xml:space="preserve">  </w:t>
      </w:r>
      <w:r w:rsidR="00D875C6">
        <w:rPr>
          <w:b w:val="0"/>
          <w:bCs w:val="0"/>
        </w:rPr>
        <w:t xml:space="preserve">As </w:t>
      </w:r>
      <w:r w:rsidR="00EE30E9">
        <w:rPr>
          <w:b w:val="0"/>
          <w:bCs w:val="0"/>
        </w:rPr>
        <w:t xml:space="preserve">Company witness </w:t>
      </w:r>
      <w:r w:rsidR="00D875C6">
        <w:rPr>
          <w:b w:val="0"/>
          <w:bCs w:val="0"/>
        </w:rPr>
        <w:t>Mr. Thies explained in his testimony,</w:t>
      </w:r>
      <w:r w:rsidR="00EE30E9">
        <w:rPr>
          <w:rStyle w:val="FootnoteReference"/>
          <w:b w:val="0"/>
          <w:bCs w:val="0"/>
        </w:rPr>
        <w:footnoteReference w:id="4"/>
      </w:r>
      <w:r w:rsidR="00D875C6">
        <w:rPr>
          <w:b w:val="0"/>
          <w:bCs w:val="0"/>
        </w:rPr>
        <w:t xml:space="preserve"> Avista has limited its</w:t>
      </w:r>
      <w:r w:rsidR="007C6DC0">
        <w:rPr>
          <w:b w:val="0"/>
          <w:bCs w:val="0"/>
        </w:rPr>
        <w:t xml:space="preserve"> annual capital spend</w:t>
      </w:r>
      <w:r w:rsidR="00D875C6">
        <w:rPr>
          <w:b w:val="0"/>
          <w:bCs w:val="0"/>
        </w:rPr>
        <w:t xml:space="preserve"> to a specific total dollar amount, which has been consistently less than the total capital spend requested by the </w:t>
      </w:r>
      <w:r w:rsidR="00D875C6" w:rsidRPr="00FF7BF5">
        <w:rPr>
          <w:b w:val="0"/>
          <w:bCs w:val="0"/>
        </w:rPr>
        <w:t>departments.</w:t>
      </w:r>
      <w:r w:rsidR="00FF7BF5" w:rsidRPr="00FF7BF5">
        <w:rPr>
          <w:rStyle w:val="FootnoteReference"/>
          <w:b w:val="0"/>
          <w:bCs w:val="0"/>
        </w:rPr>
        <w:t xml:space="preserve"> </w:t>
      </w:r>
      <w:r w:rsidR="00FF7BF5" w:rsidRPr="00FF7BF5">
        <w:rPr>
          <w:b w:val="0"/>
          <w:bCs w:val="0"/>
        </w:rPr>
        <w:t xml:space="preserve"> </w:t>
      </w:r>
      <w:r w:rsidR="00FF7BF5" w:rsidRPr="00FF7BF5">
        <w:rPr>
          <w:b w:val="0"/>
        </w:rPr>
        <w:t>Avista provided the overall level of capital investment and the total amount of capital requests for 2011-2014 in its response to ICNU Data Request N</w:t>
      </w:r>
      <w:r w:rsidR="00FF7BF5">
        <w:rPr>
          <w:b w:val="0"/>
        </w:rPr>
        <w:t xml:space="preserve">o. 109, which is provided in Table No. </w:t>
      </w:r>
      <w:r w:rsidR="00D72A3F">
        <w:rPr>
          <w:b w:val="0"/>
        </w:rPr>
        <w:t>1</w:t>
      </w:r>
      <w:r w:rsidR="00FF7BF5">
        <w:rPr>
          <w:b w:val="0"/>
        </w:rPr>
        <w:t xml:space="preserve"> below:</w:t>
      </w:r>
    </w:p>
    <w:p w:rsidR="00FF7BF5" w:rsidRDefault="005B3CA2" w:rsidP="00FF7BF5">
      <w:pPr>
        <w:pStyle w:val="Heading5"/>
        <w:numPr>
          <w:ilvl w:val="0"/>
          <w:numId w:val="0"/>
        </w:numPr>
        <w:tabs>
          <w:tab w:val="decimal" w:pos="3600"/>
        </w:tabs>
        <w:ind w:left="1008" w:right="-331" w:hanging="1008"/>
        <w:jc w:val="left"/>
      </w:pPr>
      <w:r>
        <w:rPr>
          <w:noProof/>
          <w:u w:val="single"/>
          <w:lang w:eastAsia="en-US"/>
        </w:rPr>
        <w:drawing>
          <wp:anchor distT="0" distB="0" distL="114300" distR="114300" simplePos="0" relativeHeight="251659264" behindDoc="1" locked="0" layoutInCell="1" allowOverlap="1">
            <wp:simplePos x="0" y="0"/>
            <wp:positionH relativeFrom="column">
              <wp:posOffset>669290</wp:posOffset>
            </wp:positionH>
            <wp:positionV relativeFrom="paragraph">
              <wp:posOffset>288290</wp:posOffset>
            </wp:positionV>
            <wp:extent cx="3893185" cy="160528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893185" cy="1605280"/>
                    </a:xfrm>
                    <a:prstGeom prst="rect">
                      <a:avLst/>
                    </a:prstGeom>
                    <a:noFill/>
                    <a:ln w="9525">
                      <a:noFill/>
                      <a:miter lim="800000"/>
                      <a:headEnd/>
                      <a:tailEnd/>
                    </a:ln>
                  </pic:spPr>
                </pic:pic>
              </a:graphicData>
            </a:graphic>
          </wp:anchor>
        </w:drawing>
      </w:r>
      <w:r w:rsidR="00FF7BF5" w:rsidRPr="00976DE3">
        <w:rPr>
          <w:rStyle w:val="PageNumber"/>
          <w:u w:val="single"/>
        </w:rPr>
        <w:t xml:space="preserve">Table No. 1 </w:t>
      </w:r>
      <w:r w:rsidR="00D72A3F">
        <w:rPr>
          <w:rStyle w:val="PageNumber"/>
          <w:u w:val="single"/>
        </w:rPr>
        <w:t>–</w:t>
      </w:r>
      <w:r w:rsidR="00FF7BF5" w:rsidRPr="00976DE3">
        <w:rPr>
          <w:rStyle w:val="PageNumber"/>
          <w:u w:val="single"/>
        </w:rPr>
        <w:t xml:space="preserve"> </w:t>
      </w:r>
      <w:r w:rsidR="00D72A3F">
        <w:rPr>
          <w:rStyle w:val="PageNumber"/>
          <w:u w:val="single"/>
        </w:rPr>
        <w:t>Capital Investment and Capital Requests</w:t>
      </w:r>
      <w:r w:rsidR="00D72A3F">
        <w:rPr>
          <w:rStyle w:val="FootnoteReference"/>
          <w:u w:val="single"/>
        </w:rPr>
        <w:footnoteReference w:id="5"/>
      </w:r>
    </w:p>
    <w:p w:rsidR="00FF7BF5" w:rsidRPr="00FF7BF5" w:rsidRDefault="00FF7BF5" w:rsidP="00867849">
      <w:pPr>
        <w:pStyle w:val="BodyText"/>
        <w:tabs>
          <w:tab w:val="left" w:pos="720"/>
        </w:tabs>
        <w:spacing w:line="480" w:lineRule="auto"/>
        <w:ind w:right="-54" w:firstLine="720"/>
        <w:jc w:val="both"/>
        <w:rPr>
          <w:b w:val="0"/>
          <w:bCs w:val="0"/>
        </w:rPr>
      </w:pPr>
    </w:p>
    <w:p w:rsidR="00FF7BF5" w:rsidRDefault="00FF7BF5" w:rsidP="00867849">
      <w:pPr>
        <w:pStyle w:val="BodyText"/>
        <w:tabs>
          <w:tab w:val="left" w:pos="720"/>
        </w:tabs>
        <w:spacing w:line="480" w:lineRule="auto"/>
        <w:ind w:right="-54" w:firstLine="720"/>
        <w:jc w:val="both"/>
        <w:rPr>
          <w:b w:val="0"/>
          <w:bCs w:val="0"/>
        </w:rPr>
      </w:pPr>
    </w:p>
    <w:p w:rsidR="00FF7BF5" w:rsidRDefault="00FF7BF5" w:rsidP="00867849">
      <w:pPr>
        <w:pStyle w:val="BodyText"/>
        <w:tabs>
          <w:tab w:val="left" w:pos="720"/>
        </w:tabs>
        <w:spacing w:line="480" w:lineRule="auto"/>
        <w:ind w:right="-54" w:firstLine="720"/>
        <w:jc w:val="both"/>
        <w:rPr>
          <w:b w:val="0"/>
          <w:bCs w:val="0"/>
        </w:rPr>
      </w:pPr>
    </w:p>
    <w:p w:rsidR="00FF7BF5" w:rsidRDefault="00FF7BF5" w:rsidP="00867849">
      <w:pPr>
        <w:pStyle w:val="BodyText"/>
        <w:tabs>
          <w:tab w:val="left" w:pos="720"/>
        </w:tabs>
        <w:spacing w:line="480" w:lineRule="auto"/>
        <w:ind w:right="-54" w:firstLine="720"/>
        <w:jc w:val="both"/>
        <w:rPr>
          <w:b w:val="0"/>
          <w:bCs w:val="0"/>
        </w:rPr>
      </w:pPr>
    </w:p>
    <w:p w:rsidR="00FF7BF5" w:rsidRDefault="00FF7BF5" w:rsidP="00867849">
      <w:pPr>
        <w:pStyle w:val="BodyText"/>
        <w:tabs>
          <w:tab w:val="left" w:pos="720"/>
        </w:tabs>
        <w:spacing w:line="480" w:lineRule="auto"/>
        <w:ind w:right="-54" w:firstLine="720"/>
        <w:jc w:val="both"/>
        <w:rPr>
          <w:b w:val="0"/>
          <w:bCs w:val="0"/>
        </w:rPr>
      </w:pPr>
    </w:p>
    <w:p w:rsidR="000656C9" w:rsidRDefault="007C6DC0" w:rsidP="00867849">
      <w:pPr>
        <w:pStyle w:val="BodyText"/>
        <w:tabs>
          <w:tab w:val="left" w:pos="720"/>
        </w:tabs>
        <w:spacing w:line="480" w:lineRule="auto"/>
        <w:ind w:right="-54" w:firstLine="720"/>
        <w:jc w:val="both"/>
        <w:rPr>
          <w:b w:val="0"/>
          <w:bCs w:val="0"/>
        </w:rPr>
      </w:pPr>
      <w:r>
        <w:rPr>
          <w:b w:val="0"/>
          <w:bCs w:val="0"/>
        </w:rPr>
        <w:t>As a result of this constrained capital spend level, capital projects must be prioritized so that the dollars flow where they are most needed.</w:t>
      </w:r>
      <w:r w:rsidR="004C5C6E">
        <w:rPr>
          <w:b w:val="0"/>
          <w:bCs w:val="0"/>
        </w:rPr>
        <w:t xml:space="preserve">  As unexpected</w:t>
      </w:r>
      <w:r w:rsidR="00313109">
        <w:rPr>
          <w:b w:val="0"/>
          <w:bCs w:val="0"/>
        </w:rPr>
        <w:t>,</w:t>
      </w:r>
      <w:r w:rsidR="004C5C6E">
        <w:rPr>
          <w:b w:val="0"/>
          <w:bCs w:val="0"/>
        </w:rPr>
        <w:t xml:space="preserve"> high-priority capital projects a</w:t>
      </w:r>
      <w:r w:rsidR="00183073">
        <w:rPr>
          <w:b w:val="0"/>
          <w:bCs w:val="0"/>
        </w:rPr>
        <w:t>rise, the capital projects</w:t>
      </w:r>
      <w:r w:rsidR="004C5C6E">
        <w:rPr>
          <w:b w:val="0"/>
          <w:bCs w:val="0"/>
        </w:rPr>
        <w:t xml:space="preserve"> </w:t>
      </w:r>
      <w:r w:rsidR="00BD3190">
        <w:rPr>
          <w:b w:val="0"/>
          <w:bCs w:val="0"/>
        </w:rPr>
        <w:t xml:space="preserve">for the year </w:t>
      </w:r>
      <w:r w:rsidR="004C5C6E">
        <w:rPr>
          <w:b w:val="0"/>
          <w:bCs w:val="0"/>
        </w:rPr>
        <w:t>must be reprior</w:t>
      </w:r>
      <w:r w:rsidR="00BD3190">
        <w:rPr>
          <w:b w:val="0"/>
          <w:bCs w:val="0"/>
        </w:rPr>
        <w:t>itized to limit the total spend</w:t>
      </w:r>
      <w:r w:rsidR="004C5C6E">
        <w:rPr>
          <w:b w:val="0"/>
          <w:bCs w:val="0"/>
        </w:rPr>
        <w:t xml:space="preserve"> to </w:t>
      </w:r>
      <w:r w:rsidR="004C5C6E">
        <w:rPr>
          <w:b w:val="0"/>
          <w:bCs w:val="0"/>
        </w:rPr>
        <w:lastRenderedPageBreak/>
        <w:t>the amount established by the Company and approved by the Board of Directors.</w:t>
      </w:r>
      <w:r w:rsidR="00322B0C">
        <w:rPr>
          <w:b w:val="0"/>
          <w:bCs w:val="0"/>
        </w:rPr>
        <w:t xml:space="preserve">  This can cause some projects to be delayed so that higher-priority projects can be completed.</w:t>
      </w:r>
    </w:p>
    <w:p w:rsidR="00322B0C" w:rsidRDefault="00322B0C" w:rsidP="00867849">
      <w:pPr>
        <w:pStyle w:val="BodyText"/>
        <w:tabs>
          <w:tab w:val="left" w:pos="720"/>
        </w:tabs>
        <w:spacing w:line="480" w:lineRule="auto"/>
        <w:ind w:right="-54" w:firstLine="720"/>
        <w:jc w:val="both"/>
        <w:rPr>
          <w:b w:val="0"/>
          <w:bCs w:val="0"/>
        </w:rPr>
      </w:pPr>
      <w:r>
        <w:rPr>
          <w:b w:val="0"/>
          <w:bCs w:val="0"/>
        </w:rPr>
        <w:t>In addition, some scheduled capital projects will encounter unexpected delays due to such things a</w:t>
      </w:r>
      <w:r w:rsidR="00183073">
        <w:rPr>
          <w:b w:val="0"/>
          <w:bCs w:val="0"/>
        </w:rPr>
        <w:t>s</w:t>
      </w:r>
      <w:r>
        <w:rPr>
          <w:b w:val="0"/>
          <w:bCs w:val="0"/>
        </w:rPr>
        <w:t xml:space="preserve"> permitting issues, delays in receipt of materials</w:t>
      </w:r>
      <w:r w:rsidR="00183073">
        <w:rPr>
          <w:b w:val="0"/>
          <w:bCs w:val="0"/>
        </w:rPr>
        <w:t xml:space="preserve"> and equipment</w:t>
      </w:r>
      <w:r>
        <w:rPr>
          <w:b w:val="0"/>
          <w:bCs w:val="0"/>
        </w:rPr>
        <w:t>, etc.  A delay in one project may allow another project to be accelerated in time as part of managing the availability of our workforce and to continue to make progress on projects</w:t>
      </w:r>
      <w:r w:rsidR="00183073">
        <w:rPr>
          <w:b w:val="0"/>
          <w:bCs w:val="0"/>
        </w:rPr>
        <w:t xml:space="preserve"> next </w:t>
      </w:r>
      <w:r>
        <w:rPr>
          <w:b w:val="0"/>
          <w:bCs w:val="0"/>
        </w:rPr>
        <w:t>in the “queue” that need to be</w:t>
      </w:r>
      <w:r w:rsidR="00183073">
        <w:rPr>
          <w:b w:val="0"/>
          <w:bCs w:val="0"/>
        </w:rPr>
        <w:t xml:space="preserve"> done</w:t>
      </w:r>
      <w:r>
        <w:rPr>
          <w:b w:val="0"/>
          <w:bCs w:val="0"/>
        </w:rPr>
        <w:t>.  This reprioritization occurs within the Capital Planning Group, which meets monthly to review t</w:t>
      </w:r>
      <w:r w:rsidR="00EE5DEF">
        <w:rPr>
          <w:b w:val="0"/>
          <w:bCs w:val="0"/>
        </w:rPr>
        <w:t>he status of capital projects, and is charged with ensuring that the total capital spend for the year stays within the limit established by the Company</w:t>
      </w:r>
      <w:r w:rsidR="00E46ADE">
        <w:rPr>
          <w:b w:val="0"/>
          <w:bCs w:val="0"/>
        </w:rPr>
        <w:t>’s Board of Directors</w:t>
      </w:r>
      <w:r w:rsidR="00EE5DEF">
        <w:rPr>
          <w:b w:val="0"/>
          <w:bCs w:val="0"/>
        </w:rPr>
        <w:t xml:space="preserve">.  The role of the Capital Planning Group was explained in </w:t>
      </w:r>
      <w:r w:rsidR="00EE30E9">
        <w:rPr>
          <w:b w:val="0"/>
          <w:bCs w:val="0"/>
        </w:rPr>
        <w:t xml:space="preserve">Company witness </w:t>
      </w:r>
      <w:r w:rsidR="00EE5DEF">
        <w:rPr>
          <w:b w:val="0"/>
          <w:bCs w:val="0"/>
        </w:rPr>
        <w:t>Ms. Schuh’s direct</w:t>
      </w:r>
      <w:r w:rsidR="000235DD">
        <w:rPr>
          <w:b w:val="0"/>
          <w:bCs w:val="0"/>
        </w:rPr>
        <w:t xml:space="preserve"> testimony beginning on page 4</w:t>
      </w:r>
      <w:r w:rsidR="00375097">
        <w:rPr>
          <w:b w:val="0"/>
          <w:bCs w:val="0"/>
        </w:rPr>
        <w:t xml:space="preserve"> (Exhibit No.___KKS-1T))</w:t>
      </w:r>
      <w:r w:rsidR="00EE5DEF">
        <w:rPr>
          <w:b w:val="0"/>
          <w:bCs w:val="0"/>
        </w:rPr>
        <w:t xml:space="preserve">, and additional details of the </w:t>
      </w:r>
      <w:r w:rsidR="00315567">
        <w:rPr>
          <w:b w:val="0"/>
          <w:bCs w:val="0"/>
        </w:rPr>
        <w:t xml:space="preserve">capital planning and </w:t>
      </w:r>
      <w:r w:rsidR="00EE5DEF">
        <w:rPr>
          <w:b w:val="0"/>
          <w:bCs w:val="0"/>
        </w:rPr>
        <w:t>reprioritization process were provided by Avista</w:t>
      </w:r>
      <w:r w:rsidR="008E7168">
        <w:rPr>
          <w:b w:val="0"/>
          <w:bCs w:val="0"/>
        </w:rPr>
        <w:t xml:space="preserve"> in response to Public Counsel’s Data Request No. 072 as follows:</w:t>
      </w:r>
    </w:p>
    <w:p w:rsidR="00767E95" w:rsidRPr="00FE309D" w:rsidRDefault="00767E95" w:rsidP="00867849">
      <w:pPr>
        <w:ind w:left="720" w:right="-54"/>
        <w:jc w:val="both"/>
      </w:pPr>
      <w:r w:rsidRPr="00BF3F70">
        <w:t xml:space="preserve">The Business case summary documents </w:t>
      </w:r>
      <w:r w:rsidRPr="00BF3F70">
        <w:rPr>
          <w:bCs/>
        </w:rPr>
        <w:t>provide support and analysis for a capital project or program. They</w:t>
      </w:r>
      <w:r w:rsidRPr="00FE309D">
        <w:t xml:space="preserve"> are created at the beginning or planning phase of the project, </w:t>
      </w:r>
      <w:r w:rsidRPr="00FE309D">
        <w:rPr>
          <w:rFonts w:eastAsia="Calibri"/>
        </w:rPr>
        <w:t>are a summary of the projects for project review and approval, and do not reflect updates or changes throughout the project life</w:t>
      </w:r>
      <w:r>
        <w:rPr>
          <w:rFonts w:eastAsia="Calibri"/>
        </w:rPr>
        <w:t xml:space="preserve"> unless there are significant changes to the dollars or scope of the project</w:t>
      </w:r>
      <w:r w:rsidRPr="00FE309D">
        <w:t xml:space="preserve">. The Capital Planning Group (CPG) reviews </w:t>
      </w:r>
      <w:r w:rsidRPr="00CD5364">
        <w:t>the status</w:t>
      </w:r>
      <w:r w:rsidRPr="00FE309D">
        <w:t xml:space="preserve"> of projects when the project owners submit funding changes</w:t>
      </w:r>
      <w:r>
        <w:t xml:space="preserve"> (requests for additional funds or release of funds)</w:t>
      </w:r>
      <w:r w:rsidRPr="00FE309D">
        <w:t xml:space="preserve"> based on the timing of equipment, permits, available crews, </w:t>
      </w:r>
      <w:r>
        <w:t xml:space="preserve">priorities of projects, </w:t>
      </w:r>
      <w:r w:rsidRPr="00FE309D">
        <w:t>etc. The CPG approves or declines</w:t>
      </w:r>
      <w:r>
        <w:t xml:space="preserve"> the requests</w:t>
      </w:r>
      <w:r w:rsidRPr="00FE309D">
        <w:t xml:space="preserve"> based on managing a total budget</w:t>
      </w:r>
      <w:r>
        <w:t xml:space="preserve"> amount</w:t>
      </w:r>
      <w:r w:rsidRPr="00FE309D">
        <w:t>. Therefore, as timing</w:t>
      </w:r>
      <w:r>
        <w:t>, project priorities</w:t>
      </w:r>
      <w:r w:rsidRPr="00FE309D">
        <w:t xml:space="preserve"> and other changes discussed above occur throughout the project, project </w:t>
      </w:r>
      <w:r>
        <w:t xml:space="preserve">funding may change, or one project </w:t>
      </w:r>
      <w:r w:rsidRPr="00FE309D">
        <w:t xml:space="preserve">may be funded while another is </w:t>
      </w:r>
      <w:r>
        <w:t xml:space="preserve">removed or delayed to allow higher priority projects to be funded, while remaining within the total approved capital budget amount. This is shown in the Company’s response to ICNU_DR_202 where the Company has an average actual spend of 101% of the planned capital expenditures.  </w:t>
      </w:r>
    </w:p>
    <w:p w:rsidR="008E7168" w:rsidRDefault="008E7168" w:rsidP="00867849">
      <w:pPr>
        <w:pStyle w:val="BodyText"/>
        <w:tabs>
          <w:tab w:val="left" w:pos="720"/>
        </w:tabs>
        <w:spacing w:line="480" w:lineRule="auto"/>
        <w:ind w:right="-54" w:firstLine="720"/>
        <w:jc w:val="both"/>
        <w:rPr>
          <w:b w:val="0"/>
          <w:bCs w:val="0"/>
        </w:rPr>
      </w:pPr>
    </w:p>
    <w:p w:rsidR="003F6D28" w:rsidRPr="006322C8" w:rsidRDefault="00315567" w:rsidP="00867849">
      <w:pPr>
        <w:pStyle w:val="BodyText"/>
        <w:tabs>
          <w:tab w:val="left" w:pos="720"/>
        </w:tabs>
        <w:spacing w:line="480" w:lineRule="auto"/>
        <w:ind w:right="-54" w:firstLine="720"/>
        <w:jc w:val="both"/>
        <w:rPr>
          <w:bCs w:val="0"/>
        </w:rPr>
      </w:pPr>
      <w:r w:rsidRPr="006322C8">
        <w:rPr>
          <w:bCs w:val="0"/>
        </w:rPr>
        <w:t>Q.</w:t>
      </w:r>
      <w:r w:rsidRPr="006322C8">
        <w:rPr>
          <w:bCs w:val="0"/>
        </w:rPr>
        <w:tab/>
        <w:t>Has the Company provided evidence that it manages the total capital spend for each year to the planned dollar limit?</w:t>
      </w:r>
    </w:p>
    <w:p w:rsidR="00315567" w:rsidRDefault="00315567" w:rsidP="00111991">
      <w:pPr>
        <w:pStyle w:val="BodyText"/>
        <w:tabs>
          <w:tab w:val="left" w:pos="720"/>
        </w:tabs>
        <w:spacing w:line="480" w:lineRule="auto"/>
        <w:ind w:right="-54" w:firstLine="720"/>
        <w:jc w:val="both"/>
        <w:rPr>
          <w:b w:val="0"/>
          <w:bCs w:val="0"/>
        </w:rPr>
      </w:pPr>
      <w:r>
        <w:rPr>
          <w:b w:val="0"/>
          <w:bCs w:val="0"/>
        </w:rPr>
        <w:lastRenderedPageBreak/>
        <w:t>A.</w:t>
      </w:r>
      <w:r>
        <w:rPr>
          <w:b w:val="0"/>
          <w:bCs w:val="0"/>
        </w:rPr>
        <w:tab/>
        <w:t xml:space="preserve">Yes.  </w:t>
      </w:r>
      <w:r w:rsidR="000235DD">
        <w:rPr>
          <w:b w:val="0"/>
          <w:bCs w:val="0"/>
        </w:rPr>
        <w:t>Page 6</w:t>
      </w:r>
      <w:r w:rsidR="006322C8">
        <w:rPr>
          <w:b w:val="0"/>
          <w:bCs w:val="0"/>
        </w:rPr>
        <w:t xml:space="preserve"> of Ms. Schuh’s direct testimony </w:t>
      </w:r>
      <w:r w:rsidR="00375097">
        <w:rPr>
          <w:b w:val="0"/>
          <w:bCs w:val="0"/>
        </w:rPr>
        <w:t xml:space="preserve">(Exhibit No.___KKS-1T)) </w:t>
      </w:r>
      <w:r w:rsidR="006322C8">
        <w:rPr>
          <w:b w:val="0"/>
          <w:bCs w:val="0"/>
        </w:rPr>
        <w:t>includes a table showing both the planned capital spend and the actual spend f</w:t>
      </w:r>
      <w:r w:rsidR="000235DD">
        <w:rPr>
          <w:b w:val="0"/>
          <w:bCs w:val="0"/>
        </w:rPr>
        <w:t xml:space="preserve">or each year from </w:t>
      </w:r>
      <w:r w:rsidR="00111991">
        <w:rPr>
          <w:b w:val="0"/>
          <w:bCs w:val="0"/>
        </w:rPr>
        <w:t xml:space="preserve">2006 to 2014.  An updated table was provided by the Company in response to ICNU Data Request No. 202, which is provided below.  </w:t>
      </w:r>
      <w:r w:rsidR="00976DE3">
        <w:rPr>
          <w:b w:val="0"/>
          <w:bCs w:val="0"/>
        </w:rPr>
        <w:t xml:space="preserve">Table No. </w:t>
      </w:r>
      <w:r w:rsidR="00D72A3F">
        <w:rPr>
          <w:b w:val="0"/>
          <w:bCs w:val="0"/>
        </w:rPr>
        <w:t>2</w:t>
      </w:r>
      <w:r w:rsidR="00976DE3">
        <w:rPr>
          <w:b w:val="0"/>
          <w:bCs w:val="0"/>
        </w:rPr>
        <w:t xml:space="preserve"> below</w:t>
      </w:r>
      <w:r w:rsidR="006322C8">
        <w:rPr>
          <w:b w:val="0"/>
          <w:bCs w:val="0"/>
        </w:rPr>
        <w:t xml:space="preserve"> shows the Company’s average actual</w:t>
      </w:r>
      <w:r w:rsidR="00111991">
        <w:rPr>
          <w:b w:val="0"/>
          <w:bCs w:val="0"/>
        </w:rPr>
        <w:t xml:space="preserve"> spend for this period was 101</w:t>
      </w:r>
      <w:r w:rsidR="006322C8">
        <w:rPr>
          <w:b w:val="0"/>
          <w:bCs w:val="0"/>
        </w:rPr>
        <w:t>% of the pla</w:t>
      </w:r>
      <w:r w:rsidR="00111991">
        <w:rPr>
          <w:b w:val="0"/>
          <w:bCs w:val="0"/>
        </w:rPr>
        <w:t>nned spend, and ranged from 88% to 108</w:t>
      </w:r>
      <w:r w:rsidR="006322C8">
        <w:rPr>
          <w:b w:val="0"/>
          <w:bCs w:val="0"/>
        </w:rPr>
        <w:t xml:space="preserve">%.  </w:t>
      </w:r>
    </w:p>
    <w:p w:rsidR="002E4AE0" w:rsidRDefault="00976DE3" w:rsidP="00976DE3">
      <w:pPr>
        <w:pStyle w:val="Heading5"/>
        <w:numPr>
          <w:ilvl w:val="0"/>
          <w:numId w:val="0"/>
        </w:numPr>
        <w:tabs>
          <w:tab w:val="decimal" w:pos="3600"/>
        </w:tabs>
        <w:ind w:left="1008" w:right="-331" w:hanging="1008"/>
        <w:jc w:val="left"/>
      </w:pPr>
      <w:r w:rsidRPr="00976DE3">
        <w:rPr>
          <w:rStyle w:val="PageNumber"/>
          <w:u w:val="single"/>
        </w:rPr>
        <w:t xml:space="preserve">Table No. </w:t>
      </w:r>
      <w:r w:rsidR="00D72A3F">
        <w:rPr>
          <w:rStyle w:val="PageNumber"/>
          <w:u w:val="single"/>
        </w:rPr>
        <w:t>2</w:t>
      </w:r>
      <w:r w:rsidRPr="00976DE3">
        <w:rPr>
          <w:rStyle w:val="PageNumber"/>
          <w:u w:val="single"/>
        </w:rPr>
        <w:t xml:space="preserve"> - </w:t>
      </w:r>
      <w:r w:rsidR="002E4AE0" w:rsidRPr="00976DE3">
        <w:rPr>
          <w:rStyle w:val="PageNumber"/>
          <w:u w:val="single"/>
        </w:rPr>
        <w:t>Planned</w:t>
      </w:r>
      <w:r w:rsidR="002E4AE0">
        <w:rPr>
          <w:rStyle w:val="PageNumber"/>
          <w:u w:val="single"/>
        </w:rPr>
        <w:t xml:space="preserve"> vs. Actual Expenditures</w:t>
      </w:r>
    </w:p>
    <w:p w:rsidR="002E4AE0" w:rsidRPr="002C138B" w:rsidRDefault="002E4AE0" w:rsidP="002E4AE0">
      <w:pPr>
        <w:tabs>
          <w:tab w:val="left" w:pos="3780"/>
          <w:tab w:val="left" w:pos="6120"/>
        </w:tabs>
        <w:ind w:right="-331" w:firstLine="720"/>
      </w:pPr>
      <w:r>
        <w:tab/>
      </w:r>
      <w:r w:rsidRPr="002C138B">
        <w:t>Planned</w:t>
      </w:r>
      <w:r w:rsidRPr="002C138B">
        <w:tab/>
        <w:t>Actual as a</w:t>
      </w:r>
    </w:p>
    <w:p w:rsidR="002E4AE0" w:rsidRPr="002C138B" w:rsidRDefault="002E4AE0" w:rsidP="002E4AE0">
      <w:pPr>
        <w:tabs>
          <w:tab w:val="left" w:pos="3510"/>
          <w:tab w:val="left" w:pos="6030"/>
        </w:tabs>
        <w:ind w:right="-331" w:firstLine="720"/>
      </w:pPr>
      <w:r w:rsidRPr="002C138B">
        <w:tab/>
        <w:t>Expenditures</w:t>
      </w:r>
      <w:r w:rsidRPr="002C138B">
        <w:tab/>
        <w:t>Percentage of</w:t>
      </w:r>
    </w:p>
    <w:p w:rsidR="002E4AE0" w:rsidRPr="002C138B" w:rsidRDefault="002E4AE0" w:rsidP="002E4AE0">
      <w:pPr>
        <w:tabs>
          <w:tab w:val="left" w:pos="3510"/>
          <w:tab w:val="right" w:pos="4770"/>
          <w:tab w:val="left" w:pos="6030"/>
          <w:tab w:val="right" w:pos="7380"/>
        </w:tabs>
        <w:ind w:right="-331" w:firstLine="720"/>
        <w:rPr>
          <w:u w:val="single"/>
        </w:rPr>
      </w:pPr>
      <w:r w:rsidRPr="002C138B">
        <w:tab/>
      </w:r>
      <w:r w:rsidRPr="002C138B">
        <w:rPr>
          <w:u w:val="single"/>
        </w:rPr>
        <w:t xml:space="preserve">  ($ millions)</w:t>
      </w:r>
      <w:r w:rsidRPr="002C138B">
        <w:rPr>
          <w:u w:val="single"/>
        </w:rPr>
        <w:tab/>
      </w:r>
      <w:r w:rsidRPr="002C138B">
        <w:tab/>
      </w:r>
      <w:r w:rsidRPr="002C138B">
        <w:rPr>
          <w:u w:val="single"/>
        </w:rPr>
        <w:t xml:space="preserve">     Planned</w:t>
      </w:r>
      <w:r w:rsidRPr="002C138B">
        <w:rPr>
          <w:u w:val="single"/>
        </w:rPr>
        <w:tab/>
      </w:r>
    </w:p>
    <w:p w:rsidR="002E4AE0" w:rsidRPr="002C138B" w:rsidRDefault="002E4AE0" w:rsidP="002E4AE0">
      <w:pPr>
        <w:tabs>
          <w:tab w:val="left" w:pos="1440"/>
          <w:tab w:val="left" w:pos="3780"/>
          <w:tab w:val="left" w:pos="6390"/>
        </w:tabs>
        <w:ind w:right="-331" w:firstLine="720"/>
      </w:pPr>
      <w:r>
        <w:rPr>
          <w:b/>
        </w:rPr>
        <w:tab/>
      </w:r>
      <w:r w:rsidRPr="002C138B">
        <w:t>2006</w:t>
      </w:r>
      <w:r w:rsidRPr="002C138B">
        <w:tab/>
        <w:t>$160.00</w:t>
      </w:r>
      <w:r w:rsidRPr="002C138B">
        <w:tab/>
        <w:t xml:space="preserve">  99%</w:t>
      </w:r>
    </w:p>
    <w:p w:rsidR="002E4AE0" w:rsidRPr="002C138B" w:rsidRDefault="002E4AE0" w:rsidP="002E4AE0">
      <w:pPr>
        <w:tabs>
          <w:tab w:val="left" w:pos="1440"/>
          <w:tab w:val="left" w:pos="3780"/>
          <w:tab w:val="left" w:pos="6390"/>
        </w:tabs>
        <w:ind w:right="-331" w:firstLine="720"/>
      </w:pPr>
      <w:r w:rsidRPr="002C138B">
        <w:tab/>
        <w:t>2007</w:t>
      </w:r>
      <w:r w:rsidRPr="002C138B">
        <w:tab/>
      </w:r>
      <w:r>
        <w:t xml:space="preserve">  </w:t>
      </w:r>
      <w:r w:rsidRPr="002C138B">
        <w:t>183.10</w:t>
      </w:r>
      <w:r w:rsidRPr="002C138B">
        <w:tab/>
        <w:t>108%</w:t>
      </w:r>
    </w:p>
    <w:p w:rsidR="002E4AE0" w:rsidRPr="002C138B" w:rsidRDefault="002E4AE0" w:rsidP="002E4AE0">
      <w:pPr>
        <w:tabs>
          <w:tab w:val="left" w:pos="1440"/>
          <w:tab w:val="left" w:pos="3780"/>
          <w:tab w:val="left" w:pos="6390"/>
        </w:tabs>
        <w:ind w:right="-331" w:firstLine="720"/>
      </w:pPr>
      <w:r w:rsidRPr="002C138B">
        <w:tab/>
        <w:t>2008</w:t>
      </w:r>
      <w:r w:rsidRPr="002C138B">
        <w:tab/>
      </w:r>
      <w:r>
        <w:t xml:space="preserve">  </w:t>
      </w:r>
      <w:r w:rsidRPr="002C138B">
        <w:t>190.00</w:t>
      </w:r>
      <w:r w:rsidRPr="002C138B">
        <w:tab/>
        <w:t>108%</w:t>
      </w:r>
    </w:p>
    <w:p w:rsidR="002E4AE0" w:rsidRPr="002C138B" w:rsidRDefault="002E4AE0" w:rsidP="002E4AE0">
      <w:pPr>
        <w:tabs>
          <w:tab w:val="left" w:pos="1440"/>
          <w:tab w:val="left" w:pos="3780"/>
          <w:tab w:val="left" w:pos="6480"/>
        </w:tabs>
        <w:ind w:right="-331" w:firstLine="720"/>
      </w:pPr>
      <w:r w:rsidRPr="002C138B">
        <w:tab/>
        <w:t>2009</w:t>
      </w:r>
      <w:r w:rsidRPr="002C138B">
        <w:tab/>
      </w:r>
      <w:r>
        <w:t xml:space="preserve">  </w:t>
      </w:r>
      <w:r w:rsidRPr="002C138B">
        <w:t>220.00</w:t>
      </w:r>
      <w:r w:rsidRPr="002C138B">
        <w:tab/>
        <w:t>91%</w:t>
      </w:r>
    </w:p>
    <w:p w:rsidR="002E4AE0" w:rsidRPr="002C138B" w:rsidRDefault="002E4AE0" w:rsidP="002E4AE0">
      <w:pPr>
        <w:tabs>
          <w:tab w:val="left" w:pos="1440"/>
          <w:tab w:val="left" w:pos="3780"/>
          <w:tab w:val="left" w:pos="6480"/>
        </w:tabs>
        <w:ind w:right="-331" w:firstLine="720"/>
      </w:pPr>
      <w:r w:rsidRPr="002C138B">
        <w:tab/>
        <w:t>2010</w:t>
      </w:r>
      <w:r w:rsidRPr="002C138B">
        <w:tab/>
      </w:r>
      <w:r>
        <w:t xml:space="preserve">  </w:t>
      </w:r>
      <w:r w:rsidRPr="002C138B">
        <w:t>235.00</w:t>
      </w:r>
      <w:r w:rsidRPr="002C138B">
        <w:tab/>
        <w:t>88%</w:t>
      </w:r>
    </w:p>
    <w:p w:rsidR="002E4AE0" w:rsidRPr="002C138B" w:rsidRDefault="002E4AE0" w:rsidP="002E4AE0">
      <w:pPr>
        <w:tabs>
          <w:tab w:val="left" w:pos="1440"/>
          <w:tab w:val="left" w:pos="3780"/>
          <w:tab w:val="left" w:pos="6480"/>
        </w:tabs>
        <w:ind w:right="-331" w:firstLine="720"/>
      </w:pPr>
      <w:r w:rsidRPr="002C138B">
        <w:tab/>
        <w:t>2011</w:t>
      </w:r>
      <w:r w:rsidRPr="002C138B">
        <w:tab/>
      </w:r>
      <w:r>
        <w:t xml:space="preserve">  260.00</w:t>
      </w:r>
      <w:r>
        <w:tab/>
      </w:r>
      <w:r w:rsidRPr="002C138B">
        <w:t>95%</w:t>
      </w:r>
    </w:p>
    <w:p w:rsidR="002E4AE0" w:rsidRPr="002C138B" w:rsidRDefault="002E4AE0" w:rsidP="002E4AE0">
      <w:pPr>
        <w:tabs>
          <w:tab w:val="left" w:pos="1440"/>
          <w:tab w:val="left" w:pos="3780"/>
          <w:tab w:val="left" w:pos="6390"/>
        </w:tabs>
        <w:ind w:right="-331" w:firstLine="720"/>
      </w:pPr>
      <w:r w:rsidRPr="002C138B">
        <w:tab/>
        <w:t>2012</w:t>
      </w:r>
      <w:r w:rsidRPr="002C138B">
        <w:tab/>
      </w:r>
      <w:r>
        <w:t xml:space="preserve">  </w:t>
      </w:r>
      <w:r w:rsidRPr="002C138B">
        <w:t>255.00</w:t>
      </w:r>
      <w:r w:rsidRPr="002C138B">
        <w:tab/>
        <w:t>103%</w:t>
      </w:r>
    </w:p>
    <w:p w:rsidR="002E4AE0" w:rsidRPr="002C138B" w:rsidRDefault="002E4AE0" w:rsidP="002E4AE0">
      <w:pPr>
        <w:tabs>
          <w:tab w:val="left" w:pos="1440"/>
          <w:tab w:val="left" w:pos="3780"/>
          <w:tab w:val="left" w:pos="6390"/>
        </w:tabs>
        <w:ind w:right="-331" w:firstLine="720"/>
      </w:pPr>
      <w:r w:rsidRPr="002C138B">
        <w:tab/>
        <w:t>2013</w:t>
      </w:r>
      <w:r w:rsidRPr="002C138B">
        <w:tab/>
      </w:r>
      <w:r>
        <w:t xml:space="preserve">  </w:t>
      </w:r>
      <w:r w:rsidRPr="002C138B">
        <w:t>275.00</w:t>
      </w:r>
      <w:r w:rsidRPr="002C138B">
        <w:tab/>
        <w:t>108%</w:t>
      </w:r>
    </w:p>
    <w:p w:rsidR="002E4AE0" w:rsidRPr="002C138B" w:rsidRDefault="002E4AE0" w:rsidP="002E4AE0">
      <w:pPr>
        <w:tabs>
          <w:tab w:val="left" w:pos="1440"/>
          <w:tab w:val="left" w:pos="3510"/>
          <w:tab w:val="left" w:pos="3870"/>
          <w:tab w:val="right" w:pos="4770"/>
          <w:tab w:val="left" w:pos="6030"/>
          <w:tab w:val="left" w:pos="6390"/>
          <w:tab w:val="right" w:pos="7380"/>
        </w:tabs>
        <w:ind w:right="-331" w:firstLine="720"/>
        <w:rPr>
          <w:u w:val="single"/>
        </w:rPr>
      </w:pPr>
      <w:r w:rsidRPr="002C138B">
        <w:tab/>
        <w:t>2014</w:t>
      </w:r>
      <w:r>
        <w:tab/>
      </w:r>
      <w:r w:rsidRPr="002C138B">
        <w:rPr>
          <w:u w:val="single"/>
        </w:rPr>
        <w:tab/>
        <w:t>336.00</w:t>
      </w:r>
      <w:r w:rsidRPr="002C138B">
        <w:rPr>
          <w:u w:val="single"/>
        </w:rPr>
        <w:tab/>
      </w:r>
      <w:r>
        <w:tab/>
      </w:r>
      <w:r w:rsidRPr="00C36A46">
        <w:rPr>
          <w:u w:val="single"/>
        </w:rPr>
        <w:tab/>
        <w:t>105</w:t>
      </w:r>
      <w:r w:rsidRPr="002C138B">
        <w:rPr>
          <w:u w:val="single"/>
        </w:rPr>
        <w:t>%</w:t>
      </w:r>
      <w:r w:rsidRPr="002C138B">
        <w:rPr>
          <w:u w:val="single"/>
        </w:rPr>
        <w:tab/>
      </w:r>
    </w:p>
    <w:p w:rsidR="002E4AE0" w:rsidRPr="002C138B" w:rsidRDefault="002E4AE0" w:rsidP="002E4AE0">
      <w:pPr>
        <w:tabs>
          <w:tab w:val="left" w:pos="810"/>
          <w:tab w:val="left" w:pos="3780"/>
          <w:tab w:val="left" w:pos="6390"/>
        </w:tabs>
        <w:ind w:right="-331" w:firstLine="720"/>
      </w:pPr>
      <w:r>
        <w:rPr>
          <w:b/>
        </w:rPr>
        <w:tab/>
      </w:r>
      <w:r>
        <w:t>Nine</w:t>
      </w:r>
      <w:r w:rsidRPr="002C138B">
        <w:t xml:space="preserve"> Year Average</w:t>
      </w:r>
      <w:r w:rsidRPr="002C138B">
        <w:tab/>
        <w:t>$234.90</w:t>
      </w:r>
      <w:r w:rsidRPr="002C138B">
        <w:tab/>
        <w:t>101%</w:t>
      </w:r>
    </w:p>
    <w:p w:rsidR="00C17D2B" w:rsidRDefault="00C17D2B" w:rsidP="00867849">
      <w:pPr>
        <w:pStyle w:val="BodyText"/>
        <w:tabs>
          <w:tab w:val="left" w:pos="720"/>
        </w:tabs>
        <w:spacing w:line="480" w:lineRule="auto"/>
        <w:ind w:right="-54"/>
        <w:jc w:val="both"/>
        <w:rPr>
          <w:b w:val="0"/>
          <w:bCs w:val="0"/>
        </w:rPr>
      </w:pPr>
    </w:p>
    <w:p w:rsidR="00706E68" w:rsidRDefault="00706E68" w:rsidP="00867849">
      <w:pPr>
        <w:pStyle w:val="BodyText"/>
        <w:tabs>
          <w:tab w:val="left" w:pos="720"/>
        </w:tabs>
        <w:spacing w:line="480" w:lineRule="auto"/>
        <w:ind w:right="-54" w:firstLine="720"/>
        <w:jc w:val="both"/>
        <w:rPr>
          <w:b w:val="0"/>
          <w:bCs w:val="0"/>
        </w:rPr>
      </w:pPr>
      <w:r>
        <w:rPr>
          <w:b w:val="0"/>
          <w:bCs w:val="0"/>
        </w:rPr>
        <w:t>These data demonstrate that, although individual project timing and dollar amounts will vary within a year,</w:t>
      </w:r>
      <w:r w:rsidR="002A365D">
        <w:rPr>
          <w:b w:val="0"/>
          <w:bCs w:val="0"/>
        </w:rPr>
        <w:t xml:space="preserve"> and will sometimes carry over from one year to the next,</w:t>
      </w:r>
      <w:r>
        <w:rPr>
          <w:b w:val="0"/>
          <w:bCs w:val="0"/>
        </w:rPr>
        <w:t xml:space="preserve"> the Company mana</w:t>
      </w:r>
      <w:r w:rsidR="002A365D">
        <w:rPr>
          <w:b w:val="0"/>
          <w:bCs w:val="0"/>
        </w:rPr>
        <w:t>ges its overall spend to be</w:t>
      </w:r>
      <w:r>
        <w:rPr>
          <w:b w:val="0"/>
          <w:bCs w:val="0"/>
        </w:rPr>
        <w:t xml:space="preserve"> </w:t>
      </w:r>
      <w:r w:rsidR="00E46ADE">
        <w:rPr>
          <w:b w:val="0"/>
          <w:bCs w:val="0"/>
        </w:rPr>
        <w:t>c</w:t>
      </w:r>
      <w:r w:rsidR="006023DC">
        <w:rPr>
          <w:b w:val="0"/>
          <w:bCs w:val="0"/>
        </w:rPr>
        <w:t>lose to</w:t>
      </w:r>
      <w:r>
        <w:rPr>
          <w:b w:val="0"/>
          <w:bCs w:val="0"/>
        </w:rPr>
        <w:t xml:space="preserve"> the overall planned amount.</w:t>
      </w:r>
    </w:p>
    <w:p w:rsidR="006A0BA9" w:rsidRPr="006A0BA9" w:rsidRDefault="006A0BA9" w:rsidP="00867849">
      <w:pPr>
        <w:pStyle w:val="BodyText"/>
        <w:tabs>
          <w:tab w:val="left" w:pos="720"/>
        </w:tabs>
        <w:spacing w:line="480" w:lineRule="auto"/>
        <w:ind w:right="-54" w:firstLine="720"/>
        <w:jc w:val="both"/>
        <w:rPr>
          <w:bCs w:val="0"/>
        </w:rPr>
      </w:pPr>
      <w:r w:rsidRPr="006A0BA9">
        <w:rPr>
          <w:bCs w:val="0"/>
        </w:rPr>
        <w:t>Q.</w:t>
      </w:r>
      <w:r w:rsidRPr="006A0BA9">
        <w:rPr>
          <w:bCs w:val="0"/>
        </w:rPr>
        <w:tab/>
        <w:t xml:space="preserve">Did the </w:t>
      </w:r>
      <w:r w:rsidR="00EB2427">
        <w:rPr>
          <w:bCs w:val="0"/>
        </w:rPr>
        <w:t>Staff</w:t>
      </w:r>
      <w:r w:rsidRPr="006A0BA9">
        <w:rPr>
          <w:bCs w:val="0"/>
        </w:rPr>
        <w:t xml:space="preserve"> and intervenors identify any completed or planned capital projects that the Company either should not have done, or should not do, other than AMI?</w:t>
      </w:r>
    </w:p>
    <w:p w:rsidR="002B4667" w:rsidRDefault="006A0BA9" w:rsidP="00867849">
      <w:pPr>
        <w:pStyle w:val="BodyText"/>
        <w:tabs>
          <w:tab w:val="left" w:pos="720"/>
        </w:tabs>
        <w:spacing w:line="480" w:lineRule="auto"/>
        <w:ind w:right="-54" w:firstLine="720"/>
        <w:jc w:val="both"/>
        <w:rPr>
          <w:b w:val="0"/>
          <w:bCs w:val="0"/>
        </w:rPr>
      </w:pPr>
      <w:r>
        <w:rPr>
          <w:b w:val="0"/>
          <w:bCs w:val="0"/>
        </w:rPr>
        <w:t>A.</w:t>
      </w:r>
      <w:r>
        <w:rPr>
          <w:b w:val="0"/>
          <w:bCs w:val="0"/>
        </w:rPr>
        <w:tab/>
        <w:t>No.  To my recollection</w:t>
      </w:r>
      <w:r w:rsidR="002D230A">
        <w:rPr>
          <w:b w:val="0"/>
          <w:bCs w:val="0"/>
        </w:rPr>
        <w:t>,</w:t>
      </w:r>
      <w:r>
        <w:rPr>
          <w:b w:val="0"/>
          <w:bCs w:val="0"/>
        </w:rPr>
        <w:t xml:space="preserve"> in reading all the testimony, the parties did not express opposition to any specific capital projects other than AMI.</w:t>
      </w:r>
    </w:p>
    <w:p w:rsidR="005B3CA2" w:rsidRDefault="005B3CA2" w:rsidP="00867849">
      <w:pPr>
        <w:pStyle w:val="BodyText"/>
        <w:tabs>
          <w:tab w:val="left" w:pos="720"/>
        </w:tabs>
        <w:spacing w:line="480" w:lineRule="auto"/>
        <w:ind w:right="-54"/>
        <w:jc w:val="both"/>
        <w:rPr>
          <w:bCs w:val="0"/>
          <w:u w:val="single"/>
        </w:rPr>
      </w:pPr>
    </w:p>
    <w:p w:rsidR="00B45CF4" w:rsidRDefault="00214F4C" w:rsidP="00867849">
      <w:pPr>
        <w:pStyle w:val="BodyText"/>
        <w:tabs>
          <w:tab w:val="left" w:pos="720"/>
        </w:tabs>
        <w:spacing w:line="480" w:lineRule="auto"/>
        <w:ind w:right="-54"/>
        <w:jc w:val="both"/>
        <w:rPr>
          <w:bCs w:val="0"/>
          <w:u w:val="single"/>
        </w:rPr>
      </w:pPr>
      <w:r w:rsidRPr="00183073">
        <w:rPr>
          <w:bCs w:val="0"/>
          <w:u w:val="single"/>
        </w:rPr>
        <w:lastRenderedPageBreak/>
        <w:t>The S</w:t>
      </w:r>
      <w:r w:rsidR="00E93518" w:rsidRPr="00183073">
        <w:rPr>
          <w:bCs w:val="0"/>
          <w:u w:val="single"/>
        </w:rPr>
        <w:t>ufficiency of</w:t>
      </w:r>
      <w:r w:rsidR="009F5DE8" w:rsidRPr="00183073">
        <w:rPr>
          <w:bCs w:val="0"/>
          <w:u w:val="single"/>
        </w:rPr>
        <w:t xml:space="preserve"> evi</w:t>
      </w:r>
      <w:r w:rsidR="00E93518" w:rsidRPr="00183073">
        <w:rPr>
          <w:bCs w:val="0"/>
          <w:u w:val="single"/>
        </w:rPr>
        <w:t>dence provided by Avista in its initial filing, and through discovery</w:t>
      </w:r>
    </w:p>
    <w:p w:rsidR="00023E02" w:rsidRPr="00B45CF4" w:rsidRDefault="00B45CF4" w:rsidP="00867849">
      <w:pPr>
        <w:pStyle w:val="BodyText"/>
        <w:tabs>
          <w:tab w:val="left" w:pos="720"/>
        </w:tabs>
        <w:spacing w:line="480" w:lineRule="auto"/>
        <w:ind w:right="-54"/>
        <w:jc w:val="both"/>
        <w:rPr>
          <w:bCs w:val="0"/>
          <w:u w:val="single"/>
        </w:rPr>
      </w:pPr>
      <w:r>
        <w:rPr>
          <w:bCs w:val="0"/>
        </w:rPr>
        <w:tab/>
      </w:r>
      <w:r w:rsidR="00023E02" w:rsidRPr="00923855">
        <w:rPr>
          <w:bCs w:val="0"/>
        </w:rPr>
        <w:t>Q.</w:t>
      </w:r>
      <w:r w:rsidR="00023E02" w:rsidRPr="00923855">
        <w:rPr>
          <w:bCs w:val="0"/>
        </w:rPr>
        <w:tab/>
      </w:r>
      <w:r w:rsidR="00B41E6B">
        <w:rPr>
          <w:bCs w:val="0"/>
        </w:rPr>
        <w:t xml:space="preserve">In </w:t>
      </w:r>
      <w:r w:rsidR="006C795D" w:rsidRPr="00923855">
        <w:rPr>
          <w:bCs w:val="0"/>
        </w:rPr>
        <w:t xml:space="preserve">its testimony, </w:t>
      </w:r>
      <w:r w:rsidR="00EB2427">
        <w:rPr>
          <w:bCs w:val="0"/>
        </w:rPr>
        <w:t>Staff</w:t>
      </w:r>
      <w:r w:rsidR="006C795D" w:rsidRPr="00923855">
        <w:rPr>
          <w:bCs w:val="0"/>
        </w:rPr>
        <w:t xml:space="preserve"> expressed concerns about “inadequate </w:t>
      </w:r>
      <w:r w:rsidR="00BC3451" w:rsidRPr="00923855">
        <w:rPr>
          <w:bCs w:val="0"/>
        </w:rPr>
        <w:t>documentation” and supporting evidence provided by Avista related to its planned capital additions.</w:t>
      </w:r>
      <w:r w:rsidR="00BC3451" w:rsidRPr="00923855">
        <w:rPr>
          <w:rStyle w:val="FootnoteReference"/>
          <w:bCs w:val="0"/>
        </w:rPr>
        <w:footnoteReference w:id="6"/>
      </w:r>
      <w:r w:rsidR="00923855" w:rsidRPr="00923855">
        <w:rPr>
          <w:bCs w:val="0"/>
        </w:rPr>
        <w:t xml:space="preserve">  Do you agree that Avista was deficient with its supporting evidence?</w:t>
      </w:r>
    </w:p>
    <w:p w:rsidR="00923855" w:rsidRDefault="00923855" w:rsidP="00867849">
      <w:pPr>
        <w:pStyle w:val="BodyText"/>
        <w:tabs>
          <w:tab w:val="left" w:pos="720"/>
        </w:tabs>
        <w:spacing w:line="480" w:lineRule="auto"/>
        <w:ind w:right="-54"/>
        <w:jc w:val="both"/>
        <w:rPr>
          <w:b w:val="0"/>
          <w:bCs w:val="0"/>
        </w:rPr>
      </w:pPr>
      <w:r>
        <w:rPr>
          <w:b w:val="0"/>
          <w:bCs w:val="0"/>
        </w:rPr>
        <w:tab/>
        <w:t>A.</w:t>
      </w:r>
      <w:r>
        <w:rPr>
          <w:b w:val="0"/>
          <w:bCs w:val="0"/>
        </w:rPr>
        <w:tab/>
        <w:t xml:space="preserve">No.  </w:t>
      </w:r>
      <w:r w:rsidR="00A1286D">
        <w:rPr>
          <w:b w:val="0"/>
          <w:bCs w:val="0"/>
        </w:rPr>
        <w:t>Avista provided extensive evidence in these Dockets supporting its proposed revenue adjustments, especially with regard to current and planned capital</w:t>
      </w:r>
      <w:r w:rsidR="00D07EA0">
        <w:rPr>
          <w:b w:val="0"/>
          <w:bCs w:val="0"/>
        </w:rPr>
        <w:t xml:space="preserve"> additions.  </w:t>
      </w:r>
      <w:r w:rsidR="00EE30E9">
        <w:rPr>
          <w:b w:val="0"/>
          <w:bCs w:val="0"/>
        </w:rPr>
        <w:t xml:space="preserve">Company witness </w:t>
      </w:r>
      <w:r w:rsidR="00D07EA0">
        <w:rPr>
          <w:b w:val="0"/>
          <w:bCs w:val="0"/>
        </w:rPr>
        <w:t>Mr. Kinney provides</w:t>
      </w:r>
      <w:r w:rsidR="00A1286D">
        <w:rPr>
          <w:b w:val="0"/>
          <w:bCs w:val="0"/>
        </w:rPr>
        <w:t xml:space="preserve"> details related to generating plant capital additions, </w:t>
      </w:r>
      <w:r w:rsidR="00EE30E9">
        <w:rPr>
          <w:b w:val="0"/>
          <w:bCs w:val="0"/>
        </w:rPr>
        <w:t xml:space="preserve">Company witness </w:t>
      </w:r>
      <w:r w:rsidR="00A1286D">
        <w:rPr>
          <w:b w:val="0"/>
          <w:bCs w:val="0"/>
        </w:rPr>
        <w:t>Mr. Cox for transmission plant, Mr. Kensok for information technology, and Ms. Schuh for common plant and other capital investment.</w:t>
      </w:r>
      <w:r w:rsidR="00375097">
        <w:rPr>
          <w:rStyle w:val="FootnoteReference"/>
          <w:b w:val="0"/>
          <w:bCs w:val="0"/>
        </w:rPr>
        <w:footnoteReference w:id="7"/>
      </w:r>
      <w:r w:rsidR="00DA6C5B">
        <w:rPr>
          <w:b w:val="0"/>
          <w:bCs w:val="0"/>
        </w:rPr>
        <w:t xml:space="preserve">  We provided a significant amount of supporting information in our </w:t>
      </w:r>
      <w:r w:rsidR="007F3311">
        <w:rPr>
          <w:b w:val="0"/>
          <w:bCs w:val="0"/>
        </w:rPr>
        <w:t>pre-file</w:t>
      </w:r>
      <w:r w:rsidR="00E46ADE">
        <w:rPr>
          <w:b w:val="0"/>
          <w:bCs w:val="0"/>
        </w:rPr>
        <w:t>d</w:t>
      </w:r>
      <w:r w:rsidR="007F3311">
        <w:rPr>
          <w:b w:val="0"/>
          <w:bCs w:val="0"/>
        </w:rPr>
        <w:t xml:space="preserve"> case, and provided even</w:t>
      </w:r>
      <w:r w:rsidR="00DA6C5B">
        <w:rPr>
          <w:b w:val="0"/>
          <w:bCs w:val="0"/>
        </w:rPr>
        <w:t xml:space="preserve"> more detail in response to discovery requests by the parties.</w:t>
      </w:r>
    </w:p>
    <w:p w:rsidR="007D11F4" w:rsidRDefault="00DA6C5B" w:rsidP="00867849">
      <w:pPr>
        <w:pStyle w:val="BodyText"/>
        <w:tabs>
          <w:tab w:val="left" w:pos="720"/>
        </w:tabs>
        <w:spacing w:line="480" w:lineRule="auto"/>
        <w:ind w:right="-54"/>
        <w:jc w:val="both"/>
        <w:rPr>
          <w:b w:val="0"/>
          <w:bCs w:val="0"/>
        </w:rPr>
      </w:pPr>
      <w:r>
        <w:rPr>
          <w:b w:val="0"/>
          <w:bCs w:val="0"/>
        </w:rPr>
        <w:tab/>
        <w:t>In fact, this is one instance where I agree with Mr. Mullins’ testimony on page 23, line 3</w:t>
      </w:r>
      <w:r w:rsidR="00D335DF">
        <w:rPr>
          <w:b w:val="0"/>
          <w:bCs w:val="0"/>
        </w:rPr>
        <w:t>,</w:t>
      </w:r>
      <w:r>
        <w:rPr>
          <w:b w:val="0"/>
          <w:bCs w:val="0"/>
        </w:rPr>
        <w:t xml:space="preserve"> </w:t>
      </w:r>
      <w:r w:rsidR="00375097">
        <w:rPr>
          <w:b w:val="0"/>
          <w:bCs w:val="0"/>
        </w:rPr>
        <w:t xml:space="preserve">(Exhibit No.___(BGM-1T)) </w:t>
      </w:r>
      <w:r>
        <w:rPr>
          <w:b w:val="0"/>
          <w:bCs w:val="0"/>
        </w:rPr>
        <w:t>where he states:</w:t>
      </w:r>
    </w:p>
    <w:p w:rsidR="00DA6C5B" w:rsidRDefault="005941C6" w:rsidP="00867849">
      <w:pPr>
        <w:pStyle w:val="BodyText"/>
        <w:tabs>
          <w:tab w:val="left" w:pos="720"/>
        </w:tabs>
        <w:spacing w:line="240" w:lineRule="auto"/>
        <w:ind w:left="720" w:right="-54" w:hanging="720"/>
        <w:jc w:val="both"/>
        <w:rPr>
          <w:b w:val="0"/>
          <w:bCs w:val="0"/>
        </w:rPr>
      </w:pPr>
      <w:r>
        <w:rPr>
          <w:b w:val="0"/>
          <w:bCs w:val="0"/>
        </w:rPr>
        <w:tab/>
        <w:t xml:space="preserve">While the Company presented </w:t>
      </w:r>
      <w:r w:rsidRPr="00736EB3">
        <w:rPr>
          <w:b w:val="0"/>
          <w:bCs w:val="0"/>
          <w:u w:val="single"/>
        </w:rPr>
        <w:t>a voluminous amount of data</w:t>
      </w:r>
      <w:r>
        <w:rPr>
          <w:b w:val="0"/>
          <w:bCs w:val="0"/>
        </w:rPr>
        <w:t xml:space="preserve"> for the 150 capital projects proposed for 2015 and 2016, it would be impractical within the scope of the evidentiary record in this proceeding for the Commission to evaluate the merits of each and every pro forma capital project proposed by the Company.</w:t>
      </w:r>
      <w:r w:rsidR="00736EB3">
        <w:rPr>
          <w:b w:val="0"/>
          <w:bCs w:val="0"/>
        </w:rPr>
        <w:t xml:space="preserve"> (emphasis added)</w:t>
      </w:r>
    </w:p>
    <w:p w:rsidR="005941C6" w:rsidRDefault="005941C6" w:rsidP="00867849">
      <w:pPr>
        <w:pStyle w:val="BodyText"/>
        <w:tabs>
          <w:tab w:val="left" w:pos="720"/>
        </w:tabs>
        <w:spacing w:line="480" w:lineRule="auto"/>
        <w:ind w:left="720" w:right="-54" w:hanging="720"/>
        <w:jc w:val="both"/>
        <w:rPr>
          <w:b w:val="0"/>
          <w:bCs w:val="0"/>
        </w:rPr>
      </w:pPr>
    </w:p>
    <w:p w:rsidR="005941C6" w:rsidRDefault="00705895" w:rsidP="00867849">
      <w:pPr>
        <w:pStyle w:val="BodyText"/>
        <w:tabs>
          <w:tab w:val="left" w:pos="1440"/>
        </w:tabs>
        <w:spacing w:line="480" w:lineRule="auto"/>
        <w:ind w:right="-54" w:firstLine="720"/>
        <w:jc w:val="both"/>
        <w:rPr>
          <w:b w:val="0"/>
          <w:bCs w:val="0"/>
        </w:rPr>
      </w:pPr>
      <w:r>
        <w:rPr>
          <w:b w:val="0"/>
          <w:bCs w:val="0"/>
        </w:rPr>
        <w:t xml:space="preserve">Later in my testimony I </w:t>
      </w:r>
      <w:r w:rsidR="00EF0197">
        <w:rPr>
          <w:b w:val="0"/>
          <w:bCs w:val="0"/>
        </w:rPr>
        <w:t xml:space="preserve">will address the issue of “pro forma adjustments” and the purpose for the Pro </w:t>
      </w:r>
      <w:r w:rsidR="000D0E4C">
        <w:rPr>
          <w:b w:val="0"/>
          <w:bCs w:val="0"/>
        </w:rPr>
        <w:t>F</w:t>
      </w:r>
      <w:r w:rsidR="00EF0197">
        <w:rPr>
          <w:b w:val="0"/>
          <w:bCs w:val="0"/>
        </w:rPr>
        <w:t xml:space="preserve">orma </w:t>
      </w:r>
      <w:r w:rsidR="000B5D53">
        <w:rPr>
          <w:b w:val="0"/>
          <w:bCs w:val="0"/>
        </w:rPr>
        <w:t xml:space="preserve">Cross Check </w:t>
      </w:r>
      <w:r w:rsidR="00EF0197">
        <w:rPr>
          <w:b w:val="0"/>
          <w:bCs w:val="0"/>
        </w:rPr>
        <w:t xml:space="preserve">Study, but with regard to the evidence in these </w:t>
      </w:r>
      <w:r w:rsidR="00EF0197">
        <w:rPr>
          <w:b w:val="0"/>
          <w:bCs w:val="0"/>
        </w:rPr>
        <w:lastRenderedPageBreak/>
        <w:t>Dockets related to the capital projects that will occur during 2015 and 2016, the Com</w:t>
      </w:r>
      <w:r w:rsidR="00183073">
        <w:rPr>
          <w:b w:val="0"/>
          <w:bCs w:val="0"/>
        </w:rPr>
        <w:t xml:space="preserve">pany </w:t>
      </w:r>
      <w:r w:rsidR="00375097">
        <w:rPr>
          <w:b w:val="0"/>
          <w:bCs w:val="0"/>
        </w:rPr>
        <w:t xml:space="preserve">clearly </w:t>
      </w:r>
      <w:r w:rsidR="00183073">
        <w:rPr>
          <w:b w:val="0"/>
          <w:bCs w:val="0"/>
        </w:rPr>
        <w:t>provided extensive documentation.</w:t>
      </w:r>
    </w:p>
    <w:p w:rsidR="00F74395" w:rsidRDefault="00F46246" w:rsidP="00867849">
      <w:pPr>
        <w:pStyle w:val="BodyText"/>
        <w:tabs>
          <w:tab w:val="left" w:pos="720"/>
        </w:tabs>
        <w:spacing w:line="480" w:lineRule="auto"/>
        <w:ind w:right="-54" w:firstLine="720"/>
        <w:jc w:val="both"/>
        <w:rPr>
          <w:b w:val="0"/>
          <w:bCs w:val="0"/>
        </w:rPr>
      </w:pPr>
      <w:r>
        <w:rPr>
          <w:b w:val="0"/>
          <w:bCs w:val="0"/>
        </w:rPr>
        <w:t xml:space="preserve">With regard to the parties opportunity to review this information during the pendency of a case, a review by the </w:t>
      </w:r>
      <w:r w:rsidR="00EB2427">
        <w:rPr>
          <w:b w:val="0"/>
          <w:bCs w:val="0"/>
        </w:rPr>
        <w:t>Staff</w:t>
      </w:r>
      <w:r>
        <w:rPr>
          <w:b w:val="0"/>
          <w:bCs w:val="0"/>
        </w:rPr>
        <w:t xml:space="preserve"> and other parties normally involves an “audit.”  An audit would entail drawing a sample of projects and conducting a review of these projects.  This sample could include some of the larger dollar projects</w:t>
      </w:r>
      <w:r w:rsidR="00000DE2">
        <w:rPr>
          <w:b w:val="0"/>
          <w:bCs w:val="0"/>
        </w:rPr>
        <w:t>,</w:t>
      </w:r>
      <w:r>
        <w:rPr>
          <w:b w:val="0"/>
          <w:bCs w:val="0"/>
        </w:rPr>
        <w:t xml:space="preserve"> and</w:t>
      </w:r>
      <w:r w:rsidR="00000DE2">
        <w:rPr>
          <w:b w:val="0"/>
          <w:bCs w:val="0"/>
        </w:rPr>
        <w:t>/or</w:t>
      </w:r>
      <w:r>
        <w:rPr>
          <w:b w:val="0"/>
          <w:bCs w:val="0"/>
        </w:rPr>
        <w:t xml:space="preserve"> some of the projects </w:t>
      </w:r>
      <w:r w:rsidR="00F74395">
        <w:rPr>
          <w:b w:val="0"/>
          <w:bCs w:val="0"/>
        </w:rPr>
        <w:t xml:space="preserve">for which </w:t>
      </w:r>
      <w:r w:rsidR="00EB2427">
        <w:rPr>
          <w:b w:val="0"/>
          <w:bCs w:val="0"/>
        </w:rPr>
        <w:t>Staff</w:t>
      </w:r>
      <w:r w:rsidR="00F74395">
        <w:rPr>
          <w:b w:val="0"/>
          <w:bCs w:val="0"/>
        </w:rPr>
        <w:t xml:space="preserve"> may be less familiar from their prior reviews of Avista’s capital projects.</w:t>
      </w:r>
    </w:p>
    <w:p w:rsidR="00F46246" w:rsidRDefault="00F67522" w:rsidP="00867849">
      <w:pPr>
        <w:pStyle w:val="BodyText"/>
        <w:tabs>
          <w:tab w:val="left" w:pos="720"/>
        </w:tabs>
        <w:spacing w:line="480" w:lineRule="auto"/>
        <w:ind w:right="-54" w:firstLine="720"/>
        <w:jc w:val="both"/>
        <w:rPr>
          <w:b w:val="0"/>
          <w:bCs w:val="0"/>
        </w:rPr>
      </w:pPr>
      <w:r>
        <w:rPr>
          <w:b w:val="0"/>
          <w:bCs w:val="0"/>
        </w:rPr>
        <w:t xml:space="preserve">In the five and one-half months from Avista’s February </w:t>
      </w:r>
      <w:r w:rsidR="00EE30E9">
        <w:rPr>
          <w:b w:val="0"/>
          <w:bCs w:val="0"/>
        </w:rPr>
        <w:t>9</w:t>
      </w:r>
      <w:r w:rsidRPr="00F67522">
        <w:rPr>
          <w:b w:val="0"/>
          <w:bCs w:val="0"/>
          <w:vertAlign w:val="superscript"/>
        </w:rPr>
        <w:t>th</w:t>
      </w:r>
      <w:r>
        <w:rPr>
          <w:b w:val="0"/>
          <w:bCs w:val="0"/>
        </w:rPr>
        <w:t xml:space="preserve"> filing</w:t>
      </w:r>
      <w:r w:rsidR="00843723">
        <w:rPr>
          <w:b w:val="0"/>
          <w:bCs w:val="0"/>
        </w:rPr>
        <w:t xml:space="preserve"> </w:t>
      </w:r>
      <w:r>
        <w:rPr>
          <w:b w:val="0"/>
          <w:bCs w:val="0"/>
        </w:rPr>
        <w:t xml:space="preserve">to the </w:t>
      </w:r>
      <w:r w:rsidR="00EB2427">
        <w:rPr>
          <w:b w:val="0"/>
          <w:bCs w:val="0"/>
        </w:rPr>
        <w:t>Staff</w:t>
      </w:r>
      <w:r>
        <w:rPr>
          <w:b w:val="0"/>
          <w:bCs w:val="0"/>
        </w:rPr>
        <w:t xml:space="preserve"> and intervenor filing date of July 2</w:t>
      </w:r>
      <w:r w:rsidR="006023DC">
        <w:rPr>
          <w:b w:val="0"/>
          <w:bCs w:val="0"/>
        </w:rPr>
        <w:t>7</w:t>
      </w:r>
      <w:r w:rsidRPr="00F67522">
        <w:rPr>
          <w:b w:val="0"/>
          <w:bCs w:val="0"/>
          <w:vertAlign w:val="superscript"/>
        </w:rPr>
        <w:t>th</w:t>
      </w:r>
      <w:r>
        <w:rPr>
          <w:b w:val="0"/>
          <w:bCs w:val="0"/>
        </w:rPr>
        <w:t xml:space="preserve">, there was a significant amount of time to audit a meaningful sample of the capital projects, especially given the extensive supporting information the Company provided in its original filing to assist in identifying the sample.  </w:t>
      </w:r>
    </w:p>
    <w:p w:rsidR="007F3311" w:rsidRDefault="007F3311" w:rsidP="00867849">
      <w:pPr>
        <w:pStyle w:val="BodyText"/>
        <w:tabs>
          <w:tab w:val="left" w:pos="720"/>
        </w:tabs>
        <w:spacing w:line="480" w:lineRule="auto"/>
        <w:ind w:right="-54" w:firstLine="720"/>
        <w:jc w:val="both"/>
        <w:rPr>
          <w:b w:val="0"/>
          <w:bCs w:val="0"/>
        </w:rPr>
      </w:pPr>
    </w:p>
    <w:p w:rsidR="003F4AE2" w:rsidRPr="007E5EA7" w:rsidRDefault="00177BC9" w:rsidP="00867849">
      <w:pPr>
        <w:pStyle w:val="BodyText"/>
        <w:tabs>
          <w:tab w:val="left" w:pos="720"/>
        </w:tabs>
        <w:spacing w:line="480" w:lineRule="auto"/>
        <w:ind w:right="-54"/>
        <w:jc w:val="both"/>
        <w:rPr>
          <w:bCs w:val="0"/>
          <w:u w:val="single"/>
        </w:rPr>
      </w:pPr>
      <w:r w:rsidRPr="007E5EA7">
        <w:rPr>
          <w:bCs w:val="0"/>
          <w:u w:val="single"/>
        </w:rPr>
        <w:t>Avista’s Earned Returns for 2013 and 2014 and Related Conclusions to be Drawn</w:t>
      </w:r>
    </w:p>
    <w:p w:rsidR="00514875" w:rsidRPr="008E01C7" w:rsidRDefault="00843723" w:rsidP="00867849">
      <w:pPr>
        <w:pStyle w:val="BodyText"/>
        <w:tabs>
          <w:tab w:val="left" w:pos="720"/>
        </w:tabs>
        <w:spacing w:line="480" w:lineRule="auto"/>
        <w:ind w:right="-54" w:firstLine="720"/>
        <w:jc w:val="both"/>
        <w:rPr>
          <w:bCs w:val="0"/>
        </w:rPr>
      </w:pPr>
      <w:r w:rsidRPr="008E01C7">
        <w:rPr>
          <w:bCs w:val="0"/>
        </w:rPr>
        <w:t>Q.</w:t>
      </w:r>
      <w:r w:rsidRPr="008E01C7">
        <w:rPr>
          <w:bCs w:val="0"/>
        </w:rPr>
        <w:tab/>
        <w:t xml:space="preserve">Please explain your response to </w:t>
      </w:r>
      <w:r w:rsidR="00EB2427">
        <w:rPr>
          <w:bCs w:val="0"/>
        </w:rPr>
        <w:t>Staff</w:t>
      </w:r>
      <w:r w:rsidRPr="008E01C7">
        <w:rPr>
          <w:bCs w:val="0"/>
        </w:rPr>
        <w:t xml:space="preserve"> and intervenor testimony regarding Avista’s earned returns for </w:t>
      </w:r>
      <w:r w:rsidR="008E01C7" w:rsidRPr="008E01C7">
        <w:rPr>
          <w:bCs w:val="0"/>
        </w:rPr>
        <w:t>2013 and 2014,</w:t>
      </w:r>
      <w:r w:rsidR="0017355D">
        <w:rPr>
          <w:bCs w:val="0"/>
        </w:rPr>
        <w:t xml:space="preserve"> and the conclusions that can</w:t>
      </w:r>
      <w:r w:rsidR="008E01C7" w:rsidRPr="008E01C7">
        <w:rPr>
          <w:bCs w:val="0"/>
        </w:rPr>
        <w:t xml:space="preserve"> be drawn from those results.</w:t>
      </w:r>
    </w:p>
    <w:p w:rsidR="00514875" w:rsidRDefault="008E01C7" w:rsidP="00867849">
      <w:pPr>
        <w:pStyle w:val="BodyText"/>
        <w:tabs>
          <w:tab w:val="left" w:pos="720"/>
        </w:tabs>
        <w:spacing w:line="480" w:lineRule="auto"/>
        <w:ind w:right="-54" w:firstLine="720"/>
        <w:jc w:val="both"/>
        <w:rPr>
          <w:b w:val="0"/>
          <w:bCs w:val="0"/>
        </w:rPr>
      </w:pPr>
      <w:r>
        <w:rPr>
          <w:b w:val="0"/>
          <w:bCs w:val="0"/>
        </w:rPr>
        <w:t>A.</w:t>
      </w:r>
      <w:r>
        <w:rPr>
          <w:b w:val="0"/>
          <w:bCs w:val="0"/>
        </w:rPr>
        <w:tab/>
      </w:r>
      <w:r w:rsidR="00EB2427">
        <w:rPr>
          <w:b w:val="0"/>
          <w:bCs w:val="0"/>
        </w:rPr>
        <w:t>Staff</w:t>
      </w:r>
      <w:r w:rsidR="00B82307">
        <w:rPr>
          <w:b w:val="0"/>
          <w:bCs w:val="0"/>
        </w:rPr>
        <w:t xml:space="preserve"> and intervenors claim that Avista over-earned dur</w:t>
      </w:r>
      <w:r w:rsidR="00A62FE0">
        <w:rPr>
          <w:b w:val="0"/>
          <w:bCs w:val="0"/>
        </w:rPr>
        <w:t>ing 2013 and 2014, and then suggest that conclusions can be drawn from those results that directly affect the proposed revenue adjustments for 2016.</w:t>
      </w:r>
      <w:r w:rsidR="00E46ADE">
        <w:rPr>
          <w:rStyle w:val="FootnoteReference"/>
          <w:b w:val="0"/>
          <w:bCs w:val="0"/>
        </w:rPr>
        <w:footnoteReference w:id="8"/>
      </w:r>
      <w:r w:rsidR="00A62FE0">
        <w:rPr>
          <w:b w:val="0"/>
          <w:bCs w:val="0"/>
        </w:rPr>
        <w:t xml:space="preserve">  </w:t>
      </w:r>
      <w:r w:rsidR="00514875">
        <w:rPr>
          <w:b w:val="0"/>
          <w:bCs w:val="0"/>
        </w:rPr>
        <w:t>It is important that th</w:t>
      </w:r>
      <w:r w:rsidR="00B82307">
        <w:rPr>
          <w:b w:val="0"/>
          <w:bCs w:val="0"/>
        </w:rPr>
        <w:t>e record be clear on this topic</w:t>
      </w:r>
      <w:r w:rsidR="00045553">
        <w:rPr>
          <w:b w:val="0"/>
          <w:bCs w:val="0"/>
        </w:rPr>
        <w:t>, especially with regard</w:t>
      </w:r>
      <w:r w:rsidR="00B82307">
        <w:rPr>
          <w:b w:val="0"/>
          <w:bCs w:val="0"/>
        </w:rPr>
        <w:t xml:space="preserve"> to the conclusions that should</w:t>
      </w:r>
      <w:r w:rsidR="009B0076">
        <w:rPr>
          <w:b w:val="0"/>
          <w:bCs w:val="0"/>
        </w:rPr>
        <w:t>,</w:t>
      </w:r>
      <w:r w:rsidR="00B82307">
        <w:rPr>
          <w:b w:val="0"/>
          <w:bCs w:val="0"/>
        </w:rPr>
        <w:t xml:space="preserve"> and should not</w:t>
      </w:r>
      <w:r w:rsidR="009B0076">
        <w:rPr>
          <w:b w:val="0"/>
          <w:bCs w:val="0"/>
        </w:rPr>
        <w:t>,</w:t>
      </w:r>
      <w:r w:rsidR="00B82307">
        <w:rPr>
          <w:b w:val="0"/>
          <w:bCs w:val="0"/>
        </w:rPr>
        <w:t xml:space="preserve"> be </w:t>
      </w:r>
      <w:r w:rsidR="00045553">
        <w:rPr>
          <w:b w:val="0"/>
          <w:bCs w:val="0"/>
        </w:rPr>
        <w:t>drawn related to the ultimate</w:t>
      </w:r>
      <w:r w:rsidR="00B82307">
        <w:rPr>
          <w:b w:val="0"/>
          <w:bCs w:val="0"/>
        </w:rPr>
        <w:t xml:space="preserve"> electric and natural gas revenue adjustments that are approved in these Dockets.</w:t>
      </w:r>
    </w:p>
    <w:p w:rsidR="009F7FF1" w:rsidRDefault="009B0076" w:rsidP="00867849">
      <w:pPr>
        <w:pStyle w:val="BodyText"/>
        <w:tabs>
          <w:tab w:val="left" w:pos="720"/>
        </w:tabs>
        <w:spacing w:line="480" w:lineRule="auto"/>
        <w:ind w:right="-54" w:firstLine="720"/>
        <w:jc w:val="both"/>
        <w:rPr>
          <w:b w:val="0"/>
          <w:bCs w:val="0"/>
        </w:rPr>
      </w:pPr>
      <w:r>
        <w:rPr>
          <w:b w:val="0"/>
          <w:bCs w:val="0"/>
        </w:rPr>
        <w:lastRenderedPageBreak/>
        <w:t>For 2013 and 2014</w:t>
      </w:r>
      <w:r w:rsidR="00375097">
        <w:rPr>
          <w:b w:val="0"/>
          <w:bCs w:val="0"/>
        </w:rPr>
        <w:t>,</w:t>
      </w:r>
      <w:r>
        <w:rPr>
          <w:b w:val="0"/>
          <w:bCs w:val="0"/>
        </w:rPr>
        <w:t xml:space="preserve"> Avista’s </w:t>
      </w:r>
      <w:r w:rsidRPr="00D028EE">
        <w:rPr>
          <w:b w:val="0"/>
          <w:bCs w:val="0"/>
          <w:u w:val="single"/>
        </w:rPr>
        <w:t>normalized</w:t>
      </w:r>
      <w:r>
        <w:rPr>
          <w:b w:val="0"/>
          <w:bCs w:val="0"/>
        </w:rPr>
        <w:t xml:space="preserve"> returns on equity for its electric and natural gas operations wer</w:t>
      </w:r>
      <w:r w:rsidR="009F7FF1">
        <w:rPr>
          <w:b w:val="0"/>
          <w:bCs w:val="0"/>
        </w:rPr>
        <w:t xml:space="preserve">e as shown in the table below.  </w:t>
      </w:r>
      <w:r w:rsidR="009F7FF1" w:rsidRPr="00D028EE">
        <w:rPr>
          <w:b w:val="0"/>
          <w:bCs w:val="0"/>
          <w:u w:val="single"/>
        </w:rPr>
        <w:t>Actual</w:t>
      </w:r>
      <w:r w:rsidR="009F7FF1" w:rsidRPr="00D028EE">
        <w:rPr>
          <w:b w:val="0"/>
          <w:bCs w:val="0"/>
        </w:rPr>
        <w:t xml:space="preserve"> </w:t>
      </w:r>
      <w:r w:rsidR="009F7FF1">
        <w:rPr>
          <w:b w:val="0"/>
          <w:bCs w:val="0"/>
        </w:rPr>
        <w:t xml:space="preserve">earned returns are affected by temperature  impacts on retail sales, storms and their impact on operation and maintenance (O&amp;M) expenses, </w:t>
      </w:r>
      <w:r w:rsidR="00375097">
        <w:rPr>
          <w:b w:val="0"/>
          <w:bCs w:val="0"/>
        </w:rPr>
        <w:t xml:space="preserve">and </w:t>
      </w:r>
      <w:r w:rsidR="009F7FF1">
        <w:rPr>
          <w:b w:val="0"/>
          <w:bCs w:val="0"/>
        </w:rPr>
        <w:t>the impact of varying hydro-electric generation on power supply costs (that fall within the deadband of the Energy Recovery Mechanism), etc.  All of these abnormal conditions are normalized out for ratemaking and for the Company’s Commission Basis Reports filed annually with the Commission, therefore normalized results are the appropriate measure.</w:t>
      </w:r>
    </w:p>
    <w:p w:rsidR="00976DE3" w:rsidRPr="00976DE3" w:rsidRDefault="00976DE3" w:rsidP="00976DE3">
      <w:pPr>
        <w:pStyle w:val="BodyText"/>
        <w:tabs>
          <w:tab w:val="left" w:pos="4140"/>
          <w:tab w:val="center" w:pos="4680"/>
          <w:tab w:val="right" w:pos="5220"/>
          <w:tab w:val="left" w:pos="5580"/>
          <w:tab w:val="center" w:pos="6300"/>
          <w:tab w:val="right" w:pos="6930"/>
          <w:tab w:val="left" w:pos="7380"/>
          <w:tab w:val="left" w:pos="7560"/>
          <w:tab w:val="center" w:pos="8190"/>
          <w:tab w:val="right" w:pos="8820"/>
        </w:tabs>
        <w:spacing w:line="240" w:lineRule="auto"/>
        <w:ind w:right="-54"/>
        <w:jc w:val="both"/>
        <w:rPr>
          <w:bCs w:val="0"/>
          <w:u w:val="single"/>
        </w:rPr>
      </w:pPr>
      <w:r w:rsidRPr="00976DE3">
        <w:rPr>
          <w:bCs w:val="0"/>
          <w:u w:val="single"/>
        </w:rPr>
        <w:t xml:space="preserve">Table No. </w:t>
      </w:r>
      <w:r w:rsidR="00D72A3F">
        <w:rPr>
          <w:bCs w:val="0"/>
          <w:u w:val="single"/>
        </w:rPr>
        <w:t>3</w:t>
      </w:r>
      <w:r w:rsidRPr="00976DE3">
        <w:rPr>
          <w:bCs w:val="0"/>
          <w:u w:val="single"/>
        </w:rPr>
        <w:t xml:space="preserve"> – 2013 and 2014 Earned Return on Equity</w:t>
      </w:r>
    </w:p>
    <w:p w:rsidR="00976DE3" w:rsidRDefault="00976DE3" w:rsidP="00914DED">
      <w:pPr>
        <w:pStyle w:val="BodyText"/>
        <w:tabs>
          <w:tab w:val="left" w:pos="4140"/>
          <w:tab w:val="center" w:pos="4680"/>
          <w:tab w:val="right" w:pos="5220"/>
          <w:tab w:val="left" w:pos="5580"/>
          <w:tab w:val="center" w:pos="6300"/>
          <w:tab w:val="right" w:pos="6930"/>
          <w:tab w:val="left" w:pos="7380"/>
          <w:tab w:val="left" w:pos="7560"/>
          <w:tab w:val="center" w:pos="8190"/>
          <w:tab w:val="right" w:pos="8820"/>
        </w:tabs>
        <w:spacing w:line="240" w:lineRule="auto"/>
        <w:ind w:left="360" w:right="-54"/>
        <w:jc w:val="both"/>
        <w:rPr>
          <w:b w:val="0"/>
          <w:bCs w:val="0"/>
        </w:rPr>
      </w:pPr>
    </w:p>
    <w:p w:rsidR="00A52777" w:rsidRPr="00EF2014" w:rsidRDefault="00A52777" w:rsidP="00914DED">
      <w:pPr>
        <w:pStyle w:val="BodyText"/>
        <w:tabs>
          <w:tab w:val="left" w:pos="4140"/>
          <w:tab w:val="center" w:pos="4680"/>
          <w:tab w:val="right" w:pos="5220"/>
          <w:tab w:val="left" w:pos="5580"/>
          <w:tab w:val="center" w:pos="6300"/>
          <w:tab w:val="right" w:pos="6930"/>
          <w:tab w:val="left" w:pos="7380"/>
          <w:tab w:val="left" w:pos="7560"/>
          <w:tab w:val="center" w:pos="8190"/>
          <w:tab w:val="right" w:pos="8820"/>
        </w:tabs>
        <w:spacing w:line="240" w:lineRule="auto"/>
        <w:ind w:left="360" w:right="-54"/>
        <w:jc w:val="both"/>
        <w:rPr>
          <w:b w:val="0"/>
          <w:bCs w:val="0"/>
        </w:rPr>
      </w:pPr>
      <w:r w:rsidRPr="00EF2014">
        <w:rPr>
          <w:b w:val="0"/>
          <w:bCs w:val="0"/>
        </w:rPr>
        <w:tab/>
      </w:r>
      <w:r w:rsidR="00914DED" w:rsidRPr="00EF2014">
        <w:rPr>
          <w:b w:val="0"/>
          <w:bCs w:val="0"/>
        </w:rPr>
        <w:tab/>
      </w:r>
      <w:r w:rsidRPr="00EF2014">
        <w:rPr>
          <w:b w:val="0"/>
          <w:bCs w:val="0"/>
        </w:rPr>
        <w:t>Electric</w:t>
      </w:r>
      <w:r w:rsidRPr="00EF2014">
        <w:rPr>
          <w:b w:val="0"/>
          <w:bCs w:val="0"/>
        </w:rPr>
        <w:tab/>
      </w:r>
      <w:r w:rsidRPr="00EF2014">
        <w:rPr>
          <w:b w:val="0"/>
          <w:bCs w:val="0"/>
        </w:rPr>
        <w:tab/>
      </w:r>
      <w:r w:rsidR="00914DED" w:rsidRPr="00EF2014">
        <w:rPr>
          <w:b w:val="0"/>
          <w:bCs w:val="0"/>
        </w:rPr>
        <w:tab/>
      </w:r>
      <w:r w:rsidRPr="00EF2014">
        <w:rPr>
          <w:b w:val="0"/>
          <w:bCs w:val="0"/>
        </w:rPr>
        <w:t>Natural Gas</w:t>
      </w:r>
      <w:r w:rsidRPr="00EF2014">
        <w:rPr>
          <w:b w:val="0"/>
          <w:bCs w:val="0"/>
        </w:rPr>
        <w:tab/>
      </w:r>
      <w:r w:rsidR="009A34F1" w:rsidRPr="00EF2014">
        <w:rPr>
          <w:b w:val="0"/>
          <w:bCs w:val="0"/>
        </w:rPr>
        <w:tab/>
      </w:r>
      <w:r w:rsidR="00EF2014">
        <w:rPr>
          <w:b w:val="0"/>
          <w:bCs w:val="0"/>
        </w:rPr>
        <w:tab/>
      </w:r>
      <w:r w:rsidRPr="00EF2014">
        <w:rPr>
          <w:b w:val="0"/>
          <w:bCs w:val="0"/>
        </w:rPr>
        <w:t>Total Utility</w:t>
      </w:r>
    </w:p>
    <w:p w:rsidR="00A52777" w:rsidRPr="00EF2014" w:rsidRDefault="00A52777" w:rsidP="00914DED">
      <w:pPr>
        <w:pStyle w:val="BodyText"/>
        <w:tabs>
          <w:tab w:val="left" w:pos="4140"/>
          <w:tab w:val="center" w:pos="4680"/>
          <w:tab w:val="right" w:pos="5220"/>
          <w:tab w:val="left" w:pos="5580"/>
          <w:tab w:val="center" w:pos="6300"/>
          <w:tab w:val="right" w:pos="6930"/>
          <w:tab w:val="left" w:pos="7380"/>
          <w:tab w:val="left" w:pos="7560"/>
          <w:tab w:val="center" w:pos="8190"/>
          <w:tab w:val="right" w:pos="8820"/>
        </w:tabs>
        <w:ind w:left="360" w:right="-58" w:firstLine="720"/>
        <w:jc w:val="both"/>
        <w:rPr>
          <w:b w:val="0"/>
          <w:bCs w:val="0"/>
          <w:u w:val="single"/>
        </w:rPr>
      </w:pPr>
      <w:r w:rsidRPr="00EF2014">
        <w:rPr>
          <w:b w:val="0"/>
          <w:bCs w:val="0"/>
        </w:rPr>
        <w:tab/>
      </w:r>
      <w:r w:rsidRPr="00EF2014">
        <w:rPr>
          <w:b w:val="0"/>
          <w:bCs w:val="0"/>
          <w:u w:val="single"/>
        </w:rPr>
        <w:tab/>
        <w:t xml:space="preserve">ROE    </w:t>
      </w:r>
      <w:r w:rsidRPr="00EF2014">
        <w:rPr>
          <w:b w:val="0"/>
          <w:bCs w:val="0"/>
        </w:rPr>
        <w:tab/>
      </w:r>
      <w:r w:rsidRPr="00EF2014">
        <w:rPr>
          <w:b w:val="0"/>
          <w:bCs w:val="0"/>
        </w:rPr>
        <w:tab/>
      </w:r>
      <w:r w:rsidRPr="00EF2014">
        <w:rPr>
          <w:b w:val="0"/>
          <w:bCs w:val="0"/>
          <w:u w:val="single"/>
        </w:rPr>
        <w:tab/>
        <w:t xml:space="preserve">ROE       </w:t>
      </w:r>
      <w:r w:rsidRPr="00EF2014">
        <w:rPr>
          <w:b w:val="0"/>
          <w:bCs w:val="0"/>
        </w:rPr>
        <w:tab/>
      </w:r>
      <w:r w:rsidR="009A34F1" w:rsidRPr="00EF2014">
        <w:rPr>
          <w:b w:val="0"/>
          <w:bCs w:val="0"/>
        </w:rPr>
        <w:tab/>
      </w:r>
      <w:r w:rsidRPr="00EF2014">
        <w:rPr>
          <w:b w:val="0"/>
          <w:bCs w:val="0"/>
          <w:u w:val="single"/>
        </w:rPr>
        <w:t>(Weighted)</w:t>
      </w:r>
    </w:p>
    <w:p w:rsidR="00A52777" w:rsidRPr="00914DED" w:rsidRDefault="00A52777" w:rsidP="00914DED">
      <w:pPr>
        <w:pStyle w:val="BodyText"/>
        <w:tabs>
          <w:tab w:val="left" w:pos="4140"/>
          <w:tab w:val="center" w:pos="4680"/>
          <w:tab w:val="right" w:pos="5220"/>
          <w:tab w:val="left" w:pos="5580"/>
          <w:tab w:val="center" w:pos="6300"/>
          <w:tab w:val="right" w:pos="6930"/>
          <w:tab w:val="left" w:pos="7380"/>
          <w:tab w:val="left" w:pos="7560"/>
          <w:tab w:val="center" w:pos="8190"/>
          <w:tab w:val="right" w:pos="8820"/>
        </w:tabs>
        <w:ind w:left="360" w:right="-58"/>
        <w:jc w:val="both"/>
        <w:rPr>
          <w:b w:val="0"/>
          <w:bCs w:val="0"/>
        </w:rPr>
      </w:pPr>
      <w:r w:rsidRPr="00914DED">
        <w:rPr>
          <w:b w:val="0"/>
          <w:bCs w:val="0"/>
        </w:rPr>
        <w:t>2013</w:t>
      </w:r>
      <w:r w:rsidRPr="00914DED">
        <w:rPr>
          <w:b w:val="0"/>
          <w:bCs w:val="0"/>
        </w:rPr>
        <w:tab/>
      </w:r>
      <w:r w:rsidRPr="00914DED">
        <w:rPr>
          <w:b w:val="0"/>
          <w:bCs w:val="0"/>
        </w:rPr>
        <w:tab/>
        <w:t>9.9%</w:t>
      </w:r>
      <w:r w:rsidRPr="00914DED">
        <w:rPr>
          <w:b w:val="0"/>
          <w:bCs w:val="0"/>
        </w:rPr>
        <w:tab/>
      </w:r>
      <w:r w:rsidRPr="00914DED">
        <w:rPr>
          <w:b w:val="0"/>
          <w:bCs w:val="0"/>
        </w:rPr>
        <w:tab/>
      </w:r>
      <w:r w:rsidR="00914DED" w:rsidRPr="00914DED">
        <w:rPr>
          <w:b w:val="0"/>
          <w:bCs w:val="0"/>
        </w:rPr>
        <w:tab/>
        <w:t>7.2%</w:t>
      </w:r>
      <w:r w:rsidR="00914DED" w:rsidRPr="00914DED">
        <w:rPr>
          <w:b w:val="0"/>
          <w:bCs w:val="0"/>
        </w:rPr>
        <w:tab/>
      </w:r>
      <w:r w:rsidR="00914DED" w:rsidRPr="00914DED">
        <w:rPr>
          <w:b w:val="0"/>
          <w:bCs w:val="0"/>
        </w:rPr>
        <w:tab/>
      </w:r>
      <w:r w:rsidR="00914DED" w:rsidRPr="00914DED">
        <w:rPr>
          <w:b w:val="0"/>
          <w:bCs w:val="0"/>
        </w:rPr>
        <w:tab/>
      </w:r>
      <w:r w:rsidR="00914DED" w:rsidRPr="00914DED">
        <w:rPr>
          <w:b w:val="0"/>
          <w:bCs w:val="0"/>
        </w:rPr>
        <w:tab/>
      </w:r>
      <w:r w:rsidRPr="00914DED">
        <w:rPr>
          <w:b w:val="0"/>
          <w:bCs w:val="0"/>
        </w:rPr>
        <w:t>9.5%</w:t>
      </w:r>
    </w:p>
    <w:p w:rsidR="00A52777" w:rsidRPr="00914DED" w:rsidRDefault="00A52777" w:rsidP="00914DED">
      <w:pPr>
        <w:pStyle w:val="BodyText"/>
        <w:tabs>
          <w:tab w:val="left" w:pos="4140"/>
          <w:tab w:val="center" w:pos="4680"/>
          <w:tab w:val="right" w:pos="5220"/>
          <w:tab w:val="left" w:pos="5580"/>
          <w:tab w:val="center" w:pos="6300"/>
          <w:tab w:val="right" w:pos="6930"/>
          <w:tab w:val="left" w:pos="7380"/>
          <w:tab w:val="left" w:pos="7560"/>
          <w:tab w:val="center" w:pos="8190"/>
          <w:tab w:val="right" w:pos="8820"/>
        </w:tabs>
        <w:ind w:left="360" w:right="-58"/>
        <w:jc w:val="both"/>
        <w:rPr>
          <w:b w:val="0"/>
          <w:bCs w:val="0"/>
        </w:rPr>
      </w:pPr>
      <w:r w:rsidRPr="00914DED">
        <w:rPr>
          <w:b w:val="0"/>
          <w:bCs w:val="0"/>
        </w:rPr>
        <w:t>2014</w:t>
      </w:r>
      <w:r w:rsidRPr="00914DED">
        <w:rPr>
          <w:b w:val="0"/>
          <w:bCs w:val="0"/>
        </w:rPr>
        <w:tab/>
      </w:r>
      <w:r w:rsidRPr="00914DED">
        <w:rPr>
          <w:b w:val="0"/>
          <w:bCs w:val="0"/>
          <w:u w:val="single"/>
        </w:rPr>
        <w:tab/>
        <w:t>10.6%</w:t>
      </w:r>
      <w:r w:rsidRPr="00914DED">
        <w:rPr>
          <w:b w:val="0"/>
          <w:bCs w:val="0"/>
          <w:u w:val="single"/>
        </w:rPr>
        <w:tab/>
      </w:r>
      <w:r w:rsidRPr="00914DED">
        <w:rPr>
          <w:b w:val="0"/>
          <w:bCs w:val="0"/>
        </w:rPr>
        <w:t xml:space="preserve">     </w:t>
      </w:r>
      <w:r w:rsidR="00914DED" w:rsidRPr="00914DED">
        <w:rPr>
          <w:b w:val="0"/>
          <w:bCs w:val="0"/>
        </w:rPr>
        <w:tab/>
      </w:r>
      <w:r w:rsidR="00914DED" w:rsidRPr="00EF2014">
        <w:rPr>
          <w:b w:val="0"/>
          <w:bCs w:val="0"/>
          <w:u w:val="single"/>
        </w:rPr>
        <w:tab/>
      </w:r>
      <w:r w:rsidRPr="00EF2014">
        <w:rPr>
          <w:b w:val="0"/>
          <w:bCs w:val="0"/>
          <w:u w:val="single"/>
        </w:rPr>
        <w:t>6.4%</w:t>
      </w:r>
      <w:r w:rsidRPr="00EF2014">
        <w:rPr>
          <w:b w:val="0"/>
          <w:bCs w:val="0"/>
          <w:u w:val="single"/>
        </w:rPr>
        <w:tab/>
      </w:r>
      <w:r w:rsidRPr="00914DED">
        <w:rPr>
          <w:b w:val="0"/>
          <w:bCs w:val="0"/>
        </w:rPr>
        <w:tab/>
      </w:r>
      <w:r w:rsidR="00914DED" w:rsidRPr="00914DED">
        <w:rPr>
          <w:b w:val="0"/>
          <w:bCs w:val="0"/>
        </w:rPr>
        <w:tab/>
      </w:r>
      <w:r w:rsidRPr="00EF2014">
        <w:rPr>
          <w:b w:val="0"/>
          <w:bCs w:val="0"/>
          <w:u w:val="single"/>
        </w:rPr>
        <w:tab/>
        <w:t>9.9%</w:t>
      </w:r>
      <w:r w:rsidR="00EF2014" w:rsidRPr="00EF2014">
        <w:rPr>
          <w:b w:val="0"/>
          <w:bCs w:val="0"/>
          <w:u w:val="single"/>
        </w:rPr>
        <w:tab/>
      </w:r>
    </w:p>
    <w:p w:rsidR="00A52777" w:rsidRPr="00914DED" w:rsidRDefault="001F355E" w:rsidP="00914DED">
      <w:pPr>
        <w:pStyle w:val="BodyText"/>
        <w:tabs>
          <w:tab w:val="left" w:pos="4140"/>
          <w:tab w:val="center" w:pos="4680"/>
          <w:tab w:val="right" w:pos="5220"/>
          <w:tab w:val="left" w:pos="5580"/>
          <w:tab w:val="center" w:pos="6300"/>
          <w:tab w:val="right" w:pos="6930"/>
          <w:tab w:val="left" w:pos="7380"/>
          <w:tab w:val="left" w:pos="7560"/>
          <w:tab w:val="center" w:pos="8190"/>
          <w:tab w:val="right" w:pos="8820"/>
        </w:tabs>
        <w:ind w:left="360" w:right="-58"/>
        <w:jc w:val="both"/>
        <w:rPr>
          <w:b w:val="0"/>
          <w:bCs w:val="0"/>
        </w:rPr>
      </w:pPr>
      <w:r w:rsidRPr="00914DED">
        <w:rPr>
          <w:b w:val="0"/>
          <w:bCs w:val="0"/>
        </w:rPr>
        <w:t>Two-Year Rate Plan Wt</w:t>
      </w:r>
      <w:r w:rsidR="00A52777" w:rsidRPr="00914DED">
        <w:rPr>
          <w:b w:val="0"/>
          <w:bCs w:val="0"/>
        </w:rPr>
        <w:t>d ROE</w:t>
      </w:r>
      <w:r w:rsidR="00A52777" w:rsidRPr="00914DED">
        <w:rPr>
          <w:b w:val="0"/>
          <w:bCs w:val="0"/>
        </w:rPr>
        <w:tab/>
      </w:r>
      <w:r w:rsidR="00A52777" w:rsidRPr="00914DED">
        <w:rPr>
          <w:b w:val="0"/>
          <w:bCs w:val="0"/>
        </w:rPr>
        <w:tab/>
        <w:t>10.3%</w:t>
      </w:r>
      <w:r w:rsidR="00A52777" w:rsidRPr="00914DED">
        <w:rPr>
          <w:b w:val="0"/>
          <w:bCs w:val="0"/>
        </w:rPr>
        <w:tab/>
      </w:r>
      <w:r w:rsidR="00A52777" w:rsidRPr="00914DED">
        <w:rPr>
          <w:b w:val="0"/>
          <w:bCs w:val="0"/>
        </w:rPr>
        <w:tab/>
      </w:r>
      <w:r w:rsidR="00A52777" w:rsidRPr="00914DED">
        <w:rPr>
          <w:b w:val="0"/>
          <w:bCs w:val="0"/>
        </w:rPr>
        <w:tab/>
        <w:t>6.9%</w:t>
      </w:r>
      <w:r w:rsidR="00A52777" w:rsidRPr="00914DED">
        <w:rPr>
          <w:b w:val="0"/>
          <w:bCs w:val="0"/>
        </w:rPr>
        <w:tab/>
      </w:r>
      <w:r w:rsidR="00A52777" w:rsidRPr="00914DED">
        <w:rPr>
          <w:b w:val="0"/>
          <w:bCs w:val="0"/>
        </w:rPr>
        <w:tab/>
      </w:r>
      <w:r w:rsidR="00A52777" w:rsidRPr="00914DED">
        <w:rPr>
          <w:b w:val="0"/>
          <w:bCs w:val="0"/>
        </w:rPr>
        <w:tab/>
      </w:r>
      <w:r w:rsidR="00914DED" w:rsidRPr="00914DED">
        <w:rPr>
          <w:b w:val="0"/>
          <w:bCs w:val="0"/>
        </w:rPr>
        <w:tab/>
      </w:r>
      <w:r w:rsidR="00A52777" w:rsidRPr="00914DED">
        <w:rPr>
          <w:b w:val="0"/>
          <w:bCs w:val="0"/>
        </w:rPr>
        <w:t>9.7%</w:t>
      </w:r>
    </w:p>
    <w:p w:rsidR="008D524E" w:rsidRDefault="008D524E" w:rsidP="00867849">
      <w:pPr>
        <w:pStyle w:val="BodyText"/>
        <w:tabs>
          <w:tab w:val="left" w:pos="720"/>
        </w:tabs>
        <w:spacing w:line="480" w:lineRule="auto"/>
        <w:ind w:right="-54"/>
        <w:jc w:val="both"/>
        <w:rPr>
          <w:b w:val="0"/>
          <w:bCs w:val="0"/>
        </w:rPr>
      </w:pPr>
    </w:p>
    <w:p w:rsidR="009B0076" w:rsidRDefault="00976DE3" w:rsidP="00867849">
      <w:pPr>
        <w:pStyle w:val="BodyText"/>
        <w:tabs>
          <w:tab w:val="left" w:pos="720"/>
        </w:tabs>
        <w:spacing w:line="480" w:lineRule="auto"/>
        <w:ind w:right="-54" w:firstLine="720"/>
        <w:jc w:val="both"/>
        <w:rPr>
          <w:b w:val="0"/>
          <w:bCs w:val="0"/>
        </w:rPr>
      </w:pPr>
      <w:r>
        <w:rPr>
          <w:b w:val="0"/>
          <w:bCs w:val="0"/>
        </w:rPr>
        <w:t xml:space="preserve">Table No. </w:t>
      </w:r>
      <w:r w:rsidR="00D72A3F">
        <w:rPr>
          <w:b w:val="0"/>
          <w:bCs w:val="0"/>
        </w:rPr>
        <w:t>3</w:t>
      </w:r>
      <w:r w:rsidR="001B55A3">
        <w:rPr>
          <w:b w:val="0"/>
          <w:bCs w:val="0"/>
        </w:rPr>
        <w:t xml:space="preserve"> shows that Avista over-earned for its electric operations and under-earned for its natural gas operations.</w:t>
      </w:r>
      <w:r w:rsidR="000C1B48">
        <w:rPr>
          <w:b w:val="0"/>
          <w:bCs w:val="0"/>
        </w:rPr>
        <w:t xml:space="preserve">  But for Avista’s Washington utility operations as</w:t>
      </w:r>
      <w:r w:rsidR="00524CC6">
        <w:rPr>
          <w:b w:val="0"/>
          <w:bCs w:val="0"/>
        </w:rPr>
        <w:t xml:space="preserve"> a whole, the results were 9.5</w:t>
      </w:r>
      <w:r w:rsidR="000C1B48">
        <w:rPr>
          <w:b w:val="0"/>
          <w:bCs w:val="0"/>
        </w:rPr>
        <w:t xml:space="preserve">% </w:t>
      </w:r>
      <w:r w:rsidR="00524CC6">
        <w:rPr>
          <w:b w:val="0"/>
          <w:bCs w:val="0"/>
        </w:rPr>
        <w:t>for 2013 and 9.9</w:t>
      </w:r>
      <w:r w:rsidR="000C1B48">
        <w:rPr>
          <w:b w:val="0"/>
          <w:bCs w:val="0"/>
        </w:rPr>
        <w:t>% for 2014, as compared to the authorized ROE of 9.8%.</w:t>
      </w:r>
      <w:r w:rsidR="00524CC6">
        <w:rPr>
          <w:b w:val="0"/>
          <w:bCs w:val="0"/>
        </w:rPr>
        <w:t xml:space="preserve">  In December 2012 the Commission approved a two-year rate plan for 2013 and 2014.  Avista’s average ROE </w:t>
      </w:r>
      <w:r w:rsidR="00452522">
        <w:rPr>
          <w:b w:val="0"/>
          <w:bCs w:val="0"/>
        </w:rPr>
        <w:t>for the two-year period was 9.7</w:t>
      </w:r>
      <w:r w:rsidR="00524CC6">
        <w:rPr>
          <w:b w:val="0"/>
          <w:bCs w:val="0"/>
        </w:rPr>
        <w:t>% as compared to the authorized retu</w:t>
      </w:r>
      <w:r w:rsidR="003F6EE6">
        <w:rPr>
          <w:b w:val="0"/>
          <w:bCs w:val="0"/>
        </w:rPr>
        <w:t>rn of 9.8%.  These results</w:t>
      </w:r>
      <w:r w:rsidR="00524CC6">
        <w:rPr>
          <w:b w:val="0"/>
          <w:bCs w:val="0"/>
        </w:rPr>
        <w:t xml:space="preserve"> indicate that the revenue adjustments approved for Avista by the Commission for 2013 and 2014 were very close to what they should have been in order to allow Avista an opportunity to earn its allowed return.</w:t>
      </w:r>
      <w:r w:rsidR="003F6EE6">
        <w:rPr>
          <w:b w:val="0"/>
          <w:bCs w:val="0"/>
        </w:rPr>
        <w:t xml:space="preserve">  In fact, the numbers show that, on a normalized basis, shareholders slightly under-earned during the two-year rate plan approved by the Commission.</w:t>
      </w:r>
      <w:r w:rsidR="002D222A">
        <w:rPr>
          <w:b w:val="0"/>
          <w:bCs w:val="0"/>
        </w:rPr>
        <w:t xml:space="preserve">  Although Avista would prefer to achieve an earned return </w:t>
      </w:r>
      <w:r w:rsidR="002D222A">
        <w:rPr>
          <w:b w:val="0"/>
          <w:bCs w:val="0"/>
        </w:rPr>
        <w:lastRenderedPageBreak/>
        <w:t>opportunity that matches its allowed ROE for both the electric and na</w:t>
      </w:r>
      <w:r w:rsidR="004E4E98">
        <w:rPr>
          <w:b w:val="0"/>
          <w:bCs w:val="0"/>
        </w:rPr>
        <w:t>tural gas operations separately</w:t>
      </w:r>
      <w:r w:rsidR="00EE30E9">
        <w:rPr>
          <w:b w:val="0"/>
          <w:bCs w:val="0"/>
        </w:rPr>
        <w:t>,</w:t>
      </w:r>
      <w:r w:rsidR="002D222A">
        <w:rPr>
          <w:b w:val="0"/>
          <w:bCs w:val="0"/>
        </w:rPr>
        <w:t xml:space="preserve"> whether through settlement or litigation, it is sometimes difficult to achieve in the give and take</w:t>
      </w:r>
      <w:r w:rsidR="006F527D">
        <w:rPr>
          <w:b w:val="0"/>
          <w:bCs w:val="0"/>
        </w:rPr>
        <w:t xml:space="preserve"> and complexity</w:t>
      </w:r>
      <w:r w:rsidR="002D222A">
        <w:rPr>
          <w:b w:val="0"/>
          <w:bCs w:val="0"/>
        </w:rPr>
        <w:t xml:space="preserve"> of the</w:t>
      </w:r>
      <w:r w:rsidR="006F527D">
        <w:rPr>
          <w:b w:val="0"/>
          <w:bCs w:val="0"/>
        </w:rPr>
        <w:t xml:space="preserve"> ratemaking</w:t>
      </w:r>
      <w:r w:rsidR="002D222A">
        <w:rPr>
          <w:b w:val="0"/>
          <w:bCs w:val="0"/>
        </w:rPr>
        <w:t xml:space="preserve"> process.</w:t>
      </w:r>
    </w:p>
    <w:p w:rsidR="006F2551" w:rsidRDefault="00CD0B1F" w:rsidP="00867849">
      <w:pPr>
        <w:pStyle w:val="BodyText"/>
        <w:tabs>
          <w:tab w:val="left" w:pos="720"/>
        </w:tabs>
        <w:spacing w:line="480" w:lineRule="auto"/>
        <w:ind w:right="-54" w:firstLine="720"/>
        <w:jc w:val="both"/>
        <w:rPr>
          <w:bCs w:val="0"/>
        </w:rPr>
      </w:pPr>
      <w:r>
        <w:rPr>
          <w:bCs w:val="0"/>
        </w:rPr>
        <w:t>Q.</w:t>
      </w:r>
      <w:r>
        <w:rPr>
          <w:bCs w:val="0"/>
        </w:rPr>
        <w:tab/>
        <w:t>Beginning o</w:t>
      </w:r>
      <w:r w:rsidR="00717C32" w:rsidRPr="00717C32">
        <w:rPr>
          <w:bCs w:val="0"/>
        </w:rPr>
        <w:t>n page 9</w:t>
      </w:r>
      <w:r>
        <w:rPr>
          <w:bCs w:val="0"/>
        </w:rPr>
        <w:t>, line 18</w:t>
      </w:r>
      <w:r w:rsidR="00717C32" w:rsidRPr="00717C32">
        <w:rPr>
          <w:bCs w:val="0"/>
        </w:rPr>
        <w:t xml:space="preserve"> of his </w:t>
      </w:r>
      <w:r>
        <w:rPr>
          <w:bCs w:val="0"/>
        </w:rPr>
        <w:t xml:space="preserve">testimony, </w:t>
      </w:r>
      <w:r w:rsidR="00EE30E9">
        <w:rPr>
          <w:bCs w:val="0"/>
        </w:rPr>
        <w:t xml:space="preserve">NWIGU witness </w:t>
      </w:r>
      <w:r w:rsidR="00717C32" w:rsidRPr="00717C32">
        <w:rPr>
          <w:bCs w:val="0"/>
        </w:rPr>
        <w:t>Mr. Gorman</w:t>
      </w:r>
      <w:r w:rsidR="008304AE">
        <w:rPr>
          <w:bCs w:val="0"/>
        </w:rPr>
        <w:t>,</w:t>
      </w:r>
      <w:r w:rsidR="00717C32" w:rsidRPr="00717C32">
        <w:rPr>
          <w:bCs w:val="0"/>
        </w:rPr>
        <w:t xml:space="preserve"> </w:t>
      </w:r>
      <w:r w:rsidR="00375097" w:rsidRPr="00375097">
        <w:rPr>
          <w:bCs w:val="0"/>
        </w:rPr>
        <w:t>(Exhibit No.___</w:t>
      </w:r>
      <w:r w:rsidR="00375097">
        <w:rPr>
          <w:bCs w:val="0"/>
        </w:rPr>
        <w:t>MPG</w:t>
      </w:r>
      <w:r w:rsidR="00375097" w:rsidRPr="00375097">
        <w:rPr>
          <w:bCs w:val="0"/>
        </w:rPr>
        <w:t>-1T))</w:t>
      </w:r>
      <w:r w:rsidR="008304AE">
        <w:rPr>
          <w:bCs w:val="0"/>
        </w:rPr>
        <w:t>,</w:t>
      </w:r>
      <w:r w:rsidR="00375097" w:rsidRPr="00375097">
        <w:rPr>
          <w:bCs w:val="0"/>
        </w:rPr>
        <w:t xml:space="preserve"> </w:t>
      </w:r>
      <w:r>
        <w:rPr>
          <w:bCs w:val="0"/>
        </w:rPr>
        <w:t>addresses the recent comments of rating agencies (Standard &amp; Poor</w:t>
      </w:r>
      <w:r w:rsidR="00056588">
        <w:rPr>
          <w:bCs w:val="0"/>
        </w:rPr>
        <w:t>’</w:t>
      </w:r>
      <w:r>
        <w:rPr>
          <w:bCs w:val="0"/>
        </w:rPr>
        <w:t>s and Moody’s)</w:t>
      </w:r>
      <w:r w:rsidR="001575AA">
        <w:rPr>
          <w:bCs w:val="0"/>
        </w:rPr>
        <w:t>,</w:t>
      </w:r>
      <w:r>
        <w:rPr>
          <w:bCs w:val="0"/>
        </w:rPr>
        <w:t xml:space="preserve"> </w:t>
      </w:r>
      <w:r w:rsidR="001575AA">
        <w:rPr>
          <w:bCs w:val="0"/>
        </w:rPr>
        <w:t xml:space="preserve">and on page 18 Mr. Gorman </w:t>
      </w:r>
      <w:r w:rsidR="00717C32" w:rsidRPr="00717C32">
        <w:rPr>
          <w:bCs w:val="0"/>
        </w:rPr>
        <w:t>states that, “The</w:t>
      </w:r>
      <w:r w:rsidR="001575AA">
        <w:rPr>
          <w:bCs w:val="0"/>
        </w:rPr>
        <w:t>y</w:t>
      </w:r>
      <w:r w:rsidR="00717C32" w:rsidRPr="00717C32">
        <w:rPr>
          <w:bCs w:val="0"/>
        </w:rPr>
        <w:t xml:space="preserve"> both acknowledge that Avista’s last rate settlement was constructive</w:t>
      </w:r>
      <w:r w:rsidR="001575AA">
        <w:rPr>
          <w:bCs w:val="0"/>
        </w:rPr>
        <w:t xml:space="preserve"> for the utility, . .</w:t>
      </w:r>
      <w:r w:rsidR="00481D1E">
        <w:rPr>
          <w:bCs w:val="0"/>
        </w:rPr>
        <w:t xml:space="preserve"> . ”  Do you agree that the recent</w:t>
      </w:r>
      <w:r w:rsidR="001575AA">
        <w:rPr>
          <w:bCs w:val="0"/>
        </w:rPr>
        <w:t xml:space="preserve"> rate case settlement</w:t>
      </w:r>
      <w:r w:rsidR="00481D1E">
        <w:rPr>
          <w:bCs w:val="0"/>
        </w:rPr>
        <w:t xml:space="preserve">s </w:t>
      </w:r>
      <w:r w:rsidR="00B447AD">
        <w:rPr>
          <w:bCs w:val="0"/>
        </w:rPr>
        <w:t xml:space="preserve">approved by the Commission </w:t>
      </w:r>
      <w:r w:rsidR="00481D1E">
        <w:rPr>
          <w:bCs w:val="0"/>
        </w:rPr>
        <w:t>for Avista were constructive and were viewed positively by the rating agencies?</w:t>
      </w:r>
    </w:p>
    <w:p w:rsidR="00481D1E" w:rsidRDefault="00481D1E" w:rsidP="00867849">
      <w:pPr>
        <w:pStyle w:val="BodyText"/>
        <w:tabs>
          <w:tab w:val="left" w:pos="720"/>
        </w:tabs>
        <w:spacing w:line="480" w:lineRule="auto"/>
        <w:ind w:right="-54" w:firstLine="720"/>
        <w:jc w:val="both"/>
        <w:rPr>
          <w:b w:val="0"/>
          <w:bCs w:val="0"/>
        </w:rPr>
      </w:pPr>
      <w:r w:rsidRPr="00481D1E">
        <w:rPr>
          <w:b w:val="0"/>
          <w:bCs w:val="0"/>
        </w:rPr>
        <w:t>A.</w:t>
      </w:r>
      <w:r w:rsidRPr="00481D1E">
        <w:rPr>
          <w:b w:val="0"/>
          <w:bCs w:val="0"/>
        </w:rPr>
        <w:tab/>
        <w:t xml:space="preserve">Yes.  </w:t>
      </w:r>
      <w:r w:rsidR="00FB3E44">
        <w:rPr>
          <w:b w:val="0"/>
          <w:bCs w:val="0"/>
        </w:rPr>
        <w:t xml:space="preserve">And it is important to recognize </w:t>
      </w:r>
      <w:r w:rsidR="00FB3E44" w:rsidRPr="00375097">
        <w:rPr>
          <w:b w:val="0"/>
          <w:bCs w:val="0"/>
          <w:u w:val="single"/>
        </w:rPr>
        <w:t>why</w:t>
      </w:r>
      <w:r w:rsidR="00FB3E44">
        <w:rPr>
          <w:b w:val="0"/>
          <w:bCs w:val="0"/>
        </w:rPr>
        <w:t xml:space="preserve"> they were viewed positively.  </w:t>
      </w:r>
      <w:r w:rsidR="009B7185">
        <w:rPr>
          <w:b w:val="0"/>
          <w:bCs w:val="0"/>
        </w:rPr>
        <w:t>With regard to the most recent rate case settlement</w:t>
      </w:r>
      <w:r w:rsidR="00590465">
        <w:rPr>
          <w:b w:val="0"/>
          <w:bCs w:val="0"/>
        </w:rPr>
        <w:t xml:space="preserve"> filed with the Commission on August 18, 2014</w:t>
      </w:r>
      <w:r w:rsidR="009B7185">
        <w:rPr>
          <w:b w:val="0"/>
          <w:bCs w:val="0"/>
        </w:rPr>
        <w:t>, Moody’s had the following comments in its August 21, 2014 report:</w:t>
      </w:r>
    </w:p>
    <w:p w:rsidR="009B7185" w:rsidRDefault="009B7185" w:rsidP="00867849">
      <w:pPr>
        <w:pStyle w:val="BodyText"/>
        <w:tabs>
          <w:tab w:val="left" w:pos="720"/>
        </w:tabs>
        <w:spacing w:line="240" w:lineRule="auto"/>
        <w:ind w:left="720" w:right="-54"/>
        <w:jc w:val="both"/>
        <w:rPr>
          <w:b w:val="0"/>
          <w:bCs w:val="0"/>
        </w:rPr>
      </w:pPr>
      <w:r>
        <w:rPr>
          <w:b w:val="0"/>
          <w:bCs w:val="0"/>
        </w:rPr>
        <w:t xml:space="preserve">The rate settlement, if approved, would also indicate improved regulatory support for Avista since traditional rate making in Washington has made limited use of special cost recovery mechanisms and has incorporated </w:t>
      </w:r>
      <w:r w:rsidRPr="00B905ED">
        <w:rPr>
          <w:b w:val="0"/>
          <w:bCs w:val="0"/>
          <w:u w:val="single"/>
        </w:rPr>
        <w:t xml:space="preserve">the use of historical test years (i.e., setting future rates to recover historical cost levels).  The historical regulatory treatment frequently </w:t>
      </w:r>
      <w:r w:rsidR="00DE2914" w:rsidRPr="00B905ED">
        <w:rPr>
          <w:b w:val="0"/>
          <w:bCs w:val="0"/>
          <w:u w:val="single"/>
        </w:rPr>
        <w:t>resulted in Avista</w:t>
      </w:r>
      <w:r w:rsidRPr="00B905ED">
        <w:rPr>
          <w:b w:val="0"/>
          <w:bCs w:val="0"/>
          <w:u w:val="single"/>
        </w:rPr>
        <w:t xml:space="preserve"> </w:t>
      </w:r>
      <w:r w:rsidR="00590465" w:rsidRPr="00B905ED">
        <w:rPr>
          <w:b w:val="0"/>
          <w:bCs w:val="0"/>
          <w:u w:val="single"/>
        </w:rPr>
        <w:t xml:space="preserve">having revenue levels that lagged real-time cost recovery and resulted in the Company </w:t>
      </w:r>
      <w:r w:rsidRPr="00B905ED">
        <w:rPr>
          <w:b w:val="0"/>
          <w:bCs w:val="0"/>
          <w:u w:val="single"/>
        </w:rPr>
        <w:t>achieving return</w:t>
      </w:r>
      <w:r w:rsidR="00590465" w:rsidRPr="00B905ED">
        <w:rPr>
          <w:b w:val="0"/>
          <w:bCs w:val="0"/>
          <w:u w:val="single"/>
        </w:rPr>
        <w:t>s</w:t>
      </w:r>
      <w:r w:rsidRPr="00B905ED">
        <w:rPr>
          <w:b w:val="0"/>
          <w:bCs w:val="0"/>
          <w:u w:val="single"/>
        </w:rPr>
        <w:t xml:space="preserve"> on equity (ROE) below those allowed by the WUTC.  For example, Avista was often allowed ROE of around 10%, but would only be able to achieve an actual ROE of 7%-8% because of cost inflation</w:t>
      </w:r>
      <w:r>
        <w:rPr>
          <w:b w:val="0"/>
          <w:bCs w:val="0"/>
        </w:rPr>
        <w:t>.</w:t>
      </w:r>
      <w:r w:rsidR="00A5042E">
        <w:rPr>
          <w:rStyle w:val="FootnoteReference"/>
          <w:b w:val="0"/>
          <w:bCs w:val="0"/>
        </w:rPr>
        <w:footnoteReference w:id="9"/>
      </w:r>
      <w:r w:rsidR="00B905ED">
        <w:rPr>
          <w:b w:val="0"/>
          <w:bCs w:val="0"/>
        </w:rPr>
        <w:t xml:space="preserve">  (emphasis added)</w:t>
      </w:r>
    </w:p>
    <w:p w:rsidR="009B7185" w:rsidRDefault="009B7185" w:rsidP="00867849">
      <w:pPr>
        <w:pStyle w:val="BodyText"/>
        <w:tabs>
          <w:tab w:val="left" w:pos="720"/>
        </w:tabs>
        <w:spacing w:line="480" w:lineRule="auto"/>
        <w:ind w:right="-54" w:firstLine="720"/>
        <w:jc w:val="both"/>
        <w:rPr>
          <w:b w:val="0"/>
          <w:bCs w:val="0"/>
        </w:rPr>
      </w:pPr>
    </w:p>
    <w:p w:rsidR="009B7185" w:rsidRDefault="00DE2914" w:rsidP="00867849">
      <w:pPr>
        <w:pStyle w:val="BodyText"/>
        <w:tabs>
          <w:tab w:val="left" w:pos="720"/>
        </w:tabs>
        <w:spacing w:line="480" w:lineRule="auto"/>
        <w:ind w:right="-54" w:firstLine="720"/>
        <w:jc w:val="both"/>
        <w:rPr>
          <w:b w:val="0"/>
          <w:bCs w:val="0"/>
        </w:rPr>
      </w:pPr>
      <w:r>
        <w:rPr>
          <w:b w:val="0"/>
          <w:bCs w:val="0"/>
        </w:rPr>
        <w:t>The rating agencies have recognized that the revenue increases granted in Avista’s last two general rate cases took into consideration the impacts of attrition, i.e., that investment and operating costs are growing faster th</w:t>
      </w:r>
      <w:r w:rsidR="00E46ADE">
        <w:rPr>
          <w:b w:val="0"/>
          <w:bCs w:val="0"/>
        </w:rPr>
        <w:t>an</w:t>
      </w:r>
      <w:r>
        <w:rPr>
          <w:b w:val="0"/>
          <w:bCs w:val="0"/>
        </w:rPr>
        <w:t xml:space="preserve"> </w:t>
      </w:r>
      <w:r w:rsidR="00081B94">
        <w:rPr>
          <w:b w:val="0"/>
          <w:bCs w:val="0"/>
        </w:rPr>
        <w:t>revenue growth.</w:t>
      </w:r>
      <w:r w:rsidR="00135B62">
        <w:rPr>
          <w:b w:val="0"/>
          <w:bCs w:val="0"/>
        </w:rPr>
        <w:t xml:space="preserve">  Although the </w:t>
      </w:r>
      <w:r w:rsidR="00BE4535">
        <w:rPr>
          <w:b w:val="0"/>
          <w:bCs w:val="0"/>
        </w:rPr>
        <w:t>settlement agreement in the last</w:t>
      </w:r>
      <w:r w:rsidR="00135B62">
        <w:rPr>
          <w:b w:val="0"/>
          <w:bCs w:val="0"/>
        </w:rPr>
        <w:t xml:space="preserve"> case</w:t>
      </w:r>
      <w:r w:rsidR="008E2724">
        <w:rPr>
          <w:b w:val="0"/>
          <w:bCs w:val="0"/>
        </w:rPr>
        <w:t>,</w:t>
      </w:r>
      <w:r w:rsidR="00135B62">
        <w:rPr>
          <w:b w:val="0"/>
          <w:bCs w:val="0"/>
        </w:rPr>
        <w:t xml:space="preserve"> </w:t>
      </w:r>
      <w:r w:rsidR="008E2724">
        <w:rPr>
          <w:b w:val="0"/>
          <w:bCs w:val="0"/>
        </w:rPr>
        <w:t xml:space="preserve">with rates effective January 1, 2015, </w:t>
      </w:r>
      <w:r w:rsidR="00135B62">
        <w:rPr>
          <w:b w:val="0"/>
          <w:bCs w:val="0"/>
        </w:rPr>
        <w:t>did not include agreement on an attrition methodology or a specific attrition adjustment</w:t>
      </w:r>
      <w:r w:rsidR="00ED07E5">
        <w:rPr>
          <w:b w:val="0"/>
          <w:bCs w:val="0"/>
        </w:rPr>
        <w:t xml:space="preserve">, increased revenues </w:t>
      </w:r>
      <w:r w:rsidR="00ED07E5">
        <w:rPr>
          <w:b w:val="0"/>
          <w:bCs w:val="0"/>
        </w:rPr>
        <w:lastRenderedPageBreak/>
        <w:t xml:space="preserve">associated with </w:t>
      </w:r>
      <w:r w:rsidR="00375097">
        <w:rPr>
          <w:b w:val="0"/>
          <w:bCs w:val="0"/>
        </w:rPr>
        <w:t xml:space="preserve">the effects of </w:t>
      </w:r>
      <w:r w:rsidR="00ED07E5">
        <w:rPr>
          <w:b w:val="0"/>
          <w:bCs w:val="0"/>
        </w:rPr>
        <w:t xml:space="preserve">attrition were embedded in the final </w:t>
      </w:r>
      <w:r w:rsidR="00BE4535">
        <w:rPr>
          <w:b w:val="0"/>
          <w:bCs w:val="0"/>
        </w:rPr>
        <w:t xml:space="preserve">“black box” </w:t>
      </w:r>
      <w:r w:rsidR="00ED07E5">
        <w:rPr>
          <w:b w:val="0"/>
          <w:bCs w:val="0"/>
        </w:rPr>
        <w:t xml:space="preserve">revenue requirement numbers.  </w:t>
      </w:r>
    </w:p>
    <w:p w:rsidR="008E2724" w:rsidRDefault="00AB3167" w:rsidP="00867849">
      <w:pPr>
        <w:pStyle w:val="BodyText"/>
        <w:tabs>
          <w:tab w:val="left" w:pos="720"/>
        </w:tabs>
        <w:spacing w:line="480" w:lineRule="auto"/>
        <w:ind w:right="-54" w:firstLine="720"/>
        <w:jc w:val="both"/>
        <w:rPr>
          <w:b w:val="0"/>
          <w:bCs w:val="0"/>
        </w:rPr>
      </w:pPr>
      <w:r>
        <w:rPr>
          <w:b w:val="0"/>
          <w:bCs w:val="0"/>
        </w:rPr>
        <w:t xml:space="preserve">And in the prior settlement with a two-year rate plan for 2013 and 2014, increased revenues associated with </w:t>
      </w:r>
      <w:r w:rsidR="00375097">
        <w:rPr>
          <w:b w:val="0"/>
          <w:bCs w:val="0"/>
        </w:rPr>
        <w:t xml:space="preserve">the effects of </w:t>
      </w:r>
      <w:r>
        <w:rPr>
          <w:b w:val="0"/>
          <w:bCs w:val="0"/>
        </w:rPr>
        <w:t>attrition were embedded in the end resu</w:t>
      </w:r>
      <w:r w:rsidR="002B6008">
        <w:rPr>
          <w:b w:val="0"/>
          <w:bCs w:val="0"/>
        </w:rPr>
        <w:t>lt.  In its order approving that</w:t>
      </w:r>
      <w:r>
        <w:rPr>
          <w:b w:val="0"/>
          <w:bCs w:val="0"/>
        </w:rPr>
        <w:t xml:space="preserve"> settlement agreement, the Commission stated as follows:</w:t>
      </w:r>
      <w:r w:rsidR="00EE30E9">
        <w:rPr>
          <w:rStyle w:val="FootnoteReference"/>
          <w:b w:val="0"/>
          <w:bCs w:val="0"/>
        </w:rPr>
        <w:footnoteReference w:id="10"/>
      </w:r>
    </w:p>
    <w:p w:rsidR="00AB3167" w:rsidRDefault="00AB3167" w:rsidP="00867849">
      <w:pPr>
        <w:pStyle w:val="BodyText"/>
        <w:tabs>
          <w:tab w:val="left" w:pos="720"/>
        </w:tabs>
        <w:spacing w:line="240" w:lineRule="auto"/>
        <w:ind w:left="720" w:right="-54"/>
        <w:jc w:val="both"/>
        <w:rPr>
          <w:b w:val="0"/>
          <w:bCs w:val="0"/>
        </w:rPr>
      </w:pPr>
      <w:r>
        <w:rPr>
          <w:b w:val="0"/>
          <w:bCs w:val="0"/>
        </w:rPr>
        <w:t>Here, both the Company and Staff performed attrition studies to project 2013 rates.  We agree with the Company and Staff that the proposed 2013 rate increase is based significantly on attrition.</w:t>
      </w:r>
    </w:p>
    <w:p w:rsidR="00AB3167" w:rsidRDefault="00AB3167" w:rsidP="00867849">
      <w:pPr>
        <w:pStyle w:val="BodyText"/>
        <w:tabs>
          <w:tab w:val="left" w:pos="720"/>
        </w:tabs>
        <w:spacing w:line="240" w:lineRule="auto"/>
        <w:ind w:left="720" w:right="-54"/>
        <w:jc w:val="both"/>
        <w:rPr>
          <w:b w:val="0"/>
          <w:bCs w:val="0"/>
        </w:rPr>
      </w:pPr>
    </w:p>
    <w:p w:rsidR="00AB3167" w:rsidRDefault="00AB3167" w:rsidP="00D335DF">
      <w:pPr>
        <w:pStyle w:val="BodyText"/>
        <w:tabs>
          <w:tab w:val="left" w:pos="720"/>
        </w:tabs>
        <w:spacing w:line="480" w:lineRule="auto"/>
        <w:ind w:right="-54"/>
        <w:jc w:val="both"/>
        <w:rPr>
          <w:b w:val="0"/>
          <w:bCs w:val="0"/>
        </w:rPr>
      </w:pPr>
      <w:r>
        <w:rPr>
          <w:b w:val="0"/>
          <w:bCs w:val="0"/>
        </w:rPr>
        <w:t>And</w:t>
      </w:r>
      <w:r w:rsidR="008103BF">
        <w:rPr>
          <w:b w:val="0"/>
          <w:bCs w:val="0"/>
        </w:rPr>
        <w:t xml:space="preserve"> in paragraph 72 of the same Order the Commission stated:</w:t>
      </w:r>
    </w:p>
    <w:p w:rsidR="008103BF" w:rsidRDefault="008103BF" w:rsidP="00ED5CA3">
      <w:pPr>
        <w:pStyle w:val="BodyText"/>
        <w:tabs>
          <w:tab w:val="left" w:pos="720"/>
        </w:tabs>
        <w:spacing w:line="240" w:lineRule="auto"/>
        <w:ind w:left="720" w:right="-54"/>
        <w:jc w:val="both"/>
        <w:rPr>
          <w:b w:val="0"/>
          <w:bCs w:val="0"/>
        </w:rPr>
      </w:pPr>
      <w:r>
        <w:rPr>
          <w:b w:val="0"/>
          <w:bCs w:val="0"/>
        </w:rPr>
        <w:t>While the Company and Staff have each submitted attrition studies that justify the 2013 increase, they did not submit such studies for the 2014 increase, which also is justified substantially on anticipated continued attrition.  Rather, they argue that the trends of attrition from 2013 will continue through 2014, thereby justifying a further rate increase.  For the purposes of this Settlement, we accept the trending analysis from both Staff and Avista.</w:t>
      </w:r>
    </w:p>
    <w:p w:rsidR="00ED5CA3" w:rsidRDefault="00ED5CA3" w:rsidP="00ED5CA3">
      <w:pPr>
        <w:pStyle w:val="BodyText"/>
        <w:tabs>
          <w:tab w:val="left" w:pos="720"/>
        </w:tabs>
        <w:spacing w:line="240" w:lineRule="auto"/>
        <w:ind w:left="720" w:right="-54"/>
        <w:jc w:val="both"/>
        <w:rPr>
          <w:b w:val="0"/>
          <w:bCs w:val="0"/>
        </w:rPr>
      </w:pPr>
    </w:p>
    <w:p w:rsidR="0003053E" w:rsidRDefault="0025008C" w:rsidP="00867849">
      <w:pPr>
        <w:pStyle w:val="BodyText"/>
        <w:tabs>
          <w:tab w:val="left" w:pos="720"/>
        </w:tabs>
        <w:spacing w:line="480" w:lineRule="auto"/>
        <w:ind w:right="-54" w:firstLine="720"/>
        <w:jc w:val="both"/>
        <w:rPr>
          <w:b w:val="0"/>
          <w:bCs w:val="0"/>
        </w:rPr>
      </w:pPr>
      <w:r w:rsidRPr="00096116">
        <w:rPr>
          <w:b w:val="0"/>
          <w:bCs w:val="0"/>
          <w:u w:val="single"/>
        </w:rPr>
        <w:t>The earned ROEs for Avista for 2013 and 2014 of 9.5% and 9.9%, respectively</w:t>
      </w:r>
      <w:r w:rsidR="00950AFD" w:rsidRPr="00096116">
        <w:rPr>
          <w:b w:val="0"/>
          <w:bCs w:val="0"/>
          <w:u w:val="single"/>
        </w:rPr>
        <w:t>,</w:t>
      </w:r>
      <w:r w:rsidRPr="00096116">
        <w:rPr>
          <w:b w:val="0"/>
          <w:bCs w:val="0"/>
          <w:u w:val="single"/>
        </w:rPr>
        <w:t xml:space="preserve"> are an after-the-fact confirmation that the revenue increases granted based on recognition of attrition provided earned returns very close to </w:t>
      </w:r>
      <w:r w:rsidR="005D2DD0" w:rsidRPr="00096116">
        <w:rPr>
          <w:b w:val="0"/>
          <w:bCs w:val="0"/>
          <w:u w:val="single"/>
        </w:rPr>
        <w:t>the authorized ROE</w:t>
      </w:r>
      <w:r w:rsidRPr="00096116">
        <w:rPr>
          <w:b w:val="0"/>
          <w:bCs w:val="0"/>
          <w:u w:val="single"/>
        </w:rPr>
        <w:t xml:space="preserve"> of 9.8%.</w:t>
      </w:r>
      <w:r>
        <w:rPr>
          <w:b w:val="0"/>
          <w:bCs w:val="0"/>
        </w:rPr>
        <w:t xml:space="preserve">  Without the recognition of attrition, Avista’s earned returns for 2013 and 2014 would have been substantially below its authorized return, as noted by Moody’s in their comments above.</w:t>
      </w:r>
      <w:r w:rsidR="002B6008">
        <w:rPr>
          <w:b w:val="0"/>
          <w:bCs w:val="0"/>
        </w:rPr>
        <w:t xml:space="preserve"> </w:t>
      </w:r>
    </w:p>
    <w:p w:rsidR="001563B9" w:rsidRPr="0003053E" w:rsidRDefault="0003053E" w:rsidP="00867849">
      <w:pPr>
        <w:pStyle w:val="BodyText"/>
        <w:tabs>
          <w:tab w:val="left" w:pos="720"/>
        </w:tabs>
        <w:spacing w:line="480" w:lineRule="auto"/>
        <w:ind w:right="-54" w:firstLine="720"/>
        <w:jc w:val="both"/>
        <w:rPr>
          <w:bCs w:val="0"/>
        </w:rPr>
      </w:pPr>
      <w:r w:rsidRPr="0003053E">
        <w:rPr>
          <w:bCs w:val="0"/>
        </w:rPr>
        <w:t>Q.</w:t>
      </w:r>
      <w:r w:rsidRPr="0003053E">
        <w:rPr>
          <w:bCs w:val="0"/>
        </w:rPr>
        <w:tab/>
        <w:t>What were the earned returns for Avista’s utility operations in Washington prior to 2013, where the revenue adjustments approved by the Commission did not factor in the attrition being experienced by Avista?</w:t>
      </w:r>
      <w:r w:rsidR="002B6008" w:rsidRPr="0003053E">
        <w:rPr>
          <w:bCs w:val="0"/>
        </w:rPr>
        <w:t xml:space="preserve"> </w:t>
      </w:r>
    </w:p>
    <w:p w:rsidR="00C4193F" w:rsidRDefault="0003053E" w:rsidP="00C4193F">
      <w:pPr>
        <w:pStyle w:val="BodyTextIndent"/>
        <w:tabs>
          <w:tab w:val="left" w:pos="1440"/>
        </w:tabs>
        <w:suppressAutoHyphens w:val="0"/>
        <w:spacing w:after="0" w:line="480" w:lineRule="auto"/>
        <w:ind w:left="0" w:right="-72" w:firstLine="720"/>
        <w:jc w:val="both"/>
        <w:rPr>
          <w:rStyle w:val="LineNumber"/>
          <w:b/>
          <w:bCs/>
        </w:rPr>
      </w:pPr>
      <w:r w:rsidRPr="00412B33">
        <w:rPr>
          <w:bCs/>
        </w:rPr>
        <w:t>A.</w:t>
      </w:r>
      <w:r>
        <w:rPr>
          <w:b/>
          <w:bCs/>
        </w:rPr>
        <w:tab/>
      </w:r>
      <w:r w:rsidR="00C4193F" w:rsidRPr="00B952E0">
        <w:rPr>
          <w:rStyle w:val="LineNumber"/>
        </w:rPr>
        <w:t xml:space="preserve">The bar chart in Illustration </w:t>
      </w:r>
      <w:r w:rsidR="002D38A7">
        <w:rPr>
          <w:rStyle w:val="LineNumber"/>
        </w:rPr>
        <w:t xml:space="preserve">No. </w:t>
      </w:r>
      <w:r w:rsidR="00EE30E9">
        <w:rPr>
          <w:rStyle w:val="LineNumber"/>
        </w:rPr>
        <w:t>1</w:t>
      </w:r>
      <w:r w:rsidR="00C4193F" w:rsidRPr="00B952E0">
        <w:rPr>
          <w:rStyle w:val="LineNumber"/>
        </w:rPr>
        <w:t xml:space="preserve"> below shows Av</w:t>
      </w:r>
      <w:r w:rsidR="00C4193F">
        <w:rPr>
          <w:rStyle w:val="LineNumber"/>
        </w:rPr>
        <w:t>ista’</w:t>
      </w:r>
      <w:r w:rsidR="00EF0F7E">
        <w:rPr>
          <w:rStyle w:val="LineNumber"/>
        </w:rPr>
        <w:t>s earned ROE each year from 2008 to 2014</w:t>
      </w:r>
      <w:r w:rsidR="00C4193F" w:rsidRPr="00B952E0">
        <w:rPr>
          <w:rStyle w:val="LineNumber"/>
        </w:rPr>
        <w:t xml:space="preserve"> for our combined electric and natural gas operations i</w:t>
      </w:r>
      <w:r w:rsidR="00C4193F">
        <w:rPr>
          <w:rStyle w:val="LineNumber"/>
        </w:rPr>
        <w:t>n the State of Washington, on a normalized basis from the Company’s annual Commission Basis Reports.</w:t>
      </w:r>
    </w:p>
    <w:p w:rsidR="00C4193F" w:rsidRPr="00B952E0" w:rsidRDefault="00C4193F" w:rsidP="00C4193F">
      <w:pPr>
        <w:pStyle w:val="BodyTextIndent"/>
        <w:tabs>
          <w:tab w:val="left" w:pos="1440"/>
        </w:tabs>
        <w:suppressAutoHyphens w:val="0"/>
        <w:spacing w:after="0" w:line="480" w:lineRule="auto"/>
        <w:ind w:left="0" w:right="-72" w:firstLine="720"/>
        <w:jc w:val="both"/>
        <w:rPr>
          <w:rStyle w:val="LineNumber"/>
          <w:b/>
          <w:bCs/>
        </w:rPr>
      </w:pPr>
      <w:r w:rsidRPr="00B952E0">
        <w:rPr>
          <w:rStyle w:val="LineNumber"/>
        </w:rPr>
        <w:lastRenderedPageBreak/>
        <w:t>In developing the</w:t>
      </w:r>
      <w:r>
        <w:rPr>
          <w:rStyle w:val="LineNumber"/>
        </w:rPr>
        <w:t>se</w:t>
      </w:r>
      <w:r w:rsidRPr="00B952E0">
        <w:rPr>
          <w:rStyle w:val="LineNumber"/>
        </w:rPr>
        <w:t xml:space="preserve"> reports, </w:t>
      </w:r>
      <w:r>
        <w:rPr>
          <w:rStyle w:val="LineNumber"/>
        </w:rPr>
        <w:t>which are filed on or before April 30</w:t>
      </w:r>
      <w:r w:rsidRPr="002D5A27">
        <w:rPr>
          <w:rStyle w:val="LineNumber"/>
          <w:vertAlign w:val="superscript"/>
        </w:rPr>
        <w:t>th</w:t>
      </w:r>
      <w:r>
        <w:rPr>
          <w:rStyle w:val="LineNumber"/>
        </w:rPr>
        <w:t xml:space="preserve"> each year, </w:t>
      </w:r>
      <w:r w:rsidRPr="00B952E0">
        <w:rPr>
          <w:rStyle w:val="LineNumber"/>
        </w:rPr>
        <w:t xml:space="preserve">Avista normalizes the operating results </w:t>
      </w:r>
      <w:r w:rsidR="00EF0F7E">
        <w:rPr>
          <w:rStyle w:val="LineNumber"/>
        </w:rPr>
        <w:t>to determine what its ROE</w:t>
      </w:r>
      <w:r w:rsidRPr="00B952E0">
        <w:rPr>
          <w:rStyle w:val="LineNumber"/>
        </w:rPr>
        <w:t xml:space="preserve"> would have been if the Company had experienced normal operating conditions, including, among other things, normal temperatures, normal hydroelectric conditions and wholesale electric prices, removal of prior period adjustments, etc. </w:t>
      </w:r>
    </w:p>
    <w:p w:rsidR="00EE30E9" w:rsidRPr="00EE30E9" w:rsidRDefault="00C4193F" w:rsidP="00EE30E9">
      <w:pPr>
        <w:pStyle w:val="BodyText"/>
        <w:tabs>
          <w:tab w:val="left" w:pos="720"/>
        </w:tabs>
        <w:spacing w:line="480" w:lineRule="auto"/>
        <w:ind w:right="-72" w:firstLine="720"/>
        <w:jc w:val="both"/>
        <w:rPr>
          <w:rStyle w:val="LineNumber"/>
          <w:b w:val="0"/>
          <w:bCs w:val="0"/>
        </w:rPr>
      </w:pPr>
      <w:r>
        <w:rPr>
          <w:rStyle w:val="LineNumber"/>
          <w:b w:val="0"/>
          <w:bCs w:val="0"/>
        </w:rPr>
        <w:t xml:space="preserve">The bar chart shows that </w:t>
      </w:r>
      <w:r w:rsidRPr="00B952E0">
        <w:rPr>
          <w:rStyle w:val="LineNumber"/>
          <w:b w:val="0"/>
          <w:bCs w:val="0"/>
        </w:rPr>
        <w:t xml:space="preserve">all </w:t>
      </w:r>
      <w:r w:rsidR="00EF0F7E">
        <w:rPr>
          <w:rStyle w:val="LineNumber"/>
          <w:b w:val="0"/>
          <w:bCs w:val="0"/>
        </w:rPr>
        <w:t>of the normalized ROEs for 2008</w:t>
      </w:r>
      <w:r>
        <w:rPr>
          <w:rStyle w:val="LineNumber"/>
          <w:b w:val="0"/>
          <w:bCs w:val="0"/>
        </w:rPr>
        <w:t xml:space="preserve"> to 2012 were</w:t>
      </w:r>
      <w:r w:rsidRPr="00B952E0">
        <w:rPr>
          <w:rStyle w:val="LineNumber"/>
          <w:b w:val="0"/>
          <w:bCs w:val="0"/>
        </w:rPr>
        <w:t xml:space="preserve"> well below </w:t>
      </w:r>
      <w:r>
        <w:rPr>
          <w:rStyle w:val="LineNumber"/>
          <w:b w:val="0"/>
          <w:bCs w:val="0"/>
        </w:rPr>
        <w:t xml:space="preserve">the </w:t>
      </w:r>
      <w:r w:rsidRPr="00B952E0">
        <w:rPr>
          <w:rStyle w:val="LineNumber"/>
          <w:b w:val="0"/>
          <w:bCs w:val="0"/>
        </w:rPr>
        <w:t xml:space="preserve">ROEs </w:t>
      </w:r>
      <w:r>
        <w:rPr>
          <w:rStyle w:val="LineNumber"/>
          <w:b w:val="0"/>
          <w:bCs w:val="0"/>
        </w:rPr>
        <w:t>approved by the Commission as being rea</w:t>
      </w:r>
      <w:r w:rsidR="00EF0F7E">
        <w:rPr>
          <w:rStyle w:val="LineNumber"/>
          <w:b w:val="0"/>
          <w:bCs w:val="0"/>
        </w:rPr>
        <w:t xml:space="preserve">sonable.  </w:t>
      </w:r>
      <w:r>
        <w:rPr>
          <w:rStyle w:val="LineNumber"/>
          <w:b w:val="0"/>
          <w:bCs w:val="0"/>
        </w:rPr>
        <w:t>The earned return</w:t>
      </w:r>
      <w:r w:rsidR="00EF0F7E">
        <w:rPr>
          <w:rStyle w:val="LineNumber"/>
          <w:b w:val="0"/>
          <w:bCs w:val="0"/>
        </w:rPr>
        <w:t>s in 2013 and 2014 represent</w:t>
      </w:r>
      <w:r>
        <w:rPr>
          <w:rStyle w:val="LineNumber"/>
          <w:b w:val="0"/>
          <w:bCs w:val="0"/>
        </w:rPr>
        <w:t xml:space="preserve"> a marked improvement over the prior years</w:t>
      </w:r>
      <w:r w:rsidR="005C2888">
        <w:rPr>
          <w:rStyle w:val="LineNumber"/>
          <w:b w:val="0"/>
          <w:bCs w:val="0"/>
        </w:rPr>
        <w:t>, and are very close to the ROE approved by the Commission.</w:t>
      </w:r>
    </w:p>
    <w:p w:rsidR="00EE30E9" w:rsidRDefault="00EE30E9" w:rsidP="00EE30E9">
      <w:pPr>
        <w:pStyle w:val="BodyText"/>
        <w:tabs>
          <w:tab w:val="left" w:pos="720"/>
        </w:tabs>
        <w:spacing w:line="480" w:lineRule="auto"/>
        <w:ind w:right="-72" w:firstLine="720"/>
        <w:jc w:val="both"/>
        <w:rPr>
          <w:b w:val="0"/>
          <w:bCs w:val="0"/>
        </w:rPr>
      </w:pPr>
      <w:r w:rsidRPr="00EE30E9">
        <w:rPr>
          <w:bCs w:val="0"/>
          <w:u w:val="single"/>
        </w:rPr>
        <w:t>Illustration No. 1</w:t>
      </w:r>
      <w:r>
        <w:rPr>
          <w:bCs w:val="0"/>
          <w:u w:val="single"/>
        </w:rPr>
        <w:t>:</w:t>
      </w:r>
    </w:p>
    <w:p w:rsidR="00EE30E9" w:rsidRDefault="00EE30E9" w:rsidP="00867849">
      <w:pPr>
        <w:pStyle w:val="BodyText"/>
        <w:tabs>
          <w:tab w:val="left" w:pos="720"/>
        </w:tabs>
        <w:spacing w:line="480" w:lineRule="auto"/>
        <w:ind w:right="-54" w:firstLine="720"/>
        <w:jc w:val="both"/>
        <w:rPr>
          <w:b w:val="0"/>
          <w:bCs w:val="0"/>
        </w:rPr>
      </w:pPr>
      <w:r w:rsidRPr="00EE30E9">
        <w:rPr>
          <w:b w:val="0"/>
          <w:bCs w:val="0"/>
          <w:noProof/>
          <w:lang w:eastAsia="en-US"/>
        </w:rPr>
        <w:drawing>
          <wp:anchor distT="0" distB="0" distL="114300" distR="114300" simplePos="0" relativeHeight="251658240" behindDoc="1" locked="0" layoutInCell="1" allowOverlap="1">
            <wp:simplePos x="0" y="0"/>
            <wp:positionH relativeFrom="column">
              <wp:posOffset>124292</wp:posOffset>
            </wp:positionH>
            <wp:positionV relativeFrom="paragraph">
              <wp:posOffset>80800</wp:posOffset>
            </wp:positionV>
            <wp:extent cx="5665758" cy="3114136"/>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65758" cy="3114136"/>
                    </a:xfrm>
                    <a:prstGeom prst="rect">
                      <a:avLst/>
                    </a:prstGeom>
                    <a:noFill/>
                    <a:ln w="9525">
                      <a:noFill/>
                      <a:miter lim="800000"/>
                      <a:headEnd/>
                      <a:tailEnd/>
                    </a:ln>
                  </pic:spPr>
                </pic:pic>
              </a:graphicData>
            </a:graphic>
          </wp:anchor>
        </w:drawing>
      </w:r>
    </w:p>
    <w:p w:rsidR="00EE30E9" w:rsidRDefault="00EE30E9" w:rsidP="00867849">
      <w:pPr>
        <w:pStyle w:val="BodyText"/>
        <w:tabs>
          <w:tab w:val="left" w:pos="720"/>
        </w:tabs>
        <w:spacing w:line="480" w:lineRule="auto"/>
        <w:ind w:right="-54" w:firstLine="720"/>
        <w:jc w:val="both"/>
        <w:rPr>
          <w:b w:val="0"/>
          <w:bCs w:val="0"/>
        </w:rPr>
      </w:pPr>
    </w:p>
    <w:p w:rsidR="00EE30E9" w:rsidRDefault="00EE30E9" w:rsidP="00867849">
      <w:pPr>
        <w:pStyle w:val="BodyText"/>
        <w:tabs>
          <w:tab w:val="left" w:pos="720"/>
        </w:tabs>
        <w:spacing w:line="480" w:lineRule="auto"/>
        <w:ind w:right="-54" w:firstLine="720"/>
        <w:jc w:val="both"/>
        <w:rPr>
          <w:b w:val="0"/>
          <w:bCs w:val="0"/>
        </w:rPr>
      </w:pPr>
    </w:p>
    <w:p w:rsidR="00EE30E9" w:rsidRDefault="00EE30E9" w:rsidP="00867849">
      <w:pPr>
        <w:pStyle w:val="BodyText"/>
        <w:tabs>
          <w:tab w:val="left" w:pos="720"/>
        </w:tabs>
        <w:spacing w:line="480" w:lineRule="auto"/>
        <w:ind w:right="-54" w:firstLine="720"/>
        <w:jc w:val="both"/>
        <w:rPr>
          <w:b w:val="0"/>
          <w:bCs w:val="0"/>
        </w:rPr>
      </w:pPr>
    </w:p>
    <w:p w:rsidR="00EE30E9" w:rsidRDefault="00EE30E9" w:rsidP="00867849">
      <w:pPr>
        <w:pStyle w:val="BodyText"/>
        <w:tabs>
          <w:tab w:val="left" w:pos="720"/>
        </w:tabs>
        <w:spacing w:line="480" w:lineRule="auto"/>
        <w:ind w:right="-54" w:firstLine="720"/>
        <w:jc w:val="both"/>
        <w:rPr>
          <w:b w:val="0"/>
          <w:bCs w:val="0"/>
        </w:rPr>
      </w:pPr>
    </w:p>
    <w:p w:rsidR="00EE30E9" w:rsidRDefault="00EE30E9" w:rsidP="00867849">
      <w:pPr>
        <w:pStyle w:val="BodyText"/>
        <w:tabs>
          <w:tab w:val="left" w:pos="720"/>
        </w:tabs>
        <w:spacing w:line="480" w:lineRule="auto"/>
        <w:ind w:right="-54" w:firstLine="720"/>
        <w:jc w:val="both"/>
        <w:rPr>
          <w:b w:val="0"/>
          <w:bCs w:val="0"/>
        </w:rPr>
      </w:pPr>
    </w:p>
    <w:p w:rsidR="00EE30E9" w:rsidRDefault="00EE30E9" w:rsidP="00867849">
      <w:pPr>
        <w:pStyle w:val="BodyText"/>
        <w:tabs>
          <w:tab w:val="left" w:pos="720"/>
        </w:tabs>
        <w:spacing w:line="480" w:lineRule="auto"/>
        <w:ind w:right="-54" w:firstLine="720"/>
        <w:jc w:val="both"/>
        <w:rPr>
          <w:b w:val="0"/>
          <w:bCs w:val="0"/>
        </w:rPr>
      </w:pPr>
    </w:p>
    <w:p w:rsidR="00EE30E9" w:rsidRDefault="00EE30E9" w:rsidP="00867849">
      <w:pPr>
        <w:pStyle w:val="BodyText"/>
        <w:tabs>
          <w:tab w:val="left" w:pos="720"/>
        </w:tabs>
        <w:spacing w:line="480" w:lineRule="auto"/>
        <w:ind w:right="-54" w:firstLine="720"/>
        <w:jc w:val="both"/>
        <w:rPr>
          <w:b w:val="0"/>
          <w:bCs w:val="0"/>
        </w:rPr>
      </w:pPr>
    </w:p>
    <w:p w:rsidR="00EE30E9" w:rsidRDefault="00EE30E9" w:rsidP="00867849">
      <w:pPr>
        <w:pStyle w:val="BodyText"/>
        <w:tabs>
          <w:tab w:val="left" w:pos="720"/>
        </w:tabs>
        <w:spacing w:line="480" w:lineRule="auto"/>
        <w:ind w:right="-54" w:firstLine="720"/>
        <w:jc w:val="both"/>
        <w:rPr>
          <w:b w:val="0"/>
          <w:bCs w:val="0"/>
        </w:rPr>
      </w:pPr>
    </w:p>
    <w:p w:rsidR="00EE30E9" w:rsidRDefault="00EE30E9" w:rsidP="00867849">
      <w:pPr>
        <w:pStyle w:val="BodyText"/>
        <w:tabs>
          <w:tab w:val="left" w:pos="720"/>
        </w:tabs>
        <w:spacing w:line="480" w:lineRule="auto"/>
        <w:ind w:right="-54" w:firstLine="720"/>
        <w:jc w:val="both"/>
        <w:rPr>
          <w:b w:val="0"/>
          <w:bCs w:val="0"/>
        </w:rPr>
      </w:pPr>
    </w:p>
    <w:p w:rsidR="00B26257" w:rsidRDefault="008F11E1" w:rsidP="00867849">
      <w:pPr>
        <w:pStyle w:val="BodyText"/>
        <w:tabs>
          <w:tab w:val="left" w:pos="720"/>
        </w:tabs>
        <w:spacing w:line="480" w:lineRule="auto"/>
        <w:ind w:right="-54" w:firstLine="720"/>
        <w:jc w:val="both"/>
        <w:rPr>
          <w:b w:val="0"/>
          <w:bCs w:val="0"/>
        </w:rPr>
      </w:pPr>
      <w:r>
        <w:rPr>
          <w:b w:val="0"/>
          <w:bCs w:val="0"/>
        </w:rPr>
        <w:t xml:space="preserve">Both Avista and </w:t>
      </w:r>
      <w:r w:rsidR="00EB2427">
        <w:rPr>
          <w:b w:val="0"/>
          <w:bCs w:val="0"/>
        </w:rPr>
        <w:t>Staff</w:t>
      </w:r>
      <w:r>
        <w:rPr>
          <w:b w:val="0"/>
          <w:bCs w:val="0"/>
        </w:rPr>
        <w:t xml:space="preserve"> have provided substantial evidence in these Dockets that the Company will continue to experience attrition from the 2014 test period to the 2016 rate year.  In order for Avista to have a reasonable opportunity to earn a fair return in 2016, the </w:t>
      </w:r>
      <w:r>
        <w:rPr>
          <w:b w:val="0"/>
          <w:bCs w:val="0"/>
        </w:rPr>
        <w:lastRenderedPageBreak/>
        <w:t>effects of attrition must be included in the determination of the electric and natural gas revenue requirements.</w:t>
      </w:r>
    </w:p>
    <w:p w:rsidR="00997AE0" w:rsidRDefault="00FF7814" w:rsidP="00867849">
      <w:pPr>
        <w:pStyle w:val="BodyText"/>
        <w:tabs>
          <w:tab w:val="left" w:pos="720"/>
        </w:tabs>
        <w:spacing w:line="480" w:lineRule="auto"/>
        <w:ind w:right="-54" w:firstLine="720"/>
        <w:jc w:val="both"/>
        <w:rPr>
          <w:bCs w:val="0"/>
        </w:rPr>
      </w:pPr>
      <w:r w:rsidRPr="00997AE0">
        <w:rPr>
          <w:bCs w:val="0"/>
        </w:rPr>
        <w:t>Q.</w:t>
      </w:r>
      <w:r w:rsidRPr="00997AE0">
        <w:rPr>
          <w:bCs w:val="0"/>
        </w:rPr>
        <w:tab/>
        <w:t>On page 11 of his test</w:t>
      </w:r>
      <w:r w:rsidR="00F57BE9" w:rsidRPr="00997AE0">
        <w:rPr>
          <w:bCs w:val="0"/>
        </w:rPr>
        <w:t>imony</w:t>
      </w:r>
      <w:r w:rsidR="008304AE">
        <w:rPr>
          <w:bCs w:val="0"/>
        </w:rPr>
        <w:t>,</w:t>
      </w:r>
      <w:r w:rsidR="00375097">
        <w:rPr>
          <w:bCs w:val="0"/>
        </w:rPr>
        <w:t xml:space="preserve"> </w:t>
      </w:r>
      <w:r w:rsidR="00375097" w:rsidRPr="00375097">
        <w:rPr>
          <w:bCs w:val="0"/>
        </w:rPr>
        <w:t>(Exhibit No.___</w:t>
      </w:r>
      <w:r w:rsidR="00375097">
        <w:rPr>
          <w:bCs w:val="0"/>
        </w:rPr>
        <w:t>MPG</w:t>
      </w:r>
      <w:r w:rsidR="00375097" w:rsidRPr="00375097">
        <w:rPr>
          <w:bCs w:val="0"/>
        </w:rPr>
        <w:t>-1T))</w:t>
      </w:r>
      <w:r w:rsidR="00F57BE9" w:rsidRPr="00997AE0">
        <w:rPr>
          <w:bCs w:val="0"/>
        </w:rPr>
        <w:t xml:space="preserve">, Mr. Gorman presents Standard &amp; Poor’s </w:t>
      </w:r>
      <w:r w:rsidR="00997AE0" w:rsidRPr="00997AE0">
        <w:rPr>
          <w:bCs w:val="0"/>
        </w:rPr>
        <w:t xml:space="preserve">(S&amp;P’s) </w:t>
      </w:r>
      <w:r w:rsidR="00B92AD5" w:rsidRPr="00997AE0">
        <w:rPr>
          <w:bCs w:val="0"/>
        </w:rPr>
        <w:t>assessment of the</w:t>
      </w:r>
      <w:r w:rsidR="00F57BE9" w:rsidRPr="00997AE0">
        <w:rPr>
          <w:bCs w:val="0"/>
        </w:rPr>
        <w:t xml:space="preserve"> level of </w:t>
      </w:r>
      <w:r w:rsidR="00B92AD5" w:rsidRPr="00997AE0">
        <w:rPr>
          <w:bCs w:val="0"/>
        </w:rPr>
        <w:t>credit support provided</w:t>
      </w:r>
      <w:r w:rsidR="00997AE0">
        <w:rPr>
          <w:bCs w:val="0"/>
        </w:rPr>
        <w:t xml:space="preserve"> by the Washington Commission as follows:</w:t>
      </w:r>
    </w:p>
    <w:p w:rsidR="00997AE0" w:rsidRDefault="00997AE0" w:rsidP="00997AE0">
      <w:pPr>
        <w:pStyle w:val="BodyText"/>
        <w:tabs>
          <w:tab w:val="left" w:pos="720"/>
        </w:tabs>
        <w:spacing w:line="240" w:lineRule="auto"/>
        <w:ind w:left="720" w:right="-58"/>
        <w:jc w:val="both"/>
        <w:rPr>
          <w:bCs w:val="0"/>
        </w:rPr>
      </w:pPr>
      <w:r>
        <w:rPr>
          <w:bCs w:val="0"/>
        </w:rPr>
        <w:t>For example, S&amp;P in a report titled “Utility Regulatory A</w:t>
      </w:r>
      <w:r w:rsidR="00056588">
        <w:rPr>
          <w:bCs w:val="0"/>
        </w:rPr>
        <w:t>s</w:t>
      </w:r>
      <w:r>
        <w:rPr>
          <w:bCs w:val="0"/>
        </w:rPr>
        <w:t>sessments for U.S. Investor-Owned Utilities,” categorizes the Washington Commission in the “Strong/Adequate” assessment of the regulatory environment in Washington.</w:t>
      </w:r>
      <w:r w:rsidR="00BB73EE">
        <w:rPr>
          <w:bCs w:val="0"/>
        </w:rPr>
        <w:t xml:space="preserve">  Based on S&amp;P’s view, Washington falls into the second most investor supportive category, where a majority of the state jurisdictions fall.</w:t>
      </w:r>
    </w:p>
    <w:p w:rsidR="00997AE0" w:rsidRDefault="00997AE0" w:rsidP="00997AE0">
      <w:pPr>
        <w:pStyle w:val="BodyText"/>
        <w:tabs>
          <w:tab w:val="left" w:pos="720"/>
        </w:tabs>
        <w:spacing w:line="240" w:lineRule="auto"/>
        <w:ind w:left="720" w:right="-58"/>
        <w:jc w:val="both"/>
        <w:rPr>
          <w:bCs w:val="0"/>
        </w:rPr>
      </w:pPr>
    </w:p>
    <w:p w:rsidR="00811F1B" w:rsidRPr="00997AE0" w:rsidRDefault="00375097" w:rsidP="00375097">
      <w:pPr>
        <w:pStyle w:val="BodyText"/>
        <w:tabs>
          <w:tab w:val="left" w:pos="720"/>
        </w:tabs>
        <w:spacing w:line="480" w:lineRule="auto"/>
        <w:ind w:right="-54"/>
        <w:jc w:val="both"/>
        <w:rPr>
          <w:bCs w:val="0"/>
        </w:rPr>
      </w:pPr>
      <w:r>
        <w:rPr>
          <w:bCs w:val="0"/>
        </w:rPr>
        <w:tab/>
        <w:t>Q.</w:t>
      </w:r>
      <w:r>
        <w:rPr>
          <w:bCs w:val="0"/>
        </w:rPr>
        <w:tab/>
      </w:r>
      <w:r w:rsidR="00B92AD5" w:rsidRPr="00997AE0">
        <w:rPr>
          <w:bCs w:val="0"/>
        </w:rPr>
        <w:t>Do you agree with his representation of this S&amp;P report?</w:t>
      </w:r>
    </w:p>
    <w:p w:rsidR="00B92AD5" w:rsidRDefault="00B92AD5" w:rsidP="00867849">
      <w:pPr>
        <w:pStyle w:val="BodyText"/>
        <w:tabs>
          <w:tab w:val="left" w:pos="720"/>
        </w:tabs>
        <w:spacing w:line="480" w:lineRule="auto"/>
        <w:ind w:right="-54" w:firstLine="720"/>
        <w:jc w:val="both"/>
        <w:rPr>
          <w:b w:val="0"/>
          <w:bCs w:val="0"/>
        </w:rPr>
      </w:pPr>
      <w:r>
        <w:rPr>
          <w:b w:val="0"/>
          <w:bCs w:val="0"/>
        </w:rPr>
        <w:t>A.</w:t>
      </w:r>
      <w:r>
        <w:rPr>
          <w:b w:val="0"/>
          <w:bCs w:val="0"/>
        </w:rPr>
        <w:tab/>
      </w:r>
      <w:r w:rsidR="00BB73EE">
        <w:rPr>
          <w:b w:val="0"/>
          <w:bCs w:val="0"/>
        </w:rPr>
        <w:t xml:space="preserve">No.  Mr. Gorman’s presentation is misleading.  </w:t>
      </w:r>
      <w:r w:rsidR="00583C0D">
        <w:rPr>
          <w:b w:val="0"/>
          <w:bCs w:val="0"/>
        </w:rPr>
        <w:t xml:space="preserve">Although S&amp;P has chosen to place all 50 states within three categories, with the majority of the states in the “Strong/Adequate” category, S&amp;P was also clear that the states were listed </w:t>
      </w:r>
      <w:r w:rsidR="00583C0D" w:rsidRPr="00D2551E">
        <w:rPr>
          <w:b w:val="0"/>
          <w:bCs w:val="0"/>
          <w:u w:val="single"/>
        </w:rPr>
        <w:t>in rank order from most credit supportive to least credit supportive</w:t>
      </w:r>
      <w:r w:rsidR="00A635B1">
        <w:rPr>
          <w:b w:val="0"/>
          <w:bCs w:val="0"/>
        </w:rPr>
        <w:t>, with 1 being most credit supportive and 50 being least credit supportive.</w:t>
      </w:r>
      <w:r w:rsidR="00383923">
        <w:rPr>
          <w:b w:val="0"/>
          <w:bCs w:val="0"/>
        </w:rPr>
        <w:t xml:space="preserve">  In this S&amp;P report referenced by Mr. Gorman, Washington is listed as 45</w:t>
      </w:r>
      <w:r w:rsidR="00383923" w:rsidRPr="00383923">
        <w:rPr>
          <w:b w:val="0"/>
          <w:bCs w:val="0"/>
          <w:vertAlign w:val="superscript"/>
        </w:rPr>
        <w:t>th</w:t>
      </w:r>
      <w:r w:rsidR="00383923">
        <w:rPr>
          <w:b w:val="0"/>
          <w:bCs w:val="0"/>
        </w:rPr>
        <w:t xml:space="preserve"> out of the 50 states,</w:t>
      </w:r>
      <w:r w:rsidR="00D2551E">
        <w:rPr>
          <w:b w:val="0"/>
          <w:bCs w:val="0"/>
        </w:rPr>
        <w:t xml:space="preserve"> and </w:t>
      </w:r>
      <w:r w:rsidR="00383923">
        <w:rPr>
          <w:b w:val="0"/>
          <w:bCs w:val="0"/>
        </w:rPr>
        <w:t xml:space="preserve">therefore, at the time of this report, </w:t>
      </w:r>
      <w:r w:rsidR="00D2551E">
        <w:rPr>
          <w:b w:val="0"/>
          <w:bCs w:val="0"/>
        </w:rPr>
        <w:t xml:space="preserve">Washington </w:t>
      </w:r>
      <w:r w:rsidR="00383923">
        <w:rPr>
          <w:b w:val="0"/>
          <w:bCs w:val="0"/>
        </w:rPr>
        <w:t>was viewed by S&amp;P as being one of the least credit supportive regulatory jurisdictions in the United States.</w:t>
      </w:r>
      <w:r w:rsidR="009C3F23">
        <w:rPr>
          <w:b w:val="0"/>
          <w:bCs w:val="0"/>
        </w:rPr>
        <w:t xml:space="preserve">  A copy of this S&amp;P report is attached as Exhibit No. ___ (KON-</w:t>
      </w:r>
      <w:r w:rsidR="00EE30E9">
        <w:rPr>
          <w:b w:val="0"/>
          <w:bCs w:val="0"/>
        </w:rPr>
        <w:t>2</w:t>
      </w:r>
      <w:r w:rsidR="009C3F23">
        <w:rPr>
          <w:b w:val="0"/>
          <w:bCs w:val="0"/>
        </w:rPr>
        <w:t>).</w:t>
      </w:r>
    </w:p>
    <w:p w:rsidR="009C3F23" w:rsidRDefault="009C3F23" w:rsidP="00867849">
      <w:pPr>
        <w:pStyle w:val="BodyText"/>
        <w:tabs>
          <w:tab w:val="left" w:pos="720"/>
        </w:tabs>
        <w:spacing w:line="480" w:lineRule="auto"/>
        <w:ind w:right="-54" w:firstLine="720"/>
        <w:jc w:val="both"/>
        <w:rPr>
          <w:b w:val="0"/>
          <w:bCs w:val="0"/>
        </w:rPr>
      </w:pPr>
      <w:r>
        <w:rPr>
          <w:b w:val="0"/>
          <w:bCs w:val="0"/>
        </w:rPr>
        <w:t xml:space="preserve">It is noteworthy, however, that the date of this report is January 2014.  I believe the flexibility of the Washington Commission in the last couple of years to respond to the attrition being experienced by Washington utilities, and to provide revenue adjustments to address this attrition, is not fully reflected in this ranking.  S&amp;P has not issued an updated Regulatory Assessment Report since January 2014.  </w:t>
      </w:r>
    </w:p>
    <w:p w:rsidR="00853362" w:rsidRDefault="0050527C" w:rsidP="00867849">
      <w:pPr>
        <w:pStyle w:val="BodyText"/>
        <w:tabs>
          <w:tab w:val="left" w:pos="720"/>
        </w:tabs>
        <w:spacing w:line="480" w:lineRule="auto"/>
        <w:ind w:right="-54" w:firstLine="720"/>
        <w:jc w:val="both"/>
        <w:rPr>
          <w:b w:val="0"/>
          <w:bCs w:val="0"/>
        </w:rPr>
      </w:pPr>
      <w:r>
        <w:rPr>
          <w:b w:val="0"/>
          <w:bCs w:val="0"/>
        </w:rPr>
        <w:lastRenderedPageBreak/>
        <w:t>If, however, the Commission were to adopt the recommendations of Public Counsel, ICNU and NWIGU to base the revenue requirements in this case solely on the historical test period with limited pro forma adjustment, it would represent a reversion to the</w:t>
      </w:r>
      <w:r w:rsidR="0048081A">
        <w:rPr>
          <w:b w:val="0"/>
          <w:bCs w:val="0"/>
        </w:rPr>
        <w:t xml:space="preserve"> 2008 to 2012 period shown</w:t>
      </w:r>
      <w:r>
        <w:rPr>
          <w:b w:val="0"/>
          <w:bCs w:val="0"/>
        </w:rPr>
        <w:t xml:space="preserve"> in Illustration </w:t>
      </w:r>
      <w:r w:rsidR="00EE30E9">
        <w:rPr>
          <w:b w:val="0"/>
          <w:bCs w:val="0"/>
        </w:rPr>
        <w:t>No. 1</w:t>
      </w:r>
      <w:r>
        <w:rPr>
          <w:b w:val="0"/>
          <w:bCs w:val="0"/>
        </w:rPr>
        <w:t xml:space="preserve"> above, where the Company would suffer, in </w:t>
      </w:r>
      <w:r w:rsidR="00EB2427">
        <w:rPr>
          <w:b w:val="0"/>
          <w:bCs w:val="0"/>
        </w:rPr>
        <w:t>Staff</w:t>
      </w:r>
      <w:r>
        <w:rPr>
          <w:b w:val="0"/>
          <w:bCs w:val="0"/>
        </w:rPr>
        <w:t>’s words, “significant attrition” and Avista’s earned return would be well below the authorized level.</w:t>
      </w:r>
      <w:r w:rsidR="00853362">
        <w:rPr>
          <w:b w:val="0"/>
          <w:bCs w:val="0"/>
        </w:rPr>
        <w:t xml:space="preserve"> </w:t>
      </w:r>
    </w:p>
    <w:p w:rsidR="006666BD" w:rsidRDefault="00853362" w:rsidP="006666BD">
      <w:pPr>
        <w:pStyle w:val="BodyText"/>
        <w:tabs>
          <w:tab w:val="left" w:pos="720"/>
        </w:tabs>
        <w:spacing w:line="480" w:lineRule="auto"/>
        <w:ind w:right="-54" w:firstLine="720"/>
        <w:jc w:val="both"/>
        <w:rPr>
          <w:b w:val="0"/>
          <w:bCs w:val="0"/>
        </w:rPr>
      </w:pPr>
      <w:r>
        <w:rPr>
          <w:b w:val="0"/>
          <w:bCs w:val="0"/>
        </w:rPr>
        <w:t xml:space="preserve">Later in my testimony I will illustrate the significant shortfall in earnings that </w:t>
      </w:r>
      <w:r w:rsidR="0048081A">
        <w:rPr>
          <w:b w:val="0"/>
          <w:bCs w:val="0"/>
        </w:rPr>
        <w:t xml:space="preserve">Avista </w:t>
      </w:r>
      <w:r>
        <w:rPr>
          <w:b w:val="0"/>
          <w:bCs w:val="0"/>
        </w:rPr>
        <w:t>would experience using the revenue requirement recommendations of Public Counsel, ICNU and NWIGU.</w:t>
      </w:r>
    </w:p>
    <w:p w:rsidR="00783A30" w:rsidRPr="006666BD" w:rsidRDefault="00783A30" w:rsidP="006666BD">
      <w:pPr>
        <w:pStyle w:val="BodyText"/>
        <w:tabs>
          <w:tab w:val="left" w:pos="720"/>
        </w:tabs>
        <w:spacing w:line="480" w:lineRule="auto"/>
        <w:ind w:right="-54" w:firstLine="720"/>
        <w:jc w:val="both"/>
        <w:rPr>
          <w:b w:val="0"/>
          <w:bCs w:val="0"/>
        </w:rPr>
      </w:pPr>
    </w:p>
    <w:p w:rsidR="00150470" w:rsidRDefault="007E08CE" w:rsidP="00867849">
      <w:pPr>
        <w:pStyle w:val="BodyText"/>
        <w:tabs>
          <w:tab w:val="left" w:pos="720"/>
        </w:tabs>
        <w:spacing w:line="240" w:lineRule="auto"/>
        <w:ind w:right="-54"/>
        <w:rPr>
          <w:bCs w:val="0"/>
          <w:u w:val="single"/>
        </w:rPr>
      </w:pPr>
      <w:r w:rsidRPr="00F540CD">
        <w:rPr>
          <w:rStyle w:val="PageNumber"/>
          <w:u w:val="single"/>
        </w:rPr>
        <w:t>I</w:t>
      </w:r>
      <w:r w:rsidR="00195184">
        <w:rPr>
          <w:rStyle w:val="PageNumber"/>
          <w:u w:val="single"/>
        </w:rPr>
        <w:t>I</w:t>
      </w:r>
      <w:r>
        <w:rPr>
          <w:rStyle w:val="PageNumber"/>
          <w:u w:val="single"/>
        </w:rPr>
        <w:t>I</w:t>
      </w:r>
      <w:r w:rsidR="00150470">
        <w:rPr>
          <w:rStyle w:val="PageNumber"/>
          <w:u w:val="single"/>
        </w:rPr>
        <w:t xml:space="preserve">. </w:t>
      </w:r>
      <w:r w:rsidR="00150470" w:rsidRPr="00150470">
        <w:rPr>
          <w:bCs w:val="0"/>
          <w:u w:val="single"/>
        </w:rPr>
        <w:t xml:space="preserve"> </w:t>
      </w:r>
      <w:r w:rsidR="00150470">
        <w:rPr>
          <w:bCs w:val="0"/>
          <w:u w:val="single"/>
        </w:rPr>
        <w:t>ATTRITION VS MODIFIED HISTORICAL TEST PERIOD</w:t>
      </w:r>
    </w:p>
    <w:p w:rsidR="00150470" w:rsidRPr="00052572" w:rsidRDefault="00150470" w:rsidP="00867849">
      <w:pPr>
        <w:pStyle w:val="BodyText"/>
        <w:tabs>
          <w:tab w:val="left" w:pos="720"/>
        </w:tabs>
        <w:spacing w:line="240" w:lineRule="auto"/>
        <w:ind w:right="-54"/>
        <w:rPr>
          <w:bCs w:val="0"/>
          <w:u w:val="single"/>
        </w:rPr>
      </w:pPr>
      <w:r>
        <w:rPr>
          <w:bCs w:val="0"/>
          <w:u w:val="single"/>
        </w:rPr>
        <w:t>WITH LIMITED PRO</w:t>
      </w:r>
      <w:r w:rsidR="00025AFC">
        <w:rPr>
          <w:bCs w:val="0"/>
          <w:u w:val="single"/>
        </w:rPr>
        <w:t xml:space="preserve"> </w:t>
      </w:r>
      <w:r>
        <w:rPr>
          <w:bCs w:val="0"/>
          <w:u w:val="single"/>
        </w:rPr>
        <w:t>FORMA ADJUSTMENTS</w:t>
      </w:r>
    </w:p>
    <w:p w:rsidR="007E08CE" w:rsidRPr="00F540CD" w:rsidRDefault="007E08CE" w:rsidP="00867849">
      <w:pPr>
        <w:pStyle w:val="Heading5"/>
        <w:numPr>
          <w:ilvl w:val="0"/>
          <w:numId w:val="0"/>
        </w:numPr>
        <w:ind w:right="-54"/>
        <w:rPr>
          <w:rStyle w:val="PageNumber"/>
          <w:u w:val="single"/>
        </w:rPr>
      </w:pPr>
    </w:p>
    <w:p w:rsidR="004407C7" w:rsidRPr="004407C7" w:rsidRDefault="00F17580" w:rsidP="00867849">
      <w:pPr>
        <w:pStyle w:val="BodyText"/>
        <w:tabs>
          <w:tab w:val="left" w:pos="720"/>
        </w:tabs>
        <w:spacing w:line="480" w:lineRule="auto"/>
        <w:ind w:right="-54"/>
        <w:jc w:val="both"/>
        <w:rPr>
          <w:bCs w:val="0"/>
        </w:rPr>
      </w:pPr>
      <w:r>
        <w:rPr>
          <w:bCs w:val="0"/>
        </w:rPr>
        <w:tab/>
        <w:t>Q.</w:t>
      </w:r>
      <w:r>
        <w:rPr>
          <w:bCs w:val="0"/>
        </w:rPr>
        <w:tab/>
        <w:t>Please briefly summarize the r</w:t>
      </w:r>
      <w:r w:rsidR="00B42F64" w:rsidRPr="004407C7">
        <w:rPr>
          <w:bCs w:val="0"/>
        </w:rPr>
        <w:t xml:space="preserve">evenue </w:t>
      </w:r>
      <w:r w:rsidR="007E0975">
        <w:rPr>
          <w:bCs w:val="0"/>
        </w:rPr>
        <w:t xml:space="preserve">requirement </w:t>
      </w:r>
      <w:r w:rsidR="00B42F64" w:rsidRPr="004407C7">
        <w:rPr>
          <w:bCs w:val="0"/>
        </w:rPr>
        <w:t xml:space="preserve">proposals by </w:t>
      </w:r>
      <w:r>
        <w:rPr>
          <w:bCs w:val="0"/>
        </w:rPr>
        <w:t xml:space="preserve">the </w:t>
      </w:r>
      <w:r w:rsidR="00B42F64" w:rsidRPr="004407C7">
        <w:rPr>
          <w:bCs w:val="0"/>
        </w:rPr>
        <w:t>Company</w:t>
      </w:r>
      <w:r>
        <w:rPr>
          <w:bCs w:val="0"/>
        </w:rPr>
        <w:t xml:space="preserve">, </w:t>
      </w:r>
      <w:r w:rsidR="00EB2427">
        <w:rPr>
          <w:bCs w:val="0"/>
        </w:rPr>
        <w:t>Staff</w:t>
      </w:r>
      <w:r>
        <w:rPr>
          <w:bCs w:val="0"/>
        </w:rPr>
        <w:t xml:space="preserve"> and intervenors, </w:t>
      </w:r>
      <w:r w:rsidR="004407C7">
        <w:rPr>
          <w:bCs w:val="0"/>
        </w:rPr>
        <w:t>a</w:t>
      </w:r>
      <w:r w:rsidR="004407C7" w:rsidRPr="004407C7">
        <w:rPr>
          <w:bCs w:val="0"/>
        </w:rPr>
        <w:t>nd how each party arrived at their proposal</w:t>
      </w:r>
      <w:r w:rsidR="004D2D3B">
        <w:rPr>
          <w:bCs w:val="0"/>
        </w:rPr>
        <w:t>s</w:t>
      </w:r>
      <w:r>
        <w:rPr>
          <w:bCs w:val="0"/>
        </w:rPr>
        <w:t>.</w:t>
      </w:r>
    </w:p>
    <w:p w:rsidR="004D2D3B" w:rsidRDefault="004D2D3B" w:rsidP="00867849">
      <w:pPr>
        <w:pStyle w:val="BodyText"/>
        <w:tabs>
          <w:tab w:val="left" w:pos="720"/>
        </w:tabs>
        <w:spacing w:line="480" w:lineRule="auto"/>
        <w:ind w:right="-54" w:firstLine="720"/>
        <w:jc w:val="both"/>
        <w:rPr>
          <w:b w:val="0"/>
          <w:bCs w:val="0"/>
        </w:rPr>
      </w:pPr>
      <w:r>
        <w:rPr>
          <w:b w:val="0"/>
          <w:bCs w:val="0"/>
        </w:rPr>
        <w:t>A.</w:t>
      </w:r>
      <w:r>
        <w:rPr>
          <w:b w:val="0"/>
          <w:bCs w:val="0"/>
        </w:rPr>
        <w:tab/>
      </w:r>
      <w:r w:rsidR="005078AF">
        <w:rPr>
          <w:b w:val="0"/>
          <w:bCs w:val="0"/>
        </w:rPr>
        <w:t>The revenue adjustments proposed by each party are summarized below, along with a brief description of the ratemaking approach used.</w:t>
      </w:r>
    </w:p>
    <w:p w:rsidR="00C61030" w:rsidRPr="00C61030" w:rsidRDefault="00C61030" w:rsidP="00867849">
      <w:pPr>
        <w:pStyle w:val="BodyText"/>
        <w:tabs>
          <w:tab w:val="left" w:pos="720"/>
        </w:tabs>
        <w:spacing w:line="240" w:lineRule="auto"/>
        <w:ind w:left="1440" w:right="-54" w:hanging="1440"/>
        <w:jc w:val="both"/>
        <w:rPr>
          <w:bCs w:val="0"/>
          <w:u w:val="single"/>
        </w:rPr>
      </w:pPr>
      <w:r>
        <w:rPr>
          <w:bCs w:val="0"/>
          <w:u w:val="single"/>
        </w:rPr>
        <w:t>Avista</w:t>
      </w:r>
      <w:r>
        <w:rPr>
          <w:bCs w:val="0"/>
          <w:u w:val="single"/>
        </w:rPr>
        <w:tab/>
      </w:r>
    </w:p>
    <w:p w:rsidR="00C61030" w:rsidRDefault="00C61030" w:rsidP="00867849">
      <w:pPr>
        <w:pStyle w:val="BodyText"/>
        <w:tabs>
          <w:tab w:val="left" w:pos="720"/>
        </w:tabs>
        <w:spacing w:line="240" w:lineRule="auto"/>
        <w:ind w:left="1800" w:right="-54" w:hanging="1800"/>
        <w:jc w:val="both"/>
        <w:rPr>
          <w:b w:val="0"/>
          <w:bCs w:val="0"/>
        </w:rPr>
      </w:pPr>
      <w:r>
        <w:rPr>
          <w:b w:val="0"/>
          <w:bCs w:val="0"/>
        </w:rPr>
        <w:t>Electric:</w:t>
      </w:r>
      <w:r>
        <w:rPr>
          <w:b w:val="0"/>
          <w:bCs w:val="0"/>
        </w:rPr>
        <w:tab/>
        <w:t>$3.6 million revenue increase (rebuttal proposal)</w:t>
      </w:r>
    </w:p>
    <w:p w:rsidR="005078AF" w:rsidRDefault="00C61030" w:rsidP="00867849">
      <w:pPr>
        <w:pStyle w:val="BodyText"/>
        <w:tabs>
          <w:tab w:val="left" w:pos="720"/>
        </w:tabs>
        <w:spacing w:line="240" w:lineRule="auto"/>
        <w:ind w:left="1800" w:right="-54" w:hanging="1800"/>
        <w:jc w:val="both"/>
        <w:rPr>
          <w:b w:val="0"/>
          <w:bCs w:val="0"/>
        </w:rPr>
      </w:pPr>
      <w:r>
        <w:rPr>
          <w:b w:val="0"/>
          <w:bCs w:val="0"/>
        </w:rPr>
        <w:t>Natural Gas:</w:t>
      </w:r>
      <w:r>
        <w:rPr>
          <w:b w:val="0"/>
          <w:bCs w:val="0"/>
        </w:rPr>
        <w:tab/>
      </w:r>
      <w:r w:rsidR="005078AF">
        <w:rPr>
          <w:b w:val="0"/>
          <w:bCs w:val="0"/>
        </w:rPr>
        <w:t>$</w:t>
      </w:r>
      <w:r>
        <w:rPr>
          <w:b w:val="0"/>
          <w:bCs w:val="0"/>
        </w:rPr>
        <w:t>10.0 million revenue increase</w:t>
      </w:r>
      <w:r w:rsidR="000D0E4C">
        <w:rPr>
          <w:b w:val="0"/>
          <w:bCs w:val="0"/>
        </w:rPr>
        <w:t xml:space="preserve"> (rebuttal proposal)</w:t>
      </w:r>
    </w:p>
    <w:p w:rsidR="00C61030" w:rsidRDefault="00C61030" w:rsidP="00867849">
      <w:pPr>
        <w:pStyle w:val="BodyText"/>
        <w:tabs>
          <w:tab w:val="left" w:pos="720"/>
        </w:tabs>
        <w:spacing w:line="240" w:lineRule="auto"/>
        <w:ind w:left="1800" w:right="-54" w:hanging="1800"/>
        <w:jc w:val="both"/>
        <w:rPr>
          <w:b w:val="0"/>
          <w:bCs w:val="0"/>
        </w:rPr>
      </w:pPr>
      <w:r>
        <w:rPr>
          <w:b w:val="0"/>
          <w:bCs w:val="0"/>
        </w:rPr>
        <w:t>Method:</w:t>
      </w:r>
      <w:r>
        <w:rPr>
          <w:b w:val="0"/>
          <w:bCs w:val="0"/>
        </w:rPr>
        <w:tab/>
        <w:t xml:space="preserve">Attrition analysis, with </w:t>
      </w:r>
      <w:r w:rsidR="000D0E4C">
        <w:rPr>
          <w:b w:val="0"/>
          <w:bCs w:val="0"/>
        </w:rPr>
        <w:t>P</w:t>
      </w:r>
      <w:r>
        <w:rPr>
          <w:b w:val="0"/>
          <w:bCs w:val="0"/>
        </w:rPr>
        <w:t xml:space="preserve">ro </w:t>
      </w:r>
      <w:r w:rsidR="000D0E4C">
        <w:rPr>
          <w:b w:val="0"/>
          <w:bCs w:val="0"/>
        </w:rPr>
        <w:t>F</w:t>
      </w:r>
      <w:r>
        <w:rPr>
          <w:b w:val="0"/>
          <w:bCs w:val="0"/>
        </w:rPr>
        <w:t xml:space="preserve">orma </w:t>
      </w:r>
      <w:r w:rsidR="000D0E4C">
        <w:rPr>
          <w:b w:val="0"/>
          <w:bCs w:val="0"/>
        </w:rPr>
        <w:t>C</w:t>
      </w:r>
      <w:r>
        <w:rPr>
          <w:b w:val="0"/>
          <w:bCs w:val="0"/>
        </w:rPr>
        <w:t>ross</w:t>
      </w:r>
      <w:r w:rsidR="000B5D53">
        <w:rPr>
          <w:b w:val="0"/>
          <w:bCs w:val="0"/>
        </w:rPr>
        <w:t xml:space="preserve"> </w:t>
      </w:r>
      <w:r w:rsidR="000D0E4C">
        <w:rPr>
          <w:b w:val="0"/>
          <w:bCs w:val="0"/>
        </w:rPr>
        <w:t>C</w:t>
      </w:r>
      <w:r>
        <w:rPr>
          <w:b w:val="0"/>
          <w:bCs w:val="0"/>
        </w:rPr>
        <w:t xml:space="preserve">heck </w:t>
      </w:r>
      <w:r w:rsidR="000D0E4C">
        <w:rPr>
          <w:b w:val="0"/>
          <w:bCs w:val="0"/>
        </w:rPr>
        <w:t>Study</w:t>
      </w:r>
      <w:r>
        <w:rPr>
          <w:b w:val="0"/>
          <w:bCs w:val="0"/>
        </w:rPr>
        <w:t xml:space="preserve"> to confirm the reasonableness of the attrition study</w:t>
      </w:r>
    </w:p>
    <w:p w:rsidR="001D1209" w:rsidRDefault="001D1209" w:rsidP="00867849">
      <w:pPr>
        <w:pStyle w:val="BodyText"/>
        <w:tabs>
          <w:tab w:val="left" w:pos="720"/>
        </w:tabs>
        <w:spacing w:line="240" w:lineRule="auto"/>
        <w:ind w:left="1440" w:right="-54" w:hanging="1440"/>
        <w:jc w:val="both"/>
        <w:rPr>
          <w:b w:val="0"/>
          <w:bCs w:val="0"/>
        </w:rPr>
      </w:pPr>
    </w:p>
    <w:p w:rsidR="001D1209" w:rsidRPr="00C61030" w:rsidRDefault="00EB2427" w:rsidP="00867849">
      <w:pPr>
        <w:pStyle w:val="BodyText"/>
        <w:tabs>
          <w:tab w:val="left" w:pos="720"/>
        </w:tabs>
        <w:spacing w:line="240" w:lineRule="auto"/>
        <w:ind w:left="1440" w:right="-54" w:hanging="1440"/>
        <w:jc w:val="both"/>
        <w:rPr>
          <w:bCs w:val="0"/>
          <w:u w:val="single"/>
        </w:rPr>
      </w:pPr>
      <w:r>
        <w:rPr>
          <w:bCs w:val="0"/>
          <w:u w:val="single"/>
        </w:rPr>
        <w:t>Staff</w:t>
      </w:r>
    </w:p>
    <w:p w:rsidR="001D1209" w:rsidRDefault="00C97229" w:rsidP="00867849">
      <w:pPr>
        <w:pStyle w:val="BodyText"/>
        <w:tabs>
          <w:tab w:val="left" w:pos="720"/>
        </w:tabs>
        <w:spacing w:line="240" w:lineRule="auto"/>
        <w:ind w:left="1800" w:right="-54" w:hanging="1800"/>
        <w:jc w:val="both"/>
        <w:rPr>
          <w:b w:val="0"/>
          <w:bCs w:val="0"/>
        </w:rPr>
      </w:pPr>
      <w:r>
        <w:rPr>
          <w:b w:val="0"/>
          <w:bCs w:val="0"/>
        </w:rPr>
        <w:t>Electric:</w:t>
      </w:r>
      <w:r>
        <w:rPr>
          <w:b w:val="0"/>
          <w:bCs w:val="0"/>
        </w:rPr>
        <w:tab/>
        <w:t>($6.2</w:t>
      </w:r>
      <w:r w:rsidR="001D1209">
        <w:rPr>
          <w:b w:val="0"/>
          <w:bCs w:val="0"/>
        </w:rPr>
        <w:t>) million revenue decrease</w:t>
      </w:r>
    </w:p>
    <w:p w:rsidR="001D1209" w:rsidRDefault="001D1209" w:rsidP="00867849">
      <w:pPr>
        <w:pStyle w:val="BodyText"/>
        <w:tabs>
          <w:tab w:val="left" w:pos="720"/>
        </w:tabs>
        <w:spacing w:line="240" w:lineRule="auto"/>
        <w:ind w:left="1800" w:right="-54" w:hanging="1800"/>
        <w:jc w:val="both"/>
        <w:rPr>
          <w:b w:val="0"/>
          <w:bCs w:val="0"/>
        </w:rPr>
      </w:pPr>
      <w:r>
        <w:rPr>
          <w:b w:val="0"/>
          <w:bCs w:val="0"/>
        </w:rPr>
        <w:t>Natural Gas:</w:t>
      </w:r>
      <w:r>
        <w:rPr>
          <w:b w:val="0"/>
          <w:bCs w:val="0"/>
        </w:rPr>
        <w:tab/>
        <w:t>$</w:t>
      </w:r>
      <w:r w:rsidR="003F7B7A">
        <w:rPr>
          <w:b w:val="0"/>
          <w:bCs w:val="0"/>
        </w:rPr>
        <w:t>9.0</w:t>
      </w:r>
      <w:r>
        <w:rPr>
          <w:b w:val="0"/>
          <w:bCs w:val="0"/>
        </w:rPr>
        <w:t xml:space="preserve"> million revenue increase</w:t>
      </w:r>
    </w:p>
    <w:p w:rsidR="001D1209" w:rsidRDefault="001D1209" w:rsidP="00867849">
      <w:pPr>
        <w:pStyle w:val="BodyText"/>
        <w:tabs>
          <w:tab w:val="left" w:pos="720"/>
        </w:tabs>
        <w:spacing w:line="240" w:lineRule="auto"/>
        <w:ind w:left="1800" w:right="-54" w:hanging="1800"/>
        <w:jc w:val="both"/>
        <w:rPr>
          <w:b w:val="0"/>
          <w:bCs w:val="0"/>
        </w:rPr>
      </w:pPr>
      <w:r>
        <w:rPr>
          <w:b w:val="0"/>
          <w:bCs w:val="0"/>
        </w:rPr>
        <w:t>Method:</w:t>
      </w:r>
      <w:r>
        <w:rPr>
          <w:b w:val="0"/>
          <w:bCs w:val="0"/>
        </w:rPr>
        <w:tab/>
      </w:r>
      <w:r w:rsidR="00B97C41">
        <w:rPr>
          <w:b w:val="0"/>
          <w:bCs w:val="0"/>
        </w:rPr>
        <w:t>H</w:t>
      </w:r>
      <w:r w:rsidR="003F7B7A">
        <w:rPr>
          <w:b w:val="0"/>
          <w:bCs w:val="0"/>
        </w:rPr>
        <w:t xml:space="preserve">istorical test period with limited pro forma adjustments, </w:t>
      </w:r>
      <w:r w:rsidR="003F7B7A" w:rsidRPr="00452522">
        <w:rPr>
          <w:b w:val="0"/>
          <w:bCs w:val="0"/>
          <w:u w:val="single"/>
        </w:rPr>
        <w:t>plus attrition adjustment</w:t>
      </w:r>
    </w:p>
    <w:p w:rsidR="003F7B7A" w:rsidRDefault="003F7B7A" w:rsidP="00867849">
      <w:pPr>
        <w:pStyle w:val="BodyText"/>
        <w:tabs>
          <w:tab w:val="left" w:pos="720"/>
        </w:tabs>
        <w:spacing w:line="240" w:lineRule="auto"/>
        <w:ind w:left="1800" w:right="-54" w:hanging="1800"/>
        <w:jc w:val="both"/>
        <w:rPr>
          <w:b w:val="0"/>
          <w:bCs w:val="0"/>
        </w:rPr>
      </w:pPr>
    </w:p>
    <w:p w:rsidR="003F7B7A" w:rsidRPr="00C61030" w:rsidRDefault="00996452" w:rsidP="00867849">
      <w:pPr>
        <w:pStyle w:val="BodyText"/>
        <w:tabs>
          <w:tab w:val="left" w:pos="720"/>
        </w:tabs>
        <w:spacing w:line="240" w:lineRule="auto"/>
        <w:ind w:left="1440" w:right="-54" w:hanging="1440"/>
        <w:jc w:val="both"/>
        <w:rPr>
          <w:bCs w:val="0"/>
          <w:u w:val="single"/>
        </w:rPr>
      </w:pPr>
      <w:r>
        <w:rPr>
          <w:bCs w:val="0"/>
          <w:u w:val="single"/>
        </w:rPr>
        <w:t>Public Counsel</w:t>
      </w:r>
    </w:p>
    <w:p w:rsidR="003F7B7A" w:rsidRDefault="00C97229" w:rsidP="00867849">
      <w:pPr>
        <w:pStyle w:val="BodyText"/>
        <w:tabs>
          <w:tab w:val="left" w:pos="720"/>
        </w:tabs>
        <w:spacing w:line="240" w:lineRule="auto"/>
        <w:ind w:left="1800" w:right="-54" w:hanging="1800"/>
        <w:jc w:val="both"/>
        <w:rPr>
          <w:b w:val="0"/>
          <w:bCs w:val="0"/>
        </w:rPr>
      </w:pPr>
      <w:r>
        <w:rPr>
          <w:b w:val="0"/>
          <w:bCs w:val="0"/>
        </w:rPr>
        <w:t>Electric:</w:t>
      </w:r>
      <w:r>
        <w:rPr>
          <w:b w:val="0"/>
          <w:bCs w:val="0"/>
        </w:rPr>
        <w:tab/>
        <w:t>($29.7</w:t>
      </w:r>
      <w:r w:rsidR="003F7B7A">
        <w:rPr>
          <w:b w:val="0"/>
          <w:bCs w:val="0"/>
        </w:rPr>
        <w:t>) million revenue decrease</w:t>
      </w:r>
    </w:p>
    <w:p w:rsidR="003F7B7A" w:rsidRDefault="00C97229" w:rsidP="00867849">
      <w:pPr>
        <w:pStyle w:val="BodyText"/>
        <w:tabs>
          <w:tab w:val="left" w:pos="720"/>
        </w:tabs>
        <w:spacing w:line="240" w:lineRule="auto"/>
        <w:ind w:left="1800" w:right="-54" w:hanging="1800"/>
        <w:jc w:val="both"/>
        <w:rPr>
          <w:b w:val="0"/>
          <w:bCs w:val="0"/>
        </w:rPr>
      </w:pPr>
      <w:r>
        <w:rPr>
          <w:b w:val="0"/>
          <w:bCs w:val="0"/>
        </w:rPr>
        <w:t>Natural Gas:</w:t>
      </w:r>
      <w:r>
        <w:rPr>
          <w:b w:val="0"/>
          <w:bCs w:val="0"/>
        </w:rPr>
        <w:tab/>
        <w:t>$3.3</w:t>
      </w:r>
      <w:r w:rsidR="003F7B7A">
        <w:rPr>
          <w:b w:val="0"/>
          <w:bCs w:val="0"/>
        </w:rPr>
        <w:t xml:space="preserve"> million revenue increase</w:t>
      </w:r>
    </w:p>
    <w:p w:rsidR="003F7B7A" w:rsidRDefault="00F3594C" w:rsidP="00867849">
      <w:pPr>
        <w:pStyle w:val="BodyText"/>
        <w:tabs>
          <w:tab w:val="left" w:pos="720"/>
        </w:tabs>
        <w:spacing w:line="240" w:lineRule="auto"/>
        <w:ind w:left="1800" w:right="-54" w:hanging="1800"/>
        <w:jc w:val="both"/>
        <w:rPr>
          <w:b w:val="0"/>
          <w:bCs w:val="0"/>
        </w:rPr>
      </w:pPr>
      <w:r>
        <w:rPr>
          <w:b w:val="0"/>
          <w:bCs w:val="0"/>
        </w:rPr>
        <w:t>Method:</w:t>
      </w:r>
      <w:r>
        <w:rPr>
          <w:b w:val="0"/>
          <w:bCs w:val="0"/>
        </w:rPr>
        <w:tab/>
      </w:r>
      <w:r w:rsidR="00B97C41">
        <w:rPr>
          <w:b w:val="0"/>
          <w:bCs w:val="0"/>
        </w:rPr>
        <w:t>H</w:t>
      </w:r>
      <w:r w:rsidR="003F7B7A">
        <w:rPr>
          <w:b w:val="0"/>
          <w:bCs w:val="0"/>
        </w:rPr>
        <w:t>istorical test period with limited pro forma adjust</w:t>
      </w:r>
      <w:r w:rsidR="00C97229">
        <w:rPr>
          <w:b w:val="0"/>
          <w:bCs w:val="0"/>
        </w:rPr>
        <w:t>ments</w:t>
      </w:r>
    </w:p>
    <w:p w:rsidR="00190E50" w:rsidRDefault="00190E50" w:rsidP="00867849">
      <w:pPr>
        <w:pStyle w:val="BodyText"/>
        <w:tabs>
          <w:tab w:val="left" w:pos="720"/>
        </w:tabs>
        <w:spacing w:line="240" w:lineRule="auto"/>
        <w:ind w:left="1800" w:right="-54" w:hanging="1800"/>
        <w:jc w:val="both"/>
        <w:rPr>
          <w:b w:val="0"/>
          <w:bCs w:val="0"/>
        </w:rPr>
      </w:pPr>
    </w:p>
    <w:p w:rsidR="00190E50" w:rsidRPr="00C61030" w:rsidRDefault="00CA182E" w:rsidP="00867849">
      <w:pPr>
        <w:pStyle w:val="BodyText"/>
        <w:tabs>
          <w:tab w:val="left" w:pos="720"/>
        </w:tabs>
        <w:spacing w:line="240" w:lineRule="auto"/>
        <w:ind w:left="1440" w:right="-54" w:hanging="1440"/>
        <w:jc w:val="both"/>
        <w:rPr>
          <w:bCs w:val="0"/>
          <w:u w:val="single"/>
        </w:rPr>
      </w:pPr>
      <w:r>
        <w:rPr>
          <w:bCs w:val="0"/>
          <w:u w:val="single"/>
        </w:rPr>
        <w:t>ICNU</w:t>
      </w:r>
    </w:p>
    <w:p w:rsidR="00190E50" w:rsidRDefault="00190E50" w:rsidP="00867849">
      <w:pPr>
        <w:pStyle w:val="BodyText"/>
        <w:tabs>
          <w:tab w:val="left" w:pos="720"/>
        </w:tabs>
        <w:spacing w:line="240" w:lineRule="auto"/>
        <w:ind w:left="1800" w:right="-54" w:hanging="1800"/>
        <w:jc w:val="both"/>
        <w:rPr>
          <w:b w:val="0"/>
          <w:bCs w:val="0"/>
        </w:rPr>
      </w:pPr>
      <w:r>
        <w:rPr>
          <w:b w:val="0"/>
          <w:bCs w:val="0"/>
        </w:rPr>
        <w:t>Electric:</w:t>
      </w:r>
      <w:r>
        <w:rPr>
          <w:b w:val="0"/>
          <w:bCs w:val="0"/>
        </w:rPr>
        <w:tab/>
        <w:t>($</w:t>
      </w:r>
      <w:r w:rsidR="00BF22BA">
        <w:rPr>
          <w:b w:val="0"/>
          <w:bCs w:val="0"/>
        </w:rPr>
        <w:t>17.4</w:t>
      </w:r>
      <w:r>
        <w:rPr>
          <w:b w:val="0"/>
          <w:bCs w:val="0"/>
        </w:rPr>
        <w:t>) million revenue decrease</w:t>
      </w:r>
    </w:p>
    <w:p w:rsidR="00190E50" w:rsidRDefault="00F3594C" w:rsidP="00867849">
      <w:pPr>
        <w:pStyle w:val="BodyText"/>
        <w:tabs>
          <w:tab w:val="left" w:pos="720"/>
        </w:tabs>
        <w:spacing w:line="240" w:lineRule="auto"/>
        <w:ind w:left="1800" w:right="-54" w:hanging="1800"/>
        <w:jc w:val="both"/>
        <w:rPr>
          <w:b w:val="0"/>
          <w:bCs w:val="0"/>
        </w:rPr>
      </w:pPr>
      <w:r>
        <w:rPr>
          <w:b w:val="0"/>
          <w:bCs w:val="0"/>
        </w:rPr>
        <w:t>Method:</w:t>
      </w:r>
      <w:r>
        <w:rPr>
          <w:b w:val="0"/>
          <w:bCs w:val="0"/>
        </w:rPr>
        <w:tab/>
      </w:r>
      <w:r w:rsidR="00B97C41">
        <w:rPr>
          <w:b w:val="0"/>
          <w:bCs w:val="0"/>
        </w:rPr>
        <w:t>H</w:t>
      </w:r>
      <w:r w:rsidR="00190E50">
        <w:rPr>
          <w:b w:val="0"/>
          <w:bCs w:val="0"/>
        </w:rPr>
        <w:t>istorical test period with limited pro forma adjustments</w:t>
      </w:r>
    </w:p>
    <w:p w:rsidR="00BF22BA" w:rsidRDefault="00BF22BA" w:rsidP="00867849">
      <w:pPr>
        <w:pStyle w:val="BodyText"/>
        <w:tabs>
          <w:tab w:val="left" w:pos="720"/>
        </w:tabs>
        <w:spacing w:line="240" w:lineRule="auto"/>
        <w:ind w:left="1800" w:right="-54" w:hanging="1800"/>
        <w:jc w:val="both"/>
        <w:rPr>
          <w:b w:val="0"/>
          <w:bCs w:val="0"/>
        </w:rPr>
      </w:pPr>
    </w:p>
    <w:p w:rsidR="00BF22BA" w:rsidRPr="00C61030" w:rsidRDefault="00BF22BA" w:rsidP="00867849">
      <w:pPr>
        <w:pStyle w:val="BodyText"/>
        <w:tabs>
          <w:tab w:val="left" w:pos="720"/>
        </w:tabs>
        <w:spacing w:line="240" w:lineRule="auto"/>
        <w:ind w:left="1440" w:right="-54" w:hanging="1440"/>
        <w:jc w:val="both"/>
        <w:rPr>
          <w:bCs w:val="0"/>
          <w:u w:val="single"/>
        </w:rPr>
      </w:pPr>
      <w:r>
        <w:rPr>
          <w:bCs w:val="0"/>
          <w:u w:val="single"/>
        </w:rPr>
        <w:t>NWIGU</w:t>
      </w:r>
    </w:p>
    <w:p w:rsidR="00BF22BA" w:rsidRDefault="00BF22BA" w:rsidP="00867849">
      <w:pPr>
        <w:pStyle w:val="BodyText"/>
        <w:tabs>
          <w:tab w:val="left" w:pos="720"/>
        </w:tabs>
        <w:spacing w:line="240" w:lineRule="auto"/>
        <w:ind w:left="1800" w:right="-54" w:hanging="1800"/>
        <w:jc w:val="both"/>
        <w:rPr>
          <w:b w:val="0"/>
          <w:bCs w:val="0"/>
        </w:rPr>
      </w:pPr>
      <w:r>
        <w:rPr>
          <w:b w:val="0"/>
          <w:bCs w:val="0"/>
        </w:rPr>
        <w:t>Natural Gas:</w:t>
      </w:r>
      <w:r>
        <w:rPr>
          <w:b w:val="0"/>
          <w:bCs w:val="0"/>
        </w:rPr>
        <w:tab/>
        <w:t>No revenue adjustment</w:t>
      </w:r>
    </w:p>
    <w:p w:rsidR="00BF22BA" w:rsidRDefault="00F3594C" w:rsidP="00867849">
      <w:pPr>
        <w:pStyle w:val="BodyText"/>
        <w:tabs>
          <w:tab w:val="left" w:pos="720"/>
        </w:tabs>
        <w:spacing w:line="240" w:lineRule="auto"/>
        <w:ind w:left="1800" w:right="-54" w:hanging="1800"/>
        <w:jc w:val="both"/>
        <w:rPr>
          <w:b w:val="0"/>
          <w:bCs w:val="0"/>
        </w:rPr>
      </w:pPr>
      <w:r>
        <w:rPr>
          <w:b w:val="0"/>
          <w:bCs w:val="0"/>
        </w:rPr>
        <w:t>Method:</w:t>
      </w:r>
      <w:r>
        <w:rPr>
          <w:b w:val="0"/>
          <w:bCs w:val="0"/>
        </w:rPr>
        <w:tab/>
      </w:r>
      <w:r w:rsidR="00375097">
        <w:rPr>
          <w:b w:val="0"/>
          <w:bCs w:val="0"/>
        </w:rPr>
        <w:t>Recommended $0 revenue requirement, but no pro forma case presented;</w:t>
      </w:r>
    </w:p>
    <w:p w:rsidR="00375097" w:rsidRDefault="00375097" w:rsidP="00867849">
      <w:pPr>
        <w:pStyle w:val="BodyText"/>
        <w:tabs>
          <w:tab w:val="left" w:pos="720"/>
        </w:tabs>
        <w:spacing w:line="240" w:lineRule="auto"/>
        <w:ind w:left="1800" w:right="-54" w:hanging="1800"/>
        <w:jc w:val="both"/>
        <w:rPr>
          <w:b w:val="0"/>
          <w:bCs w:val="0"/>
        </w:rPr>
      </w:pPr>
      <w:r>
        <w:rPr>
          <w:b w:val="0"/>
          <w:bCs w:val="0"/>
        </w:rPr>
        <w:tab/>
      </w:r>
      <w:r>
        <w:rPr>
          <w:b w:val="0"/>
          <w:bCs w:val="0"/>
        </w:rPr>
        <w:tab/>
        <w:t>in the alternative, an attrition adjustment of $3.6 million.</w:t>
      </w:r>
    </w:p>
    <w:p w:rsidR="002E0554" w:rsidRDefault="002E0554" w:rsidP="00867849">
      <w:pPr>
        <w:pStyle w:val="BodyText"/>
        <w:tabs>
          <w:tab w:val="left" w:pos="720"/>
        </w:tabs>
        <w:spacing w:line="480" w:lineRule="auto"/>
        <w:ind w:right="-54" w:firstLine="720"/>
        <w:jc w:val="both"/>
        <w:rPr>
          <w:b w:val="0"/>
          <w:bCs w:val="0"/>
        </w:rPr>
      </w:pPr>
    </w:p>
    <w:p w:rsidR="00B804C4" w:rsidRDefault="002E0554" w:rsidP="00867849">
      <w:pPr>
        <w:pStyle w:val="BodyText"/>
        <w:tabs>
          <w:tab w:val="left" w:pos="720"/>
        </w:tabs>
        <w:spacing w:line="480" w:lineRule="auto"/>
        <w:ind w:right="-54" w:firstLine="720"/>
        <w:jc w:val="both"/>
        <w:rPr>
          <w:b w:val="0"/>
          <w:bCs w:val="0"/>
        </w:rPr>
      </w:pPr>
      <w:r>
        <w:rPr>
          <w:b w:val="0"/>
          <w:bCs w:val="0"/>
        </w:rPr>
        <w:t>As indicated</w:t>
      </w:r>
      <w:r w:rsidR="00771F20">
        <w:rPr>
          <w:b w:val="0"/>
          <w:bCs w:val="0"/>
        </w:rPr>
        <w:t xml:space="preserve"> by the summary above,</w:t>
      </w:r>
      <w:r w:rsidR="0071752E">
        <w:rPr>
          <w:b w:val="0"/>
          <w:bCs w:val="0"/>
        </w:rPr>
        <w:t xml:space="preserve"> Avista and </w:t>
      </w:r>
      <w:r w:rsidR="00EB2427">
        <w:rPr>
          <w:b w:val="0"/>
          <w:bCs w:val="0"/>
        </w:rPr>
        <w:t>Staff</w:t>
      </w:r>
      <w:r w:rsidR="0071752E">
        <w:rPr>
          <w:b w:val="0"/>
          <w:bCs w:val="0"/>
        </w:rPr>
        <w:t xml:space="preserve"> </w:t>
      </w:r>
      <w:r w:rsidR="00771F20">
        <w:rPr>
          <w:b w:val="0"/>
          <w:bCs w:val="0"/>
        </w:rPr>
        <w:t xml:space="preserve">support the use of attrition, and Public Counsel, ICNU and NWIGU </w:t>
      </w:r>
      <w:r w:rsidR="0071752E">
        <w:rPr>
          <w:b w:val="0"/>
          <w:bCs w:val="0"/>
        </w:rPr>
        <w:t xml:space="preserve">recommend </w:t>
      </w:r>
      <w:r w:rsidR="00771F20">
        <w:rPr>
          <w:b w:val="0"/>
          <w:bCs w:val="0"/>
        </w:rPr>
        <w:t xml:space="preserve">the </w:t>
      </w:r>
      <w:r w:rsidR="00FC313C">
        <w:rPr>
          <w:b w:val="0"/>
          <w:bCs w:val="0"/>
        </w:rPr>
        <w:t xml:space="preserve">sole </w:t>
      </w:r>
      <w:r w:rsidR="00122A82">
        <w:rPr>
          <w:b w:val="0"/>
          <w:bCs w:val="0"/>
        </w:rPr>
        <w:t xml:space="preserve">use of a </w:t>
      </w:r>
      <w:r w:rsidR="00771F20">
        <w:rPr>
          <w:b w:val="0"/>
          <w:bCs w:val="0"/>
        </w:rPr>
        <w:t>h</w:t>
      </w:r>
      <w:r w:rsidR="00122A82">
        <w:rPr>
          <w:b w:val="0"/>
          <w:bCs w:val="0"/>
        </w:rPr>
        <w:t xml:space="preserve">istorical test period </w:t>
      </w:r>
      <w:r w:rsidR="00830D98">
        <w:rPr>
          <w:b w:val="0"/>
          <w:bCs w:val="0"/>
        </w:rPr>
        <w:t>with</w:t>
      </w:r>
      <w:r w:rsidR="00771F20">
        <w:rPr>
          <w:b w:val="0"/>
          <w:bCs w:val="0"/>
        </w:rPr>
        <w:t xml:space="preserve"> limited pro forma adjustments.</w:t>
      </w:r>
    </w:p>
    <w:p w:rsidR="007E0975" w:rsidRPr="007E0975" w:rsidRDefault="008329BC" w:rsidP="00867849">
      <w:pPr>
        <w:pStyle w:val="BodyText"/>
        <w:tabs>
          <w:tab w:val="left" w:pos="720"/>
        </w:tabs>
        <w:spacing w:line="480" w:lineRule="auto"/>
        <w:ind w:right="-54" w:firstLine="720"/>
        <w:jc w:val="both"/>
        <w:rPr>
          <w:bCs w:val="0"/>
        </w:rPr>
      </w:pPr>
      <w:r>
        <w:rPr>
          <w:bCs w:val="0"/>
        </w:rPr>
        <w:t>Q.</w:t>
      </w:r>
      <w:r>
        <w:rPr>
          <w:bCs w:val="0"/>
        </w:rPr>
        <w:tab/>
      </w:r>
      <w:r w:rsidR="00943789">
        <w:rPr>
          <w:bCs w:val="0"/>
        </w:rPr>
        <w:t>Why should</w:t>
      </w:r>
      <w:r w:rsidR="007E0975" w:rsidRPr="007E0975">
        <w:rPr>
          <w:bCs w:val="0"/>
        </w:rPr>
        <w:t xml:space="preserve"> </w:t>
      </w:r>
      <w:r w:rsidR="00446EB1">
        <w:rPr>
          <w:bCs w:val="0"/>
        </w:rPr>
        <w:t>the</w:t>
      </w:r>
      <w:r w:rsidR="007E0975" w:rsidRPr="007E0975">
        <w:rPr>
          <w:bCs w:val="0"/>
        </w:rPr>
        <w:t xml:space="preserve"> </w:t>
      </w:r>
      <w:r w:rsidR="00CA2931">
        <w:rPr>
          <w:bCs w:val="0"/>
        </w:rPr>
        <w:t>electric and</w:t>
      </w:r>
      <w:r w:rsidR="00446EB1">
        <w:rPr>
          <w:bCs w:val="0"/>
        </w:rPr>
        <w:t xml:space="preserve"> natural gas revenue adjustments in these Dockets</w:t>
      </w:r>
      <w:r w:rsidR="00943789">
        <w:rPr>
          <w:bCs w:val="0"/>
        </w:rPr>
        <w:t xml:space="preserve"> be approved by the Commission</w:t>
      </w:r>
      <w:r w:rsidR="00446EB1">
        <w:rPr>
          <w:bCs w:val="0"/>
        </w:rPr>
        <w:t xml:space="preserve"> based on an attrition analysis as proposed by Avista and the </w:t>
      </w:r>
      <w:r w:rsidR="00EB2427">
        <w:rPr>
          <w:bCs w:val="0"/>
        </w:rPr>
        <w:t>Staff</w:t>
      </w:r>
      <w:r w:rsidR="00446EB1">
        <w:rPr>
          <w:bCs w:val="0"/>
        </w:rPr>
        <w:t>, inste</w:t>
      </w:r>
      <w:r w:rsidR="002E0554">
        <w:rPr>
          <w:bCs w:val="0"/>
        </w:rPr>
        <w:t>ad of based solely on a</w:t>
      </w:r>
      <w:r w:rsidR="00FA096A">
        <w:rPr>
          <w:bCs w:val="0"/>
        </w:rPr>
        <w:t xml:space="preserve"> historical test period </w:t>
      </w:r>
      <w:r w:rsidR="00830D98">
        <w:rPr>
          <w:bCs w:val="0"/>
        </w:rPr>
        <w:t>with</w:t>
      </w:r>
      <w:r w:rsidR="00446EB1">
        <w:rPr>
          <w:bCs w:val="0"/>
        </w:rPr>
        <w:t xml:space="preserve"> limited pro</w:t>
      </w:r>
      <w:r w:rsidR="002E0554">
        <w:rPr>
          <w:bCs w:val="0"/>
        </w:rPr>
        <w:t xml:space="preserve"> </w:t>
      </w:r>
      <w:r w:rsidR="00446EB1">
        <w:rPr>
          <w:bCs w:val="0"/>
        </w:rPr>
        <w:t>forma a</w:t>
      </w:r>
      <w:r w:rsidR="00BF342D">
        <w:rPr>
          <w:bCs w:val="0"/>
        </w:rPr>
        <w:t>djustments</w:t>
      </w:r>
      <w:r w:rsidR="00CA2931">
        <w:rPr>
          <w:bCs w:val="0"/>
        </w:rPr>
        <w:t>?</w:t>
      </w:r>
    </w:p>
    <w:p w:rsidR="00BF342D" w:rsidRDefault="00CD129A" w:rsidP="00867849">
      <w:pPr>
        <w:pStyle w:val="BodyText"/>
        <w:tabs>
          <w:tab w:val="left" w:pos="720"/>
        </w:tabs>
        <w:spacing w:line="480" w:lineRule="auto"/>
        <w:ind w:right="-54" w:firstLine="720"/>
        <w:jc w:val="both"/>
        <w:rPr>
          <w:b w:val="0"/>
          <w:bCs w:val="0"/>
        </w:rPr>
      </w:pPr>
      <w:r>
        <w:rPr>
          <w:b w:val="0"/>
          <w:bCs w:val="0"/>
        </w:rPr>
        <w:t>A.</w:t>
      </w:r>
      <w:r>
        <w:rPr>
          <w:b w:val="0"/>
          <w:bCs w:val="0"/>
        </w:rPr>
        <w:tab/>
      </w:r>
      <w:r w:rsidR="00FF5CF1" w:rsidRPr="000F2777">
        <w:rPr>
          <w:bCs w:val="0"/>
        </w:rPr>
        <w:t>First</w:t>
      </w:r>
      <w:r w:rsidR="00FF5CF1">
        <w:rPr>
          <w:b w:val="0"/>
          <w:bCs w:val="0"/>
        </w:rPr>
        <w:t>, the after-the-fact earned returns from 2013 and 2014 confirm that incorporating attrition in setting retail rates for 2013 and 2014</w:t>
      </w:r>
      <w:r w:rsidR="004361BF">
        <w:rPr>
          <w:b w:val="0"/>
          <w:bCs w:val="0"/>
        </w:rPr>
        <w:t xml:space="preserve">, as proposed by Avista and </w:t>
      </w:r>
      <w:r w:rsidR="00EB2427">
        <w:rPr>
          <w:b w:val="0"/>
          <w:bCs w:val="0"/>
        </w:rPr>
        <w:t>Staff</w:t>
      </w:r>
      <w:r w:rsidR="004361BF">
        <w:rPr>
          <w:b w:val="0"/>
          <w:bCs w:val="0"/>
        </w:rPr>
        <w:t>,</w:t>
      </w:r>
      <w:r w:rsidR="00FF5CF1">
        <w:rPr>
          <w:b w:val="0"/>
          <w:bCs w:val="0"/>
        </w:rPr>
        <w:t xml:space="preserve"> was necessary in order for Avista to have the opportunity to earn its allowed return.  The rating agencies recognized this positive change in ratemaking</w:t>
      </w:r>
      <w:r w:rsidR="006A433E">
        <w:rPr>
          <w:b w:val="0"/>
          <w:bCs w:val="0"/>
        </w:rPr>
        <w:t>,</w:t>
      </w:r>
      <w:r w:rsidR="00555374">
        <w:rPr>
          <w:b w:val="0"/>
          <w:bCs w:val="0"/>
        </w:rPr>
        <w:t xml:space="preserve"> as noted </w:t>
      </w:r>
      <w:r w:rsidR="006023DC">
        <w:rPr>
          <w:b w:val="0"/>
          <w:bCs w:val="0"/>
        </w:rPr>
        <w:t>earlier</w:t>
      </w:r>
      <w:r w:rsidR="00FF5CF1">
        <w:rPr>
          <w:b w:val="0"/>
          <w:bCs w:val="0"/>
        </w:rPr>
        <w:t xml:space="preserve">.  </w:t>
      </w:r>
      <w:r w:rsidR="00EB2427">
        <w:rPr>
          <w:b w:val="0"/>
          <w:bCs w:val="0"/>
        </w:rPr>
        <w:t>Staff</w:t>
      </w:r>
      <w:r w:rsidR="00FF5CF1">
        <w:rPr>
          <w:b w:val="0"/>
          <w:bCs w:val="0"/>
        </w:rPr>
        <w:t xml:space="preserve"> presented analyses and sponsored testimony supporting revenue increases for 2013 and 2014 that incorporated th</w:t>
      </w:r>
      <w:r w:rsidR="0091784E">
        <w:rPr>
          <w:b w:val="0"/>
          <w:bCs w:val="0"/>
        </w:rPr>
        <w:t xml:space="preserve">e impacts of </w:t>
      </w:r>
      <w:r w:rsidR="006A433E">
        <w:rPr>
          <w:b w:val="0"/>
          <w:bCs w:val="0"/>
        </w:rPr>
        <w:t xml:space="preserve">“significant </w:t>
      </w:r>
      <w:r w:rsidR="0091784E">
        <w:rPr>
          <w:b w:val="0"/>
          <w:bCs w:val="0"/>
        </w:rPr>
        <w:t>attrition</w:t>
      </w:r>
      <w:r w:rsidR="00675630">
        <w:rPr>
          <w:b w:val="0"/>
          <w:bCs w:val="0"/>
        </w:rPr>
        <w:t xml:space="preserve">,” </w:t>
      </w:r>
      <w:r w:rsidR="00040C48">
        <w:rPr>
          <w:b w:val="0"/>
          <w:bCs w:val="0"/>
        </w:rPr>
        <w:t xml:space="preserve">in Docket No. UE-120436 </w:t>
      </w:r>
      <w:r w:rsidR="00675630">
        <w:rPr>
          <w:b w:val="0"/>
          <w:bCs w:val="0"/>
        </w:rPr>
        <w:t>and stated</w:t>
      </w:r>
      <w:r w:rsidR="006A433E">
        <w:rPr>
          <w:b w:val="0"/>
          <w:bCs w:val="0"/>
        </w:rPr>
        <w:t xml:space="preserve"> that attrition for Avista “is present and ongoing.”</w:t>
      </w:r>
      <w:r w:rsidR="00040C48" w:rsidRPr="00040C48">
        <w:rPr>
          <w:rStyle w:val="FootnoteReference"/>
          <w:b w:val="0"/>
          <w:bCs w:val="0"/>
        </w:rPr>
        <w:t xml:space="preserve"> </w:t>
      </w:r>
      <w:r w:rsidR="00040C48">
        <w:rPr>
          <w:rStyle w:val="FootnoteReference"/>
          <w:b w:val="0"/>
          <w:bCs w:val="0"/>
        </w:rPr>
        <w:footnoteReference w:id="11"/>
      </w:r>
      <w:r w:rsidR="0091784E">
        <w:rPr>
          <w:b w:val="0"/>
          <w:bCs w:val="0"/>
        </w:rPr>
        <w:t xml:space="preserve">  </w:t>
      </w:r>
      <w:r w:rsidR="00EB2427">
        <w:rPr>
          <w:b w:val="0"/>
          <w:bCs w:val="0"/>
        </w:rPr>
        <w:t>Staff</w:t>
      </w:r>
      <w:r w:rsidR="0091784E">
        <w:rPr>
          <w:b w:val="0"/>
          <w:bCs w:val="0"/>
        </w:rPr>
        <w:t xml:space="preserve"> testimony </w:t>
      </w:r>
      <w:r w:rsidR="00040C48">
        <w:rPr>
          <w:b w:val="0"/>
          <w:bCs w:val="0"/>
        </w:rPr>
        <w:t xml:space="preserve">presented in that Docket </w:t>
      </w:r>
      <w:r w:rsidR="0091784E">
        <w:rPr>
          <w:b w:val="0"/>
          <w:bCs w:val="0"/>
        </w:rPr>
        <w:t>stated:</w:t>
      </w:r>
    </w:p>
    <w:p w:rsidR="00FF5CF1" w:rsidRDefault="00FF5CF1" w:rsidP="00867849">
      <w:pPr>
        <w:pStyle w:val="BodyText"/>
        <w:tabs>
          <w:tab w:val="left" w:pos="720"/>
        </w:tabs>
        <w:spacing w:line="240" w:lineRule="auto"/>
        <w:ind w:left="720" w:right="-54" w:firstLine="720"/>
        <w:jc w:val="both"/>
        <w:rPr>
          <w:b w:val="0"/>
          <w:bCs w:val="0"/>
        </w:rPr>
      </w:pPr>
      <w:r>
        <w:rPr>
          <w:b w:val="0"/>
          <w:bCs w:val="0"/>
        </w:rPr>
        <w:t>Q.</w:t>
      </w:r>
      <w:r>
        <w:rPr>
          <w:b w:val="0"/>
          <w:bCs w:val="0"/>
        </w:rPr>
        <w:tab/>
        <w:t>Please explain why Staff believes the rate increases in 2013 and 2014 are reasonable.</w:t>
      </w:r>
    </w:p>
    <w:p w:rsidR="00FF5CF1" w:rsidRDefault="00FF5CF1" w:rsidP="00867849">
      <w:pPr>
        <w:pStyle w:val="BodyText"/>
        <w:tabs>
          <w:tab w:val="left" w:pos="720"/>
        </w:tabs>
        <w:spacing w:line="240" w:lineRule="auto"/>
        <w:ind w:left="720" w:right="-54" w:firstLine="720"/>
        <w:jc w:val="both"/>
        <w:rPr>
          <w:b w:val="0"/>
          <w:bCs w:val="0"/>
        </w:rPr>
      </w:pPr>
      <w:r>
        <w:rPr>
          <w:b w:val="0"/>
          <w:bCs w:val="0"/>
        </w:rPr>
        <w:lastRenderedPageBreak/>
        <w:t>A.</w:t>
      </w:r>
      <w:r>
        <w:rPr>
          <w:b w:val="0"/>
          <w:bCs w:val="0"/>
        </w:rPr>
        <w:tab/>
      </w:r>
      <w:r w:rsidR="005F38C5">
        <w:rPr>
          <w:b w:val="0"/>
          <w:bCs w:val="0"/>
        </w:rPr>
        <w:t xml:space="preserve">First, Staff’s attrition analysis shows Avista is experiencing significant attrition in its utility operations.  This is not a one-time phenomenon, because the historical trends demonstrate attrition is present and ongoing. </w:t>
      </w:r>
      <w:r w:rsidR="00040C48">
        <w:rPr>
          <w:b w:val="0"/>
          <w:bCs w:val="0"/>
        </w:rPr>
        <w:t xml:space="preserve"> (Id.)</w:t>
      </w:r>
    </w:p>
    <w:p w:rsidR="005F38C5" w:rsidRDefault="005F38C5" w:rsidP="00867849">
      <w:pPr>
        <w:pStyle w:val="BodyText"/>
        <w:tabs>
          <w:tab w:val="left" w:pos="720"/>
        </w:tabs>
        <w:spacing w:line="480" w:lineRule="auto"/>
        <w:ind w:right="-54" w:firstLine="720"/>
        <w:jc w:val="both"/>
        <w:rPr>
          <w:b w:val="0"/>
          <w:bCs w:val="0"/>
        </w:rPr>
      </w:pPr>
    </w:p>
    <w:p w:rsidR="006666BD" w:rsidRDefault="008F495A" w:rsidP="00867849">
      <w:pPr>
        <w:pStyle w:val="BodyText"/>
        <w:tabs>
          <w:tab w:val="left" w:pos="720"/>
        </w:tabs>
        <w:spacing w:line="480" w:lineRule="auto"/>
        <w:ind w:right="-54" w:firstLine="720"/>
        <w:jc w:val="both"/>
        <w:rPr>
          <w:b w:val="0"/>
          <w:bCs w:val="0"/>
        </w:rPr>
      </w:pPr>
      <w:r w:rsidRPr="000F2777">
        <w:rPr>
          <w:bCs w:val="0"/>
        </w:rPr>
        <w:t>Second</w:t>
      </w:r>
      <w:r>
        <w:rPr>
          <w:b w:val="0"/>
          <w:bCs w:val="0"/>
        </w:rPr>
        <w:t xml:space="preserve">, both Avista and </w:t>
      </w:r>
      <w:r w:rsidR="00EB2427">
        <w:rPr>
          <w:b w:val="0"/>
          <w:bCs w:val="0"/>
        </w:rPr>
        <w:t>Staff</w:t>
      </w:r>
      <w:r>
        <w:rPr>
          <w:b w:val="0"/>
          <w:bCs w:val="0"/>
        </w:rPr>
        <w:t xml:space="preserve"> have presented substantial evidence in these Dockets that Avista </w:t>
      </w:r>
      <w:r w:rsidRPr="00040C48">
        <w:rPr>
          <w:b w:val="0"/>
          <w:bCs w:val="0"/>
          <w:u w:val="single"/>
        </w:rPr>
        <w:t>continues</w:t>
      </w:r>
      <w:r>
        <w:rPr>
          <w:b w:val="0"/>
          <w:bCs w:val="0"/>
        </w:rPr>
        <w:t xml:space="preserve"> t</w:t>
      </w:r>
      <w:r w:rsidR="006B5B0D">
        <w:rPr>
          <w:b w:val="0"/>
          <w:bCs w:val="0"/>
        </w:rPr>
        <w:t>o e</w:t>
      </w:r>
      <w:r w:rsidR="00321259">
        <w:rPr>
          <w:b w:val="0"/>
          <w:bCs w:val="0"/>
        </w:rPr>
        <w:t xml:space="preserve">xperience attrition, and if </w:t>
      </w:r>
      <w:r w:rsidR="006B5B0D">
        <w:rPr>
          <w:b w:val="0"/>
          <w:bCs w:val="0"/>
        </w:rPr>
        <w:t xml:space="preserve">attrition is not reflected in the rates established in this case, revenues will not be sufficient for Avista to earn its allowed return.  </w:t>
      </w:r>
      <w:r w:rsidR="00F75020">
        <w:rPr>
          <w:b w:val="0"/>
          <w:bCs w:val="0"/>
        </w:rPr>
        <w:t xml:space="preserve">On page 9 of his </w:t>
      </w:r>
      <w:r w:rsidR="00321259">
        <w:rPr>
          <w:b w:val="0"/>
          <w:bCs w:val="0"/>
        </w:rPr>
        <w:t xml:space="preserve">direct </w:t>
      </w:r>
      <w:r w:rsidR="00F75020">
        <w:rPr>
          <w:b w:val="0"/>
          <w:bCs w:val="0"/>
        </w:rPr>
        <w:t>testimony</w:t>
      </w:r>
      <w:r w:rsidR="00BB2802">
        <w:rPr>
          <w:b w:val="0"/>
          <w:bCs w:val="0"/>
        </w:rPr>
        <w:t>, Exhibit</w:t>
      </w:r>
      <w:r w:rsidR="000D0E4C">
        <w:rPr>
          <w:b w:val="0"/>
          <w:bCs w:val="0"/>
        </w:rPr>
        <w:t xml:space="preserve"> No.</w:t>
      </w:r>
      <w:r w:rsidR="00BB2802">
        <w:rPr>
          <w:b w:val="0"/>
          <w:bCs w:val="0"/>
        </w:rPr>
        <w:t>___(CRM-1T)</w:t>
      </w:r>
      <w:r w:rsidR="00F75020">
        <w:rPr>
          <w:b w:val="0"/>
          <w:bCs w:val="0"/>
        </w:rPr>
        <w:t xml:space="preserve">, beginning on line 14, </w:t>
      </w:r>
      <w:r w:rsidR="006B5B0D">
        <w:rPr>
          <w:b w:val="0"/>
          <w:bCs w:val="0"/>
        </w:rPr>
        <w:t xml:space="preserve">Mr. McGuire </w:t>
      </w:r>
      <w:r w:rsidR="00F75020">
        <w:rPr>
          <w:b w:val="0"/>
          <w:bCs w:val="0"/>
        </w:rPr>
        <w:t>states as follows:</w:t>
      </w:r>
    </w:p>
    <w:p w:rsidR="00555374" w:rsidRDefault="00F75020" w:rsidP="00BB2802">
      <w:pPr>
        <w:pStyle w:val="BodyText"/>
        <w:tabs>
          <w:tab w:val="left" w:pos="720"/>
        </w:tabs>
        <w:spacing w:line="240" w:lineRule="auto"/>
        <w:ind w:left="720" w:right="-54"/>
        <w:jc w:val="both"/>
        <w:rPr>
          <w:b w:val="0"/>
          <w:bCs w:val="0"/>
        </w:rPr>
      </w:pPr>
      <w:r>
        <w:rPr>
          <w:b w:val="0"/>
          <w:bCs w:val="0"/>
        </w:rPr>
        <w:t>For this case, Staff determined that the revenue requirement calculated using a modified historical test period was insufficient for both electric and natural gas service.</w:t>
      </w:r>
      <w:r>
        <w:rPr>
          <w:rStyle w:val="FootnoteReference"/>
          <w:b w:val="0"/>
          <w:bCs w:val="0"/>
        </w:rPr>
        <w:footnoteReference w:id="12"/>
      </w:r>
      <w:r w:rsidR="00B83234">
        <w:rPr>
          <w:b w:val="0"/>
          <w:bCs w:val="0"/>
        </w:rPr>
        <w:t xml:space="preserve">  Therefore, Staff recommends the Commission exercise its discretion in setting rates and provide an attrition allowance for both electric and gas service. </w:t>
      </w:r>
    </w:p>
    <w:p w:rsidR="00BB2802" w:rsidRDefault="00BB2802" w:rsidP="00BB2802">
      <w:pPr>
        <w:pStyle w:val="BodyText"/>
        <w:tabs>
          <w:tab w:val="left" w:pos="720"/>
        </w:tabs>
        <w:spacing w:line="240" w:lineRule="auto"/>
        <w:ind w:left="720" w:right="-54"/>
        <w:jc w:val="both"/>
        <w:rPr>
          <w:b w:val="0"/>
          <w:bCs w:val="0"/>
        </w:rPr>
      </w:pPr>
    </w:p>
    <w:p w:rsidR="004D4BC8" w:rsidRDefault="004D4BC8" w:rsidP="00BB2802">
      <w:pPr>
        <w:pStyle w:val="BodyText"/>
        <w:tabs>
          <w:tab w:val="left" w:pos="720"/>
        </w:tabs>
        <w:spacing w:line="480" w:lineRule="auto"/>
        <w:ind w:right="-54"/>
        <w:jc w:val="both"/>
        <w:rPr>
          <w:b w:val="0"/>
          <w:bCs w:val="0"/>
        </w:rPr>
      </w:pPr>
      <w:r>
        <w:rPr>
          <w:b w:val="0"/>
          <w:bCs w:val="0"/>
        </w:rPr>
        <w:t>And on page 28, line 8 Mr. McGuire stated:</w:t>
      </w:r>
    </w:p>
    <w:p w:rsidR="004D4BC8" w:rsidRDefault="004D4BC8" w:rsidP="00867849">
      <w:pPr>
        <w:pStyle w:val="BodyText"/>
        <w:tabs>
          <w:tab w:val="left" w:pos="720"/>
        </w:tabs>
        <w:spacing w:line="240" w:lineRule="auto"/>
        <w:ind w:left="720" w:right="-54"/>
        <w:jc w:val="both"/>
        <w:rPr>
          <w:b w:val="0"/>
          <w:bCs w:val="0"/>
        </w:rPr>
      </w:pPr>
      <w:r>
        <w:rPr>
          <w:b w:val="0"/>
          <w:bCs w:val="0"/>
        </w:rPr>
        <w:t>Given that the rates calculated using a modified historical test year generate revenues that fall short of those necessary to provide Avista with a reasonable opportunity to earn a fair rate of return, Staff recommends the Commission provide Avista with an attrition allowance of $14.7 million for electric operations and $5.4 million for natural gas operations.  This dollar amount corresponds to the difference between Staff’s pro forma revenue requirement and the revenue requi</w:t>
      </w:r>
      <w:r w:rsidR="00AF0BF4">
        <w:rPr>
          <w:b w:val="0"/>
          <w:bCs w:val="0"/>
        </w:rPr>
        <w:t>rement calculated using Staff’s attrition analysis.</w:t>
      </w:r>
    </w:p>
    <w:p w:rsidR="00AF0BF4" w:rsidRDefault="00AF0BF4" w:rsidP="00867849">
      <w:pPr>
        <w:pStyle w:val="BodyText"/>
        <w:tabs>
          <w:tab w:val="left" w:pos="720"/>
        </w:tabs>
        <w:spacing w:line="480" w:lineRule="auto"/>
        <w:ind w:right="-54" w:firstLine="720"/>
        <w:jc w:val="both"/>
        <w:rPr>
          <w:b w:val="0"/>
          <w:bCs w:val="0"/>
        </w:rPr>
      </w:pPr>
    </w:p>
    <w:p w:rsidR="00AF0BF4" w:rsidRDefault="000F2777" w:rsidP="00867849">
      <w:pPr>
        <w:pStyle w:val="P31"/>
        <w:ind w:right="-54"/>
        <w:jc w:val="both"/>
        <w:rPr>
          <w:rFonts w:ascii="Times New Roman" w:hAnsi="Times New Roman" w:cs="Times New Roman"/>
          <w:szCs w:val="24"/>
        </w:rPr>
      </w:pPr>
      <w:r w:rsidRPr="00D30674">
        <w:rPr>
          <w:rFonts w:ascii="Times New Roman" w:hAnsi="Times New Roman" w:cs="Times New Roman"/>
          <w:b/>
          <w:bCs/>
          <w:szCs w:val="24"/>
        </w:rPr>
        <w:t>Third</w:t>
      </w:r>
      <w:r w:rsidRPr="00D30674">
        <w:rPr>
          <w:rFonts w:ascii="Times New Roman" w:hAnsi="Times New Roman" w:cs="Times New Roman"/>
          <w:bCs/>
          <w:szCs w:val="24"/>
        </w:rPr>
        <w:t>, the Commission has not limited itself</w:t>
      </w:r>
      <w:r w:rsidR="00D30674">
        <w:rPr>
          <w:rFonts w:ascii="Times New Roman" w:hAnsi="Times New Roman" w:cs="Times New Roman"/>
          <w:bCs/>
          <w:szCs w:val="24"/>
        </w:rPr>
        <w:t>,</w:t>
      </w:r>
      <w:r w:rsidR="00723269">
        <w:rPr>
          <w:rFonts w:ascii="Times New Roman" w:hAnsi="Times New Roman" w:cs="Times New Roman"/>
          <w:bCs/>
          <w:szCs w:val="24"/>
        </w:rPr>
        <w:t xml:space="preserve"> or the parties</w:t>
      </w:r>
      <w:r w:rsidR="00D30674">
        <w:rPr>
          <w:rFonts w:ascii="Times New Roman" w:hAnsi="Times New Roman" w:cs="Times New Roman"/>
          <w:bCs/>
          <w:szCs w:val="24"/>
        </w:rPr>
        <w:t>,</w:t>
      </w:r>
      <w:r w:rsidRPr="00D30674">
        <w:rPr>
          <w:rFonts w:ascii="Times New Roman" w:hAnsi="Times New Roman" w:cs="Times New Roman"/>
          <w:bCs/>
          <w:szCs w:val="24"/>
        </w:rPr>
        <w:t xml:space="preserve"> to a single method to determine revenue requirements.</w:t>
      </w:r>
      <w:r w:rsidRPr="00D30674">
        <w:rPr>
          <w:rFonts w:ascii="Times New Roman" w:hAnsi="Times New Roman" w:cs="Times New Roman"/>
          <w:b/>
          <w:bCs/>
          <w:szCs w:val="24"/>
        </w:rPr>
        <w:t xml:space="preserve">  </w:t>
      </w:r>
      <w:r w:rsidR="00D30674" w:rsidRPr="00D30674">
        <w:rPr>
          <w:rFonts w:ascii="Times New Roman" w:hAnsi="Times New Roman" w:cs="Times New Roman"/>
          <w:szCs w:val="24"/>
        </w:rPr>
        <w:t xml:space="preserve">RCW 80.28.010(1) (Duties as to Rates, Services, and Facilities) provides that “all charges made, demanded or received by any gas company, electrical company . . . shall be just, fair, reasonable and sufficient.” (See also RCW 80.28.020) As the Supreme Court explained in the </w:t>
      </w:r>
      <w:r w:rsidR="00D30674" w:rsidRPr="00D30674">
        <w:rPr>
          <w:rFonts w:ascii="Times New Roman" w:hAnsi="Times New Roman" w:cs="Times New Roman"/>
          <w:szCs w:val="24"/>
          <w:u w:val="single"/>
        </w:rPr>
        <w:t>Hope Natural Gas</w:t>
      </w:r>
      <w:r w:rsidR="00D30674" w:rsidRPr="00D30674">
        <w:rPr>
          <w:rFonts w:ascii="Times New Roman" w:hAnsi="Times New Roman" w:cs="Times New Roman"/>
          <w:szCs w:val="24"/>
        </w:rPr>
        <w:t xml:space="preserve"> case, the requirement that rates be “fair, just and reasonable” </w:t>
      </w:r>
      <w:r w:rsidR="00D30674" w:rsidRPr="00D30674">
        <w:rPr>
          <w:rFonts w:ascii="Times New Roman" w:hAnsi="Times New Roman" w:cs="Times New Roman"/>
          <w:szCs w:val="24"/>
          <w:u w:val="single"/>
        </w:rPr>
        <w:t>does not define a method</w:t>
      </w:r>
      <w:r w:rsidR="00D30674" w:rsidRPr="00D30674">
        <w:rPr>
          <w:rFonts w:ascii="Times New Roman" w:hAnsi="Times New Roman" w:cs="Times New Roman"/>
          <w:szCs w:val="24"/>
        </w:rPr>
        <w:t xml:space="preserve"> by which rates are to be </w:t>
      </w:r>
      <w:r w:rsidR="00D30674" w:rsidRPr="00D30674">
        <w:rPr>
          <w:rFonts w:ascii="Times New Roman" w:hAnsi="Times New Roman" w:cs="Times New Roman"/>
          <w:szCs w:val="24"/>
        </w:rPr>
        <w:lastRenderedPageBreak/>
        <w:t>calculated; instead, the fixing of fair, just and reasonable rates involves a balancing of investor and consumer interests.</w:t>
      </w:r>
      <w:r w:rsidR="00D30674" w:rsidRPr="00D30674">
        <w:rPr>
          <w:rStyle w:val="FootnoteReference"/>
          <w:rFonts w:ascii="Times New Roman" w:hAnsi="Times New Roman" w:cs="Times New Roman"/>
          <w:szCs w:val="24"/>
        </w:rPr>
        <w:footnoteReference w:id="13"/>
      </w:r>
      <w:r w:rsidR="00D30674">
        <w:rPr>
          <w:rFonts w:ascii="Times New Roman" w:hAnsi="Times New Roman" w:cs="Times New Roman"/>
          <w:szCs w:val="24"/>
        </w:rPr>
        <w:t xml:space="preserve">  T</w:t>
      </w:r>
      <w:r w:rsidR="00D30674" w:rsidRPr="00D30674">
        <w:rPr>
          <w:rFonts w:ascii="Times New Roman" w:hAnsi="Times New Roman" w:cs="Times New Roman"/>
          <w:szCs w:val="24"/>
        </w:rPr>
        <w:t xml:space="preserve">he “end result” must be reasonable.  </w:t>
      </w:r>
    </w:p>
    <w:p w:rsidR="00D30674" w:rsidRDefault="00D47CA8" w:rsidP="00867849">
      <w:pPr>
        <w:pStyle w:val="P31"/>
        <w:ind w:right="-54"/>
        <w:jc w:val="both"/>
        <w:rPr>
          <w:rFonts w:ascii="Times New Roman" w:hAnsi="Times New Roman" w:cs="Times New Roman"/>
          <w:bCs/>
          <w:szCs w:val="24"/>
        </w:rPr>
      </w:pPr>
      <w:r w:rsidRPr="00D47CA8">
        <w:rPr>
          <w:rFonts w:ascii="Times New Roman" w:hAnsi="Times New Roman" w:cs="Times New Roman"/>
          <w:bCs/>
          <w:szCs w:val="24"/>
        </w:rPr>
        <w:t xml:space="preserve">In its Order </w:t>
      </w:r>
      <w:r>
        <w:rPr>
          <w:rFonts w:ascii="Times New Roman" w:hAnsi="Times New Roman" w:cs="Times New Roman"/>
          <w:bCs/>
          <w:szCs w:val="24"/>
        </w:rPr>
        <w:t>08, dated May 7, 2012, in Dockets UE-111048 and UG-111049, the Commission stated as follows related to the use of an attrition adjustment:</w:t>
      </w:r>
    </w:p>
    <w:p w:rsidR="00D47CA8" w:rsidRDefault="00D47CA8" w:rsidP="00867849">
      <w:pPr>
        <w:pStyle w:val="P31"/>
        <w:spacing w:line="240" w:lineRule="auto"/>
        <w:ind w:left="720" w:right="-54" w:firstLine="0"/>
        <w:jc w:val="both"/>
        <w:rPr>
          <w:rFonts w:ascii="Times New Roman" w:hAnsi="Times New Roman" w:cs="Times New Roman"/>
          <w:bCs/>
          <w:szCs w:val="24"/>
        </w:rPr>
      </w:pPr>
      <w:r>
        <w:rPr>
          <w:rFonts w:ascii="Times New Roman" w:hAnsi="Times New Roman" w:cs="Times New Roman"/>
          <w:bCs/>
          <w:szCs w:val="24"/>
        </w:rPr>
        <w:t>We nevertheless find it appropriate to discuss the subject because an attrition adjustment is one among the several possible responses the Commission could make to address a demonstrated trend of under earning due to circumstances beyond the Company’s ability to control.  This form of adjustment was available to utilities during the early 1980’s in an environment of exceptional inflation and high interest rates; it is equally available today if shown to be a needed response to the challenges posed by PSE’s current intensive capital investment program to replace aging infrastructure.</w:t>
      </w:r>
    </w:p>
    <w:p w:rsidR="00D47CA8" w:rsidRDefault="00D47CA8" w:rsidP="00867849">
      <w:pPr>
        <w:pStyle w:val="P31"/>
        <w:ind w:right="-54"/>
        <w:jc w:val="both"/>
        <w:rPr>
          <w:rFonts w:ascii="Times New Roman" w:hAnsi="Times New Roman" w:cs="Times New Roman"/>
          <w:bCs/>
          <w:szCs w:val="24"/>
        </w:rPr>
      </w:pPr>
    </w:p>
    <w:p w:rsidR="000F460A" w:rsidRPr="00601389" w:rsidRDefault="0094040A" w:rsidP="00025AFC">
      <w:pPr>
        <w:pStyle w:val="FootnoteText"/>
        <w:spacing w:line="480" w:lineRule="auto"/>
        <w:ind w:right="-54" w:firstLine="720"/>
        <w:jc w:val="both"/>
        <w:rPr>
          <w:sz w:val="24"/>
          <w:szCs w:val="24"/>
        </w:rPr>
      </w:pPr>
      <w:r>
        <w:rPr>
          <w:sz w:val="24"/>
          <w:szCs w:val="24"/>
        </w:rPr>
        <w:t>As noted earlier, i</w:t>
      </w:r>
      <w:r w:rsidR="000F460A" w:rsidRPr="00601389">
        <w:rPr>
          <w:sz w:val="24"/>
          <w:szCs w:val="24"/>
        </w:rPr>
        <w:t>n Order 14, dated December 26, 2012, in Avista Dockets UE-120436 and UG-120437, the Commission approved a settlement agreement that included revenue increases that were based</w:t>
      </w:r>
      <w:r w:rsidR="00F67F85">
        <w:rPr>
          <w:sz w:val="24"/>
          <w:szCs w:val="24"/>
        </w:rPr>
        <w:t>,</w:t>
      </w:r>
      <w:r w:rsidR="000F460A" w:rsidRPr="00601389">
        <w:rPr>
          <w:sz w:val="24"/>
          <w:szCs w:val="24"/>
        </w:rPr>
        <w:t xml:space="preserve"> in large part</w:t>
      </w:r>
      <w:r w:rsidR="00F67F85">
        <w:rPr>
          <w:sz w:val="24"/>
          <w:szCs w:val="24"/>
        </w:rPr>
        <w:t>,</w:t>
      </w:r>
      <w:r w:rsidR="000F460A" w:rsidRPr="00601389">
        <w:rPr>
          <w:sz w:val="24"/>
          <w:szCs w:val="24"/>
        </w:rPr>
        <w:t xml:space="preserve"> on attrition:</w:t>
      </w:r>
    </w:p>
    <w:p w:rsidR="000F460A" w:rsidRPr="00601389" w:rsidRDefault="000F460A" w:rsidP="00867849">
      <w:pPr>
        <w:pStyle w:val="BodyText"/>
        <w:tabs>
          <w:tab w:val="left" w:pos="720"/>
        </w:tabs>
        <w:spacing w:line="240" w:lineRule="auto"/>
        <w:ind w:left="720" w:right="-54"/>
        <w:jc w:val="both"/>
        <w:rPr>
          <w:b w:val="0"/>
          <w:bCs w:val="0"/>
        </w:rPr>
      </w:pPr>
      <w:r w:rsidRPr="00601389">
        <w:rPr>
          <w:b w:val="0"/>
          <w:bCs w:val="0"/>
        </w:rPr>
        <w:t>Here, both the Company and Staff performed attrition studies to project 2013 rates.  We agree with the Company and Staff that the proposed 2013 rate increase is based significantly on attrition.</w:t>
      </w:r>
      <w:r w:rsidR="00B91B16" w:rsidRPr="00601389">
        <w:rPr>
          <w:b w:val="0"/>
          <w:bCs w:val="0"/>
        </w:rPr>
        <w:t xml:space="preserve">  (Paragraph 70)</w:t>
      </w:r>
    </w:p>
    <w:p w:rsidR="00145AC4" w:rsidRPr="00601389" w:rsidRDefault="00145AC4" w:rsidP="00867849">
      <w:pPr>
        <w:pStyle w:val="BodyTextIndent"/>
        <w:tabs>
          <w:tab w:val="left" w:pos="1440"/>
        </w:tabs>
        <w:spacing w:after="0" w:line="480" w:lineRule="auto"/>
        <w:ind w:right="-54" w:firstLine="720"/>
        <w:jc w:val="both"/>
        <w:rPr>
          <w:bCs/>
        </w:rPr>
      </w:pPr>
    </w:p>
    <w:p w:rsidR="00331691" w:rsidRDefault="00806784" w:rsidP="00867849">
      <w:pPr>
        <w:pStyle w:val="BodyTextIndent"/>
        <w:tabs>
          <w:tab w:val="left" w:pos="1440"/>
        </w:tabs>
        <w:spacing w:after="0" w:line="480" w:lineRule="auto"/>
        <w:ind w:left="0" w:right="-54" w:firstLine="720"/>
        <w:jc w:val="both"/>
        <w:rPr>
          <w:rStyle w:val="LineNumber"/>
          <w:b/>
          <w:bCs/>
        </w:rPr>
      </w:pPr>
      <w:r>
        <w:rPr>
          <w:bCs/>
        </w:rPr>
        <w:t>A</w:t>
      </w:r>
      <w:r w:rsidR="00FE433C" w:rsidRPr="00601389">
        <w:rPr>
          <w:bCs/>
        </w:rPr>
        <w:t>n example of another method recently approved by the Commission, i</w:t>
      </w:r>
      <w:r w:rsidR="00ED5CA3">
        <w:rPr>
          <w:bCs/>
        </w:rPr>
        <w:t>n Docket Nos. UE-130137 and UG-130138</w:t>
      </w:r>
      <w:r w:rsidR="001C51AC" w:rsidRPr="00601389">
        <w:rPr>
          <w:bCs/>
        </w:rPr>
        <w:t>, the Commission approved</w:t>
      </w:r>
      <w:r w:rsidR="004A3730">
        <w:rPr>
          <w:bCs/>
        </w:rPr>
        <w:t>, through a Puget Sound Energy Expedited Rate Filing (ERF Filing)</w:t>
      </w:r>
      <w:r>
        <w:rPr>
          <w:bCs/>
        </w:rPr>
        <w:t>,</w:t>
      </w:r>
      <w:r w:rsidR="001C51AC" w:rsidRPr="00601389">
        <w:rPr>
          <w:bCs/>
        </w:rPr>
        <w:t xml:space="preserve"> a “K-Factor” </w:t>
      </w:r>
      <w:r w:rsidR="004A3730">
        <w:rPr>
          <w:bCs/>
        </w:rPr>
        <w:t>Mechanism</w:t>
      </w:r>
      <w:r w:rsidR="001C51AC" w:rsidRPr="00601389">
        <w:rPr>
          <w:bCs/>
        </w:rPr>
        <w:t xml:space="preserve">.  This K-Factor Mechanism </w:t>
      </w:r>
      <w:r w:rsidR="00D604A7" w:rsidRPr="00601389">
        <w:rPr>
          <w:rStyle w:val="LineNumber"/>
        </w:rPr>
        <w:t>is</w:t>
      </w:r>
      <w:r w:rsidR="00331691" w:rsidRPr="00601389">
        <w:rPr>
          <w:rStyle w:val="LineNumber"/>
        </w:rPr>
        <w:t xml:space="preserve"> designed to accomplish the same thing as an attrition</w:t>
      </w:r>
      <w:r w:rsidR="00331691">
        <w:rPr>
          <w:rStyle w:val="LineNumber"/>
        </w:rPr>
        <w:t xml:space="preserve"> adjustment.  In gene</w:t>
      </w:r>
      <w:r w:rsidR="004A3730">
        <w:rPr>
          <w:rStyle w:val="LineNumber"/>
        </w:rPr>
        <w:t xml:space="preserve">ral terms, in the </w:t>
      </w:r>
      <w:proofErr w:type="spellStart"/>
      <w:r w:rsidR="004A3730">
        <w:rPr>
          <w:rStyle w:val="LineNumber"/>
        </w:rPr>
        <w:t>ERF</w:t>
      </w:r>
      <w:proofErr w:type="spellEnd"/>
      <w:r w:rsidR="004A3730">
        <w:rPr>
          <w:rStyle w:val="LineNumber"/>
        </w:rPr>
        <w:t xml:space="preserve"> Filing</w:t>
      </w:r>
      <w:r w:rsidR="00331691">
        <w:rPr>
          <w:rStyle w:val="LineNumber"/>
        </w:rPr>
        <w:t xml:space="preserve"> the historical test year is</w:t>
      </w:r>
      <w:r w:rsidR="00B037D6">
        <w:rPr>
          <w:rStyle w:val="LineNumber"/>
        </w:rPr>
        <w:t xml:space="preserve"> initially</w:t>
      </w:r>
      <w:r w:rsidR="00331691">
        <w:rPr>
          <w:rStyle w:val="LineNumber"/>
        </w:rPr>
        <w:t xml:space="preserve"> reviewed to determine whether the utility under-earned or over-earned </w:t>
      </w:r>
      <w:r w:rsidR="004A3730">
        <w:rPr>
          <w:rStyle w:val="LineNumber"/>
        </w:rPr>
        <w:t>on a normalized basis during that historical</w:t>
      </w:r>
      <w:r w:rsidR="00331691">
        <w:rPr>
          <w:rStyle w:val="LineNumber"/>
        </w:rPr>
        <w:t xml:space="preserve"> period.  The revenue adjustment necessary for the utility to earn its authorized</w:t>
      </w:r>
      <w:r w:rsidR="004A3730">
        <w:rPr>
          <w:rStyle w:val="LineNumber"/>
        </w:rPr>
        <w:t xml:space="preserve"> rate of return</w:t>
      </w:r>
      <w:r w:rsidR="001947B0">
        <w:rPr>
          <w:rStyle w:val="LineNumber"/>
        </w:rPr>
        <w:t xml:space="preserve"> for the historical test period</w:t>
      </w:r>
      <w:r w:rsidR="004A3730">
        <w:rPr>
          <w:rStyle w:val="LineNumber"/>
        </w:rPr>
        <w:t xml:space="preserve"> is calc</w:t>
      </w:r>
      <w:r w:rsidR="001947B0">
        <w:rPr>
          <w:rStyle w:val="LineNumber"/>
        </w:rPr>
        <w:t>ulated</w:t>
      </w:r>
      <w:r w:rsidR="004A3730">
        <w:rPr>
          <w:rStyle w:val="LineNumber"/>
        </w:rPr>
        <w:t>.</w:t>
      </w:r>
    </w:p>
    <w:p w:rsidR="00331691" w:rsidRDefault="00331691" w:rsidP="00C97992">
      <w:pPr>
        <w:pStyle w:val="BodyTextIndent"/>
        <w:tabs>
          <w:tab w:val="left" w:pos="1440"/>
        </w:tabs>
        <w:spacing w:after="0" w:line="480" w:lineRule="auto"/>
        <w:ind w:left="0" w:right="-54" w:firstLine="720"/>
        <w:jc w:val="both"/>
        <w:rPr>
          <w:rStyle w:val="LineNumber"/>
          <w:b/>
          <w:bCs/>
        </w:rPr>
      </w:pPr>
      <w:r>
        <w:rPr>
          <w:rStyle w:val="LineNumber"/>
        </w:rPr>
        <w:lastRenderedPageBreak/>
        <w:t xml:space="preserve">Next, </w:t>
      </w:r>
      <w:r w:rsidRPr="00B037D6">
        <w:rPr>
          <w:rStyle w:val="LineNumber"/>
          <w:u w:val="single"/>
        </w:rPr>
        <w:t>trends in the growth rates of rate base, expenses, and revenues over time</w:t>
      </w:r>
      <w:r>
        <w:rPr>
          <w:rStyle w:val="LineNumber"/>
        </w:rPr>
        <w:t xml:space="preserve"> are assessed to determine a K-Factor.  The </w:t>
      </w:r>
      <w:r w:rsidR="004A3730">
        <w:rPr>
          <w:rStyle w:val="LineNumber"/>
        </w:rPr>
        <w:t xml:space="preserve">historical </w:t>
      </w:r>
      <w:r>
        <w:rPr>
          <w:rStyle w:val="LineNumber"/>
        </w:rPr>
        <w:t>test year normalized revenue</w:t>
      </w:r>
      <w:r w:rsidR="00040C48">
        <w:rPr>
          <w:rStyle w:val="LineNumber"/>
        </w:rPr>
        <w:t>-</w:t>
      </w:r>
      <w:r>
        <w:rPr>
          <w:rStyle w:val="LineNumber"/>
        </w:rPr>
        <w:t>per</w:t>
      </w:r>
      <w:r w:rsidR="00040C48">
        <w:rPr>
          <w:rStyle w:val="LineNumber"/>
        </w:rPr>
        <w:t>-</w:t>
      </w:r>
      <w:r>
        <w:rPr>
          <w:rStyle w:val="LineNumber"/>
        </w:rPr>
        <w:t>customer is escalated by this K-Factor for the number of years from the historical test yea</w:t>
      </w:r>
      <w:r w:rsidR="00BE50C4">
        <w:rPr>
          <w:rStyle w:val="LineNumber"/>
        </w:rPr>
        <w:t>r to the prospective</w:t>
      </w:r>
      <w:r>
        <w:rPr>
          <w:rStyle w:val="LineNumber"/>
        </w:rPr>
        <w:t xml:space="preserve"> rate year, which provides increased revenues to the utility.  This K-Factor is representative of the difference in the annual growth rates of rate base and expenses versus revenues.  For example, if </w:t>
      </w:r>
      <w:r w:rsidR="00101D2A">
        <w:rPr>
          <w:rStyle w:val="LineNumber"/>
        </w:rPr>
        <w:t xml:space="preserve">the costs associated with </w:t>
      </w:r>
      <w:r>
        <w:rPr>
          <w:rStyle w:val="LineNumber"/>
        </w:rPr>
        <w:t xml:space="preserve">rate base and expenses (weighted together) are growing at an annual rate of 4% per year, and revenues are growing at 1% per year, revenues would need to increase by the difference between the two, which is 3% per year, i.e., a K-Factor of 3%.  </w:t>
      </w:r>
    </w:p>
    <w:p w:rsidR="00331691" w:rsidRDefault="00D604A7" w:rsidP="00C97992">
      <w:pPr>
        <w:pStyle w:val="BodyTextIndent"/>
        <w:tabs>
          <w:tab w:val="left" w:pos="1440"/>
        </w:tabs>
        <w:spacing w:after="0" w:line="480" w:lineRule="auto"/>
        <w:ind w:left="0" w:right="-54" w:firstLine="720"/>
        <w:jc w:val="both"/>
        <w:rPr>
          <w:rStyle w:val="LineNumber"/>
          <w:b/>
          <w:bCs/>
        </w:rPr>
      </w:pPr>
      <w:r>
        <w:rPr>
          <w:rStyle w:val="LineNumber"/>
        </w:rPr>
        <w:t>Similar to the attrition adjustment produced</w:t>
      </w:r>
      <w:r w:rsidR="00C63546">
        <w:rPr>
          <w:rStyle w:val="LineNumber"/>
        </w:rPr>
        <w:t xml:space="preserve"> by the attrition study, the K-F</w:t>
      </w:r>
      <w:r>
        <w:rPr>
          <w:rStyle w:val="LineNumber"/>
        </w:rPr>
        <w:t xml:space="preserve">actor </w:t>
      </w:r>
      <w:r w:rsidR="00331691">
        <w:rPr>
          <w:rStyle w:val="LineNumber"/>
        </w:rPr>
        <w:t xml:space="preserve">Mechanism determines the revenue increase necessary to </w:t>
      </w:r>
      <w:r w:rsidR="001713D5">
        <w:rPr>
          <w:rStyle w:val="LineNumber"/>
        </w:rPr>
        <w:t xml:space="preserve">provide the utility with the opportunity to </w:t>
      </w:r>
      <w:r w:rsidR="002D5E3B">
        <w:rPr>
          <w:rStyle w:val="LineNumber"/>
        </w:rPr>
        <w:t>earn the allowed</w:t>
      </w:r>
      <w:r w:rsidR="00331691">
        <w:rPr>
          <w:rStyle w:val="LineNumber"/>
        </w:rPr>
        <w:t xml:space="preserve"> rate of return</w:t>
      </w:r>
      <w:r w:rsidR="004A3730">
        <w:rPr>
          <w:rStyle w:val="LineNumber"/>
        </w:rPr>
        <w:t xml:space="preserve"> during the prospective rate year</w:t>
      </w:r>
      <w:r w:rsidR="00331691">
        <w:rPr>
          <w:rStyle w:val="LineNumber"/>
        </w:rPr>
        <w:t>, accounting for the fact that rate base and expenses will grow at a faster pace than revenue.</w:t>
      </w:r>
    </w:p>
    <w:p w:rsidR="00B244E9" w:rsidRDefault="0017143F" w:rsidP="00C97992">
      <w:pPr>
        <w:pStyle w:val="BodyTextIndent"/>
        <w:tabs>
          <w:tab w:val="left" w:pos="1440"/>
        </w:tabs>
        <w:spacing w:after="0" w:line="480" w:lineRule="auto"/>
        <w:ind w:left="0" w:right="-54" w:firstLine="720"/>
        <w:jc w:val="both"/>
        <w:rPr>
          <w:rStyle w:val="LineNumber"/>
        </w:rPr>
      </w:pPr>
      <w:r w:rsidRPr="00B244E9">
        <w:rPr>
          <w:b/>
          <w:bCs/>
        </w:rPr>
        <w:t>Fourth</w:t>
      </w:r>
      <w:r w:rsidRPr="00B244E9">
        <w:rPr>
          <w:bCs/>
        </w:rPr>
        <w:t>, the use of an attrition analysis is fully consistent with the principles of ratemaking.</w:t>
      </w:r>
      <w:r w:rsidR="0032379E" w:rsidRPr="00B244E9">
        <w:rPr>
          <w:bCs/>
        </w:rPr>
        <w:t xml:space="preserve">  In her direct</w:t>
      </w:r>
      <w:r w:rsidR="007622A1">
        <w:rPr>
          <w:bCs/>
        </w:rPr>
        <w:t xml:space="preserve"> testimony, Ms. Andrews presented</w:t>
      </w:r>
      <w:r w:rsidR="0032379E" w:rsidRPr="00B244E9">
        <w:rPr>
          <w:bCs/>
        </w:rPr>
        <w:t xml:space="preserve"> some of the principles included in the Rate Case and Audit Manual prepared by the NARUC Staff Subcommittee on Accounting and Finance.</w:t>
      </w:r>
      <w:r w:rsidR="0032379E" w:rsidRPr="00B244E9">
        <w:rPr>
          <w:rStyle w:val="FootnoteReference"/>
          <w:bCs/>
        </w:rPr>
        <w:footnoteReference w:id="14"/>
      </w:r>
      <w:r w:rsidR="0042761D" w:rsidRPr="00B244E9">
        <w:rPr>
          <w:bCs/>
        </w:rPr>
        <w:t xml:space="preserve">  The following principles, among others, </w:t>
      </w:r>
      <w:r w:rsidR="00B244E9" w:rsidRPr="00B244E9">
        <w:rPr>
          <w:rStyle w:val="LineNumber"/>
        </w:rPr>
        <w:t>directly address the attrition Avist</w:t>
      </w:r>
      <w:r w:rsidR="00B244E9">
        <w:rPr>
          <w:rStyle w:val="LineNumber"/>
        </w:rPr>
        <w:t xml:space="preserve">a is experiencing, and </w:t>
      </w:r>
      <w:r w:rsidR="00B244E9" w:rsidRPr="00B244E9">
        <w:rPr>
          <w:rStyle w:val="LineNumber"/>
        </w:rPr>
        <w:t xml:space="preserve">support the use of appropriate adjustments </w:t>
      </w:r>
      <w:r w:rsidR="00882763">
        <w:rPr>
          <w:rStyle w:val="LineNumber"/>
        </w:rPr>
        <w:t xml:space="preserve">(including </w:t>
      </w:r>
      <w:r w:rsidR="00A1068C">
        <w:rPr>
          <w:rStyle w:val="LineNumber"/>
        </w:rPr>
        <w:t>an attrition adjustment</w:t>
      </w:r>
      <w:r w:rsidR="00882763">
        <w:rPr>
          <w:rStyle w:val="LineNumber"/>
        </w:rPr>
        <w:t xml:space="preserve">) </w:t>
      </w:r>
      <w:r w:rsidR="00A1068C">
        <w:rPr>
          <w:rStyle w:val="LineNumber"/>
        </w:rPr>
        <w:t>to ensure that</w:t>
      </w:r>
      <w:r w:rsidR="00B244E9" w:rsidRPr="00B244E9">
        <w:rPr>
          <w:rStyle w:val="LineNumber"/>
        </w:rPr>
        <w:t xml:space="preserve"> new retail revenues resulti</w:t>
      </w:r>
      <w:r w:rsidR="00A1068C">
        <w:rPr>
          <w:rStyle w:val="LineNumber"/>
        </w:rPr>
        <w:t>ng from a general rate case</w:t>
      </w:r>
      <w:r w:rsidR="00B244E9" w:rsidRPr="00B244E9">
        <w:rPr>
          <w:rStyle w:val="LineNumber"/>
        </w:rPr>
        <w:t xml:space="preserve"> </w:t>
      </w:r>
      <w:r w:rsidR="00D4733A">
        <w:rPr>
          <w:rStyle w:val="LineNumber"/>
        </w:rPr>
        <w:t xml:space="preserve">provide the </w:t>
      </w:r>
      <w:r w:rsidR="00882763">
        <w:rPr>
          <w:rStyle w:val="LineNumber"/>
        </w:rPr>
        <w:t>utility</w:t>
      </w:r>
      <w:r w:rsidR="00B244E9" w:rsidRPr="00B244E9">
        <w:rPr>
          <w:rStyle w:val="LineNumber"/>
        </w:rPr>
        <w:t xml:space="preserve"> with a reasonable opportunity to earn a fair return.  </w:t>
      </w:r>
    </w:p>
    <w:p w:rsidR="00B244E9" w:rsidRPr="00B244E9" w:rsidRDefault="00B244E9" w:rsidP="00867849">
      <w:pPr>
        <w:adjustRightInd w:val="0"/>
        <w:spacing w:after="240"/>
        <w:ind w:left="720" w:right="-54"/>
        <w:jc w:val="both"/>
      </w:pPr>
      <w:r w:rsidRPr="00B244E9">
        <w:rPr>
          <w:u w:val="single"/>
        </w:rPr>
        <w:t>In looking at the months beyond the end of the test year, have the growth rates for rate base, expenses, and revenues all remained fairly close and constant, maintaining the test year relationship among these three elements, or has one element changed dramatically, making the test year out of kilter with current operations?</w:t>
      </w:r>
      <w:r w:rsidRPr="00B244E9">
        <w:t xml:space="preserve"> If so, can this </w:t>
      </w:r>
      <w:r w:rsidRPr="00B244E9">
        <w:lastRenderedPageBreak/>
        <w:t>situation be resolved through adjustments to the test year? (Page 10</w:t>
      </w:r>
      <w:r>
        <w:t xml:space="preserve"> of the Audit Manual</w:t>
      </w:r>
      <w:r w:rsidRPr="00B244E9">
        <w:t xml:space="preserve">) (emphasis </w:t>
      </w:r>
      <w:r w:rsidR="00882763">
        <w:t>added)</w:t>
      </w:r>
    </w:p>
    <w:p w:rsidR="00D47CA8" w:rsidRPr="00F51A28" w:rsidRDefault="00F51A28" w:rsidP="00867849">
      <w:pPr>
        <w:pStyle w:val="P31"/>
        <w:spacing w:line="240" w:lineRule="auto"/>
        <w:ind w:left="720" w:right="-54" w:firstLine="0"/>
        <w:jc w:val="both"/>
        <w:rPr>
          <w:rFonts w:ascii="Times New Roman" w:hAnsi="Times New Roman" w:cs="Times New Roman"/>
          <w:bCs/>
          <w:szCs w:val="24"/>
        </w:rPr>
      </w:pPr>
      <w:r w:rsidRPr="00F51A28">
        <w:rPr>
          <w:rFonts w:ascii="Times New Roman" w:hAnsi="Times New Roman" w:cs="Times New Roman"/>
        </w:rPr>
        <w:t xml:space="preserve">Whether using a future or historic test year, the auditor should judge the </w:t>
      </w:r>
      <w:r w:rsidRPr="00F51A28">
        <w:rPr>
          <w:rFonts w:ascii="Times New Roman" w:hAnsi="Times New Roman" w:cs="Times New Roman"/>
          <w:u w:val="single"/>
        </w:rPr>
        <w:t>appropriateness</w:t>
      </w:r>
      <w:r w:rsidRPr="00F51A28">
        <w:rPr>
          <w:rFonts w:ascii="Times New Roman" w:hAnsi="Times New Roman" w:cs="Times New Roman"/>
        </w:rPr>
        <w:t xml:space="preserve"> of the test year that has been proposed.  </w:t>
      </w:r>
      <w:r w:rsidRPr="00F51A28">
        <w:rPr>
          <w:rFonts w:ascii="Times New Roman" w:hAnsi="Times New Roman" w:cs="Times New Roman"/>
          <w:u w:val="single"/>
        </w:rPr>
        <w:t>Is it representative, after adjustments, of the period in which rates take effect?</w:t>
      </w:r>
      <w:r w:rsidRPr="00F51A28">
        <w:rPr>
          <w:rFonts w:ascii="Times New Roman" w:hAnsi="Times New Roman" w:cs="Times New Roman"/>
        </w:rPr>
        <w:t xml:space="preserve"> (Page 10</w:t>
      </w:r>
      <w:r>
        <w:rPr>
          <w:rFonts w:ascii="Times New Roman" w:hAnsi="Times New Roman" w:cs="Times New Roman"/>
        </w:rPr>
        <w:t xml:space="preserve"> of the Audit Manual</w:t>
      </w:r>
      <w:r w:rsidRPr="00F51A28">
        <w:rPr>
          <w:rFonts w:ascii="Times New Roman" w:hAnsi="Times New Roman" w:cs="Times New Roman"/>
        </w:rPr>
        <w:t>) (emphasis added)</w:t>
      </w:r>
    </w:p>
    <w:p w:rsidR="00A0255B" w:rsidRPr="00B244E9" w:rsidRDefault="00A0255B" w:rsidP="00867849">
      <w:pPr>
        <w:pStyle w:val="P31"/>
        <w:ind w:right="-54"/>
        <w:jc w:val="both"/>
        <w:rPr>
          <w:rFonts w:ascii="Times New Roman" w:hAnsi="Times New Roman" w:cs="Times New Roman"/>
          <w:bCs/>
          <w:szCs w:val="24"/>
        </w:rPr>
      </w:pPr>
    </w:p>
    <w:p w:rsidR="00951713" w:rsidRDefault="00951713" w:rsidP="00867849">
      <w:pPr>
        <w:pStyle w:val="P31"/>
        <w:tabs>
          <w:tab w:val="clear" w:pos="1440"/>
        </w:tabs>
        <w:ind w:right="-54"/>
        <w:jc w:val="both"/>
        <w:rPr>
          <w:rFonts w:ascii="Times New Roman" w:hAnsi="Times New Roman" w:cs="Times New Roman"/>
          <w:bCs/>
          <w:szCs w:val="24"/>
        </w:rPr>
      </w:pPr>
      <w:r>
        <w:rPr>
          <w:rFonts w:ascii="Times New Roman" w:hAnsi="Times New Roman" w:cs="Times New Roman"/>
          <w:bCs/>
          <w:szCs w:val="24"/>
        </w:rPr>
        <w:t xml:space="preserve">In these Dockets, </w:t>
      </w:r>
      <w:r w:rsidR="00F7717B">
        <w:rPr>
          <w:rFonts w:ascii="Times New Roman" w:hAnsi="Times New Roman" w:cs="Times New Roman"/>
          <w:bCs/>
          <w:szCs w:val="24"/>
        </w:rPr>
        <w:t xml:space="preserve">both Avista and </w:t>
      </w:r>
      <w:r w:rsidR="00EB2427">
        <w:rPr>
          <w:rFonts w:ascii="Times New Roman" w:hAnsi="Times New Roman" w:cs="Times New Roman"/>
          <w:bCs/>
          <w:szCs w:val="24"/>
        </w:rPr>
        <w:t>Staff</w:t>
      </w:r>
      <w:r w:rsidR="00F7717B">
        <w:rPr>
          <w:rFonts w:ascii="Times New Roman" w:hAnsi="Times New Roman" w:cs="Times New Roman"/>
          <w:bCs/>
          <w:szCs w:val="24"/>
        </w:rPr>
        <w:t xml:space="preserve"> </w:t>
      </w:r>
      <w:r w:rsidR="007622A1">
        <w:rPr>
          <w:rFonts w:ascii="Times New Roman" w:hAnsi="Times New Roman" w:cs="Times New Roman"/>
          <w:bCs/>
          <w:szCs w:val="24"/>
        </w:rPr>
        <w:t xml:space="preserve">have </w:t>
      </w:r>
      <w:r w:rsidR="00027AD9">
        <w:rPr>
          <w:rFonts w:ascii="Times New Roman" w:hAnsi="Times New Roman" w:cs="Times New Roman"/>
          <w:bCs/>
          <w:szCs w:val="24"/>
        </w:rPr>
        <w:t xml:space="preserve">found that with </w:t>
      </w:r>
      <w:r w:rsidR="00C63546">
        <w:rPr>
          <w:rFonts w:ascii="Times New Roman" w:hAnsi="Times New Roman" w:cs="Times New Roman"/>
          <w:bCs/>
          <w:szCs w:val="24"/>
        </w:rPr>
        <w:t xml:space="preserve">the sole </w:t>
      </w:r>
      <w:r w:rsidR="00027AD9">
        <w:rPr>
          <w:rFonts w:ascii="Times New Roman" w:hAnsi="Times New Roman" w:cs="Times New Roman"/>
          <w:bCs/>
          <w:szCs w:val="24"/>
        </w:rPr>
        <w:t>use of</w:t>
      </w:r>
      <w:r w:rsidR="00F7717B">
        <w:rPr>
          <w:rFonts w:ascii="Times New Roman" w:hAnsi="Times New Roman" w:cs="Times New Roman"/>
          <w:bCs/>
          <w:szCs w:val="24"/>
        </w:rPr>
        <w:t xml:space="preserve"> the traditional pro forma adjustments, the</w:t>
      </w:r>
      <w:r w:rsidR="00027AD9">
        <w:rPr>
          <w:rFonts w:ascii="Times New Roman" w:hAnsi="Times New Roman" w:cs="Times New Roman"/>
          <w:bCs/>
          <w:szCs w:val="24"/>
        </w:rPr>
        <w:t xml:space="preserve"> revenues will not be sufficient</w:t>
      </w:r>
      <w:r w:rsidR="00F7717B">
        <w:rPr>
          <w:rFonts w:ascii="Times New Roman" w:hAnsi="Times New Roman" w:cs="Times New Roman"/>
          <w:bCs/>
          <w:szCs w:val="24"/>
        </w:rPr>
        <w:t xml:space="preserve"> during “the period in which rates take effect.”  </w:t>
      </w:r>
      <w:r w:rsidR="005B1A39">
        <w:rPr>
          <w:rFonts w:ascii="Times New Roman" w:hAnsi="Times New Roman" w:cs="Times New Roman"/>
          <w:bCs/>
          <w:szCs w:val="24"/>
        </w:rPr>
        <w:t xml:space="preserve">Again, </w:t>
      </w:r>
      <w:r w:rsidR="00F7717B">
        <w:rPr>
          <w:rFonts w:ascii="Times New Roman" w:hAnsi="Times New Roman" w:cs="Times New Roman"/>
          <w:bCs/>
          <w:szCs w:val="24"/>
        </w:rPr>
        <w:t xml:space="preserve">Mr. McGuire </w:t>
      </w:r>
      <w:r w:rsidR="00BB2802">
        <w:rPr>
          <w:rFonts w:ascii="Times New Roman" w:hAnsi="Times New Roman" w:cs="Times New Roman"/>
          <w:bCs/>
          <w:szCs w:val="24"/>
        </w:rPr>
        <w:t xml:space="preserve">in Exhibit No.___(CRM-1T) </w:t>
      </w:r>
      <w:r w:rsidR="00F7717B">
        <w:rPr>
          <w:rFonts w:ascii="Times New Roman" w:hAnsi="Times New Roman" w:cs="Times New Roman"/>
          <w:bCs/>
          <w:szCs w:val="24"/>
        </w:rPr>
        <w:t>stated on page 9, line 14:</w:t>
      </w:r>
    </w:p>
    <w:p w:rsidR="00951713" w:rsidRPr="00951713" w:rsidRDefault="00951713" w:rsidP="00867849">
      <w:pPr>
        <w:pStyle w:val="P31"/>
        <w:tabs>
          <w:tab w:val="clear" w:pos="1440"/>
        </w:tabs>
        <w:spacing w:line="240" w:lineRule="auto"/>
        <w:ind w:left="720" w:right="-54" w:firstLine="0"/>
        <w:jc w:val="both"/>
        <w:rPr>
          <w:rFonts w:ascii="Times New Roman" w:hAnsi="Times New Roman" w:cs="Times New Roman"/>
          <w:bCs/>
          <w:szCs w:val="24"/>
        </w:rPr>
      </w:pPr>
      <w:r w:rsidRPr="00951713">
        <w:rPr>
          <w:rFonts w:ascii="Times New Roman" w:hAnsi="Times New Roman" w:cs="Times New Roman"/>
          <w:bCs/>
        </w:rPr>
        <w:t>For this case, Staff determined that the revenue requirement calculated using a modified historical test period was insufficient for both electric and natural gas service.  Therefore, Staff recommends the Commission exercise its discretion in setting rates and provide an attrition allowance for both electric and gas service.</w:t>
      </w:r>
    </w:p>
    <w:p w:rsidR="00951713" w:rsidRPr="00951713" w:rsidRDefault="00951713" w:rsidP="00867849">
      <w:pPr>
        <w:pStyle w:val="P31"/>
        <w:ind w:right="-54"/>
        <w:jc w:val="both"/>
        <w:rPr>
          <w:rFonts w:ascii="Times New Roman" w:hAnsi="Times New Roman" w:cs="Times New Roman"/>
          <w:bCs/>
          <w:szCs w:val="24"/>
        </w:rPr>
      </w:pPr>
    </w:p>
    <w:p w:rsidR="00A0255B" w:rsidRPr="00B244E9" w:rsidRDefault="00A1068C" w:rsidP="00867849">
      <w:pPr>
        <w:pStyle w:val="P31"/>
        <w:ind w:right="-54"/>
        <w:jc w:val="both"/>
        <w:rPr>
          <w:rFonts w:ascii="Times New Roman" w:hAnsi="Times New Roman" w:cs="Times New Roman"/>
          <w:bCs/>
          <w:szCs w:val="24"/>
        </w:rPr>
      </w:pPr>
      <w:r>
        <w:rPr>
          <w:rFonts w:ascii="Times New Roman" w:hAnsi="Times New Roman" w:cs="Times New Roman"/>
          <w:bCs/>
          <w:szCs w:val="24"/>
        </w:rPr>
        <w:t>The use of an attrition analysis</w:t>
      </w:r>
      <w:r w:rsidR="00A92C8A">
        <w:rPr>
          <w:rFonts w:ascii="Times New Roman" w:hAnsi="Times New Roman" w:cs="Times New Roman"/>
          <w:bCs/>
          <w:szCs w:val="24"/>
        </w:rPr>
        <w:t xml:space="preserve"> and attrition adjustment</w:t>
      </w:r>
      <w:r>
        <w:rPr>
          <w:rFonts w:ascii="Times New Roman" w:hAnsi="Times New Roman" w:cs="Times New Roman"/>
          <w:bCs/>
          <w:szCs w:val="24"/>
        </w:rPr>
        <w:t xml:space="preserve"> is also fully consistent with the matching principle.  Through the attrition analysis</w:t>
      </w:r>
      <w:r w:rsidR="0030320E">
        <w:rPr>
          <w:rFonts w:ascii="Times New Roman" w:hAnsi="Times New Roman" w:cs="Times New Roman"/>
          <w:bCs/>
          <w:szCs w:val="24"/>
        </w:rPr>
        <w:t>,</w:t>
      </w:r>
      <w:r>
        <w:rPr>
          <w:rFonts w:ascii="Times New Roman" w:hAnsi="Times New Roman" w:cs="Times New Roman"/>
          <w:bCs/>
          <w:szCs w:val="24"/>
        </w:rPr>
        <w:t xml:space="preserve"> changes in rate base, operating expenses and revenues between the historical test period and the </w:t>
      </w:r>
      <w:r w:rsidR="00C63546">
        <w:rPr>
          <w:rFonts w:ascii="Times New Roman" w:hAnsi="Times New Roman" w:cs="Times New Roman"/>
          <w:bCs/>
          <w:szCs w:val="24"/>
        </w:rPr>
        <w:t xml:space="preserve">prospective </w:t>
      </w:r>
      <w:r>
        <w:rPr>
          <w:rFonts w:ascii="Times New Roman" w:hAnsi="Times New Roman" w:cs="Times New Roman"/>
          <w:bCs/>
          <w:szCs w:val="24"/>
        </w:rPr>
        <w:t>rate year a</w:t>
      </w:r>
      <w:r w:rsidR="005B1A39">
        <w:rPr>
          <w:rFonts w:ascii="Times New Roman" w:hAnsi="Times New Roman" w:cs="Times New Roman"/>
          <w:bCs/>
          <w:szCs w:val="24"/>
        </w:rPr>
        <w:t xml:space="preserve">re all captured in the analysis, and provide for a matching during the </w:t>
      </w:r>
      <w:r w:rsidR="0030320E">
        <w:rPr>
          <w:rFonts w:ascii="Times New Roman" w:hAnsi="Times New Roman" w:cs="Times New Roman"/>
          <w:bCs/>
          <w:szCs w:val="24"/>
        </w:rPr>
        <w:t xml:space="preserve">prospective </w:t>
      </w:r>
      <w:r w:rsidR="005B1A39">
        <w:rPr>
          <w:rFonts w:ascii="Times New Roman" w:hAnsi="Times New Roman" w:cs="Times New Roman"/>
          <w:bCs/>
          <w:szCs w:val="24"/>
        </w:rPr>
        <w:t>rate period.</w:t>
      </w:r>
    </w:p>
    <w:p w:rsidR="00D33C90" w:rsidRPr="00962614" w:rsidRDefault="00962614" w:rsidP="00867849">
      <w:pPr>
        <w:pStyle w:val="BodyText"/>
        <w:tabs>
          <w:tab w:val="left" w:pos="720"/>
        </w:tabs>
        <w:spacing w:line="480" w:lineRule="auto"/>
        <w:ind w:right="-54" w:firstLine="720"/>
        <w:jc w:val="both"/>
        <w:rPr>
          <w:bCs w:val="0"/>
        </w:rPr>
      </w:pPr>
      <w:r w:rsidRPr="00962614">
        <w:rPr>
          <w:bCs w:val="0"/>
        </w:rPr>
        <w:t>Q.</w:t>
      </w:r>
      <w:r w:rsidRPr="00962614">
        <w:rPr>
          <w:bCs w:val="0"/>
        </w:rPr>
        <w:tab/>
        <w:t>There are a number of references in intervenors’ testimony to the recent March 2015 UTC order in the Pa</w:t>
      </w:r>
      <w:r>
        <w:rPr>
          <w:bCs w:val="0"/>
        </w:rPr>
        <w:t>cific Power &amp; Light</w:t>
      </w:r>
      <w:r w:rsidRPr="00962614">
        <w:rPr>
          <w:bCs w:val="0"/>
        </w:rPr>
        <w:t xml:space="preserve"> </w:t>
      </w:r>
      <w:r w:rsidR="0046408A">
        <w:rPr>
          <w:bCs w:val="0"/>
        </w:rPr>
        <w:t xml:space="preserve">(PP&amp;L) </w:t>
      </w:r>
      <w:r w:rsidRPr="00962614">
        <w:rPr>
          <w:bCs w:val="0"/>
        </w:rPr>
        <w:t>rate case, and more specifically, Mr. Mullins on page 21, line 12 of his testimony</w:t>
      </w:r>
      <w:r w:rsidR="008304AE">
        <w:rPr>
          <w:bCs w:val="0"/>
        </w:rPr>
        <w:t>,</w:t>
      </w:r>
      <w:r w:rsidR="00040C48">
        <w:rPr>
          <w:bCs w:val="0"/>
        </w:rPr>
        <w:t xml:space="preserve"> (Exhibit No.___(BGM-1T))</w:t>
      </w:r>
      <w:r w:rsidR="008304AE">
        <w:rPr>
          <w:bCs w:val="0"/>
        </w:rPr>
        <w:t>,</w:t>
      </w:r>
      <w:r w:rsidRPr="00962614">
        <w:rPr>
          <w:bCs w:val="0"/>
        </w:rPr>
        <w:t xml:space="preserve"> states that, “the facts in this case are not materially different than in the 2014 Pacific Power general rate case.”  Do you agree with Mr. Mullins?</w:t>
      </w:r>
    </w:p>
    <w:p w:rsidR="00962614" w:rsidRDefault="00962614" w:rsidP="00867849">
      <w:pPr>
        <w:pStyle w:val="BodyText"/>
        <w:tabs>
          <w:tab w:val="left" w:pos="720"/>
        </w:tabs>
        <w:spacing w:line="480" w:lineRule="auto"/>
        <w:ind w:right="-54" w:firstLine="720"/>
        <w:jc w:val="both"/>
        <w:rPr>
          <w:b w:val="0"/>
          <w:bCs w:val="0"/>
        </w:rPr>
      </w:pPr>
      <w:r>
        <w:rPr>
          <w:b w:val="0"/>
          <w:bCs w:val="0"/>
        </w:rPr>
        <w:t>A.</w:t>
      </w:r>
      <w:r>
        <w:rPr>
          <w:b w:val="0"/>
          <w:bCs w:val="0"/>
        </w:rPr>
        <w:tab/>
        <w:t xml:space="preserve">No.  The facts in this case are </w:t>
      </w:r>
      <w:r w:rsidRPr="001D5816">
        <w:rPr>
          <w:b w:val="0"/>
          <w:bCs w:val="0"/>
          <w:u w:val="single"/>
        </w:rPr>
        <w:t>very different</w:t>
      </w:r>
      <w:r w:rsidR="0046408A">
        <w:rPr>
          <w:b w:val="0"/>
          <w:bCs w:val="0"/>
        </w:rPr>
        <w:t xml:space="preserve"> than in the PP&amp;L</w:t>
      </w:r>
      <w:r>
        <w:rPr>
          <w:b w:val="0"/>
          <w:bCs w:val="0"/>
        </w:rPr>
        <w:t xml:space="preserve"> case.</w:t>
      </w:r>
      <w:r w:rsidR="001B5035">
        <w:rPr>
          <w:b w:val="0"/>
          <w:bCs w:val="0"/>
        </w:rPr>
        <w:t xml:space="preserve">  In the </w:t>
      </w:r>
      <w:r w:rsidR="0046408A">
        <w:rPr>
          <w:b w:val="0"/>
          <w:bCs w:val="0"/>
        </w:rPr>
        <w:t>PP&amp;L</w:t>
      </w:r>
      <w:r w:rsidR="001B5035">
        <w:rPr>
          <w:b w:val="0"/>
          <w:bCs w:val="0"/>
        </w:rPr>
        <w:t xml:space="preserve"> case the Commission found that the Company did not present evidence demonstrating </w:t>
      </w:r>
      <w:r w:rsidR="001B5035">
        <w:rPr>
          <w:b w:val="0"/>
          <w:bCs w:val="0"/>
        </w:rPr>
        <w:lastRenderedPageBreak/>
        <w:t>that it was experiencing attrition.  In paragraph 146 of Order 08 in Docket UE-140762, the Commission found:</w:t>
      </w:r>
    </w:p>
    <w:p w:rsidR="001B5035" w:rsidRDefault="001B5035" w:rsidP="00867849">
      <w:pPr>
        <w:pStyle w:val="BodyText"/>
        <w:tabs>
          <w:tab w:val="left" w:pos="720"/>
        </w:tabs>
        <w:spacing w:line="240" w:lineRule="auto"/>
        <w:ind w:left="720" w:right="-54"/>
        <w:jc w:val="both"/>
        <w:rPr>
          <w:b w:val="0"/>
          <w:bCs w:val="0"/>
        </w:rPr>
      </w:pPr>
      <w:r w:rsidRPr="009A1998">
        <w:rPr>
          <w:b w:val="0"/>
          <w:bCs w:val="0"/>
          <w:u w:val="single"/>
        </w:rPr>
        <w:t>The Company did not present persuasive evidence that it is suffering attrition in earnings.  In particular, the Company did not present an attrition study.</w:t>
      </w:r>
      <w:r>
        <w:rPr>
          <w:b w:val="0"/>
          <w:bCs w:val="0"/>
        </w:rPr>
        <w:t xml:space="preserve">  Moreover, the fact that the Company failed in the past to earn its authorized return cannot justify use of EOP absent a showing that, due to factors beyond the Company’s control, the Commission can expect this condition to continue into the future.  </w:t>
      </w:r>
      <w:r w:rsidRPr="009A1998">
        <w:rPr>
          <w:b w:val="0"/>
          <w:bCs w:val="0"/>
          <w:u w:val="single"/>
        </w:rPr>
        <w:t>There is no such evidence in the record of this case</w:t>
      </w:r>
      <w:r w:rsidRPr="009A1998">
        <w:rPr>
          <w:b w:val="0"/>
          <w:bCs w:val="0"/>
        </w:rPr>
        <w:t>.</w:t>
      </w:r>
      <w:r w:rsidR="009A1998" w:rsidRPr="009A1998">
        <w:rPr>
          <w:b w:val="0"/>
          <w:bCs w:val="0"/>
        </w:rPr>
        <w:t xml:space="preserve">  (emphasis added)</w:t>
      </w:r>
    </w:p>
    <w:p w:rsidR="001B5035" w:rsidRDefault="001B5035" w:rsidP="00867849">
      <w:pPr>
        <w:pStyle w:val="BodyText"/>
        <w:tabs>
          <w:tab w:val="left" w:pos="720"/>
        </w:tabs>
        <w:spacing w:line="480" w:lineRule="auto"/>
        <w:ind w:right="-54" w:firstLine="720"/>
        <w:jc w:val="both"/>
        <w:rPr>
          <w:b w:val="0"/>
          <w:bCs w:val="0"/>
        </w:rPr>
      </w:pPr>
    </w:p>
    <w:p w:rsidR="00E0018F" w:rsidRDefault="0046408A" w:rsidP="00867849">
      <w:pPr>
        <w:pStyle w:val="BodyText"/>
        <w:tabs>
          <w:tab w:val="left" w:pos="720"/>
        </w:tabs>
        <w:spacing w:line="480" w:lineRule="auto"/>
        <w:ind w:right="-54" w:firstLine="720"/>
        <w:jc w:val="both"/>
        <w:rPr>
          <w:b w:val="0"/>
          <w:bCs w:val="0"/>
        </w:rPr>
      </w:pPr>
      <w:r>
        <w:rPr>
          <w:b w:val="0"/>
          <w:bCs w:val="0"/>
        </w:rPr>
        <w:t xml:space="preserve">In contrast to the PP&amp;L case, both Avista and </w:t>
      </w:r>
      <w:r w:rsidR="00EB2427">
        <w:rPr>
          <w:b w:val="0"/>
          <w:bCs w:val="0"/>
        </w:rPr>
        <w:t>Staff</w:t>
      </w:r>
      <w:r>
        <w:rPr>
          <w:b w:val="0"/>
          <w:bCs w:val="0"/>
        </w:rPr>
        <w:t xml:space="preserve"> have presented substantial evidence in these Dockets that Avista has been and will continue to experience attrition, and that an </w:t>
      </w:r>
      <w:r w:rsidR="00CD6978">
        <w:rPr>
          <w:b w:val="0"/>
          <w:bCs w:val="0"/>
        </w:rPr>
        <w:t>attrition adjustment is necessary</w:t>
      </w:r>
      <w:r>
        <w:rPr>
          <w:b w:val="0"/>
          <w:bCs w:val="0"/>
        </w:rPr>
        <w:t xml:space="preserve"> and appropriate for Avista.</w:t>
      </w:r>
    </w:p>
    <w:p w:rsidR="00A00017" w:rsidRDefault="00E0018F" w:rsidP="00867849">
      <w:pPr>
        <w:pStyle w:val="BodyText"/>
        <w:tabs>
          <w:tab w:val="left" w:pos="720"/>
        </w:tabs>
        <w:spacing w:line="480" w:lineRule="auto"/>
        <w:ind w:right="-54" w:firstLine="720"/>
        <w:jc w:val="both"/>
        <w:rPr>
          <w:b w:val="0"/>
          <w:bCs w:val="0"/>
        </w:rPr>
      </w:pPr>
      <w:r>
        <w:rPr>
          <w:b w:val="0"/>
          <w:bCs w:val="0"/>
        </w:rPr>
        <w:t>In addition, Commission approval of an attrition adjustment for Avista in this case is fully consistent with the Commission’s statements in paragraph 19 of the same Order:</w:t>
      </w:r>
    </w:p>
    <w:p w:rsidR="00A00017" w:rsidRDefault="00A00017" w:rsidP="00867849">
      <w:pPr>
        <w:pStyle w:val="BodyText"/>
        <w:tabs>
          <w:tab w:val="left" w:pos="720"/>
        </w:tabs>
        <w:spacing w:line="240" w:lineRule="auto"/>
        <w:ind w:left="720" w:right="-54"/>
        <w:jc w:val="both"/>
        <w:rPr>
          <w:b w:val="0"/>
          <w:bCs w:val="0"/>
        </w:rPr>
      </w:pPr>
      <w:r>
        <w:rPr>
          <w:b w:val="0"/>
          <w:bCs w:val="0"/>
        </w:rPr>
        <w:t>Although “</w:t>
      </w:r>
      <w:r w:rsidRPr="00616A67">
        <w:rPr>
          <w:b w:val="0"/>
          <w:bCs w:val="0"/>
          <w:u w:val="single"/>
        </w:rPr>
        <w:t>not bound to the use of any single formula or combination of formulae in determining rates</w:t>
      </w:r>
      <w:r>
        <w:rPr>
          <w:b w:val="0"/>
          <w:bCs w:val="0"/>
        </w:rPr>
        <w:t>”</w:t>
      </w:r>
      <w:r>
        <w:rPr>
          <w:rStyle w:val="FootnoteReference"/>
          <w:b w:val="0"/>
          <w:bCs w:val="0"/>
        </w:rPr>
        <w:footnoteReference w:id="15"/>
      </w:r>
      <w:r>
        <w:rPr>
          <w:b w:val="0"/>
          <w:bCs w:val="0"/>
        </w:rPr>
        <w:t xml:space="preserve"> we must find </w:t>
      </w:r>
      <w:r w:rsidRPr="00616A67">
        <w:rPr>
          <w:b w:val="0"/>
          <w:bCs w:val="0"/>
          <w:u w:val="single"/>
        </w:rPr>
        <w:t>on the basis of the record</w:t>
      </w:r>
      <w:r>
        <w:rPr>
          <w:b w:val="0"/>
          <w:bCs w:val="0"/>
        </w:rPr>
        <w:t xml:space="preserve"> three things:</w:t>
      </w:r>
    </w:p>
    <w:p w:rsidR="00A00017" w:rsidRDefault="00A00017" w:rsidP="00487537">
      <w:pPr>
        <w:pStyle w:val="BodyText"/>
        <w:numPr>
          <w:ilvl w:val="0"/>
          <w:numId w:val="16"/>
        </w:numPr>
        <w:tabs>
          <w:tab w:val="left" w:pos="720"/>
        </w:tabs>
        <w:spacing w:line="240" w:lineRule="auto"/>
        <w:ind w:left="1080" w:right="-54"/>
        <w:jc w:val="both"/>
        <w:rPr>
          <w:b w:val="0"/>
          <w:bCs w:val="0"/>
        </w:rPr>
      </w:pPr>
      <w:r>
        <w:rPr>
          <w:b w:val="0"/>
          <w:bCs w:val="0"/>
        </w:rPr>
        <w:t>What levels of prudently incurred expenses the Company will experience during the rate year.</w:t>
      </w:r>
    </w:p>
    <w:p w:rsidR="00A00017" w:rsidRDefault="00A00017" w:rsidP="00487537">
      <w:pPr>
        <w:pStyle w:val="BodyText"/>
        <w:numPr>
          <w:ilvl w:val="0"/>
          <w:numId w:val="16"/>
        </w:numPr>
        <w:tabs>
          <w:tab w:val="left" w:pos="720"/>
        </w:tabs>
        <w:spacing w:line="240" w:lineRule="auto"/>
        <w:ind w:left="1080" w:right="-54"/>
        <w:jc w:val="both"/>
        <w:rPr>
          <w:b w:val="0"/>
          <w:bCs w:val="0"/>
        </w:rPr>
      </w:pPr>
      <w:r>
        <w:rPr>
          <w:b w:val="0"/>
          <w:bCs w:val="0"/>
        </w:rPr>
        <w:t>The amount of the Company’s “rate base.”</w:t>
      </w:r>
      <w:r w:rsidR="00487537">
        <w:rPr>
          <w:rStyle w:val="FootnoteReference"/>
          <w:b w:val="0"/>
          <w:bCs w:val="0"/>
        </w:rPr>
        <w:footnoteReference w:id="16"/>
      </w:r>
    </w:p>
    <w:p w:rsidR="00A00017" w:rsidRPr="00AD76B3" w:rsidRDefault="00487537" w:rsidP="00487537">
      <w:pPr>
        <w:pStyle w:val="BodyText"/>
        <w:numPr>
          <w:ilvl w:val="0"/>
          <w:numId w:val="16"/>
        </w:numPr>
        <w:tabs>
          <w:tab w:val="left" w:pos="720"/>
        </w:tabs>
        <w:spacing w:line="240" w:lineRule="auto"/>
        <w:ind w:left="1080" w:right="-54"/>
        <w:jc w:val="both"/>
        <w:rPr>
          <w:b w:val="0"/>
          <w:bCs w:val="0"/>
        </w:rPr>
      </w:pPr>
      <w:r>
        <w:rPr>
          <w:b w:val="0"/>
          <w:bCs w:val="0"/>
        </w:rPr>
        <w:t>An a</w:t>
      </w:r>
      <w:r w:rsidR="00A00017">
        <w:rPr>
          <w:b w:val="0"/>
          <w:bCs w:val="0"/>
        </w:rPr>
        <w:t xml:space="preserve">ppropriate rate of return on that rate base. </w:t>
      </w:r>
      <w:r w:rsidR="00616A67">
        <w:rPr>
          <w:b w:val="0"/>
          <w:bCs w:val="0"/>
        </w:rPr>
        <w:t>(emphasis added)</w:t>
      </w:r>
    </w:p>
    <w:p w:rsidR="001347AD" w:rsidRDefault="001347AD" w:rsidP="00867849">
      <w:pPr>
        <w:pStyle w:val="BodyText"/>
        <w:tabs>
          <w:tab w:val="left" w:pos="720"/>
        </w:tabs>
        <w:spacing w:line="480" w:lineRule="auto"/>
        <w:ind w:right="-54" w:firstLine="720"/>
        <w:jc w:val="both"/>
        <w:rPr>
          <w:b w:val="0"/>
          <w:bCs w:val="0"/>
        </w:rPr>
      </w:pPr>
    </w:p>
    <w:p w:rsidR="008A5F04" w:rsidRDefault="008A5F04" w:rsidP="00867849">
      <w:pPr>
        <w:pStyle w:val="BodyText"/>
        <w:tabs>
          <w:tab w:val="left" w:pos="720"/>
        </w:tabs>
        <w:spacing w:line="480" w:lineRule="auto"/>
        <w:ind w:right="-54" w:firstLine="720"/>
        <w:jc w:val="both"/>
        <w:rPr>
          <w:b w:val="0"/>
          <w:bCs w:val="0"/>
        </w:rPr>
      </w:pPr>
      <w:r>
        <w:rPr>
          <w:b w:val="0"/>
          <w:bCs w:val="0"/>
        </w:rPr>
        <w:t>And with regard to the determination of retail rates on a prospective basis, the Commission stated in the PP&amp;L Order as follows:</w:t>
      </w:r>
    </w:p>
    <w:p w:rsidR="008A5F04" w:rsidRDefault="008A5F04" w:rsidP="008A5F04">
      <w:pPr>
        <w:pStyle w:val="BodyText"/>
        <w:tabs>
          <w:tab w:val="left" w:pos="720"/>
        </w:tabs>
        <w:spacing w:line="240" w:lineRule="auto"/>
        <w:ind w:left="720" w:right="-58"/>
        <w:jc w:val="both"/>
        <w:rPr>
          <w:b w:val="0"/>
          <w:bCs w:val="0"/>
        </w:rPr>
      </w:pPr>
      <w:r>
        <w:rPr>
          <w:b w:val="0"/>
          <w:bCs w:val="0"/>
        </w:rPr>
        <w:t xml:space="preserve">In statutory parlance, whenever the Commission finds, after a hearing, that a utilities rates are “unjust, unreasonable, unjustly discriminatory or unduly preferential,” or that its rates “are insufficient to yield a reasonable compensation” to the utility, the </w:t>
      </w:r>
      <w:r>
        <w:rPr>
          <w:b w:val="0"/>
          <w:bCs w:val="0"/>
        </w:rPr>
        <w:lastRenderedPageBreak/>
        <w:t xml:space="preserve">Commission must “determine the just, reasonable, or sufficient rates” </w:t>
      </w:r>
      <w:r w:rsidRPr="008A5F04">
        <w:rPr>
          <w:b w:val="0"/>
          <w:bCs w:val="0"/>
          <w:u w:val="single"/>
        </w:rPr>
        <w:t>to be effective prospectively</w:t>
      </w:r>
      <w:r>
        <w:rPr>
          <w:b w:val="0"/>
          <w:bCs w:val="0"/>
        </w:rPr>
        <w:t>. (emphasis added)  (Order 08, paragraph 18, Docket UE-140762)</w:t>
      </w:r>
    </w:p>
    <w:p w:rsidR="008A5F04" w:rsidRDefault="008A5F04" w:rsidP="00867849">
      <w:pPr>
        <w:pStyle w:val="BodyText"/>
        <w:tabs>
          <w:tab w:val="left" w:pos="720"/>
        </w:tabs>
        <w:spacing w:line="480" w:lineRule="auto"/>
        <w:ind w:right="-54" w:firstLine="720"/>
        <w:jc w:val="both"/>
        <w:rPr>
          <w:b w:val="0"/>
          <w:bCs w:val="0"/>
        </w:rPr>
      </w:pPr>
    </w:p>
    <w:p w:rsidR="0046408A" w:rsidRPr="00424C4F" w:rsidRDefault="00F03F80" w:rsidP="00867849">
      <w:pPr>
        <w:pStyle w:val="BodyText"/>
        <w:tabs>
          <w:tab w:val="left" w:pos="720"/>
        </w:tabs>
        <w:spacing w:line="480" w:lineRule="auto"/>
        <w:ind w:right="-54" w:firstLine="720"/>
        <w:jc w:val="both"/>
        <w:rPr>
          <w:bCs w:val="0"/>
        </w:rPr>
      </w:pPr>
      <w:r w:rsidRPr="00424C4F">
        <w:rPr>
          <w:bCs w:val="0"/>
        </w:rPr>
        <w:t>Q.</w:t>
      </w:r>
      <w:r w:rsidRPr="00424C4F">
        <w:rPr>
          <w:bCs w:val="0"/>
        </w:rPr>
        <w:tab/>
      </w:r>
      <w:r w:rsidR="001855BF" w:rsidRPr="00424C4F">
        <w:rPr>
          <w:bCs w:val="0"/>
        </w:rPr>
        <w:t>On page 15</w:t>
      </w:r>
      <w:r w:rsidR="00BB2802">
        <w:rPr>
          <w:bCs w:val="0"/>
        </w:rPr>
        <w:t xml:space="preserve"> of her testimony (Exhibit No.___</w:t>
      </w:r>
      <w:r w:rsidR="008304AE">
        <w:rPr>
          <w:bCs w:val="0"/>
        </w:rPr>
        <w:t>(</w:t>
      </w:r>
      <w:proofErr w:type="spellStart"/>
      <w:r w:rsidR="00BB2802">
        <w:rPr>
          <w:bCs w:val="0"/>
        </w:rPr>
        <w:t>D</w:t>
      </w:r>
      <w:r w:rsidR="00040C48">
        <w:rPr>
          <w:bCs w:val="0"/>
        </w:rPr>
        <w:t>MR</w:t>
      </w:r>
      <w:proofErr w:type="spellEnd"/>
      <w:r w:rsidR="00BB2802">
        <w:rPr>
          <w:bCs w:val="0"/>
        </w:rPr>
        <w:t>-1T</w:t>
      </w:r>
      <w:r w:rsidR="008304AE">
        <w:rPr>
          <w:bCs w:val="0"/>
        </w:rPr>
        <w:t>)</w:t>
      </w:r>
      <w:r w:rsidR="00BB2802">
        <w:rPr>
          <w:bCs w:val="0"/>
        </w:rPr>
        <w:t>)</w:t>
      </w:r>
      <w:r w:rsidR="001855BF" w:rsidRPr="00424C4F">
        <w:rPr>
          <w:bCs w:val="0"/>
        </w:rPr>
        <w:t>, beginning on line 4, Ms. Ramas suggests that Avista could file an E</w:t>
      </w:r>
      <w:r w:rsidR="00424C4F">
        <w:rPr>
          <w:bCs w:val="0"/>
        </w:rPr>
        <w:t>RF filing</w:t>
      </w:r>
      <w:r w:rsidR="004769F6">
        <w:rPr>
          <w:bCs w:val="0"/>
        </w:rPr>
        <w:t xml:space="preserve"> to address attrition and states</w:t>
      </w:r>
      <w:r w:rsidR="00424C4F">
        <w:rPr>
          <w:bCs w:val="0"/>
        </w:rPr>
        <w:t>:</w:t>
      </w:r>
      <w:r w:rsidR="001855BF" w:rsidRPr="00424C4F">
        <w:rPr>
          <w:bCs w:val="0"/>
        </w:rPr>
        <w:t xml:space="preserve">  “Additionally, it is my understanding that Avista could request an Expedited Rate Filing (ERF).  Use of an ERF would reduce regulatory lag if Avista does end up experiencing attrition in future periods.”  What is your response to this testimony?</w:t>
      </w:r>
    </w:p>
    <w:p w:rsidR="00727C19" w:rsidRDefault="001855BF" w:rsidP="00727C19">
      <w:pPr>
        <w:pStyle w:val="BodyTextIndent"/>
        <w:tabs>
          <w:tab w:val="left" w:pos="1440"/>
        </w:tabs>
        <w:spacing w:after="0" w:line="480" w:lineRule="auto"/>
        <w:ind w:left="0" w:right="-54" w:firstLine="720"/>
        <w:jc w:val="both"/>
        <w:rPr>
          <w:rStyle w:val="LineNumber"/>
          <w:b/>
          <w:bCs/>
        </w:rPr>
      </w:pPr>
      <w:r w:rsidRPr="00727C19">
        <w:rPr>
          <w:bCs/>
        </w:rPr>
        <w:t>A.</w:t>
      </w:r>
      <w:r w:rsidRPr="00727C19">
        <w:rPr>
          <w:bCs/>
        </w:rPr>
        <w:tab/>
      </w:r>
      <w:r w:rsidR="00424C4F" w:rsidRPr="00727C19">
        <w:rPr>
          <w:bCs/>
        </w:rPr>
        <w:t xml:space="preserve">As I </w:t>
      </w:r>
      <w:r w:rsidR="00727C19">
        <w:rPr>
          <w:bCs/>
        </w:rPr>
        <w:t xml:space="preserve">explained earlier, there </w:t>
      </w:r>
      <w:r w:rsidR="006023DC">
        <w:rPr>
          <w:bCs/>
        </w:rPr>
        <w:t>a</w:t>
      </w:r>
      <w:r w:rsidR="00727C19">
        <w:rPr>
          <w:bCs/>
        </w:rPr>
        <w:t>re</w:t>
      </w:r>
      <w:r w:rsidR="00424C4F" w:rsidRPr="00727C19">
        <w:rPr>
          <w:bCs/>
        </w:rPr>
        <w:t xml:space="preserve"> two </w:t>
      </w:r>
      <w:r w:rsidR="00727C19">
        <w:rPr>
          <w:bCs/>
        </w:rPr>
        <w:t xml:space="preserve">steps or </w:t>
      </w:r>
      <w:r w:rsidR="00424C4F" w:rsidRPr="00727C19">
        <w:rPr>
          <w:bCs/>
        </w:rPr>
        <w:t>components to Puget’</w:t>
      </w:r>
      <w:r w:rsidR="00530A74">
        <w:rPr>
          <w:bCs/>
        </w:rPr>
        <w:t>s ERF filing.  The first step i</w:t>
      </w:r>
      <w:r w:rsidR="00424C4F" w:rsidRPr="00727C19">
        <w:rPr>
          <w:bCs/>
        </w:rPr>
        <w:t xml:space="preserve">s to </w:t>
      </w:r>
      <w:r w:rsidR="00727C19">
        <w:rPr>
          <w:rStyle w:val="LineNumber"/>
        </w:rPr>
        <w:t>review</w:t>
      </w:r>
      <w:r w:rsidR="00727C19" w:rsidRPr="00727C19">
        <w:rPr>
          <w:rStyle w:val="LineNumber"/>
        </w:rPr>
        <w:t xml:space="preserve"> the historical test year to determine whether the</w:t>
      </w:r>
      <w:r w:rsidR="00727C19">
        <w:rPr>
          <w:rStyle w:val="LineNumber"/>
        </w:rPr>
        <w:t xml:space="preserve"> utility under-earned or over-earned on a normalized basis during that historical period.  The revenue adjustment necessary for the utility to earn its authorized rate of return </w:t>
      </w:r>
      <w:r w:rsidR="00727C19" w:rsidRPr="00727C19">
        <w:rPr>
          <w:rStyle w:val="LineNumber"/>
          <w:u w:val="single"/>
        </w:rPr>
        <w:t>for that historical period</w:t>
      </w:r>
      <w:r w:rsidR="00FA49AA">
        <w:rPr>
          <w:rStyle w:val="LineNumber"/>
        </w:rPr>
        <w:t xml:space="preserve"> is then calculated.  S</w:t>
      </w:r>
      <w:r w:rsidR="00727C19">
        <w:rPr>
          <w:rStyle w:val="LineNumber"/>
        </w:rPr>
        <w:t xml:space="preserve">etting </w:t>
      </w:r>
      <w:r w:rsidR="00727C19" w:rsidRPr="00727C19">
        <w:rPr>
          <w:rStyle w:val="LineNumber"/>
          <w:u w:val="single"/>
        </w:rPr>
        <w:t>prospective rates</w:t>
      </w:r>
      <w:r w:rsidR="00727C19">
        <w:rPr>
          <w:rStyle w:val="LineNumber"/>
        </w:rPr>
        <w:t xml:space="preserve"> through use of </w:t>
      </w:r>
      <w:r w:rsidR="00727C19" w:rsidRPr="00727C19">
        <w:rPr>
          <w:rStyle w:val="LineNumber"/>
          <w:u w:val="single"/>
        </w:rPr>
        <w:t>historical costs</w:t>
      </w:r>
      <w:r w:rsidR="00727C19">
        <w:rPr>
          <w:rStyle w:val="LineNumber"/>
        </w:rPr>
        <w:t xml:space="preserve"> through these ERF calculations would </w:t>
      </w:r>
      <w:r w:rsidR="00FA49AA">
        <w:rPr>
          <w:rStyle w:val="LineNumber"/>
        </w:rPr>
        <w:t xml:space="preserve">not </w:t>
      </w:r>
      <w:r w:rsidR="00727C19">
        <w:rPr>
          <w:rStyle w:val="LineNumber"/>
        </w:rPr>
        <w:t>address the attrition problem in an environment where, as we have demonstrated, annual costs and investment are growing at a faster pace than rev</w:t>
      </w:r>
      <w:r w:rsidR="00FA49AA">
        <w:rPr>
          <w:rStyle w:val="LineNumber"/>
        </w:rPr>
        <w:t>enues.</w:t>
      </w:r>
    </w:p>
    <w:p w:rsidR="001855BF" w:rsidRDefault="00727C19" w:rsidP="006F6837">
      <w:pPr>
        <w:pStyle w:val="BodyTextIndent"/>
        <w:tabs>
          <w:tab w:val="left" w:pos="1440"/>
        </w:tabs>
        <w:spacing w:after="0" w:line="480" w:lineRule="auto"/>
        <w:ind w:left="0" w:right="-54" w:firstLine="720"/>
        <w:jc w:val="both"/>
        <w:rPr>
          <w:rStyle w:val="LineNumber"/>
        </w:rPr>
      </w:pPr>
      <w:r w:rsidRPr="002D28F0">
        <w:rPr>
          <w:bCs/>
        </w:rPr>
        <w:t>If, however, Ms. Ramas</w:t>
      </w:r>
      <w:r w:rsidR="002F4A68">
        <w:rPr>
          <w:bCs/>
        </w:rPr>
        <w:t>’ intention</w:t>
      </w:r>
      <w:r w:rsidRPr="002D28F0">
        <w:rPr>
          <w:bCs/>
        </w:rPr>
        <w:t xml:space="preserve"> in her testimony</w:t>
      </w:r>
      <w:r w:rsidR="006F6837">
        <w:rPr>
          <w:bCs/>
        </w:rPr>
        <w:t xml:space="preserve"> was</w:t>
      </w:r>
      <w:r w:rsidR="002D28F0" w:rsidRPr="002D28F0">
        <w:rPr>
          <w:bCs/>
        </w:rPr>
        <w:t xml:space="preserve"> that</w:t>
      </w:r>
      <w:r w:rsidRPr="002D28F0">
        <w:rPr>
          <w:bCs/>
        </w:rPr>
        <w:t xml:space="preserve"> the second component of Puget’s ERF Filing, the K-Factor, would then be applied prospectively to the historical test period numbers, then that would lead us right </w:t>
      </w:r>
      <w:r w:rsidR="002D28F0" w:rsidRPr="002D28F0">
        <w:rPr>
          <w:bCs/>
        </w:rPr>
        <w:t xml:space="preserve">back </w:t>
      </w:r>
      <w:r w:rsidRPr="002D28F0">
        <w:rPr>
          <w:bCs/>
        </w:rPr>
        <w:t xml:space="preserve">to an attrition analysis.  </w:t>
      </w:r>
      <w:r w:rsidR="002D28F0" w:rsidRPr="002D28F0">
        <w:rPr>
          <w:bCs/>
        </w:rPr>
        <w:t xml:space="preserve">As explained earlier, </w:t>
      </w:r>
      <w:r w:rsidR="002D28F0" w:rsidRPr="002D28F0">
        <w:rPr>
          <w:rStyle w:val="LineNumber"/>
          <w:u w:val="single"/>
        </w:rPr>
        <w:t>trends in the growth rates of rate base, expenses, and</w:t>
      </w:r>
      <w:r w:rsidR="002D28F0" w:rsidRPr="00B037D6">
        <w:rPr>
          <w:rStyle w:val="LineNumber"/>
          <w:u w:val="single"/>
        </w:rPr>
        <w:t xml:space="preserve"> revenues over time</w:t>
      </w:r>
      <w:r w:rsidR="002D28F0">
        <w:rPr>
          <w:rStyle w:val="LineNumber"/>
        </w:rPr>
        <w:t xml:space="preserve"> are assessed to determine a K-Factor.  The historical </w:t>
      </w:r>
      <w:r w:rsidR="00576C22">
        <w:rPr>
          <w:rStyle w:val="LineNumber"/>
        </w:rPr>
        <w:t>test year</w:t>
      </w:r>
      <w:r w:rsidR="002D28F0">
        <w:rPr>
          <w:rStyle w:val="LineNumber"/>
        </w:rPr>
        <w:t xml:space="preserve"> revenue per customer is escalated by this K-Factor for the number of years from the hi</w:t>
      </w:r>
      <w:r w:rsidR="003843A7">
        <w:rPr>
          <w:rStyle w:val="LineNumber"/>
        </w:rPr>
        <w:t>storical test year to the prospective</w:t>
      </w:r>
      <w:r w:rsidR="002D28F0">
        <w:rPr>
          <w:rStyle w:val="LineNumber"/>
        </w:rPr>
        <w:t xml:space="preserve"> rate year, which provides incr</w:t>
      </w:r>
      <w:r w:rsidR="006F6837">
        <w:rPr>
          <w:rStyle w:val="LineNumber"/>
        </w:rPr>
        <w:t>eased revenues to the utility</w:t>
      </w:r>
      <w:r w:rsidR="006F6837" w:rsidRPr="006F6837">
        <w:rPr>
          <w:rStyle w:val="LineNumber"/>
        </w:rPr>
        <w:t xml:space="preserve">.  </w:t>
      </w:r>
      <w:r w:rsidR="002D28F0" w:rsidRPr="006F6837">
        <w:rPr>
          <w:rStyle w:val="LineNumber"/>
        </w:rPr>
        <w:t>Similar to the attrition adjustment produced</w:t>
      </w:r>
      <w:r w:rsidR="003843A7">
        <w:rPr>
          <w:rStyle w:val="LineNumber"/>
        </w:rPr>
        <w:t xml:space="preserve"> by the attrition study, the K-F</w:t>
      </w:r>
      <w:r w:rsidR="002D28F0" w:rsidRPr="006F6837">
        <w:rPr>
          <w:rStyle w:val="LineNumber"/>
        </w:rPr>
        <w:t xml:space="preserve">actor </w:t>
      </w:r>
      <w:r w:rsidR="006F6837">
        <w:rPr>
          <w:rStyle w:val="LineNumber"/>
        </w:rPr>
        <w:t>analysis</w:t>
      </w:r>
      <w:r w:rsidR="002D28F0" w:rsidRPr="006F6837">
        <w:rPr>
          <w:rStyle w:val="LineNumber"/>
        </w:rPr>
        <w:t xml:space="preserve"> determines the revenue increase necessary </w:t>
      </w:r>
      <w:r w:rsidR="00576C22">
        <w:rPr>
          <w:rStyle w:val="LineNumber"/>
        </w:rPr>
        <w:t xml:space="preserve">for </w:t>
      </w:r>
      <w:r w:rsidR="00576C22">
        <w:rPr>
          <w:rStyle w:val="LineNumber"/>
        </w:rPr>
        <w:lastRenderedPageBreak/>
        <w:t xml:space="preserve">the utility </w:t>
      </w:r>
      <w:r w:rsidR="002D28F0" w:rsidRPr="006F6837">
        <w:rPr>
          <w:rStyle w:val="LineNumber"/>
        </w:rPr>
        <w:t>to earn the proposed rate of return during the prospective rate year, accounting for the fact that rate base and expenses will grow at a faster pace than revenue.</w:t>
      </w:r>
    </w:p>
    <w:p w:rsidR="001339D0" w:rsidRPr="009B6386" w:rsidRDefault="001339D0" w:rsidP="006F6837">
      <w:pPr>
        <w:pStyle w:val="BodyTextIndent"/>
        <w:tabs>
          <w:tab w:val="left" w:pos="1440"/>
        </w:tabs>
        <w:spacing w:after="0" w:line="480" w:lineRule="auto"/>
        <w:ind w:left="0" w:right="-54" w:firstLine="720"/>
        <w:jc w:val="both"/>
        <w:rPr>
          <w:rStyle w:val="LineNumber"/>
          <w:b/>
        </w:rPr>
      </w:pPr>
      <w:r w:rsidRPr="009B6386">
        <w:rPr>
          <w:rStyle w:val="LineNumber"/>
          <w:b/>
        </w:rPr>
        <w:t>Q.</w:t>
      </w:r>
      <w:r w:rsidRPr="009B6386">
        <w:rPr>
          <w:rStyle w:val="LineNumber"/>
          <w:b/>
        </w:rPr>
        <w:tab/>
        <w:t>On page 9 of his testimony</w:t>
      </w:r>
      <w:r w:rsidR="00025AFC">
        <w:rPr>
          <w:rStyle w:val="LineNumber"/>
          <w:b/>
        </w:rPr>
        <w:t xml:space="preserve"> (Exhibit No.</w:t>
      </w:r>
      <w:r w:rsidR="008304AE">
        <w:rPr>
          <w:rStyle w:val="LineNumber"/>
          <w:b/>
        </w:rPr>
        <w:t>___(</w:t>
      </w:r>
      <w:r w:rsidR="00025AFC">
        <w:rPr>
          <w:rStyle w:val="LineNumber"/>
          <w:b/>
        </w:rPr>
        <w:t>BGM-1T</w:t>
      </w:r>
      <w:r w:rsidR="008304AE">
        <w:rPr>
          <w:rStyle w:val="LineNumber"/>
          <w:b/>
        </w:rPr>
        <w:t>)</w:t>
      </w:r>
      <w:r w:rsidR="00025AFC">
        <w:rPr>
          <w:rStyle w:val="LineNumber"/>
          <w:b/>
        </w:rPr>
        <w:t>)</w:t>
      </w:r>
      <w:r w:rsidRPr="009B6386">
        <w:rPr>
          <w:rStyle w:val="LineNumber"/>
          <w:b/>
        </w:rPr>
        <w:t>, beginning on line 14, Mr. Mullins states that, “by filing annual rate cases, the Company is mitigating the impact of regulatory lag and the need for extraordinary relief through an attrition adjustment.”</w:t>
      </w:r>
      <w:r w:rsidR="009B6386">
        <w:rPr>
          <w:rStyle w:val="LineNumber"/>
          <w:b/>
        </w:rPr>
        <w:t xml:space="preserve">  Do you agree?</w:t>
      </w:r>
    </w:p>
    <w:p w:rsidR="00462D28" w:rsidRDefault="001339D0" w:rsidP="00462D28">
      <w:pPr>
        <w:pStyle w:val="BodyTextIndent"/>
        <w:tabs>
          <w:tab w:val="left" w:pos="1440"/>
        </w:tabs>
        <w:spacing w:after="0" w:line="480" w:lineRule="auto"/>
        <w:ind w:left="0" w:right="-54" w:firstLine="720"/>
        <w:jc w:val="both"/>
        <w:rPr>
          <w:rStyle w:val="LineNumber"/>
          <w:b/>
          <w:bCs/>
        </w:rPr>
      </w:pPr>
      <w:r>
        <w:rPr>
          <w:rStyle w:val="LineNumber"/>
        </w:rPr>
        <w:t>A.</w:t>
      </w:r>
      <w:r>
        <w:rPr>
          <w:rStyle w:val="LineNumber"/>
        </w:rPr>
        <w:tab/>
      </w:r>
      <w:r w:rsidR="009B6386">
        <w:rPr>
          <w:rStyle w:val="LineNumber"/>
        </w:rPr>
        <w:t xml:space="preserve">No.  Mitigating attrition has </w:t>
      </w:r>
      <w:r w:rsidR="00A46F96">
        <w:rPr>
          <w:rStyle w:val="LineNumber"/>
        </w:rPr>
        <w:t>less</w:t>
      </w:r>
      <w:r w:rsidR="009B6386">
        <w:rPr>
          <w:rStyle w:val="LineNumber"/>
        </w:rPr>
        <w:t xml:space="preserve"> to do with the timing and frequency of gen</w:t>
      </w:r>
      <w:r w:rsidR="00A46F96">
        <w:rPr>
          <w:rStyle w:val="LineNumber"/>
        </w:rPr>
        <w:t>eral rate case filings, and more</w:t>
      </w:r>
      <w:r w:rsidR="009B6386">
        <w:rPr>
          <w:rStyle w:val="LineNumber"/>
        </w:rPr>
        <w:t xml:space="preserve"> to do with the effectiveness of </w:t>
      </w:r>
      <w:r w:rsidR="00D9007E">
        <w:rPr>
          <w:rStyle w:val="LineNumber"/>
        </w:rPr>
        <w:t>the methods used to establish retail rates for</w:t>
      </w:r>
      <w:r w:rsidR="009B6386">
        <w:rPr>
          <w:rStyle w:val="LineNumber"/>
        </w:rPr>
        <w:t xml:space="preserve"> the prospective rate period.  </w:t>
      </w:r>
      <w:r w:rsidR="00302BF3">
        <w:rPr>
          <w:rStyle w:val="LineNumber"/>
        </w:rPr>
        <w:t xml:space="preserve">As explained immediately above, </w:t>
      </w:r>
      <w:r w:rsidR="00462D28">
        <w:rPr>
          <w:rStyle w:val="LineNumber"/>
        </w:rPr>
        <w:t xml:space="preserve">irrespective of the frequency of the rate cases, if </w:t>
      </w:r>
      <w:r w:rsidR="00462D28" w:rsidRPr="00727C19">
        <w:rPr>
          <w:rStyle w:val="LineNumber"/>
          <w:u w:val="single"/>
        </w:rPr>
        <w:t>prospective rates</w:t>
      </w:r>
      <w:r w:rsidR="00462D28">
        <w:rPr>
          <w:rStyle w:val="LineNumber"/>
        </w:rPr>
        <w:t xml:space="preserve"> </w:t>
      </w:r>
      <w:r w:rsidR="00A46F96">
        <w:rPr>
          <w:rStyle w:val="LineNumber"/>
        </w:rPr>
        <w:t>are established using</w:t>
      </w:r>
      <w:r w:rsidR="00462D28">
        <w:rPr>
          <w:rStyle w:val="LineNumber"/>
        </w:rPr>
        <w:t xml:space="preserve"> </w:t>
      </w:r>
      <w:r w:rsidR="00462D28" w:rsidRPr="00727C19">
        <w:rPr>
          <w:rStyle w:val="LineNumber"/>
          <w:u w:val="single"/>
        </w:rPr>
        <w:t>historical costs</w:t>
      </w:r>
      <w:r w:rsidR="00462D28" w:rsidRPr="00A46F96">
        <w:rPr>
          <w:rStyle w:val="LineNumber"/>
          <w:u w:val="single"/>
        </w:rPr>
        <w:t xml:space="preserve"> with limited pro forma adjustments</w:t>
      </w:r>
      <w:r w:rsidR="00462D28">
        <w:rPr>
          <w:rStyle w:val="LineNumber"/>
        </w:rPr>
        <w:t>, it will result in insufficient revenues for the Company in the current and future environment where annual costs and investment are growing at a faster pace than revenues.</w:t>
      </w:r>
      <w:r w:rsidR="001C588F">
        <w:rPr>
          <w:rStyle w:val="LineNumber"/>
        </w:rPr>
        <w:t xml:space="preserve">  The analysis presented in these Dockets by Avista and the </w:t>
      </w:r>
      <w:r w:rsidR="00EB2427">
        <w:rPr>
          <w:rStyle w:val="LineNumber"/>
        </w:rPr>
        <w:t>Staff</w:t>
      </w:r>
      <w:r w:rsidR="001C588F">
        <w:rPr>
          <w:rStyle w:val="LineNumber"/>
        </w:rPr>
        <w:t xml:space="preserve"> confirm this.</w:t>
      </w:r>
    </w:p>
    <w:p w:rsidR="00321259" w:rsidRPr="00F97FE3" w:rsidRDefault="00FA0C7E" w:rsidP="00867849">
      <w:pPr>
        <w:pStyle w:val="BodyText"/>
        <w:tabs>
          <w:tab w:val="left" w:pos="720"/>
        </w:tabs>
        <w:spacing w:line="480" w:lineRule="auto"/>
        <w:ind w:right="-54" w:firstLine="720"/>
        <w:jc w:val="both"/>
        <w:rPr>
          <w:bCs w:val="0"/>
        </w:rPr>
      </w:pPr>
      <w:r w:rsidRPr="00F97FE3">
        <w:rPr>
          <w:bCs w:val="0"/>
        </w:rPr>
        <w:t>Q.</w:t>
      </w:r>
      <w:r w:rsidRPr="00F97FE3">
        <w:rPr>
          <w:bCs w:val="0"/>
        </w:rPr>
        <w:tab/>
        <w:t>On page 22 of her testimony</w:t>
      </w:r>
      <w:r w:rsidR="00040C48">
        <w:rPr>
          <w:bCs w:val="0"/>
        </w:rPr>
        <w:t xml:space="preserve"> (Exhibit No.___</w:t>
      </w:r>
      <w:r w:rsidR="008304AE">
        <w:rPr>
          <w:bCs w:val="0"/>
        </w:rPr>
        <w:t>(</w:t>
      </w:r>
      <w:proofErr w:type="spellStart"/>
      <w:r w:rsidR="00040C48">
        <w:rPr>
          <w:bCs w:val="0"/>
        </w:rPr>
        <w:t>DMR</w:t>
      </w:r>
      <w:proofErr w:type="spellEnd"/>
      <w:r w:rsidR="00040C48">
        <w:rPr>
          <w:bCs w:val="0"/>
        </w:rPr>
        <w:t>-1T</w:t>
      </w:r>
      <w:r w:rsidR="008304AE">
        <w:rPr>
          <w:bCs w:val="0"/>
        </w:rPr>
        <w:t>)</w:t>
      </w:r>
      <w:r w:rsidR="00040C48">
        <w:rPr>
          <w:bCs w:val="0"/>
        </w:rPr>
        <w:t>)</w:t>
      </w:r>
      <w:r w:rsidRPr="00F97FE3">
        <w:rPr>
          <w:bCs w:val="0"/>
        </w:rPr>
        <w:t>, beginning on line 12, Ms. Ramas suggests that decoupling, the Purchased Gas Adjustment (PGA), and the Energy Recovery Mechanism (ERM) will “offset</w:t>
      </w:r>
      <w:r w:rsidR="00605143" w:rsidRPr="00F97FE3">
        <w:rPr>
          <w:bCs w:val="0"/>
        </w:rPr>
        <w:t xml:space="preserve"> the impacts of attrition and potential regulatory lag.”  Do you agree?</w:t>
      </w:r>
    </w:p>
    <w:p w:rsidR="00F97FE3" w:rsidRDefault="00605143" w:rsidP="00867849">
      <w:pPr>
        <w:pStyle w:val="BodyText"/>
        <w:tabs>
          <w:tab w:val="left" w:pos="720"/>
        </w:tabs>
        <w:spacing w:line="480" w:lineRule="auto"/>
        <w:ind w:right="-54" w:firstLine="720"/>
        <w:jc w:val="both"/>
        <w:rPr>
          <w:b w:val="0"/>
          <w:bCs w:val="0"/>
        </w:rPr>
      </w:pPr>
      <w:r>
        <w:rPr>
          <w:b w:val="0"/>
          <w:bCs w:val="0"/>
        </w:rPr>
        <w:t>A.</w:t>
      </w:r>
      <w:r>
        <w:rPr>
          <w:b w:val="0"/>
          <w:bCs w:val="0"/>
        </w:rPr>
        <w:tab/>
      </w:r>
      <w:r w:rsidR="00F97FE3">
        <w:rPr>
          <w:b w:val="0"/>
          <w:bCs w:val="0"/>
        </w:rPr>
        <w:t xml:space="preserve">No.  </w:t>
      </w:r>
      <w:r w:rsidR="00126C61">
        <w:rPr>
          <w:b w:val="0"/>
          <w:bCs w:val="0"/>
        </w:rPr>
        <w:t xml:space="preserve">Ms. Ramas apparently does not understand what decoupling, the PGA and the ERM are designed to do.  </w:t>
      </w:r>
      <w:r w:rsidR="00126C61" w:rsidRPr="00257AEE">
        <w:rPr>
          <w:b w:val="0"/>
          <w:bCs w:val="0"/>
          <w:u w:val="single"/>
        </w:rPr>
        <w:t>None</w:t>
      </w:r>
      <w:r w:rsidR="00126C61">
        <w:rPr>
          <w:b w:val="0"/>
          <w:bCs w:val="0"/>
        </w:rPr>
        <w:t xml:space="preserve"> of the mechanisms ha</w:t>
      </w:r>
      <w:r w:rsidR="005F4878">
        <w:rPr>
          <w:b w:val="0"/>
          <w:bCs w:val="0"/>
        </w:rPr>
        <w:t xml:space="preserve">ve anything to do with new rate </w:t>
      </w:r>
      <w:r w:rsidR="00126C61">
        <w:rPr>
          <w:b w:val="0"/>
          <w:bCs w:val="0"/>
        </w:rPr>
        <w:t xml:space="preserve">base investment, which is the primary driver of Avista’s attrition.  </w:t>
      </w:r>
      <w:r w:rsidR="00B83DB9">
        <w:rPr>
          <w:b w:val="0"/>
          <w:bCs w:val="0"/>
        </w:rPr>
        <w:t xml:space="preserve">No rate base items are tracked through decoupling, the PGA or the ERM.  </w:t>
      </w:r>
    </w:p>
    <w:p w:rsidR="00C03799" w:rsidRDefault="00B83DB9" w:rsidP="00867849">
      <w:pPr>
        <w:pStyle w:val="BodyText"/>
        <w:tabs>
          <w:tab w:val="left" w:pos="720"/>
        </w:tabs>
        <w:spacing w:line="480" w:lineRule="auto"/>
        <w:ind w:right="-54" w:firstLine="720"/>
        <w:jc w:val="both"/>
        <w:rPr>
          <w:b w:val="0"/>
          <w:bCs w:val="0"/>
        </w:rPr>
      </w:pPr>
      <w:r>
        <w:rPr>
          <w:b w:val="0"/>
          <w:bCs w:val="0"/>
        </w:rPr>
        <w:lastRenderedPageBreak/>
        <w:t>A secondary driver to attrition are the increases in utility operating costs</w:t>
      </w:r>
      <w:r w:rsidR="00025AFC">
        <w:rPr>
          <w:b w:val="0"/>
          <w:bCs w:val="0"/>
        </w:rPr>
        <w:t>,</w:t>
      </w:r>
      <w:r>
        <w:rPr>
          <w:b w:val="0"/>
          <w:bCs w:val="0"/>
        </w:rPr>
        <w:t xml:space="preserve"> excluding power supply costs and natural gas commodity costs.  None of these utility operating costs are tracked through deco</w:t>
      </w:r>
      <w:r w:rsidR="00F97FE3">
        <w:rPr>
          <w:b w:val="0"/>
          <w:bCs w:val="0"/>
        </w:rPr>
        <w:t>upling, the PGA or the ERM</w:t>
      </w:r>
      <w:r>
        <w:rPr>
          <w:b w:val="0"/>
          <w:bCs w:val="0"/>
        </w:rPr>
        <w:t>.  The</w:t>
      </w:r>
      <w:r w:rsidR="005F4878">
        <w:rPr>
          <w:b w:val="0"/>
          <w:bCs w:val="0"/>
        </w:rPr>
        <w:t xml:space="preserve"> PGA</w:t>
      </w:r>
      <w:r>
        <w:rPr>
          <w:b w:val="0"/>
          <w:bCs w:val="0"/>
        </w:rPr>
        <w:t xml:space="preserve"> mechanism operate</w:t>
      </w:r>
      <w:r w:rsidR="005F4878">
        <w:rPr>
          <w:b w:val="0"/>
          <w:bCs w:val="0"/>
        </w:rPr>
        <w:t>s</w:t>
      </w:r>
      <w:r>
        <w:rPr>
          <w:b w:val="0"/>
          <w:bCs w:val="0"/>
        </w:rPr>
        <w:t xml:space="preserve"> independently of base natural gas retail rate</w:t>
      </w:r>
      <w:r w:rsidR="005F4878">
        <w:rPr>
          <w:b w:val="0"/>
          <w:bCs w:val="0"/>
        </w:rPr>
        <w:t>s</w:t>
      </w:r>
      <w:r w:rsidR="00F97FE3">
        <w:rPr>
          <w:b w:val="0"/>
          <w:bCs w:val="0"/>
        </w:rPr>
        <w:t>, and has no mitigating effect on attrition.</w:t>
      </w:r>
      <w:r>
        <w:rPr>
          <w:b w:val="0"/>
          <w:bCs w:val="0"/>
        </w:rPr>
        <w:t xml:space="preserve">  The ERM tracks differences in power supply costs (fuel, power contract costs, wholesale market price impacts, </w:t>
      </w:r>
      <w:r w:rsidR="005F4878">
        <w:rPr>
          <w:b w:val="0"/>
          <w:bCs w:val="0"/>
        </w:rPr>
        <w:t xml:space="preserve">etc.) between rate cases, and is independent of the drivers of attrition.  </w:t>
      </w:r>
    </w:p>
    <w:p w:rsidR="00126C61" w:rsidRDefault="005F4878" w:rsidP="00867849">
      <w:pPr>
        <w:pStyle w:val="BodyText"/>
        <w:tabs>
          <w:tab w:val="left" w:pos="720"/>
        </w:tabs>
        <w:spacing w:line="480" w:lineRule="auto"/>
        <w:ind w:right="-54" w:firstLine="720"/>
        <w:jc w:val="both"/>
        <w:rPr>
          <w:b w:val="0"/>
          <w:bCs w:val="0"/>
        </w:rPr>
      </w:pPr>
      <w:r>
        <w:rPr>
          <w:b w:val="0"/>
          <w:bCs w:val="0"/>
        </w:rPr>
        <w:t xml:space="preserve">The decoupling mechanism tracks changes in revenue directly related to variances in use-per-customer following a general rate case.  The decoupling adjustments true-up the actual retail revenues, after-the-fact, to what was originally </w:t>
      </w:r>
      <w:r w:rsidR="00025AFC">
        <w:rPr>
          <w:b w:val="0"/>
          <w:bCs w:val="0"/>
        </w:rPr>
        <w:t>approved</w:t>
      </w:r>
      <w:r>
        <w:rPr>
          <w:b w:val="0"/>
          <w:bCs w:val="0"/>
        </w:rPr>
        <w:t xml:space="preserve"> in the general rate case.  If the retail revenues established in the general rate case are</w:t>
      </w:r>
      <w:r w:rsidR="006023DC">
        <w:rPr>
          <w:b w:val="0"/>
          <w:bCs w:val="0"/>
        </w:rPr>
        <w:t>, for example,</w:t>
      </w:r>
      <w:r>
        <w:rPr>
          <w:b w:val="0"/>
          <w:bCs w:val="0"/>
        </w:rPr>
        <w:t xml:space="preserve"> set too low (i.e., excluding the impacts of attrition), the decoupling mechanism </w:t>
      </w:r>
      <w:r w:rsidR="00651B8C">
        <w:rPr>
          <w:b w:val="0"/>
          <w:bCs w:val="0"/>
        </w:rPr>
        <w:t>will simply true</w:t>
      </w:r>
      <w:r>
        <w:rPr>
          <w:b w:val="0"/>
          <w:bCs w:val="0"/>
        </w:rPr>
        <w:t xml:space="preserve">-up the actual revenues to the </w:t>
      </w:r>
      <w:r w:rsidR="00106F2F">
        <w:rPr>
          <w:b w:val="0"/>
          <w:bCs w:val="0"/>
        </w:rPr>
        <w:t>orig</w:t>
      </w:r>
      <w:r w:rsidR="00257AEE">
        <w:rPr>
          <w:b w:val="0"/>
          <w:bCs w:val="0"/>
        </w:rPr>
        <w:t>inally-established</w:t>
      </w:r>
      <w:r>
        <w:rPr>
          <w:b w:val="0"/>
          <w:bCs w:val="0"/>
        </w:rPr>
        <w:t xml:space="preserve"> revenues set in the rate case</w:t>
      </w:r>
      <w:r w:rsidR="00257AEE">
        <w:rPr>
          <w:b w:val="0"/>
          <w:bCs w:val="0"/>
        </w:rPr>
        <w:t>, which are too low</w:t>
      </w:r>
      <w:r>
        <w:rPr>
          <w:b w:val="0"/>
          <w:bCs w:val="0"/>
        </w:rPr>
        <w:t xml:space="preserve">.  Decoupling does not mitigate attrition. </w:t>
      </w:r>
    </w:p>
    <w:p w:rsidR="00B3407F" w:rsidRPr="00B3407F" w:rsidRDefault="00B3407F" w:rsidP="00B3407F">
      <w:pPr>
        <w:pStyle w:val="BodyText"/>
        <w:tabs>
          <w:tab w:val="left" w:pos="720"/>
        </w:tabs>
        <w:spacing w:line="480" w:lineRule="auto"/>
        <w:ind w:right="-54" w:firstLine="720"/>
        <w:jc w:val="both"/>
        <w:rPr>
          <w:bCs w:val="0"/>
        </w:rPr>
      </w:pPr>
      <w:r w:rsidRPr="00B3407F">
        <w:rPr>
          <w:bCs w:val="0"/>
        </w:rPr>
        <w:t>Q.</w:t>
      </w:r>
      <w:r w:rsidRPr="00B3407F">
        <w:rPr>
          <w:bCs w:val="0"/>
        </w:rPr>
        <w:tab/>
        <w:t>On page 11 of his testimony</w:t>
      </w:r>
      <w:r w:rsidR="00025AFC">
        <w:rPr>
          <w:bCs w:val="0"/>
        </w:rPr>
        <w:t xml:space="preserve"> </w:t>
      </w:r>
      <w:r w:rsidR="00025AFC" w:rsidRPr="00025AFC">
        <w:rPr>
          <w:rStyle w:val="LineNumber"/>
        </w:rPr>
        <w:t>(Exhibit No.</w:t>
      </w:r>
      <w:r w:rsidR="004D1F1B">
        <w:rPr>
          <w:rStyle w:val="LineNumber"/>
        </w:rPr>
        <w:t>___(</w:t>
      </w:r>
      <w:r w:rsidR="00025AFC" w:rsidRPr="00025AFC">
        <w:rPr>
          <w:rStyle w:val="LineNumber"/>
        </w:rPr>
        <w:t>BGM-1T</w:t>
      </w:r>
      <w:r w:rsidR="004D1F1B">
        <w:rPr>
          <w:rStyle w:val="LineNumber"/>
        </w:rPr>
        <w:t>)</w:t>
      </w:r>
      <w:r w:rsidR="00025AFC" w:rsidRPr="00025AFC">
        <w:rPr>
          <w:rStyle w:val="LineNumber"/>
        </w:rPr>
        <w:t>)</w:t>
      </w:r>
      <w:r w:rsidR="00025AFC">
        <w:rPr>
          <w:rStyle w:val="LineNumber"/>
          <w:b w:val="0"/>
        </w:rPr>
        <w:t>,</w:t>
      </w:r>
      <w:r w:rsidRPr="00B3407F">
        <w:rPr>
          <w:bCs w:val="0"/>
        </w:rPr>
        <w:t xml:space="preserve"> Mr. Mullins presents data showing the downward trend in natural gas commodity costs and suggests that this commodity cost trend is relevant to the attrition analysis in these Dockets. </w:t>
      </w:r>
      <w:r w:rsidR="00E231D0">
        <w:rPr>
          <w:bCs w:val="0"/>
        </w:rPr>
        <w:t xml:space="preserve"> H</w:t>
      </w:r>
      <w:r w:rsidRPr="00B3407F">
        <w:rPr>
          <w:bCs w:val="0"/>
        </w:rPr>
        <w:t>e makes reference to the “potentially illogical results that can occur by blindly relying on historical trends to establish a forecast.”  What is your response to this testimony?</w:t>
      </w:r>
    </w:p>
    <w:p w:rsidR="00B3407F" w:rsidRDefault="00B3407F" w:rsidP="00987B06">
      <w:pPr>
        <w:pStyle w:val="BodyText"/>
        <w:tabs>
          <w:tab w:val="left" w:pos="720"/>
        </w:tabs>
        <w:spacing w:line="480" w:lineRule="auto"/>
        <w:ind w:right="-54" w:firstLine="720"/>
        <w:jc w:val="both"/>
        <w:rPr>
          <w:b w:val="0"/>
          <w:bCs w:val="0"/>
        </w:rPr>
      </w:pPr>
      <w:r>
        <w:rPr>
          <w:b w:val="0"/>
          <w:bCs w:val="0"/>
        </w:rPr>
        <w:t>A.</w:t>
      </w:r>
      <w:r>
        <w:rPr>
          <w:b w:val="0"/>
          <w:bCs w:val="0"/>
        </w:rPr>
        <w:tab/>
      </w:r>
      <w:r w:rsidR="00527EA6">
        <w:rPr>
          <w:b w:val="0"/>
          <w:bCs w:val="0"/>
        </w:rPr>
        <w:t xml:space="preserve">First, the trend in </w:t>
      </w:r>
      <w:r w:rsidR="00527EA6" w:rsidRPr="006C6ADC">
        <w:rPr>
          <w:b w:val="0"/>
          <w:bCs w:val="0"/>
          <w:u w:val="single"/>
        </w:rPr>
        <w:t>commodity costs</w:t>
      </w:r>
      <w:r w:rsidR="00527EA6">
        <w:rPr>
          <w:b w:val="0"/>
          <w:bCs w:val="0"/>
        </w:rPr>
        <w:t>, up or down, has nothing to do with the attrition Avista is experiencing</w:t>
      </w:r>
      <w:r w:rsidR="00987B06">
        <w:rPr>
          <w:b w:val="0"/>
          <w:bCs w:val="0"/>
        </w:rPr>
        <w:t>.  As stated earlier, the primary driver of attrition is new capita</w:t>
      </w:r>
      <w:r w:rsidR="00E231D0">
        <w:rPr>
          <w:b w:val="0"/>
          <w:bCs w:val="0"/>
        </w:rPr>
        <w:t>l</w:t>
      </w:r>
      <w:r w:rsidR="00987B06">
        <w:rPr>
          <w:b w:val="0"/>
          <w:bCs w:val="0"/>
        </w:rPr>
        <w:t xml:space="preserve"> investment and increases in utility operating costs</w:t>
      </w:r>
      <w:r w:rsidR="00025AFC">
        <w:rPr>
          <w:b w:val="0"/>
          <w:bCs w:val="0"/>
        </w:rPr>
        <w:t>,</w:t>
      </w:r>
      <w:r w:rsidR="00987B06">
        <w:rPr>
          <w:b w:val="0"/>
          <w:bCs w:val="0"/>
        </w:rPr>
        <w:t xml:space="preserve"> excluding power supply</w:t>
      </w:r>
      <w:r w:rsidR="00E231D0">
        <w:rPr>
          <w:b w:val="0"/>
          <w:bCs w:val="0"/>
        </w:rPr>
        <w:t xml:space="preserve"> </w:t>
      </w:r>
      <w:r w:rsidR="00E231D0">
        <w:rPr>
          <w:b w:val="0"/>
          <w:bCs w:val="0"/>
        </w:rPr>
        <w:lastRenderedPageBreak/>
        <w:t>commodity</w:t>
      </w:r>
      <w:r w:rsidR="00987B06">
        <w:rPr>
          <w:b w:val="0"/>
          <w:bCs w:val="0"/>
        </w:rPr>
        <w:t xml:space="preserve"> costs and natural gas commodity costs.</w:t>
      </w:r>
      <w:r w:rsidR="00E231D0">
        <w:rPr>
          <w:b w:val="0"/>
          <w:bCs w:val="0"/>
        </w:rPr>
        <w:t xml:space="preserve">  Therefore, Mr. Mullins commodity cost trend is completely unrelated to the attrition issue.</w:t>
      </w:r>
    </w:p>
    <w:p w:rsidR="00E231D0" w:rsidRDefault="00E231D0" w:rsidP="00987B06">
      <w:pPr>
        <w:pStyle w:val="BodyText"/>
        <w:tabs>
          <w:tab w:val="left" w:pos="720"/>
        </w:tabs>
        <w:spacing w:line="480" w:lineRule="auto"/>
        <w:ind w:right="-54" w:firstLine="720"/>
        <w:jc w:val="both"/>
        <w:rPr>
          <w:b w:val="0"/>
          <w:bCs w:val="0"/>
        </w:rPr>
      </w:pPr>
      <w:r>
        <w:rPr>
          <w:b w:val="0"/>
          <w:bCs w:val="0"/>
        </w:rPr>
        <w:t xml:space="preserve">Second, as is evident in the pre-filed testimony and exhibits of Avista and the testimony and exhibits of the </w:t>
      </w:r>
      <w:r w:rsidR="00EB2427">
        <w:rPr>
          <w:b w:val="0"/>
          <w:bCs w:val="0"/>
        </w:rPr>
        <w:t>Staff</w:t>
      </w:r>
      <w:r>
        <w:rPr>
          <w:b w:val="0"/>
          <w:bCs w:val="0"/>
        </w:rPr>
        <w:t xml:space="preserve">, neither Avista </w:t>
      </w:r>
      <w:r w:rsidR="00ED5CA3">
        <w:rPr>
          <w:b w:val="0"/>
          <w:bCs w:val="0"/>
        </w:rPr>
        <w:t>n</w:t>
      </w:r>
      <w:r>
        <w:rPr>
          <w:b w:val="0"/>
          <w:bCs w:val="0"/>
        </w:rPr>
        <w:t xml:space="preserve">or the </w:t>
      </w:r>
      <w:r w:rsidR="00EB2427">
        <w:rPr>
          <w:b w:val="0"/>
          <w:bCs w:val="0"/>
        </w:rPr>
        <w:t>Staff</w:t>
      </w:r>
      <w:r>
        <w:rPr>
          <w:b w:val="0"/>
          <w:bCs w:val="0"/>
        </w:rPr>
        <w:t xml:space="preserve"> engaged in “blindly relying on historical trends.”</w:t>
      </w:r>
      <w:r w:rsidR="00925670">
        <w:rPr>
          <w:b w:val="0"/>
          <w:bCs w:val="0"/>
        </w:rPr>
        <w:t xml:space="preserve">  Significant analysis </w:t>
      </w:r>
      <w:r>
        <w:rPr>
          <w:b w:val="0"/>
          <w:bCs w:val="0"/>
        </w:rPr>
        <w:t>went into the determination of the appropriate attrition adjustments.</w:t>
      </w:r>
    </w:p>
    <w:p w:rsidR="005F4878" w:rsidRPr="009A25CD" w:rsidRDefault="00762104" w:rsidP="00275105">
      <w:pPr>
        <w:pStyle w:val="BodyText"/>
        <w:tabs>
          <w:tab w:val="left" w:pos="720"/>
        </w:tabs>
        <w:spacing w:line="480" w:lineRule="auto"/>
        <w:ind w:right="-54" w:firstLine="720"/>
        <w:jc w:val="both"/>
        <w:rPr>
          <w:bCs w:val="0"/>
        </w:rPr>
      </w:pPr>
      <w:r w:rsidRPr="009A25CD">
        <w:rPr>
          <w:bCs w:val="0"/>
        </w:rPr>
        <w:t>Q.</w:t>
      </w:r>
      <w:r w:rsidRPr="009A25CD">
        <w:rPr>
          <w:bCs w:val="0"/>
        </w:rPr>
        <w:tab/>
      </w:r>
      <w:r w:rsidR="00EB2427">
        <w:rPr>
          <w:bCs w:val="0"/>
        </w:rPr>
        <w:t>Staff</w:t>
      </w:r>
      <w:r w:rsidR="00275105" w:rsidRPr="009A25CD">
        <w:rPr>
          <w:bCs w:val="0"/>
        </w:rPr>
        <w:t xml:space="preserve"> and intervenors express</w:t>
      </w:r>
      <w:r w:rsidR="008F1971">
        <w:rPr>
          <w:bCs w:val="0"/>
        </w:rPr>
        <w:t>ed</w:t>
      </w:r>
      <w:r w:rsidR="00275105" w:rsidRPr="009A25CD">
        <w:rPr>
          <w:bCs w:val="0"/>
        </w:rPr>
        <w:t xml:space="preserve"> criticism of Avista’s Pro Forma </w:t>
      </w:r>
      <w:r w:rsidR="000B5D53">
        <w:rPr>
          <w:bCs w:val="0"/>
        </w:rPr>
        <w:t xml:space="preserve">Cross Check </w:t>
      </w:r>
      <w:r w:rsidR="00275105" w:rsidRPr="009A25CD">
        <w:rPr>
          <w:bCs w:val="0"/>
        </w:rPr>
        <w:t>Study.</w:t>
      </w:r>
      <w:r w:rsidR="00AD60F9" w:rsidRPr="009A25CD">
        <w:rPr>
          <w:rStyle w:val="FootnoteReference"/>
          <w:bCs w:val="0"/>
        </w:rPr>
        <w:footnoteReference w:id="17"/>
      </w:r>
      <w:r w:rsidR="00275105" w:rsidRPr="009A25CD">
        <w:rPr>
          <w:bCs w:val="0"/>
        </w:rPr>
        <w:t xml:space="preserve"> </w:t>
      </w:r>
      <w:r w:rsidR="004D1F1B">
        <w:rPr>
          <w:bCs w:val="0"/>
        </w:rPr>
        <w:t xml:space="preserve"> </w:t>
      </w:r>
      <w:r w:rsidR="00275105" w:rsidRPr="009A25CD">
        <w:rPr>
          <w:bCs w:val="0"/>
        </w:rPr>
        <w:t>What is your response to this testimony?</w:t>
      </w:r>
    </w:p>
    <w:p w:rsidR="00275105" w:rsidRDefault="00275105" w:rsidP="00275105">
      <w:pPr>
        <w:pStyle w:val="BodyText"/>
        <w:tabs>
          <w:tab w:val="left" w:pos="720"/>
        </w:tabs>
        <w:spacing w:line="480" w:lineRule="auto"/>
        <w:ind w:right="-54" w:firstLine="720"/>
        <w:jc w:val="both"/>
        <w:rPr>
          <w:b w:val="0"/>
          <w:bCs w:val="0"/>
        </w:rPr>
      </w:pPr>
      <w:r>
        <w:rPr>
          <w:b w:val="0"/>
          <w:bCs w:val="0"/>
        </w:rPr>
        <w:t>A.</w:t>
      </w:r>
      <w:r>
        <w:rPr>
          <w:b w:val="0"/>
          <w:bCs w:val="0"/>
        </w:rPr>
        <w:tab/>
      </w:r>
      <w:r w:rsidR="00BD3BF4">
        <w:rPr>
          <w:b w:val="0"/>
          <w:bCs w:val="0"/>
        </w:rPr>
        <w:t>With regard to</w:t>
      </w:r>
      <w:r w:rsidR="00E941B7">
        <w:rPr>
          <w:b w:val="0"/>
          <w:bCs w:val="0"/>
        </w:rPr>
        <w:t xml:space="preserve"> Avista’s Pro Forma </w:t>
      </w:r>
      <w:r w:rsidR="000B5D53">
        <w:rPr>
          <w:b w:val="0"/>
          <w:bCs w:val="0"/>
        </w:rPr>
        <w:t xml:space="preserve">Cross Check </w:t>
      </w:r>
      <w:r w:rsidR="00933EC1">
        <w:rPr>
          <w:b w:val="0"/>
          <w:bCs w:val="0"/>
        </w:rPr>
        <w:t>Study</w:t>
      </w:r>
      <w:r w:rsidR="00060227">
        <w:rPr>
          <w:b w:val="0"/>
          <w:bCs w:val="0"/>
        </w:rPr>
        <w:t xml:space="preserve"> it is important to recognize both </w:t>
      </w:r>
      <w:r w:rsidR="00060227" w:rsidRPr="00060227">
        <w:rPr>
          <w:b w:val="0"/>
          <w:bCs w:val="0"/>
          <w:u w:val="single"/>
        </w:rPr>
        <w:t>what it</w:t>
      </w:r>
      <w:r w:rsidR="00933EC1" w:rsidRPr="00060227">
        <w:rPr>
          <w:b w:val="0"/>
          <w:bCs w:val="0"/>
          <w:u w:val="single"/>
        </w:rPr>
        <w:t xml:space="preserve"> </w:t>
      </w:r>
      <w:r w:rsidR="00933EC1" w:rsidRPr="00BD3BF4">
        <w:rPr>
          <w:b w:val="0"/>
          <w:bCs w:val="0"/>
          <w:u w:val="single"/>
        </w:rPr>
        <w:t>is</w:t>
      </w:r>
      <w:r w:rsidR="00933EC1">
        <w:rPr>
          <w:b w:val="0"/>
          <w:bCs w:val="0"/>
        </w:rPr>
        <w:t xml:space="preserve">, and </w:t>
      </w:r>
      <w:r w:rsidR="00933EC1" w:rsidRPr="00060227">
        <w:rPr>
          <w:b w:val="0"/>
          <w:bCs w:val="0"/>
          <w:u w:val="single"/>
        </w:rPr>
        <w:t>what it is not</w:t>
      </w:r>
      <w:r w:rsidR="00933EC1">
        <w:rPr>
          <w:b w:val="0"/>
          <w:bCs w:val="0"/>
        </w:rPr>
        <w:t>.</w:t>
      </w:r>
      <w:r w:rsidR="00230CDF">
        <w:rPr>
          <w:b w:val="0"/>
          <w:bCs w:val="0"/>
        </w:rPr>
        <w:t xml:space="preserve">  </w:t>
      </w:r>
      <w:r w:rsidR="001A3FAE">
        <w:rPr>
          <w:b w:val="0"/>
          <w:bCs w:val="0"/>
        </w:rPr>
        <w:t>As Avista explained in its pre-filed case,</w:t>
      </w:r>
      <w:r w:rsidR="001A3FAE">
        <w:rPr>
          <w:rStyle w:val="FootnoteReference"/>
          <w:b w:val="0"/>
          <w:bCs w:val="0"/>
        </w:rPr>
        <w:footnoteReference w:id="18"/>
      </w:r>
      <w:r w:rsidR="001A3FAE">
        <w:rPr>
          <w:b w:val="0"/>
          <w:bCs w:val="0"/>
        </w:rPr>
        <w:t xml:space="preserve"> and Mr. Hancock recognized on page 7, line 8 of his testimony</w:t>
      </w:r>
      <w:r w:rsidR="00025AFC">
        <w:rPr>
          <w:b w:val="0"/>
          <w:bCs w:val="0"/>
        </w:rPr>
        <w:t xml:space="preserve"> (Exhibit </w:t>
      </w:r>
      <w:r w:rsidR="004D1F1B">
        <w:rPr>
          <w:b w:val="0"/>
          <w:bCs w:val="0"/>
        </w:rPr>
        <w:t>N</w:t>
      </w:r>
      <w:r w:rsidR="00025AFC">
        <w:rPr>
          <w:b w:val="0"/>
          <w:bCs w:val="0"/>
        </w:rPr>
        <w:t>o.</w:t>
      </w:r>
      <w:r w:rsidR="004D1F1B">
        <w:rPr>
          <w:b w:val="0"/>
          <w:bCs w:val="0"/>
        </w:rPr>
        <w:t>__(</w:t>
      </w:r>
      <w:proofErr w:type="spellStart"/>
      <w:r w:rsidR="00025AFC">
        <w:rPr>
          <w:b w:val="0"/>
          <w:bCs w:val="0"/>
        </w:rPr>
        <w:t>CSH</w:t>
      </w:r>
      <w:proofErr w:type="spellEnd"/>
      <w:r w:rsidR="00025AFC">
        <w:rPr>
          <w:b w:val="0"/>
          <w:bCs w:val="0"/>
        </w:rPr>
        <w:t>-1T</w:t>
      </w:r>
      <w:r w:rsidR="004D1F1B">
        <w:rPr>
          <w:b w:val="0"/>
          <w:bCs w:val="0"/>
        </w:rPr>
        <w:t>)</w:t>
      </w:r>
      <w:r w:rsidR="00025AFC">
        <w:rPr>
          <w:b w:val="0"/>
          <w:bCs w:val="0"/>
        </w:rPr>
        <w:t>)</w:t>
      </w:r>
      <w:r w:rsidR="001A3FAE">
        <w:rPr>
          <w:b w:val="0"/>
          <w:bCs w:val="0"/>
        </w:rPr>
        <w:t xml:space="preserve">, </w:t>
      </w:r>
      <w:r w:rsidR="001A3FAE" w:rsidRPr="00167A9A">
        <w:rPr>
          <w:b w:val="0"/>
          <w:bCs w:val="0"/>
          <w:u w:val="single"/>
        </w:rPr>
        <w:t>“The Company’s pro forma case is only intended to support the ‘reasonableness of the electric and natural gas Attrition Study results.’”</w:t>
      </w:r>
      <w:r w:rsidR="00167A9A">
        <w:rPr>
          <w:b w:val="0"/>
          <w:bCs w:val="0"/>
        </w:rPr>
        <w:t xml:space="preserve">  (emphasis added)</w:t>
      </w:r>
      <w:r w:rsidR="001A3FAE">
        <w:rPr>
          <w:b w:val="0"/>
          <w:bCs w:val="0"/>
        </w:rPr>
        <w:t xml:space="preserve">  </w:t>
      </w:r>
      <w:r w:rsidR="00BF6E8A">
        <w:rPr>
          <w:b w:val="0"/>
          <w:bCs w:val="0"/>
        </w:rPr>
        <w:t xml:space="preserve">Avista’s requested revenue requirements in these Dockets are </w:t>
      </w:r>
      <w:r w:rsidR="00BF6E8A" w:rsidRPr="00D77FD7">
        <w:rPr>
          <w:b w:val="0"/>
          <w:bCs w:val="0"/>
          <w:u w:val="single"/>
        </w:rPr>
        <w:t>not</w:t>
      </w:r>
      <w:r w:rsidR="00BF6E8A">
        <w:rPr>
          <w:b w:val="0"/>
          <w:bCs w:val="0"/>
        </w:rPr>
        <w:t xml:space="preserve"> based on the Pro Forma Cross</w:t>
      </w:r>
      <w:r w:rsidR="000B5D53">
        <w:rPr>
          <w:b w:val="0"/>
          <w:bCs w:val="0"/>
        </w:rPr>
        <w:t xml:space="preserve"> </w:t>
      </w:r>
      <w:r w:rsidR="00BF6E8A">
        <w:rPr>
          <w:b w:val="0"/>
          <w:bCs w:val="0"/>
        </w:rPr>
        <w:t>Check Study, but based on the attrition analysis.</w:t>
      </w:r>
    </w:p>
    <w:p w:rsidR="002B2BF2" w:rsidRDefault="002B2BF2" w:rsidP="00867849">
      <w:pPr>
        <w:pStyle w:val="BodyText"/>
        <w:tabs>
          <w:tab w:val="left" w:pos="720"/>
        </w:tabs>
        <w:spacing w:line="480" w:lineRule="auto"/>
        <w:ind w:right="-54" w:firstLine="720"/>
        <w:jc w:val="both"/>
        <w:rPr>
          <w:b w:val="0"/>
          <w:bCs w:val="0"/>
        </w:rPr>
      </w:pPr>
      <w:r>
        <w:rPr>
          <w:b w:val="0"/>
          <w:bCs w:val="0"/>
        </w:rPr>
        <w:t xml:space="preserve">Mr. McGuire described </w:t>
      </w:r>
      <w:r w:rsidR="00EB2427">
        <w:rPr>
          <w:b w:val="0"/>
          <w:bCs w:val="0"/>
        </w:rPr>
        <w:t>Staff</w:t>
      </w:r>
      <w:r>
        <w:rPr>
          <w:b w:val="0"/>
          <w:bCs w:val="0"/>
        </w:rPr>
        <w:t xml:space="preserve">’s analysis to “bend and </w:t>
      </w:r>
      <w:r w:rsidR="00BA5E11">
        <w:rPr>
          <w:b w:val="0"/>
          <w:bCs w:val="0"/>
        </w:rPr>
        <w:t>whittle the Company’s pro forma case to conform to the parameters of the Commission’s standard modified historical test year.”</w:t>
      </w:r>
      <w:r w:rsidR="00C95A45">
        <w:rPr>
          <w:rStyle w:val="FootnoteReference"/>
          <w:b w:val="0"/>
          <w:bCs w:val="0"/>
        </w:rPr>
        <w:footnoteReference w:id="19"/>
      </w:r>
      <w:r w:rsidR="00C95A45">
        <w:rPr>
          <w:b w:val="0"/>
          <w:bCs w:val="0"/>
        </w:rPr>
        <w:t xml:space="preserve">  Through </w:t>
      </w:r>
      <w:r w:rsidR="00EB2427">
        <w:rPr>
          <w:b w:val="0"/>
          <w:bCs w:val="0"/>
        </w:rPr>
        <w:t>Staff</w:t>
      </w:r>
      <w:r w:rsidR="00C95A45">
        <w:rPr>
          <w:b w:val="0"/>
          <w:bCs w:val="0"/>
        </w:rPr>
        <w:t>’</w:t>
      </w:r>
      <w:r w:rsidR="00802C28">
        <w:rPr>
          <w:b w:val="0"/>
          <w:bCs w:val="0"/>
        </w:rPr>
        <w:t xml:space="preserve">s </w:t>
      </w:r>
      <w:r w:rsidR="00D77FD7">
        <w:rPr>
          <w:b w:val="0"/>
          <w:bCs w:val="0"/>
        </w:rPr>
        <w:t>“</w:t>
      </w:r>
      <w:r w:rsidR="00802C28">
        <w:rPr>
          <w:b w:val="0"/>
          <w:bCs w:val="0"/>
        </w:rPr>
        <w:t>bending and whittling</w:t>
      </w:r>
      <w:r w:rsidR="00C95A45">
        <w:rPr>
          <w:b w:val="0"/>
          <w:bCs w:val="0"/>
        </w:rPr>
        <w:t>,</w:t>
      </w:r>
      <w:r w:rsidR="00D77FD7">
        <w:rPr>
          <w:b w:val="0"/>
          <w:bCs w:val="0"/>
        </w:rPr>
        <w:t>”</w:t>
      </w:r>
      <w:r w:rsidR="00C95A45">
        <w:rPr>
          <w:b w:val="0"/>
          <w:bCs w:val="0"/>
        </w:rPr>
        <w:t xml:space="preserve"> they removed a significant amount of capital investment </w:t>
      </w:r>
      <w:r w:rsidR="00802C28">
        <w:rPr>
          <w:b w:val="0"/>
          <w:bCs w:val="0"/>
        </w:rPr>
        <w:t>for 2015 and 2016, much</w:t>
      </w:r>
      <w:r w:rsidR="00C95A45">
        <w:rPr>
          <w:b w:val="0"/>
          <w:bCs w:val="0"/>
        </w:rPr>
        <w:t xml:space="preserve"> of which is</w:t>
      </w:r>
      <w:r w:rsidR="00802C28">
        <w:rPr>
          <w:b w:val="0"/>
          <w:bCs w:val="0"/>
        </w:rPr>
        <w:t xml:space="preserve"> either</w:t>
      </w:r>
      <w:r w:rsidR="00C95A45">
        <w:rPr>
          <w:b w:val="0"/>
          <w:bCs w:val="0"/>
        </w:rPr>
        <w:t xml:space="preserve"> in progress or completed, and removed</w:t>
      </w:r>
      <w:r w:rsidR="00C40A1B">
        <w:rPr>
          <w:b w:val="0"/>
          <w:bCs w:val="0"/>
        </w:rPr>
        <w:t xml:space="preserve"> various</w:t>
      </w:r>
      <w:r w:rsidR="00C95A45">
        <w:rPr>
          <w:b w:val="0"/>
          <w:bCs w:val="0"/>
        </w:rPr>
        <w:t xml:space="preserve"> increases in </w:t>
      </w:r>
      <w:r w:rsidR="00C40A1B">
        <w:rPr>
          <w:b w:val="0"/>
          <w:bCs w:val="0"/>
        </w:rPr>
        <w:t xml:space="preserve">utility </w:t>
      </w:r>
      <w:r w:rsidR="00C95A45">
        <w:rPr>
          <w:b w:val="0"/>
          <w:bCs w:val="0"/>
        </w:rPr>
        <w:t xml:space="preserve">operating expenses for 2015 and 2016.  </w:t>
      </w:r>
    </w:p>
    <w:p w:rsidR="00802C28" w:rsidRDefault="00C40A1B" w:rsidP="006B7128">
      <w:pPr>
        <w:pStyle w:val="BodyText"/>
        <w:tabs>
          <w:tab w:val="left" w:pos="720"/>
        </w:tabs>
        <w:spacing w:line="480" w:lineRule="auto"/>
        <w:ind w:right="-54" w:firstLine="720"/>
        <w:jc w:val="both"/>
        <w:rPr>
          <w:b w:val="0"/>
          <w:bCs w:val="0"/>
        </w:rPr>
      </w:pPr>
      <w:r>
        <w:rPr>
          <w:b w:val="0"/>
          <w:bCs w:val="0"/>
        </w:rPr>
        <w:lastRenderedPageBreak/>
        <w:t xml:space="preserve">After completing its </w:t>
      </w:r>
      <w:r w:rsidR="00040C48">
        <w:rPr>
          <w:b w:val="0"/>
          <w:bCs w:val="0"/>
        </w:rPr>
        <w:t>“</w:t>
      </w:r>
      <w:r>
        <w:rPr>
          <w:b w:val="0"/>
          <w:bCs w:val="0"/>
        </w:rPr>
        <w:t>bending and whittling</w:t>
      </w:r>
      <w:r w:rsidR="00040C48">
        <w:rPr>
          <w:b w:val="0"/>
          <w:bCs w:val="0"/>
        </w:rPr>
        <w:t>”</w:t>
      </w:r>
      <w:r>
        <w:rPr>
          <w:b w:val="0"/>
          <w:bCs w:val="0"/>
        </w:rPr>
        <w:t xml:space="preserve">, the </w:t>
      </w:r>
      <w:r w:rsidR="00EB2427">
        <w:rPr>
          <w:b w:val="0"/>
          <w:bCs w:val="0"/>
        </w:rPr>
        <w:t>Staff</w:t>
      </w:r>
      <w:r>
        <w:rPr>
          <w:b w:val="0"/>
          <w:bCs w:val="0"/>
        </w:rPr>
        <w:t xml:space="preserve"> concluded that a pro forma study</w:t>
      </w:r>
      <w:r w:rsidR="006716FD">
        <w:rPr>
          <w:b w:val="0"/>
          <w:bCs w:val="0"/>
        </w:rPr>
        <w:t>,</w:t>
      </w:r>
      <w:r>
        <w:rPr>
          <w:b w:val="0"/>
          <w:bCs w:val="0"/>
        </w:rPr>
        <w:t xml:space="preserve"> which conforms to the parameters of the Commission’s standard modified historica</w:t>
      </w:r>
      <w:r w:rsidR="006716FD">
        <w:rPr>
          <w:b w:val="0"/>
          <w:bCs w:val="0"/>
        </w:rPr>
        <w:t>l test year,</w:t>
      </w:r>
      <w:r w:rsidR="00D8202E">
        <w:rPr>
          <w:b w:val="0"/>
          <w:bCs w:val="0"/>
        </w:rPr>
        <w:t xml:space="preserve"> </w:t>
      </w:r>
      <w:r w:rsidR="006716FD">
        <w:rPr>
          <w:b w:val="0"/>
          <w:bCs w:val="0"/>
          <w:u w:val="single"/>
        </w:rPr>
        <w:t>will not provide revenues</w:t>
      </w:r>
      <w:r w:rsidR="00D8202E" w:rsidRPr="006B7128">
        <w:rPr>
          <w:b w:val="0"/>
          <w:bCs w:val="0"/>
          <w:u w:val="single"/>
        </w:rPr>
        <w:t xml:space="preserve"> sufficient for Avista to earn its allowed return</w:t>
      </w:r>
      <w:r w:rsidR="00D8202E">
        <w:rPr>
          <w:b w:val="0"/>
          <w:bCs w:val="0"/>
        </w:rPr>
        <w:t>.</w:t>
      </w:r>
      <w:r w:rsidR="006B7128">
        <w:rPr>
          <w:b w:val="0"/>
          <w:bCs w:val="0"/>
        </w:rPr>
        <w:t xml:space="preserve">  </w:t>
      </w:r>
      <w:r w:rsidR="00B82816">
        <w:rPr>
          <w:b w:val="0"/>
          <w:bCs w:val="0"/>
        </w:rPr>
        <w:t>I</w:t>
      </w:r>
      <w:r w:rsidR="00802C28">
        <w:rPr>
          <w:b w:val="0"/>
          <w:bCs w:val="0"/>
        </w:rPr>
        <w:t xml:space="preserve">n this case, as well as in the last two rate cases, </w:t>
      </w:r>
      <w:r w:rsidR="00EB2427">
        <w:rPr>
          <w:b w:val="0"/>
          <w:bCs w:val="0"/>
        </w:rPr>
        <w:t>Staff</w:t>
      </w:r>
      <w:r w:rsidR="00802C28">
        <w:rPr>
          <w:b w:val="0"/>
          <w:bCs w:val="0"/>
        </w:rPr>
        <w:t xml:space="preserve"> has acknowledged the presence of </w:t>
      </w:r>
      <w:r w:rsidR="006B7128">
        <w:rPr>
          <w:b w:val="0"/>
          <w:bCs w:val="0"/>
        </w:rPr>
        <w:t xml:space="preserve">significant </w:t>
      </w:r>
      <w:r w:rsidR="00802C28">
        <w:rPr>
          <w:b w:val="0"/>
          <w:bCs w:val="0"/>
        </w:rPr>
        <w:t>attrition being experienced by t</w:t>
      </w:r>
      <w:r w:rsidR="00B82816">
        <w:rPr>
          <w:b w:val="0"/>
          <w:bCs w:val="0"/>
        </w:rPr>
        <w:t>he Company, and has sup</w:t>
      </w:r>
      <w:r w:rsidR="00466849">
        <w:rPr>
          <w:b w:val="0"/>
          <w:bCs w:val="0"/>
        </w:rPr>
        <w:t>ported revenue adjustments to compensate for attrition.</w:t>
      </w:r>
    </w:p>
    <w:p w:rsidR="006B7128" w:rsidRDefault="006B7128" w:rsidP="00230A45">
      <w:pPr>
        <w:pStyle w:val="BodyText"/>
        <w:tabs>
          <w:tab w:val="left" w:pos="720"/>
        </w:tabs>
        <w:spacing w:line="480" w:lineRule="auto"/>
        <w:ind w:right="-54" w:firstLine="720"/>
        <w:jc w:val="both"/>
        <w:rPr>
          <w:b w:val="0"/>
          <w:bCs w:val="0"/>
        </w:rPr>
      </w:pPr>
      <w:r>
        <w:rPr>
          <w:b w:val="0"/>
          <w:bCs w:val="0"/>
        </w:rPr>
        <w:t>Avista’s Pro Forma Cross</w:t>
      </w:r>
      <w:r w:rsidR="000B5D53">
        <w:rPr>
          <w:b w:val="0"/>
          <w:bCs w:val="0"/>
        </w:rPr>
        <w:t xml:space="preserve"> </w:t>
      </w:r>
      <w:r>
        <w:rPr>
          <w:b w:val="0"/>
          <w:bCs w:val="0"/>
        </w:rPr>
        <w:t>Check Study was prepared as a “cross-check” and a second analysis to compare with the attrition analysis.  The Cross</w:t>
      </w:r>
      <w:r w:rsidR="000B5D53">
        <w:rPr>
          <w:b w:val="0"/>
          <w:bCs w:val="0"/>
        </w:rPr>
        <w:t xml:space="preserve"> </w:t>
      </w:r>
      <w:r>
        <w:rPr>
          <w:b w:val="0"/>
          <w:bCs w:val="0"/>
        </w:rPr>
        <w:t>Check Study includes a comprehensive set of adjustments for the prospective rate year</w:t>
      </w:r>
      <w:r w:rsidR="00230A45">
        <w:rPr>
          <w:b w:val="0"/>
          <w:bCs w:val="0"/>
        </w:rPr>
        <w:t>, based on the best and most recent information available,</w:t>
      </w:r>
      <w:r>
        <w:rPr>
          <w:b w:val="0"/>
          <w:bCs w:val="0"/>
        </w:rPr>
        <w:t xml:space="preserve"> </w:t>
      </w:r>
      <w:r w:rsidR="00454AE9">
        <w:rPr>
          <w:b w:val="0"/>
          <w:bCs w:val="0"/>
        </w:rPr>
        <w:t>to determine</w:t>
      </w:r>
      <w:r w:rsidR="00230A45">
        <w:rPr>
          <w:b w:val="0"/>
          <w:bCs w:val="0"/>
        </w:rPr>
        <w:t xml:space="preserve"> the revenues sufficient for Avista to earn its allowed return.  </w:t>
      </w:r>
      <w:r>
        <w:rPr>
          <w:b w:val="0"/>
          <w:bCs w:val="0"/>
        </w:rPr>
        <w:t xml:space="preserve">The </w:t>
      </w:r>
      <w:r w:rsidR="000B5D53">
        <w:rPr>
          <w:b w:val="0"/>
          <w:bCs w:val="0"/>
        </w:rPr>
        <w:t xml:space="preserve">Cross Check </w:t>
      </w:r>
      <w:r>
        <w:rPr>
          <w:b w:val="0"/>
          <w:bCs w:val="0"/>
        </w:rPr>
        <w:t xml:space="preserve">Study </w:t>
      </w:r>
      <w:r w:rsidR="006C6ADC" w:rsidRPr="00253DCF">
        <w:rPr>
          <w:b w:val="0"/>
          <w:bCs w:val="0"/>
          <w:u w:val="single"/>
        </w:rPr>
        <w:t>confirms</w:t>
      </w:r>
      <w:r w:rsidRPr="00253DCF">
        <w:rPr>
          <w:b w:val="0"/>
          <w:bCs w:val="0"/>
          <w:u w:val="single"/>
        </w:rPr>
        <w:t xml:space="preserve"> that there will be a continuation of attrition </w:t>
      </w:r>
      <w:r w:rsidR="008421F6">
        <w:rPr>
          <w:b w:val="0"/>
          <w:bCs w:val="0"/>
        </w:rPr>
        <w:t xml:space="preserve">through the prospective rate year </w:t>
      </w:r>
      <w:r>
        <w:rPr>
          <w:b w:val="0"/>
          <w:bCs w:val="0"/>
        </w:rPr>
        <w:t>for Avista.</w:t>
      </w:r>
    </w:p>
    <w:p w:rsidR="008F1102" w:rsidRDefault="00F3476E" w:rsidP="00F3476E">
      <w:pPr>
        <w:pStyle w:val="BodyText"/>
        <w:tabs>
          <w:tab w:val="left" w:pos="720"/>
        </w:tabs>
        <w:spacing w:line="480" w:lineRule="auto"/>
        <w:ind w:right="-54" w:firstLine="720"/>
        <w:jc w:val="both"/>
        <w:rPr>
          <w:b w:val="0"/>
          <w:bCs w:val="0"/>
        </w:rPr>
      </w:pPr>
      <w:r>
        <w:rPr>
          <w:b w:val="0"/>
          <w:bCs w:val="0"/>
        </w:rPr>
        <w:t>R</w:t>
      </w:r>
      <w:r w:rsidR="00212515">
        <w:rPr>
          <w:b w:val="0"/>
          <w:bCs w:val="0"/>
        </w:rPr>
        <w:t>ating agencie</w:t>
      </w:r>
      <w:r>
        <w:rPr>
          <w:b w:val="0"/>
          <w:bCs w:val="0"/>
        </w:rPr>
        <w:t>s have</w:t>
      </w:r>
      <w:r w:rsidR="00B82816">
        <w:rPr>
          <w:b w:val="0"/>
          <w:bCs w:val="0"/>
        </w:rPr>
        <w:t xml:space="preserve"> recognized the recent changes in ra</w:t>
      </w:r>
      <w:r w:rsidR="00E90D8F">
        <w:rPr>
          <w:b w:val="0"/>
          <w:bCs w:val="0"/>
        </w:rPr>
        <w:t>temaking in Washington</w:t>
      </w:r>
      <w:r w:rsidR="00D8202E">
        <w:rPr>
          <w:b w:val="0"/>
          <w:bCs w:val="0"/>
        </w:rPr>
        <w:t xml:space="preserve"> to allow</w:t>
      </w:r>
      <w:r w:rsidR="00B82816">
        <w:rPr>
          <w:b w:val="0"/>
          <w:bCs w:val="0"/>
        </w:rPr>
        <w:t xml:space="preserve"> utilities </w:t>
      </w:r>
      <w:r w:rsidR="00E90D8F">
        <w:rPr>
          <w:b w:val="0"/>
          <w:bCs w:val="0"/>
        </w:rPr>
        <w:t>an improved</w:t>
      </w:r>
      <w:r w:rsidR="00B82816">
        <w:rPr>
          <w:b w:val="0"/>
          <w:bCs w:val="0"/>
        </w:rPr>
        <w:t xml:space="preserve"> opportunity to earn returns closer to the allow</w:t>
      </w:r>
      <w:r w:rsidR="00ED5CA3">
        <w:rPr>
          <w:b w:val="0"/>
          <w:bCs w:val="0"/>
        </w:rPr>
        <w:t>ed</w:t>
      </w:r>
      <w:r w:rsidR="00B82816">
        <w:rPr>
          <w:b w:val="0"/>
          <w:bCs w:val="0"/>
        </w:rPr>
        <w:t xml:space="preserve"> returns.</w:t>
      </w:r>
      <w:r>
        <w:rPr>
          <w:b w:val="0"/>
          <w:bCs w:val="0"/>
        </w:rPr>
        <w:t xml:space="preserve">  </w:t>
      </w:r>
      <w:r w:rsidR="00B82816">
        <w:rPr>
          <w:b w:val="0"/>
          <w:bCs w:val="0"/>
        </w:rPr>
        <w:t>The a</w:t>
      </w:r>
      <w:r w:rsidR="00C40A1B">
        <w:rPr>
          <w:b w:val="0"/>
          <w:bCs w:val="0"/>
        </w:rPr>
        <w:t xml:space="preserve">fter-the-fact </w:t>
      </w:r>
      <w:r w:rsidR="00B82816">
        <w:rPr>
          <w:b w:val="0"/>
          <w:bCs w:val="0"/>
        </w:rPr>
        <w:t>earned returns</w:t>
      </w:r>
      <w:r w:rsidR="00C40A1B">
        <w:rPr>
          <w:b w:val="0"/>
          <w:bCs w:val="0"/>
        </w:rPr>
        <w:t xml:space="preserve"> for 2013 and 2014</w:t>
      </w:r>
      <w:r w:rsidR="00EA5597">
        <w:rPr>
          <w:b w:val="0"/>
          <w:bCs w:val="0"/>
        </w:rPr>
        <w:t>,</w:t>
      </w:r>
      <w:r w:rsidR="00C40A1B">
        <w:rPr>
          <w:b w:val="0"/>
          <w:bCs w:val="0"/>
        </w:rPr>
        <w:t xml:space="preserve"> </w:t>
      </w:r>
      <w:r w:rsidR="00B82816">
        <w:rPr>
          <w:b w:val="0"/>
          <w:bCs w:val="0"/>
        </w:rPr>
        <w:t>presented earlier</w:t>
      </w:r>
      <w:r w:rsidR="00EA5597">
        <w:rPr>
          <w:b w:val="0"/>
          <w:bCs w:val="0"/>
        </w:rPr>
        <w:t>, confirm</w:t>
      </w:r>
      <w:r w:rsidR="00B82816">
        <w:rPr>
          <w:b w:val="0"/>
          <w:bCs w:val="0"/>
        </w:rPr>
        <w:t xml:space="preserve"> </w:t>
      </w:r>
      <w:r w:rsidR="00EA5597">
        <w:rPr>
          <w:b w:val="0"/>
          <w:bCs w:val="0"/>
        </w:rPr>
        <w:t xml:space="preserve">that incorporating </w:t>
      </w:r>
      <w:r w:rsidR="00040C48">
        <w:rPr>
          <w:b w:val="0"/>
          <w:bCs w:val="0"/>
        </w:rPr>
        <w:t xml:space="preserve">the effect of </w:t>
      </w:r>
      <w:r w:rsidR="00EA5597">
        <w:rPr>
          <w:b w:val="0"/>
          <w:bCs w:val="0"/>
        </w:rPr>
        <w:t>attrition in setting re</w:t>
      </w:r>
      <w:r w:rsidR="00BE4AB4">
        <w:rPr>
          <w:b w:val="0"/>
          <w:bCs w:val="0"/>
        </w:rPr>
        <w:t>tail rates for 2013 and 2014 were</w:t>
      </w:r>
      <w:r w:rsidR="00EA5597">
        <w:rPr>
          <w:b w:val="0"/>
          <w:bCs w:val="0"/>
        </w:rPr>
        <w:t xml:space="preserve"> necessary in order for Avista to have the opportunity to earn its allowed return.</w:t>
      </w:r>
    </w:p>
    <w:p w:rsidR="00447CEC" w:rsidRDefault="00C40A1B" w:rsidP="00447CEC">
      <w:pPr>
        <w:pStyle w:val="BodyText"/>
        <w:tabs>
          <w:tab w:val="left" w:pos="720"/>
        </w:tabs>
        <w:spacing w:line="480" w:lineRule="auto"/>
        <w:ind w:right="-54" w:firstLine="720"/>
        <w:jc w:val="both"/>
        <w:rPr>
          <w:b w:val="0"/>
          <w:bCs w:val="0"/>
        </w:rPr>
      </w:pPr>
      <w:r>
        <w:rPr>
          <w:b w:val="0"/>
          <w:bCs w:val="0"/>
        </w:rPr>
        <w:t xml:space="preserve">The revenue requirement proposals of Public Counsel, ICNU, and NWIGU, based solely on a modified historical test period </w:t>
      </w:r>
      <w:r w:rsidR="00AA52D7">
        <w:rPr>
          <w:b w:val="0"/>
          <w:bCs w:val="0"/>
        </w:rPr>
        <w:t xml:space="preserve">with limited pro forma adjustments </w:t>
      </w:r>
      <w:r>
        <w:rPr>
          <w:b w:val="0"/>
          <w:bCs w:val="0"/>
        </w:rPr>
        <w:t>should be rejected, because</w:t>
      </w:r>
      <w:r w:rsidR="00447CEC">
        <w:rPr>
          <w:b w:val="0"/>
          <w:bCs w:val="0"/>
        </w:rPr>
        <w:t xml:space="preserve"> they will not result in revenues sufficient for Avista to have the opportunity to earn its allowed return.</w:t>
      </w:r>
    </w:p>
    <w:p w:rsidR="00253DCF" w:rsidRPr="005304C2" w:rsidRDefault="00253DCF" w:rsidP="00447CEC">
      <w:pPr>
        <w:pStyle w:val="BodyText"/>
        <w:tabs>
          <w:tab w:val="left" w:pos="720"/>
        </w:tabs>
        <w:spacing w:line="480" w:lineRule="auto"/>
        <w:ind w:right="-54" w:firstLine="720"/>
        <w:jc w:val="both"/>
        <w:rPr>
          <w:bCs w:val="0"/>
        </w:rPr>
      </w:pPr>
      <w:r w:rsidRPr="005304C2">
        <w:rPr>
          <w:bCs w:val="0"/>
        </w:rPr>
        <w:t>Q.</w:t>
      </w:r>
      <w:r w:rsidRPr="005304C2">
        <w:rPr>
          <w:bCs w:val="0"/>
        </w:rPr>
        <w:tab/>
      </w:r>
      <w:r w:rsidR="005304C2" w:rsidRPr="005304C2">
        <w:rPr>
          <w:bCs w:val="0"/>
        </w:rPr>
        <w:t>On page 65 of his testimony</w:t>
      </w:r>
      <w:r w:rsidR="00040C48">
        <w:rPr>
          <w:bCs w:val="0"/>
        </w:rPr>
        <w:t xml:space="preserve"> (Exhibit No.___(</w:t>
      </w:r>
      <w:proofErr w:type="spellStart"/>
      <w:r w:rsidR="00040C48">
        <w:rPr>
          <w:bCs w:val="0"/>
        </w:rPr>
        <w:t>DCG</w:t>
      </w:r>
      <w:proofErr w:type="spellEnd"/>
      <w:r w:rsidR="00040C48">
        <w:rPr>
          <w:bCs w:val="0"/>
        </w:rPr>
        <w:t>-1T))</w:t>
      </w:r>
      <w:r w:rsidR="005304C2" w:rsidRPr="005304C2">
        <w:rPr>
          <w:bCs w:val="0"/>
        </w:rPr>
        <w:t xml:space="preserve">, beginning on line 3, Mr. Gomez states:  “Finally, Staff recommends that the Commission require Avista </w:t>
      </w:r>
      <w:r w:rsidR="005304C2" w:rsidRPr="005304C2">
        <w:rPr>
          <w:bCs w:val="0"/>
        </w:rPr>
        <w:lastRenderedPageBreak/>
        <w:t>to limit the scope of its pro forma capital additions in future rate cases to be consistent with the Pacific Order.”  Does Avista agree with this recommendation?</w:t>
      </w:r>
    </w:p>
    <w:p w:rsidR="005304C2" w:rsidRDefault="005304C2" w:rsidP="00447CEC">
      <w:pPr>
        <w:pStyle w:val="BodyText"/>
        <w:tabs>
          <w:tab w:val="left" w:pos="720"/>
        </w:tabs>
        <w:spacing w:line="480" w:lineRule="auto"/>
        <w:ind w:right="-54" w:firstLine="720"/>
        <w:jc w:val="both"/>
        <w:rPr>
          <w:b w:val="0"/>
          <w:bCs w:val="0"/>
        </w:rPr>
      </w:pPr>
      <w:r>
        <w:rPr>
          <w:b w:val="0"/>
          <w:bCs w:val="0"/>
        </w:rPr>
        <w:t>A.</w:t>
      </w:r>
      <w:r>
        <w:rPr>
          <w:b w:val="0"/>
          <w:bCs w:val="0"/>
        </w:rPr>
        <w:tab/>
        <w:t xml:space="preserve">No.  </w:t>
      </w:r>
      <w:r w:rsidR="00EB2427">
        <w:rPr>
          <w:b w:val="0"/>
          <w:bCs w:val="0"/>
        </w:rPr>
        <w:t>Staff</w:t>
      </w:r>
      <w:r>
        <w:rPr>
          <w:b w:val="0"/>
          <w:bCs w:val="0"/>
        </w:rPr>
        <w:t>’s recommendation essentially amounts to a request of the Commission to limit the evidence that Avista may present in its pre-filed case.</w:t>
      </w:r>
      <w:r w:rsidR="006B56DB">
        <w:rPr>
          <w:b w:val="0"/>
          <w:bCs w:val="0"/>
        </w:rPr>
        <w:t xml:space="preserve">  As stated earlier, Mr. McGuire </w:t>
      </w:r>
      <w:r w:rsidR="0049001D">
        <w:rPr>
          <w:b w:val="0"/>
          <w:bCs w:val="0"/>
        </w:rPr>
        <w:t xml:space="preserve">has concluded </w:t>
      </w:r>
      <w:r w:rsidR="006B56DB">
        <w:rPr>
          <w:b w:val="0"/>
          <w:bCs w:val="0"/>
        </w:rPr>
        <w:t xml:space="preserve">that a pro forma study </w:t>
      </w:r>
      <w:r w:rsidR="0049001D">
        <w:rPr>
          <w:b w:val="0"/>
          <w:bCs w:val="0"/>
        </w:rPr>
        <w:t xml:space="preserve">based on a historical test period with limited pro forma adjustments will not provide </w:t>
      </w:r>
      <w:r w:rsidR="006B56DB">
        <w:rPr>
          <w:b w:val="0"/>
          <w:bCs w:val="0"/>
        </w:rPr>
        <w:t>revenues</w:t>
      </w:r>
      <w:r w:rsidR="0049001D">
        <w:rPr>
          <w:b w:val="0"/>
          <w:bCs w:val="0"/>
        </w:rPr>
        <w:t xml:space="preserve"> </w:t>
      </w:r>
      <w:r w:rsidR="006B56DB" w:rsidRPr="0049001D">
        <w:rPr>
          <w:b w:val="0"/>
          <w:bCs w:val="0"/>
        </w:rPr>
        <w:t>sufficient for Avista to earn its allowed return</w:t>
      </w:r>
      <w:r w:rsidR="0049001D">
        <w:rPr>
          <w:b w:val="0"/>
          <w:bCs w:val="0"/>
        </w:rPr>
        <w:t xml:space="preserve"> in 2016.</w:t>
      </w:r>
    </w:p>
    <w:p w:rsidR="00F05BC0" w:rsidRDefault="00F05BC0" w:rsidP="00447CEC">
      <w:pPr>
        <w:pStyle w:val="BodyText"/>
        <w:tabs>
          <w:tab w:val="left" w:pos="720"/>
        </w:tabs>
        <w:spacing w:line="480" w:lineRule="auto"/>
        <w:ind w:right="-54" w:firstLine="720"/>
        <w:jc w:val="both"/>
        <w:rPr>
          <w:b w:val="0"/>
          <w:bCs w:val="0"/>
        </w:rPr>
      </w:pPr>
      <w:r>
        <w:rPr>
          <w:b w:val="0"/>
          <w:bCs w:val="0"/>
        </w:rPr>
        <w:t>The cross</w:t>
      </w:r>
      <w:r w:rsidR="000B5D53">
        <w:rPr>
          <w:b w:val="0"/>
          <w:bCs w:val="0"/>
        </w:rPr>
        <w:t xml:space="preserve"> </w:t>
      </w:r>
      <w:r>
        <w:rPr>
          <w:b w:val="0"/>
          <w:bCs w:val="0"/>
        </w:rPr>
        <w:t xml:space="preserve">check analysis represents important evidence that demonstrates that </w:t>
      </w:r>
      <w:r w:rsidR="006B56DB">
        <w:rPr>
          <w:b w:val="0"/>
          <w:bCs w:val="0"/>
        </w:rPr>
        <w:t>the Company will continue to experience attrition into the 2016 rate year, and the Company should not be precluded from presenting evidence that supports its need for rate relief.</w:t>
      </w:r>
    </w:p>
    <w:p w:rsidR="00CC5D5B" w:rsidRPr="00CC5D5B" w:rsidRDefault="00CC5D5B" w:rsidP="00447CEC">
      <w:pPr>
        <w:pStyle w:val="BodyText"/>
        <w:tabs>
          <w:tab w:val="left" w:pos="720"/>
        </w:tabs>
        <w:spacing w:line="480" w:lineRule="auto"/>
        <w:ind w:right="-54" w:firstLine="720"/>
        <w:jc w:val="both"/>
        <w:rPr>
          <w:bCs w:val="0"/>
        </w:rPr>
      </w:pPr>
      <w:r w:rsidRPr="00CC5D5B">
        <w:rPr>
          <w:bCs w:val="0"/>
        </w:rPr>
        <w:t>Q.</w:t>
      </w:r>
      <w:r w:rsidRPr="00CC5D5B">
        <w:rPr>
          <w:bCs w:val="0"/>
        </w:rPr>
        <w:tab/>
        <w:t>Based on Avista’s updated electric revenue requirement of $3.6 million, and its updated natural gas revenue requirement of $10.0 million, what would Avista’s estimated earnings shortfall be if the Commission were to adopt the recommendations of Public Counsel, ICNU and NWIGU?</w:t>
      </w:r>
    </w:p>
    <w:p w:rsidR="009A65B2" w:rsidRPr="009A65B2" w:rsidRDefault="00CC5D5B" w:rsidP="009A65B2">
      <w:pPr>
        <w:pStyle w:val="BodyText"/>
        <w:tabs>
          <w:tab w:val="left" w:pos="720"/>
        </w:tabs>
        <w:spacing w:line="480" w:lineRule="auto"/>
        <w:ind w:right="-54" w:firstLine="720"/>
        <w:jc w:val="both"/>
        <w:rPr>
          <w:b w:val="0"/>
          <w:bCs w:val="0"/>
        </w:rPr>
      </w:pPr>
      <w:r>
        <w:rPr>
          <w:b w:val="0"/>
          <w:bCs w:val="0"/>
        </w:rPr>
        <w:t>A.</w:t>
      </w:r>
      <w:r>
        <w:rPr>
          <w:b w:val="0"/>
          <w:bCs w:val="0"/>
        </w:rPr>
        <w:tab/>
      </w:r>
      <w:r w:rsidR="001D0A84">
        <w:rPr>
          <w:b w:val="0"/>
          <w:bCs w:val="0"/>
        </w:rPr>
        <w:t xml:space="preserve">Table </w:t>
      </w:r>
      <w:r w:rsidR="00025AFC">
        <w:rPr>
          <w:b w:val="0"/>
          <w:bCs w:val="0"/>
        </w:rPr>
        <w:t xml:space="preserve">No. </w:t>
      </w:r>
      <w:r w:rsidR="00D72A3F">
        <w:rPr>
          <w:b w:val="0"/>
          <w:bCs w:val="0"/>
        </w:rPr>
        <w:t>4</w:t>
      </w:r>
      <w:r w:rsidR="001D0A84">
        <w:rPr>
          <w:b w:val="0"/>
          <w:bCs w:val="0"/>
        </w:rPr>
        <w:t xml:space="preserve"> below illustrates the earnings shortfall for Avista for 2016 if the Commission were to adopt the recommendations of Public Counsel, ICNU and NWIGU.</w:t>
      </w:r>
      <w:r w:rsidR="009A65B2">
        <w:rPr>
          <w:bCs w:val="0"/>
          <w:u w:val="single"/>
        </w:rPr>
        <w:br w:type="page"/>
      </w:r>
    </w:p>
    <w:p w:rsidR="002F7DFE" w:rsidRPr="00976DE3" w:rsidRDefault="002F7DFE" w:rsidP="002F7DFE">
      <w:pPr>
        <w:pStyle w:val="BodyText"/>
        <w:tabs>
          <w:tab w:val="left" w:pos="4140"/>
          <w:tab w:val="center" w:pos="4680"/>
          <w:tab w:val="right" w:pos="5220"/>
          <w:tab w:val="left" w:pos="5580"/>
          <w:tab w:val="center" w:pos="6300"/>
          <w:tab w:val="right" w:pos="6930"/>
          <w:tab w:val="left" w:pos="7380"/>
          <w:tab w:val="left" w:pos="7560"/>
          <w:tab w:val="center" w:pos="8190"/>
          <w:tab w:val="right" w:pos="8820"/>
        </w:tabs>
        <w:spacing w:line="240" w:lineRule="auto"/>
        <w:ind w:right="-54"/>
        <w:jc w:val="both"/>
        <w:rPr>
          <w:bCs w:val="0"/>
          <w:u w:val="single"/>
        </w:rPr>
      </w:pPr>
      <w:r>
        <w:rPr>
          <w:bCs w:val="0"/>
          <w:u w:val="single"/>
        </w:rPr>
        <w:lastRenderedPageBreak/>
        <w:t>Table No.</w:t>
      </w:r>
      <w:r w:rsidR="00025AFC">
        <w:rPr>
          <w:bCs w:val="0"/>
          <w:u w:val="single"/>
        </w:rPr>
        <w:t xml:space="preserve"> </w:t>
      </w:r>
      <w:r w:rsidR="00D72A3F">
        <w:rPr>
          <w:bCs w:val="0"/>
          <w:u w:val="single"/>
        </w:rPr>
        <w:t>4</w:t>
      </w:r>
    </w:p>
    <w:p w:rsidR="00572C9C" w:rsidRPr="008C1B92" w:rsidRDefault="00572C9C" w:rsidP="00572C9C">
      <w:pPr>
        <w:pStyle w:val="BodyText"/>
        <w:tabs>
          <w:tab w:val="left" w:pos="3960"/>
          <w:tab w:val="center" w:pos="4770"/>
          <w:tab w:val="right" w:pos="5580"/>
          <w:tab w:val="left" w:pos="5940"/>
          <w:tab w:val="center" w:pos="6570"/>
          <w:tab w:val="right" w:pos="7200"/>
          <w:tab w:val="left" w:pos="7560"/>
          <w:tab w:val="center" w:pos="8280"/>
          <w:tab w:val="right" w:pos="9000"/>
        </w:tabs>
        <w:spacing w:line="240" w:lineRule="auto"/>
        <w:ind w:right="-54"/>
        <w:jc w:val="both"/>
        <w:rPr>
          <w:bCs w:val="0"/>
          <w:u w:val="single"/>
        </w:rPr>
      </w:pPr>
      <w:r w:rsidRPr="008C1B92">
        <w:rPr>
          <w:bCs w:val="0"/>
        </w:rPr>
        <w:tab/>
      </w:r>
      <w:r w:rsidRPr="008C1B92">
        <w:rPr>
          <w:bCs w:val="0"/>
          <w:u w:val="single"/>
        </w:rPr>
        <w:tab/>
      </w:r>
      <w:r w:rsidRPr="008C1B92">
        <w:rPr>
          <w:bCs w:val="0"/>
          <w:u w:val="single"/>
        </w:rPr>
        <w:tab/>
      </w:r>
      <w:r w:rsidRPr="008C1B92">
        <w:rPr>
          <w:bCs w:val="0"/>
          <w:u w:val="single"/>
        </w:rPr>
        <w:tab/>
      </w:r>
      <w:r w:rsidRPr="008C1B92">
        <w:rPr>
          <w:bCs w:val="0"/>
          <w:u w:val="single"/>
        </w:rPr>
        <w:tab/>
        <w:t>$Millions</w:t>
      </w:r>
      <w:r w:rsidRPr="008C1B92">
        <w:rPr>
          <w:bCs w:val="0"/>
          <w:u w:val="single"/>
        </w:rPr>
        <w:tab/>
      </w:r>
      <w:r w:rsidRPr="008C1B92">
        <w:rPr>
          <w:bCs w:val="0"/>
          <w:u w:val="single"/>
        </w:rPr>
        <w:tab/>
      </w:r>
      <w:r w:rsidRPr="008C1B92">
        <w:rPr>
          <w:bCs w:val="0"/>
          <w:u w:val="single"/>
        </w:rPr>
        <w:tab/>
      </w:r>
      <w:r w:rsidRPr="008C1B92">
        <w:rPr>
          <w:bCs w:val="0"/>
          <w:u w:val="single"/>
        </w:rPr>
        <w:tab/>
      </w:r>
    </w:p>
    <w:p w:rsidR="002F7DFE" w:rsidRPr="008C1B92" w:rsidRDefault="002F7DFE" w:rsidP="00564259">
      <w:pPr>
        <w:pStyle w:val="BodyText"/>
        <w:tabs>
          <w:tab w:val="left" w:pos="3960"/>
          <w:tab w:val="center" w:pos="4770"/>
          <w:tab w:val="right" w:pos="5580"/>
          <w:tab w:val="left" w:pos="5940"/>
          <w:tab w:val="center" w:pos="6570"/>
          <w:tab w:val="right" w:pos="7200"/>
          <w:tab w:val="left" w:pos="7560"/>
          <w:tab w:val="center" w:pos="8280"/>
          <w:tab w:val="right" w:pos="9000"/>
        </w:tabs>
        <w:spacing w:line="240" w:lineRule="auto"/>
        <w:ind w:right="-54"/>
        <w:jc w:val="both"/>
        <w:rPr>
          <w:bCs w:val="0"/>
        </w:rPr>
      </w:pPr>
      <w:r w:rsidRPr="008C1B92">
        <w:rPr>
          <w:bCs w:val="0"/>
        </w:rPr>
        <w:tab/>
      </w:r>
      <w:r w:rsidRPr="008C1B92">
        <w:rPr>
          <w:bCs w:val="0"/>
        </w:rPr>
        <w:tab/>
        <w:t>Public Counsel</w:t>
      </w:r>
      <w:r w:rsidRPr="008C1B92">
        <w:rPr>
          <w:bCs w:val="0"/>
        </w:rPr>
        <w:tab/>
      </w:r>
      <w:r w:rsidRPr="008C1B92">
        <w:rPr>
          <w:bCs w:val="0"/>
        </w:rPr>
        <w:tab/>
      </w:r>
      <w:r w:rsidRPr="008C1B92">
        <w:rPr>
          <w:bCs w:val="0"/>
        </w:rPr>
        <w:tab/>
        <w:t>ICNU</w:t>
      </w:r>
      <w:r w:rsidRPr="008C1B92">
        <w:rPr>
          <w:bCs w:val="0"/>
        </w:rPr>
        <w:tab/>
      </w:r>
      <w:r w:rsidRPr="008C1B92">
        <w:rPr>
          <w:bCs w:val="0"/>
        </w:rPr>
        <w:tab/>
      </w:r>
      <w:r w:rsidRPr="008C1B92">
        <w:rPr>
          <w:bCs w:val="0"/>
        </w:rPr>
        <w:tab/>
        <w:t>NWIGU</w:t>
      </w:r>
    </w:p>
    <w:p w:rsidR="002F7DFE" w:rsidRPr="008C1B92" w:rsidRDefault="002F7DFE" w:rsidP="00564259">
      <w:pPr>
        <w:pStyle w:val="BodyText"/>
        <w:tabs>
          <w:tab w:val="left" w:pos="3960"/>
          <w:tab w:val="center" w:pos="4770"/>
          <w:tab w:val="right" w:pos="5580"/>
          <w:tab w:val="left" w:pos="5940"/>
          <w:tab w:val="center" w:pos="6570"/>
          <w:tab w:val="right" w:pos="7200"/>
          <w:tab w:val="left" w:pos="7560"/>
          <w:tab w:val="center" w:pos="8280"/>
          <w:tab w:val="right" w:pos="9000"/>
        </w:tabs>
        <w:ind w:right="-58" w:firstLine="720"/>
        <w:jc w:val="both"/>
        <w:rPr>
          <w:bCs w:val="0"/>
          <w:u w:val="single"/>
        </w:rPr>
      </w:pPr>
      <w:r w:rsidRPr="008C1B92">
        <w:rPr>
          <w:bCs w:val="0"/>
        </w:rPr>
        <w:tab/>
      </w:r>
      <w:r w:rsidRPr="008C1B92">
        <w:rPr>
          <w:bCs w:val="0"/>
          <w:u w:val="single"/>
        </w:rPr>
        <w:tab/>
        <w:t>Electric</w:t>
      </w:r>
      <w:r w:rsidR="00A85563">
        <w:rPr>
          <w:rStyle w:val="FootnoteReference"/>
          <w:bCs w:val="0"/>
          <w:u w:val="single"/>
        </w:rPr>
        <w:footnoteReference w:id="20"/>
      </w:r>
      <w:r w:rsidRPr="008C1B92">
        <w:rPr>
          <w:bCs w:val="0"/>
          <w:u w:val="single"/>
        </w:rPr>
        <w:t xml:space="preserve">   </w:t>
      </w:r>
      <w:r w:rsidRPr="008C1B92">
        <w:rPr>
          <w:bCs w:val="0"/>
          <w:u w:val="single"/>
        </w:rPr>
        <w:tab/>
      </w:r>
      <w:r w:rsidRPr="008C1B92">
        <w:rPr>
          <w:bCs w:val="0"/>
        </w:rPr>
        <w:tab/>
      </w:r>
      <w:r w:rsidRPr="008C1B92">
        <w:rPr>
          <w:bCs w:val="0"/>
          <w:u w:val="single"/>
        </w:rPr>
        <w:tab/>
        <w:t xml:space="preserve">Electric       </w:t>
      </w:r>
      <w:r w:rsidRPr="008C1B92">
        <w:rPr>
          <w:bCs w:val="0"/>
        </w:rPr>
        <w:tab/>
      </w:r>
      <w:r w:rsidRPr="008C1B92">
        <w:rPr>
          <w:bCs w:val="0"/>
        </w:rPr>
        <w:tab/>
      </w:r>
      <w:r w:rsidRPr="008C1B92">
        <w:rPr>
          <w:bCs w:val="0"/>
          <w:u w:val="single"/>
        </w:rPr>
        <w:t>Natural Gas</w:t>
      </w:r>
    </w:p>
    <w:p w:rsidR="002F7DFE" w:rsidRPr="00914DED" w:rsidRDefault="00564259" w:rsidP="00564259">
      <w:pPr>
        <w:pStyle w:val="BodyText"/>
        <w:tabs>
          <w:tab w:val="left" w:pos="3960"/>
          <w:tab w:val="center" w:pos="4770"/>
          <w:tab w:val="right" w:pos="5580"/>
          <w:tab w:val="left" w:pos="5940"/>
          <w:tab w:val="center" w:pos="6570"/>
          <w:tab w:val="right" w:pos="7200"/>
          <w:tab w:val="left" w:pos="7560"/>
          <w:tab w:val="center" w:pos="8280"/>
          <w:tab w:val="right" w:pos="9000"/>
        </w:tabs>
        <w:spacing w:line="240" w:lineRule="auto"/>
        <w:ind w:right="-58"/>
        <w:jc w:val="both"/>
        <w:rPr>
          <w:b w:val="0"/>
          <w:bCs w:val="0"/>
        </w:rPr>
      </w:pPr>
      <w:r>
        <w:rPr>
          <w:b w:val="0"/>
          <w:bCs w:val="0"/>
        </w:rPr>
        <w:t>Intervenor Proposed Revenue Rqmt</w:t>
      </w:r>
      <w:r w:rsidR="00736422">
        <w:rPr>
          <w:b w:val="0"/>
          <w:bCs w:val="0"/>
        </w:rPr>
        <w:tab/>
      </w:r>
      <w:r w:rsidR="00736422">
        <w:rPr>
          <w:b w:val="0"/>
          <w:bCs w:val="0"/>
        </w:rPr>
        <w:tab/>
        <w:t>($29.7)</w:t>
      </w:r>
      <w:r w:rsidR="002F7DFE" w:rsidRPr="00914DED">
        <w:rPr>
          <w:b w:val="0"/>
          <w:bCs w:val="0"/>
        </w:rPr>
        <w:tab/>
      </w:r>
      <w:r w:rsidR="002F7DFE" w:rsidRPr="00914DED">
        <w:rPr>
          <w:b w:val="0"/>
          <w:bCs w:val="0"/>
        </w:rPr>
        <w:tab/>
      </w:r>
      <w:r w:rsidR="00736422">
        <w:rPr>
          <w:b w:val="0"/>
          <w:bCs w:val="0"/>
        </w:rPr>
        <w:tab/>
        <w:t>($17.4)</w:t>
      </w:r>
      <w:r w:rsidR="00736422">
        <w:rPr>
          <w:b w:val="0"/>
          <w:bCs w:val="0"/>
        </w:rPr>
        <w:tab/>
      </w:r>
      <w:r w:rsidR="00736422">
        <w:rPr>
          <w:b w:val="0"/>
          <w:bCs w:val="0"/>
        </w:rPr>
        <w:tab/>
      </w:r>
      <w:r w:rsidR="00736422">
        <w:rPr>
          <w:b w:val="0"/>
          <w:bCs w:val="0"/>
        </w:rPr>
        <w:tab/>
        <w:t>$0</w:t>
      </w:r>
    </w:p>
    <w:p w:rsidR="002F7DFE" w:rsidRPr="00914DED" w:rsidRDefault="00736422" w:rsidP="00564259">
      <w:pPr>
        <w:pStyle w:val="BodyText"/>
        <w:tabs>
          <w:tab w:val="left" w:pos="3960"/>
          <w:tab w:val="center" w:pos="4770"/>
          <w:tab w:val="right" w:pos="5580"/>
          <w:tab w:val="left" w:pos="5940"/>
          <w:tab w:val="center" w:pos="6570"/>
          <w:tab w:val="right" w:pos="7200"/>
          <w:tab w:val="left" w:pos="7560"/>
          <w:tab w:val="center" w:pos="8280"/>
          <w:tab w:val="right" w:pos="9000"/>
        </w:tabs>
        <w:spacing w:line="240" w:lineRule="auto"/>
        <w:ind w:right="-58"/>
        <w:jc w:val="both"/>
        <w:rPr>
          <w:b w:val="0"/>
          <w:bCs w:val="0"/>
        </w:rPr>
      </w:pPr>
      <w:r>
        <w:rPr>
          <w:b w:val="0"/>
          <w:bCs w:val="0"/>
        </w:rPr>
        <w:t>Avista Update</w:t>
      </w:r>
      <w:r w:rsidR="006023DC">
        <w:rPr>
          <w:b w:val="0"/>
          <w:bCs w:val="0"/>
        </w:rPr>
        <w:t>d</w:t>
      </w:r>
      <w:r>
        <w:rPr>
          <w:b w:val="0"/>
          <w:bCs w:val="0"/>
        </w:rPr>
        <w:t xml:space="preserve"> Revenue Rqmt</w:t>
      </w:r>
      <w:r w:rsidR="002F7DFE" w:rsidRPr="00914DED">
        <w:rPr>
          <w:b w:val="0"/>
          <w:bCs w:val="0"/>
        </w:rPr>
        <w:tab/>
      </w:r>
      <w:r>
        <w:rPr>
          <w:b w:val="0"/>
          <w:bCs w:val="0"/>
          <w:u w:val="single"/>
        </w:rPr>
        <w:tab/>
        <w:t>$3.6</w:t>
      </w:r>
      <w:r w:rsidR="002F7DFE" w:rsidRPr="00914DED">
        <w:rPr>
          <w:b w:val="0"/>
          <w:bCs w:val="0"/>
          <w:u w:val="single"/>
        </w:rPr>
        <w:tab/>
      </w:r>
      <w:r w:rsidR="002F7DFE" w:rsidRPr="00914DED">
        <w:rPr>
          <w:b w:val="0"/>
          <w:bCs w:val="0"/>
        </w:rPr>
        <w:t xml:space="preserve">     </w:t>
      </w:r>
      <w:r w:rsidR="002F7DFE" w:rsidRPr="00914DED">
        <w:rPr>
          <w:b w:val="0"/>
          <w:bCs w:val="0"/>
        </w:rPr>
        <w:tab/>
      </w:r>
      <w:r w:rsidR="002F7DFE" w:rsidRPr="00EF2014">
        <w:rPr>
          <w:b w:val="0"/>
          <w:bCs w:val="0"/>
          <w:u w:val="single"/>
        </w:rPr>
        <w:tab/>
      </w:r>
      <w:r>
        <w:rPr>
          <w:b w:val="0"/>
          <w:bCs w:val="0"/>
          <w:u w:val="single"/>
        </w:rPr>
        <w:t>$3.6</w:t>
      </w:r>
      <w:r w:rsidR="002F7DFE" w:rsidRPr="00EF2014">
        <w:rPr>
          <w:b w:val="0"/>
          <w:bCs w:val="0"/>
          <w:u w:val="single"/>
        </w:rPr>
        <w:tab/>
      </w:r>
      <w:r w:rsidR="002F7DFE" w:rsidRPr="00914DED">
        <w:rPr>
          <w:b w:val="0"/>
          <w:bCs w:val="0"/>
        </w:rPr>
        <w:tab/>
      </w:r>
      <w:r w:rsidRPr="00736422">
        <w:rPr>
          <w:b w:val="0"/>
          <w:bCs w:val="0"/>
          <w:u w:val="single"/>
        </w:rPr>
        <w:tab/>
        <w:t>$10.0</w:t>
      </w:r>
      <w:r w:rsidR="002F7DFE" w:rsidRPr="00EF2014">
        <w:rPr>
          <w:b w:val="0"/>
          <w:bCs w:val="0"/>
          <w:u w:val="single"/>
        </w:rPr>
        <w:tab/>
      </w:r>
    </w:p>
    <w:p w:rsidR="002F7DFE" w:rsidRDefault="00736422" w:rsidP="00564259">
      <w:pPr>
        <w:pStyle w:val="BodyText"/>
        <w:tabs>
          <w:tab w:val="left" w:pos="3960"/>
          <w:tab w:val="center" w:pos="4770"/>
          <w:tab w:val="right" w:pos="5580"/>
          <w:tab w:val="left" w:pos="5940"/>
          <w:tab w:val="center" w:pos="6570"/>
          <w:tab w:val="right" w:pos="7200"/>
          <w:tab w:val="left" w:pos="7560"/>
          <w:tab w:val="center" w:pos="8280"/>
          <w:tab w:val="right" w:pos="9000"/>
        </w:tabs>
        <w:spacing w:line="240" w:lineRule="auto"/>
        <w:ind w:right="-58"/>
        <w:jc w:val="both"/>
        <w:rPr>
          <w:b w:val="0"/>
          <w:bCs w:val="0"/>
        </w:rPr>
      </w:pPr>
      <w:r>
        <w:rPr>
          <w:b w:val="0"/>
          <w:bCs w:val="0"/>
        </w:rPr>
        <w:t>Shortfall from Intervenor Proposals</w:t>
      </w:r>
      <w:r>
        <w:rPr>
          <w:b w:val="0"/>
          <w:bCs w:val="0"/>
        </w:rPr>
        <w:tab/>
      </w:r>
      <w:r>
        <w:rPr>
          <w:b w:val="0"/>
          <w:bCs w:val="0"/>
        </w:rPr>
        <w:tab/>
        <w:t>($33.3)</w:t>
      </w:r>
      <w:r>
        <w:rPr>
          <w:b w:val="0"/>
          <w:bCs w:val="0"/>
        </w:rPr>
        <w:tab/>
      </w:r>
      <w:r>
        <w:rPr>
          <w:b w:val="0"/>
          <w:bCs w:val="0"/>
        </w:rPr>
        <w:tab/>
      </w:r>
      <w:r>
        <w:rPr>
          <w:b w:val="0"/>
          <w:bCs w:val="0"/>
        </w:rPr>
        <w:tab/>
        <w:t>($21.0)</w:t>
      </w:r>
      <w:r>
        <w:rPr>
          <w:b w:val="0"/>
          <w:bCs w:val="0"/>
        </w:rPr>
        <w:tab/>
      </w:r>
      <w:r>
        <w:rPr>
          <w:b w:val="0"/>
          <w:bCs w:val="0"/>
        </w:rPr>
        <w:tab/>
      </w:r>
      <w:r w:rsidR="002F7DFE" w:rsidRPr="00914DED">
        <w:rPr>
          <w:b w:val="0"/>
          <w:bCs w:val="0"/>
        </w:rPr>
        <w:tab/>
      </w:r>
      <w:r>
        <w:rPr>
          <w:b w:val="0"/>
          <w:bCs w:val="0"/>
        </w:rPr>
        <w:t>($10.0)</w:t>
      </w:r>
    </w:p>
    <w:p w:rsidR="00736422" w:rsidRPr="008C1B92" w:rsidRDefault="00736422" w:rsidP="008C1B9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60"/>
          <w:tab w:val="center" w:pos="4770"/>
          <w:tab w:val="right" w:pos="5580"/>
          <w:tab w:val="left" w:pos="5940"/>
          <w:tab w:val="center" w:pos="6570"/>
          <w:tab w:val="right" w:pos="7200"/>
          <w:tab w:val="left" w:pos="7560"/>
          <w:tab w:val="center" w:pos="8280"/>
          <w:tab w:val="right" w:pos="9000"/>
        </w:tabs>
        <w:spacing w:line="240" w:lineRule="auto"/>
        <w:ind w:right="-58"/>
        <w:jc w:val="both"/>
        <w:rPr>
          <w:bCs w:val="0"/>
        </w:rPr>
      </w:pPr>
      <w:r w:rsidRPr="008C1B92">
        <w:rPr>
          <w:bCs w:val="0"/>
        </w:rPr>
        <w:t>After-Tax Shortfall</w:t>
      </w:r>
      <w:r w:rsidRPr="008C1B92">
        <w:rPr>
          <w:rStyle w:val="FootnoteReference"/>
          <w:bCs w:val="0"/>
        </w:rPr>
        <w:footnoteReference w:id="21"/>
      </w:r>
      <w:r w:rsidRPr="008C1B92">
        <w:rPr>
          <w:bCs w:val="0"/>
        </w:rPr>
        <w:t xml:space="preserve"> </w:t>
      </w:r>
      <w:r w:rsidRPr="008C1B92">
        <w:rPr>
          <w:bCs w:val="0"/>
        </w:rPr>
        <w:tab/>
      </w:r>
      <w:r w:rsidRPr="008C1B92">
        <w:rPr>
          <w:bCs w:val="0"/>
        </w:rPr>
        <w:tab/>
        <w:t>($</w:t>
      </w:r>
      <w:r w:rsidR="00025AFC">
        <w:rPr>
          <w:bCs w:val="0"/>
        </w:rPr>
        <w:t>20.6</w:t>
      </w:r>
      <w:r w:rsidRPr="008C1B92">
        <w:rPr>
          <w:bCs w:val="0"/>
        </w:rPr>
        <w:t>)</w:t>
      </w:r>
      <w:r w:rsidRPr="008C1B92">
        <w:rPr>
          <w:bCs w:val="0"/>
        </w:rPr>
        <w:tab/>
      </w:r>
      <w:r w:rsidRPr="008C1B92">
        <w:rPr>
          <w:bCs w:val="0"/>
        </w:rPr>
        <w:tab/>
      </w:r>
      <w:r w:rsidRPr="008C1B92">
        <w:rPr>
          <w:bCs w:val="0"/>
        </w:rPr>
        <w:tab/>
        <w:t>($13.</w:t>
      </w:r>
      <w:r w:rsidR="00025AFC">
        <w:rPr>
          <w:bCs w:val="0"/>
        </w:rPr>
        <w:t>0</w:t>
      </w:r>
      <w:r w:rsidRPr="008C1B92">
        <w:rPr>
          <w:bCs w:val="0"/>
        </w:rPr>
        <w:t>)</w:t>
      </w:r>
      <w:r w:rsidRPr="008C1B92">
        <w:rPr>
          <w:bCs w:val="0"/>
        </w:rPr>
        <w:tab/>
      </w:r>
      <w:r w:rsidRPr="008C1B92">
        <w:rPr>
          <w:bCs w:val="0"/>
        </w:rPr>
        <w:tab/>
      </w:r>
      <w:r w:rsidRPr="008C1B92">
        <w:rPr>
          <w:bCs w:val="0"/>
        </w:rPr>
        <w:tab/>
        <w:t>($6.</w:t>
      </w:r>
      <w:r w:rsidR="00025AFC">
        <w:rPr>
          <w:bCs w:val="0"/>
        </w:rPr>
        <w:t>2</w:t>
      </w:r>
      <w:r w:rsidRPr="008C1B92">
        <w:rPr>
          <w:bCs w:val="0"/>
        </w:rPr>
        <w:t>)</w:t>
      </w:r>
    </w:p>
    <w:p w:rsidR="008C1B92" w:rsidRDefault="008C1B92" w:rsidP="00564259">
      <w:pPr>
        <w:pStyle w:val="BodyText"/>
        <w:tabs>
          <w:tab w:val="left" w:pos="3960"/>
          <w:tab w:val="center" w:pos="4770"/>
          <w:tab w:val="right" w:pos="5580"/>
          <w:tab w:val="left" w:pos="5940"/>
          <w:tab w:val="center" w:pos="6570"/>
          <w:tab w:val="right" w:pos="7200"/>
          <w:tab w:val="left" w:pos="7560"/>
          <w:tab w:val="center" w:pos="8280"/>
          <w:tab w:val="right" w:pos="9000"/>
        </w:tabs>
        <w:spacing w:line="240" w:lineRule="auto"/>
        <w:ind w:right="-58"/>
        <w:jc w:val="both"/>
        <w:rPr>
          <w:b w:val="0"/>
          <w:bCs w:val="0"/>
        </w:rPr>
      </w:pPr>
    </w:p>
    <w:p w:rsidR="008C1B92" w:rsidRDefault="008C1B92" w:rsidP="00564259">
      <w:pPr>
        <w:pStyle w:val="BodyText"/>
        <w:tabs>
          <w:tab w:val="left" w:pos="3960"/>
          <w:tab w:val="center" w:pos="4770"/>
          <w:tab w:val="right" w:pos="5580"/>
          <w:tab w:val="left" w:pos="5940"/>
          <w:tab w:val="center" w:pos="6570"/>
          <w:tab w:val="right" w:pos="7200"/>
          <w:tab w:val="left" w:pos="7560"/>
          <w:tab w:val="center" w:pos="8280"/>
          <w:tab w:val="right" w:pos="9000"/>
        </w:tabs>
        <w:spacing w:line="240" w:lineRule="auto"/>
        <w:ind w:right="-58"/>
        <w:jc w:val="both"/>
        <w:rPr>
          <w:b w:val="0"/>
          <w:bCs w:val="0"/>
        </w:rPr>
      </w:pPr>
      <w:r>
        <w:rPr>
          <w:b w:val="0"/>
          <w:bCs w:val="0"/>
        </w:rPr>
        <w:t>Rate Base</w:t>
      </w:r>
      <w:r>
        <w:rPr>
          <w:b w:val="0"/>
          <w:bCs w:val="0"/>
        </w:rPr>
        <w:tab/>
      </w:r>
      <w:r>
        <w:rPr>
          <w:b w:val="0"/>
          <w:bCs w:val="0"/>
        </w:rPr>
        <w:tab/>
        <w:t>$1,393.0</w:t>
      </w:r>
      <w:r>
        <w:rPr>
          <w:b w:val="0"/>
          <w:bCs w:val="0"/>
        </w:rPr>
        <w:tab/>
      </w:r>
      <w:r>
        <w:rPr>
          <w:b w:val="0"/>
          <w:bCs w:val="0"/>
        </w:rPr>
        <w:tab/>
      </w:r>
      <w:r>
        <w:rPr>
          <w:b w:val="0"/>
          <w:bCs w:val="0"/>
        </w:rPr>
        <w:tab/>
        <w:t>$1,393.0</w:t>
      </w:r>
      <w:r>
        <w:rPr>
          <w:b w:val="0"/>
          <w:bCs w:val="0"/>
        </w:rPr>
        <w:tab/>
      </w:r>
      <w:r>
        <w:rPr>
          <w:b w:val="0"/>
          <w:bCs w:val="0"/>
        </w:rPr>
        <w:tab/>
      </w:r>
      <w:r>
        <w:rPr>
          <w:b w:val="0"/>
          <w:bCs w:val="0"/>
        </w:rPr>
        <w:tab/>
        <w:t>$284.5</w:t>
      </w:r>
    </w:p>
    <w:p w:rsidR="008C1B92" w:rsidRPr="008C1B92" w:rsidRDefault="008C1B92" w:rsidP="008C1B9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60"/>
          <w:tab w:val="center" w:pos="4770"/>
          <w:tab w:val="right" w:pos="5580"/>
          <w:tab w:val="left" w:pos="5940"/>
          <w:tab w:val="center" w:pos="6570"/>
          <w:tab w:val="right" w:pos="7200"/>
          <w:tab w:val="left" w:pos="7560"/>
          <w:tab w:val="center" w:pos="8280"/>
          <w:tab w:val="right" w:pos="9000"/>
        </w:tabs>
        <w:spacing w:line="240" w:lineRule="auto"/>
        <w:ind w:right="-58"/>
        <w:jc w:val="both"/>
        <w:rPr>
          <w:bCs w:val="0"/>
        </w:rPr>
      </w:pPr>
      <w:r w:rsidRPr="008C1B92">
        <w:rPr>
          <w:bCs w:val="0"/>
        </w:rPr>
        <w:t>Equity Portion of Rate Base (48.5%)</w:t>
      </w:r>
      <w:r w:rsidRPr="008C1B92">
        <w:rPr>
          <w:bCs w:val="0"/>
        </w:rPr>
        <w:tab/>
      </w:r>
      <w:r w:rsidRPr="008C1B92">
        <w:rPr>
          <w:bCs w:val="0"/>
        </w:rPr>
        <w:tab/>
        <w:t>$675.6</w:t>
      </w:r>
      <w:r w:rsidRPr="008C1B92">
        <w:rPr>
          <w:bCs w:val="0"/>
        </w:rPr>
        <w:tab/>
      </w:r>
      <w:r w:rsidRPr="008C1B92">
        <w:rPr>
          <w:bCs w:val="0"/>
        </w:rPr>
        <w:tab/>
      </w:r>
      <w:r w:rsidRPr="008C1B92">
        <w:rPr>
          <w:bCs w:val="0"/>
        </w:rPr>
        <w:tab/>
        <w:t>$675.6</w:t>
      </w:r>
      <w:r w:rsidRPr="008C1B92">
        <w:rPr>
          <w:bCs w:val="0"/>
        </w:rPr>
        <w:tab/>
      </w:r>
      <w:r w:rsidRPr="008C1B92">
        <w:rPr>
          <w:bCs w:val="0"/>
        </w:rPr>
        <w:tab/>
      </w:r>
      <w:r w:rsidRPr="008C1B92">
        <w:rPr>
          <w:bCs w:val="0"/>
        </w:rPr>
        <w:tab/>
        <w:t>$138.0</w:t>
      </w:r>
      <w:r w:rsidRPr="008C1B92">
        <w:rPr>
          <w:bCs w:val="0"/>
        </w:rPr>
        <w:tab/>
      </w:r>
    </w:p>
    <w:p w:rsidR="008C1B92" w:rsidRDefault="008C1B92" w:rsidP="008C1B92">
      <w:pPr>
        <w:pStyle w:val="BodyText"/>
        <w:tabs>
          <w:tab w:val="left" w:pos="3960"/>
          <w:tab w:val="center" w:pos="4770"/>
          <w:tab w:val="right" w:pos="5580"/>
          <w:tab w:val="left" w:pos="5940"/>
          <w:tab w:val="center" w:pos="6570"/>
          <w:tab w:val="right" w:pos="7200"/>
          <w:tab w:val="left" w:pos="7560"/>
          <w:tab w:val="center" w:pos="8280"/>
          <w:tab w:val="right" w:pos="9000"/>
        </w:tabs>
        <w:spacing w:line="240" w:lineRule="auto"/>
        <w:ind w:right="-58"/>
        <w:jc w:val="both"/>
        <w:rPr>
          <w:b w:val="0"/>
          <w:bCs w:val="0"/>
        </w:rPr>
      </w:pPr>
    </w:p>
    <w:p w:rsidR="008C1B92" w:rsidRDefault="008C1B92" w:rsidP="008C1B92">
      <w:pPr>
        <w:pStyle w:val="BodyText"/>
        <w:tabs>
          <w:tab w:val="left" w:pos="3960"/>
          <w:tab w:val="center" w:pos="4770"/>
          <w:tab w:val="right" w:pos="5580"/>
          <w:tab w:val="left" w:pos="5940"/>
          <w:tab w:val="center" w:pos="6570"/>
          <w:tab w:val="right" w:pos="7200"/>
          <w:tab w:val="left" w:pos="7560"/>
          <w:tab w:val="center" w:pos="8280"/>
          <w:tab w:val="right" w:pos="9000"/>
        </w:tabs>
        <w:spacing w:line="240" w:lineRule="auto"/>
        <w:ind w:right="-58"/>
        <w:jc w:val="both"/>
        <w:rPr>
          <w:b w:val="0"/>
          <w:bCs w:val="0"/>
        </w:rPr>
      </w:pPr>
      <w:r>
        <w:rPr>
          <w:b w:val="0"/>
          <w:bCs w:val="0"/>
        </w:rPr>
        <w:t>May 1, 2015 Stipulated ROE</w:t>
      </w:r>
      <w:r>
        <w:rPr>
          <w:b w:val="0"/>
          <w:bCs w:val="0"/>
        </w:rPr>
        <w:tab/>
      </w:r>
      <w:r>
        <w:rPr>
          <w:b w:val="0"/>
          <w:bCs w:val="0"/>
        </w:rPr>
        <w:tab/>
        <w:t>9.50%</w:t>
      </w:r>
      <w:r>
        <w:rPr>
          <w:b w:val="0"/>
          <w:bCs w:val="0"/>
        </w:rPr>
        <w:tab/>
      </w:r>
      <w:r>
        <w:rPr>
          <w:b w:val="0"/>
          <w:bCs w:val="0"/>
        </w:rPr>
        <w:tab/>
      </w:r>
      <w:r>
        <w:rPr>
          <w:b w:val="0"/>
          <w:bCs w:val="0"/>
        </w:rPr>
        <w:tab/>
        <w:t>9.50%</w:t>
      </w:r>
      <w:r>
        <w:rPr>
          <w:b w:val="0"/>
          <w:bCs w:val="0"/>
        </w:rPr>
        <w:tab/>
      </w:r>
      <w:r>
        <w:rPr>
          <w:b w:val="0"/>
          <w:bCs w:val="0"/>
        </w:rPr>
        <w:tab/>
      </w:r>
      <w:r>
        <w:rPr>
          <w:b w:val="0"/>
          <w:bCs w:val="0"/>
        </w:rPr>
        <w:tab/>
        <w:t>9.50%</w:t>
      </w:r>
    </w:p>
    <w:p w:rsidR="008C1B92" w:rsidRPr="00A85563" w:rsidRDefault="00A85563" w:rsidP="00A85563">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60"/>
          <w:tab w:val="center" w:pos="4770"/>
          <w:tab w:val="right" w:pos="5580"/>
          <w:tab w:val="left" w:pos="5940"/>
          <w:tab w:val="center" w:pos="6570"/>
          <w:tab w:val="right" w:pos="7200"/>
          <w:tab w:val="left" w:pos="7560"/>
          <w:tab w:val="center" w:pos="8280"/>
          <w:tab w:val="right" w:pos="9000"/>
        </w:tabs>
        <w:spacing w:line="240" w:lineRule="auto"/>
        <w:ind w:right="-58"/>
        <w:jc w:val="both"/>
        <w:rPr>
          <w:bCs w:val="0"/>
        </w:rPr>
      </w:pPr>
      <w:r w:rsidRPr="00A85563">
        <w:rPr>
          <w:bCs w:val="0"/>
        </w:rPr>
        <w:t>ROE Shortfall</w:t>
      </w:r>
      <w:r w:rsidRPr="00A85563">
        <w:rPr>
          <w:bCs w:val="0"/>
        </w:rPr>
        <w:tab/>
      </w:r>
      <w:r w:rsidRPr="00A85563">
        <w:rPr>
          <w:bCs w:val="0"/>
          <w:u w:val="single"/>
        </w:rPr>
        <w:tab/>
        <w:t>(3.</w:t>
      </w:r>
      <w:r w:rsidR="00025AFC">
        <w:rPr>
          <w:bCs w:val="0"/>
          <w:u w:val="single"/>
        </w:rPr>
        <w:t>05</w:t>
      </w:r>
      <w:r w:rsidRPr="00A85563">
        <w:rPr>
          <w:bCs w:val="0"/>
          <w:u w:val="single"/>
        </w:rPr>
        <w:t>%)</w:t>
      </w:r>
      <w:r w:rsidRPr="00A85563">
        <w:rPr>
          <w:bCs w:val="0"/>
          <w:u w:val="single"/>
        </w:rPr>
        <w:tab/>
      </w:r>
      <w:r w:rsidRPr="00A85563">
        <w:rPr>
          <w:bCs w:val="0"/>
        </w:rPr>
        <w:tab/>
      </w:r>
      <w:r w:rsidRPr="00A85563">
        <w:rPr>
          <w:bCs w:val="0"/>
          <w:u w:val="single"/>
        </w:rPr>
        <w:tab/>
        <w:t>(1.9</w:t>
      </w:r>
      <w:r w:rsidR="00025AFC">
        <w:rPr>
          <w:bCs w:val="0"/>
          <w:u w:val="single"/>
        </w:rPr>
        <w:t>2</w:t>
      </w:r>
      <w:r w:rsidRPr="00A85563">
        <w:rPr>
          <w:bCs w:val="0"/>
          <w:u w:val="single"/>
        </w:rPr>
        <w:t>%)</w:t>
      </w:r>
      <w:r w:rsidRPr="00A85563">
        <w:rPr>
          <w:bCs w:val="0"/>
          <w:u w:val="single"/>
        </w:rPr>
        <w:tab/>
      </w:r>
      <w:r w:rsidRPr="00A85563">
        <w:rPr>
          <w:bCs w:val="0"/>
        </w:rPr>
        <w:tab/>
      </w:r>
      <w:r w:rsidRPr="00A85563">
        <w:rPr>
          <w:bCs w:val="0"/>
          <w:u w:val="single"/>
        </w:rPr>
        <w:tab/>
        <w:t>(4.</w:t>
      </w:r>
      <w:r w:rsidR="00025AFC">
        <w:rPr>
          <w:bCs w:val="0"/>
          <w:u w:val="single"/>
        </w:rPr>
        <w:t>49</w:t>
      </w:r>
      <w:r w:rsidRPr="00A85563">
        <w:rPr>
          <w:bCs w:val="0"/>
          <w:u w:val="single"/>
        </w:rPr>
        <w:t>%)</w:t>
      </w:r>
      <w:r w:rsidRPr="00A85563">
        <w:rPr>
          <w:bCs w:val="0"/>
          <w:u w:val="single"/>
        </w:rPr>
        <w:tab/>
      </w:r>
    </w:p>
    <w:p w:rsidR="001D0A84" w:rsidRPr="005B3CA2" w:rsidRDefault="00A85563" w:rsidP="005B3CA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60"/>
          <w:tab w:val="center" w:pos="4770"/>
          <w:tab w:val="right" w:pos="5580"/>
          <w:tab w:val="left" w:pos="5940"/>
          <w:tab w:val="center" w:pos="6570"/>
          <w:tab w:val="right" w:pos="7200"/>
          <w:tab w:val="left" w:pos="7560"/>
          <w:tab w:val="center" w:pos="8280"/>
          <w:tab w:val="right" w:pos="9000"/>
        </w:tabs>
        <w:spacing w:line="240" w:lineRule="auto"/>
        <w:ind w:right="-58"/>
        <w:jc w:val="both"/>
        <w:rPr>
          <w:bCs w:val="0"/>
        </w:rPr>
      </w:pPr>
      <w:r w:rsidRPr="00A85563">
        <w:rPr>
          <w:bCs w:val="0"/>
        </w:rPr>
        <w:t>ROE Earnings Opportunity</w:t>
      </w:r>
      <w:r w:rsidRPr="00A85563">
        <w:rPr>
          <w:bCs w:val="0"/>
        </w:rPr>
        <w:tab/>
      </w:r>
      <w:r w:rsidRPr="00A85563">
        <w:rPr>
          <w:bCs w:val="0"/>
        </w:rPr>
        <w:tab/>
        <w:t>6.</w:t>
      </w:r>
      <w:r w:rsidR="00025AFC">
        <w:rPr>
          <w:bCs w:val="0"/>
        </w:rPr>
        <w:t>45</w:t>
      </w:r>
      <w:r w:rsidRPr="00A85563">
        <w:rPr>
          <w:bCs w:val="0"/>
        </w:rPr>
        <w:t>%</w:t>
      </w:r>
      <w:r w:rsidRPr="00A85563">
        <w:rPr>
          <w:bCs w:val="0"/>
        </w:rPr>
        <w:tab/>
      </w:r>
      <w:r w:rsidRPr="00A85563">
        <w:rPr>
          <w:bCs w:val="0"/>
        </w:rPr>
        <w:tab/>
      </w:r>
      <w:r w:rsidRPr="00A85563">
        <w:rPr>
          <w:bCs w:val="0"/>
        </w:rPr>
        <w:tab/>
        <w:t>7.</w:t>
      </w:r>
      <w:r w:rsidR="00025AFC">
        <w:rPr>
          <w:bCs w:val="0"/>
        </w:rPr>
        <w:t>58</w:t>
      </w:r>
      <w:r w:rsidRPr="00A85563">
        <w:rPr>
          <w:bCs w:val="0"/>
        </w:rPr>
        <w:t>%</w:t>
      </w:r>
      <w:r w:rsidRPr="00A85563">
        <w:rPr>
          <w:bCs w:val="0"/>
        </w:rPr>
        <w:tab/>
      </w:r>
      <w:r w:rsidRPr="00A85563">
        <w:rPr>
          <w:bCs w:val="0"/>
        </w:rPr>
        <w:tab/>
      </w:r>
      <w:r w:rsidRPr="00A85563">
        <w:rPr>
          <w:bCs w:val="0"/>
        </w:rPr>
        <w:tab/>
      </w:r>
      <w:r w:rsidR="00025AFC">
        <w:rPr>
          <w:bCs w:val="0"/>
        </w:rPr>
        <w:t>5.01</w:t>
      </w:r>
      <w:r w:rsidRPr="00A85563">
        <w:rPr>
          <w:bCs w:val="0"/>
        </w:rPr>
        <w:t>%</w:t>
      </w:r>
      <w:r w:rsidRPr="00A85563">
        <w:rPr>
          <w:bCs w:val="0"/>
        </w:rPr>
        <w:tab/>
      </w:r>
    </w:p>
    <w:p w:rsidR="009A65B2" w:rsidRDefault="009A65B2" w:rsidP="00447CEC">
      <w:pPr>
        <w:pStyle w:val="BodyText"/>
        <w:tabs>
          <w:tab w:val="left" w:pos="720"/>
        </w:tabs>
        <w:spacing w:line="480" w:lineRule="auto"/>
        <w:ind w:right="-54" w:firstLine="720"/>
        <w:jc w:val="both"/>
        <w:rPr>
          <w:b w:val="0"/>
          <w:bCs w:val="0"/>
        </w:rPr>
      </w:pPr>
    </w:p>
    <w:p w:rsidR="001D0A84" w:rsidRDefault="0057767D" w:rsidP="00447CEC">
      <w:pPr>
        <w:pStyle w:val="BodyText"/>
        <w:tabs>
          <w:tab w:val="left" w:pos="720"/>
        </w:tabs>
        <w:spacing w:line="480" w:lineRule="auto"/>
        <w:ind w:right="-54" w:firstLine="720"/>
        <w:jc w:val="both"/>
        <w:rPr>
          <w:b w:val="0"/>
          <w:bCs w:val="0"/>
        </w:rPr>
      </w:pPr>
      <w:r>
        <w:rPr>
          <w:b w:val="0"/>
          <w:bCs w:val="0"/>
        </w:rPr>
        <w:t>As can be seen from the table above, Public Counsel and ICNU’s electric rate decrease recommendations of $29.7 million and $17.4 million, respectively, would result in Avista under-earning significantly in 2016</w:t>
      </w:r>
      <w:r w:rsidR="004D1F1B">
        <w:rPr>
          <w:b w:val="0"/>
          <w:bCs w:val="0"/>
        </w:rPr>
        <w:t>:</w:t>
      </w:r>
      <w:r w:rsidR="00CE62D7">
        <w:rPr>
          <w:b w:val="0"/>
          <w:bCs w:val="0"/>
        </w:rPr>
        <w:t xml:space="preserve"> </w:t>
      </w:r>
      <w:r w:rsidR="00025AFC">
        <w:rPr>
          <w:b w:val="0"/>
          <w:bCs w:val="0"/>
        </w:rPr>
        <w:t>6.45</w:t>
      </w:r>
      <w:r w:rsidR="00CE62D7">
        <w:rPr>
          <w:b w:val="0"/>
          <w:bCs w:val="0"/>
        </w:rPr>
        <w:t>% ROE with Public Counsel’s recommendation, and 7.5</w:t>
      </w:r>
      <w:r w:rsidR="00025AFC">
        <w:rPr>
          <w:b w:val="0"/>
          <w:bCs w:val="0"/>
        </w:rPr>
        <w:t>8</w:t>
      </w:r>
      <w:r w:rsidR="00CE62D7">
        <w:rPr>
          <w:b w:val="0"/>
          <w:bCs w:val="0"/>
        </w:rPr>
        <w:t xml:space="preserve">% ROE with ICNU’s recommendation, as compared to the Stipulated ROE of 9.50%.  Avista’s </w:t>
      </w:r>
      <w:r w:rsidR="00025AFC">
        <w:rPr>
          <w:b w:val="0"/>
          <w:bCs w:val="0"/>
        </w:rPr>
        <w:t xml:space="preserve">natural gas </w:t>
      </w:r>
      <w:r w:rsidR="00CE62D7">
        <w:rPr>
          <w:b w:val="0"/>
          <w:bCs w:val="0"/>
        </w:rPr>
        <w:t xml:space="preserve">earnings opportunity in 2016 with NWIGU’s recommendation is </w:t>
      </w:r>
      <w:r w:rsidR="00025AFC">
        <w:rPr>
          <w:b w:val="0"/>
          <w:bCs w:val="0"/>
        </w:rPr>
        <w:t>5.01</w:t>
      </w:r>
      <w:r w:rsidR="00CE62D7">
        <w:rPr>
          <w:b w:val="0"/>
          <w:bCs w:val="0"/>
        </w:rPr>
        <w:t>% ROE.</w:t>
      </w:r>
    </w:p>
    <w:p w:rsidR="00A1344C" w:rsidRPr="00FF4E88" w:rsidRDefault="00FF4E88" w:rsidP="00447CEC">
      <w:pPr>
        <w:pStyle w:val="BodyText"/>
        <w:tabs>
          <w:tab w:val="left" w:pos="720"/>
        </w:tabs>
        <w:spacing w:line="480" w:lineRule="auto"/>
        <w:ind w:right="-54" w:firstLine="720"/>
        <w:jc w:val="both"/>
        <w:rPr>
          <w:bCs w:val="0"/>
        </w:rPr>
      </w:pPr>
      <w:r w:rsidRPr="00FF4E88">
        <w:rPr>
          <w:bCs w:val="0"/>
        </w:rPr>
        <w:t>Q.</w:t>
      </w:r>
      <w:r w:rsidRPr="00FF4E88">
        <w:rPr>
          <w:bCs w:val="0"/>
        </w:rPr>
        <w:tab/>
        <w:t>On page 12 of his testimony,</w:t>
      </w:r>
      <w:r w:rsidR="004D1F1B">
        <w:rPr>
          <w:bCs w:val="0"/>
        </w:rPr>
        <w:t xml:space="preserve"> (Exhibit No.___(BGM-1T)),</w:t>
      </w:r>
      <w:r w:rsidRPr="00FF4E88">
        <w:rPr>
          <w:bCs w:val="0"/>
        </w:rPr>
        <w:t xml:space="preserve"> beginning on line 1, Mr. Mullins raises concerns regarding whether Avista is actively controlling costs.  What is your response to this testimony?</w:t>
      </w:r>
    </w:p>
    <w:p w:rsidR="00FF4E88" w:rsidRDefault="00FF4E88" w:rsidP="00447CEC">
      <w:pPr>
        <w:pStyle w:val="BodyText"/>
        <w:tabs>
          <w:tab w:val="left" w:pos="720"/>
        </w:tabs>
        <w:spacing w:line="480" w:lineRule="auto"/>
        <w:ind w:right="-54" w:firstLine="720"/>
        <w:jc w:val="both"/>
        <w:rPr>
          <w:b w:val="0"/>
          <w:bCs w:val="0"/>
        </w:rPr>
      </w:pPr>
      <w:r>
        <w:rPr>
          <w:b w:val="0"/>
          <w:bCs w:val="0"/>
        </w:rPr>
        <w:t>A.</w:t>
      </w:r>
      <w:r>
        <w:rPr>
          <w:b w:val="0"/>
          <w:bCs w:val="0"/>
        </w:rPr>
        <w:tab/>
      </w:r>
      <w:r w:rsidR="004F7E28">
        <w:rPr>
          <w:b w:val="0"/>
          <w:bCs w:val="0"/>
        </w:rPr>
        <w:t xml:space="preserve">Avista has presented evidence in this case that demonstrates that it is actively taking measures to control its costs, beginning with the testimony of </w:t>
      </w:r>
      <w:r w:rsidR="00025AFC">
        <w:rPr>
          <w:b w:val="0"/>
          <w:bCs w:val="0"/>
        </w:rPr>
        <w:t xml:space="preserve">Company witness </w:t>
      </w:r>
      <w:r w:rsidR="004F7E28">
        <w:rPr>
          <w:b w:val="0"/>
          <w:bCs w:val="0"/>
        </w:rPr>
        <w:t xml:space="preserve">Mr. Morris on page </w:t>
      </w:r>
      <w:r w:rsidR="00025AFC">
        <w:rPr>
          <w:b w:val="0"/>
          <w:bCs w:val="0"/>
        </w:rPr>
        <w:t>12</w:t>
      </w:r>
      <w:r w:rsidR="004F7E28">
        <w:rPr>
          <w:b w:val="0"/>
          <w:bCs w:val="0"/>
        </w:rPr>
        <w:t xml:space="preserve">.  </w:t>
      </w:r>
      <w:r w:rsidR="004D1F1B">
        <w:rPr>
          <w:b w:val="0"/>
          <w:bCs w:val="0"/>
        </w:rPr>
        <w:t>(See Exhibit No.___(</w:t>
      </w:r>
      <w:proofErr w:type="spellStart"/>
      <w:r w:rsidR="004D1F1B">
        <w:rPr>
          <w:b w:val="0"/>
          <w:bCs w:val="0"/>
        </w:rPr>
        <w:t>SLM</w:t>
      </w:r>
      <w:proofErr w:type="spellEnd"/>
      <w:r w:rsidR="004D1F1B">
        <w:rPr>
          <w:b w:val="0"/>
          <w:bCs w:val="0"/>
        </w:rPr>
        <w:t>-1T</w:t>
      </w:r>
      <w:r w:rsidR="00783A30">
        <w:rPr>
          <w:b w:val="0"/>
          <w:bCs w:val="0"/>
        </w:rPr>
        <w:t>)</w:t>
      </w:r>
      <w:r w:rsidR="004D1F1B">
        <w:rPr>
          <w:b w:val="0"/>
          <w:bCs w:val="0"/>
        </w:rPr>
        <w:t xml:space="preserve">)  </w:t>
      </w:r>
      <w:r w:rsidR="00AE2B57">
        <w:rPr>
          <w:b w:val="0"/>
          <w:bCs w:val="0"/>
        </w:rPr>
        <w:t xml:space="preserve">With regard to utility operating </w:t>
      </w:r>
      <w:r w:rsidR="00AE2B57">
        <w:rPr>
          <w:b w:val="0"/>
          <w:bCs w:val="0"/>
        </w:rPr>
        <w:lastRenderedPageBreak/>
        <w:t>expenses, Mr. Morris explained</w:t>
      </w:r>
      <w:r w:rsidR="00F6473B">
        <w:rPr>
          <w:b w:val="0"/>
          <w:bCs w:val="0"/>
        </w:rPr>
        <w:t>, among other things,</w:t>
      </w:r>
      <w:r w:rsidR="00AE2B57">
        <w:rPr>
          <w:b w:val="0"/>
          <w:bCs w:val="0"/>
        </w:rPr>
        <w:t xml:space="preserve"> the reduced complement in 2013 from the Voluntary Severance Incentive Plan, the elimination of the defined benefit pension plan for non-union new hires beginning in 2014, and the transition, beginning in 2014, away from providing medical coverage for non-union retirees.</w:t>
      </w:r>
      <w:r w:rsidR="00AE2B57">
        <w:rPr>
          <w:rStyle w:val="FootnoteReference"/>
          <w:b w:val="0"/>
          <w:bCs w:val="0"/>
        </w:rPr>
        <w:footnoteReference w:id="22"/>
      </w:r>
      <w:r w:rsidR="009955B4">
        <w:rPr>
          <w:b w:val="0"/>
          <w:bCs w:val="0"/>
        </w:rPr>
        <w:t xml:space="preserve">  Mr. Thies, </w:t>
      </w:r>
      <w:r w:rsidR="00025AFC">
        <w:rPr>
          <w:b w:val="0"/>
          <w:bCs w:val="0"/>
        </w:rPr>
        <w:t xml:space="preserve">beginning </w:t>
      </w:r>
      <w:r w:rsidR="009955B4">
        <w:rPr>
          <w:b w:val="0"/>
          <w:bCs w:val="0"/>
        </w:rPr>
        <w:t xml:space="preserve">on page </w:t>
      </w:r>
      <w:r w:rsidR="006023DC">
        <w:rPr>
          <w:b w:val="0"/>
          <w:bCs w:val="0"/>
        </w:rPr>
        <w:t>1</w:t>
      </w:r>
      <w:r w:rsidR="00025AFC">
        <w:rPr>
          <w:b w:val="0"/>
          <w:bCs w:val="0"/>
        </w:rPr>
        <w:t xml:space="preserve">1 </w:t>
      </w:r>
      <w:r w:rsidR="009955B4">
        <w:rPr>
          <w:b w:val="0"/>
          <w:bCs w:val="0"/>
        </w:rPr>
        <w:t>of his testimony (Exhibit No.</w:t>
      </w:r>
      <w:r w:rsidR="00783A30">
        <w:rPr>
          <w:b w:val="0"/>
          <w:bCs w:val="0"/>
        </w:rPr>
        <w:t>___(</w:t>
      </w:r>
      <w:r w:rsidR="00025AFC">
        <w:rPr>
          <w:b w:val="0"/>
          <w:bCs w:val="0"/>
        </w:rPr>
        <w:t xml:space="preserve"> MTT-1T</w:t>
      </w:r>
      <w:r w:rsidR="00783A30">
        <w:rPr>
          <w:b w:val="0"/>
          <w:bCs w:val="0"/>
        </w:rPr>
        <w:t>)</w:t>
      </w:r>
      <w:r w:rsidR="00025AFC">
        <w:rPr>
          <w:b w:val="0"/>
          <w:bCs w:val="0"/>
        </w:rPr>
        <w:t>)</w:t>
      </w:r>
      <w:r w:rsidR="009955B4">
        <w:rPr>
          <w:b w:val="0"/>
          <w:bCs w:val="0"/>
        </w:rPr>
        <w:t>, refers t</w:t>
      </w:r>
      <w:r w:rsidR="00301F1A">
        <w:rPr>
          <w:b w:val="0"/>
          <w:bCs w:val="0"/>
        </w:rPr>
        <w:t>o Avista’s asset management programs, which are</w:t>
      </w:r>
      <w:r w:rsidR="009955B4">
        <w:rPr>
          <w:b w:val="0"/>
          <w:bCs w:val="0"/>
        </w:rPr>
        <w:t xml:space="preserve"> designed in part to focu</w:t>
      </w:r>
      <w:r w:rsidR="00A51BEF">
        <w:rPr>
          <w:b w:val="0"/>
          <w:bCs w:val="0"/>
        </w:rPr>
        <w:t>s on capital projects that will</w:t>
      </w:r>
      <w:r w:rsidR="009955B4">
        <w:rPr>
          <w:b w:val="0"/>
          <w:bCs w:val="0"/>
        </w:rPr>
        <w:t xml:space="preserve"> decrease O&amp;M costs.</w:t>
      </w:r>
      <w:r w:rsidR="009C72FF">
        <w:rPr>
          <w:b w:val="0"/>
          <w:bCs w:val="0"/>
        </w:rPr>
        <w:t xml:space="preserve">  And a portion of all employee</w:t>
      </w:r>
      <w:r w:rsidR="009955B4">
        <w:rPr>
          <w:b w:val="0"/>
          <w:bCs w:val="0"/>
        </w:rPr>
        <w:t>s</w:t>
      </w:r>
      <w:r w:rsidR="009C72FF">
        <w:rPr>
          <w:b w:val="0"/>
          <w:bCs w:val="0"/>
        </w:rPr>
        <w:t>’</w:t>
      </w:r>
      <w:r w:rsidR="009955B4">
        <w:rPr>
          <w:b w:val="0"/>
          <w:bCs w:val="0"/>
        </w:rPr>
        <w:t xml:space="preserve"> pay-at-risk is dependent on achieving cost-saving targets each year for O&amp;M and A&amp;G.</w:t>
      </w:r>
    </w:p>
    <w:p w:rsidR="00676CAD" w:rsidRDefault="00676CAD" w:rsidP="00447CEC">
      <w:pPr>
        <w:pStyle w:val="BodyText"/>
        <w:tabs>
          <w:tab w:val="left" w:pos="720"/>
        </w:tabs>
        <w:spacing w:line="480" w:lineRule="auto"/>
        <w:ind w:right="-54" w:firstLine="720"/>
        <w:jc w:val="both"/>
        <w:rPr>
          <w:b w:val="0"/>
          <w:bCs w:val="0"/>
        </w:rPr>
      </w:pPr>
      <w:r>
        <w:rPr>
          <w:b w:val="0"/>
          <w:bCs w:val="0"/>
        </w:rPr>
        <w:t xml:space="preserve">As Avista continues to work to control costs, it is also experiencing a continuing increase in various compliance and reporting requirements.  In this case alone there are recommendations by </w:t>
      </w:r>
      <w:r w:rsidR="00EB2427">
        <w:rPr>
          <w:b w:val="0"/>
          <w:bCs w:val="0"/>
        </w:rPr>
        <w:t>Staff</w:t>
      </w:r>
      <w:r>
        <w:rPr>
          <w:b w:val="0"/>
          <w:bCs w:val="0"/>
        </w:rPr>
        <w:t xml:space="preserve"> for, 1) a significant increase in reporting requirements related to capital projects, 2) extensive econometric modeling and analyses to compare Avista’s electric reliability with other utilities across the country, and 3) future workshops related to AMI.  </w:t>
      </w:r>
      <w:r w:rsidR="003D67C7">
        <w:rPr>
          <w:b w:val="0"/>
          <w:bCs w:val="0"/>
        </w:rPr>
        <w:t xml:space="preserve">Avista has literally hundreds of compliance and reporting requirements spread </w:t>
      </w:r>
      <w:r w:rsidR="006023DC">
        <w:rPr>
          <w:b w:val="0"/>
          <w:bCs w:val="0"/>
        </w:rPr>
        <w:t xml:space="preserve">across </w:t>
      </w:r>
      <w:r w:rsidR="003D67C7">
        <w:rPr>
          <w:b w:val="0"/>
          <w:bCs w:val="0"/>
        </w:rPr>
        <w:t>a wide variety of agencies.  A sampling of 8</w:t>
      </w:r>
      <w:r w:rsidR="00025AFC">
        <w:rPr>
          <w:b w:val="0"/>
          <w:bCs w:val="0"/>
        </w:rPr>
        <w:t>5</w:t>
      </w:r>
      <w:r w:rsidR="003D67C7">
        <w:rPr>
          <w:b w:val="0"/>
          <w:bCs w:val="0"/>
        </w:rPr>
        <w:t xml:space="preserve"> of these requirements are summarize</w:t>
      </w:r>
      <w:r w:rsidR="002434C6">
        <w:rPr>
          <w:b w:val="0"/>
          <w:bCs w:val="0"/>
        </w:rPr>
        <w:t>d</w:t>
      </w:r>
      <w:r w:rsidR="003D67C7">
        <w:rPr>
          <w:b w:val="0"/>
          <w:bCs w:val="0"/>
        </w:rPr>
        <w:t xml:space="preserve"> in the attached Exhibit No.</w:t>
      </w:r>
      <w:r w:rsidR="00025AFC">
        <w:rPr>
          <w:b w:val="0"/>
          <w:bCs w:val="0"/>
        </w:rPr>
        <w:t xml:space="preserve"> ___</w:t>
      </w:r>
      <w:r w:rsidR="003D67C7">
        <w:rPr>
          <w:b w:val="0"/>
          <w:bCs w:val="0"/>
        </w:rPr>
        <w:t>(KON-</w:t>
      </w:r>
      <w:r w:rsidR="00025AFC">
        <w:rPr>
          <w:b w:val="0"/>
          <w:bCs w:val="0"/>
        </w:rPr>
        <w:t>3</w:t>
      </w:r>
      <w:r w:rsidR="003D67C7">
        <w:rPr>
          <w:b w:val="0"/>
          <w:bCs w:val="0"/>
        </w:rPr>
        <w:t>).</w:t>
      </w:r>
    </w:p>
    <w:p w:rsidR="00733B14" w:rsidRDefault="006023DC" w:rsidP="00447CEC">
      <w:pPr>
        <w:pStyle w:val="BodyText"/>
        <w:tabs>
          <w:tab w:val="left" w:pos="720"/>
        </w:tabs>
        <w:spacing w:line="480" w:lineRule="auto"/>
        <w:ind w:right="-54" w:firstLine="720"/>
        <w:jc w:val="both"/>
        <w:rPr>
          <w:b w:val="0"/>
          <w:bCs w:val="0"/>
        </w:rPr>
      </w:pPr>
      <w:r>
        <w:rPr>
          <w:b w:val="0"/>
          <w:bCs w:val="0"/>
        </w:rPr>
        <w:t>My reference to these compliance and reporting requirements</w:t>
      </w:r>
      <w:r w:rsidR="00733B14">
        <w:rPr>
          <w:b w:val="0"/>
          <w:bCs w:val="0"/>
        </w:rPr>
        <w:t xml:space="preserve"> is not to express a view on the nec</w:t>
      </w:r>
      <w:r w:rsidR="000A3225">
        <w:rPr>
          <w:b w:val="0"/>
          <w:bCs w:val="0"/>
        </w:rPr>
        <w:t>essity or importance of each of these requirements</w:t>
      </w:r>
      <w:r w:rsidR="00733B14">
        <w:rPr>
          <w:b w:val="0"/>
          <w:bCs w:val="0"/>
        </w:rPr>
        <w:t xml:space="preserve">, </w:t>
      </w:r>
      <w:r w:rsidR="004D1F1B">
        <w:rPr>
          <w:b w:val="0"/>
          <w:bCs w:val="0"/>
        </w:rPr>
        <w:t xml:space="preserve">or that they are unnecessary, </w:t>
      </w:r>
      <w:r w:rsidR="00733B14">
        <w:rPr>
          <w:b w:val="0"/>
          <w:bCs w:val="0"/>
        </w:rPr>
        <w:t>but to emphasize that each of them involve</w:t>
      </w:r>
      <w:r w:rsidR="003D67C7">
        <w:rPr>
          <w:b w:val="0"/>
          <w:bCs w:val="0"/>
        </w:rPr>
        <w:t xml:space="preserve">s </w:t>
      </w:r>
      <w:r>
        <w:rPr>
          <w:b w:val="0"/>
          <w:bCs w:val="0"/>
        </w:rPr>
        <w:t xml:space="preserve">people and systems and </w:t>
      </w:r>
      <w:r w:rsidR="003D67C7">
        <w:rPr>
          <w:b w:val="0"/>
          <w:bCs w:val="0"/>
        </w:rPr>
        <w:t xml:space="preserve">costs to complete, which is putting upward pressure on our O&amp;M costs.  </w:t>
      </w:r>
      <w:r w:rsidR="00733B14">
        <w:rPr>
          <w:b w:val="0"/>
          <w:bCs w:val="0"/>
        </w:rPr>
        <w:t xml:space="preserve">And this is one of the reasons that Mr. McGuire’s </w:t>
      </w:r>
      <w:r>
        <w:rPr>
          <w:b w:val="0"/>
          <w:bCs w:val="0"/>
        </w:rPr>
        <w:t xml:space="preserve">electric </w:t>
      </w:r>
      <w:r w:rsidR="00733B14">
        <w:rPr>
          <w:b w:val="0"/>
          <w:bCs w:val="0"/>
        </w:rPr>
        <w:t>O&amp;M escalator</w:t>
      </w:r>
      <w:r>
        <w:rPr>
          <w:b w:val="0"/>
          <w:bCs w:val="0"/>
        </w:rPr>
        <w:t>, in particular,</w:t>
      </w:r>
      <w:r w:rsidR="00733B14">
        <w:rPr>
          <w:b w:val="0"/>
          <w:bCs w:val="0"/>
        </w:rPr>
        <w:t xml:space="preserve"> in his attrition analysis is unrealistically low.</w:t>
      </w:r>
      <w:r w:rsidR="003D67C7">
        <w:rPr>
          <w:b w:val="0"/>
          <w:bCs w:val="0"/>
        </w:rPr>
        <w:t xml:space="preserve">  Our interest is to provide the information that all of our stakeholders need, while keeping costs as low as reasonably possible for our customers.</w:t>
      </w:r>
    </w:p>
    <w:p w:rsidR="00FF4E88" w:rsidRDefault="00C770DE" w:rsidP="00447CEC">
      <w:pPr>
        <w:pStyle w:val="BodyText"/>
        <w:tabs>
          <w:tab w:val="left" w:pos="720"/>
        </w:tabs>
        <w:spacing w:line="480" w:lineRule="auto"/>
        <w:ind w:right="-54" w:firstLine="720"/>
        <w:jc w:val="both"/>
        <w:rPr>
          <w:b w:val="0"/>
          <w:bCs w:val="0"/>
        </w:rPr>
      </w:pPr>
      <w:r>
        <w:rPr>
          <w:b w:val="0"/>
          <w:bCs w:val="0"/>
        </w:rPr>
        <w:lastRenderedPageBreak/>
        <w:t>With regard to capital spend</w:t>
      </w:r>
      <w:r w:rsidR="004D1F1B">
        <w:rPr>
          <w:b w:val="0"/>
          <w:bCs w:val="0"/>
        </w:rPr>
        <w:t>ing</w:t>
      </w:r>
      <w:r>
        <w:rPr>
          <w:b w:val="0"/>
          <w:bCs w:val="0"/>
        </w:rPr>
        <w:t xml:space="preserve">, </w:t>
      </w:r>
      <w:r w:rsidR="00A51BEF">
        <w:rPr>
          <w:b w:val="0"/>
          <w:bCs w:val="0"/>
        </w:rPr>
        <w:t>as I explained earlier, the Capital Planning Group reprioritizes capital spending on a regular basis to where it is most needed, and limits the overall capital spending each year to the amount approved by senior management and the Board</w:t>
      </w:r>
      <w:r w:rsidR="006023DC">
        <w:rPr>
          <w:b w:val="0"/>
          <w:bCs w:val="0"/>
        </w:rPr>
        <w:t xml:space="preserve"> of Directors</w:t>
      </w:r>
      <w:r w:rsidR="00A51BEF">
        <w:rPr>
          <w:b w:val="0"/>
          <w:bCs w:val="0"/>
        </w:rPr>
        <w:t xml:space="preserve">.  </w:t>
      </w:r>
    </w:p>
    <w:p w:rsidR="00FF4E88" w:rsidRDefault="00FF4E88" w:rsidP="006666BD">
      <w:pPr>
        <w:pStyle w:val="BodyText"/>
        <w:tabs>
          <w:tab w:val="left" w:pos="720"/>
        </w:tabs>
        <w:spacing w:line="480" w:lineRule="auto"/>
        <w:ind w:right="-54" w:firstLine="720"/>
        <w:jc w:val="both"/>
        <w:rPr>
          <w:b w:val="0"/>
          <w:bCs w:val="0"/>
        </w:rPr>
      </w:pPr>
    </w:p>
    <w:p w:rsidR="00160BD0" w:rsidRDefault="00160BD0" w:rsidP="006666BD">
      <w:pPr>
        <w:pStyle w:val="BodyText"/>
        <w:tabs>
          <w:tab w:val="left" w:pos="720"/>
        </w:tabs>
        <w:spacing w:line="480" w:lineRule="auto"/>
        <w:ind w:right="-54"/>
        <w:rPr>
          <w:bCs w:val="0"/>
          <w:u w:val="single"/>
        </w:rPr>
      </w:pPr>
      <w:r w:rsidRPr="00F540CD">
        <w:rPr>
          <w:rStyle w:val="PageNumber"/>
          <w:u w:val="single"/>
        </w:rPr>
        <w:t>I</w:t>
      </w:r>
      <w:r>
        <w:rPr>
          <w:rStyle w:val="PageNumber"/>
          <w:u w:val="single"/>
        </w:rPr>
        <w:t xml:space="preserve">V. </w:t>
      </w:r>
      <w:r w:rsidRPr="00150470">
        <w:rPr>
          <w:bCs w:val="0"/>
          <w:u w:val="single"/>
        </w:rPr>
        <w:t xml:space="preserve"> </w:t>
      </w:r>
      <w:r>
        <w:rPr>
          <w:bCs w:val="0"/>
          <w:u w:val="single"/>
        </w:rPr>
        <w:t>UPDATED REVENUE REQUIREMENTS</w:t>
      </w:r>
    </w:p>
    <w:p w:rsidR="002B2BF2" w:rsidRPr="00D5159B" w:rsidRDefault="00CC5D5B" w:rsidP="006666BD">
      <w:pPr>
        <w:pStyle w:val="BodyText"/>
        <w:tabs>
          <w:tab w:val="left" w:pos="720"/>
        </w:tabs>
        <w:spacing w:line="480" w:lineRule="auto"/>
        <w:ind w:right="-54" w:firstLine="720"/>
        <w:jc w:val="both"/>
        <w:rPr>
          <w:bCs w:val="0"/>
        </w:rPr>
      </w:pPr>
      <w:r>
        <w:rPr>
          <w:bCs w:val="0"/>
        </w:rPr>
        <w:t>Q.</w:t>
      </w:r>
      <w:r>
        <w:rPr>
          <w:bCs w:val="0"/>
        </w:rPr>
        <w:tab/>
        <w:t>Please summarize</w:t>
      </w:r>
      <w:r w:rsidR="00F12520" w:rsidRPr="00D5159B">
        <w:rPr>
          <w:bCs w:val="0"/>
        </w:rPr>
        <w:t xml:space="preserve"> Avista’s current proposed electric and</w:t>
      </w:r>
      <w:r w:rsidR="00D5159B">
        <w:rPr>
          <w:bCs w:val="0"/>
        </w:rPr>
        <w:t xml:space="preserve"> natural gas revenue requirements</w:t>
      </w:r>
      <w:r w:rsidR="00F12520" w:rsidRPr="00D5159B">
        <w:rPr>
          <w:bCs w:val="0"/>
        </w:rPr>
        <w:t xml:space="preserve"> in these Dockets, including all updated information since the original filing?</w:t>
      </w:r>
    </w:p>
    <w:p w:rsidR="009A65B2" w:rsidRPr="009A65B2" w:rsidRDefault="00F12520" w:rsidP="009A65B2">
      <w:pPr>
        <w:pStyle w:val="BodyText"/>
        <w:tabs>
          <w:tab w:val="left" w:pos="720"/>
        </w:tabs>
        <w:spacing w:line="480" w:lineRule="auto"/>
        <w:ind w:right="-54" w:firstLine="720"/>
        <w:jc w:val="both"/>
        <w:rPr>
          <w:b w:val="0"/>
          <w:bCs w:val="0"/>
        </w:rPr>
      </w:pPr>
      <w:r>
        <w:rPr>
          <w:b w:val="0"/>
          <w:bCs w:val="0"/>
        </w:rPr>
        <w:t>A.</w:t>
      </w:r>
      <w:r>
        <w:rPr>
          <w:b w:val="0"/>
          <w:bCs w:val="0"/>
        </w:rPr>
        <w:tab/>
      </w:r>
      <w:r w:rsidR="00976DE3">
        <w:rPr>
          <w:b w:val="0"/>
          <w:bCs w:val="0"/>
        </w:rPr>
        <w:t xml:space="preserve">Table No. </w:t>
      </w:r>
      <w:r w:rsidR="00D72A3F">
        <w:rPr>
          <w:b w:val="0"/>
          <w:bCs w:val="0"/>
        </w:rPr>
        <w:t>5</w:t>
      </w:r>
      <w:r w:rsidR="00976DE3">
        <w:rPr>
          <w:b w:val="0"/>
          <w:bCs w:val="0"/>
        </w:rPr>
        <w:t xml:space="preserve"> below</w:t>
      </w:r>
      <w:r w:rsidR="00D5159B">
        <w:rPr>
          <w:b w:val="0"/>
          <w:bCs w:val="0"/>
        </w:rPr>
        <w:t xml:space="preserve"> summarizes the changes</w:t>
      </w:r>
      <w:r w:rsidR="000404DB">
        <w:rPr>
          <w:b w:val="0"/>
          <w:bCs w:val="0"/>
        </w:rPr>
        <w:t xml:space="preserve"> in electric and natural gas revenue requirements since the o</w:t>
      </w:r>
      <w:r w:rsidR="00A36B8B">
        <w:rPr>
          <w:b w:val="0"/>
          <w:bCs w:val="0"/>
        </w:rPr>
        <w:t>riginal filing in February 2015.  A brief explanation of the changes follows the table.</w:t>
      </w:r>
      <w:r w:rsidR="009A65B2">
        <w:rPr>
          <w:bCs w:val="0"/>
          <w:u w:val="single"/>
        </w:rPr>
        <w:br w:type="page"/>
      </w:r>
    </w:p>
    <w:p w:rsidR="00976DE3" w:rsidRPr="00976DE3" w:rsidRDefault="00976DE3" w:rsidP="00770B4B">
      <w:pPr>
        <w:pStyle w:val="BodyText"/>
        <w:tabs>
          <w:tab w:val="left" w:pos="720"/>
          <w:tab w:val="left" w:pos="5580"/>
          <w:tab w:val="center" w:pos="7290"/>
          <w:tab w:val="right" w:pos="9000"/>
        </w:tabs>
        <w:spacing w:line="240" w:lineRule="auto"/>
        <w:ind w:right="-58"/>
        <w:jc w:val="both"/>
        <w:rPr>
          <w:bCs w:val="0"/>
          <w:u w:val="single"/>
        </w:rPr>
      </w:pPr>
      <w:r w:rsidRPr="00976DE3">
        <w:rPr>
          <w:bCs w:val="0"/>
          <w:u w:val="single"/>
        </w:rPr>
        <w:lastRenderedPageBreak/>
        <w:t xml:space="preserve">Table No. </w:t>
      </w:r>
      <w:r w:rsidR="00D72A3F">
        <w:rPr>
          <w:bCs w:val="0"/>
          <w:u w:val="single"/>
        </w:rPr>
        <w:t>5</w:t>
      </w:r>
      <w:r w:rsidRPr="00976DE3">
        <w:rPr>
          <w:bCs w:val="0"/>
          <w:u w:val="single"/>
        </w:rPr>
        <w:t xml:space="preserve"> – Electric and Natural G</w:t>
      </w:r>
      <w:r w:rsidR="00025AFC">
        <w:rPr>
          <w:bCs w:val="0"/>
          <w:u w:val="single"/>
        </w:rPr>
        <w:t>a</w:t>
      </w:r>
      <w:r w:rsidRPr="00976DE3">
        <w:rPr>
          <w:bCs w:val="0"/>
          <w:u w:val="single"/>
        </w:rPr>
        <w:t xml:space="preserve">s Revenue </w:t>
      </w:r>
      <w:r w:rsidR="006023DC">
        <w:rPr>
          <w:bCs w:val="0"/>
          <w:u w:val="single"/>
        </w:rPr>
        <w:t xml:space="preserve">Requirement </w:t>
      </w:r>
      <w:r w:rsidRPr="00976DE3">
        <w:rPr>
          <w:bCs w:val="0"/>
          <w:u w:val="single"/>
        </w:rPr>
        <w:t>Reconciliation</w:t>
      </w:r>
    </w:p>
    <w:p w:rsidR="00976DE3" w:rsidRDefault="00976DE3" w:rsidP="00770B4B">
      <w:pPr>
        <w:pStyle w:val="BodyText"/>
        <w:tabs>
          <w:tab w:val="left" w:pos="720"/>
          <w:tab w:val="left" w:pos="5580"/>
          <w:tab w:val="center" w:pos="7290"/>
          <w:tab w:val="right" w:pos="9000"/>
        </w:tabs>
        <w:spacing w:line="240" w:lineRule="auto"/>
        <w:ind w:right="-58"/>
        <w:jc w:val="both"/>
        <w:rPr>
          <w:bCs w:val="0"/>
        </w:rPr>
      </w:pPr>
    </w:p>
    <w:p w:rsidR="005375E4" w:rsidRPr="00770B4B" w:rsidRDefault="00770B4B" w:rsidP="00770B4B">
      <w:pPr>
        <w:pStyle w:val="BodyText"/>
        <w:tabs>
          <w:tab w:val="left" w:pos="720"/>
          <w:tab w:val="left" w:pos="5580"/>
          <w:tab w:val="center" w:pos="7290"/>
          <w:tab w:val="right" w:pos="9000"/>
        </w:tabs>
        <w:spacing w:line="240" w:lineRule="auto"/>
        <w:ind w:right="-58"/>
        <w:jc w:val="both"/>
        <w:rPr>
          <w:bCs w:val="0"/>
          <w:u w:val="single"/>
        </w:rPr>
      </w:pPr>
      <w:r w:rsidRPr="00770B4B">
        <w:rPr>
          <w:bCs w:val="0"/>
        </w:rPr>
        <w:tab/>
      </w:r>
      <w:r w:rsidR="002D70C9" w:rsidRPr="00770B4B">
        <w:rPr>
          <w:bCs w:val="0"/>
        </w:rPr>
        <w:tab/>
      </w:r>
      <w:r w:rsidR="002D70C9" w:rsidRPr="00770B4B">
        <w:rPr>
          <w:bCs w:val="0"/>
          <w:u w:val="single"/>
        </w:rPr>
        <w:tab/>
        <w:t>$Millions</w:t>
      </w:r>
      <w:r w:rsidR="002D70C9" w:rsidRPr="00770B4B">
        <w:rPr>
          <w:bCs w:val="0"/>
          <w:u w:val="single"/>
        </w:rPr>
        <w:tab/>
      </w:r>
    </w:p>
    <w:p w:rsidR="00224FE1" w:rsidRPr="00770B4B" w:rsidRDefault="00770B4B" w:rsidP="00770B4B">
      <w:pPr>
        <w:pStyle w:val="BodyText"/>
        <w:tabs>
          <w:tab w:val="center" w:pos="270"/>
          <w:tab w:val="left" w:pos="720"/>
          <w:tab w:val="left" w:pos="5580"/>
          <w:tab w:val="center" w:pos="6300"/>
          <w:tab w:val="right" w:pos="7020"/>
          <w:tab w:val="left" w:pos="7560"/>
          <w:tab w:val="center" w:pos="8280"/>
          <w:tab w:val="right" w:pos="9000"/>
        </w:tabs>
        <w:spacing w:line="240" w:lineRule="auto"/>
        <w:ind w:right="-58"/>
        <w:jc w:val="both"/>
        <w:rPr>
          <w:bCs w:val="0"/>
          <w:u w:val="single"/>
        </w:rPr>
      </w:pPr>
      <w:r w:rsidRPr="00770B4B">
        <w:rPr>
          <w:bCs w:val="0"/>
          <w:u w:val="single"/>
        </w:rPr>
        <w:t>Line</w:t>
      </w:r>
      <w:r w:rsidRPr="00770B4B">
        <w:rPr>
          <w:bCs w:val="0"/>
        </w:rPr>
        <w:tab/>
      </w:r>
      <w:r w:rsidR="00224FE1" w:rsidRPr="00770B4B">
        <w:rPr>
          <w:bCs w:val="0"/>
        </w:rPr>
        <w:tab/>
      </w:r>
      <w:r w:rsidR="005375E4" w:rsidRPr="00770B4B">
        <w:rPr>
          <w:bCs w:val="0"/>
          <w:u w:val="single"/>
        </w:rPr>
        <w:tab/>
      </w:r>
      <w:r w:rsidR="00224FE1" w:rsidRPr="00770B4B">
        <w:rPr>
          <w:bCs w:val="0"/>
          <w:u w:val="single"/>
        </w:rPr>
        <w:t>Electric</w:t>
      </w:r>
      <w:r w:rsidR="00224FE1" w:rsidRPr="00770B4B">
        <w:rPr>
          <w:bCs w:val="0"/>
          <w:u w:val="single"/>
        </w:rPr>
        <w:tab/>
      </w:r>
      <w:r w:rsidR="00224FE1" w:rsidRPr="00770B4B">
        <w:rPr>
          <w:bCs w:val="0"/>
        </w:rPr>
        <w:tab/>
      </w:r>
      <w:r w:rsidR="005375E4" w:rsidRPr="00770B4B">
        <w:rPr>
          <w:bCs w:val="0"/>
          <w:u w:val="single"/>
        </w:rPr>
        <w:tab/>
      </w:r>
      <w:r w:rsidR="00224FE1" w:rsidRPr="00770B4B">
        <w:rPr>
          <w:bCs w:val="0"/>
          <w:u w:val="single"/>
        </w:rPr>
        <w:t>Natural Gas</w:t>
      </w:r>
      <w:r w:rsidR="005375E4" w:rsidRPr="00770B4B">
        <w:rPr>
          <w:bCs w:val="0"/>
          <w:u w:val="single"/>
        </w:rPr>
        <w:tab/>
      </w:r>
    </w:p>
    <w:p w:rsidR="002D70C9" w:rsidRDefault="002D70C9" w:rsidP="00770B4B">
      <w:pPr>
        <w:pStyle w:val="BodyText"/>
        <w:tabs>
          <w:tab w:val="center" w:pos="270"/>
          <w:tab w:val="left" w:pos="720"/>
          <w:tab w:val="left" w:pos="5580"/>
          <w:tab w:val="center" w:pos="6300"/>
          <w:tab w:val="right" w:pos="7020"/>
          <w:tab w:val="left" w:pos="7560"/>
          <w:tab w:val="center" w:pos="8280"/>
          <w:tab w:val="right" w:pos="9000"/>
        </w:tabs>
        <w:spacing w:line="240" w:lineRule="auto"/>
        <w:ind w:right="-58"/>
        <w:jc w:val="both"/>
        <w:rPr>
          <w:b w:val="0"/>
          <w:bCs w:val="0"/>
          <w:u w:val="single"/>
        </w:rPr>
      </w:pPr>
    </w:p>
    <w:p w:rsidR="005375E4" w:rsidRPr="00A36B8B" w:rsidRDefault="00770B4B" w:rsidP="00770B4B">
      <w:pPr>
        <w:pStyle w:val="BodyText"/>
        <w:tabs>
          <w:tab w:val="center" w:pos="270"/>
          <w:tab w:val="left" w:pos="720"/>
          <w:tab w:val="left" w:pos="5580"/>
          <w:tab w:val="center" w:pos="6300"/>
          <w:tab w:val="right" w:pos="7020"/>
          <w:tab w:val="left" w:pos="7560"/>
          <w:tab w:val="center" w:pos="8280"/>
          <w:tab w:val="right" w:pos="9000"/>
        </w:tabs>
        <w:spacing w:line="240" w:lineRule="auto"/>
        <w:ind w:right="-58"/>
        <w:jc w:val="both"/>
        <w:rPr>
          <w:bCs w:val="0"/>
        </w:rPr>
      </w:pPr>
      <w:r>
        <w:rPr>
          <w:bCs w:val="0"/>
        </w:rPr>
        <w:tab/>
      </w:r>
      <w:r w:rsidRPr="00770B4B">
        <w:rPr>
          <w:b w:val="0"/>
          <w:bCs w:val="0"/>
        </w:rPr>
        <w:t>1</w:t>
      </w:r>
      <w:r>
        <w:rPr>
          <w:bCs w:val="0"/>
        </w:rPr>
        <w:tab/>
      </w:r>
      <w:r w:rsidR="005375E4" w:rsidRPr="00A36B8B">
        <w:rPr>
          <w:bCs w:val="0"/>
        </w:rPr>
        <w:t>Original Requests</w:t>
      </w:r>
      <w:r w:rsidR="005375E4" w:rsidRPr="00A36B8B">
        <w:rPr>
          <w:bCs w:val="0"/>
        </w:rPr>
        <w:tab/>
      </w:r>
      <w:r w:rsidR="005375E4" w:rsidRPr="00A36B8B">
        <w:rPr>
          <w:bCs w:val="0"/>
        </w:rPr>
        <w:tab/>
        <w:t>$33.2</w:t>
      </w:r>
      <w:r w:rsidR="005375E4" w:rsidRPr="00A36B8B">
        <w:rPr>
          <w:bCs w:val="0"/>
        </w:rPr>
        <w:tab/>
      </w:r>
      <w:r w:rsidR="005375E4" w:rsidRPr="00A36B8B">
        <w:rPr>
          <w:bCs w:val="0"/>
        </w:rPr>
        <w:tab/>
      </w:r>
      <w:r w:rsidR="005375E4" w:rsidRPr="00A36B8B">
        <w:rPr>
          <w:bCs w:val="0"/>
        </w:rPr>
        <w:tab/>
        <w:t>$12.0</w:t>
      </w:r>
    </w:p>
    <w:p w:rsidR="002D70C9" w:rsidRDefault="002D70C9" w:rsidP="00770B4B">
      <w:pPr>
        <w:pStyle w:val="BodyText"/>
        <w:tabs>
          <w:tab w:val="center" w:pos="270"/>
          <w:tab w:val="left" w:pos="720"/>
          <w:tab w:val="left" w:pos="5580"/>
          <w:tab w:val="center" w:pos="6300"/>
          <w:tab w:val="right" w:pos="7020"/>
          <w:tab w:val="left" w:pos="7560"/>
          <w:tab w:val="center" w:pos="8280"/>
          <w:tab w:val="right" w:pos="9000"/>
        </w:tabs>
        <w:spacing w:line="240" w:lineRule="auto"/>
        <w:ind w:right="-58"/>
        <w:jc w:val="both"/>
        <w:rPr>
          <w:b w:val="0"/>
          <w:bCs w:val="0"/>
        </w:rPr>
      </w:pPr>
    </w:p>
    <w:p w:rsidR="002D70C9" w:rsidRPr="00A36B8B" w:rsidRDefault="00770B4B" w:rsidP="00770B4B">
      <w:pPr>
        <w:pStyle w:val="BodyText"/>
        <w:tabs>
          <w:tab w:val="center" w:pos="270"/>
          <w:tab w:val="left" w:pos="720"/>
          <w:tab w:val="left" w:pos="5580"/>
          <w:tab w:val="center" w:pos="6300"/>
          <w:tab w:val="right" w:pos="7020"/>
          <w:tab w:val="left" w:pos="7560"/>
          <w:tab w:val="center" w:pos="8280"/>
          <w:tab w:val="right" w:pos="9000"/>
        </w:tabs>
        <w:spacing w:line="240" w:lineRule="auto"/>
        <w:ind w:right="-58"/>
        <w:jc w:val="both"/>
        <w:rPr>
          <w:bCs w:val="0"/>
        </w:rPr>
      </w:pPr>
      <w:r>
        <w:rPr>
          <w:bCs w:val="0"/>
        </w:rPr>
        <w:tab/>
      </w:r>
      <w:r w:rsidRPr="00770B4B">
        <w:rPr>
          <w:b w:val="0"/>
          <w:bCs w:val="0"/>
        </w:rPr>
        <w:t>2</w:t>
      </w:r>
      <w:r>
        <w:rPr>
          <w:bCs w:val="0"/>
        </w:rPr>
        <w:tab/>
      </w:r>
      <w:r w:rsidR="002D70C9" w:rsidRPr="00A36B8B">
        <w:rPr>
          <w:bCs w:val="0"/>
        </w:rPr>
        <w:t>Multi-Party Partial Settlement</w:t>
      </w:r>
    </w:p>
    <w:p w:rsidR="002D70C9" w:rsidRDefault="002D70C9" w:rsidP="00770B4B">
      <w:pPr>
        <w:pStyle w:val="BodyText"/>
        <w:tabs>
          <w:tab w:val="center" w:pos="270"/>
          <w:tab w:val="left" w:pos="720"/>
          <w:tab w:val="left" w:pos="5580"/>
          <w:tab w:val="center" w:pos="6300"/>
          <w:tab w:val="right" w:pos="7020"/>
          <w:tab w:val="left" w:pos="7560"/>
          <w:tab w:val="center" w:pos="8280"/>
          <w:tab w:val="right" w:pos="9000"/>
        </w:tabs>
        <w:spacing w:line="240" w:lineRule="auto"/>
        <w:ind w:right="-58"/>
        <w:jc w:val="both"/>
        <w:rPr>
          <w:b w:val="0"/>
          <w:bCs w:val="0"/>
        </w:rPr>
      </w:pPr>
      <w:r>
        <w:rPr>
          <w:b w:val="0"/>
          <w:bCs w:val="0"/>
        </w:rPr>
        <w:t xml:space="preserve"> </w:t>
      </w:r>
      <w:r w:rsidR="00770B4B">
        <w:rPr>
          <w:b w:val="0"/>
          <w:bCs w:val="0"/>
        </w:rPr>
        <w:tab/>
        <w:t>3</w:t>
      </w:r>
      <w:r w:rsidR="00770B4B">
        <w:rPr>
          <w:b w:val="0"/>
          <w:bCs w:val="0"/>
        </w:rPr>
        <w:tab/>
      </w:r>
      <w:r>
        <w:rPr>
          <w:b w:val="0"/>
          <w:bCs w:val="0"/>
        </w:rPr>
        <w:t xml:space="preserve"> Cost of Capital</w:t>
      </w:r>
      <w:r>
        <w:rPr>
          <w:b w:val="0"/>
          <w:bCs w:val="0"/>
        </w:rPr>
        <w:tab/>
      </w:r>
      <w:r>
        <w:rPr>
          <w:b w:val="0"/>
          <w:bCs w:val="0"/>
        </w:rPr>
        <w:tab/>
        <w:t>($3.8)</w:t>
      </w:r>
      <w:r>
        <w:rPr>
          <w:b w:val="0"/>
          <w:bCs w:val="0"/>
        </w:rPr>
        <w:tab/>
      </w:r>
      <w:r>
        <w:rPr>
          <w:b w:val="0"/>
          <w:bCs w:val="0"/>
        </w:rPr>
        <w:tab/>
      </w:r>
      <w:r>
        <w:rPr>
          <w:b w:val="0"/>
          <w:bCs w:val="0"/>
        </w:rPr>
        <w:tab/>
        <w:t>($0.7)</w:t>
      </w:r>
    </w:p>
    <w:p w:rsidR="002D70C9" w:rsidRDefault="002D70C9" w:rsidP="00770B4B">
      <w:pPr>
        <w:pStyle w:val="BodyText"/>
        <w:tabs>
          <w:tab w:val="center" w:pos="270"/>
          <w:tab w:val="left" w:pos="720"/>
          <w:tab w:val="left" w:pos="5580"/>
          <w:tab w:val="center" w:pos="6300"/>
          <w:tab w:val="right" w:pos="7020"/>
          <w:tab w:val="left" w:pos="7560"/>
          <w:tab w:val="center" w:pos="8280"/>
          <w:tab w:val="right" w:pos="9000"/>
        </w:tabs>
        <w:spacing w:line="240" w:lineRule="auto"/>
        <w:ind w:right="-58"/>
        <w:jc w:val="both"/>
        <w:rPr>
          <w:b w:val="0"/>
          <w:bCs w:val="0"/>
        </w:rPr>
      </w:pPr>
      <w:r>
        <w:rPr>
          <w:b w:val="0"/>
          <w:bCs w:val="0"/>
        </w:rPr>
        <w:t xml:space="preserve">  </w:t>
      </w:r>
      <w:r w:rsidR="00770B4B">
        <w:rPr>
          <w:b w:val="0"/>
          <w:bCs w:val="0"/>
        </w:rPr>
        <w:tab/>
        <w:t>4</w:t>
      </w:r>
      <w:r w:rsidR="00770B4B">
        <w:rPr>
          <w:b w:val="0"/>
          <w:bCs w:val="0"/>
        </w:rPr>
        <w:tab/>
      </w:r>
      <w:r>
        <w:rPr>
          <w:b w:val="0"/>
          <w:bCs w:val="0"/>
        </w:rPr>
        <w:t>Power Supply Adjustments</w:t>
      </w:r>
      <w:r>
        <w:rPr>
          <w:b w:val="0"/>
          <w:bCs w:val="0"/>
        </w:rPr>
        <w:tab/>
      </w:r>
      <w:r w:rsidRPr="002D70C9">
        <w:rPr>
          <w:b w:val="0"/>
          <w:bCs w:val="0"/>
          <w:u w:val="single"/>
        </w:rPr>
        <w:tab/>
        <w:t>($12.</w:t>
      </w:r>
      <w:r w:rsidR="00ED5CA3">
        <w:rPr>
          <w:b w:val="0"/>
          <w:bCs w:val="0"/>
          <w:u w:val="single"/>
        </w:rPr>
        <w:t>6</w:t>
      </w:r>
      <w:r w:rsidRPr="002D70C9">
        <w:rPr>
          <w:b w:val="0"/>
          <w:bCs w:val="0"/>
          <w:u w:val="single"/>
        </w:rPr>
        <w:t>)</w:t>
      </w:r>
      <w:r w:rsidRPr="002D70C9">
        <w:rPr>
          <w:b w:val="0"/>
          <w:bCs w:val="0"/>
          <w:u w:val="single"/>
        </w:rPr>
        <w:tab/>
      </w:r>
      <w:r>
        <w:rPr>
          <w:b w:val="0"/>
          <w:bCs w:val="0"/>
        </w:rPr>
        <w:tab/>
      </w:r>
      <w:r w:rsidRPr="002D70C9">
        <w:rPr>
          <w:b w:val="0"/>
          <w:bCs w:val="0"/>
          <w:u w:val="single"/>
        </w:rPr>
        <w:tab/>
      </w:r>
      <w:r w:rsidRPr="002D70C9">
        <w:rPr>
          <w:b w:val="0"/>
          <w:bCs w:val="0"/>
          <w:u w:val="single"/>
        </w:rPr>
        <w:tab/>
      </w:r>
    </w:p>
    <w:p w:rsidR="00A36B8B" w:rsidRPr="00A36B8B" w:rsidRDefault="00770B4B" w:rsidP="00770B4B">
      <w:pPr>
        <w:pStyle w:val="BodyText"/>
        <w:tabs>
          <w:tab w:val="center" w:pos="270"/>
          <w:tab w:val="left" w:pos="720"/>
          <w:tab w:val="left" w:pos="5580"/>
          <w:tab w:val="center" w:pos="6300"/>
          <w:tab w:val="right" w:pos="7020"/>
          <w:tab w:val="left" w:pos="7560"/>
          <w:tab w:val="center" w:pos="8280"/>
          <w:tab w:val="right" w:pos="9000"/>
        </w:tabs>
        <w:spacing w:line="240" w:lineRule="auto"/>
        <w:ind w:right="-58"/>
        <w:jc w:val="both"/>
        <w:rPr>
          <w:bCs w:val="0"/>
        </w:rPr>
      </w:pPr>
      <w:r>
        <w:rPr>
          <w:bCs w:val="0"/>
        </w:rPr>
        <w:tab/>
      </w:r>
      <w:r w:rsidRPr="00770B4B">
        <w:rPr>
          <w:b w:val="0"/>
          <w:bCs w:val="0"/>
        </w:rPr>
        <w:t>5</w:t>
      </w:r>
      <w:r>
        <w:rPr>
          <w:bCs w:val="0"/>
        </w:rPr>
        <w:tab/>
      </w:r>
      <w:r w:rsidR="002D70C9" w:rsidRPr="00A36B8B">
        <w:rPr>
          <w:bCs w:val="0"/>
        </w:rPr>
        <w:t>Subtotal May 1, 2015</w:t>
      </w:r>
      <w:r w:rsidR="002D70C9" w:rsidRPr="00A36B8B">
        <w:rPr>
          <w:bCs w:val="0"/>
        </w:rPr>
        <w:tab/>
      </w:r>
      <w:r w:rsidR="002D70C9" w:rsidRPr="00A36B8B">
        <w:rPr>
          <w:bCs w:val="0"/>
        </w:rPr>
        <w:tab/>
      </w:r>
      <w:r w:rsidR="00A36B8B" w:rsidRPr="00A36B8B">
        <w:rPr>
          <w:bCs w:val="0"/>
        </w:rPr>
        <w:t>$1</w:t>
      </w:r>
      <w:r w:rsidR="00ED5CA3">
        <w:rPr>
          <w:bCs w:val="0"/>
        </w:rPr>
        <w:t>6</w:t>
      </w:r>
      <w:r w:rsidR="00A36B8B" w:rsidRPr="00A36B8B">
        <w:rPr>
          <w:bCs w:val="0"/>
        </w:rPr>
        <w:t>.</w:t>
      </w:r>
      <w:r w:rsidR="00ED5CA3">
        <w:rPr>
          <w:bCs w:val="0"/>
        </w:rPr>
        <w:t>8</w:t>
      </w:r>
      <w:r w:rsidR="002D70C9" w:rsidRPr="00A36B8B">
        <w:rPr>
          <w:bCs w:val="0"/>
        </w:rPr>
        <w:tab/>
      </w:r>
      <w:r w:rsidR="002D70C9" w:rsidRPr="00A36B8B">
        <w:rPr>
          <w:bCs w:val="0"/>
        </w:rPr>
        <w:tab/>
      </w:r>
      <w:r w:rsidR="002D70C9" w:rsidRPr="00A36B8B">
        <w:rPr>
          <w:bCs w:val="0"/>
        </w:rPr>
        <w:tab/>
      </w:r>
      <w:r w:rsidR="00A36B8B" w:rsidRPr="00A36B8B">
        <w:rPr>
          <w:bCs w:val="0"/>
        </w:rPr>
        <w:t>$11.3</w:t>
      </w:r>
    </w:p>
    <w:p w:rsidR="00A36B8B" w:rsidRDefault="00A36B8B" w:rsidP="00770B4B">
      <w:pPr>
        <w:pStyle w:val="BodyText"/>
        <w:tabs>
          <w:tab w:val="center" w:pos="270"/>
          <w:tab w:val="left" w:pos="720"/>
          <w:tab w:val="left" w:pos="5580"/>
          <w:tab w:val="center" w:pos="6300"/>
          <w:tab w:val="right" w:pos="7020"/>
          <w:tab w:val="left" w:pos="7560"/>
          <w:tab w:val="center" w:pos="8280"/>
          <w:tab w:val="right" w:pos="9000"/>
        </w:tabs>
        <w:spacing w:line="240" w:lineRule="auto"/>
        <w:ind w:right="-58"/>
        <w:jc w:val="both"/>
        <w:rPr>
          <w:b w:val="0"/>
          <w:bCs w:val="0"/>
        </w:rPr>
      </w:pPr>
    </w:p>
    <w:p w:rsidR="00B10A6B" w:rsidRDefault="00770B4B" w:rsidP="00770B4B">
      <w:pPr>
        <w:pStyle w:val="BodyText"/>
        <w:tabs>
          <w:tab w:val="center" w:pos="270"/>
          <w:tab w:val="left" w:pos="720"/>
          <w:tab w:val="left" w:pos="5580"/>
          <w:tab w:val="center" w:pos="6300"/>
          <w:tab w:val="right" w:pos="7020"/>
          <w:tab w:val="left" w:pos="7560"/>
          <w:tab w:val="center" w:pos="8280"/>
          <w:tab w:val="right" w:pos="9000"/>
        </w:tabs>
        <w:spacing w:line="240" w:lineRule="auto"/>
        <w:ind w:right="-58"/>
        <w:jc w:val="both"/>
        <w:rPr>
          <w:b w:val="0"/>
          <w:bCs w:val="0"/>
        </w:rPr>
      </w:pPr>
      <w:r>
        <w:rPr>
          <w:b w:val="0"/>
          <w:bCs w:val="0"/>
        </w:rPr>
        <w:tab/>
        <w:t>6</w:t>
      </w:r>
      <w:r>
        <w:rPr>
          <w:b w:val="0"/>
          <w:bCs w:val="0"/>
        </w:rPr>
        <w:tab/>
      </w:r>
      <w:r w:rsidR="006A7330">
        <w:rPr>
          <w:b w:val="0"/>
          <w:bCs w:val="0"/>
        </w:rPr>
        <w:t>Additional Updates/Revisions</w:t>
      </w:r>
      <w:r w:rsidR="00B10A6B">
        <w:rPr>
          <w:rStyle w:val="FootnoteReference"/>
          <w:b w:val="0"/>
          <w:bCs w:val="0"/>
        </w:rPr>
        <w:footnoteReference w:id="23"/>
      </w:r>
      <w:r w:rsidR="00B10A6B">
        <w:rPr>
          <w:b w:val="0"/>
          <w:bCs w:val="0"/>
        </w:rPr>
        <w:tab/>
      </w:r>
      <w:r w:rsidR="00B10A6B" w:rsidRPr="009D0D85">
        <w:rPr>
          <w:b w:val="0"/>
          <w:bCs w:val="0"/>
          <w:u w:val="single"/>
        </w:rPr>
        <w:tab/>
        <w:t>($</w:t>
      </w:r>
      <w:r w:rsidR="00044CBB">
        <w:rPr>
          <w:b w:val="0"/>
          <w:bCs w:val="0"/>
          <w:u w:val="single"/>
        </w:rPr>
        <w:t>6.8</w:t>
      </w:r>
      <w:r w:rsidR="00B10A6B" w:rsidRPr="009D0D85">
        <w:rPr>
          <w:b w:val="0"/>
          <w:bCs w:val="0"/>
          <w:u w:val="single"/>
        </w:rPr>
        <w:t>)</w:t>
      </w:r>
      <w:r w:rsidR="00B10A6B" w:rsidRPr="009D0D85">
        <w:rPr>
          <w:b w:val="0"/>
          <w:bCs w:val="0"/>
          <w:u w:val="single"/>
        </w:rPr>
        <w:tab/>
      </w:r>
      <w:r w:rsidR="00B10A6B">
        <w:rPr>
          <w:b w:val="0"/>
          <w:bCs w:val="0"/>
        </w:rPr>
        <w:tab/>
      </w:r>
      <w:r w:rsidR="00B10A6B" w:rsidRPr="009D0D85">
        <w:rPr>
          <w:b w:val="0"/>
          <w:bCs w:val="0"/>
          <w:u w:val="single"/>
        </w:rPr>
        <w:tab/>
        <w:t>($1.6)</w:t>
      </w:r>
      <w:r w:rsidR="009D0D85" w:rsidRPr="009D0D85">
        <w:rPr>
          <w:b w:val="0"/>
          <w:bCs w:val="0"/>
          <w:u w:val="single"/>
        </w:rPr>
        <w:tab/>
      </w:r>
    </w:p>
    <w:p w:rsidR="002D70C9" w:rsidRPr="009D0D85" w:rsidRDefault="00770B4B" w:rsidP="00770B4B">
      <w:pPr>
        <w:pStyle w:val="BodyText"/>
        <w:tabs>
          <w:tab w:val="center" w:pos="270"/>
          <w:tab w:val="left" w:pos="720"/>
          <w:tab w:val="left" w:pos="5580"/>
          <w:tab w:val="center" w:pos="6300"/>
          <w:tab w:val="right" w:pos="7020"/>
          <w:tab w:val="left" w:pos="7560"/>
          <w:tab w:val="center" w:pos="8280"/>
          <w:tab w:val="right" w:pos="9000"/>
        </w:tabs>
        <w:spacing w:line="240" w:lineRule="auto"/>
        <w:ind w:right="-58"/>
        <w:jc w:val="both"/>
        <w:rPr>
          <w:bCs w:val="0"/>
        </w:rPr>
      </w:pPr>
      <w:r>
        <w:rPr>
          <w:bCs w:val="0"/>
        </w:rPr>
        <w:tab/>
      </w:r>
      <w:r w:rsidRPr="003F5F8F">
        <w:rPr>
          <w:b w:val="0"/>
          <w:bCs w:val="0"/>
        </w:rPr>
        <w:t>7</w:t>
      </w:r>
      <w:r>
        <w:rPr>
          <w:bCs w:val="0"/>
        </w:rPr>
        <w:tab/>
      </w:r>
      <w:r w:rsidR="00B10A6B" w:rsidRPr="009D0D85">
        <w:rPr>
          <w:bCs w:val="0"/>
        </w:rPr>
        <w:t>Revised</w:t>
      </w:r>
      <w:r w:rsidR="006A7330" w:rsidRPr="009D0D85">
        <w:rPr>
          <w:bCs w:val="0"/>
        </w:rPr>
        <w:t xml:space="preserve"> Revenue Requirement </w:t>
      </w:r>
      <w:r w:rsidR="00065646">
        <w:rPr>
          <w:bCs w:val="0"/>
        </w:rPr>
        <w:t xml:space="preserve">-- </w:t>
      </w:r>
      <w:r w:rsidR="006A7330" w:rsidRPr="009D0D85">
        <w:rPr>
          <w:bCs w:val="0"/>
        </w:rPr>
        <w:t>July 2015</w:t>
      </w:r>
      <w:r w:rsidR="006A7330" w:rsidRPr="009D0D85">
        <w:rPr>
          <w:bCs w:val="0"/>
        </w:rPr>
        <w:tab/>
      </w:r>
      <w:r w:rsidR="002D70C9" w:rsidRPr="009D0D85">
        <w:rPr>
          <w:bCs w:val="0"/>
        </w:rPr>
        <w:tab/>
      </w:r>
      <w:r w:rsidR="009D0D85" w:rsidRPr="009D0D85">
        <w:rPr>
          <w:bCs w:val="0"/>
        </w:rPr>
        <w:t>$</w:t>
      </w:r>
      <w:r w:rsidR="00ED5CA3">
        <w:rPr>
          <w:bCs w:val="0"/>
        </w:rPr>
        <w:t>10.0</w:t>
      </w:r>
      <w:r w:rsidR="009D0D85" w:rsidRPr="009D0D85">
        <w:rPr>
          <w:bCs w:val="0"/>
        </w:rPr>
        <w:tab/>
      </w:r>
      <w:r w:rsidR="009D0D85" w:rsidRPr="009D0D85">
        <w:rPr>
          <w:bCs w:val="0"/>
        </w:rPr>
        <w:tab/>
      </w:r>
      <w:r w:rsidR="009D0D85" w:rsidRPr="009D0D85">
        <w:rPr>
          <w:bCs w:val="0"/>
        </w:rPr>
        <w:tab/>
        <w:t>$9.7</w:t>
      </w:r>
    </w:p>
    <w:p w:rsidR="009D0D85" w:rsidRDefault="009D0D85" w:rsidP="00770B4B">
      <w:pPr>
        <w:pStyle w:val="BodyText"/>
        <w:tabs>
          <w:tab w:val="center" w:pos="270"/>
          <w:tab w:val="left" w:pos="720"/>
          <w:tab w:val="left" w:pos="5580"/>
          <w:tab w:val="center" w:pos="6300"/>
          <w:tab w:val="right" w:pos="7020"/>
          <w:tab w:val="left" w:pos="7560"/>
          <w:tab w:val="center" w:pos="8280"/>
          <w:tab w:val="right" w:pos="9000"/>
        </w:tabs>
        <w:spacing w:line="240" w:lineRule="auto"/>
        <w:ind w:right="-58"/>
        <w:jc w:val="both"/>
        <w:rPr>
          <w:b w:val="0"/>
          <w:bCs w:val="0"/>
        </w:rPr>
      </w:pPr>
    </w:p>
    <w:p w:rsidR="009D0D85" w:rsidRPr="006C1182" w:rsidRDefault="006C1182" w:rsidP="00770B4B">
      <w:pPr>
        <w:pStyle w:val="BodyText"/>
        <w:tabs>
          <w:tab w:val="center" w:pos="270"/>
          <w:tab w:val="left" w:pos="720"/>
          <w:tab w:val="left" w:pos="5580"/>
          <w:tab w:val="center" w:pos="6300"/>
          <w:tab w:val="right" w:pos="7020"/>
          <w:tab w:val="left" w:pos="7560"/>
          <w:tab w:val="center" w:pos="8280"/>
          <w:tab w:val="right" w:pos="9000"/>
        </w:tabs>
        <w:spacing w:line="240" w:lineRule="auto"/>
        <w:ind w:right="-58"/>
        <w:jc w:val="both"/>
        <w:rPr>
          <w:bCs w:val="0"/>
        </w:rPr>
      </w:pPr>
      <w:r w:rsidRPr="006C1182">
        <w:rPr>
          <w:bCs w:val="0"/>
        </w:rPr>
        <w:tab/>
      </w:r>
      <w:r w:rsidR="00770B4B" w:rsidRPr="003F5F8F">
        <w:rPr>
          <w:b w:val="0"/>
          <w:bCs w:val="0"/>
        </w:rPr>
        <w:t>8</w:t>
      </w:r>
      <w:r w:rsidR="00770B4B">
        <w:rPr>
          <w:bCs w:val="0"/>
        </w:rPr>
        <w:tab/>
      </w:r>
      <w:r w:rsidRPr="006C1182">
        <w:rPr>
          <w:bCs w:val="0"/>
        </w:rPr>
        <w:t>Avista Proposal on Rebuttal</w:t>
      </w:r>
    </w:p>
    <w:p w:rsidR="006C1182" w:rsidRPr="005375E4" w:rsidRDefault="006C1182" w:rsidP="00770B4B">
      <w:pPr>
        <w:pStyle w:val="BodyText"/>
        <w:tabs>
          <w:tab w:val="left" w:pos="225"/>
          <w:tab w:val="center" w:pos="270"/>
          <w:tab w:val="left" w:pos="720"/>
          <w:tab w:val="left" w:pos="5580"/>
          <w:tab w:val="center" w:pos="6300"/>
          <w:tab w:val="right" w:pos="7020"/>
          <w:tab w:val="left" w:pos="7560"/>
          <w:tab w:val="center" w:pos="8280"/>
          <w:tab w:val="right" w:pos="9000"/>
        </w:tabs>
        <w:spacing w:line="240" w:lineRule="auto"/>
        <w:ind w:right="-58"/>
        <w:jc w:val="both"/>
        <w:rPr>
          <w:b w:val="0"/>
          <w:bCs w:val="0"/>
        </w:rPr>
      </w:pPr>
      <w:r>
        <w:rPr>
          <w:b w:val="0"/>
          <w:bCs w:val="0"/>
        </w:rPr>
        <w:tab/>
      </w:r>
      <w:r w:rsidR="00770B4B">
        <w:rPr>
          <w:b w:val="0"/>
          <w:bCs w:val="0"/>
        </w:rPr>
        <w:t>9</w:t>
      </w:r>
      <w:r w:rsidR="00770B4B">
        <w:rPr>
          <w:b w:val="0"/>
          <w:bCs w:val="0"/>
        </w:rPr>
        <w:tab/>
        <w:t xml:space="preserve">  </w:t>
      </w:r>
      <w:r>
        <w:rPr>
          <w:b w:val="0"/>
          <w:bCs w:val="0"/>
        </w:rPr>
        <w:t>Delay Amortization of Existing Meters (AMI)</w:t>
      </w:r>
      <w:r>
        <w:rPr>
          <w:b w:val="0"/>
          <w:bCs w:val="0"/>
        </w:rPr>
        <w:tab/>
      </w:r>
      <w:r>
        <w:rPr>
          <w:b w:val="0"/>
          <w:bCs w:val="0"/>
        </w:rPr>
        <w:tab/>
        <w:t>($4.1)</w:t>
      </w:r>
    </w:p>
    <w:p w:rsidR="009F1FB5" w:rsidRDefault="009F1FB5" w:rsidP="00770B4B">
      <w:pPr>
        <w:pStyle w:val="BodyText"/>
        <w:tabs>
          <w:tab w:val="center" w:pos="270"/>
          <w:tab w:val="left" w:pos="720"/>
          <w:tab w:val="left" w:pos="5580"/>
          <w:tab w:val="center" w:pos="6300"/>
          <w:tab w:val="right" w:pos="7020"/>
          <w:tab w:val="left" w:pos="7560"/>
          <w:tab w:val="center" w:pos="8280"/>
          <w:tab w:val="right" w:pos="9180"/>
        </w:tabs>
        <w:spacing w:line="240" w:lineRule="auto"/>
        <w:ind w:right="-58"/>
        <w:jc w:val="both"/>
        <w:rPr>
          <w:b w:val="0"/>
          <w:bCs w:val="0"/>
        </w:rPr>
      </w:pPr>
      <w:r>
        <w:rPr>
          <w:b w:val="0"/>
          <w:bCs w:val="0"/>
        </w:rPr>
        <w:t xml:space="preserve">  </w:t>
      </w:r>
      <w:r w:rsidR="00770B4B">
        <w:rPr>
          <w:b w:val="0"/>
          <w:bCs w:val="0"/>
        </w:rPr>
        <w:tab/>
        <w:t>10</w:t>
      </w:r>
      <w:r w:rsidR="00770B4B">
        <w:rPr>
          <w:b w:val="0"/>
          <w:bCs w:val="0"/>
        </w:rPr>
        <w:tab/>
        <w:t xml:space="preserve">  </w:t>
      </w:r>
      <w:r>
        <w:rPr>
          <w:b w:val="0"/>
          <w:bCs w:val="0"/>
        </w:rPr>
        <w:t>Normalize “Hours-Based” Thermal Maintenance</w:t>
      </w:r>
      <w:r>
        <w:rPr>
          <w:b w:val="0"/>
          <w:bCs w:val="0"/>
        </w:rPr>
        <w:tab/>
      </w:r>
      <w:r w:rsidR="002267A8">
        <w:rPr>
          <w:rStyle w:val="FootnoteReference"/>
          <w:b w:val="0"/>
          <w:bCs w:val="0"/>
        </w:rPr>
        <w:footnoteReference w:id="24"/>
      </w:r>
      <w:r>
        <w:rPr>
          <w:b w:val="0"/>
          <w:bCs w:val="0"/>
        </w:rPr>
        <w:tab/>
        <w:t>($3.0)</w:t>
      </w:r>
      <w:r>
        <w:rPr>
          <w:b w:val="0"/>
          <w:bCs w:val="0"/>
        </w:rPr>
        <w:tab/>
      </w:r>
    </w:p>
    <w:p w:rsidR="009F1FB5" w:rsidRDefault="009F1FB5" w:rsidP="00770B4B">
      <w:pPr>
        <w:pStyle w:val="BodyText"/>
        <w:tabs>
          <w:tab w:val="center" w:pos="270"/>
          <w:tab w:val="left" w:pos="720"/>
          <w:tab w:val="left" w:pos="5580"/>
          <w:tab w:val="center" w:pos="6300"/>
          <w:tab w:val="right" w:pos="7020"/>
          <w:tab w:val="left" w:pos="7560"/>
          <w:tab w:val="center" w:pos="8280"/>
          <w:tab w:val="right" w:pos="9000"/>
        </w:tabs>
        <w:spacing w:line="240" w:lineRule="auto"/>
        <w:ind w:right="-54"/>
        <w:jc w:val="both"/>
        <w:rPr>
          <w:b w:val="0"/>
          <w:bCs w:val="0"/>
        </w:rPr>
      </w:pPr>
      <w:r>
        <w:rPr>
          <w:b w:val="0"/>
          <w:bCs w:val="0"/>
        </w:rPr>
        <w:t xml:space="preserve">  </w:t>
      </w:r>
      <w:r w:rsidR="00770B4B">
        <w:rPr>
          <w:b w:val="0"/>
          <w:bCs w:val="0"/>
        </w:rPr>
        <w:tab/>
        <w:t>11</w:t>
      </w:r>
      <w:r w:rsidR="00770B4B">
        <w:rPr>
          <w:b w:val="0"/>
          <w:bCs w:val="0"/>
        </w:rPr>
        <w:tab/>
        <w:t xml:space="preserve">  </w:t>
      </w:r>
      <w:r>
        <w:rPr>
          <w:b w:val="0"/>
          <w:bCs w:val="0"/>
        </w:rPr>
        <w:t>Other</w:t>
      </w:r>
      <w:r>
        <w:rPr>
          <w:rStyle w:val="FootnoteReference"/>
          <w:b w:val="0"/>
          <w:bCs w:val="0"/>
        </w:rPr>
        <w:footnoteReference w:id="25"/>
      </w:r>
      <w:r>
        <w:rPr>
          <w:b w:val="0"/>
          <w:bCs w:val="0"/>
        </w:rPr>
        <w:tab/>
      </w:r>
      <w:r w:rsidRPr="00423620">
        <w:rPr>
          <w:b w:val="0"/>
          <w:bCs w:val="0"/>
          <w:u w:val="single"/>
        </w:rPr>
        <w:tab/>
      </w:r>
      <w:r w:rsidR="00423620" w:rsidRPr="00423620">
        <w:rPr>
          <w:b w:val="0"/>
          <w:bCs w:val="0"/>
          <w:u w:val="single"/>
        </w:rPr>
        <w:t>$</w:t>
      </w:r>
      <w:r w:rsidR="00ED5CA3">
        <w:rPr>
          <w:b w:val="0"/>
          <w:bCs w:val="0"/>
          <w:u w:val="single"/>
        </w:rPr>
        <w:t>0.7</w:t>
      </w:r>
      <w:r w:rsidR="00423620" w:rsidRPr="00423620">
        <w:rPr>
          <w:b w:val="0"/>
          <w:bCs w:val="0"/>
          <w:u w:val="single"/>
        </w:rPr>
        <w:tab/>
      </w:r>
      <w:r w:rsidR="00423620">
        <w:rPr>
          <w:b w:val="0"/>
          <w:bCs w:val="0"/>
        </w:rPr>
        <w:tab/>
      </w:r>
      <w:r w:rsidR="00423620" w:rsidRPr="00423620">
        <w:rPr>
          <w:b w:val="0"/>
          <w:bCs w:val="0"/>
          <w:u w:val="single"/>
        </w:rPr>
        <w:tab/>
        <w:t>$0.3</w:t>
      </w:r>
      <w:r w:rsidR="00423620">
        <w:rPr>
          <w:b w:val="0"/>
          <w:bCs w:val="0"/>
          <w:u w:val="single"/>
        </w:rPr>
        <w:tab/>
      </w:r>
    </w:p>
    <w:p w:rsidR="009F1FB5" w:rsidRDefault="00770B4B" w:rsidP="00770B4B">
      <w:pPr>
        <w:pStyle w:val="BodyText"/>
        <w:tabs>
          <w:tab w:val="center" w:pos="270"/>
          <w:tab w:val="left" w:pos="720"/>
          <w:tab w:val="left" w:pos="5580"/>
          <w:tab w:val="center" w:pos="6300"/>
          <w:tab w:val="right" w:pos="7020"/>
          <w:tab w:val="left" w:pos="7560"/>
          <w:tab w:val="center" w:pos="8280"/>
          <w:tab w:val="right" w:pos="9180"/>
        </w:tabs>
        <w:spacing w:line="240" w:lineRule="auto"/>
        <w:ind w:right="-58"/>
        <w:jc w:val="both"/>
        <w:rPr>
          <w:bCs w:val="0"/>
        </w:rPr>
      </w:pPr>
      <w:r>
        <w:rPr>
          <w:bCs w:val="0"/>
        </w:rPr>
        <w:tab/>
      </w:r>
      <w:r w:rsidRPr="003F5F8F">
        <w:rPr>
          <w:b w:val="0"/>
          <w:bCs w:val="0"/>
        </w:rPr>
        <w:t>12</w:t>
      </w:r>
      <w:r>
        <w:rPr>
          <w:bCs w:val="0"/>
        </w:rPr>
        <w:tab/>
      </w:r>
      <w:r w:rsidR="006C6E7B">
        <w:rPr>
          <w:bCs w:val="0"/>
        </w:rPr>
        <w:t xml:space="preserve">Subtotal -- </w:t>
      </w:r>
      <w:r w:rsidR="009F1FB5" w:rsidRPr="00423620">
        <w:rPr>
          <w:bCs w:val="0"/>
        </w:rPr>
        <w:t>Avista Proposal on Rebuttal</w:t>
      </w:r>
      <w:r w:rsidR="009F1FB5" w:rsidRPr="00423620">
        <w:rPr>
          <w:bCs w:val="0"/>
        </w:rPr>
        <w:tab/>
      </w:r>
      <w:r w:rsidR="009F1FB5" w:rsidRPr="00423620">
        <w:rPr>
          <w:bCs w:val="0"/>
        </w:rPr>
        <w:tab/>
        <w:t>$3.6</w:t>
      </w:r>
      <w:r w:rsidR="009F1FB5" w:rsidRPr="00423620">
        <w:rPr>
          <w:bCs w:val="0"/>
        </w:rPr>
        <w:tab/>
      </w:r>
      <w:r w:rsidR="009F1FB5" w:rsidRPr="00423620">
        <w:rPr>
          <w:bCs w:val="0"/>
        </w:rPr>
        <w:tab/>
      </w:r>
      <w:r w:rsidR="009F1FB5" w:rsidRPr="00423620">
        <w:rPr>
          <w:bCs w:val="0"/>
        </w:rPr>
        <w:tab/>
        <w:t>$10.0</w:t>
      </w:r>
    </w:p>
    <w:p w:rsidR="00957B16" w:rsidRDefault="00957B16" w:rsidP="00770B4B">
      <w:pPr>
        <w:pStyle w:val="BodyText"/>
        <w:tabs>
          <w:tab w:val="center" w:pos="270"/>
          <w:tab w:val="left" w:pos="720"/>
          <w:tab w:val="left" w:pos="5580"/>
          <w:tab w:val="center" w:pos="6300"/>
          <w:tab w:val="right" w:pos="7020"/>
          <w:tab w:val="left" w:pos="7560"/>
          <w:tab w:val="center" w:pos="8280"/>
          <w:tab w:val="right" w:pos="9180"/>
        </w:tabs>
        <w:spacing w:line="240" w:lineRule="auto"/>
        <w:ind w:right="-58"/>
        <w:jc w:val="both"/>
        <w:rPr>
          <w:bCs w:val="0"/>
        </w:rPr>
      </w:pPr>
    </w:p>
    <w:p w:rsidR="00ED5CA3" w:rsidRDefault="00957B16" w:rsidP="00BC5D16">
      <w:pPr>
        <w:pStyle w:val="BodyText"/>
        <w:tabs>
          <w:tab w:val="center" w:pos="270"/>
          <w:tab w:val="left" w:pos="720"/>
          <w:tab w:val="left" w:pos="5580"/>
          <w:tab w:val="center" w:pos="6300"/>
          <w:tab w:val="right" w:pos="7020"/>
          <w:tab w:val="left" w:pos="7560"/>
          <w:tab w:val="center" w:pos="8280"/>
          <w:tab w:val="right" w:pos="9000"/>
        </w:tabs>
        <w:spacing w:line="240" w:lineRule="auto"/>
        <w:ind w:right="-58"/>
        <w:jc w:val="both"/>
        <w:rPr>
          <w:bCs w:val="0"/>
          <w:u w:val="single"/>
        </w:rPr>
      </w:pPr>
      <w:r>
        <w:rPr>
          <w:bCs w:val="0"/>
        </w:rPr>
        <w:tab/>
      </w:r>
      <w:r w:rsidRPr="00762C94">
        <w:rPr>
          <w:b w:val="0"/>
          <w:bCs w:val="0"/>
        </w:rPr>
        <w:t>13</w:t>
      </w:r>
      <w:r>
        <w:rPr>
          <w:bCs w:val="0"/>
        </w:rPr>
        <w:tab/>
        <w:t>Proposed Additional LIRAP Funding</w:t>
      </w:r>
      <w:r>
        <w:rPr>
          <w:bCs w:val="0"/>
        </w:rPr>
        <w:tab/>
      </w:r>
      <w:r w:rsidRPr="00957B16">
        <w:rPr>
          <w:bCs w:val="0"/>
          <w:u w:val="single"/>
        </w:rPr>
        <w:tab/>
        <w:t>$0.3</w:t>
      </w:r>
      <w:r w:rsidRPr="00957B16">
        <w:rPr>
          <w:bCs w:val="0"/>
          <w:u w:val="single"/>
        </w:rPr>
        <w:tab/>
      </w:r>
      <w:r>
        <w:rPr>
          <w:bCs w:val="0"/>
        </w:rPr>
        <w:tab/>
      </w:r>
      <w:r w:rsidR="00ED5CA3" w:rsidRPr="00957B16">
        <w:rPr>
          <w:bCs w:val="0"/>
          <w:u w:val="single"/>
        </w:rPr>
        <w:tab/>
        <w:t>$0.</w:t>
      </w:r>
      <w:r w:rsidR="00342F5D">
        <w:rPr>
          <w:bCs w:val="0"/>
          <w:u w:val="single"/>
        </w:rPr>
        <w:t>3</w:t>
      </w:r>
      <w:r w:rsidR="00ED5CA3" w:rsidRPr="00957B16">
        <w:rPr>
          <w:bCs w:val="0"/>
          <w:u w:val="single"/>
        </w:rPr>
        <w:tab/>
      </w:r>
    </w:p>
    <w:p w:rsidR="006C6E7B" w:rsidRDefault="006C6E7B" w:rsidP="006C6E7B">
      <w:pPr>
        <w:pStyle w:val="BodyText"/>
        <w:tabs>
          <w:tab w:val="center" w:pos="270"/>
          <w:tab w:val="left" w:pos="720"/>
          <w:tab w:val="left" w:pos="5580"/>
          <w:tab w:val="center" w:pos="6300"/>
          <w:tab w:val="right" w:pos="7020"/>
          <w:tab w:val="left" w:pos="7560"/>
          <w:tab w:val="center" w:pos="8280"/>
          <w:tab w:val="right" w:pos="9180"/>
        </w:tabs>
        <w:spacing w:line="240" w:lineRule="auto"/>
        <w:ind w:right="-58"/>
        <w:jc w:val="both"/>
        <w:rPr>
          <w:bCs w:val="0"/>
        </w:rPr>
      </w:pPr>
      <w:r>
        <w:rPr>
          <w:bCs w:val="0"/>
        </w:rPr>
        <w:tab/>
      </w:r>
      <w:r w:rsidRPr="003F5F8F">
        <w:rPr>
          <w:b w:val="0"/>
          <w:bCs w:val="0"/>
        </w:rPr>
        <w:t>1</w:t>
      </w:r>
      <w:r>
        <w:rPr>
          <w:b w:val="0"/>
          <w:bCs w:val="0"/>
        </w:rPr>
        <w:t>4</w:t>
      </w:r>
      <w:r>
        <w:rPr>
          <w:bCs w:val="0"/>
        </w:rPr>
        <w:tab/>
      </w:r>
      <w:r w:rsidRPr="00423620">
        <w:rPr>
          <w:bCs w:val="0"/>
        </w:rPr>
        <w:t>Avista Proposal on Rebuttal</w:t>
      </w:r>
      <w:r w:rsidRPr="00423620">
        <w:rPr>
          <w:bCs w:val="0"/>
        </w:rPr>
        <w:tab/>
      </w:r>
      <w:r w:rsidRPr="00423620">
        <w:rPr>
          <w:bCs w:val="0"/>
        </w:rPr>
        <w:tab/>
        <w:t>$</w:t>
      </w:r>
      <w:r>
        <w:rPr>
          <w:bCs w:val="0"/>
        </w:rPr>
        <w:t>3.9</w:t>
      </w:r>
      <w:r w:rsidRPr="00423620">
        <w:rPr>
          <w:bCs w:val="0"/>
        </w:rPr>
        <w:tab/>
      </w:r>
      <w:r w:rsidRPr="00423620">
        <w:rPr>
          <w:bCs w:val="0"/>
        </w:rPr>
        <w:tab/>
      </w:r>
      <w:r w:rsidRPr="00423620">
        <w:rPr>
          <w:bCs w:val="0"/>
        </w:rPr>
        <w:tab/>
        <w:t>$10.</w:t>
      </w:r>
      <w:r w:rsidR="00342F5D">
        <w:rPr>
          <w:bCs w:val="0"/>
        </w:rPr>
        <w:t>3</w:t>
      </w:r>
    </w:p>
    <w:p w:rsidR="00065646" w:rsidRDefault="00065646" w:rsidP="00770B4B">
      <w:pPr>
        <w:pStyle w:val="BodyText"/>
        <w:tabs>
          <w:tab w:val="center" w:pos="270"/>
          <w:tab w:val="left" w:pos="720"/>
          <w:tab w:val="left" w:pos="5580"/>
          <w:tab w:val="center" w:pos="6300"/>
          <w:tab w:val="right" w:pos="7020"/>
          <w:tab w:val="left" w:pos="7560"/>
          <w:tab w:val="center" w:pos="8280"/>
          <w:tab w:val="right" w:pos="9180"/>
        </w:tabs>
        <w:spacing w:line="240" w:lineRule="auto"/>
        <w:ind w:right="-58"/>
        <w:jc w:val="both"/>
        <w:rPr>
          <w:bCs w:val="0"/>
        </w:rPr>
      </w:pPr>
    </w:p>
    <w:p w:rsidR="006C6E7B" w:rsidRDefault="006C6E7B" w:rsidP="006C6E7B">
      <w:pPr>
        <w:pStyle w:val="BodyText"/>
        <w:tabs>
          <w:tab w:val="center" w:pos="270"/>
          <w:tab w:val="left" w:pos="720"/>
          <w:tab w:val="left" w:pos="5580"/>
          <w:tab w:val="center" w:pos="6300"/>
          <w:tab w:val="right" w:pos="7020"/>
          <w:tab w:val="left" w:pos="7560"/>
          <w:tab w:val="center" w:pos="8280"/>
          <w:tab w:val="right" w:pos="9000"/>
        </w:tabs>
        <w:spacing w:line="240" w:lineRule="auto"/>
        <w:ind w:right="-58"/>
        <w:jc w:val="both"/>
        <w:rPr>
          <w:bCs w:val="0"/>
        </w:rPr>
      </w:pPr>
      <w:r>
        <w:rPr>
          <w:bCs w:val="0"/>
        </w:rPr>
        <w:tab/>
      </w:r>
      <w:r w:rsidRPr="003F5F8F">
        <w:rPr>
          <w:b w:val="0"/>
          <w:bCs w:val="0"/>
        </w:rPr>
        <w:t>1</w:t>
      </w:r>
      <w:r>
        <w:rPr>
          <w:b w:val="0"/>
          <w:bCs w:val="0"/>
        </w:rPr>
        <w:t>5</w:t>
      </w:r>
      <w:r>
        <w:rPr>
          <w:bCs w:val="0"/>
        </w:rPr>
        <w:tab/>
        <w:t>Estimated Power Supply Update – Nov 2015</w:t>
      </w:r>
      <w:r>
        <w:rPr>
          <w:bCs w:val="0"/>
        </w:rPr>
        <w:tab/>
      </w:r>
      <w:r w:rsidRPr="006C6E7B">
        <w:rPr>
          <w:bCs w:val="0"/>
        </w:rPr>
        <w:tab/>
        <w:t>($10.0)</w:t>
      </w:r>
      <w:r w:rsidRPr="006C6E7B">
        <w:rPr>
          <w:bCs w:val="0"/>
        </w:rPr>
        <w:tab/>
      </w:r>
      <w:r>
        <w:rPr>
          <w:bCs w:val="0"/>
        </w:rPr>
        <w:tab/>
      </w:r>
      <w:r w:rsidRPr="006C6E7B">
        <w:rPr>
          <w:bCs w:val="0"/>
        </w:rPr>
        <w:tab/>
      </w:r>
      <w:r w:rsidRPr="006C6E7B">
        <w:rPr>
          <w:bCs w:val="0"/>
        </w:rPr>
        <w:tab/>
      </w:r>
    </w:p>
    <w:p w:rsidR="00065646" w:rsidRDefault="00770B4B" w:rsidP="00770B4B">
      <w:pPr>
        <w:pStyle w:val="BodyText"/>
        <w:tabs>
          <w:tab w:val="center" w:pos="270"/>
          <w:tab w:val="left" w:pos="720"/>
          <w:tab w:val="left" w:pos="5580"/>
          <w:tab w:val="center" w:pos="6300"/>
          <w:tab w:val="right" w:pos="7020"/>
          <w:tab w:val="left" w:pos="7560"/>
          <w:tab w:val="center" w:pos="8280"/>
          <w:tab w:val="right" w:pos="9000"/>
        </w:tabs>
        <w:spacing w:line="240" w:lineRule="auto"/>
        <w:ind w:right="-58"/>
        <w:jc w:val="both"/>
        <w:rPr>
          <w:bCs w:val="0"/>
        </w:rPr>
      </w:pPr>
      <w:r>
        <w:rPr>
          <w:bCs w:val="0"/>
        </w:rPr>
        <w:tab/>
      </w:r>
      <w:r w:rsidRPr="003F5F8F">
        <w:rPr>
          <w:b w:val="0"/>
          <w:bCs w:val="0"/>
        </w:rPr>
        <w:t>1</w:t>
      </w:r>
      <w:r w:rsidR="00DD704D">
        <w:rPr>
          <w:b w:val="0"/>
          <w:bCs w:val="0"/>
        </w:rPr>
        <w:t>6</w:t>
      </w:r>
      <w:r>
        <w:rPr>
          <w:bCs w:val="0"/>
        </w:rPr>
        <w:tab/>
      </w:r>
      <w:r w:rsidR="006C6E7B">
        <w:rPr>
          <w:bCs w:val="0"/>
        </w:rPr>
        <w:t>Expiration of ERM Rebate 12/31/15</w:t>
      </w:r>
      <w:r w:rsidR="00065646">
        <w:rPr>
          <w:bCs w:val="0"/>
        </w:rPr>
        <w:tab/>
      </w:r>
      <w:r w:rsidR="006C6E7B">
        <w:rPr>
          <w:bCs w:val="0"/>
          <w:u w:val="single"/>
        </w:rPr>
        <w:tab/>
        <w:t>$8.</w:t>
      </w:r>
      <w:r w:rsidR="00044CBB">
        <w:rPr>
          <w:bCs w:val="0"/>
          <w:u w:val="single"/>
        </w:rPr>
        <w:t>3</w:t>
      </w:r>
      <w:r w:rsidR="00065646" w:rsidRPr="00065646">
        <w:rPr>
          <w:bCs w:val="0"/>
          <w:u w:val="single"/>
        </w:rPr>
        <w:tab/>
      </w:r>
      <w:r w:rsidR="00065646">
        <w:rPr>
          <w:bCs w:val="0"/>
        </w:rPr>
        <w:tab/>
      </w:r>
      <w:r w:rsidR="00065646" w:rsidRPr="00065646">
        <w:rPr>
          <w:bCs w:val="0"/>
          <w:u w:val="single"/>
        </w:rPr>
        <w:tab/>
      </w:r>
      <w:r w:rsidR="00065646" w:rsidRPr="00065646">
        <w:rPr>
          <w:bCs w:val="0"/>
          <w:u w:val="single"/>
        </w:rPr>
        <w:tab/>
      </w:r>
    </w:p>
    <w:p w:rsidR="00065646" w:rsidRPr="00423620" w:rsidRDefault="00770B4B" w:rsidP="00770B4B">
      <w:pPr>
        <w:pStyle w:val="BodyText"/>
        <w:tabs>
          <w:tab w:val="center" w:pos="270"/>
          <w:tab w:val="left" w:pos="720"/>
          <w:tab w:val="left" w:pos="5580"/>
          <w:tab w:val="center" w:pos="6300"/>
          <w:tab w:val="right" w:pos="7020"/>
          <w:tab w:val="left" w:pos="7560"/>
          <w:tab w:val="center" w:pos="8280"/>
          <w:tab w:val="right" w:pos="9180"/>
        </w:tabs>
        <w:spacing w:line="240" w:lineRule="auto"/>
        <w:ind w:right="-58"/>
        <w:jc w:val="both"/>
        <w:rPr>
          <w:bCs w:val="0"/>
        </w:rPr>
      </w:pPr>
      <w:r>
        <w:rPr>
          <w:bCs w:val="0"/>
        </w:rPr>
        <w:tab/>
      </w:r>
      <w:r w:rsidRPr="003F5F8F">
        <w:rPr>
          <w:b w:val="0"/>
          <w:bCs w:val="0"/>
        </w:rPr>
        <w:t>1</w:t>
      </w:r>
      <w:r w:rsidR="00DD704D">
        <w:rPr>
          <w:b w:val="0"/>
          <w:bCs w:val="0"/>
        </w:rPr>
        <w:t>7</w:t>
      </w:r>
      <w:r>
        <w:rPr>
          <w:bCs w:val="0"/>
        </w:rPr>
        <w:tab/>
      </w:r>
      <w:r w:rsidR="004D1F1B">
        <w:rPr>
          <w:bCs w:val="0"/>
        </w:rPr>
        <w:t>Estimated Rate Adjustment</w:t>
      </w:r>
      <w:r w:rsidR="006C6E7B">
        <w:rPr>
          <w:bCs w:val="0"/>
        </w:rPr>
        <w:tab/>
      </w:r>
      <w:r w:rsidR="006C6E7B">
        <w:rPr>
          <w:bCs w:val="0"/>
        </w:rPr>
        <w:tab/>
        <w:t>$2.</w:t>
      </w:r>
      <w:r w:rsidR="00044CBB">
        <w:rPr>
          <w:bCs w:val="0"/>
        </w:rPr>
        <w:t>2</w:t>
      </w:r>
      <w:r w:rsidR="00065646">
        <w:rPr>
          <w:bCs w:val="0"/>
        </w:rPr>
        <w:tab/>
      </w:r>
      <w:r w:rsidR="00065646">
        <w:rPr>
          <w:bCs w:val="0"/>
        </w:rPr>
        <w:tab/>
      </w:r>
      <w:r w:rsidR="006C6E7B">
        <w:rPr>
          <w:bCs w:val="0"/>
        </w:rPr>
        <w:tab/>
      </w:r>
      <w:r w:rsidR="00065646">
        <w:rPr>
          <w:bCs w:val="0"/>
        </w:rPr>
        <w:t>$10.</w:t>
      </w:r>
      <w:r w:rsidR="00342F5D">
        <w:rPr>
          <w:bCs w:val="0"/>
        </w:rPr>
        <w:t>3</w:t>
      </w:r>
      <w:r w:rsidR="00065646">
        <w:rPr>
          <w:bCs w:val="0"/>
        </w:rPr>
        <w:tab/>
      </w:r>
    </w:p>
    <w:p w:rsidR="005F5D09" w:rsidRDefault="005F5D09" w:rsidP="00867849">
      <w:pPr>
        <w:pStyle w:val="BodyText"/>
        <w:tabs>
          <w:tab w:val="left" w:pos="720"/>
        </w:tabs>
        <w:spacing w:line="480" w:lineRule="auto"/>
        <w:ind w:right="-54"/>
        <w:jc w:val="both"/>
        <w:rPr>
          <w:b w:val="0"/>
          <w:bCs w:val="0"/>
        </w:rPr>
      </w:pPr>
    </w:p>
    <w:p w:rsidR="003F5F8F" w:rsidRDefault="00384268" w:rsidP="00867849">
      <w:pPr>
        <w:pStyle w:val="BodyText"/>
        <w:tabs>
          <w:tab w:val="left" w:pos="720"/>
        </w:tabs>
        <w:spacing w:line="480" w:lineRule="auto"/>
        <w:ind w:right="-54" w:firstLine="720"/>
        <w:jc w:val="both"/>
        <w:rPr>
          <w:b w:val="0"/>
          <w:bCs w:val="0"/>
        </w:rPr>
      </w:pPr>
      <w:r w:rsidRPr="00384268">
        <w:rPr>
          <w:b w:val="0"/>
          <w:bCs w:val="0"/>
        </w:rPr>
        <w:t xml:space="preserve">Lines 1-5 of </w:t>
      </w:r>
      <w:r w:rsidR="00976DE3">
        <w:rPr>
          <w:b w:val="0"/>
          <w:bCs w:val="0"/>
        </w:rPr>
        <w:t xml:space="preserve">Table No. </w:t>
      </w:r>
      <w:r w:rsidR="00D72A3F">
        <w:rPr>
          <w:b w:val="0"/>
          <w:bCs w:val="0"/>
        </w:rPr>
        <w:t>5</w:t>
      </w:r>
      <w:r w:rsidRPr="00384268">
        <w:rPr>
          <w:b w:val="0"/>
          <w:bCs w:val="0"/>
        </w:rPr>
        <w:t xml:space="preserve"> above show the original revenue proposals filed by the Company, and the reductions to revenue requirement resulting from the May 1, 2015</w:t>
      </w:r>
      <w:r w:rsidR="004D1F1B">
        <w:rPr>
          <w:b w:val="0"/>
          <w:bCs w:val="0"/>
        </w:rPr>
        <w:t>,</w:t>
      </w:r>
      <w:r w:rsidRPr="00384268">
        <w:rPr>
          <w:b w:val="0"/>
          <w:bCs w:val="0"/>
        </w:rPr>
        <w:t xml:space="preserve"> Multi-Party Partial Settlement filed with the Commission.</w:t>
      </w:r>
      <w:r>
        <w:rPr>
          <w:b w:val="0"/>
          <w:bCs w:val="0"/>
        </w:rPr>
        <w:t xml:space="preserve">  </w:t>
      </w:r>
      <w:r w:rsidR="002A6B5F">
        <w:rPr>
          <w:b w:val="0"/>
          <w:bCs w:val="0"/>
        </w:rPr>
        <w:t>The revisions on Lines 6</w:t>
      </w:r>
      <w:r w:rsidR="00585549">
        <w:rPr>
          <w:b w:val="0"/>
          <w:bCs w:val="0"/>
        </w:rPr>
        <w:t xml:space="preserve"> reflect updated information provided to the parties.  The reductions to revenue requirement are driven primarily by updated allocation factors which shift costs from the Washington jurisdiction to </w:t>
      </w:r>
      <w:r w:rsidR="00585549">
        <w:rPr>
          <w:b w:val="0"/>
          <w:bCs w:val="0"/>
        </w:rPr>
        <w:lastRenderedPageBreak/>
        <w:t>Idaho, and updated information related to tax adjustments and the timing of net plant investment in service.  Ms. Andrews provides additional details on these adjustments.</w:t>
      </w:r>
    </w:p>
    <w:p w:rsidR="00585549" w:rsidRDefault="00585549" w:rsidP="00867849">
      <w:pPr>
        <w:pStyle w:val="BodyText"/>
        <w:tabs>
          <w:tab w:val="left" w:pos="720"/>
        </w:tabs>
        <w:spacing w:line="480" w:lineRule="auto"/>
        <w:ind w:right="-54" w:firstLine="720"/>
        <w:jc w:val="both"/>
        <w:rPr>
          <w:b w:val="0"/>
          <w:bCs w:val="0"/>
        </w:rPr>
      </w:pPr>
      <w:r>
        <w:rPr>
          <w:b w:val="0"/>
          <w:bCs w:val="0"/>
        </w:rPr>
        <w:t>These revised revenue requirement numbers for July 2015</w:t>
      </w:r>
      <w:r w:rsidR="00DD77F5">
        <w:rPr>
          <w:b w:val="0"/>
          <w:bCs w:val="0"/>
        </w:rPr>
        <w:t xml:space="preserve">, on line 7 of the </w:t>
      </w:r>
      <w:r w:rsidR="006023DC">
        <w:rPr>
          <w:b w:val="0"/>
          <w:bCs w:val="0"/>
        </w:rPr>
        <w:t>Ta</w:t>
      </w:r>
      <w:r w:rsidR="00DD77F5">
        <w:rPr>
          <w:b w:val="0"/>
          <w:bCs w:val="0"/>
        </w:rPr>
        <w:t>ble,</w:t>
      </w:r>
      <w:r>
        <w:rPr>
          <w:b w:val="0"/>
          <w:bCs w:val="0"/>
        </w:rPr>
        <w:t xml:space="preserve"> essentially represent the starting point for </w:t>
      </w:r>
      <w:r w:rsidR="00EB2427">
        <w:rPr>
          <w:b w:val="0"/>
          <w:bCs w:val="0"/>
        </w:rPr>
        <w:t>Staff</w:t>
      </w:r>
      <w:r>
        <w:rPr>
          <w:b w:val="0"/>
          <w:bCs w:val="0"/>
        </w:rPr>
        <w:t xml:space="preserve"> and intervenor te</w:t>
      </w:r>
      <w:r w:rsidR="003A0579">
        <w:rPr>
          <w:b w:val="0"/>
          <w:bCs w:val="0"/>
        </w:rPr>
        <w:t>stimony and exhibits, and represented the most curr</w:t>
      </w:r>
      <w:r w:rsidR="00964F3A">
        <w:rPr>
          <w:b w:val="0"/>
          <w:bCs w:val="0"/>
        </w:rPr>
        <w:t>ent information available at that</w:t>
      </w:r>
      <w:r w:rsidR="003A0579">
        <w:rPr>
          <w:b w:val="0"/>
          <w:bCs w:val="0"/>
        </w:rPr>
        <w:t xml:space="preserve"> time.</w:t>
      </w:r>
    </w:p>
    <w:p w:rsidR="00FE6D5C" w:rsidRDefault="003A0579" w:rsidP="00867849">
      <w:pPr>
        <w:pStyle w:val="BodyText"/>
        <w:tabs>
          <w:tab w:val="left" w:pos="720"/>
        </w:tabs>
        <w:spacing w:line="480" w:lineRule="auto"/>
        <w:ind w:right="-54" w:firstLine="720"/>
        <w:jc w:val="both"/>
        <w:rPr>
          <w:b w:val="0"/>
          <w:bCs w:val="0"/>
        </w:rPr>
      </w:pPr>
      <w:r>
        <w:rPr>
          <w:b w:val="0"/>
          <w:bCs w:val="0"/>
        </w:rPr>
        <w:t>Lines 8 to 12 of Table</w:t>
      </w:r>
      <w:r w:rsidR="00976DE3">
        <w:rPr>
          <w:b w:val="0"/>
          <w:bCs w:val="0"/>
        </w:rPr>
        <w:t xml:space="preserve"> No. </w:t>
      </w:r>
      <w:r w:rsidR="00D72A3F">
        <w:rPr>
          <w:b w:val="0"/>
          <w:bCs w:val="0"/>
        </w:rPr>
        <w:t>5</w:t>
      </w:r>
      <w:r>
        <w:rPr>
          <w:b w:val="0"/>
          <w:bCs w:val="0"/>
        </w:rPr>
        <w:t xml:space="preserve"> represent adjustments proposed by Avista in response to the testimony filed by </w:t>
      </w:r>
      <w:r w:rsidR="00EB2427">
        <w:rPr>
          <w:b w:val="0"/>
          <w:bCs w:val="0"/>
        </w:rPr>
        <w:t>Staff</w:t>
      </w:r>
      <w:r>
        <w:rPr>
          <w:b w:val="0"/>
          <w:bCs w:val="0"/>
        </w:rPr>
        <w:t xml:space="preserve"> and intervenors </w:t>
      </w:r>
      <w:r w:rsidR="00657F56">
        <w:rPr>
          <w:b w:val="0"/>
          <w:bCs w:val="0"/>
        </w:rPr>
        <w:t xml:space="preserve">on </w:t>
      </w:r>
      <w:r w:rsidR="00964F3A">
        <w:rPr>
          <w:b w:val="0"/>
          <w:bCs w:val="0"/>
        </w:rPr>
        <w:t>July 27</w:t>
      </w:r>
      <w:r>
        <w:rPr>
          <w:b w:val="0"/>
          <w:bCs w:val="0"/>
        </w:rPr>
        <w:t>, 2</w:t>
      </w:r>
      <w:r w:rsidR="005A60EC">
        <w:rPr>
          <w:b w:val="0"/>
          <w:bCs w:val="0"/>
        </w:rPr>
        <w:t xml:space="preserve">015.  </w:t>
      </w:r>
      <w:r w:rsidR="000E5196">
        <w:rPr>
          <w:b w:val="0"/>
          <w:bCs w:val="0"/>
        </w:rPr>
        <w:t xml:space="preserve">With regard to Line 9 </w:t>
      </w:r>
      <w:r w:rsidR="004D1F1B">
        <w:rPr>
          <w:b w:val="0"/>
          <w:bCs w:val="0"/>
        </w:rPr>
        <w:t>(</w:t>
      </w:r>
      <w:r w:rsidR="000E5196">
        <w:rPr>
          <w:b w:val="0"/>
          <w:bCs w:val="0"/>
        </w:rPr>
        <w:t>Delay Amortization of Existing Meters (AMI</w:t>
      </w:r>
      <w:r w:rsidR="004D1F1B">
        <w:rPr>
          <w:b w:val="0"/>
          <w:bCs w:val="0"/>
        </w:rPr>
        <w:t>)</w:t>
      </w:r>
      <w:r w:rsidR="000E5196">
        <w:rPr>
          <w:b w:val="0"/>
          <w:bCs w:val="0"/>
        </w:rPr>
        <w:t xml:space="preserve">), as I will explain later in my testimony, Avista is proposing on rebuttal to exclude </w:t>
      </w:r>
      <w:r w:rsidR="0057232A">
        <w:rPr>
          <w:b w:val="0"/>
          <w:bCs w:val="0"/>
        </w:rPr>
        <w:t>new pl</w:t>
      </w:r>
      <w:r w:rsidR="00DD704D">
        <w:rPr>
          <w:b w:val="0"/>
          <w:bCs w:val="0"/>
        </w:rPr>
        <w:t>ant investment and</w:t>
      </w:r>
      <w:r w:rsidR="0057232A">
        <w:rPr>
          <w:b w:val="0"/>
          <w:bCs w:val="0"/>
        </w:rPr>
        <w:t xml:space="preserve"> new operating expenses related to AMI in the determination of the electric and natural gas revenue requirements for the 2016 rate period.  Avista plans to move forward with the implementation of AMI, </w:t>
      </w:r>
      <w:r w:rsidR="00654ECE">
        <w:rPr>
          <w:b w:val="0"/>
          <w:bCs w:val="0"/>
        </w:rPr>
        <w:t xml:space="preserve">however, </w:t>
      </w:r>
      <w:r w:rsidR="0057232A">
        <w:rPr>
          <w:b w:val="0"/>
          <w:bCs w:val="0"/>
        </w:rPr>
        <w:t>absent a Commission order i</w:t>
      </w:r>
      <w:r w:rsidR="00964F3A">
        <w:rPr>
          <w:b w:val="0"/>
          <w:bCs w:val="0"/>
        </w:rPr>
        <w:t>n these Dockets to the contrary.  Avista</w:t>
      </w:r>
      <w:r w:rsidR="0057232A">
        <w:rPr>
          <w:b w:val="0"/>
          <w:bCs w:val="0"/>
        </w:rPr>
        <w:t xml:space="preserve"> w</w:t>
      </w:r>
      <w:r w:rsidR="00654ECE">
        <w:rPr>
          <w:b w:val="0"/>
          <w:bCs w:val="0"/>
        </w:rPr>
        <w:t>ould agree to present a</w:t>
      </w:r>
      <w:r w:rsidR="0057232A">
        <w:rPr>
          <w:b w:val="0"/>
          <w:bCs w:val="0"/>
        </w:rPr>
        <w:t xml:space="preserve"> showing in i</w:t>
      </w:r>
      <w:r w:rsidR="00654ECE">
        <w:rPr>
          <w:b w:val="0"/>
          <w:bCs w:val="0"/>
        </w:rPr>
        <w:t>ts next general rate case</w:t>
      </w:r>
      <w:r w:rsidR="00964F3A">
        <w:rPr>
          <w:b w:val="0"/>
          <w:bCs w:val="0"/>
        </w:rPr>
        <w:t xml:space="preserve"> related to </w:t>
      </w:r>
      <w:r w:rsidR="00654ECE">
        <w:rPr>
          <w:b w:val="0"/>
          <w:bCs w:val="0"/>
        </w:rPr>
        <w:t xml:space="preserve">the prudence of </w:t>
      </w:r>
      <w:r w:rsidR="00964F3A">
        <w:rPr>
          <w:b w:val="0"/>
          <w:bCs w:val="0"/>
        </w:rPr>
        <w:t>new investment</w:t>
      </w:r>
      <w:r w:rsidR="006023DC">
        <w:rPr>
          <w:b w:val="0"/>
          <w:bCs w:val="0"/>
        </w:rPr>
        <w:t xml:space="preserve"> dollars</w:t>
      </w:r>
      <w:r w:rsidR="00964F3A">
        <w:rPr>
          <w:b w:val="0"/>
          <w:bCs w:val="0"/>
        </w:rPr>
        <w:t xml:space="preserve"> and operating costs associated with AMI to be included in retail rates</w:t>
      </w:r>
      <w:r w:rsidR="0057232A">
        <w:rPr>
          <w:b w:val="0"/>
          <w:bCs w:val="0"/>
        </w:rPr>
        <w:t xml:space="preserve">.  </w:t>
      </w:r>
    </w:p>
    <w:p w:rsidR="00585549" w:rsidRDefault="0057232A" w:rsidP="00867849">
      <w:pPr>
        <w:pStyle w:val="BodyText"/>
        <w:tabs>
          <w:tab w:val="left" w:pos="720"/>
        </w:tabs>
        <w:spacing w:line="480" w:lineRule="auto"/>
        <w:ind w:right="-54" w:firstLine="720"/>
        <w:jc w:val="both"/>
        <w:rPr>
          <w:b w:val="0"/>
          <w:bCs w:val="0"/>
        </w:rPr>
      </w:pPr>
      <w:r>
        <w:rPr>
          <w:b w:val="0"/>
          <w:bCs w:val="0"/>
        </w:rPr>
        <w:t xml:space="preserve">Avista is also proposing on rebuttal to delay the beginning of the amortization of the </w:t>
      </w:r>
      <w:r w:rsidR="00DD704D">
        <w:rPr>
          <w:b w:val="0"/>
          <w:bCs w:val="0"/>
        </w:rPr>
        <w:t xml:space="preserve">investment in </w:t>
      </w:r>
      <w:r>
        <w:rPr>
          <w:b w:val="0"/>
          <w:bCs w:val="0"/>
        </w:rPr>
        <w:t xml:space="preserve">existing meters from 2016 to 2017, which </w:t>
      </w:r>
      <w:r w:rsidR="00F110E5">
        <w:rPr>
          <w:b w:val="0"/>
          <w:bCs w:val="0"/>
        </w:rPr>
        <w:t>reduces the</w:t>
      </w:r>
      <w:r>
        <w:rPr>
          <w:b w:val="0"/>
          <w:bCs w:val="0"/>
        </w:rPr>
        <w:t xml:space="preserve"> revenue requirement </w:t>
      </w:r>
      <w:r w:rsidR="006023DC">
        <w:rPr>
          <w:b w:val="0"/>
          <w:bCs w:val="0"/>
        </w:rPr>
        <w:t xml:space="preserve">as shown </w:t>
      </w:r>
      <w:r>
        <w:rPr>
          <w:b w:val="0"/>
          <w:bCs w:val="0"/>
        </w:rPr>
        <w:t>on Line 9 of Table</w:t>
      </w:r>
      <w:r w:rsidR="00976DE3">
        <w:rPr>
          <w:b w:val="0"/>
          <w:bCs w:val="0"/>
        </w:rPr>
        <w:t xml:space="preserve"> No. </w:t>
      </w:r>
      <w:r w:rsidR="00D72A3F">
        <w:rPr>
          <w:b w:val="0"/>
          <w:bCs w:val="0"/>
        </w:rPr>
        <w:t>5</w:t>
      </w:r>
      <w:r>
        <w:rPr>
          <w:b w:val="0"/>
          <w:bCs w:val="0"/>
        </w:rPr>
        <w:t xml:space="preserve"> above.  </w:t>
      </w:r>
    </w:p>
    <w:p w:rsidR="009E77DA" w:rsidRDefault="00575AF9" w:rsidP="00867849">
      <w:pPr>
        <w:pStyle w:val="BodyText"/>
        <w:tabs>
          <w:tab w:val="left" w:pos="720"/>
        </w:tabs>
        <w:spacing w:line="480" w:lineRule="auto"/>
        <w:ind w:right="-54" w:firstLine="720"/>
        <w:jc w:val="both"/>
        <w:rPr>
          <w:b w:val="0"/>
          <w:bCs w:val="0"/>
        </w:rPr>
      </w:pPr>
      <w:r>
        <w:rPr>
          <w:b w:val="0"/>
          <w:bCs w:val="0"/>
        </w:rPr>
        <w:t>With regard to Line 10 of Table</w:t>
      </w:r>
      <w:r w:rsidR="00976DE3">
        <w:rPr>
          <w:b w:val="0"/>
          <w:bCs w:val="0"/>
        </w:rPr>
        <w:t xml:space="preserve"> No. </w:t>
      </w:r>
      <w:r w:rsidR="00D72A3F">
        <w:rPr>
          <w:b w:val="0"/>
          <w:bCs w:val="0"/>
        </w:rPr>
        <w:t>5</w:t>
      </w:r>
      <w:r w:rsidR="00D81CC3">
        <w:rPr>
          <w:b w:val="0"/>
          <w:bCs w:val="0"/>
        </w:rPr>
        <w:t xml:space="preserve">, </w:t>
      </w:r>
      <w:r w:rsidR="00EB2427">
        <w:rPr>
          <w:b w:val="0"/>
          <w:bCs w:val="0"/>
        </w:rPr>
        <w:t>Staff</w:t>
      </w:r>
      <w:r>
        <w:rPr>
          <w:b w:val="0"/>
          <w:bCs w:val="0"/>
        </w:rPr>
        <w:t xml:space="preserve"> a</w:t>
      </w:r>
      <w:r w:rsidR="00FE6D5C">
        <w:rPr>
          <w:b w:val="0"/>
          <w:bCs w:val="0"/>
        </w:rPr>
        <w:t>nd ICNU propose to normalize certain</w:t>
      </w:r>
      <w:r>
        <w:rPr>
          <w:b w:val="0"/>
          <w:bCs w:val="0"/>
        </w:rPr>
        <w:t xml:space="preserve"> major maintenance for thermal plants scheduled for 2016, and spread the cost over a multi-year period until the major maintenance is required again.  Later in my testimony I will explain Avista’s proposal to normalize these costs (spread the costs over multiple years) for both customers and the Company, which would reduce Avista’s electric revenue requirement in this case.  </w:t>
      </w:r>
    </w:p>
    <w:p w:rsidR="00C91098" w:rsidRDefault="009E77DA" w:rsidP="009E77DA">
      <w:pPr>
        <w:pStyle w:val="BodyText"/>
        <w:tabs>
          <w:tab w:val="left" w:pos="720"/>
        </w:tabs>
        <w:spacing w:line="480" w:lineRule="auto"/>
        <w:ind w:right="-54"/>
        <w:jc w:val="both"/>
        <w:rPr>
          <w:b w:val="0"/>
          <w:bCs w:val="0"/>
        </w:rPr>
      </w:pPr>
      <w:r>
        <w:rPr>
          <w:b w:val="0"/>
          <w:bCs w:val="0"/>
        </w:rPr>
        <w:lastRenderedPageBreak/>
        <w:tab/>
        <w:t xml:space="preserve">For Line 11, Avista started with </w:t>
      </w:r>
      <w:r w:rsidR="00EB2427">
        <w:rPr>
          <w:b w:val="0"/>
          <w:bCs w:val="0"/>
        </w:rPr>
        <w:t>Staff</w:t>
      </w:r>
      <w:r>
        <w:rPr>
          <w:b w:val="0"/>
          <w:bCs w:val="0"/>
        </w:rPr>
        <w:t>’s attrition model and methodology, and made a few corrections and adjustments to determine revised revenue requirements.  The primary adjustments</w:t>
      </w:r>
      <w:r w:rsidR="002B7800">
        <w:rPr>
          <w:b w:val="0"/>
          <w:bCs w:val="0"/>
        </w:rPr>
        <w:t>, other than corrections,</w:t>
      </w:r>
      <w:r>
        <w:rPr>
          <w:b w:val="0"/>
          <w:bCs w:val="0"/>
        </w:rPr>
        <w:t xml:space="preserve"> to </w:t>
      </w:r>
      <w:r w:rsidR="00EB2427">
        <w:rPr>
          <w:b w:val="0"/>
          <w:bCs w:val="0"/>
        </w:rPr>
        <w:t>Staff</w:t>
      </w:r>
      <w:r>
        <w:rPr>
          <w:b w:val="0"/>
          <w:bCs w:val="0"/>
        </w:rPr>
        <w:t>’s attrition model include reflecting 100% recovery of Project Compass costs, and adjusting the operations and maintenance (O&amp;M) index to be more representative of the year-to-year change in O&amp;M.</w:t>
      </w:r>
      <w:r w:rsidR="00C435D8">
        <w:rPr>
          <w:b w:val="0"/>
          <w:bCs w:val="0"/>
        </w:rPr>
        <w:t xml:space="preserve">  Ms. Andrews explains these corrections and adjustments in her rebuttal testimony.  </w:t>
      </w:r>
      <w:r w:rsidR="00575AF9">
        <w:rPr>
          <w:b w:val="0"/>
          <w:bCs w:val="0"/>
        </w:rPr>
        <w:t>Line 12 represents Avista’s proposed electric and natural gas revenue requirements in these Dockets in th</w:t>
      </w:r>
      <w:r w:rsidR="00945AAF">
        <w:rPr>
          <w:b w:val="0"/>
          <w:bCs w:val="0"/>
        </w:rPr>
        <w:t>is rebuttal filing, prior to the proposed increase in LIRAP funding.</w:t>
      </w:r>
    </w:p>
    <w:p w:rsidR="00945AAF" w:rsidRDefault="00945AAF" w:rsidP="009E77DA">
      <w:pPr>
        <w:pStyle w:val="BodyText"/>
        <w:tabs>
          <w:tab w:val="left" w:pos="720"/>
        </w:tabs>
        <w:spacing w:line="480" w:lineRule="auto"/>
        <w:ind w:right="-54"/>
        <w:jc w:val="both"/>
        <w:rPr>
          <w:b w:val="0"/>
          <w:bCs w:val="0"/>
        </w:rPr>
      </w:pPr>
      <w:r>
        <w:rPr>
          <w:b w:val="0"/>
          <w:bCs w:val="0"/>
        </w:rPr>
        <w:tab/>
        <w:t xml:space="preserve">In response to </w:t>
      </w:r>
      <w:r w:rsidR="00EB2427">
        <w:rPr>
          <w:b w:val="0"/>
          <w:bCs w:val="0"/>
        </w:rPr>
        <w:t>Staff</w:t>
      </w:r>
      <w:r>
        <w:rPr>
          <w:b w:val="0"/>
          <w:bCs w:val="0"/>
        </w:rPr>
        <w:t xml:space="preserve"> and intervenor testimony, Avista is proposing </w:t>
      </w:r>
      <w:r w:rsidR="00C83D6F">
        <w:rPr>
          <w:b w:val="0"/>
          <w:bCs w:val="0"/>
        </w:rPr>
        <w:t xml:space="preserve">a multi-year funding program for LIRAP, </w:t>
      </w:r>
      <w:r w:rsidR="00C14CEA">
        <w:rPr>
          <w:b w:val="0"/>
          <w:bCs w:val="0"/>
        </w:rPr>
        <w:t>which Mr. Ehrbar explains in his rebuttal</w:t>
      </w:r>
      <w:r w:rsidR="00C83D6F">
        <w:rPr>
          <w:b w:val="0"/>
          <w:bCs w:val="0"/>
        </w:rPr>
        <w:t xml:space="preserve"> testimony.  </w:t>
      </w:r>
      <w:r w:rsidR="00370FC6">
        <w:rPr>
          <w:b w:val="0"/>
          <w:bCs w:val="0"/>
        </w:rPr>
        <w:t xml:space="preserve">The proposed increase in electric and natural gas LIRAP funding is shown on Line 13.  </w:t>
      </w:r>
      <w:r w:rsidR="00C83D6F">
        <w:rPr>
          <w:b w:val="0"/>
          <w:bCs w:val="0"/>
        </w:rPr>
        <w:t xml:space="preserve">Avista’s </w:t>
      </w:r>
      <w:r w:rsidR="00C14CEA">
        <w:rPr>
          <w:b w:val="0"/>
          <w:bCs w:val="0"/>
        </w:rPr>
        <w:t xml:space="preserve">LIRAP </w:t>
      </w:r>
      <w:r w:rsidR="00C83D6F">
        <w:rPr>
          <w:b w:val="0"/>
          <w:bCs w:val="0"/>
        </w:rPr>
        <w:t xml:space="preserve">proposal starts with </w:t>
      </w:r>
      <w:r w:rsidR="00EB2427">
        <w:rPr>
          <w:b w:val="0"/>
          <w:bCs w:val="0"/>
        </w:rPr>
        <w:t>Staff</w:t>
      </w:r>
      <w:r w:rsidR="00C83D6F">
        <w:rPr>
          <w:b w:val="0"/>
          <w:bCs w:val="0"/>
        </w:rPr>
        <w:t>’s recommendation, and includes a few minor changes.</w:t>
      </w:r>
    </w:p>
    <w:p w:rsidR="0091323D" w:rsidRDefault="00575AF9" w:rsidP="00867849">
      <w:pPr>
        <w:pStyle w:val="BodyText"/>
        <w:tabs>
          <w:tab w:val="left" w:pos="720"/>
        </w:tabs>
        <w:spacing w:line="480" w:lineRule="auto"/>
        <w:ind w:right="-54" w:firstLine="720"/>
        <w:jc w:val="both"/>
        <w:rPr>
          <w:b w:val="0"/>
          <w:bCs w:val="0"/>
        </w:rPr>
      </w:pPr>
      <w:r>
        <w:rPr>
          <w:b w:val="0"/>
          <w:bCs w:val="0"/>
        </w:rPr>
        <w:t>In the May 1, 2015 Multi-Party Settlement Agreement the parties proposed that power supply costs be updated in November 2015, to become eff</w:t>
      </w:r>
      <w:r w:rsidR="00D31F26">
        <w:rPr>
          <w:b w:val="0"/>
          <w:bCs w:val="0"/>
        </w:rPr>
        <w:t>ective in January 2016.  Line 15</w:t>
      </w:r>
      <w:r>
        <w:rPr>
          <w:b w:val="0"/>
          <w:bCs w:val="0"/>
        </w:rPr>
        <w:t xml:space="preserve"> represents Avista’s estimate of the power supply update based on the most recent information.  Net power supply costs have continued to decline since the May </w:t>
      </w:r>
      <w:r w:rsidR="00D81CC3">
        <w:rPr>
          <w:b w:val="0"/>
          <w:bCs w:val="0"/>
        </w:rPr>
        <w:t xml:space="preserve">1, </w:t>
      </w:r>
      <w:r>
        <w:rPr>
          <w:b w:val="0"/>
          <w:bCs w:val="0"/>
        </w:rPr>
        <w:t>2015 Multi-Party Settlement</w:t>
      </w:r>
      <w:r w:rsidR="00A37CB6">
        <w:rPr>
          <w:b w:val="0"/>
          <w:bCs w:val="0"/>
        </w:rPr>
        <w:t>, and the most recent information shows a further reduction of approximately $10 million (WA share).</w:t>
      </w:r>
      <w:r w:rsidR="00D31F26">
        <w:rPr>
          <w:b w:val="0"/>
          <w:bCs w:val="0"/>
        </w:rPr>
        <w:t xml:space="preserve">  Line 16 reflects the current ERM-related rebate in place for electric customers that will expire on December 31, 2015.  This rebate was approved by the Commission in our last general rate case for the one-year period January 1, 2015 to December 31, 2015.</w:t>
      </w:r>
    </w:p>
    <w:p w:rsidR="00575AF9" w:rsidRPr="00384268" w:rsidRDefault="00FC0F26" w:rsidP="00867849">
      <w:pPr>
        <w:pStyle w:val="BodyText"/>
        <w:tabs>
          <w:tab w:val="left" w:pos="720"/>
        </w:tabs>
        <w:spacing w:line="480" w:lineRule="auto"/>
        <w:ind w:right="-54" w:firstLine="720"/>
        <w:jc w:val="both"/>
        <w:rPr>
          <w:b w:val="0"/>
          <w:bCs w:val="0"/>
        </w:rPr>
      </w:pPr>
      <w:r>
        <w:rPr>
          <w:b w:val="0"/>
          <w:bCs w:val="0"/>
        </w:rPr>
        <w:t>Line 17 reflects the estimate</w:t>
      </w:r>
      <w:r w:rsidR="00FC7A45">
        <w:rPr>
          <w:b w:val="0"/>
          <w:bCs w:val="0"/>
        </w:rPr>
        <w:t>d</w:t>
      </w:r>
      <w:r>
        <w:rPr>
          <w:b w:val="0"/>
          <w:bCs w:val="0"/>
        </w:rPr>
        <w:t xml:space="preserve"> rate adjustments to customers beginning January 2016 proposed by the Company, based on the most current and best information available.</w:t>
      </w:r>
    </w:p>
    <w:p w:rsidR="003F5F8F" w:rsidRDefault="00BD332B" w:rsidP="00867849">
      <w:pPr>
        <w:pStyle w:val="BodyText"/>
        <w:tabs>
          <w:tab w:val="left" w:pos="720"/>
        </w:tabs>
        <w:spacing w:line="480" w:lineRule="auto"/>
        <w:ind w:right="-54" w:firstLine="720"/>
        <w:jc w:val="both"/>
        <w:rPr>
          <w:bCs w:val="0"/>
        </w:rPr>
      </w:pPr>
      <w:r>
        <w:rPr>
          <w:bCs w:val="0"/>
        </w:rPr>
        <w:lastRenderedPageBreak/>
        <w:t>Q.</w:t>
      </w:r>
      <w:r>
        <w:rPr>
          <w:bCs w:val="0"/>
        </w:rPr>
        <w:tab/>
        <w:t xml:space="preserve">What are the proposed rate adjustments by </w:t>
      </w:r>
      <w:r w:rsidR="00FC7A45">
        <w:rPr>
          <w:bCs w:val="0"/>
        </w:rPr>
        <w:t>rate schedule</w:t>
      </w:r>
      <w:r>
        <w:rPr>
          <w:bCs w:val="0"/>
        </w:rPr>
        <w:t xml:space="preserve"> based on </w:t>
      </w:r>
      <w:r w:rsidR="00A238CD">
        <w:rPr>
          <w:bCs w:val="0"/>
        </w:rPr>
        <w:t xml:space="preserve">the </w:t>
      </w:r>
      <w:r>
        <w:rPr>
          <w:bCs w:val="0"/>
        </w:rPr>
        <w:t xml:space="preserve">revenue requirements in Table </w:t>
      </w:r>
      <w:r w:rsidR="00976DE3">
        <w:rPr>
          <w:bCs w:val="0"/>
        </w:rPr>
        <w:t xml:space="preserve">No. </w:t>
      </w:r>
      <w:r w:rsidR="00D72A3F">
        <w:rPr>
          <w:bCs w:val="0"/>
        </w:rPr>
        <w:t>5</w:t>
      </w:r>
      <w:r>
        <w:rPr>
          <w:bCs w:val="0"/>
        </w:rPr>
        <w:t xml:space="preserve"> above?</w:t>
      </w:r>
    </w:p>
    <w:p w:rsidR="00ED5F56" w:rsidRDefault="00ED5F56" w:rsidP="00ED5F56">
      <w:pPr>
        <w:tabs>
          <w:tab w:val="left" w:pos="720"/>
        </w:tabs>
        <w:spacing w:line="480" w:lineRule="auto"/>
        <w:ind w:right="-4"/>
        <w:jc w:val="both"/>
      </w:pPr>
      <w:r>
        <w:rPr>
          <w:bCs/>
        </w:rPr>
        <w:tab/>
      </w:r>
      <w:r w:rsidR="00BD332B">
        <w:rPr>
          <w:bCs/>
        </w:rPr>
        <w:t>A.</w:t>
      </w:r>
      <w:r w:rsidR="00BD332B">
        <w:rPr>
          <w:bCs/>
        </w:rPr>
        <w:tab/>
      </w:r>
      <w:r>
        <w:t xml:space="preserve">The average </w:t>
      </w:r>
      <w:r w:rsidR="00FC7A45">
        <w:t>percentage</w:t>
      </w:r>
      <w:r>
        <w:t xml:space="preserve"> change by </w:t>
      </w:r>
      <w:r w:rsidR="00114CC7">
        <w:t xml:space="preserve">rate schedule based on Line 14 of Table </w:t>
      </w:r>
      <w:r w:rsidR="00976DE3">
        <w:t xml:space="preserve">No. </w:t>
      </w:r>
      <w:r w:rsidR="00D72A3F">
        <w:t>5</w:t>
      </w:r>
      <w:r w:rsidR="00114CC7">
        <w:t xml:space="preserve"> above, including the proposed increase in LIRAP funding</w:t>
      </w:r>
      <w:r w:rsidR="00A238CD">
        <w:t>,</w:t>
      </w:r>
      <w:r w:rsidR="00976DE3">
        <w:t xml:space="preserve"> is as shown in Table Nos. </w:t>
      </w:r>
      <w:r w:rsidR="00D72A3F">
        <w:t>6</w:t>
      </w:r>
      <w:r w:rsidR="00114CC7">
        <w:t xml:space="preserve"> and </w:t>
      </w:r>
      <w:r w:rsidR="00D72A3F">
        <w:t>7</w:t>
      </w:r>
      <w:r w:rsidR="00114CC7">
        <w:t xml:space="preserve"> below.</w:t>
      </w:r>
      <w:r>
        <w:t xml:space="preserve">  The individual compone</w:t>
      </w:r>
      <w:r w:rsidR="00114CC7">
        <w:t xml:space="preserve">nts by rate schedule </w:t>
      </w:r>
      <w:r w:rsidR="00783A30">
        <w:t xml:space="preserve">are </w:t>
      </w:r>
      <w:r w:rsidR="00FC7A45">
        <w:t>provided by Mr. Ehrbar.</w:t>
      </w:r>
    </w:p>
    <w:p w:rsidR="00FC7A45" w:rsidRPr="00FC7A45" w:rsidRDefault="00FC7A45" w:rsidP="00025AFC">
      <w:pPr>
        <w:tabs>
          <w:tab w:val="left" w:pos="720"/>
        </w:tabs>
        <w:ind w:right="-4"/>
        <w:jc w:val="both"/>
        <w:rPr>
          <w:b/>
          <w:u w:val="single"/>
        </w:rPr>
      </w:pPr>
      <w:r w:rsidRPr="00FC7A45">
        <w:rPr>
          <w:b/>
          <w:u w:val="single"/>
        </w:rPr>
        <w:t xml:space="preserve">Table No. </w:t>
      </w:r>
      <w:r w:rsidR="00D72A3F">
        <w:rPr>
          <w:b/>
          <w:u w:val="single"/>
        </w:rPr>
        <w:t>6</w:t>
      </w:r>
      <w:r w:rsidR="00976DE3">
        <w:rPr>
          <w:b/>
          <w:u w:val="single"/>
        </w:rPr>
        <w:t xml:space="preserve"> </w:t>
      </w:r>
      <w:r w:rsidRPr="00FC7A45">
        <w:rPr>
          <w:b/>
          <w:u w:val="single"/>
        </w:rPr>
        <w:t>– Percentage Change</w:t>
      </w:r>
      <w:r w:rsidR="00025AFC" w:rsidRPr="00FC7A45">
        <w:rPr>
          <w:b/>
          <w:u w:val="single"/>
        </w:rPr>
        <w:t xml:space="preserve"> – </w:t>
      </w:r>
      <w:r w:rsidR="00025AFC">
        <w:rPr>
          <w:b/>
          <w:u w:val="single"/>
        </w:rPr>
        <w:t xml:space="preserve">Electric Excluding ERM </w:t>
      </w:r>
      <w:r w:rsidR="00FF7BF5">
        <w:rPr>
          <w:b/>
          <w:u w:val="single"/>
        </w:rPr>
        <w:t xml:space="preserve">Rebate </w:t>
      </w:r>
      <w:r w:rsidR="00025AFC">
        <w:rPr>
          <w:b/>
          <w:u w:val="single"/>
        </w:rPr>
        <w:t>Expiration and Power Supply Update</w:t>
      </w:r>
    </w:p>
    <w:p w:rsidR="00ED5F56" w:rsidRPr="00F61ED4" w:rsidRDefault="00ED5F56" w:rsidP="00ED5F56">
      <w:pPr>
        <w:tabs>
          <w:tab w:val="left" w:pos="5940"/>
          <w:tab w:val="center" w:pos="6480"/>
          <w:tab w:val="right" w:pos="7020"/>
          <w:tab w:val="left" w:pos="7740"/>
          <w:tab w:val="center" w:pos="8280"/>
          <w:tab w:val="right" w:pos="8820"/>
        </w:tabs>
        <w:ind w:left="540" w:right="-4" w:hanging="540"/>
        <w:jc w:val="both"/>
        <w:rPr>
          <w:b/>
          <w:u w:val="single"/>
        </w:rPr>
      </w:pPr>
      <w:r w:rsidRPr="00F61ED4">
        <w:rPr>
          <w:b/>
        </w:rPr>
        <w:tab/>
      </w:r>
      <w:r>
        <w:rPr>
          <w:b/>
        </w:rPr>
        <w:tab/>
      </w:r>
      <w:r w:rsidRPr="00F61ED4">
        <w:rPr>
          <w:b/>
          <w:u w:val="single"/>
        </w:rPr>
        <w:tab/>
        <w:t>$000s</w:t>
      </w:r>
      <w:r w:rsidRPr="00F61ED4">
        <w:rPr>
          <w:b/>
          <w:u w:val="single"/>
        </w:rPr>
        <w:tab/>
      </w:r>
      <w:r>
        <w:rPr>
          <w:b/>
        </w:rPr>
        <w:tab/>
      </w:r>
      <w:r w:rsidRPr="00F61ED4">
        <w:rPr>
          <w:b/>
          <w:u w:val="single"/>
        </w:rPr>
        <w:tab/>
        <w:t>%</w:t>
      </w:r>
      <w:r w:rsidRPr="00F61ED4">
        <w:rPr>
          <w:b/>
          <w:u w:val="single"/>
        </w:rPr>
        <w:tab/>
      </w:r>
    </w:p>
    <w:p w:rsidR="00ED5F56" w:rsidRPr="00F61ED4" w:rsidRDefault="00ED5F56" w:rsidP="00ED5F56">
      <w:pPr>
        <w:tabs>
          <w:tab w:val="center" w:pos="4680"/>
          <w:tab w:val="center" w:pos="6480"/>
          <w:tab w:val="center" w:pos="8280"/>
        </w:tabs>
        <w:ind w:left="540" w:right="-4" w:hanging="540"/>
        <w:jc w:val="both"/>
        <w:rPr>
          <w:b/>
        </w:rPr>
      </w:pPr>
      <w:r>
        <w:rPr>
          <w:b/>
        </w:rPr>
        <w:tab/>
      </w:r>
      <w:r w:rsidRPr="00F61ED4">
        <w:rPr>
          <w:b/>
        </w:rPr>
        <w:t>Electric</w:t>
      </w:r>
    </w:p>
    <w:p w:rsidR="00ED5F56" w:rsidRDefault="00ED5F56" w:rsidP="00ED5F56">
      <w:pPr>
        <w:tabs>
          <w:tab w:val="center" w:pos="4680"/>
          <w:tab w:val="center" w:pos="6480"/>
          <w:tab w:val="center" w:pos="8280"/>
        </w:tabs>
        <w:ind w:left="540" w:right="-4" w:hanging="540"/>
        <w:jc w:val="both"/>
      </w:pPr>
      <w:r>
        <w:tab/>
        <w:t>Residential</w:t>
      </w:r>
      <w:r>
        <w:tab/>
        <w:t>1</w:t>
      </w:r>
      <w:r>
        <w:tab/>
        <w:t>$</w:t>
      </w:r>
      <w:r w:rsidR="00FC7A45">
        <w:t>1,705</w:t>
      </w:r>
      <w:r>
        <w:tab/>
      </w:r>
      <w:r w:rsidR="00FC7A45">
        <w:t>0.8</w:t>
      </w:r>
      <w:r>
        <w:t>%</w:t>
      </w:r>
    </w:p>
    <w:p w:rsidR="00ED5F56" w:rsidRDefault="00ED5F56" w:rsidP="00ED5F56">
      <w:pPr>
        <w:tabs>
          <w:tab w:val="center" w:pos="4680"/>
          <w:tab w:val="center" w:pos="6480"/>
          <w:tab w:val="center" w:pos="8280"/>
        </w:tabs>
        <w:ind w:left="540" w:right="-4" w:hanging="540"/>
        <w:jc w:val="both"/>
      </w:pPr>
      <w:r>
        <w:tab/>
        <w:t>General Service</w:t>
      </w:r>
      <w:r>
        <w:tab/>
        <w:t>11/12</w:t>
      </w:r>
      <w:r>
        <w:tab/>
        <w:t>$</w:t>
      </w:r>
      <w:r w:rsidR="00FC7A45">
        <w:t>570</w:t>
      </w:r>
      <w:r>
        <w:tab/>
      </w:r>
      <w:r w:rsidR="00FC7A45">
        <w:t>0.8</w:t>
      </w:r>
      <w:r>
        <w:t>%</w:t>
      </w:r>
    </w:p>
    <w:p w:rsidR="00ED5F56" w:rsidRDefault="00ED5F56" w:rsidP="00ED5F56">
      <w:pPr>
        <w:tabs>
          <w:tab w:val="center" w:pos="4680"/>
          <w:tab w:val="center" w:pos="6480"/>
          <w:tab w:val="center" w:pos="8280"/>
        </w:tabs>
        <w:ind w:left="540" w:right="-4" w:hanging="540"/>
        <w:jc w:val="both"/>
      </w:pPr>
      <w:r>
        <w:tab/>
        <w:t>Large General Service</w:t>
      </w:r>
      <w:r>
        <w:tab/>
        <w:t>21/22</w:t>
      </w:r>
      <w:r>
        <w:tab/>
        <w:t>$</w:t>
      </w:r>
      <w:r w:rsidR="00FC7A45">
        <w:t>1,036</w:t>
      </w:r>
      <w:r>
        <w:tab/>
      </w:r>
      <w:r w:rsidR="00FC7A45">
        <w:t>0.8</w:t>
      </w:r>
      <w:r>
        <w:t>%</w:t>
      </w:r>
    </w:p>
    <w:p w:rsidR="00ED5F56" w:rsidRDefault="00ED5F56" w:rsidP="00ED5F56">
      <w:pPr>
        <w:tabs>
          <w:tab w:val="center" w:pos="4680"/>
          <w:tab w:val="center" w:pos="6480"/>
          <w:tab w:val="center" w:pos="8280"/>
        </w:tabs>
        <w:ind w:left="540" w:right="-4" w:hanging="540"/>
        <w:jc w:val="both"/>
      </w:pPr>
      <w:r>
        <w:tab/>
        <w:t>Extra Large General Service</w:t>
      </w:r>
      <w:r>
        <w:tab/>
        <w:t>25</w:t>
      </w:r>
      <w:r>
        <w:tab/>
        <w:t>$</w:t>
      </w:r>
      <w:r w:rsidR="00FC7A45">
        <w:t>501</w:t>
      </w:r>
      <w:r>
        <w:tab/>
        <w:t>0.</w:t>
      </w:r>
      <w:r w:rsidR="00FC7A45">
        <w:t>8</w:t>
      </w:r>
      <w:r>
        <w:t>%</w:t>
      </w:r>
    </w:p>
    <w:p w:rsidR="00ED5F56" w:rsidRDefault="00ED5F56" w:rsidP="00ED5F56">
      <w:pPr>
        <w:tabs>
          <w:tab w:val="center" w:pos="4680"/>
          <w:tab w:val="center" w:pos="6480"/>
          <w:tab w:val="center" w:pos="8280"/>
        </w:tabs>
        <w:ind w:left="540" w:right="-4" w:hanging="540"/>
        <w:jc w:val="both"/>
      </w:pPr>
      <w:r>
        <w:tab/>
        <w:t>Pumping Service</w:t>
      </w:r>
      <w:r>
        <w:tab/>
        <w:t>30/31/32</w:t>
      </w:r>
      <w:r>
        <w:tab/>
        <w:t>$</w:t>
      </w:r>
      <w:r w:rsidR="00FC7A45">
        <w:t>91</w:t>
      </w:r>
      <w:r>
        <w:tab/>
      </w:r>
      <w:r w:rsidR="00FC7A45">
        <w:t>0</w:t>
      </w:r>
      <w:r>
        <w:t>.</w:t>
      </w:r>
      <w:r w:rsidR="00FC7A45">
        <w:t>8</w:t>
      </w:r>
      <w:r>
        <w:t>%</w:t>
      </w:r>
    </w:p>
    <w:p w:rsidR="00ED5F56" w:rsidRDefault="00ED5F56" w:rsidP="00ED5F56">
      <w:pPr>
        <w:tabs>
          <w:tab w:val="left" w:pos="5940"/>
          <w:tab w:val="center" w:pos="6480"/>
          <w:tab w:val="right" w:pos="7020"/>
          <w:tab w:val="left" w:pos="7740"/>
          <w:tab w:val="center" w:pos="8280"/>
          <w:tab w:val="right" w:pos="8820"/>
        </w:tabs>
        <w:ind w:left="540" w:right="-4" w:hanging="540"/>
        <w:jc w:val="both"/>
      </w:pPr>
      <w:r w:rsidRPr="00F61ED4">
        <w:tab/>
      </w:r>
      <w:r>
        <w:t>Street &amp; Area Lights</w:t>
      </w:r>
      <w:r>
        <w:tab/>
      </w:r>
      <w:r w:rsidRPr="00114CC7">
        <w:rPr>
          <w:u w:val="single"/>
        </w:rPr>
        <w:tab/>
        <w:t>$</w:t>
      </w:r>
      <w:r w:rsidR="00FC7A45">
        <w:rPr>
          <w:u w:val="single"/>
        </w:rPr>
        <w:t>56</w:t>
      </w:r>
      <w:r w:rsidRPr="00114CC7">
        <w:rPr>
          <w:u w:val="single"/>
        </w:rPr>
        <w:tab/>
      </w:r>
      <w:r>
        <w:tab/>
      </w:r>
      <w:r w:rsidRPr="00114CC7">
        <w:rPr>
          <w:u w:val="single"/>
        </w:rPr>
        <w:tab/>
      </w:r>
      <w:r w:rsidR="00FC7A45">
        <w:rPr>
          <w:u w:val="single"/>
        </w:rPr>
        <w:t>0.8</w:t>
      </w:r>
      <w:r w:rsidRPr="00345FF7">
        <w:rPr>
          <w:u w:val="single"/>
        </w:rPr>
        <w:t>%</w:t>
      </w:r>
      <w:r w:rsidR="00114CC7">
        <w:rPr>
          <w:u w:val="single"/>
        </w:rPr>
        <w:tab/>
      </w:r>
    </w:p>
    <w:p w:rsidR="00ED5F56" w:rsidRDefault="00ED5F56" w:rsidP="00ED5F56">
      <w:pPr>
        <w:ind w:left="540" w:right="-4" w:hanging="540"/>
        <w:jc w:val="both"/>
      </w:pPr>
      <w:r>
        <w:tab/>
      </w:r>
      <w:r>
        <w:tab/>
        <w:t>Total</w:t>
      </w:r>
      <w:r>
        <w:tab/>
      </w:r>
      <w:r>
        <w:tab/>
      </w:r>
      <w:r>
        <w:tab/>
      </w:r>
      <w:r>
        <w:tab/>
      </w:r>
      <w:r>
        <w:tab/>
      </w:r>
      <w:r>
        <w:tab/>
      </w:r>
      <w:r>
        <w:tab/>
        <w:t xml:space="preserve">      $</w:t>
      </w:r>
      <w:r w:rsidR="00FC7A45">
        <w:t>3,959</w:t>
      </w:r>
      <w:r>
        <w:tab/>
      </w:r>
      <w:r>
        <w:tab/>
        <w:t xml:space="preserve">  </w:t>
      </w:r>
      <w:r w:rsidR="00FC7A45">
        <w:t>0.8</w:t>
      </w:r>
      <w:r>
        <w:t>%</w:t>
      </w:r>
      <w:r>
        <w:tab/>
      </w:r>
    </w:p>
    <w:p w:rsidR="00D90FF9" w:rsidRDefault="00D90FF9" w:rsidP="00ED5F56">
      <w:pPr>
        <w:tabs>
          <w:tab w:val="left" w:pos="5940"/>
          <w:tab w:val="center" w:pos="6480"/>
          <w:tab w:val="right" w:pos="7020"/>
          <w:tab w:val="left" w:pos="7740"/>
          <w:tab w:val="center" w:pos="8280"/>
          <w:tab w:val="right" w:pos="8820"/>
        </w:tabs>
        <w:ind w:left="540" w:right="-4" w:hanging="540"/>
        <w:jc w:val="both"/>
      </w:pPr>
    </w:p>
    <w:p w:rsidR="00976DE3" w:rsidRPr="00FC7A45" w:rsidRDefault="00976DE3" w:rsidP="00976DE3">
      <w:pPr>
        <w:tabs>
          <w:tab w:val="left" w:pos="720"/>
        </w:tabs>
        <w:spacing w:line="480" w:lineRule="auto"/>
        <w:ind w:right="-4"/>
        <w:jc w:val="both"/>
        <w:rPr>
          <w:b/>
          <w:u w:val="single"/>
        </w:rPr>
      </w:pPr>
      <w:r w:rsidRPr="00FC7A45">
        <w:rPr>
          <w:b/>
          <w:u w:val="single"/>
        </w:rPr>
        <w:t>Table No.</w:t>
      </w:r>
      <w:r>
        <w:rPr>
          <w:b/>
          <w:u w:val="single"/>
        </w:rPr>
        <w:t xml:space="preserve"> </w:t>
      </w:r>
      <w:r w:rsidR="00D72A3F">
        <w:rPr>
          <w:b/>
          <w:u w:val="single"/>
        </w:rPr>
        <w:t>7</w:t>
      </w:r>
      <w:r w:rsidRPr="00FC7A45">
        <w:rPr>
          <w:b/>
          <w:u w:val="single"/>
        </w:rPr>
        <w:t xml:space="preserve"> – Percentage Change –</w:t>
      </w:r>
      <w:r>
        <w:rPr>
          <w:b/>
          <w:u w:val="single"/>
        </w:rPr>
        <w:t xml:space="preserve"> </w:t>
      </w:r>
      <w:r w:rsidRPr="00FC7A45">
        <w:rPr>
          <w:b/>
          <w:u w:val="single"/>
        </w:rPr>
        <w:t>Natural Gas</w:t>
      </w:r>
    </w:p>
    <w:p w:rsidR="00ED5F56" w:rsidRPr="00F61ED4" w:rsidRDefault="00ED5F56" w:rsidP="00ED5F56">
      <w:pPr>
        <w:tabs>
          <w:tab w:val="left" w:pos="5940"/>
          <w:tab w:val="center" w:pos="6480"/>
          <w:tab w:val="right" w:pos="7020"/>
          <w:tab w:val="left" w:pos="7740"/>
          <w:tab w:val="center" w:pos="8280"/>
          <w:tab w:val="right" w:pos="8820"/>
        </w:tabs>
        <w:ind w:left="540" w:right="-4" w:hanging="540"/>
        <w:jc w:val="both"/>
        <w:rPr>
          <w:b/>
          <w:u w:val="single"/>
        </w:rPr>
      </w:pPr>
      <w:r w:rsidRPr="00F61ED4">
        <w:rPr>
          <w:b/>
        </w:rPr>
        <w:tab/>
      </w:r>
      <w:r>
        <w:rPr>
          <w:b/>
        </w:rPr>
        <w:tab/>
      </w:r>
      <w:r w:rsidRPr="00F61ED4">
        <w:rPr>
          <w:b/>
          <w:u w:val="single"/>
        </w:rPr>
        <w:tab/>
        <w:t>$000s</w:t>
      </w:r>
      <w:r w:rsidRPr="00F61ED4">
        <w:rPr>
          <w:b/>
          <w:u w:val="single"/>
        </w:rPr>
        <w:tab/>
      </w:r>
      <w:r>
        <w:rPr>
          <w:b/>
        </w:rPr>
        <w:tab/>
      </w:r>
      <w:r w:rsidRPr="00F61ED4">
        <w:rPr>
          <w:b/>
          <w:u w:val="single"/>
        </w:rPr>
        <w:tab/>
        <w:t>%</w:t>
      </w:r>
      <w:r w:rsidRPr="00F61ED4">
        <w:rPr>
          <w:b/>
          <w:u w:val="single"/>
        </w:rPr>
        <w:tab/>
      </w:r>
    </w:p>
    <w:p w:rsidR="00ED5F56" w:rsidRPr="00F61ED4" w:rsidRDefault="00ED5F56" w:rsidP="00ED5F56">
      <w:pPr>
        <w:tabs>
          <w:tab w:val="center" w:pos="4680"/>
          <w:tab w:val="center" w:pos="6480"/>
          <w:tab w:val="center" w:pos="8280"/>
        </w:tabs>
        <w:ind w:left="540" w:right="-4" w:hanging="540"/>
        <w:jc w:val="both"/>
        <w:rPr>
          <w:b/>
        </w:rPr>
      </w:pPr>
      <w:r>
        <w:rPr>
          <w:b/>
        </w:rPr>
        <w:tab/>
        <w:t>Natural Gas</w:t>
      </w:r>
    </w:p>
    <w:p w:rsidR="00ED5F56" w:rsidRDefault="00ED5F56" w:rsidP="00ED5F56">
      <w:pPr>
        <w:tabs>
          <w:tab w:val="center" w:pos="4680"/>
          <w:tab w:val="center" w:pos="6480"/>
          <w:tab w:val="center" w:pos="8280"/>
        </w:tabs>
        <w:ind w:left="540" w:right="-4" w:hanging="540"/>
        <w:jc w:val="both"/>
      </w:pPr>
      <w:r>
        <w:tab/>
        <w:t>General Service</w:t>
      </w:r>
      <w:r>
        <w:tab/>
        <w:t>101</w:t>
      </w:r>
      <w:r>
        <w:tab/>
        <w:t>$</w:t>
      </w:r>
      <w:r w:rsidR="00FC7A45">
        <w:t>7,</w:t>
      </w:r>
      <w:r w:rsidR="00342F5D">
        <w:t>996</w:t>
      </w:r>
      <w:r>
        <w:tab/>
        <w:t>6.</w:t>
      </w:r>
      <w:r w:rsidR="00342F5D">
        <w:t>4</w:t>
      </w:r>
      <w:r>
        <w:t>%</w:t>
      </w:r>
    </w:p>
    <w:p w:rsidR="00ED5F56" w:rsidRDefault="00ED5F56" w:rsidP="00ED5F56">
      <w:pPr>
        <w:tabs>
          <w:tab w:val="center" w:pos="4680"/>
          <w:tab w:val="center" w:pos="6480"/>
          <w:tab w:val="center" w:pos="8280"/>
        </w:tabs>
        <w:ind w:left="540" w:right="-4" w:hanging="540"/>
        <w:jc w:val="both"/>
      </w:pPr>
      <w:r>
        <w:tab/>
        <w:t>Large General Service</w:t>
      </w:r>
      <w:r>
        <w:tab/>
        <w:t>111/112</w:t>
      </w:r>
      <w:r>
        <w:tab/>
        <w:t>$1,</w:t>
      </w:r>
      <w:r w:rsidR="00FC7A45">
        <w:t>7</w:t>
      </w:r>
      <w:r w:rsidR="00342F5D">
        <w:t>88</w:t>
      </w:r>
      <w:r>
        <w:tab/>
        <w:t>4.</w:t>
      </w:r>
      <w:r w:rsidR="00342F5D">
        <w:t>6</w:t>
      </w:r>
      <w:r>
        <w:t>%</w:t>
      </w:r>
    </w:p>
    <w:p w:rsidR="00ED5F56" w:rsidRDefault="00ED5F56" w:rsidP="00ED5F56">
      <w:pPr>
        <w:tabs>
          <w:tab w:val="center" w:pos="4680"/>
          <w:tab w:val="center" w:pos="6480"/>
          <w:tab w:val="center" w:pos="8280"/>
        </w:tabs>
        <w:ind w:left="540" w:right="-4" w:hanging="540"/>
        <w:jc w:val="both"/>
      </w:pPr>
      <w:r>
        <w:tab/>
        <w:t>LGS – High Annual Load Factor</w:t>
      </w:r>
      <w:r>
        <w:tab/>
        <w:t>121/122</w:t>
      </w:r>
      <w:r>
        <w:tab/>
        <w:t>$16</w:t>
      </w:r>
      <w:r w:rsidR="00342F5D">
        <w:t>5</w:t>
      </w:r>
      <w:r>
        <w:tab/>
        <w:t>3.</w:t>
      </w:r>
      <w:r w:rsidR="00342F5D">
        <w:t>8</w:t>
      </w:r>
      <w:r>
        <w:t>%</w:t>
      </w:r>
    </w:p>
    <w:p w:rsidR="00ED5F56" w:rsidRDefault="00ED5F56" w:rsidP="00ED5F56">
      <w:pPr>
        <w:tabs>
          <w:tab w:val="center" w:pos="4680"/>
          <w:tab w:val="center" w:pos="6480"/>
          <w:tab w:val="center" w:pos="8280"/>
        </w:tabs>
        <w:ind w:left="540" w:right="-4" w:hanging="540"/>
        <w:jc w:val="both"/>
      </w:pPr>
      <w:r>
        <w:tab/>
        <w:t>Interruptible Service</w:t>
      </w:r>
      <w:r>
        <w:tab/>
        <w:t>131/132</w:t>
      </w:r>
      <w:r>
        <w:tab/>
        <w:t>$2</w:t>
      </w:r>
      <w:r w:rsidR="00FC7A45">
        <w:t>8</w:t>
      </w:r>
      <w:r>
        <w:tab/>
        <w:t>3.</w:t>
      </w:r>
      <w:r w:rsidR="00342F5D">
        <w:t>7</w:t>
      </w:r>
      <w:r>
        <w:t>%</w:t>
      </w:r>
    </w:p>
    <w:p w:rsidR="00ED5F56" w:rsidRDefault="00ED5F56" w:rsidP="00362A3F">
      <w:pPr>
        <w:tabs>
          <w:tab w:val="center" w:pos="4680"/>
          <w:tab w:val="left" w:pos="5940"/>
          <w:tab w:val="center" w:pos="6480"/>
          <w:tab w:val="right" w:pos="7020"/>
          <w:tab w:val="left" w:pos="7740"/>
          <w:tab w:val="center" w:pos="8280"/>
          <w:tab w:val="right" w:pos="8820"/>
        </w:tabs>
        <w:ind w:left="540" w:right="-4" w:hanging="540"/>
        <w:jc w:val="both"/>
      </w:pPr>
      <w:r>
        <w:tab/>
        <w:t>Transportation Service</w:t>
      </w:r>
      <w:r>
        <w:tab/>
        <w:t>146</w:t>
      </w:r>
      <w:r>
        <w:tab/>
      </w:r>
      <w:r w:rsidR="00362A3F" w:rsidRPr="00362A3F">
        <w:rPr>
          <w:u w:val="single"/>
        </w:rPr>
        <w:tab/>
      </w:r>
      <w:r w:rsidRPr="005F1D31">
        <w:rPr>
          <w:u w:val="single"/>
        </w:rPr>
        <w:t>$</w:t>
      </w:r>
      <w:r>
        <w:rPr>
          <w:u w:val="single"/>
        </w:rPr>
        <w:t>3</w:t>
      </w:r>
      <w:r w:rsidR="00FC7A45">
        <w:rPr>
          <w:u w:val="single"/>
        </w:rPr>
        <w:t>4</w:t>
      </w:r>
      <w:r w:rsidR="00342F5D">
        <w:rPr>
          <w:u w:val="single"/>
        </w:rPr>
        <w:t>2</w:t>
      </w:r>
      <w:r w:rsidR="00362A3F">
        <w:rPr>
          <w:u w:val="single"/>
        </w:rPr>
        <w:tab/>
      </w:r>
      <w:r w:rsidR="00362A3F" w:rsidRPr="00362A3F">
        <w:tab/>
      </w:r>
      <w:r w:rsidRPr="00362A3F">
        <w:rPr>
          <w:u w:val="single"/>
        </w:rPr>
        <w:tab/>
      </w:r>
      <w:r>
        <w:rPr>
          <w:u w:val="single"/>
        </w:rPr>
        <w:t>13.</w:t>
      </w:r>
      <w:r w:rsidR="00FC7A45">
        <w:rPr>
          <w:u w:val="single"/>
        </w:rPr>
        <w:t>1</w:t>
      </w:r>
      <w:r w:rsidRPr="005F1D31">
        <w:rPr>
          <w:u w:val="single"/>
        </w:rPr>
        <w:t>%</w:t>
      </w:r>
      <w:r w:rsidR="00362A3F">
        <w:rPr>
          <w:u w:val="single"/>
        </w:rPr>
        <w:tab/>
      </w:r>
    </w:p>
    <w:p w:rsidR="00ED5F56" w:rsidRDefault="00ED5F56" w:rsidP="00ED5F56">
      <w:pPr>
        <w:tabs>
          <w:tab w:val="center" w:pos="4680"/>
          <w:tab w:val="left" w:pos="5940"/>
          <w:tab w:val="center" w:pos="6480"/>
          <w:tab w:val="right" w:pos="7020"/>
          <w:tab w:val="left" w:pos="7740"/>
          <w:tab w:val="center" w:pos="8280"/>
          <w:tab w:val="right" w:pos="8820"/>
        </w:tabs>
        <w:ind w:left="540" w:right="-4" w:hanging="540"/>
        <w:jc w:val="both"/>
      </w:pPr>
      <w:r w:rsidRPr="00F61ED4">
        <w:tab/>
      </w:r>
      <w:r>
        <w:t>Total</w:t>
      </w:r>
      <w:r>
        <w:tab/>
      </w:r>
      <w:r>
        <w:tab/>
        <w:t xml:space="preserve">  $10,</w:t>
      </w:r>
      <w:r w:rsidR="00342F5D">
        <w:t>320</w:t>
      </w:r>
      <w:r>
        <w:tab/>
        <w:t xml:space="preserve"> </w:t>
      </w:r>
      <w:r>
        <w:tab/>
      </w:r>
      <w:r>
        <w:tab/>
      </w:r>
      <w:r w:rsidR="00FC7A45">
        <w:t>5.</w:t>
      </w:r>
      <w:r w:rsidR="00342F5D">
        <w:t>9</w:t>
      </w:r>
      <w:r>
        <w:t>%</w:t>
      </w:r>
    </w:p>
    <w:p w:rsidR="003F5F8F" w:rsidRDefault="003F5F8F" w:rsidP="00867849">
      <w:pPr>
        <w:pStyle w:val="BodyText"/>
        <w:tabs>
          <w:tab w:val="left" w:pos="720"/>
        </w:tabs>
        <w:spacing w:line="480" w:lineRule="auto"/>
        <w:ind w:right="-54" w:firstLine="720"/>
        <w:jc w:val="both"/>
        <w:rPr>
          <w:bCs w:val="0"/>
        </w:rPr>
      </w:pPr>
    </w:p>
    <w:p w:rsidR="00783A30" w:rsidRPr="00783A30" w:rsidRDefault="00271314" w:rsidP="00783A30">
      <w:pPr>
        <w:tabs>
          <w:tab w:val="left" w:pos="720"/>
        </w:tabs>
        <w:spacing w:line="480" w:lineRule="auto"/>
        <w:ind w:right="-4"/>
        <w:jc w:val="both"/>
      </w:pPr>
      <w:r>
        <w:tab/>
        <w:t xml:space="preserve">The average </w:t>
      </w:r>
      <w:r w:rsidR="00C01BE2">
        <w:t>revenue</w:t>
      </w:r>
      <w:r>
        <w:t xml:space="preserve"> change by rate schedule based on Line 17 of Table </w:t>
      </w:r>
      <w:r w:rsidR="00C01BE2">
        <w:t xml:space="preserve">No. </w:t>
      </w:r>
      <w:r w:rsidR="00D72A3F">
        <w:t>5</w:t>
      </w:r>
      <w:r>
        <w:t xml:space="preserve"> above, including the estimated power supply update and the expiration of the ERM rebate is as shown in Table </w:t>
      </w:r>
      <w:r w:rsidR="00C01BE2">
        <w:t xml:space="preserve">No. </w:t>
      </w:r>
      <w:r w:rsidR="00D72A3F">
        <w:t>8</w:t>
      </w:r>
      <w:r>
        <w:t xml:space="preserve"> below.  The individual components by rate schedule are </w:t>
      </w:r>
      <w:r w:rsidR="00C01BE2">
        <w:t>provided by Mr. Ehrbar</w:t>
      </w:r>
      <w:r>
        <w:t>.</w:t>
      </w:r>
      <w:r w:rsidR="00783A30">
        <w:rPr>
          <w:b/>
          <w:u w:val="single"/>
        </w:rPr>
        <w:br w:type="page"/>
      </w:r>
    </w:p>
    <w:p w:rsidR="00FC7A45" w:rsidRPr="00FC7A45" w:rsidRDefault="00FC7A45" w:rsidP="00FC7A45">
      <w:pPr>
        <w:tabs>
          <w:tab w:val="left" w:pos="720"/>
        </w:tabs>
        <w:ind w:right="-4"/>
        <w:jc w:val="both"/>
        <w:rPr>
          <w:b/>
          <w:u w:val="single"/>
        </w:rPr>
      </w:pPr>
      <w:r w:rsidRPr="00FC7A45">
        <w:rPr>
          <w:b/>
          <w:u w:val="single"/>
        </w:rPr>
        <w:lastRenderedPageBreak/>
        <w:t xml:space="preserve">Table No. </w:t>
      </w:r>
      <w:r w:rsidR="00D72A3F">
        <w:rPr>
          <w:b/>
          <w:u w:val="single"/>
        </w:rPr>
        <w:t>8</w:t>
      </w:r>
      <w:r w:rsidRPr="00FC7A45">
        <w:rPr>
          <w:b/>
          <w:u w:val="single"/>
        </w:rPr>
        <w:t xml:space="preserve"> – Percentage Change – </w:t>
      </w:r>
      <w:r>
        <w:rPr>
          <w:b/>
          <w:u w:val="single"/>
        </w:rPr>
        <w:t xml:space="preserve">Electric Including ERM </w:t>
      </w:r>
      <w:r w:rsidR="00FF7BF5">
        <w:rPr>
          <w:b/>
          <w:u w:val="single"/>
        </w:rPr>
        <w:t xml:space="preserve">Rebate </w:t>
      </w:r>
      <w:r>
        <w:rPr>
          <w:b/>
          <w:u w:val="single"/>
        </w:rPr>
        <w:t>Expiration and Power Supply Update</w:t>
      </w:r>
    </w:p>
    <w:p w:rsidR="00FC7A45" w:rsidRDefault="00FC7A45" w:rsidP="00271314">
      <w:pPr>
        <w:tabs>
          <w:tab w:val="left" w:pos="720"/>
        </w:tabs>
        <w:spacing w:line="480" w:lineRule="auto"/>
        <w:ind w:right="-4"/>
        <w:jc w:val="both"/>
      </w:pPr>
    </w:p>
    <w:p w:rsidR="00D90FF9" w:rsidRPr="00F61ED4" w:rsidRDefault="00D90FF9" w:rsidP="00D90FF9">
      <w:pPr>
        <w:tabs>
          <w:tab w:val="left" w:pos="5940"/>
          <w:tab w:val="center" w:pos="6480"/>
          <w:tab w:val="right" w:pos="7020"/>
          <w:tab w:val="left" w:pos="7740"/>
          <w:tab w:val="center" w:pos="8280"/>
          <w:tab w:val="right" w:pos="8820"/>
        </w:tabs>
        <w:ind w:left="540" w:right="-4" w:hanging="540"/>
        <w:jc w:val="both"/>
        <w:rPr>
          <w:b/>
          <w:u w:val="single"/>
        </w:rPr>
      </w:pPr>
      <w:r w:rsidRPr="00F61ED4">
        <w:rPr>
          <w:b/>
        </w:rPr>
        <w:tab/>
      </w:r>
      <w:r>
        <w:rPr>
          <w:b/>
        </w:rPr>
        <w:tab/>
      </w:r>
      <w:r w:rsidRPr="00F61ED4">
        <w:rPr>
          <w:b/>
          <w:u w:val="single"/>
        </w:rPr>
        <w:tab/>
        <w:t>$000s</w:t>
      </w:r>
      <w:r w:rsidRPr="00F61ED4">
        <w:rPr>
          <w:b/>
          <w:u w:val="single"/>
        </w:rPr>
        <w:tab/>
      </w:r>
      <w:r>
        <w:rPr>
          <w:b/>
        </w:rPr>
        <w:tab/>
      </w:r>
      <w:r w:rsidRPr="00F61ED4">
        <w:rPr>
          <w:b/>
          <w:u w:val="single"/>
        </w:rPr>
        <w:tab/>
        <w:t>%</w:t>
      </w:r>
      <w:r w:rsidRPr="00F61ED4">
        <w:rPr>
          <w:b/>
          <w:u w:val="single"/>
        </w:rPr>
        <w:tab/>
      </w:r>
    </w:p>
    <w:p w:rsidR="00D90FF9" w:rsidRPr="00F61ED4" w:rsidRDefault="00D90FF9" w:rsidP="00D90FF9">
      <w:pPr>
        <w:tabs>
          <w:tab w:val="center" w:pos="4680"/>
          <w:tab w:val="center" w:pos="6480"/>
          <w:tab w:val="center" w:pos="8280"/>
        </w:tabs>
        <w:ind w:left="540" w:right="-4" w:hanging="540"/>
        <w:jc w:val="both"/>
        <w:rPr>
          <w:b/>
        </w:rPr>
      </w:pPr>
      <w:r>
        <w:rPr>
          <w:b/>
        </w:rPr>
        <w:tab/>
      </w:r>
      <w:r w:rsidRPr="00F61ED4">
        <w:rPr>
          <w:b/>
        </w:rPr>
        <w:t>Electric</w:t>
      </w:r>
    </w:p>
    <w:p w:rsidR="00D90FF9" w:rsidRDefault="00D90FF9" w:rsidP="00D90FF9">
      <w:pPr>
        <w:tabs>
          <w:tab w:val="center" w:pos="4680"/>
          <w:tab w:val="center" w:pos="6480"/>
          <w:tab w:val="center" w:pos="8280"/>
        </w:tabs>
        <w:ind w:left="540" w:right="-4" w:hanging="540"/>
        <w:jc w:val="both"/>
      </w:pPr>
      <w:r>
        <w:tab/>
        <w:t>Residential</w:t>
      </w:r>
      <w:r>
        <w:tab/>
        <w:t>1</w:t>
      </w:r>
      <w:r>
        <w:tab/>
        <w:t>$</w:t>
      </w:r>
      <w:r w:rsidR="00FC7A45">
        <w:t>952</w:t>
      </w:r>
      <w:r>
        <w:tab/>
      </w:r>
      <w:r w:rsidR="00FC7A45">
        <w:t>0.5</w:t>
      </w:r>
      <w:r>
        <w:t>%</w:t>
      </w:r>
    </w:p>
    <w:p w:rsidR="00D90FF9" w:rsidRDefault="00D90FF9" w:rsidP="00D90FF9">
      <w:pPr>
        <w:tabs>
          <w:tab w:val="center" w:pos="4680"/>
          <w:tab w:val="center" w:pos="6480"/>
          <w:tab w:val="center" w:pos="8280"/>
        </w:tabs>
        <w:ind w:left="540" w:right="-4" w:hanging="540"/>
        <w:jc w:val="both"/>
      </w:pPr>
      <w:r>
        <w:tab/>
        <w:t>General Service</w:t>
      </w:r>
      <w:r>
        <w:tab/>
        <w:t>11/12</w:t>
      </w:r>
      <w:r>
        <w:tab/>
        <w:t>$</w:t>
      </w:r>
      <w:r w:rsidR="00FC7A45">
        <w:t>320</w:t>
      </w:r>
      <w:r>
        <w:tab/>
      </w:r>
      <w:r w:rsidR="00FC7A45">
        <w:t>0.4</w:t>
      </w:r>
      <w:r>
        <w:t>%</w:t>
      </w:r>
    </w:p>
    <w:p w:rsidR="00D90FF9" w:rsidRDefault="00D90FF9" w:rsidP="00D90FF9">
      <w:pPr>
        <w:tabs>
          <w:tab w:val="center" w:pos="4680"/>
          <w:tab w:val="center" w:pos="6480"/>
          <w:tab w:val="center" w:pos="8280"/>
        </w:tabs>
        <w:ind w:left="540" w:right="-4" w:hanging="540"/>
        <w:jc w:val="both"/>
      </w:pPr>
      <w:r>
        <w:tab/>
        <w:t>Large General Service</w:t>
      </w:r>
      <w:r>
        <w:tab/>
        <w:t>21/22</w:t>
      </w:r>
      <w:r>
        <w:tab/>
        <w:t>$</w:t>
      </w:r>
      <w:r w:rsidR="00FC7A45">
        <w:t>561</w:t>
      </w:r>
      <w:r>
        <w:tab/>
      </w:r>
      <w:r w:rsidR="00FC7A45">
        <w:t>0.4</w:t>
      </w:r>
      <w:r>
        <w:t>%</w:t>
      </w:r>
    </w:p>
    <w:p w:rsidR="00D90FF9" w:rsidRDefault="00D90FF9" w:rsidP="00D90FF9">
      <w:pPr>
        <w:tabs>
          <w:tab w:val="center" w:pos="4680"/>
          <w:tab w:val="center" w:pos="6480"/>
          <w:tab w:val="center" w:pos="8280"/>
        </w:tabs>
        <w:ind w:left="540" w:right="-4" w:hanging="540"/>
        <w:jc w:val="both"/>
      </w:pPr>
      <w:r>
        <w:tab/>
        <w:t>Extra Large General Service</w:t>
      </w:r>
      <w:r>
        <w:tab/>
        <w:t>25</w:t>
      </w:r>
      <w:r>
        <w:tab/>
        <w:t>$</w:t>
      </w:r>
      <w:r w:rsidR="00FC7A45">
        <w:t>270</w:t>
      </w:r>
      <w:r>
        <w:tab/>
      </w:r>
      <w:r w:rsidR="00FC7A45">
        <w:t>0.4</w:t>
      </w:r>
      <w:r>
        <w:t>%</w:t>
      </w:r>
    </w:p>
    <w:p w:rsidR="00D90FF9" w:rsidRDefault="00D90FF9" w:rsidP="00D90FF9">
      <w:pPr>
        <w:tabs>
          <w:tab w:val="center" w:pos="4680"/>
          <w:tab w:val="center" w:pos="6480"/>
          <w:tab w:val="center" w:pos="8280"/>
        </w:tabs>
        <w:ind w:left="540" w:right="-4" w:hanging="540"/>
        <w:jc w:val="both"/>
      </w:pPr>
      <w:r>
        <w:tab/>
        <w:t>Pumping Service</w:t>
      </w:r>
      <w:r>
        <w:tab/>
        <w:t>30/31/32</w:t>
      </w:r>
      <w:r>
        <w:tab/>
        <w:t>$</w:t>
      </w:r>
      <w:r w:rsidR="00FC7A45">
        <w:t>52</w:t>
      </w:r>
      <w:r>
        <w:tab/>
      </w:r>
      <w:r w:rsidR="00FC7A45">
        <w:t>0.5</w:t>
      </w:r>
      <w:r>
        <w:t>%</w:t>
      </w:r>
    </w:p>
    <w:p w:rsidR="00D90FF9" w:rsidRDefault="00D90FF9" w:rsidP="00D90FF9">
      <w:pPr>
        <w:tabs>
          <w:tab w:val="left" w:pos="5940"/>
          <w:tab w:val="center" w:pos="6480"/>
          <w:tab w:val="right" w:pos="7020"/>
          <w:tab w:val="left" w:pos="7740"/>
          <w:tab w:val="center" w:pos="8280"/>
          <w:tab w:val="right" w:pos="8820"/>
        </w:tabs>
        <w:ind w:left="540" w:right="-4" w:hanging="540"/>
        <w:jc w:val="both"/>
      </w:pPr>
      <w:r w:rsidRPr="00F61ED4">
        <w:tab/>
      </w:r>
      <w:r>
        <w:t>Street &amp; Area Lights</w:t>
      </w:r>
      <w:r>
        <w:tab/>
      </w:r>
      <w:r w:rsidRPr="00114CC7">
        <w:rPr>
          <w:u w:val="single"/>
        </w:rPr>
        <w:tab/>
        <w:t>$</w:t>
      </w:r>
      <w:r w:rsidR="00FC7A45">
        <w:rPr>
          <w:u w:val="single"/>
        </w:rPr>
        <w:t>31</w:t>
      </w:r>
      <w:r w:rsidRPr="00114CC7">
        <w:rPr>
          <w:u w:val="single"/>
        </w:rPr>
        <w:tab/>
      </w:r>
      <w:r>
        <w:tab/>
      </w:r>
      <w:r w:rsidRPr="00114CC7">
        <w:rPr>
          <w:u w:val="single"/>
        </w:rPr>
        <w:tab/>
      </w:r>
      <w:r w:rsidR="00FC7A45">
        <w:rPr>
          <w:u w:val="single"/>
        </w:rPr>
        <w:t>0.4</w:t>
      </w:r>
      <w:r w:rsidRPr="00345FF7">
        <w:rPr>
          <w:u w:val="single"/>
        </w:rPr>
        <w:t>%</w:t>
      </w:r>
      <w:r>
        <w:rPr>
          <w:u w:val="single"/>
        </w:rPr>
        <w:tab/>
      </w:r>
    </w:p>
    <w:p w:rsidR="00D90FF9" w:rsidRDefault="00D90FF9" w:rsidP="00D90FF9">
      <w:pPr>
        <w:ind w:left="540" w:right="-4" w:hanging="540"/>
        <w:jc w:val="both"/>
      </w:pPr>
      <w:r>
        <w:tab/>
      </w:r>
      <w:r>
        <w:tab/>
        <w:t>Total</w:t>
      </w:r>
      <w:r>
        <w:tab/>
      </w:r>
      <w:r>
        <w:tab/>
      </w:r>
      <w:r>
        <w:tab/>
      </w:r>
      <w:r>
        <w:tab/>
      </w:r>
      <w:r>
        <w:tab/>
      </w:r>
      <w:r>
        <w:tab/>
      </w:r>
      <w:r>
        <w:tab/>
        <w:t xml:space="preserve">       $</w:t>
      </w:r>
      <w:r w:rsidR="00FC7A45">
        <w:t>2,187</w:t>
      </w:r>
      <w:r>
        <w:tab/>
      </w:r>
      <w:r>
        <w:tab/>
        <w:t xml:space="preserve">  </w:t>
      </w:r>
      <w:r w:rsidR="00FC7A45">
        <w:t>0.4</w:t>
      </w:r>
      <w:r>
        <w:t>%</w:t>
      </w:r>
      <w:r>
        <w:tab/>
      </w:r>
    </w:p>
    <w:p w:rsidR="00FC7A45" w:rsidRDefault="00FC7A45" w:rsidP="00867849">
      <w:pPr>
        <w:pStyle w:val="Heading5"/>
        <w:numPr>
          <w:ilvl w:val="0"/>
          <w:numId w:val="0"/>
        </w:numPr>
        <w:ind w:right="-54"/>
        <w:rPr>
          <w:rStyle w:val="PageNumber"/>
          <w:u w:val="single"/>
        </w:rPr>
      </w:pPr>
    </w:p>
    <w:p w:rsidR="00566797" w:rsidRPr="005540EB" w:rsidRDefault="00566797" w:rsidP="00566797">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Pr>
          <w:rStyle w:val="T11"/>
          <w:rFonts w:ascii="Times New Roman" w:hAnsi="Times New Roman" w:cs="Times New Roman"/>
        </w:rPr>
        <w:t xml:space="preserve">What rate effective date is the Company </w:t>
      </w:r>
      <w:r w:rsidR="00783A30">
        <w:rPr>
          <w:rStyle w:val="T11"/>
          <w:rFonts w:ascii="Times New Roman" w:hAnsi="Times New Roman" w:cs="Times New Roman"/>
        </w:rPr>
        <w:t>p</w:t>
      </w:r>
      <w:r>
        <w:rPr>
          <w:rStyle w:val="T11"/>
          <w:rFonts w:ascii="Times New Roman" w:hAnsi="Times New Roman" w:cs="Times New Roman"/>
        </w:rPr>
        <w:t>roposing</w:t>
      </w:r>
      <w:r w:rsidRPr="005540EB">
        <w:rPr>
          <w:rStyle w:val="T11"/>
          <w:rFonts w:ascii="Times New Roman" w:hAnsi="Times New Roman" w:cs="Times New Roman"/>
        </w:rPr>
        <w:t>?</w:t>
      </w:r>
    </w:p>
    <w:p w:rsidR="00566797" w:rsidRPr="00182594" w:rsidRDefault="00566797" w:rsidP="00566797">
      <w:pPr>
        <w:pStyle w:val="Heading5"/>
        <w:numPr>
          <w:ilvl w:val="0"/>
          <w:numId w:val="0"/>
        </w:numPr>
        <w:ind w:right="-54"/>
        <w:jc w:val="both"/>
        <w:rPr>
          <w:rStyle w:val="PageNumber"/>
          <w:b w:val="0"/>
        </w:rPr>
      </w:pPr>
      <w:r w:rsidRPr="00182594">
        <w:rPr>
          <w:b w:val="0"/>
        </w:rPr>
        <w:tab/>
        <w:t>A.</w:t>
      </w:r>
      <w:r w:rsidRPr="00182594">
        <w:rPr>
          <w:b w:val="0"/>
        </w:rPr>
        <w:tab/>
      </w:r>
      <w:r>
        <w:rPr>
          <w:b w:val="0"/>
        </w:rPr>
        <w:t xml:space="preserve">The current ERM rebate in place expires on January 1, 2016.  </w:t>
      </w:r>
      <w:r w:rsidRPr="00182594">
        <w:rPr>
          <w:b w:val="0"/>
        </w:rPr>
        <w:t>In order to minimize the number of bill changes for customers, the Company requests that the base rate increase, inclusive of the Power Supply Update, as well as the increase in LIRAP funding, occur on January 1, 2016 in order to match the expirat</w:t>
      </w:r>
      <w:r>
        <w:rPr>
          <w:b w:val="0"/>
        </w:rPr>
        <w:t>ion of the ERM rebate</w:t>
      </w:r>
      <w:r w:rsidRPr="00182594">
        <w:rPr>
          <w:b w:val="0"/>
        </w:rPr>
        <w:t xml:space="preserve">.   </w:t>
      </w:r>
    </w:p>
    <w:p w:rsidR="00566797" w:rsidRDefault="00566797" w:rsidP="00566797"/>
    <w:p w:rsidR="00660632" w:rsidRPr="00566797" w:rsidRDefault="00660632" w:rsidP="00566797"/>
    <w:p w:rsidR="00CF37F4" w:rsidRPr="00F540CD" w:rsidRDefault="00CF37F4" w:rsidP="00867849">
      <w:pPr>
        <w:pStyle w:val="Heading5"/>
        <w:numPr>
          <w:ilvl w:val="0"/>
          <w:numId w:val="0"/>
        </w:numPr>
        <w:ind w:right="-54"/>
        <w:rPr>
          <w:rStyle w:val="PageNumber"/>
          <w:u w:val="single"/>
        </w:rPr>
      </w:pPr>
      <w:r>
        <w:rPr>
          <w:rStyle w:val="PageNumber"/>
          <w:u w:val="single"/>
        </w:rPr>
        <w:t>V.  ADVANCED METERING INFRASTRUCTURE (AMI)</w:t>
      </w:r>
    </w:p>
    <w:p w:rsidR="00EA1DCD" w:rsidRPr="00EC544D" w:rsidRDefault="00EC544D" w:rsidP="00867849">
      <w:pPr>
        <w:pStyle w:val="BodyText"/>
        <w:tabs>
          <w:tab w:val="left" w:pos="720"/>
        </w:tabs>
        <w:spacing w:line="480" w:lineRule="auto"/>
        <w:ind w:right="-54"/>
        <w:jc w:val="both"/>
        <w:rPr>
          <w:bCs w:val="0"/>
        </w:rPr>
      </w:pPr>
      <w:r w:rsidRPr="00EC544D">
        <w:rPr>
          <w:bCs w:val="0"/>
        </w:rPr>
        <w:tab/>
      </w:r>
      <w:r w:rsidR="00FF14F0">
        <w:rPr>
          <w:bCs w:val="0"/>
        </w:rPr>
        <w:t>Q.</w:t>
      </w:r>
      <w:r w:rsidR="00FF14F0">
        <w:rPr>
          <w:bCs w:val="0"/>
        </w:rPr>
        <w:tab/>
      </w:r>
      <w:r w:rsidR="003F5661">
        <w:rPr>
          <w:bCs w:val="0"/>
        </w:rPr>
        <w:t>Please briefly summarize the</w:t>
      </w:r>
      <w:r w:rsidR="00A238CD">
        <w:rPr>
          <w:bCs w:val="0"/>
        </w:rPr>
        <w:t xml:space="preserve"> </w:t>
      </w:r>
      <w:r w:rsidR="00EB2427">
        <w:rPr>
          <w:bCs w:val="0"/>
        </w:rPr>
        <w:t>Staff</w:t>
      </w:r>
      <w:r w:rsidR="00A238CD">
        <w:rPr>
          <w:bCs w:val="0"/>
        </w:rPr>
        <w:t xml:space="preserve"> and intervenor</w:t>
      </w:r>
      <w:r w:rsidRPr="00EC544D">
        <w:rPr>
          <w:bCs w:val="0"/>
        </w:rPr>
        <w:t xml:space="preserve"> </w:t>
      </w:r>
      <w:r w:rsidR="003F5661">
        <w:rPr>
          <w:bCs w:val="0"/>
        </w:rPr>
        <w:t>recommendations</w:t>
      </w:r>
      <w:r w:rsidRPr="00EC544D">
        <w:rPr>
          <w:bCs w:val="0"/>
        </w:rPr>
        <w:t xml:space="preserve"> related to AMI?</w:t>
      </w:r>
    </w:p>
    <w:p w:rsidR="005D482E" w:rsidRDefault="00EC544D" w:rsidP="00867849">
      <w:pPr>
        <w:pStyle w:val="BodyText"/>
        <w:tabs>
          <w:tab w:val="left" w:pos="720"/>
        </w:tabs>
        <w:spacing w:line="480" w:lineRule="auto"/>
        <w:ind w:right="-54"/>
        <w:jc w:val="both"/>
        <w:rPr>
          <w:b w:val="0"/>
          <w:bCs w:val="0"/>
        </w:rPr>
      </w:pPr>
      <w:r>
        <w:rPr>
          <w:b w:val="0"/>
          <w:bCs w:val="0"/>
        </w:rPr>
        <w:tab/>
      </w:r>
      <w:r w:rsidR="00FF14F0">
        <w:rPr>
          <w:b w:val="0"/>
          <w:bCs w:val="0"/>
        </w:rPr>
        <w:t>A.</w:t>
      </w:r>
      <w:r w:rsidR="00FF14F0">
        <w:rPr>
          <w:b w:val="0"/>
          <w:bCs w:val="0"/>
        </w:rPr>
        <w:tab/>
      </w:r>
      <w:r w:rsidR="00EB2427">
        <w:rPr>
          <w:b w:val="0"/>
          <w:bCs w:val="0"/>
        </w:rPr>
        <w:t>Staff</w:t>
      </w:r>
      <w:r w:rsidR="008F4D24">
        <w:rPr>
          <w:b w:val="0"/>
          <w:bCs w:val="0"/>
        </w:rPr>
        <w:t xml:space="preserve"> and intervenors express concerns regarding the uncertainties surrounding the costs and benefits associated with AMI, and do not support the inclusion of the new investment and operating costs for AMI in the 2016 revenue requirement.</w:t>
      </w:r>
      <w:r w:rsidR="001B4986">
        <w:rPr>
          <w:rStyle w:val="FootnoteReference"/>
          <w:b w:val="0"/>
          <w:bCs w:val="0"/>
        </w:rPr>
        <w:footnoteReference w:id="26"/>
      </w:r>
      <w:r w:rsidR="001B4986">
        <w:rPr>
          <w:b w:val="0"/>
          <w:bCs w:val="0"/>
        </w:rPr>
        <w:t>/</w:t>
      </w:r>
      <w:r w:rsidR="001B4986">
        <w:rPr>
          <w:rStyle w:val="FootnoteReference"/>
          <w:b w:val="0"/>
          <w:bCs w:val="0"/>
        </w:rPr>
        <w:footnoteReference w:id="27"/>
      </w:r>
      <w:r w:rsidR="008F4D24">
        <w:rPr>
          <w:b w:val="0"/>
          <w:bCs w:val="0"/>
        </w:rPr>
        <w:t xml:space="preserve"> In addition, </w:t>
      </w:r>
      <w:r w:rsidR="00EB2427">
        <w:rPr>
          <w:b w:val="0"/>
          <w:bCs w:val="0"/>
        </w:rPr>
        <w:t>Staff</w:t>
      </w:r>
      <w:r w:rsidR="008F4D24">
        <w:rPr>
          <w:b w:val="0"/>
          <w:bCs w:val="0"/>
        </w:rPr>
        <w:t xml:space="preserve"> and intervenors do not support the proposed accounting treatment associated with the existing electric meters, which will be removed when the new electric AMI meters are installed.</w:t>
      </w:r>
    </w:p>
    <w:p w:rsidR="008957A2" w:rsidRPr="008957A2" w:rsidRDefault="008957A2" w:rsidP="00867849">
      <w:pPr>
        <w:pStyle w:val="BodyText"/>
        <w:tabs>
          <w:tab w:val="left" w:pos="720"/>
        </w:tabs>
        <w:spacing w:line="480" w:lineRule="auto"/>
        <w:ind w:right="-54"/>
        <w:jc w:val="both"/>
        <w:rPr>
          <w:bCs w:val="0"/>
        </w:rPr>
      </w:pPr>
      <w:r w:rsidRPr="008957A2">
        <w:rPr>
          <w:bCs w:val="0"/>
        </w:rPr>
        <w:lastRenderedPageBreak/>
        <w:tab/>
        <w:t>Q.</w:t>
      </w:r>
      <w:r w:rsidRPr="008957A2">
        <w:rPr>
          <w:bCs w:val="0"/>
        </w:rPr>
        <w:tab/>
        <w:t xml:space="preserve">Do you agree with </w:t>
      </w:r>
      <w:r w:rsidR="00EB2427">
        <w:rPr>
          <w:bCs w:val="0"/>
        </w:rPr>
        <w:t>Staff</w:t>
      </w:r>
      <w:r w:rsidRPr="008957A2">
        <w:rPr>
          <w:bCs w:val="0"/>
        </w:rPr>
        <w:t xml:space="preserve"> and intervenors that Avista has not supported the decision to move forward with the deployment of AMI?</w:t>
      </w:r>
    </w:p>
    <w:p w:rsidR="008957A2" w:rsidRDefault="008957A2" w:rsidP="00867849">
      <w:pPr>
        <w:pStyle w:val="BodyText"/>
        <w:tabs>
          <w:tab w:val="left" w:pos="720"/>
        </w:tabs>
        <w:spacing w:line="480" w:lineRule="auto"/>
        <w:ind w:right="-54"/>
        <w:jc w:val="both"/>
        <w:rPr>
          <w:b w:val="0"/>
          <w:bCs w:val="0"/>
        </w:rPr>
      </w:pPr>
      <w:r>
        <w:rPr>
          <w:b w:val="0"/>
          <w:bCs w:val="0"/>
        </w:rPr>
        <w:tab/>
        <w:t>A.</w:t>
      </w:r>
      <w:r>
        <w:rPr>
          <w:b w:val="0"/>
          <w:bCs w:val="0"/>
        </w:rPr>
        <w:tab/>
        <w:t xml:space="preserve">No.  Avista’s explanation of its plans for AMI and the expected benefits associated with deployment, as presented in the direct testimony and exhibits of </w:t>
      </w:r>
      <w:r w:rsidR="00C01BE2">
        <w:rPr>
          <w:b w:val="0"/>
          <w:bCs w:val="0"/>
        </w:rPr>
        <w:t xml:space="preserve">Mr. </w:t>
      </w:r>
      <w:r>
        <w:rPr>
          <w:b w:val="0"/>
          <w:bCs w:val="0"/>
        </w:rPr>
        <w:t xml:space="preserve"> Kopczynski</w:t>
      </w:r>
      <w:r w:rsidR="00FF7BF5">
        <w:rPr>
          <w:rStyle w:val="FootnoteReference"/>
          <w:b w:val="0"/>
          <w:bCs w:val="0"/>
        </w:rPr>
        <w:footnoteReference w:id="28"/>
      </w:r>
      <w:r>
        <w:rPr>
          <w:b w:val="0"/>
          <w:bCs w:val="0"/>
        </w:rPr>
        <w:t xml:space="preserve">, support the decision to move forward with AMI.  </w:t>
      </w:r>
      <w:r w:rsidR="00C01BE2">
        <w:rPr>
          <w:b w:val="0"/>
          <w:bCs w:val="0"/>
        </w:rPr>
        <w:t>Mr.</w:t>
      </w:r>
      <w:r w:rsidR="00FE5EBA">
        <w:rPr>
          <w:b w:val="0"/>
          <w:bCs w:val="0"/>
        </w:rPr>
        <w:t xml:space="preserve"> </w:t>
      </w:r>
      <w:r>
        <w:rPr>
          <w:b w:val="0"/>
          <w:bCs w:val="0"/>
        </w:rPr>
        <w:t>La</w:t>
      </w:r>
      <w:r w:rsidR="00FE5EBA">
        <w:rPr>
          <w:b w:val="0"/>
          <w:bCs w:val="0"/>
        </w:rPr>
        <w:t xml:space="preserve"> B</w:t>
      </w:r>
      <w:r>
        <w:rPr>
          <w:b w:val="0"/>
          <w:bCs w:val="0"/>
        </w:rPr>
        <w:t>olle</w:t>
      </w:r>
      <w:r w:rsidR="00FF7BF5">
        <w:rPr>
          <w:rStyle w:val="FootnoteReference"/>
          <w:b w:val="0"/>
          <w:bCs w:val="0"/>
        </w:rPr>
        <w:footnoteReference w:id="29"/>
      </w:r>
      <w:r>
        <w:rPr>
          <w:b w:val="0"/>
          <w:bCs w:val="0"/>
        </w:rPr>
        <w:t xml:space="preserve"> sponsors rebuttal testimony in response to the specific concerns presented by </w:t>
      </w:r>
      <w:r w:rsidR="00EB2427">
        <w:rPr>
          <w:b w:val="0"/>
          <w:bCs w:val="0"/>
        </w:rPr>
        <w:t>Staff</w:t>
      </w:r>
      <w:r>
        <w:rPr>
          <w:b w:val="0"/>
          <w:bCs w:val="0"/>
        </w:rPr>
        <w:t xml:space="preserve"> and intervenors.  </w:t>
      </w:r>
    </w:p>
    <w:p w:rsidR="008957A2" w:rsidRDefault="00446F13" w:rsidP="008957A2">
      <w:pPr>
        <w:pStyle w:val="BodyText"/>
        <w:tabs>
          <w:tab w:val="left" w:pos="720"/>
        </w:tabs>
        <w:spacing w:line="480" w:lineRule="auto"/>
        <w:ind w:right="-54" w:firstLine="720"/>
        <w:jc w:val="both"/>
        <w:rPr>
          <w:b w:val="0"/>
          <w:bCs w:val="0"/>
        </w:rPr>
      </w:pPr>
      <w:r>
        <w:rPr>
          <w:b w:val="0"/>
          <w:bCs w:val="0"/>
        </w:rPr>
        <w:t>As with many major projects,</w:t>
      </w:r>
      <w:r w:rsidR="008957A2">
        <w:rPr>
          <w:b w:val="0"/>
          <w:bCs w:val="0"/>
        </w:rPr>
        <w:t xml:space="preserve"> there will be uncertainties associated with the expected costs and benefits, especially a project such as AMI that will “touch” so</w:t>
      </w:r>
      <w:r w:rsidR="00155A7B">
        <w:rPr>
          <w:b w:val="0"/>
          <w:bCs w:val="0"/>
        </w:rPr>
        <w:t xml:space="preserve"> many aspects of our business. </w:t>
      </w:r>
      <w:r w:rsidR="00C01BE2">
        <w:rPr>
          <w:b w:val="0"/>
          <w:bCs w:val="0"/>
        </w:rPr>
        <w:t xml:space="preserve"> Public Counsel witness</w:t>
      </w:r>
      <w:r w:rsidR="00155A7B">
        <w:rPr>
          <w:b w:val="0"/>
          <w:bCs w:val="0"/>
        </w:rPr>
        <w:t xml:space="preserve"> Ms. Alexander</w:t>
      </w:r>
      <w:r w:rsidR="00657040">
        <w:rPr>
          <w:b w:val="0"/>
          <w:bCs w:val="0"/>
        </w:rPr>
        <w:t xml:space="preserve"> captured the complexity of the AMI</w:t>
      </w:r>
      <w:r w:rsidR="00155A7B">
        <w:rPr>
          <w:b w:val="0"/>
          <w:bCs w:val="0"/>
        </w:rPr>
        <w:t xml:space="preserve"> project in her brief summary of Av</w:t>
      </w:r>
      <w:r w:rsidR="00657040">
        <w:rPr>
          <w:b w:val="0"/>
          <w:bCs w:val="0"/>
        </w:rPr>
        <w:t>ista’s planned deployment</w:t>
      </w:r>
      <w:r w:rsidR="00155A7B">
        <w:rPr>
          <w:b w:val="0"/>
          <w:bCs w:val="0"/>
        </w:rPr>
        <w:t>:</w:t>
      </w:r>
      <w:r w:rsidR="00F03CC3">
        <w:rPr>
          <w:rStyle w:val="FootnoteReference"/>
          <w:b w:val="0"/>
          <w:bCs w:val="0"/>
        </w:rPr>
        <w:footnoteReference w:id="30"/>
      </w:r>
    </w:p>
    <w:p w:rsidR="00155A7B" w:rsidRDefault="00155A7B" w:rsidP="00155A7B">
      <w:pPr>
        <w:pStyle w:val="BodyText"/>
        <w:tabs>
          <w:tab w:val="left" w:pos="720"/>
        </w:tabs>
        <w:spacing w:line="240" w:lineRule="auto"/>
        <w:ind w:left="720" w:right="-58"/>
        <w:jc w:val="both"/>
        <w:rPr>
          <w:b w:val="0"/>
          <w:bCs w:val="0"/>
        </w:rPr>
      </w:pPr>
      <w:r>
        <w:rPr>
          <w:b w:val="0"/>
          <w:bCs w:val="0"/>
        </w:rPr>
        <w:t>The project will include replacing all current electric meters with a new digital “smart” meter, and installing a module (called an “Encoder Receiver Transmitter”) on existing natural gas customer meters.  In addition, the project includes a new two-way communication system that will enable Avista to receive data from and send signals to the new meters, as well as technology and software to integrate the new metering data to a customer web portal and Avista’s billing and customer care systems.</w:t>
      </w:r>
    </w:p>
    <w:p w:rsidR="00155A7B" w:rsidRDefault="00155A7B" w:rsidP="008957A2">
      <w:pPr>
        <w:pStyle w:val="BodyText"/>
        <w:tabs>
          <w:tab w:val="left" w:pos="720"/>
        </w:tabs>
        <w:spacing w:line="480" w:lineRule="auto"/>
        <w:ind w:right="-54" w:firstLine="720"/>
        <w:jc w:val="both"/>
        <w:rPr>
          <w:b w:val="0"/>
          <w:bCs w:val="0"/>
        </w:rPr>
      </w:pPr>
    </w:p>
    <w:p w:rsidR="00B60DB6" w:rsidRPr="007C4F79" w:rsidRDefault="007C4F79" w:rsidP="008957A2">
      <w:pPr>
        <w:pStyle w:val="BodyText"/>
        <w:tabs>
          <w:tab w:val="left" w:pos="720"/>
        </w:tabs>
        <w:spacing w:line="480" w:lineRule="auto"/>
        <w:ind w:right="-54" w:firstLine="720"/>
        <w:jc w:val="both"/>
        <w:rPr>
          <w:b w:val="0"/>
          <w:bCs w:val="0"/>
        </w:rPr>
      </w:pPr>
      <w:r>
        <w:rPr>
          <w:b w:val="0"/>
          <w:bCs w:val="0"/>
        </w:rPr>
        <w:t>The AMI project, together with the recent completion of Avista’s customer care and billing system (Project Compass</w:t>
      </w:r>
      <w:r w:rsidRPr="007C4F79">
        <w:rPr>
          <w:b w:val="0"/>
          <w:bCs w:val="0"/>
        </w:rPr>
        <w:t xml:space="preserve">) </w:t>
      </w:r>
      <w:r w:rsidRPr="007C4F79">
        <w:rPr>
          <w:b w:val="0"/>
          <w:bCs w:val="0"/>
          <w:u w:val="single"/>
        </w:rPr>
        <w:t>is the platform for the future</w:t>
      </w:r>
      <w:r>
        <w:rPr>
          <w:b w:val="0"/>
          <w:bCs w:val="0"/>
        </w:rPr>
        <w:t xml:space="preserve"> to further assist our customers with energy efficiency, installation and management of distributed resources at the customers’ premise, real-time data related to outages, interval data to assist customers with information and education regarding actual energy use, and many other opportunities. </w:t>
      </w:r>
    </w:p>
    <w:p w:rsidR="00B60DB6" w:rsidRDefault="00B60DB6" w:rsidP="008957A2">
      <w:pPr>
        <w:pStyle w:val="BodyText"/>
        <w:tabs>
          <w:tab w:val="left" w:pos="720"/>
        </w:tabs>
        <w:spacing w:line="480" w:lineRule="auto"/>
        <w:ind w:right="-54" w:firstLine="720"/>
        <w:jc w:val="both"/>
        <w:rPr>
          <w:b w:val="0"/>
          <w:bCs w:val="0"/>
        </w:rPr>
      </w:pPr>
      <w:r>
        <w:rPr>
          <w:b w:val="0"/>
          <w:bCs w:val="0"/>
        </w:rPr>
        <w:t>If the threshold for moving forward with a project such</w:t>
      </w:r>
      <w:r w:rsidR="00BD1BF1">
        <w:rPr>
          <w:b w:val="0"/>
          <w:bCs w:val="0"/>
        </w:rPr>
        <w:t xml:space="preserve"> as AMI requires</w:t>
      </w:r>
      <w:r w:rsidR="006023DC">
        <w:rPr>
          <w:b w:val="0"/>
          <w:bCs w:val="0"/>
        </w:rPr>
        <w:t xml:space="preserve"> a high level of</w:t>
      </w:r>
      <w:r>
        <w:rPr>
          <w:b w:val="0"/>
          <w:bCs w:val="0"/>
        </w:rPr>
        <w:t xml:space="preserve"> certainty of all costs and benefits in advance of deployment, </w:t>
      </w:r>
      <w:r w:rsidR="00467CDF">
        <w:rPr>
          <w:b w:val="0"/>
          <w:bCs w:val="0"/>
        </w:rPr>
        <w:t>no project of this nature would move forward</w:t>
      </w:r>
      <w:r>
        <w:rPr>
          <w:b w:val="0"/>
          <w:bCs w:val="0"/>
        </w:rPr>
        <w:t>.</w:t>
      </w:r>
      <w:r w:rsidR="00BA0AF5">
        <w:rPr>
          <w:b w:val="0"/>
          <w:bCs w:val="0"/>
        </w:rPr>
        <w:t xml:space="preserve">  As Mr. La Bolle explains in his rebuttal testimony, Avista has </w:t>
      </w:r>
      <w:r w:rsidR="00BA0AF5">
        <w:rPr>
          <w:b w:val="0"/>
          <w:bCs w:val="0"/>
        </w:rPr>
        <w:lastRenderedPageBreak/>
        <w:t xml:space="preserve">provided sufficient evidence that warrants support from the Commission of Avista’s </w:t>
      </w:r>
      <w:r w:rsidR="00BA0AF5" w:rsidRPr="00467CDF">
        <w:rPr>
          <w:b w:val="0"/>
          <w:bCs w:val="0"/>
          <w:u w:val="single"/>
        </w:rPr>
        <w:t>decision</w:t>
      </w:r>
      <w:r w:rsidR="00FF7BF5">
        <w:rPr>
          <w:b w:val="0"/>
          <w:bCs w:val="0"/>
        </w:rPr>
        <w:t xml:space="preserve">, in principle, </w:t>
      </w:r>
      <w:r w:rsidR="00BA0AF5">
        <w:rPr>
          <w:b w:val="0"/>
          <w:bCs w:val="0"/>
        </w:rPr>
        <w:t>to move forward with deployment of AMI.</w:t>
      </w:r>
      <w:r w:rsidR="00467CDF">
        <w:rPr>
          <w:b w:val="0"/>
          <w:bCs w:val="0"/>
        </w:rPr>
        <w:t xml:space="preserve">  Avista is </w:t>
      </w:r>
      <w:r w:rsidR="00467CDF" w:rsidRPr="00467CDF">
        <w:rPr>
          <w:b w:val="0"/>
          <w:bCs w:val="0"/>
          <w:u w:val="single"/>
        </w:rPr>
        <w:t>not</w:t>
      </w:r>
      <w:r w:rsidR="00467CDF">
        <w:rPr>
          <w:b w:val="0"/>
          <w:bCs w:val="0"/>
        </w:rPr>
        <w:t xml:space="preserve"> requesting approval by the Commission at this time, of the prudence of any dollars associated with the new investment or operating costs of AMI.</w:t>
      </w:r>
    </w:p>
    <w:p w:rsidR="00BA0AF5" w:rsidRPr="00DC5605" w:rsidRDefault="00BA0AF5" w:rsidP="00BA0AF5">
      <w:pPr>
        <w:pStyle w:val="BodyText"/>
        <w:tabs>
          <w:tab w:val="left" w:pos="720"/>
        </w:tabs>
        <w:spacing w:line="480" w:lineRule="auto"/>
        <w:ind w:right="-54" w:firstLine="720"/>
        <w:jc w:val="both"/>
        <w:rPr>
          <w:bCs w:val="0"/>
        </w:rPr>
      </w:pPr>
      <w:r w:rsidRPr="00DC5605">
        <w:rPr>
          <w:bCs w:val="0"/>
        </w:rPr>
        <w:t>Q.</w:t>
      </w:r>
      <w:r w:rsidRPr="00DC5605">
        <w:rPr>
          <w:bCs w:val="0"/>
        </w:rPr>
        <w:tab/>
        <w:t xml:space="preserve">What is Avista proposing on rebuttal, in response to the testimony of </w:t>
      </w:r>
      <w:r w:rsidR="00EB2427">
        <w:rPr>
          <w:bCs w:val="0"/>
        </w:rPr>
        <w:t>Staff</w:t>
      </w:r>
      <w:r w:rsidRPr="00DC5605">
        <w:rPr>
          <w:bCs w:val="0"/>
        </w:rPr>
        <w:t xml:space="preserve"> and intervenors, and what is Avista’s specific request of the Commission?</w:t>
      </w:r>
    </w:p>
    <w:p w:rsidR="00BA0AF5" w:rsidRDefault="00BA0AF5" w:rsidP="00BA0AF5">
      <w:pPr>
        <w:pStyle w:val="BodyText"/>
        <w:tabs>
          <w:tab w:val="left" w:pos="720"/>
        </w:tabs>
        <w:spacing w:line="480" w:lineRule="auto"/>
        <w:ind w:right="-54" w:firstLine="720"/>
        <w:jc w:val="both"/>
        <w:rPr>
          <w:b w:val="0"/>
          <w:bCs w:val="0"/>
        </w:rPr>
      </w:pPr>
      <w:r>
        <w:rPr>
          <w:b w:val="0"/>
          <w:bCs w:val="0"/>
        </w:rPr>
        <w:t>A.</w:t>
      </w:r>
      <w:r>
        <w:rPr>
          <w:b w:val="0"/>
          <w:bCs w:val="0"/>
        </w:rPr>
        <w:tab/>
      </w:r>
      <w:r w:rsidR="0065238F">
        <w:rPr>
          <w:b w:val="0"/>
          <w:bCs w:val="0"/>
        </w:rPr>
        <w:t>Avista’s proposal and specific requests of the Commission related to AMI are explained below.</w:t>
      </w:r>
    </w:p>
    <w:p w:rsidR="0065238F" w:rsidRPr="0065238F" w:rsidRDefault="0065238F" w:rsidP="0065238F">
      <w:pPr>
        <w:pStyle w:val="BodyText"/>
        <w:tabs>
          <w:tab w:val="left" w:pos="720"/>
        </w:tabs>
        <w:spacing w:line="480" w:lineRule="auto"/>
        <w:ind w:right="-54"/>
        <w:jc w:val="both"/>
        <w:rPr>
          <w:bCs w:val="0"/>
          <w:u w:val="single"/>
        </w:rPr>
      </w:pPr>
      <w:r w:rsidRPr="0065238F">
        <w:rPr>
          <w:bCs w:val="0"/>
          <w:u w:val="single"/>
        </w:rPr>
        <w:t>Plan to Move Forward with AMI</w:t>
      </w:r>
    </w:p>
    <w:p w:rsidR="0065238F" w:rsidRDefault="0065238F" w:rsidP="0065238F">
      <w:pPr>
        <w:pStyle w:val="BodyText"/>
        <w:tabs>
          <w:tab w:val="left" w:pos="720"/>
        </w:tabs>
        <w:spacing w:line="480" w:lineRule="auto"/>
        <w:ind w:right="-54" w:firstLine="720"/>
        <w:jc w:val="both"/>
        <w:rPr>
          <w:b w:val="0"/>
          <w:bCs w:val="0"/>
        </w:rPr>
      </w:pPr>
      <w:r>
        <w:rPr>
          <w:b w:val="0"/>
          <w:bCs w:val="0"/>
        </w:rPr>
        <w:t xml:space="preserve">Avista plans to move forward </w:t>
      </w:r>
      <w:r w:rsidR="00C5212D">
        <w:rPr>
          <w:b w:val="0"/>
          <w:bCs w:val="0"/>
        </w:rPr>
        <w:t xml:space="preserve">with the implementation of AMI, absent a decision from the Commission in these Dockets to the contrary. </w:t>
      </w:r>
      <w:r>
        <w:rPr>
          <w:b w:val="0"/>
          <w:bCs w:val="0"/>
        </w:rPr>
        <w:t xml:space="preserve"> Avista has solicited and received bids for a Meter Data Management (MDM) system through a Request for </w:t>
      </w:r>
      <w:r w:rsidR="004079A0">
        <w:rPr>
          <w:b w:val="0"/>
          <w:bCs w:val="0"/>
        </w:rPr>
        <w:t xml:space="preserve">Proposals (RFP) process. </w:t>
      </w:r>
      <w:r w:rsidR="00657040">
        <w:rPr>
          <w:b w:val="0"/>
          <w:bCs w:val="0"/>
        </w:rPr>
        <w:t xml:space="preserve"> The Company</w:t>
      </w:r>
      <w:r>
        <w:rPr>
          <w:b w:val="0"/>
          <w:bCs w:val="0"/>
        </w:rPr>
        <w:t xml:space="preserve"> has </w:t>
      </w:r>
      <w:r w:rsidR="00657040">
        <w:rPr>
          <w:b w:val="0"/>
          <w:bCs w:val="0"/>
        </w:rPr>
        <w:t>also issued an RFP seeking</w:t>
      </w:r>
      <w:r>
        <w:rPr>
          <w:b w:val="0"/>
          <w:bCs w:val="0"/>
        </w:rPr>
        <w:t xml:space="preserve"> a vendor for the new electric meters, and will continue to issue RFPs for other components.  </w:t>
      </w:r>
    </w:p>
    <w:p w:rsidR="0065238F" w:rsidRDefault="0065238F" w:rsidP="0065238F">
      <w:pPr>
        <w:pStyle w:val="BodyText"/>
        <w:tabs>
          <w:tab w:val="left" w:pos="720"/>
        </w:tabs>
        <w:spacing w:line="480" w:lineRule="auto"/>
        <w:ind w:right="-54" w:firstLine="720"/>
        <w:jc w:val="both"/>
        <w:rPr>
          <w:b w:val="0"/>
          <w:bCs w:val="0"/>
        </w:rPr>
      </w:pPr>
      <w:r>
        <w:rPr>
          <w:b w:val="0"/>
          <w:bCs w:val="0"/>
        </w:rPr>
        <w:t xml:space="preserve">In response to the testimony of </w:t>
      </w:r>
      <w:r w:rsidR="00EB2427">
        <w:rPr>
          <w:b w:val="0"/>
          <w:bCs w:val="0"/>
        </w:rPr>
        <w:t>Staff</w:t>
      </w:r>
      <w:r>
        <w:rPr>
          <w:b w:val="0"/>
          <w:bCs w:val="0"/>
        </w:rPr>
        <w:t xml:space="preserve"> and intervenors, Avista would agree to </w:t>
      </w:r>
      <w:r w:rsidR="001857E4">
        <w:rPr>
          <w:b w:val="0"/>
          <w:bCs w:val="0"/>
        </w:rPr>
        <w:t>exclude the new investment and operating costs associated with AMI from the revenue requirement calculations for 2016.  In its next rate case filing, Avista will present information supporting the prudence of the new AMI investment</w:t>
      </w:r>
      <w:r w:rsidR="006023DC">
        <w:rPr>
          <w:b w:val="0"/>
          <w:bCs w:val="0"/>
        </w:rPr>
        <w:t xml:space="preserve"> dollars</w:t>
      </w:r>
      <w:r w:rsidR="001857E4">
        <w:rPr>
          <w:b w:val="0"/>
          <w:bCs w:val="0"/>
        </w:rPr>
        <w:t xml:space="preserve"> and operating costs that will be in service during 2017.</w:t>
      </w:r>
    </w:p>
    <w:p w:rsidR="001857E4" w:rsidRDefault="001857E4" w:rsidP="0065238F">
      <w:pPr>
        <w:pStyle w:val="BodyText"/>
        <w:tabs>
          <w:tab w:val="left" w:pos="720"/>
        </w:tabs>
        <w:spacing w:line="480" w:lineRule="auto"/>
        <w:ind w:right="-54" w:firstLine="720"/>
        <w:jc w:val="both"/>
        <w:rPr>
          <w:b w:val="0"/>
          <w:bCs w:val="0"/>
        </w:rPr>
      </w:pPr>
      <w:r>
        <w:rPr>
          <w:b w:val="0"/>
          <w:bCs w:val="0"/>
        </w:rPr>
        <w:t xml:space="preserve">With regard to Commission decisions, Avista requests an order in these Dockets that supports Avista’s </w:t>
      </w:r>
      <w:r w:rsidRPr="000F402B">
        <w:rPr>
          <w:b w:val="0"/>
          <w:bCs w:val="0"/>
          <w:u w:val="single"/>
        </w:rPr>
        <w:t>decision to move forward</w:t>
      </w:r>
      <w:r w:rsidR="00FF7BF5">
        <w:rPr>
          <w:b w:val="0"/>
          <w:bCs w:val="0"/>
        </w:rPr>
        <w:t xml:space="preserve">, in principle, </w:t>
      </w:r>
      <w:r>
        <w:rPr>
          <w:b w:val="0"/>
          <w:bCs w:val="0"/>
        </w:rPr>
        <w:t xml:space="preserve">with the </w:t>
      </w:r>
      <w:r w:rsidR="00657040">
        <w:rPr>
          <w:b w:val="0"/>
          <w:bCs w:val="0"/>
        </w:rPr>
        <w:t>deployment of AMI.  Avista understands</w:t>
      </w:r>
      <w:r>
        <w:rPr>
          <w:b w:val="0"/>
          <w:bCs w:val="0"/>
        </w:rPr>
        <w:t xml:space="preserve"> that in futur</w:t>
      </w:r>
      <w:r w:rsidR="00657040">
        <w:rPr>
          <w:b w:val="0"/>
          <w:bCs w:val="0"/>
        </w:rPr>
        <w:t>e proceedings, the Company will</w:t>
      </w:r>
      <w:r>
        <w:rPr>
          <w:b w:val="0"/>
          <w:bCs w:val="0"/>
        </w:rPr>
        <w:t xml:space="preserve"> need to support the prudence of the dollar amounts of investment and operating costs associated </w:t>
      </w:r>
      <w:r w:rsidR="004079A0">
        <w:rPr>
          <w:b w:val="0"/>
          <w:bCs w:val="0"/>
        </w:rPr>
        <w:t xml:space="preserve">with AMI, i.e., </w:t>
      </w:r>
      <w:r w:rsidR="004079A0">
        <w:rPr>
          <w:b w:val="0"/>
          <w:bCs w:val="0"/>
        </w:rPr>
        <w:lastRenderedPageBreak/>
        <w:t>the prudence of the decision to move forward with the deployment of AMI would occur in these Dockets, and the prudence of the dollars spent on AMI would occur in future dockets.</w:t>
      </w:r>
    </w:p>
    <w:p w:rsidR="00EC544D" w:rsidRPr="000E638B" w:rsidRDefault="000E638B" w:rsidP="00867849">
      <w:pPr>
        <w:pStyle w:val="BodyText"/>
        <w:tabs>
          <w:tab w:val="left" w:pos="720"/>
        </w:tabs>
        <w:spacing w:line="480" w:lineRule="auto"/>
        <w:ind w:right="-54"/>
        <w:jc w:val="both"/>
        <w:rPr>
          <w:bCs w:val="0"/>
          <w:u w:val="single"/>
        </w:rPr>
      </w:pPr>
      <w:r w:rsidRPr="000E638B">
        <w:rPr>
          <w:bCs w:val="0"/>
          <w:u w:val="single"/>
        </w:rPr>
        <w:t>Accounting for Existing Electric M</w:t>
      </w:r>
      <w:r w:rsidR="00EC544D" w:rsidRPr="000E638B">
        <w:rPr>
          <w:bCs w:val="0"/>
          <w:u w:val="single"/>
        </w:rPr>
        <w:t>eters</w:t>
      </w:r>
    </w:p>
    <w:p w:rsidR="0088415F" w:rsidRDefault="0088415F" w:rsidP="00867849">
      <w:pPr>
        <w:pStyle w:val="BodyText"/>
        <w:tabs>
          <w:tab w:val="left" w:pos="720"/>
        </w:tabs>
        <w:spacing w:line="480" w:lineRule="auto"/>
        <w:ind w:right="-54"/>
        <w:jc w:val="both"/>
        <w:rPr>
          <w:b w:val="0"/>
          <w:bCs w:val="0"/>
        </w:rPr>
      </w:pPr>
      <w:r>
        <w:rPr>
          <w:b w:val="0"/>
          <w:bCs w:val="0"/>
        </w:rPr>
        <w:tab/>
      </w:r>
      <w:r w:rsidR="000E638B">
        <w:rPr>
          <w:b w:val="0"/>
          <w:bCs w:val="0"/>
        </w:rPr>
        <w:t>In Avista’s original filing</w:t>
      </w:r>
      <w:r w:rsidR="00F03CC3">
        <w:rPr>
          <w:b w:val="0"/>
          <w:bCs w:val="0"/>
        </w:rPr>
        <w:t>,</w:t>
      </w:r>
      <w:r w:rsidR="000E638B">
        <w:rPr>
          <w:b w:val="0"/>
          <w:bCs w:val="0"/>
        </w:rPr>
        <w:t xml:space="preserve"> the Company proposed specific accounting treatment associated with the existing electric meters.  This accounting treatment was proposed in order to prevent a one-time upfront write-off of the net investment in electric meters currently providing service to customers.  The current net investment in Washington electric meters is</w:t>
      </w:r>
      <w:r w:rsidR="00C01BE2">
        <w:rPr>
          <w:b w:val="0"/>
          <w:bCs w:val="0"/>
        </w:rPr>
        <w:t xml:space="preserve"> approximately</w:t>
      </w:r>
      <w:r w:rsidR="000E638B">
        <w:rPr>
          <w:b w:val="0"/>
          <w:bCs w:val="0"/>
        </w:rPr>
        <w:t xml:space="preserve"> $</w:t>
      </w:r>
      <w:r w:rsidR="00C01BE2">
        <w:rPr>
          <w:b w:val="0"/>
          <w:bCs w:val="0"/>
        </w:rPr>
        <w:t>21</w:t>
      </w:r>
      <w:r w:rsidR="000E638B">
        <w:rPr>
          <w:b w:val="0"/>
          <w:bCs w:val="0"/>
        </w:rPr>
        <w:t xml:space="preserve"> million.  Under Generally Accepted Accounting Principles (GAAP) accounting, once Avista selects a vendor and signs an agreement to replace its electric meters, absent an accounting order from the Commission, Avista would be required to write-off its existing </w:t>
      </w:r>
      <w:r w:rsidR="00C01BE2">
        <w:rPr>
          <w:b w:val="0"/>
          <w:bCs w:val="0"/>
        </w:rPr>
        <w:t xml:space="preserve">$21 </w:t>
      </w:r>
      <w:r w:rsidR="000E638B">
        <w:rPr>
          <w:b w:val="0"/>
          <w:bCs w:val="0"/>
        </w:rPr>
        <w:t xml:space="preserve">million net investment in electric meters.  </w:t>
      </w:r>
    </w:p>
    <w:p w:rsidR="00947FC0" w:rsidRDefault="00947FC0" w:rsidP="00867849">
      <w:pPr>
        <w:pStyle w:val="BodyText"/>
        <w:tabs>
          <w:tab w:val="left" w:pos="720"/>
        </w:tabs>
        <w:spacing w:line="480" w:lineRule="auto"/>
        <w:ind w:right="-54"/>
        <w:jc w:val="both"/>
        <w:rPr>
          <w:b w:val="0"/>
          <w:bCs w:val="0"/>
        </w:rPr>
      </w:pPr>
      <w:r>
        <w:rPr>
          <w:b w:val="0"/>
          <w:bCs w:val="0"/>
        </w:rPr>
        <w:tab/>
        <w:t>In Avista’s initial filing, in the testim</w:t>
      </w:r>
      <w:r w:rsidR="0003515B">
        <w:rPr>
          <w:b w:val="0"/>
          <w:bCs w:val="0"/>
        </w:rPr>
        <w:t xml:space="preserve">ony of Ms. </w:t>
      </w:r>
      <w:r w:rsidR="00C01BE2">
        <w:rPr>
          <w:b w:val="0"/>
          <w:bCs w:val="0"/>
        </w:rPr>
        <w:t>Schuh</w:t>
      </w:r>
      <w:r w:rsidR="00EA4887">
        <w:rPr>
          <w:b w:val="0"/>
          <w:bCs w:val="0"/>
        </w:rPr>
        <w:t>,</w:t>
      </w:r>
      <w:r>
        <w:rPr>
          <w:b w:val="0"/>
          <w:bCs w:val="0"/>
        </w:rPr>
        <w:t xml:space="preserve"> the Company proposed that the investment in existing electric meters be transferred to a regulatory asset in January 2016, with the balance being amortized over a ten-year period beginning January 2016, with a rate of return on the balance.  If a rate of return on the balance is not granted, </w:t>
      </w:r>
      <w:r w:rsidR="00E205F7">
        <w:rPr>
          <w:b w:val="0"/>
          <w:bCs w:val="0"/>
        </w:rPr>
        <w:t>Avista would incur a write-off based on a present value calculation.</w:t>
      </w:r>
    </w:p>
    <w:p w:rsidR="00E205F7" w:rsidRDefault="00E205F7" w:rsidP="00867849">
      <w:pPr>
        <w:pStyle w:val="BodyText"/>
        <w:tabs>
          <w:tab w:val="left" w:pos="720"/>
        </w:tabs>
        <w:spacing w:line="480" w:lineRule="auto"/>
        <w:ind w:right="-54"/>
        <w:jc w:val="both"/>
        <w:rPr>
          <w:b w:val="0"/>
          <w:bCs w:val="0"/>
        </w:rPr>
      </w:pPr>
      <w:r>
        <w:rPr>
          <w:b w:val="0"/>
          <w:bCs w:val="0"/>
        </w:rPr>
        <w:tab/>
        <w:t>On rebuttal, Avista proposes that</w:t>
      </w:r>
      <w:r w:rsidR="00FF7BF5">
        <w:rPr>
          <w:b w:val="0"/>
          <w:bCs w:val="0"/>
        </w:rPr>
        <w:t>, in this case,</w:t>
      </w:r>
      <w:r>
        <w:rPr>
          <w:b w:val="0"/>
          <w:bCs w:val="0"/>
        </w:rPr>
        <w:t xml:space="preserve"> the regulatory asset be established coincident with the </w:t>
      </w:r>
      <w:r w:rsidR="0003515B">
        <w:rPr>
          <w:b w:val="0"/>
          <w:bCs w:val="0"/>
        </w:rPr>
        <w:t>month in which it signs a contract with a</w:t>
      </w:r>
      <w:r>
        <w:rPr>
          <w:b w:val="0"/>
          <w:bCs w:val="0"/>
        </w:rPr>
        <w:t xml:space="preserve"> vendor to provide new AMI meters.  Avista proposes that the amortization of the balance occur over a ten-year period beginning January 2017, with a rate of return on the unamortized balance.  Under this proposal, the costs associated with accelerating the amortization of the </w:t>
      </w:r>
      <w:r w:rsidR="00783A30">
        <w:rPr>
          <w:b w:val="0"/>
          <w:bCs w:val="0"/>
        </w:rPr>
        <w:t xml:space="preserve">existing electric meters would </w:t>
      </w:r>
      <w:r w:rsidR="0004691C">
        <w:rPr>
          <w:b w:val="0"/>
          <w:bCs w:val="0"/>
        </w:rPr>
        <w:t xml:space="preserve">begin in </w:t>
      </w:r>
      <w:r>
        <w:rPr>
          <w:b w:val="0"/>
          <w:bCs w:val="0"/>
        </w:rPr>
        <w:t>2017</w:t>
      </w:r>
      <w:r w:rsidR="0004691C">
        <w:rPr>
          <w:b w:val="0"/>
          <w:bCs w:val="0"/>
        </w:rPr>
        <w:t xml:space="preserve"> instead of 2016</w:t>
      </w:r>
      <w:r>
        <w:rPr>
          <w:b w:val="0"/>
          <w:bCs w:val="0"/>
        </w:rPr>
        <w:t xml:space="preserve">, and the Company would not incur a write-off of </w:t>
      </w:r>
      <w:r>
        <w:rPr>
          <w:b w:val="0"/>
          <w:bCs w:val="0"/>
        </w:rPr>
        <w:lastRenderedPageBreak/>
        <w:t>$</w:t>
      </w:r>
      <w:r w:rsidR="00C01BE2">
        <w:rPr>
          <w:b w:val="0"/>
          <w:bCs w:val="0"/>
        </w:rPr>
        <w:t>21</w:t>
      </w:r>
      <w:r>
        <w:rPr>
          <w:b w:val="0"/>
          <w:bCs w:val="0"/>
        </w:rPr>
        <w:t xml:space="preserve"> million.</w:t>
      </w:r>
      <w:r w:rsidR="00443BD4">
        <w:rPr>
          <w:b w:val="0"/>
          <w:bCs w:val="0"/>
        </w:rPr>
        <w:t xml:space="preserve">  Ms. Andrews provides additional explanation and details associated with the proposed accounting treatment.</w:t>
      </w:r>
    </w:p>
    <w:p w:rsidR="0088415F" w:rsidRDefault="00E205F7" w:rsidP="00867849">
      <w:pPr>
        <w:pStyle w:val="BodyText"/>
        <w:tabs>
          <w:tab w:val="left" w:pos="720"/>
        </w:tabs>
        <w:spacing w:line="480" w:lineRule="auto"/>
        <w:ind w:right="-54"/>
        <w:jc w:val="both"/>
        <w:rPr>
          <w:b w:val="0"/>
          <w:bCs w:val="0"/>
        </w:rPr>
      </w:pPr>
      <w:r>
        <w:rPr>
          <w:b w:val="0"/>
          <w:bCs w:val="0"/>
        </w:rPr>
        <w:tab/>
        <w:t>Absent this accounting treatment, the AMI project would be delayed or terminated.  The Company would not move forward facing a $</w:t>
      </w:r>
      <w:r w:rsidR="00C01BE2">
        <w:rPr>
          <w:b w:val="0"/>
          <w:bCs w:val="0"/>
        </w:rPr>
        <w:t>21</w:t>
      </w:r>
      <w:r>
        <w:rPr>
          <w:b w:val="0"/>
          <w:bCs w:val="0"/>
        </w:rPr>
        <w:t xml:space="preserve"> million write-off.</w:t>
      </w:r>
    </w:p>
    <w:p w:rsidR="007878DC" w:rsidRDefault="007878DC" w:rsidP="00867849">
      <w:pPr>
        <w:pStyle w:val="BodyText"/>
        <w:tabs>
          <w:tab w:val="left" w:pos="720"/>
        </w:tabs>
        <w:spacing w:line="480" w:lineRule="auto"/>
        <w:ind w:right="-54"/>
        <w:jc w:val="both"/>
        <w:rPr>
          <w:b w:val="0"/>
          <w:bCs w:val="0"/>
        </w:rPr>
      </w:pPr>
    </w:p>
    <w:p w:rsidR="00710033" w:rsidRDefault="00710033" w:rsidP="00F03CC3">
      <w:pPr>
        <w:pStyle w:val="Heading5"/>
        <w:numPr>
          <w:ilvl w:val="0"/>
          <w:numId w:val="0"/>
        </w:numPr>
        <w:ind w:right="-54"/>
        <w:rPr>
          <w:rStyle w:val="PageNumber"/>
          <w:u w:val="single"/>
        </w:rPr>
      </w:pPr>
      <w:r>
        <w:rPr>
          <w:rStyle w:val="PageNumber"/>
          <w:u w:val="single"/>
        </w:rPr>
        <w:t>V</w:t>
      </w:r>
      <w:r w:rsidR="0080494D">
        <w:rPr>
          <w:rStyle w:val="PageNumber"/>
          <w:u w:val="single"/>
        </w:rPr>
        <w:t>I</w:t>
      </w:r>
      <w:r>
        <w:rPr>
          <w:rStyle w:val="PageNumber"/>
          <w:u w:val="single"/>
        </w:rPr>
        <w:t xml:space="preserve">.  NORMALIZATION OF </w:t>
      </w:r>
      <w:r w:rsidR="006925C4">
        <w:rPr>
          <w:rStyle w:val="PageNumber"/>
          <w:u w:val="single"/>
        </w:rPr>
        <w:t xml:space="preserve">“HOURS-BASED” </w:t>
      </w:r>
      <w:r>
        <w:rPr>
          <w:rStyle w:val="PageNumber"/>
          <w:u w:val="single"/>
        </w:rPr>
        <w:t xml:space="preserve">THERMAL MAINTENANCE </w:t>
      </w:r>
    </w:p>
    <w:p w:rsidR="006925C4" w:rsidRPr="00CC68BA" w:rsidRDefault="006925C4" w:rsidP="00F03CC3">
      <w:pPr>
        <w:spacing w:line="480" w:lineRule="auto"/>
        <w:ind w:firstLine="720"/>
        <w:jc w:val="both"/>
        <w:rPr>
          <w:b/>
        </w:rPr>
      </w:pPr>
      <w:r w:rsidRPr="00CC68BA">
        <w:rPr>
          <w:b/>
        </w:rPr>
        <w:t>Q.</w:t>
      </w:r>
      <w:r w:rsidRPr="00CC68BA">
        <w:rPr>
          <w:b/>
        </w:rPr>
        <w:tab/>
        <w:t xml:space="preserve">What did the Company propose as it relates to the operation and maintenance expenses for </w:t>
      </w:r>
      <w:r>
        <w:rPr>
          <w:b/>
        </w:rPr>
        <w:t xml:space="preserve">its </w:t>
      </w:r>
      <w:r w:rsidRPr="00CC68BA">
        <w:rPr>
          <w:b/>
        </w:rPr>
        <w:t xml:space="preserve">Colstrip and Coyote Springs </w:t>
      </w:r>
      <w:r>
        <w:rPr>
          <w:b/>
        </w:rPr>
        <w:t>II</w:t>
      </w:r>
      <w:r w:rsidRPr="00CC68BA">
        <w:rPr>
          <w:b/>
        </w:rPr>
        <w:t xml:space="preserve"> </w:t>
      </w:r>
      <w:r>
        <w:rPr>
          <w:b/>
        </w:rPr>
        <w:t xml:space="preserve">thermal generating plants </w:t>
      </w:r>
      <w:r w:rsidRPr="00CC68BA">
        <w:rPr>
          <w:b/>
        </w:rPr>
        <w:t xml:space="preserve"> in its direct case?</w:t>
      </w:r>
    </w:p>
    <w:p w:rsidR="006925C4" w:rsidRDefault="006925C4" w:rsidP="006925C4">
      <w:pPr>
        <w:spacing w:line="480" w:lineRule="auto"/>
        <w:ind w:firstLine="720"/>
        <w:jc w:val="both"/>
      </w:pPr>
      <w:r w:rsidRPr="00CC68BA">
        <w:t>A.</w:t>
      </w:r>
      <w:r w:rsidRPr="00CC68BA">
        <w:tab/>
        <w:t xml:space="preserve">The Company </w:t>
      </w:r>
      <w:r>
        <w:t xml:space="preserve">had proposed including total operations and maintenance (O&amp;M) expense at Colstrip and Coyote Springs II (CS2) as part of base power supply expense used for the Energy Recovery Mechanism (ERM) in its direct filing.  This resulted in incremental power supply expenses of $3.6 million.  The </w:t>
      </w:r>
      <w:r w:rsidRPr="00CC68BA">
        <w:t xml:space="preserve">difference between the authorized level of O&amp;M expense and actual O&amp;M costs </w:t>
      </w:r>
      <w:r w:rsidR="004C470E">
        <w:t>would then be</w:t>
      </w:r>
      <w:r>
        <w:t xml:space="preserve"> tracked </w:t>
      </w:r>
      <w:r w:rsidRPr="00CC68BA">
        <w:t>in the ERM</w:t>
      </w:r>
      <w:r>
        <w:t xml:space="preserve"> and subject to the deadband and sharing bands.</w:t>
      </w:r>
      <w:r>
        <w:rPr>
          <w:rStyle w:val="FootnoteReference"/>
        </w:rPr>
        <w:footnoteReference w:id="31"/>
      </w:r>
      <w:r w:rsidRPr="00CC68BA">
        <w:t xml:space="preserve">  </w:t>
      </w:r>
    </w:p>
    <w:p w:rsidR="006925C4" w:rsidRDefault="006925C4" w:rsidP="006925C4">
      <w:pPr>
        <w:spacing w:line="480" w:lineRule="auto"/>
        <w:ind w:firstLine="720"/>
        <w:jc w:val="both"/>
        <w:rPr>
          <w:b/>
        </w:rPr>
      </w:pPr>
      <w:r w:rsidRPr="00462356">
        <w:rPr>
          <w:b/>
        </w:rPr>
        <w:t>Q.</w:t>
      </w:r>
      <w:r w:rsidRPr="00462356">
        <w:rPr>
          <w:b/>
        </w:rPr>
        <w:tab/>
      </w:r>
      <w:r w:rsidR="004C470E">
        <w:rPr>
          <w:b/>
        </w:rPr>
        <w:t>Were these O&amp;M costs addressed in</w:t>
      </w:r>
      <w:r w:rsidRPr="00462356">
        <w:rPr>
          <w:b/>
        </w:rPr>
        <w:t xml:space="preserve"> the Partial Settlement filed with the Commission?</w:t>
      </w:r>
    </w:p>
    <w:p w:rsidR="006925C4" w:rsidRDefault="006925C4" w:rsidP="006925C4">
      <w:pPr>
        <w:spacing w:line="480" w:lineRule="auto"/>
        <w:ind w:firstLine="720"/>
        <w:jc w:val="both"/>
      </w:pPr>
      <w:r>
        <w:t>A.</w:t>
      </w:r>
      <w:r>
        <w:tab/>
      </w:r>
      <w:r w:rsidR="004E19F0">
        <w:t xml:space="preserve">Yes.  </w:t>
      </w:r>
      <w:r w:rsidRPr="00CC68BA">
        <w:t xml:space="preserve">As a part of the Partial Settlement Stipulation, the Parties agreed that O&amp;M costs related to </w:t>
      </w:r>
      <w:r>
        <w:t>CS2</w:t>
      </w:r>
      <w:r w:rsidRPr="00CC68BA">
        <w:t xml:space="preserve"> and Colstrip will be removed from the base </w:t>
      </w:r>
      <w:r>
        <w:t>p</w:t>
      </w:r>
      <w:r w:rsidRPr="00CC68BA">
        <w:t xml:space="preserve">ower </w:t>
      </w:r>
      <w:r>
        <w:t>s</w:t>
      </w:r>
      <w:r w:rsidRPr="00CC68BA">
        <w:t>upply costs</w:t>
      </w:r>
      <w:r>
        <w:t>, would not be tracked through the ERM</w:t>
      </w:r>
      <w:r w:rsidRPr="00CC68BA">
        <w:t>, and that the revenue requirement related to these costs will be addre</w:t>
      </w:r>
      <w:r w:rsidR="00BB391D">
        <w:t>ssed during the remainder of this</w:t>
      </w:r>
      <w:r w:rsidRPr="00CC68BA">
        <w:t xml:space="preserve"> case.</w:t>
      </w:r>
      <w:r>
        <w:t xml:space="preserve"> This resulted in a reduction in power supply expense of $3.6 million, </w:t>
      </w:r>
      <w:r w:rsidR="004E19F0">
        <w:t xml:space="preserve">and a </w:t>
      </w:r>
      <w:r w:rsidR="000D420A">
        <w:t>continuing need to</w:t>
      </w:r>
      <w:r w:rsidR="004E19F0">
        <w:t xml:space="preserve"> address</w:t>
      </w:r>
      <w:r w:rsidR="000D420A">
        <w:t xml:space="preserve"> recovery of these costs</w:t>
      </w:r>
      <w:r>
        <w:t xml:space="preserve">.  </w:t>
      </w:r>
    </w:p>
    <w:p w:rsidR="006925C4" w:rsidRDefault="00A64D74" w:rsidP="006925C4">
      <w:pPr>
        <w:spacing w:line="480" w:lineRule="auto"/>
        <w:ind w:firstLine="720"/>
        <w:jc w:val="both"/>
      </w:pPr>
      <w:r>
        <w:lastRenderedPageBreak/>
        <w:t>Following the Partial Settlement Stipulation, the Company</w:t>
      </w:r>
      <w:r w:rsidR="006925C4">
        <w:t xml:space="preserve"> removed CS2 and Colstrip maintenance expenses from power supply amounts, and included the incremental amount of CS2 and Colstrip maintenance ex</w:t>
      </w:r>
      <w:r w:rsidR="000B6EF8">
        <w:t xml:space="preserve">pense </w:t>
      </w:r>
      <w:r w:rsidR="006925C4">
        <w:t>as an After</w:t>
      </w:r>
      <w:r w:rsidR="00FF7BF5">
        <w:t>-</w:t>
      </w:r>
      <w:r w:rsidR="006925C4">
        <w:t xml:space="preserve">Attrition Adjustment. </w:t>
      </w:r>
      <w:r w:rsidR="00F51003">
        <w:t xml:space="preserve">This information was provided in response to </w:t>
      </w:r>
      <w:r w:rsidR="00EB2427">
        <w:t>Staff</w:t>
      </w:r>
      <w:r w:rsidR="00F51003">
        <w:t xml:space="preserve"> Data Request No. 130, which is attached to Mr. McGuire’s testimony as</w:t>
      </w:r>
      <w:r w:rsidR="006925C4">
        <w:t xml:space="preserve"> Staff Exhibit No.</w:t>
      </w:r>
      <w:r w:rsidR="00841058">
        <w:t xml:space="preserve"> </w:t>
      </w:r>
      <w:r w:rsidR="00915AF0">
        <w:t>__</w:t>
      </w:r>
      <w:r w:rsidR="00841058">
        <w:t>_(CRM-4);</w:t>
      </w:r>
      <w:r w:rsidR="006925C4">
        <w:t xml:space="preserve"> see page 7, Column AA.  </w:t>
      </w:r>
    </w:p>
    <w:p w:rsidR="006925C4" w:rsidRDefault="006925C4" w:rsidP="006925C4">
      <w:pPr>
        <w:spacing w:line="480" w:lineRule="auto"/>
        <w:ind w:firstLine="720"/>
        <w:jc w:val="both"/>
      </w:pPr>
      <w:r>
        <w:t>Avista also explained in various discovery requests that the increase in CS2’s maj</w:t>
      </w:r>
      <w:r w:rsidR="006A7CF0">
        <w:t>or maintenance</w:t>
      </w:r>
      <w:r>
        <w:t xml:space="preserve"> in 2016 is related to the required “Hot Gas Path” (HGP) project.  This required HGP major </w:t>
      </w:r>
      <w:r w:rsidRPr="00CC68BA" w:rsidDel="00A10EA1">
        <w:t>maintenance is dependent on fired-run hours on the gas turbine</w:t>
      </w:r>
      <w:r>
        <w:t xml:space="preserve">, </w:t>
      </w:r>
      <w:r w:rsidRPr="00CC68BA" w:rsidDel="00A10EA1">
        <w:t>occur</w:t>
      </w:r>
      <w:r>
        <w:t>ring</w:t>
      </w:r>
      <w:r w:rsidRPr="00CC68BA" w:rsidDel="00A10EA1">
        <w:t xml:space="preserve"> every 24,000 hours</w:t>
      </w:r>
      <w:r>
        <w:t xml:space="preserve">, or approximately on a four-year cycle.  The last occurred in 2012 at a cost of approximately $3.9 million.  It is </w:t>
      </w:r>
      <w:r w:rsidRPr="00CC68BA" w:rsidDel="00A10EA1">
        <w:t xml:space="preserve">expected that the </w:t>
      </w:r>
      <w:r>
        <w:t xml:space="preserve">CS2 </w:t>
      </w:r>
      <w:r w:rsidRPr="00CC68BA" w:rsidDel="00A10EA1">
        <w:t>turbine will reach 72,000 hours of run time in 2016</w:t>
      </w:r>
      <w:r>
        <w:t>, requiring the HGP at an expected cost of approximately $3.5 million (system)</w:t>
      </w:r>
      <w:r w:rsidRPr="00CC68BA" w:rsidDel="00A10EA1">
        <w:t>.</w:t>
      </w:r>
      <w:r>
        <w:rPr>
          <w:rStyle w:val="FootnoteReference"/>
        </w:rPr>
        <w:footnoteReference w:id="32"/>
      </w:r>
      <w:r>
        <w:t xml:space="preserve"> </w:t>
      </w:r>
    </w:p>
    <w:p w:rsidR="006925C4" w:rsidRDefault="00617D29" w:rsidP="006925C4">
      <w:pPr>
        <w:spacing w:line="480" w:lineRule="auto"/>
        <w:ind w:firstLine="720"/>
        <w:jc w:val="both"/>
      </w:pPr>
      <w:r>
        <w:t>With regard</w:t>
      </w:r>
      <w:r w:rsidR="006925C4">
        <w:t xml:space="preserve"> to Colstrip, as discussed further by Ms. Andrews, the Company</w:t>
      </w:r>
      <w:r w:rsidR="006A7CF0">
        <w:t xml:space="preserve"> has explained in recent</w:t>
      </w:r>
      <w:r w:rsidR="006925C4">
        <w:t xml:space="preserve"> discovery requests</w:t>
      </w:r>
      <w:r w:rsidR="006925C4">
        <w:rPr>
          <w:rStyle w:val="FootnoteReference"/>
        </w:rPr>
        <w:footnoteReference w:id="33"/>
      </w:r>
      <w:r w:rsidR="006925C4">
        <w:t xml:space="preserve"> that the incremental $2 million (system) increase in expected major maintenance in 2016</w:t>
      </w:r>
      <w:r w:rsidR="006023DC">
        <w:t>,</w:t>
      </w:r>
      <w:r w:rsidR="006925C4">
        <w:t xml:space="preserve"> above the 2014 test period expense</w:t>
      </w:r>
      <w:r w:rsidR="006023DC">
        <w:t>,</w:t>
      </w:r>
      <w:r w:rsidR="006925C4">
        <w:t xml:space="preserve"> </w:t>
      </w:r>
      <w:r w:rsidR="006925C4" w:rsidRPr="00161F94">
        <w:t xml:space="preserve">is mainly due to </w:t>
      </w:r>
      <w:r w:rsidR="006925C4">
        <w:t>a non-re</w:t>
      </w:r>
      <w:r w:rsidR="00783A30">
        <w:t>c</w:t>
      </w:r>
      <w:r w:rsidR="006925C4">
        <w:t>urring Colstrip Settlement Refund credited to expense in 2014</w:t>
      </w:r>
      <w:r w:rsidR="004D447C">
        <w:t xml:space="preserve"> of $1.3 million (Washington’s share is approximately </w:t>
      </w:r>
      <w:r w:rsidR="006925C4">
        <w:t>$1.</w:t>
      </w:r>
      <w:r w:rsidR="004D447C">
        <w:t>1</w:t>
      </w:r>
      <w:r w:rsidR="006925C4">
        <w:t xml:space="preserve"> million</w:t>
      </w:r>
      <w:r w:rsidR="004D447C">
        <w:t>)</w:t>
      </w:r>
      <w:r w:rsidR="006925C4">
        <w:t>.  The remaining difference in system expenses of $</w:t>
      </w:r>
      <w:r w:rsidR="004D447C">
        <w:t>0.7 million</w:t>
      </w:r>
      <w:r w:rsidR="006925C4">
        <w:t xml:space="preserve"> is </w:t>
      </w:r>
      <w:r w:rsidR="006925C4" w:rsidRPr="00161F94">
        <w:t>due</w:t>
      </w:r>
      <w:r w:rsidR="006023DC">
        <w:t>, in part,</w:t>
      </w:r>
      <w:r w:rsidR="006925C4" w:rsidRPr="00161F94">
        <w:t xml:space="preserve"> to </w:t>
      </w:r>
      <w:r w:rsidR="006925C4">
        <w:t xml:space="preserve">reduced level of expenses in 2014 related to the 2013 </w:t>
      </w:r>
      <w:r w:rsidR="006925C4" w:rsidRPr="00161F94">
        <w:t>Colstrip outage</w:t>
      </w:r>
      <w:r w:rsidR="006925C4">
        <w:t xml:space="preserve">, which extended into </w:t>
      </w:r>
      <w:r w:rsidR="006A7CF0">
        <w:t>the first quarter of 2014</w:t>
      </w:r>
      <w:r w:rsidR="006925C4" w:rsidRPr="00161F94">
        <w:t>.</w:t>
      </w:r>
      <w:r w:rsidR="006925C4">
        <w:t xml:space="preserve">  For Colstrip, major overhauls occur on Units 3 and 4 every three years, alternating between Units.  Therefore, two out of every three years a major overhaul will oc</w:t>
      </w:r>
      <w:r w:rsidR="00AB73E7">
        <w:t>cur at Colstrip.  There was</w:t>
      </w:r>
      <w:r w:rsidR="006925C4">
        <w:t xml:space="preserve"> a major overhaul in 2014, and an overhaul is planned in 2016.  </w:t>
      </w:r>
      <w:r w:rsidR="00B567F0">
        <w:t xml:space="preserve">With the adjustment to remove the </w:t>
      </w:r>
      <w:r w:rsidR="00B567F0">
        <w:lastRenderedPageBreak/>
        <w:t>prior period Colstrip Settlement Refund amount, we</w:t>
      </w:r>
      <w:r w:rsidR="00AB73E7">
        <w:t xml:space="preserve"> do not expect a major change in the normalized expense from 2014 to 2016.</w:t>
      </w:r>
    </w:p>
    <w:p w:rsidR="006925C4" w:rsidRPr="00CC68BA" w:rsidRDefault="006925C4" w:rsidP="006925C4">
      <w:pPr>
        <w:spacing w:line="480" w:lineRule="auto"/>
        <w:ind w:firstLine="720"/>
        <w:jc w:val="both"/>
        <w:rPr>
          <w:b/>
        </w:rPr>
      </w:pPr>
      <w:r w:rsidRPr="00CC68BA">
        <w:rPr>
          <w:b/>
        </w:rPr>
        <w:t>Q.</w:t>
      </w:r>
      <w:r w:rsidRPr="00CC68BA">
        <w:rPr>
          <w:b/>
        </w:rPr>
        <w:tab/>
        <w:t>What d</w:t>
      </w:r>
      <w:r w:rsidR="007E2EB7">
        <w:rPr>
          <w:b/>
        </w:rPr>
        <w:t xml:space="preserve">id </w:t>
      </w:r>
      <w:r w:rsidR="00EB2427">
        <w:rPr>
          <w:b/>
        </w:rPr>
        <w:t>Staff</w:t>
      </w:r>
      <w:r w:rsidR="007E2EB7">
        <w:rPr>
          <w:b/>
        </w:rPr>
        <w:t xml:space="preserve"> and ICNU</w:t>
      </w:r>
      <w:r w:rsidRPr="00CC68BA">
        <w:rPr>
          <w:b/>
        </w:rPr>
        <w:t xml:space="preserve"> propose </w:t>
      </w:r>
      <w:r w:rsidR="00CB32A8">
        <w:rPr>
          <w:b/>
        </w:rPr>
        <w:t>related</w:t>
      </w:r>
      <w:r w:rsidRPr="00CC68BA">
        <w:rPr>
          <w:b/>
        </w:rPr>
        <w:t xml:space="preserve"> to the major maintenance expenses for Colstrip and Coyote Springs 2?</w:t>
      </w:r>
    </w:p>
    <w:p w:rsidR="006925C4" w:rsidRPr="00CC68BA" w:rsidRDefault="006925C4" w:rsidP="006925C4">
      <w:pPr>
        <w:spacing w:line="480" w:lineRule="auto"/>
        <w:ind w:firstLine="720"/>
        <w:jc w:val="both"/>
      </w:pPr>
      <w:r w:rsidRPr="00CC68BA">
        <w:t>A.</w:t>
      </w:r>
      <w:r w:rsidRPr="00CC68BA">
        <w:tab/>
      </w:r>
      <w:r w:rsidR="00EB2427">
        <w:t>Staff</w:t>
      </w:r>
      <w:r w:rsidRPr="00CC68BA">
        <w:t xml:space="preserve"> testifie</w:t>
      </w:r>
      <w:r>
        <w:t>d</w:t>
      </w:r>
      <w:r w:rsidRPr="00CC68BA">
        <w:t xml:space="preserve"> that “overhauls should be normalized over the expect</w:t>
      </w:r>
      <w:r>
        <w:t xml:space="preserve">ed maintenance cycle” and that </w:t>
      </w:r>
      <w:r w:rsidRPr="00CC68BA">
        <w:t xml:space="preserve">normalization </w:t>
      </w:r>
      <w:r>
        <w:t xml:space="preserve">of those costs </w:t>
      </w:r>
      <w:r w:rsidRPr="00CC68BA">
        <w:t>“provides for consistent matching of revenues and expenses with their appropriate time period”.</w:t>
      </w:r>
      <w:r w:rsidRPr="00CC68BA">
        <w:rPr>
          <w:rStyle w:val="FootnoteReference"/>
        </w:rPr>
        <w:footnoteReference w:id="34"/>
      </w:r>
      <w:r w:rsidRPr="00CC68BA">
        <w:t xml:space="preserve">  Further, </w:t>
      </w:r>
      <w:r w:rsidR="00EB2427">
        <w:t>Staff</w:t>
      </w:r>
      <w:r w:rsidRPr="00CC68BA">
        <w:t xml:space="preserve"> states that </w:t>
      </w:r>
      <w:r>
        <w:t>the “Colstrip and CS2 over</w:t>
      </w:r>
      <w:r w:rsidRPr="00CC68BA">
        <w:t>hauls in this adjustment occur regularly, but not annually.  By using the normalization process, the annual recognized expenses are aligned with the expected period of the benefits provided by the expenditures.  This is the essence of the matching principle”.</w:t>
      </w:r>
      <w:r w:rsidRPr="00CC68BA">
        <w:rPr>
          <w:rStyle w:val="FootnoteReference"/>
        </w:rPr>
        <w:footnoteReference w:id="35"/>
      </w:r>
      <w:r w:rsidRPr="00CC68BA">
        <w:t xml:space="preserve"> </w:t>
      </w:r>
    </w:p>
    <w:p w:rsidR="006925C4" w:rsidRPr="00CC68BA" w:rsidRDefault="006925C4" w:rsidP="006925C4">
      <w:pPr>
        <w:spacing w:line="480" w:lineRule="auto"/>
        <w:ind w:firstLine="720"/>
        <w:jc w:val="both"/>
      </w:pPr>
      <w:r w:rsidRPr="00CC68BA">
        <w:t xml:space="preserve">Mr. Mullins for ICNU </w:t>
      </w:r>
      <w:r w:rsidR="00C82482">
        <w:t>recommends</w:t>
      </w:r>
      <w:r>
        <w:t xml:space="preserve"> “that the Commission require the Company to normalize these major maintenance expenses by spreading this cost over the maintenance cycle of the respective plants”.</w:t>
      </w:r>
      <w:r>
        <w:rPr>
          <w:rStyle w:val="FootnoteReference"/>
        </w:rPr>
        <w:footnoteReference w:id="36"/>
      </w:r>
      <w:r>
        <w:t xml:space="preserve">  He testified that the “normalized level of expense” should be included “in rates that is the average expense over the maintenance cycle”.</w:t>
      </w:r>
      <w:r>
        <w:rPr>
          <w:rStyle w:val="FootnoteReference"/>
        </w:rPr>
        <w:footnoteReference w:id="37"/>
      </w:r>
      <w:r w:rsidR="00C01BE2">
        <w:t xml:space="preserve"> </w:t>
      </w:r>
      <w:r w:rsidR="00C01BE2">
        <w:rPr>
          <w:vertAlign w:val="superscript"/>
        </w:rPr>
        <w:t xml:space="preserve">/ </w:t>
      </w:r>
      <w:r>
        <w:rPr>
          <w:rStyle w:val="FootnoteReference"/>
        </w:rPr>
        <w:footnoteReference w:id="38"/>
      </w:r>
    </w:p>
    <w:p w:rsidR="006925C4" w:rsidRPr="00135321" w:rsidRDefault="006925C4" w:rsidP="006925C4">
      <w:pPr>
        <w:spacing w:line="480" w:lineRule="auto"/>
        <w:ind w:firstLine="720"/>
        <w:jc w:val="both"/>
        <w:rPr>
          <w:b/>
        </w:rPr>
      </w:pPr>
      <w:r w:rsidRPr="00135321">
        <w:rPr>
          <w:b/>
        </w:rPr>
        <w:t xml:space="preserve">Q. </w:t>
      </w:r>
      <w:r w:rsidRPr="00135321">
        <w:rPr>
          <w:b/>
        </w:rPr>
        <w:tab/>
        <w:t xml:space="preserve">What is your response to </w:t>
      </w:r>
      <w:r w:rsidR="00EB2427">
        <w:rPr>
          <w:b/>
        </w:rPr>
        <w:t>Staff</w:t>
      </w:r>
      <w:r w:rsidRPr="00135321">
        <w:rPr>
          <w:b/>
        </w:rPr>
        <w:t xml:space="preserve"> and ICNU’s proposed normalization</w:t>
      </w:r>
      <w:r>
        <w:rPr>
          <w:b/>
        </w:rPr>
        <w:t xml:space="preserve"> of these costs</w:t>
      </w:r>
      <w:r w:rsidRPr="00135321">
        <w:rPr>
          <w:b/>
        </w:rPr>
        <w:t>?</w:t>
      </w:r>
    </w:p>
    <w:p w:rsidR="007A3E9D" w:rsidRDefault="006925C4" w:rsidP="006925C4">
      <w:pPr>
        <w:spacing w:line="480" w:lineRule="auto"/>
        <w:ind w:firstLine="720"/>
        <w:jc w:val="both"/>
      </w:pPr>
      <w:r w:rsidRPr="00CC68BA">
        <w:t>A.</w:t>
      </w:r>
      <w:r w:rsidRPr="00CC68BA">
        <w:tab/>
      </w:r>
      <w:r>
        <w:t xml:space="preserve">The proposed normalization of major maintenance expenses by </w:t>
      </w:r>
      <w:r w:rsidR="00EB2427">
        <w:t>Staff</w:t>
      </w:r>
      <w:r>
        <w:t xml:space="preserve"> and ICNU normalizes the costs </w:t>
      </w:r>
      <w:r w:rsidRPr="00E05E03">
        <w:rPr>
          <w:u w:val="single"/>
        </w:rPr>
        <w:t>for customers</w:t>
      </w:r>
      <w:r>
        <w:t xml:space="preserve">; however, their </w:t>
      </w:r>
      <w:r w:rsidR="00DC37B7">
        <w:t>proposals do</w:t>
      </w:r>
      <w:r>
        <w:t xml:space="preserve"> not take into account the effe</w:t>
      </w:r>
      <w:r w:rsidR="00DC37B7">
        <w:t>ct the major maintenance costs</w:t>
      </w:r>
      <w:r w:rsidR="00C82482">
        <w:t xml:space="preserve"> on </w:t>
      </w:r>
      <w:r w:rsidR="00C82482" w:rsidRPr="00E05E03">
        <w:rPr>
          <w:u w:val="single"/>
        </w:rPr>
        <w:t>the Company</w:t>
      </w:r>
      <w:r w:rsidR="00C82482">
        <w:t>.  Without</w:t>
      </w:r>
      <w:r>
        <w:t xml:space="preserve"> Commission approval to </w:t>
      </w:r>
      <w:r>
        <w:lastRenderedPageBreak/>
        <w:t xml:space="preserve">defer these major maintenance expenses, and amortize them over the appropriate time period, Avista would be required to recognize the entire expense in the year the expenses are incurred.  While customers would pay for the expenses over a number of years through normalization of the expenses, </w:t>
      </w:r>
      <w:r w:rsidR="00690C63">
        <w:t>Avista would bear the full expense in</w:t>
      </w:r>
      <w:r w:rsidR="006F44AF">
        <w:t xml:space="preserve"> the year the maintenance occurs.</w:t>
      </w:r>
      <w:r>
        <w:t xml:space="preserve">  For example, as mentioned earlier, Avista will be required to complete a HGP major maintenance on its CS2 generating facility in 2016 at a cost of $3.5 million (system). Under Staff’s approach, the Company would recover revenues from customers over a four-year period, collecting approximately $875,000 annu</w:t>
      </w:r>
      <w:r w:rsidR="006F44AF">
        <w:t>ally over four years. The cost</w:t>
      </w:r>
      <w:r>
        <w:t xml:space="preserve"> to customers would be a normalized </w:t>
      </w:r>
      <w:r w:rsidR="006F44AF">
        <w:t xml:space="preserve">over a four-year period to </w:t>
      </w:r>
      <w:r w:rsidR="006F44AF" w:rsidRPr="006F44AF">
        <w:rPr>
          <w:u w:val="single"/>
        </w:rPr>
        <w:t>match the benefit</w:t>
      </w:r>
      <w:r w:rsidR="006F44AF">
        <w:t xml:space="preserve"> of the major maintenance that will last for four years</w:t>
      </w:r>
      <w:r>
        <w:t xml:space="preserve">.  </w:t>
      </w:r>
      <w:r w:rsidR="00C01BE2">
        <w:t>However,</w:t>
      </w:r>
      <w:r>
        <w:t xml:space="preserve"> the Company would record </w:t>
      </w:r>
      <w:r w:rsidRPr="00462356">
        <w:rPr>
          <w:u w:val="single"/>
        </w:rPr>
        <w:t>net expenses</w:t>
      </w:r>
      <w:r>
        <w:t xml:space="preserve"> of $2.6 million in year one ($3.5 million - $875,000) and revenues in years two through four of $875,000</w:t>
      </w:r>
      <w:r w:rsidR="006F44AF">
        <w:t xml:space="preserve">, which would result in a </w:t>
      </w:r>
      <w:r w:rsidR="006F44AF" w:rsidRPr="006F44AF">
        <w:rPr>
          <w:u w:val="single"/>
        </w:rPr>
        <w:t>mismatch of costs and benefits</w:t>
      </w:r>
      <w:r w:rsidR="006F44AF">
        <w:t xml:space="preserve"> for the Company.  There should be a proper matching of costs and benefits for </w:t>
      </w:r>
      <w:r w:rsidR="006F44AF" w:rsidRPr="00E05E03">
        <w:rPr>
          <w:u w:val="single"/>
        </w:rPr>
        <w:t>both customers and the Company</w:t>
      </w:r>
      <w:r w:rsidR="006F44AF">
        <w:t>.</w:t>
      </w:r>
    </w:p>
    <w:p w:rsidR="006925C4" w:rsidRPr="00135321" w:rsidRDefault="006925C4" w:rsidP="006925C4">
      <w:pPr>
        <w:spacing w:line="480" w:lineRule="auto"/>
        <w:ind w:firstLine="720"/>
        <w:jc w:val="both"/>
        <w:rPr>
          <w:b/>
        </w:rPr>
      </w:pPr>
      <w:r w:rsidRPr="00135321">
        <w:rPr>
          <w:b/>
        </w:rPr>
        <w:t xml:space="preserve">Q. </w:t>
      </w:r>
      <w:r w:rsidRPr="00135321">
        <w:rPr>
          <w:b/>
        </w:rPr>
        <w:tab/>
        <w:t xml:space="preserve">What is the Company’s proposal related to the normalization of </w:t>
      </w:r>
      <w:r>
        <w:rPr>
          <w:b/>
        </w:rPr>
        <w:t>the major maintenance costs for its thermal plants?</w:t>
      </w:r>
    </w:p>
    <w:p w:rsidR="008953BA" w:rsidRDefault="006925C4" w:rsidP="006925C4">
      <w:pPr>
        <w:spacing w:line="480" w:lineRule="auto"/>
        <w:ind w:firstLine="720"/>
        <w:jc w:val="both"/>
      </w:pPr>
      <w:r>
        <w:t>A.</w:t>
      </w:r>
      <w:r>
        <w:tab/>
      </w:r>
      <w:r w:rsidRPr="00F361E5">
        <w:t xml:space="preserve">To </w:t>
      </w:r>
      <w:r>
        <w:t xml:space="preserve">recognize Staff’s and ICNU’s concerns regarding normalization of “overhauls” and </w:t>
      </w:r>
      <w:r w:rsidRPr="00F361E5">
        <w:t>address the variability in thermal maintenance costs</w:t>
      </w:r>
      <w:r>
        <w:t xml:space="preserve"> experienced by Avista</w:t>
      </w:r>
      <w:r w:rsidRPr="00F361E5">
        <w:t xml:space="preserve">, the Company </w:t>
      </w:r>
      <w:r>
        <w:t>is proposing</w:t>
      </w:r>
      <w:r w:rsidRPr="00F361E5">
        <w:t xml:space="preserve"> to defer </w:t>
      </w:r>
      <w:r w:rsidRPr="00240917">
        <w:rPr>
          <w:u w:val="single"/>
        </w:rPr>
        <w:t>only</w:t>
      </w:r>
      <w:r>
        <w:t xml:space="preserve"> </w:t>
      </w:r>
      <w:r w:rsidRPr="00F361E5">
        <w:t xml:space="preserve">the </w:t>
      </w:r>
      <w:r>
        <w:t>“</w:t>
      </w:r>
      <w:r w:rsidRPr="00F361E5">
        <w:t>hours of operation</w:t>
      </w:r>
      <w:r>
        <w:t xml:space="preserve"> based</w:t>
      </w:r>
      <w:r w:rsidR="00E33CE7">
        <w:t>”</w:t>
      </w:r>
      <w:r w:rsidRPr="00F361E5">
        <w:t xml:space="preserve"> major maintenance expense required for the Company’s CS2, Rathdrum and Boulder Park thermal generation </w:t>
      </w:r>
      <w:r w:rsidRPr="00F361E5">
        <w:lastRenderedPageBreak/>
        <w:t>facilities</w:t>
      </w:r>
      <w:r>
        <w:t xml:space="preserve"> going forward</w:t>
      </w:r>
      <w:r w:rsidRPr="00F361E5">
        <w:t>.</w:t>
      </w:r>
      <w:r>
        <w:rPr>
          <w:rStyle w:val="FootnoteReference"/>
        </w:rPr>
        <w:footnoteReference w:id="39"/>
      </w:r>
      <w:r>
        <w:t xml:space="preserve"> </w:t>
      </w:r>
      <w:r w:rsidRPr="00F361E5">
        <w:t xml:space="preserve"> </w:t>
      </w:r>
      <w:r>
        <w:t>These are major maintenance expenses that the Company will incur when these generators hit a specific number of</w:t>
      </w:r>
      <w:r w:rsidR="00B452EA">
        <w:t xml:space="preserve"> operating hours</w:t>
      </w:r>
      <w:r>
        <w:t>.</w:t>
      </w:r>
      <w:r w:rsidRPr="00F361E5">
        <w:t xml:space="preserve">  </w:t>
      </w:r>
    </w:p>
    <w:p w:rsidR="006925C4" w:rsidRPr="00E97E6E" w:rsidRDefault="006925C4" w:rsidP="006925C4">
      <w:pPr>
        <w:spacing w:line="480" w:lineRule="auto"/>
        <w:ind w:firstLine="720"/>
        <w:jc w:val="both"/>
      </w:pPr>
      <w:r>
        <w:t xml:space="preserve">The Company is proposing that </w:t>
      </w:r>
      <w:r w:rsidRPr="00F361E5">
        <w:t xml:space="preserve">Washington’s share of the actual major maintenance expenses associated with these projects be deferred in the year </w:t>
      </w:r>
      <w:r w:rsidR="008C33AD">
        <w:t>they occur</w:t>
      </w:r>
      <w:r w:rsidR="000F60E0">
        <w:t>; with</w:t>
      </w:r>
      <w:r w:rsidRPr="00F361E5">
        <w:t xml:space="preserve"> </w:t>
      </w:r>
      <w:r w:rsidR="000F60E0">
        <w:t xml:space="preserve">the first expected in 2016. </w:t>
      </w:r>
      <w:r>
        <w:t xml:space="preserve"> </w:t>
      </w:r>
      <w:r w:rsidR="000F60E0">
        <w:t>The balance would be amortized over a four-year</w:t>
      </w:r>
      <w:r w:rsidRPr="00F361E5">
        <w:t xml:space="preserve"> period beginning January 1</w:t>
      </w:r>
      <w:r w:rsidR="00D84612">
        <w:t>st</w:t>
      </w:r>
      <w:r w:rsidRPr="00F361E5">
        <w:t xml:space="preserve"> of the following year.</w:t>
      </w:r>
      <w:r>
        <w:rPr>
          <w:rStyle w:val="FootnoteReference"/>
        </w:rPr>
        <w:footnoteReference w:id="40"/>
      </w:r>
      <w:r>
        <w:t xml:space="preserve"> </w:t>
      </w:r>
      <w:r w:rsidRPr="00F361E5">
        <w:t xml:space="preserve"> There w</w:t>
      </w:r>
      <w:r>
        <w:t>ould</w:t>
      </w:r>
      <w:r w:rsidRPr="00F361E5">
        <w:t xml:space="preserve"> be no carrying charge on the unamortized balance</w:t>
      </w:r>
      <w:r w:rsidR="00E05E03">
        <w:t>, which means there would be no additional costs to customers to normalize these costs for both the Company and customers</w:t>
      </w:r>
      <w:r w:rsidRPr="00F361E5">
        <w:t xml:space="preserve">.  </w:t>
      </w:r>
      <w:r>
        <w:t>Ms. Andrews provides further details re</w:t>
      </w:r>
      <w:r w:rsidR="009F4495">
        <w:t>lated to the accounting for these</w:t>
      </w:r>
      <w:r w:rsidRPr="00E97E6E">
        <w:t xml:space="preserve"> maintenance expenses.</w:t>
      </w:r>
    </w:p>
    <w:p w:rsidR="006925C4" w:rsidRDefault="006925C4" w:rsidP="00F005FE">
      <w:pPr>
        <w:spacing w:line="480" w:lineRule="auto"/>
        <w:ind w:firstLine="720"/>
        <w:jc w:val="both"/>
        <w:rPr>
          <w:rFonts w:ascii="Times" w:hAnsi="Times"/>
        </w:rPr>
      </w:pPr>
      <w:r w:rsidRPr="00E97E6E">
        <w:rPr>
          <w:rFonts w:ascii="Times" w:hAnsi="Times"/>
        </w:rPr>
        <w:t xml:space="preserve">Deferred accounting </w:t>
      </w:r>
      <w:r w:rsidR="00E05E03">
        <w:rPr>
          <w:rFonts w:ascii="Times" w:hAnsi="Times"/>
        </w:rPr>
        <w:t xml:space="preserve">(normalization) </w:t>
      </w:r>
      <w:r w:rsidRPr="00E97E6E">
        <w:rPr>
          <w:rFonts w:ascii="Times" w:hAnsi="Times"/>
        </w:rPr>
        <w:t>treatmen</w:t>
      </w:r>
      <w:r w:rsidR="00714C12">
        <w:rPr>
          <w:rFonts w:ascii="Times" w:hAnsi="Times"/>
        </w:rPr>
        <w:t>t for these “hours of operation</w:t>
      </w:r>
      <w:r w:rsidRPr="00E97E6E">
        <w:rPr>
          <w:rFonts w:ascii="Times" w:hAnsi="Times"/>
        </w:rPr>
        <w:t xml:space="preserve"> based</w:t>
      </w:r>
      <w:r w:rsidR="00714C12">
        <w:rPr>
          <w:rFonts w:ascii="Times" w:hAnsi="Times"/>
        </w:rPr>
        <w:t>”</w:t>
      </w:r>
      <w:r w:rsidRPr="00E97E6E">
        <w:rPr>
          <w:rFonts w:ascii="Times" w:hAnsi="Times"/>
        </w:rPr>
        <w:t xml:space="preserve"> maintenance costs is appropriate because of the variability in their maintenance schedules</w:t>
      </w:r>
      <w:r w:rsidR="00C01BE2">
        <w:rPr>
          <w:rFonts w:ascii="Times" w:hAnsi="Times"/>
        </w:rPr>
        <w:t>,</w:t>
      </w:r>
      <w:r w:rsidRPr="00E97E6E">
        <w:rPr>
          <w:rFonts w:ascii="Times" w:hAnsi="Times"/>
        </w:rPr>
        <w:t xml:space="preserve"> which are based on operating hours.</w:t>
      </w:r>
      <w:r w:rsidR="00F005FE">
        <w:rPr>
          <w:rFonts w:ascii="Times" w:hAnsi="Times"/>
        </w:rPr>
        <w:t xml:space="preserve">  </w:t>
      </w:r>
      <w:r w:rsidRPr="00E97E6E">
        <w:rPr>
          <w:rFonts w:ascii="Times" w:hAnsi="Times"/>
        </w:rPr>
        <w:t xml:space="preserve">By deferring </w:t>
      </w:r>
      <w:r w:rsidR="00714C12">
        <w:rPr>
          <w:rFonts w:ascii="Times" w:hAnsi="Times"/>
        </w:rPr>
        <w:t xml:space="preserve">and amortizing </w:t>
      </w:r>
      <w:r w:rsidRPr="00E97E6E">
        <w:rPr>
          <w:rFonts w:ascii="Times" w:hAnsi="Times"/>
        </w:rPr>
        <w:t xml:space="preserve">the variability in these maintenance expenses, and recovering them over a four-year period, these cost swings can be smoothed, or normalized, </w:t>
      </w:r>
      <w:r w:rsidRPr="00714C12">
        <w:rPr>
          <w:rFonts w:ascii="Times" w:hAnsi="Times"/>
          <w:u w:val="single"/>
        </w:rPr>
        <w:t>for both the Company and for customers</w:t>
      </w:r>
      <w:r w:rsidR="00714C12">
        <w:rPr>
          <w:rFonts w:ascii="Times" w:hAnsi="Times"/>
        </w:rPr>
        <w:t xml:space="preserve"> (smoothing</w:t>
      </w:r>
      <w:r w:rsidRPr="00E97E6E">
        <w:rPr>
          <w:rFonts w:ascii="Times" w:hAnsi="Times"/>
        </w:rPr>
        <w:t xml:space="preserve"> the “lumpiness” of these expenses over time) – </w:t>
      </w:r>
      <w:r w:rsidR="00714C12">
        <w:rPr>
          <w:rFonts w:ascii="Times" w:hAnsi="Times"/>
        </w:rPr>
        <w:t xml:space="preserve">a </w:t>
      </w:r>
      <w:r w:rsidRPr="00E97E6E">
        <w:rPr>
          <w:rFonts w:ascii="Times" w:hAnsi="Times"/>
        </w:rPr>
        <w:t xml:space="preserve">win-win for </w:t>
      </w:r>
      <w:r w:rsidR="00C07653">
        <w:rPr>
          <w:rFonts w:ascii="Times" w:hAnsi="Times"/>
        </w:rPr>
        <w:t xml:space="preserve">both </w:t>
      </w:r>
      <w:r w:rsidRPr="00E97E6E">
        <w:rPr>
          <w:rFonts w:ascii="Times" w:hAnsi="Times"/>
        </w:rPr>
        <w:t>customers and the Company.  The</w:t>
      </w:r>
      <w:r>
        <w:rPr>
          <w:rFonts w:ascii="Times" w:hAnsi="Times"/>
        </w:rPr>
        <w:t xml:space="preserve"> net effect of the Company’s proposal is that there would be no net increase in cost</w:t>
      </w:r>
      <w:r w:rsidR="00714C12">
        <w:rPr>
          <w:rFonts w:ascii="Times" w:hAnsi="Times"/>
        </w:rPr>
        <w:t>s to customers in this D</w:t>
      </w:r>
      <w:r>
        <w:rPr>
          <w:rFonts w:ascii="Times" w:hAnsi="Times"/>
        </w:rPr>
        <w:t xml:space="preserve">ocket, for rate year 2016, </w:t>
      </w:r>
      <w:r w:rsidR="00714C12">
        <w:rPr>
          <w:rFonts w:ascii="Times" w:hAnsi="Times"/>
        </w:rPr>
        <w:t>through the deferral and amortization of</w:t>
      </w:r>
      <w:r>
        <w:rPr>
          <w:rFonts w:ascii="Times" w:hAnsi="Times"/>
        </w:rPr>
        <w:t xml:space="preserve"> these costs.  </w:t>
      </w:r>
      <w:r w:rsidR="005E605F">
        <w:rPr>
          <w:rFonts w:ascii="Times" w:hAnsi="Times"/>
        </w:rPr>
        <w:t>T</w:t>
      </w:r>
      <w:r>
        <w:rPr>
          <w:rFonts w:ascii="Times" w:hAnsi="Times"/>
        </w:rPr>
        <w:t xml:space="preserve">he </w:t>
      </w:r>
      <w:r w:rsidRPr="00943412">
        <w:rPr>
          <w:rFonts w:ascii="Times" w:hAnsi="Times"/>
          <w:u w:val="single"/>
        </w:rPr>
        <w:t>actual</w:t>
      </w:r>
      <w:r>
        <w:rPr>
          <w:rFonts w:ascii="Times" w:hAnsi="Times"/>
        </w:rPr>
        <w:t xml:space="preserve"> expenses for the HGP projects for CS2 and Rathdrum, and the 12,000 hour based overhaul for Boulder, would be deferred in 2016, with amortization to start January 1, 2017.  This would ensure the costs in the year deferred, and the amortization in the following year, would be known and based on actual expenditures. </w:t>
      </w:r>
    </w:p>
    <w:p w:rsidR="006925C4" w:rsidRPr="0036066C" w:rsidRDefault="006925C4" w:rsidP="006925C4">
      <w:pPr>
        <w:spacing w:line="480" w:lineRule="auto"/>
        <w:ind w:firstLine="720"/>
        <w:jc w:val="both"/>
        <w:rPr>
          <w:b/>
        </w:rPr>
      </w:pPr>
      <w:r w:rsidRPr="0036066C">
        <w:rPr>
          <w:b/>
        </w:rPr>
        <w:lastRenderedPageBreak/>
        <w:t xml:space="preserve">Q. </w:t>
      </w:r>
      <w:r w:rsidRPr="0036066C">
        <w:rPr>
          <w:b/>
        </w:rPr>
        <w:tab/>
      </w:r>
      <w:r>
        <w:rPr>
          <w:b/>
        </w:rPr>
        <w:t xml:space="preserve">What are the expected </w:t>
      </w:r>
      <w:r w:rsidR="00C01BE2">
        <w:rPr>
          <w:b/>
        </w:rPr>
        <w:t xml:space="preserve">system </w:t>
      </w:r>
      <w:r>
        <w:rPr>
          <w:b/>
        </w:rPr>
        <w:t>costs associated with the hours-based major maintenance projects proposed for deferral in 2016</w:t>
      </w:r>
      <w:r w:rsidRPr="0036066C">
        <w:rPr>
          <w:b/>
        </w:rPr>
        <w:t>?</w:t>
      </w:r>
    </w:p>
    <w:p w:rsidR="006925C4" w:rsidRDefault="006925C4" w:rsidP="006925C4">
      <w:pPr>
        <w:spacing w:line="480" w:lineRule="auto"/>
        <w:ind w:firstLine="720"/>
        <w:jc w:val="both"/>
        <w:rPr>
          <w:rFonts w:ascii="Times" w:hAnsi="Times"/>
        </w:rPr>
      </w:pPr>
      <w:r>
        <w:t>A.</w:t>
      </w:r>
      <w:r>
        <w:tab/>
        <w:t xml:space="preserve">As noted above, </w:t>
      </w:r>
      <w:r>
        <w:rPr>
          <w:rFonts w:ascii="Times" w:hAnsi="Times"/>
        </w:rPr>
        <w:t>the CS2 Hot Gas Path is planned in 2016 at a cost of $3.5 million.  For Rathdrum, the Hot Gas Path planned level of expense is $0.7 million, and the overhaul of Boulder Park is $0.2 million.  A four-year amortization of these costs starting January 1, 2017 would be approximately $705,000 (Washington share).</w:t>
      </w:r>
    </w:p>
    <w:p w:rsidR="006925C4" w:rsidRPr="00105EB9" w:rsidRDefault="006925C4" w:rsidP="006925C4">
      <w:pPr>
        <w:spacing w:line="480" w:lineRule="auto"/>
        <w:ind w:firstLine="720"/>
        <w:jc w:val="both"/>
        <w:rPr>
          <w:b/>
        </w:rPr>
      </w:pPr>
      <w:r w:rsidRPr="00462356">
        <w:rPr>
          <w:b/>
        </w:rPr>
        <w:t>Q.</w:t>
      </w:r>
      <w:r w:rsidRPr="00462356">
        <w:rPr>
          <w:b/>
        </w:rPr>
        <w:tab/>
        <w:t xml:space="preserve">Did </w:t>
      </w:r>
      <w:r w:rsidR="00EB2427">
        <w:rPr>
          <w:b/>
        </w:rPr>
        <w:t>Staff</w:t>
      </w:r>
      <w:r w:rsidRPr="00462356">
        <w:rPr>
          <w:b/>
        </w:rPr>
        <w:t xml:space="preserve"> recognize that the Rathdrum and Boulder </w:t>
      </w:r>
      <w:r>
        <w:rPr>
          <w:b/>
        </w:rPr>
        <w:t xml:space="preserve">Park major maintenance </w:t>
      </w:r>
      <w:r w:rsidRPr="00462356">
        <w:rPr>
          <w:b/>
        </w:rPr>
        <w:t>projects</w:t>
      </w:r>
      <w:r>
        <w:rPr>
          <w:b/>
        </w:rPr>
        <w:t xml:space="preserve"> discussed above are hours-based and therefore are similar in nature to CS2’s HGP major project?</w:t>
      </w:r>
      <w:r w:rsidRPr="00462356">
        <w:rPr>
          <w:b/>
        </w:rPr>
        <w:t xml:space="preserve"> </w:t>
      </w:r>
    </w:p>
    <w:p w:rsidR="00D50DE6" w:rsidRDefault="006925C4" w:rsidP="006925C4">
      <w:pPr>
        <w:spacing w:line="480" w:lineRule="auto"/>
        <w:ind w:firstLine="720"/>
        <w:jc w:val="both"/>
      </w:pPr>
      <w:r>
        <w:t>A.</w:t>
      </w:r>
      <w:r>
        <w:tab/>
        <w:t>Yes. Mr. Ball notes</w:t>
      </w:r>
      <w:r w:rsidR="00153F77">
        <w:t>,</w:t>
      </w:r>
      <w:r>
        <w:t xml:space="preserve"> starting at page 10, line 3 of his testimony</w:t>
      </w:r>
      <w:r w:rsidR="00F03CC3">
        <w:t xml:space="preserve"> (Exhibit No.</w:t>
      </w:r>
      <w:r w:rsidR="00783A30">
        <w:t>___(</w:t>
      </w:r>
      <w:proofErr w:type="spellStart"/>
      <w:r w:rsidR="00F03CC3">
        <w:t>JLB</w:t>
      </w:r>
      <w:proofErr w:type="spellEnd"/>
      <w:r w:rsidR="00F03CC3">
        <w:t>-1T)</w:t>
      </w:r>
      <w:r w:rsidR="00783A30">
        <w:t>)</w:t>
      </w:r>
      <w:r w:rsidR="00D50DE6">
        <w:t>:</w:t>
      </w:r>
    </w:p>
    <w:p w:rsidR="006925C4" w:rsidRDefault="006925C4" w:rsidP="00342F5D">
      <w:pPr>
        <w:ind w:left="720" w:right="738"/>
        <w:jc w:val="both"/>
      </w:pPr>
      <w:r w:rsidRPr="00105EB9">
        <w:t>If the Commission wishes to include Rathdrum and Boulder Park maintenance in the revenue requirement, then Staff recommends that the projects be normalized in the same manner as Staff’s proposal for Colstrip and CS2 overhauls</w:t>
      </w:r>
      <w:r>
        <w:t xml:space="preserve"> …</w:t>
      </w:r>
      <w:r w:rsidRPr="00105EB9">
        <w:t xml:space="preserve">  That is, the expenses should be normalized over the length of the maintenance lifecycle.  The Rathdrum and Boulder Park maintenance is based on run hours and is therefore similar in principle to the planned overhaul for CS2.</w:t>
      </w:r>
    </w:p>
    <w:p w:rsidR="00D50DE6" w:rsidRDefault="00D50DE6" w:rsidP="00D50DE6">
      <w:pPr>
        <w:ind w:left="720"/>
        <w:jc w:val="both"/>
      </w:pPr>
    </w:p>
    <w:p w:rsidR="006925C4" w:rsidRDefault="006925C4" w:rsidP="006925C4">
      <w:pPr>
        <w:spacing w:line="480" w:lineRule="auto"/>
        <w:ind w:firstLine="720"/>
        <w:jc w:val="both"/>
        <w:rPr>
          <w:b/>
        </w:rPr>
      </w:pPr>
      <w:r w:rsidRPr="0036066C">
        <w:rPr>
          <w:b/>
        </w:rPr>
        <w:t xml:space="preserve">Q. </w:t>
      </w:r>
      <w:r w:rsidRPr="0036066C">
        <w:rPr>
          <w:b/>
        </w:rPr>
        <w:tab/>
        <w:t xml:space="preserve">Has </w:t>
      </w:r>
      <w:r w:rsidR="00EB2427">
        <w:rPr>
          <w:b/>
        </w:rPr>
        <w:t>Staff</w:t>
      </w:r>
      <w:r w:rsidRPr="0036066C">
        <w:rPr>
          <w:b/>
        </w:rPr>
        <w:t xml:space="preserve"> or ICNU been supportive of </w:t>
      </w:r>
      <w:r>
        <w:rPr>
          <w:b/>
        </w:rPr>
        <w:t>the</w:t>
      </w:r>
      <w:r w:rsidRPr="0036066C">
        <w:rPr>
          <w:b/>
        </w:rPr>
        <w:t xml:space="preserve"> deferral </w:t>
      </w:r>
      <w:r>
        <w:rPr>
          <w:b/>
        </w:rPr>
        <w:t xml:space="preserve">of these types of costs </w:t>
      </w:r>
      <w:r w:rsidRPr="0036066C">
        <w:rPr>
          <w:b/>
        </w:rPr>
        <w:t xml:space="preserve">in </w:t>
      </w:r>
      <w:r>
        <w:rPr>
          <w:b/>
        </w:rPr>
        <w:t>prior proceedings</w:t>
      </w:r>
      <w:r w:rsidRPr="0036066C">
        <w:rPr>
          <w:b/>
        </w:rPr>
        <w:t>?</w:t>
      </w:r>
    </w:p>
    <w:p w:rsidR="006925C4" w:rsidRPr="004F4737" w:rsidRDefault="006925C4" w:rsidP="006925C4">
      <w:pPr>
        <w:spacing w:line="480" w:lineRule="auto"/>
        <w:ind w:firstLine="720"/>
        <w:jc w:val="both"/>
        <w:rPr>
          <w:rFonts w:ascii="Times" w:hAnsi="Times"/>
        </w:rPr>
      </w:pPr>
      <w:r>
        <w:t>A.</w:t>
      </w:r>
      <w:r>
        <w:tab/>
      </w:r>
      <w:r w:rsidRPr="004F4737">
        <w:rPr>
          <w:rFonts w:ascii="Times" w:hAnsi="Times"/>
        </w:rPr>
        <w:t xml:space="preserve">Yes.  </w:t>
      </w:r>
      <w:r>
        <w:rPr>
          <w:rFonts w:ascii="Times" w:hAnsi="Times"/>
        </w:rPr>
        <w:t>In Docket UE-110876, Avista’s 2011 general rate case, the Commission approved a deferred accounting mechanism related to thermal generating plant maintenance costs</w:t>
      </w:r>
      <w:r>
        <w:rPr>
          <w:rStyle w:val="FootnoteReference"/>
          <w:rFonts w:ascii="Times" w:hAnsi="Times"/>
        </w:rPr>
        <w:footnoteReference w:id="41"/>
      </w:r>
      <w:r>
        <w:rPr>
          <w:rFonts w:ascii="Times" w:hAnsi="Times"/>
        </w:rPr>
        <w:t xml:space="preserve">.  During the evidentiary hearing held on November 8, 2011, UTC </w:t>
      </w:r>
      <w:r>
        <w:rPr>
          <w:rFonts w:ascii="Times" w:hAnsi="Times"/>
        </w:rPr>
        <w:lastRenderedPageBreak/>
        <w:t xml:space="preserve">Chairman Goltz asked why this mechanism was in the public </w:t>
      </w:r>
      <w:r w:rsidRPr="00974D0D">
        <w:rPr>
          <w:rFonts w:ascii="Times" w:hAnsi="Times"/>
        </w:rPr>
        <w:t xml:space="preserve">interest, </w:t>
      </w:r>
      <w:r>
        <w:rPr>
          <w:rFonts w:ascii="Times" w:hAnsi="Times"/>
        </w:rPr>
        <w:t xml:space="preserve">and </w:t>
      </w:r>
      <w:r w:rsidRPr="00974D0D">
        <w:rPr>
          <w:rFonts w:ascii="Times" w:hAnsi="Times"/>
        </w:rPr>
        <w:t xml:space="preserve">Mr. Schoenbeck, </w:t>
      </w:r>
      <w:r>
        <w:rPr>
          <w:rFonts w:ascii="Times" w:hAnsi="Times"/>
        </w:rPr>
        <w:t xml:space="preserve">the </w:t>
      </w:r>
      <w:r w:rsidRPr="00974D0D">
        <w:rPr>
          <w:rFonts w:ascii="Times" w:hAnsi="Times"/>
        </w:rPr>
        <w:t>witness representing the Industrial Customers of Northwest Utilities (ICNU), replied:</w:t>
      </w:r>
    </w:p>
    <w:p w:rsidR="006925C4" w:rsidRPr="00480BAD" w:rsidRDefault="006925C4" w:rsidP="006925C4">
      <w:pPr>
        <w:ind w:left="720" w:right="720"/>
        <w:jc w:val="both"/>
        <w:rPr>
          <w:rFonts w:ascii="Times" w:hAnsi="Times"/>
        </w:rPr>
      </w:pPr>
      <w:r w:rsidRPr="00480BAD">
        <w:rPr>
          <w:rFonts w:ascii="Times" w:hAnsi="Times"/>
        </w:rPr>
        <w:t>I actually thi</w:t>
      </w:r>
      <w:r>
        <w:rPr>
          <w:rFonts w:ascii="Times" w:hAnsi="Times"/>
        </w:rPr>
        <w:t>nk, staying with just the test p</w:t>
      </w:r>
      <w:r w:rsidRPr="00480BAD">
        <w:rPr>
          <w:rFonts w:ascii="Times" w:hAnsi="Times"/>
        </w:rPr>
        <w:t xml:space="preserve">eriod values as adjusted is wrong. I actually do think you need to normalize the fact that the maintenance is occurring over four years, and smooth it over four years.  So you basically have to either use some sort of a four-year average for the maintenance or come up with a benchmark, and then give a deferral balance either above or below that benchmark. So </w:t>
      </w:r>
      <w:r w:rsidRPr="00240917">
        <w:rPr>
          <w:rFonts w:ascii="Times" w:hAnsi="Times"/>
          <w:u w:val="single"/>
        </w:rPr>
        <w:t xml:space="preserve">we're supportive of the maintenance deferral </w:t>
      </w:r>
      <w:r w:rsidRPr="00480BAD">
        <w:rPr>
          <w:rFonts w:ascii="Times" w:hAnsi="Times"/>
        </w:rPr>
        <w:t>we came up with [in] this in case for several years. … So in my mind it was a win-win for the -- for the customers. And by levelizing the rates, normalizing the rates, it would be a more constant level as opposed to year-to-year fluctuations provided by t</w:t>
      </w:r>
      <w:r>
        <w:rPr>
          <w:rFonts w:ascii="Times" w:hAnsi="Times"/>
        </w:rPr>
        <w:t>he test period guidance,… (emphasis added)</w:t>
      </w:r>
      <w:r w:rsidRPr="00480BAD">
        <w:rPr>
          <w:rFonts w:ascii="Times" w:hAnsi="Times"/>
        </w:rPr>
        <w:t xml:space="preserve"> </w:t>
      </w:r>
      <w:r>
        <w:rPr>
          <w:rFonts w:ascii="Times" w:hAnsi="Times"/>
        </w:rPr>
        <w:t xml:space="preserve">(Schoenbeck, TR </w:t>
      </w:r>
      <w:r w:rsidRPr="00974D0D">
        <w:rPr>
          <w:rFonts w:ascii="Times" w:hAnsi="Times"/>
        </w:rPr>
        <w:t>169:5 – 170:2)</w:t>
      </w:r>
    </w:p>
    <w:p w:rsidR="006925C4" w:rsidRDefault="006925C4" w:rsidP="006925C4">
      <w:pPr>
        <w:spacing w:line="480" w:lineRule="auto"/>
        <w:jc w:val="both"/>
        <w:rPr>
          <w:rFonts w:ascii="Times" w:hAnsi="Times"/>
        </w:rPr>
      </w:pPr>
    </w:p>
    <w:p w:rsidR="006925C4" w:rsidRDefault="006925C4" w:rsidP="001A4238">
      <w:pPr>
        <w:spacing w:line="480" w:lineRule="auto"/>
        <w:ind w:firstLine="720"/>
        <w:jc w:val="both"/>
        <w:rPr>
          <w:rFonts w:ascii="Times" w:hAnsi="Times"/>
        </w:rPr>
      </w:pPr>
      <w:r>
        <w:rPr>
          <w:rFonts w:ascii="Times" w:hAnsi="Times"/>
        </w:rPr>
        <w:t>Staff witness Mr. Schooley also expressed support for the mechanism, when he observed:</w:t>
      </w:r>
      <w:r w:rsidR="00C01BE2">
        <w:rPr>
          <w:rStyle w:val="FootnoteReference"/>
          <w:rFonts w:ascii="Times" w:hAnsi="Times"/>
        </w:rPr>
        <w:footnoteReference w:id="42"/>
      </w:r>
    </w:p>
    <w:p w:rsidR="006925C4" w:rsidRPr="00480BAD" w:rsidRDefault="006925C4" w:rsidP="006925C4">
      <w:pPr>
        <w:ind w:left="720" w:right="720"/>
        <w:jc w:val="both"/>
        <w:rPr>
          <w:rFonts w:ascii="Times" w:hAnsi="Times"/>
        </w:rPr>
      </w:pPr>
      <w:r>
        <w:rPr>
          <w:rFonts w:ascii="Times" w:hAnsi="Times"/>
        </w:rPr>
        <w:t>The amounts deferred are for maintenance only, no carrying charges accrue, and Avista will amortize the deferred amounts over a four-year period, thereby creating an acceptable “smoothing effect” for these costs.</w:t>
      </w:r>
    </w:p>
    <w:p w:rsidR="000A6B1B" w:rsidRDefault="000A6B1B" w:rsidP="00B443D4">
      <w:pPr>
        <w:pStyle w:val="BodyText"/>
        <w:tabs>
          <w:tab w:val="left" w:pos="720"/>
        </w:tabs>
        <w:spacing w:line="480" w:lineRule="auto"/>
        <w:ind w:right="-54" w:firstLine="720"/>
        <w:jc w:val="both"/>
        <w:rPr>
          <w:b w:val="0"/>
          <w:bCs w:val="0"/>
        </w:rPr>
      </w:pPr>
    </w:p>
    <w:p w:rsidR="006226FF" w:rsidRPr="00F540CD" w:rsidRDefault="008C0F6D" w:rsidP="00D633FA">
      <w:pPr>
        <w:pStyle w:val="BodyTextIndent3"/>
        <w:tabs>
          <w:tab w:val="clear" w:pos="1260"/>
          <w:tab w:val="left" w:pos="1440"/>
        </w:tabs>
        <w:ind w:right="-54"/>
        <w:jc w:val="center"/>
        <w:rPr>
          <w:u w:val="single"/>
        </w:rPr>
      </w:pPr>
      <w:r>
        <w:rPr>
          <w:u w:val="single"/>
        </w:rPr>
        <w:t>V</w:t>
      </w:r>
      <w:r w:rsidR="0080494D">
        <w:rPr>
          <w:u w:val="single"/>
        </w:rPr>
        <w:t>I</w:t>
      </w:r>
      <w:r w:rsidR="006226FF" w:rsidRPr="00F540CD">
        <w:rPr>
          <w:u w:val="single"/>
        </w:rPr>
        <w:t>I.  OTHER COMPANY WITNESSES</w:t>
      </w:r>
    </w:p>
    <w:p w:rsidR="006226FF" w:rsidRPr="00F540CD" w:rsidRDefault="006226FF" w:rsidP="00D633FA">
      <w:pPr>
        <w:pStyle w:val="TestBody"/>
        <w:tabs>
          <w:tab w:val="left" w:pos="1440"/>
        </w:tabs>
        <w:spacing w:line="480" w:lineRule="auto"/>
        <w:ind w:left="0" w:right="-54" w:firstLine="720"/>
        <w:rPr>
          <w:rFonts w:ascii="Times New Roman" w:hAnsi="Times New Roman" w:cs="Times New Roman"/>
          <w:b/>
          <w:bCs/>
        </w:rPr>
      </w:pPr>
      <w:r w:rsidRPr="00F540CD">
        <w:rPr>
          <w:rFonts w:ascii="Times New Roman" w:hAnsi="Times New Roman" w:cs="Times New Roman"/>
          <w:b/>
          <w:bCs/>
        </w:rPr>
        <w:t>Q.</w:t>
      </w:r>
      <w:r w:rsidRPr="00F540CD">
        <w:rPr>
          <w:rFonts w:ascii="Times New Roman" w:hAnsi="Times New Roman" w:cs="Times New Roman"/>
          <w:b/>
          <w:bCs/>
        </w:rPr>
        <w:tab/>
        <w:t>Would you please provide a brief summary of the rebuttal testimony of the other witnesses representing Avista in this proceeding?</w:t>
      </w:r>
    </w:p>
    <w:p w:rsidR="006226FF" w:rsidRPr="00F540CD" w:rsidRDefault="006226FF" w:rsidP="00D633FA">
      <w:pPr>
        <w:pStyle w:val="TestBody"/>
        <w:tabs>
          <w:tab w:val="left" w:pos="1440"/>
        </w:tabs>
        <w:spacing w:line="480" w:lineRule="auto"/>
        <w:ind w:left="0" w:right="-54" w:firstLine="720"/>
        <w:rPr>
          <w:rFonts w:ascii="Times New Roman" w:hAnsi="Times New Roman" w:cs="Times New Roman"/>
        </w:rPr>
      </w:pPr>
      <w:r w:rsidRPr="00F540CD">
        <w:rPr>
          <w:rFonts w:ascii="Times New Roman" w:hAnsi="Times New Roman" w:cs="Times New Roman"/>
        </w:rPr>
        <w:t>A.</w:t>
      </w:r>
      <w:r w:rsidRPr="00F540CD">
        <w:rPr>
          <w:rFonts w:ascii="Times New Roman" w:hAnsi="Times New Roman" w:cs="Times New Roman"/>
        </w:rPr>
        <w:tab/>
        <w:t xml:space="preserve">Yes.  The following additional witnesses are presenting </w:t>
      </w:r>
      <w:r>
        <w:rPr>
          <w:rFonts w:ascii="Times New Roman" w:hAnsi="Times New Roman" w:cs="Times New Roman"/>
        </w:rPr>
        <w:t>rebuttal</w:t>
      </w:r>
      <w:r w:rsidRPr="00F540CD">
        <w:rPr>
          <w:rFonts w:ascii="Times New Roman" w:hAnsi="Times New Roman" w:cs="Times New Roman"/>
        </w:rPr>
        <w:t xml:space="preserve"> testimony on behalf of Avista:</w:t>
      </w:r>
    </w:p>
    <w:p w:rsidR="00C608D3" w:rsidRDefault="006226FF" w:rsidP="00C608D3">
      <w:pPr>
        <w:pStyle w:val="TestBody"/>
        <w:spacing w:line="480" w:lineRule="auto"/>
        <w:ind w:left="0" w:right="-54" w:firstLine="720"/>
        <w:rPr>
          <w:rFonts w:ascii="Times New Roman" w:hAnsi="Times New Roman" w:cs="Times New Roman"/>
        </w:rPr>
      </w:pPr>
      <w:r w:rsidRPr="00F540CD">
        <w:rPr>
          <w:rFonts w:ascii="Times New Roman" w:hAnsi="Times New Roman" w:cs="Times New Roman"/>
          <w:u w:val="single"/>
        </w:rPr>
        <w:t>Ms. Elizabeth Andrews</w:t>
      </w:r>
      <w:r w:rsidRPr="00F540CD">
        <w:rPr>
          <w:rFonts w:ascii="Times New Roman" w:hAnsi="Times New Roman" w:cs="Times New Roman"/>
        </w:rPr>
        <w:t xml:space="preserve">, Manager of Revenue Requirements, will </w:t>
      </w:r>
      <w:r w:rsidR="00C608D3" w:rsidRPr="00C608D3">
        <w:rPr>
          <w:rFonts w:ascii="Times New Roman" w:hAnsi="Times New Roman" w:cs="Times New Roman"/>
        </w:rPr>
        <w:t>explain the Company’s revised revenue requirements for both electric and natural gas, based on the Company’s revised electric and natural gas Attrition Studies.  After adjustments to the Company’s Attrition Models, the revised revenue requirement for its Washington electric and natural gas services is $3,6</w:t>
      </w:r>
      <w:r w:rsidR="00351038">
        <w:rPr>
          <w:rFonts w:ascii="Times New Roman" w:hAnsi="Times New Roman" w:cs="Times New Roman"/>
        </w:rPr>
        <w:t>39</w:t>
      </w:r>
      <w:r w:rsidR="00C608D3" w:rsidRPr="00C608D3">
        <w:rPr>
          <w:rFonts w:ascii="Times New Roman" w:hAnsi="Times New Roman" w:cs="Times New Roman"/>
        </w:rPr>
        <w:t>,000</w:t>
      </w:r>
      <w:r w:rsidR="00C608D3">
        <w:rPr>
          <w:rFonts w:ascii="Times New Roman" w:hAnsi="Times New Roman" w:cs="Times New Roman"/>
        </w:rPr>
        <w:t xml:space="preserve"> (0.73%)</w:t>
      </w:r>
      <w:r w:rsidR="00C608D3" w:rsidRPr="00C608D3">
        <w:rPr>
          <w:rFonts w:ascii="Times New Roman" w:hAnsi="Times New Roman" w:cs="Times New Roman"/>
        </w:rPr>
        <w:t xml:space="preserve"> and $10,009,000</w:t>
      </w:r>
      <w:r w:rsidR="00C608D3">
        <w:rPr>
          <w:rFonts w:ascii="Times New Roman" w:hAnsi="Times New Roman" w:cs="Times New Roman"/>
        </w:rPr>
        <w:t xml:space="preserve"> (5.86%)</w:t>
      </w:r>
      <w:r w:rsidR="00C608D3" w:rsidRPr="00C608D3">
        <w:rPr>
          <w:rFonts w:ascii="Times New Roman" w:hAnsi="Times New Roman" w:cs="Times New Roman"/>
        </w:rPr>
        <w:t xml:space="preserve"> respectively.  The </w:t>
      </w:r>
      <w:r w:rsidR="00C608D3" w:rsidRPr="00C608D3">
        <w:rPr>
          <w:rFonts w:ascii="Times New Roman" w:hAnsi="Times New Roman" w:cs="Times New Roman"/>
        </w:rPr>
        <w:lastRenderedPageBreak/>
        <w:t xml:space="preserve">revised base revenue requirement percentage increases for electric and natural gas as a result of the revised revenue requirement requests are 0.73% and 5.86%, respectively.     </w:t>
      </w:r>
    </w:p>
    <w:p w:rsidR="00C608D3" w:rsidRPr="00C608D3" w:rsidRDefault="00C608D3" w:rsidP="00C608D3">
      <w:pPr>
        <w:pStyle w:val="TestBody"/>
        <w:spacing w:line="480" w:lineRule="auto"/>
        <w:ind w:left="0" w:right="-54" w:firstLine="720"/>
        <w:rPr>
          <w:rFonts w:ascii="Times New Roman" w:hAnsi="Times New Roman" w:cs="Times New Roman"/>
        </w:rPr>
      </w:pPr>
      <w:r w:rsidRPr="00C608D3">
        <w:rPr>
          <w:rFonts w:ascii="Times New Roman" w:hAnsi="Times New Roman" w:cs="Times New Roman"/>
        </w:rPr>
        <w:t xml:space="preserve">In addition to the Attrition Model results, </w:t>
      </w:r>
      <w:r>
        <w:rPr>
          <w:rFonts w:ascii="Times New Roman" w:hAnsi="Times New Roman" w:cs="Times New Roman"/>
        </w:rPr>
        <w:t xml:space="preserve">Ms. Andrews </w:t>
      </w:r>
      <w:r w:rsidRPr="00C608D3">
        <w:rPr>
          <w:rFonts w:ascii="Times New Roman" w:hAnsi="Times New Roman" w:cs="Times New Roman"/>
        </w:rPr>
        <w:t>explain</w:t>
      </w:r>
      <w:r>
        <w:rPr>
          <w:rFonts w:ascii="Times New Roman" w:hAnsi="Times New Roman" w:cs="Times New Roman"/>
        </w:rPr>
        <w:t>s</w:t>
      </w:r>
      <w:r w:rsidRPr="00C608D3">
        <w:rPr>
          <w:rFonts w:ascii="Times New Roman" w:hAnsi="Times New Roman" w:cs="Times New Roman"/>
        </w:rPr>
        <w:t xml:space="preserve"> the accounting for the Company’s proposed “Hours-Based” Major Thermal Maintenance Deferral (related to the Company’s required hours-based major maintenance expense projects in 2016 and beyond), as well as the Company’s </w:t>
      </w:r>
      <w:r w:rsidR="00783A30">
        <w:rPr>
          <w:rFonts w:ascii="Times New Roman" w:hAnsi="Times New Roman" w:cs="Times New Roman"/>
        </w:rPr>
        <w:t xml:space="preserve">Electric Meter Regulatory Asset and Amortization proposal </w:t>
      </w:r>
      <w:r w:rsidRPr="00C608D3">
        <w:rPr>
          <w:rFonts w:ascii="Times New Roman" w:hAnsi="Times New Roman" w:cs="Times New Roman"/>
        </w:rPr>
        <w:t>related to replacing the Company’s existing electric meters with automated meters.</w:t>
      </w:r>
    </w:p>
    <w:p w:rsidR="00BF331B" w:rsidRDefault="00C608D3" w:rsidP="00C608D3">
      <w:pPr>
        <w:pStyle w:val="TestBody"/>
        <w:spacing w:line="480" w:lineRule="auto"/>
        <w:ind w:left="0" w:right="-54" w:firstLine="720"/>
        <w:rPr>
          <w:rFonts w:ascii="Times New Roman" w:hAnsi="Times New Roman" w:cs="Times New Roman"/>
        </w:rPr>
      </w:pPr>
      <w:r w:rsidRPr="00C608D3">
        <w:rPr>
          <w:rFonts w:ascii="Times New Roman" w:hAnsi="Times New Roman" w:cs="Times New Roman"/>
        </w:rPr>
        <w:t xml:space="preserve">Lastly </w:t>
      </w:r>
      <w:r>
        <w:rPr>
          <w:rFonts w:ascii="Times New Roman" w:hAnsi="Times New Roman" w:cs="Times New Roman"/>
        </w:rPr>
        <w:t xml:space="preserve">Ms. Andrews </w:t>
      </w:r>
      <w:r w:rsidR="00783A30">
        <w:rPr>
          <w:rFonts w:ascii="Times New Roman" w:hAnsi="Times New Roman" w:cs="Times New Roman"/>
        </w:rPr>
        <w:t xml:space="preserve">provides a response to certain issues raised by </w:t>
      </w:r>
      <w:r w:rsidRPr="00C608D3">
        <w:rPr>
          <w:rFonts w:ascii="Times New Roman" w:hAnsi="Times New Roman" w:cs="Times New Roman"/>
        </w:rPr>
        <w:t xml:space="preserve">Mr. Gorman </w:t>
      </w:r>
      <w:r w:rsidR="00783A30">
        <w:rPr>
          <w:rFonts w:ascii="Times New Roman" w:hAnsi="Times New Roman" w:cs="Times New Roman"/>
        </w:rPr>
        <w:t>regarding</w:t>
      </w:r>
      <w:r w:rsidRPr="00C608D3">
        <w:rPr>
          <w:rFonts w:ascii="Times New Roman" w:hAnsi="Times New Roman" w:cs="Times New Roman"/>
        </w:rPr>
        <w:t xml:space="preserve"> Avista’s natural gas Attrition Study.</w:t>
      </w:r>
    </w:p>
    <w:p w:rsidR="00C01BE2" w:rsidRDefault="00C01BE2" w:rsidP="00C608D3">
      <w:pPr>
        <w:pStyle w:val="TestBody"/>
        <w:spacing w:line="480" w:lineRule="auto"/>
        <w:ind w:left="0" w:right="-54" w:firstLine="720"/>
        <w:rPr>
          <w:rFonts w:ascii="Times New Roman" w:hAnsi="Times New Roman" w:cs="Times New Roman"/>
        </w:rPr>
      </w:pPr>
      <w:r w:rsidRPr="00F540CD">
        <w:rPr>
          <w:rFonts w:ascii="Times New Roman" w:hAnsi="Times New Roman" w:cs="Times New Roman"/>
          <w:u w:val="single"/>
        </w:rPr>
        <w:t>M</w:t>
      </w:r>
      <w:r>
        <w:rPr>
          <w:rFonts w:ascii="Times New Roman" w:hAnsi="Times New Roman" w:cs="Times New Roman"/>
          <w:u w:val="single"/>
        </w:rPr>
        <w:t>s</w:t>
      </w:r>
      <w:r w:rsidRPr="00F540CD">
        <w:rPr>
          <w:rFonts w:ascii="Times New Roman" w:hAnsi="Times New Roman" w:cs="Times New Roman"/>
          <w:u w:val="single"/>
        </w:rPr>
        <w:t xml:space="preserve">. </w:t>
      </w:r>
      <w:r>
        <w:rPr>
          <w:rFonts w:ascii="Times New Roman" w:hAnsi="Times New Roman" w:cs="Times New Roman"/>
          <w:u w:val="single"/>
        </w:rPr>
        <w:t>Jennifer Smith</w:t>
      </w:r>
      <w:r w:rsidRPr="00F540CD">
        <w:rPr>
          <w:rFonts w:ascii="Times New Roman" w:hAnsi="Times New Roman" w:cs="Times New Roman"/>
        </w:rPr>
        <w:t xml:space="preserve">, </w:t>
      </w:r>
      <w:r>
        <w:rPr>
          <w:rFonts w:ascii="Times New Roman" w:hAnsi="Times New Roman" w:cs="Times New Roman"/>
        </w:rPr>
        <w:t>Senior Regulatory Analyst</w:t>
      </w:r>
      <w:r w:rsidRPr="00F540CD">
        <w:rPr>
          <w:rFonts w:ascii="Times New Roman" w:hAnsi="Times New Roman" w:cs="Times New Roman"/>
        </w:rPr>
        <w:t xml:space="preserve">, </w:t>
      </w:r>
      <w:r w:rsidR="00C608D3" w:rsidRPr="00C608D3">
        <w:rPr>
          <w:rFonts w:ascii="Times New Roman" w:hAnsi="Times New Roman" w:cs="Times New Roman"/>
        </w:rPr>
        <w:t>will first explain the Company’s revised Pro Forma Cross Check Studies for both electric and natural gas after taking into consideration the agreed</w:t>
      </w:r>
      <w:r w:rsidR="00FF7BF5">
        <w:rPr>
          <w:rFonts w:ascii="Times New Roman" w:hAnsi="Times New Roman" w:cs="Times New Roman"/>
        </w:rPr>
        <w:t>-</w:t>
      </w:r>
      <w:r w:rsidR="00C608D3" w:rsidRPr="00C608D3">
        <w:rPr>
          <w:rFonts w:ascii="Times New Roman" w:hAnsi="Times New Roman" w:cs="Times New Roman"/>
        </w:rPr>
        <w:t xml:space="preserve">to components of the Multiparty Settlement, and corrections and adjustments to costs that have been identified </w:t>
      </w:r>
      <w:r w:rsidR="009A65B2">
        <w:rPr>
          <w:rFonts w:ascii="Times New Roman" w:hAnsi="Times New Roman" w:cs="Times New Roman"/>
        </w:rPr>
        <w:t>since Avista originally filed its case</w:t>
      </w:r>
      <w:r w:rsidR="00C608D3" w:rsidRPr="00C608D3">
        <w:rPr>
          <w:rFonts w:ascii="Times New Roman" w:hAnsi="Times New Roman" w:cs="Times New Roman"/>
        </w:rPr>
        <w:t xml:space="preserve">.  Ms. Smith will then address each of the </w:t>
      </w:r>
      <w:r w:rsidR="009A65B2">
        <w:rPr>
          <w:rFonts w:ascii="Times New Roman" w:hAnsi="Times New Roman" w:cs="Times New Roman"/>
        </w:rPr>
        <w:t>major a</w:t>
      </w:r>
      <w:r w:rsidR="00C608D3" w:rsidRPr="00C608D3">
        <w:rPr>
          <w:rFonts w:ascii="Times New Roman" w:hAnsi="Times New Roman" w:cs="Times New Roman"/>
        </w:rPr>
        <w:t xml:space="preserve">djustments incorporated </w:t>
      </w:r>
      <w:r w:rsidR="009A65B2">
        <w:rPr>
          <w:rFonts w:ascii="Times New Roman" w:hAnsi="Times New Roman" w:cs="Times New Roman"/>
        </w:rPr>
        <w:t>into the updated Cross Check Studies</w:t>
      </w:r>
      <w:r w:rsidR="00C608D3" w:rsidRPr="00C608D3">
        <w:rPr>
          <w:rFonts w:ascii="Times New Roman" w:hAnsi="Times New Roman" w:cs="Times New Roman"/>
        </w:rPr>
        <w:t xml:space="preserve">.  Finally, she will address the </w:t>
      </w:r>
      <w:r w:rsidR="009A65B2">
        <w:rPr>
          <w:rFonts w:ascii="Times New Roman" w:hAnsi="Times New Roman" w:cs="Times New Roman"/>
        </w:rPr>
        <w:t xml:space="preserve">pro forma studies presented </w:t>
      </w:r>
      <w:r w:rsidR="00C608D3" w:rsidRPr="00C608D3">
        <w:rPr>
          <w:rFonts w:ascii="Times New Roman" w:hAnsi="Times New Roman" w:cs="Times New Roman"/>
        </w:rPr>
        <w:t>by other parties and certain adjustments proposed by the parties which Avista does not support.</w:t>
      </w:r>
    </w:p>
    <w:p w:rsidR="00857EC1" w:rsidRPr="00857EC1" w:rsidRDefault="00C01BE2" w:rsidP="00857EC1">
      <w:pPr>
        <w:pStyle w:val="TestBody"/>
        <w:spacing w:line="480" w:lineRule="auto"/>
        <w:ind w:left="0" w:right="-54" w:firstLine="720"/>
        <w:rPr>
          <w:rFonts w:ascii="Times New Roman" w:hAnsi="Times New Roman" w:cs="Times New Roman"/>
        </w:rPr>
      </w:pPr>
      <w:r w:rsidRPr="00F540CD">
        <w:rPr>
          <w:rFonts w:ascii="Times New Roman" w:hAnsi="Times New Roman" w:cs="Times New Roman"/>
          <w:u w:val="single"/>
        </w:rPr>
        <w:t xml:space="preserve">Ms. </w:t>
      </w:r>
      <w:r>
        <w:rPr>
          <w:rFonts w:ascii="Times New Roman" w:hAnsi="Times New Roman" w:cs="Times New Roman"/>
          <w:u w:val="single"/>
        </w:rPr>
        <w:t>Karen Schuh</w:t>
      </w:r>
      <w:r w:rsidRPr="00F540CD">
        <w:rPr>
          <w:rFonts w:ascii="Times New Roman" w:hAnsi="Times New Roman" w:cs="Times New Roman"/>
        </w:rPr>
        <w:t xml:space="preserve">, </w:t>
      </w:r>
      <w:r>
        <w:rPr>
          <w:rFonts w:ascii="Times New Roman" w:hAnsi="Times New Roman" w:cs="Times New Roman"/>
        </w:rPr>
        <w:t>Senior Regulatory Analyst</w:t>
      </w:r>
      <w:r w:rsidR="00857EC1">
        <w:rPr>
          <w:rFonts w:ascii="Times New Roman" w:hAnsi="Times New Roman" w:cs="Times New Roman"/>
        </w:rPr>
        <w:t xml:space="preserve">, </w:t>
      </w:r>
      <w:r w:rsidR="00857EC1" w:rsidRPr="00857EC1">
        <w:rPr>
          <w:rFonts w:ascii="Times New Roman" w:hAnsi="Times New Roman" w:cs="Times New Roman"/>
        </w:rPr>
        <w:t xml:space="preserve">will first discuss the purpose of the Company’s Pro Forma Cross Check Studies. Ms. Schuh will address the Company’s correction of errors and changes in numbers, as well as briefly summarize the Company’s </w:t>
      </w:r>
      <w:r w:rsidR="009A65B2">
        <w:rPr>
          <w:rFonts w:ascii="Times New Roman" w:hAnsi="Times New Roman" w:cs="Times New Roman"/>
        </w:rPr>
        <w:t>updated</w:t>
      </w:r>
      <w:r w:rsidR="00857EC1" w:rsidRPr="00857EC1">
        <w:rPr>
          <w:rFonts w:ascii="Times New Roman" w:hAnsi="Times New Roman" w:cs="Times New Roman"/>
        </w:rPr>
        <w:t xml:space="preserve"> capital investments in utility plant through 2016, being used in the </w:t>
      </w:r>
      <w:r w:rsidR="009A65B2">
        <w:rPr>
          <w:rFonts w:ascii="Times New Roman" w:hAnsi="Times New Roman" w:cs="Times New Roman"/>
        </w:rPr>
        <w:t>updated</w:t>
      </w:r>
      <w:r w:rsidR="00857EC1" w:rsidRPr="00857EC1">
        <w:rPr>
          <w:rFonts w:ascii="Times New Roman" w:hAnsi="Times New Roman" w:cs="Times New Roman"/>
        </w:rPr>
        <w:t xml:space="preserve"> Pro Forma Cross Check</w:t>
      </w:r>
      <w:r w:rsidR="00A732C4">
        <w:rPr>
          <w:rFonts w:ascii="Times New Roman" w:hAnsi="Times New Roman" w:cs="Times New Roman"/>
        </w:rPr>
        <w:t xml:space="preserve"> Study</w:t>
      </w:r>
      <w:r w:rsidR="00857EC1" w:rsidRPr="00857EC1">
        <w:rPr>
          <w:rFonts w:ascii="Times New Roman" w:hAnsi="Times New Roman" w:cs="Times New Roman"/>
        </w:rPr>
        <w:t xml:space="preserve">. </w:t>
      </w:r>
    </w:p>
    <w:p w:rsidR="00C01BE2" w:rsidRDefault="00857EC1" w:rsidP="00857EC1">
      <w:pPr>
        <w:pStyle w:val="TestBody"/>
        <w:spacing w:line="480" w:lineRule="auto"/>
        <w:ind w:left="0" w:right="-54" w:firstLine="720"/>
        <w:rPr>
          <w:rFonts w:ascii="Times New Roman" w:hAnsi="Times New Roman" w:cs="Times New Roman"/>
        </w:rPr>
      </w:pPr>
      <w:r w:rsidRPr="00857EC1">
        <w:rPr>
          <w:rFonts w:ascii="Times New Roman" w:hAnsi="Times New Roman" w:cs="Times New Roman"/>
        </w:rPr>
        <w:t xml:space="preserve">Ms. Schuh will also address why the proposed pro forma methods and adjustments put forth by </w:t>
      </w:r>
      <w:r w:rsidR="00A732C4">
        <w:rPr>
          <w:rFonts w:ascii="Times New Roman" w:hAnsi="Times New Roman" w:cs="Times New Roman"/>
        </w:rPr>
        <w:t>other</w:t>
      </w:r>
      <w:r w:rsidRPr="00857EC1">
        <w:rPr>
          <w:rFonts w:ascii="Times New Roman" w:hAnsi="Times New Roman" w:cs="Times New Roman"/>
        </w:rPr>
        <w:t xml:space="preserve"> parties </w:t>
      </w:r>
      <w:r w:rsidR="00A732C4">
        <w:rPr>
          <w:rFonts w:ascii="Times New Roman" w:hAnsi="Times New Roman" w:cs="Times New Roman"/>
        </w:rPr>
        <w:t xml:space="preserve">to this case </w:t>
      </w:r>
      <w:r w:rsidRPr="00857EC1">
        <w:rPr>
          <w:rFonts w:ascii="Times New Roman" w:hAnsi="Times New Roman" w:cs="Times New Roman"/>
        </w:rPr>
        <w:t xml:space="preserve">do not fairly state costs and rate base for the 2016 rate </w:t>
      </w:r>
      <w:r w:rsidR="00FF7BF5">
        <w:rPr>
          <w:rFonts w:ascii="Times New Roman" w:hAnsi="Times New Roman" w:cs="Times New Roman"/>
        </w:rPr>
        <w:lastRenderedPageBreak/>
        <w:t>year</w:t>
      </w:r>
      <w:r w:rsidRPr="00857EC1">
        <w:rPr>
          <w:rFonts w:ascii="Times New Roman" w:hAnsi="Times New Roman" w:cs="Times New Roman"/>
        </w:rPr>
        <w:t>.  Finally, she addresses the Capital Reporting Requirements and Filing Req</w:t>
      </w:r>
      <w:r>
        <w:rPr>
          <w:rFonts w:ascii="Times New Roman" w:hAnsi="Times New Roman" w:cs="Times New Roman"/>
        </w:rPr>
        <w:t xml:space="preserve">uirements proposed by </w:t>
      </w:r>
      <w:r w:rsidR="00EB2427">
        <w:rPr>
          <w:rFonts w:ascii="Times New Roman" w:hAnsi="Times New Roman" w:cs="Times New Roman"/>
        </w:rPr>
        <w:t>Staff</w:t>
      </w:r>
      <w:r>
        <w:rPr>
          <w:rFonts w:ascii="Times New Roman" w:hAnsi="Times New Roman" w:cs="Times New Roman"/>
        </w:rPr>
        <w:t>, and why the Company does not believe these are necessary or appropriate.</w:t>
      </w:r>
    </w:p>
    <w:p w:rsidR="00C01BE2" w:rsidRDefault="00C01BE2" w:rsidP="00C608D3">
      <w:pPr>
        <w:pStyle w:val="TestBody"/>
        <w:spacing w:line="480" w:lineRule="auto"/>
        <w:ind w:left="0" w:right="-54" w:firstLine="720"/>
        <w:rPr>
          <w:rFonts w:ascii="Times New Roman" w:hAnsi="Times New Roman" w:cs="Times New Roman"/>
        </w:rPr>
      </w:pPr>
      <w:r w:rsidRPr="00F540CD">
        <w:rPr>
          <w:rFonts w:ascii="Times New Roman" w:hAnsi="Times New Roman" w:cs="Times New Roman"/>
          <w:u w:val="single"/>
        </w:rPr>
        <w:t>M</w:t>
      </w:r>
      <w:r>
        <w:rPr>
          <w:rFonts w:ascii="Times New Roman" w:hAnsi="Times New Roman" w:cs="Times New Roman"/>
          <w:u w:val="single"/>
        </w:rPr>
        <w:t>r</w:t>
      </w:r>
      <w:r w:rsidRPr="00F540CD">
        <w:rPr>
          <w:rFonts w:ascii="Times New Roman" w:hAnsi="Times New Roman" w:cs="Times New Roman"/>
          <w:u w:val="single"/>
        </w:rPr>
        <w:t xml:space="preserve">. </w:t>
      </w:r>
      <w:r>
        <w:rPr>
          <w:rFonts w:ascii="Times New Roman" w:hAnsi="Times New Roman" w:cs="Times New Roman"/>
          <w:u w:val="single"/>
        </w:rPr>
        <w:t>James Kensok</w:t>
      </w:r>
      <w:r w:rsidRPr="00F540CD">
        <w:rPr>
          <w:rFonts w:ascii="Times New Roman" w:hAnsi="Times New Roman" w:cs="Times New Roman"/>
        </w:rPr>
        <w:t xml:space="preserve">, </w:t>
      </w:r>
      <w:r>
        <w:rPr>
          <w:rFonts w:ascii="Times New Roman" w:hAnsi="Times New Roman" w:cs="Times New Roman"/>
        </w:rPr>
        <w:t>Vice President and Chief Information Officer</w:t>
      </w:r>
      <w:r w:rsidRPr="00F540CD">
        <w:rPr>
          <w:rFonts w:ascii="Times New Roman" w:hAnsi="Times New Roman" w:cs="Times New Roman"/>
        </w:rPr>
        <w:t>, will</w:t>
      </w:r>
      <w:r w:rsidR="00025892" w:rsidRPr="00025892">
        <w:t xml:space="preserve"> </w:t>
      </w:r>
      <w:r w:rsidR="00025892" w:rsidRPr="00025892">
        <w:rPr>
          <w:rFonts w:ascii="Times New Roman" w:hAnsi="Times New Roman" w:cs="Times New Roman"/>
        </w:rPr>
        <w:t xml:space="preserve">demonstrate that, contrary to the claims of Staff witness Mr. Gomez, the overall timeline and costs to complete Project </w:t>
      </w:r>
      <w:r w:rsidR="00025892">
        <w:rPr>
          <w:rFonts w:ascii="Times New Roman" w:hAnsi="Times New Roman" w:cs="Times New Roman"/>
        </w:rPr>
        <w:t xml:space="preserve">Compass </w:t>
      </w:r>
      <w:r w:rsidR="00025892" w:rsidRPr="00025892">
        <w:rPr>
          <w:rFonts w:ascii="Times New Roman" w:hAnsi="Times New Roman" w:cs="Times New Roman"/>
        </w:rPr>
        <w:t>were reasonable, and the Company made prudent decisions in managing the challenges it faced, including the performance of its many contractors. In the end, the Company successfully and cost</w:t>
      </w:r>
      <w:r w:rsidR="00FF7BF5">
        <w:rPr>
          <w:rFonts w:ascii="Times New Roman" w:hAnsi="Times New Roman" w:cs="Times New Roman"/>
        </w:rPr>
        <w:t>-</w:t>
      </w:r>
      <w:r w:rsidR="00025892" w:rsidRPr="00025892">
        <w:rPr>
          <w:rFonts w:ascii="Times New Roman" w:hAnsi="Times New Roman" w:cs="Times New Roman"/>
        </w:rPr>
        <w:t>effectively delivered the</w:t>
      </w:r>
      <w:r w:rsidR="00A732C4">
        <w:rPr>
          <w:rFonts w:ascii="Times New Roman" w:hAnsi="Times New Roman" w:cs="Times New Roman"/>
        </w:rPr>
        <w:t>se new systems to our customers, and should receive full recovery of its costs.</w:t>
      </w:r>
    </w:p>
    <w:p w:rsidR="00F64DF9" w:rsidRDefault="00F64DF9" w:rsidP="00C608D3">
      <w:pPr>
        <w:pStyle w:val="TestBody"/>
        <w:spacing w:line="480" w:lineRule="auto"/>
        <w:ind w:left="0" w:right="-54" w:firstLine="720"/>
        <w:rPr>
          <w:rFonts w:ascii="Times New Roman" w:hAnsi="Times New Roman" w:cs="Times New Roman"/>
        </w:rPr>
      </w:pPr>
      <w:r w:rsidRPr="00B95025">
        <w:rPr>
          <w:rFonts w:ascii="Times New Roman" w:hAnsi="Times New Roman" w:cs="Times New Roman"/>
          <w:u w:val="single"/>
        </w:rPr>
        <w:t>Mr. Larry La Bolle</w:t>
      </w:r>
      <w:r w:rsidRPr="00B95025">
        <w:rPr>
          <w:rFonts w:ascii="Times New Roman" w:hAnsi="Times New Roman" w:cs="Times New Roman"/>
        </w:rPr>
        <w:t xml:space="preserve">, </w:t>
      </w:r>
      <w:r w:rsidR="004D447C" w:rsidRPr="00B95025">
        <w:rPr>
          <w:rFonts w:ascii="Times New Roman" w:hAnsi="Times New Roman" w:cs="Times New Roman"/>
        </w:rPr>
        <w:t>Director of Federal and Regional Affairs</w:t>
      </w:r>
      <w:r w:rsidRPr="00B95025">
        <w:rPr>
          <w:rFonts w:ascii="Times New Roman" w:hAnsi="Times New Roman" w:cs="Times New Roman"/>
        </w:rPr>
        <w:t>, will</w:t>
      </w:r>
      <w:r w:rsidR="004D1C46" w:rsidRPr="00B95025">
        <w:rPr>
          <w:rFonts w:ascii="Times New Roman" w:hAnsi="Times New Roman" w:cs="Times New Roman"/>
        </w:rPr>
        <w:t xml:space="preserve"> address the questions and concerns raised by Staff</w:t>
      </w:r>
      <w:r w:rsidR="00A732C4">
        <w:rPr>
          <w:rFonts w:ascii="Times New Roman" w:hAnsi="Times New Roman" w:cs="Times New Roman"/>
        </w:rPr>
        <w:t xml:space="preserve"> and</w:t>
      </w:r>
      <w:r w:rsidR="004D1C46" w:rsidRPr="00B95025">
        <w:rPr>
          <w:rFonts w:ascii="Times New Roman" w:hAnsi="Times New Roman" w:cs="Times New Roman"/>
        </w:rPr>
        <w:t xml:space="preserve"> Public Counsel relating to the implementation of advanced metering infrastructure</w:t>
      </w:r>
      <w:r w:rsidR="004D1C46" w:rsidRPr="004D1C46">
        <w:rPr>
          <w:rFonts w:ascii="Times New Roman" w:hAnsi="Times New Roman" w:cs="Times New Roman"/>
        </w:rPr>
        <w:t xml:space="preserve"> (“AMI”). </w:t>
      </w:r>
      <w:r w:rsidR="004D1C46">
        <w:rPr>
          <w:rFonts w:ascii="Times New Roman" w:hAnsi="Times New Roman" w:cs="Times New Roman"/>
        </w:rPr>
        <w:t>His</w:t>
      </w:r>
      <w:r w:rsidR="004D1C46" w:rsidRPr="004D1C46">
        <w:rPr>
          <w:rFonts w:ascii="Times New Roman" w:hAnsi="Times New Roman" w:cs="Times New Roman"/>
        </w:rPr>
        <w:t xml:space="preserve"> testimony will </w:t>
      </w:r>
      <w:r w:rsidR="00A732C4">
        <w:rPr>
          <w:rFonts w:ascii="Times New Roman" w:hAnsi="Times New Roman" w:cs="Times New Roman"/>
        </w:rPr>
        <w:t>explain that the information provided in Avista’s business case, and as supplemented through discovery, provides a reasonable basis to support the Company’s decision, in principle, to move forward with AMI</w:t>
      </w:r>
      <w:r w:rsidR="004D1C46">
        <w:rPr>
          <w:rFonts w:ascii="Times New Roman" w:hAnsi="Times New Roman" w:cs="Times New Roman"/>
        </w:rPr>
        <w:t>.</w:t>
      </w:r>
    </w:p>
    <w:p w:rsidR="00FF7BF5" w:rsidRDefault="00B95025" w:rsidP="00C608D3">
      <w:pPr>
        <w:pStyle w:val="TestBody"/>
        <w:spacing w:line="480" w:lineRule="auto"/>
        <w:ind w:left="0" w:right="-54" w:firstLine="720"/>
        <w:rPr>
          <w:rFonts w:ascii="Times New Roman" w:hAnsi="Times New Roman" w:cs="Times New Roman"/>
        </w:rPr>
      </w:pPr>
      <w:r>
        <w:rPr>
          <w:rFonts w:ascii="Times New Roman" w:hAnsi="Times New Roman" w:cs="Times New Roman"/>
        </w:rPr>
        <w:t>Mr. La Bolle will</w:t>
      </w:r>
      <w:r w:rsidR="00A732C4">
        <w:rPr>
          <w:rFonts w:ascii="Times New Roman" w:hAnsi="Times New Roman" w:cs="Times New Roman"/>
        </w:rPr>
        <w:t xml:space="preserve"> also</w:t>
      </w:r>
      <w:r>
        <w:rPr>
          <w:rFonts w:ascii="Times New Roman" w:hAnsi="Times New Roman" w:cs="Times New Roman"/>
        </w:rPr>
        <w:t xml:space="preserve"> explain </w:t>
      </w:r>
      <w:r w:rsidR="00FF7BF5">
        <w:rPr>
          <w:rFonts w:ascii="Times New Roman" w:hAnsi="Times New Roman" w:cs="Times New Roman"/>
        </w:rPr>
        <w:t>why</w:t>
      </w:r>
      <w:r>
        <w:rPr>
          <w:rFonts w:ascii="Times New Roman" w:hAnsi="Times New Roman" w:cs="Times New Roman"/>
        </w:rPr>
        <w:t xml:space="preserve"> </w:t>
      </w:r>
      <w:r w:rsidRPr="00B95025">
        <w:rPr>
          <w:rFonts w:ascii="Times New Roman" w:hAnsi="Times New Roman" w:cs="Times New Roman"/>
        </w:rPr>
        <w:t>Avista believe</w:t>
      </w:r>
      <w:r w:rsidR="00A732C4">
        <w:rPr>
          <w:rFonts w:ascii="Times New Roman" w:hAnsi="Times New Roman" w:cs="Times New Roman"/>
        </w:rPr>
        <w:t>s</w:t>
      </w:r>
      <w:r w:rsidR="00FF7BF5">
        <w:rPr>
          <w:rFonts w:ascii="Times New Roman" w:hAnsi="Times New Roman" w:cs="Times New Roman"/>
        </w:rPr>
        <w:t xml:space="preserve"> that additional “econometric” models of reliability are </w:t>
      </w:r>
      <w:r w:rsidR="00A732C4">
        <w:rPr>
          <w:rFonts w:ascii="Times New Roman" w:hAnsi="Times New Roman" w:cs="Times New Roman"/>
        </w:rPr>
        <w:t xml:space="preserve">not </w:t>
      </w:r>
      <w:r w:rsidR="00FF7BF5">
        <w:rPr>
          <w:rFonts w:ascii="Times New Roman" w:hAnsi="Times New Roman" w:cs="Times New Roman"/>
        </w:rPr>
        <w:t>needed at this time to assess reliability.</w:t>
      </w:r>
      <w:r w:rsidRPr="00B95025">
        <w:rPr>
          <w:rFonts w:ascii="Times New Roman" w:hAnsi="Times New Roman" w:cs="Times New Roman"/>
        </w:rPr>
        <w:t xml:space="preserve"> </w:t>
      </w:r>
    </w:p>
    <w:p w:rsidR="00C01BE2" w:rsidRDefault="00C01BE2" w:rsidP="00C608D3">
      <w:pPr>
        <w:pStyle w:val="TestBody"/>
        <w:spacing w:line="480" w:lineRule="auto"/>
        <w:ind w:left="0" w:right="-54" w:firstLine="720"/>
        <w:rPr>
          <w:rFonts w:ascii="Times New Roman" w:hAnsi="Times New Roman" w:cs="Times New Roman"/>
        </w:rPr>
      </w:pPr>
      <w:r w:rsidRPr="004D1C46">
        <w:rPr>
          <w:rFonts w:ascii="Times New Roman" w:hAnsi="Times New Roman" w:cs="Times New Roman"/>
          <w:u w:val="single"/>
        </w:rPr>
        <w:t>Mr. Patrick Ehrbar</w:t>
      </w:r>
      <w:r w:rsidRPr="004D1C46">
        <w:rPr>
          <w:rFonts w:ascii="Times New Roman" w:hAnsi="Times New Roman" w:cs="Times New Roman"/>
        </w:rPr>
        <w:t xml:space="preserve">, Manager of </w:t>
      </w:r>
      <w:r w:rsidR="000753D9" w:rsidRPr="004D1C46">
        <w:rPr>
          <w:rFonts w:ascii="Times New Roman" w:hAnsi="Times New Roman" w:cs="Times New Roman"/>
        </w:rPr>
        <w:t>Rates</w:t>
      </w:r>
      <w:r w:rsidR="000753D9">
        <w:rPr>
          <w:rFonts w:ascii="Times New Roman" w:hAnsi="Times New Roman" w:cs="Times New Roman"/>
        </w:rPr>
        <w:t xml:space="preserve"> and Tariffs</w:t>
      </w:r>
      <w:r w:rsidRPr="00F540CD">
        <w:rPr>
          <w:rFonts w:ascii="Times New Roman" w:hAnsi="Times New Roman" w:cs="Times New Roman"/>
        </w:rPr>
        <w:t xml:space="preserve">, </w:t>
      </w:r>
      <w:r w:rsidR="000753D9">
        <w:rPr>
          <w:rFonts w:ascii="Times New Roman" w:hAnsi="Times New Roman" w:cs="Times New Roman"/>
        </w:rPr>
        <w:t xml:space="preserve">provides the summary of the electric and natural gas rate spread of the revised revenue requirement, including the effects of other revenue changes.  Mr. Ehrbar </w:t>
      </w:r>
      <w:r w:rsidR="00A37414">
        <w:rPr>
          <w:rFonts w:ascii="Times New Roman" w:hAnsi="Times New Roman" w:cs="Times New Roman"/>
        </w:rPr>
        <w:t xml:space="preserve">will also provide the Company’s response to </w:t>
      </w:r>
      <w:r w:rsidR="00EB2427">
        <w:rPr>
          <w:rFonts w:ascii="Times New Roman" w:hAnsi="Times New Roman" w:cs="Times New Roman"/>
        </w:rPr>
        <w:t>Staff</w:t>
      </w:r>
      <w:r w:rsidR="00A37414">
        <w:rPr>
          <w:rFonts w:ascii="Times New Roman" w:hAnsi="Times New Roman" w:cs="Times New Roman"/>
        </w:rPr>
        <w:t xml:space="preserve"> and Public Counsel/The Energy Project’s funding proposals related to LIRAP, and present</w:t>
      </w:r>
      <w:r w:rsidR="00FF7BF5">
        <w:rPr>
          <w:rFonts w:ascii="Times New Roman" w:hAnsi="Times New Roman" w:cs="Times New Roman"/>
        </w:rPr>
        <w:t>s</w:t>
      </w:r>
      <w:r w:rsidR="00A37414">
        <w:rPr>
          <w:rFonts w:ascii="Times New Roman" w:hAnsi="Times New Roman" w:cs="Times New Roman"/>
        </w:rPr>
        <w:t xml:space="preserve"> an alternative proposal that</w:t>
      </w:r>
      <w:r w:rsidR="00A732C4">
        <w:rPr>
          <w:rFonts w:ascii="Times New Roman" w:hAnsi="Times New Roman" w:cs="Times New Roman"/>
        </w:rPr>
        <w:t xml:space="preserve"> would</w:t>
      </w:r>
      <w:r w:rsidR="00A37414">
        <w:rPr>
          <w:rFonts w:ascii="Times New Roman" w:hAnsi="Times New Roman" w:cs="Times New Roman"/>
        </w:rPr>
        <w:t xml:space="preserve"> provide a</w:t>
      </w:r>
      <w:r w:rsidR="00A732C4">
        <w:rPr>
          <w:rFonts w:ascii="Times New Roman" w:hAnsi="Times New Roman" w:cs="Times New Roman"/>
        </w:rPr>
        <w:t xml:space="preserve"> multiyear </w:t>
      </w:r>
      <w:r w:rsidR="00A37414">
        <w:rPr>
          <w:rFonts w:ascii="Times New Roman" w:hAnsi="Times New Roman" w:cs="Times New Roman"/>
        </w:rPr>
        <w:t xml:space="preserve">increase in funding that is in line with </w:t>
      </w:r>
      <w:r w:rsidR="00EB2427">
        <w:rPr>
          <w:rFonts w:ascii="Times New Roman" w:hAnsi="Times New Roman" w:cs="Times New Roman"/>
        </w:rPr>
        <w:t>Staff</w:t>
      </w:r>
      <w:r w:rsidR="00A37414">
        <w:rPr>
          <w:rFonts w:ascii="Times New Roman" w:hAnsi="Times New Roman" w:cs="Times New Roman"/>
        </w:rPr>
        <w:t xml:space="preserve">’s proposal.  </w:t>
      </w:r>
      <w:r w:rsidRPr="00F540CD">
        <w:rPr>
          <w:rFonts w:ascii="Times New Roman" w:hAnsi="Times New Roman" w:cs="Times New Roman"/>
        </w:rPr>
        <w:t xml:space="preserve"> </w:t>
      </w:r>
    </w:p>
    <w:p w:rsidR="00342364" w:rsidRPr="00F540CD" w:rsidRDefault="00342364" w:rsidP="00867849">
      <w:pPr>
        <w:pStyle w:val="Heading2"/>
        <w:numPr>
          <w:ilvl w:val="2"/>
          <w:numId w:val="1"/>
        </w:numPr>
        <w:tabs>
          <w:tab w:val="clear" w:pos="1260"/>
          <w:tab w:val="left" w:pos="1296"/>
        </w:tabs>
        <w:ind w:right="-54"/>
      </w:pPr>
      <w:r w:rsidRPr="00F540CD">
        <w:lastRenderedPageBreak/>
        <w:t>Q.</w:t>
      </w:r>
      <w:r w:rsidRPr="00F540CD">
        <w:tab/>
        <w:t>Does this conclude your rebuttal testimony?</w:t>
      </w:r>
    </w:p>
    <w:p w:rsidR="00342364" w:rsidRPr="00F540CD" w:rsidRDefault="00342364" w:rsidP="00867849">
      <w:pPr>
        <w:tabs>
          <w:tab w:val="left" w:pos="720"/>
        </w:tabs>
        <w:spacing w:line="480" w:lineRule="auto"/>
        <w:ind w:right="-54" w:firstLine="720"/>
        <w:jc w:val="both"/>
      </w:pPr>
      <w:r w:rsidRPr="00F540CD">
        <w:t>A.</w:t>
      </w:r>
      <w:r w:rsidRPr="00F540CD">
        <w:tab/>
        <w:t>Yes.</w:t>
      </w:r>
    </w:p>
    <w:sectPr w:rsidR="00342364" w:rsidRPr="00F540CD" w:rsidSect="00E46AD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872" w:header="720" w:footer="360" w:gutter="0"/>
      <w:lnNumType w:countBy="1" w:distance="432"/>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5B2" w:rsidRDefault="009A65B2">
      <w:r>
        <w:separator/>
      </w:r>
    </w:p>
  </w:endnote>
  <w:endnote w:type="continuationSeparator" w:id="0">
    <w:p w:rsidR="009A65B2" w:rsidRDefault="009A65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5B2" w:rsidRDefault="009A65B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5B2" w:rsidRDefault="009A65B2">
    <w:pPr>
      <w:pStyle w:val="Footer"/>
      <w:tabs>
        <w:tab w:val="clear" w:pos="4320"/>
        <w:tab w:val="clear" w:pos="8640"/>
        <w:tab w:val="left" w:pos="180"/>
        <w:tab w:val="right" w:pos="9360"/>
      </w:tabs>
    </w:pPr>
    <w:r>
      <w:t>Rebuttal Testimony of Kelly O. Norwood</w:t>
    </w:r>
  </w:p>
  <w:p w:rsidR="009A65B2" w:rsidRDefault="009A65B2" w:rsidP="00843CCA">
    <w:pPr>
      <w:pStyle w:val="Footer"/>
      <w:tabs>
        <w:tab w:val="clear" w:pos="4320"/>
        <w:tab w:val="clear" w:pos="8640"/>
        <w:tab w:val="left" w:pos="180"/>
        <w:tab w:val="right" w:pos="9180"/>
      </w:tabs>
    </w:pPr>
    <w:r>
      <w:t>Avista Corporation</w:t>
    </w:r>
  </w:p>
  <w:p w:rsidR="009A65B2" w:rsidRDefault="009A65B2" w:rsidP="00056588">
    <w:pPr>
      <w:pStyle w:val="Footer"/>
      <w:tabs>
        <w:tab w:val="clear" w:pos="4320"/>
        <w:tab w:val="clear" w:pos="8640"/>
        <w:tab w:val="left" w:pos="180"/>
        <w:tab w:val="right" w:pos="9180"/>
      </w:tabs>
    </w:pPr>
    <w:r>
      <w:t>Docket Nos. UE-150204 and UG-150205</w:t>
    </w:r>
    <w:r>
      <w:tab/>
      <w:t xml:space="preserve">Page </w:t>
    </w:r>
    <w:r w:rsidR="00171228">
      <w:rPr>
        <w:rStyle w:val="PageNumber"/>
      </w:rPr>
      <w:fldChar w:fldCharType="begin"/>
    </w:r>
    <w:r>
      <w:rPr>
        <w:rStyle w:val="PageNumber"/>
      </w:rPr>
      <w:instrText xml:space="preserve"> PAGE </w:instrText>
    </w:r>
    <w:r w:rsidR="00171228">
      <w:rPr>
        <w:rStyle w:val="PageNumber"/>
      </w:rPr>
      <w:fldChar w:fldCharType="separate"/>
    </w:r>
    <w:r w:rsidR="009F0F42">
      <w:rPr>
        <w:rStyle w:val="PageNumber"/>
        <w:noProof/>
      </w:rPr>
      <w:t>5</w:t>
    </w:r>
    <w:r w:rsidR="00171228">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5B2" w:rsidRDefault="009A65B2">
    <w:pPr>
      <w:pStyle w:val="Footer"/>
      <w:tabs>
        <w:tab w:val="clear" w:pos="4320"/>
        <w:tab w:val="clear" w:pos="8640"/>
        <w:tab w:val="left" w:pos="180"/>
        <w:tab w:val="right" w:pos="9360"/>
      </w:tabs>
    </w:pPr>
    <w:r>
      <w:t>Rebuttal Testimony of Kelly O. Norwood</w:t>
    </w:r>
  </w:p>
  <w:p w:rsidR="009A65B2" w:rsidRDefault="009A65B2">
    <w:pPr>
      <w:pStyle w:val="Footer"/>
      <w:tabs>
        <w:tab w:val="clear" w:pos="4320"/>
        <w:tab w:val="clear" w:pos="8640"/>
        <w:tab w:val="left" w:pos="180"/>
        <w:tab w:val="right" w:pos="9360"/>
      </w:tabs>
    </w:pPr>
    <w:r>
      <w:t>Avista Corporation</w:t>
    </w:r>
  </w:p>
  <w:p w:rsidR="009A65B2" w:rsidRDefault="009A65B2" w:rsidP="00056588">
    <w:pPr>
      <w:pStyle w:val="Footer"/>
      <w:tabs>
        <w:tab w:val="clear" w:pos="4320"/>
        <w:tab w:val="clear" w:pos="8640"/>
        <w:tab w:val="left" w:pos="180"/>
        <w:tab w:val="right" w:pos="9360"/>
      </w:tabs>
    </w:pPr>
    <w:r>
      <w:t>Docket Nos. UE-150204 and UG-150205</w:t>
    </w:r>
    <w:r w:rsidRPr="00056588">
      <w:t xml:space="preserve"> </w:t>
    </w:r>
    <w:r>
      <w:tab/>
      <w:t xml:space="preserve">Page </w:t>
    </w:r>
    <w:r w:rsidR="00171228">
      <w:rPr>
        <w:rStyle w:val="PageNumber"/>
      </w:rPr>
      <w:fldChar w:fldCharType="begin"/>
    </w:r>
    <w:r>
      <w:rPr>
        <w:rStyle w:val="PageNumber"/>
      </w:rPr>
      <w:instrText xml:space="preserve"> PAGE </w:instrText>
    </w:r>
    <w:r w:rsidR="00171228">
      <w:rPr>
        <w:rStyle w:val="PageNumber"/>
      </w:rPr>
      <w:fldChar w:fldCharType="separate"/>
    </w:r>
    <w:r w:rsidR="009F0F42">
      <w:rPr>
        <w:rStyle w:val="PageNumber"/>
        <w:noProof/>
      </w:rPr>
      <w:t>1</w:t>
    </w:r>
    <w:r w:rsidR="0017122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5B2" w:rsidRDefault="009A65B2">
      <w:r>
        <w:separator/>
      </w:r>
    </w:p>
  </w:footnote>
  <w:footnote w:type="continuationSeparator" w:id="0">
    <w:p w:rsidR="009A65B2" w:rsidRDefault="009A65B2">
      <w:r>
        <w:continuationSeparator/>
      </w:r>
    </w:p>
  </w:footnote>
  <w:footnote w:id="1">
    <w:p w:rsidR="009A65B2" w:rsidRDefault="009A65B2" w:rsidP="00025AFC">
      <w:pPr>
        <w:pStyle w:val="FootnoteText"/>
        <w:jc w:val="both"/>
      </w:pPr>
      <w:r>
        <w:rPr>
          <w:rStyle w:val="FootnoteReference"/>
        </w:rPr>
        <w:footnoteRef/>
      </w:r>
      <w:r>
        <w:t xml:space="preserve"> The Company will refer to each of the parties in these Dockets as follows:  </w:t>
      </w:r>
      <w:r w:rsidRPr="00CD2B9E">
        <w:rPr>
          <w:bCs/>
        </w:rPr>
        <w:t>the Staff of the Washington Utilities and Transportation Commission (Staff), the Public Counsel Unit of the Washington Office of Attorney General (Public Counsel), the Industrial Customers of Northwest Utilities (ICNU), the Northwest Industrial Gas Users (NWIGU), and The Energy Project.</w:t>
      </w:r>
    </w:p>
  </w:footnote>
  <w:footnote w:id="2">
    <w:p w:rsidR="009A65B2" w:rsidRPr="00472FDD" w:rsidRDefault="009A65B2" w:rsidP="00025AFC">
      <w:pPr>
        <w:pStyle w:val="FootnoteText"/>
        <w:jc w:val="both"/>
      </w:pPr>
      <w:r w:rsidRPr="00472FDD">
        <w:rPr>
          <w:rStyle w:val="FootnoteReference"/>
        </w:rPr>
        <w:footnoteRef/>
      </w:r>
      <w:r w:rsidRPr="00472FDD">
        <w:t xml:space="preserve"> E.g., </w:t>
      </w:r>
      <w:r>
        <w:t xml:space="preserve">Testimony of </w:t>
      </w:r>
      <w:r w:rsidRPr="00472FDD">
        <w:t>Staff witness Mr. McGuire</w:t>
      </w:r>
      <w:r>
        <w:t>, Exhibit No.___</w:t>
      </w:r>
      <w:r w:rsidRPr="00472FDD">
        <w:t>(CRM-1T)</w:t>
      </w:r>
      <w:r>
        <w:t>,</w:t>
      </w:r>
      <w:r w:rsidRPr="00472FDD">
        <w:t xml:space="preserve"> p</w:t>
      </w:r>
      <w:r w:rsidRPr="00472FDD">
        <w:rPr>
          <w:bCs/>
        </w:rPr>
        <w:t>age 44, line 14, and</w:t>
      </w:r>
      <w:r w:rsidRPr="006666BD">
        <w:t xml:space="preserve"> </w:t>
      </w:r>
      <w:r>
        <w:t>Testimony of</w:t>
      </w:r>
      <w:r w:rsidRPr="00472FDD">
        <w:rPr>
          <w:bCs/>
        </w:rPr>
        <w:t xml:space="preserve"> Public Counsel witness Ms. Ramas</w:t>
      </w:r>
      <w:r>
        <w:rPr>
          <w:bCs/>
        </w:rPr>
        <w:t>, Exhibit No.___</w:t>
      </w:r>
      <w:r w:rsidRPr="00472FDD">
        <w:rPr>
          <w:bCs/>
        </w:rPr>
        <w:t>(DMR-1T), page 6, line 9.</w:t>
      </w:r>
    </w:p>
  </w:footnote>
  <w:footnote w:id="3">
    <w:p w:rsidR="009A65B2" w:rsidRPr="00472FDD" w:rsidRDefault="009A65B2" w:rsidP="00025AFC">
      <w:pPr>
        <w:pStyle w:val="FootnoteText"/>
        <w:jc w:val="both"/>
      </w:pPr>
      <w:r w:rsidRPr="00472FDD">
        <w:rPr>
          <w:rStyle w:val="FootnoteReference"/>
        </w:rPr>
        <w:footnoteRef/>
      </w:r>
      <w:r w:rsidRPr="00472FDD">
        <w:t xml:space="preserve"> E.g., </w:t>
      </w:r>
      <w:r>
        <w:t xml:space="preserve">Testimony of </w:t>
      </w:r>
      <w:r w:rsidRPr="00472FDD">
        <w:t>Staff witness Mr. Gomez</w:t>
      </w:r>
      <w:r>
        <w:t>, Exhibit No.___</w:t>
      </w:r>
      <w:r w:rsidRPr="00472FDD">
        <w:t>(DCG-1T) page 12, line 13, and page 38, line 3.</w:t>
      </w:r>
    </w:p>
  </w:footnote>
  <w:footnote w:id="4">
    <w:p w:rsidR="009A65B2" w:rsidRPr="00472FDD" w:rsidRDefault="009A65B2" w:rsidP="00025AFC">
      <w:pPr>
        <w:pStyle w:val="FootnoteText"/>
        <w:jc w:val="both"/>
      </w:pPr>
      <w:r w:rsidRPr="00472FDD">
        <w:rPr>
          <w:rStyle w:val="FootnoteReference"/>
        </w:rPr>
        <w:footnoteRef/>
      </w:r>
      <w:r w:rsidRPr="00472FDD">
        <w:t xml:space="preserve"> </w:t>
      </w:r>
      <w:r>
        <w:t xml:space="preserve">Testimony of </w:t>
      </w:r>
      <w:r w:rsidRPr="00472FDD">
        <w:t>Avista witness Mr. Thies</w:t>
      </w:r>
      <w:r>
        <w:t>, Exhibit No.___</w:t>
      </w:r>
      <w:r w:rsidRPr="00472FDD">
        <w:t>(MTT-1T), page 9, lines 17-23.</w:t>
      </w:r>
    </w:p>
  </w:footnote>
  <w:footnote w:id="5">
    <w:p w:rsidR="009A65B2" w:rsidRDefault="009A65B2">
      <w:pPr>
        <w:pStyle w:val="FootnoteText"/>
      </w:pPr>
      <w:r>
        <w:rPr>
          <w:rStyle w:val="FootnoteReference"/>
        </w:rPr>
        <w:footnoteRef/>
      </w:r>
      <w:r>
        <w:t xml:space="preserve"> Actual c</w:t>
      </w:r>
      <w:r w:rsidRPr="00D72A3F">
        <w:t xml:space="preserve">apital investments include productivity and strategic capital projects in which funding decisions are made throughout the year and are not included in the initial requests for funding.  Capital investments in 2013 and 2014 also include spend in excess of the original request for customer hook-ups due to actual customer hook-ups exceeding the original forecasted number.  </w:t>
      </w:r>
    </w:p>
  </w:footnote>
  <w:footnote w:id="6">
    <w:p w:rsidR="009A65B2" w:rsidRPr="00472FDD" w:rsidRDefault="009A65B2" w:rsidP="00783A30">
      <w:pPr>
        <w:pStyle w:val="BodyText"/>
        <w:tabs>
          <w:tab w:val="left" w:pos="720"/>
        </w:tabs>
        <w:spacing w:line="240" w:lineRule="auto"/>
        <w:ind w:right="-324"/>
        <w:jc w:val="both"/>
        <w:rPr>
          <w:b w:val="0"/>
          <w:bCs w:val="0"/>
          <w:sz w:val="20"/>
          <w:szCs w:val="20"/>
        </w:rPr>
      </w:pPr>
      <w:r w:rsidRPr="00472FDD">
        <w:rPr>
          <w:rStyle w:val="FootnoteReference"/>
          <w:b w:val="0"/>
          <w:sz w:val="20"/>
          <w:szCs w:val="20"/>
        </w:rPr>
        <w:footnoteRef/>
      </w:r>
      <w:r w:rsidRPr="00472FDD">
        <w:rPr>
          <w:b w:val="0"/>
          <w:sz w:val="20"/>
          <w:szCs w:val="20"/>
        </w:rPr>
        <w:t xml:space="preserve"> </w:t>
      </w:r>
      <w:r>
        <w:rPr>
          <w:b w:val="0"/>
          <w:sz w:val="20"/>
          <w:szCs w:val="20"/>
        </w:rPr>
        <w:t>Exhibit No.___(</w:t>
      </w:r>
      <w:r>
        <w:rPr>
          <w:b w:val="0"/>
          <w:bCs w:val="0"/>
          <w:sz w:val="20"/>
          <w:szCs w:val="20"/>
        </w:rPr>
        <w:t>CRM-1T)</w:t>
      </w:r>
      <w:r w:rsidRPr="00472FDD">
        <w:rPr>
          <w:b w:val="0"/>
          <w:bCs w:val="0"/>
          <w:sz w:val="20"/>
          <w:szCs w:val="20"/>
        </w:rPr>
        <w:t xml:space="preserve"> p</w:t>
      </w:r>
      <w:r>
        <w:rPr>
          <w:b w:val="0"/>
          <w:bCs w:val="0"/>
          <w:sz w:val="20"/>
          <w:szCs w:val="20"/>
        </w:rPr>
        <w:t>age</w:t>
      </w:r>
      <w:r w:rsidRPr="00472FDD">
        <w:rPr>
          <w:b w:val="0"/>
          <w:bCs w:val="0"/>
          <w:sz w:val="20"/>
          <w:szCs w:val="20"/>
        </w:rPr>
        <w:t xml:space="preserve"> 12, line 17; and page 23, line 10.</w:t>
      </w:r>
    </w:p>
  </w:footnote>
  <w:footnote w:id="7">
    <w:p w:rsidR="009A65B2" w:rsidRDefault="009A65B2" w:rsidP="00783A30">
      <w:pPr>
        <w:pStyle w:val="FootnoteText"/>
        <w:jc w:val="both"/>
      </w:pPr>
      <w:r>
        <w:rPr>
          <w:rStyle w:val="FootnoteReference"/>
        </w:rPr>
        <w:footnoteRef/>
      </w:r>
      <w:r>
        <w:t xml:space="preserve"> </w:t>
      </w:r>
      <w:r w:rsidRPr="00375097">
        <w:t>The Company’s direct case included four witnesses who covered numerous capital projects, descriptions and dollar amounts (See Exhibit Nos.__(</w:t>
      </w:r>
      <w:proofErr w:type="spellStart"/>
      <w:r w:rsidRPr="00375097">
        <w:t>JMK</w:t>
      </w:r>
      <w:proofErr w:type="spellEnd"/>
      <w:r w:rsidRPr="00375097">
        <w:t>-1T), ___(</w:t>
      </w:r>
      <w:proofErr w:type="spellStart"/>
      <w:r w:rsidRPr="00375097">
        <w:t>JMK</w:t>
      </w:r>
      <w:proofErr w:type="spellEnd"/>
      <w:r w:rsidRPr="00375097">
        <w:t>-2)-(</w:t>
      </w:r>
      <w:proofErr w:type="spellStart"/>
      <w:r w:rsidRPr="00375097">
        <w:t>JMK</w:t>
      </w:r>
      <w:proofErr w:type="spellEnd"/>
      <w:r w:rsidRPr="00375097">
        <w:t>-5), ___(</w:t>
      </w:r>
      <w:proofErr w:type="spellStart"/>
      <w:r w:rsidRPr="00375097">
        <w:t>SJK</w:t>
      </w:r>
      <w:proofErr w:type="spellEnd"/>
      <w:r w:rsidRPr="00375097">
        <w:t>-1T), ___(</w:t>
      </w:r>
      <w:proofErr w:type="spellStart"/>
      <w:r w:rsidRPr="00375097">
        <w:t>BAC</w:t>
      </w:r>
      <w:proofErr w:type="spellEnd"/>
      <w:r w:rsidRPr="00375097">
        <w:t>-1T),__(</w:t>
      </w:r>
      <w:proofErr w:type="spellStart"/>
      <w:r w:rsidRPr="00375097">
        <w:t>KKS</w:t>
      </w:r>
      <w:proofErr w:type="spellEnd"/>
      <w:r w:rsidRPr="00375097">
        <w:t>-1T)-(</w:t>
      </w:r>
      <w:proofErr w:type="spellStart"/>
      <w:r w:rsidRPr="00375097">
        <w:t>KKS</w:t>
      </w:r>
      <w:proofErr w:type="spellEnd"/>
      <w:r w:rsidRPr="00375097">
        <w:t>-4). Business cases were also included for all projects in our direct filing in Exhibit No.___(</w:t>
      </w:r>
      <w:proofErr w:type="spellStart"/>
      <w:r w:rsidRPr="00375097">
        <w:t>KKS</w:t>
      </w:r>
      <w:proofErr w:type="spellEnd"/>
      <w:r w:rsidRPr="00375097">
        <w:t>-5), totaling more than 300 pages of information.</w:t>
      </w:r>
    </w:p>
  </w:footnote>
  <w:footnote w:id="8">
    <w:p w:rsidR="009A65B2" w:rsidRPr="00472FDD" w:rsidRDefault="009A65B2" w:rsidP="00025AFC">
      <w:pPr>
        <w:pStyle w:val="BodyText"/>
        <w:tabs>
          <w:tab w:val="left" w:pos="720"/>
        </w:tabs>
        <w:spacing w:line="240" w:lineRule="auto"/>
        <w:ind w:right="-324"/>
        <w:jc w:val="both"/>
        <w:rPr>
          <w:b w:val="0"/>
          <w:bCs w:val="0"/>
          <w:sz w:val="20"/>
          <w:szCs w:val="20"/>
        </w:rPr>
      </w:pPr>
      <w:r w:rsidRPr="00472FDD">
        <w:rPr>
          <w:rStyle w:val="FootnoteReference"/>
          <w:b w:val="0"/>
          <w:sz w:val="20"/>
          <w:szCs w:val="20"/>
        </w:rPr>
        <w:footnoteRef/>
      </w:r>
      <w:r w:rsidRPr="00472FDD">
        <w:rPr>
          <w:sz w:val="20"/>
          <w:szCs w:val="20"/>
        </w:rPr>
        <w:t xml:space="preserve"> </w:t>
      </w:r>
      <w:r>
        <w:rPr>
          <w:b w:val="0"/>
          <w:sz w:val="20"/>
          <w:szCs w:val="20"/>
        </w:rPr>
        <w:t>Exhibit No.___</w:t>
      </w:r>
      <w:r>
        <w:rPr>
          <w:b w:val="0"/>
          <w:bCs w:val="0"/>
          <w:sz w:val="20"/>
          <w:szCs w:val="20"/>
        </w:rPr>
        <w:t>(CRM-1T)</w:t>
      </w:r>
      <w:r w:rsidRPr="00472FDD">
        <w:rPr>
          <w:b w:val="0"/>
          <w:bCs w:val="0"/>
          <w:sz w:val="20"/>
          <w:szCs w:val="20"/>
        </w:rPr>
        <w:t xml:space="preserve"> page 10, line 3,</w:t>
      </w:r>
      <w:r>
        <w:rPr>
          <w:b w:val="0"/>
          <w:bCs w:val="0"/>
          <w:sz w:val="20"/>
          <w:szCs w:val="20"/>
        </w:rPr>
        <w:t xml:space="preserve"> </w:t>
      </w:r>
      <w:r>
        <w:rPr>
          <w:b w:val="0"/>
          <w:sz w:val="20"/>
          <w:szCs w:val="20"/>
        </w:rPr>
        <w:t>Exhibit No.___</w:t>
      </w:r>
      <w:r>
        <w:rPr>
          <w:b w:val="0"/>
          <w:bCs w:val="0"/>
          <w:sz w:val="20"/>
          <w:szCs w:val="20"/>
        </w:rPr>
        <w:t xml:space="preserve"> (DMR-1T) </w:t>
      </w:r>
      <w:r w:rsidRPr="00472FDD">
        <w:rPr>
          <w:b w:val="0"/>
          <w:bCs w:val="0"/>
          <w:sz w:val="20"/>
          <w:szCs w:val="20"/>
        </w:rPr>
        <w:t xml:space="preserve">page 25, line 1, and </w:t>
      </w:r>
      <w:r>
        <w:rPr>
          <w:b w:val="0"/>
          <w:sz w:val="20"/>
          <w:szCs w:val="20"/>
        </w:rPr>
        <w:t>Exhibit No.___</w:t>
      </w:r>
      <w:r>
        <w:rPr>
          <w:b w:val="0"/>
          <w:bCs w:val="0"/>
          <w:sz w:val="20"/>
          <w:szCs w:val="20"/>
        </w:rPr>
        <w:t xml:space="preserve"> (BGM-1T), </w:t>
      </w:r>
      <w:r w:rsidRPr="00472FDD">
        <w:rPr>
          <w:b w:val="0"/>
          <w:bCs w:val="0"/>
          <w:sz w:val="20"/>
          <w:szCs w:val="20"/>
        </w:rPr>
        <w:t>page 8, line 12.</w:t>
      </w:r>
    </w:p>
    <w:p w:rsidR="009A65B2" w:rsidRPr="00472FDD" w:rsidRDefault="009A65B2" w:rsidP="00025AFC">
      <w:pPr>
        <w:pStyle w:val="FootnoteText"/>
        <w:jc w:val="both"/>
      </w:pPr>
    </w:p>
  </w:footnote>
  <w:footnote w:id="9">
    <w:p w:rsidR="009A65B2" w:rsidRPr="00472FDD" w:rsidRDefault="009A65B2" w:rsidP="00025AFC">
      <w:pPr>
        <w:pStyle w:val="FootnoteText"/>
        <w:jc w:val="both"/>
      </w:pPr>
      <w:r w:rsidRPr="00472FDD">
        <w:rPr>
          <w:rStyle w:val="FootnoteReference"/>
        </w:rPr>
        <w:footnoteRef/>
      </w:r>
      <w:r w:rsidRPr="00472FDD">
        <w:t xml:space="preserve"> Moody’s Investors Service, Issuer Comment, August 21, 2014, “Avista’s Rate Case Settlement is Credit Positive.”</w:t>
      </w:r>
    </w:p>
  </w:footnote>
  <w:footnote w:id="10">
    <w:p w:rsidR="009A65B2" w:rsidRPr="00472FDD" w:rsidRDefault="009A65B2" w:rsidP="00025AFC">
      <w:pPr>
        <w:pStyle w:val="FootnoteText"/>
        <w:jc w:val="both"/>
      </w:pPr>
      <w:r w:rsidRPr="00472FDD">
        <w:rPr>
          <w:rStyle w:val="FootnoteReference"/>
        </w:rPr>
        <w:footnoteRef/>
      </w:r>
      <w:r w:rsidRPr="00472FDD">
        <w:t xml:space="preserve"> Paragraph 70 of Order 14, dated December 26, 2012, in Dockets UE-120436 and UG-120437.</w:t>
      </w:r>
    </w:p>
  </w:footnote>
  <w:footnote w:id="11">
    <w:p w:rsidR="009A65B2" w:rsidRDefault="009A65B2" w:rsidP="00040C48">
      <w:pPr>
        <w:pStyle w:val="FootnoteText"/>
        <w:jc w:val="both"/>
      </w:pPr>
      <w:r>
        <w:rPr>
          <w:rStyle w:val="FootnoteReference"/>
        </w:rPr>
        <w:footnoteRef/>
      </w:r>
      <w:r>
        <w:t xml:space="preserve"> Docket Nos. UE-120436 et. al, Joint Testimony, page 26, lines 14-16.</w:t>
      </w:r>
    </w:p>
  </w:footnote>
  <w:footnote w:id="12">
    <w:p w:rsidR="009A65B2" w:rsidRPr="00472FDD" w:rsidRDefault="009A65B2" w:rsidP="00025AFC">
      <w:pPr>
        <w:pStyle w:val="FootnoteText"/>
        <w:jc w:val="both"/>
      </w:pPr>
      <w:r w:rsidRPr="00472FDD">
        <w:rPr>
          <w:rStyle w:val="FootnoteReference"/>
        </w:rPr>
        <w:footnoteRef/>
      </w:r>
      <w:r>
        <w:t xml:space="preserve">  [Referenced Footnote]</w:t>
      </w:r>
      <w:r w:rsidRPr="00472FDD">
        <w:t xml:space="preserve"> “Staff witness Mr. Hancock prepared Staff’s pro forma revenue requirement analysis.  Holding to the Commission’s longstanding practice of using a modified historical test period with limited pro forma adjustments, his analysis generated a </w:t>
      </w:r>
      <w:r w:rsidRPr="00472FDD">
        <w:rPr>
          <w:u w:val="single"/>
        </w:rPr>
        <w:t>reduction</w:t>
      </w:r>
      <w:r w:rsidRPr="00472FDD">
        <w:t xml:space="preserve"> in electric revenue requirement of $20.9 million and an </w:t>
      </w:r>
      <w:r w:rsidRPr="00472FDD">
        <w:rPr>
          <w:u w:val="single"/>
        </w:rPr>
        <w:t>increase</w:t>
      </w:r>
      <w:r w:rsidRPr="00472FDD">
        <w:t xml:space="preserve"> in natural gas revenue requirement of $3.6 million.”</w:t>
      </w:r>
    </w:p>
  </w:footnote>
  <w:footnote w:id="13">
    <w:p w:rsidR="009A65B2" w:rsidRPr="00472FDD" w:rsidRDefault="009A65B2" w:rsidP="00025AFC">
      <w:pPr>
        <w:pStyle w:val="FootnoteText"/>
        <w:jc w:val="both"/>
      </w:pPr>
      <w:r w:rsidRPr="00472FDD">
        <w:rPr>
          <w:rStyle w:val="FootnoteReference"/>
        </w:rPr>
        <w:footnoteRef/>
      </w:r>
      <w:r w:rsidRPr="00472FDD">
        <w:t xml:space="preserve"> Fed. Power Comm’n v. Hope Natural Gas Co., 320 U.S. 591, 603 (1944)</w:t>
      </w:r>
    </w:p>
  </w:footnote>
  <w:footnote w:id="14">
    <w:p w:rsidR="009A65B2" w:rsidRPr="00472FDD" w:rsidRDefault="009A65B2" w:rsidP="00025AFC">
      <w:pPr>
        <w:pStyle w:val="FootnoteText"/>
        <w:jc w:val="both"/>
      </w:pPr>
      <w:r w:rsidRPr="00472FDD">
        <w:rPr>
          <w:rStyle w:val="FootnoteReference"/>
        </w:rPr>
        <w:footnoteRef/>
      </w:r>
      <w:r w:rsidRPr="00472FDD">
        <w:t xml:space="preserve"> </w:t>
      </w:r>
      <w:r>
        <w:t xml:space="preserve">Testimony of Elizabeth M. Andrews, </w:t>
      </w:r>
      <w:r w:rsidRPr="006666BD">
        <w:t>Exhibit No.___</w:t>
      </w:r>
      <w:r>
        <w:t xml:space="preserve"> (EMA-1T), p</w:t>
      </w:r>
      <w:r w:rsidRPr="00472FDD">
        <w:t>age 10.</w:t>
      </w:r>
    </w:p>
  </w:footnote>
  <w:footnote w:id="15">
    <w:p w:rsidR="009A65B2" w:rsidRPr="00472FDD" w:rsidRDefault="009A65B2" w:rsidP="00025AFC">
      <w:pPr>
        <w:pStyle w:val="FootnoteText"/>
        <w:jc w:val="both"/>
      </w:pPr>
      <w:r w:rsidRPr="00472FDD">
        <w:rPr>
          <w:rStyle w:val="FootnoteReference"/>
        </w:rPr>
        <w:footnoteRef/>
      </w:r>
      <w:r w:rsidRPr="00472FDD">
        <w:t xml:space="preserve"> </w:t>
      </w:r>
      <w:r w:rsidRPr="00472FDD">
        <w:rPr>
          <w:i/>
        </w:rPr>
        <w:t>Hope</w:t>
      </w:r>
      <w:r w:rsidRPr="00472FDD">
        <w:t>, 320 U.S. at 602.  Expanding on this point, the Court said:</w:t>
      </w:r>
    </w:p>
    <w:p w:rsidR="009A65B2" w:rsidRPr="00472FDD" w:rsidRDefault="009A65B2" w:rsidP="00025AFC">
      <w:pPr>
        <w:pStyle w:val="FootnoteText"/>
        <w:ind w:left="720"/>
        <w:jc w:val="both"/>
      </w:pPr>
      <w:r w:rsidRPr="00472FDD">
        <w:t>Under the statutory standard of ‘just and reasonable’ it is the result reached not the method employed which is controlling.  It is not theory but the impact of the rate order which counts.  If the total effect of the rate order cannot be said to be unjust and unreasonable, judicial inquiry under the Act is at an end.  The fact that the method employed to reach that result may contain infirmities is not then important.</w:t>
      </w:r>
    </w:p>
    <w:p w:rsidR="009A65B2" w:rsidRPr="00472FDD" w:rsidRDefault="009A65B2" w:rsidP="00025AFC">
      <w:pPr>
        <w:pStyle w:val="FootnoteText"/>
        <w:ind w:left="720"/>
        <w:jc w:val="both"/>
      </w:pPr>
    </w:p>
    <w:p w:rsidR="009A65B2" w:rsidRPr="00472FDD" w:rsidRDefault="009A65B2" w:rsidP="00025AFC">
      <w:pPr>
        <w:pStyle w:val="FootnoteText"/>
        <w:jc w:val="both"/>
      </w:pPr>
      <w:r w:rsidRPr="00472FDD">
        <w:rPr>
          <w:i/>
        </w:rPr>
        <w:t>Id</w:t>
      </w:r>
      <w:r w:rsidRPr="00472FDD">
        <w:t xml:space="preserve">.  This language, embodying the familiar “end result” test, is universally recognized as an important guiding principle in utility ratemaking throughout the United States. </w:t>
      </w:r>
    </w:p>
  </w:footnote>
  <w:footnote w:id="16">
    <w:p w:rsidR="009A65B2" w:rsidRPr="00472FDD" w:rsidRDefault="009A65B2" w:rsidP="00025AFC">
      <w:pPr>
        <w:pStyle w:val="FootnoteText"/>
        <w:jc w:val="both"/>
      </w:pPr>
      <w:r w:rsidRPr="00472FDD">
        <w:rPr>
          <w:rStyle w:val="FootnoteReference"/>
        </w:rPr>
        <w:footnoteRef/>
      </w:r>
      <w:r w:rsidRPr="00472FDD">
        <w:t xml:space="preserve"> Footnote omitted.</w:t>
      </w:r>
    </w:p>
  </w:footnote>
  <w:footnote w:id="17">
    <w:p w:rsidR="009A65B2" w:rsidRPr="00472FDD" w:rsidRDefault="009A65B2" w:rsidP="00025AFC">
      <w:pPr>
        <w:pStyle w:val="BodyText"/>
        <w:tabs>
          <w:tab w:val="left" w:pos="1260"/>
        </w:tabs>
        <w:spacing w:line="240" w:lineRule="auto"/>
        <w:ind w:right="-58"/>
        <w:jc w:val="both"/>
        <w:rPr>
          <w:b w:val="0"/>
          <w:bCs w:val="0"/>
          <w:sz w:val="20"/>
          <w:szCs w:val="20"/>
        </w:rPr>
      </w:pPr>
      <w:r w:rsidRPr="00472FDD">
        <w:rPr>
          <w:rStyle w:val="FootnoteReference"/>
          <w:b w:val="0"/>
          <w:sz w:val="20"/>
          <w:szCs w:val="20"/>
        </w:rPr>
        <w:footnoteRef/>
      </w:r>
      <w:r w:rsidRPr="00472FDD">
        <w:rPr>
          <w:b w:val="0"/>
          <w:sz w:val="20"/>
          <w:szCs w:val="20"/>
        </w:rPr>
        <w:t xml:space="preserve"> Examples include</w:t>
      </w:r>
      <w:r w:rsidRPr="00472FDD">
        <w:rPr>
          <w:sz w:val="20"/>
          <w:szCs w:val="20"/>
        </w:rPr>
        <w:t xml:space="preserve"> </w:t>
      </w:r>
      <w:r>
        <w:rPr>
          <w:b w:val="0"/>
          <w:sz w:val="20"/>
          <w:szCs w:val="20"/>
        </w:rPr>
        <w:t>Exhibit No.___</w:t>
      </w:r>
      <w:r>
        <w:rPr>
          <w:b w:val="0"/>
          <w:bCs w:val="0"/>
          <w:sz w:val="20"/>
          <w:szCs w:val="20"/>
        </w:rPr>
        <w:t xml:space="preserve"> (CRM-1T) </w:t>
      </w:r>
      <w:r w:rsidRPr="00472FDD">
        <w:rPr>
          <w:b w:val="0"/>
          <w:bCs w:val="0"/>
          <w:sz w:val="20"/>
          <w:szCs w:val="20"/>
        </w:rPr>
        <w:t xml:space="preserve">page 5, line 21, </w:t>
      </w:r>
      <w:r>
        <w:rPr>
          <w:b w:val="0"/>
          <w:sz w:val="20"/>
          <w:szCs w:val="20"/>
        </w:rPr>
        <w:t>Exhibit No.___</w:t>
      </w:r>
      <w:r>
        <w:rPr>
          <w:b w:val="0"/>
          <w:bCs w:val="0"/>
          <w:sz w:val="20"/>
          <w:szCs w:val="20"/>
        </w:rPr>
        <w:t xml:space="preserve"> (BGM-1T) page 10, line 15, and </w:t>
      </w:r>
      <w:r>
        <w:rPr>
          <w:b w:val="0"/>
          <w:sz w:val="20"/>
          <w:szCs w:val="20"/>
        </w:rPr>
        <w:t>Exhibit No.___</w:t>
      </w:r>
      <w:r>
        <w:rPr>
          <w:b w:val="0"/>
          <w:bCs w:val="0"/>
          <w:sz w:val="20"/>
          <w:szCs w:val="20"/>
        </w:rPr>
        <w:t xml:space="preserve"> (DMR-1T), page 31, line 7.</w:t>
      </w:r>
    </w:p>
  </w:footnote>
  <w:footnote w:id="18">
    <w:p w:rsidR="009A65B2" w:rsidRPr="00472FDD" w:rsidRDefault="009A65B2" w:rsidP="00025AFC">
      <w:pPr>
        <w:pStyle w:val="FootnoteText"/>
        <w:jc w:val="both"/>
      </w:pPr>
      <w:r w:rsidRPr="006666BD">
        <w:rPr>
          <w:rStyle w:val="FootnoteReference"/>
        </w:rPr>
        <w:footnoteRef/>
      </w:r>
      <w:r w:rsidRPr="006666BD">
        <w:t xml:space="preserve"> </w:t>
      </w:r>
      <w:r>
        <w:t xml:space="preserve">Testimony of Jennifer S. Smith, </w:t>
      </w:r>
      <w:r w:rsidRPr="006666BD">
        <w:t>Exhibit No.___</w:t>
      </w:r>
      <w:r>
        <w:t xml:space="preserve"> (JSS-1T)</w:t>
      </w:r>
      <w:r w:rsidRPr="00472FDD">
        <w:t>, page 3, lines 15-16.</w:t>
      </w:r>
    </w:p>
  </w:footnote>
  <w:footnote w:id="19">
    <w:p w:rsidR="009A65B2" w:rsidRPr="00472FDD" w:rsidRDefault="009A65B2" w:rsidP="00025AFC">
      <w:pPr>
        <w:pStyle w:val="FootnoteText"/>
        <w:jc w:val="both"/>
      </w:pPr>
      <w:r w:rsidRPr="00472FDD">
        <w:rPr>
          <w:rStyle w:val="FootnoteReference"/>
        </w:rPr>
        <w:footnoteRef/>
      </w:r>
      <w:r w:rsidRPr="00472FDD">
        <w:t xml:space="preserve"> </w:t>
      </w:r>
      <w:r w:rsidRPr="006666BD">
        <w:t>Exhibit No.___</w:t>
      </w:r>
      <w:r>
        <w:t xml:space="preserve"> (CRM-1T)</w:t>
      </w:r>
      <w:r w:rsidRPr="00472FDD">
        <w:t>, page 14, line 21.</w:t>
      </w:r>
    </w:p>
  </w:footnote>
  <w:footnote w:id="20">
    <w:p w:rsidR="009A65B2" w:rsidRDefault="009A65B2" w:rsidP="00025AFC">
      <w:pPr>
        <w:pStyle w:val="FootnoteText"/>
        <w:jc w:val="both"/>
      </w:pPr>
      <w:r>
        <w:rPr>
          <w:rStyle w:val="FootnoteReference"/>
        </w:rPr>
        <w:footnoteRef/>
      </w:r>
      <w:r>
        <w:t xml:space="preserve"> Public Counsel’s recommendation for natural gas service of ($3.4) would also cause Avista to substantially under-earn during 2016, with an ROE of 6.53%.</w:t>
      </w:r>
    </w:p>
  </w:footnote>
  <w:footnote w:id="21">
    <w:p w:rsidR="009A65B2" w:rsidRDefault="009A65B2" w:rsidP="00025AFC">
      <w:pPr>
        <w:pStyle w:val="FootnoteText"/>
        <w:jc w:val="both"/>
      </w:pPr>
      <w:r>
        <w:rPr>
          <w:rStyle w:val="FootnoteReference"/>
        </w:rPr>
        <w:footnoteRef/>
      </w:r>
      <w:r>
        <w:t xml:space="preserve"> The Company used revenue conversion factors of 0.62018 for electric and 0.63032 for natural gas to compute the after-tax shortfall.</w:t>
      </w:r>
    </w:p>
  </w:footnote>
  <w:footnote w:id="22">
    <w:p w:rsidR="009A65B2" w:rsidRDefault="009A65B2" w:rsidP="00025AFC">
      <w:pPr>
        <w:pStyle w:val="FootnoteText"/>
        <w:jc w:val="both"/>
      </w:pPr>
      <w:r>
        <w:rPr>
          <w:rStyle w:val="FootnoteReference"/>
        </w:rPr>
        <w:footnoteRef/>
      </w:r>
      <w:r>
        <w:t xml:space="preserve"> These changes for the bargaining unit will be subject to future negotiations.</w:t>
      </w:r>
    </w:p>
  </w:footnote>
  <w:footnote w:id="23">
    <w:p w:rsidR="009A65B2" w:rsidRPr="00472FDD" w:rsidRDefault="009A65B2" w:rsidP="00025AFC">
      <w:pPr>
        <w:pStyle w:val="FootnoteText"/>
        <w:jc w:val="both"/>
      </w:pPr>
      <w:r w:rsidRPr="00472FDD">
        <w:rPr>
          <w:rStyle w:val="FootnoteReference"/>
        </w:rPr>
        <w:footnoteRef/>
      </w:r>
      <w:r w:rsidRPr="00472FDD">
        <w:t xml:space="preserve"> Tax adjustments, state allocations, and changes to net plant investment, as explained by Ms. Andrews.</w:t>
      </w:r>
    </w:p>
  </w:footnote>
  <w:footnote w:id="24">
    <w:p w:rsidR="009A65B2" w:rsidRDefault="009A65B2" w:rsidP="00025AFC">
      <w:pPr>
        <w:pStyle w:val="FootnoteText"/>
        <w:jc w:val="both"/>
      </w:pPr>
      <w:r>
        <w:rPr>
          <w:rStyle w:val="FootnoteReference"/>
        </w:rPr>
        <w:footnoteRef/>
      </w:r>
      <w:r>
        <w:t xml:space="preserve"> If Avista’s proposal on rebuttal to defer and amortize (normalize) the “hours-based” thermal maintenance is rejected by the Commission, then Avista’s electric revenue requirement on rebuttal would increase from $3.6 million to $6.6 million in order to provide cost recovery for these increased costs in 2016.</w:t>
      </w:r>
    </w:p>
  </w:footnote>
  <w:footnote w:id="25">
    <w:p w:rsidR="009A65B2" w:rsidRPr="00472FDD" w:rsidRDefault="009A65B2" w:rsidP="00025AFC">
      <w:pPr>
        <w:pStyle w:val="FootnoteText"/>
        <w:jc w:val="both"/>
      </w:pPr>
      <w:r w:rsidRPr="00472FDD">
        <w:rPr>
          <w:rStyle w:val="FootnoteReference"/>
        </w:rPr>
        <w:footnoteRef/>
      </w:r>
      <w:r>
        <w:t xml:space="preserve"> Ms. Andrews explains the </w:t>
      </w:r>
      <w:r w:rsidRPr="00472FDD">
        <w:t>adjustments in her</w:t>
      </w:r>
      <w:r>
        <w:t xml:space="preserve"> rebuttal testimony that add up to $0.7 million</w:t>
      </w:r>
      <w:r w:rsidRPr="00472FDD">
        <w:t>.</w:t>
      </w:r>
    </w:p>
  </w:footnote>
  <w:footnote w:id="26">
    <w:p w:rsidR="009A65B2" w:rsidRPr="00472FDD" w:rsidRDefault="009A65B2" w:rsidP="00025AFC">
      <w:pPr>
        <w:pStyle w:val="FootnoteText"/>
        <w:jc w:val="both"/>
      </w:pPr>
      <w:r w:rsidRPr="00472FDD">
        <w:rPr>
          <w:rStyle w:val="FootnoteReference"/>
        </w:rPr>
        <w:footnoteRef/>
      </w:r>
      <w:r w:rsidRPr="00472FDD">
        <w:t xml:space="preserve"> </w:t>
      </w:r>
      <w:r>
        <w:t xml:space="preserve">Testimony of David </w:t>
      </w:r>
      <w:r w:rsidRPr="00472FDD">
        <w:t>Nightingale</w:t>
      </w:r>
      <w:r>
        <w:t xml:space="preserve">, </w:t>
      </w:r>
      <w:r w:rsidRPr="006666BD">
        <w:t>Exhibit No.___</w:t>
      </w:r>
      <w:r>
        <w:t xml:space="preserve"> (</w:t>
      </w:r>
      <w:r w:rsidRPr="00472FDD">
        <w:t>DN-1T), p</w:t>
      </w:r>
      <w:r>
        <w:t>age</w:t>
      </w:r>
      <w:r w:rsidRPr="00472FDD">
        <w:t xml:space="preserve"> 4, </w:t>
      </w:r>
      <w:r>
        <w:t>lines</w:t>
      </w:r>
      <w:r w:rsidRPr="00472FDD">
        <w:t xml:space="preserve"> 3-8.</w:t>
      </w:r>
    </w:p>
  </w:footnote>
  <w:footnote w:id="27">
    <w:p w:rsidR="009A65B2" w:rsidRPr="00472FDD" w:rsidRDefault="009A65B2" w:rsidP="00025AFC">
      <w:pPr>
        <w:pStyle w:val="FootnoteText"/>
        <w:jc w:val="both"/>
      </w:pPr>
      <w:r w:rsidRPr="00472FDD">
        <w:rPr>
          <w:rStyle w:val="FootnoteReference"/>
        </w:rPr>
        <w:footnoteRef/>
      </w:r>
      <w:r w:rsidRPr="00472FDD">
        <w:t xml:space="preserve"> </w:t>
      </w:r>
      <w:r>
        <w:t xml:space="preserve">Testimony of Barbara R. </w:t>
      </w:r>
      <w:r w:rsidRPr="00472FDD">
        <w:t>Alexander</w:t>
      </w:r>
      <w:r>
        <w:t xml:space="preserve">, </w:t>
      </w:r>
      <w:r w:rsidRPr="006666BD">
        <w:t>Exhibit No.___</w:t>
      </w:r>
      <w:r>
        <w:t xml:space="preserve"> (</w:t>
      </w:r>
      <w:r w:rsidRPr="00472FDD">
        <w:t>BRA-1T), p</w:t>
      </w:r>
      <w:r>
        <w:t>age</w:t>
      </w:r>
      <w:r w:rsidRPr="00472FDD">
        <w:t xml:space="preserve"> 9</w:t>
      </w:r>
      <w:r>
        <w:t xml:space="preserve">, line 15 - page 10, line </w:t>
      </w:r>
      <w:r w:rsidRPr="00472FDD">
        <w:t>5.</w:t>
      </w:r>
    </w:p>
  </w:footnote>
  <w:footnote w:id="28">
    <w:p w:rsidR="009A65B2" w:rsidRDefault="009A65B2">
      <w:pPr>
        <w:pStyle w:val="FootnoteText"/>
      </w:pPr>
      <w:r>
        <w:rPr>
          <w:rStyle w:val="FootnoteReference"/>
        </w:rPr>
        <w:footnoteRef/>
      </w:r>
      <w:r>
        <w:t xml:space="preserve"> Exhibit Nos.___(</w:t>
      </w:r>
      <w:proofErr w:type="spellStart"/>
      <w:r>
        <w:t>DFK</w:t>
      </w:r>
      <w:proofErr w:type="spellEnd"/>
      <w:r>
        <w:t>-1T) and (</w:t>
      </w:r>
      <w:proofErr w:type="spellStart"/>
      <w:r>
        <w:t>DFK</w:t>
      </w:r>
      <w:proofErr w:type="spellEnd"/>
      <w:r>
        <w:t>-5)</w:t>
      </w:r>
    </w:p>
  </w:footnote>
  <w:footnote w:id="29">
    <w:p w:rsidR="009A65B2" w:rsidRDefault="009A65B2">
      <w:pPr>
        <w:pStyle w:val="FootnoteText"/>
      </w:pPr>
      <w:r>
        <w:rPr>
          <w:rStyle w:val="FootnoteReference"/>
        </w:rPr>
        <w:footnoteRef/>
      </w:r>
      <w:r>
        <w:t xml:space="preserve"> Exhibit No.___(</w:t>
      </w:r>
      <w:proofErr w:type="spellStart"/>
      <w:r>
        <w:t>LDL</w:t>
      </w:r>
      <w:proofErr w:type="spellEnd"/>
      <w:r>
        <w:t>-1T)</w:t>
      </w:r>
    </w:p>
  </w:footnote>
  <w:footnote w:id="30">
    <w:p w:rsidR="009A65B2" w:rsidRDefault="009A65B2">
      <w:pPr>
        <w:pStyle w:val="FootnoteText"/>
      </w:pPr>
      <w:r>
        <w:rPr>
          <w:rStyle w:val="FootnoteReference"/>
        </w:rPr>
        <w:footnoteRef/>
      </w:r>
      <w:r>
        <w:t xml:space="preserve"> Exhibit No.___(BRA-1T), page 4, lines 12-17.</w:t>
      </w:r>
    </w:p>
  </w:footnote>
  <w:footnote w:id="31">
    <w:p w:rsidR="009A65B2" w:rsidRPr="00472FDD" w:rsidRDefault="009A65B2" w:rsidP="00025AFC">
      <w:pPr>
        <w:pStyle w:val="FootnoteText"/>
        <w:jc w:val="both"/>
      </w:pPr>
      <w:r w:rsidRPr="00472FDD">
        <w:rPr>
          <w:rStyle w:val="FootnoteReference"/>
        </w:rPr>
        <w:footnoteRef/>
      </w:r>
      <w:r w:rsidRPr="00472FDD">
        <w:t xml:space="preserve"> </w:t>
      </w:r>
      <w:r>
        <w:t xml:space="preserve">Testimony of Mr. </w:t>
      </w:r>
      <w:r w:rsidRPr="00472FDD">
        <w:t>Johnson</w:t>
      </w:r>
      <w:r>
        <w:t xml:space="preserve">, Exhibit No.___(WGJ-1T), </w:t>
      </w:r>
      <w:r w:rsidRPr="00472FDD">
        <w:t xml:space="preserve"> p</w:t>
      </w:r>
      <w:r>
        <w:t>age</w:t>
      </w:r>
      <w:r w:rsidRPr="00472FDD">
        <w:t xml:space="preserve"> 14, </w:t>
      </w:r>
      <w:r>
        <w:t>line 7</w:t>
      </w:r>
      <w:r w:rsidRPr="00472FDD">
        <w:t xml:space="preserve"> – p</w:t>
      </w:r>
      <w:r>
        <w:t>age</w:t>
      </w:r>
      <w:r w:rsidRPr="00472FDD">
        <w:t xml:space="preserve"> 15, l</w:t>
      </w:r>
      <w:r>
        <w:t>ine</w:t>
      </w:r>
      <w:r w:rsidRPr="00472FDD">
        <w:t xml:space="preserve"> 21.</w:t>
      </w:r>
    </w:p>
  </w:footnote>
  <w:footnote w:id="32">
    <w:p w:rsidR="009A65B2" w:rsidRPr="00472FDD" w:rsidRDefault="009A65B2" w:rsidP="00025AFC">
      <w:pPr>
        <w:pStyle w:val="FootnoteText"/>
        <w:jc w:val="both"/>
      </w:pPr>
      <w:r w:rsidRPr="00472FDD">
        <w:rPr>
          <w:rStyle w:val="FootnoteReference"/>
        </w:rPr>
        <w:footnoteRef/>
      </w:r>
      <w:r w:rsidRPr="00472FDD">
        <w:t xml:space="preserve"> </w:t>
      </w:r>
      <w:r>
        <w:t xml:space="preserve">Avista response to </w:t>
      </w:r>
      <w:r w:rsidRPr="00472FDD">
        <w:t>ICNU D</w:t>
      </w:r>
      <w:r>
        <w:t>ata Requests</w:t>
      </w:r>
      <w:r w:rsidRPr="00472FDD">
        <w:t xml:space="preserve"> 173C and 177C</w:t>
      </w:r>
      <w:r>
        <w:t>.</w:t>
      </w:r>
    </w:p>
  </w:footnote>
  <w:footnote w:id="33">
    <w:p w:rsidR="009A65B2" w:rsidRPr="00472FDD" w:rsidRDefault="009A65B2" w:rsidP="00025AFC">
      <w:pPr>
        <w:pStyle w:val="FootnoteText"/>
        <w:jc w:val="both"/>
      </w:pPr>
      <w:r w:rsidRPr="00472FDD">
        <w:rPr>
          <w:rStyle w:val="FootnoteReference"/>
        </w:rPr>
        <w:footnoteRef/>
      </w:r>
      <w:r w:rsidRPr="00472FDD">
        <w:t xml:space="preserve"> </w:t>
      </w:r>
      <w:r>
        <w:t xml:space="preserve">Avista response to </w:t>
      </w:r>
      <w:r w:rsidRPr="00472FDD">
        <w:t>ICNU D</w:t>
      </w:r>
      <w:r>
        <w:t>ata Request</w:t>
      </w:r>
      <w:r w:rsidRPr="00472FDD">
        <w:t xml:space="preserve"> </w:t>
      </w:r>
      <w:r>
        <w:t>1</w:t>
      </w:r>
      <w:r w:rsidRPr="00472FDD">
        <w:t>80C Revised</w:t>
      </w:r>
    </w:p>
  </w:footnote>
  <w:footnote w:id="34">
    <w:p w:rsidR="009A65B2" w:rsidRPr="00472FDD" w:rsidRDefault="009A65B2" w:rsidP="00025AFC">
      <w:pPr>
        <w:pStyle w:val="FootnoteText"/>
        <w:jc w:val="both"/>
      </w:pPr>
      <w:r w:rsidRPr="00472FDD">
        <w:rPr>
          <w:rStyle w:val="FootnoteReference"/>
        </w:rPr>
        <w:footnoteRef/>
      </w:r>
      <w:r w:rsidRPr="00472FDD">
        <w:t xml:space="preserve"> </w:t>
      </w:r>
      <w:r>
        <w:t xml:space="preserve">Testimony of Jason L. </w:t>
      </w:r>
      <w:r w:rsidRPr="00472FDD">
        <w:t>Ball</w:t>
      </w:r>
      <w:r>
        <w:t xml:space="preserve">, Exhibit No.___(JLB-1T), </w:t>
      </w:r>
      <w:r w:rsidRPr="00472FDD">
        <w:t>page 13</w:t>
      </w:r>
      <w:r>
        <w:t>, lines</w:t>
      </w:r>
      <w:r w:rsidRPr="00472FDD">
        <w:t xml:space="preserve"> 11-15.</w:t>
      </w:r>
    </w:p>
  </w:footnote>
  <w:footnote w:id="35">
    <w:p w:rsidR="009A65B2" w:rsidRPr="00472FDD" w:rsidRDefault="009A65B2" w:rsidP="00025AFC">
      <w:pPr>
        <w:pStyle w:val="FootnoteText"/>
        <w:jc w:val="both"/>
      </w:pPr>
      <w:r w:rsidRPr="00472FDD">
        <w:rPr>
          <w:rStyle w:val="FootnoteReference"/>
        </w:rPr>
        <w:footnoteRef/>
      </w:r>
      <w:r w:rsidRPr="00472FDD">
        <w:t xml:space="preserve"> </w:t>
      </w:r>
      <w:r>
        <w:t xml:space="preserve">Exhibit No.___(JLB-1T), </w:t>
      </w:r>
      <w:r w:rsidRPr="00472FDD">
        <w:t xml:space="preserve">page 14 </w:t>
      </w:r>
      <w:r>
        <w:t>lines</w:t>
      </w:r>
      <w:r w:rsidRPr="00472FDD">
        <w:t xml:space="preserve"> 6-9.</w:t>
      </w:r>
    </w:p>
  </w:footnote>
  <w:footnote w:id="36">
    <w:p w:rsidR="009A65B2" w:rsidRPr="00472FDD" w:rsidRDefault="009A65B2" w:rsidP="00025AFC">
      <w:pPr>
        <w:pStyle w:val="FootnoteText"/>
        <w:jc w:val="both"/>
      </w:pPr>
      <w:r w:rsidRPr="00472FDD">
        <w:rPr>
          <w:rStyle w:val="FootnoteReference"/>
        </w:rPr>
        <w:footnoteRef/>
      </w:r>
      <w:r w:rsidRPr="00472FDD">
        <w:t xml:space="preserve"> </w:t>
      </w:r>
      <w:r>
        <w:t xml:space="preserve">Exhibit No.___(BGM-1T), </w:t>
      </w:r>
      <w:r w:rsidRPr="00472FDD">
        <w:t xml:space="preserve">page 5, </w:t>
      </w:r>
      <w:r>
        <w:t>lines</w:t>
      </w:r>
      <w:r w:rsidRPr="00472FDD">
        <w:t xml:space="preserve"> 24-27.</w:t>
      </w:r>
    </w:p>
  </w:footnote>
  <w:footnote w:id="37">
    <w:p w:rsidR="009A65B2" w:rsidRPr="00472FDD" w:rsidRDefault="009A65B2" w:rsidP="00025AFC">
      <w:pPr>
        <w:pStyle w:val="FootnoteText"/>
        <w:jc w:val="both"/>
      </w:pPr>
      <w:r w:rsidRPr="00472FDD">
        <w:rPr>
          <w:rStyle w:val="FootnoteReference"/>
        </w:rPr>
        <w:footnoteRef/>
      </w:r>
      <w:r w:rsidRPr="00472FDD">
        <w:t xml:space="preserve"> </w:t>
      </w:r>
      <w:r>
        <w:t xml:space="preserve">Exhibit No.___(BGM-1T), </w:t>
      </w:r>
      <w:r w:rsidRPr="00472FDD">
        <w:t>page 36 l</w:t>
      </w:r>
      <w:r>
        <w:t>ines</w:t>
      </w:r>
      <w:r w:rsidRPr="00472FDD">
        <w:t xml:space="preserve"> 19-21.</w:t>
      </w:r>
    </w:p>
  </w:footnote>
  <w:footnote w:id="38">
    <w:p w:rsidR="009A65B2" w:rsidRPr="00472FDD" w:rsidRDefault="009A65B2" w:rsidP="00025AFC">
      <w:pPr>
        <w:pStyle w:val="FootnoteText"/>
        <w:jc w:val="both"/>
      </w:pPr>
      <w:r w:rsidRPr="00472FDD">
        <w:rPr>
          <w:rStyle w:val="FootnoteReference"/>
        </w:rPr>
        <w:footnoteRef/>
      </w:r>
      <w:r w:rsidRPr="00472FDD">
        <w:t xml:space="preserve"> Ms. Ramas also indicated at Ramas page 50, ll 2-5 “Given the cyclical nature of the major maintenance projects at the generating facilities, it may be appropriate to normalize the costs if it can be demonstrated that the historic test year cost level is not reflective of normal operations.”</w:t>
      </w:r>
    </w:p>
  </w:footnote>
  <w:footnote w:id="39">
    <w:p w:rsidR="009A65B2" w:rsidRPr="00472FDD" w:rsidRDefault="009A65B2" w:rsidP="00025AFC">
      <w:pPr>
        <w:pStyle w:val="FootnoteText"/>
        <w:jc w:val="both"/>
      </w:pPr>
      <w:r w:rsidRPr="00472FDD">
        <w:rPr>
          <w:rStyle w:val="FootnoteReference"/>
        </w:rPr>
        <w:footnoteRef/>
      </w:r>
      <w:r w:rsidRPr="00472FDD">
        <w:t xml:space="preserve"> The hours of operation maintenance for these projects consist of a “Hot Gas Path” major maintenance for CS2 and Rathdrum Unit #1, which is required every 24,000 hours, as well as an overhaul on Boulder Park required after 12,000 hours of operation.</w:t>
      </w:r>
    </w:p>
  </w:footnote>
  <w:footnote w:id="40">
    <w:p w:rsidR="009A65B2" w:rsidRPr="00472FDD" w:rsidRDefault="009A65B2" w:rsidP="00025AFC">
      <w:pPr>
        <w:pStyle w:val="FootnoteText"/>
        <w:jc w:val="both"/>
      </w:pPr>
      <w:r w:rsidRPr="00472FDD">
        <w:rPr>
          <w:rStyle w:val="FootnoteReference"/>
        </w:rPr>
        <w:footnoteRef/>
      </w:r>
      <w:r w:rsidRPr="00472FDD">
        <w:t xml:space="preserve"> The deferral would be allocated to the Washington jurisdiction based on the Production / Transmission allocation percentages in place at the time the deferrals are made.</w:t>
      </w:r>
    </w:p>
  </w:footnote>
  <w:footnote w:id="41">
    <w:p w:rsidR="009A65B2" w:rsidRPr="00472FDD" w:rsidRDefault="009A65B2" w:rsidP="00025AFC">
      <w:pPr>
        <w:pStyle w:val="FootnoteText"/>
        <w:jc w:val="both"/>
      </w:pPr>
      <w:r w:rsidRPr="00472FDD">
        <w:rPr>
          <w:rStyle w:val="FootnoteReference"/>
        </w:rPr>
        <w:footnoteRef/>
      </w:r>
      <w:r w:rsidRPr="00472FDD">
        <w:t xml:space="preserve"> As a condition of the approval in Docket UE-110876, the Commission required the Parties to examine the mechanism in Avista’s next general rate case.  As a part of the agreed-to Settlement in Docket UE-120436 (as the deferral amount would have been minimal for the following 2013 rate year) the Parties agreed to e</w:t>
      </w:r>
      <w:r>
        <w:t>liminate the</w:t>
      </w:r>
      <w:r w:rsidRPr="00472FDD">
        <w:t xml:space="preserve"> deferral mechanism effective January 1, 2013.  However, similar to the 2016 HGP project proposed in this instance, the $3.9 million CS2 HGP had been a part of the amount deferred in 2012 and is currently being amortized over the four-year period 2013-2016.</w:t>
      </w:r>
    </w:p>
  </w:footnote>
  <w:footnote w:id="42">
    <w:p w:rsidR="009A65B2" w:rsidRPr="00472FDD" w:rsidRDefault="009A65B2" w:rsidP="00025AFC">
      <w:pPr>
        <w:pStyle w:val="FootnoteText"/>
        <w:jc w:val="both"/>
      </w:pPr>
      <w:r w:rsidRPr="00472FDD">
        <w:rPr>
          <w:rStyle w:val="FootnoteReference"/>
        </w:rPr>
        <w:footnoteRef/>
      </w:r>
      <w:r w:rsidRPr="00472FDD">
        <w:t xml:space="preserve"> </w:t>
      </w:r>
      <w:r>
        <w:t xml:space="preserve">Docket No. </w:t>
      </w:r>
      <w:r w:rsidRPr="00472FDD">
        <w:t xml:space="preserve">UE-110876, Joint Testimony </w:t>
      </w:r>
      <w:r>
        <w:t xml:space="preserve">(Exhibit No.__(T)), </w:t>
      </w:r>
      <w:r w:rsidRPr="00472FDD">
        <w:t>p</w:t>
      </w:r>
      <w:r>
        <w:t>age</w:t>
      </w:r>
      <w:r w:rsidRPr="00472FDD">
        <w:t xml:space="preserve"> 24, l</w:t>
      </w:r>
      <w:r>
        <w:t>ines</w:t>
      </w:r>
      <w:r w:rsidRPr="00472FDD">
        <w:t xml:space="preserve"> 18-20.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5B2" w:rsidRDefault="009A65B2" w:rsidP="00BA6761">
    <w:pPr>
      <w:pStyle w:val="Header"/>
      <w:ind w:right="-720"/>
      <w:jc w:val="right"/>
    </w:pPr>
    <w:r>
      <w:t>Exhibit No. __(KON-1T)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5B2" w:rsidRDefault="009A65B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5B2" w:rsidRDefault="009A65B2">
    <w:pPr>
      <w:pStyle w:val="Header"/>
      <w:jc w:val="right"/>
    </w:pPr>
    <w:r>
      <w:t>Exhibit No. ___(KON-1T)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5B2" w:rsidRDefault="009A65B2">
    <w:pPr>
      <w:pStyle w:val="Header"/>
      <w:tabs>
        <w:tab w:val="clear" w:pos="8640"/>
        <w:tab w:val="right" w:pos="9270"/>
      </w:tabs>
    </w:pPr>
    <w:r>
      <w:tab/>
    </w:r>
    <w:r>
      <w:tab/>
      <w:t xml:space="preserve">  Exhibit No. ___(KON-1T)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FFFFFFFE"/>
    <w:multiLevelType w:val="singleLevel"/>
    <w:tmpl w:val="59E29896"/>
    <w:lvl w:ilvl="0">
      <w:numFmt w:val="bullet"/>
      <w:lvlText w:val="*"/>
      <w:lvlJc w:val="left"/>
    </w:lvl>
  </w:abstractNum>
  <w:abstractNum w:abstractNumId="2">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3">
    <w:nsid w:val="00000002"/>
    <w:multiLevelType w:val="singleLevel"/>
    <w:tmpl w:val="00000002"/>
    <w:name w:val="WW8Num2"/>
    <w:lvl w:ilvl="0">
      <w:start w:val="1"/>
      <w:numFmt w:val="decimal"/>
      <w:lvlText w:val="%1."/>
      <w:lvlJc w:val="left"/>
      <w:pPr>
        <w:tabs>
          <w:tab w:val="num" w:pos="1440"/>
        </w:tabs>
        <w:ind w:left="1440" w:hanging="360"/>
      </w:pPr>
    </w:lvl>
  </w:abstractNum>
  <w:abstractNum w:abstractNumId="4">
    <w:nsid w:val="00000003"/>
    <w:multiLevelType w:val="multilevel"/>
    <w:tmpl w:val="00000003"/>
    <w:name w:val="WW8Num3"/>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00000004"/>
    <w:multiLevelType w:val="singleLevel"/>
    <w:tmpl w:val="00000004"/>
    <w:name w:val="WW8Num4"/>
    <w:lvl w:ilvl="0">
      <w:start w:val="1"/>
      <w:numFmt w:val="bullet"/>
      <w:pStyle w:val="AnswerBullets"/>
      <w:lvlText w:val=""/>
      <w:lvlJc w:val="left"/>
      <w:pPr>
        <w:tabs>
          <w:tab w:val="num" w:pos="360"/>
        </w:tabs>
        <w:ind w:left="360" w:hanging="360"/>
      </w:pPr>
      <w:rPr>
        <w:rFonts w:ascii="Symbol" w:hAnsi="Symbol" w:cs="Symbol"/>
      </w:rPr>
    </w:lvl>
  </w:abstractNum>
  <w:abstractNum w:abstractNumId="6">
    <w:nsid w:val="08141808"/>
    <w:multiLevelType w:val="hybridMultilevel"/>
    <w:tmpl w:val="CAE65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CC50351"/>
    <w:multiLevelType w:val="hybridMultilevel"/>
    <w:tmpl w:val="DCB6B7B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0D146E27"/>
    <w:multiLevelType w:val="hybridMultilevel"/>
    <w:tmpl w:val="5830C0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start w:val="1"/>
      <w:numFmt w:val="bullet"/>
      <w:lvlText w:val="o"/>
      <w:lvlJc w:val="left"/>
      <w:pPr>
        <w:tabs>
          <w:tab w:val="num" w:pos="2227"/>
        </w:tabs>
        <w:ind w:left="2227" w:hanging="360"/>
      </w:pPr>
      <w:rPr>
        <w:rFonts w:ascii="Courier New" w:hAnsi="Courier New" w:hint="default"/>
      </w:rPr>
    </w:lvl>
    <w:lvl w:ilvl="2" w:tplc="04090005">
      <w:start w:val="1"/>
      <w:numFmt w:val="bullet"/>
      <w:lvlText w:val=""/>
      <w:lvlJc w:val="left"/>
      <w:pPr>
        <w:tabs>
          <w:tab w:val="num" w:pos="2947"/>
        </w:tabs>
        <w:ind w:left="2947" w:hanging="360"/>
      </w:pPr>
      <w:rPr>
        <w:rFonts w:ascii="Wingdings" w:hAnsi="Wingdings" w:hint="default"/>
      </w:rPr>
    </w:lvl>
    <w:lvl w:ilvl="3" w:tplc="04090001">
      <w:start w:val="1"/>
      <w:numFmt w:val="bullet"/>
      <w:lvlText w:val=""/>
      <w:lvlJc w:val="left"/>
      <w:pPr>
        <w:tabs>
          <w:tab w:val="num" w:pos="3667"/>
        </w:tabs>
        <w:ind w:left="3667" w:hanging="360"/>
      </w:pPr>
      <w:rPr>
        <w:rFonts w:ascii="Symbol" w:hAnsi="Symbol" w:hint="default"/>
      </w:rPr>
    </w:lvl>
    <w:lvl w:ilvl="4" w:tplc="04090003">
      <w:start w:val="1"/>
      <w:numFmt w:val="bullet"/>
      <w:lvlText w:val="o"/>
      <w:lvlJc w:val="left"/>
      <w:pPr>
        <w:tabs>
          <w:tab w:val="num" w:pos="4387"/>
        </w:tabs>
        <w:ind w:left="4387" w:hanging="360"/>
      </w:pPr>
      <w:rPr>
        <w:rFonts w:ascii="Courier New" w:hAnsi="Courier New" w:hint="default"/>
      </w:rPr>
    </w:lvl>
    <w:lvl w:ilvl="5" w:tplc="04090005">
      <w:start w:val="1"/>
      <w:numFmt w:val="bullet"/>
      <w:lvlText w:val=""/>
      <w:lvlJc w:val="left"/>
      <w:pPr>
        <w:tabs>
          <w:tab w:val="num" w:pos="5107"/>
        </w:tabs>
        <w:ind w:left="5107" w:hanging="360"/>
      </w:pPr>
      <w:rPr>
        <w:rFonts w:ascii="Wingdings" w:hAnsi="Wingdings" w:hint="default"/>
      </w:rPr>
    </w:lvl>
    <w:lvl w:ilvl="6" w:tplc="04090001">
      <w:start w:val="1"/>
      <w:numFmt w:val="bullet"/>
      <w:lvlText w:val=""/>
      <w:lvlJc w:val="left"/>
      <w:pPr>
        <w:tabs>
          <w:tab w:val="num" w:pos="5827"/>
        </w:tabs>
        <w:ind w:left="5827" w:hanging="360"/>
      </w:pPr>
      <w:rPr>
        <w:rFonts w:ascii="Symbol" w:hAnsi="Symbol" w:hint="default"/>
      </w:rPr>
    </w:lvl>
    <w:lvl w:ilvl="7" w:tplc="04090003">
      <w:start w:val="1"/>
      <w:numFmt w:val="bullet"/>
      <w:lvlText w:val="o"/>
      <w:lvlJc w:val="left"/>
      <w:pPr>
        <w:tabs>
          <w:tab w:val="num" w:pos="6547"/>
        </w:tabs>
        <w:ind w:left="6547" w:hanging="360"/>
      </w:pPr>
      <w:rPr>
        <w:rFonts w:ascii="Courier New" w:hAnsi="Courier New" w:hint="default"/>
      </w:rPr>
    </w:lvl>
    <w:lvl w:ilvl="8" w:tplc="04090005">
      <w:start w:val="1"/>
      <w:numFmt w:val="bullet"/>
      <w:lvlText w:val=""/>
      <w:lvlJc w:val="left"/>
      <w:pPr>
        <w:tabs>
          <w:tab w:val="num" w:pos="7267"/>
        </w:tabs>
        <w:ind w:left="7267" w:hanging="360"/>
      </w:pPr>
      <w:rPr>
        <w:rFonts w:ascii="Wingdings" w:hAnsi="Wingdings" w:hint="default"/>
      </w:rPr>
    </w:lvl>
  </w:abstractNum>
  <w:abstractNum w:abstractNumId="10">
    <w:nsid w:val="17C93A11"/>
    <w:multiLevelType w:val="hybridMultilevel"/>
    <w:tmpl w:val="C95086D4"/>
    <w:lvl w:ilvl="0" w:tplc="A35ED6C0">
      <w:start w:val="1"/>
      <w:numFmt w:val="bullet"/>
      <w:lvlText w:val=""/>
      <w:lvlJc w:val="left"/>
      <w:pPr>
        <w:tabs>
          <w:tab w:val="num" w:pos="1440"/>
        </w:tabs>
        <w:ind w:left="1440" w:hanging="1440"/>
      </w:pPr>
      <w:rPr>
        <w:rFonts w:ascii="Symbol" w:eastAsia="Times New Roman" w:hAnsi="Symbol" w:hint="default"/>
      </w:rPr>
    </w:lvl>
    <w:lvl w:ilvl="1" w:tplc="04090003">
      <w:start w:val="1"/>
      <w:numFmt w:val="bullet"/>
      <w:lvlText w:val="o"/>
      <w:lvlJc w:val="left"/>
      <w:pPr>
        <w:tabs>
          <w:tab w:val="num" w:pos="90"/>
        </w:tabs>
        <w:ind w:left="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nsid w:val="219F0A4A"/>
    <w:multiLevelType w:val="hybridMultilevel"/>
    <w:tmpl w:val="CD38814E"/>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3591B12"/>
    <w:multiLevelType w:val="hybridMultilevel"/>
    <w:tmpl w:val="7C880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9A42DE"/>
    <w:multiLevelType w:val="hybridMultilevel"/>
    <w:tmpl w:val="273A3F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nsid w:val="43315E82"/>
    <w:multiLevelType w:val="hybridMultilevel"/>
    <w:tmpl w:val="6B6098D4"/>
    <w:lvl w:ilvl="0" w:tplc="CCD20AF2">
      <w:start w:val="2014"/>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195425"/>
    <w:multiLevelType w:val="hybridMultilevel"/>
    <w:tmpl w:val="894A6508"/>
    <w:lvl w:ilvl="0" w:tplc="6F907684">
      <w:start w:val="1"/>
      <w:numFmt w:val="bullet"/>
      <w:lvlText w:val=""/>
      <w:lvlJc w:val="left"/>
      <w:pPr>
        <w:tabs>
          <w:tab w:val="num" w:pos="1440"/>
        </w:tabs>
        <w:ind w:left="1440" w:hanging="360"/>
      </w:pPr>
      <w:rPr>
        <w:rFonts w:ascii="Symbol" w:hAnsi="Symbol" w:hint="default"/>
      </w:rPr>
    </w:lvl>
    <w:lvl w:ilvl="1" w:tplc="0580586C">
      <w:start w:val="1"/>
      <w:numFmt w:val="bullet"/>
      <w:lvlText w:val="o"/>
      <w:lvlJc w:val="left"/>
      <w:pPr>
        <w:tabs>
          <w:tab w:val="num" w:pos="2160"/>
        </w:tabs>
        <w:ind w:left="2160" w:hanging="360"/>
      </w:pPr>
      <w:rPr>
        <w:rFonts w:ascii="Courier New" w:hAnsi="Courier New" w:hint="default"/>
      </w:rPr>
    </w:lvl>
    <w:lvl w:ilvl="2" w:tplc="9AA89FB8">
      <w:start w:val="1"/>
      <w:numFmt w:val="bullet"/>
      <w:lvlText w:val=""/>
      <w:lvlJc w:val="left"/>
      <w:pPr>
        <w:tabs>
          <w:tab w:val="num" w:pos="2880"/>
        </w:tabs>
        <w:ind w:left="2880" w:hanging="360"/>
      </w:pPr>
      <w:rPr>
        <w:rFonts w:ascii="Wingdings" w:hAnsi="Wingdings" w:hint="default"/>
      </w:rPr>
    </w:lvl>
    <w:lvl w:ilvl="3" w:tplc="CA48AF9A">
      <w:start w:val="1"/>
      <w:numFmt w:val="bullet"/>
      <w:lvlText w:val=""/>
      <w:lvlJc w:val="left"/>
      <w:pPr>
        <w:tabs>
          <w:tab w:val="num" w:pos="3600"/>
        </w:tabs>
        <w:ind w:left="3600" w:hanging="360"/>
      </w:pPr>
      <w:rPr>
        <w:rFonts w:ascii="Symbol" w:hAnsi="Symbol" w:hint="default"/>
      </w:rPr>
    </w:lvl>
    <w:lvl w:ilvl="4" w:tplc="35C08108">
      <w:start w:val="1"/>
      <w:numFmt w:val="bullet"/>
      <w:lvlText w:val="o"/>
      <w:lvlJc w:val="left"/>
      <w:pPr>
        <w:tabs>
          <w:tab w:val="num" w:pos="4320"/>
        </w:tabs>
        <w:ind w:left="4320" w:hanging="360"/>
      </w:pPr>
      <w:rPr>
        <w:rFonts w:ascii="Courier New" w:hAnsi="Courier New" w:hint="default"/>
      </w:rPr>
    </w:lvl>
    <w:lvl w:ilvl="5" w:tplc="8962E140">
      <w:start w:val="1"/>
      <w:numFmt w:val="bullet"/>
      <w:lvlText w:val=""/>
      <w:lvlJc w:val="left"/>
      <w:pPr>
        <w:tabs>
          <w:tab w:val="num" w:pos="5040"/>
        </w:tabs>
        <w:ind w:left="5040" w:hanging="360"/>
      </w:pPr>
      <w:rPr>
        <w:rFonts w:ascii="Wingdings" w:hAnsi="Wingdings" w:hint="default"/>
      </w:rPr>
    </w:lvl>
    <w:lvl w:ilvl="6" w:tplc="CF8E1304">
      <w:start w:val="1"/>
      <w:numFmt w:val="bullet"/>
      <w:lvlText w:val=""/>
      <w:lvlJc w:val="left"/>
      <w:pPr>
        <w:tabs>
          <w:tab w:val="num" w:pos="5760"/>
        </w:tabs>
        <w:ind w:left="5760" w:hanging="360"/>
      </w:pPr>
      <w:rPr>
        <w:rFonts w:ascii="Symbol" w:hAnsi="Symbol" w:hint="default"/>
      </w:rPr>
    </w:lvl>
    <w:lvl w:ilvl="7" w:tplc="F2BE1650">
      <w:start w:val="1"/>
      <w:numFmt w:val="bullet"/>
      <w:lvlText w:val="o"/>
      <w:lvlJc w:val="left"/>
      <w:pPr>
        <w:tabs>
          <w:tab w:val="num" w:pos="6480"/>
        </w:tabs>
        <w:ind w:left="6480" w:hanging="360"/>
      </w:pPr>
      <w:rPr>
        <w:rFonts w:ascii="Courier New" w:hAnsi="Courier New" w:hint="default"/>
      </w:rPr>
    </w:lvl>
    <w:lvl w:ilvl="8" w:tplc="3920E39A">
      <w:start w:val="1"/>
      <w:numFmt w:val="bullet"/>
      <w:lvlText w:val=""/>
      <w:lvlJc w:val="left"/>
      <w:pPr>
        <w:tabs>
          <w:tab w:val="num" w:pos="7200"/>
        </w:tabs>
        <w:ind w:left="7200" w:hanging="360"/>
      </w:pPr>
      <w:rPr>
        <w:rFonts w:ascii="Wingdings" w:hAnsi="Wingdings" w:hint="default"/>
      </w:rPr>
    </w:lvl>
  </w:abstractNum>
  <w:abstractNum w:abstractNumId="16">
    <w:nsid w:val="51377666"/>
    <w:multiLevelType w:val="hybridMultilevel"/>
    <w:tmpl w:val="20D86A86"/>
    <w:lvl w:ilvl="0" w:tplc="04090001">
      <w:start w:val="1"/>
      <w:numFmt w:val="bullet"/>
      <w:lvlText w:val=""/>
      <w:lvlJc w:val="left"/>
      <w:pPr>
        <w:ind w:left="2167" w:hanging="360"/>
      </w:pPr>
      <w:rPr>
        <w:rFonts w:ascii="Symbol" w:hAnsi="Symbol" w:hint="default"/>
      </w:rPr>
    </w:lvl>
    <w:lvl w:ilvl="1" w:tplc="04090003" w:tentative="1">
      <w:start w:val="1"/>
      <w:numFmt w:val="bullet"/>
      <w:lvlText w:val="o"/>
      <w:lvlJc w:val="left"/>
      <w:pPr>
        <w:ind w:left="2887" w:hanging="360"/>
      </w:pPr>
      <w:rPr>
        <w:rFonts w:ascii="Courier New" w:hAnsi="Courier New" w:cs="Courier New" w:hint="default"/>
      </w:rPr>
    </w:lvl>
    <w:lvl w:ilvl="2" w:tplc="04090005" w:tentative="1">
      <w:start w:val="1"/>
      <w:numFmt w:val="bullet"/>
      <w:lvlText w:val=""/>
      <w:lvlJc w:val="left"/>
      <w:pPr>
        <w:ind w:left="3607" w:hanging="360"/>
      </w:pPr>
      <w:rPr>
        <w:rFonts w:ascii="Wingdings" w:hAnsi="Wingdings" w:hint="default"/>
      </w:rPr>
    </w:lvl>
    <w:lvl w:ilvl="3" w:tplc="04090001" w:tentative="1">
      <w:start w:val="1"/>
      <w:numFmt w:val="bullet"/>
      <w:lvlText w:val=""/>
      <w:lvlJc w:val="left"/>
      <w:pPr>
        <w:ind w:left="4327" w:hanging="360"/>
      </w:pPr>
      <w:rPr>
        <w:rFonts w:ascii="Symbol" w:hAnsi="Symbol" w:hint="default"/>
      </w:rPr>
    </w:lvl>
    <w:lvl w:ilvl="4" w:tplc="04090003" w:tentative="1">
      <w:start w:val="1"/>
      <w:numFmt w:val="bullet"/>
      <w:lvlText w:val="o"/>
      <w:lvlJc w:val="left"/>
      <w:pPr>
        <w:ind w:left="5047" w:hanging="360"/>
      </w:pPr>
      <w:rPr>
        <w:rFonts w:ascii="Courier New" w:hAnsi="Courier New" w:cs="Courier New" w:hint="default"/>
      </w:rPr>
    </w:lvl>
    <w:lvl w:ilvl="5" w:tplc="04090005" w:tentative="1">
      <w:start w:val="1"/>
      <w:numFmt w:val="bullet"/>
      <w:lvlText w:val=""/>
      <w:lvlJc w:val="left"/>
      <w:pPr>
        <w:ind w:left="5767" w:hanging="360"/>
      </w:pPr>
      <w:rPr>
        <w:rFonts w:ascii="Wingdings" w:hAnsi="Wingdings" w:hint="default"/>
      </w:rPr>
    </w:lvl>
    <w:lvl w:ilvl="6" w:tplc="04090001" w:tentative="1">
      <w:start w:val="1"/>
      <w:numFmt w:val="bullet"/>
      <w:lvlText w:val=""/>
      <w:lvlJc w:val="left"/>
      <w:pPr>
        <w:ind w:left="6487" w:hanging="360"/>
      </w:pPr>
      <w:rPr>
        <w:rFonts w:ascii="Symbol" w:hAnsi="Symbol" w:hint="default"/>
      </w:rPr>
    </w:lvl>
    <w:lvl w:ilvl="7" w:tplc="04090003" w:tentative="1">
      <w:start w:val="1"/>
      <w:numFmt w:val="bullet"/>
      <w:lvlText w:val="o"/>
      <w:lvlJc w:val="left"/>
      <w:pPr>
        <w:ind w:left="7207" w:hanging="360"/>
      </w:pPr>
      <w:rPr>
        <w:rFonts w:ascii="Courier New" w:hAnsi="Courier New" w:cs="Courier New" w:hint="default"/>
      </w:rPr>
    </w:lvl>
    <w:lvl w:ilvl="8" w:tplc="04090005" w:tentative="1">
      <w:start w:val="1"/>
      <w:numFmt w:val="bullet"/>
      <w:lvlText w:val=""/>
      <w:lvlJc w:val="left"/>
      <w:pPr>
        <w:ind w:left="7927" w:hanging="360"/>
      </w:pPr>
      <w:rPr>
        <w:rFonts w:ascii="Wingdings" w:hAnsi="Wingdings" w:hint="default"/>
      </w:rPr>
    </w:lvl>
  </w:abstractNum>
  <w:abstractNum w:abstractNumId="17">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443B2C"/>
    <w:multiLevelType w:val="multilevel"/>
    <w:tmpl w:val="00000003"/>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3"/>
  </w:num>
  <w:num w:numId="3">
    <w:abstractNumId w:val="4"/>
  </w:num>
  <w:num w:numId="4">
    <w:abstractNumId w:val="5"/>
  </w:num>
  <w:num w:numId="5">
    <w:abstractNumId w:val="18"/>
  </w:num>
  <w:num w:numId="6">
    <w:abstractNumId w:val="10"/>
  </w:num>
  <w:num w:numId="7">
    <w:abstractNumId w:val="15"/>
  </w:num>
  <w:num w:numId="8">
    <w:abstractNumId w:val="9"/>
  </w:num>
  <w:num w:numId="9">
    <w:abstractNumId w:val="6"/>
  </w:num>
  <w:num w:numId="10">
    <w:abstractNumId w:val="7"/>
  </w:num>
  <w:num w:numId="11">
    <w:abstractNumId w:val="0"/>
  </w:num>
  <w:num w:numId="12">
    <w:abstractNumId w:val="13"/>
  </w:num>
  <w:num w:numId="13">
    <w:abstractNumId w:val="1"/>
    <w:lvlOverride w:ilvl="0">
      <w:lvl w:ilvl="0">
        <w:numFmt w:val="bullet"/>
        <w:lvlText w:val=""/>
        <w:legacy w:legacy="1" w:legacySpace="0" w:legacyIndent="360"/>
        <w:lvlJc w:val="left"/>
        <w:rPr>
          <w:rFonts w:ascii="Symbol" w:hAnsi="Symbol" w:hint="default"/>
        </w:rPr>
      </w:lvl>
    </w:lvlOverride>
  </w:num>
  <w:num w:numId="14">
    <w:abstractNumId w:val="8"/>
  </w:num>
  <w:num w:numId="15">
    <w:abstractNumId w:val="11"/>
  </w:num>
  <w:num w:numId="16">
    <w:abstractNumId w:val="12"/>
  </w:num>
  <w:num w:numId="17">
    <w:abstractNumId w:val="16"/>
  </w:num>
  <w:num w:numId="18">
    <w:abstractNumId w:val="1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720"/>
  <w:drawingGridHorizontalSpacing w:val="120"/>
  <w:drawingGridVerticalSpacing w:val="0"/>
  <w:displayHorizontalDrawingGridEvery w:val="0"/>
  <w:displayVerticalDrawingGridEvery w:val="0"/>
  <w:characterSpacingControl w:val="compressPunctuation"/>
  <w:footnotePr>
    <w:footnote w:id="-1"/>
    <w:footnote w:id="0"/>
  </w:footnotePr>
  <w:endnotePr>
    <w:endnote w:id="-1"/>
    <w:endnote w:id="0"/>
  </w:endnotePr>
  <w:compat/>
  <w:rsids>
    <w:rsidRoot w:val="00E51C9B"/>
    <w:rsid w:val="00000DE2"/>
    <w:rsid w:val="000024C1"/>
    <w:rsid w:val="00004D1B"/>
    <w:rsid w:val="0000526F"/>
    <w:rsid w:val="00005BCC"/>
    <w:rsid w:val="00006175"/>
    <w:rsid w:val="0002177B"/>
    <w:rsid w:val="000235DD"/>
    <w:rsid w:val="00023E02"/>
    <w:rsid w:val="000245EF"/>
    <w:rsid w:val="00025892"/>
    <w:rsid w:val="00025AFC"/>
    <w:rsid w:val="00027AD9"/>
    <w:rsid w:val="00027AEA"/>
    <w:rsid w:val="0003053E"/>
    <w:rsid w:val="00030667"/>
    <w:rsid w:val="0003515B"/>
    <w:rsid w:val="000373CF"/>
    <w:rsid w:val="000404DB"/>
    <w:rsid w:val="00040C48"/>
    <w:rsid w:val="00042362"/>
    <w:rsid w:val="000423A9"/>
    <w:rsid w:val="0004310D"/>
    <w:rsid w:val="00044CBB"/>
    <w:rsid w:val="00045553"/>
    <w:rsid w:val="000468FB"/>
    <w:rsid w:val="0004691C"/>
    <w:rsid w:val="00052572"/>
    <w:rsid w:val="00055242"/>
    <w:rsid w:val="00056588"/>
    <w:rsid w:val="00060227"/>
    <w:rsid w:val="00064128"/>
    <w:rsid w:val="00064A88"/>
    <w:rsid w:val="00064EF2"/>
    <w:rsid w:val="00065646"/>
    <w:rsid w:val="000656C9"/>
    <w:rsid w:val="00070C5B"/>
    <w:rsid w:val="000753D9"/>
    <w:rsid w:val="00076C9B"/>
    <w:rsid w:val="00080671"/>
    <w:rsid w:val="00081B94"/>
    <w:rsid w:val="00085236"/>
    <w:rsid w:val="0008583E"/>
    <w:rsid w:val="0009034F"/>
    <w:rsid w:val="00092919"/>
    <w:rsid w:val="00092AFD"/>
    <w:rsid w:val="0009399A"/>
    <w:rsid w:val="00096116"/>
    <w:rsid w:val="00097C63"/>
    <w:rsid w:val="000A0026"/>
    <w:rsid w:val="000A3225"/>
    <w:rsid w:val="000A43DB"/>
    <w:rsid w:val="000A5342"/>
    <w:rsid w:val="000A6B1B"/>
    <w:rsid w:val="000B0C21"/>
    <w:rsid w:val="000B3586"/>
    <w:rsid w:val="000B5D53"/>
    <w:rsid w:val="000B6EF8"/>
    <w:rsid w:val="000B760B"/>
    <w:rsid w:val="000B7B92"/>
    <w:rsid w:val="000C1B48"/>
    <w:rsid w:val="000C1BD1"/>
    <w:rsid w:val="000C55FB"/>
    <w:rsid w:val="000C7C2C"/>
    <w:rsid w:val="000D0E4C"/>
    <w:rsid w:val="000D420A"/>
    <w:rsid w:val="000D5DD1"/>
    <w:rsid w:val="000E3994"/>
    <w:rsid w:val="000E3E5D"/>
    <w:rsid w:val="000E3FB6"/>
    <w:rsid w:val="000E5196"/>
    <w:rsid w:val="000E638B"/>
    <w:rsid w:val="000F174D"/>
    <w:rsid w:val="000F2777"/>
    <w:rsid w:val="000F2D6A"/>
    <w:rsid w:val="000F402B"/>
    <w:rsid w:val="000F460A"/>
    <w:rsid w:val="000F60E0"/>
    <w:rsid w:val="000F6662"/>
    <w:rsid w:val="0010008C"/>
    <w:rsid w:val="00100372"/>
    <w:rsid w:val="00101D2A"/>
    <w:rsid w:val="00103050"/>
    <w:rsid w:val="00106F2F"/>
    <w:rsid w:val="00111991"/>
    <w:rsid w:val="00113C5C"/>
    <w:rsid w:val="00114CC7"/>
    <w:rsid w:val="00122A82"/>
    <w:rsid w:val="00124036"/>
    <w:rsid w:val="00126C61"/>
    <w:rsid w:val="00127B15"/>
    <w:rsid w:val="00131DB6"/>
    <w:rsid w:val="001339D0"/>
    <w:rsid w:val="001347AD"/>
    <w:rsid w:val="00135B62"/>
    <w:rsid w:val="0013636E"/>
    <w:rsid w:val="0013657E"/>
    <w:rsid w:val="00145AC4"/>
    <w:rsid w:val="00146B9C"/>
    <w:rsid w:val="00146F7A"/>
    <w:rsid w:val="00150470"/>
    <w:rsid w:val="00151548"/>
    <w:rsid w:val="00153EBC"/>
    <w:rsid w:val="00153F77"/>
    <w:rsid w:val="0015425D"/>
    <w:rsid w:val="00155A7B"/>
    <w:rsid w:val="001563B9"/>
    <w:rsid w:val="001575AA"/>
    <w:rsid w:val="00160BD0"/>
    <w:rsid w:val="00161883"/>
    <w:rsid w:val="00161D45"/>
    <w:rsid w:val="001644E4"/>
    <w:rsid w:val="00165D92"/>
    <w:rsid w:val="00167A9A"/>
    <w:rsid w:val="00170CDE"/>
    <w:rsid w:val="00171228"/>
    <w:rsid w:val="001713D5"/>
    <w:rsid w:val="0017143F"/>
    <w:rsid w:val="0017355D"/>
    <w:rsid w:val="00175FA0"/>
    <w:rsid w:val="001762B1"/>
    <w:rsid w:val="00176BD4"/>
    <w:rsid w:val="00177BC9"/>
    <w:rsid w:val="00182594"/>
    <w:rsid w:val="00183073"/>
    <w:rsid w:val="00184757"/>
    <w:rsid w:val="001855BF"/>
    <w:rsid w:val="001857E4"/>
    <w:rsid w:val="00187BAB"/>
    <w:rsid w:val="00190E50"/>
    <w:rsid w:val="00191659"/>
    <w:rsid w:val="001927F4"/>
    <w:rsid w:val="0019394E"/>
    <w:rsid w:val="001947B0"/>
    <w:rsid w:val="00195184"/>
    <w:rsid w:val="00195592"/>
    <w:rsid w:val="00197942"/>
    <w:rsid w:val="001A24DE"/>
    <w:rsid w:val="001A28E2"/>
    <w:rsid w:val="001A3FAE"/>
    <w:rsid w:val="001A4238"/>
    <w:rsid w:val="001A5621"/>
    <w:rsid w:val="001B2A78"/>
    <w:rsid w:val="001B43E9"/>
    <w:rsid w:val="001B4986"/>
    <w:rsid w:val="001B5035"/>
    <w:rsid w:val="001B55A3"/>
    <w:rsid w:val="001B6BA7"/>
    <w:rsid w:val="001B6E9C"/>
    <w:rsid w:val="001C51AC"/>
    <w:rsid w:val="001C588F"/>
    <w:rsid w:val="001D0797"/>
    <w:rsid w:val="001D0A84"/>
    <w:rsid w:val="001D1209"/>
    <w:rsid w:val="001D17B6"/>
    <w:rsid w:val="001D17ED"/>
    <w:rsid w:val="001D3053"/>
    <w:rsid w:val="001D5816"/>
    <w:rsid w:val="001D6B99"/>
    <w:rsid w:val="001D70B8"/>
    <w:rsid w:val="001E0557"/>
    <w:rsid w:val="001E327C"/>
    <w:rsid w:val="001E5E10"/>
    <w:rsid w:val="001F1E80"/>
    <w:rsid w:val="001F355E"/>
    <w:rsid w:val="001F453C"/>
    <w:rsid w:val="001F746D"/>
    <w:rsid w:val="002001BC"/>
    <w:rsid w:val="00203004"/>
    <w:rsid w:val="0020301E"/>
    <w:rsid w:val="00203416"/>
    <w:rsid w:val="002047A5"/>
    <w:rsid w:val="00204971"/>
    <w:rsid w:val="00207AB5"/>
    <w:rsid w:val="002103B9"/>
    <w:rsid w:val="00210481"/>
    <w:rsid w:val="002113ED"/>
    <w:rsid w:val="00212480"/>
    <w:rsid w:val="00212515"/>
    <w:rsid w:val="00214F4C"/>
    <w:rsid w:val="002150A8"/>
    <w:rsid w:val="00216A2B"/>
    <w:rsid w:val="00224FE1"/>
    <w:rsid w:val="002267A8"/>
    <w:rsid w:val="002275C2"/>
    <w:rsid w:val="00230A45"/>
    <w:rsid w:val="00230CDF"/>
    <w:rsid w:val="00230EF0"/>
    <w:rsid w:val="00230F3D"/>
    <w:rsid w:val="00231926"/>
    <w:rsid w:val="002379B9"/>
    <w:rsid w:val="002417C1"/>
    <w:rsid w:val="00241CFF"/>
    <w:rsid w:val="00242E0D"/>
    <w:rsid w:val="002434C6"/>
    <w:rsid w:val="00243D51"/>
    <w:rsid w:val="0024516A"/>
    <w:rsid w:val="00247D17"/>
    <w:rsid w:val="0025008C"/>
    <w:rsid w:val="00253DCF"/>
    <w:rsid w:val="0025491B"/>
    <w:rsid w:val="002567F1"/>
    <w:rsid w:val="00257AEE"/>
    <w:rsid w:val="002612CC"/>
    <w:rsid w:val="00261D16"/>
    <w:rsid w:val="00271314"/>
    <w:rsid w:val="00273379"/>
    <w:rsid w:val="00275105"/>
    <w:rsid w:val="00277F27"/>
    <w:rsid w:val="00280E96"/>
    <w:rsid w:val="00282A84"/>
    <w:rsid w:val="00282F60"/>
    <w:rsid w:val="00283B04"/>
    <w:rsid w:val="00287725"/>
    <w:rsid w:val="002A212F"/>
    <w:rsid w:val="002A365D"/>
    <w:rsid w:val="002A57EB"/>
    <w:rsid w:val="002A6B5F"/>
    <w:rsid w:val="002B0322"/>
    <w:rsid w:val="002B2BF2"/>
    <w:rsid w:val="002B3459"/>
    <w:rsid w:val="002B3D2D"/>
    <w:rsid w:val="002B4667"/>
    <w:rsid w:val="002B5A14"/>
    <w:rsid w:val="002B6008"/>
    <w:rsid w:val="002B7800"/>
    <w:rsid w:val="002C063D"/>
    <w:rsid w:val="002C48DC"/>
    <w:rsid w:val="002D0524"/>
    <w:rsid w:val="002D222A"/>
    <w:rsid w:val="002D230A"/>
    <w:rsid w:val="002D28F0"/>
    <w:rsid w:val="002D38A7"/>
    <w:rsid w:val="002D3F96"/>
    <w:rsid w:val="002D5E3B"/>
    <w:rsid w:val="002D70C9"/>
    <w:rsid w:val="002D7166"/>
    <w:rsid w:val="002E0554"/>
    <w:rsid w:val="002E3050"/>
    <w:rsid w:val="002E322E"/>
    <w:rsid w:val="002E3A5A"/>
    <w:rsid w:val="002E4AE0"/>
    <w:rsid w:val="002E594D"/>
    <w:rsid w:val="002E6BAF"/>
    <w:rsid w:val="002F06BA"/>
    <w:rsid w:val="002F24BB"/>
    <w:rsid w:val="002F3671"/>
    <w:rsid w:val="002F4A68"/>
    <w:rsid w:val="002F5970"/>
    <w:rsid w:val="002F7DFE"/>
    <w:rsid w:val="00301A3D"/>
    <w:rsid w:val="00301F1A"/>
    <w:rsid w:val="00302BF3"/>
    <w:rsid w:val="0030320E"/>
    <w:rsid w:val="00304736"/>
    <w:rsid w:val="00304EFF"/>
    <w:rsid w:val="00307F29"/>
    <w:rsid w:val="0031179D"/>
    <w:rsid w:val="00313109"/>
    <w:rsid w:val="003133B8"/>
    <w:rsid w:val="00315567"/>
    <w:rsid w:val="0031676E"/>
    <w:rsid w:val="003176C2"/>
    <w:rsid w:val="00317AB4"/>
    <w:rsid w:val="00320C3F"/>
    <w:rsid w:val="00321259"/>
    <w:rsid w:val="003213CB"/>
    <w:rsid w:val="003219F6"/>
    <w:rsid w:val="00322B0C"/>
    <w:rsid w:val="0032379E"/>
    <w:rsid w:val="00325E48"/>
    <w:rsid w:val="00331691"/>
    <w:rsid w:val="00332C46"/>
    <w:rsid w:val="00335AC2"/>
    <w:rsid w:val="00342364"/>
    <w:rsid w:val="00342F5D"/>
    <w:rsid w:val="00346133"/>
    <w:rsid w:val="00350952"/>
    <w:rsid w:val="00351038"/>
    <w:rsid w:val="00352D68"/>
    <w:rsid w:val="00356563"/>
    <w:rsid w:val="00362A3F"/>
    <w:rsid w:val="0036514D"/>
    <w:rsid w:val="003665E9"/>
    <w:rsid w:val="003667F6"/>
    <w:rsid w:val="00370FC6"/>
    <w:rsid w:val="003714B3"/>
    <w:rsid w:val="00375097"/>
    <w:rsid w:val="003767F2"/>
    <w:rsid w:val="00376F93"/>
    <w:rsid w:val="00377072"/>
    <w:rsid w:val="0037784A"/>
    <w:rsid w:val="00380FD4"/>
    <w:rsid w:val="00383923"/>
    <w:rsid w:val="00384268"/>
    <w:rsid w:val="003843A7"/>
    <w:rsid w:val="00384EDC"/>
    <w:rsid w:val="00385621"/>
    <w:rsid w:val="00387F99"/>
    <w:rsid w:val="0039614C"/>
    <w:rsid w:val="003A0579"/>
    <w:rsid w:val="003A34E2"/>
    <w:rsid w:val="003A3877"/>
    <w:rsid w:val="003A50B0"/>
    <w:rsid w:val="003A6472"/>
    <w:rsid w:val="003B0AEF"/>
    <w:rsid w:val="003B48B3"/>
    <w:rsid w:val="003B4B12"/>
    <w:rsid w:val="003B564D"/>
    <w:rsid w:val="003B57B3"/>
    <w:rsid w:val="003C0B77"/>
    <w:rsid w:val="003C11E9"/>
    <w:rsid w:val="003C52F4"/>
    <w:rsid w:val="003C5604"/>
    <w:rsid w:val="003D46DA"/>
    <w:rsid w:val="003D67C7"/>
    <w:rsid w:val="003D7AF2"/>
    <w:rsid w:val="003E1F60"/>
    <w:rsid w:val="003E286B"/>
    <w:rsid w:val="003E629B"/>
    <w:rsid w:val="003E6C89"/>
    <w:rsid w:val="003F1FCE"/>
    <w:rsid w:val="003F37AA"/>
    <w:rsid w:val="003F4AE2"/>
    <w:rsid w:val="003F4CD5"/>
    <w:rsid w:val="003F5661"/>
    <w:rsid w:val="003F56AC"/>
    <w:rsid w:val="003F5F8F"/>
    <w:rsid w:val="003F6D28"/>
    <w:rsid w:val="003F6EE6"/>
    <w:rsid w:val="003F7B7A"/>
    <w:rsid w:val="00400E0B"/>
    <w:rsid w:val="00401002"/>
    <w:rsid w:val="004017FE"/>
    <w:rsid w:val="00405A4A"/>
    <w:rsid w:val="00406601"/>
    <w:rsid w:val="0040704F"/>
    <w:rsid w:val="004079A0"/>
    <w:rsid w:val="00410F0D"/>
    <w:rsid w:val="00412B33"/>
    <w:rsid w:val="00415A64"/>
    <w:rsid w:val="004217D3"/>
    <w:rsid w:val="00422043"/>
    <w:rsid w:val="004223D3"/>
    <w:rsid w:val="00423620"/>
    <w:rsid w:val="00424C4F"/>
    <w:rsid w:val="00426022"/>
    <w:rsid w:val="00426A57"/>
    <w:rsid w:val="0042761D"/>
    <w:rsid w:val="00427AD9"/>
    <w:rsid w:val="00427F72"/>
    <w:rsid w:val="00431AB9"/>
    <w:rsid w:val="00431F0A"/>
    <w:rsid w:val="0043204B"/>
    <w:rsid w:val="00435A86"/>
    <w:rsid w:val="004361BF"/>
    <w:rsid w:val="004407C7"/>
    <w:rsid w:val="00443BD4"/>
    <w:rsid w:val="00446EB1"/>
    <w:rsid w:val="00446F13"/>
    <w:rsid w:val="00447CEC"/>
    <w:rsid w:val="00452522"/>
    <w:rsid w:val="00454AE9"/>
    <w:rsid w:val="00456CE0"/>
    <w:rsid w:val="00457F11"/>
    <w:rsid w:val="00460352"/>
    <w:rsid w:val="00462D28"/>
    <w:rsid w:val="0046408A"/>
    <w:rsid w:val="00466849"/>
    <w:rsid w:val="00467038"/>
    <w:rsid w:val="00467CDF"/>
    <w:rsid w:val="004716C1"/>
    <w:rsid w:val="00472FDD"/>
    <w:rsid w:val="00473C2B"/>
    <w:rsid w:val="00475940"/>
    <w:rsid w:val="00476669"/>
    <w:rsid w:val="004769F6"/>
    <w:rsid w:val="00477463"/>
    <w:rsid w:val="0048081A"/>
    <w:rsid w:val="00481D1E"/>
    <w:rsid w:val="0048511D"/>
    <w:rsid w:val="00487537"/>
    <w:rsid w:val="0049001D"/>
    <w:rsid w:val="00491AE9"/>
    <w:rsid w:val="00491B78"/>
    <w:rsid w:val="004A3730"/>
    <w:rsid w:val="004A3B57"/>
    <w:rsid w:val="004A6E8F"/>
    <w:rsid w:val="004A73AC"/>
    <w:rsid w:val="004A786B"/>
    <w:rsid w:val="004B03B3"/>
    <w:rsid w:val="004B6A80"/>
    <w:rsid w:val="004C09B0"/>
    <w:rsid w:val="004C14D1"/>
    <w:rsid w:val="004C470E"/>
    <w:rsid w:val="004C5947"/>
    <w:rsid w:val="004C5C6E"/>
    <w:rsid w:val="004C615D"/>
    <w:rsid w:val="004C6E5D"/>
    <w:rsid w:val="004D1C46"/>
    <w:rsid w:val="004D1F1B"/>
    <w:rsid w:val="004D2D3B"/>
    <w:rsid w:val="004D447C"/>
    <w:rsid w:val="004D4BC8"/>
    <w:rsid w:val="004D66C2"/>
    <w:rsid w:val="004D7795"/>
    <w:rsid w:val="004D7E25"/>
    <w:rsid w:val="004E19F0"/>
    <w:rsid w:val="004E4E98"/>
    <w:rsid w:val="004E6AF8"/>
    <w:rsid w:val="004F0F24"/>
    <w:rsid w:val="004F436C"/>
    <w:rsid w:val="004F7E28"/>
    <w:rsid w:val="00500064"/>
    <w:rsid w:val="0050073C"/>
    <w:rsid w:val="0050527C"/>
    <w:rsid w:val="00505973"/>
    <w:rsid w:val="00507183"/>
    <w:rsid w:val="00507431"/>
    <w:rsid w:val="005078AF"/>
    <w:rsid w:val="00512AD6"/>
    <w:rsid w:val="00514598"/>
    <w:rsid w:val="00514875"/>
    <w:rsid w:val="00514FF6"/>
    <w:rsid w:val="0051741A"/>
    <w:rsid w:val="005213BB"/>
    <w:rsid w:val="00522D0E"/>
    <w:rsid w:val="00524CC6"/>
    <w:rsid w:val="00525E18"/>
    <w:rsid w:val="00527EA6"/>
    <w:rsid w:val="005304C2"/>
    <w:rsid w:val="00530A74"/>
    <w:rsid w:val="00531C13"/>
    <w:rsid w:val="00532E9B"/>
    <w:rsid w:val="005355FA"/>
    <w:rsid w:val="005375E4"/>
    <w:rsid w:val="0054094E"/>
    <w:rsid w:val="0054626A"/>
    <w:rsid w:val="00551B32"/>
    <w:rsid w:val="005536CE"/>
    <w:rsid w:val="00553C66"/>
    <w:rsid w:val="00554F0A"/>
    <w:rsid w:val="00555374"/>
    <w:rsid w:val="0055583C"/>
    <w:rsid w:val="00555FB8"/>
    <w:rsid w:val="005565D7"/>
    <w:rsid w:val="00561240"/>
    <w:rsid w:val="005615F6"/>
    <w:rsid w:val="00564259"/>
    <w:rsid w:val="00564A18"/>
    <w:rsid w:val="00566797"/>
    <w:rsid w:val="0057232A"/>
    <w:rsid w:val="00572C9C"/>
    <w:rsid w:val="005742CE"/>
    <w:rsid w:val="00575AF9"/>
    <w:rsid w:val="00576443"/>
    <w:rsid w:val="00576C22"/>
    <w:rsid w:val="00576CD0"/>
    <w:rsid w:val="0057767D"/>
    <w:rsid w:val="00583C0D"/>
    <w:rsid w:val="0058451F"/>
    <w:rsid w:val="00585549"/>
    <w:rsid w:val="00585F6A"/>
    <w:rsid w:val="00587608"/>
    <w:rsid w:val="00590465"/>
    <w:rsid w:val="005926D2"/>
    <w:rsid w:val="005941C6"/>
    <w:rsid w:val="0059453C"/>
    <w:rsid w:val="00595448"/>
    <w:rsid w:val="005960DD"/>
    <w:rsid w:val="005A60EC"/>
    <w:rsid w:val="005A625F"/>
    <w:rsid w:val="005A6B12"/>
    <w:rsid w:val="005B1020"/>
    <w:rsid w:val="005B1A39"/>
    <w:rsid w:val="005B2048"/>
    <w:rsid w:val="005B3CA2"/>
    <w:rsid w:val="005C0590"/>
    <w:rsid w:val="005C2888"/>
    <w:rsid w:val="005D0067"/>
    <w:rsid w:val="005D2DD0"/>
    <w:rsid w:val="005D434E"/>
    <w:rsid w:val="005D482E"/>
    <w:rsid w:val="005D4E7E"/>
    <w:rsid w:val="005D6B72"/>
    <w:rsid w:val="005D7497"/>
    <w:rsid w:val="005D74B0"/>
    <w:rsid w:val="005D7806"/>
    <w:rsid w:val="005E26FF"/>
    <w:rsid w:val="005E4411"/>
    <w:rsid w:val="005E493A"/>
    <w:rsid w:val="005E605F"/>
    <w:rsid w:val="005F38C5"/>
    <w:rsid w:val="005F3E2A"/>
    <w:rsid w:val="005F4878"/>
    <w:rsid w:val="005F5D09"/>
    <w:rsid w:val="00601389"/>
    <w:rsid w:val="006023DC"/>
    <w:rsid w:val="00605143"/>
    <w:rsid w:val="00606B96"/>
    <w:rsid w:val="00606F96"/>
    <w:rsid w:val="00607724"/>
    <w:rsid w:val="00611206"/>
    <w:rsid w:val="00615AB9"/>
    <w:rsid w:val="00616A67"/>
    <w:rsid w:val="00617896"/>
    <w:rsid w:val="00617D29"/>
    <w:rsid w:val="00620079"/>
    <w:rsid w:val="00620AA0"/>
    <w:rsid w:val="006226FF"/>
    <w:rsid w:val="006227F4"/>
    <w:rsid w:val="006258D6"/>
    <w:rsid w:val="00625B27"/>
    <w:rsid w:val="006322C8"/>
    <w:rsid w:val="00632D00"/>
    <w:rsid w:val="00633998"/>
    <w:rsid w:val="00640F67"/>
    <w:rsid w:val="00640FE2"/>
    <w:rsid w:val="00651B8C"/>
    <w:rsid w:val="0065238F"/>
    <w:rsid w:val="00654ECE"/>
    <w:rsid w:val="00657040"/>
    <w:rsid w:val="00657F56"/>
    <w:rsid w:val="00660632"/>
    <w:rsid w:val="00660719"/>
    <w:rsid w:val="00662018"/>
    <w:rsid w:val="00662374"/>
    <w:rsid w:val="006666BD"/>
    <w:rsid w:val="006716FD"/>
    <w:rsid w:val="00675630"/>
    <w:rsid w:val="00675F97"/>
    <w:rsid w:val="00676B07"/>
    <w:rsid w:val="00676CAD"/>
    <w:rsid w:val="00680BD3"/>
    <w:rsid w:val="00682061"/>
    <w:rsid w:val="006830E5"/>
    <w:rsid w:val="00685937"/>
    <w:rsid w:val="006871FC"/>
    <w:rsid w:val="00690C63"/>
    <w:rsid w:val="00690DA5"/>
    <w:rsid w:val="00691942"/>
    <w:rsid w:val="006925C4"/>
    <w:rsid w:val="006A0BA9"/>
    <w:rsid w:val="006A433E"/>
    <w:rsid w:val="006A66D2"/>
    <w:rsid w:val="006A6D8B"/>
    <w:rsid w:val="006A7330"/>
    <w:rsid w:val="006A7CF0"/>
    <w:rsid w:val="006B269B"/>
    <w:rsid w:val="006B56DB"/>
    <w:rsid w:val="006B5B0D"/>
    <w:rsid w:val="006B5D26"/>
    <w:rsid w:val="006B6C74"/>
    <w:rsid w:val="006B7128"/>
    <w:rsid w:val="006C1182"/>
    <w:rsid w:val="006C2B5A"/>
    <w:rsid w:val="006C4A1F"/>
    <w:rsid w:val="006C6ADC"/>
    <w:rsid w:val="006C6E7B"/>
    <w:rsid w:val="006C795D"/>
    <w:rsid w:val="006D13B7"/>
    <w:rsid w:val="006D1426"/>
    <w:rsid w:val="006D25D3"/>
    <w:rsid w:val="006D2E5D"/>
    <w:rsid w:val="006D55A5"/>
    <w:rsid w:val="006D7302"/>
    <w:rsid w:val="006E1962"/>
    <w:rsid w:val="006E2AFE"/>
    <w:rsid w:val="006E71D2"/>
    <w:rsid w:val="006F2551"/>
    <w:rsid w:val="006F32DB"/>
    <w:rsid w:val="006F42B7"/>
    <w:rsid w:val="006F44AF"/>
    <w:rsid w:val="006F527D"/>
    <w:rsid w:val="006F6837"/>
    <w:rsid w:val="0070314F"/>
    <w:rsid w:val="00704750"/>
    <w:rsid w:val="00705895"/>
    <w:rsid w:val="00705EED"/>
    <w:rsid w:val="00706DAC"/>
    <w:rsid w:val="00706E68"/>
    <w:rsid w:val="00710033"/>
    <w:rsid w:val="00710187"/>
    <w:rsid w:val="00713E2C"/>
    <w:rsid w:val="00713F39"/>
    <w:rsid w:val="00714C12"/>
    <w:rsid w:val="007159F4"/>
    <w:rsid w:val="00715D88"/>
    <w:rsid w:val="0071752E"/>
    <w:rsid w:val="00717C32"/>
    <w:rsid w:val="00721095"/>
    <w:rsid w:val="00722F3A"/>
    <w:rsid w:val="00723269"/>
    <w:rsid w:val="00723EBE"/>
    <w:rsid w:val="00726FEB"/>
    <w:rsid w:val="00727C19"/>
    <w:rsid w:val="00733B14"/>
    <w:rsid w:val="00733F81"/>
    <w:rsid w:val="00736422"/>
    <w:rsid w:val="00736EB3"/>
    <w:rsid w:val="00740075"/>
    <w:rsid w:val="0074118E"/>
    <w:rsid w:val="00741515"/>
    <w:rsid w:val="00743475"/>
    <w:rsid w:val="007440A9"/>
    <w:rsid w:val="007514AE"/>
    <w:rsid w:val="007532AD"/>
    <w:rsid w:val="007543D7"/>
    <w:rsid w:val="00754FCA"/>
    <w:rsid w:val="0075643E"/>
    <w:rsid w:val="00756A9A"/>
    <w:rsid w:val="007575CF"/>
    <w:rsid w:val="00762104"/>
    <w:rsid w:val="007622A1"/>
    <w:rsid w:val="00762C94"/>
    <w:rsid w:val="00764490"/>
    <w:rsid w:val="00764834"/>
    <w:rsid w:val="00767E95"/>
    <w:rsid w:val="00770104"/>
    <w:rsid w:val="00770B4B"/>
    <w:rsid w:val="00771F20"/>
    <w:rsid w:val="00773A4D"/>
    <w:rsid w:val="00775225"/>
    <w:rsid w:val="00775E3C"/>
    <w:rsid w:val="00777BCE"/>
    <w:rsid w:val="00783A30"/>
    <w:rsid w:val="0078641D"/>
    <w:rsid w:val="00786EB4"/>
    <w:rsid w:val="007878DC"/>
    <w:rsid w:val="00790626"/>
    <w:rsid w:val="00794BEE"/>
    <w:rsid w:val="00795084"/>
    <w:rsid w:val="007977D5"/>
    <w:rsid w:val="007A3E9D"/>
    <w:rsid w:val="007B42DB"/>
    <w:rsid w:val="007B4301"/>
    <w:rsid w:val="007B63E1"/>
    <w:rsid w:val="007C0241"/>
    <w:rsid w:val="007C2F9D"/>
    <w:rsid w:val="007C306A"/>
    <w:rsid w:val="007C39D9"/>
    <w:rsid w:val="007C3E07"/>
    <w:rsid w:val="007C4F79"/>
    <w:rsid w:val="007C6CCB"/>
    <w:rsid w:val="007C6DC0"/>
    <w:rsid w:val="007D0AD1"/>
    <w:rsid w:val="007D11F4"/>
    <w:rsid w:val="007D5EF5"/>
    <w:rsid w:val="007E08CE"/>
    <w:rsid w:val="007E0975"/>
    <w:rsid w:val="007E1BB7"/>
    <w:rsid w:val="007E2EB7"/>
    <w:rsid w:val="007E5EA7"/>
    <w:rsid w:val="007E5F1B"/>
    <w:rsid w:val="007E6523"/>
    <w:rsid w:val="007F29FC"/>
    <w:rsid w:val="007F3311"/>
    <w:rsid w:val="007F3B7A"/>
    <w:rsid w:val="007F71E2"/>
    <w:rsid w:val="007F7D67"/>
    <w:rsid w:val="00800756"/>
    <w:rsid w:val="0080153B"/>
    <w:rsid w:val="00802C28"/>
    <w:rsid w:val="0080351D"/>
    <w:rsid w:val="008048F0"/>
    <w:rsid w:val="0080494D"/>
    <w:rsid w:val="00806784"/>
    <w:rsid w:val="008103BF"/>
    <w:rsid w:val="008111CF"/>
    <w:rsid w:val="00811F1B"/>
    <w:rsid w:val="008126E3"/>
    <w:rsid w:val="00813861"/>
    <w:rsid w:val="00814025"/>
    <w:rsid w:val="00821141"/>
    <w:rsid w:val="008242E7"/>
    <w:rsid w:val="008304AE"/>
    <w:rsid w:val="00830D98"/>
    <w:rsid w:val="00831043"/>
    <w:rsid w:val="008329BC"/>
    <w:rsid w:val="008356EA"/>
    <w:rsid w:val="00835DDF"/>
    <w:rsid w:val="00837765"/>
    <w:rsid w:val="0084035F"/>
    <w:rsid w:val="00841058"/>
    <w:rsid w:val="008421F6"/>
    <w:rsid w:val="00843723"/>
    <w:rsid w:val="00843CCA"/>
    <w:rsid w:val="0085129B"/>
    <w:rsid w:val="00852FD8"/>
    <w:rsid w:val="00853362"/>
    <w:rsid w:val="008542FA"/>
    <w:rsid w:val="008553B5"/>
    <w:rsid w:val="00857EC1"/>
    <w:rsid w:val="00862266"/>
    <w:rsid w:val="00867849"/>
    <w:rsid w:val="008725D0"/>
    <w:rsid w:val="008801BF"/>
    <w:rsid w:val="00882763"/>
    <w:rsid w:val="0088415F"/>
    <w:rsid w:val="00887552"/>
    <w:rsid w:val="00891A79"/>
    <w:rsid w:val="00893906"/>
    <w:rsid w:val="00894751"/>
    <w:rsid w:val="00894D45"/>
    <w:rsid w:val="008953BA"/>
    <w:rsid w:val="008957A2"/>
    <w:rsid w:val="008A1AD3"/>
    <w:rsid w:val="008A45B4"/>
    <w:rsid w:val="008A5F04"/>
    <w:rsid w:val="008A7E10"/>
    <w:rsid w:val="008B145B"/>
    <w:rsid w:val="008B3CBB"/>
    <w:rsid w:val="008B5093"/>
    <w:rsid w:val="008C0F6D"/>
    <w:rsid w:val="008C1B92"/>
    <w:rsid w:val="008C33AD"/>
    <w:rsid w:val="008C4EA1"/>
    <w:rsid w:val="008C51CF"/>
    <w:rsid w:val="008C6810"/>
    <w:rsid w:val="008D0422"/>
    <w:rsid w:val="008D118A"/>
    <w:rsid w:val="008D44DD"/>
    <w:rsid w:val="008D524E"/>
    <w:rsid w:val="008D7854"/>
    <w:rsid w:val="008E01C7"/>
    <w:rsid w:val="008E2724"/>
    <w:rsid w:val="008E54EF"/>
    <w:rsid w:val="008E7168"/>
    <w:rsid w:val="008F1102"/>
    <w:rsid w:val="008F11E1"/>
    <w:rsid w:val="008F1971"/>
    <w:rsid w:val="008F2DC6"/>
    <w:rsid w:val="008F3C2D"/>
    <w:rsid w:val="008F495A"/>
    <w:rsid w:val="008F4D24"/>
    <w:rsid w:val="008F68EE"/>
    <w:rsid w:val="008F6CDE"/>
    <w:rsid w:val="00902788"/>
    <w:rsid w:val="00903BE0"/>
    <w:rsid w:val="00907808"/>
    <w:rsid w:val="0091323D"/>
    <w:rsid w:val="00913CEF"/>
    <w:rsid w:val="00914DED"/>
    <w:rsid w:val="00915AF0"/>
    <w:rsid w:val="009175C0"/>
    <w:rsid w:val="0091784E"/>
    <w:rsid w:val="00923855"/>
    <w:rsid w:val="00924AF4"/>
    <w:rsid w:val="00925670"/>
    <w:rsid w:val="00926730"/>
    <w:rsid w:val="0093010F"/>
    <w:rsid w:val="00933EC1"/>
    <w:rsid w:val="009349FD"/>
    <w:rsid w:val="0093519C"/>
    <w:rsid w:val="00937B18"/>
    <w:rsid w:val="0094040A"/>
    <w:rsid w:val="00943789"/>
    <w:rsid w:val="00945AAF"/>
    <w:rsid w:val="009470F2"/>
    <w:rsid w:val="00947FC0"/>
    <w:rsid w:val="009507A7"/>
    <w:rsid w:val="00950AFD"/>
    <w:rsid w:val="00951713"/>
    <w:rsid w:val="00953803"/>
    <w:rsid w:val="00953838"/>
    <w:rsid w:val="009565F0"/>
    <w:rsid w:val="00957B16"/>
    <w:rsid w:val="00957F7B"/>
    <w:rsid w:val="00962614"/>
    <w:rsid w:val="00964F3A"/>
    <w:rsid w:val="00966992"/>
    <w:rsid w:val="00976DE3"/>
    <w:rsid w:val="00985B62"/>
    <w:rsid w:val="0098683F"/>
    <w:rsid w:val="00987B06"/>
    <w:rsid w:val="00991D5B"/>
    <w:rsid w:val="009941CF"/>
    <w:rsid w:val="009955B4"/>
    <w:rsid w:val="00996452"/>
    <w:rsid w:val="00997AE0"/>
    <w:rsid w:val="009A1998"/>
    <w:rsid w:val="009A25CD"/>
    <w:rsid w:val="009A34F1"/>
    <w:rsid w:val="009A3EE9"/>
    <w:rsid w:val="009A65B2"/>
    <w:rsid w:val="009B0076"/>
    <w:rsid w:val="009B14B0"/>
    <w:rsid w:val="009B37C5"/>
    <w:rsid w:val="009B583F"/>
    <w:rsid w:val="009B6386"/>
    <w:rsid w:val="009B684B"/>
    <w:rsid w:val="009B7185"/>
    <w:rsid w:val="009C0988"/>
    <w:rsid w:val="009C1A2D"/>
    <w:rsid w:val="009C3198"/>
    <w:rsid w:val="009C3F23"/>
    <w:rsid w:val="009C4D0B"/>
    <w:rsid w:val="009C7045"/>
    <w:rsid w:val="009C72FF"/>
    <w:rsid w:val="009D0D85"/>
    <w:rsid w:val="009D0E11"/>
    <w:rsid w:val="009D5E12"/>
    <w:rsid w:val="009E0F5A"/>
    <w:rsid w:val="009E1182"/>
    <w:rsid w:val="009E35DA"/>
    <w:rsid w:val="009E3B0F"/>
    <w:rsid w:val="009E5D7E"/>
    <w:rsid w:val="009E77DA"/>
    <w:rsid w:val="009F0F42"/>
    <w:rsid w:val="009F1FB5"/>
    <w:rsid w:val="009F2E59"/>
    <w:rsid w:val="009F4495"/>
    <w:rsid w:val="009F5153"/>
    <w:rsid w:val="009F5DE8"/>
    <w:rsid w:val="009F7FF1"/>
    <w:rsid w:val="00A00017"/>
    <w:rsid w:val="00A01AA2"/>
    <w:rsid w:val="00A02516"/>
    <w:rsid w:val="00A0255B"/>
    <w:rsid w:val="00A02D06"/>
    <w:rsid w:val="00A051D3"/>
    <w:rsid w:val="00A05CDF"/>
    <w:rsid w:val="00A1068C"/>
    <w:rsid w:val="00A127AD"/>
    <w:rsid w:val="00A1286D"/>
    <w:rsid w:val="00A1344C"/>
    <w:rsid w:val="00A14F2B"/>
    <w:rsid w:val="00A176B9"/>
    <w:rsid w:val="00A22770"/>
    <w:rsid w:val="00A238CD"/>
    <w:rsid w:val="00A24009"/>
    <w:rsid w:val="00A25D0D"/>
    <w:rsid w:val="00A30342"/>
    <w:rsid w:val="00A30A8D"/>
    <w:rsid w:val="00A33C91"/>
    <w:rsid w:val="00A3599F"/>
    <w:rsid w:val="00A36B8B"/>
    <w:rsid w:val="00A37414"/>
    <w:rsid w:val="00A37CB6"/>
    <w:rsid w:val="00A426CB"/>
    <w:rsid w:val="00A42B17"/>
    <w:rsid w:val="00A4432D"/>
    <w:rsid w:val="00A46F96"/>
    <w:rsid w:val="00A5042E"/>
    <w:rsid w:val="00A51BEF"/>
    <w:rsid w:val="00A52777"/>
    <w:rsid w:val="00A536C6"/>
    <w:rsid w:val="00A53E56"/>
    <w:rsid w:val="00A573CF"/>
    <w:rsid w:val="00A62FE0"/>
    <w:rsid w:val="00A635B1"/>
    <w:rsid w:val="00A639BA"/>
    <w:rsid w:val="00A64D74"/>
    <w:rsid w:val="00A67B08"/>
    <w:rsid w:val="00A70BF0"/>
    <w:rsid w:val="00A70CA4"/>
    <w:rsid w:val="00A7293F"/>
    <w:rsid w:val="00A732C4"/>
    <w:rsid w:val="00A75812"/>
    <w:rsid w:val="00A76EBD"/>
    <w:rsid w:val="00A85563"/>
    <w:rsid w:val="00A859B7"/>
    <w:rsid w:val="00A8640C"/>
    <w:rsid w:val="00A8698A"/>
    <w:rsid w:val="00A87773"/>
    <w:rsid w:val="00A87B4A"/>
    <w:rsid w:val="00A92C8A"/>
    <w:rsid w:val="00A956B9"/>
    <w:rsid w:val="00A957B1"/>
    <w:rsid w:val="00A95C15"/>
    <w:rsid w:val="00A9690C"/>
    <w:rsid w:val="00AA02AC"/>
    <w:rsid w:val="00AA1024"/>
    <w:rsid w:val="00AA52D7"/>
    <w:rsid w:val="00AB3167"/>
    <w:rsid w:val="00AB4518"/>
    <w:rsid w:val="00AB73E7"/>
    <w:rsid w:val="00AC2149"/>
    <w:rsid w:val="00AC3FF9"/>
    <w:rsid w:val="00AC7B5B"/>
    <w:rsid w:val="00AD200A"/>
    <w:rsid w:val="00AD2C60"/>
    <w:rsid w:val="00AD60F9"/>
    <w:rsid w:val="00AE0ED8"/>
    <w:rsid w:val="00AE2B57"/>
    <w:rsid w:val="00AE3B6E"/>
    <w:rsid w:val="00AE4B9D"/>
    <w:rsid w:val="00AE6FDB"/>
    <w:rsid w:val="00AE7982"/>
    <w:rsid w:val="00AF0BF4"/>
    <w:rsid w:val="00AF39F4"/>
    <w:rsid w:val="00AF4CC8"/>
    <w:rsid w:val="00AF7FDD"/>
    <w:rsid w:val="00B0008C"/>
    <w:rsid w:val="00B037D6"/>
    <w:rsid w:val="00B07107"/>
    <w:rsid w:val="00B0728F"/>
    <w:rsid w:val="00B07E8B"/>
    <w:rsid w:val="00B10A6B"/>
    <w:rsid w:val="00B135E8"/>
    <w:rsid w:val="00B16229"/>
    <w:rsid w:val="00B162A1"/>
    <w:rsid w:val="00B16DCF"/>
    <w:rsid w:val="00B17AD9"/>
    <w:rsid w:val="00B23042"/>
    <w:rsid w:val="00B244E9"/>
    <w:rsid w:val="00B24E1D"/>
    <w:rsid w:val="00B26257"/>
    <w:rsid w:val="00B3363D"/>
    <w:rsid w:val="00B3407F"/>
    <w:rsid w:val="00B35868"/>
    <w:rsid w:val="00B3598C"/>
    <w:rsid w:val="00B36B8E"/>
    <w:rsid w:val="00B36C0A"/>
    <w:rsid w:val="00B378F1"/>
    <w:rsid w:val="00B40349"/>
    <w:rsid w:val="00B41E6B"/>
    <w:rsid w:val="00B42F64"/>
    <w:rsid w:val="00B42FA4"/>
    <w:rsid w:val="00B443D4"/>
    <w:rsid w:val="00B447AD"/>
    <w:rsid w:val="00B452EA"/>
    <w:rsid w:val="00B45CF4"/>
    <w:rsid w:val="00B47BA6"/>
    <w:rsid w:val="00B50C1F"/>
    <w:rsid w:val="00B55005"/>
    <w:rsid w:val="00B5545C"/>
    <w:rsid w:val="00B567F0"/>
    <w:rsid w:val="00B60DB6"/>
    <w:rsid w:val="00B63041"/>
    <w:rsid w:val="00B70D5A"/>
    <w:rsid w:val="00B70E62"/>
    <w:rsid w:val="00B737AE"/>
    <w:rsid w:val="00B7726B"/>
    <w:rsid w:val="00B804C4"/>
    <w:rsid w:val="00B82307"/>
    <w:rsid w:val="00B82816"/>
    <w:rsid w:val="00B83234"/>
    <w:rsid w:val="00B83DB9"/>
    <w:rsid w:val="00B905ED"/>
    <w:rsid w:val="00B91B16"/>
    <w:rsid w:val="00B927C1"/>
    <w:rsid w:val="00B92AD5"/>
    <w:rsid w:val="00B92F1B"/>
    <w:rsid w:val="00B9313C"/>
    <w:rsid w:val="00B93DA7"/>
    <w:rsid w:val="00B95025"/>
    <w:rsid w:val="00B97A51"/>
    <w:rsid w:val="00B97C41"/>
    <w:rsid w:val="00BA0AF5"/>
    <w:rsid w:val="00BA31E5"/>
    <w:rsid w:val="00BA482F"/>
    <w:rsid w:val="00BA5DF4"/>
    <w:rsid w:val="00BA5E11"/>
    <w:rsid w:val="00BA6761"/>
    <w:rsid w:val="00BA79F3"/>
    <w:rsid w:val="00BB2802"/>
    <w:rsid w:val="00BB391D"/>
    <w:rsid w:val="00BB73EE"/>
    <w:rsid w:val="00BC1139"/>
    <w:rsid w:val="00BC3451"/>
    <w:rsid w:val="00BC530E"/>
    <w:rsid w:val="00BC5D16"/>
    <w:rsid w:val="00BD1BF1"/>
    <w:rsid w:val="00BD3190"/>
    <w:rsid w:val="00BD332B"/>
    <w:rsid w:val="00BD3BF4"/>
    <w:rsid w:val="00BD40E2"/>
    <w:rsid w:val="00BD58E1"/>
    <w:rsid w:val="00BD5F87"/>
    <w:rsid w:val="00BD62CD"/>
    <w:rsid w:val="00BD672B"/>
    <w:rsid w:val="00BE1A58"/>
    <w:rsid w:val="00BE1E65"/>
    <w:rsid w:val="00BE4535"/>
    <w:rsid w:val="00BE482E"/>
    <w:rsid w:val="00BE4AB4"/>
    <w:rsid w:val="00BE50C4"/>
    <w:rsid w:val="00BE566F"/>
    <w:rsid w:val="00BE6A59"/>
    <w:rsid w:val="00BE737C"/>
    <w:rsid w:val="00BF22BA"/>
    <w:rsid w:val="00BF331B"/>
    <w:rsid w:val="00BF342D"/>
    <w:rsid w:val="00BF4EC9"/>
    <w:rsid w:val="00BF6E8A"/>
    <w:rsid w:val="00BF763C"/>
    <w:rsid w:val="00C00490"/>
    <w:rsid w:val="00C01BA3"/>
    <w:rsid w:val="00C01BE2"/>
    <w:rsid w:val="00C03799"/>
    <w:rsid w:val="00C068A6"/>
    <w:rsid w:val="00C07653"/>
    <w:rsid w:val="00C119B9"/>
    <w:rsid w:val="00C13AFB"/>
    <w:rsid w:val="00C14CEA"/>
    <w:rsid w:val="00C17D2B"/>
    <w:rsid w:val="00C20243"/>
    <w:rsid w:val="00C20874"/>
    <w:rsid w:val="00C21693"/>
    <w:rsid w:val="00C21E09"/>
    <w:rsid w:val="00C25D2A"/>
    <w:rsid w:val="00C3057C"/>
    <w:rsid w:val="00C3216F"/>
    <w:rsid w:val="00C40A1B"/>
    <w:rsid w:val="00C4193F"/>
    <w:rsid w:val="00C4348A"/>
    <w:rsid w:val="00C435D8"/>
    <w:rsid w:val="00C457BC"/>
    <w:rsid w:val="00C50459"/>
    <w:rsid w:val="00C5208F"/>
    <w:rsid w:val="00C5212D"/>
    <w:rsid w:val="00C52284"/>
    <w:rsid w:val="00C608D3"/>
    <w:rsid w:val="00C61030"/>
    <w:rsid w:val="00C61DD2"/>
    <w:rsid w:val="00C62C8F"/>
    <w:rsid w:val="00C63546"/>
    <w:rsid w:val="00C6590F"/>
    <w:rsid w:val="00C74D95"/>
    <w:rsid w:val="00C7693C"/>
    <w:rsid w:val="00C770DE"/>
    <w:rsid w:val="00C77903"/>
    <w:rsid w:val="00C82482"/>
    <w:rsid w:val="00C829FA"/>
    <w:rsid w:val="00C838A8"/>
    <w:rsid w:val="00C83D6F"/>
    <w:rsid w:val="00C849A5"/>
    <w:rsid w:val="00C87855"/>
    <w:rsid w:val="00C90B41"/>
    <w:rsid w:val="00C91098"/>
    <w:rsid w:val="00C927A2"/>
    <w:rsid w:val="00C92EE2"/>
    <w:rsid w:val="00C95A45"/>
    <w:rsid w:val="00C9670B"/>
    <w:rsid w:val="00C97229"/>
    <w:rsid w:val="00C97992"/>
    <w:rsid w:val="00CA166C"/>
    <w:rsid w:val="00CA182E"/>
    <w:rsid w:val="00CA2931"/>
    <w:rsid w:val="00CA7FA6"/>
    <w:rsid w:val="00CB0C57"/>
    <w:rsid w:val="00CB1365"/>
    <w:rsid w:val="00CB32A8"/>
    <w:rsid w:val="00CB330A"/>
    <w:rsid w:val="00CB3BE0"/>
    <w:rsid w:val="00CB6C1E"/>
    <w:rsid w:val="00CB7E8C"/>
    <w:rsid w:val="00CC005F"/>
    <w:rsid w:val="00CC0EA3"/>
    <w:rsid w:val="00CC2F00"/>
    <w:rsid w:val="00CC38C9"/>
    <w:rsid w:val="00CC4A43"/>
    <w:rsid w:val="00CC5D5B"/>
    <w:rsid w:val="00CD0691"/>
    <w:rsid w:val="00CD0B1F"/>
    <w:rsid w:val="00CD129A"/>
    <w:rsid w:val="00CD1B2C"/>
    <w:rsid w:val="00CD2B9E"/>
    <w:rsid w:val="00CD2F3D"/>
    <w:rsid w:val="00CD3ED7"/>
    <w:rsid w:val="00CD4466"/>
    <w:rsid w:val="00CD48E6"/>
    <w:rsid w:val="00CD5624"/>
    <w:rsid w:val="00CD6268"/>
    <w:rsid w:val="00CD6978"/>
    <w:rsid w:val="00CE0EB1"/>
    <w:rsid w:val="00CE0F86"/>
    <w:rsid w:val="00CE15D0"/>
    <w:rsid w:val="00CE2543"/>
    <w:rsid w:val="00CE3A1E"/>
    <w:rsid w:val="00CE455E"/>
    <w:rsid w:val="00CE62D7"/>
    <w:rsid w:val="00CE69C1"/>
    <w:rsid w:val="00CE7ED1"/>
    <w:rsid w:val="00CF1C05"/>
    <w:rsid w:val="00CF37F4"/>
    <w:rsid w:val="00D028EE"/>
    <w:rsid w:val="00D05360"/>
    <w:rsid w:val="00D06625"/>
    <w:rsid w:val="00D07EA0"/>
    <w:rsid w:val="00D11829"/>
    <w:rsid w:val="00D15D05"/>
    <w:rsid w:val="00D174A9"/>
    <w:rsid w:val="00D17F75"/>
    <w:rsid w:val="00D22703"/>
    <w:rsid w:val="00D22DBD"/>
    <w:rsid w:val="00D241E4"/>
    <w:rsid w:val="00D24F4B"/>
    <w:rsid w:val="00D2551E"/>
    <w:rsid w:val="00D30674"/>
    <w:rsid w:val="00D31F26"/>
    <w:rsid w:val="00D3228C"/>
    <w:rsid w:val="00D335DF"/>
    <w:rsid w:val="00D33C90"/>
    <w:rsid w:val="00D34AF0"/>
    <w:rsid w:val="00D403AE"/>
    <w:rsid w:val="00D405C4"/>
    <w:rsid w:val="00D42707"/>
    <w:rsid w:val="00D439E2"/>
    <w:rsid w:val="00D44DAC"/>
    <w:rsid w:val="00D450C2"/>
    <w:rsid w:val="00D4579B"/>
    <w:rsid w:val="00D468F5"/>
    <w:rsid w:val="00D4733A"/>
    <w:rsid w:val="00D47CA8"/>
    <w:rsid w:val="00D50DE6"/>
    <w:rsid w:val="00D5159B"/>
    <w:rsid w:val="00D604A7"/>
    <w:rsid w:val="00D6098B"/>
    <w:rsid w:val="00D633FA"/>
    <w:rsid w:val="00D648FC"/>
    <w:rsid w:val="00D65E8E"/>
    <w:rsid w:val="00D67DD5"/>
    <w:rsid w:val="00D726C2"/>
    <w:rsid w:val="00D72A3F"/>
    <w:rsid w:val="00D72EB9"/>
    <w:rsid w:val="00D73971"/>
    <w:rsid w:val="00D73F71"/>
    <w:rsid w:val="00D7440B"/>
    <w:rsid w:val="00D7679C"/>
    <w:rsid w:val="00D77FD7"/>
    <w:rsid w:val="00D81CC3"/>
    <w:rsid w:val="00D8202E"/>
    <w:rsid w:val="00D84612"/>
    <w:rsid w:val="00D850DC"/>
    <w:rsid w:val="00D8621F"/>
    <w:rsid w:val="00D875C6"/>
    <w:rsid w:val="00D9007E"/>
    <w:rsid w:val="00D902F9"/>
    <w:rsid w:val="00D90FF9"/>
    <w:rsid w:val="00D92B41"/>
    <w:rsid w:val="00D97966"/>
    <w:rsid w:val="00DA597F"/>
    <w:rsid w:val="00DA6C5B"/>
    <w:rsid w:val="00DB1879"/>
    <w:rsid w:val="00DB6EDE"/>
    <w:rsid w:val="00DC1710"/>
    <w:rsid w:val="00DC1E18"/>
    <w:rsid w:val="00DC37B7"/>
    <w:rsid w:val="00DC530B"/>
    <w:rsid w:val="00DC5605"/>
    <w:rsid w:val="00DC58BF"/>
    <w:rsid w:val="00DC72FE"/>
    <w:rsid w:val="00DD2FEB"/>
    <w:rsid w:val="00DD3296"/>
    <w:rsid w:val="00DD52CE"/>
    <w:rsid w:val="00DD69C9"/>
    <w:rsid w:val="00DD704D"/>
    <w:rsid w:val="00DD77F5"/>
    <w:rsid w:val="00DE10CB"/>
    <w:rsid w:val="00DE2914"/>
    <w:rsid w:val="00DE2D7E"/>
    <w:rsid w:val="00DE3800"/>
    <w:rsid w:val="00DF25E6"/>
    <w:rsid w:val="00DF2B90"/>
    <w:rsid w:val="00DF47AE"/>
    <w:rsid w:val="00DF62B3"/>
    <w:rsid w:val="00DF65CE"/>
    <w:rsid w:val="00DF6A85"/>
    <w:rsid w:val="00E0018F"/>
    <w:rsid w:val="00E02B10"/>
    <w:rsid w:val="00E02C31"/>
    <w:rsid w:val="00E05E03"/>
    <w:rsid w:val="00E065EB"/>
    <w:rsid w:val="00E074A3"/>
    <w:rsid w:val="00E10029"/>
    <w:rsid w:val="00E1169C"/>
    <w:rsid w:val="00E14454"/>
    <w:rsid w:val="00E145F0"/>
    <w:rsid w:val="00E14CC2"/>
    <w:rsid w:val="00E205F7"/>
    <w:rsid w:val="00E2071D"/>
    <w:rsid w:val="00E21356"/>
    <w:rsid w:val="00E231D0"/>
    <w:rsid w:val="00E252DD"/>
    <w:rsid w:val="00E26069"/>
    <w:rsid w:val="00E2657F"/>
    <w:rsid w:val="00E33CE7"/>
    <w:rsid w:val="00E34BF8"/>
    <w:rsid w:val="00E35979"/>
    <w:rsid w:val="00E35AF0"/>
    <w:rsid w:val="00E35ECD"/>
    <w:rsid w:val="00E43BA6"/>
    <w:rsid w:val="00E44D33"/>
    <w:rsid w:val="00E46ADE"/>
    <w:rsid w:val="00E51C9B"/>
    <w:rsid w:val="00E524B5"/>
    <w:rsid w:val="00E573CC"/>
    <w:rsid w:val="00E63766"/>
    <w:rsid w:val="00E63CC3"/>
    <w:rsid w:val="00E64242"/>
    <w:rsid w:val="00E647F9"/>
    <w:rsid w:val="00E650EF"/>
    <w:rsid w:val="00E67697"/>
    <w:rsid w:val="00E73197"/>
    <w:rsid w:val="00E74041"/>
    <w:rsid w:val="00E75B5A"/>
    <w:rsid w:val="00E779BE"/>
    <w:rsid w:val="00E831CD"/>
    <w:rsid w:val="00E838A9"/>
    <w:rsid w:val="00E83A29"/>
    <w:rsid w:val="00E85E50"/>
    <w:rsid w:val="00E90D8F"/>
    <w:rsid w:val="00E92C9E"/>
    <w:rsid w:val="00E93518"/>
    <w:rsid w:val="00E941B7"/>
    <w:rsid w:val="00E96A7E"/>
    <w:rsid w:val="00EA06CD"/>
    <w:rsid w:val="00EA1755"/>
    <w:rsid w:val="00EA1DCD"/>
    <w:rsid w:val="00EA4887"/>
    <w:rsid w:val="00EA5597"/>
    <w:rsid w:val="00EB2427"/>
    <w:rsid w:val="00EB3C1C"/>
    <w:rsid w:val="00EC22F7"/>
    <w:rsid w:val="00EC28A2"/>
    <w:rsid w:val="00EC544D"/>
    <w:rsid w:val="00EC62A8"/>
    <w:rsid w:val="00EC79AC"/>
    <w:rsid w:val="00ED07E5"/>
    <w:rsid w:val="00ED2E92"/>
    <w:rsid w:val="00ED5CA3"/>
    <w:rsid w:val="00ED5F56"/>
    <w:rsid w:val="00ED7FCC"/>
    <w:rsid w:val="00EE009B"/>
    <w:rsid w:val="00EE029D"/>
    <w:rsid w:val="00EE30E9"/>
    <w:rsid w:val="00EE5DEF"/>
    <w:rsid w:val="00EF0197"/>
    <w:rsid w:val="00EF091F"/>
    <w:rsid w:val="00EF09BC"/>
    <w:rsid w:val="00EF0F7E"/>
    <w:rsid w:val="00EF2014"/>
    <w:rsid w:val="00EF5E24"/>
    <w:rsid w:val="00F005FE"/>
    <w:rsid w:val="00F0164A"/>
    <w:rsid w:val="00F01DD6"/>
    <w:rsid w:val="00F03073"/>
    <w:rsid w:val="00F03C92"/>
    <w:rsid w:val="00F03CC3"/>
    <w:rsid w:val="00F03DA1"/>
    <w:rsid w:val="00F03F80"/>
    <w:rsid w:val="00F04781"/>
    <w:rsid w:val="00F05BC0"/>
    <w:rsid w:val="00F110E5"/>
    <w:rsid w:val="00F12520"/>
    <w:rsid w:val="00F17580"/>
    <w:rsid w:val="00F21F88"/>
    <w:rsid w:val="00F25E24"/>
    <w:rsid w:val="00F33792"/>
    <w:rsid w:val="00F34160"/>
    <w:rsid w:val="00F3476E"/>
    <w:rsid w:val="00F3594C"/>
    <w:rsid w:val="00F3655D"/>
    <w:rsid w:val="00F40D79"/>
    <w:rsid w:val="00F46246"/>
    <w:rsid w:val="00F47066"/>
    <w:rsid w:val="00F51003"/>
    <w:rsid w:val="00F51A28"/>
    <w:rsid w:val="00F51B67"/>
    <w:rsid w:val="00F540CD"/>
    <w:rsid w:val="00F57BE9"/>
    <w:rsid w:val="00F637D0"/>
    <w:rsid w:val="00F6473B"/>
    <w:rsid w:val="00F64DF9"/>
    <w:rsid w:val="00F65C61"/>
    <w:rsid w:val="00F669D5"/>
    <w:rsid w:val="00F67522"/>
    <w:rsid w:val="00F67751"/>
    <w:rsid w:val="00F67F85"/>
    <w:rsid w:val="00F72BEB"/>
    <w:rsid w:val="00F730BB"/>
    <w:rsid w:val="00F74395"/>
    <w:rsid w:val="00F75020"/>
    <w:rsid w:val="00F7717B"/>
    <w:rsid w:val="00F82E88"/>
    <w:rsid w:val="00F84537"/>
    <w:rsid w:val="00F84BCE"/>
    <w:rsid w:val="00F85CD5"/>
    <w:rsid w:val="00F938B1"/>
    <w:rsid w:val="00F97671"/>
    <w:rsid w:val="00F9792F"/>
    <w:rsid w:val="00F97FE3"/>
    <w:rsid w:val="00FA096A"/>
    <w:rsid w:val="00FA0C7E"/>
    <w:rsid w:val="00FA1717"/>
    <w:rsid w:val="00FA1DE3"/>
    <w:rsid w:val="00FA28BC"/>
    <w:rsid w:val="00FA49AA"/>
    <w:rsid w:val="00FA6F07"/>
    <w:rsid w:val="00FA7B52"/>
    <w:rsid w:val="00FB1832"/>
    <w:rsid w:val="00FB3E44"/>
    <w:rsid w:val="00FC0F26"/>
    <w:rsid w:val="00FC313C"/>
    <w:rsid w:val="00FC35DD"/>
    <w:rsid w:val="00FC3A18"/>
    <w:rsid w:val="00FC64A4"/>
    <w:rsid w:val="00FC69AF"/>
    <w:rsid w:val="00FC7A45"/>
    <w:rsid w:val="00FD1392"/>
    <w:rsid w:val="00FD4F79"/>
    <w:rsid w:val="00FD508B"/>
    <w:rsid w:val="00FE1B75"/>
    <w:rsid w:val="00FE433C"/>
    <w:rsid w:val="00FE43AE"/>
    <w:rsid w:val="00FE4FD0"/>
    <w:rsid w:val="00FE5EBA"/>
    <w:rsid w:val="00FE6D5C"/>
    <w:rsid w:val="00FF14F0"/>
    <w:rsid w:val="00FF4189"/>
    <w:rsid w:val="00FF4E88"/>
    <w:rsid w:val="00FF5CF1"/>
    <w:rsid w:val="00FF7814"/>
    <w:rsid w:val="00FF7A37"/>
    <w:rsid w:val="00FF7B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0A9"/>
    <w:pPr>
      <w:suppressAutoHyphens/>
      <w:autoSpaceDE w:val="0"/>
    </w:pPr>
    <w:rPr>
      <w:rFonts w:eastAsia="MS Mincho"/>
      <w:sz w:val="24"/>
      <w:szCs w:val="24"/>
      <w:lang w:eastAsia="ar-SA"/>
    </w:rPr>
  </w:style>
  <w:style w:type="paragraph" w:styleId="Heading1">
    <w:name w:val="heading 1"/>
    <w:basedOn w:val="Normal"/>
    <w:next w:val="Normal"/>
    <w:qFormat/>
    <w:rsid w:val="007440A9"/>
    <w:pPr>
      <w:keepNext/>
      <w:numPr>
        <w:numId w:val="1"/>
      </w:numPr>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7440A9"/>
    <w:pPr>
      <w:keepNext/>
      <w:numPr>
        <w:ilvl w:val="1"/>
        <w:numId w:val="1"/>
      </w:numPr>
      <w:tabs>
        <w:tab w:val="left" w:pos="1260"/>
      </w:tabs>
      <w:spacing w:line="480" w:lineRule="auto"/>
      <w:ind w:left="0" w:firstLine="720"/>
      <w:jc w:val="both"/>
      <w:outlineLvl w:val="1"/>
    </w:pPr>
    <w:rPr>
      <w:b/>
      <w:bCs/>
    </w:rPr>
  </w:style>
  <w:style w:type="paragraph" w:styleId="Heading3">
    <w:name w:val="heading 3"/>
    <w:basedOn w:val="Normal"/>
    <w:next w:val="Normal"/>
    <w:qFormat/>
    <w:rsid w:val="007440A9"/>
    <w:pPr>
      <w:keepNext/>
      <w:numPr>
        <w:ilvl w:val="2"/>
        <w:numId w:val="1"/>
      </w:numPr>
      <w:tabs>
        <w:tab w:val="left" w:pos="1260"/>
      </w:tabs>
      <w:spacing w:line="480" w:lineRule="auto"/>
      <w:ind w:left="0" w:firstLine="720"/>
      <w:jc w:val="center"/>
      <w:outlineLvl w:val="2"/>
    </w:pPr>
    <w:rPr>
      <w:b/>
      <w:bCs/>
    </w:rPr>
  </w:style>
  <w:style w:type="paragraph" w:styleId="Heading4">
    <w:name w:val="heading 4"/>
    <w:basedOn w:val="Normal"/>
    <w:next w:val="Normal"/>
    <w:qFormat/>
    <w:rsid w:val="007440A9"/>
    <w:pPr>
      <w:keepNext/>
      <w:numPr>
        <w:ilvl w:val="3"/>
        <w:numId w:val="1"/>
      </w:numPr>
      <w:tabs>
        <w:tab w:val="left" w:pos="2340"/>
      </w:tabs>
      <w:spacing w:line="480" w:lineRule="auto"/>
      <w:ind w:left="540" w:hanging="540"/>
      <w:jc w:val="center"/>
      <w:outlineLvl w:val="3"/>
    </w:pPr>
    <w:rPr>
      <w:b/>
      <w:bCs/>
    </w:rPr>
  </w:style>
  <w:style w:type="paragraph" w:styleId="Heading5">
    <w:name w:val="heading 5"/>
    <w:basedOn w:val="Normal"/>
    <w:next w:val="Normal"/>
    <w:qFormat/>
    <w:rsid w:val="007440A9"/>
    <w:pPr>
      <w:keepNext/>
      <w:numPr>
        <w:ilvl w:val="4"/>
        <w:numId w:val="1"/>
      </w:numPr>
      <w:spacing w:line="480" w:lineRule="auto"/>
      <w:jc w:val="center"/>
      <w:outlineLvl w:val="4"/>
    </w:pPr>
    <w:rPr>
      <w:b/>
      <w:bCs/>
    </w:rPr>
  </w:style>
  <w:style w:type="paragraph" w:styleId="Heading6">
    <w:name w:val="heading 6"/>
    <w:basedOn w:val="Normal"/>
    <w:next w:val="Normal"/>
    <w:qFormat/>
    <w:rsid w:val="007440A9"/>
    <w:pPr>
      <w:keepNext/>
      <w:numPr>
        <w:ilvl w:val="5"/>
        <w:numId w:val="1"/>
      </w:numPr>
      <w:tabs>
        <w:tab w:val="left" w:pos="1260"/>
      </w:tabs>
      <w:spacing w:line="480" w:lineRule="auto"/>
      <w:jc w:val="center"/>
      <w:outlineLvl w:val="5"/>
    </w:pPr>
    <w:rPr>
      <w:b/>
      <w:bCs/>
      <w:sz w:val="20"/>
      <w:szCs w:val="20"/>
    </w:rPr>
  </w:style>
  <w:style w:type="paragraph" w:styleId="Heading7">
    <w:name w:val="heading 7"/>
    <w:basedOn w:val="Normal"/>
    <w:next w:val="Normal"/>
    <w:qFormat/>
    <w:rsid w:val="007440A9"/>
    <w:pPr>
      <w:keepNext/>
      <w:numPr>
        <w:ilvl w:val="6"/>
        <w:numId w:val="1"/>
      </w:numPr>
      <w:tabs>
        <w:tab w:val="left" w:pos="1260"/>
      </w:tabs>
      <w:jc w:val="right"/>
      <w:outlineLvl w:val="6"/>
    </w:pPr>
    <w:rPr>
      <w:sz w:val="20"/>
      <w:szCs w:val="20"/>
    </w:rPr>
  </w:style>
  <w:style w:type="paragraph" w:styleId="Heading8">
    <w:name w:val="heading 8"/>
    <w:basedOn w:val="Normal"/>
    <w:next w:val="Normal"/>
    <w:qFormat/>
    <w:rsid w:val="007440A9"/>
    <w:pPr>
      <w:keepNext/>
      <w:numPr>
        <w:ilvl w:val="7"/>
        <w:numId w:val="1"/>
      </w:numPr>
      <w:tabs>
        <w:tab w:val="left" w:pos="1260"/>
      </w:tabs>
      <w:spacing w:line="480" w:lineRule="auto"/>
      <w:jc w:val="both"/>
      <w:outlineLvl w:val="7"/>
    </w:pPr>
    <w:rPr>
      <w:b/>
      <w:bCs/>
      <w:u w:val="single"/>
      <w:lang w:val="fr-FR"/>
    </w:rPr>
  </w:style>
  <w:style w:type="paragraph" w:styleId="Heading9">
    <w:name w:val="heading 9"/>
    <w:basedOn w:val="Normal"/>
    <w:next w:val="Normal"/>
    <w:qFormat/>
    <w:rsid w:val="007440A9"/>
    <w:pPr>
      <w:keepNext/>
      <w:numPr>
        <w:ilvl w:val="8"/>
        <w:numId w:val="1"/>
      </w:numPr>
      <w:tabs>
        <w:tab w:val="left" w:pos="1260"/>
      </w:tabs>
      <w:spacing w:line="480" w:lineRule="auto"/>
      <w:ind w:left="0"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7440A9"/>
    <w:rPr>
      <w:rFonts w:ascii="Symbol" w:hAnsi="Symbol" w:cs="Symbol"/>
    </w:rPr>
  </w:style>
  <w:style w:type="character" w:customStyle="1" w:styleId="Absatz-Standardschriftart">
    <w:name w:val="Absatz-Standardschriftart"/>
    <w:rsid w:val="007440A9"/>
  </w:style>
  <w:style w:type="character" w:customStyle="1" w:styleId="WW8Num1z0">
    <w:name w:val="WW8Num1z0"/>
    <w:rsid w:val="007440A9"/>
    <w:rPr>
      <w:rFonts w:ascii="Symbol" w:hAnsi="Symbol" w:cs="Symbol"/>
    </w:rPr>
  </w:style>
  <w:style w:type="character" w:customStyle="1" w:styleId="WW8Num1z1">
    <w:name w:val="WW8Num1z1"/>
    <w:rsid w:val="007440A9"/>
    <w:rPr>
      <w:rFonts w:ascii="Courier New" w:hAnsi="Courier New" w:cs="Courier New"/>
    </w:rPr>
  </w:style>
  <w:style w:type="character" w:customStyle="1" w:styleId="WW8Num1z2">
    <w:name w:val="WW8Num1z2"/>
    <w:rsid w:val="007440A9"/>
    <w:rPr>
      <w:rFonts w:ascii="Wingdings" w:hAnsi="Wingdings" w:cs="Wingdings"/>
    </w:rPr>
  </w:style>
  <w:style w:type="character" w:customStyle="1" w:styleId="WW8Num3z1">
    <w:name w:val="WW8Num3z1"/>
    <w:rsid w:val="007440A9"/>
    <w:rPr>
      <w:rFonts w:ascii="Courier New" w:hAnsi="Courier New" w:cs="Courier New"/>
    </w:rPr>
  </w:style>
  <w:style w:type="character" w:customStyle="1" w:styleId="WW8Num3z2">
    <w:name w:val="WW8Num3z2"/>
    <w:rsid w:val="007440A9"/>
    <w:rPr>
      <w:rFonts w:ascii="Wingdings" w:hAnsi="Wingdings" w:cs="Wingdings"/>
    </w:rPr>
  </w:style>
  <w:style w:type="character" w:customStyle="1" w:styleId="WW8Num3z3">
    <w:name w:val="WW8Num3z3"/>
    <w:rsid w:val="007440A9"/>
    <w:rPr>
      <w:rFonts w:ascii="Symbol" w:hAnsi="Symbol" w:cs="Symbol"/>
    </w:rPr>
  </w:style>
  <w:style w:type="character" w:customStyle="1" w:styleId="WW8Num7z0">
    <w:name w:val="WW8Num7z0"/>
    <w:rsid w:val="007440A9"/>
    <w:rPr>
      <w:rFonts w:ascii="Symbol" w:hAnsi="Symbol" w:cs="Symbol"/>
    </w:rPr>
  </w:style>
  <w:style w:type="character" w:customStyle="1" w:styleId="WW8Num7z1">
    <w:name w:val="WW8Num7z1"/>
    <w:rsid w:val="007440A9"/>
    <w:rPr>
      <w:rFonts w:ascii="Courier New" w:hAnsi="Courier New" w:cs="Courier New"/>
    </w:rPr>
  </w:style>
  <w:style w:type="character" w:customStyle="1" w:styleId="WW8Num7z2">
    <w:name w:val="WW8Num7z2"/>
    <w:rsid w:val="007440A9"/>
    <w:rPr>
      <w:rFonts w:ascii="Wingdings" w:hAnsi="Wingdings" w:cs="Wingdings"/>
    </w:rPr>
  </w:style>
  <w:style w:type="character" w:customStyle="1" w:styleId="WW8Num8z0">
    <w:name w:val="WW8Num8z0"/>
    <w:rsid w:val="007440A9"/>
    <w:rPr>
      <w:rFonts w:ascii="Symbol" w:hAnsi="Symbol" w:cs="Symbol"/>
    </w:rPr>
  </w:style>
  <w:style w:type="character" w:customStyle="1" w:styleId="WW8Num8z1">
    <w:name w:val="WW8Num8z1"/>
    <w:rsid w:val="007440A9"/>
    <w:rPr>
      <w:rFonts w:ascii="Courier New" w:hAnsi="Courier New" w:cs="Courier New"/>
    </w:rPr>
  </w:style>
  <w:style w:type="character" w:customStyle="1" w:styleId="WW8Num8z2">
    <w:name w:val="WW8Num8z2"/>
    <w:rsid w:val="007440A9"/>
    <w:rPr>
      <w:rFonts w:ascii="Wingdings" w:hAnsi="Wingdings" w:cs="Wingdings"/>
    </w:rPr>
  </w:style>
  <w:style w:type="character" w:customStyle="1" w:styleId="WW8Num9z0">
    <w:name w:val="WW8Num9z0"/>
    <w:rsid w:val="007440A9"/>
    <w:rPr>
      <w:rFonts w:ascii="Symbol" w:hAnsi="Symbol" w:cs="Symbol"/>
    </w:rPr>
  </w:style>
  <w:style w:type="character" w:customStyle="1" w:styleId="WW8Num9z1">
    <w:name w:val="WW8Num9z1"/>
    <w:rsid w:val="007440A9"/>
    <w:rPr>
      <w:rFonts w:ascii="Courier New" w:hAnsi="Courier New" w:cs="Courier New"/>
    </w:rPr>
  </w:style>
  <w:style w:type="character" w:customStyle="1" w:styleId="WW8Num9z2">
    <w:name w:val="WW8Num9z2"/>
    <w:rsid w:val="007440A9"/>
    <w:rPr>
      <w:rFonts w:ascii="Wingdings" w:hAnsi="Wingdings" w:cs="Wingdings"/>
    </w:rPr>
  </w:style>
  <w:style w:type="character" w:customStyle="1" w:styleId="WW8Num10z0">
    <w:name w:val="WW8Num10z0"/>
    <w:rsid w:val="007440A9"/>
    <w:rPr>
      <w:rFonts w:ascii="Symbol" w:hAnsi="Symbol" w:cs="Symbol"/>
    </w:rPr>
  </w:style>
  <w:style w:type="character" w:customStyle="1" w:styleId="WW8Num11z0">
    <w:name w:val="WW8Num11z0"/>
    <w:rsid w:val="007440A9"/>
    <w:rPr>
      <w:rFonts w:ascii="Symbol" w:hAnsi="Symbol" w:cs="Symbol"/>
    </w:rPr>
  </w:style>
  <w:style w:type="character" w:customStyle="1" w:styleId="WW8Num11z1">
    <w:name w:val="WW8Num11z1"/>
    <w:rsid w:val="007440A9"/>
    <w:rPr>
      <w:rFonts w:ascii="Courier New" w:hAnsi="Courier New" w:cs="Courier New"/>
    </w:rPr>
  </w:style>
  <w:style w:type="character" w:customStyle="1" w:styleId="WW8Num11z2">
    <w:name w:val="WW8Num11z2"/>
    <w:rsid w:val="007440A9"/>
    <w:rPr>
      <w:rFonts w:ascii="Wingdings" w:hAnsi="Wingdings" w:cs="Wingdings"/>
    </w:rPr>
  </w:style>
  <w:style w:type="character" w:customStyle="1" w:styleId="WW8Num13z0">
    <w:name w:val="WW8Num13z0"/>
    <w:rsid w:val="007440A9"/>
    <w:rPr>
      <w:b w:val="0"/>
      <w:bCs w:val="0"/>
      <w:i/>
      <w:iCs/>
      <w:sz w:val="18"/>
      <w:szCs w:val="18"/>
    </w:rPr>
  </w:style>
  <w:style w:type="character" w:customStyle="1" w:styleId="WW8Num14z0">
    <w:name w:val="WW8Num14z0"/>
    <w:rsid w:val="007440A9"/>
    <w:rPr>
      <w:rFonts w:ascii="Symbol" w:hAnsi="Symbol" w:cs="Symbol"/>
    </w:rPr>
  </w:style>
  <w:style w:type="character" w:customStyle="1" w:styleId="WW8Num14z1">
    <w:name w:val="WW8Num14z1"/>
    <w:rsid w:val="007440A9"/>
    <w:rPr>
      <w:rFonts w:ascii="Courier New" w:hAnsi="Courier New" w:cs="Courier New"/>
    </w:rPr>
  </w:style>
  <w:style w:type="character" w:customStyle="1" w:styleId="WW8Num14z2">
    <w:name w:val="WW8Num14z2"/>
    <w:rsid w:val="007440A9"/>
    <w:rPr>
      <w:rFonts w:ascii="Wingdings" w:hAnsi="Wingdings" w:cs="Wingdings"/>
    </w:rPr>
  </w:style>
  <w:style w:type="character" w:customStyle="1" w:styleId="WW8Num15z0">
    <w:name w:val="WW8Num15z0"/>
    <w:rsid w:val="007440A9"/>
    <w:rPr>
      <w:rFonts w:ascii="Symbol" w:hAnsi="Symbol" w:cs="Symbol"/>
    </w:rPr>
  </w:style>
  <w:style w:type="character" w:customStyle="1" w:styleId="WW8Num16z0">
    <w:name w:val="WW8Num16z0"/>
    <w:rsid w:val="007440A9"/>
    <w:rPr>
      <w:rFonts w:ascii="Symbol" w:hAnsi="Symbol" w:cs="Symbol"/>
    </w:rPr>
  </w:style>
  <w:style w:type="character" w:customStyle="1" w:styleId="WW8Num16z1">
    <w:name w:val="WW8Num16z1"/>
    <w:rsid w:val="007440A9"/>
    <w:rPr>
      <w:rFonts w:ascii="Courier New" w:hAnsi="Courier New" w:cs="Courier New"/>
    </w:rPr>
  </w:style>
  <w:style w:type="character" w:customStyle="1" w:styleId="WW8Num16z2">
    <w:name w:val="WW8Num16z2"/>
    <w:rsid w:val="007440A9"/>
    <w:rPr>
      <w:rFonts w:ascii="Wingdings" w:hAnsi="Wingdings" w:cs="Wingdings"/>
    </w:rPr>
  </w:style>
  <w:style w:type="character" w:customStyle="1" w:styleId="WW8Num17z0">
    <w:name w:val="WW8Num17z0"/>
    <w:rsid w:val="007440A9"/>
    <w:rPr>
      <w:rFonts w:ascii="Symbol" w:hAnsi="Symbol" w:cs="Symbol"/>
    </w:rPr>
  </w:style>
  <w:style w:type="character" w:customStyle="1" w:styleId="WW8Num17z1">
    <w:name w:val="WW8Num17z1"/>
    <w:rsid w:val="007440A9"/>
    <w:rPr>
      <w:rFonts w:ascii="Courier New" w:hAnsi="Courier New" w:cs="Courier New"/>
    </w:rPr>
  </w:style>
  <w:style w:type="character" w:customStyle="1" w:styleId="WW8Num17z2">
    <w:name w:val="WW8Num17z2"/>
    <w:rsid w:val="007440A9"/>
    <w:rPr>
      <w:rFonts w:ascii="Wingdings" w:hAnsi="Wingdings" w:cs="Wingdings"/>
    </w:rPr>
  </w:style>
  <w:style w:type="character" w:styleId="PageNumber">
    <w:name w:val="page number"/>
    <w:basedOn w:val="DefaultParagraphFont"/>
    <w:rsid w:val="007440A9"/>
    <w:rPr>
      <w:rFonts w:ascii="Times New Roman" w:hAnsi="Times New Roman" w:cs="Times New Roman"/>
      <w:sz w:val="24"/>
      <w:szCs w:val="24"/>
    </w:rPr>
  </w:style>
  <w:style w:type="character" w:styleId="LineNumber">
    <w:name w:val="line number"/>
    <w:basedOn w:val="DefaultParagraphFont"/>
    <w:uiPriority w:val="99"/>
    <w:rsid w:val="007440A9"/>
    <w:rPr>
      <w:rFonts w:ascii="Times New Roman" w:hAnsi="Times New Roman" w:cs="Times New Roman"/>
      <w:sz w:val="24"/>
      <w:szCs w:val="24"/>
    </w:rPr>
  </w:style>
  <w:style w:type="character" w:customStyle="1" w:styleId="FootnoteCharacters">
    <w:name w:val="Footnote Characters"/>
    <w:basedOn w:val="DefaultParagraphFont"/>
    <w:rsid w:val="007440A9"/>
    <w:rPr>
      <w:vertAlign w:val="superscript"/>
    </w:rPr>
  </w:style>
  <w:style w:type="character" w:customStyle="1" w:styleId="answerChar">
    <w:name w:val="answer Char"/>
    <w:basedOn w:val="DefaultParagraphFont"/>
    <w:rsid w:val="007440A9"/>
    <w:rPr>
      <w:rFonts w:eastAsia="SimSun"/>
      <w:sz w:val="24"/>
      <w:szCs w:val="24"/>
      <w:lang w:val="en-US"/>
    </w:rPr>
  </w:style>
  <w:style w:type="character" w:customStyle="1" w:styleId="T11">
    <w:name w:val="T11"/>
    <w:rsid w:val="007440A9"/>
    <w:rPr>
      <w:b/>
    </w:rPr>
  </w:style>
  <w:style w:type="character" w:styleId="Hyperlink">
    <w:name w:val="Hyperlink"/>
    <w:basedOn w:val="DefaultParagraphFont"/>
    <w:uiPriority w:val="99"/>
    <w:rsid w:val="007440A9"/>
    <w:rPr>
      <w:color w:val="0000FF"/>
      <w:u w:val="single"/>
    </w:rPr>
  </w:style>
  <w:style w:type="character" w:styleId="FootnoteReference">
    <w:name w:val="footnote reference"/>
    <w:aliases w:val="Style 11,Style 24,o,fr,Style 17,Style 28,Style 8,Style 13,Style 15,Style 9,o1,fr1,o2,fr2,o3,fr3,Style 18,(NECG) Footnote Reference,Style 20,Style 7,Style 19,Style 16,Style 30"/>
    <w:uiPriority w:val="99"/>
    <w:rsid w:val="007440A9"/>
    <w:rPr>
      <w:vertAlign w:val="superscript"/>
    </w:rPr>
  </w:style>
  <w:style w:type="character" w:customStyle="1" w:styleId="EndnoteCharacters">
    <w:name w:val="Endnote Characters"/>
    <w:rsid w:val="007440A9"/>
    <w:rPr>
      <w:vertAlign w:val="superscript"/>
    </w:rPr>
  </w:style>
  <w:style w:type="character" w:customStyle="1" w:styleId="WW-EndnoteCharacters">
    <w:name w:val="WW-Endnote Characters"/>
    <w:rsid w:val="007440A9"/>
  </w:style>
  <w:style w:type="character" w:styleId="EndnoteReference">
    <w:name w:val="endnote reference"/>
    <w:semiHidden/>
    <w:rsid w:val="007440A9"/>
    <w:rPr>
      <w:vertAlign w:val="superscript"/>
    </w:rPr>
  </w:style>
  <w:style w:type="paragraph" w:customStyle="1" w:styleId="Heading">
    <w:name w:val="Heading"/>
    <w:basedOn w:val="Normal"/>
    <w:next w:val="BodyText"/>
    <w:rsid w:val="007440A9"/>
    <w:pPr>
      <w:keepNext/>
      <w:spacing w:before="240" w:after="120"/>
    </w:pPr>
    <w:rPr>
      <w:rFonts w:ascii="Arial" w:hAnsi="Arial" w:cs="Tahoma"/>
      <w:sz w:val="28"/>
      <w:szCs w:val="28"/>
    </w:rPr>
  </w:style>
  <w:style w:type="paragraph" w:styleId="BodyText">
    <w:name w:val="Body Text"/>
    <w:basedOn w:val="Normal"/>
    <w:link w:val="BodyTextChar"/>
    <w:semiHidden/>
    <w:rsid w:val="007440A9"/>
    <w:pPr>
      <w:spacing w:line="360" w:lineRule="auto"/>
      <w:jc w:val="center"/>
    </w:pPr>
    <w:rPr>
      <w:b/>
      <w:bCs/>
    </w:rPr>
  </w:style>
  <w:style w:type="paragraph" w:styleId="List">
    <w:name w:val="List"/>
    <w:basedOn w:val="BodyText"/>
    <w:semiHidden/>
    <w:rsid w:val="007440A9"/>
    <w:rPr>
      <w:rFonts w:cs="Tahoma"/>
    </w:rPr>
  </w:style>
  <w:style w:type="paragraph" w:styleId="Caption">
    <w:name w:val="caption"/>
    <w:basedOn w:val="Normal"/>
    <w:qFormat/>
    <w:rsid w:val="007440A9"/>
    <w:pPr>
      <w:suppressLineNumbers/>
      <w:spacing w:before="120" w:after="120"/>
    </w:pPr>
    <w:rPr>
      <w:rFonts w:cs="Tahoma"/>
      <w:i/>
      <w:iCs/>
    </w:rPr>
  </w:style>
  <w:style w:type="paragraph" w:customStyle="1" w:styleId="Index">
    <w:name w:val="Index"/>
    <w:basedOn w:val="Normal"/>
    <w:rsid w:val="007440A9"/>
    <w:pPr>
      <w:suppressLineNumbers/>
    </w:pPr>
    <w:rPr>
      <w:rFonts w:cs="Tahoma"/>
    </w:rPr>
  </w:style>
  <w:style w:type="paragraph" w:styleId="Header">
    <w:name w:val="header"/>
    <w:basedOn w:val="Normal"/>
    <w:semiHidden/>
    <w:rsid w:val="007440A9"/>
    <w:pPr>
      <w:tabs>
        <w:tab w:val="center" w:pos="4320"/>
        <w:tab w:val="right" w:pos="8640"/>
      </w:tabs>
    </w:pPr>
  </w:style>
  <w:style w:type="paragraph" w:styleId="Footer">
    <w:name w:val="footer"/>
    <w:basedOn w:val="Normal"/>
    <w:semiHidden/>
    <w:rsid w:val="007440A9"/>
    <w:pPr>
      <w:tabs>
        <w:tab w:val="center" w:pos="4320"/>
        <w:tab w:val="right" w:pos="8640"/>
      </w:tabs>
    </w:pPr>
  </w:style>
  <w:style w:type="paragraph" w:styleId="BodyTextIndent">
    <w:name w:val="Body Text Indent"/>
    <w:basedOn w:val="Normal"/>
    <w:semiHidden/>
    <w:rsid w:val="007440A9"/>
    <w:pPr>
      <w:spacing w:after="120"/>
      <w:ind w:left="360"/>
    </w:pPr>
  </w:style>
  <w:style w:type="paragraph" w:styleId="BodyTextIndent2">
    <w:name w:val="Body Text Indent 2"/>
    <w:basedOn w:val="Normal"/>
    <w:rsid w:val="007440A9"/>
    <w:pPr>
      <w:tabs>
        <w:tab w:val="left" w:pos="2340"/>
      </w:tabs>
      <w:spacing w:line="480" w:lineRule="auto"/>
      <w:ind w:left="540" w:hanging="540"/>
      <w:jc w:val="both"/>
    </w:pPr>
  </w:style>
  <w:style w:type="paragraph" w:styleId="BodyTextIndent3">
    <w:name w:val="Body Text Indent 3"/>
    <w:basedOn w:val="Normal"/>
    <w:rsid w:val="007440A9"/>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7440A9"/>
    <w:rPr>
      <w:sz w:val="20"/>
      <w:szCs w:val="20"/>
    </w:rPr>
  </w:style>
  <w:style w:type="paragraph" w:styleId="DocumentMap">
    <w:name w:val="Document Map"/>
    <w:basedOn w:val="Normal"/>
    <w:rsid w:val="007440A9"/>
    <w:pPr>
      <w:shd w:val="clear" w:color="auto" w:fill="000080"/>
    </w:pPr>
    <w:rPr>
      <w:rFonts w:ascii="Tahoma" w:hAnsi="Tahoma" w:cs="Tahoma"/>
    </w:rPr>
  </w:style>
  <w:style w:type="paragraph" w:customStyle="1" w:styleId="TestBody">
    <w:name w:val="Test Body"/>
    <w:rsid w:val="007440A9"/>
    <w:pPr>
      <w:suppressAutoHyphens/>
      <w:autoSpaceDE w:val="0"/>
      <w:spacing w:line="480" w:lineRule="atLeast"/>
      <w:ind w:left="720" w:firstLine="1440"/>
      <w:jc w:val="both"/>
    </w:pPr>
    <w:rPr>
      <w:rFonts w:ascii="Palatino" w:eastAsia="MS Mincho" w:hAnsi="Palatino" w:cs="Palatino"/>
      <w:sz w:val="24"/>
      <w:szCs w:val="24"/>
      <w:lang w:eastAsia="ar-SA"/>
    </w:rPr>
  </w:style>
  <w:style w:type="paragraph" w:customStyle="1" w:styleId="AnswerBullets">
    <w:name w:val="Answer_Bullets"/>
    <w:basedOn w:val="Normal"/>
    <w:rsid w:val="007440A9"/>
    <w:pPr>
      <w:numPr>
        <w:numId w:val="4"/>
      </w:numPr>
    </w:pPr>
  </w:style>
  <w:style w:type="paragraph" w:customStyle="1" w:styleId="answer">
    <w:name w:val="answer"/>
    <w:basedOn w:val="Normal"/>
    <w:rsid w:val="007440A9"/>
    <w:pPr>
      <w:autoSpaceDE/>
      <w:spacing w:before="120" w:after="120" w:line="480" w:lineRule="auto"/>
      <w:ind w:left="720" w:hanging="720"/>
    </w:pPr>
    <w:rPr>
      <w:rFonts w:eastAsia="SimSun"/>
    </w:rPr>
  </w:style>
  <w:style w:type="paragraph" w:customStyle="1" w:styleId="P31">
    <w:name w:val="P31"/>
    <w:basedOn w:val="Normal"/>
    <w:rsid w:val="007440A9"/>
    <w:pPr>
      <w:widowControl w:val="0"/>
      <w:tabs>
        <w:tab w:val="left" w:pos="810"/>
        <w:tab w:val="left" w:pos="1440"/>
      </w:tabs>
      <w:spacing w:line="480" w:lineRule="auto"/>
      <w:ind w:firstLine="720"/>
    </w:pPr>
    <w:rPr>
      <w:rFonts w:ascii="Courier" w:eastAsia="Times New Roman" w:hAnsi="Courier" w:cs="Courier"/>
      <w:szCs w:val="20"/>
    </w:rPr>
  </w:style>
  <w:style w:type="paragraph" w:customStyle="1" w:styleId="TableContents">
    <w:name w:val="Table Contents"/>
    <w:basedOn w:val="Normal"/>
    <w:rsid w:val="007440A9"/>
    <w:pPr>
      <w:suppressLineNumbers/>
    </w:pPr>
  </w:style>
  <w:style w:type="paragraph" w:customStyle="1" w:styleId="TableHeading">
    <w:name w:val="Table Heading"/>
    <w:basedOn w:val="TableContents"/>
    <w:rsid w:val="007440A9"/>
    <w:pPr>
      <w:jc w:val="center"/>
    </w:pPr>
    <w:rPr>
      <w:b/>
      <w:bCs/>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4716C1"/>
    <w:rPr>
      <w:rFonts w:eastAsia="MS Mincho"/>
      <w:lang w:eastAsia="ar-SA"/>
    </w:rPr>
  </w:style>
  <w:style w:type="paragraph" w:customStyle="1" w:styleId="P106">
    <w:name w:val="P106"/>
    <w:basedOn w:val="Normal"/>
    <w:hidden/>
    <w:rsid w:val="00182594"/>
    <w:pPr>
      <w:widowControl w:val="0"/>
      <w:tabs>
        <w:tab w:val="left" w:pos="810"/>
        <w:tab w:val="left" w:pos="1440"/>
      </w:tabs>
      <w:suppressAutoHyphens w:val="0"/>
      <w:autoSpaceDN w:val="0"/>
      <w:adjustRightInd w:val="0"/>
      <w:spacing w:line="480" w:lineRule="auto"/>
      <w:ind w:firstLine="720"/>
    </w:pPr>
    <w:rPr>
      <w:rFonts w:ascii="Courier" w:eastAsia="Times New Roman" w:hAnsi="Courier" w:cs="Courier"/>
      <w:szCs w:val="20"/>
      <w:lang w:eastAsia="en-US"/>
    </w:rPr>
  </w:style>
  <w:style w:type="character" w:customStyle="1" w:styleId="BodyTextChar">
    <w:name w:val="Body Text Char"/>
    <w:basedOn w:val="DefaultParagraphFont"/>
    <w:link w:val="BodyText"/>
    <w:semiHidden/>
    <w:rsid w:val="00D15D05"/>
    <w:rPr>
      <w:rFonts w:eastAsia="MS Mincho"/>
      <w:b/>
      <w:bCs/>
      <w:sz w:val="24"/>
      <w:szCs w:val="24"/>
      <w:lang w:eastAsia="ar-SA"/>
    </w:rPr>
  </w:style>
  <w:style w:type="paragraph" w:styleId="TOCHeading">
    <w:name w:val="TOC Heading"/>
    <w:basedOn w:val="Heading1"/>
    <w:next w:val="Normal"/>
    <w:uiPriority w:val="39"/>
    <w:semiHidden/>
    <w:unhideWhenUsed/>
    <w:qFormat/>
    <w:rsid w:val="008F6CDE"/>
    <w:pPr>
      <w:numPr>
        <w:numId w:val="0"/>
      </w:numPr>
      <w:suppressAutoHyphens w:val="0"/>
      <w:autoSpaceDN w:val="0"/>
      <w:outlineLvl w:val="9"/>
    </w:pPr>
    <w:rPr>
      <w:rFonts w:eastAsia="Times New Roman"/>
      <w:lang w:eastAsia="en-US"/>
    </w:rPr>
  </w:style>
  <w:style w:type="paragraph" w:styleId="TOC1">
    <w:name w:val="toc 1"/>
    <w:aliases w:val="Testimony - WA"/>
    <w:basedOn w:val="Normal"/>
    <w:next w:val="Normal"/>
    <w:autoRedefine/>
    <w:uiPriority w:val="39"/>
    <w:qFormat/>
    <w:rsid w:val="008F6CDE"/>
    <w:pPr>
      <w:tabs>
        <w:tab w:val="right" w:leader="dot" w:pos="9350"/>
      </w:tabs>
      <w:suppressAutoHyphens w:val="0"/>
      <w:autoSpaceDN w:val="0"/>
      <w:ind w:left="900" w:hanging="450"/>
    </w:pPr>
    <w:rPr>
      <w:rFonts w:eastAsia="Times New Roman"/>
      <w:lang w:eastAsia="en-US"/>
    </w:rPr>
  </w:style>
  <w:style w:type="paragraph" w:styleId="TOC2">
    <w:name w:val="toc 2"/>
    <w:basedOn w:val="Normal"/>
    <w:next w:val="Normal"/>
    <w:autoRedefine/>
    <w:uiPriority w:val="39"/>
    <w:rsid w:val="008F6CDE"/>
    <w:pPr>
      <w:tabs>
        <w:tab w:val="right" w:leader="dot" w:pos="9350"/>
      </w:tabs>
      <w:suppressAutoHyphens w:val="0"/>
      <w:autoSpaceDN w:val="0"/>
      <w:ind w:left="1350" w:hanging="450"/>
    </w:pPr>
    <w:rPr>
      <w:rFonts w:eastAsia="Times New Roman"/>
      <w:lang w:eastAsia="en-US"/>
    </w:rPr>
  </w:style>
  <w:style w:type="paragraph" w:styleId="BalloonText">
    <w:name w:val="Balloon Text"/>
    <w:basedOn w:val="Normal"/>
    <w:link w:val="BalloonTextChar"/>
    <w:uiPriority w:val="99"/>
    <w:semiHidden/>
    <w:unhideWhenUsed/>
    <w:rsid w:val="00EE30E9"/>
    <w:rPr>
      <w:rFonts w:ascii="Tahoma" w:hAnsi="Tahoma" w:cs="Tahoma"/>
      <w:sz w:val="16"/>
      <w:szCs w:val="16"/>
    </w:rPr>
  </w:style>
  <w:style w:type="character" w:customStyle="1" w:styleId="BalloonTextChar">
    <w:name w:val="Balloon Text Char"/>
    <w:basedOn w:val="DefaultParagraphFont"/>
    <w:link w:val="BalloonText"/>
    <w:uiPriority w:val="99"/>
    <w:semiHidden/>
    <w:rsid w:val="00EE30E9"/>
    <w:rPr>
      <w:rFonts w:ascii="Tahoma" w:eastAsia="MS Mincho"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74806872">
      <w:bodyDiv w:val="1"/>
      <w:marLeft w:val="0"/>
      <w:marRight w:val="0"/>
      <w:marTop w:val="0"/>
      <w:marBottom w:val="0"/>
      <w:divBdr>
        <w:top w:val="none" w:sz="0" w:space="0" w:color="auto"/>
        <w:left w:val="none" w:sz="0" w:space="0" w:color="auto"/>
        <w:bottom w:val="none" w:sz="0" w:space="0" w:color="auto"/>
        <w:right w:val="none" w:sz="0" w:space="0" w:color="auto"/>
      </w:divBdr>
    </w:div>
    <w:div w:id="551426093">
      <w:bodyDiv w:val="1"/>
      <w:marLeft w:val="0"/>
      <w:marRight w:val="0"/>
      <w:marTop w:val="0"/>
      <w:marBottom w:val="0"/>
      <w:divBdr>
        <w:top w:val="none" w:sz="0" w:space="0" w:color="auto"/>
        <w:left w:val="none" w:sz="0" w:space="0" w:color="auto"/>
        <w:bottom w:val="none" w:sz="0" w:space="0" w:color="auto"/>
        <w:right w:val="none" w:sz="0" w:space="0" w:color="auto"/>
      </w:divBdr>
    </w:div>
    <w:div w:id="1136291986">
      <w:bodyDiv w:val="1"/>
      <w:marLeft w:val="0"/>
      <w:marRight w:val="0"/>
      <w:marTop w:val="0"/>
      <w:marBottom w:val="0"/>
      <w:divBdr>
        <w:top w:val="none" w:sz="0" w:space="0" w:color="auto"/>
        <w:left w:val="none" w:sz="0" w:space="0" w:color="auto"/>
        <w:bottom w:val="none" w:sz="0" w:space="0" w:color="auto"/>
        <w:right w:val="none" w:sz="0" w:space="0" w:color="auto"/>
      </w:divBdr>
    </w:div>
    <w:div w:id="1789201146">
      <w:bodyDiv w:val="1"/>
      <w:marLeft w:val="0"/>
      <w:marRight w:val="0"/>
      <w:marTop w:val="0"/>
      <w:marBottom w:val="0"/>
      <w:divBdr>
        <w:top w:val="none" w:sz="0" w:space="0" w:color="auto"/>
        <w:left w:val="none" w:sz="0" w:space="0" w:color="auto"/>
        <w:bottom w:val="none" w:sz="0" w:space="0" w:color="auto"/>
        <w:right w:val="none" w:sz="0" w:space="0" w:color="auto"/>
      </w:divBdr>
    </w:div>
    <w:div w:id="180473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2015-09-04T07:00:00+00:00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94672DB-2B2B-44C7-AE77-C479B88AFD16}"/>
</file>

<file path=customXml/itemProps2.xml><?xml version="1.0" encoding="utf-8"?>
<ds:datastoreItem xmlns:ds="http://schemas.openxmlformats.org/officeDocument/2006/customXml" ds:itemID="{61512879-E4D7-4842-9B95-7C0AD8691C04}"/>
</file>

<file path=customXml/itemProps3.xml><?xml version="1.0" encoding="utf-8"?>
<ds:datastoreItem xmlns:ds="http://schemas.openxmlformats.org/officeDocument/2006/customXml" ds:itemID="{F0309B34-F577-49D6-8ED6-B1885AFD058E}"/>
</file>

<file path=customXml/itemProps4.xml><?xml version="1.0" encoding="utf-8"?>
<ds:datastoreItem xmlns:ds="http://schemas.openxmlformats.org/officeDocument/2006/customXml" ds:itemID="{47AEB8E4-F0E7-4B9C-9F11-EAD6AE43D4D6}"/>
</file>

<file path=customXml/itemProps5.xml><?xml version="1.0" encoding="utf-8"?>
<ds:datastoreItem xmlns:ds="http://schemas.openxmlformats.org/officeDocument/2006/customXml" ds:itemID="{BC4D065E-289D-4EBD-9E33-E582937F62C7}"/>
</file>

<file path=docProps/app.xml><?xml version="1.0" encoding="utf-8"?>
<Properties xmlns="http://schemas.openxmlformats.org/officeDocument/2006/extended-properties" xmlns:vt="http://schemas.openxmlformats.org/officeDocument/2006/docPropsVTypes">
  <Template>Normal.dotm</Template>
  <TotalTime>255</TotalTime>
  <Pages>52</Pages>
  <Words>12802</Words>
  <Characters>72978</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Corp</Company>
  <LinksUpToDate>false</LinksUpToDate>
  <CharactersWithSpaces>85609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Pat Ehrbar</cp:lastModifiedBy>
  <cp:revision>30</cp:revision>
  <cp:lastPrinted>2015-09-03T15:14:00Z</cp:lastPrinted>
  <dcterms:created xsi:type="dcterms:W3CDTF">2015-09-01T16:27:00Z</dcterms:created>
  <dcterms:modified xsi:type="dcterms:W3CDTF">2015-09-04T17:57:00Z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