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46" w:rsidRPr="001934ED" w:rsidRDefault="00430395" w:rsidP="00EA5CA0">
      <w:pPr>
        <w:ind w:left="5040"/>
        <w:rPr>
          <w:b/>
          <w:bCs/>
          <w:lang w:val="fr-FR"/>
        </w:rPr>
      </w:pPr>
      <w:proofErr w:type="spellStart"/>
      <w:r>
        <w:rPr>
          <w:b/>
          <w:bCs/>
          <w:lang w:val="fr-FR"/>
        </w:rPr>
        <w:t>E</w:t>
      </w:r>
      <w:r w:rsidR="00A83246">
        <w:rPr>
          <w:b/>
          <w:bCs/>
          <w:lang w:val="fr-FR"/>
        </w:rPr>
        <w:t>xhibit</w:t>
      </w:r>
      <w:proofErr w:type="spellEnd"/>
      <w:r w:rsidR="00A83246">
        <w:rPr>
          <w:b/>
          <w:bCs/>
          <w:lang w:val="fr-FR"/>
        </w:rPr>
        <w:t xml:space="preserve"> No. </w:t>
      </w:r>
      <w:r w:rsidR="0097001E">
        <w:rPr>
          <w:b/>
          <w:bCs/>
          <w:lang w:val="fr-FR"/>
        </w:rPr>
        <w:t>__</w:t>
      </w:r>
      <w:r w:rsidR="005D0715">
        <w:rPr>
          <w:b/>
          <w:bCs/>
          <w:lang w:val="fr-FR"/>
        </w:rPr>
        <w:t>_</w:t>
      </w:r>
      <w:r w:rsidR="0097001E">
        <w:rPr>
          <w:b/>
          <w:bCs/>
          <w:lang w:val="fr-FR"/>
        </w:rPr>
        <w:t>T (</w:t>
      </w:r>
      <w:proofErr w:type="spellStart"/>
      <w:r w:rsidR="000B2156">
        <w:rPr>
          <w:b/>
          <w:bCs/>
          <w:lang w:val="fr-FR"/>
        </w:rPr>
        <w:t>KLE</w:t>
      </w:r>
      <w:r w:rsidR="00A83246">
        <w:rPr>
          <w:b/>
          <w:bCs/>
          <w:lang w:val="fr-FR"/>
        </w:rPr>
        <w:t>-1T</w:t>
      </w:r>
      <w:proofErr w:type="spellEnd"/>
      <w:r w:rsidR="0097001E">
        <w:rPr>
          <w:b/>
          <w:bCs/>
          <w:lang w:val="fr-FR"/>
        </w:rPr>
        <w:t>)</w:t>
      </w:r>
    </w:p>
    <w:p w:rsidR="00717F1F" w:rsidRDefault="00A83246" w:rsidP="00EA5CA0">
      <w:pPr>
        <w:ind w:left="5040"/>
        <w:rPr>
          <w:b/>
          <w:bCs/>
        </w:rPr>
      </w:pPr>
      <w:r w:rsidRPr="001934ED">
        <w:rPr>
          <w:b/>
          <w:bCs/>
        </w:rPr>
        <w:t>D</w:t>
      </w:r>
      <w:r>
        <w:rPr>
          <w:b/>
          <w:bCs/>
        </w:rPr>
        <w:t>ocket</w:t>
      </w:r>
      <w:r w:rsidR="00F17150">
        <w:rPr>
          <w:b/>
          <w:bCs/>
        </w:rPr>
        <w:t>s</w:t>
      </w:r>
      <w:r w:rsidR="0007661C">
        <w:rPr>
          <w:b/>
          <w:bCs/>
        </w:rPr>
        <w:t xml:space="preserve"> </w:t>
      </w:r>
      <w:proofErr w:type="spellStart"/>
      <w:r w:rsidR="0007661C">
        <w:rPr>
          <w:b/>
          <w:bCs/>
        </w:rPr>
        <w:t>UE</w:t>
      </w:r>
      <w:proofErr w:type="spellEnd"/>
      <w:r w:rsidR="0007661C">
        <w:rPr>
          <w:b/>
          <w:bCs/>
        </w:rPr>
        <w:t>-</w:t>
      </w:r>
      <w:r w:rsidR="005D0715">
        <w:rPr>
          <w:b/>
          <w:bCs/>
        </w:rPr>
        <w:t>111048/</w:t>
      </w:r>
      <w:proofErr w:type="spellStart"/>
      <w:r w:rsidR="00A91D51">
        <w:rPr>
          <w:b/>
          <w:bCs/>
        </w:rPr>
        <w:t>UG</w:t>
      </w:r>
      <w:proofErr w:type="spellEnd"/>
      <w:r w:rsidR="00A91D51">
        <w:rPr>
          <w:b/>
          <w:bCs/>
        </w:rPr>
        <w:t>-</w:t>
      </w:r>
      <w:r w:rsidR="00F17150">
        <w:rPr>
          <w:b/>
          <w:bCs/>
        </w:rPr>
        <w:t>111049</w:t>
      </w:r>
    </w:p>
    <w:p w:rsidR="00A83246" w:rsidRDefault="00A83246" w:rsidP="00EA5CA0">
      <w:pPr>
        <w:ind w:left="5040"/>
        <w:rPr>
          <w:b/>
          <w:bCs/>
        </w:rPr>
      </w:pPr>
      <w:r w:rsidRPr="001934ED">
        <w:rPr>
          <w:b/>
          <w:bCs/>
        </w:rPr>
        <w:t xml:space="preserve">Witness: </w:t>
      </w:r>
      <w:r>
        <w:rPr>
          <w:b/>
          <w:bCs/>
        </w:rPr>
        <w:t xml:space="preserve"> </w:t>
      </w:r>
      <w:r w:rsidR="000B2156">
        <w:rPr>
          <w:b/>
          <w:bCs/>
        </w:rPr>
        <w:t>Kenneth L. Elgin</w:t>
      </w:r>
      <w:r>
        <w:rPr>
          <w:b/>
          <w:bCs/>
        </w:rPr>
        <w:t xml:space="preserve"> </w:t>
      </w:r>
    </w:p>
    <w:p w:rsidR="00A83246" w:rsidRPr="001934ED" w:rsidRDefault="00A83246" w:rsidP="00EA5CA0">
      <w:pPr>
        <w:ind w:left="5040"/>
        <w:rPr>
          <w:b/>
          <w:bCs/>
        </w:rPr>
      </w:pPr>
    </w:p>
    <w:p w:rsidR="00FB1E69" w:rsidRDefault="00FB1E69" w:rsidP="00EA5CA0">
      <w:pPr>
        <w:tabs>
          <w:tab w:val="center" w:pos="4680"/>
        </w:tabs>
        <w:ind w:right="-252"/>
        <w:rPr>
          <w:b/>
          <w:bCs/>
        </w:rPr>
      </w:pPr>
    </w:p>
    <w:p w:rsidR="00FB1E69" w:rsidRDefault="00FB1E69" w:rsidP="00EA5CA0">
      <w:pPr>
        <w:tabs>
          <w:tab w:val="center" w:pos="4680"/>
        </w:tabs>
        <w:ind w:right="-252"/>
        <w:rPr>
          <w:b/>
          <w:bCs/>
        </w:rPr>
      </w:pPr>
    </w:p>
    <w:p w:rsidR="00A83246" w:rsidRDefault="00A83246" w:rsidP="005D0715">
      <w:pPr>
        <w:ind w:right="-612" w:hanging="540"/>
        <w:jc w:val="center"/>
        <w:rPr>
          <w:b/>
          <w:bCs/>
        </w:rPr>
      </w:pPr>
      <w:r w:rsidRPr="000E1591">
        <w:rPr>
          <w:b/>
          <w:bCs/>
        </w:rPr>
        <w:t xml:space="preserve">BEFORE THE WASHINGTON </w:t>
      </w:r>
      <w:r w:rsidR="00F56B1C">
        <w:rPr>
          <w:b/>
          <w:bCs/>
        </w:rPr>
        <w:t>STATE</w:t>
      </w:r>
      <w:r w:rsidR="005D0715">
        <w:rPr>
          <w:b/>
          <w:bCs/>
        </w:rPr>
        <w:t xml:space="preserve"> </w:t>
      </w:r>
      <w:bookmarkStart w:id="0" w:name="_GoBack"/>
      <w:bookmarkEnd w:id="0"/>
      <w:r w:rsidRPr="000E1591">
        <w:rPr>
          <w:b/>
          <w:bCs/>
        </w:rPr>
        <w:t>UTILITIES AND TRANSPORTATION COMMISSION</w:t>
      </w:r>
    </w:p>
    <w:p w:rsidR="00A83246" w:rsidRDefault="00A83246" w:rsidP="00A83246">
      <w:pPr>
        <w:tabs>
          <w:tab w:val="center" w:pos="4680"/>
        </w:tabs>
        <w:ind w:right="-252" w:hanging="360"/>
        <w:rPr>
          <w:b/>
          <w:bCs/>
        </w:rPr>
      </w:pPr>
    </w:p>
    <w:p w:rsidR="00F56B1C" w:rsidRPr="00FB2A42" w:rsidRDefault="00F56B1C" w:rsidP="00F56B1C">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56B1C" w:rsidRPr="00FB2A42" w:rsidTr="00690BE5">
        <w:tc>
          <w:tcPr>
            <w:tcW w:w="4590" w:type="dxa"/>
            <w:tcBorders>
              <w:top w:val="single" w:sz="6" w:space="0" w:color="FFFFFF"/>
              <w:left w:val="single" w:sz="6" w:space="0" w:color="FFFFFF"/>
              <w:bottom w:val="single" w:sz="6" w:space="0" w:color="FFFFFF"/>
              <w:right w:val="single" w:sz="6" w:space="0" w:color="FFFFFF"/>
            </w:tcBorders>
          </w:tcPr>
          <w:p w:rsidR="00F56B1C" w:rsidRPr="00FB2A42" w:rsidRDefault="00F56B1C" w:rsidP="00F12C1A">
            <w:pPr>
              <w:rPr>
                <w:b/>
              </w:rPr>
            </w:pPr>
            <w:r w:rsidRPr="00FB2A42">
              <w:rPr>
                <w:b/>
              </w:rPr>
              <w:t xml:space="preserve">WASHINGTON UTILITIES AND TRANSPORTATION COMMISSION, </w:t>
            </w:r>
          </w:p>
          <w:p w:rsidR="00F56B1C" w:rsidRPr="00FB2A42" w:rsidRDefault="00F56B1C" w:rsidP="00F12C1A">
            <w:pPr>
              <w:rPr>
                <w:b/>
              </w:rPr>
            </w:pPr>
          </w:p>
          <w:p w:rsidR="00F56B1C" w:rsidRPr="00FB2A42" w:rsidRDefault="00F56B1C" w:rsidP="00F12C1A">
            <w:pPr>
              <w:rPr>
                <w:b/>
              </w:rPr>
            </w:pPr>
            <w:r w:rsidRPr="00FB2A42">
              <w:rPr>
                <w:b/>
              </w:rPr>
              <w:tab/>
            </w:r>
            <w:r w:rsidRPr="00FB2A42">
              <w:rPr>
                <w:b/>
              </w:rPr>
              <w:tab/>
              <w:t>Complainant,</w:t>
            </w:r>
          </w:p>
          <w:p w:rsidR="00F56B1C" w:rsidRPr="00FB2A42" w:rsidRDefault="00F56B1C" w:rsidP="00F12C1A">
            <w:pPr>
              <w:rPr>
                <w:b/>
              </w:rPr>
            </w:pPr>
          </w:p>
          <w:p w:rsidR="00F56B1C" w:rsidRPr="00FB2A42" w:rsidRDefault="00F56B1C" w:rsidP="00F12C1A">
            <w:pPr>
              <w:rPr>
                <w:b/>
              </w:rPr>
            </w:pPr>
            <w:r w:rsidRPr="00FB2A42">
              <w:rPr>
                <w:b/>
              </w:rPr>
              <w:tab/>
              <w:t>v.</w:t>
            </w:r>
          </w:p>
          <w:p w:rsidR="00F56B1C" w:rsidRPr="00FB2A42" w:rsidRDefault="00F56B1C" w:rsidP="00F12C1A">
            <w:pPr>
              <w:rPr>
                <w:b/>
              </w:rPr>
            </w:pPr>
          </w:p>
          <w:p w:rsidR="00F56B1C" w:rsidRDefault="00F17150" w:rsidP="00F12C1A">
            <w:pPr>
              <w:rPr>
                <w:b/>
              </w:rPr>
            </w:pPr>
            <w:r>
              <w:rPr>
                <w:b/>
              </w:rPr>
              <w:t>PUGET SOUND ENERGY, INC.,</w:t>
            </w:r>
          </w:p>
          <w:p w:rsidR="002C27BB" w:rsidRPr="00FB2A42" w:rsidRDefault="002C27BB" w:rsidP="00F12C1A">
            <w:pPr>
              <w:rPr>
                <w:b/>
              </w:rPr>
            </w:pPr>
          </w:p>
          <w:p w:rsidR="00F56B1C" w:rsidRPr="00FB2A42" w:rsidRDefault="00F56B1C" w:rsidP="00F12C1A">
            <w:pPr>
              <w:spacing w:after="19"/>
              <w:rPr>
                <w:b/>
              </w:rPr>
            </w:pPr>
            <w:r w:rsidRPr="00FB2A42">
              <w:rPr>
                <w:b/>
              </w:rPr>
              <w:tab/>
            </w:r>
            <w:r w:rsidRPr="00FB2A42">
              <w:rPr>
                <w:b/>
              </w:rPr>
              <w:tab/>
              <w:t>Respondent.</w:t>
            </w:r>
          </w:p>
          <w:p w:rsidR="00F56B1C" w:rsidRPr="00FB2A42" w:rsidRDefault="00F56B1C" w:rsidP="00F12C1A">
            <w:pPr>
              <w:spacing w:after="19"/>
              <w:rPr>
                <w:b/>
              </w:rPr>
            </w:pPr>
          </w:p>
        </w:tc>
        <w:tc>
          <w:tcPr>
            <w:tcW w:w="4590" w:type="dxa"/>
            <w:tcBorders>
              <w:top w:val="single" w:sz="6" w:space="0" w:color="FFFFFF"/>
              <w:left w:val="single" w:sz="6" w:space="0" w:color="000000"/>
              <w:bottom w:val="single" w:sz="6" w:space="0" w:color="FFFFFF"/>
              <w:right w:val="single" w:sz="6" w:space="0" w:color="FFFFFF"/>
            </w:tcBorders>
          </w:tcPr>
          <w:p w:rsidR="00EA5CA0" w:rsidRDefault="00F56B1C" w:rsidP="00F12C1A">
            <w:pPr>
              <w:ind w:firstLine="720"/>
              <w:rPr>
                <w:b/>
              </w:rPr>
            </w:pPr>
            <w:r w:rsidRPr="00FB2A42">
              <w:rPr>
                <w:b/>
              </w:rPr>
              <w:t xml:space="preserve">DOCKET </w:t>
            </w:r>
            <w:proofErr w:type="spellStart"/>
            <w:r w:rsidRPr="00FB2A42">
              <w:rPr>
                <w:b/>
              </w:rPr>
              <w:t>UE</w:t>
            </w:r>
            <w:proofErr w:type="spellEnd"/>
            <w:r w:rsidRPr="00FB2A42">
              <w:rPr>
                <w:b/>
              </w:rPr>
              <w:t>-</w:t>
            </w:r>
            <w:r w:rsidR="00F17150">
              <w:rPr>
                <w:b/>
              </w:rPr>
              <w:t xml:space="preserve">111048 </w:t>
            </w:r>
          </w:p>
          <w:p w:rsidR="00F56B1C" w:rsidRPr="00FB2A42" w:rsidRDefault="005D0715" w:rsidP="00F12C1A">
            <w:pPr>
              <w:ind w:firstLine="720"/>
              <w:rPr>
                <w:b/>
              </w:rPr>
            </w:pPr>
            <w:r>
              <w:rPr>
                <w:b/>
              </w:rPr>
              <w:t xml:space="preserve">DOCKET </w:t>
            </w:r>
            <w:proofErr w:type="spellStart"/>
            <w:r w:rsidR="00F17150">
              <w:rPr>
                <w:b/>
              </w:rPr>
              <w:t>UG</w:t>
            </w:r>
            <w:proofErr w:type="spellEnd"/>
            <w:r w:rsidR="00F17150">
              <w:rPr>
                <w:b/>
              </w:rPr>
              <w:t>-111049</w:t>
            </w:r>
            <w:r w:rsidR="00F56B1C" w:rsidRPr="00FB2A42">
              <w:rPr>
                <w:b/>
              </w:rPr>
              <w:t xml:space="preserve"> </w:t>
            </w:r>
            <w:r>
              <w:rPr>
                <w:b/>
              </w:rPr>
              <w:tab/>
            </w:r>
            <w:r w:rsidR="00EA5CA0" w:rsidRPr="005D0715">
              <w:rPr>
                <w:b/>
                <w:i/>
              </w:rPr>
              <w:t>(Consolidated)</w:t>
            </w:r>
            <w:r w:rsidR="00EA5CA0">
              <w:rPr>
                <w:b/>
              </w:rPr>
              <w:t xml:space="preserve"> </w:t>
            </w:r>
          </w:p>
          <w:p w:rsidR="00F56B1C" w:rsidRPr="00FB2A42" w:rsidRDefault="00F56B1C" w:rsidP="00F12C1A">
            <w:pPr>
              <w:rPr>
                <w:b/>
              </w:rPr>
            </w:pPr>
          </w:p>
          <w:p w:rsidR="00F56B1C" w:rsidRPr="00FB2A42" w:rsidRDefault="00F56B1C" w:rsidP="00F12C1A">
            <w:pPr>
              <w:spacing w:after="19"/>
              <w:ind w:left="720"/>
              <w:rPr>
                <w:b/>
              </w:rPr>
            </w:pPr>
          </w:p>
        </w:tc>
      </w:tr>
      <w:tr w:rsidR="00F17150" w:rsidRPr="00FB2A42" w:rsidTr="00F12C1A">
        <w:tc>
          <w:tcPr>
            <w:tcW w:w="4590" w:type="dxa"/>
            <w:tcBorders>
              <w:top w:val="single" w:sz="6" w:space="0" w:color="FFFFFF"/>
              <w:left w:val="single" w:sz="6" w:space="0" w:color="FFFFFF"/>
              <w:bottom w:val="single" w:sz="6" w:space="0" w:color="000000"/>
              <w:right w:val="single" w:sz="6" w:space="0" w:color="FFFFFF"/>
            </w:tcBorders>
          </w:tcPr>
          <w:p w:rsidR="00F17150" w:rsidRPr="00FB2A42" w:rsidRDefault="00F17150" w:rsidP="00F12C1A">
            <w:pPr>
              <w:rPr>
                <w:b/>
              </w:rPr>
            </w:pPr>
          </w:p>
        </w:tc>
        <w:tc>
          <w:tcPr>
            <w:tcW w:w="4590" w:type="dxa"/>
            <w:tcBorders>
              <w:top w:val="single" w:sz="6" w:space="0" w:color="FFFFFF"/>
              <w:left w:val="single" w:sz="6" w:space="0" w:color="000000"/>
              <w:bottom w:val="single" w:sz="6" w:space="0" w:color="FFFFFF"/>
              <w:right w:val="single" w:sz="6" w:space="0" w:color="FFFFFF"/>
            </w:tcBorders>
          </w:tcPr>
          <w:p w:rsidR="00F17150" w:rsidRPr="00FB2A42" w:rsidRDefault="00F17150" w:rsidP="00F12C1A">
            <w:pPr>
              <w:ind w:firstLine="720"/>
              <w:rPr>
                <w:b/>
              </w:rPr>
            </w:pPr>
          </w:p>
        </w:tc>
      </w:tr>
    </w:tbl>
    <w:p w:rsidR="00F56B1C" w:rsidRDefault="00F56B1C" w:rsidP="00F56B1C">
      <w:pPr>
        <w:rPr>
          <w:b/>
          <w:bCs/>
        </w:rPr>
      </w:pPr>
    </w:p>
    <w:p w:rsidR="00A83246" w:rsidRDefault="00A83246" w:rsidP="00A83246">
      <w:pPr>
        <w:tabs>
          <w:tab w:val="center" w:pos="4680"/>
        </w:tabs>
        <w:jc w:val="center"/>
        <w:rPr>
          <w:b/>
        </w:rPr>
      </w:pPr>
    </w:p>
    <w:p w:rsidR="00A83246" w:rsidRPr="00F021E3" w:rsidRDefault="00A83246" w:rsidP="00A83246">
      <w:pPr>
        <w:tabs>
          <w:tab w:val="center" w:pos="4320"/>
        </w:tabs>
        <w:jc w:val="center"/>
        <w:rPr>
          <w:b/>
        </w:rPr>
      </w:pPr>
      <w:r w:rsidRPr="00F021E3">
        <w:rPr>
          <w:b/>
        </w:rPr>
        <w:t>TESTIMONY</w:t>
      </w:r>
      <w:r>
        <w:rPr>
          <w:b/>
        </w:rPr>
        <w:t xml:space="preserve"> </w:t>
      </w:r>
      <w:r w:rsidRPr="00F021E3">
        <w:rPr>
          <w:b/>
        </w:rPr>
        <w:t>OF</w:t>
      </w:r>
    </w:p>
    <w:p w:rsidR="00A83246" w:rsidRPr="00F021E3" w:rsidRDefault="00A83246" w:rsidP="00A83246">
      <w:pPr>
        <w:jc w:val="center"/>
        <w:rPr>
          <w:b/>
        </w:rPr>
      </w:pPr>
    </w:p>
    <w:p w:rsidR="00A83246" w:rsidRPr="00F021E3" w:rsidRDefault="000B2156" w:rsidP="00A83246">
      <w:pPr>
        <w:tabs>
          <w:tab w:val="center" w:pos="4680"/>
        </w:tabs>
        <w:jc w:val="center"/>
        <w:rPr>
          <w:b/>
        </w:rPr>
      </w:pPr>
      <w:r>
        <w:rPr>
          <w:b/>
        </w:rPr>
        <w:t>Kenneth L. Elgin</w:t>
      </w:r>
    </w:p>
    <w:p w:rsidR="00A83246" w:rsidRPr="00F021E3" w:rsidRDefault="00A83246" w:rsidP="00A83246">
      <w:pPr>
        <w:jc w:val="center"/>
        <w:rPr>
          <w:b/>
        </w:rPr>
      </w:pPr>
    </w:p>
    <w:p w:rsidR="00A83246" w:rsidRPr="00F021E3" w:rsidRDefault="00A83246" w:rsidP="00A83246">
      <w:pPr>
        <w:tabs>
          <w:tab w:val="center" w:pos="4680"/>
        </w:tabs>
        <w:jc w:val="center"/>
        <w:rPr>
          <w:b/>
        </w:rPr>
      </w:pPr>
      <w:r>
        <w:rPr>
          <w:b/>
        </w:rPr>
        <w:t>S</w:t>
      </w:r>
      <w:r w:rsidRPr="00F021E3">
        <w:rPr>
          <w:b/>
        </w:rPr>
        <w:t>TAFF OF</w:t>
      </w:r>
      <w:r>
        <w:rPr>
          <w:b/>
        </w:rPr>
        <w:t xml:space="preserve"> </w:t>
      </w:r>
      <w:r w:rsidRPr="00F021E3">
        <w:rPr>
          <w:b/>
        </w:rPr>
        <w:t>WASHINGTON UTILITIES AND</w:t>
      </w:r>
    </w:p>
    <w:p w:rsidR="00A83246" w:rsidRPr="00F021E3" w:rsidRDefault="00A83246" w:rsidP="00A83246">
      <w:pPr>
        <w:tabs>
          <w:tab w:val="center" w:pos="4680"/>
        </w:tabs>
        <w:jc w:val="center"/>
        <w:rPr>
          <w:b/>
        </w:rPr>
      </w:pPr>
      <w:r w:rsidRPr="00F021E3">
        <w:rPr>
          <w:b/>
        </w:rPr>
        <w:t>TRANSPORTATION COMMISSION</w:t>
      </w:r>
    </w:p>
    <w:p w:rsidR="00A83246" w:rsidRDefault="00A83246" w:rsidP="00A83246">
      <w:pPr>
        <w:jc w:val="center"/>
        <w:rPr>
          <w:b/>
        </w:rPr>
      </w:pPr>
    </w:p>
    <w:p w:rsidR="0097001E" w:rsidRDefault="00D34C7D" w:rsidP="00A83246">
      <w:pPr>
        <w:jc w:val="center"/>
        <w:rPr>
          <w:b/>
          <w:i/>
        </w:rPr>
      </w:pPr>
      <w:r>
        <w:rPr>
          <w:b/>
          <w:i/>
        </w:rPr>
        <w:t>Fair Rate of Return</w:t>
      </w:r>
      <w:r w:rsidR="008D29B6">
        <w:rPr>
          <w:b/>
          <w:i/>
        </w:rPr>
        <w:t xml:space="preserve"> </w:t>
      </w:r>
    </w:p>
    <w:p w:rsidR="00A83246" w:rsidRPr="0028096E" w:rsidRDefault="008D29B6" w:rsidP="00A83246">
      <w:pPr>
        <w:jc w:val="center"/>
        <w:rPr>
          <w:b/>
          <w:i/>
        </w:rPr>
      </w:pPr>
      <w:r>
        <w:rPr>
          <w:b/>
          <w:i/>
        </w:rPr>
        <w:t>Attrition</w:t>
      </w:r>
    </w:p>
    <w:p w:rsidR="00A83246" w:rsidRDefault="00A83246" w:rsidP="00A83246">
      <w:pPr>
        <w:tabs>
          <w:tab w:val="center" w:pos="4680"/>
        </w:tabs>
        <w:jc w:val="center"/>
        <w:rPr>
          <w:b/>
        </w:rPr>
      </w:pPr>
    </w:p>
    <w:p w:rsidR="00D32C17" w:rsidRDefault="00F17150" w:rsidP="0007661C">
      <w:pPr>
        <w:jc w:val="center"/>
        <w:rPr>
          <w:b/>
        </w:rPr>
      </w:pPr>
      <w:r>
        <w:rPr>
          <w:b/>
        </w:rPr>
        <w:t>December 7</w:t>
      </w:r>
      <w:r w:rsidR="0007661C">
        <w:rPr>
          <w:b/>
        </w:rPr>
        <w:t>, 201</w:t>
      </w:r>
      <w:r>
        <w:rPr>
          <w:b/>
        </w:rPr>
        <w:t>1</w:t>
      </w:r>
    </w:p>
    <w:p w:rsidR="002929F4" w:rsidRDefault="002929F4" w:rsidP="0007661C">
      <w:pPr>
        <w:jc w:val="center"/>
        <w:rPr>
          <w:b/>
        </w:rPr>
      </w:pPr>
    </w:p>
    <w:p w:rsidR="002929F4" w:rsidRDefault="002929F4" w:rsidP="002929F4">
      <w:pPr>
        <w:rPr>
          <w:b/>
        </w:rPr>
      </w:pPr>
    </w:p>
    <w:p w:rsidR="002929F4" w:rsidRDefault="002929F4" w:rsidP="002929F4">
      <w:pPr>
        <w:jc w:val="both"/>
        <w:rPr>
          <w:b/>
        </w:rPr>
        <w:sectPr w:rsidR="002929F4" w:rsidSect="00131071">
          <w:footerReference w:type="even" r:id="rId9"/>
          <w:footerReference w:type="default" r:id="rId10"/>
          <w:pgSz w:w="12240" w:h="15840" w:code="1"/>
          <w:pgMar w:top="1440" w:right="1440" w:bottom="1440" w:left="1872" w:header="720" w:footer="720" w:gutter="0"/>
          <w:pgNumType w:start="0"/>
          <w:cols w:space="720"/>
          <w:titlePg/>
          <w:docGrid w:linePitch="360"/>
        </w:sectPr>
      </w:pPr>
    </w:p>
    <w:p w:rsidR="00B52B77" w:rsidRPr="00476DED" w:rsidRDefault="00B52B77" w:rsidP="009E2531">
      <w:pPr>
        <w:jc w:val="center"/>
        <w:rPr>
          <w:b/>
        </w:rPr>
      </w:pPr>
      <w:r w:rsidRPr="00476DED">
        <w:rPr>
          <w:b/>
        </w:rPr>
        <w:lastRenderedPageBreak/>
        <w:t>TABLE OF CONTENTS</w:t>
      </w:r>
    </w:p>
    <w:p w:rsidR="00B52B77" w:rsidRDefault="00B52B77" w:rsidP="009E2531">
      <w:pPr>
        <w:jc w:val="both"/>
        <w:rPr>
          <w:b/>
          <w:u w:val="single"/>
        </w:rPr>
      </w:pPr>
    </w:p>
    <w:p w:rsidR="00B52B77" w:rsidRPr="00DD7D62" w:rsidRDefault="00B52B77" w:rsidP="009E2531">
      <w:pPr>
        <w:jc w:val="both"/>
        <w:rPr>
          <w:u w:val="single"/>
        </w:rPr>
      </w:pPr>
    </w:p>
    <w:p w:rsidR="00B52B77" w:rsidRPr="00DD7D62" w:rsidRDefault="00B52B77" w:rsidP="009E2531">
      <w:pPr>
        <w:tabs>
          <w:tab w:val="left" w:pos="720"/>
          <w:tab w:val="right" w:leader="dot" w:pos="9000"/>
          <w:tab w:val="left" w:pos="9240"/>
        </w:tabs>
        <w:jc w:val="both"/>
      </w:pPr>
      <w:r w:rsidRPr="00DD7D62">
        <w:t>I.</w:t>
      </w:r>
      <w:r w:rsidRPr="00DD7D62">
        <w:tab/>
        <w:t>INTRODUCTION</w:t>
      </w:r>
      <w:r w:rsidR="002C05AB" w:rsidRPr="00DD7D62">
        <w:tab/>
      </w:r>
      <w:r w:rsidR="00A67003">
        <w:t>1</w:t>
      </w:r>
    </w:p>
    <w:p w:rsidR="00B52B77" w:rsidRPr="00DD7D62" w:rsidRDefault="00B52B77" w:rsidP="009E2531">
      <w:pPr>
        <w:tabs>
          <w:tab w:val="left" w:pos="720"/>
          <w:tab w:val="right" w:leader="dot" w:pos="9000"/>
          <w:tab w:val="left" w:pos="9240"/>
        </w:tabs>
        <w:jc w:val="both"/>
      </w:pPr>
    </w:p>
    <w:p w:rsidR="004619A3" w:rsidRDefault="00B52B77" w:rsidP="00051450">
      <w:pPr>
        <w:tabs>
          <w:tab w:val="left" w:pos="720"/>
          <w:tab w:val="right" w:leader="dot" w:pos="9000"/>
          <w:tab w:val="left" w:pos="9240"/>
        </w:tabs>
        <w:jc w:val="both"/>
      </w:pPr>
      <w:r w:rsidRPr="00754502">
        <w:t>II.</w:t>
      </w:r>
      <w:r w:rsidRPr="00754502">
        <w:tab/>
      </w:r>
      <w:r w:rsidR="00051450">
        <w:t xml:space="preserve">SUMMARY OF TESTIMONY </w:t>
      </w:r>
      <w:r w:rsidR="00051450">
        <w:tab/>
        <w:t>2</w:t>
      </w:r>
    </w:p>
    <w:p w:rsidR="00B52B77" w:rsidRPr="00754502" w:rsidRDefault="00B52B77" w:rsidP="009E2531">
      <w:pPr>
        <w:tabs>
          <w:tab w:val="left" w:pos="720"/>
          <w:tab w:val="right" w:leader="dot" w:pos="9000"/>
          <w:tab w:val="left" w:pos="9240"/>
        </w:tabs>
        <w:jc w:val="both"/>
      </w:pPr>
    </w:p>
    <w:p w:rsidR="00051450" w:rsidRDefault="00B52B77" w:rsidP="009E2531">
      <w:pPr>
        <w:tabs>
          <w:tab w:val="left" w:pos="720"/>
          <w:tab w:val="right" w:leader="dot" w:pos="9000"/>
          <w:tab w:val="left" w:pos="9240"/>
        </w:tabs>
        <w:jc w:val="both"/>
      </w:pPr>
      <w:r w:rsidRPr="00DD7D62">
        <w:t>III.</w:t>
      </w:r>
      <w:r w:rsidRPr="00DD7D62">
        <w:tab/>
      </w:r>
      <w:r w:rsidR="00051450">
        <w:t xml:space="preserve">FAIR RATE OF RETURN </w:t>
      </w:r>
      <w:r w:rsidR="00051450">
        <w:tab/>
        <w:t>3</w:t>
      </w:r>
    </w:p>
    <w:p w:rsidR="00051450" w:rsidRDefault="00051450" w:rsidP="009E2531">
      <w:pPr>
        <w:tabs>
          <w:tab w:val="left" w:pos="720"/>
          <w:tab w:val="right" w:leader="dot" w:pos="9000"/>
          <w:tab w:val="left" w:pos="9240"/>
        </w:tabs>
        <w:jc w:val="both"/>
      </w:pPr>
    </w:p>
    <w:p w:rsidR="00754502" w:rsidRDefault="00051450" w:rsidP="00051450">
      <w:pPr>
        <w:tabs>
          <w:tab w:val="left" w:pos="720"/>
          <w:tab w:val="left" w:pos="1440"/>
          <w:tab w:val="right" w:leader="dot" w:pos="9000"/>
          <w:tab w:val="left" w:pos="9240"/>
        </w:tabs>
        <w:jc w:val="both"/>
      </w:pPr>
      <w:r>
        <w:tab/>
        <w:t>A.</w:t>
      </w:r>
      <w:r>
        <w:tab/>
        <w:t xml:space="preserve">Background </w:t>
      </w:r>
      <w:r w:rsidR="00F56B1C">
        <w:tab/>
      </w:r>
      <w:r w:rsidR="00A67003">
        <w:t>3</w:t>
      </w:r>
    </w:p>
    <w:p w:rsidR="00754502" w:rsidRDefault="00754502" w:rsidP="009E2531">
      <w:pPr>
        <w:tabs>
          <w:tab w:val="left" w:pos="720"/>
          <w:tab w:val="right" w:leader="dot" w:pos="9000"/>
          <w:tab w:val="left" w:pos="9240"/>
        </w:tabs>
        <w:jc w:val="both"/>
      </w:pPr>
    </w:p>
    <w:p w:rsidR="00B52B77" w:rsidRDefault="00572A89" w:rsidP="00051450">
      <w:pPr>
        <w:pStyle w:val="ListParagraph"/>
        <w:numPr>
          <w:ilvl w:val="0"/>
          <w:numId w:val="14"/>
        </w:numPr>
        <w:tabs>
          <w:tab w:val="left" w:pos="720"/>
          <w:tab w:val="right" w:leader="dot" w:pos="9000"/>
          <w:tab w:val="left" w:pos="9240"/>
        </w:tabs>
        <w:ind w:left="2160" w:hanging="720"/>
        <w:jc w:val="both"/>
      </w:pPr>
      <w:r w:rsidRPr="00DD7D62">
        <w:t>Economic</w:t>
      </w:r>
      <w:r>
        <w:t xml:space="preserve"> and </w:t>
      </w:r>
      <w:r w:rsidRPr="00DD7D62">
        <w:t>Legal Principles</w:t>
      </w:r>
      <w:r w:rsidR="00B52B77" w:rsidRPr="00DD7D62">
        <w:tab/>
      </w:r>
      <w:r w:rsidR="00051450">
        <w:t>4</w:t>
      </w:r>
    </w:p>
    <w:p w:rsidR="00754502" w:rsidRDefault="00754502" w:rsidP="00051450">
      <w:pPr>
        <w:pStyle w:val="ListParagraph"/>
        <w:tabs>
          <w:tab w:val="left" w:pos="720"/>
          <w:tab w:val="right" w:leader="dot" w:pos="9000"/>
          <w:tab w:val="left" w:pos="9240"/>
        </w:tabs>
        <w:ind w:left="2160" w:hanging="720"/>
        <w:jc w:val="both"/>
      </w:pPr>
    </w:p>
    <w:p w:rsidR="00754502" w:rsidRPr="00DD7D62" w:rsidRDefault="00572A89" w:rsidP="00051450">
      <w:pPr>
        <w:pStyle w:val="ListParagraph"/>
        <w:numPr>
          <w:ilvl w:val="0"/>
          <w:numId w:val="14"/>
        </w:numPr>
        <w:tabs>
          <w:tab w:val="left" w:pos="720"/>
          <w:tab w:val="right" w:leader="dot" w:pos="9000"/>
          <w:tab w:val="left" w:pos="9240"/>
        </w:tabs>
        <w:ind w:left="2160" w:hanging="720"/>
        <w:jc w:val="both"/>
      </w:pPr>
      <w:r>
        <w:t>Methods</w:t>
      </w:r>
      <w:r w:rsidR="00F56B1C">
        <w:t xml:space="preserve"> </w:t>
      </w:r>
      <w:r w:rsidR="00F56B1C">
        <w:tab/>
      </w:r>
      <w:r w:rsidR="00051450">
        <w:t>6</w:t>
      </w:r>
    </w:p>
    <w:p w:rsidR="00B52B77" w:rsidRPr="00DD7D62" w:rsidRDefault="00B52B77" w:rsidP="00051450">
      <w:pPr>
        <w:tabs>
          <w:tab w:val="left" w:pos="720"/>
          <w:tab w:val="right" w:leader="dot" w:pos="9000"/>
          <w:tab w:val="left" w:pos="9240"/>
        </w:tabs>
        <w:ind w:left="2160" w:hanging="720"/>
        <w:jc w:val="both"/>
      </w:pPr>
    </w:p>
    <w:p w:rsidR="00B52B77" w:rsidRPr="00DD7D62" w:rsidRDefault="00572A89" w:rsidP="00051450">
      <w:pPr>
        <w:pStyle w:val="ListParagraph"/>
        <w:numPr>
          <w:ilvl w:val="0"/>
          <w:numId w:val="14"/>
        </w:numPr>
        <w:tabs>
          <w:tab w:val="left" w:pos="720"/>
          <w:tab w:val="right" w:leader="dot" w:pos="9000"/>
          <w:tab w:val="left" w:pos="9240"/>
        </w:tabs>
        <w:ind w:left="2160" w:hanging="720"/>
        <w:jc w:val="both"/>
      </w:pPr>
      <w:r w:rsidRPr="00DD7D62">
        <w:t>General Economic Conditions</w:t>
      </w:r>
      <w:r w:rsidR="00B52B77" w:rsidRPr="00DD7D62">
        <w:tab/>
      </w:r>
      <w:r w:rsidR="00051450">
        <w:t>8</w:t>
      </w:r>
    </w:p>
    <w:p w:rsidR="00B52B77" w:rsidRPr="00DD7D62" w:rsidRDefault="00B52B77" w:rsidP="00051450">
      <w:pPr>
        <w:tabs>
          <w:tab w:val="left" w:pos="720"/>
          <w:tab w:val="right" w:leader="dot" w:pos="9000"/>
          <w:tab w:val="left" w:pos="9240"/>
        </w:tabs>
        <w:ind w:left="2160" w:hanging="720"/>
        <w:jc w:val="both"/>
      </w:pPr>
    </w:p>
    <w:p w:rsidR="00B52B77" w:rsidRPr="00DD7D62" w:rsidRDefault="00D25732" w:rsidP="00051450">
      <w:pPr>
        <w:pStyle w:val="ListParagraph"/>
        <w:numPr>
          <w:ilvl w:val="0"/>
          <w:numId w:val="14"/>
        </w:numPr>
        <w:tabs>
          <w:tab w:val="left" w:pos="720"/>
          <w:tab w:val="right" w:leader="dot" w:pos="9000"/>
          <w:tab w:val="left" w:pos="9360"/>
        </w:tabs>
        <w:ind w:left="2160" w:hanging="720"/>
        <w:jc w:val="both"/>
      </w:pPr>
      <w:r>
        <w:t>P</w:t>
      </w:r>
      <w:r w:rsidR="00051450">
        <w:t>SE</w:t>
      </w:r>
      <w:r>
        <w:t>’s</w:t>
      </w:r>
      <w:r w:rsidR="00572A89">
        <w:t xml:space="preserve"> Operations a</w:t>
      </w:r>
      <w:r w:rsidR="00572A89" w:rsidRPr="00DD7D62">
        <w:t>nd Risks</w:t>
      </w:r>
      <w:r w:rsidR="00FB32C5" w:rsidRPr="00DD7D62">
        <w:tab/>
      </w:r>
      <w:r w:rsidR="00051450">
        <w:t>10</w:t>
      </w:r>
    </w:p>
    <w:p w:rsidR="00B52B77" w:rsidRPr="00DD7D62" w:rsidRDefault="00B52B77" w:rsidP="009E2531">
      <w:pPr>
        <w:tabs>
          <w:tab w:val="left" w:pos="720"/>
          <w:tab w:val="right" w:leader="dot" w:pos="9000"/>
          <w:tab w:val="left" w:pos="9240"/>
        </w:tabs>
        <w:jc w:val="both"/>
      </w:pPr>
    </w:p>
    <w:p w:rsidR="00B52B77" w:rsidRPr="00DD7D62" w:rsidRDefault="00051450" w:rsidP="00051450">
      <w:pPr>
        <w:tabs>
          <w:tab w:val="left" w:pos="720"/>
          <w:tab w:val="left" w:pos="1440"/>
          <w:tab w:val="left" w:pos="2160"/>
          <w:tab w:val="right" w:leader="dot" w:pos="9000"/>
          <w:tab w:val="left" w:pos="9240"/>
        </w:tabs>
        <w:jc w:val="both"/>
      </w:pPr>
      <w:r>
        <w:tab/>
        <w:t>B.</w:t>
      </w:r>
      <w:r>
        <w:tab/>
      </w:r>
      <w:r w:rsidRPr="00DD7D62">
        <w:t>Capital Structure</w:t>
      </w:r>
      <w:r w:rsidR="00B52B77" w:rsidRPr="00DD7D62">
        <w:tab/>
      </w:r>
      <w:r>
        <w:t>11</w:t>
      </w:r>
    </w:p>
    <w:p w:rsidR="00B52B77" w:rsidRPr="00DD7D62" w:rsidRDefault="00B52B77" w:rsidP="009E2531">
      <w:pPr>
        <w:tabs>
          <w:tab w:val="left" w:pos="720"/>
          <w:tab w:val="right" w:leader="dot" w:pos="9000"/>
          <w:tab w:val="left" w:pos="9240"/>
        </w:tabs>
        <w:jc w:val="both"/>
      </w:pPr>
    </w:p>
    <w:p w:rsidR="00AE0B12" w:rsidRDefault="00051450" w:rsidP="00051450">
      <w:pPr>
        <w:pStyle w:val="ListParagraph"/>
        <w:tabs>
          <w:tab w:val="left" w:pos="720"/>
          <w:tab w:val="left" w:pos="2160"/>
          <w:tab w:val="right" w:leader="dot" w:pos="9000"/>
          <w:tab w:val="left" w:pos="9240"/>
        </w:tabs>
        <w:ind w:left="1440"/>
        <w:jc w:val="both"/>
      </w:pPr>
      <w:r>
        <w:t>1.</w:t>
      </w:r>
      <w:r>
        <w:tab/>
      </w:r>
      <w:r w:rsidR="00572A89">
        <w:t>Equity Ratio</w:t>
      </w:r>
      <w:r w:rsidR="00F56B1C">
        <w:t xml:space="preserve"> </w:t>
      </w:r>
      <w:r w:rsidR="00F56B1C">
        <w:tab/>
      </w:r>
      <w:r>
        <w:t>15</w:t>
      </w:r>
    </w:p>
    <w:p w:rsidR="00AE0B12" w:rsidRDefault="00AE0B12" w:rsidP="002929F4">
      <w:pPr>
        <w:pStyle w:val="ListParagraph"/>
        <w:tabs>
          <w:tab w:val="left" w:pos="720"/>
          <w:tab w:val="right" w:leader="dot" w:pos="9000"/>
          <w:tab w:val="left" w:pos="9240"/>
        </w:tabs>
        <w:ind w:left="1440" w:hanging="720"/>
        <w:jc w:val="both"/>
      </w:pPr>
    </w:p>
    <w:p w:rsidR="00AE0B12" w:rsidRDefault="00051450" w:rsidP="00051450">
      <w:pPr>
        <w:pStyle w:val="ListParagraph"/>
        <w:tabs>
          <w:tab w:val="left" w:pos="720"/>
          <w:tab w:val="left" w:pos="2160"/>
          <w:tab w:val="right" w:leader="dot" w:pos="9000"/>
          <w:tab w:val="left" w:pos="9240"/>
        </w:tabs>
        <w:ind w:left="1440"/>
        <w:jc w:val="both"/>
      </w:pPr>
      <w:r>
        <w:t>2.</w:t>
      </w:r>
      <w:r>
        <w:tab/>
      </w:r>
      <w:r w:rsidR="00572A89">
        <w:t>Debt Ratio</w:t>
      </w:r>
      <w:r w:rsidR="00F56B1C">
        <w:t xml:space="preserve"> </w:t>
      </w:r>
      <w:r w:rsidR="00F56B1C">
        <w:tab/>
      </w:r>
      <w:r>
        <w:t>22</w:t>
      </w:r>
    </w:p>
    <w:p w:rsidR="00AE0B12" w:rsidRDefault="00AE0B12" w:rsidP="009E2531">
      <w:pPr>
        <w:tabs>
          <w:tab w:val="left" w:pos="720"/>
          <w:tab w:val="right" w:leader="dot" w:pos="9000"/>
          <w:tab w:val="left" w:pos="9240"/>
        </w:tabs>
        <w:jc w:val="both"/>
      </w:pPr>
    </w:p>
    <w:p w:rsidR="00E26DA1" w:rsidRDefault="00051450" w:rsidP="00051450">
      <w:pPr>
        <w:tabs>
          <w:tab w:val="left" w:pos="720"/>
          <w:tab w:val="left" w:pos="1440"/>
          <w:tab w:val="right" w:leader="dot" w:pos="9000"/>
          <w:tab w:val="left" w:pos="9240"/>
        </w:tabs>
        <w:jc w:val="both"/>
      </w:pPr>
      <w:r>
        <w:tab/>
        <w:t>C.</w:t>
      </w:r>
      <w:r>
        <w:tab/>
      </w:r>
      <w:r w:rsidR="00E26DA1">
        <w:t>Cost of Common Equity</w:t>
      </w:r>
      <w:r w:rsidR="00F56B1C">
        <w:t xml:space="preserve"> </w:t>
      </w:r>
      <w:r w:rsidR="00F56B1C">
        <w:tab/>
      </w:r>
      <w:r>
        <w:t>23</w:t>
      </w:r>
    </w:p>
    <w:p w:rsidR="00E26DA1" w:rsidRDefault="00E26DA1" w:rsidP="00E26DA1">
      <w:pPr>
        <w:pStyle w:val="ListParagraph"/>
        <w:tabs>
          <w:tab w:val="right" w:leader="dot" w:pos="9000"/>
          <w:tab w:val="left" w:pos="9240"/>
        </w:tabs>
        <w:ind w:left="1080"/>
        <w:jc w:val="both"/>
      </w:pPr>
    </w:p>
    <w:p w:rsidR="00E97ADF" w:rsidRDefault="00572A89" w:rsidP="002929F4">
      <w:pPr>
        <w:pStyle w:val="ListParagraph"/>
        <w:numPr>
          <w:ilvl w:val="0"/>
          <w:numId w:val="21"/>
        </w:numPr>
        <w:tabs>
          <w:tab w:val="right" w:leader="dot" w:pos="9000"/>
          <w:tab w:val="left" w:pos="9240"/>
        </w:tabs>
        <w:ind w:left="2160" w:hanging="720"/>
        <w:jc w:val="both"/>
      </w:pPr>
      <w:r>
        <w:t>Selection o</w:t>
      </w:r>
      <w:r w:rsidRPr="00DD7D62">
        <w:t xml:space="preserve">f </w:t>
      </w:r>
      <w:r>
        <w:t xml:space="preserve">the </w:t>
      </w:r>
      <w:r w:rsidRPr="00DD7D62">
        <w:t>Proxy Group</w:t>
      </w:r>
      <w:r w:rsidR="00B52B77" w:rsidRPr="00DD7D62">
        <w:tab/>
      </w:r>
      <w:r w:rsidR="00051450">
        <w:t>24</w:t>
      </w:r>
    </w:p>
    <w:p w:rsidR="00B52B77" w:rsidRPr="00DD7D62" w:rsidRDefault="00B52B77" w:rsidP="002929F4">
      <w:pPr>
        <w:tabs>
          <w:tab w:val="left" w:pos="720"/>
          <w:tab w:val="right" w:leader="dot" w:pos="9000"/>
          <w:tab w:val="left" w:pos="9240"/>
        </w:tabs>
        <w:ind w:left="2160" w:hanging="720"/>
        <w:jc w:val="both"/>
      </w:pPr>
    </w:p>
    <w:p w:rsidR="00E97ADF" w:rsidRDefault="00572A89" w:rsidP="00F56B1C">
      <w:pPr>
        <w:pStyle w:val="ListParagraph"/>
        <w:numPr>
          <w:ilvl w:val="0"/>
          <w:numId w:val="21"/>
        </w:numPr>
        <w:tabs>
          <w:tab w:val="left" w:pos="720"/>
          <w:tab w:val="left" w:pos="1440"/>
          <w:tab w:val="left" w:pos="2160"/>
          <w:tab w:val="left" w:pos="2880"/>
          <w:tab w:val="left" w:pos="3600"/>
          <w:tab w:val="right" w:leader="dot" w:pos="9000"/>
        </w:tabs>
        <w:ind w:left="2160" w:hanging="720"/>
        <w:jc w:val="both"/>
      </w:pPr>
      <w:r w:rsidRPr="00DD7D62">
        <w:t>Discounted Cash Flow Analysis</w:t>
      </w:r>
      <w:r w:rsidR="00B52B77" w:rsidRPr="00DD7D62">
        <w:tab/>
      </w:r>
      <w:r w:rsidR="00051450">
        <w:t>26</w:t>
      </w:r>
    </w:p>
    <w:p w:rsidR="00B52B77" w:rsidRPr="00DD7D62" w:rsidRDefault="00B52B77" w:rsidP="002929F4">
      <w:pPr>
        <w:ind w:left="2160" w:hanging="720"/>
        <w:jc w:val="both"/>
      </w:pPr>
    </w:p>
    <w:p w:rsidR="00E97ADF" w:rsidRDefault="00572A89" w:rsidP="00F56B1C">
      <w:pPr>
        <w:pStyle w:val="ListParagraph"/>
        <w:numPr>
          <w:ilvl w:val="0"/>
          <w:numId w:val="21"/>
        </w:numPr>
        <w:tabs>
          <w:tab w:val="left" w:pos="720"/>
          <w:tab w:val="left" w:pos="1440"/>
          <w:tab w:val="left" w:pos="2160"/>
          <w:tab w:val="left" w:pos="2880"/>
          <w:tab w:val="left" w:pos="3600"/>
          <w:tab w:val="right" w:leader="dot" w:pos="9000"/>
        </w:tabs>
        <w:ind w:left="2160" w:hanging="720"/>
        <w:jc w:val="both"/>
      </w:pPr>
      <w:r w:rsidRPr="00DD7D62">
        <w:t>Capital Asset Pricing Model Analysis</w:t>
      </w:r>
      <w:r w:rsidR="00B52B77" w:rsidRPr="00DD7D62">
        <w:tab/>
      </w:r>
      <w:r w:rsidR="00051450">
        <w:t>39</w:t>
      </w:r>
    </w:p>
    <w:p w:rsidR="00B52B77" w:rsidRPr="00DD7D62" w:rsidRDefault="00B52B77" w:rsidP="002929F4">
      <w:pPr>
        <w:tabs>
          <w:tab w:val="left" w:pos="720"/>
          <w:tab w:val="right" w:leader="dot" w:pos="9000"/>
          <w:tab w:val="left" w:pos="9240"/>
        </w:tabs>
        <w:ind w:left="2160" w:hanging="720"/>
        <w:jc w:val="both"/>
      </w:pPr>
    </w:p>
    <w:p w:rsidR="003D403F" w:rsidRDefault="00E26DA1" w:rsidP="00F56B1C">
      <w:pPr>
        <w:pStyle w:val="ListParagraph"/>
        <w:numPr>
          <w:ilvl w:val="0"/>
          <w:numId w:val="21"/>
        </w:numPr>
        <w:tabs>
          <w:tab w:val="left" w:pos="720"/>
          <w:tab w:val="left" w:pos="1440"/>
          <w:tab w:val="left" w:pos="2160"/>
          <w:tab w:val="left" w:pos="2880"/>
          <w:tab w:val="left" w:pos="3600"/>
          <w:tab w:val="right" w:leader="dot" w:pos="9000"/>
        </w:tabs>
        <w:ind w:left="2160" w:right="-252" w:hanging="720"/>
        <w:jc w:val="both"/>
      </w:pPr>
      <w:r>
        <w:t>Risk Premium Analysis</w:t>
      </w:r>
      <w:r w:rsidR="00F56B1C">
        <w:t xml:space="preserve"> </w:t>
      </w:r>
      <w:r w:rsidR="00F56B1C">
        <w:tab/>
      </w:r>
      <w:r w:rsidR="00051450">
        <w:t>45</w:t>
      </w:r>
    </w:p>
    <w:p w:rsidR="003D403F" w:rsidRDefault="003D403F" w:rsidP="002929F4">
      <w:pPr>
        <w:pStyle w:val="ListParagraph"/>
        <w:ind w:left="2160" w:hanging="720"/>
      </w:pPr>
    </w:p>
    <w:p w:rsidR="00E97ADF" w:rsidRDefault="00A67003" w:rsidP="00F56B1C">
      <w:pPr>
        <w:pStyle w:val="ListParagraph"/>
        <w:numPr>
          <w:ilvl w:val="0"/>
          <w:numId w:val="21"/>
        </w:numPr>
        <w:tabs>
          <w:tab w:val="left" w:pos="720"/>
          <w:tab w:val="left" w:pos="1440"/>
          <w:tab w:val="left" w:pos="2160"/>
          <w:tab w:val="left" w:pos="2880"/>
          <w:tab w:val="left" w:pos="3600"/>
          <w:tab w:val="right" w:leader="dot" w:pos="9000"/>
        </w:tabs>
        <w:ind w:left="2160" w:hanging="720"/>
        <w:jc w:val="both"/>
      </w:pPr>
      <w:r>
        <w:t xml:space="preserve">Summary of </w:t>
      </w:r>
      <w:r w:rsidR="00E26DA1">
        <w:t>Return o</w:t>
      </w:r>
      <w:r w:rsidR="00E26DA1" w:rsidRPr="00DD7D62">
        <w:t>n Equity Recommendation</w:t>
      </w:r>
      <w:r w:rsidR="00E26DA1" w:rsidRPr="00DD7D62">
        <w:tab/>
      </w:r>
      <w:r w:rsidR="00051450">
        <w:t>48</w:t>
      </w:r>
    </w:p>
    <w:p w:rsidR="00B52B77" w:rsidRPr="00DD7D62" w:rsidRDefault="00B52B77" w:rsidP="00754502">
      <w:pPr>
        <w:tabs>
          <w:tab w:val="left" w:pos="720"/>
          <w:tab w:val="right" w:leader="dot" w:pos="9000"/>
          <w:tab w:val="left" w:pos="9240"/>
        </w:tabs>
        <w:ind w:left="1080" w:hanging="360"/>
        <w:jc w:val="both"/>
      </w:pPr>
    </w:p>
    <w:p w:rsidR="00604975" w:rsidRDefault="0061451D" w:rsidP="0061451D">
      <w:pPr>
        <w:tabs>
          <w:tab w:val="left" w:pos="720"/>
          <w:tab w:val="left" w:pos="1440"/>
          <w:tab w:val="right" w:leader="dot" w:pos="9000"/>
          <w:tab w:val="left" w:pos="9240"/>
        </w:tabs>
        <w:jc w:val="both"/>
      </w:pPr>
      <w:r>
        <w:tab/>
        <w:t>D</w:t>
      </w:r>
      <w:r w:rsidR="00B52B77" w:rsidRPr="00DD7D62">
        <w:t>.</w:t>
      </w:r>
      <w:r w:rsidR="00B52B77" w:rsidRPr="00DD7D62">
        <w:tab/>
      </w:r>
      <w:r>
        <w:t xml:space="preserve">Cost of Debt </w:t>
      </w:r>
      <w:r w:rsidR="00F56B1C">
        <w:tab/>
      </w:r>
      <w:r>
        <w:t>49</w:t>
      </w:r>
    </w:p>
    <w:p w:rsidR="00604975" w:rsidRDefault="00604975" w:rsidP="009E2531">
      <w:pPr>
        <w:tabs>
          <w:tab w:val="left" w:pos="720"/>
          <w:tab w:val="right" w:leader="dot" w:pos="9000"/>
          <w:tab w:val="left" w:pos="9240"/>
        </w:tabs>
        <w:jc w:val="both"/>
      </w:pPr>
    </w:p>
    <w:p w:rsidR="00B52B77" w:rsidRPr="00DD7D62" w:rsidRDefault="00E60C5E" w:rsidP="00E60C5E">
      <w:pPr>
        <w:tabs>
          <w:tab w:val="left" w:pos="720"/>
          <w:tab w:val="left" w:pos="1440"/>
          <w:tab w:val="right" w:leader="dot" w:pos="9000"/>
          <w:tab w:val="left" w:pos="9240"/>
        </w:tabs>
        <w:jc w:val="both"/>
      </w:pPr>
      <w:r>
        <w:tab/>
        <w:t>E</w:t>
      </w:r>
      <w:r w:rsidR="00572A89" w:rsidRPr="00DD7D62">
        <w:t>.</w:t>
      </w:r>
      <w:r w:rsidR="00572A89" w:rsidRPr="00DD7D62">
        <w:tab/>
      </w:r>
      <w:r w:rsidRPr="00DD7D62">
        <w:t xml:space="preserve">Total Cost </w:t>
      </w:r>
      <w:r>
        <w:t>o</w:t>
      </w:r>
      <w:r w:rsidRPr="00DD7D62">
        <w:t>f Capital</w:t>
      </w:r>
      <w:r w:rsidR="00572A89" w:rsidRPr="00DD7D62">
        <w:tab/>
      </w:r>
      <w:r>
        <w:t>50</w:t>
      </w:r>
    </w:p>
    <w:p w:rsidR="00B52B77" w:rsidRPr="00DD7D62" w:rsidRDefault="00B52B77" w:rsidP="009E2531">
      <w:pPr>
        <w:tabs>
          <w:tab w:val="left" w:pos="720"/>
          <w:tab w:val="right" w:leader="dot" w:pos="9000"/>
          <w:tab w:val="left" w:pos="9240"/>
        </w:tabs>
        <w:jc w:val="both"/>
      </w:pPr>
    </w:p>
    <w:p w:rsidR="00B52B77" w:rsidRDefault="00E60C5E" w:rsidP="00E60C5E">
      <w:pPr>
        <w:tabs>
          <w:tab w:val="left" w:pos="1440"/>
          <w:tab w:val="right" w:leader="dot" w:pos="9000"/>
          <w:tab w:val="left" w:pos="9240"/>
        </w:tabs>
        <w:ind w:left="720" w:hanging="720"/>
      </w:pPr>
      <w:r>
        <w:tab/>
        <w:t>F</w:t>
      </w:r>
      <w:r w:rsidR="001771B6">
        <w:t>.</w:t>
      </w:r>
      <w:r w:rsidR="001771B6">
        <w:tab/>
      </w:r>
      <w:r>
        <w:t>Response to</w:t>
      </w:r>
      <w:r w:rsidRPr="00DD7D62">
        <w:t xml:space="preserve"> Company </w:t>
      </w:r>
      <w:r>
        <w:t xml:space="preserve">Cost of Capital </w:t>
      </w:r>
      <w:r w:rsidRPr="00DD7D62">
        <w:t>Testimony</w:t>
      </w:r>
      <w:r w:rsidR="00B52B77" w:rsidRPr="00DD7D62">
        <w:tab/>
      </w:r>
      <w:r>
        <w:t>52</w:t>
      </w:r>
    </w:p>
    <w:p w:rsidR="00F15735" w:rsidRPr="00DD7D62" w:rsidRDefault="00F15735" w:rsidP="00F15735">
      <w:pPr>
        <w:tabs>
          <w:tab w:val="right" w:leader="dot" w:pos="9000"/>
          <w:tab w:val="left" w:pos="9240"/>
        </w:tabs>
        <w:ind w:left="720" w:hanging="720"/>
      </w:pPr>
    </w:p>
    <w:p w:rsidR="007F3941" w:rsidRDefault="00E60C5E" w:rsidP="00E60C5E">
      <w:pPr>
        <w:pStyle w:val="ListParagraph"/>
        <w:tabs>
          <w:tab w:val="left" w:pos="2160"/>
          <w:tab w:val="right" w:leader="dot" w:pos="9000"/>
          <w:tab w:val="left" w:pos="9240"/>
        </w:tabs>
        <w:ind w:left="1440"/>
        <w:jc w:val="both"/>
      </w:pPr>
      <w:r>
        <w:t>1.</w:t>
      </w:r>
      <w:r>
        <w:tab/>
      </w:r>
      <w:r w:rsidR="00572A89">
        <w:t>Equity Ratio</w:t>
      </w:r>
      <w:r w:rsidR="00F56B1C">
        <w:t xml:space="preserve"> </w:t>
      </w:r>
      <w:r w:rsidR="00F56B1C">
        <w:tab/>
      </w:r>
      <w:r>
        <w:t>53</w:t>
      </w:r>
    </w:p>
    <w:p w:rsidR="003D403F" w:rsidRDefault="003D403F" w:rsidP="002929F4">
      <w:pPr>
        <w:pStyle w:val="ListParagraph"/>
        <w:tabs>
          <w:tab w:val="right" w:leader="dot" w:pos="9000"/>
          <w:tab w:val="left" w:pos="9240"/>
        </w:tabs>
        <w:ind w:left="1440" w:hanging="720"/>
        <w:jc w:val="both"/>
      </w:pPr>
    </w:p>
    <w:p w:rsidR="003D403F" w:rsidRDefault="00635F2E" w:rsidP="00635F2E">
      <w:pPr>
        <w:pStyle w:val="ListParagraph"/>
        <w:tabs>
          <w:tab w:val="left" w:pos="2160"/>
          <w:tab w:val="right" w:leader="dot" w:pos="9000"/>
          <w:tab w:val="left" w:pos="9240"/>
        </w:tabs>
        <w:ind w:left="1440"/>
        <w:jc w:val="both"/>
      </w:pPr>
      <w:r>
        <w:t>2.</w:t>
      </w:r>
      <w:r>
        <w:tab/>
        <w:t xml:space="preserve">DCF Growth Rates for the Utility Proxy Group </w:t>
      </w:r>
      <w:r>
        <w:tab/>
        <w:t>56</w:t>
      </w:r>
    </w:p>
    <w:p w:rsidR="003D403F" w:rsidRDefault="003D403F" w:rsidP="002929F4">
      <w:pPr>
        <w:pStyle w:val="ListParagraph"/>
        <w:ind w:left="1440" w:hanging="720"/>
      </w:pPr>
    </w:p>
    <w:p w:rsidR="00F15735" w:rsidRDefault="00F15735" w:rsidP="00635F2E">
      <w:pPr>
        <w:tabs>
          <w:tab w:val="left" w:pos="720"/>
          <w:tab w:val="left" w:pos="1440"/>
          <w:tab w:val="right" w:leader="dot" w:pos="9000"/>
        </w:tabs>
      </w:pPr>
      <w:r>
        <w:t>I</w:t>
      </w:r>
      <w:r w:rsidR="00635F2E">
        <w:t>V</w:t>
      </w:r>
      <w:r>
        <w:t>.</w:t>
      </w:r>
      <w:r>
        <w:tab/>
        <w:t>ATTRITION</w:t>
      </w:r>
      <w:r w:rsidR="00635F2E">
        <w:t xml:space="preserve"> </w:t>
      </w:r>
      <w:r w:rsidR="00635F2E">
        <w:tab/>
        <w:t>63</w:t>
      </w:r>
    </w:p>
    <w:p w:rsidR="00F56B1C" w:rsidRDefault="00F56B1C" w:rsidP="00F56B1C"/>
    <w:p w:rsidR="00635F2E" w:rsidRDefault="00810A7B" w:rsidP="00810A7B">
      <w:pPr>
        <w:tabs>
          <w:tab w:val="left" w:pos="720"/>
          <w:tab w:val="left" w:pos="1440"/>
          <w:tab w:val="left" w:pos="2160"/>
          <w:tab w:val="left" w:pos="2880"/>
          <w:tab w:val="right" w:leader="dot" w:pos="9000"/>
        </w:tabs>
      </w:pPr>
      <w:r w:rsidRPr="00810A7B">
        <w:tab/>
        <w:t>A.</w:t>
      </w:r>
      <w:r w:rsidRPr="00810A7B">
        <w:tab/>
        <w:t xml:space="preserve">Definition of Attrition </w:t>
      </w:r>
      <w:r w:rsidR="00635F2E">
        <w:t xml:space="preserve">and </w:t>
      </w:r>
      <w:proofErr w:type="gramStart"/>
      <w:r w:rsidR="00635F2E">
        <w:t xml:space="preserve">Commission </w:t>
      </w:r>
      <w:r w:rsidRPr="00810A7B">
        <w:t xml:space="preserve"> Precedent</w:t>
      </w:r>
      <w:proofErr w:type="gramEnd"/>
      <w:r w:rsidRPr="00810A7B">
        <w:t xml:space="preserve"> for </w:t>
      </w:r>
    </w:p>
    <w:p w:rsidR="00810A7B" w:rsidRDefault="00635F2E" w:rsidP="00810A7B">
      <w:pPr>
        <w:tabs>
          <w:tab w:val="left" w:pos="720"/>
          <w:tab w:val="left" w:pos="1440"/>
          <w:tab w:val="left" w:pos="2160"/>
          <w:tab w:val="left" w:pos="2880"/>
          <w:tab w:val="right" w:leader="dot" w:pos="9000"/>
        </w:tabs>
      </w:pPr>
      <w:r>
        <w:tab/>
      </w:r>
      <w:r>
        <w:tab/>
      </w:r>
      <w:r w:rsidR="00810A7B" w:rsidRPr="00810A7B">
        <w:t>Attrition Adjustments</w:t>
      </w:r>
      <w:r w:rsidR="00810A7B">
        <w:t xml:space="preserve"> </w:t>
      </w:r>
      <w:r w:rsidR="00810A7B">
        <w:tab/>
      </w:r>
      <w:r>
        <w:t>63</w:t>
      </w:r>
    </w:p>
    <w:p w:rsidR="000C41D8" w:rsidRDefault="000C41D8" w:rsidP="00810A7B">
      <w:pPr>
        <w:tabs>
          <w:tab w:val="left" w:pos="720"/>
          <w:tab w:val="left" w:pos="1440"/>
          <w:tab w:val="left" w:pos="2160"/>
          <w:tab w:val="left" w:pos="2880"/>
          <w:tab w:val="right" w:leader="dot" w:pos="9000"/>
        </w:tabs>
      </w:pPr>
    </w:p>
    <w:p w:rsidR="000C41D8" w:rsidRDefault="000C41D8" w:rsidP="000C41D8">
      <w:pPr>
        <w:pStyle w:val="BodyTextIndent"/>
        <w:tabs>
          <w:tab w:val="left" w:pos="720"/>
          <w:tab w:val="left" w:pos="1440"/>
          <w:tab w:val="left" w:pos="2160"/>
          <w:tab w:val="left" w:pos="2880"/>
          <w:tab w:val="right" w:leader="dot" w:pos="9000"/>
        </w:tabs>
        <w:spacing w:line="240" w:lineRule="auto"/>
        <w:ind w:left="0" w:firstLine="0"/>
      </w:pPr>
      <w:r>
        <w:tab/>
      </w:r>
      <w:r w:rsidRPr="000C41D8">
        <w:t>B.</w:t>
      </w:r>
      <w:r w:rsidRPr="000C41D8">
        <w:tab/>
        <w:t>PSE’s Evidence on Attrition</w:t>
      </w:r>
      <w:r w:rsidRPr="000C41D8">
        <w:tab/>
      </w:r>
      <w:r w:rsidR="00635F2E">
        <w:t>73</w:t>
      </w:r>
    </w:p>
    <w:p w:rsidR="00EB1E94" w:rsidRDefault="00EB1E94" w:rsidP="000C41D8">
      <w:pPr>
        <w:pStyle w:val="BodyTextIndent"/>
        <w:tabs>
          <w:tab w:val="left" w:pos="720"/>
          <w:tab w:val="left" w:pos="1440"/>
          <w:tab w:val="left" w:pos="2160"/>
          <w:tab w:val="left" w:pos="2880"/>
          <w:tab w:val="right" w:leader="dot" w:pos="9000"/>
        </w:tabs>
        <w:spacing w:line="240" w:lineRule="auto"/>
        <w:ind w:left="0" w:firstLine="0"/>
      </w:pPr>
    </w:p>
    <w:p w:rsidR="00EB1E94" w:rsidRPr="00EB1E94" w:rsidRDefault="00EB1E94" w:rsidP="000C41D8">
      <w:pPr>
        <w:pStyle w:val="BodyTextIndent"/>
        <w:tabs>
          <w:tab w:val="left" w:pos="720"/>
          <w:tab w:val="left" w:pos="1440"/>
          <w:tab w:val="left" w:pos="2160"/>
          <w:tab w:val="left" w:pos="2880"/>
          <w:tab w:val="right" w:leader="dot" w:pos="9000"/>
        </w:tabs>
        <w:spacing w:line="240" w:lineRule="auto"/>
        <w:ind w:left="0" w:firstLine="0"/>
      </w:pPr>
      <w:r w:rsidRPr="00EB1E94">
        <w:tab/>
        <w:t>C.</w:t>
      </w:r>
      <w:r w:rsidRPr="00EB1E94">
        <w:tab/>
        <w:t xml:space="preserve">Staff’s Recommendation for Regulatory Lag </w:t>
      </w:r>
      <w:r w:rsidRPr="00EB1E94">
        <w:tab/>
      </w:r>
      <w:r w:rsidR="00635F2E">
        <w:t>80</w:t>
      </w:r>
    </w:p>
    <w:p w:rsidR="000C41D8" w:rsidRPr="00810A7B" w:rsidRDefault="000C41D8" w:rsidP="00810A7B">
      <w:pPr>
        <w:tabs>
          <w:tab w:val="left" w:pos="720"/>
          <w:tab w:val="left" w:pos="1440"/>
          <w:tab w:val="left" w:pos="2160"/>
          <w:tab w:val="left" w:pos="2880"/>
          <w:tab w:val="right" w:leader="dot" w:pos="9000"/>
        </w:tabs>
      </w:pPr>
    </w:p>
    <w:p w:rsidR="00F56B1C" w:rsidRDefault="00F56B1C" w:rsidP="00F56B1C"/>
    <w:p w:rsidR="00F56B1C" w:rsidRDefault="00F56B1C" w:rsidP="00F56B1C"/>
    <w:p w:rsidR="00F56B1C" w:rsidRDefault="0057686C" w:rsidP="0057686C">
      <w:pPr>
        <w:jc w:val="center"/>
      </w:pPr>
      <w:r>
        <w:rPr>
          <w:b/>
        </w:rPr>
        <w:t>LIST OF EXHIBITS</w:t>
      </w:r>
    </w:p>
    <w:p w:rsidR="0057686C" w:rsidRDefault="0057686C" w:rsidP="0057686C"/>
    <w:p w:rsidR="0057686C" w:rsidRPr="0057686C" w:rsidRDefault="0057686C" w:rsidP="0057686C">
      <w:r>
        <w:t xml:space="preserve">Exhibit No. ___ (KLE-2) </w:t>
      </w:r>
      <w:r w:rsidR="00B2457E">
        <w:tab/>
      </w:r>
      <w:r>
        <w:t xml:space="preserve">Experience and Qualification </w:t>
      </w:r>
    </w:p>
    <w:p w:rsidR="00F56B1C" w:rsidRDefault="00F56B1C" w:rsidP="00F56B1C"/>
    <w:p w:rsidR="00F56B1C" w:rsidRDefault="00B2457E" w:rsidP="00B2457E">
      <w:pPr>
        <w:ind w:left="2880" w:hanging="2880"/>
      </w:pPr>
      <w:r>
        <w:t xml:space="preserve">Exhibit No. ___ (KLE-3) </w:t>
      </w:r>
      <w:r>
        <w:tab/>
        <w:t>Standard and Poor</w:t>
      </w:r>
      <w:r w:rsidR="00B96838">
        <w:t>’</w:t>
      </w:r>
      <w:r>
        <w:t xml:space="preserve">s S&amp;P Ratings </w:t>
      </w:r>
      <w:proofErr w:type="spellStart"/>
      <w:r w:rsidR="00B96838">
        <w:t>RatingsDirect</w:t>
      </w:r>
      <w:proofErr w:type="spellEnd"/>
      <w:r w:rsidR="00B96838">
        <w:t xml:space="preserve"> Puget Sound Energy, Inc. </w:t>
      </w:r>
      <w:r>
        <w:t xml:space="preserve">November 28, 2011 </w:t>
      </w:r>
    </w:p>
    <w:p w:rsidR="00B2457E" w:rsidRDefault="00B2457E" w:rsidP="00B2457E">
      <w:pPr>
        <w:ind w:left="2880" w:hanging="2880"/>
      </w:pPr>
    </w:p>
    <w:p w:rsidR="00B2457E" w:rsidRDefault="00B2457E" w:rsidP="00B2457E">
      <w:pPr>
        <w:ind w:left="2880" w:hanging="2880"/>
      </w:pPr>
      <w:r>
        <w:t>Exhibit No. ___ (KLE-4)</w:t>
      </w:r>
      <w:r>
        <w:tab/>
        <w:t>Standard &amp; Poor</w:t>
      </w:r>
      <w:r w:rsidR="00B96838">
        <w:t>’</w:t>
      </w:r>
      <w:r>
        <w:t>s Industry Report Card dated September 30, 2011</w:t>
      </w:r>
    </w:p>
    <w:p w:rsidR="00B2457E" w:rsidRDefault="00B2457E" w:rsidP="00B2457E">
      <w:pPr>
        <w:ind w:left="2880" w:hanging="2880"/>
      </w:pPr>
    </w:p>
    <w:p w:rsidR="00B2457E" w:rsidRDefault="00B2457E" w:rsidP="00B2457E">
      <w:pPr>
        <w:ind w:left="2880" w:hanging="2880"/>
      </w:pPr>
      <w:r>
        <w:t>Exhibit No. ___ (KLE-5)</w:t>
      </w:r>
      <w:r>
        <w:tab/>
        <w:t xml:space="preserve">PSE Response to Staff Data Request No. 8 </w:t>
      </w:r>
    </w:p>
    <w:p w:rsidR="00B2457E" w:rsidRDefault="00B2457E" w:rsidP="00B2457E">
      <w:pPr>
        <w:ind w:left="2880" w:hanging="2880"/>
      </w:pPr>
    </w:p>
    <w:p w:rsidR="00B2457E" w:rsidRDefault="00B2457E" w:rsidP="00B2457E">
      <w:pPr>
        <w:ind w:left="2880" w:hanging="2880"/>
      </w:pPr>
      <w:r>
        <w:t>Exhibit No. ___ (KLE-6)</w:t>
      </w:r>
      <w:r>
        <w:tab/>
        <w:t xml:space="preserve">Excerpts from Commission Orders </w:t>
      </w:r>
    </w:p>
    <w:p w:rsidR="00B2457E" w:rsidRDefault="00B2457E" w:rsidP="00B2457E">
      <w:pPr>
        <w:ind w:left="2880" w:hanging="2880"/>
      </w:pPr>
    </w:p>
    <w:p w:rsidR="00B2457E" w:rsidRDefault="00B2457E" w:rsidP="00B2457E">
      <w:pPr>
        <w:ind w:left="2880" w:hanging="2880"/>
      </w:pPr>
      <w:r>
        <w:t>Exhibit No. ___ (KLE-7)</w:t>
      </w:r>
      <w:r>
        <w:tab/>
        <w:t xml:space="preserve">Puget Sound Energy Electric Results of Operations for the Twelve Months Ended December 31, 2010 </w:t>
      </w:r>
    </w:p>
    <w:p w:rsidR="000F2DB1" w:rsidRPr="00F56B1C" w:rsidRDefault="000F2DB1" w:rsidP="00F56B1C">
      <w:pPr>
        <w:rPr>
          <w:b/>
        </w:rPr>
      </w:pPr>
    </w:p>
    <w:p w:rsidR="000F2DB1" w:rsidRDefault="000F2DB1">
      <w:pPr>
        <w:rPr>
          <w:b/>
        </w:rPr>
      </w:pPr>
    </w:p>
    <w:p w:rsidR="00F56B1C" w:rsidRDefault="00F56B1C" w:rsidP="005D3B74">
      <w:pPr>
        <w:tabs>
          <w:tab w:val="left" w:pos="720"/>
          <w:tab w:val="right" w:leader="dot" w:pos="8640"/>
          <w:tab w:val="left" w:pos="9240"/>
        </w:tabs>
        <w:spacing w:line="480" w:lineRule="auto"/>
        <w:jc w:val="center"/>
        <w:rPr>
          <w:b/>
        </w:rPr>
        <w:sectPr w:rsidR="00F56B1C" w:rsidSect="00F56B1C">
          <w:footerReference w:type="default" r:id="rId11"/>
          <w:pgSz w:w="12240" w:h="15840" w:code="1"/>
          <w:pgMar w:top="1440" w:right="1440" w:bottom="1440" w:left="1872" w:header="720" w:footer="720" w:gutter="0"/>
          <w:pgNumType w:fmt="lowerRoman"/>
          <w:cols w:space="720"/>
          <w:docGrid w:linePitch="360"/>
        </w:sectPr>
      </w:pPr>
    </w:p>
    <w:p w:rsidR="005D3B74" w:rsidRDefault="005D3B74" w:rsidP="005D3B74">
      <w:pPr>
        <w:tabs>
          <w:tab w:val="left" w:pos="720"/>
          <w:tab w:val="right" w:leader="dot" w:pos="8640"/>
          <w:tab w:val="left" w:pos="9240"/>
        </w:tabs>
        <w:spacing w:line="480" w:lineRule="auto"/>
        <w:jc w:val="center"/>
        <w:rPr>
          <w:b/>
          <w:u w:val="single"/>
        </w:rPr>
      </w:pPr>
      <w:r>
        <w:rPr>
          <w:b/>
        </w:rPr>
        <w:lastRenderedPageBreak/>
        <w:t>I.</w:t>
      </w:r>
      <w:r>
        <w:rPr>
          <w:b/>
        </w:rPr>
        <w:tab/>
      </w:r>
      <w:r w:rsidRPr="006F292D">
        <w:rPr>
          <w:b/>
        </w:rPr>
        <w:t>INTRODUCTION</w:t>
      </w:r>
    </w:p>
    <w:p w:rsidR="005D3B74" w:rsidRDefault="005D3B74" w:rsidP="005D3B74">
      <w:pPr>
        <w:tabs>
          <w:tab w:val="left" w:pos="720"/>
          <w:tab w:val="right" w:leader="dot" w:pos="8640"/>
          <w:tab w:val="left" w:pos="9240"/>
        </w:tabs>
        <w:spacing w:line="480" w:lineRule="auto"/>
        <w:jc w:val="both"/>
        <w:rPr>
          <w:b/>
          <w:u w:val="single"/>
        </w:rPr>
      </w:pPr>
    </w:p>
    <w:p w:rsidR="005D3B74" w:rsidRDefault="005D3B74" w:rsidP="005D3B74">
      <w:pPr>
        <w:tabs>
          <w:tab w:val="left" w:pos="720"/>
          <w:tab w:val="right" w:leader="dot" w:pos="8640"/>
          <w:tab w:val="left" w:pos="9240"/>
        </w:tabs>
        <w:spacing w:line="480" w:lineRule="auto"/>
        <w:rPr>
          <w:b/>
        </w:rPr>
      </w:pPr>
      <w:r>
        <w:rPr>
          <w:b/>
        </w:rPr>
        <w:t>Q.</w:t>
      </w:r>
      <w:r>
        <w:rPr>
          <w:b/>
        </w:rPr>
        <w:tab/>
        <w:t>Please state your name</w:t>
      </w:r>
      <w:r w:rsidR="0097001E">
        <w:rPr>
          <w:b/>
        </w:rPr>
        <w:t xml:space="preserve"> </w:t>
      </w:r>
      <w:r>
        <w:rPr>
          <w:b/>
        </w:rPr>
        <w:t>and business address.</w:t>
      </w:r>
    </w:p>
    <w:p w:rsidR="005D3B74" w:rsidRDefault="005D3B74" w:rsidP="005D3B74">
      <w:pPr>
        <w:tabs>
          <w:tab w:val="left" w:pos="720"/>
          <w:tab w:val="left" w:pos="1440"/>
          <w:tab w:val="right" w:leader="dot" w:pos="8640"/>
          <w:tab w:val="left" w:pos="9240"/>
        </w:tabs>
        <w:spacing w:line="480" w:lineRule="auto"/>
        <w:ind w:left="720" w:hanging="720"/>
      </w:pPr>
      <w:r>
        <w:t>A.</w:t>
      </w:r>
      <w:r>
        <w:tab/>
        <w:t xml:space="preserve">My name is Kenneth L. Elgin.  </w:t>
      </w:r>
      <w:r w:rsidR="00F476CA">
        <w:t>My business address is</w:t>
      </w:r>
      <w:r w:rsidR="00015EC1">
        <w:t xml:space="preserve"> the </w:t>
      </w:r>
      <w:r>
        <w:t xml:space="preserve">Richard Hemstad Building, 1300 </w:t>
      </w:r>
      <w:r w:rsidR="00015EC1">
        <w:t xml:space="preserve">S </w:t>
      </w:r>
      <w:r>
        <w:t>Evergreen Park Drive SW, Olympia, Washington 98504.</w:t>
      </w:r>
    </w:p>
    <w:p w:rsidR="0097001E" w:rsidRPr="00BC1FAB" w:rsidRDefault="0097001E" w:rsidP="005D3B74">
      <w:pPr>
        <w:tabs>
          <w:tab w:val="left" w:pos="720"/>
          <w:tab w:val="left" w:pos="1440"/>
          <w:tab w:val="right" w:leader="dot" w:pos="8640"/>
          <w:tab w:val="left" w:pos="9240"/>
        </w:tabs>
        <w:spacing w:line="480" w:lineRule="auto"/>
        <w:ind w:left="720" w:hanging="720"/>
        <w:rPr>
          <w:b/>
        </w:rPr>
      </w:pPr>
    </w:p>
    <w:p w:rsidR="0097001E" w:rsidRPr="00BC1FAB" w:rsidRDefault="0097001E" w:rsidP="005D3B74">
      <w:pPr>
        <w:tabs>
          <w:tab w:val="left" w:pos="720"/>
          <w:tab w:val="left" w:pos="1440"/>
          <w:tab w:val="right" w:leader="dot" w:pos="8640"/>
          <w:tab w:val="left" w:pos="9240"/>
        </w:tabs>
        <w:spacing w:line="480" w:lineRule="auto"/>
        <w:ind w:left="720" w:hanging="720"/>
        <w:rPr>
          <w:b/>
        </w:rPr>
      </w:pPr>
      <w:r w:rsidRPr="00BC1FAB">
        <w:rPr>
          <w:b/>
        </w:rPr>
        <w:t>Q.</w:t>
      </w:r>
      <w:r w:rsidRPr="00BC1FAB">
        <w:rPr>
          <w:b/>
        </w:rPr>
        <w:tab/>
        <w:t>By whom are you employed and in what capacity?</w:t>
      </w:r>
    </w:p>
    <w:p w:rsidR="0097001E" w:rsidRDefault="0097001E" w:rsidP="005D3B74">
      <w:pPr>
        <w:tabs>
          <w:tab w:val="left" w:pos="720"/>
          <w:tab w:val="left" w:pos="1440"/>
          <w:tab w:val="right" w:leader="dot" w:pos="8640"/>
          <w:tab w:val="left" w:pos="9240"/>
        </w:tabs>
        <w:spacing w:line="480" w:lineRule="auto"/>
        <w:ind w:left="720" w:hanging="720"/>
      </w:pPr>
      <w:r>
        <w:t>A.</w:t>
      </w:r>
      <w:r>
        <w:tab/>
        <w:t xml:space="preserve">I am employed by the </w:t>
      </w:r>
      <w:r w:rsidRPr="00572A89">
        <w:t xml:space="preserve">Washington Utilities </w:t>
      </w:r>
      <w:r>
        <w:t>and</w:t>
      </w:r>
      <w:r w:rsidRPr="00572A89">
        <w:t xml:space="preserve"> Transportation Commission</w:t>
      </w:r>
      <w:r>
        <w:t xml:space="preserve"> (“Commission”) as a senior financial analyst.  </w:t>
      </w:r>
    </w:p>
    <w:p w:rsidR="005D3B74" w:rsidRDefault="005D3B74" w:rsidP="005D3B74">
      <w:pPr>
        <w:tabs>
          <w:tab w:val="left" w:pos="720"/>
          <w:tab w:val="right" w:leader="dot" w:pos="8640"/>
          <w:tab w:val="left" w:pos="9240"/>
        </w:tabs>
        <w:spacing w:line="480" w:lineRule="auto"/>
        <w:ind w:left="720" w:hanging="720"/>
      </w:pPr>
    </w:p>
    <w:p w:rsidR="005D3B74" w:rsidRDefault="005D3B74" w:rsidP="005D3B74">
      <w:pPr>
        <w:tabs>
          <w:tab w:val="left" w:pos="720"/>
          <w:tab w:val="right" w:leader="dot" w:pos="8640"/>
          <w:tab w:val="left" w:pos="9240"/>
        </w:tabs>
        <w:spacing w:line="480" w:lineRule="auto"/>
        <w:ind w:left="720" w:hanging="720"/>
        <w:rPr>
          <w:b/>
        </w:rPr>
      </w:pPr>
      <w:r>
        <w:rPr>
          <w:b/>
        </w:rPr>
        <w:t>Q.</w:t>
      </w:r>
      <w:r>
        <w:rPr>
          <w:b/>
        </w:rPr>
        <w:tab/>
        <w:t>Please summarize your educational background and professional experience.</w:t>
      </w:r>
    </w:p>
    <w:p w:rsidR="005D3B74" w:rsidRDefault="005D3B74" w:rsidP="005D3B74">
      <w:pPr>
        <w:tabs>
          <w:tab w:val="left" w:pos="720"/>
          <w:tab w:val="left" w:pos="1440"/>
          <w:tab w:val="right" w:leader="dot" w:pos="8640"/>
          <w:tab w:val="left" w:pos="9240"/>
        </w:tabs>
        <w:spacing w:line="480" w:lineRule="auto"/>
        <w:ind w:left="720" w:hanging="720"/>
      </w:pPr>
      <w:r>
        <w:t>A.</w:t>
      </w:r>
      <w:r>
        <w:tab/>
        <w:t xml:space="preserve">I earned a B.A. </w:t>
      </w:r>
      <w:r w:rsidR="0097001E">
        <w:t xml:space="preserve">degree </w:t>
      </w:r>
      <w:r w:rsidR="00DA56AB">
        <w:t xml:space="preserve">from </w:t>
      </w:r>
      <w:r w:rsidR="00F17150">
        <w:t xml:space="preserve">the </w:t>
      </w:r>
      <w:r w:rsidR="00DA56AB">
        <w:t xml:space="preserve">University of Puget Sound </w:t>
      </w:r>
      <w:r>
        <w:t>in 1974 and an M.B.A.</w:t>
      </w:r>
      <w:r w:rsidR="00DA56AB" w:rsidRPr="00DA56AB">
        <w:t xml:space="preserve"> </w:t>
      </w:r>
      <w:r w:rsidR="0097001E">
        <w:t xml:space="preserve">degree </w:t>
      </w:r>
      <w:r w:rsidR="00DA56AB">
        <w:t xml:space="preserve">from Washington State University </w:t>
      </w:r>
      <w:r>
        <w:t xml:space="preserve">in 1980.  I have been employed by the Commission in several different capacities since 1985.  My experience is more fully described in </w:t>
      </w:r>
      <w:r w:rsidR="00DD5502">
        <w:t xml:space="preserve">my </w:t>
      </w:r>
      <w:r>
        <w:t xml:space="preserve">Exhibit No. </w:t>
      </w:r>
      <w:r w:rsidR="00D25732">
        <w:t>__</w:t>
      </w:r>
      <w:proofErr w:type="gramStart"/>
      <w:r w:rsidR="00D25732">
        <w:t>_</w:t>
      </w:r>
      <w:r w:rsidR="00DD5502">
        <w:t>(</w:t>
      </w:r>
      <w:proofErr w:type="gramEnd"/>
      <w:r>
        <w:t>KLE-2</w:t>
      </w:r>
      <w:r w:rsidR="00DD5502">
        <w:t>)</w:t>
      </w:r>
      <w:r>
        <w:t>.</w:t>
      </w:r>
    </w:p>
    <w:p w:rsidR="005D3B74" w:rsidRDefault="005D3B74" w:rsidP="005D3B74">
      <w:pPr>
        <w:tabs>
          <w:tab w:val="left" w:pos="720"/>
          <w:tab w:val="right" w:leader="dot" w:pos="8640"/>
          <w:tab w:val="left" w:pos="9240"/>
        </w:tabs>
        <w:spacing w:line="480" w:lineRule="auto"/>
        <w:ind w:left="720" w:hanging="720"/>
      </w:pPr>
    </w:p>
    <w:p w:rsidR="005D3B74" w:rsidRDefault="005D3B74" w:rsidP="005D3B74">
      <w:pPr>
        <w:tabs>
          <w:tab w:val="left" w:pos="720"/>
          <w:tab w:val="right" w:leader="dot" w:pos="8640"/>
          <w:tab w:val="left" w:pos="9240"/>
        </w:tabs>
        <w:spacing w:line="480" w:lineRule="auto"/>
        <w:ind w:left="720" w:hanging="720"/>
        <w:rPr>
          <w:b/>
        </w:rPr>
      </w:pPr>
      <w:r>
        <w:rPr>
          <w:b/>
        </w:rPr>
        <w:t>Q.</w:t>
      </w:r>
      <w:r>
        <w:rPr>
          <w:b/>
        </w:rPr>
        <w:tab/>
        <w:t>What is the purpose of your testimony in this proceeding?</w:t>
      </w:r>
    </w:p>
    <w:p w:rsidR="005D3B74" w:rsidRDefault="005D3B74" w:rsidP="005D3B74">
      <w:pPr>
        <w:tabs>
          <w:tab w:val="left" w:pos="720"/>
          <w:tab w:val="left" w:pos="1440"/>
          <w:tab w:val="right" w:leader="dot" w:pos="8640"/>
          <w:tab w:val="left" w:pos="9240"/>
        </w:tabs>
        <w:spacing w:line="480" w:lineRule="auto"/>
        <w:ind w:left="720" w:hanging="720"/>
      </w:pPr>
      <w:r>
        <w:t>A.</w:t>
      </w:r>
      <w:r>
        <w:tab/>
        <w:t xml:space="preserve">The purpose of my testimony is to provide the Commission with a recommendation for the fair rate of return (cost of capital) for </w:t>
      </w:r>
      <w:r w:rsidR="00D25732">
        <w:t>Puget Sound Energy</w:t>
      </w:r>
      <w:r w:rsidR="00F17150">
        <w:t>, Inc.</w:t>
      </w:r>
      <w:r>
        <w:t xml:space="preserve"> (</w:t>
      </w:r>
      <w:r w:rsidR="00300C21">
        <w:t>“</w:t>
      </w:r>
      <w:r w:rsidR="00D25732">
        <w:t>PSE</w:t>
      </w:r>
      <w:r w:rsidR="00300C21">
        <w:t xml:space="preserve">” </w:t>
      </w:r>
      <w:r>
        <w:t>or “the Company”).  I also respond to the analysis and recommendations of the Company</w:t>
      </w:r>
      <w:r w:rsidR="00A15099">
        <w:t>’s</w:t>
      </w:r>
      <w:r>
        <w:t xml:space="preserve"> cost of capital witnesses</w:t>
      </w:r>
      <w:r w:rsidR="00935FF8">
        <w:t xml:space="preserve">, </w:t>
      </w:r>
      <w:r>
        <w:t xml:space="preserve">Mr. </w:t>
      </w:r>
      <w:r w:rsidR="00D25732">
        <w:t>Donald Gaines</w:t>
      </w:r>
      <w:r w:rsidR="00A11684">
        <w:t xml:space="preserve"> and Dr. </w:t>
      </w:r>
      <w:r w:rsidR="00D25732">
        <w:t>Charles Olson</w:t>
      </w:r>
      <w:r w:rsidR="00935FF8">
        <w:t xml:space="preserve">, including their testimony that </w:t>
      </w:r>
      <w:r w:rsidR="007E0935">
        <w:t>rate relief in this proceeding should consider that PSE</w:t>
      </w:r>
      <w:r w:rsidR="00935FF8">
        <w:t xml:space="preserve"> has </w:t>
      </w:r>
      <w:r w:rsidR="00015EC1">
        <w:t xml:space="preserve">experienced attrition because its </w:t>
      </w:r>
      <w:r w:rsidR="00EB307C">
        <w:t xml:space="preserve">actual (per books) </w:t>
      </w:r>
      <w:r w:rsidR="00015EC1">
        <w:t xml:space="preserve">earned returns on equity </w:t>
      </w:r>
      <w:r w:rsidR="00C42F67">
        <w:t xml:space="preserve">for </w:t>
      </w:r>
      <w:r w:rsidR="00C42F67">
        <w:lastRenderedPageBreak/>
        <w:t xml:space="preserve">PSE’s combined electric and natural gas operations </w:t>
      </w:r>
      <w:r w:rsidR="00015EC1">
        <w:t>have been below its authorized returns on equity.</w:t>
      </w:r>
      <w:r w:rsidR="00A11684">
        <w:t xml:space="preserve">  </w:t>
      </w:r>
    </w:p>
    <w:p w:rsidR="005D3B74" w:rsidRDefault="005D3B74" w:rsidP="005D3B74">
      <w:pPr>
        <w:tabs>
          <w:tab w:val="left" w:pos="720"/>
          <w:tab w:val="left" w:pos="1440"/>
          <w:tab w:val="right" w:leader="dot" w:pos="8640"/>
          <w:tab w:val="left" w:pos="9240"/>
        </w:tabs>
        <w:spacing w:line="480" w:lineRule="auto"/>
        <w:ind w:left="720" w:hanging="720"/>
      </w:pPr>
    </w:p>
    <w:p w:rsidR="00717F1F" w:rsidRDefault="005D3B74" w:rsidP="005267EC">
      <w:pPr>
        <w:keepNext/>
        <w:spacing w:line="480" w:lineRule="auto"/>
        <w:jc w:val="center"/>
        <w:rPr>
          <w:b/>
        </w:rPr>
      </w:pPr>
      <w:r>
        <w:rPr>
          <w:b/>
        </w:rPr>
        <w:t>II.</w:t>
      </w:r>
      <w:r>
        <w:rPr>
          <w:b/>
        </w:rPr>
        <w:tab/>
        <w:t>SUMMARY</w:t>
      </w:r>
      <w:r w:rsidR="00F17150">
        <w:rPr>
          <w:b/>
        </w:rPr>
        <w:t xml:space="preserve"> OF TESTIMONY</w:t>
      </w:r>
    </w:p>
    <w:p w:rsidR="005D3B74" w:rsidRDefault="005D3B74" w:rsidP="003D75B3">
      <w:pPr>
        <w:keepNext/>
        <w:tabs>
          <w:tab w:val="left" w:pos="720"/>
          <w:tab w:val="right" w:leader="dot" w:pos="8640"/>
          <w:tab w:val="left" w:pos="9240"/>
        </w:tabs>
        <w:spacing w:line="480" w:lineRule="auto"/>
        <w:ind w:left="720" w:hanging="720"/>
        <w:rPr>
          <w:b/>
        </w:rPr>
      </w:pPr>
    </w:p>
    <w:p w:rsidR="005D3B74" w:rsidRDefault="005D3B74" w:rsidP="005D3B74">
      <w:pPr>
        <w:tabs>
          <w:tab w:val="left" w:pos="720"/>
          <w:tab w:val="right" w:leader="dot" w:pos="8640"/>
          <w:tab w:val="left" w:pos="9240"/>
        </w:tabs>
        <w:spacing w:line="480" w:lineRule="auto"/>
        <w:ind w:left="720" w:hanging="720"/>
        <w:rPr>
          <w:b/>
        </w:rPr>
      </w:pPr>
      <w:r>
        <w:rPr>
          <w:b/>
        </w:rPr>
        <w:t>Q.</w:t>
      </w:r>
      <w:r>
        <w:rPr>
          <w:b/>
        </w:rPr>
        <w:tab/>
        <w:t xml:space="preserve">What </w:t>
      </w:r>
      <w:r w:rsidR="00F17150">
        <w:rPr>
          <w:b/>
        </w:rPr>
        <w:t xml:space="preserve">do you recommend for </w:t>
      </w:r>
      <w:r>
        <w:rPr>
          <w:b/>
        </w:rPr>
        <w:t xml:space="preserve">the overall cost of capital for the regulated operations of </w:t>
      </w:r>
      <w:r w:rsidR="00D25732">
        <w:rPr>
          <w:b/>
        </w:rPr>
        <w:t>PSE</w:t>
      </w:r>
      <w:r>
        <w:rPr>
          <w:b/>
        </w:rPr>
        <w:t>?</w:t>
      </w:r>
    </w:p>
    <w:p w:rsidR="005D3B74" w:rsidRDefault="005D3B74" w:rsidP="005D3B74">
      <w:pPr>
        <w:tabs>
          <w:tab w:val="left" w:pos="720"/>
          <w:tab w:val="left" w:pos="1440"/>
          <w:tab w:val="right" w:leader="dot" w:pos="8640"/>
          <w:tab w:val="left" w:pos="9240"/>
        </w:tabs>
        <w:spacing w:line="480" w:lineRule="auto"/>
        <w:ind w:left="720" w:hanging="720"/>
      </w:pPr>
      <w:r>
        <w:t>A.</w:t>
      </w:r>
      <w:r>
        <w:tab/>
        <w:t xml:space="preserve">The overall cost of capital </w:t>
      </w:r>
      <w:r w:rsidR="00F17150">
        <w:t xml:space="preserve">that I recommend </w:t>
      </w:r>
      <w:r>
        <w:t xml:space="preserve">for </w:t>
      </w:r>
      <w:r w:rsidR="00D25732">
        <w:t>PSE</w:t>
      </w:r>
      <w:r w:rsidR="00F17150">
        <w:t>’s</w:t>
      </w:r>
      <w:r>
        <w:t xml:space="preserve"> regulated operations is </w:t>
      </w:r>
      <w:r w:rsidR="00DF3981">
        <w:t>7.59</w:t>
      </w:r>
      <w:r w:rsidR="003B0F05">
        <w:t xml:space="preserve"> </w:t>
      </w:r>
      <w:r>
        <w:t>percent</w:t>
      </w:r>
      <w:r w:rsidR="00C257C0">
        <w:t xml:space="preserve">.  The following table shows </w:t>
      </w:r>
      <w:r>
        <w:t>the capital structure and cost rates</w:t>
      </w:r>
      <w:r w:rsidR="00C257C0">
        <w:t xml:space="preserve"> that produce this overall rate of return</w:t>
      </w:r>
      <w:r>
        <w:t xml:space="preserve">: </w:t>
      </w:r>
    </w:p>
    <w:p w:rsidR="00B92031" w:rsidRPr="008C7271" w:rsidRDefault="00B92031" w:rsidP="00B92031">
      <w:pPr>
        <w:tabs>
          <w:tab w:val="left" w:pos="720"/>
          <w:tab w:val="left" w:pos="1440"/>
          <w:tab w:val="right" w:leader="dot" w:pos="8640"/>
          <w:tab w:val="left" w:pos="9240"/>
        </w:tabs>
        <w:spacing w:line="480" w:lineRule="auto"/>
        <w:ind w:left="720" w:hanging="720"/>
        <w:rPr>
          <w:b/>
          <w:u w:val="single"/>
        </w:rPr>
      </w:pPr>
      <w:r>
        <w:rPr>
          <w:b/>
        </w:rPr>
        <w:tab/>
      </w:r>
      <w:r>
        <w:rPr>
          <w:b/>
        </w:rPr>
        <w:tab/>
      </w:r>
      <w:r w:rsidRPr="00B92031">
        <w:rPr>
          <w:b/>
          <w:u w:val="single"/>
        </w:rPr>
        <w:t>Component</w:t>
      </w:r>
      <w:r w:rsidRPr="00646538">
        <w:rPr>
          <w:b/>
        </w:rPr>
        <w:t xml:space="preserve">          </w:t>
      </w:r>
      <w:r>
        <w:rPr>
          <w:b/>
        </w:rPr>
        <w:t xml:space="preserve">        </w:t>
      </w:r>
      <w:r w:rsidRPr="00B92031">
        <w:rPr>
          <w:b/>
          <w:u w:val="single"/>
        </w:rPr>
        <w:t xml:space="preserve">Percent </w:t>
      </w:r>
      <w:r w:rsidRPr="00646538">
        <w:rPr>
          <w:b/>
        </w:rPr>
        <w:t xml:space="preserve">               </w:t>
      </w:r>
      <w:r w:rsidRPr="00B92031">
        <w:rPr>
          <w:b/>
          <w:u w:val="single"/>
        </w:rPr>
        <w:t xml:space="preserve">Cost </w:t>
      </w:r>
      <w:r w:rsidRPr="00646538">
        <w:rPr>
          <w:b/>
        </w:rPr>
        <w:t xml:space="preserve">                  </w:t>
      </w:r>
      <w:r w:rsidRPr="00B92031">
        <w:rPr>
          <w:b/>
          <w:i/>
          <w:u w:val="single"/>
        </w:rPr>
        <w:t>Weighted Cost</w:t>
      </w:r>
      <w:r w:rsidR="00EA5CA0">
        <w:rPr>
          <w:b/>
          <w:u w:val="single"/>
        </w:rPr>
        <w:t xml:space="preserve"> </w:t>
      </w:r>
    </w:p>
    <w:p w:rsidR="00B92031" w:rsidRDefault="00B92031" w:rsidP="00B92031">
      <w:pPr>
        <w:tabs>
          <w:tab w:val="left" w:pos="720"/>
          <w:tab w:val="left" w:pos="1440"/>
          <w:tab w:val="right" w:leader="dot" w:pos="8640"/>
          <w:tab w:val="left" w:pos="9240"/>
        </w:tabs>
        <w:spacing w:line="480" w:lineRule="auto"/>
        <w:ind w:left="720" w:hanging="720"/>
      </w:pPr>
      <w:r>
        <w:tab/>
      </w:r>
      <w:r>
        <w:tab/>
        <w:t>Long-term debt                 50.00                 6.</w:t>
      </w:r>
      <w:r w:rsidR="008F5602">
        <w:t>22</w:t>
      </w:r>
      <w:r>
        <w:t xml:space="preserve">%                        </w:t>
      </w:r>
      <w:r w:rsidR="008F5602">
        <w:t>3.11</w:t>
      </w:r>
      <w:r>
        <w:t>%</w:t>
      </w:r>
    </w:p>
    <w:p w:rsidR="00B92031" w:rsidRDefault="00B92031" w:rsidP="00B92031">
      <w:pPr>
        <w:tabs>
          <w:tab w:val="left" w:pos="720"/>
          <w:tab w:val="left" w:pos="1440"/>
          <w:tab w:val="right" w:leader="dot" w:pos="8640"/>
          <w:tab w:val="left" w:pos="9240"/>
        </w:tabs>
        <w:spacing w:line="480" w:lineRule="auto"/>
        <w:ind w:left="720" w:hanging="720"/>
      </w:pPr>
      <w:r>
        <w:tab/>
      </w:r>
      <w:r>
        <w:tab/>
        <w:t xml:space="preserve">Short-term debt                   4.00                 </w:t>
      </w:r>
      <w:r w:rsidR="00C42F67">
        <w:t>2.68</w:t>
      </w:r>
      <w:r>
        <w:t xml:space="preserve">%                        </w:t>
      </w:r>
      <w:r w:rsidR="00C42F67">
        <w:t>0.11</w:t>
      </w:r>
      <w:r>
        <w:t>%</w:t>
      </w:r>
    </w:p>
    <w:p w:rsidR="00B92031" w:rsidRDefault="00B92031" w:rsidP="00B92031">
      <w:pPr>
        <w:tabs>
          <w:tab w:val="left" w:pos="720"/>
          <w:tab w:val="left" w:pos="1440"/>
          <w:tab w:val="right" w:leader="dot" w:pos="8640"/>
          <w:tab w:val="left" w:pos="9240"/>
        </w:tabs>
        <w:spacing w:line="480" w:lineRule="auto"/>
        <w:ind w:left="720" w:hanging="720"/>
      </w:pPr>
      <w:r>
        <w:tab/>
      </w:r>
      <w:r>
        <w:tab/>
        <w:t xml:space="preserve">Common equity                 </w:t>
      </w:r>
      <w:r w:rsidRPr="00C62BDB">
        <w:rPr>
          <w:u w:val="single"/>
        </w:rPr>
        <w:t>46.00</w:t>
      </w:r>
      <w:r>
        <w:t xml:space="preserve">                 9.50%                        </w:t>
      </w:r>
      <w:r w:rsidRPr="008D61AA">
        <w:rPr>
          <w:u w:val="single"/>
        </w:rPr>
        <w:t>4.37%</w:t>
      </w:r>
    </w:p>
    <w:p w:rsidR="00B92031" w:rsidRDefault="00B92031" w:rsidP="00B92031">
      <w:pPr>
        <w:tabs>
          <w:tab w:val="left" w:pos="720"/>
          <w:tab w:val="left" w:pos="1440"/>
          <w:tab w:val="right" w:leader="dot" w:pos="8640"/>
          <w:tab w:val="left" w:pos="9240"/>
        </w:tabs>
        <w:spacing w:line="480" w:lineRule="auto"/>
        <w:ind w:left="720" w:hanging="720"/>
      </w:pPr>
      <w:r>
        <w:tab/>
      </w:r>
      <w:r>
        <w:tab/>
        <w:t xml:space="preserve">Cost of Capital                  100.00                                                  </w:t>
      </w:r>
      <w:r w:rsidRPr="008D61AA">
        <w:t>7.</w:t>
      </w:r>
      <w:r w:rsidR="008F5602">
        <w:t>59</w:t>
      </w:r>
      <w:r w:rsidRPr="008D61AA">
        <w:t>%</w:t>
      </w:r>
    </w:p>
    <w:p w:rsidR="00717F1F" w:rsidRDefault="00717F1F" w:rsidP="00690BE5">
      <w:pPr>
        <w:tabs>
          <w:tab w:val="left" w:pos="1440"/>
          <w:tab w:val="right" w:leader="dot" w:pos="8640"/>
          <w:tab w:val="left" w:pos="9240"/>
        </w:tabs>
        <w:spacing w:line="480" w:lineRule="auto"/>
        <w:rPr>
          <w:b/>
        </w:rPr>
      </w:pPr>
    </w:p>
    <w:p w:rsidR="005D3B74" w:rsidRDefault="005D3B74" w:rsidP="005D3B74">
      <w:pPr>
        <w:tabs>
          <w:tab w:val="left" w:pos="720"/>
          <w:tab w:val="left" w:pos="1440"/>
          <w:tab w:val="right" w:leader="dot" w:pos="8640"/>
          <w:tab w:val="left" w:pos="9240"/>
        </w:tabs>
        <w:spacing w:line="480" w:lineRule="auto"/>
        <w:ind w:left="720" w:hanging="720"/>
        <w:rPr>
          <w:b/>
        </w:rPr>
      </w:pPr>
      <w:r>
        <w:rPr>
          <w:b/>
        </w:rPr>
        <w:t>Q.</w:t>
      </w:r>
      <w:r>
        <w:rPr>
          <w:b/>
        </w:rPr>
        <w:tab/>
      </w:r>
      <w:r w:rsidR="00F17150">
        <w:rPr>
          <w:b/>
        </w:rPr>
        <w:t>The Company proposes an overall cost of capital of 8.42 percent.</w:t>
      </w:r>
      <w:r w:rsidR="00935FF8">
        <w:rPr>
          <w:b/>
        </w:rPr>
        <w:t xml:space="preserve">  </w:t>
      </w:r>
      <w:r>
        <w:rPr>
          <w:b/>
        </w:rPr>
        <w:t xml:space="preserve">Please </w:t>
      </w:r>
      <w:r w:rsidR="00F17150">
        <w:rPr>
          <w:b/>
        </w:rPr>
        <w:t>summarize the differences between</w:t>
      </w:r>
      <w:r>
        <w:rPr>
          <w:b/>
        </w:rPr>
        <w:t xml:space="preserve"> </w:t>
      </w:r>
      <w:r w:rsidR="00935FF8">
        <w:rPr>
          <w:b/>
        </w:rPr>
        <w:t>the Staff and Company proposals</w:t>
      </w:r>
      <w:r>
        <w:rPr>
          <w:b/>
        </w:rPr>
        <w:t>.</w:t>
      </w:r>
    </w:p>
    <w:p w:rsidR="005E5C49" w:rsidRDefault="001D7AD7" w:rsidP="005D3B74">
      <w:pPr>
        <w:tabs>
          <w:tab w:val="left" w:pos="720"/>
          <w:tab w:val="left" w:pos="1440"/>
          <w:tab w:val="right" w:leader="dot" w:pos="8640"/>
          <w:tab w:val="left" w:pos="9240"/>
        </w:tabs>
        <w:spacing w:line="480" w:lineRule="auto"/>
        <w:ind w:left="720" w:hanging="720"/>
      </w:pPr>
      <w:r>
        <w:t>A.</w:t>
      </w:r>
      <w:r>
        <w:tab/>
        <w:t>The</w:t>
      </w:r>
      <w:r w:rsidR="00571495">
        <w:t xml:space="preserve">re are </w:t>
      </w:r>
      <w:r w:rsidR="0097001E">
        <w:t>four</w:t>
      </w:r>
      <w:r w:rsidR="005D3B74">
        <w:t xml:space="preserve"> difference</w:t>
      </w:r>
      <w:r w:rsidR="00571495">
        <w:t>s</w:t>
      </w:r>
      <w:r w:rsidR="005D3B74">
        <w:t xml:space="preserve"> between my </w:t>
      </w:r>
      <w:r w:rsidR="00DF3981">
        <w:t>7.59</w:t>
      </w:r>
      <w:r w:rsidR="005D3B74">
        <w:t xml:space="preserve"> percent cost of capital and the Company</w:t>
      </w:r>
      <w:r w:rsidR="008746EF">
        <w:t xml:space="preserve">’s </w:t>
      </w:r>
      <w:r w:rsidR="005D3B74">
        <w:t xml:space="preserve">proposed </w:t>
      </w:r>
      <w:r>
        <w:t xml:space="preserve">8.42 </w:t>
      </w:r>
      <w:r w:rsidR="005D3B74">
        <w:t>percent cost of capital</w:t>
      </w:r>
      <w:r w:rsidR="00F16736">
        <w:t xml:space="preserve">: </w:t>
      </w:r>
      <w:r w:rsidR="00F17150">
        <w:t xml:space="preserve"> </w:t>
      </w:r>
      <w:r w:rsidR="00F16736">
        <w:t>1)</w:t>
      </w:r>
      <w:r>
        <w:t xml:space="preserve"> </w:t>
      </w:r>
      <w:r w:rsidR="00CE3BFF">
        <w:t>I</w:t>
      </w:r>
      <w:r>
        <w:t xml:space="preserve"> estimate a fair return on equity</w:t>
      </w:r>
      <w:r w:rsidR="005D3B74">
        <w:t xml:space="preserve"> (“ROE”) </w:t>
      </w:r>
      <w:r w:rsidR="00015EC1">
        <w:t>of</w:t>
      </w:r>
      <w:r w:rsidR="005D3B74">
        <w:t xml:space="preserve"> 9.50 percent compare</w:t>
      </w:r>
      <w:r w:rsidR="00300C21">
        <w:t>d to the Company</w:t>
      </w:r>
      <w:r w:rsidR="00A15099">
        <w:t>’s</w:t>
      </w:r>
      <w:r w:rsidR="00446B11">
        <w:t xml:space="preserve"> proposed</w:t>
      </w:r>
      <w:r w:rsidR="00935FF8">
        <w:t xml:space="preserve"> </w:t>
      </w:r>
      <w:r w:rsidR="00300C21">
        <w:t>10.</w:t>
      </w:r>
      <w:r w:rsidR="00D25732">
        <w:t>8</w:t>
      </w:r>
      <w:r w:rsidR="005D3B74">
        <w:t>0 percent</w:t>
      </w:r>
      <w:r w:rsidR="005E5C49">
        <w:t xml:space="preserve">; 2) </w:t>
      </w:r>
      <w:r w:rsidR="00CE3BFF">
        <w:t>I recommend</w:t>
      </w:r>
      <w:r w:rsidR="00F846B9">
        <w:t xml:space="preserve"> </w:t>
      </w:r>
      <w:r w:rsidR="00765495">
        <w:t xml:space="preserve">a </w:t>
      </w:r>
      <w:r w:rsidR="00F846B9">
        <w:t xml:space="preserve">capital structure </w:t>
      </w:r>
      <w:r w:rsidR="00765495">
        <w:t>with</w:t>
      </w:r>
      <w:r w:rsidR="005E5C49">
        <w:t xml:space="preserve"> </w:t>
      </w:r>
      <w:r w:rsidR="00CE3BFF">
        <w:t xml:space="preserve">a </w:t>
      </w:r>
      <w:r w:rsidR="005E5C49">
        <w:t>46</w:t>
      </w:r>
      <w:r w:rsidR="00765495">
        <w:t xml:space="preserve"> </w:t>
      </w:r>
      <w:r w:rsidR="005E5C49">
        <w:t xml:space="preserve">percent common equity </w:t>
      </w:r>
      <w:r w:rsidR="00571495">
        <w:t xml:space="preserve">ratio </w:t>
      </w:r>
      <w:r w:rsidR="005E5C49">
        <w:t>compar</w:t>
      </w:r>
      <w:r w:rsidR="00BB5149">
        <w:t>ed</w:t>
      </w:r>
      <w:r w:rsidR="005E5C49">
        <w:t xml:space="preserve"> to the 48 percent proposed by the Company</w:t>
      </w:r>
      <w:r w:rsidR="00765495">
        <w:t>; 3)</w:t>
      </w:r>
      <w:r w:rsidR="005D3B74">
        <w:t xml:space="preserve"> </w:t>
      </w:r>
      <w:r>
        <w:t xml:space="preserve">I recommend a </w:t>
      </w:r>
      <w:r w:rsidRPr="001D7AD7">
        <w:rPr>
          <w:i/>
        </w:rPr>
        <w:t>pro forma</w:t>
      </w:r>
      <w:r>
        <w:t xml:space="preserve"> cost of </w:t>
      </w:r>
      <w:r w:rsidR="00F16736">
        <w:lastRenderedPageBreak/>
        <w:t xml:space="preserve">long-term </w:t>
      </w:r>
      <w:r>
        <w:t xml:space="preserve">debt of </w:t>
      </w:r>
      <w:r w:rsidR="008F5602">
        <w:t>6.22</w:t>
      </w:r>
      <w:r w:rsidR="00C42F67">
        <w:t xml:space="preserve"> </w:t>
      </w:r>
      <w:r>
        <w:t>perce</w:t>
      </w:r>
      <w:r w:rsidR="00F16736">
        <w:t xml:space="preserve">nt compared to the Company’s </w:t>
      </w:r>
      <w:r w:rsidR="0097001E">
        <w:t xml:space="preserve">proposed </w:t>
      </w:r>
      <w:r w:rsidR="00F16736">
        <w:t>6.</w:t>
      </w:r>
      <w:r>
        <w:t>3</w:t>
      </w:r>
      <w:r w:rsidR="00F16736">
        <w:t>7</w:t>
      </w:r>
      <w:r>
        <w:t xml:space="preserve"> percent</w:t>
      </w:r>
      <w:r w:rsidR="00C42F67">
        <w:t>; and 4) my cost of short-term debt is 2.68 percent compared to the company’s 4.62 percent.</w:t>
      </w:r>
      <w:r w:rsidR="008F5602">
        <w:t xml:space="preserve">  </w:t>
      </w:r>
    </w:p>
    <w:p w:rsidR="00935FF8" w:rsidRDefault="00935FF8" w:rsidP="005D3B74">
      <w:pPr>
        <w:tabs>
          <w:tab w:val="left" w:pos="720"/>
          <w:tab w:val="left" w:pos="1440"/>
          <w:tab w:val="right" w:leader="dot" w:pos="8640"/>
          <w:tab w:val="left" w:pos="9240"/>
        </w:tabs>
        <w:spacing w:line="480" w:lineRule="auto"/>
        <w:ind w:left="720" w:hanging="720"/>
      </w:pPr>
    </w:p>
    <w:p w:rsidR="00F81B3D" w:rsidRPr="00271862" w:rsidRDefault="002A0350" w:rsidP="005D3B74">
      <w:pPr>
        <w:tabs>
          <w:tab w:val="left" w:pos="720"/>
          <w:tab w:val="left" w:pos="1440"/>
          <w:tab w:val="right" w:leader="dot" w:pos="8640"/>
          <w:tab w:val="left" w:pos="9240"/>
        </w:tabs>
        <w:spacing w:line="480" w:lineRule="auto"/>
        <w:ind w:left="720" w:hanging="720"/>
        <w:rPr>
          <w:b/>
        </w:rPr>
      </w:pPr>
      <w:r w:rsidRPr="00271862">
        <w:rPr>
          <w:b/>
        </w:rPr>
        <w:t xml:space="preserve">Q. </w:t>
      </w:r>
      <w:r w:rsidRPr="00271862">
        <w:rPr>
          <w:b/>
        </w:rPr>
        <w:tab/>
        <w:t>Please summarize your testimony regarding the issue of attrition.</w:t>
      </w:r>
    </w:p>
    <w:p w:rsidR="00EB307C" w:rsidRDefault="00F81B3D" w:rsidP="005D3B74">
      <w:pPr>
        <w:tabs>
          <w:tab w:val="left" w:pos="720"/>
          <w:tab w:val="left" w:pos="1440"/>
          <w:tab w:val="right" w:leader="dot" w:pos="8640"/>
          <w:tab w:val="left" w:pos="9240"/>
        </w:tabs>
        <w:spacing w:line="480" w:lineRule="auto"/>
        <w:ind w:left="720" w:hanging="720"/>
      </w:pPr>
      <w:r>
        <w:t>A.</w:t>
      </w:r>
      <w:r>
        <w:tab/>
      </w:r>
      <w:r w:rsidR="00BB5149">
        <w:t>The Company</w:t>
      </w:r>
      <w:r w:rsidR="00015EC1">
        <w:t>’s comparison</w:t>
      </w:r>
      <w:r w:rsidR="007E0935">
        <w:t xml:space="preserve"> of </w:t>
      </w:r>
      <w:r w:rsidR="00EB307C">
        <w:t xml:space="preserve">actual (per books) </w:t>
      </w:r>
      <w:r w:rsidR="007E0935">
        <w:t>earned returns on equity to</w:t>
      </w:r>
      <w:r w:rsidR="00015EC1">
        <w:t xml:space="preserve"> authorized returns on equity does not</w:t>
      </w:r>
      <w:r w:rsidR="00BB5149">
        <w:t xml:space="preserve"> me</w:t>
      </w:r>
      <w:r w:rsidR="00015EC1">
        <w:t>et</w:t>
      </w:r>
      <w:r w:rsidR="00BB5149">
        <w:t xml:space="preserve"> </w:t>
      </w:r>
      <w:r w:rsidR="007E0935">
        <w:t>the</w:t>
      </w:r>
      <w:r w:rsidR="00BB5149">
        <w:t xml:space="preserve"> </w:t>
      </w:r>
      <w:r w:rsidR="007E0935">
        <w:t xml:space="preserve">necessary </w:t>
      </w:r>
      <w:r w:rsidR="00BB5149">
        <w:t xml:space="preserve">burden to </w:t>
      </w:r>
      <w:r w:rsidR="007E0935">
        <w:t xml:space="preserve">prove and measure </w:t>
      </w:r>
      <w:r w:rsidR="00BB5149">
        <w:t>attrition</w:t>
      </w:r>
      <w:r w:rsidR="007E0935">
        <w:t xml:space="preserve">, as established by Commission precedent.  Nor </w:t>
      </w:r>
      <w:r w:rsidR="00F476CA">
        <w:t xml:space="preserve">has </w:t>
      </w:r>
      <w:r w:rsidR="007E0935">
        <w:t>PSE</w:t>
      </w:r>
      <w:r w:rsidR="00F476CA">
        <w:t xml:space="preserve"> specified </w:t>
      </w:r>
      <w:r w:rsidR="00BB5149">
        <w:t>any specific attrition adjustment</w:t>
      </w:r>
      <w:r w:rsidR="0097001E">
        <w:t>, as required by Commission rule.</w:t>
      </w:r>
      <w:r w:rsidR="005A31BC">
        <w:rPr>
          <w:rStyle w:val="FootnoteReference"/>
        </w:rPr>
        <w:footnoteReference w:id="1"/>
      </w:r>
      <w:r w:rsidR="00BB5149">
        <w:t xml:space="preserve"> </w:t>
      </w:r>
      <w:r w:rsidR="007E0935">
        <w:t xml:space="preserve"> Thus, the Commission should reject the Company’s claim of attrition.</w:t>
      </w:r>
      <w:r w:rsidR="00CE3BFF">
        <w:t xml:space="preserve">   </w:t>
      </w:r>
    </w:p>
    <w:p w:rsidR="00EB307C" w:rsidRDefault="00EB307C" w:rsidP="005D3B74">
      <w:pPr>
        <w:tabs>
          <w:tab w:val="left" w:pos="720"/>
          <w:tab w:val="left" w:pos="1440"/>
          <w:tab w:val="right" w:leader="dot" w:pos="8640"/>
          <w:tab w:val="left" w:pos="9240"/>
        </w:tabs>
        <w:spacing w:line="480" w:lineRule="auto"/>
        <w:ind w:left="720" w:hanging="720"/>
      </w:pPr>
      <w:r>
        <w:tab/>
      </w:r>
      <w:r>
        <w:tab/>
        <w:t xml:space="preserve">Nonetheless, the Company’s ongoing </w:t>
      </w:r>
      <w:r w:rsidR="008F5602">
        <w:t>expenditures</w:t>
      </w:r>
      <w:r>
        <w:t xml:space="preserve"> for infrastructure additions and replacements warrant an appropriate </w:t>
      </w:r>
      <w:r w:rsidR="0097001E">
        <w:t xml:space="preserve">regulatory </w:t>
      </w:r>
      <w:r>
        <w:t>response</w:t>
      </w:r>
      <w:r w:rsidR="008F5602">
        <w:t xml:space="preserve"> to address regulatory lag</w:t>
      </w:r>
      <w:r>
        <w:t xml:space="preserve">.  I present an </w:t>
      </w:r>
      <w:r w:rsidR="00C42F67">
        <w:t xml:space="preserve">option for PSE </w:t>
      </w:r>
      <w:r w:rsidR="00DC4947">
        <w:t xml:space="preserve">to address </w:t>
      </w:r>
      <w:r w:rsidR="008F5602">
        <w:t>this issue</w:t>
      </w:r>
      <w:r w:rsidR="00DC4947">
        <w:t xml:space="preserve"> through </w:t>
      </w:r>
      <w:r w:rsidR="00C42F67">
        <w:t xml:space="preserve">an </w:t>
      </w:r>
      <w:r>
        <w:t xml:space="preserve">expedited rate making </w:t>
      </w:r>
      <w:r w:rsidR="001D699B">
        <w:t>process</w:t>
      </w:r>
      <w:r w:rsidR="00DC4947">
        <w:t xml:space="preserve"> that </w:t>
      </w:r>
      <w:r w:rsidR="001D699B">
        <w:t>will</w:t>
      </w:r>
      <w:r w:rsidR="00C42F67">
        <w:t xml:space="preserve"> enable</w:t>
      </w:r>
      <w:r>
        <w:t xml:space="preserve"> the Company to receive </w:t>
      </w:r>
      <w:r w:rsidR="00490CAC">
        <w:t xml:space="preserve">timely </w:t>
      </w:r>
      <w:r>
        <w:t>rate relief</w:t>
      </w:r>
      <w:r w:rsidR="00490CAC">
        <w:t>.</w:t>
      </w:r>
      <w:r w:rsidR="00C42F67">
        <w:t xml:space="preserve"> </w:t>
      </w:r>
      <w:r w:rsidR="0097001E">
        <w:t xml:space="preserve"> </w:t>
      </w:r>
      <w:r>
        <w:t xml:space="preserve">The approach I present is consistent with the Commission’s current practice and policy to set rates on an historical test period with proper </w:t>
      </w:r>
      <w:r w:rsidR="00551C00">
        <w:t>normalizing</w:t>
      </w:r>
      <w:r>
        <w:t xml:space="preserve"> adjustments.</w:t>
      </w:r>
      <w:r w:rsidR="005A31BC">
        <w:rPr>
          <w:rStyle w:val="FootnoteReference"/>
        </w:rPr>
        <w:footnoteReference w:id="2"/>
      </w:r>
    </w:p>
    <w:p w:rsidR="005D3B74" w:rsidRDefault="00293A6B" w:rsidP="005D3B74">
      <w:pPr>
        <w:tabs>
          <w:tab w:val="left" w:pos="720"/>
          <w:tab w:val="left" w:pos="1440"/>
          <w:tab w:val="right" w:leader="dot" w:pos="8640"/>
          <w:tab w:val="left" w:pos="9240"/>
        </w:tabs>
        <w:spacing w:line="480" w:lineRule="auto"/>
        <w:ind w:left="720" w:hanging="720"/>
      </w:pPr>
      <w:r>
        <w:tab/>
      </w:r>
    </w:p>
    <w:p w:rsidR="005D3B74" w:rsidRDefault="00131071" w:rsidP="00131071">
      <w:pPr>
        <w:spacing w:line="480" w:lineRule="auto"/>
        <w:jc w:val="center"/>
        <w:rPr>
          <w:b/>
        </w:rPr>
      </w:pPr>
      <w:r>
        <w:rPr>
          <w:b/>
        </w:rPr>
        <w:t>III.</w:t>
      </w:r>
      <w:r>
        <w:rPr>
          <w:b/>
        </w:rPr>
        <w:tab/>
      </w:r>
      <w:r w:rsidR="00DC4947">
        <w:rPr>
          <w:b/>
        </w:rPr>
        <w:t>FAIR RATE OF RETURN</w:t>
      </w:r>
      <w:r w:rsidR="005D3B74" w:rsidRPr="000C7034">
        <w:rPr>
          <w:b/>
        </w:rPr>
        <w:t xml:space="preserve"> </w:t>
      </w:r>
    </w:p>
    <w:p w:rsidR="005D3B74" w:rsidRPr="00BC1FAB" w:rsidRDefault="00DC4947" w:rsidP="00B5529C">
      <w:pPr>
        <w:pStyle w:val="ListParagraph"/>
        <w:numPr>
          <w:ilvl w:val="0"/>
          <w:numId w:val="31"/>
        </w:numPr>
        <w:spacing w:line="480" w:lineRule="auto"/>
        <w:ind w:left="720"/>
        <w:rPr>
          <w:b/>
        </w:rPr>
      </w:pPr>
      <w:r w:rsidRPr="00BC1FAB">
        <w:rPr>
          <w:b/>
        </w:rPr>
        <w:t>Background</w:t>
      </w:r>
    </w:p>
    <w:p w:rsidR="00DC4947" w:rsidRPr="00BC1FAB" w:rsidRDefault="00DC4947" w:rsidP="00BC1FAB">
      <w:pPr>
        <w:pStyle w:val="ListParagraph"/>
        <w:tabs>
          <w:tab w:val="left" w:pos="720"/>
          <w:tab w:val="left" w:pos="1440"/>
          <w:tab w:val="right" w:leader="dot" w:pos="8640"/>
          <w:tab w:val="left" w:pos="9240"/>
        </w:tabs>
        <w:spacing w:line="480" w:lineRule="auto"/>
        <w:ind w:left="1080"/>
        <w:rPr>
          <w:b/>
        </w:rPr>
      </w:pPr>
    </w:p>
    <w:p w:rsidR="00F81B3D" w:rsidRPr="00E73CB2" w:rsidRDefault="00F81B3D" w:rsidP="00F81B3D">
      <w:pPr>
        <w:tabs>
          <w:tab w:val="left" w:pos="720"/>
          <w:tab w:val="left" w:pos="1440"/>
          <w:tab w:val="right" w:leader="dot" w:pos="8640"/>
          <w:tab w:val="left" w:pos="9240"/>
        </w:tabs>
        <w:spacing w:line="480" w:lineRule="auto"/>
        <w:ind w:left="720" w:hanging="720"/>
        <w:rPr>
          <w:b/>
        </w:rPr>
      </w:pPr>
      <w:r w:rsidRPr="00E73CB2">
        <w:rPr>
          <w:b/>
        </w:rPr>
        <w:t>Q.</w:t>
      </w:r>
      <w:r w:rsidRPr="00E73CB2">
        <w:rPr>
          <w:b/>
        </w:rPr>
        <w:tab/>
        <w:t xml:space="preserve">What primary steps </w:t>
      </w:r>
      <w:r>
        <w:rPr>
          <w:b/>
        </w:rPr>
        <w:t xml:space="preserve">are </w:t>
      </w:r>
      <w:r w:rsidRPr="00E73CB2">
        <w:rPr>
          <w:b/>
        </w:rPr>
        <w:t>involved in</w:t>
      </w:r>
      <w:r>
        <w:rPr>
          <w:b/>
        </w:rPr>
        <w:t xml:space="preserve"> </w:t>
      </w:r>
      <w:r w:rsidRPr="00E73CB2">
        <w:rPr>
          <w:b/>
        </w:rPr>
        <w:t>estimat</w:t>
      </w:r>
      <w:r>
        <w:rPr>
          <w:b/>
        </w:rPr>
        <w:t>ing</w:t>
      </w:r>
      <w:r w:rsidRPr="00E73CB2">
        <w:rPr>
          <w:b/>
        </w:rPr>
        <w:t xml:space="preserve"> a fair rate of return for any regulated utility?</w:t>
      </w:r>
    </w:p>
    <w:p w:rsidR="00F81B3D" w:rsidRDefault="00F81B3D" w:rsidP="00E73CB2">
      <w:pPr>
        <w:tabs>
          <w:tab w:val="left" w:pos="720"/>
          <w:tab w:val="left" w:pos="1440"/>
          <w:tab w:val="right" w:leader="dot" w:pos="8640"/>
          <w:tab w:val="left" w:pos="9240"/>
        </w:tabs>
        <w:spacing w:line="480" w:lineRule="auto"/>
        <w:ind w:left="720" w:hanging="720"/>
        <w:rPr>
          <w:b/>
        </w:rPr>
      </w:pPr>
      <w:r w:rsidRPr="00AB6C70">
        <w:lastRenderedPageBreak/>
        <w:t>A.</w:t>
      </w:r>
      <w:r w:rsidRPr="00AB6C70">
        <w:tab/>
        <w:t>The process of estimating a utility</w:t>
      </w:r>
      <w:r>
        <w:t>’s</w:t>
      </w:r>
      <w:r w:rsidRPr="00AB6C70">
        <w:t xml:space="preserve"> </w:t>
      </w:r>
      <w:r>
        <w:t xml:space="preserve">overall </w:t>
      </w:r>
      <w:r w:rsidRPr="00AB6C70">
        <w:t xml:space="preserve">cost of capital involves </w:t>
      </w:r>
      <w:r w:rsidR="00D91982">
        <w:t>three</w:t>
      </w:r>
      <w:r w:rsidRPr="00AB6C70">
        <w:t xml:space="preserve"> distinct steps.  </w:t>
      </w:r>
      <w:r w:rsidR="00D91982">
        <w:t>The f</w:t>
      </w:r>
      <w:r w:rsidRPr="00AB6C70">
        <w:t xml:space="preserve">irst </w:t>
      </w:r>
      <w:r w:rsidR="00D91982">
        <w:t>step is to</w:t>
      </w:r>
      <w:r w:rsidRPr="00AB6C70">
        <w:t xml:space="preserve"> determin</w:t>
      </w:r>
      <w:r w:rsidR="00D91982">
        <w:t>e</w:t>
      </w:r>
      <w:r w:rsidRPr="00AB6C70">
        <w:t xml:space="preserve"> the proper capital structure to finance the operations of the utility.  </w:t>
      </w:r>
      <w:r w:rsidR="00271862">
        <w:t>Next</w:t>
      </w:r>
      <w:r w:rsidR="00D91982">
        <w:t>,</w:t>
      </w:r>
      <w:r w:rsidR="004619A3">
        <w:t xml:space="preserve"> the analyst must </w:t>
      </w:r>
      <w:r w:rsidR="00271862">
        <w:t>estimat</w:t>
      </w:r>
      <w:r w:rsidR="00D91982">
        <w:t>e</w:t>
      </w:r>
      <w:r w:rsidR="00271862">
        <w:t xml:space="preserve"> </w:t>
      </w:r>
      <w:r w:rsidR="001D699B">
        <w:t xml:space="preserve">of </w:t>
      </w:r>
      <w:r w:rsidR="004619A3">
        <w:t>the cost of common equity.</w:t>
      </w:r>
      <w:r w:rsidRPr="00AB6C70">
        <w:t xml:space="preserve">  </w:t>
      </w:r>
      <w:r w:rsidR="004619A3">
        <w:t xml:space="preserve"> </w:t>
      </w:r>
      <w:r w:rsidR="00D91982">
        <w:t>The final step is to</w:t>
      </w:r>
      <w:r w:rsidR="00271862">
        <w:t xml:space="preserve"> </w:t>
      </w:r>
      <w:r w:rsidRPr="00AB6C70">
        <w:t>calculat</w:t>
      </w:r>
      <w:r w:rsidR="00D91982">
        <w:t>e</w:t>
      </w:r>
      <w:r w:rsidRPr="00AB6C70">
        <w:t xml:space="preserve"> the cost of </w:t>
      </w:r>
      <w:r w:rsidR="00271862">
        <w:t xml:space="preserve">preferred equity and </w:t>
      </w:r>
      <w:r w:rsidRPr="00AB6C70">
        <w:t>debt for the rate year, including the cost of both long-term and short-term debt.</w:t>
      </w:r>
      <w:r>
        <w:t xml:space="preserve">  </w:t>
      </w:r>
    </w:p>
    <w:p w:rsidR="00F81B3D" w:rsidRDefault="00F81B3D" w:rsidP="00E73CB2">
      <w:pPr>
        <w:tabs>
          <w:tab w:val="left" w:pos="720"/>
          <w:tab w:val="left" w:pos="1440"/>
          <w:tab w:val="right" w:leader="dot" w:pos="8640"/>
          <w:tab w:val="left" w:pos="9240"/>
        </w:tabs>
        <w:spacing w:line="480" w:lineRule="auto"/>
        <w:ind w:left="720" w:hanging="720"/>
        <w:rPr>
          <w:b/>
        </w:rPr>
      </w:pPr>
    </w:p>
    <w:p w:rsidR="00E73CB2" w:rsidRPr="00E73CB2" w:rsidRDefault="00E73CB2" w:rsidP="00E73CB2">
      <w:pPr>
        <w:tabs>
          <w:tab w:val="left" w:pos="720"/>
          <w:tab w:val="left" w:pos="1440"/>
          <w:tab w:val="right" w:leader="dot" w:pos="8640"/>
          <w:tab w:val="left" w:pos="9240"/>
        </w:tabs>
        <w:spacing w:line="480" w:lineRule="auto"/>
        <w:ind w:left="720" w:hanging="720"/>
        <w:rPr>
          <w:b/>
        </w:rPr>
      </w:pPr>
      <w:r w:rsidRPr="00E73CB2">
        <w:rPr>
          <w:b/>
        </w:rPr>
        <w:t>Q.</w:t>
      </w:r>
      <w:r w:rsidRPr="00E73CB2">
        <w:rPr>
          <w:b/>
        </w:rPr>
        <w:tab/>
        <w:t>Please explain the context of the Commission</w:t>
      </w:r>
      <w:r w:rsidR="00A15099">
        <w:rPr>
          <w:b/>
        </w:rPr>
        <w:t>’s</w:t>
      </w:r>
      <w:r w:rsidRPr="00E73CB2">
        <w:rPr>
          <w:b/>
        </w:rPr>
        <w:t xml:space="preserve"> </w:t>
      </w:r>
      <w:r w:rsidR="00F81B3D">
        <w:rPr>
          <w:b/>
        </w:rPr>
        <w:t xml:space="preserve">equity </w:t>
      </w:r>
      <w:r w:rsidRPr="00E73CB2">
        <w:rPr>
          <w:b/>
        </w:rPr>
        <w:t xml:space="preserve">cost of capital determination for </w:t>
      </w:r>
      <w:r w:rsidR="00D25732">
        <w:rPr>
          <w:b/>
        </w:rPr>
        <w:t>PSE</w:t>
      </w:r>
      <w:r w:rsidRPr="00E73CB2">
        <w:rPr>
          <w:b/>
        </w:rPr>
        <w:t xml:space="preserve"> in this proceeding.</w:t>
      </w:r>
    </w:p>
    <w:p w:rsidR="00E73CB2" w:rsidRPr="00AB6C70" w:rsidRDefault="00E73CB2" w:rsidP="00E73CB2">
      <w:pPr>
        <w:tabs>
          <w:tab w:val="left" w:pos="720"/>
          <w:tab w:val="left" w:pos="1440"/>
          <w:tab w:val="right" w:leader="dot" w:pos="8640"/>
          <w:tab w:val="left" w:pos="9240"/>
        </w:tabs>
        <w:spacing w:line="480" w:lineRule="auto"/>
        <w:ind w:left="720" w:hanging="720"/>
      </w:pPr>
      <w:r w:rsidRPr="00AB6C70">
        <w:t>A.</w:t>
      </w:r>
      <w:r w:rsidRPr="00AB6C70">
        <w:tab/>
        <w:t xml:space="preserve">This proceeding involves setting rates for </w:t>
      </w:r>
      <w:r w:rsidR="00D25732">
        <w:t xml:space="preserve">PSE’s </w:t>
      </w:r>
      <w:r w:rsidRPr="00AB6C70">
        <w:t xml:space="preserve">regulated electric </w:t>
      </w:r>
      <w:r w:rsidR="00446B11">
        <w:t xml:space="preserve">and natural gas </w:t>
      </w:r>
      <w:r w:rsidRPr="00AB6C70">
        <w:t xml:space="preserve">utility operations in the State of Washington.  </w:t>
      </w:r>
      <w:r w:rsidR="005E5C49">
        <w:t>Since the acquisition of Puget Energy</w:t>
      </w:r>
      <w:r w:rsidR="00AC6134">
        <w:t xml:space="preserve"> </w:t>
      </w:r>
      <w:r w:rsidR="005E5C49">
        <w:t xml:space="preserve">by the </w:t>
      </w:r>
      <w:r w:rsidR="00F81B3D">
        <w:t xml:space="preserve">Macquarie </w:t>
      </w:r>
      <w:r w:rsidR="005E5C49">
        <w:t>Investor Consortium</w:t>
      </w:r>
      <w:r w:rsidR="00C024BA">
        <w:t>,</w:t>
      </w:r>
      <w:r w:rsidR="00571495">
        <w:t xml:space="preserve"> </w:t>
      </w:r>
      <w:r w:rsidR="00B96838">
        <w:t xml:space="preserve">Puget Energy’s </w:t>
      </w:r>
      <w:r w:rsidRPr="00AB6C70">
        <w:t xml:space="preserve">common stock is </w:t>
      </w:r>
      <w:r w:rsidR="00D25732">
        <w:t>no</w:t>
      </w:r>
      <w:r w:rsidR="005E5C49">
        <w:t xml:space="preserve"> longer</w:t>
      </w:r>
      <w:r w:rsidR="00D25732">
        <w:t xml:space="preserve"> </w:t>
      </w:r>
      <w:r w:rsidRPr="00AB6C70">
        <w:t>publicly traded</w:t>
      </w:r>
      <w:r w:rsidR="00446B11">
        <w:t>.  T</w:t>
      </w:r>
      <w:r w:rsidRPr="00AB6C70">
        <w:t>he</w:t>
      </w:r>
      <w:r w:rsidR="00765495">
        <w:t>refore, the</w:t>
      </w:r>
      <w:r w:rsidRPr="00AB6C70">
        <w:t xml:space="preserve"> cost of equity analysis </w:t>
      </w:r>
      <w:r w:rsidR="00571495">
        <w:t xml:space="preserve">must </w:t>
      </w:r>
      <w:r w:rsidR="005E5C49">
        <w:t xml:space="preserve">now </w:t>
      </w:r>
      <w:r w:rsidRPr="00AB6C70">
        <w:t xml:space="preserve">focus on </w:t>
      </w:r>
      <w:r w:rsidR="00571495">
        <w:t xml:space="preserve">market information (stock prices) of </w:t>
      </w:r>
      <w:r w:rsidRPr="00AB6C70">
        <w:t xml:space="preserve">a set of comparable </w:t>
      </w:r>
      <w:r w:rsidR="004E18C5">
        <w:t xml:space="preserve">(proxy) </w:t>
      </w:r>
      <w:r w:rsidRPr="00AB6C70">
        <w:t>companies</w:t>
      </w:r>
      <w:r w:rsidR="00D25732">
        <w:t xml:space="preserve">.  </w:t>
      </w:r>
      <w:r w:rsidR="00C024BA">
        <w:t xml:space="preserve">Based upon </w:t>
      </w:r>
      <w:r w:rsidR="00F846B9">
        <w:t xml:space="preserve">a Discounted Cash Flow </w:t>
      </w:r>
      <w:r w:rsidR="001D699B">
        <w:t xml:space="preserve">(“DCF”) </w:t>
      </w:r>
      <w:r w:rsidR="00F846B9">
        <w:t>analysis of a comparable group of companies</w:t>
      </w:r>
      <w:r w:rsidR="00765495">
        <w:t>,</w:t>
      </w:r>
      <w:r w:rsidR="00F846B9">
        <w:t xml:space="preserve"> </w:t>
      </w:r>
      <w:r w:rsidR="00C024BA">
        <w:t xml:space="preserve">I </w:t>
      </w:r>
      <w:r w:rsidR="00300C21">
        <w:t xml:space="preserve">estimate </w:t>
      </w:r>
      <w:r w:rsidRPr="00AB6C70">
        <w:t>a fair return to the Company</w:t>
      </w:r>
      <w:r w:rsidR="00A15099">
        <w:t>’s</w:t>
      </w:r>
      <w:r w:rsidRPr="00AB6C70">
        <w:t xml:space="preserve"> owners</w:t>
      </w:r>
      <w:r w:rsidR="00300C21">
        <w:t xml:space="preserve"> for their investment </w:t>
      </w:r>
      <w:r w:rsidR="00765495">
        <w:t xml:space="preserve">in </w:t>
      </w:r>
      <w:r w:rsidR="005E5C49">
        <w:t>PSE’s</w:t>
      </w:r>
      <w:r w:rsidR="00300C21">
        <w:t xml:space="preserve"> regulated utility operations.</w:t>
      </w:r>
      <w:r w:rsidRPr="00AB6C70">
        <w:t xml:space="preserve">  </w:t>
      </w:r>
      <w:r w:rsidR="00BB5149">
        <w:t>PSE’s witness</w:t>
      </w:r>
      <w:r w:rsidR="0018056D">
        <w:t xml:space="preserve">, Dr. Olson </w:t>
      </w:r>
      <w:r w:rsidR="00BB5149">
        <w:t xml:space="preserve">and I </w:t>
      </w:r>
      <w:r w:rsidR="00D91982">
        <w:t xml:space="preserve">both </w:t>
      </w:r>
      <w:r w:rsidR="00BB5149">
        <w:t xml:space="preserve">agree on this point, but </w:t>
      </w:r>
      <w:r w:rsidR="00AC6134">
        <w:t xml:space="preserve">we </w:t>
      </w:r>
      <w:r w:rsidR="00BB5149">
        <w:t xml:space="preserve">disagree on the companies </w:t>
      </w:r>
      <w:r w:rsidR="00AC6134">
        <w:t xml:space="preserve">that should be </w:t>
      </w:r>
      <w:r w:rsidR="00BB5149">
        <w:t>in the proxy group.</w:t>
      </w:r>
    </w:p>
    <w:p w:rsidR="005E5C49" w:rsidRDefault="005E5C49" w:rsidP="004510AD">
      <w:pPr>
        <w:tabs>
          <w:tab w:val="left" w:pos="1440"/>
          <w:tab w:val="right" w:leader="dot" w:pos="8640"/>
          <w:tab w:val="left" w:pos="9240"/>
        </w:tabs>
        <w:spacing w:line="480" w:lineRule="auto"/>
        <w:ind w:left="1440" w:hanging="720"/>
        <w:rPr>
          <w:b/>
        </w:rPr>
      </w:pPr>
    </w:p>
    <w:p w:rsidR="005D3B74" w:rsidRPr="00754502" w:rsidRDefault="00DC4947" w:rsidP="004510AD">
      <w:pPr>
        <w:tabs>
          <w:tab w:val="left" w:pos="1440"/>
          <w:tab w:val="right" w:leader="dot" w:pos="8640"/>
          <w:tab w:val="left" w:pos="9240"/>
        </w:tabs>
        <w:spacing w:line="480" w:lineRule="auto"/>
        <w:ind w:left="1440" w:hanging="720"/>
        <w:rPr>
          <w:b/>
        </w:rPr>
      </w:pPr>
      <w:r>
        <w:rPr>
          <w:b/>
        </w:rPr>
        <w:t>1</w:t>
      </w:r>
      <w:r w:rsidR="005D3B74">
        <w:rPr>
          <w:b/>
        </w:rPr>
        <w:t>.</w:t>
      </w:r>
      <w:r w:rsidR="005D3B74">
        <w:rPr>
          <w:b/>
        </w:rPr>
        <w:tab/>
      </w:r>
      <w:r w:rsidR="005D3B74" w:rsidRPr="00754502">
        <w:rPr>
          <w:b/>
        </w:rPr>
        <w:t>E</w:t>
      </w:r>
      <w:r w:rsidR="005D3B74">
        <w:rPr>
          <w:b/>
        </w:rPr>
        <w:t>conomic and Legal Principles</w:t>
      </w:r>
    </w:p>
    <w:p w:rsidR="005D3B74" w:rsidRDefault="005D3B74" w:rsidP="005D3B74">
      <w:pPr>
        <w:tabs>
          <w:tab w:val="left" w:pos="720"/>
          <w:tab w:val="left" w:pos="1440"/>
          <w:tab w:val="right" w:leader="dot" w:pos="8640"/>
          <w:tab w:val="left" w:pos="9240"/>
        </w:tabs>
        <w:spacing w:line="480" w:lineRule="auto"/>
        <w:ind w:left="720" w:hanging="720"/>
        <w:rPr>
          <w:b/>
        </w:rPr>
      </w:pPr>
    </w:p>
    <w:p w:rsidR="005D3B74" w:rsidRDefault="005D3B74" w:rsidP="005D3B74">
      <w:pPr>
        <w:tabs>
          <w:tab w:val="left" w:pos="720"/>
          <w:tab w:val="left" w:pos="1440"/>
          <w:tab w:val="right" w:leader="dot" w:pos="8640"/>
          <w:tab w:val="left" w:pos="9240"/>
        </w:tabs>
        <w:spacing w:line="480" w:lineRule="auto"/>
        <w:ind w:left="720" w:hanging="720"/>
        <w:rPr>
          <w:b/>
        </w:rPr>
      </w:pPr>
      <w:r>
        <w:rPr>
          <w:b/>
        </w:rPr>
        <w:t>Q.</w:t>
      </w:r>
      <w:r>
        <w:rPr>
          <w:b/>
        </w:rPr>
        <w:tab/>
        <w:t>What is the primary principle underlying the Commission</w:t>
      </w:r>
      <w:r w:rsidR="00A15099">
        <w:rPr>
          <w:b/>
        </w:rPr>
        <w:t>’s</w:t>
      </w:r>
      <w:r>
        <w:rPr>
          <w:b/>
        </w:rPr>
        <w:t xml:space="preserve"> determination of the fair rate of return for a regulated utility?</w:t>
      </w:r>
    </w:p>
    <w:p w:rsidR="005D3B74" w:rsidRDefault="005D3B74" w:rsidP="005D3B74">
      <w:pPr>
        <w:tabs>
          <w:tab w:val="left" w:pos="720"/>
          <w:tab w:val="left" w:pos="1440"/>
          <w:tab w:val="right" w:leader="dot" w:pos="8640"/>
          <w:tab w:val="left" w:pos="9240"/>
        </w:tabs>
        <w:spacing w:line="480" w:lineRule="auto"/>
        <w:ind w:left="720" w:hanging="720"/>
      </w:pPr>
      <w:r>
        <w:lastRenderedPageBreak/>
        <w:t>A.</w:t>
      </w:r>
      <w:r>
        <w:tab/>
        <w:t xml:space="preserve">Consistent with both economic and legal theory, the primary principle is for the Commission to </w:t>
      </w:r>
      <w:r w:rsidR="00F81B3D">
        <w:t>set rates that</w:t>
      </w:r>
      <w:r>
        <w:t xml:space="preserve"> provide a utility an opportunity to recover its costs, which include a fair return on and of the capital investors provide to fund the long-lived assets necessary to provide utility services</w:t>
      </w:r>
      <w:r w:rsidR="00EB307C">
        <w:t>.</w:t>
      </w:r>
      <w:r w:rsidR="00EB307C">
        <w:rPr>
          <w:rStyle w:val="FootnoteReference"/>
        </w:rPr>
        <w:footnoteReference w:id="3"/>
      </w:r>
      <w:r>
        <w:t xml:space="preserve">  </w:t>
      </w:r>
      <w:r>
        <w:tab/>
        <w:t xml:space="preserve">Traditionally, the Commission has implemented this principle using what is commonly referred to as the rate base - rate of return method.  Under this method, the Commission establishes </w:t>
      </w:r>
      <w:r w:rsidR="001D699B">
        <w:t xml:space="preserve">in a rate case </w:t>
      </w:r>
      <w:r>
        <w:t>the relationship between r</w:t>
      </w:r>
      <w:r w:rsidR="00AC6134">
        <w:t>evenue</w:t>
      </w:r>
      <w:r w:rsidR="00D91982">
        <w:t>s</w:t>
      </w:r>
      <w:r w:rsidR="00AC6134">
        <w:t xml:space="preserve">, expenses, and return on </w:t>
      </w:r>
      <w:r w:rsidR="00460926">
        <w:t>rate base</w:t>
      </w:r>
      <w:r w:rsidR="00D91982">
        <w:t>,</w:t>
      </w:r>
      <w:r w:rsidR="0018056D">
        <w:t xml:space="preserve"> and determines</w:t>
      </w:r>
      <w:r>
        <w:t xml:space="preserve"> rates to provide the utility an opportunity to recover a fair return on the assets, or rate base, the utility </w:t>
      </w:r>
      <w:r w:rsidR="00571495">
        <w:t>owns in order to</w:t>
      </w:r>
      <w:r>
        <w:t xml:space="preserve"> provide utility service</w:t>
      </w:r>
      <w:r w:rsidR="00571495">
        <w:t xml:space="preserve"> to the public</w:t>
      </w:r>
      <w:r>
        <w:t xml:space="preserve">.  This method presumes the utility is efficient and economically managed.  </w:t>
      </w:r>
    </w:p>
    <w:p w:rsidR="005D3B74" w:rsidRDefault="005D3B74" w:rsidP="005D3B74">
      <w:pPr>
        <w:tabs>
          <w:tab w:val="left" w:pos="720"/>
          <w:tab w:val="left" w:pos="1440"/>
          <w:tab w:val="right" w:leader="dot" w:pos="8640"/>
          <w:tab w:val="left" w:pos="9240"/>
        </w:tabs>
        <w:spacing w:line="480" w:lineRule="auto"/>
        <w:ind w:left="720" w:hanging="720"/>
      </w:pPr>
      <w:r>
        <w:tab/>
      </w:r>
      <w:r>
        <w:tab/>
        <w:t>This principle is reflected in two significant decisions by the United States Supreme Court</w:t>
      </w:r>
      <w:r>
        <w:rPr>
          <w:i/>
        </w:rPr>
        <w:t>.</w:t>
      </w:r>
      <w:r>
        <w:t xml:space="preserve">  The first decision is </w:t>
      </w:r>
      <w:r w:rsidRPr="009864AC">
        <w:rPr>
          <w:i/>
        </w:rPr>
        <w:t>Bluefield Water Works and Improvement Co. v. Public Serv</w:t>
      </w:r>
      <w:r>
        <w:rPr>
          <w:i/>
        </w:rPr>
        <w:t>ice</w:t>
      </w:r>
      <w:r w:rsidRPr="009864AC">
        <w:rPr>
          <w:i/>
        </w:rPr>
        <w:t xml:space="preserve"> Comm</w:t>
      </w:r>
      <w:r>
        <w:rPr>
          <w:i/>
        </w:rPr>
        <w:t>ission</w:t>
      </w:r>
      <w:r w:rsidRPr="009864AC">
        <w:rPr>
          <w:i/>
        </w:rPr>
        <w:t xml:space="preserve"> of West Virginia</w:t>
      </w:r>
      <w:r>
        <w:t xml:space="preserve">, 262 U.S. 679, 692 (1923).  This decision established the following </w:t>
      </w:r>
      <w:r w:rsidR="00B01E6B">
        <w:t>principles</w:t>
      </w:r>
      <w:r>
        <w:t xml:space="preserve"> to guide the determination of a fair rate of return in the rate setting process:  comparable earnings for comparable risks, maintaining financial integrity of the regulated firm, the ability of the firm to raise capital</w:t>
      </w:r>
      <w:r w:rsidR="00B01E6B">
        <w:t xml:space="preserve"> on reasonable terms,</w:t>
      </w:r>
      <w:r>
        <w:t xml:space="preserve"> and the expectation that the utility is operated efficiently.</w:t>
      </w:r>
    </w:p>
    <w:p w:rsidR="00D2408E" w:rsidRDefault="005D3B74" w:rsidP="005D3B74">
      <w:pPr>
        <w:tabs>
          <w:tab w:val="left" w:pos="720"/>
          <w:tab w:val="left" w:pos="1440"/>
          <w:tab w:val="left" w:pos="9240"/>
        </w:tabs>
        <w:spacing w:line="480" w:lineRule="auto"/>
        <w:ind w:left="720"/>
      </w:pPr>
      <w:r>
        <w:tab/>
        <w:t xml:space="preserve">The second decision is </w:t>
      </w:r>
      <w:r w:rsidRPr="009864AC">
        <w:rPr>
          <w:i/>
        </w:rPr>
        <w:t>Federal Power Comm</w:t>
      </w:r>
      <w:r>
        <w:rPr>
          <w:i/>
        </w:rPr>
        <w:t>ission</w:t>
      </w:r>
      <w:r w:rsidRPr="009864AC">
        <w:rPr>
          <w:i/>
        </w:rPr>
        <w:t xml:space="preserve"> v. Hope Natural Gas Co.</w:t>
      </w:r>
      <w:r>
        <w:t xml:space="preserve">, 320 U.S. 591, 603 (1942).  In that decision, the Court affirmed the </w:t>
      </w:r>
      <w:r w:rsidR="00B01E6B">
        <w:t>principles</w:t>
      </w:r>
      <w:r w:rsidR="00754CE2">
        <w:t xml:space="preserve"> of </w:t>
      </w:r>
      <w:r w:rsidRPr="00910212">
        <w:rPr>
          <w:i/>
        </w:rPr>
        <w:t>Bluefield</w:t>
      </w:r>
      <w:r>
        <w:rPr>
          <w:i/>
        </w:rPr>
        <w:t>,</w:t>
      </w:r>
      <w:r>
        <w:t xml:space="preserve"> and </w:t>
      </w:r>
      <w:r w:rsidR="00B01E6B">
        <w:t xml:space="preserve">further </w:t>
      </w:r>
      <w:r>
        <w:t>recognized that regulators should balance consumer and owner interests in determining a fair rate of return.</w:t>
      </w:r>
    </w:p>
    <w:p w:rsidR="00B51671" w:rsidRDefault="00B51671" w:rsidP="005D3B74">
      <w:pPr>
        <w:tabs>
          <w:tab w:val="left" w:pos="720"/>
          <w:tab w:val="left" w:pos="1440"/>
          <w:tab w:val="left" w:pos="9240"/>
        </w:tabs>
        <w:spacing w:line="480" w:lineRule="auto"/>
        <w:ind w:left="720" w:hanging="720"/>
        <w:rPr>
          <w:b/>
        </w:rPr>
      </w:pPr>
    </w:p>
    <w:p w:rsidR="005D3B74" w:rsidRDefault="00741869" w:rsidP="005D3B74">
      <w:pPr>
        <w:tabs>
          <w:tab w:val="left" w:pos="720"/>
          <w:tab w:val="left" w:pos="1440"/>
          <w:tab w:val="left" w:pos="9240"/>
        </w:tabs>
        <w:spacing w:line="480" w:lineRule="auto"/>
        <w:ind w:left="720" w:hanging="720"/>
      </w:pPr>
      <w:r>
        <w:rPr>
          <w:b/>
        </w:rPr>
        <w:t>Q.</w:t>
      </w:r>
      <w:r>
        <w:rPr>
          <w:b/>
        </w:rPr>
        <w:tab/>
        <w:t>How do these principles</w:t>
      </w:r>
      <w:r w:rsidR="00B01E6B">
        <w:rPr>
          <w:b/>
        </w:rPr>
        <w:t xml:space="preserve"> </w:t>
      </w:r>
      <w:r w:rsidR="005D3B74">
        <w:rPr>
          <w:b/>
        </w:rPr>
        <w:t>guide your analysis in this case?</w:t>
      </w:r>
      <w:r w:rsidR="005D3B74">
        <w:t xml:space="preserve"> </w:t>
      </w:r>
    </w:p>
    <w:p w:rsidR="005D3B74" w:rsidRDefault="005D3B74" w:rsidP="005D3B74">
      <w:pPr>
        <w:tabs>
          <w:tab w:val="left" w:pos="720"/>
          <w:tab w:val="left" w:pos="1440"/>
          <w:tab w:val="left" w:pos="9240"/>
        </w:tabs>
        <w:spacing w:line="480" w:lineRule="auto"/>
        <w:ind w:left="720" w:hanging="720"/>
      </w:pPr>
      <w:r>
        <w:t>A.</w:t>
      </w:r>
      <w:r>
        <w:tab/>
        <w:t xml:space="preserve">In applying these principles, I evaluate both </w:t>
      </w:r>
      <w:r w:rsidR="00571495">
        <w:t xml:space="preserve">current </w:t>
      </w:r>
      <w:r>
        <w:t xml:space="preserve">capital markets and </w:t>
      </w:r>
      <w:r w:rsidR="008F5602">
        <w:t xml:space="preserve">several important financial metrics from </w:t>
      </w:r>
      <w:r>
        <w:t xml:space="preserve">publicly available financial information of </w:t>
      </w:r>
      <w:r w:rsidR="00D25732">
        <w:t>the</w:t>
      </w:r>
      <w:r>
        <w:t xml:space="preserve"> </w:t>
      </w:r>
      <w:r w:rsidR="005E5C49">
        <w:t xml:space="preserve">companies in </w:t>
      </w:r>
      <w:r w:rsidR="00B01E6B">
        <w:t>a</w:t>
      </w:r>
      <w:r w:rsidR="005E5C49">
        <w:t xml:space="preserve"> proxy</w:t>
      </w:r>
      <w:r>
        <w:t xml:space="preserve"> group to estimate investor requirements for committing </w:t>
      </w:r>
      <w:r w:rsidR="00460926">
        <w:t>equity</w:t>
      </w:r>
      <w:r w:rsidRPr="004219BE">
        <w:t xml:space="preserve"> capital to </w:t>
      </w:r>
      <w:r w:rsidR="005E5C49">
        <w:t>PSE</w:t>
      </w:r>
      <w:r w:rsidRPr="004219BE">
        <w:t xml:space="preserve">.  </w:t>
      </w:r>
    </w:p>
    <w:p w:rsidR="005D3B74" w:rsidRDefault="005D3B74" w:rsidP="005D3B74">
      <w:pPr>
        <w:tabs>
          <w:tab w:val="left" w:pos="720"/>
          <w:tab w:val="left" w:pos="1440"/>
          <w:tab w:val="left" w:pos="9240"/>
        </w:tabs>
        <w:spacing w:line="480" w:lineRule="auto"/>
        <w:ind w:left="720" w:hanging="720"/>
      </w:pPr>
      <w:r>
        <w:tab/>
      </w:r>
      <w:r>
        <w:tab/>
        <w:t>For</w:t>
      </w:r>
      <w:r w:rsidR="00C024BA">
        <w:t xml:space="preserve"> determining the costs to </w:t>
      </w:r>
      <w:r w:rsidR="00D25732">
        <w:t>PSE</w:t>
      </w:r>
      <w:r w:rsidR="00B01E6B">
        <w:t>,</w:t>
      </w:r>
      <w:r w:rsidR="00C024BA">
        <w:t xml:space="preserve"> </w:t>
      </w:r>
      <w:r w:rsidR="00460926">
        <w:t xml:space="preserve">the cost of preferred equity and debt </w:t>
      </w:r>
      <w:r>
        <w:t>is relatively straightforward</w:t>
      </w:r>
      <w:r w:rsidR="00C024BA">
        <w:t xml:space="preserve"> based upon contractual commitments in the underlying securities</w:t>
      </w:r>
      <w:r>
        <w:t xml:space="preserve">.  However, </w:t>
      </w:r>
      <w:r w:rsidRPr="003E7FFE">
        <w:t>there is no precise formula for determining a rate of return on common equity (“ROE”).</w:t>
      </w:r>
      <w:r>
        <w:t xml:space="preserve">  Consequently, there is uncertainty inherent in the determination of the cost of common equity capital.  </w:t>
      </w:r>
    </w:p>
    <w:p w:rsidR="005D3B74" w:rsidRDefault="005D3B74" w:rsidP="005D3B74">
      <w:pPr>
        <w:tabs>
          <w:tab w:val="left" w:pos="720"/>
          <w:tab w:val="left" w:pos="1440"/>
          <w:tab w:val="left" w:pos="9240"/>
        </w:tabs>
        <w:spacing w:line="480" w:lineRule="auto"/>
        <w:ind w:left="720" w:hanging="720"/>
      </w:pPr>
    </w:p>
    <w:p w:rsidR="005D3B74" w:rsidRPr="00206B43" w:rsidRDefault="00DC4947" w:rsidP="004510AD">
      <w:pPr>
        <w:keepNext/>
        <w:tabs>
          <w:tab w:val="left" w:pos="1440"/>
          <w:tab w:val="left" w:pos="9240"/>
        </w:tabs>
        <w:spacing w:line="480" w:lineRule="auto"/>
        <w:ind w:left="1440" w:hanging="720"/>
        <w:rPr>
          <w:b/>
        </w:rPr>
      </w:pPr>
      <w:r>
        <w:rPr>
          <w:b/>
        </w:rPr>
        <w:t>2</w:t>
      </w:r>
      <w:r w:rsidR="005D3B74">
        <w:rPr>
          <w:b/>
        </w:rPr>
        <w:t>.</w:t>
      </w:r>
      <w:r w:rsidR="005D3B74">
        <w:rPr>
          <w:b/>
        </w:rPr>
        <w:tab/>
        <w:t>Methods</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 xml:space="preserve">What method for determining </w:t>
      </w:r>
      <w:r w:rsidR="00F846B9">
        <w:rPr>
          <w:b/>
        </w:rPr>
        <w:t xml:space="preserve">a fair </w:t>
      </w:r>
      <w:r>
        <w:rPr>
          <w:b/>
        </w:rPr>
        <w:t xml:space="preserve">ROE </w:t>
      </w:r>
      <w:r w:rsidR="00F846B9">
        <w:rPr>
          <w:b/>
        </w:rPr>
        <w:t>has</w:t>
      </w:r>
      <w:r>
        <w:rPr>
          <w:b/>
        </w:rPr>
        <w:t xml:space="preserve"> the Commission traditionally </w:t>
      </w:r>
      <w:r w:rsidR="00F846B9">
        <w:rPr>
          <w:b/>
        </w:rPr>
        <w:t>relied on in a rate case</w:t>
      </w:r>
      <w:r>
        <w:rPr>
          <w:b/>
        </w:rPr>
        <w:t>?</w:t>
      </w:r>
    </w:p>
    <w:p w:rsidR="005D5187" w:rsidRDefault="005D3B74" w:rsidP="005D3B74">
      <w:pPr>
        <w:tabs>
          <w:tab w:val="left" w:pos="720"/>
          <w:tab w:val="left" w:pos="1440"/>
          <w:tab w:val="left" w:pos="9240"/>
        </w:tabs>
        <w:spacing w:line="480" w:lineRule="auto"/>
        <w:ind w:left="720" w:hanging="720"/>
      </w:pPr>
      <w:r w:rsidRPr="004D4C73">
        <w:t>A.</w:t>
      </w:r>
      <w:r w:rsidRPr="004D4C73">
        <w:tab/>
      </w:r>
      <w:r>
        <w:t xml:space="preserve">Based on my </w:t>
      </w:r>
      <w:r w:rsidRPr="004219BE">
        <w:t>review</w:t>
      </w:r>
      <w:r>
        <w:t xml:space="preserve"> of</w:t>
      </w:r>
      <w:r w:rsidRPr="004219BE">
        <w:t xml:space="preserve"> the Commission</w:t>
      </w:r>
      <w:r w:rsidR="008746EF">
        <w:t>’</w:t>
      </w:r>
      <w:r w:rsidR="00A15099">
        <w:t>s</w:t>
      </w:r>
      <w:r w:rsidRPr="004219BE">
        <w:t xml:space="preserve"> orders on rate of return over the last forty </w:t>
      </w:r>
      <w:r w:rsidR="005E5C49">
        <w:t xml:space="preserve">plus </w:t>
      </w:r>
      <w:r w:rsidRPr="004219BE">
        <w:t>years</w:t>
      </w:r>
      <w:r>
        <w:t>, t</w:t>
      </w:r>
      <w:r w:rsidRPr="004219BE">
        <w:t xml:space="preserve">he Commission </w:t>
      </w:r>
      <w:r w:rsidR="005E5C49">
        <w:t xml:space="preserve">has </w:t>
      </w:r>
      <w:r w:rsidRPr="004219BE">
        <w:t xml:space="preserve">consistently relied upon </w:t>
      </w:r>
      <w:r>
        <w:t xml:space="preserve">the Discounted Cash Flow (“DCF”) method </w:t>
      </w:r>
      <w:r w:rsidR="0018056D">
        <w:t>to determine</w:t>
      </w:r>
      <w:r w:rsidRPr="004219BE">
        <w:t xml:space="preserve"> </w:t>
      </w:r>
      <w:r w:rsidR="005E5C49">
        <w:t xml:space="preserve">a fair </w:t>
      </w:r>
      <w:r w:rsidRPr="004219BE">
        <w:t>ROE</w:t>
      </w:r>
      <w:r w:rsidR="005E5C49">
        <w:t xml:space="preserve"> for owners of utility property</w:t>
      </w:r>
      <w:r>
        <w:t xml:space="preserve">, though in more recent cases the Commission has considered the results of other methods as a </w:t>
      </w:r>
      <w:r w:rsidR="00741869">
        <w:t>“</w:t>
      </w:r>
      <w:r>
        <w:t>check</w:t>
      </w:r>
      <w:r w:rsidRPr="004219BE">
        <w:t>.</w:t>
      </w:r>
      <w:r w:rsidR="00741869">
        <w:t>”</w:t>
      </w:r>
      <w:r w:rsidR="00EB307C">
        <w:rPr>
          <w:rStyle w:val="FootnoteReference"/>
        </w:rPr>
        <w:footnoteReference w:id="4"/>
      </w:r>
      <w:r w:rsidRPr="004219BE">
        <w:t xml:space="preserve"> </w:t>
      </w:r>
      <w:r w:rsidR="005D5187">
        <w:t xml:space="preserve"> </w:t>
      </w:r>
    </w:p>
    <w:p w:rsidR="001D699B" w:rsidRDefault="001D699B"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lastRenderedPageBreak/>
        <w:t>Q.</w:t>
      </w:r>
      <w:r>
        <w:rPr>
          <w:b/>
        </w:rPr>
        <w:tab/>
        <w:t>Should the Commission use the DCF method in this case?</w:t>
      </w:r>
    </w:p>
    <w:p w:rsidR="005D3B74" w:rsidRDefault="005D3B74" w:rsidP="005D3B74">
      <w:pPr>
        <w:tabs>
          <w:tab w:val="left" w:pos="720"/>
          <w:tab w:val="left" w:pos="1440"/>
          <w:tab w:val="left" w:pos="9240"/>
        </w:tabs>
        <w:spacing w:line="480" w:lineRule="auto"/>
        <w:ind w:left="720" w:hanging="720"/>
      </w:pPr>
      <w:r w:rsidRPr="00C00AE6">
        <w:t>A.</w:t>
      </w:r>
      <w:r w:rsidRPr="00C00AE6">
        <w:tab/>
        <w:t xml:space="preserve">Yes.  </w:t>
      </w:r>
      <w:r w:rsidRPr="004219BE">
        <w:t>I strongly support the Commission</w:t>
      </w:r>
      <w:r w:rsidR="00A15099">
        <w:t>’s</w:t>
      </w:r>
      <w:r w:rsidRPr="004219BE">
        <w:t xml:space="preserve"> policy </w:t>
      </w:r>
      <w:r>
        <w:t xml:space="preserve">and practice </w:t>
      </w:r>
      <w:r w:rsidRPr="004219BE">
        <w:t xml:space="preserve">to use the DCF </w:t>
      </w:r>
      <w:r>
        <w:t xml:space="preserve">analysis </w:t>
      </w:r>
      <w:r w:rsidRPr="004219BE">
        <w:t xml:space="preserve">as the primary </w:t>
      </w:r>
      <w:r w:rsidR="00741869">
        <w:t>basis</w:t>
      </w:r>
      <w:r w:rsidRPr="004219BE">
        <w:t xml:space="preserve"> to determine </w:t>
      </w:r>
      <w:r w:rsidR="005E5C49">
        <w:t>a</w:t>
      </w:r>
      <w:r w:rsidRPr="004219BE">
        <w:t xml:space="preserve"> </w:t>
      </w:r>
      <w:r w:rsidR="005E5C49">
        <w:t>fair return on equity</w:t>
      </w:r>
      <w:r w:rsidRPr="004219BE">
        <w:t xml:space="preserve"> for utility companies</w:t>
      </w:r>
      <w:r>
        <w:t xml:space="preserve"> subject to </w:t>
      </w:r>
      <w:r w:rsidR="00DA56AB">
        <w:t>its</w:t>
      </w:r>
      <w:r>
        <w:t xml:space="preserve"> jurisdiction</w:t>
      </w:r>
      <w:r w:rsidRPr="004219BE">
        <w:t>.</w:t>
      </w:r>
      <w:r>
        <w:t xml:space="preserve"> </w:t>
      </w:r>
      <w:r w:rsidR="005E5C49">
        <w:t xml:space="preserve"> </w:t>
      </w:r>
      <w:r>
        <w:t xml:space="preserve">The </w:t>
      </w:r>
      <w:r w:rsidRPr="00412257">
        <w:t xml:space="preserve">DCF </w:t>
      </w:r>
      <w:r>
        <w:t xml:space="preserve">method </w:t>
      </w:r>
      <w:r w:rsidRPr="00412257">
        <w:t>provides the most reliable indicator of investor</w:t>
      </w:r>
      <w:r w:rsidR="00A15099">
        <w:t>s</w:t>
      </w:r>
      <w:r w:rsidR="00D91982">
        <w:t>’</w:t>
      </w:r>
      <w:r w:rsidRPr="00412257">
        <w:t xml:space="preserve"> rate of return requirements consistent with the legal principles I </w:t>
      </w:r>
      <w:r>
        <w:t xml:space="preserve">just </w:t>
      </w:r>
      <w:r w:rsidRPr="00412257">
        <w:t>discussed.</w:t>
      </w:r>
      <w:r>
        <w:t xml:space="preserve">  Equity investors are entitled to the firm</w:t>
      </w:r>
      <w:r w:rsidR="00460926">
        <w:t>’</w:t>
      </w:r>
      <w:r w:rsidR="00A15099">
        <w:t>s</w:t>
      </w:r>
      <w:r>
        <w:t xml:space="preserve"> profits.  The DCF model reflects this </w:t>
      </w:r>
      <w:r w:rsidR="00B01E6B">
        <w:t>concept</w:t>
      </w:r>
      <w:r>
        <w:t xml:space="preserve"> by stating that the price an investor will pay for a share of stock represents the expected cash flows from ownership discounted to the present value.  The discount rate is the fair rate of return</w:t>
      </w:r>
      <w:r w:rsidR="00571495">
        <w:t xml:space="preserve"> or</w:t>
      </w:r>
      <w:r>
        <w:t xml:space="preserve"> </w:t>
      </w:r>
      <w:r w:rsidR="003D75B3">
        <w:t xml:space="preserve">the cost of equity capital.   </w:t>
      </w:r>
      <w:r w:rsidR="001D699B">
        <w:t xml:space="preserve">The price of </w:t>
      </w:r>
      <w:r w:rsidR="00857B68">
        <w:t xml:space="preserve">a share of </w:t>
      </w:r>
      <w:r w:rsidR="001D699B">
        <w:t xml:space="preserve">common </w:t>
      </w:r>
      <w:r w:rsidR="00857B68">
        <w:t xml:space="preserve">stock </w:t>
      </w:r>
      <w:r w:rsidR="001D699B">
        <w:t>is the present value of those cash flows.</w:t>
      </w:r>
      <w:r w:rsidR="007D38C5">
        <w:t xml:space="preserve">  Therefore, the cost of equity is estimated by examining the prices of common stock trading in highly competitive capital markets.</w:t>
      </w:r>
    </w:p>
    <w:p w:rsidR="005D5187" w:rsidRDefault="005D5187"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What methods do you use to determine the cost of debt</w:t>
      </w:r>
      <w:r w:rsidR="001D7AD7">
        <w:rPr>
          <w:b/>
        </w:rPr>
        <w:t xml:space="preserve"> and preferred equity</w:t>
      </w:r>
      <w:r>
        <w:rPr>
          <w:b/>
        </w:rPr>
        <w:t>?</w:t>
      </w:r>
    </w:p>
    <w:p w:rsidR="001C359E" w:rsidRDefault="005D3B74" w:rsidP="005D3B74">
      <w:pPr>
        <w:tabs>
          <w:tab w:val="left" w:pos="720"/>
          <w:tab w:val="left" w:pos="1440"/>
          <w:tab w:val="left" w:pos="9240"/>
        </w:tabs>
        <w:spacing w:line="480" w:lineRule="auto"/>
        <w:ind w:left="720" w:hanging="720"/>
      </w:pPr>
      <w:r>
        <w:t>A.</w:t>
      </w:r>
      <w:r>
        <w:tab/>
        <w:t xml:space="preserve">The cost of debt calculation is based on the </w:t>
      </w:r>
      <w:r w:rsidR="00D60B14">
        <w:t xml:space="preserve">contractual </w:t>
      </w:r>
      <w:r>
        <w:t xml:space="preserve">terms and conditions of </w:t>
      </w:r>
      <w:r w:rsidR="00D60B14">
        <w:t xml:space="preserve">outstanding </w:t>
      </w:r>
      <w:r>
        <w:t xml:space="preserve">debt issuances.  Moreover, the cost of debt includes an evaluation of the actual debt service requirements, including expenses, and then adjusts for known and measurable changes in the rate year.  </w:t>
      </w:r>
      <w:r w:rsidR="00754CE2">
        <w:t>A</w:t>
      </w:r>
      <w:r>
        <w:t xml:space="preserve"> proper </w:t>
      </w:r>
      <w:r w:rsidRPr="00300C21">
        <w:rPr>
          <w:i/>
        </w:rPr>
        <w:t>pro forma</w:t>
      </w:r>
      <w:r>
        <w:t xml:space="preserve"> cost of debt calculation is necessary to protect both consumer and utility interests</w:t>
      </w:r>
      <w:r w:rsidR="00771F57">
        <w:t xml:space="preserve"> in order to accurately reflect the cost of debt in the rate year</w:t>
      </w:r>
      <w:r>
        <w:t xml:space="preserve">.  </w:t>
      </w:r>
      <w:r w:rsidR="00771F57">
        <w:t>This concept of “financial attrition</w:t>
      </w:r>
      <w:r w:rsidR="004619A3">
        <w:t>”</w:t>
      </w:r>
      <w:r w:rsidR="00490CAC">
        <w:rPr>
          <w:rStyle w:val="FootnoteReference"/>
        </w:rPr>
        <w:footnoteReference w:id="5"/>
      </w:r>
      <w:r w:rsidR="00771F57">
        <w:t xml:space="preserve"> </w:t>
      </w:r>
      <w:r w:rsidR="0018056D">
        <w:t xml:space="preserve">and using </w:t>
      </w:r>
      <w:r w:rsidR="001D699B">
        <w:t xml:space="preserve">a </w:t>
      </w:r>
      <w:r w:rsidR="0018056D">
        <w:t xml:space="preserve">rate year cost of debt, including estimates of future tranches, </w:t>
      </w:r>
      <w:r w:rsidR="00771F57">
        <w:t xml:space="preserve">was first accepted by the Commission in 1981 for Puget Sound Power </w:t>
      </w:r>
      <w:r w:rsidR="00754CE2">
        <w:t xml:space="preserve">&amp; </w:t>
      </w:r>
      <w:r w:rsidR="00771F57">
        <w:t>Light Company</w:t>
      </w:r>
      <w:r w:rsidR="007D38C5">
        <w:t xml:space="preserve"> (“Puget”)</w:t>
      </w:r>
      <w:r w:rsidR="00771F57">
        <w:t xml:space="preserve"> to </w:t>
      </w:r>
      <w:r w:rsidR="00771F57">
        <w:lastRenderedPageBreak/>
        <w:t>capture the effects of inflation on rate year interest costs.</w:t>
      </w:r>
      <w:r w:rsidR="00EB307C">
        <w:rPr>
          <w:rStyle w:val="FootnoteReference"/>
        </w:rPr>
        <w:footnoteReference w:id="6"/>
      </w:r>
      <w:r w:rsidR="00771F57">
        <w:t xml:space="preserve">  In addition</w:t>
      </w:r>
      <w:r>
        <w:t xml:space="preserve">, </w:t>
      </w:r>
      <w:r w:rsidRPr="004219BE">
        <w:t xml:space="preserve">if </w:t>
      </w:r>
      <w:r w:rsidR="00754CE2">
        <w:t>a</w:t>
      </w:r>
      <w:r w:rsidRPr="004219BE">
        <w:t xml:space="preserve"> </w:t>
      </w:r>
      <w:r w:rsidR="00754CE2">
        <w:t>c</w:t>
      </w:r>
      <w:r w:rsidRPr="004219BE">
        <w:t>ompany is not capitalized efficiently</w:t>
      </w:r>
      <w:r>
        <w:t>, the proper cost of debt should be examined</w:t>
      </w:r>
      <w:r w:rsidR="001C359E">
        <w:t xml:space="preserve"> to ensure ratepayers are not adversely affected by a capital structure that is not safe and economical</w:t>
      </w:r>
      <w:r>
        <w:t xml:space="preserve">. </w:t>
      </w:r>
      <w:r w:rsidR="001D7AD7">
        <w:t xml:space="preserve"> </w:t>
      </w:r>
    </w:p>
    <w:p w:rsidR="005D3B74" w:rsidRDefault="001C359E" w:rsidP="005D3B74">
      <w:pPr>
        <w:tabs>
          <w:tab w:val="left" w:pos="720"/>
          <w:tab w:val="left" w:pos="1440"/>
          <w:tab w:val="left" w:pos="9240"/>
        </w:tabs>
        <w:spacing w:line="480" w:lineRule="auto"/>
        <w:ind w:left="720" w:hanging="720"/>
      </w:pPr>
      <w:r>
        <w:tab/>
      </w:r>
      <w:r>
        <w:tab/>
      </w:r>
      <w:r w:rsidR="001D7AD7">
        <w:t>PSE no longer has any preferred equity in its capital structure</w:t>
      </w:r>
      <w:r w:rsidR="00DC4947">
        <w:t xml:space="preserve">, so </w:t>
      </w:r>
      <w:r w:rsidR="00771F57">
        <w:t xml:space="preserve">there is no calculation for the </w:t>
      </w:r>
      <w:r w:rsidR="005C3F38">
        <w:t>cost of preferred equity</w:t>
      </w:r>
      <w:r w:rsidR="001D7AD7">
        <w:t xml:space="preserve">.  </w:t>
      </w:r>
    </w:p>
    <w:p w:rsidR="005D3B74" w:rsidRDefault="005D3B74" w:rsidP="00C024BA">
      <w:pPr>
        <w:tabs>
          <w:tab w:val="left" w:pos="720"/>
          <w:tab w:val="left" w:pos="1440"/>
          <w:tab w:val="left" w:pos="9240"/>
        </w:tabs>
        <w:spacing w:line="480" w:lineRule="auto"/>
        <w:ind w:left="720" w:hanging="720"/>
        <w:rPr>
          <w:b/>
        </w:rPr>
      </w:pPr>
    </w:p>
    <w:p w:rsidR="005D3B74" w:rsidRDefault="00DC4947" w:rsidP="004510AD">
      <w:pPr>
        <w:keepNext/>
        <w:keepLines/>
        <w:spacing w:line="480" w:lineRule="auto"/>
        <w:ind w:left="720"/>
        <w:rPr>
          <w:b/>
        </w:rPr>
      </w:pPr>
      <w:r>
        <w:rPr>
          <w:b/>
        </w:rPr>
        <w:t>3</w:t>
      </w:r>
      <w:r w:rsidR="005D3B74">
        <w:rPr>
          <w:b/>
        </w:rPr>
        <w:t>.</w:t>
      </w:r>
      <w:r w:rsidR="005D3B74">
        <w:rPr>
          <w:b/>
        </w:rPr>
        <w:tab/>
      </w:r>
      <w:r w:rsidR="005D3B74" w:rsidRPr="000C7034">
        <w:rPr>
          <w:b/>
        </w:rPr>
        <w:t>General Economic Conditions</w:t>
      </w:r>
    </w:p>
    <w:p w:rsidR="005D3B74" w:rsidRDefault="005D3B74" w:rsidP="005D3B74">
      <w:pPr>
        <w:keepNext/>
        <w:keepLines/>
        <w:spacing w:line="480" w:lineRule="auto"/>
        <w:ind w:firstLine="720"/>
        <w:rPr>
          <w:b/>
          <w:u w:val="single"/>
        </w:rPr>
      </w:pPr>
    </w:p>
    <w:p w:rsidR="005D3B74" w:rsidRPr="00B90C66" w:rsidRDefault="005D3B74" w:rsidP="005D3B74">
      <w:pPr>
        <w:pStyle w:val="TestimonyQuestion"/>
        <w:spacing w:before="0" w:after="0" w:line="480" w:lineRule="auto"/>
        <w:jc w:val="left"/>
      </w:pPr>
      <w:r w:rsidRPr="00B90C66">
        <w:t>Q.</w:t>
      </w:r>
      <w:r w:rsidRPr="00B90C66">
        <w:tab/>
      </w:r>
      <w:r w:rsidRPr="00B90C66">
        <w:rPr>
          <w:caps w:val="0"/>
        </w:rPr>
        <w:t xml:space="preserve">What economic and financial </w:t>
      </w:r>
      <w:r>
        <w:rPr>
          <w:caps w:val="0"/>
        </w:rPr>
        <w:t xml:space="preserve">conditions are relevant to your </w:t>
      </w:r>
      <w:r w:rsidRPr="00B90C66">
        <w:rPr>
          <w:caps w:val="0"/>
        </w:rPr>
        <w:t>analys</w:t>
      </w:r>
      <w:r w:rsidR="00754CE2">
        <w:rPr>
          <w:caps w:val="0"/>
        </w:rPr>
        <w:t>i</w:t>
      </w:r>
      <w:r w:rsidRPr="00B90C66">
        <w:rPr>
          <w:caps w:val="0"/>
        </w:rPr>
        <w:t>s</w:t>
      </w:r>
      <w:r>
        <w:rPr>
          <w:caps w:val="0"/>
        </w:rPr>
        <w:t xml:space="preserve"> of </w:t>
      </w:r>
      <w:r w:rsidR="00D25732">
        <w:rPr>
          <w:caps w:val="0"/>
        </w:rPr>
        <w:t>PSE</w:t>
      </w:r>
      <w:r w:rsidR="00B01E6B">
        <w:rPr>
          <w:caps w:val="0"/>
        </w:rPr>
        <w:t>’s</w:t>
      </w:r>
      <w:r>
        <w:rPr>
          <w:caps w:val="0"/>
        </w:rPr>
        <w:t xml:space="preserve"> cost of capital</w:t>
      </w:r>
      <w:r w:rsidRPr="00B90C66">
        <w:rPr>
          <w:caps w:val="0"/>
        </w:rPr>
        <w:t>?</w:t>
      </w:r>
    </w:p>
    <w:p w:rsidR="005D3B74" w:rsidRDefault="005D3B74" w:rsidP="005D3B74">
      <w:pPr>
        <w:pStyle w:val="TestimonyAnswer"/>
        <w:tabs>
          <w:tab w:val="left" w:pos="1440"/>
        </w:tabs>
        <w:spacing w:after="0" w:line="480" w:lineRule="auto"/>
        <w:jc w:val="left"/>
      </w:pPr>
      <w:r>
        <w:t>A.</w:t>
      </w:r>
      <w:r>
        <w:tab/>
        <w:t>In general, I rely upon current e</w:t>
      </w:r>
      <w:r w:rsidRPr="00B90C66">
        <w:t xml:space="preserve">conomic </w:t>
      </w:r>
      <w:r>
        <w:t>and financial conditions</w:t>
      </w:r>
      <w:r w:rsidR="000658A4">
        <w:t xml:space="preserve">. </w:t>
      </w:r>
      <w:r>
        <w:t xml:space="preserve"> </w:t>
      </w:r>
      <w:r w:rsidR="000658A4">
        <w:t xml:space="preserve">Current </w:t>
      </w:r>
      <w:r>
        <w:t>conditions shape investor expectations and are reflected in current security prices.  This is important because of what is known as the “efficient market” hypothesis, which states that current security prices reflect all that is known about any particular security.  Indeed, most prices for securities reflect what investors currently expect and know about a particular company.</w:t>
      </w:r>
      <w:r w:rsidR="005C3F38">
        <w:t xml:space="preserve"> </w:t>
      </w:r>
      <w:r w:rsidR="00ED5490">
        <w:t xml:space="preserve"> </w:t>
      </w:r>
    </w:p>
    <w:p w:rsidR="005D3B74" w:rsidRDefault="005D3B74" w:rsidP="005D3B74">
      <w:pPr>
        <w:pStyle w:val="TestimonyAnswer"/>
        <w:tabs>
          <w:tab w:val="left" w:pos="1440"/>
        </w:tabs>
        <w:spacing w:after="0" w:line="480" w:lineRule="auto"/>
        <w:jc w:val="left"/>
      </w:pPr>
      <w:r>
        <w:tab/>
      </w:r>
      <w:r>
        <w:tab/>
        <w:t xml:space="preserve">In addition, my analysis is influenced by the general observation that the cost of capital has declined significantly </w:t>
      </w:r>
      <w:r w:rsidR="008217D7">
        <w:t xml:space="preserve">in </w:t>
      </w:r>
      <w:r>
        <w:t>the decade following the inflationary period of the 1980</w:t>
      </w:r>
      <w:r w:rsidR="005113F9">
        <w:t>’</w:t>
      </w:r>
      <w:r w:rsidR="00A15099">
        <w:t>s</w:t>
      </w:r>
      <w:r>
        <w:t xml:space="preserve">.  Cost of capital declined again, although more modestly, </w:t>
      </w:r>
      <w:r w:rsidR="005113F9">
        <w:t xml:space="preserve">after </w:t>
      </w:r>
      <w:r>
        <w:t>2000, including a decline after the fallout</w:t>
      </w:r>
      <w:r w:rsidR="0018056D">
        <w:t xml:space="preserve"> from the 2008 financial crisis.</w:t>
      </w:r>
      <w:r>
        <w:t xml:space="preserve">  </w:t>
      </w:r>
      <w:r w:rsidR="00F34D23">
        <w:t>I would</w:t>
      </w:r>
      <w:r>
        <w:t xml:space="preserve"> also note, particularly in the last decade, </w:t>
      </w:r>
      <w:r w:rsidR="00460926">
        <w:t xml:space="preserve">the impact of </w:t>
      </w:r>
      <w:r>
        <w:t xml:space="preserve">technology on the cost of capital.  Technology now enables capital to flow freely between different investment </w:t>
      </w:r>
      <w:r>
        <w:lastRenderedPageBreak/>
        <w:t xml:space="preserve">opportunities in global markets at little cost.  The net effect of this efficiency gain has been to further reduce the cost of capital.  </w:t>
      </w:r>
      <w:r w:rsidR="004619A3">
        <w:t xml:space="preserve">In this regard, technology has also fully integrated equity markets around the world, which has </w:t>
      </w:r>
      <w:r w:rsidR="00614534">
        <w:t>contributed to the lower</w:t>
      </w:r>
      <w:r w:rsidR="004619A3">
        <w:t xml:space="preserve"> cost of capital</w:t>
      </w:r>
      <w:r w:rsidR="00614534">
        <w:t xml:space="preserve"> for all firms.</w:t>
      </w:r>
    </w:p>
    <w:p w:rsidR="00F34D23" w:rsidRDefault="008D05EA" w:rsidP="005D3B74">
      <w:pPr>
        <w:pStyle w:val="TestimonyAnswer"/>
        <w:tabs>
          <w:tab w:val="left" w:pos="1440"/>
        </w:tabs>
        <w:spacing w:after="0" w:line="480" w:lineRule="auto"/>
        <w:jc w:val="left"/>
      </w:pPr>
      <w:r>
        <w:tab/>
      </w:r>
      <w:r>
        <w:tab/>
        <w:t>Finally, capital markets have similarly recovered from the financial crisis that began in the third quarter 2008</w:t>
      </w:r>
      <w:r w:rsidR="005C3F38">
        <w:t xml:space="preserve"> despite recent events and renewed volatility in the market during the second quarter of 2010</w:t>
      </w:r>
      <w:r>
        <w:t xml:space="preserve">. </w:t>
      </w:r>
      <w:r w:rsidR="00F34D23">
        <w:t xml:space="preserve"> In a November 4, 2011 </w:t>
      </w:r>
      <w:r w:rsidR="00DC4947">
        <w:t xml:space="preserve">summary report for the electric industry, </w:t>
      </w:r>
      <w:r w:rsidR="00F34D23" w:rsidRPr="00F34D23">
        <w:rPr>
          <w:i/>
        </w:rPr>
        <w:t>Value Line</w:t>
      </w:r>
      <w:r w:rsidR="00F34D23">
        <w:t xml:space="preserve"> noted that the electric industry sector has outperformed the broader market averages during thi</w:t>
      </w:r>
      <w:r w:rsidR="009F495B">
        <w:t>s recent market volatility.</w:t>
      </w:r>
      <w:r w:rsidR="00DC4947">
        <w:t xml:space="preserve">  </w:t>
      </w:r>
      <w:r w:rsidR="00F34D23" w:rsidRPr="00F34D23">
        <w:rPr>
          <w:i/>
        </w:rPr>
        <w:t>Value Line</w:t>
      </w:r>
      <w:r w:rsidR="00F34D23">
        <w:t xml:space="preserve"> </w:t>
      </w:r>
      <w:r w:rsidR="00857B68">
        <w:t xml:space="preserve">reports </w:t>
      </w:r>
      <w:r w:rsidR="00DC4947">
        <w:t xml:space="preserve">that the </w:t>
      </w:r>
      <w:r w:rsidR="00F34D23">
        <w:t xml:space="preserve">equity sector </w:t>
      </w:r>
      <w:r w:rsidR="00B849A9">
        <w:t>wa</w:t>
      </w:r>
      <w:r w:rsidR="00F34D23">
        <w:t>s down 12 percent</w:t>
      </w:r>
      <w:r w:rsidR="00B849A9" w:rsidRPr="00B849A9">
        <w:t xml:space="preserve"> </w:t>
      </w:r>
      <w:r w:rsidR="00B849A9">
        <w:t>in 2011</w:t>
      </w:r>
      <w:r w:rsidR="00F34D23">
        <w:t xml:space="preserve">, but the utility </w:t>
      </w:r>
      <w:r w:rsidR="009F495B">
        <w:t>sector</w:t>
      </w:r>
      <w:r w:rsidR="001C01B8">
        <w:t xml:space="preserve"> </w:t>
      </w:r>
      <w:r w:rsidR="00F34D23">
        <w:t>was up 2</w:t>
      </w:r>
      <w:r w:rsidR="00DC4947">
        <w:t xml:space="preserve"> </w:t>
      </w:r>
      <w:r w:rsidR="00F34D23">
        <w:t>percent</w:t>
      </w:r>
      <w:r w:rsidR="00B96838">
        <w:t xml:space="preserve"> </w:t>
      </w:r>
      <w:r w:rsidR="00B849A9">
        <w:t>that same year.</w:t>
      </w:r>
      <w:r w:rsidR="00F34D23">
        <w:t xml:space="preserve">  </w:t>
      </w:r>
    </w:p>
    <w:p w:rsidR="0055148A" w:rsidRDefault="001C01B8" w:rsidP="005D3B74">
      <w:pPr>
        <w:pStyle w:val="TestimonyAnswer"/>
        <w:tabs>
          <w:tab w:val="left" w:pos="1440"/>
        </w:tabs>
        <w:spacing w:after="0" w:line="480" w:lineRule="auto"/>
        <w:jc w:val="left"/>
      </w:pPr>
      <w:r>
        <w:tab/>
      </w:r>
      <w:r>
        <w:tab/>
        <w:t xml:space="preserve">The </w:t>
      </w:r>
      <w:r w:rsidR="008F5602">
        <w:t>performance of utility stocks as</w:t>
      </w:r>
      <w:r w:rsidR="009F495B">
        <w:t xml:space="preserve"> reported</w:t>
      </w:r>
      <w:r>
        <w:t xml:space="preserve"> </w:t>
      </w:r>
      <w:r w:rsidR="00F34D23">
        <w:t xml:space="preserve">by </w:t>
      </w:r>
      <w:r w:rsidR="00F34D23" w:rsidRPr="001C01B8">
        <w:rPr>
          <w:i/>
        </w:rPr>
        <w:t>Value Line</w:t>
      </w:r>
      <w:r w:rsidR="00F34D23">
        <w:t xml:space="preserve"> </w:t>
      </w:r>
      <w:r w:rsidR="009F495B">
        <w:t>are</w:t>
      </w:r>
      <w:r w:rsidR="00F34D23">
        <w:t xml:space="preserve"> consistent with </w:t>
      </w:r>
      <w:r w:rsidR="009F495B">
        <w:t xml:space="preserve">conclusions </w:t>
      </w:r>
      <w:r w:rsidR="00F34D23">
        <w:t xml:space="preserve">reached by </w:t>
      </w:r>
      <w:r w:rsidR="008D05EA">
        <w:t xml:space="preserve">the Commission </w:t>
      </w:r>
      <w:r w:rsidR="00F34D23">
        <w:t>in the last</w:t>
      </w:r>
      <w:r w:rsidR="008D05EA">
        <w:t xml:space="preserve"> two </w:t>
      </w:r>
      <w:r w:rsidR="005113F9">
        <w:t xml:space="preserve">general rate case </w:t>
      </w:r>
      <w:r w:rsidR="008D05EA">
        <w:t xml:space="preserve">orders since </w:t>
      </w:r>
      <w:r w:rsidR="009F495B">
        <w:t>the 2008/2009 financial</w:t>
      </w:r>
      <w:r w:rsidR="008D05EA">
        <w:t xml:space="preserve"> crisis where cost of capital </w:t>
      </w:r>
      <w:r w:rsidR="009F495B">
        <w:t>was</w:t>
      </w:r>
      <w:r w:rsidR="008D05EA">
        <w:t xml:space="preserve"> a contested issue.  In each instance</w:t>
      </w:r>
      <w:r w:rsidR="005113F9">
        <w:t>,</w:t>
      </w:r>
      <w:r w:rsidR="008D05EA">
        <w:t xml:space="preserve"> </w:t>
      </w:r>
      <w:r w:rsidR="005E5C49">
        <w:t xml:space="preserve">the Commission found </w:t>
      </w:r>
      <w:r w:rsidR="008D05EA">
        <w:t xml:space="preserve">that the fallout from the financial turmoil of </w:t>
      </w:r>
      <w:r w:rsidR="005E5C49">
        <w:t>2008/2009</w:t>
      </w:r>
      <w:r w:rsidR="008D05EA">
        <w:t xml:space="preserve"> is over</w:t>
      </w:r>
      <w:r w:rsidR="005E5C49">
        <w:t>,</w:t>
      </w:r>
      <w:r w:rsidR="008D05EA">
        <w:t xml:space="preserve"> and capital markets are exhibiting normal patterns of risk/return relationships</w:t>
      </w:r>
      <w:r w:rsidR="00AD0272" w:rsidRPr="00690BE5">
        <w:rPr>
          <w:i/>
        </w:rPr>
        <w:t>.</w:t>
      </w:r>
      <w:r w:rsidR="005C3F38">
        <w:t xml:space="preserve">  In the first case</w:t>
      </w:r>
      <w:r w:rsidR="00271862">
        <w:t xml:space="preserve"> </w:t>
      </w:r>
      <w:r w:rsidR="005113F9">
        <w:t>t</w:t>
      </w:r>
      <w:r w:rsidR="005C3F38">
        <w:t>he Commission stated</w:t>
      </w:r>
      <w:r w:rsidR="0055148A">
        <w:t>:</w:t>
      </w:r>
    </w:p>
    <w:p w:rsidR="0055148A" w:rsidRDefault="0055148A" w:rsidP="00490CAC">
      <w:pPr>
        <w:pStyle w:val="TestimonyAnswer"/>
        <w:tabs>
          <w:tab w:val="left" w:pos="1440"/>
        </w:tabs>
        <w:spacing w:after="0" w:line="240" w:lineRule="auto"/>
        <w:ind w:left="1440"/>
        <w:jc w:val="left"/>
        <w:rPr>
          <w:i/>
        </w:rPr>
      </w:pPr>
      <w:r>
        <w:tab/>
      </w:r>
      <w:r>
        <w:tab/>
      </w:r>
      <w:r w:rsidR="005C3F38">
        <w:t>Our record also shows that the capital markets have substantially recovered from the distortions caused by the financial crisis and now again reflect cost characteristics similar to, if not lower than, those extant before the onset of the crisis.</w:t>
      </w:r>
      <w:r w:rsidR="0004296A">
        <w:rPr>
          <w:rStyle w:val="FootnoteReference"/>
        </w:rPr>
        <w:footnoteReference w:id="7"/>
      </w:r>
      <w:r w:rsidR="00AD0272" w:rsidRPr="00690BE5">
        <w:rPr>
          <w:i/>
        </w:rPr>
        <w:t xml:space="preserve"> </w:t>
      </w:r>
    </w:p>
    <w:p w:rsidR="0055148A" w:rsidRDefault="0055148A" w:rsidP="00EA5CA0">
      <w:pPr>
        <w:pStyle w:val="TestimonyAnswer"/>
        <w:tabs>
          <w:tab w:val="left" w:pos="1440"/>
        </w:tabs>
        <w:spacing w:after="0" w:line="240" w:lineRule="auto"/>
        <w:jc w:val="left"/>
        <w:rPr>
          <w:i/>
        </w:rPr>
      </w:pPr>
    </w:p>
    <w:p w:rsidR="005D3B74" w:rsidRPr="00B90C66" w:rsidRDefault="005D3B74" w:rsidP="005D3B74">
      <w:pPr>
        <w:pStyle w:val="TestimonyAnswer"/>
        <w:tabs>
          <w:tab w:val="left" w:pos="1440"/>
        </w:tabs>
        <w:spacing w:after="0" w:line="480" w:lineRule="auto"/>
        <w:jc w:val="left"/>
      </w:pPr>
    </w:p>
    <w:p w:rsidR="005D3B74" w:rsidRPr="00B90C66" w:rsidRDefault="005D3B74" w:rsidP="005D3B74">
      <w:pPr>
        <w:pStyle w:val="TestimonyQuestion"/>
        <w:spacing w:before="0" w:after="0" w:line="480" w:lineRule="auto"/>
        <w:jc w:val="left"/>
      </w:pPr>
      <w:r w:rsidRPr="00B90C66">
        <w:lastRenderedPageBreak/>
        <w:t>Q.</w:t>
      </w:r>
      <w:r w:rsidRPr="00B90C66">
        <w:tab/>
      </w:r>
      <w:r>
        <w:rPr>
          <w:caps w:val="0"/>
        </w:rPr>
        <w:t xml:space="preserve">What is your general conclusion regarding the impact of current </w:t>
      </w:r>
      <w:r w:rsidRPr="00B90C66">
        <w:rPr>
          <w:caps w:val="0"/>
        </w:rPr>
        <w:t xml:space="preserve">financial conditions </w:t>
      </w:r>
      <w:r>
        <w:rPr>
          <w:caps w:val="0"/>
        </w:rPr>
        <w:t>on investor expectations?</w:t>
      </w:r>
    </w:p>
    <w:p w:rsidR="005D3B74" w:rsidRDefault="005D3B74" w:rsidP="005D3B74">
      <w:pPr>
        <w:pStyle w:val="TestimonyAnswer"/>
        <w:tabs>
          <w:tab w:val="left" w:pos="1440"/>
        </w:tabs>
        <w:spacing w:after="0" w:line="480" w:lineRule="auto"/>
        <w:jc w:val="left"/>
      </w:pPr>
      <w:r w:rsidRPr="00B90C66">
        <w:t>A.</w:t>
      </w:r>
      <w:r w:rsidRPr="00B90C66">
        <w:tab/>
      </w:r>
      <w:r>
        <w:t>My general conclusion is th</w:t>
      </w:r>
      <w:r w:rsidR="00881AEC">
        <w:t xml:space="preserve">at </w:t>
      </w:r>
      <w:r>
        <w:t xml:space="preserve">current macro-economic climate will continue </w:t>
      </w:r>
      <w:r w:rsidR="008D05EA">
        <w:t>its slow recovery and th</w:t>
      </w:r>
      <w:r w:rsidR="005113F9">
        <w:t>at</w:t>
      </w:r>
      <w:r w:rsidR="008D05EA">
        <w:t xml:space="preserve"> </w:t>
      </w:r>
      <w:r>
        <w:t>monetary policies designed to stimulate economic activity</w:t>
      </w:r>
      <w:r w:rsidR="00D82CF7">
        <w:t xml:space="preserve"> </w:t>
      </w:r>
      <w:r w:rsidR="005113F9">
        <w:t xml:space="preserve">will </w:t>
      </w:r>
      <w:r w:rsidR="00D82CF7">
        <w:t>continue to have downward pressure on</w:t>
      </w:r>
      <w:r w:rsidR="0018056D">
        <w:t xml:space="preserve"> long-term interest rates and</w:t>
      </w:r>
      <w:r w:rsidR="00D82CF7">
        <w:t xml:space="preserve"> the cost of </w:t>
      </w:r>
      <w:r w:rsidR="0018056D">
        <w:t xml:space="preserve">equity </w:t>
      </w:r>
      <w:r w:rsidR="00D82CF7">
        <w:t>capital</w:t>
      </w:r>
      <w:r>
        <w:t>.  As a result, capital costs will remain low for an extended perio</w:t>
      </w:r>
      <w:r w:rsidR="00D82CF7">
        <w:t>d of time</w:t>
      </w:r>
      <w:r w:rsidR="008217D7">
        <w:t>,</w:t>
      </w:r>
      <w:r w:rsidR="00D82CF7">
        <w:t xml:space="preserve"> </w:t>
      </w:r>
      <w:r w:rsidR="00300C21">
        <w:t xml:space="preserve">well </w:t>
      </w:r>
      <w:r w:rsidR="00C024BA">
        <w:t>into</w:t>
      </w:r>
      <w:r w:rsidR="00300C21">
        <w:t xml:space="preserve"> the 2012</w:t>
      </w:r>
      <w:r>
        <w:t xml:space="preserve"> rate year.  Furthermore, it is my belief that the overall opportunity costs for investors have declined, causing investors to reset future expectations and expect lower returns in investments of all sorts.</w:t>
      </w:r>
      <w:r w:rsidR="008C04C6">
        <w:t xml:space="preserve">  </w:t>
      </w:r>
    </w:p>
    <w:p w:rsidR="00AB6C70" w:rsidRPr="00AB6C70" w:rsidRDefault="00AB6C70" w:rsidP="000658A4">
      <w:pPr>
        <w:pStyle w:val="TestimonyAnswer"/>
        <w:tabs>
          <w:tab w:val="clear" w:pos="720"/>
          <w:tab w:val="clear" w:pos="8640"/>
          <w:tab w:val="clear" w:pos="9240"/>
        </w:tabs>
        <w:spacing w:after="0" w:line="480" w:lineRule="auto"/>
      </w:pPr>
    </w:p>
    <w:p w:rsidR="005D3B74" w:rsidRPr="00B90C66" w:rsidRDefault="005D3B74" w:rsidP="005D3B74">
      <w:pPr>
        <w:pStyle w:val="TestimonyQuestion"/>
        <w:spacing w:before="0" w:after="0" w:line="480" w:lineRule="auto"/>
        <w:jc w:val="left"/>
      </w:pPr>
      <w:r w:rsidRPr="00B90C66">
        <w:t>Q.</w:t>
      </w:r>
      <w:r w:rsidRPr="00B90C66">
        <w:tab/>
      </w:r>
      <w:r w:rsidRPr="00B90C66">
        <w:rPr>
          <w:caps w:val="0"/>
        </w:rPr>
        <w:t xml:space="preserve">What </w:t>
      </w:r>
      <w:r>
        <w:rPr>
          <w:caps w:val="0"/>
        </w:rPr>
        <w:t xml:space="preserve">specific </w:t>
      </w:r>
      <w:r w:rsidRPr="00B90C66">
        <w:rPr>
          <w:caps w:val="0"/>
        </w:rPr>
        <w:t xml:space="preserve">conclusions </w:t>
      </w:r>
      <w:r>
        <w:rPr>
          <w:caps w:val="0"/>
        </w:rPr>
        <w:t xml:space="preserve">should the Commission </w:t>
      </w:r>
      <w:r w:rsidRPr="00B90C66">
        <w:rPr>
          <w:caps w:val="0"/>
        </w:rPr>
        <w:t xml:space="preserve">draw from </w:t>
      </w:r>
      <w:r>
        <w:rPr>
          <w:caps w:val="0"/>
        </w:rPr>
        <w:t>the current</w:t>
      </w:r>
      <w:r w:rsidRPr="00B90C66">
        <w:rPr>
          <w:caps w:val="0"/>
        </w:rPr>
        <w:t xml:space="preserve"> economic and financial conditions?</w:t>
      </w:r>
    </w:p>
    <w:p w:rsidR="009F495B" w:rsidRDefault="005D3B74" w:rsidP="009F495B">
      <w:pPr>
        <w:pStyle w:val="TestimonyAnswer"/>
        <w:tabs>
          <w:tab w:val="left" w:pos="1440"/>
        </w:tabs>
        <w:spacing w:after="0" w:line="480" w:lineRule="auto"/>
        <w:jc w:val="left"/>
      </w:pPr>
      <w:r>
        <w:t>A.</w:t>
      </w:r>
      <w:r>
        <w:tab/>
        <w:t xml:space="preserve">The Commission should conclude that </w:t>
      </w:r>
      <w:r w:rsidRPr="00B90C66">
        <w:t>recent economic</w:t>
      </w:r>
      <w:r>
        <w:t xml:space="preserve"> and </w:t>
      </w:r>
      <w:r w:rsidRPr="00B90C66">
        <w:t xml:space="preserve">financial circumstances </w:t>
      </w:r>
      <w:r>
        <w:t xml:space="preserve">will continue to keep capital costs low.  </w:t>
      </w:r>
      <w:r w:rsidRPr="00412257">
        <w:t>Specifically, overall economic and financial conditions have investors expecting lower returns for their investments.</w:t>
      </w:r>
      <w:r>
        <w:t xml:space="preserve"> </w:t>
      </w:r>
      <w:r w:rsidR="009F495B">
        <w:t xml:space="preserve"> Finally, the data indicate that utility stocks are low risk investments and the return on equity for PSE’s owners should reflect this fact.</w:t>
      </w:r>
      <w:r w:rsidR="00811CB6">
        <w:t xml:space="preserve">  </w:t>
      </w:r>
    </w:p>
    <w:p w:rsidR="005D3B74" w:rsidRDefault="005D3B74" w:rsidP="005D3B74">
      <w:pPr>
        <w:tabs>
          <w:tab w:val="left" w:pos="720"/>
          <w:tab w:val="left" w:pos="1440"/>
        </w:tabs>
        <w:spacing w:line="480" w:lineRule="auto"/>
        <w:ind w:left="720" w:hanging="720"/>
      </w:pPr>
    </w:p>
    <w:p w:rsidR="005D3B74" w:rsidRDefault="00811CB6" w:rsidP="004510AD">
      <w:pPr>
        <w:spacing w:line="480" w:lineRule="auto"/>
        <w:ind w:left="720"/>
        <w:rPr>
          <w:b/>
          <w:u w:val="single"/>
        </w:rPr>
      </w:pPr>
      <w:r>
        <w:rPr>
          <w:b/>
        </w:rPr>
        <w:t>4</w:t>
      </w:r>
      <w:r w:rsidR="00F75B5C">
        <w:rPr>
          <w:b/>
        </w:rPr>
        <w:t>.</w:t>
      </w:r>
      <w:r w:rsidR="00F75B5C">
        <w:rPr>
          <w:b/>
        </w:rPr>
        <w:tab/>
      </w:r>
      <w:r w:rsidR="00D25732">
        <w:rPr>
          <w:b/>
        </w:rPr>
        <w:t>PSE</w:t>
      </w:r>
      <w:r w:rsidR="008746EF">
        <w:rPr>
          <w:b/>
        </w:rPr>
        <w:t>’</w:t>
      </w:r>
      <w:r w:rsidR="00A15099">
        <w:rPr>
          <w:b/>
        </w:rPr>
        <w:t>s</w:t>
      </w:r>
      <w:r w:rsidR="00F75B5C">
        <w:rPr>
          <w:b/>
        </w:rPr>
        <w:t xml:space="preserve"> Operations a</w:t>
      </w:r>
      <w:r w:rsidR="005D3B74">
        <w:rPr>
          <w:b/>
        </w:rPr>
        <w:t>nd Risks</w:t>
      </w:r>
      <w:r w:rsidR="0083766C">
        <w:rPr>
          <w:b/>
        </w:rPr>
        <w:t xml:space="preserve"> </w:t>
      </w:r>
    </w:p>
    <w:p w:rsidR="005D3B74" w:rsidRDefault="005D3B74" w:rsidP="005D3B74">
      <w:pPr>
        <w:tabs>
          <w:tab w:val="left" w:pos="720"/>
          <w:tab w:val="left" w:pos="1440"/>
          <w:tab w:val="left" w:pos="9240"/>
        </w:tabs>
        <w:spacing w:line="480" w:lineRule="auto"/>
        <w:ind w:left="720" w:hanging="720"/>
        <w:jc w:val="both"/>
        <w:rPr>
          <w:b/>
        </w:rPr>
      </w:pPr>
    </w:p>
    <w:p w:rsidR="005D3B74" w:rsidRDefault="005D3B74" w:rsidP="005D3B74">
      <w:pPr>
        <w:spacing w:line="480" w:lineRule="auto"/>
        <w:rPr>
          <w:b/>
        </w:rPr>
      </w:pPr>
      <w:r>
        <w:rPr>
          <w:b/>
        </w:rPr>
        <w:t>Q.</w:t>
      </w:r>
      <w:r>
        <w:rPr>
          <w:b/>
        </w:rPr>
        <w:tab/>
        <w:t xml:space="preserve">Please summarize </w:t>
      </w:r>
      <w:r w:rsidR="00D25732">
        <w:rPr>
          <w:b/>
        </w:rPr>
        <w:t>PSE</w:t>
      </w:r>
      <w:r>
        <w:rPr>
          <w:b/>
        </w:rPr>
        <w:t xml:space="preserve"> and its operations.</w:t>
      </w:r>
    </w:p>
    <w:p w:rsidR="005D3B74" w:rsidRDefault="005D3B74" w:rsidP="005D3B74">
      <w:pPr>
        <w:spacing w:line="480" w:lineRule="auto"/>
        <w:ind w:left="720" w:hanging="720"/>
      </w:pPr>
      <w:r>
        <w:t>A.</w:t>
      </w:r>
      <w:r>
        <w:tab/>
      </w:r>
      <w:r w:rsidR="00D25732">
        <w:t>PSE</w:t>
      </w:r>
      <w:r>
        <w:t xml:space="preserve"> is </w:t>
      </w:r>
      <w:r w:rsidR="00300C21">
        <w:t xml:space="preserve">the operating company of </w:t>
      </w:r>
      <w:r w:rsidR="00E850A9">
        <w:t xml:space="preserve">Puget </w:t>
      </w:r>
      <w:r w:rsidR="00D25732">
        <w:t>E</w:t>
      </w:r>
      <w:r w:rsidR="00E850A9">
        <w:t xml:space="preserve">nergy </w:t>
      </w:r>
      <w:r w:rsidR="00300C21">
        <w:t>providing regulated utility services</w:t>
      </w:r>
      <w:r>
        <w:t xml:space="preserve"> in </w:t>
      </w:r>
      <w:r w:rsidR="00300C21">
        <w:t xml:space="preserve">Washington.  </w:t>
      </w:r>
      <w:r w:rsidR="00CA0292">
        <w:t>As an electric company it</w:t>
      </w:r>
      <w:r w:rsidR="00300C21">
        <w:t xml:space="preserve"> </w:t>
      </w:r>
      <w:r w:rsidR="00811CB6">
        <w:t>owns</w:t>
      </w:r>
      <w:r w:rsidR="00300C21">
        <w:t xml:space="preserve"> </w:t>
      </w:r>
      <w:r w:rsidR="00811CB6">
        <w:t>distribution, transmission and</w:t>
      </w:r>
      <w:r>
        <w:t xml:space="preserve"> </w:t>
      </w:r>
      <w:r>
        <w:lastRenderedPageBreak/>
        <w:t>generation</w:t>
      </w:r>
      <w:r w:rsidR="00811CB6">
        <w:t xml:space="preserve"> assets for the </w:t>
      </w:r>
      <w:r>
        <w:t xml:space="preserve">sale of electric energy to customers in </w:t>
      </w:r>
      <w:r w:rsidR="00881AEC">
        <w:t xml:space="preserve">the </w:t>
      </w:r>
      <w:r w:rsidR="00690BE5">
        <w:t>Puget Sound</w:t>
      </w:r>
      <w:r>
        <w:t xml:space="preserve"> region.  It is commonly referred to as a “fully integrated electric utility”.   </w:t>
      </w:r>
      <w:r w:rsidR="00300C21">
        <w:t xml:space="preserve">Its natural gas operations are commonly </w:t>
      </w:r>
      <w:r w:rsidR="004B2A00">
        <w:t>referred to as</w:t>
      </w:r>
      <w:r w:rsidR="00300C21">
        <w:t xml:space="preserve"> </w:t>
      </w:r>
      <w:r w:rsidR="00D60B14">
        <w:t xml:space="preserve">a </w:t>
      </w:r>
      <w:r w:rsidR="004B2A00">
        <w:t>“</w:t>
      </w:r>
      <w:r w:rsidR="00300C21">
        <w:t>local distribution</w:t>
      </w:r>
      <w:r w:rsidR="006656BA">
        <w:t xml:space="preserve"> company</w:t>
      </w:r>
      <w:r w:rsidR="00571495">
        <w:t>”</w:t>
      </w:r>
      <w:r w:rsidR="004B2A00">
        <w:t xml:space="preserve">. </w:t>
      </w:r>
      <w:r w:rsidR="00571495">
        <w:t xml:space="preserve"> </w:t>
      </w:r>
      <w:r w:rsidR="00300C21">
        <w:t xml:space="preserve">It buys </w:t>
      </w:r>
      <w:r w:rsidR="008746EF">
        <w:t>natural</w:t>
      </w:r>
      <w:r w:rsidR="00300C21">
        <w:t xml:space="preserve"> gas in competitive markets, </w:t>
      </w:r>
      <w:r w:rsidR="004B2A00">
        <w:t>contracts for</w:t>
      </w:r>
      <w:r w:rsidR="00300C21">
        <w:t xml:space="preserve"> interstate pipeline services under FERC approved tariffs</w:t>
      </w:r>
      <w:r w:rsidR="006656BA">
        <w:t>,</w:t>
      </w:r>
      <w:r w:rsidR="00300C21">
        <w:t xml:space="preserve"> and then distributes this gas supply to its customers </w:t>
      </w:r>
      <w:r w:rsidR="004B2A00">
        <w:t>over the its</w:t>
      </w:r>
      <w:r w:rsidR="00300C21">
        <w:t xml:space="preserve"> </w:t>
      </w:r>
      <w:r w:rsidR="004B2A00">
        <w:t>local distribution facilities</w:t>
      </w:r>
      <w:r w:rsidR="00300C21">
        <w:t>.</w:t>
      </w:r>
      <w:r w:rsidR="00271862">
        <w:t xml:space="preserve">  In addition, its natural gas business is insulated from the risks of purchasing natural gas due to the Commission’s policies with respect to the rate treatment of those costs.</w:t>
      </w:r>
    </w:p>
    <w:p w:rsidR="005D3B74" w:rsidRDefault="005D3B74" w:rsidP="005D3B74">
      <w:pPr>
        <w:spacing w:line="480" w:lineRule="auto"/>
        <w:ind w:left="720" w:hanging="720"/>
      </w:pPr>
      <w:r>
        <w:tab/>
      </w:r>
      <w:r>
        <w:tab/>
        <w:t xml:space="preserve">In my judgment, </w:t>
      </w:r>
      <w:r w:rsidR="00D25732">
        <w:t>PSE</w:t>
      </w:r>
      <w:r w:rsidR="008746EF">
        <w:t>’s</w:t>
      </w:r>
      <w:r>
        <w:t xml:space="preserve"> regulated electric </w:t>
      </w:r>
      <w:r w:rsidR="000C54D0">
        <w:t xml:space="preserve">and natural gas </w:t>
      </w:r>
      <w:r>
        <w:t xml:space="preserve">operations are a “lower risk” business than utilities with unregulated operations or </w:t>
      </w:r>
      <w:r w:rsidR="004B2A00">
        <w:t>other holding companies that own utilities but have s</w:t>
      </w:r>
      <w:r>
        <w:t>ignificant investments in unregulated operations.  This further emphasizes the need to use a proxy group that captures the salient features of the Company</w:t>
      </w:r>
      <w:r w:rsidR="00741869">
        <w:t>’s</w:t>
      </w:r>
      <w:r w:rsidR="000F46E8">
        <w:t xml:space="preserve"> </w:t>
      </w:r>
      <w:r>
        <w:t>regulated operations.</w:t>
      </w:r>
      <w:r w:rsidR="00161EEB">
        <w:t xml:space="preserve"> </w:t>
      </w:r>
      <w:r w:rsidR="00811CB6">
        <w:t xml:space="preserve">  </w:t>
      </w:r>
    </w:p>
    <w:p w:rsidR="005D3B74" w:rsidRDefault="005D3B74" w:rsidP="005D3B74">
      <w:pPr>
        <w:spacing w:line="480" w:lineRule="auto"/>
        <w:ind w:left="720" w:hanging="720"/>
      </w:pPr>
    </w:p>
    <w:p w:rsidR="005D3B74" w:rsidRDefault="005D3B74" w:rsidP="00AB6C70">
      <w:pPr>
        <w:keepNext/>
        <w:spacing w:line="480" w:lineRule="auto"/>
        <w:ind w:left="720" w:hanging="720"/>
        <w:rPr>
          <w:b/>
        </w:rPr>
      </w:pPr>
      <w:r>
        <w:rPr>
          <w:b/>
        </w:rPr>
        <w:t>Q.</w:t>
      </w:r>
      <w:r>
        <w:rPr>
          <w:b/>
        </w:rPr>
        <w:tab/>
        <w:t xml:space="preserve">Is there any objective evidence of </w:t>
      </w:r>
      <w:r w:rsidR="00D25732">
        <w:rPr>
          <w:b/>
        </w:rPr>
        <w:t>PSE</w:t>
      </w:r>
      <w:r w:rsidR="00BA4623">
        <w:rPr>
          <w:b/>
        </w:rPr>
        <w:t>’s</w:t>
      </w:r>
      <w:r>
        <w:rPr>
          <w:b/>
        </w:rPr>
        <w:t xml:space="preserve"> low business risk?</w:t>
      </w:r>
    </w:p>
    <w:p w:rsidR="005D3B74" w:rsidRPr="004C0FFD" w:rsidRDefault="005D3B74" w:rsidP="005D3B74">
      <w:pPr>
        <w:spacing w:line="480" w:lineRule="auto"/>
        <w:ind w:left="720" w:hanging="720"/>
        <w:rPr>
          <w:i/>
        </w:rPr>
      </w:pPr>
      <w:r>
        <w:t>A.</w:t>
      </w:r>
      <w:r>
        <w:tab/>
        <w:t>Yes.  Standard &amp; Poor</w:t>
      </w:r>
      <w:r w:rsidR="000F46E8">
        <w:t xml:space="preserve"> </w:t>
      </w:r>
      <w:r>
        <w:t xml:space="preserve">(“S&amp;P”), as part of its credit rating process, qualifies the business risks of the regulated utilities it analyzes.  S&amp;P rates </w:t>
      </w:r>
      <w:r w:rsidR="00D25732">
        <w:t>PSE</w:t>
      </w:r>
      <w:r w:rsidR="00BA4623">
        <w:t>’s</w:t>
      </w:r>
      <w:r>
        <w:t xml:space="preserve"> business risk profile as “Excellent”.  </w:t>
      </w:r>
      <w:r w:rsidR="00061A17">
        <w:t>Exhibit No.__</w:t>
      </w:r>
      <w:proofErr w:type="gramStart"/>
      <w:r w:rsidR="00061A17">
        <w:t>_(</w:t>
      </w:r>
      <w:proofErr w:type="gramEnd"/>
      <w:r w:rsidR="00061A17">
        <w:t xml:space="preserve">KLE-3) </w:t>
      </w:r>
      <w:r w:rsidR="00857B68">
        <w:t>is the most recent S&amp;P</w:t>
      </w:r>
      <w:r w:rsidR="00430DBE">
        <w:t xml:space="preserve"> report for PSE dated November 2</w:t>
      </w:r>
      <w:r w:rsidR="00857B68">
        <w:t>8, 2011.</w:t>
      </w:r>
    </w:p>
    <w:p w:rsidR="005D3B74" w:rsidRDefault="005D3B74" w:rsidP="00131071">
      <w:pPr>
        <w:tabs>
          <w:tab w:val="left" w:pos="720"/>
          <w:tab w:val="left" w:pos="1440"/>
          <w:tab w:val="left" w:pos="9240"/>
        </w:tabs>
        <w:spacing w:line="480" w:lineRule="auto"/>
        <w:rPr>
          <w:b/>
        </w:rPr>
      </w:pPr>
    </w:p>
    <w:p w:rsidR="005D3B74" w:rsidRPr="00BC1FAB" w:rsidRDefault="005D3B74" w:rsidP="00B718D6">
      <w:pPr>
        <w:pStyle w:val="ListParagraph"/>
        <w:numPr>
          <w:ilvl w:val="0"/>
          <w:numId w:val="31"/>
        </w:numPr>
        <w:tabs>
          <w:tab w:val="left" w:pos="720"/>
          <w:tab w:val="left" w:pos="1440"/>
          <w:tab w:val="left" w:pos="9240"/>
        </w:tabs>
        <w:spacing w:line="480" w:lineRule="auto"/>
        <w:ind w:left="720"/>
        <w:rPr>
          <w:b/>
          <w:u w:val="single"/>
        </w:rPr>
      </w:pPr>
      <w:r w:rsidRPr="00BC1FAB">
        <w:rPr>
          <w:b/>
        </w:rPr>
        <w:t>C</w:t>
      </w:r>
      <w:r w:rsidR="0087693A">
        <w:rPr>
          <w:b/>
        </w:rPr>
        <w:t>apital Structure</w:t>
      </w:r>
    </w:p>
    <w:p w:rsidR="005D3B74" w:rsidRDefault="005D3B74" w:rsidP="005D3B74">
      <w:pPr>
        <w:tabs>
          <w:tab w:val="left" w:pos="720"/>
          <w:tab w:val="left" w:pos="1440"/>
          <w:tab w:val="left" w:pos="9240"/>
        </w:tabs>
        <w:spacing w:line="480" w:lineRule="auto"/>
        <w:jc w:val="both"/>
        <w:rPr>
          <w:b/>
          <w:u w:val="single"/>
        </w:rPr>
      </w:pPr>
    </w:p>
    <w:p w:rsidR="005D3B74" w:rsidRDefault="005D3B74" w:rsidP="005D3B74">
      <w:pPr>
        <w:spacing w:line="480" w:lineRule="auto"/>
        <w:ind w:left="720" w:hanging="720"/>
        <w:rPr>
          <w:b/>
        </w:rPr>
      </w:pPr>
      <w:r w:rsidRPr="003D403F">
        <w:rPr>
          <w:b/>
        </w:rPr>
        <w:t>Q.</w:t>
      </w:r>
      <w:r w:rsidRPr="003D403F">
        <w:rPr>
          <w:b/>
        </w:rPr>
        <w:tab/>
      </w:r>
      <w:r>
        <w:rPr>
          <w:b/>
        </w:rPr>
        <w:t>Please explain what is meant by the term “</w:t>
      </w:r>
      <w:r w:rsidRPr="003D403F">
        <w:rPr>
          <w:b/>
        </w:rPr>
        <w:t>capital structure</w:t>
      </w:r>
      <w:r>
        <w:rPr>
          <w:b/>
        </w:rPr>
        <w:t>”.</w:t>
      </w:r>
    </w:p>
    <w:p w:rsidR="005D3B74" w:rsidRPr="006D680B" w:rsidRDefault="005D3B74" w:rsidP="005D3B74">
      <w:pPr>
        <w:spacing w:line="480" w:lineRule="auto"/>
        <w:ind w:left="720" w:hanging="720"/>
      </w:pPr>
      <w:r w:rsidRPr="003D403F">
        <w:lastRenderedPageBreak/>
        <w:t>A.</w:t>
      </w:r>
      <w:r w:rsidRPr="003D403F">
        <w:tab/>
        <w:t xml:space="preserve">Capital structure is </w:t>
      </w:r>
      <w:r w:rsidR="008C04C6">
        <w:t>the</w:t>
      </w:r>
      <w:r w:rsidRPr="003D403F">
        <w:t xml:space="preserve"> evaluation of the various sources of capital</w:t>
      </w:r>
      <w:r>
        <w:t xml:space="preserve"> provided by</w:t>
      </w:r>
      <w:r w:rsidRPr="003D403F">
        <w:t xml:space="preserve"> investors</w:t>
      </w:r>
      <w:r>
        <w:t xml:space="preserve"> to fund the long-lived assets necessary to deliver utility services.  The </w:t>
      </w:r>
      <w:r w:rsidR="004B2A00">
        <w:t xml:space="preserve">traditional </w:t>
      </w:r>
      <w:r>
        <w:t>sources are</w:t>
      </w:r>
      <w:r w:rsidR="00881AEC">
        <w:t xml:space="preserve"> </w:t>
      </w:r>
      <w:r w:rsidRPr="003D403F">
        <w:t xml:space="preserve">common equity, preferred equity, and debt.  </w:t>
      </w:r>
      <w:r w:rsidR="00CA0292">
        <w:t>T</w:t>
      </w:r>
      <w:r w:rsidRPr="003D403F">
        <w:t>he utility</w:t>
      </w:r>
      <w:r w:rsidR="00CA0292">
        <w:t xml:space="preserve">’s </w:t>
      </w:r>
      <w:r w:rsidRPr="003D403F">
        <w:t xml:space="preserve">capital structure reflects the </w:t>
      </w:r>
      <w:r w:rsidR="004B2A00">
        <w:t xml:space="preserve">proportionate </w:t>
      </w:r>
      <w:r>
        <w:t>amount of each source of capital supporting those assets</w:t>
      </w:r>
      <w:r w:rsidR="00D60B14">
        <w:t xml:space="preserve"> serving the public in Washington</w:t>
      </w:r>
      <w:r>
        <w:t>.</w:t>
      </w:r>
    </w:p>
    <w:p w:rsidR="005D3B74" w:rsidRDefault="005D3B74" w:rsidP="005D3B74">
      <w:pPr>
        <w:tabs>
          <w:tab w:val="left" w:pos="720"/>
          <w:tab w:val="left" w:pos="1440"/>
          <w:tab w:val="left" w:pos="9240"/>
        </w:tabs>
        <w:spacing w:line="480" w:lineRule="auto"/>
        <w:ind w:left="720" w:hanging="720"/>
      </w:pPr>
      <w:r w:rsidRPr="003D403F">
        <w:tab/>
      </w:r>
      <w:r>
        <w:tab/>
      </w:r>
      <w:r w:rsidRPr="00B95C8C">
        <w:t xml:space="preserve">Consistent with financial theory, </w:t>
      </w:r>
      <w:r w:rsidR="00CA0292">
        <w:t>the</w:t>
      </w:r>
      <w:r w:rsidR="000F46E8">
        <w:t xml:space="preserve"> </w:t>
      </w:r>
      <w:r>
        <w:t>capital structure</w:t>
      </w:r>
      <w:r w:rsidRPr="00B95C8C">
        <w:t xml:space="preserve"> should achieve the lowest overall cost of capital.</w:t>
      </w:r>
      <w:r>
        <w:t xml:space="preserve">  </w:t>
      </w:r>
      <w:r w:rsidR="004B2A00">
        <w:t>By achieving the lowest overall cost of capital management meets its obligation to shareholder</w:t>
      </w:r>
      <w:r w:rsidR="008C04C6">
        <w:t>s</w:t>
      </w:r>
      <w:r w:rsidR="00F846B9">
        <w:t xml:space="preserve"> to</w:t>
      </w:r>
      <w:r w:rsidR="008C04C6">
        <w:t xml:space="preserve"> </w:t>
      </w:r>
      <w:r w:rsidR="004B2A00">
        <w:t xml:space="preserve">maximize the value of its stock.  In turn, the firm is able to keep prices </w:t>
      </w:r>
      <w:r w:rsidR="00F846B9">
        <w:t>reasonable</w:t>
      </w:r>
      <w:r w:rsidR="004B2A00">
        <w:t xml:space="preserve"> for the benefit of customers.  Regulation, as a surrogate for competition, ensures through the evaluation of the proposed capital structure</w:t>
      </w:r>
      <w:r w:rsidR="00BA4623">
        <w:t xml:space="preserve"> that </w:t>
      </w:r>
      <w:r w:rsidR="00CA0292">
        <w:t xml:space="preserve">management </w:t>
      </w:r>
      <w:r w:rsidR="004B2A00">
        <w:t>achieve</w:t>
      </w:r>
      <w:r w:rsidR="00CA0292">
        <w:t>s</w:t>
      </w:r>
      <w:r w:rsidR="004B2A00">
        <w:t xml:space="preserve"> this objective.  </w:t>
      </w:r>
      <w:r w:rsidRPr="003D403F">
        <w:t xml:space="preserve">Like the determination of the cost rates of equity and debt capital, </w:t>
      </w:r>
      <w:r>
        <w:t xml:space="preserve">determining </w:t>
      </w:r>
      <w:r w:rsidRPr="003D403F">
        <w:t xml:space="preserve">the appropriate capital structure for ratemaking purposes relies upon a combination of analysis and informed judgment.  </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Why is capital structure important in determining a fair rate of return for a regulated utility?</w:t>
      </w:r>
    </w:p>
    <w:p w:rsidR="005D3B74" w:rsidRDefault="005D3B74" w:rsidP="005D3B74">
      <w:pPr>
        <w:tabs>
          <w:tab w:val="left" w:pos="720"/>
          <w:tab w:val="left" w:pos="1440"/>
          <w:tab w:val="left" w:pos="9240"/>
        </w:tabs>
        <w:spacing w:line="480" w:lineRule="auto"/>
        <w:ind w:left="720" w:hanging="720"/>
      </w:pPr>
      <w:r>
        <w:t>A.</w:t>
      </w:r>
      <w:r>
        <w:tab/>
        <w:t>Capital structure, and particularly the equity ratio, materially impacts the price customers pay for service.  Due to the relative difference between the cost of equity and the cost of debt, a capital structure with relatively more debt and less equity will result in a l</w:t>
      </w:r>
      <w:r w:rsidR="003D75B3">
        <w:t>ower overall cost of capital.</w:t>
      </w:r>
    </w:p>
    <w:p w:rsidR="005D3B74" w:rsidRDefault="005D3B74" w:rsidP="005D3B74">
      <w:pPr>
        <w:tabs>
          <w:tab w:val="left" w:pos="720"/>
          <w:tab w:val="left" w:pos="1440"/>
          <w:tab w:val="left" w:pos="9240"/>
        </w:tabs>
        <w:spacing w:line="480" w:lineRule="auto"/>
        <w:ind w:left="720" w:hanging="720"/>
      </w:pPr>
      <w:r>
        <w:tab/>
      </w:r>
      <w:r>
        <w:tab/>
        <w:t xml:space="preserve">This relative difference between the cost of equity and the cost of debt capital is further exacerbated by the impact of Federal income taxes in the determination of </w:t>
      </w:r>
      <w:r>
        <w:lastRenderedPageBreak/>
        <w:t>a utility</w:t>
      </w:r>
      <w:r w:rsidR="008746EF">
        <w:t>’</w:t>
      </w:r>
      <w:r w:rsidR="00A15099">
        <w:t>s</w:t>
      </w:r>
      <w:r>
        <w:t xml:space="preserve"> revenue requirement.  Each dollar of revenue necessary to compensate owners must be supported by revenues to pay Federal income taxes.  A utility may deduct its interest expense for Federal income tax purposes, causing an even further reduction in the cost to customers and the utility.  </w:t>
      </w:r>
    </w:p>
    <w:p w:rsidR="005D3B74" w:rsidRDefault="005D3B74" w:rsidP="005D3B74">
      <w:pPr>
        <w:tabs>
          <w:tab w:val="left" w:pos="720"/>
          <w:tab w:val="left" w:pos="1440"/>
          <w:tab w:val="left" w:pos="9240"/>
        </w:tabs>
        <w:spacing w:line="480" w:lineRule="auto"/>
        <w:ind w:left="720" w:hanging="720"/>
      </w:pPr>
      <w:r w:rsidRPr="003907EA">
        <w:tab/>
      </w:r>
      <w:r w:rsidRPr="003907EA">
        <w:tab/>
        <w:t xml:space="preserve">Put another way, consistent with modern financial theory, a firm with stable cash flows, particularly those of a regulated utility, should take advantage of </w:t>
      </w:r>
      <w:r>
        <w:t>its stable cash flows</w:t>
      </w:r>
      <w:r w:rsidRPr="003907EA">
        <w:t xml:space="preserve"> and use financial leverage (debt) to </w:t>
      </w:r>
      <w:r w:rsidR="00344B46">
        <w:t>maximize</w:t>
      </w:r>
      <w:r w:rsidRPr="003907EA">
        <w:t xml:space="preserve"> shareholder</w:t>
      </w:r>
      <w:r w:rsidR="00344B46">
        <w:t xml:space="preserve"> value</w:t>
      </w:r>
      <w:r w:rsidRPr="003907EA">
        <w:t>.  As a result</w:t>
      </w:r>
      <w:r>
        <w:t xml:space="preserve"> of using financial leverage to enhance shareholder value,</w:t>
      </w:r>
      <w:r w:rsidRPr="003907EA">
        <w:t xml:space="preserve"> customers benefit from both lower capital costs and the </w:t>
      </w:r>
      <w:r w:rsidR="00881AEC">
        <w:t>F</w:t>
      </w:r>
      <w:r w:rsidRPr="003907EA">
        <w:t xml:space="preserve">ederal </w:t>
      </w:r>
      <w:r w:rsidR="00881AEC">
        <w:t xml:space="preserve">income </w:t>
      </w:r>
      <w:r w:rsidRPr="003907EA">
        <w:t>tax benefit of the interest deduction</w:t>
      </w:r>
      <w:r w:rsidR="00881AEC">
        <w:t>.</w:t>
      </w:r>
      <w:r w:rsidRPr="003907EA">
        <w:t xml:space="preserve"> </w:t>
      </w:r>
      <w:r w:rsidR="00161EEB">
        <w:t xml:space="preserve"> </w:t>
      </w:r>
      <w:r w:rsidRPr="003907EA">
        <w:t xml:space="preserve">The question is the </w:t>
      </w:r>
      <w:r w:rsidR="00161EEB">
        <w:t>degree</w:t>
      </w:r>
      <w:r w:rsidRPr="003907EA">
        <w:t xml:space="preserve"> of financial leverage that should be employed.  The proper capital structure is paramount to the interests of both shareholders and customers.</w:t>
      </w:r>
    </w:p>
    <w:p w:rsidR="005D3B74" w:rsidRDefault="005D3B74" w:rsidP="005D3B74">
      <w:pPr>
        <w:tabs>
          <w:tab w:val="left" w:pos="720"/>
          <w:tab w:val="left" w:pos="1440"/>
          <w:tab w:val="left" w:pos="9240"/>
        </w:tabs>
        <w:spacing w:line="480" w:lineRule="auto"/>
        <w:ind w:left="720" w:hanging="720"/>
      </w:pPr>
    </w:p>
    <w:p w:rsidR="005D3B74" w:rsidRPr="003907EA" w:rsidRDefault="005D3B74" w:rsidP="005D3B74">
      <w:pPr>
        <w:tabs>
          <w:tab w:val="left" w:pos="720"/>
          <w:tab w:val="left" w:pos="1440"/>
          <w:tab w:val="left" w:pos="9240"/>
        </w:tabs>
        <w:spacing w:line="480" w:lineRule="auto"/>
        <w:ind w:left="720" w:hanging="720"/>
        <w:rPr>
          <w:b/>
        </w:rPr>
      </w:pPr>
      <w:r w:rsidRPr="003907EA">
        <w:rPr>
          <w:b/>
        </w:rPr>
        <w:t>Q.</w:t>
      </w:r>
      <w:r w:rsidRPr="003907EA">
        <w:rPr>
          <w:b/>
        </w:rPr>
        <w:tab/>
        <w:t>What is the Commission</w:t>
      </w:r>
      <w:r w:rsidR="0087693A">
        <w:rPr>
          <w:b/>
        </w:rPr>
        <w:t>’s</w:t>
      </w:r>
      <w:r w:rsidR="000F46E8">
        <w:rPr>
          <w:b/>
        </w:rPr>
        <w:t xml:space="preserve"> </w:t>
      </w:r>
      <w:r w:rsidRPr="003907EA">
        <w:rPr>
          <w:b/>
        </w:rPr>
        <w:t>policy on capital structure for ratemaking purposes?</w:t>
      </w:r>
    </w:p>
    <w:p w:rsidR="005D3B74" w:rsidRPr="003907EA" w:rsidRDefault="005D3B74" w:rsidP="005D3B74">
      <w:pPr>
        <w:tabs>
          <w:tab w:val="left" w:pos="720"/>
          <w:tab w:val="left" w:pos="1440"/>
          <w:tab w:val="left" w:pos="9240"/>
        </w:tabs>
        <w:spacing w:line="480" w:lineRule="auto"/>
        <w:ind w:left="720" w:hanging="720"/>
      </w:pPr>
      <w:r w:rsidRPr="0095560D">
        <w:t>A.</w:t>
      </w:r>
      <w:r w:rsidRPr="0095560D">
        <w:tab/>
        <w:t>The Commission</w:t>
      </w:r>
      <w:r w:rsidR="000F46E8">
        <w:t xml:space="preserve"> </w:t>
      </w:r>
      <w:r w:rsidRPr="0095560D">
        <w:t xml:space="preserve">policy for determining an appropriate capital structure is to balance the competing interests of safety and economy.  </w:t>
      </w:r>
      <w:r>
        <w:t>Th</w:t>
      </w:r>
      <w:r w:rsidR="00C257C0">
        <w:t xml:space="preserve">e Commission affirmed this </w:t>
      </w:r>
      <w:r>
        <w:t xml:space="preserve">policy </w:t>
      </w:r>
      <w:r w:rsidR="000C54D0">
        <w:t xml:space="preserve">most recently </w:t>
      </w:r>
      <w:r>
        <w:t xml:space="preserve">in </w:t>
      </w:r>
      <w:r w:rsidR="000C54D0">
        <w:t>a</w:t>
      </w:r>
      <w:r>
        <w:t xml:space="preserve"> rate case </w:t>
      </w:r>
      <w:r w:rsidR="00506D17">
        <w:t>in which</w:t>
      </w:r>
      <w:r>
        <w:t xml:space="preserve"> </w:t>
      </w:r>
      <w:r w:rsidR="00C257C0">
        <w:t xml:space="preserve">cost of capital </w:t>
      </w:r>
      <w:r w:rsidR="00293A6B">
        <w:t>and capital structure were</w:t>
      </w:r>
      <w:r w:rsidR="00C257C0">
        <w:t xml:space="preserve"> contested</w:t>
      </w:r>
      <w:r w:rsidR="000C54D0">
        <w:t>.</w:t>
      </w:r>
      <w:r w:rsidR="0004296A">
        <w:rPr>
          <w:rStyle w:val="FootnoteReference"/>
        </w:rPr>
        <w:footnoteReference w:id="8"/>
      </w:r>
      <w:r w:rsidR="000C54D0">
        <w:t xml:space="preserve">  </w:t>
      </w:r>
      <w:r>
        <w:t>Th</w:t>
      </w:r>
      <w:r w:rsidR="00C257C0">
        <w:t>is</w:t>
      </w:r>
      <w:r>
        <w:t xml:space="preserve"> policy is consistent with a fundamental principle of finance: </w:t>
      </w:r>
      <w:r w:rsidR="00BA4623">
        <w:t xml:space="preserve"> </w:t>
      </w:r>
      <w:r>
        <w:t>a</w:t>
      </w:r>
      <w:r w:rsidRPr="0095560D">
        <w:t xml:space="preserve"> properly balanced capital structure ensures the Company efficiently finances its long-lived assets dedicated to public service</w:t>
      </w:r>
      <w:r>
        <w:t xml:space="preserve"> to achieve the lowest possible cost</w:t>
      </w:r>
      <w:r w:rsidRPr="0095560D">
        <w:t>.</w:t>
      </w:r>
      <w:r w:rsidR="00D656DE">
        <w:t xml:space="preserve">  </w:t>
      </w:r>
      <w:r w:rsidR="0031207E">
        <w:t xml:space="preserve">I employ this </w:t>
      </w:r>
      <w:r w:rsidRPr="003907EA">
        <w:t>policy in my analysis</w:t>
      </w:r>
      <w:r w:rsidR="0031207E">
        <w:t xml:space="preserve"> of </w:t>
      </w:r>
      <w:r w:rsidR="00BA4623">
        <w:t xml:space="preserve">the appropriate capital structure for </w:t>
      </w:r>
      <w:r w:rsidR="00D25732">
        <w:t>PSE</w:t>
      </w:r>
      <w:r w:rsidR="00BA4623">
        <w:t xml:space="preserve"> for </w:t>
      </w:r>
      <w:r w:rsidR="005C3F38">
        <w:t>ratemaking</w:t>
      </w:r>
      <w:r w:rsidR="00BA4623">
        <w:t xml:space="preserve"> purposes</w:t>
      </w:r>
      <w:r w:rsidRPr="003907EA">
        <w:t>.</w:t>
      </w:r>
    </w:p>
    <w:p w:rsidR="005D3B74" w:rsidRDefault="005D3B74" w:rsidP="005D3B74">
      <w:pPr>
        <w:tabs>
          <w:tab w:val="left" w:pos="720"/>
          <w:tab w:val="left" w:pos="1440"/>
          <w:tab w:val="left" w:pos="9240"/>
        </w:tabs>
        <w:spacing w:line="480" w:lineRule="auto"/>
        <w:ind w:left="720" w:hanging="720"/>
        <w:rPr>
          <w:b/>
        </w:rPr>
      </w:pPr>
      <w:r>
        <w:rPr>
          <w:b/>
        </w:rPr>
        <w:lastRenderedPageBreak/>
        <w:t>Q.</w:t>
      </w:r>
      <w:r>
        <w:rPr>
          <w:b/>
        </w:rPr>
        <w:tab/>
        <w:t xml:space="preserve">Are there other facts the Commission should consider regarding </w:t>
      </w:r>
      <w:r w:rsidR="00D33841">
        <w:rPr>
          <w:b/>
        </w:rPr>
        <w:t xml:space="preserve">the </w:t>
      </w:r>
      <w:r>
        <w:rPr>
          <w:b/>
        </w:rPr>
        <w:t xml:space="preserve">capital structure for </w:t>
      </w:r>
      <w:r w:rsidR="00D25732">
        <w:rPr>
          <w:b/>
        </w:rPr>
        <w:t>PSE</w:t>
      </w:r>
      <w:r>
        <w:rPr>
          <w:b/>
        </w:rPr>
        <w:t>?</w:t>
      </w:r>
    </w:p>
    <w:p w:rsidR="00991C43" w:rsidRDefault="005D3B74" w:rsidP="00991C43">
      <w:pPr>
        <w:tabs>
          <w:tab w:val="left" w:pos="720"/>
          <w:tab w:val="left" w:pos="1440"/>
          <w:tab w:val="left" w:pos="9240"/>
        </w:tabs>
        <w:spacing w:line="480" w:lineRule="auto"/>
        <w:ind w:left="720" w:hanging="720"/>
      </w:pPr>
      <w:r>
        <w:t>A.</w:t>
      </w:r>
      <w:r>
        <w:tab/>
        <w:t xml:space="preserve">Yes.  </w:t>
      </w:r>
      <w:r w:rsidR="00E850A9">
        <w:t xml:space="preserve">The critical factor in the Commission’s evaluation of </w:t>
      </w:r>
      <w:r w:rsidR="00BA4623">
        <w:t>an appropriate</w:t>
      </w:r>
      <w:r w:rsidR="00E850A9">
        <w:t xml:space="preserve"> capital structure is the fact that PSE is a privately held company</w:t>
      </w:r>
      <w:r w:rsidR="000C54D0">
        <w:t xml:space="preserve">.  </w:t>
      </w:r>
      <w:r w:rsidR="008C04C6">
        <w:t>PSE’s</w:t>
      </w:r>
      <w:r w:rsidR="00E850A9">
        <w:t xml:space="preserve"> capital structure is controlled by </w:t>
      </w:r>
      <w:r w:rsidR="000658A4">
        <w:t>its owner</w:t>
      </w:r>
      <w:r w:rsidR="00F846B9">
        <w:t>s</w:t>
      </w:r>
      <w:r w:rsidR="00BA4623">
        <w:t xml:space="preserve"> whose </w:t>
      </w:r>
      <w:r w:rsidR="00161EEB">
        <w:t xml:space="preserve">objective </w:t>
      </w:r>
      <w:r w:rsidR="00736CD7">
        <w:t>is</w:t>
      </w:r>
      <w:r w:rsidR="001D7AD7">
        <w:t xml:space="preserve"> to maximize their returns </w:t>
      </w:r>
      <w:r w:rsidR="00F846B9">
        <w:t>at the holding company</w:t>
      </w:r>
      <w:r w:rsidR="00344B46">
        <w:t xml:space="preserve"> level</w:t>
      </w:r>
      <w:r w:rsidR="00F846B9">
        <w:t>.  A</w:t>
      </w:r>
      <w:r w:rsidR="00D60B14">
        <w:t>s</w:t>
      </w:r>
      <w:r w:rsidR="00F846B9">
        <w:t xml:space="preserve"> a result</w:t>
      </w:r>
      <w:r w:rsidR="00BA4623">
        <w:t>,</w:t>
      </w:r>
      <w:r w:rsidR="00F846B9">
        <w:t xml:space="preserve"> the owners </w:t>
      </w:r>
      <w:r w:rsidR="00161EEB">
        <w:t xml:space="preserve">could manipulate the capital structure of PSE to </w:t>
      </w:r>
      <w:r w:rsidR="001D7AD7">
        <w:t>that end</w:t>
      </w:r>
      <w:r w:rsidR="00161EEB">
        <w:t xml:space="preserve">.  </w:t>
      </w:r>
      <w:r w:rsidR="001D7AD7">
        <w:t>This is achieved through a doubl</w:t>
      </w:r>
      <w:r w:rsidR="00344B46">
        <w:t>e leverage effect</w:t>
      </w:r>
      <w:r w:rsidR="001D7AD7">
        <w:t xml:space="preserve">. </w:t>
      </w:r>
      <w:r w:rsidR="00ED5490">
        <w:t xml:space="preserve"> </w:t>
      </w:r>
      <w:r w:rsidR="00E850A9">
        <w:t xml:space="preserve">Therefore, the Commission must </w:t>
      </w:r>
      <w:r w:rsidR="0031207E">
        <w:t xml:space="preserve">ensure </w:t>
      </w:r>
      <w:r w:rsidR="001D699B">
        <w:t xml:space="preserve">PSE’s </w:t>
      </w:r>
      <w:r w:rsidR="0031207E">
        <w:t xml:space="preserve">regulated </w:t>
      </w:r>
      <w:r w:rsidR="00991C43">
        <w:t xml:space="preserve">operations </w:t>
      </w:r>
      <w:r w:rsidR="00E850A9">
        <w:t>are properly capitalized since the owners</w:t>
      </w:r>
      <w:r w:rsidR="00D33841">
        <w:t>’</w:t>
      </w:r>
      <w:r w:rsidR="00E850A9">
        <w:t xml:space="preserve"> </w:t>
      </w:r>
      <w:r w:rsidR="00D33841">
        <w:t xml:space="preserve">incentive </w:t>
      </w:r>
      <w:r w:rsidR="00E850A9">
        <w:t xml:space="preserve">is to capitalize utility </w:t>
      </w:r>
      <w:r w:rsidR="0031207E">
        <w:t xml:space="preserve">operations </w:t>
      </w:r>
      <w:r w:rsidR="00991C43">
        <w:t xml:space="preserve">with </w:t>
      </w:r>
      <w:r w:rsidR="007D38C5">
        <w:t>too much</w:t>
      </w:r>
      <w:r w:rsidR="00991C43">
        <w:t xml:space="preserve"> equity.</w:t>
      </w:r>
      <w:r w:rsidR="008C04C6">
        <w:t xml:space="preserve">  </w:t>
      </w:r>
    </w:p>
    <w:p w:rsidR="00991C43" w:rsidRDefault="00991C43" w:rsidP="00991C43">
      <w:pPr>
        <w:tabs>
          <w:tab w:val="left" w:pos="720"/>
          <w:tab w:val="left" w:pos="1440"/>
          <w:tab w:val="left" w:pos="9240"/>
        </w:tabs>
        <w:spacing w:line="480" w:lineRule="auto"/>
        <w:ind w:left="720" w:hanging="720"/>
      </w:pPr>
    </w:p>
    <w:p w:rsidR="00991C43" w:rsidRPr="00991C43" w:rsidRDefault="00991C43" w:rsidP="00991C43">
      <w:pPr>
        <w:tabs>
          <w:tab w:val="left" w:pos="720"/>
          <w:tab w:val="left" w:pos="1440"/>
          <w:tab w:val="left" w:pos="9240"/>
        </w:tabs>
        <w:spacing w:line="480" w:lineRule="auto"/>
        <w:ind w:left="720" w:hanging="720"/>
        <w:rPr>
          <w:b/>
        </w:rPr>
      </w:pPr>
      <w:r>
        <w:rPr>
          <w:b/>
        </w:rPr>
        <w:t>Q.</w:t>
      </w:r>
      <w:r>
        <w:rPr>
          <w:b/>
        </w:rPr>
        <w:tab/>
      </w:r>
      <w:r w:rsidR="00D33841">
        <w:rPr>
          <w:b/>
        </w:rPr>
        <w:t>Please explain how double leverage maximizes the equity investment of PSE’s owners.</w:t>
      </w:r>
    </w:p>
    <w:p w:rsidR="00991C43" w:rsidRDefault="00991C43" w:rsidP="00991C43">
      <w:pPr>
        <w:tabs>
          <w:tab w:val="left" w:pos="720"/>
          <w:tab w:val="left" w:pos="1440"/>
          <w:tab w:val="left" w:pos="9240"/>
        </w:tabs>
        <w:spacing w:line="480" w:lineRule="auto"/>
        <w:ind w:left="720" w:hanging="720"/>
      </w:pPr>
      <w:r>
        <w:t>A.</w:t>
      </w:r>
      <w:r>
        <w:tab/>
        <w:t xml:space="preserve">The owners issue debt at the holding company to finance </w:t>
      </w:r>
      <w:r w:rsidR="00BA4623">
        <w:t>their</w:t>
      </w:r>
      <w:r>
        <w:t xml:space="preserve"> equity </w:t>
      </w:r>
      <w:r w:rsidR="008C04C6">
        <w:t>investment</w:t>
      </w:r>
      <w:r>
        <w:t xml:space="preserve"> in the operating company.  </w:t>
      </w:r>
      <w:r w:rsidR="00D33841">
        <w:t xml:space="preserve">That debt is issued at a lower cost </w:t>
      </w:r>
      <w:r w:rsidR="00F018AF">
        <w:t xml:space="preserve">at the holding company level </w:t>
      </w:r>
      <w:r w:rsidR="00D33841">
        <w:t xml:space="preserve">than the return on equity </w:t>
      </w:r>
      <w:r w:rsidR="00503D46">
        <w:t xml:space="preserve">and associated income taxes </w:t>
      </w:r>
      <w:r w:rsidR="00B7272D">
        <w:t xml:space="preserve">recovered by the Company </w:t>
      </w:r>
      <w:r w:rsidR="00F018AF">
        <w:t xml:space="preserve">from customers for </w:t>
      </w:r>
      <w:r w:rsidR="00D33841">
        <w:t xml:space="preserve">ratemaking purposes.  </w:t>
      </w:r>
      <w:r>
        <w:t>As a result</w:t>
      </w:r>
      <w:r w:rsidR="00BA4623">
        <w:t>,</w:t>
      </w:r>
      <w:r>
        <w:t xml:space="preserve"> the owners are able to </w:t>
      </w:r>
      <w:r w:rsidR="00CA182A">
        <w:t>maximize</w:t>
      </w:r>
      <w:r>
        <w:t xml:space="preserve"> the returns </w:t>
      </w:r>
      <w:r w:rsidR="00CA182A">
        <w:t xml:space="preserve">of </w:t>
      </w:r>
      <w:r w:rsidR="00D33841">
        <w:t>their</w:t>
      </w:r>
      <w:r w:rsidR="00CA182A">
        <w:t xml:space="preserve"> actual equity investment at the holding company level</w:t>
      </w:r>
      <w:r>
        <w:t xml:space="preserve">.  </w:t>
      </w:r>
      <w:r w:rsidR="00CA182A">
        <w:t xml:space="preserve">The </w:t>
      </w:r>
      <w:r w:rsidR="00614534">
        <w:t xml:space="preserve">ownership structure </w:t>
      </w:r>
      <w:r w:rsidR="00CA182A">
        <w:t xml:space="preserve">requires the Commission at all times </w:t>
      </w:r>
      <w:r w:rsidR="00F83DAD">
        <w:t xml:space="preserve">to </w:t>
      </w:r>
      <w:r w:rsidR="00161EEB">
        <w:t xml:space="preserve">carefully consider how PSE’s </w:t>
      </w:r>
      <w:r w:rsidR="005C3F38">
        <w:t xml:space="preserve">new </w:t>
      </w:r>
      <w:r w:rsidR="00161EEB">
        <w:t>owner</w:t>
      </w:r>
      <w:r w:rsidR="001D7AD7">
        <w:t>s</w:t>
      </w:r>
      <w:r w:rsidR="00161EEB">
        <w:t xml:space="preserve"> determine to finance</w:t>
      </w:r>
      <w:r w:rsidR="00CA182A">
        <w:t xml:space="preserve"> </w:t>
      </w:r>
      <w:r w:rsidR="001D7AD7">
        <w:t>its</w:t>
      </w:r>
      <w:r w:rsidR="00CA182A">
        <w:t xml:space="preserve"> utility operations.</w:t>
      </w:r>
      <w:r w:rsidR="005C3F38">
        <w:t xml:space="preserve">  </w:t>
      </w:r>
    </w:p>
    <w:p w:rsidR="00F83DAD" w:rsidRDefault="00F83DAD" w:rsidP="00CA182A">
      <w:pPr>
        <w:tabs>
          <w:tab w:val="left" w:pos="720"/>
          <w:tab w:val="left" w:pos="1440"/>
          <w:tab w:val="left" w:pos="9240"/>
        </w:tabs>
        <w:spacing w:line="480" w:lineRule="auto"/>
        <w:ind w:left="720" w:hanging="720"/>
        <w:rPr>
          <w:b/>
        </w:rPr>
      </w:pPr>
    </w:p>
    <w:p w:rsidR="001536B3" w:rsidRPr="00BC1FAB" w:rsidRDefault="00BF1513" w:rsidP="00B51671">
      <w:pPr>
        <w:pStyle w:val="ListParagraph"/>
        <w:keepNext/>
        <w:numPr>
          <w:ilvl w:val="0"/>
          <w:numId w:val="32"/>
        </w:numPr>
        <w:spacing w:line="480" w:lineRule="auto"/>
        <w:ind w:left="723" w:hangingChars="300" w:hanging="723"/>
        <w:rPr>
          <w:b/>
        </w:rPr>
      </w:pPr>
      <w:r w:rsidRPr="00BC1FAB">
        <w:rPr>
          <w:b/>
        </w:rPr>
        <w:lastRenderedPageBreak/>
        <w:t>E</w:t>
      </w:r>
      <w:r w:rsidR="0087693A" w:rsidRPr="00BC1FAB">
        <w:rPr>
          <w:b/>
        </w:rPr>
        <w:t>quity Ratio</w:t>
      </w:r>
    </w:p>
    <w:p w:rsidR="00861FAC" w:rsidRPr="00861FAC" w:rsidRDefault="00861FAC" w:rsidP="00B51671">
      <w:pPr>
        <w:keepNext/>
        <w:spacing w:line="480" w:lineRule="auto"/>
        <w:ind w:left="720" w:hangingChars="300" w:hanging="720"/>
      </w:pPr>
    </w:p>
    <w:p w:rsidR="00022912" w:rsidRDefault="00022912" w:rsidP="00D2408E">
      <w:pPr>
        <w:tabs>
          <w:tab w:val="left" w:pos="720"/>
          <w:tab w:val="left" w:pos="1440"/>
          <w:tab w:val="left" w:pos="9240"/>
        </w:tabs>
        <w:spacing w:line="480" w:lineRule="auto"/>
        <w:ind w:left="720" w:hanging="720"/>
      </w:pPr>
      <w:r>
        <w:rPr>
          <w:b/>
        </w:rPr>
        <w:t>Q.</w:t>
      </w:r>
      <w:r>
        <w:rPr>
          <w:b/>
        </w:rPr>
        <w:tab/>
        <w:t xml:space="preserve">What </w:t>
      </w:r>
      <w:r w:rsidR="00A24FF6">
        <w:rPr>
          <w:b/>
        </w:rPr>
        <w:t xml:space="preserve">equity </w:t>
      </w:r>
      <w:r>
        <w:rPr>
          <w:b/>
        </w:rPr>
        <w:t xml:space="preserve">ratio is </w:t>
      </w:r>
      <w:r w:rsidR="00D25732">
        <w:rPr>
          <w:b/>
        </w:rPr>
        <w:t>PSE</w:t>
      </w:r>
      <w:r>
        <w:rPr>
          <w:b/>
        </w:rPr>
        <w:t xml:space="preserve"> requesting in this proceeding for its regulated operations?</w:t>
      </w:r>
    </w:p>
    <w:p w:rsidR="00022912" w:rsidRDefault="00022912" w:rsidP="00022912">
      <w:pPr>
        <w:tabs>
          <w:tab w:val="left" w:pos="720"/>
          <w:tab w:val="left" w:pos="1440"/>
          <w:tab w:val="left" w:pos="9240"/>
        </w:tabs>
        <w:spacing w:line="480" w:lineRule="auto"/>
        <w:ind w:left="720" w:hanging="720"/>
      </w:pPr>
      <w:r>
        <w:t>A.</w:t>
      </w:r>
      <w:r>
        <w:tab/>
        <w:t>The Company requests a capital structure</w:t>
      </w:r>
      <w:r w:rsidR="004F5D30">
        <w:t xml:space="preserve"> containing 48.</w:t>
      </w:r>
      <w:r w:rsidR="00A821E9">
        <w:t>0</w:t>
      </w:r>
      <w:r w:rsidR="004F5D30">
        <w:t xml:space="preserve"> percent common equity</w:t>
      </w:r>
      <w:r>
        <w:t xml:space="preserve"> </w:t>
      </w:r>
      <w:r w:rsidR="005374E8">
        <w:t xml:space="preserve">based upon </w:t>
      </w:r>
      <w:r w:rsidR="00ED5490">
        <w:t xml:space="preserve">a calculation of </w:t>
      </w:r>
      <w:r w:rsidR="005374E8">
        <w:t>the average of monthly average common equity ratio during 2010.</w:t>
      </w:r>
      <w:r w:rsidR="0004296A">
        <w:rPr>
          <w:rStyle w:val="FootnoteReference"/>
        </w:rPr>
        <w:footnoteReference w:id="9"/>
      </w:r>
      <w:r w:rsidR="005374E8">
        <w:t xml:space="preserve">  </w:t>
      </w:r>
      <w:r w:rsidRPr="005374E8">
        <w:rPr>
          <w:i/>
        </w:rPr>
        <w:t xml:space="preserve"> </w:t>
      </w:r>
    </w:p>
    <w:p w:rsidR="00022912" w:rsidRDefault="00022912" w:rsidP="00022912">
      <w:pPr>
        <w:tabs>
          <w:tab w:val="left" w:pos="720"/>
          <w:tab w:val="left" w:pos="1440"/>
          <w:tab w:val="left" w:pos="9240"/>
        </w:tabs>
        <w:spacing w:line="480" w:lineRule="auto"/>
        <w:ind w:left="720" w:hanging="720"/>
      </w:pPr>
    </w:p>
    <w:p w:rsidR="00022912" w:rsidRDefault="00022912" w:rsidP="00022912">
      <w:pPr>
        <w:keepNext/>
        <w:tabs>
          <w:tab w:val="left" w:pos="720"/>
          <w:tab w:val="left" w:pos="1440"/>
          <w:tab w:val="left" w:pos="9240"/>
        </w:tabs>
        <w:spacing w:line="480" w:lineRule="auto"/>
        <w:ind w:left="720" w:hanging="720"/>
        <w:rPr>
          <w:b/>
        </w:rPr>
      </w:pPr>
      <w:r>
        <w:rPr>
          <w:b/>
        </w:rPr>
        <w:t>Q.</w:t>
      </w:r>
      <w:r>
        <w:rPr>
          <w:b/>
        </w:rPr>
        <w:tab/>
      </w:r>
      <w:r w:rsidR="00F16736">
        <w:rPr>
          <w:b/>
        </w:rPr>
        <w:t>Does</w:t>
      </w:r>
      <w:r>
        <w:rPr>
          <w:b/>
        </w:rPr>
        <w:t xml:space="preserve"> a</w:t>
      </w:r>
      <w:r w:rsidR="00F16736">
        <w:rPr>
          <w:b/>
        </w:rPr>
        <w:t xml:space="preserve"> 48 percent equity ratio</w:t>
      </w:r>
      <w:r w:rsidR="00E035B1">
        <w:rPr>
          <w:b/>
        </w:rPr>
        <w:t xml:space="preserve"> </w:t>
      </w:r>
      <w:r w:rsidR="00F16736">
        <w:rPr>
          <w:b/>
        </w:rPr>
        <w:t xml:space="preserve">produce a </w:t>
      </w:r>
      <w:r>
        <w:rPr>
          <w:b/>
        </w:rPr>
        <w:t xml:space="preserve">reasonable capital structure </w:t>
      </w:r>
      <w:r w:rsidR="00E035B1">
        <w:rPr>
          <w:b/>
        </w:rPr>
        <w:t xml:space="preserve">for </w:t>
      </w:r>
      <w:r>
        <w:rPr>
          <w:b/>
        </w:rPr>
        <w:t xml:space="preserve">the Commission to develop </w:t>
      </w:r>
      <w:r w:rsidR="00D25732">
        <w:rPr>
          <w:b/>
        </w:rPr>
        <w:t>PSE</w:t>
      </w:r>
      <w:r w:rsidR="000F46E8">
        <w:rPr>
          <w:b/>
        </w:rPr>
        <w:t xml:space="preserve">’s </w:t>
      </w:r>
      <w:r>
        <w:rPr>
          <w:b/>
        </w:rPr>
        <w:t>cost of capital in this proceeding?</w:t>
      </w:r>
    </w:p>
    <w:p w:rsidR="00022912" w:rsidRDefault="00022912" w:rsidP="00022912">
      <w:pPr>
        <w:tabs>
          <w:tab w:val="left" w:pos="720"/>
          <w:tab w:val="left" w:pos="1440"/>
          <w:tab w:val="left" w:pos="9240"/>
        </w:tabs>
        <w:spacing w:line="480" w:lineRule="auto"/>
        <w:ind w:left="720" w:hanging="720"/>
      </w:pPr>
      <w:r>
        <w:t>A.</w:t>
      </w:r>
      <w:r>
        <w:tab/>
      </w:r>
      <w:r w:rsidR="00A32931">
        <w:t>No.</w:t>
      </w:r>
      <w:r w:rsidR="008D2808">
        <w:t xml:space="preserve">  It contains too much equity</w:t>
      </w:r>
      <w:r w:rsidR="004951D1">
        <w:t>, which</w:t>
      </w:r>
      <w:r w:rsidR="008D2808">
        <w:t xml:space="preserve"> places excessive costs on ratepayers.</w:t>
      </w:r>
    </w:p>
    <w:p w:rsidR="00022912" w:rsidRDefault="00022912" w:rsidP="00F30AA5">
      <w:pPr>
        <w:tabs>
          <w:tab w:val="left" w:pos="720"/>
          <w:tab w:val="left" w:pos="1440"/>
          <w:tab w:val="left" w:pos="9240"/>
        </w:tabs>
        <w:spacing w:line="480" w:lineRule="auto"/>
        <w:ind w:left="720" w:hanging="720"/>
        <w:rPr>
          <w:b/>
        </w:rPr>
      </w:pPr>
    </w:p>
    <w:p w:rsidR="00022912" w:rsidRDefault="00022912" w:rsidP="00F30AA5">
      <w:pPr>
        <w:tabs>
          <w:tab w:val="left" w:pos="720"/>
          <w:tab w:val="left" w:pos="1440"/>
          <w:tab w:val="left" w:pos="9240"/>
        </w:tabs>
        <w:spacing w:line="480" w:lineRule="auto"/>
        <w:ind w:left="720" w:hanging="720"/>
        <w:rPr>
          <w:b/>
        </w:rPr>
      </w:pPr>
      <w:r>
        <w:rPr>
          <w:b/>
        </w:rPr>
        <w:t>Q.</w:t>
      </w:r>
      <w:r>
        <w:rPr>
          <w:b/>
        </w:rPr>
        <w:tab/>
        <w:t xml:space="preserve">What capital structure should the Commission use to develop </w:t>
      </w:r>
      <w:r w:rsidR="00D25732">
        <w:rPr>
          <w:b/>
        </w:rPr>
        <w:t>PSE</w:t>
      </w:r>
      <w:r w:rsidR="00A15099">
        <w:rPr>
          <w:b/>
        </w:rPr>
        <w:t>’s</w:t>
      </w:r>
      <w:r>
        <w:rPr>
          <w:b/>
        </w:rPr>
        <w:t xml:space="preserve"> cost of capital in this proceeding?</w:t>
      </w:r>
    </w:p>
    <w:p w:rsidR="00A32931" w:rsidRDefault="00022912" w:rsidP="00A32931">
      <w:pPr>
        <w:tabs>
          <w:tab w:val="left" w:pos="720"/>
          <w:tab w:val="left" w:pos="1440"/>
          <w:tab w:val="left" w:pos="9240"/>
        </w:tabs>
        <w:spacing w:line="480" w:lineRule="auto"/>
        <w:ind w:left="720" w:hanging="720"/>
      </w:pPr>
      <w:r>
        <w:t>A.</w:t>
      </w:r>
      <w:r>
        <w:tab/>
      </w:r>
      <w:r w:rsidR="00A32931">
        <w:t xml:space="preserve">I </w:t>
      </w:r>
      <w:r w:rsidR="00DD6D1B">
        <w:t>recommend</w:t>
      </w:r>
      <w:r w:rsidR="00A32931">
        <w:t xml:space="preserve"> an equi</w:t>
      </w:r>
      <w:r w:rsidR="00736CD7">
        <w:t>ty ratio of 46.</w:t>
      </w:r>
      <w:r w:rsidR="000658A4">
        <w:t xml:space="preserve">0 </w:t>
      </w:r>
      <w:r w:rsidR="00736CD7">
        <w:t>percent</w:t>
      </w:r>
      <w:r w:rsidR="00DD6D1B">
        <w:t xml:space="preserve">.  </w:t>
      </w:r>
      <w:r w:rsidR="007D38C5">
        <w:t>It is a reasonable</w:t>
      </w:r>
      <w:r w:rsidR="00DD6D1B">
        <w:t xml:space="preserve"> capital structure </w:t>
      </w:r>
      <w:r w:rsidR="0087693A">
        <w:t xml:space="preserve">that </w:t>
      </w:r>
      <w:r w:rsidR="007D38C5">
        <w:t xml:space="preserve">appropriately </w:t>
      </w:r>
      <w:r w:rsidR="00DD6D1B">
        <w:t>balances the interests of safety and economy.</w:t>
      </w:r>
    </w:p>
    <w:p w:rsidR="00731109" w:rsidRDefault="00731109" w:rsidP="00022912">
      <w:pPr>
        <w:tabs>
          <w:tab w:val="left" w:pos="720"/>
          <w:tab w:val="left" w:pos="1440"/>
          <w:tab w:val="left" w:pos="9240"/>
        </w:tabs>
        <w:spacing w:line="480" w:lineRule="auto"/>
        <w:ind w:left="720" w:hanging="720"/>
      </w:pPr>
    </w:p>
    <w:p w:rsidR="00731109" w:rsidRPr="00002A1F" w:rsidRDefault="00731109" w:rsidP="00731109">
      <w:pPr>
        <w:tabs>
          <w:tab w:val="left" w:pos="720"/>
          <w:tab w:val="left" w:pos="1440"/>
          <w:tab w:val="left" w:pos="9240"/>
        </w:tabs>
        <w:spacing w:line="480" w:lineRule="auto"/>
        <w:ind w:left="720" w:hanging="720"/>
        <w:rPr>
          <w:b/>
        </w:rPr>
      </w:pPr>
      <w:r>
        <w:rPr>
          <w:b/>
        </w:rPr>
        <w:t>Q.</w:t>
      </w:r>
      <w:r>
        <w:rPr>
          <w:b/>
        </w:rPr>
        <w:tab/>
        <w:t>What factors did you consider in evaluati</w:t>
      </w:r>
      <w:r w:rsidR="00DD6D1B">
        <w:rPr>
          <w:b/>
        </w:rPr>
        <w:t xml:space="preserve">ng </w:t>
      </w:r>
      <w:r>
        <w:rPr>
          <w:b/>
        </w:rPr>
        <w:t>a reasonable equity ratio for ratemaking purposes in this case?</w:t>
      </w:r>
    </w:p>
    <w:p w:rsidR="00FE2E25" w:rsidRDefault="005D3B74" w:rsidP="00B7272D">
      <w:pPr>
        <w:tabs>
          <w:tab w:val="left" w:pos="720"/>
          <w:tab w:val="left" w:pos="1440"/>
          <w:tab w:val="left" w:pos="9240"/>
        </w:tabs>
        <w:spacing w:line="480" w:lineRule="auto"/>
        <w:ind w:left="720" w:hanging="720"/>
      </w:pPr>
      <w:r w:rsidRPr="00131071">
        <w:t>A.</w:t>
      </w:r>
      <w:r>
        <w:rPr>
          <w:b/>
        </w:rPr>
        <w:tab/>
      </w:r>
      <w:r w:rsidR="00B7272D">
        <w:t xml:space="preserve">The most appropriate starting point is PSE’s actual capital structure for 2010, the most recent fiscal year.  As of December 31, 2010, PSE’s actual equity ratio was 46.5 percent, and the corresponding debt ratio was 53.5 percent, including 3.9 </w:t>
      </w:r>
      <w:r w:rsidR="00B7272D">
        <w:lastRenderedPageBreak/>
        <w:t>percent short-term debt.</w:t>
      </w:r>
      <w:r w:rsidR="0004296A">
        <w:rPr>
          <w:rStyle w:val="FootnoteReference"/>
        </w:rPr>
        <w:footnoteReference w:id="10"/>
      </w:r>
      <w:r w:rsidR="00B7272D">
        <w:t xml:space="preserve">  My recommended 46 percent equity ratio is consistent with the actual 2010 year-end equity ratio of PSE.  </w:t>
      </w:r>
    </w:p>
    <w:p w:rsidR="004951D1" w:rsidRDefault="00FE2E25" w:rsidP="00B7272D">
      <w:pPr>
        <w:tabs>
          <w:tab w:val="left" w:pos="720"/>
          <w:tab w:val="left" w:pos="1440"/>
          <w:tab w:val="left" w:pos="9240"/>
        </w:tabs>
        <w:spacing w:line="480" w:lineRule="auto"/>
        <w:ind w:left="720" w:hanging="720"/>
      </w:pPr>
      <w:r>
        <w:tab/>
      </w:r>
      <w:r>
        <w:tab/>
      </w:r>
      <w:r w:rsidR="00B7272D">
        <w:t xml:space="preserve">Mr. Gaines points out correctly that the equity ratio increased to 50 percent as a result </w:t>
      </w:r>
      <w:r w:rsidR="00DD6D1B">
        <w:t xml:space="preserve">of </w:t>
      </w:r>
      <w:r w:rsidR="00B7272D">
        <w:t>closing the sale of PSE to the Macquarie Investor Consortium.  However, the equity ratio has s</w:t>
      </w:r>
      <w:r w:rsidR="00DD6D1B">
        <w:t xml:space="preserve">ubsequently declined due to </w:t>
      </w:r>
      <w:r w:rsidR="00B7272D">
        <w:t>additional debt PSE</w:t>
      </w:r>
      <w:r>
        <w:t xml:space="preserve"> issued since the sale</w:t>
      </w:r>
      <w:r w:rsidR="0004296A">
        <w:t>.</w:t>
      </w:r>
      <w:r w:rsidR="0004296A">
        <w:rPr>
          <w:rStyle w:val="FootnoteReference"/>
        </w:rPr>
        <w:footnoteReference w:id="11"/>
      </w:r>
      <w:r w:rsidR="00E322F2">
        <w:t xml:space="preserve"> </w:t>
      </w:r>
    </w:p>
    <w:p w:rsidR="0087693A" w:rsidRDefault="004951D1" w:rsidP="005D3B74">
      <w:pPr>
        <w:tabs>
          <w:tab w:val="left" w:pos="720"/>
          <w:tab w:val="left" w:pos="1440"/>
          <w:tab w:val="left" w:pos="9240"/>
        </w:tabs>
        <w:spacing w:line="480" w:lineRule="auto"/>
        <w:ind w:left="720" w:hanging="720"/>
      </w:pPr>
      <w:r>
        <w:tab/>
      </w:r>
      <w:r>
        <w:tab/>
      </w:r>
      <w:r w:rsidR="00A24FF6">
        <w:t>Moreover,</w:t>
      </w:r>
      <w:r w:rsidR="00A32931">
        <w:t xml:space="preserve"> </w:t>
      </w:r>
      <w:r w:rsidR="00B7272D">
        <w:t>PSE issue</w:t>
      </w:r>
      <w:r w:rsidR="009F330D">
        <w:t>d</w:t>
      </w:r>
      <w:r w:rsidR="00B7272D">
        <w:t xml:space="preserve"> additional debt in 2011</w:t>
      </w:r>
      <w:r w:rsidR="0087693A">
        <w:t>,</w:t>
      </w:r>
      <w:r w:rsidR="00B7272D">
        <w:t xml:space="preserve"> as noted by Mr. Gaines.</w:t>
      </w:r>
      <w:r w:rsidR="0004296A">
        <w:rPr>
          <w:rStyle w:val="FootnoteReference"/>
        </w:rPr>
        <w:footnoteReference w:id="12"/>
      </w:r>
      <w:r w:rsidR="00B7272D">
        <w:t xml:space="preserve">  </w:t>
      </w:r>
      <w:r w:rsidR="00E035B1">
        <w:rPr>
          <w:i/>
        </w:rPr>
        <w:t xml:space="preserve"> </w:t>
      </w:r>
      <w:r w:rsidR="00DD6D1B">
        <w:t>This</w:t>
      </w:r>
      <w:r w:rsidR="00E035B1">
        <w:t xml:space="preserve"> issuance of additional debt </w:t>
      </w:r>
      <w:r w:rsidR="00A32931">
        <w:t>will cause the equity ratio to decrease further</w:t>
      </w:r>
      <w:r w:rsidR="00716F7B">
        <w:t xml:space="preserve"> absent any further equity infusion from Puget Energy</w:t>
      </w:r>
      <w:r w:rsidR="00A32931">
        <w:t xml:space="preserve">.  </w:t>
      </w:r>
      <w:r w:rsidR="00DF3981">
        <w:t>If I calculate PSE’s actual equity ratio based upon its September 30, 2011 balance sheet and include the effect of the new debt issued in November 2011</w:t>
      </w:r>
      <w:r w:rsidR="003B0F05">
        <w:t>,</w:t>
      </w:r>
      <w:r w:rsidR="00DF3981">
        <w:t xml:space="preserve"> the actual equity ratio is 44.5 percent. </w:t>
      </w:r>
    </w:p>
    <w:p w:rsidR="00CA7037" w:rsidRDefault="0087693A" w:rsidP="005D3B74">
      <w:pPr>
        <w:tabs>
          <w:tab w:val="left" w:pos="720"/>
          <w:tab w:val="left" w:pos="1440"/>
          <w:tab w:val="left" w:pos="9240"/>
        </w:tabs>
        <w:spacing w:line="480" w:lineRule="auto"/>
        <w:ind w:left="720" w:hanging="720"/>
      </w:pPr>
      <w:r>
        <w:tab/>
      </w:r>
      <w:r>
        <w:tab/>
      </w:r>
      <w:r w:rsidR="00FE2E25">
        <w:t xml:space="preserve">Furthermore, </w:t>
      </w:r>
      <w:r w:rsidR="00A24FF6">
        <w:t xml:space="preserve">the Company’s </w:t>
      </w:r>
      <w:r w:rsidR="00FE2E25">
        <w:t xml:space="preserve">response to </w:t>
      </w:r>
      <w:r w:rsidR="00A24FF6">
        <w:t xml:space="preserve">Staff Data Request </w:t>
      </w:r>
      <w:r w:rsidR="00FD54DD">
        <w:t xml:space="preserve">No. 11 </w:t>
      </w:r>
      <w:r w:rsidR="00A24FF6">
        <w:t xml:space="preserve">shows that </w:t>
      </w:r>
      <w:r w:rsidR="00FE2E25">
        <w:t xml:space="preserve">my recommended equity ratio is consistent with PSE’s financial forecast.  </w:t>
      </w:r>
      <w:r w:rsidR="00E322F2">
        <w:t>My recommended equity ratio of 46</w:t>
      </w:r>
      <w:r w:rsidR="00AC4324">
        <w:t>.0</w:t>
      </w:r>
      <w:r w:rsidR="00E322F2">
        <w:t xml:space="preserve"> percent, therefore, is consistent with </w:t>
      </w:r>
      <w:r w:rsidR="00E035B1">
        <w:t xml:space="preserve">PSE’s </w:t>
      </w:r>
      <w:r w:rsidR="00AC4324">
        <w:t xml:space="preserve">actual equity ratio, its </w:t>
      </w:r>
      <w:r w:rsidR="00E035B1">
        <w:t>finan</w:t>
      </w:r>
      <w:r w:rsidR="00FE2E25">
        <w:t>cing plans for the rate year and</w:t>
      </w:r>
      <w:r w:rsidR="00DD6D1B">
        <w:t>, thus,</w:t>
      </w:r>
      <w:r w:rsidR="00E035B1">
        <w:t xml:space="preserve"> </w:t>
      </w:r>
      <w:r w:rsidR="00E322F2">
        <w:t>the equity ratio that is likely to prevail during the rate year.</w:t>
      </w:r>
    </w:p>
    <w:p w:rsidR="00CA7037" w:rsidRDefault="00CA7037" w:rsidP="00CA7037">
      <w:pPr>
        <w:tabs>
          <w:tab w:val="left" w:pos="720"/>
          <w:tab w:val="left" w:pos="1440"/>
          <w:tab w:val="left" w:pos="9240"/>
        </w:tabs>
        <w:spacing w:line="480" w:lineRule="auto"/>
        <w:ind w:left="720" w:hanging="720"/>
        <w:rPr>
          <w:b/>
        </w:rPr>
      </w:pPr>
    </w:p>
    <w:p w:rsidR="00CA7037" w:rsidRPr="00002A1F" w:rsidRDefault="00CA7037" w:rsidP="00CA7037">
      <w:pPr>
        <w:tabs>
          <w:tab w:val="left" w:pos="720"/>
          <w:tab w:val="left" w:pos="1440"/>
          <w:tab w:val="left" w:pos="9240"/>
        </w:tabs>
        <w:spacing w:line="480" w:lineRule="auto"/>
        <w:ind w:left="720" w:hanging="720"/>
        <w:rPr>
          <w:b/>
        </w:rPr>
      </w:pPr>
      <w:r>
        <w:rPr>
          <w:b/>
        </w:rPr>
        <w:t>Q.</w:t>
      </w:r>
      <w:r>
        <w:rPr>
          <w:b/>
        </w:rPr>
        <w:tab/>
        <w:t>What other evidence did you consider in evaluati</w:t>
      </w:r>
      <w:r w:rsidR="004951D1">
        <w:rPr>
          <w:b/>
        </w:rPr>
        <w:t xml:space="preserve">ng </w:t>
      </w:r>
      <w:r>
        <w:rPr>
          <w:b/>
        </w:rPr>
        <w:t>a reasonable equity ratio for ratemaking purposes in this case?</w:t>
      </w:r>
    </w:p>
    <w:p w:rsidR="00863A30" w:rsidRDefault="00CA7037" w:rsidP="005D3B74">
      <w:pPr>
        <w:tabs>
          <w:tab w:val="left" w:pos="720"/>
          <w:tab w:val="left" w:pos="1440"/>
          <w:tab w:val="left" w:pos="9240"/>
        </w:tabs>
        <w:spacing w:line="480" w:lineRule="auto"/>
        <w:ind w:left="720" w:hanging="720"/>
      </w:pPr>
      <w:r w:rsidRPr="00131071">
        <w:t>A.</w:t>
      </w:r>
      <w:r>
        <w:rPr>
          <w:b/>
        </w:rPr>
        <w:tab/>
      </w:r>
      <w:r w:rsidR="00731109" w:rsidRPr="00731109">
        <w:t>I considered</w:t>
      </w:r>
      <w:r w:rsidR="00731109">
        <w:rPr>
          <w:b/>
        </w:rPr>
        <w:t xml:space="preserve"> </w:t>
      </w:r>
      <w:r w:rsidR="005D3B74">
        <w:t xml:space="preserve">summary information for the regulated electric and natural gas industry in this country.  </w:t>
      </w:r>
      <w:r w:rsidR="00E322F2">
        <w:t xml:space="preserve">First, </w:t>
      </w:r>
      <w:r w:rsidR="00913136">
        <w:t>I review</w:t>
      </w:r>
      <w:r w:rsidR="00E322F2">
        <w:t>ed</w:t>
      </w:r>
      <w:r w:rsidR="00913136">
        <w:t xml:space="preserve"> </w:t>
      </w:r>
      <w:r w:rsidR="00E322F2">
        <w:t>data</w:t>
      </w:r>
      <w:r w:rsidR="00913136">
        <w:t xml:space="preserve"> reported </w:t>
      </w:r>
      <w:r w:rsidR="00731109">
        <w:t>by AUS Utility Reports</w:t>
      </w:r>
      <w:r w:rsidR="00E322F2">
        <w:t xml:space="preserve"> that showed </w:t>
      </w:r>
    </w:p>
    <w:p w:rsidR="00863A30" w:rsidRDefault="00863A30">
      <w:r>
        <w:br w:type="page"/>
      </w:r>
    </w:p>
    <w:p w:rsidR="00913136" w:rsidRDefault="00863A30" w:rsidP="005D3B74">
      <w:pPr>
        <w:tabs>
          <w:tab w:val="left" w:pos="720"/>
          <w:tab w:val="left" w:pos="1440"/>
          <w:tab w:val="left" w:pos="9240"/>
        </w:tabs>
        <w:spacing w:line="480" w:lineRule="auto"/>
        <w:ind w:left="720" w:hanging="720"/>
      </w:pPr>
      <w:r>
        <w:lastRenderedPageBreak/>
        <w:tab/>
      </w:r>
      <w:r w:rsidR="005D3B74">
        <w:t xml:space="preserve">the following </w:t>
      </w:r>
      <w:r w:rsidR="002518FB">
        <w:t xml:space="preserve">common equity ratios </w:t>
      </w:r>
      <w:r w:rsidR="005D3B74">
        <w:t>for 20</w:t>
      </w:r>
      <w:r w:rsidR="00731109">
        <w:t>1</w:t>
      </w:r>
      <w:r w:rsidR="002518FB">
        <w:t>0</w:t>
      </w:r>
      <w:r w:rsidR="005D3B74">
        <w:t>:  1) electric companies were capitalized with 46</w:t>
      </w:r>
      <w:r w:rsidR="00731109">
        <w:t>.40</w:t>
      </w:r>
      <w:r w:rsidR="00736CD7">
        <w:t xml:space="preserve"> percent</w:t>
      </w:r>
      <w:r w:rsidR="00731109">
        <w:t xml:space="preserve"> common </w:t>
      </w:r>
      <w:r w:rsidR="005D3B74">
        <w:t>equity</w:t>
      </w:r>
      <w:r w:rsidR="004951D1">
        <w:t>;</w:t>
      </w:r>
      <w:r w:rsidR="005D3B74">
        <w:t xml:space="preserve"> and </w:t>
      </w:r>
      <w:r w:rsidR="00913136">
        <w:t xml:space="preserve">2) </w:t>
      </w:r>
      <w:r w:rsidR="005D3B74">
        <w:t>combination e</w:t>
      </w:r>
      <w:r w:rsidR="00731109">
        <w:t xml:space="preserve">lectric/gas companies </w:t>
      </w:r>
      <w:r w:rsidR="00913136">
        <w:t xml:space="preserve">were capitalized </w:t>
      </w:r>
      <w:r w:rsidR="00731109">
        <w:t>with 46</w:t>
      </w:r>
      <w:r w:rsidR="00736CD7">
        <w:t>.0</w:t>
      </w:r>
      <w:r w:rsidR="005D3B74">
        <w:t xml:space="preserve"> percent </w:t>
      </w:r>
      <w:r w:rsidR="00731109">
        <w:t xml:space="preserve">common </w:t>
      </w:r>
      <w:r w:rsidR="00913136">
        <w:t>equity.</w:t>
      </w:r>
    </w:p>
    <w:p w:rsidR="005D3B74" w:rsidRDefault="00913136" w:rsidP="005D3B74">
      <w:pPr>
        <w:tabs>
          <w:tab w:val="left" w:pos="720"/>
          <w:tab w:val="left" w:pos="1440"/>
          <w:tab w:val="left" w:pos="9240"/>
        </w:tabs>
        <w:spacing w:line="480" w:lineRule="auto"/>
        <w:ind w:left="720" w:hanging="720"/>
      </w:pPr>
      <w:r>
        <w:tab/>
      </w:r>
      <w:r>
        <w:tab/>
        <w:t>Next, I evaluate</w:t>
      </w:r>
      <w:r w:rsidR="004951D1">
        <w:t>d</w:t>
      </w:r>
      <w:r>
        <w:t xml:space="preserve"> capital structure information reported by</w:t>
      </w:r>
      <w:r w:rsidR="005D3B74">
        <w:t xml:space="preserve"> SNL</w:t>
      </w:r>
      <w:r>
        <w:t xml:space="preserve">.  </w:t>
      </w:r>
      <w:r w:rsidR="00F16736">
        <w:t>It</w:t>
      </w:r>
      <w:r>
        <w:t xml:space="preserve"> reports the equity ratio for </w:t>
      </w:r>
      <w:r w:rsidR="00F850E7">
        <w:t>a large</w:t>
      </w:r>
      <w:r>
        <w:t xml:space="preserve"> group</w:t>
      </w:r>
      <w:r w:rsidR="005D3B74">
        <w:t xml:space="preserve"> </w:t>
      </w:r>
      <w:r w:rsidR="001536B3">
        <w:t>(</w:t>
      </w:r>
      <w:r w:rsidR="00202C25">
        <w:t>45</w:t>
      </w:r>
      <w:r w:rsidR="001536B3">
        <w:t xml:space="preserve">) </w:t>
      </w:r>
      <w:r w:rsidR="00F850E7">
        <w:t xml:space="preserve">of </w:t>
      </w:r>
      <w:r w:rsidR="00202C25">
        <w:t>utility parent companies with significant utility operations</w:t>
      </w:r>
      <w:r w:rsidR="00F850E7">
        <w:t xml:space="preserve">.  </w:t>
      </w:r>
      <w:r w:rsidR="00E322F2">
        <w:t>T</w:t>
      </w:r>
      <w:r w:rsidR="001536B3">
        <w:t xml:space="preserve">he equity ratio for these </w:t>
      </w:r>
      <w:r w:rsidR="00202C25">
        <w:t xml:space="preserve">parent </w:t>
      </w:r>
      <w:r w:rsidR="00F850E7">
        <w:t>companies</w:t>
      </w:r>
      <w:r w:rsidR="005D3B74">
        <w:t xml:space="preserve"> </w:t>
      </w:r>
      <w:r>
        <w:t xml:space="preserve">in 2010 </w:t>
      </w:r>
      <w:r w:rsidR="00202C25">
        <w:t>is 44</w:t>
      </w:r>
      <w:r w:rsidR="00F850E7">
        <w:t>.</w:t>
      </w:r>
      <w:r w:rsidR="00202C25">
        <w:t>5</w:t>
      </w:r>
      <w:r w:rsidR="005D3B74">
        <w:t xml:space="preserve"> percent.  </w:t>
      </w:r>
      <w:r w:rsidR="00202C25">
        <w:t>The median equity ratio for this group is 43.6 percent.</w:t>
      </w:r>
      <w:r w:rsidR="00344B46">
        <w:t xml:space="preserve">  The summary data for these companies all include short-term debt in the calculation of the ratios.</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Do you have any other comments with respect to th</w:t>
      </w:r>
      <w:r w:rsidR="00E322F2">
        <w:rPr>
          <w:b/>
        </w:rPr>
        <w:t>e data reported by AUS and SLN?</w:t>
      </w:r>
    </w:p>
    <w:p w:rsidR="005D3B74" w:rsidRDefault="005D3B74" w:rsidP="005D3B74">
      <w:pPr>
        <w:tabs>
          <w:tab w:val="left" w:pos="720"/>
          <w:tab w:val="left" w:pos="1440"/>
          <w:tab w:val="left" w:pos="9240"/>
        </w:tabs>
        <w:spacing w:line="480" w:lineRule="auto"/>
        <w:ind w:left="720" w:hanging="720"/>
      </w:pPr>
      <w:r>
        <w:t>A.</w:t>
      </w:r>
      <w:r>
        <w:tab/>
        <w:t xml:space="preserve">Yes.  </w:t>
      </w:r>
      <w:r w:rsidR="00DD6D1B">
        <w:t>Using the data reported by AUS and SL</w:t>
      </w:r>
      <w:r w:rsidR="00ED5490">
        <w:t xml:space="preserve">N, </w:t>
      </w:r>
      <w:r>
        <w:t xml:space="preserve">I calculated the capital structure for the companies in my proxy group that I use for estimating </w:t>
      </w:r>
      <w:r w:rsidR="00D25732">
        <w:t>PSE</w:t>
      </w:r>
      <w:r w:rsidR="00891B1A">
        <w:t>’s</w:t>
      </w:r>
      <w:r>
        <w:t xml:space="preserve"> return on equity.  For the period ending </w:t>
      </w:r>
      <w:r w:rsidR="00731109">
        <w:t>2010</w:t>
      </w:r>
      <w:r w:rsidR="004951D1">
        <w:t>,</w:t>
      </w:r>
      <w:r>
        <w:t xml:space="preserve"> the equ</w:t>
      </w:r>
      <w:r w:rsidR="00913136">
        <w:t xml:space="preserve">ity ratio for this group is </w:t>
      </w:r>
      <w:r w:rsidR="00ED25AB">
        <w:t>44.60 and 44.40</w:t>
      </w:r>
      <w:r>
        <w:t xml:space="preserve"> percent</w:t>
      </w:r>
      <w:r w:rsidR="004951D1">
        <w:t>,</w:t>
      </w:r>
      <w:r w:rsidR="00ED25AB">
        <w:t xml:space="preserve"> respectively</w:t>
      </w:r>
      <w:r>
        <w:t>.</w:t>
      </w:r>
      <w:r w:rsidR="00ED25AB">
        <w:rPr>
          <w:rStyle w:val="FootnoteReference"/>
        </w:rPr>
        <w:footnoteReference w:id="13"/>
      </w:r>
      <w:r>
        <w:t xml:space="preserve">  </w:t>
      </w:r>
      <w:r w:rsidR="004951D1">
        <w:t xml:space="preserve">I discuss my rationale for selecting this proxy group in </w:t>
      </w:r>
      <w:r w:rsidR="00E322F2">
        <w:t>the Cost of Equity section of</w:t>
      </w:r>
      <w:r w:rsidR="004951D1">
        <w:t xml:space="preserve"> my testimony.</w:t>
      </w:r>
    </w:p>
    <w:p w:rsidR="00913136" w:rsidRPr="00B25FE0" w:rsidRDefault="00913136"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What other factors did you consider</w:t>
      </w:r>
      <w:r w:rsidR="00E322F2">
        <w:rPr>
          <w:b/>
        </w:rPr>
        <w:t xml:space="preserve"> </w:t>
      </w:r>
      <w:r w:rsidR="00DD6D1B">
        <w:rPr>
          <w:b/>
        </w:rPr>
        <w:t>in developing</w:t>
      </w:r>
      <w:r w:rsidR="00E322F2">
        <w:rPr>
          <w:b/>
        </w:rPr>
        <w:t xml:space="preserve"> your 46 percent equity ratio recommendation</w:t>
      </w:r>
      <w:r>
        <w:rPr>
          <w:b/>
        </w:rPr>
        <w:t>?</w:t>
      </w:r>
    </w:p>
    <w:p w:rsidR="00E032F4" w:rsidRPr="004A4A21" w:rsidRDefault="005D3B74" w:rsidP="00E032F4">
      <w:pPr>
        <w:tabs>
          <w:tab w:val="left" w:pos="720"/>
          <w:tab w:val="left" w:pos="1440"/>
          <w:tab w:val="left" w:pos="9240"/>
        </w:tabs>
        <w:spacing w:line="480" w:lineRule="auto"/>
        <w:ind w:left="720" w:hanging="720"/>
      </w:pPr>
      <w:r>
        <w:t>A.</w:t>
      </w:r>
      <w:r>
        <w:tab/>
        <w:t xml:space="preserve">I considered credit rating information provided by S&amp;P with respect to the electric </w:t>
      </w:r>
      <w:r w:rsidR="00FC6EA2">
        <w:t xml:space="preserve">and combination </w:t>
      </w:r>
      <w:r>
        <w:t>companies it follows.  S&amp;P</w:t>
      </w:r>
      <w:r w:rsidR="00F83DAD">
        <w:t xml:space="preserve"> </w:t>
      </w:r>
      <w:r>
        <w:t>indicates the majority of electric companies in this c</w:t>
      </w:r>
      <w:r w:rsidR="00913136">
        <w:t>oun</w:t>
      </w:r>
      <w:r w:rsidR="001536B3">
        <w:t xml:space="preserve">try are rated “BBB”.  </w:t>
      </w:r>
      <w:r w:rsidR="00E032F4">
        <w:t xml:space="preserve"> In early 2011</w:t>
      </w:r>
      <w:r w:rsidR="004951D1">
        <w:t>,</w:t>
      </w:r>
      <w:r w:rsidR="00B134EB">
        <w:t xml:space="preserve"> S&amp;P </w:t>
      </w:r>
      <w:r w:rsidR="00FE2E25">
        <w:t xml:space="preserve">issued ratings for </w:t>
      </w:r>
      <w:r w:rsidR="00FE2E25">
        <w:lastRenderedPageBreak/>
        <w:t>18</w:t>
      </w:r>
      <w:r w:rsidR="00FC6EA2">
        <w:t>3 companies and</w:t>
      </w:r>
      <w:r w:rsidR="00383BB4">
        <w:t xml:space="preserve"> </w:t>
      </w:r>
      <w:r w:rsidR="00FE2E25">
        <w:t>124</w:t>
      </w:r>
      <w:r w:rsidR="00383BB4">
        <w:t xml:space="preserve"> </w:t>
      </w:r>
      <w:r w:rsidR="00174C9D">
        <w:t xml:space="preserve">of those </w:t>
      </w:r>
      <w:r w:rsidR="00383BB4">
        <w:t>utilities were rated BBB</w:t>
      </w:r>
      <w:r w:rsidR="00FC6EA2">
        <w:t>.</w:t>
      </w:r>
      <w:r w:rsidR="00B134EB">
        <w:rPr>
          <w:rStyle w:val="FootnoteReference"/>
        </w:rPr>
        <w:footnoteReference w:id="14"/>
      </w:r>
      <w:r w:rsidR="00FC6EA2">
        <w:t xml:space="preserve"> </w:t>
      </w:r>
      <w:r w:rsidR="00B134EB">
        <w:t xml:space="preserve"> </w:t>
      </w:r>
      <w:r w:rsidR="00E032F4">
        <w:t>Exhibit No. __</w:t>
      </w:r>
      <w:proofErr w:type="gramStart"/>
      <w:r w:rsidR="00E032F4">
        <w:t>_(</w:t>
      </w:r>
      <w:proofErr w:type="gramEnd"/>
      <w:r w:rsidR="00E032F4">
        <w:t>KLE-</w:t>
      </w:r>
      <w:r w:rsidR="00857B68">
        <w:t>4</w:t>
      </w:r>
      <w:r w:rsidR="00E032F4">
        <w:t>) is a copy of S</w:t>
      </w:r>
      <w:r w:rsidR="00A24FF6">
        <w:t>&amp;P</w:t>
      </w:r>
      <w:r w:rsidR="00E032F4">
        <w:t xml:space="preserve">’s </w:t>
      </w:r>
      <w:r w:rsidR="003B64C1">
        <w:t>September</w:t>
      </w:r>
      <w:r w:rsidR="00E032F4">
        <w:t xml:space="preserve"> 30, 2011 Global Credit Portal </w:t>
      </w:r>
      <w:proofErr w:type="spellStart"/>
      <w:r w:rsidR="00E032F4">
        <w:t>Rating</w:t>
      </w:r>
      <w:r w:rsidR="003B64C1">
        <w:t>sDirect</w:t>
      </w:r>
      <w:proofErr w:type="spellEnd"/>
      <w:r w:rsidR="003B64C1">
        <w:t xml:space="preserve"> Industry Report Card.  </w:t>
      </w:r>
      <w:r w:rsidR="00E032F4">
        <w:t>The document summarized the credit outlook for the electric industry (including combination companies such as PSE)</w:t>
      </w:r>
      <w:r w:rsidR="00A24FF6">
        <w:t>,</w:t>
      </w:r>
      <w:r w:rsidR="00E032F4">
        <w:t xml:space="preserve"> showing overall credit profile of the industry.  </w:t>
      </w:r>
    </w:p>
    <w:p w:rsidR="00E032F4" w:rsidRDefault="00E032F4" w:rsidP="00E032F4">
      <w:pPr>
        <w:tabs>
          <w:tab w:val="left" w:pos="720"/>
          <w:tab w:val="left" w:pos="1440"/>
          <w:tab w:val="left" w:pos="9240"/>
        </w:tabs>
        <w:spacing w:line="480" w:lineRule="auto"/>
        <w:ind w:left="720" w:hanging="720"/>
        <w:rPr>
          <w:i/>
        </w:rPr>
      </w:pPr>
    </w:p>
    <w:p w:rsidR="005D3B74" w:rsidRDefault="00F16736" w:rsidP="005D3B74">
      <w:pPr>
        <w:tabs>
          <w:tab w:val="left" w:pos="720"/>
          <w:tab w:val="left" w:pos="1440"/>
          <w:tab w:val="left" w:pos="9240"/>
        </w:tabs>
        <w:spacing w:line="480" w:lineRule="auto"/>
        <w:ind w:left="720" w:hanging="720"/>
        <w:rPr>
          <w:b/>
        </w:rPr>
      </w:pPr>
      <w:r>
        <w:rPr>
          <w:b/>
        </w:rPr>
        <w:t>Q.</w:t>
      </w:r>
      <w:r>
        <w:rPr>
          <w:b/>
        </w:rPr>
        <w:tab/>
        <w:t xml:space="preserve">What </w:t>
      </w:r>
      <w:r w:rsidR="005D3B74">
        <w:rPr>
          <w:b/>
        </w:rPr>
        <w:t>conclusion do you reach from this aggregate data?</w:t>
      </w:r>
    </w:p>
    <w:p w:rsidR="00E032F4" w:rsidRDefault="00DD5502" w:rsidP="005D3B74">
      <w:pPr>
        <w:tabs>
          <w:tab w:val="left" w:pos="720"/>
          <w:tab w:val="left" w:pos="1440"/>
          <w:tab w:val="left" w:pos="9240"/>
        </w:tabs>
        <w:spacing w:line="480" w:lineRule="auto"/>
        <w:ind w:left="720" w:hanging="720"/>
      </w:pPr>
      <w:r>
        <w:t>A.</w:t>
      </w:r>
      <w:r>
        <w:tab/>
        <w:t xml:space="preserve">I conclude that </w:t>
      </w:r>
      <w:r w:rsidR="00D25732">
        <w:t>PSE</w:t>
      </w:r>
      <w:r w:rsidR="00F83DAD">
        <w:t xml:space="preserve">’s </w:t>
      </w:r>
      <w:r>
        <w:t>a</w:t>
      </w:r>
      <w:r w:rsidR="007C0FA1">
        <w:t xml:space="preserve">ctual equity ratio </w:t>
      </w:r>
      <w:r>
        <w:t xml:space="preserve">in the mid 40 percent range, </w:t>
      </w:r>
      <w:r w:rsidR="002B4B8A">
        <w:t xml:space="preserve">which </w:t>
      </w:r>
      <w:r>
        <w:t>support</w:t>
      </w:r>
      <w:r w:rsidR="002B4B8A">
        <w:t>s</w:t>
      </w:r>
      <w:r>
        <w:t xml:space="preserve"> </w:t>
      </w:r>
      <w:r w:rsidR="000F5046">
        <w:t>its</w:t>
      </w:r>
      <w:r>
        <w:t xml:space="preserve"> “BBB” </w:t>
      </w:r>
      <w:r w:rsidR="00FE2E25">
        <w:t xml:space="preserve">corporate credit </w:t>
      </w:r>
      <w:r>
        <w:t xml:space="preserve">rating </w:t>
      </w:r>
      <w:r w:rsidR="001C53F2">
        <w:t xml:space="preserve">(unsecured) </w:t>
      </w:r>
      <w:r>
        <w:t>and an “A-" secured rating</w:t>
      </w:r>
      <w:r w:rsidR="00FE2E25">
        <w:t xml:space="preserve"> (first mortgage bonds)</w:t>
      </w:r>
      <w:r w:rsidR="002B4B8A">
        <w:t>,</w:t>
      </w:r>
      <w:r w:rsidR="007C0FA1">
        <w:t xml:space="preserve"> is reasonable</w:t>
      </w:r>
      <w:r>
        <w:t xml:space="preserve">.  </w:t>
      </w:r>
    </w:p>
    <w:p w:rsidR="00E032F4" w:rsidRDefault="00E032F4" w:rsidP="005D3B74">
      <w:pPr>
        <w:tabs>
          <w:tab w:val="left" w:pos="720"/>
          <w:tab w:val="left" w:pos="1440"/>
          <w:tab w:val="left" w:pos="9240"/>
        </w:tabs>
        <w:spacing w:line="480" w:lineRule="auto"/>
        <w:ind w:left="720" w:hanging="720"/>
        <w:rPr>
          <w:b/>
        </w:rPr>
      </w:pPr>
    </w:p>
    <w:p w:rsidR="00312787" w:rsidRDefault="00312787" w:rsidP="005D3B74">
      <w:pPr>
        <w:tabs>
          <w:tab w:val="left" w:pos="720"/>
          <w:tab w:val="left" w:pos="1440"/>
          <w:tab w:val="left" w:pos="9240"/>
        </w:tabs>
        <w:spacing w:line="480" w:lineRule="auto"/>
        <w:ind w:left="720" w:hanging="720"/>
        <w:rPr>
          <w:b/>
        </w:rPr>
      </w:pPr>
      <w:r>
        <w:rPr>
          <w:b/>
        </w:rPr>
        <w:t>Q.</w:t>
      </w:r>
      <w:r>
        <w:rPr>
          <w:b/>
        </w:rPr>
        <w:tab/>
        <w:t xml:space="preserve">What other information is relevant in </w:t>
      </w:r>
      <w:r w:rsidR="00174C9D">
        <w:rPr>
          <w:b/>
        </w:rPr>
        <w:t xml:space="preserve">determining </w:t>
      </w:r>
      <w:r>
        <w:rPr>
          <w:b/>
        </w:rPr>
        <w:t>an appropriate amount of equity for PSE’s operations?</w:t>
      </w:r>
    </w:p>
    <w:p w:rsidR="00717F1F" w:rsidRPr="007E025C" w:rsidRDefault="00312787" w:rsidP="00690BE5">
      <w:pPr>
        <w:pStyle w:val="FootnoteText"/>
        <w:spacing w:line="480" w:lineRule="auto"/>
        <w:ind w:left="720" w:hanging="720"/>
      </w:pPr>
      <w:r>
        <w:t>A.</w:t>
      </w:r>
      <w:r>
        <w:tab/>
      </w:r>
      <w:r w:rsidR="00062E62">
        <w:rPr>
          <w:sz w:val="24"/>
          <w:szCs w:val="24"/>
        </w:rPr>
        <w:t xml:space="preserve">In the last PSE rate case, all issues involving rate of return were fully contested, including capital structure.  PSE advocated </w:t>
      </w:r>
      <w:r w:rsidR="002B4B8A">
        <w:rPr>
          <w:sz w:val="24"/>
          <w:szCs w:val="24"/>
        </w:rPr>
        <w:t xml:space="preserve">for </w:t>
      </w:r>
      <w:r w:rsidR="00062E62">
        <w:rPr>
          <w:sz w:val="24"/>
          <w:szCs w:val="24"/>
        </w:rPr>
        <w:t xml:space="preserve">a 48.0 percent equity ratio, the same equity ratio it advocates </w:t>
      </w:r>
      <w:r w:rsidR="002B4B8A">
        <w:rPr>
          <w:sz w:val="24"/>
          <w:szCs w:val="24"/>
        </w:rPr>
        <w:t xml:space="preserve">for </w:t>
      </w:r>
      <w:r w:rsidR="00062E62">
        <w:rPr>
          <w:sz w:val="24"/>
          <w:szCs w:val="24"/>
        </w:rPr>
        <w:t xml:space="preserve">now.  The Commission determined </w:t>
      </w:r>
      <w:r w:rsidR="004951D1">
        <w:rPr>
          <w:sz w:val="24"/>
          <w:szCs w:val="24"/>
        </w:rPr>
        <w:t xml:space="preserve">that </w:t>
      </w:r>
      <w:r w:rsidR="00062E62">
        <w:rPr>
          <w:sz w:val="24"/>
          <w:szCs w:val="24"/>
        </w:rPr>
        <w:t>a 46 percent equity ratio is appropriate.</w:t>
      </w:r>
      <w:r w:rsidR="007E025C">
        <w:rPr>
          <w:rStyle w:val="FootnoteReference"/>
          <w:sz w:val="24"/>
          <w:szCs w:val="24"/>
        </w:rPr>
        <w:footnoteReference w:id="15"/>
      </w:r>
      <w:r w:rsidR="00AD0272" w:rsidRPr="00690BE5">
        <w:rPr>
          <w:sz w:val="24"/>
          <w:szCs w:val="24"/>
        </w:rPr>
        <w:t xml:space="preserve">  </w:t>
      </w:r>
    </w:p>
    <w:p w:rsidR="00312787" w:rsidRDefault="00312787" w:rsidP="00312787">
      <w:pPr>
        <w:tabs>
          <w:tab w:val="left" w:pos="720"/>
          <w:tab w:val="left" w:pos="1440"/>
          <w:tab w:val="left" w:pos="9240"/>
        </w:tabs>
        <w:spacing w:line="480" w:lineRule="auto"/>
        <w:ind w:left="720" w:hanging="720"/>
      </w:pPr>
      <w:r>
        <w:tab/>
      </w:r>
      <w:r>
        <w:tab/>
      </w:r>
      <w:r w:rsidR="004951D1">
        <w:t>In this regard, it is nece</w:t>
      </w:r>
      <w:r w:rsidR="00174C9D">
        <w:t xml:space="preserve">ssary to correct an error </w:t>
      </w:r>
      <w:r w:rsidR="004951D1">
        <w:t>in Mr. Gaines</w:t>
      </w:r>
      <w:r w:rsidR="002B4B8A">
        <w:t>’</w:t>
      </w:r>
      <w:r w:rsidR="004951D1">
        <w:t xml:space="preserve"> direct testimony.  He states</w:t>
      </w:r>
      <w:r>
        <w:t xml:space="preserve"> that “PSE’s current 46 percent equity ratio, approved by the Commission in PSE’s 2009 general rate case, is a result of a negotiated settlement agreement</w:t>
      </w:r>
      <w:r w:rsidR="00C262D6">
        <w:t xml:space="preserve"> that occurred prior to the acquisition of Puget Energy by the investor </w:t>
      </w:r>
      <w:r w:rsidR="00C262D6">
        <w:lastRenderedPageBreak/>
        <w:t>consortium.”</w:t>
      </w:r>
      <w:r w:rsidR="007E025C">
        <w:rPr>
          <w:rStyle w:val="FootnoteReference"/>
        </w:rPr>
        <w:footnoteReference w:id="16"/>
      </w:r>
      <w:r>
        <w:t xml:space="preserve"> </w:t>
      </w:r>
      <w:r w:rsidR="00C262D6">
        <w:t xml:space="preserve"> </w:t>
      </w:r>
      <w:r>
        <w:t xml:space="preserve">The testimony is </w:t>
      </w:r>
      <w:r w:rsidR="00174C9D">
        <w:t>incorrect</w:t>
      </w:r>
      <w:r>
        <w:t xml:space="preserve">.  </w:t>
      </w:r>
      <w:r w:rsidR="002B4B8A">
        <w:t>The current 46</w:t>
      </w:r>
      <w:r w:rsidR="00AC4324">
        <w:t>.0 percent</w:t>
      </w:r>
      <w:r w:rsidR="002B4B8A">
        <w:t xml:space="preserve"> equity ratio </w:t>
      </w:r>
      <w:r>
        <w:t>was not the result of a settlement.</w:t>
      </w:r>
    </w:p>
    <w:p w:rsidR="004F5D30" w:rsidRDefault="004F5D30" w:rsidP="00312787">
      <w:pPr>
        <w:tabs>
          <w:tab w:val="left" w:pos="720"/>
          <w:tab w:val="left" w:pos="1440"/>
          <w:tab w:val="left" w:pos="9240"/>
        </w:tabs>
        <w:spacing w:line="480" w:lineRule="auto"/>
        <w:ind w:left="720" w:hanging="720"/>
      </w:pPr>
    </w:p>
    <w:p w:rsidR="004F5D30" w:rsidRDefault="004F5D30" w:rsidP="00312787">
      <w:pPr>
        <w:tabs>
          <w:tab w:val="left" w:pos="720"/>
          <w:tab w:val="left" w:pos="1440"/>
          <w:tab w:val="left" w:pos="9240"/>
        </w:tabs>
        <w:spacing w:line="480" w:lineRule="auto"/>
        <w:ind w:left="720" w:hanging="720"/>
        <w:rPr>
          <w:b/>
        </w:rPr>
      </w:pPr>
      <w:r>
        <w:rPr>
          <w:b/>
        </w:rPr>
        <w:t>Q.</w:t>
      </w:r>
      <w:r>
        <w:rPr>
          <w:b/>
        </w:rPr>
        <w:tab/>
        <w:t>Why is this an important point to c</w:t>
      </w:r>
      <w:r w:rsidR="00C262D6">
        <w:rPr>
          <w:b/>
        </w:rPr>
        <w:t>orrect</w:t>
      </w:r>
      <w:r>
        <w:rPr>
          <w:b/>
        </w:rPr>
        <w:t>?</w:t>
      </w:r>
    </w:p>
    <w:p w:rsidR="004F5D30" w:rsidRPr="004F5D30" w:rsidRDefault="004F5D30" w:rsidP="00312787">
      <w:pPr>
        <w:tabs>
          <w:tab w:val="left" w:pos="720"/>
          <w:tab w:val="left" w:pos="1440"/>
          <w:tab w:val="left" w:pos="9240"/>
        </w:tabs>
        <w:spacing w:line="480" w:lineRule="auto"/>
        <w:ind w:left="720" w:hanging="720"/>
      </w:pPr>
      <w:r>
        <w:t>A.</w:t>
      </w:r>
      <w:r>
        <w:tab/>
        <w:t xml:space="preserve">The issue was fully litigated and the Commission </w:t>
      </w:r>
      <w:r w:rsidR="00174C9D">
        <w:t xml:space="preserve">made </w:t>
      </w:r>
      <w:r>
        <w:t xml:space="preserve">a determination regarding the appropriate amount of equity after the close of the sale of PSE to the </w:t>
      </w:r>
      <w:r w:rsidR="00174C9D">
        <w:t>Macquarie Investor Consortium.</w:t>
      </w:r>
      <w:r>
        <w:t xml:space="preserve">  </w:t>
      </w:r>
      <w:r w:rsidR="008D2808">
        <w:t>In that case</w:t>
      </w:r>
      <w:r w:rsidR="00C262D6">
        <w:t>,</w:t>
      </w:r>
      <w:r w:rsidR="008D2808">
        <w:t xml:space="preserve"> the new owners re-capitalized PSE </w:t>
      </w:r>
      <w:r w:rsidR="00C262D6">
        <w:t xml:space="preserve">by </w:t>
      </w:r>
      <w:r w:rsidR="008D2808">
        <w:t>injecting significant new equity into PSE’s capital structure</w:t>
      </w:r>
      <w:r w:rsidR="00690BE5">
        <w:t xml:space="preserve"> and redeem</w:t>
      </w:r>
      <w:r w:rsidR="00D966A3">
        <w:t>ing</w:t>
      </w:r>
      <w:r w:rsidR="00690BE5">
        <w:t xml:space="preserve"> an outstanding debt issue</w:t>
      </w:r>
      <w:r w:rsidR="008D2808">
        <w:t xml:space="preserve"> causing</w:t>
      </w:r>
      <w:r w:rsidR="00690BE5">
        <w:t xml:space="preserve"> the equity ratio to increase dramatically</w:t>
      </w:r>
      <w:r w:rsidR="00FD54DD">
        <w:t xml:space="preserve"> at closing of the sale</w:t>
      </w:r>
      <w:r w:rsidR="008D2808">
        <w:t xml:space="preserve">.  The Company advocated </w:t>
      </w:r>
      <w:r w:rsidR="00652CE6">
        <w:t xml:space="preserve">for </w:t>
      </w:r>
      <w:r w:rsidR="008D2808">
        <w:t>a higher equity ratio</w:t>
      </w:r>
      <w:r w:rsidR="00D966A3">
        <w:t xml:space="preserve"> based upon </w:t>
      </w:r>
      <w:r w:rsidR="00FD62AD">
        <w:t>the</w:t>
      </w:r>
      <w:r w:rsidR="00D966A3">
        <w:t xml:space="preserve"> initial recapitalization of PSE</w:t>
      </w:r>
      <w:r w:rsidR="006C53CB">
        <w:t xml:space="preserve"> by its new owners</w:t>
      </w:r>
      <w:r w:rsidR="008D2808">
        <w:t>, but the Commission rejected th</w:t>
      </w:r>
      <w:r w:rsidR="00C262D6">
        <w:t>at</w:t>
      </w:r>
      <w:r w:rsidR="008D2808">
        <w:t xml:space="preserve"> propos</w:t>
      </w:r>
      <w:r w:rsidR="00C262D6">
        <w:t>al</w:t>
      </w:r>
      <w:r w:rsidR="008D2808">
        <w:t xml:space="preserve"> </w:t>
      </w:r>
      <w:r w:rsidR="00C262D6">
        <w:t xml:space="preserve">and </w:t>
      </w:r>
      <w:r w:rsidR="008D2808">
        <w:t>determin</w:t>
      </w:r>
      <w:r w:rsidR="00C262D6">
        <w:t>ed that</w:t>
      </w:r>
      <w:r w:rsidR="008D2808">
        <w:t xml:space="preserve"> 46.0 percent is reasonable.  </w:t>
      </w:r>
      <w:r>
        <w:t xml:space="preserve">It is still a reasonable </w:t>
      </w:r>
      <w:r w:rsidR="00652CE6">
        <w:t>equity ratio</w:t>
      </w:r>
      <w:r w:rsidR="000F5046">
        <w:t xml:space="preserve"> for PSE</w:t>
      </w:r>
      <w:r w:rsidR="00E23BCD">
        <w:t>.</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 xml:space="preserve">What is your recommendation for </w:t>
      </w:r>
      <w:r w:rsidR="00D25732">
        <w:rPr>
          <w:b/>
        </w:rPr>
        <w:t>PSE</w:t>
      </w:r>
      <w:r>
        <w:rPr>
          <w:b/>
        </w:rPr>
        <w:t xml:space="preserve"> equity ratio?</w:t>
      </w:r>
    </w:p>
    <w:p w:rsidR="005D3B74" w:rsidRDefault="005D3B74" w:rsidP="005D3B74">
      <w:pPr>
        <w:tabs>
          <w:tab w:val="left" w:pos="720"/>
          <w:tab w:val="left" w:pos="1440"/>
          <w:tab w:val="left" w:pos="9240"/>
        </w:tabs>
        <w:spacing w:line="480" w:lineRule="auto"/>
        <w:ind w:left="720" w:hanging="720"/>
      </w:pPr>
      <w:r>
        <w:t>A.</w:t>
      </w:r>
      <w:r>
        <w:tab/>
        <w:t xml:space="preserve">The Commission should use a common equity ratio of </w:t>
      </w:r>
      <w:r w:rsidR="001C53F2">
        <w:t>46</w:t>
      </w:r>
      <w:r w:rsidR="00CA7037">
        <w:t>.</w:t>
      </w:r>
      <w:r w:rsidR="000658A4">
        <w:t>0</w:t>
      </w:r>
      <w:r>
        <w:t xml:space="preserve"> percent</w:t>
      </w:r>
      <w:r w:rsidR="00CA7037">
        <w:t xml:space="preserve"> for setting rates in this proceeding</w:t>
      </w:r>
      <w:r>
        <w:t xml:space="preserve">.  </w:t>
      </w:r>
      <w:r w:rsidR="002B4B8A">
        <w:t>It should reject the Company’s proposed 48</w:t>
      </w:r>
      <w:r w:rsidR="007D38C5">
        <w:t>.0</w:t>
      </w:r>
      <w:r w:rsidR="002B4B8A">
        <w:t xml:space="preserve"> percent common equity ratio.</w:t>
      </w:r>
    </w:p>
    <w:p w:rsidR="005D3B74" w:rsidRDefault="005D3B74" w:rsidP="005D3B74">
      <w:pPr>
        <w:tabs>
          <w:tab w:val="left" w:pos="720"/>
          <w:tab w:val="left" w:pos="1440"/>
          <w:tab w:val="left" w:pos="9240"/>
        </w:tabs>
        <w:spacing w:line="480" w:lineRule="auto"/>
        <w:ind w:left="720" w:hanging="720"/>
        <w:rPr>
          <w:b/>
        </w:rPr>
      </w:pPr>
    </w:p>
    <w:p w:rsidR="005D3B74" w:rsidRPr="00C21B20" w:rsidRDefault="00FD54DD" w:rsidP="005D3B74">
      <w:pPr>
        <w:tabs>
          <w:tab w:val="left" w:pos="720"/>
          <w:tab w:val="left" w:pos="1440"/>
          <w:tab w:val="left" w:pos="9240"/>
        </w:tabs>
        <w:spacing w:line="480" w:lineRule="auto"/>
        <w:ind w:left="720" w:hanging="720"/>
        <w:rPr>
          <w:b/>
        </w:rPr>
      </w:pPr>
      <w:r>
        <w:rPr>
          <w:b/>
        </w:rPr>
        <w:t>Q.</w:t>
      </w:r>
      <w:r>
        <w:rPr>
          <w:b/>
        </w:rPr>
        <w:tab/>
        <w:t>Is</w:t>
      </w:r>
      <w:r w:rsidR="0000670C">
        <w:rPr>
          <w:b/>
        </w:rPr>
        <w:t xml:space="preserve"> a 46</w:t>
      </w:r>
      <w:r w:rsidR="00736CD7">
        <w:rPr>
          <w:b/>
        </w:rPr>
        <w:t>.</w:t>
      </w:r>
      <w:r w:rsidR="000658A4">
        <w:rPr>
          <w:b/>
        </w:rPr>
        <w:t xml:space="preserve">0 </w:t>
      </w:r>
      <w:r w:rsidR="005D3B74">
        <w:rPr>
          <w:b/>
        </w:rPr>
        <w:t xml:space="preserve">percent equity ratio for </w:t>
      </w:r>
      <w:r w:rsidR="00D25732">
        <w:rPr>
          <w:b/>
        </w:rPr>
        <w:t>PSE</w:t>
      </w:r>
      <w:r w:rsidR="005D3B74">
        <w:rPr>
          <w:b/>
        </w:rPr>
        <w:t xml:space="preserve"> consistent with the Commission</w:t>
      </w:r>
      <w:r w:rsidR="002B4B8A">
        <w:rPr>
          <w:b/>
        </w:rPr>
        <w:t>’</w:t>
      </w:r>
      <w:r w:rsidR="000F46E8">
        <w:rPr>
          <w:b/>
        </w:rPr>
        <w:t xml:space="preserve">s </w:t>
      </w:r>
      <w:r w:rsidR="005D3B74">
        <w:rPr>
          <w:b/>
        </w:rPr>
        <w:t xml:space="preserve">policy that a capital structure </w:t>
      </w:r>
      <w:r>
        <w:rPr>
          <w:b/>
        </w:rPr>
        <w:t>must</w:t>
      </w:r>
      <w:r w:rsidR="005D3B74">
        <w:rPr>
          <w:b/>
        </w:rPr>
        <w:t xml:space="preserve"> balance economy and safety?</w:t>
      </w:r>
    </w:p>
    <w:p w:rsidR="005D3B74" w:rsidRDefault="005D3B74" w:rsidP="005D3B74">
      <w:pPr>
        <w:tabs>
          <w:tab w:val="left" w:pos="720"/>
          <w:tab w:val="left" w:pos="1440"/>
          <w:tab w:val="left" w:pos="9240"/>
        </w:tabs>
        <w:spacing w:line="480" w:lineRule="auto"/>
        <w:ind w:left="720" w:hanging="720"/>
      </w:pPr>
      <w:r>
        <w:t>A.</w:t>
      </w:r>
      <w:r>
        <w:tab/>
        <w:t xml:space="preserve">Yes.  </w:t>
      </w:r>
      <w:r w:rsidR="00FD54DD">
        <w:t>A</w:t>
      </w:r>
      <w:r w:rsidR="002B4B8A">
        <w:t xml:space="preserve"> 46</w:t>
      </w:r>
      <w:r w:rsidR="00AC4324">
        <w:t>.0</w:t>
      </w:r>
      <w:r w:rsidR="007D38C5">
        <w:t xml:space="preserve"> percent common</w:t>
      </w:r>
      <w:r w:rsidR="002B4B8A">
        <w:t xml:space="preserve"> equity </w:t>
      </w:r>
      <w:r w:rsidR="007C0FA1">
        <w:t xml:space="preserve">is </w:t>
      </w:r>
      <w:r w:rsidR="00C6480D">
        <w:t>consistent with</w:t>
      </w:r>
      <w:r w:rsidR="007C0FA1">
        <w:t xml:space="preserve"> the estimate of the actual capital structure financing utility operations.  </w:t>
      </w:r>
      <w:r w:rsidR="006A350A">
        <w:t xml:space="preserve">It is consistent with PSE’s financial projections.  </w:t>
      </w:r>
      <w:r>
        <w:t>I</w:t>
      </w:r>
      <w:r w:rsidR="007C0FA1">
        <w:t>t</w:t>
      </w:r>
      <w:r>
        <w:t xml:space="preserve"> is similar to the actual ratios used by other companies</w:t>
      </w:r>
      <w:r w:rsidR="00174C9D">
        <w:t>,</w:t>
      </w:r>
      <w:r>
        <w:t xml:space="preserve"> as compiled by </w:t>
      </w:r>
      <w:r>
        <w:lastRenderedPageBreak/>
        <w:t>AUS and SNL</w:t>
      </w:r>
      <w:r w:rsidR="007C0FA1">
        <w:t>.  It is a capital structure tha</w:t>
      </w:r>
      <w:r>
        <w:t xml:space="preserve">t is consistent with the </w:t>
      </w:r>
      <w:r w:rsidR="000F46E8" w:rsidRPr="000F46E8">
        <w:rPr>
          <w:i/>
        </w:rPr>
        <w:t>Bluefield</w:t>
      </w:r>
      <w:r w:rsidR="007C0FA1">
        <w:t xml:space="preserve"> and </w:t>
      </w:r>
      <w:r w:rsidR="007C0FA1" w:rsidRPr="000F46E8">
        <w:rPr>
          <w:i/>
        </w:rPr>
        <w:t xml:space="preserve">Hope </w:t>
      </w:r>
      <w:r w:rsidR="007C0FA1">
        <w:t>standards I discussed previously.</w:t>
      </w:r>
      <w:r>
        <w:t xml:space="preserve"> </w:t>
      </w:r>
      <w:r w:rsidR="007D38C5">
        <w:t xml:space="preserve"> </w:t>
      </w:r>
      <w:r>
        <w:t xml:space="preserve">A </w:t>
      </w:r>
      <w:r w:rsidR="0000670C">
        <w:t>46</w:t>
      </w:r>
      <w:r w:rsidR="00CA7037">
        <w:t xml:space="preserve"> </w:t>
      </w:r>
      <w:r>
        <w:t xml:space="preserve">percent equity ratio </w:t>
      </w:r>
      <w:r w:rsidR="006A350A">
        <w:t>will</w:t>
      </w:r>
      <w:r>
        <w:t xml:space="preserve"> support a solid BBB corporate credit rating and an A- secured rating for the Company.</w:t>
      </w:r>
      <w:r w:rsidR="002B4B8A" w:rsidRPr="002B4B8A">
        <w:t xml:space="preserve"> </w:t>
      </w:r>
      <w:r w:rsidR="002B4B8A">
        <w:t xml:space="preserve"> Finally, since a 46 percent equity ratio is consistent with the data from my proxy group and it is sufficient to support the credit ratings I just described, it is “market tested” and safe.  </w:t>
      </w:r>
    </w:p>
    <w:p w:rsidR="006A350A" w:rsidRDefault="006A350A" w:rsidP="005D3B74">
      <w:pPr>
        <w:tabs>
          <w:tab w:val="left" w:pos="720"/>
          <w:tab w:val="left" w:pos="1440"/>
          <w:tab w:val="left" w:pos="9240"/>
        </w:tabs>
        <w:spacing w:line="480" w:lineRule="auto"/>
        <w:ind w:left="720" w:hanging="720"/>
      </w:pPr>
    </w:p>
    <w:p w:rsidR="00FE1E6F" w:rsidRDefault="00FE1E6F" w:rsidP="00A322FD">
      <w:pPr>
        <w:tabs>
          <w:tab w:val="left" w:pos="720"/>
          <w:tab w:val="left" w:pos="1440"/>
          <w:tab w:val="left" w:pos="9240"/>
        </w:tabs>
        <w:spacing w:line="480" w:lineRule="auto"/>
        <w:ind w:left="720" w:hanging="720"/>
        <w:rPr>
          <w:b/>
        </w:rPr>
      </w:pPr>
      <w:r>
        <w:rPr>
          <w:b/>
        </w:rPr>
        <w:t>Q.</w:t>
      </w:r>
      <w:r>
        <w:rPr>
          <w:b/>
        </w:rPr>
        <w:tab/>
        <w:t xml:space="preserve">Did you consider </w:t>
      </w:r>
      <w:r w:rsidR="00A821E9">
        <w:rPr>
          <w:b/>
        </w:rPr>
        <w:t xml:space="preserve">the cost benefit analysis prepared by Mr. Gaines in support of </w:t>
      </w:r>
      <w:r w:rsidR="00312787">
        <w:rPr>
          <w:b/>
        </w:rPr>
        <w:t>PSE’s</w:t>
      </w:r>
      <w:r>
        <w:rPr>
          <w:b/>
        </w:rPr>
        <w:t xml:space="preserve"> proposed</w:t>
      </w:r>
      <w:r w:rsidR="00312787">
        <w:rPr>
          <w:b/>
        </w:rPr>
        <w:t xml:space="preserve"> capital structure containing 48</w:t>
      </w:r>
      <w:r>
        <w:rPr>
          <w:b/>
        </w:rPr>
        <w:t>.0 percent common equity?</w:t>
      </w:r>
    </w:p>
    <w:p w:rsidR="00717F1F" w:rsidRDefault="00FE1E6F" w:rsidP="005267EC">
      <w:pPr>
        <w:tabs>
          <w:tab w:val="left" w:pos="720"/>
          <w:tab w:val="left" w:pos="1440"/>
          <w:tab w:val="left" w:pos="7020"/>
          <w:tab w:val="left" w:pos="9240"/>
        </w:tabs>
        <w:spacing w:line="480" w:lineRule="auto"/>
        <w:ind w:left="720" w:hanging="720"/>
      </w:pPr>
      <w:r>
        <w:t>A.</w:t>
      </w:r>
      <w:r>
        <w:tab/>
      </w:r>
      <w:r w:rsidR="00A821E9">
        <w:t xml:space="preserve">Yes.  </w:t>
      </w:r>
      <w:r>
        <w:t xml:space="preserve">I </w:t>
      </w:r>
      <w:r w:rsidR="00F16736">
        <w:t>analyzed</w:t>
      </w:r>
      <w:r>
        <w:t xml:space="preserve"> </w:t>
      </w:r>
      <w:r w:rsidR="00ED61C2">
        <w:t xml:space="preserve">his </w:t>
      </w:r>
      <w:r>
        <w:t xml:space="preserve">presentation with respect to the benefits of </w:t>
      </w:r>
      <w:r w:rsidR="00ED61C2">
        <w:t>a</w:t>
      </w:r>
      <w:r>
        <w:t xml:space="preserve"> </w:t>
      </w:r>
      <w:r w:rsidR="00665673">
        <w:t>higher</w:t>
      </w:r>
      <w:r>
        <w:t xml:space="preserve"> </w:t>
      </w:r>
      <w:r w:rsidR="009B6313">
        <w:t xml:space="preserve">credit </w:t>
      </w:r>
      <w:r>
        <w:t>rating and the costs to realize th</w:t>
      </w:r>
      <w:r w:rsidR="00665673">
        <w:t>os</w:t>
      </w:r>
      <w:r>
        <w:t xml:space="preserve">e benefits.  Mr. Gaines claims a net present value of $33 million in interest savings for customers from higher bond ratings over a thirty year </w:t>
      </w:r>
      <w:r w:rsidR="000F5046">
        <w:t xml:space="preserve">period, which is the </w:t>
      </w:r>
      <w:r>
        <w:t xml:space="preserve">life of the </w:t>
      </w:r>
      <w:r w:rsidR="000F5046">
        <w:t>debt</w:t>
      </w:r>
      <w:r>
        <w:t xml:space="preserve"> PSE issued most recently.</w:t>
      </w:r>
      <w:r w:rsidR="007E025C">
        <w:rPr>
          <w:rStyle w:val="FootnoteReference"/>
        </w:rPr>
        <w:footnoteReference w:id="17"/>
      </w:r>
      <w:r>
        <w:t xml:space="preserve">  </w:t>
      </w:r>
      <w:r w:rsidR="009B6313">
        <w:t>Mr. Gaines asserts that these benefits exceed the incremental $12 million of costs to achieve the benefits.</w:t>
      </w:r>
      <w:r w:rsidR="007E025C">
        <w:rPr>
          <w:rStyle w:val="FootnoteReference"/>
        </w:rPr>
        <w:footnoteReference w:id="18"/>
      </w:r>
      <w:r w:rsidR="009B6313">
        <w:t xml:space="preserve">  </w:t>
      </w:r>
    </w:p>
    <w:p w:rsidR="00665673" w:rsidRDefault="00665673" w:rsidP="00FE1E6F">
      <w:pPr>
        <w:tabs>
          <w:tab w:val="left" w:pos="720"/>
          <w:tab w:val="left" w:pos="1440"/>
          <w:tab w:val="left" w:pos="9240"/>
        </w:tabs>
        <w:spacing w:line="480" w:lineRule="auto"/>
        <w:ind w:left="720" w:hanging="720"/>
      </w:pPr>
    </w:p>
    <w:p w:rsidR="00665673" w:rsidRDefault="00665673" w:rsidP="00FE1E6F">
      <w:pPr>
        <w:tabs>
          <w:tab w:val="left" w:pos="720"/>
          <w:tab w:val="left" w:pos="1440"/>
          <w:tab w:val="left" w:pos="9240"/>
        </w:tabs>
        <w:spacing w:line="480" w:lineRule="auto"/>
        <w:ind w:left="720" w:hanging="720"/>
        <w:rPr>
          <w:b/>
        </w:rPr>
      </w:pPr>
      <w:r>
        <w:rPr>
          <w:b/>
        </w:rPr>
        <w:t>Q.</w:t>
      </w:r>
      <w:r>
        <w:rPr>
          <w:b/>
        </w:rPr>
        <w:tab/>
        <w:t xml:space="preserve">Do you agree with </w:t>
      </w:r>
      <w:r w:rsidR="00ED61C2">
        <w:rPr>
          <w:b/>
        </w:rPr>
        <w:t xml:space="preserve">his </w:t>
      </w:r>
      <w:r>
        <w:rPr>
          <w:b/>
        </w:rPr>
        <w:t>analysis?</w:t>
      </w:r>
    </w:p>
    <w:p w:rsidR="00D966A3" w:rsidRDefault="00665673" w:rsidP="00FE1E6F">
      <w:pPr>
        <w:tabs>
          <w:tab w:val="left" w:pos="720"/>
          <w:tab w:val="left" w:pos="1440"/>
          <w:tab w:val="left" w:pos="9240"/>
        </w:tabs>
        <w:spacing w:line="480" w:lineRule="auto"/>
        <w:ind w:left="720" w:hanging="720"/>
      </w:pPr>
      <w:r>
        <w:t>A.</w:t>
      </w:r>
      <w:r>
        <w:tab/>
        <w:t xml:space="preserve">No.  </w:t>
      </w:r>
      <w:r w:rsidR="004A4A21">
        <w:t>First, h</w:t>
      </w:r>
      <w:r w:rsidR="009B6313">
        <w:t xml:space="preserve">is calculation does not account for the fact that interest payments are tax deductible.  Adjusting for Federal income taxes, the benefits are reduced to $22 million.  </w:t>
      </w:r>
      <w:r w:rsidR="006A350A">
        <w:t>Exhibit No.___</w:t>
      </w:r>
      <w:r w:rsidR="002B4B8A">
        <w:t xml:space="preserve"> </w:t>
      </w:r>
      <w:r w:rsidR="007D38C5">
        <w:t>(KLE-</w:t>
      </w:r>
      <w:r w:rsidR="00857B68">
        <w:t>5</w:t>
      </w:r>
      <w:r w:rsidR="00D966A3">
        <w:t xml:space="preserve">) is </w:t>
      </w:r>
      <w:r w:rsidR="00B849A9">
        <w:t>PSE’s</w:t>
      </w:r>
      <w:r w:rsidR="00D966A3">
        <w:t xml:space="preserve"> response to Staff Data Request No.</w:t>
      </w:r>
      <w:r w:rsidR="00ED61C2">
        <w:t xml:space="preserve"> </w:t>
      </w:r>
      <w:r w:rsidR="00D966A3">
        <w:t>8 showing the effect of income tax on the cost to ratepayers.</w:t>
      </w:r>
    </w:p>
    <w:p w:rsidR="00D966A3" w:rsidRDefault="00D966A3" w:rsidP="00FE1E6F">
      <w:pPr>
        <w:tabs>
          <w:tab w:val="left" w:pos="720"/>
          <w:tab w:val="left" w:pos="1440"/>
          <w:tab w:val="left" w:pos="9240"/>
        </w:tabs>
        <w:spacing w:line="480" w:lineRule="auto"/>
        <w:ind w:left="720" w:hanging="720"/>
      </w:pPr>
    </w:p>
    <w:p w:rsidR="00D966A3" w:rsidRPr="00D966A3" w:rsidRDefault="00D966A3" w:rsidP="00B718D6">
      <w:pPr>
        <w:keepNext/>
        <w:tabs>
          <w:tab w:val="left" w:pos="720"/>
          <w:tab w:val="left" w:pos="1440"/>
          <w:tab w:val="left" w:pos="9240"/>
        </w:tabs>
        <w:spacing w:line="480" w:lineRule="auto"/>
        <w:ind w:left="720" w:hanging="720"/>
        <w:rPr>
          <w:b/>
        </w:rPr>
      </w:pPr>
      <w:r>
        <w:rPr>
          <w:b/>
        </w:rPr>
        <w:lastRenderedPageBreak/>
        <w:t>Q.</w:t>
      </w:r>
      <w:r>
        <w:rPr>
          <w:b/>
        </w:rPr>
        <w:tab/>
        <w:t xml:space="preserve">What other </w:t>
      </w:r>
      <w:r w:rsidR="0087693A">
        <w:rPr>
          <w:b/>
        </w:rPr>
        <w:t>flaws exist in Mr. Gaines cost-benefit analysis?</w:t>
      </w:r>
    </w:p>
    <w:p w:rsidR="00D966A3" w:rsidRDefault="00D966A3" w:rsidP="00D966A3">
      <w:pPr>
        <w:tabs>
          <w:tab w:val="left" w:pos="720"/>
          <w:tab w:val="left" w:pos="1440"/>
          <w:tab w:val="left" w:pos="9240"/>
        </w:tabs>
        <w:spacing w:line="480" w:lineRule="auto"/>
        <w:ind w:left="720" w:hanging="720"/>
      </w:pPr>
      <w:r>
        <w:t>A.</w:t>
      </w:r>
      <w:r>
        <w:tab/>
      </w:r>
      <w:r w:rsidR="00665673">
        <w:t xml:space="preserve">The </w:t>
      </w:r>
      <w:r w:rsidR="00F16736">
        <w:t xml:space="preserve">$33 million pre-tax </w:t>
      </w:r>
      <w:r w:rsidR="00665673">
        <w:t xml:space="preserve">benefits </w:t>
      </w:r>
      <w:r w:rsidR="00875037">
        <w:t>he claims will result from a 48 percent equity ratio</w:t>
      </w:r>
      <w:r w:rsidR="00B849A9">
        <w:t xml:space="preserve"> </w:t>
      </w:r>
      <w:r w:rsidR="00665673">
        <w:t xml:space="preserve">are realized </w:t>
      </w:r>
      <w:r w:rsidR="006A350A">
        <w:t>over a 30-</w:t>
      </w:r>
      <w:r w:rsidR="00665673">
        <w:t xml:space="preserve">year life of the outstanding securities, but the costs to achieve </w:t>
      </w:r>
      <w:r w:rsidR="00ED61C2">
        <w:t xml:space="preserve">those asserted benefits </w:t>
      </w:r>
      <w:r w:rsidR="00665673">
        <w:t xml:space="preserve">reflect only </w:t>
      </w:r>
      <w:r>
        <w:t>a single year.</w:t>
      </w:r>
    </w:p>
    <w:p w:rsidR="00D966A3" w:rsidRDefault="00D966A3" w:rsidP="00D966A3">
      <w:pPr>
        <w:tabs>
          <w:tab w:val="left" w:pos="720"/>
          <w:tab w:val="left" w:pos="1440"/>
          <w:tab w:val="left" w:pos="9240"/>
        </w:tabs>
        <w:spacing w:line="480" w:lineRule="auto"/>
        <w:ind w:left="720" w:hanging="720"/>
      </w:pPr>
    </w:p>
    <w:p w:rsidR="00D966A3" w:rsidRPr="00D966A3" w:rsidRDefault="00D966A3" w:rsidP="00D966A3">
      <w:pPr>
        <w:tabs>
          <w:tab w:val="left" w:pos="720"/>
          <w:tab w:val="left" w:pos="1440"/>
          <w:tab w:val="left" w:pos="9240"/>
        </w:tabs>
        <w:spacing w:line="480" w:lineRule="auto"/>
        <w:ind w:left="720" w:hanging="720"/>
        <w:rPr>
          <w:b/>
        </w:rPr>
      </w:pPr>
      <w:r w:rsidRPr="00D966A3">
        <w:rPr>
          <w:b/>
        </w:rPr>
        <w:t>Q.</w:t>
      </w:r>
      <w:r w:rsidRPr="00D966A3">
        <w:rPr>
          <w:b/>
        </w:rPr>
        <w:tab/>
        <w:t>How would you correct the analysis offered by Mr. Gaines?</w:t>
      </w:r>
    </w:p>
    <w:p w:rsidR="00507C93" w:rsidRDefault="00D966A3" w:rsidP="00D966A3">
      <w:pPr>
        <w:tabs>
          <w:tab w:val="left" w:pos="720"/>
          <w:tab w:val="left" w:pos="1440"/>
          <w:tab w:val="left" w:pos="9240"/>
        </w:tabs>
        <w:spacing w:line="480" w:lineRule="auto"/>
        <w:ind w:left="720" w:hanging="720"/>
      </w:pPr>
      <w:r>
        <w:t>A.</w:t>
      </w:r>
      <w:r>
        <w:tab/>
      </w:r>
      <w:r w:rsidR="00ED61C2">
        <w:t xml:space="preserve">I would </w:t>
      </w:r>
      <w:r>
        <w:t xml:space="preserve">calculate the cost of the higher equity ratio over a similar 30-year period. </w:t>
      </w:r>
      <w:r w:rsidR="00ED61C2">
        <w:t xml:space="preserve">  </w:t>
      </w:r>
      <w:r w:rsidR="00FD54DD">
        <w:t xml:space="preserve">First, I </w:t>
      </w:r>
      <w:r w:rsidR="00507C93">
        <w:t>re-</w:t>
      </w:r>
      <w:r w:rsidR="00665673">
        <w:t>calculat</w:t>
      </w:r>
      <w:r w:rsidR="00FD54DD">
        <w:t>e</w:t>
      </w:r>
      <w:r w:rsidR="00665673">
        <w:t xml:space="preserve"> the Company’s revenue </w:t>
      </w:r>
      <w:r w:rsidR="00F16736">
        <w:t>deficiency</w:t>
      </w:r>
      <w:r w:rsidR="00665673">
        <w:t xml:space="preserve"> </w:t>
      </w:r>
      <w:r w:rsidR="00507C93">
        <w:t xml:space="preserve">based upon its direct case </w:t>
      </w:r>
      <w:r w:rsidR="00FD54DD">
        <w:t>by</w:t>
      </w:r>
      <w:r w:rsidR="00665673">
        <w:t xml:space="preserve"> reduc</w:t>
      </w:r>
      <w:r w:rsidR="00ED61C2">
        <w:t>ing</w:t>
      </w:r>
      <w:r w:rsidR="00665673">
        <w:t xml:space="preserve"> the equ</w:t>
      </w:r>
      <w:r w:rsidR="00F16736">
        <w:t>i</w:t>
      </w:r>
      <w:r w:rsidR="00665673">
        <w:t>ty ratio</w:t>
      </w:r>
      <w:r w:rsidR="00A821E9">
        <w:t xml:space="preserve"> from 48.0</w:t>
      </w:r>
      <w:r w:rsidR="00035403">
        <w:t xml:space="preserve"> to 46.0 percent</w:t>
      </w:r>
      <w:r w:rsidR="00875037">
        <w:t>.  T</w:t>
      </w:r>
      <w:r w:rsidR="00035403">
        <w:t xml:space="preserve">he total annual revenue impact </w:t>
      </w:r>
      <w:r w:rsidR="00FD54DD">
        <w:t>of this change in equity ratio for</w:t>
      </w:r>
      <w:r w:rsidR="00665673">
        <w:t xml:space="preserve"> </w:t>
      </w:r>
      <w:r w:rsidR="00FD54DD">
        <w:t>PSE’s</w:t>
      </w:r>
      <w:r w:rsidR="00665673">
        <w:t xml:space="preserve"> gas and electric customers is $13.</w:t>
      </w:r>
      <w:r w:rsidR="005437EE">
        <w:t>2</w:t>
      </w:r>
      <w:r w:rsidR="00665673">
        <w:t xml:space="preserve"> million.  </w:t>
      </w:r>
      <w:r w:rsidR="00FD54DD">
        <w:t>Next, I calculate the</w:t>
      </w:r>
      <w:r w:rsidR="00665673">
        <w:t xml:space="preserve"> present value of </w:t>
      </w:r>
      <w:r w:rsidR="00035403">
        <w:t>the</w:t>
      </w:r>
      <w:r w:rsidR="00665673">
        <w:t xml:space="preserve"> </w:t>
      </w:r>
      <w:r w:rsidR="00035403">
        <w:t xml:space="preserve">$13.2 million </w:t>
      </w:r>
      <w:r w:rsidR="006C3787">
        <w:t xml:space="preserve">annual </w:t>
      </w:r>
      <w:r w:rsidR="00035403">
        <w:t>cost of the higher equity ratio</w:t>
      </w:r>
      <w:r w:rsidR="00FD54DD">
        <w:t xml:space="preserve"> as </w:t>
      </w:r>
      <w:r w:rsidR="006C3787">
        <w:t xml:space="preserve">an </w:t>
      </w:r>
      <w:r w:rsidR="00FD54DD">
        <w:t>annuity</w:t>
      </w:r>
      <w:r w:rsidR="004B31C3">
        <w:t xml:space="preserve"> </w:t>
      </w:r>
      <w:r w:rsidR="00665673">
        <w:t>over a 30 year period</w:t>
      </w:r>
      <w:r w:rsidR="00035403">
        <w:t>.  A</w:t>
      </w:r>
      <w:r w:rsidR="00312787">
        <w:t>t</w:t>
      </w:r>
      <w:r w:rsidR="00665673">
        <w:t xml:space="preserve"> the </w:t>
      </w:r>
      <w:r w:rsidR="009B6313">
        <w:t>C</w:t>
      </w:r>
      <w:r w:rsidR="00665673">
        <w:t>ompany’s requested 10.80 percent return on equity</w:t>
      </w:r>
      <w:r w:rsidR="00035403">
        <w:t xml:space="preserve">, </w:t>
      </w:r>
      <w:r w:rsidR="00312787">
        <w:t>th</w:t>
      </w:r>
      <w:r w:rsidR="009B6313">
        <w:t xml:space="preserve">e </w:t>
      </w:r>
      <w:r w:rsidR="00312787">
        <w:t xml:space="preserve">cost to customers is </w:t>
      </w:r>
      <w:r w:rsidR="00665673">
        <w:t>$</w:t>
      </w:r>
      <w:r w:rsidR="005437EE">
        <w:t>116.6</w:t>
      </w:r>
      <w:r w:rsidR="00665673">
        <w:t xml:space="preserve"> million.  </w:t>
      </w:r>
      <w:r w:rsidR="00035403">
        <w:t>Therefore, c</w:t>
      </w:r>
      <w:r w:rsidR="00E23BCD">
        <w:t xml:space="preserve">omparing the costs and benefits over </w:t>
      </w:r>
      <w:r w:rsidR="006C3787">
        <w:t xml:space="preserve">a </w:t>
      </w:r>
      <w:r w:rsidR="00E23BCD">
        <w:t xml:space="preserve">similar </w:t>
      </w:r>
      <w:r w:rsidR="006C3787">
        <w:t xml:space="preserve">30 year </w:t>
      </w:r>
      <w:r w:rsidR="00E23BCD">
        <w:t>timeline pr</w:t>
      </w:r>
      <w:r w:rsidR="005437EE">
        <w:t>oduces a cost benefit ratio of 5</w:t>
      </w:r>
      <w:r w:rsidR="00E23BCD">
        <w:t xml:space="preserve">:1.  </w:t>
      </w:r>
    </w:p>
    <w:p w:rsidR="00665673" w:rsidRDefault="00507C93" w:rsidP="00D966A3">
      <w:pPr>
        <w:tabs>
          <w:tab w:val="left" w:pos="720"/>
          <w:tab w:val="left" w:pos="1440"/>
          <w:tab w:val="left" w:pos="9240"/>
        </w:tabs>
        <w:spacing w:line="480" w:lineRule="auto"/>
        <w:ind w:left="720" w:hanging="720"/>
      </w:pPr>
      <w:r>
        <w:tab/>
      </w:r>
      <w:r>
        <w:tab/>
        <w:t xml:space="preserve">Alternatively, if I </w:t>
      </w:r>
      <w:r w:rsidR="00002A51">
        <w:t>compare the annual</w:t>
      </w:r>
      <w:r w:rsidR="00665673">
        <w:t xml:space="preserve"> benefits of the added 2 percent equity</w:t>
      </w:r>
      <w:r>
        <w:t xml:space="preserve"> to the annual costs, I get similar results</w:t>
      </w:r>
      <w:r w:rsidR="00665673">
        <w:t>.  The annual benefits due to interest savings are $2.70 millio</w:t>
      </w:r>
      <w:r w:rsidR="00002A51">
        <w:t>n</w:t>
      </w:r>
      <w:r w:rsidR="008A3898">
        <w:rPr>
          <w:rStyle w:val="FootnoteReference"/>
        </w:rPr>
        <w:footnoteReference w:id="19"/>
      </w:r>
      <w:r w:rsidR="00002A51">
        <w:t xml:space="preserve"> with a</w:t>
      </w:r>
      <w:r w:rsidR="008A3898">
        <w:t>n annual</w:t>
      </w:r>
      <w:r w:rsidR="005437EE">
        <w:t xml:space="preserve"> cost of $13.2</w:t>
      </w:r>
      <w:r w:rsidR="00002A51">
        <w:t xml:space="preserve"> million: </w:t>
      </w:r>
      <w:r w:rsidR="00665673">
        <w:t xml:space="preserve"> a 5</w:t>
      </w:r>
      <w:r w:rsidR="000F5046">
        <w:t>:</w:t>
      </w:r>
      <w:r w:rsidR="00665673">
        <w:t xml:space="preserve">1 </w:t>
      </w:r>
      <w:r w:rsidR="00ED61C2">
        <w:t xml:space="preserve">cost benefit </w:t>
      </w:r>
      <w:r w:rsidR="00665673">
        <w:t>ratio.</w:t>
      </w:r>
    </w:p>
    <w:p w:rsidR="00665673" w:rsidRDefault="00665673" w:rsidP="00FE1E6F">
      <w:pPr>
        <w:tabs>
          <w:tab w:val="left" w:pos="720"/>
          <w:tab w:val="left" w:pos="1440"/>
          <w:tab w:val="left" w:pos="9240"/>
        </w:tabs>
        <w:spacing w:line="480" w:lineRule="auto"/>
        <w:ind w:left="720" w:hanging="720"/>
      </w:pPr>
    </w:p>
    <w:p w:rsidR="00665673" w:rsidRDefault="00665673" w:rsidP="00FE1E6F">
      <w:pPr>
        <w:tabs>
          <w:tab w:val="left" w:pos="720"/>
          <w:tab w:val="left" w:pos="1440"/>
          <w:tab w:val="left" w:pos="9240"/>
        </w:tabs>
        <w:spacing w:line="480" w:lineRule="auto"/>
        <w:ind w:left="720" w:hanging="720"/>
        <w:rPr>
          <w:b/>
        </w:rPr>
      </w:pPr>
      <w:r>
        <w:rPr>
          <w:b/>
        </w:rPr>
        <w:t>Q.</w:t>
      </w:r>
      <w:r>
        <w:rPr>
          <w:b/>
        </w:rPr>
        <w:tab/>
        <w:t xml:space="preserve">What </w:t>
      </w:r>
      <w:r w:rsidR="00ED61C2">
        <w:rPr>
          <w:b/>
        </w:rPr>
        <w:t xml:space="preserve">do you </w:t>
      </w:r>
      <w:r>
        <w:rPr>
          <w:b/>
        </w:rPr>
        <w:t>concl</w:t>
      </w:r>
      <w:r w:rsidR="00ED61C2">
        <w:rPr>
          <w:b/>
        </w:rPr>
        <w:t>ude</w:t>
      </w:r>
      <w:r>
        <w:rPr>
          <w:b/>
        </w:rPr>
        <w:t xml:space="preserve"> about the cost of higher equity ratios supporting higher bond ratings?</w:t>
      </w:r>
    </w:p>
    <w:p w:rsidR="00665673" w:rsidRPr="00665673" w:rsidRDefault="00665673" w:rsidP="00665673">
      <w:pPr>
        <w:tabs>
          <w:tab w:val="left" w:pos="720"/>
          <w:tab w:val="left" w:pos="1440"/>
          <w:tab w:val="left" w:pos="9240"/>
        </w:tabs>
        <w:spacing w:line="480" w:lineRule="auto"/>
        <w:ind w:left="720" w:hanging="720"/>
      </w:pPr>
      <w:r>
        <w:t>A.</w:t>
      </w:r>
      <w:r>
        <w:tab/>
        <w:t xml:space="preserve">Based upon the ratio of costs to benefits, </w:t>
      </w:r>
      <w:r w:rsidR="00075F41">
        <w:t>raising the equity ratio from 46 percent to 48 percent to achieve a higher bond rating is too costly</w:t>
      </w:r>
      <w:r w:rsidR="00875037">
        <w:t xml:space="preserve"> for ratepayers</w:t>
      </w:r>
      <w:r w:rsidR="00075F41">
        <w:t xml:space="preserve">.  In contrast, </w:t>
      </w:r>
      <w:r>
        <w:t>a</w:t>
      </w:r>
      <w:r w:rsidR="00002A51">
        <w:t xml:space="preserve">n </w:t>
      </w:r>
      <w:r w:rsidR="00002A51">
        <w:lastRenderedPageBreak/>
        <w:t xml:space="preserve">equity ratio </w:t>
      </w:r>
      <w:r w:rsidR="00075F41">
        <w:t xml:space="preserve">of 46 percent that is </w:t>
      </w:r>
      <w:r w:rsidR="00002A51">
        <w:t>consistent with a</w:t>
      </w:r>
      <w:r>
        <w:t xml:space="preserve"> corporate credit rating of BBB is </w:t>
      </w:r>
      <w:r w:rsidR="004B31C3">
        <w:t>appropriate</w:t>
      </w:r>
      <w:r w:rsidR="00DE334C">
        <w:t xml:space="preserve">.  </w:t>
      </w:r>
      <w:r w:rsidR="00507C93">
        <w:t>A BBB rating supported by a 46 percent equity ratio</w:t>
      </w:r>
      <w:r w:rsidR="00312787">
        <w:t xml:space="preserve"> provides sufficient safety with the appropriate balance of cost to customers</w:t>
      </w:r>
      <w:r w:rsidR="00075F41">
        <w:t>,</w:t>
      </w:r>
      <w:r w:rsidR="004A4A21">
        <w:t xml:space="preserve"> and it is</w:t>
      </w:r>
      <w:r w:rsidR="00075F41" w:rsidRPr="00075F41">
        <w:t xml:space="preserve"> </w:t>
      </w:r>
      <w:r w:rsidR="00075F41">
        <w:t>consistent with the Commission’s policy on capital structure to balance economy and safety</w:t>
      </w:r>
      <w:r w:rsidR="00312787">
        <w:t>.</w:t>
      </w:r>
      <w:r w:rsidR="00E23BCD">
        <w:t xml:space="preserve">  A rating of BBB enables PSE to finance on reasonable terms and will ensure a financially viable utility, all of which is consistent with the standards of </w:t>
      </w:r>
      <w:r w:rsidR="00E23BCD" w:rsidRPr="00E23BCD">
        <w:rPr>
          <w:i/>
        </w:rPr>
        <w:t>Bluefield</w:t>
      </w:r>
      <w:r w:rsidR="00E23BCD">
        <w:t xml:space="preserve"> and </w:t>
      </w:r>
      <w:r w:rsidR="00E23BCD" w:rsidRPr="00E23BCD">
        <w:rPr>
          <w:i/>
        </w:rPr>
        <w:t>Hope</w:t>
      </w:r>
      <w:r w:rsidR="00E23BCD">
        <w:t>.</w:t>
      </w:r>
    </w:p>
    <w:p w:rsidR="00F83DAD" w:rsidRDefault="00F83DAD" w:rsidP="005D3B74">
      <w:pPr>
        <w:tabs>
          <w:tab w:val="left" w:pos="720"/>
          <w:tab w:val="left" w:pos="1440"/>
          <w:tab w:val="left" w:pos="9240"/>
        </w:tabs>
        <w:spacing w:line="480" w:lineRule="auto"/>
        <w:ind w:left="720" w:hanging="720"/>
      </w:pPr>
    </w:p>
    <w:p w:rsidR="005D3B74" w:rsidRPr="00BC1FAB" w:rsidRDefault="005D3B74" w:rsidP="00B718D6">
      <w:pPr>
        <w:pStyle w:val="ListParagraph"/>
        <w:numPr>
          <w:ilvl w:val="0"/>
          <w:numId w:val="32"/>
        </w:numPr>
        <w:tabs>
          <w:tab w:val="left" w:pos="1440"/>
          <w:tab w:val="left" w:pos="9240"/>
        </w:tabs>
        <w:spacing w:line="480" w:lineRule="auto"/>
        <w:ind w:left="1440" w:hanging="720"/>
        <w:rPr>
          <w:b/>
        </w:rPr>
      </w:pPr>
      <w:r w:rsidRPr="00BC1FAB">
        <w:rPr>
          <w:b/>
        </w:rPr>
        <w:t xml:space="preserve">Short-Term Debt </w:t>
      </w:r>
      <w:r w:rsidR="00875037">
        <w:rPr>
          <w:b/>
        </w:rPr>
        <w:t>Ratio</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r>
      <w:r w:rsidR="007C0FA1">
        <w:rPr>
          <w:b/>
        </w:rPr>
        <w:t>Does the Company</w:t>
      </w:r>
      <w:r>
        <w:rPr>
          <w:b/>
        </w:rPr>
        <w:t xml:space="preserve"> include short-term debt </w:t>
      </w:r>
      <w:r w:rsidR="000F7BD9">
        <w:rPr>
          <w:b/>
        </w:rPr>
        <w:t xml:space="preserve">in </w:t>
      </w:r>
      <w:r w:rsidR="007C0FA1">
        <w:rPr>
          <w:b/>
        </w:rPr>
        <w:t>its</w:t>
      </w:r>
      <w:r>
        <w:rPr>
          <w:b/>
        </w:rPr>
        <w:t xml:space="preserve"> capital structure for ratemaking purposes?</w:t>
      </w:r>
    </w:p>
    <w:p w:rsidR="005D3B74" w:rsidRPr="00FC1AF2" w:rsidRDefault="005D3B74" w:rsidP="005D3B74">
      <w:pPr>
        <w:tabs>
          <w:tab w:val="left" w:pos="720"/>
          <w:tab w:val="left" w:pos="1440"/>
          <w:tab w:val="left" w:pos="9240"/>
        </w:tabs>
        <w:spacing w:line="480" w:lineRule="auto"/>
        <w:ind w:left="720" w:hanging="720"/>
      </w:pPr>
      <w:r w:rsidRPr="00C00AE6">
        <w:t>A.</w:t>
      </w:r>
      <w:r w:rsidRPr="00C00AE6">
        <w:tab/>
        <w:t xml:space="preserve">Yes.  </w:t>
      </w:r>
    </w:p>
    <w:p w:rsidR="005D3B74" w:rsidRPr="00FC1AF2" w:rsidRDefault="005D3B74" w:rsidP="005D3B74">
      <w:pPr>
        <w:tabs>
          <w:tab w:val="left" w:pos="720"/>
          <w:tab w:val="left" w:pos="1440"/>
          <w:tab w:val="left" w:pos="9240"/>
        </w:tabs>
        <w:spacing w:line="480" w:lineRule="auto"/>
        <w:ind w:left="720" w:hanging="720"/>
        <w:rPr>
          <w:b/>
        </w:rPr>
      </w:pPr>
    </w:p>
    <w:p w:rsidR="005D3B74" w:rsidRPr="00FC1AF2" w:rsidRDefault="005D3B74" w:rsidP="005D3B74">
      <w:pPr>
        <w:tabs>
          <w:tab w:val="left" w:pos="720"/>
          <w:tab w:val="left" w:pos="1440"/>
          <w:tab w:val="left" w:pos="9240"/>
        </w:tabs>
        <w:spacing w:line="480" w:lineRule="auto"/>
        <w:ind w:left="720" w:hanging="720"/>
        <w:rPr>
          <w:b/>
        </w:rPr>
      </w:pPr>
      <w:r w:rsidRPr="00FC1AF2">
        <w:rPr>
          <w:b/>
        </w:rPr>
        <w:t>Q.</w:t>
      </w:r>
      <w:r w:rsidRPr="00FC1AF2">
        <w:rPr>
          <w:b/>
        </w:rPr>
        <w:tab/>
        <w:t>What is a reasonable amount of short-term debt in a utility</w:t>
      </w:r>
      <w:r w:rsidR="000F46E8">
        <w:rPr>
          <w:b/>
        </w:rPr>
        <w:t xml:space="preserve">’s </w:t>
      </w:r>
      <w:r w:rsidRPr="00FC1AF2">
        <w:rPr>
          <w:b/>
        </w:rPr>
        <w:t>capital structure?</w:t>
      </w:r>
    </w:p>
    <w:p w:rsidR="005D3B74" w:rsidRDefault="005D3B74" w:rsidP="005D3B74">
      <w:pPr>
        <w:tabs>
          <w:tab w:val="left" w:pos="720"/>
          <w:tab w:val="left" w:pos="1440"/>
          <w:tab w:val="left" w:pos="9240"/>
        </w:tabs>
        <w:spacing w:line="480" w:lineRule="auto"/>
        <w:ind w:left="720" w:hanging="720"/>
      </w:pPr>
      <w:r w:rsidRPr="00C00AE6">
        <w:t>A.</w:t>
      </w:r>
      <w:r w:rsidRPr="00C00AE6">
        <w:tab/>
      </w:r>
      <w:r w:rsidR="005B6FE4">
        <w:t>I agree with Mr. Gaines</w:t>
      </w:r>
      <w:r w:rsidR="000F7BD9">
        <w:t>’</w:t>
      </w:r>
      <w:r w:rsidR="005B6FE4">
        <w:t xml:space="preserve"> testimon</w:t>
      </w:r>
      <w:r w:rsidR="000F7BD9">
        <w:t xml:space="preserve">y that </w:t>
      </w:r>
      <w:r w:rsidR="00BF7B46">
        <w:t xml:space="preserve">a reasonable level of short-term debt is </w:t>
      </w:r>
      <w:r w:rsidR="000F7BD9">
        <w:t>“</w:t>
      </w:r>
      <w:r w:rsidR="00BF7B46">
        <w:t>somewhere in the range of three to five percent of total capital.”</w:t>
      </w:r>
      <w:r w:rsidR="00CE5178">
        <w:rPr>
          <w:rStyle w:val="FootnoteReference"/>
        </w:rPr>
        <w:footnoteReference w:id="20"/>
      </w:r>
      <w:r w:rsidR="005B6FE4">
        <w:t xml:space="preserve">  It is prudent for a utility </w:t>
      </w:r>
      <w:r w:rsidR="000F7BD9">
        <w:t xml:space="preserve">to </w:t>
      </w:r>
      <w:r w:rsidR="005B6FE4">
        <w:t xml:space="preserve">use this amount of short-term debt </w:t>
      </w:r>
      <w:r w:rsidR="00035403">
        <w:t xml:space="preserve">to keep its capital costs low. </w:t>
      </w:r>
      <w:r w:rsidR="00CF1248">
        <w:t xml:space="preserve"> </w:t>
      </w:r>
    </w:p>
    <w:p w:rsidR="005B6FE4" w:rsidRDefault="005B6FE4" w:rsidP="005D3B74">
      <w:pPr>
        <w:tabs>
          <w:tab w:val="left" w:pos="720"/>
          <w:tab w:val="left" w:pos="1440"/>
          <w:tab w:val="left" w:pos="9240"/>
        </w:tabs>
        <w:spacing w:line="480" w:lineRule="auto"/>
        <w:ind w:left="720" w:hanging="720"/>
        <w:rPr>
          <w:b/>
        </w:rPr>
      </w:pPr>
    </w:p>
    <w:p w:rsidR="005D3B74" w:rsidRPr="00FC1AF2" w:rsidRDefault="005D3B74" w:rsidP="005D3B74">
      <w:pPr>
        <w:tabs>
          <w:tab w:val="left" w:pos="720"/>
          <w:tab w:val="left" w:pos="1440"/>
          <w:tab w:val="left" w:pos="9240"/>
        </w:tabs>
        <w:spacing w:line="480" w:lineRule="auto"/>
        <w:ind w:left="720" w:hanging="720"/>
        <w:rPr>
          <w:b/>
        </w:rPr>
      </w:pPr>
      <w:r>
        <w:rPr>
          <w:b/>
        </w:rPr>
        <w:t>Q.</w:t>
      </w:r>
      <w:r>
        <w:rPr>
          <w:b/>
        </w:rPr>
        <w:tab/>
      </w:r>
      <w:r w:rsidRPr="00FC1AF2">
        <w:rPr>
          <w:b/>
        </w:rPr>
        <w:t xml:space="preserve">Does </w:t>
      </w:r>
      <w:r w:rsidR="00D25732">
        <w:rPr>
          <w:b/>
        </w:rPr>
        <w:t>PSE</w:t>
      </w:r>
      <w:r w:rsidRPr="00FC1AF2">
        <w:rPr>
          <w:b/>
        </w:rPr>
        <w:t xml:space="preserve"> currently have short-term debt credit facilities?</w:t>
      </w:r>
    </w:p>
    <w:p w:rsidR="005D3B74" w:rsidRDefault="005D3B74" w:rsidP="005D3B74">
      <w:pPr>
        <w:tabs>
          <w:tab w:val="left" w:pos="720"/>
          <w:tab w:val="left" w:pos="1440"/>
          <w:tab w:val="left" w:pos="9240"/>
        </w:tabs>
        <w:spacing w:line="480" w:lineRule="auto"/>
        <w:ind w:left="720" w:hanging="720"/>
        <w:rPr>
          <w:b/>
        </w:rPr>
      </w:pPr>
      <w:r w:rsidRPr="00C00AE6">
        <w:t>A.</w:t>
      </w:r>
      <w:r w:rsidRPr="00C00AE6">
        <w:tab/>
        <w:t xml:space="preserve">Yes.  </w:t>
      </w:r>
      <w:r w:rsidR="008A343B">
        <w:t>It</w:t>
      </w:r>
      <w:r w:rsidRPr="00C00AE6">
        <w:t xml:space="preserve"> has</w:t>
      </w:r>
      <w:r w:rsidR="00FF7283">
        <w:t xml:space="preserve"> access to</w:t>
      </w:r>
      <w:r w:rsidRPr="00C00AE6">
        <w:t xml:space="preserve"> $</w:t>
      </w:r>
      <w:r w:rsidR="00030E77">
        <w:t>1.15 b</w:t>
      </w:r>
      <w:r w:rsidRPr="00C00AE6">
        <w:t xml:space="preserve">illion of short-term </w:t>
      </w:r>
      <w:r w:rsidR="00FF7283">
        <w:t>debt</w:t>
      </w:r>
      <w:r w:rsidRPr="00C00AE6">
        <w:t xml:space="preserve">. </w:t>
      </w:r>
      <w:r w:rsidR="00B53EF8">
        <w:t xml:space="preserve"> </w:t>
      </w:r>
      <w:r w:rsidR="00030E77">
        <w:t>$</w:t>
      </w:r>
      <w:r w:rsidR="004E0921">
        <w:t>4</w:t>
      </w:r>
      <w:r w:rsidR="00030E77">
        <w:t>00 million is directly tied to fund the liquidity needs of the utility’s operations</w:t>
      </w:r>
      <w:r w:rsidR="004E0921">
        <w:t xml:space="preserve">, $400 million is </w:t>
      </w:r>
      <w:r w:rsidR="00C55260">
        <w:t>dedicated to fund</w:t>
      </w:r>
      <w:r w:rsidR="004E0921">
        <w:t xml:space="preserve"> </w:t>
      </w:r>
      <w:r w:rsidR="004E0921">
        <w:lastRenderedPageBreak/>
        <w:t>capital expenditures</w:t>
      </w:r>
      <w:r w:rsidR="000F7BD9">
        <w:t>,</w:t>
      </w:r>
      <w:r w:rsidR="00030E77">
        <w:t xml:space="preserve"> and $350 million support the </w:t>
      </w:r>
      <w:r w:rsidR="000F7BD9">
        <w:t>C</w:t>
      </w:r>
      <w:r w:rsidR="00030E77">
        <w:t>ompany’s hedging activities for its market purchases of electricity and natural gas</w:t>
      </w:r>
      <w:r w:rsidR="00AD0272" w:rsidRPr="005267EC">
        <w:rPr>
          <w:i/>
        </w:rPr>
        <w:t>.</w:t>
      </w:r>
      <w:r w:rsidR="00CE5178">
        <w:rPr>
          <w:rStyle w:val="FootnoteReference"/>
          <w:i/>
        </w:rPr>
        <w:footnoteReference w:id="21"/>
      </w:r>
      <w:r w:rsidR="00AD0272" w:rsidRPr="005267EC">
        <w:rPr>
          <w:i/>
        </w:rPr>
        <w:t xml:space="preserve">  </w:t>
      </w:r>
    </w:p>
    <w:p w:rsidR="00CE5178" w:rsidRDefault="00CE5178" w:rsidP="005D3B74">
      <w:pPr>
        <w:tabs>
          <w:tab w:val="left" w:pos="720"/>
          <w:tab w:val="left" w:pos="1440"/>
          <w:tab w:val="left" w:pos="9240"/>
        </w:tabs>
        <w:spacing w:line="480" w:lineRule="auto"/>
        <w:ind w:left="720" w:hanging="720"/>
        <w:rPr>
          <w:b/>
        </w:rPr>
      </w:pPr>
    </w:p>
    <w:p w:rsidR="000F46E8" w:rsidRDefault="000F46E8" w:rsidP="005D3B74">
      <w:pPr>
        <w:tabs>
          <w:tab w:val="left" w:pos="720"/>
          <w:tab w:val="left" w:pos="1440"/>
          <w:tab w:val="left" w:pos="9240"/>
        </w:tabs>
        <w:spacing w:line="480" w:lineRule="auto"/>
        <w:ind w:left="720" w:hanging="720"/>
        <w:rPr>
          <w:b/>
        </w:rPr>
      </w:pPr>
      <w:r w:rsidRPr="00FC1AF2">
        <w:rPr>
          <w:b/>
        </w:rPr>
        <w:t>Q.</w:t>
      </w:r>
      <w:r w:rsidRPr="00FC1AF2">
        <w:rPr>
          <w:b/>
        </w:rPr>
        <w:tab/>
      </w:r>
      <w:r w:rsidR="00BF7B46">
        <w:rPr>
          <w:b/>
        </w:rPr>
        <w:t xml:space="preserve">What </w:t>
      </w:r>
      <w:r>
        <w:rPr>
          <w:b/>
        </w:rPr>
        <w:t xml:space="preserve">amount of short-term debt </w:t>
      </w:r>
      <w:r w:rsidR="000F7BD9">
        <w:rPr>
          <w:b/>
        </w:rPr>
        <w:t xml:space="preserve">does </w:t>
      </w:r>
      <w:r w:rsidR="00D25732">
        <w:rPr>
          <w:b/>
        </w:rPr>
        <w:t>PSE</w:t>
      </w:r>
      <w:r w:rsidR="00BF7B46">
        <w:rPr>
          <w:b/>
        </w:rPr>
        <w:t xml:space="preserve"> propose</w:t>
      </w:r>
      <w:r>
        <w:rPr>
          <w:b/>
        </w:rPr>
        <w:t xml:space="preserve"> </w:t>
      </w:r>
      <w:r w:rsidR="00BF7B46">
        <w:rPr>
          <w:b/>
        </w:rPr>
        <w:t xml:space="preserve">to include in its </w:t>
      </w:r>
      <w:r>
        <w:rPr>
          <w:b/>
        </w:rPr>
        <w:t>capital structure for ratemaking purposes?</w:t>
      </w:r>
    </w:p>
    <w:p w:rsidR="000F46E8" w:rsidRDefault="000F46E8" w:rsidP="005D3B74">
      <w:pPr>
        <w:tabs>
          <w:tab w:val="left" w:pos="720"/>
          <w:tab w:val="left" w:pos="1440"/>
          <w:tab w:val="left" w:pos="9240"/>
        </w:tabs>
        <w:spacing w:line="480" w:lineRule="auto"/>
        <w:ind w:left="720" w:hanging="720"/>
      </w:pPr>
      <w:r>
        <w:t>A.</w:t>
      </w:r>
      <w:r>
        <w:tab/>
      </w:r>
      <w:r w:rsidR="00B134EB">
        <w:t>PSE include</w:t>
      </w:r>
      <w:r w:rsidR="000F7BD9">
        <w:t>s</w:t>
      </w:r>
      <w:r w:rsidR="00B134EB">
        <w:t xml:space="preserve"> </w:t>
      </w:r>
      <w:r w:rsidR="006F0023">
        <w:t xml:space="preserve">4.0 percent short-term debt in its capital structure.  </w:t>
      </w:r>
      <w:r w:rsidR="004E0921">
        <w:t>Mr. Gaines points out that PSE’s total capitalization is $6.7 billion and 5</w:t>
      </w:r>
      <w:r w:rsidR="00075F41">
        <w:t xml:space="preserve"> percent</w:t>
      </w:r>
      <w:r w:rsidR="004E0921">
        <w:t xml:space="preserve"> of that is $335 million</w:t>
      </w:r>
      <w:r w:rsidR="000F7BD9">
        <w:t>, which is</w:t>
      </w:r>
      <w:r w:rsidR="004E0921">
        <w:t xml:space="preserve"> well within the $400 million facility for working capital needs</w:t>
      </w:r>
      <w:r w:rsidR="004E0921" w:rsidRPr="006C3787">
        <w:rPr>
          <w:sz w:val="20"/>
          <w:szCs w:val="20"/>
        </w:rPr>
        <w:t>.</w:t>
      </w:r>
      <w:r w:rsidR="00CE5178" w:rsidRPr="00C42F67">
        <w:rPr>
          <w:rStyle w:val="FootnoteReference"/>
          <w:sz w:val="20"/>
          <w:szCs w:val="20"/>
        </w:rPr>
        <w:footnoteReference w:id="22"/>
      </w:r>
      <w:r w:rsidR="004E0921" w:rsidRPr="006C3787">
        <w:rPr>
          <w:sz w:val="20"/>
          <w:szCs w:val="20"/>
        </w:rPr>
        <w:t xml:space="preserve">  </w:t>
      </w:r>
      <w:r w:rsidR="00CE5178">
        <w:t xml:space="preserve"> </w:t>
      </w:r>
      <w:r w:rsidR="006F0023">
        <w:t xml:space="preserve">Given </w:t>
      </w:r>
      <w:r w:rsidR="000F7BD9">
        <w:t>the Company’s</w:t>
      </w:r>
      <w:r w:rsidR="006F0023">
        <w:t xml:space="preserve"> construction requirements and the size of its credit facilities, it is prudent </w:t>
      </w:r>
      <w:r w:rsidR="00663E91">
        <w:t xml:space="preserve">for PSE </w:t>
      </w:r>
      <w:r w:rsidR="006F0023">
        <w:t xml:space="preserve">to use this low cost source of funds for managing its cost structure.  PSE is to be commended for its efforts to manage its capital structure </w:t>
      </w:r>
      <w:r w:rsidR="000F5046">
        <w:t xml:space="preserve">in this regard </w:t>
      </w:r>
      <w:r w:rsidR="000F7BD9">
        <w:t xml:space="preserve">to </w:t>
      </w:r>
      <w:r w:rsidR="006F0023">
        <w:t>maximiz</w:t>
      </w:r>
      <w:r w:rsidR="000F7BD9">
        <w:t>e</w:t>
      </w:r>
      <w:r w:rsidR="006F0023">
        <w:t xml:space="preserve"> the benefit </w:t>
      </w:r>
      <w:r w:rsidR="000F7BD9">
        <w:t>for</w:t>
      </w:r>
      <w:r w:rsidR="006F0023">
        <w:t xml:space="preserve"> ratepayers </w:t>
      </w:r>
      <w:r w:rsidR="000F7BD9">
        <w:t xml:space="preserve">of </w:t>
      </w:r>
      <w:r w:rsidR="006F0023">
        <w:t>using this source of low-cost capital.</w:t>
      </w:r>
    </w:p>
    <w:p w:rsidR="004E0921" w:rsidRDefault="004E0921" w:rsidP="005D3B74">
      <w:pPr>
        <w:tabs>
          <w:tab w:val="left" w:pos="720"/>
          <w:tab w:val="left" w:pos="1440"/>
          <w:tab w:val="left" w:pos="9240"/>
        </w:tabs>
        <w:spacing w:line="480" w:lineRule="auto"/>
        <w:ind w:left="720" w:hanging="720"/>
      </w:pPr>
    </w:p>
    <w:p w:rsidR="004E0921" w:rsidRDefault="004E0921" w:rsidP="005D3B74">
      <w:pPr>
        <w:tabs>
          <w:tab w:val="left" w:pos="720"/>
          <w:tab w:val="left" w:pos="1440"/>
          <w:tab w:val="left" w:pos="9240"/>
        </w:tabs>
        <w:spacing w:line="480" w:lineRule="auto"/>
        <w:ind w:left="720" w:hanging="720"/>
        <w:rPr>
          <w:b/>
        </w:rPr>
      </w:pPr>
      <w:r>
        <w:rPr>
          <w:b/>
        </w:rPr>
        <w:t>Q.</w:t>
      </w:r>
      <w:r>
        <w:rPr>
          <w:b/>
        </w:rPr>
        <w:tab/>
        <w:t>Do you accept the Company’s propos</w:t>
      </w:r>
      <w:r w:rsidR="00075F41">
        <w:rPr>
          <w:b/>
        </w:rPr>
        <w:t>al to include 4 percent</w:t>
      </w:r>
      <w:r>
        <w:rPr>
          <w:b/>
        </w:rPr>
        <w:t xml:space="preserve"> short-term debt in the capital structure for ratemaking purposes?</w:t>
      </w:r>
    </w:p>
    <w:p w:rsidR="005D3B74" w:rsidRDefault="004E0921" w:rsidP="005D3B74">
      <w:pPr>
        <w:tabs>
          <w:tab w:val="left" w:pos="720"/>
          <w:tab w:val="left" w:pos="1440"/>
          <w:tab w:val="left" w:pos="9240"/>
        </w:tabs>
        <w:spacing w:line="480" w:lineRule="auto"/>
        <w:ind w:left="720" w:hanging="720"/>
      </w:pPr>
      <w:r>
        <w:t>A.</w:t>
      </w:r>
      <w:r>
        <w:tab/>
        <w:t>Yes.</w:t>
      </w:r>
      <w:r w:rsidR="000F7BD9">
        <w:t xml:space="preserve">  Combining a 4 percent short-term debt ratio with my recommended </w:t>
      </w:r>
      <w:r w:rsidR="000F5046">
        <w:t>46</w:t>
      </w:r>
      <w:r w:rsidR="000F7BD9">
        <w:t xml:space="preserve"> percent </w:t>
      </w:r>
      <w:r w:rsidR="000F5046">
        <w:t>equity</w:t>
      </w:r>
      <w:r w:rsidR="000F7BD9">
        <w:t xml:space="preserve"> ratio, leaves a </w:t>
      </w:r>
      <w:r w:rsidR="000F5046">
        <w:t xml:space="preserve">long-term </w:t>
      </w:r>
      <w:r w:rsidR="00663E91">
        <w:t>debt</w:t>
      </w:r>
      <w:r w:rsidR="000F7BD9">
        <w:t xml:space="preserve"> ratio of 5</w:t>
      </w:r>
      <w:r w:rsidR="00663E91">
        <w:t>0</w:t>
      </w:r>
      <w:r w:rsidR="000F7BD9">
        <w:t xml:space="preserve"> percent</w:t>
      </w:r>
      <w:r w:rsidR="006A350A">
        <w:t>.</w:t>
      </w:r>
    </w:p>
    <w:p w:rsidR="006A350A" w:rsidRPr="00FC1AF2" w:rsidRDefault="006A350A" w:rsidP="00663E91">
      <w:pPr>
        <w:tabs>
          <w:tab w:val="left" w:pos="720"/>
          <w:tab w:val="left" w:pos="1440"/>
          <w:tab w:val="left" w:pos="9240"/>
        </w:tabs>
        <w:spacing w:line="480" w:lineRule="auto"/>
        <w:ind w:left="720" w:hanging="720"/>
      </w:pPr>
    </w:p>
    <w:p w:rsidR="005D3B74" w:rsidRPr="00BC1FAB" w:rsidRDefault="005D3B74" w:rsidP="00B718D6">
      <w:pPr>
        <w:pStyle w:val="ListParagraph"/>
        <w:numPr>
          <w:ilvl w:val="0"/>
          <w:numId w:val="31"/>
        </w:numPr>
        <w:tabs>
          <w:tab w:val="left" w:pos="720"/>
          <w:tab w:val="left" w:pos="1440"/>
          <w:tab w:val="left" w:pos="9240"/>
        </w:tabs>
        <w:spacing w:line="480" w:lineRule="auto"/>
        <w:ind w:left="720"/>
        <w:rPr>
          <w:b/>
        </w:rPr>
      </w:pPr>
      <w:r w:rsidRPr="00BC1FAB">
        <w:rPr>
          <w:b/>
        </w:rPr>
        <w:t>C</w:t>
      </w:r>
      <w:r w:rsidR="00875037">
        <w:rPr>
          <w:b/>
        </w:rPr>
        <w:t>ost of Common Equity</w:t>
      </w:r>
    </w:p>
    <w:p w:rsidR="00663E91" w:rsidRPr="001C665C" w:rsidRDefault="00663E91" w:rsidP="00F30AA5">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sidRPr="00875037">
        <w:rPr>
          <w:b/>
        </w:rPr>
        <w:t>Q.</w:t>
      </w:r>
      <w:r w:rsidRPr="00875037">
        <w:rPr>
          <w:b/>
        </w:rPr>
        <w:tab/>
        <w:t xml:space="preserve">How do you structure </w:t>
      </w:r>
      <w:r>
        <w:rPr>
          <w:b/>
        </w:rPr>
        <w:t xml:space="preserve">your analysis on the cost of common equity for </w:t>
      </w:r>
      <w:r w:rsidR="00D25732">
        <w:rPr>
          <w:b/>
        </w:rPr>
        <w:t>PSE</w:t>
      </w:r>
      <w:r>
        <w:rPr>
          <w:b/>
        </w:rPr>
        <w:t>?</w:t>
      </w:r>
    </w:p>
    <w:p w:rsidR="005D3B74" w:rsidRDefault="005D3B74" w:rsidP="005D3B74">
      <w:pPr>
        <w:tabs>
          <w:tab w:val="left" w:pos="720"/>
          <w:tab w:val="left" w:pos="1440"/>
          <w:tab w:val="left" w:pos="9240"/>
        </w:tabs>
        <w:spacing w:line="480" w:lineRule="auto"/>
        <w:ind w:left="720" w:hanging="720"/>
      </w:pPr>
      <w:r>
        <w:lastRenderedPageBreak/>
        <w:t>A.</w:t>
      </w:r>
      <w:r>
        <w:tab/>
      </w:r>
      <w:r w:rsidR="00241707">
        <w:t xml:space="preserve">As stated earlier in my testimony, </w:t>
      </w:r>
      <w:r w:rsidRPr="00747046">
        <w:t xml:space="preserve">I </w:t>
      </w:r>
      <w:r w:rsidR="00A15099">
        <w:t xml:space="preserve">rely upon </w:t>
      </w:r>
      <w:r w:rsidR="005B6FE4">
        <w:t>a Discounted Cash Flow (“DCF”) analysis</w:t>
      </w:r>
      <w:r w:rsidR="00A15099">
        <w:t xml:space="preserve"> of</w:t>
      </w:r>
      <w:r w:rsidRPr="00747046">
        <w:t xml:space="preserve"> a group of comparable or “proxy” companies to determine a cost of common equity for </w:t>
      </w:r>
      <w:r w:rsidR="00D25732">
        <w:t>PSE</w:t>
      </w:r>
      <w:r w:rsidR="00BE0888">
        <w:t>’s</w:t>
      </w:r>
      <w:r w:rsidRPr="00747046">
        <w:t xml:space="preserve"> regulated utility operations.</w:t>
      </w:r>
      <w:r>
        <w:t xml:space="preserve">  </w:t>
      </w:r>
      <w:r w:rsidR="005B6FE4">
        <w:t xml:space="preserve">In this regard, Dr. Olson and I </w:t>
      </w:r>
      <w:r w:rsidR="00736CD7">
        <w:t xml:space="preserve">both </w:t>
      </w:r>
      <w:r w:rsidR="005B6FE4">
        <w:t xml:space="preserve">agree.  </w:t>
      </w:r>
      <w:r w:rsidR="00A15099">
        <w:t>I then consider information based upon the Capital Asset Pricing Model (“CAPM”) and the risk premium methodolog</w:t>
      </w:r>
      <w:r w:rsidR="00BE0888">
        <w:t>ies</w:t>
      </w:r>
      <w:r w:rsidR="00A15099">
        <w:t>.</w:t>
      </w:r>
      <w:r>
        <w:t xml:space="preserve">  </w:t>
      </w:r>
      <w:r w:rsidR="00C6480D">
        <w:t>I do not advocate</w:t>
      </w:r>
      <w:r w:rsidR="007E2A1B">
        <w:t xml:space="preserve"> the use of these </w:t>
      </w:r>
      <w:r w:rsidR="00BE0888">
        <w:t xml:space="preserve">latter </w:t>
      </w:r>
      <w:r w:rsidR="007E2A1B">
        <w:t xml:space="preserve">methodologies.  The analysis </w:t>
      </w:r>
      <w:r w:rsidR="00507C93">
        <w:t xml:space="preserve">I provide </w:t>
      </w:r>
      <w:r w:rsidR="007E2A1B">
        <w:t>respo</w:t>
      </w:r>
      <w:r w:rsidR="00BE0888">
        <w:t>nds</w:t>
      </w:r>
      <w:r w:rsidR="007E2A1B">
        <w:t xml:space="preserve"> to the Commission’s desire to see these results as a “check” of the DCF estimate.</w:t>
      </w:r>
      <w:r w:rsidR="00736CD7">
        <w:t xml:space="preserve"> </w:t>
      </w:r>
      <w:r w:rsidR="006A350A">
        <w:t xml:space="preserve"> </w:t>
      </w:r>
    </w:p>
    <w:p w:rsidR="005D3B74" w:rsidRDefault="005D3B74" w:rsidP="00D2408E">
      <w:pPr>
        <w:tabs>
          <w:tab w:val="left" w:pos="720"/>
          <w:tab w:val="left" w:pos="1440"/>
          <w:tab w:val="left" w:pos="9240"/>
        </w:tabs>
        <w:spacing w:line="480" w:lineRule="auto"/>
        <w:ind w:left="720" w:hanging="720"/>
        <w:rPr>
          <w:b/>
        </w:rPr>
      </w:pPr>
    </w:p>
    <w:p w:rsidR="005D3B74" w:rsidRDefault="005D3B74" w:rsidP="004510AD">
      <w:pPr>
        <w:keepNext/>
        <w:spacing w:line="480" w:lineRule="auto"/>
        <w:ind w:left="1440" w:hanging="720"/>
        <w:rPr>
          <w:b/>
        </w:rPr>
      </w:pPr>
      <w:r>
        <w:rPr>
          <w:b/>
        </w:rPr>
        <w:t>1</w:t>
      </w:r>
      <w:r w:rsidRPr="00C00AE6">
        <w:rPr>
          <w:b/>
        </w:rPr>
        <w:t>.</w:t>
      </w:r>
      <w:r>
        <w:rPr>
          <w:b/>
        </w:rPr>
        <w:tab/>
        <w:t>Selection of the Proxy Group</w:t>
      </w:r>
    </w:p>
    <w:p w:rsidR="005D3B74" w:rsidRDefault="005D3B74" w:rsidP="00A11684">
      <w:pPr>
        <w:keepNext/>
        <w:tabs>
          <w:tab w:val="left" w:pos="720"/>
          <w:tab w:val="left" w:pos="1440"/>
          <w:tab w:val="left" w:pos="9240"/>
        </w:tabs>
        <w:spacing w:line="480" w:lineRule="auto"/>
        <w:ind w:left="720" w:hanging="720"/>
        <w:rPr>
          <w:b/>
        </w:rPr>
      </w:pPr>
    </w:p>
    <w:p w:rsidR="00AE799C" w:rsidRDefault="00AE799C" w:rsidP="00AE799C">
      <w:pPr>
        <w:tabs>
          <w:tab w:val="left" w:pos="720"/>
          <w:tab w:val="left" w:pos="1440"/>
          <w:tab w:val="left" w:pos="9240"/>
        </w:tabs>
        <w:spacing w:line="480" w:lineRule="auto"/>
        <w:ind w:left="720" w:hanging="720"/>
        <w:rPr>
          <w:b/>
        </w:rPr>
      </w:pPr>
      <w:r>
        <w:rPr>
          <w:b/>
        </w:rPr>
        <w:t>Q.</w:t>
      </w:r>
      <w:r>
        <w:rPr>
          <w:b/>
        </w:rPr>
        <w:tab/>
        <w:t>What proxy group of companies did you select for purposes of your cost of common equity analysis?</w:t>
      </w:r>
    </w:p>
    <w:p w:rsidR="00AE799C" w:rsidRPr="00206B43" w:rsidRDefault="00AE799C" w:rsidP="00AE799C">
      <w:pPr>
        <w:tabs>
          <w:tab w:val="left" w:pos="720"/>
          <w:tab w:val="left" w:pos="1440"/>
          <w:tab w:val="left" w:pos="9240"/>
        </w:tabs>
        <w:spacing w:line="480" w:lineRule="auto"/>
        <w:ind w:left="720" w:hanging="720"/>
        <w:rPr>
          <w:b/>
        </w:rPr>
      </w:pPr>
      <w:r>
        <w:t>A.</w:t>
      </w:r>
      <w:r>
        <w:tab/>
        <w:t>My proxy group consists of the following</w:t>
      </w:r>
      <w:r w:rsidR="00810854">
        <w:t xml:space="preserve"> eight </w:t>
      </w:r>
      <w:r>
        <w:t xml:space="preserve">companies:  </w:t>
      </w:r>
      <w:r w:rsidR="00541291">
        <w:t>Alliant</w:t>
      </w:r>
      <w:r>
        <w:t>,</w:t>
      </w:r>
      <w:r w:rsidR="00541291">
        <w:t xml:space="preserve"> </w:t>
      </w:r>
      <w:r w:rsidR="00503D46">
        <w:t xml:space="preserve">Avista, </w:t>
      </w:r>
      <w:r w:rsidR="00541291">
        <w:t>CMS, PGE</w:t>
      </w:r>
      <w:r>
        <w:t xml:space="preserve">, </w:t>
      </w:r>
      <w:r w:rsidR="00541291">
        <w:t xml:space="preserve">Great Plains, TECO, </w:t>
      </w:r>
      <w:r w:rsidR="00DF512A">
        <w:t>Westar</w:t>
      </w:r>
      <w:r w:rsidR="00541291">
        <w:t xml:space="preserve"> and Wisconsin</w:t>
      </w:r>
      <w:r>
        <w:t>.</w:t>
      </w:r>
      <w:r w:rsidR="00F30AA5">
        <w:rPr>
          <w:b/>
        </w:rPr>
        <w:t xml:space="preserve">  </w:t>
      </w:r>
    </w:p>
    <w:p w:rsidR="00AE799C" w:rsidRDefault="00AE799C" w:rsidP="00AE799C">
      <w:pPr>
        <w:tabs>
          <w:tab w:val="left" w:pos="720"/>
          <w:tab w:val="left" w:pos="1440"/>
          <w:tab w:val="left" w:pos="9240"/>
        </w:tabs>
        <w:spacing w:line="480" w:lineRule="auto"/>
        <w:ind w:left="720" w:hanging="720"/>
        <w:rPr>
          <w:b/>
        </w:rPr>
      </w:pPr>
    </w:p>
    <w:p w:rsidR="00AE799C" w:rsidRPr="008F70D0" w:rsidRDefault="00AE799C" w:rsidP="00AE799C">
      <w:pPr>
        <w:tabs>
          <w:tab w:val="left" w:pos="720"/>
          <w:tab w:val="left" w:pos="1440"/>
          <w:tab w:val="left" w:pos="9240"/>
        </w:tabs>
        <w:spacing w:line="480" w:lineRule="auto"/>
        <w:ind w:left="720" w:hanging="720"/>
        <w:rPr>
          <w:b/>
        </w:rPr>
      </w:pPr>
      <w:r w:rsidRPr="00FF2FF4">
        <w:rPr>
          <w:b/>
        </w:rPr>
        <w:t>Q.</w:t>
      </w:r>
      <w:r w:rsidRPr="00FF2FF4">
        <w:rPr>
          <w:b/>
        </w:rPr>
        <w:tab/>
      </w:r>
      <w:r>
        <w:rPr>
          <w:b/>
        </w:rPr>
        <w:t xml:space="preserve">Is this the </w:t>
      </w:r>
      <w:r w:rsidRPr="00D833BB">
        <w:rPr>
          <w:b/>
        </w:rPr>
        <w:t xml:space="preserve">same set of proxy companies </w:t>
      </w:r>
      <w:r w:rsidR="00B80F59">
        <w:rPr>
          <w:b/>
        </w:rPr>
        <w:t xml:space="preserve">Dr. Olson </w:t>
      </w:r>
      <w:r>
        <w:rPr>
          <w:b/>
        </w:rPr>
        <w:t>used</w:t>
      </w:r>
      <w:r w:rsidRPr="00D833BB">
        <w:rPr>
          <w:b/>
        </w:rPr>
        <w:t>?</w:t>
      </w:r>
    </w:p>
    <w:p w:rsidR="00AE799C" w:rsidRDefault="00AE799C" w:rsidP="00AE799C">
      <w:pPr>
        <w:tabs>
          <w:tab w:val="left" w:pos="720"/>
          <w:tab w:val="left" w:pos="1440"/>
          <w:tab w:val="left" w:pos="9240"/>
        </w:tabs>
        <w:spacing w:line="480" w:lineRule="auto"/>
        <w:ind w:left="720" w:hanging="720"/>
      </w:pPr>
      <w:r w:rsidRPr="00D833BB">
        <w:t>A.</w:t>
      </w:r>
      <w:r w:rsidRPr="00D833BB">
        <w:tab/>
        <w:t xml:space="preserve">No.  </w:t>
      </w:r>
    </w:p>
    <w:p w:rsidR="00AE799C" w:rsidRDefault="00AE799C" w:rsidP="00AE799C">
      <w:pPr>
        <w:tabs>
          <w:tab w:val="left" w:pos="720"/>
          <w:tab w:val="left" w:pos="1440"/>
          <w:tab w:val="left" w:pos="9240"/>
        </w:tabs>
        <w:spacing w:line="480" w:lineRule="auto"/>
        <w:ind w:left="720" w:hanging="720"/>
      </w:pPr>
    </w:p>
    <w:p w:rsidR="00AE799C" w:rsidRDefault="00AE799C" w:rsidP="00AE799C">
      <w:pPr>
        <w:tabs>
          <w:tab w:val="left" w:pos="720"/>
          <w:tab w:val="left" w:pos="1440"/>
          <w:tab w:val="left" w:pos="9240"/>
        </w:tabs>
        <w:spacing w:line="480" w:lineRule="auto"/>
        <w:ind w:left="720" w:hanging="720"/>
        <w:rPr>
          <w:b/>
        </w:rPr>
      </w:pPr>
      <w:r>
        <w:rPr>
          <w:b/>
        </w:rPr>
        <w:t>Q.</w:t>
      </w:r>
      <w:r>
        <w:rPr>
          <w:b/>
        </w:rPr>
        <w:tab/>
        <w:t>Please explain the difference.</w:t>
      </w:r>
    </w:p>
    <w:p w:rsidR="000B0FF7" w:rsidRDefault="00AE799C" w:rsidP="005B6FE4">
      <w:pPr>
        <w:tabs>
          <w:tab w:val="left" w:pos="720"/>
          <w:tab w:val="left" w:pos="1440"/>
          <w:tab w:val="left" w:pos="9240"/>
        </w:tabs>
        <w:spacing w:line="480" w:lineRule="auto"/>
        <w:ind w:left="720" w:hanging="720"/>
      </w:pPr>
      <w:r>
        <w:t>A.</w:t>
      </w:r>
      <w:r>
        <w:tab/>
      </w:r>
      <w:r w:rsidR="00B80F59">
        <w:t xml:space="preserve">I </w:t>
      </w:r>
      <w:r>
        <w:t xml:space="preserve">started with Dr. </w:t>
      </w:r>
      <w:r w:rsidR="00D25732">
        <w:t>Olson</w:t>
      </w:r>
      <w:r>
        <w:t>’s proxy group c</w:t>
      </w:r>
      <w:r w:rsidR="00DF512A">
        <w:t xml:space="preserve">ontaining </w:t>
      </w:r>
      <w:r w:rsidR="005B124F">
        <w:t>nine</w:t>
      </w:r>
      <w:r w:rsidR="00DF512A">
        <w:t xml:space="preserve"> utility companies.  </w:t>
      </w:r>
      <w:r w:rsidR="00B80F59">
        <w:t xml:space="preserve">However, </w:t>
      </w:r>
      <w:r w:rsidR="000B0FF7">
        <w:t>Dr. Olson used S&amp;P bond ratings of BB to BBB+ as a screen</w:t>
      </w:r>
      <w:r w:rsidR="00B80F59">
        <w:t>, which caused him to include NV Energy, a BB rate company, in his group</w:t>
      </w:r>
      <w:r w:rsidR="000B0FF7">
        <w:t>.</w:t>
      </w:r>
      <w:r w:rsidR="00CE5178">
        <w:rPr>
          <w:rStyle w:val="FootnoteReference"/>
        </w:rPr>
        <w:footnoteReference w:id="23"/>
      </w:r>
      <w:r w:rsidR="00D2408E">
        <w:t xml:space="preserve">  </w:t>
      </w:r>
      <w:r w:rsidR="004B31C3">
        <w:t>I d</w:t>
      </w:r>
      <w:r w:rsidR="00B80F59">
        <w:t xml:space="preserve">isagree </w:t>
      </w:r>
      <w:r w:rsidR="004B31C3">
        <w:t>with this</w:t>
      </w:r>
      <w:r w:rsidR="005B6FE4">
        <w:t xml:space="preserve"> element of his s</w:t>
      </w:r>
      <w:r w:rsidR="004B31C3">
        <w:t>creening process</w:t>
      </w:r>
      <w:r w:rsidR="005B6FE4">
        <w:t xml:space="preserve">.  </w:t>
      </w:r>
      <w:r w:rsidR="00B80F59">
        <w:t xml:space="preserve">A </w:t>
      </w:r>
      <w:r w:rsidR="006C35BE">
        <w:t xml:space="preserve">BB rating is a junk bond rating.  </w:t>
      </w:r>
      <w:r w:rsidR="000B0FF7">
        <w:t xml:space="preserve">Any utility with a junk </w:t>
      </w:r>
      <w:r w:rsidR="000B0FF7">
        <w:lastRenderedPageBreak/>
        <w:t xml:space="preserve">bond rating </w:t>
      </w:r>
      <w:r w:rsidR="004B31C3">
        <w:t>add</w:t>
      </w:r>
      <w:r w:rsidR="00B80F59">
        <w:t>s</w:t>
      </w:r>
      <w:r w:rsidR="004B31C3">
        <w:t xml:space="preserve"> </w:t>
      </w:r>
      <w:r w:rsidR="006C35BE">
        <w:t xml:space="preserve">excessive </w:t>
      </w:r>
      <w:r w:rsidR="004B31C3">
        <w:t xml:space="preserve">financial risk </w:t>
      </w:r>
      <w:r w:rsidR="00B80F59">
        <w:t xml:space="preserve">and </w:t>
      </w:r>
      <w:r w:rsidR="000B0FF7">
        <w:t>create</w:t>
      </w:r>
      <w:r w:rsidR="004B31C3">
        <w:t>s</w:t>
      </w:r>
      <w:r w:rsidR="000B0FF7">
        <w:t xml:space="preserve"> some uncertainty for equity investors that a firm with </w:t>
      </w:r>
      <w:r w:rsidR="00B75B23">
        <w:t xml:space="preserve">an </w:t>
      </w:r>
      <w:r w:rsidR="000B0FF7">
        <w:t xml:space="preserve">investment grade rating does not.  </w:t>
      </w:r>
      <w:r w:rsidR="00541291">
        <w:t>Therefore, I removed NV Energy</w:t>
      </w:r>
      <w:r w:rsidR="00CE5178">
        <w:t xml:space="preserve"> from the proxy group</w:t>
      </w:r>
      <w:r w:rsidR="00541291">
        <w:t xml:space="preserve">.  </w:t>
      </w:r>
    </w:p>
    <w:p w:rsidR="00B75B23" w:rsidRDefault="000B0FF7" w:rsidP="005B6FE4">
      <w:pPr>
        <w:tabs>
          <w:tab w:val="left" w:pos="720"/>
          <w:tab w:val="left" w:pos="1440"/>
          <w:tab w:val="left" w:pos="9240"/>
        </w:tabs>
        <w:spacing w:line="480" w:lineRule="auto"/>
        <w:ind w:left="720" w:hanging="720"/>
      </w:pPr>
      <w:r>
        <w:tab/>
      </w:r>
      <w:r>
        <w:tab/>
        <w:t xml:space="preserve">Next, </w:t>
      </w:r>
      <w:r w:rsidR="00B75B23">
        <w:t xml:space="preserve">I </w:t>
      </w:r>
      <w:r w:rsidR="004B31C3">
        <w:t xml:space="preserve">removed </w:t>
      </w:r>
      <w:r w:rsidR="005B6FE4">
        <w:t>Pinnacle West since its operating utility, Arizona Public Service Company, is regulated on the basis of fair value</w:t>
      </w:r>
      <w:r w:rsidR="004B31C3">
        <w:t xml:space="preserve"> by the Arizona</w:t>
      </w:r>
      <w:r w:rsidR="00B75B23">
        <w:t xml:space="preserve"> </w:t>
      </w:r>
      <w:r w:rsidR="004B31C3">
        <w:t>Commission</w:t>
      </w:r>
      <w:r w:rsidR="005B6FE4">
        <w:t xml:space="preserve">. </w:t>
      </w:r>
      <w:r w:rsidR="00AE799C">
        <w:t xml:space="preserve"> </w:t>
      </w:r>
      <w:r w:rsidR="00DB39D0">
        <w:t xml:space="preserve"> </w:t>
      </w:r>
      <w:r w:rsidR="00B75B23">
        <w:t xml:space="preserve">I also removed </w:t>
      </w:r>
      <w:r w:rsidR="00541291">
        <w:t xml:space="preserve">OGE due to </w:t>
      </w:r>
      <w:r w:rsidR="00B75B23">
        <w:t xml:space="preserve">its </w:t>
      </w:r>
      <w:r w:rsidR="00FF51D1">
        <w:t xml:space="preserve">excessive </w:t>
      </w:r>
      <w:r w:rsidR="00DB39D0">
        <w:t>amount of unregulated revenue</w:t>
      </w:r>
      <w:r w:rsidR="00857B68">
        <w:t>.  OGE</w:t>
      </w:r>
      <w:r w:rsidR="00DB39D0">
        <w:t xml:space="preserve"> has about </w:t>
      </w:r>
      <w:r w:rsidR="00541291">
        <w:t>32</w:t>
      </w:r>
      <w:r w:rsidR="005B124F">
        <w:t xml:space="preserve"> </w:t>
      </w:r>
      <w:r w:rsidR="00736CD7">
        <w:t>percent</w:t>
      </w:r>
      <w:r w:rsidR="00541291">
        <w:t xml:space="preserve"> of total </w:t>
      </w:r>
      <w:r w:rsidR="00DB39D0">
        <w:t>revenue from unregulated operations</w:t>
      </w:r>
      <w:r w:rsidR="006C35BE">
        <w:t xml:space="preserve"> </w:t>
      </w:r>
      <w:r w:rsidR="00731778">
        <w:t>while PSE has</w:t>
      </w:r>
      <w:r w:rsidR="006C35BE">
        <w:t xml:space="preserve"> l</w:t>
      </w:r>
      <w:r w:rsidR="0061330B">
        <w:t>ess</w:t>
      </w:r>
      <w:r w:rsidR="006C35BE">
        <w:t xml:space="preserve"> than </w:t>
      </w:r>
      <w:r w:rsidR="00CA455B">
        <w:t>1</w:t>
      </w:r>
      <w:r w:rsidR="00B75B23">
        <w:t xml:space="preserve"> percent </w:t>
      </w:r>
      <w:r w:rsidR="00731778">
        <w:t xml:space="preserve">of its </w:t>
      </w:r>
      <w:r w:rsidR="00CA455B">
        <w:t>revenue</w:t>
      </w:r>
      <w:r w:rsidR="00731778">
        <w:t xml:space="preserve"> from unregulated operations</w:t>
      </w:r>
      <w:r w:rsidR="00541291">
        <w:t xml:space="preserve">. </w:t>
      </w:r>
      <w:r w:rsidR="00DB39D0">
        <w:t xml:space="preserve"> </w:t>
      </w:r>
    </w:p>
    <w:p w:rsidR="00B75B23" w:rsidRDefault="00B75B23" w:rsidP="005B6FE4">
      <w:pPr>
        <w:tabs>
          <w:tab w:val="left" w:pos="720"/>
          <w:tab w:val="left" w:pos="1440"/>
          <w:tab w:val="left" w:pos="9240"/>
        </w:tabs>
        <w:spacing w:line="480" w:lineRule="auto"/>
        <w:ind w:left="720" w:hanging="720"/>
      </w:pPr>
      <w:r>
        <w:tab/>
      </w:r>
      <w:r>
        <w:tab/>
      </w:r>
      <w:r w:rsidR="00541291">
        <w:t xml:space="preserve">Since Dr. Olson’s considered all utilities rated BBB and those with revenues half that of PSE, I included </w:t>
      </w:r>
      <w:r w:rsidR="00503D46">
        <w:t xml:space="preserve">Avista </w:t>
      </w:r>
      <w:r w:rsidR="00541291">
        <w:t xml:space="preserve">Corporation.  </w:t>
      </w:r>
      <w:r w:rsidR="00731778">
        <w:t>Avista</w:t>
      </w:r>
      <w:r w:rsidR="00541291">
        <w:t xml:space="preserve"> </w:t>
      </w:r>
      <w:r w:rsidR="00810854">
        <w:t xml:space="preserve">is a combination utility </w:t>
      </w:r>
      <w:r w:rsidR="00241707">
        <w:t xml:space="preserve">providing both electric and natural gas service </w:t>
      </w:r>
      <w:r w:rsidR="00810854">
        <w:t>with Washington as i</w:t>
      </w:r>
      <w:r w:rsidR="00541291">
        <w:t xml:space="preserve">ts principle jurisdiction.  </w:t>
      </w:r>
      <w:r>
        <w:t>Therefore, i</w:t>
      </w:r>
      <w:r w:rsidR="004B31C3">
        <w:t>t provides d</w:t>
      </w:r>
      <w:r w:rsidR="006C35BE">
        <w:t xml:space="preserve">irect evidence of how investors </w:t>
      </w:r>
      <w:r w:rsidR="004B31C3">
        <w:t>view</w:t>
      </w:r>
      <w:r w:rsidR="006A350A">
        <w:t xml:space="preserve"> a combination company with a major portion of its electric and natural gas utility </w:t>
      </w:r>
      <w:r w:rsidR="004B31C3">
        <w:t xml:space="preserve">business under the Commission’s jurisdiction.  </w:t>
      </w:r>
    </w:p>
    <w:p w:rsidR="00DF512A" w:rsidRDefault="00B75B23" w:rsidP="005B6FE4">
      <w:pPr>
        <w:tabs>
          <w:tab w:val="left" w:pos="720"/>
          <w:tab w:val="left" w:pos="1440"/>
          <w:tab w:val="left" w:pos="9240"/>
        </w:tabs>
        <w:spacing w:line="480" w:lineRule="auto"/>
        <w:ind w:left="720" w:hanging="720"/>
      </w:pPr>
      <w:r>
        <w:tab/>
      </w:r>
      <w:r>
        <w:tab/>
      </w:r>
      <w:r w:rsidR="00541291">
        <w:t xml:space="preserve">Finally, I included </w:t>
      </w:r>
      <w:r w:rsidR="00731778">
        <w:t>Portland General Electric Company</w:t>
      </w:r>
      <w:r w:rsidR="00000B72">
        <w:t xml:space="preserve">.  It is a Pacific Northwest electric company facing similar regional issues with respect to infrastructure, resource acquisition, and competitive issues for its electric business.  Therefore, </w:t>
      </w:r>
      <w:r w:rsidR="00810854">
        <w:t>I would expect investors to co</w:t>
      </w:r>
      <w:r w:rsidR="005B124F">
        <w:t xml:space="preserve">nsider it comparable </w:t>
      </w:r>
      <w:r>
        <w:t>to PSE</w:t>
      </w:r>
      <w:r w:rsidR="006A350A">
        <w:t xml:space="preserve">. </w:t>
      </w:r>
      <w:r w:rsidR="00000B72">
        <w:t xml:space="preserve"> </w:t>
      </w:r>
    </w:p>
    <w:p w:rsidR="00DF512A" w:rsidRDefault="00DF512A" w:rsidP="00AE799C">
      <w:pPr>
        <w:tabs>
          <w:tab w:val="left" w:pos="720"/>
          <w:tab w:val="left" w:pos="1440"/>
          <w:tab w:val="left" w:pos="9240"/>
        </w:tabs>
        <w:spacing w:line="480" w:lineRule="auto"/>
        <w:ind w:left="720" w:hanging="720"/>
      </w:pPr>
    </w:p>
    <w:p w:rsidR="00AE799C" w:rsidRDefault="00FF51D1" w:rsidP="00AE799C">
      <w:pPr>
        <w:tabs>
          <w:tab w:val="left" w:pos="720"/>
          <w:tab w:val="left" w:pos="1440"/>
          <w:tab w:val="left" w:pos="9240"/>
        </w:tabs>
        <w:spacing w:line="480" w:lineRule="auto"/>
        <w:ind w:left="720" w:hanging="720"/>
        <w:rPr>
          <w:b/>
        </w:rPr>
      </w:pPr>
      <w:r>
        <w:rPr>
          <w:b/>
        </w:rPr>
        <w:t>Q.</w:t>
      </w:r>
      <w:r>
        <w:rPr>
          <w:b/>
        </w:rPr>
        <w:tab/>
        <w:t xml:space="preserve">Do you agree with Dr. Olson’s testimony with respect to the </w:t>
      </w:r>
      <w:r w:rsidR="006C53CB">
        <w:rPr>
          <w:b/>
        </w:rPr>
        <w:t>number</w:t>
      </w:r>
      <w:r>
        <w:rPr>
          <w:b/>
        </w:rPr>
        <w:t xml:space="preserve"> of </w:t>
      </w:r>
      <w:r w:rsidR="006C53CB">
        <w:rPr>
          <w:b/>
        </w:rPr>
        <w:t xml:space="preserve">companies </w:t>
      </w:r>
      <w:r w:rsidR="00000B72">
        <w:rPr>
          <w:b/>
        </w:rPr>
        <w:t xml:space="preserve">that should be included </w:t>
      </w:r>
      <w:r w:rsidR="006C53CB">
        <w:rPr>
          <w:b/>
        </w:rPr>
        <w:t>in a</w:t>
      </w:r>
      <w:r>
        <w:rPr>
          <w:b/>
        </w:rPr>
        <w:t xml:space="preserve"> </w:t>
      </w:r>
      <w:r w:rsidR="0039591E">
        <w:rPr>
          <w:b/>
        </w:rPr>
        <w:t>proxy</w:t>
      </w:r>
      <w:r>
        <w:rPr>
          <w:b/>
        </w:rPr>
        <w:t xml:space="preserve"> group for purposes of estimating the return on equity for PSE?</w:t>
      </w:r>
    </w:p>
    <w:p w:rsidR="00000B72" w:rsidRDefault="00FF51D1" w:rsidP="00E956FB">
      <w:pPr>
        <w:tabs>
          <w:tab w:val="left" w:pos="720"/>
          <w:tab w:val="left" w:pos="1440"/>
          <w:tab w:val="left" w:pos="9240"/>
        </w:tabs>
        <w:spacing w:line="480" w:lineRule="auto"/>
        <w:ind w:left="720" w:hanging="720"/>
      </w:pPr>
      <w:r>
        <w:t>A.</w:t>
      </w:r>
      <w:r>
        <w:tab/>
        <w:t xml:space="preserve">Yes.  </w:t>
      </w:r>
      <w:r w:rsidR="004E0921">
        <w:t xml:space="preserve">Dr. Olson states, </w:t>
      </w:r>
    </w:p>
    <w:p w:rsidR="00241707" w:rsidRDefault="00000B72" w:rsidP="00F30AA5">
      <w:pPr>
        <w:tabs>
          <w:tab w:val="left" w:pos="720"/>
          <w:tab w:val="left" w:pos="1440"/>
          <w:tab w:val="left" w:pos="9240"/>
        </w:tabs>
        <w:ind w:left="720" w:hanging="720"/>
        <w:rPr>
          <w:i/>
        </w:rPr>
      </w:pPr>
      <w:r>
        <w:lastRenderedPageBreak/>
        <w:tab/>
      </w:r>
      <w:r w:rsidR="004E0921" w:rsidRPr="00000B72">
        <w:t>The nine companies in my group are comparable risk-wise to PSE and constitute the univers</w:t>
      </w:r>
      <w:r w:rsidR="00E956FB" w:rsidRPr="00D5702E">
        <w:t>e</w:t>
      </w:r>
      <w:r w:rsidR="004E0921" w:rsidRPr="00DA340E">
        <w:t xml:space="preserve"> of such utilities.  This group is not a sample but rathe</w:t>
      </w:r>
      <w:r w:rsidR="00B75B23" w:rsidRPr="00703E83">
        <w:t>r</w:t>
      </w:r>
      <w:r w:rsidR="004E0921" w:rsidRPr="00D94BB3">
        <w:t xml:space="preserve"> all of the utilities that are comparable to PSE.</w:t>
      </w:r>
      <w:r w:rsidR="00E956FB" w:rsidRPr="00B93403">
        <w:t xml:space="preserve"> </w:t>
      </w:r>
      <w:r w:rsidR="00B75B23" w:rsidRPr="00B93403">
        <w:t xml:space="preserve"> </w:t>
      </w:r>
      <w:r w:rsidR="00E956FB" w:rsidRPr="00B93403">
        <w:t xml:space="preserve">Thus it would be inaccurate to say this group of nine is too </w:t>
      </w:r>
      <w:r w:rsidR="00B75B23" w:rsidRPr="00B93403">
        <w:t>s</w:t>
      </w:r>
      <w:r w:rsidR="00E956FB" w:rsidRPr="00E021BB">
        <w:t>mall a sample.  It is not a sample at all; rathe</w:t>
      </w:r>
      <w:r w:rsidR="00B75B23" w:rsidRPr="00E021BB">
        <w:t>r</w:t>
      </w:r>
      <w:r w:rsidR="00E956FB" w:rsidRPr="00E021BB">
        <w:t xml:space="preserve"> it is the universe of comparable companies.</w:t>
      </w:r>
      <w:r w:rsidRPr="00000B72">
        <w:rPr>
          <w:rStyle w:val="FootnoteReference"/>
        </w:rPr>
        <w:footnoteReference w:id="24"/>
      </w:r>
      <w:r w:rsidR="00E956FB" w:rsidRPr="00000B72">
        <w:t xml:space="preserve">   </w:t>
      </w:r>
    </w:p>
    <w:p w:rsidR="00F30AA5" w:rsidRPr="00F30AA5" w:rsidRDefault="00F30AA5" w:rsidP="00F30AA5">
      <w:pPr>
        <w:tabs>
          <w:tab w:val="left" w:pos="720"/>
          <w:tab w:val="left" w:pos="1440"/>
          <w:tab w:val="left" w:pos="9240"/>
        </w:tabs>
        <w:ind w:left="720" w:hanging="720"/>
        <w:rPr>
          <w:i/>
        </w:rPr>
      </w:pPr>
    </w:p>
    <w:p w:rsidR="00FF51D1" w:rsidRDefault="00241707" w:rsidP="00AE799C">
      <w:pPr>
        <w:tabs>
          <w:tab w:val="left" w:pos="720"/>
          <w:tab w:val="left" w:pos="1440"/>
          <w:tab w:val="left" w:pos="9240"/>
        </w:tabs>
        <w:spacing w:line="480" w:lineRule="auto"/>
        <w:ind w:left="720" w:hanging="720"/>
      </w:pPr>
      <w:r>
        <w:tab/>
      </w:r>
      <w:r w:rsidR="00FF51D1">
        <w:t>The purpose of selecting a comparable group is to select companies of comparable risk.  It has nothing to do with sampling techniques and statistical reliability.  It has to do with selecting the right set of comparable companies</w:t>
      </w:r>
      <w:r w:rsidR="00503D46">
        <w:t xml:space="preserve"> to estimate the cost of equity for PSE</w:t>
      </w:r>
      <w:r w:rsidR="00FF51D1">
        <w:t>.</w:t>
      </w:r>
      <w:r w:rsidR="00DB39D0">
        <w:t xml:space="preserve">  </w:t>
      </w:r>
      <w:r w:rsidR="00CA455B">
        <w:t>My proxy group of companies meets that objective.</w:t>
      </w:r>
    </w:p>
    <w:p w:rsidR="006A350A" w:rsidRDefault="006A350A" w:rsidP="00AE799C">
      <w:pPr>
        <w:tabs>
          <w:tab w:val="left" w:pos="720"/>
          <w:tab w:val="left" w:pos="1440"/>
          <w:tab w:val="left" w:pos="9240"/>
        </w:tabs>
        <w:spacing w:line="480" w:lineRule="auto"/>
        <w:ind w:left="720" w:hanging="720"/>
      </w:pPr>
    </w:p>
    <w:p w:rsidR="005D3B74" w:rsidRDefault="006F289E" w:rsidP="00F30AA5">
      <w:pPr>
        <w:keepNext/>
        <w:tabs>
          <w:tab w:val="left" w:pos="1440"/>
          <w:tab w:val="left" w:pos="2160"/>
          <w:tab w:val="left" w:pos="9240"/>
        </w:tabs>
        <w:spacing w:line="480" w:lineRule="auto"/>
        <w:ind w:left="723" w:hangingChars="300" w:hanging="723"/>
        <w:rPr>
          <w:b/>
          <w:u w:val="single"/>
        </w:rPr>
      </w:pPr>
      <w:r>
        <w:rPr>
          <w:b/>
        </w:rPr>
        <w:tab/>
      </w:r>
      <w:r w:rsidR="005D3B74">
        <w:rPr>
          <w:b/>
        </w:rPr>
        <w:t>2</w:t>
      </w:r>
      <w:r w:rsidR="005D3B74" w:rsidRPr="0014170E">
        <w:rPr>
          <w:b/>
        </w:rPr>
        <w:t>.</w:t>
      </w:r>
      <w:r w:rsidR="005D3B74">
        <w:rPr>
          <w:b/>
        </w:rPr>
        <w:tab/>
      </w:r>
      <w:r w:rsidR="005D3B74" w:rsidRPr="00060B17">
        <w:rPr>
          <w:b/>
        </w:rPr>
        <w:t>D</w:t>
      </w:r>
      <w:r w:rsidR="005D3B74">
        <w:rPr>
          <w:b/>
        </w:rPr>
        <w:t>iscounted Cash Flow Analysis</w:t>
      </w:r>
    </w:p>
    <w:p w:rsidR="005D3B74" w:rsidRDefault="005D3B74" w:rsidP="00F30AA5">
      <w:pPr>
        <w:keepNext/>
        <w:tabs>
          <w:tab w:val="left" w:pos="720"/>
          <w:tab w:val="left" w:pos="1440"/>
          <w:tab w:val="left" w:pos="9240"/>
        </w:tabs>
        <w:spacing w:line="480" w:lineRule="auto"/>
        <w:ind w:left="723" w:hangingChars="300" w:hanging="723"/>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Please describe the Discounted Cash Flow model, and the underlying theory of that model in estimating the cost of equity.</w:t>
      </w:r>
    </w:p>
    <w:p w:rsidR="005D3B74" w:rsidRDefault="005D3B74" w:rsidP="005D3B74">
      <w:pPr>
        <w:tabs>
          <w:tab w:val="left" w:pos="720"/>
          <w:tab w:val="left" w:pos="1440"/>
          <w:tab w:val="left" w:pos="9240"/>
        </w:tabs>
        <w:spacing w:line="480" w:lineRule="auto"/>
        <w:ind w:left="720" w:hanging="720"/>
      </w:pPr>
      <w:r>
        <w:t>A.</w:t>
      </w:r>
      <w:r>
        <w:tab/>
        <w:t xml:space="preserve">The DCF model is based on the “dividend discount model” of financial theory.  It relies upon the most fundamental principle of finance:  the </w:t>
      </w:r>
      <w:r w:rsidRPr="00241707">
        <w:t>value</w:t>
      </w:r>
      <w:r>
        <w:t xml:space="preserve"> (price) of any asset, in this case, a security, is the present value of all future cash flows.  </w:t>
      </w:r>
    </w:p>
    <w:p w:rsidR="005D3B74" w:rsidRDefault="005D3B74" w:rsidP="005D3B74">
      <w:pPr>
        <w:tabs>
          <w:tab w:val="left" w:pos="720"/>
          <w:tab w:val="left" w:pos="1440"/>
          <w:tab w:val="left" w:pos="9240"/>
        </w:tabs>
        <w:spacing w:line="480" w:lineRule="auto"/>
        <w:ind w:left="720" w:hanging="720"/>
      </w:pPr>
      <w:r>
        <w:tab/>
      </w:r>
      <w:r>
        <w:tab/>
        <w:t>If one makes some simplifying assumptions about a company</w:t>
      </w:r>
      <w:r w:rsidR="006D088A">
        <w:t xml:space="preserve">’s </w:t>
      </w:r>
      <w:r>
        <w:t xml:space="preserve">financial performance and cash flows, the following formula is the common equation used by analysts and accepted by regulatory bodies to estimate </w:t>
      </w:r>
      <w:r w:rsidR="0021423E">
        <w:t xml:space="preserve">the </w:t>
      </w:r>
      <w:r>
        <w:t>cost of equity (K):</w:t>
      </w:r>
    </w:p>
    <w:p w:rsidR="005D3B74" w:rsidRDefault="005D3B74" w:rsidP="00D2408E">
      <w:pPr>
        <w:tabs>
          <w:tab w:val="left" w:pos="720"/>
          <w:tab w:val="left" w:pos="1440"/>
          <w:tab w:val="left" w:pos="9240"/>
        </w:tabs>
        <w:spacing w:line="360" w:lineRule="auto"/>
        <w:ind w:left="720" w:hanging="720"/>
        <w:jc w:val="center"/>
      </w:pPr>
      <w:r w:rsidRPr="006F1546">
        <w:rPr>
          <w:position w:val="-24"/>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29.15pt" o:ole="">
            <v:imagedata r:id="rId12" o:title=""/>
          </v:shape>
          <o:OLEObject Type="Embed" ProgID="Equation.3" ShapeID="_x0000_i1025" DrawAspect="Content" ObjectID="_1384664400" r:id="rId13"/>
        </w:object>
      </w:r>
    </w:p>
    <w:p w:rsidR="005D3B74" w:rsidRDefault="005D3B74" w:rsidP="005D3B74">
      <w:pPr>
        <w:tabs>
          <w:tab w:val="left" w:pos="720"/>
          <w:tab w:val="left" w:pos="1440"/>
          <w:tab w:val="left" w:pos="2160"/>
          <w:tab w:val="left" w:pos="9240"/>
        </w:tabs>
        <w:spacing w:line="360" w:lineRule="auto"/>
        <w:ind w:left="720" w:hanging="720"/>
      </w:pPr>
      <w:r>
        <w:tab/>
        <w:t xml:space="preserve">where: </w:t>
      </w:r>
      <w:r>
        <w:tab/>
      </w:r>
      <w:r>
        <w:tab/>
      </w:r>
      <w:r w:rsidRPr="003D6C81">
        <w:rPr>
          <w:i/>
        </w:rPr>
        <w:t>K</w:t>
      </w:r>
      <w:r>
        <w:t xml:space="preserve"> = cost of equity</w:t>
      </w:r>
    </w:p>
    <w:p w:rsidR="005D3B74" w:rsidRDefault="005D3B74" w:rsidP="005D3B74">
      <w:pPr>
        <w:tabs>
          <w:tab w:val="left" w:pos="720"/>
          <w:tab w:val="left" w:pos="1440"/>
          <w:tab w:val="left" w:pos="2160"/>
          <w:tab w:val="left" w:pos="9240"/>
        </w:tabs>
        <w:spacing w:line="360" w:lineRule="auto"/>
        <w:ind w:left="720" w:hanging="720"/>
      </w:pPr>
      <w:r>
        <w:tab/>
      </w:r>
      <w:r>
        <w:tab/>
      </w:r>
      <w:r>
        <w:tab/>
      </w:r>
      <w:r w:rsidRPr="003D6C81">
        <w:rPr>
          <w:i/>
        </w:rPr>
        <w:t>P</w:t>
      </w:r>
      <w:r>
        <w:t xml:space="preserve"> = current price</w:t>
      </w:r>
    </w:p>
    <w:p w:rsidR="005D3B74" w:rsidRDefault="005D3B74" w:rsidP="005D3B74">
      <w:pPr>
        <w:tabs>
          <w:tab w:val="left" w:pos="720"/>
          <w:tab w:val="left" w:pos="1440"/>
          <w:tab w:val="left" w:pos="2160"/>
          <w:tab w:val="left" w:pos="9240"/>
        </w:tabs>
        <w:spacing w:line="360" w:lineRule="auto"/>
        <w:ind w:left="720" w:hanging="720"/>
      </w:pPr>
      <w:r>
        <w:tab/>
      </w:r>
      <w:r>
        <w:tab/>
      </w:r>
      <w:r>
        <w:tab/>
      </w:r>
      <w:r w:rsidRPr="003D6C81">
        <w:rPr>
          <w:i/>
        </w:rPr>
        <w:t>D</w:t>
      </w:r>
      <w:r>
        <w:t xml:space="preserve"> = expected dividend payment</w:t>
      </w:r>
    </w:p>
    <w:p w:rsidR="005D3B74" w:rsidRDefault="005D3B74" w:rsidP="005D3B74">
      <w:pPr>
        <w:tabs>
          <w:tab w:val="left" w:pos="720"/>
          <w:tab w:val="left" w:pos="1440"/>
          <w:tab w:val="left" w:pos="2160"/>
          <w:tab w:val="left" w:pos="9240"/>
        </w:tabs>
        <w:spacing w:line="360" w:lineRule="auto"/>
        <w:ind w:left="720" w:hanging="720"/>
      </w:pPr>
      <w:r>
        <w:tab/>
      </w:r>
      <w:r>
        <w:tab/>
      </w:r>
      <w:r>
        <w:tab/>
      </w:r>
      <w:r w:rsidRPr="003D6C81">
        <w:rPr>
          <w:i/>
        </w:rPr>
        <w:t>g</w:t>
      </w:r>
      <w:r>
        <w:t xml:space="preserve"> = constant rate of expected dividend growth</w:t>
      </w:r>
    </w:p>
    <w:p w:rsidR="005D3B74" w:rsidRDefault="005D3B74" w:rsidP="005D3B74">
      <w:pPr>
        <w:tabs>
          <w:tab w:val="left" w:pos="720"/>
          <w:tab w:val="left" w:pos="1440"/>
          <w:tab w:val="left" w:pos="2160"/>
          <w:tab w:val="left" w:pos="9240"/>
        </w:tabs>
        <w:spacing w:line="480" w:lineRule="auto"/>
        <w:ind w:left="720" w:hanging="720"/>
      </w:pPr>
      <w:r>
        <w:lastRenderedPageBreak/>
        <w:tab/>
      </w:r>
    </w:p>
    <w:p w:rsidR="005D3B74" w:rsidRDefault="005D3B74" w:rsidP="005D3B74">
      <w:pPr>
        <w:tabs>
          <w:tab w:val="left" w:pos="720"/>
          <w:tab w:val="left" w:pos="1440"/>
          <w:tab w:val="left" w:pos="2160"/>
          <w:tab w:val="left" w:pos="9240"/>
        </w:tabs>
        <w:spacing w:line="480" w:lineRule="auto"/>
        <w:ind w:left="720" w:hanging="720"/>
      </w:pPr>
      <w:r>
        <w:tab/>
        <w:t>Essentially, this formula recognizes that the expected or required return of investors is estimated by considering two factors:  expectations of the stock</w:t>
      </w:r>
      <w:r w:rsidR="00673E5F">
        <w:t xml:space="preserve">’s </w:t>
      </w:r>
      <w:r>
        <w:t xml:space="preserve">dividend yield and the long-term constant growth in dividends per share.  </w:t>
      </w:r>
    </w:p>
    <w:p w:rsidR="005D3B74" w:rsidRDefault="005D3B74" w:rsidP="005D3B74">
      <w:pPr>
        <w:tabs>
          <w:tab w:val="left" w:pos="720"/>
          <w:tab w:val="left" w:pos="1440"/>
          <w:tab w:val="left" w:pos="2160"/>
          <w:tab w:val="left" w:pos="9240"/>
        </w:tabs>
        <w:spacing w:line="480" w:lineRule="auto"/>
        <w:ind w:left="720" w:hanging="720"/>
      </w:pPr>
      <w:r>
        <w:tab/>
      </w:r>
      <w:r>
        <w:tab/>
        <w:t>This same model is used to price any strea</w:t>
      </w:r>
      <w:r w:rsidR="00182608">
        <w:t>m of cash flows.  For example, with</w:t>
      </w:r>
      <w:r>
        <w:t xml:space="preserve"> </w:t>
      </w:r>
      <w:r w:rsidR="006716B6">
        <w:t xml:space="preserve">a </w:t>
      </w:r>
      <w:r w:rsidR="005B124F">
        <w:t xml:space="preserve">fixed income security, </w:t>
      </w:r>
      <w:r w:rsidR="00AD0272" w:rsidRPr="00DA2889">
        <w:rPr>
          <w:i/>
        </w:rPr>
        <w:t>i.e.</w:t>
      </w:r>
      <w:r w:rsidR="005B124F">
        <w:t xml:space="preserve"> a bond,</w:t>
      </w:r>
      <w:r w:rsidR="00182608">
        <w:t xml:space="preserve"> </w:t>
      </w:r>
      <w:r>
        <w:t xml:space="preserve">the dividend </w:t>
      </w:r>
      <w:r w:rsidR="00182608">
        <w:t xml:space="preserve">(D) </w:t>
      </w:r>
      <w:r>
        <w:t xml:space="preserve">is </w:t>
      </w:r>
      <w:r w:rsidR="006716B6">
        <w:t xml:space="preserve">determined by </w:t>
      </w:r>
      <w:r>
        <w:t xml:space="preserve">the coupon rate </w:t>
      </w:r>
      <w:r w:rsidR="00182608">
        <w:t xml:space="preserve">(K) </w:t>
      </w:r>
      <w:r>
        <w:t xml:space="preserve">and the growth rate is zero.  As expectations change for future interest rates, the price </w:t>
      </w:r>
      <w:r w:rsidR="00182608">
        <w:t xml:space="preserve">(P) </w:t>
      </w:r>
      <w:r>
        <w:t xml:space="preserve">of the bond adjusts to reflect new expectations </w:t>
      </w:r>
      <w:r w:rsidR="00600345">
        <w:t xml:space="preserve">in order </w:t>
      </w:r>
      <w:r>
        <w:t>to provide investor</w:t>
      </w:r>
      <w:r w:rsidR="00673E5F">
        <w:t xml:space="preserve">s </w:t>
      </w:r>
      <w:r>
        <w:t>their required rate of return</w:t>
      </w:r>
      <w:r w:rsidR="006D088A">
        <w:t xml:space="preserve"> (K)</w:t>
      </w:r>
      <w:r>
        <w:t>.</w:t>
      </w:r>
    </w:p>
    <w:p w:rsidR="005D3B74" w:rsidRDefault="005D3B74" w:rsidP="005D3B74">
      <w:pPr>
        <w:tabs>
          <w:tab w:val="left" w:pos="720"/>
          <w:tab w:val="left" w:pos="1440"/>
          <w:tab w:val="left" w:pos="2160"/>
          <w:tab w:val="left" w:pos="9240"/>
        </w:tabs>
        <w:spacing w:line="480" w:lineRule="auto"/>
        <w:ind w:left="720" w:hanging="720"/>
      </w:pPr>
    </w:p>
    <w:p w:rsidR="005D3B74" w:rsidRPr="002F5642" w:rsidRDefault="005D3B74" w:rsidP="005D3B74">
      <w:pPr>
        <w:tabs>
          <w:tab w:val="left" w:pos="720"/>
          <w:tab w:val="left" w:pos="1440"/>
          <w:tab w:val="left" w:pos="2160"/>
          <w:tab w:val="left" w:pos="9240"/>
        </w:tabs>
        <w:spacing w:line="480" w:lineRule="auto"/>
        <w:ind w:left="720" w:hanging="720"/>
        <w:rPr>
          <w:b/>
        </w:rPr>
      </w:pPr>
      <w:r>
        <w:rPr>
          <w:b/>
        </w:rPr>
        <w:t>Q.</w:t>
      </w:r>
      <w:r>
        <w:rPr>
          <w:b/>
        </w:rPr>
        <w:tab/>
        <w:t>Is the DCF method, or any other cost of c</w:t>
      </w:r>
      <w:r w:rsidR="00673E5F">
        <w:rPr>
          <w:b/>
        </w:rPr>
        <w:t>ommon equity estimation method</w:t>
      </w:r>
      <w:r w:rsidR="006D0105">
        <w:rPr>
          <w:b/>
        </w:rPr>
        <w:t>,</w:t>
      </w:r>
      <w:r w:rsidR="00673E5F">
        <w:rPr>
          <w:b/>
        </w:rPr>
        <w:t xml:space="preserve"> </w:t>
      </w:r>
      <w:r>
        <w:rPr>
          <w:b/>
        </w:rPr>
        <w:t>a mechanical process?</w:t>
      </w:r>
    </w:p>
    <w:p w:rsidR="005D3B74" w:rsidRDefault="005D3B74" w:rsidP="005D3B74">
      <w:pPr>
        <w:tabs>
          <w:tab w:val="left" w:pos="720"/>
          <w:tab w:val="left" w:pos="1440"/>
          <w:tab w:val="right" w:leader="dot" w:pos="8640"/>
          <w:tab w:val="left" w:pos="9240"/>
        </w:tabs>
        <w:spacing w:line="480" w:lineRule="auto"/>
        <w:ind w:left="720" w:hanging="720"/>
      </w:pPr>
      <w:r>
        <w:t>A.</w:t>
      </w:r>
      <w:r>
        <w:tab/>
        <w:t>No.  Cost of common equity analysis is a process requiring considerable judgment in producing credible outcomes.  It</w:t>
      </w:r>
      <w:r w:rsidR="00673E5F">
        <w:t xml:space="preserve"> requires the analyst to consider </w:t>
      </w:r>
      <w:r w:rsidR="00553139">
        <w:t>relevant</w:t>
      </w:r>
      <w:r w:rsidR="00673E5F">
        <w:t xml:space="preserve"> financial performance and make reasoned decisions based upon rational future expectations for investors</w:t>
      </w:r>
      <w:r w:rsidR="0012730C">
        <w:t xml:space="preserve"> within the context of DCF theory</w:t>
      </w:r>
      <w:r w:rsidR="00673E5F">
        <w:t xml:space="preserve">.  </w:t>
      </w:r>
      <w:r w:rsidR="00DB39D0">
        <w:t>Applying</w:t>
      </w:r>
      <w:r w:rsidR="00673E5F">
        <w:t xml:space="preserve"> the DCF model</w:t>
      </w:r>
      <w:r>
        <w:t xml:space="preserve"> is not a precise process that lends itself to results that are supported by precise calculations and mechanistic formulas.  In this regard, my study relies upon published financial information, which, tempered by informed judgment</w:t>
      </w:r>
      <w:r w:rsidR="0012730C">
        <w:t xml:space="preserve"> and DCF theory</w:t>
      </w:r>
      <w:r>
        <w:t>, produces a range of investor expectations for the Commission to consider.</w:t>
      </w:r>
    </w:p>
    <w:p w:rsidR="005D3B74" w:rsidRDefault="005D3B74" w:rsidP="005D3B74">
      <w:pPr>
        <w:tabs>
          <w:tab w:val="left" w:pos="720"/>
          <w:tab w:val="left" w:pos="1440"/>
          <w:tab w:val="left" w:pos="2160"/>
          <w:tab w:val="left" w:pos="9240"/>
        </w:tabs>
        <w:spacing w:line="480" w:lineRule="auto"/>
        <w:ind w:left="720" w:hanging="720"/>
      </w:pPr>
    </w:p>
    <w:p w:rsidR="005D3B74" w:rsidRDefault="005D3B74" w:rsidP="005D3B74">
      <w:pPr>
        <w:tabs>
          <w:tab w:val="left" w:pos="720"/>
          <w:tab w:val="left" w:pos="1440"/>
          <w:tab w:val="left" w:pos="2160"/>
          <w:tab w:val="left" w:pos="9240"/>
        </w:tabs>
        <w:spacing w:line="480" w:lineRule="auto"/>
        <w:ind w:left="720" w:hanging="720"/>
        <w:rPr>
          <w:b/>
        </w:rPr>
      </w:pPr>
      <w:r>
        <w:rPr>
          <w:b/>
        </w:rPr>
        <w:t>Q.</w:t>
      </w:r>
      <w:r>
        <w:rPr>
          <w:b/>
        </w:rPr>
        <w:tab/>
        <w:t xml:space="preserve">Please explain how you used the DCF model to estimate </w:t>
      </w:r>
      <w:r w:rsidR="00D25732">
        <w:rPr>
          <w:b/>
        </w:rPr>
        <w:t>PSE</w:t>
      </w:r>
      <w:r w:rsidR="0012730C">
        <w:rPr>
          <w:b/>
        </w:rPr>
        <w:t>’s</w:t>
      </w:r>
      <w:r>
        <w:rPr>
          <w:b/>
        </w:rPr>
        <w:t xml:space="preserve"> cost of common equity.</w:t>
      </w:r>
    </w:p>
    <w:p w:rsidR="0012730C" w:rsidRDefault="005D3B74" w:rsidP="00C42F67">
      <w:pPr>
        <w:tabs>
          <w:tab w:val="left" w:pos="720"/>
          <w:tab w:val="left" w:pos="1440"/>
          <w:tab w:val="left" w:pos="2160"/>
          <w:tab w:val="left" w:pos="9240"/>
        </w:tabs>
        <w:spacing w:line="480" w:lineRule="auto"/>
        <w:ind w:left="720" w:hanging="720"/>
        <w:rPr>
          <w:b/>
        </w:rPr>
      </w:pPr>
      <w:r>
        <w:lastRenderedPageBreak/>
        <w:t>A.</w:t>
      </w:r>
      <w:r>
        <w:tab/>
      </w:r>
      <w:r w:rsidR="0012730C">
        <w:t>The first step is to calculate</w:t>
      </w:r>
      <w:r>
        <w:t xml:space="preserve"> the expected dividend yield </w:t>
      </w:r>
      <w:r w:rsidR="006D088A">
        <w:t>for</w:t>
      </w:r>
      <w:r w:rsidR="00673E5F">
        <w:t xml:space="preserve"> </w:t>
      </w:r>
      <w:r w:rsidR="008262CB">
        <w:t>the comparable group and</w:t>
      </w:r>
      <w:r w:rsidR="00C04242">
        <w:t xml:space="preserve"> then </w:t>
      </w:r>
      <w:r w:rsidR="0012730C">
        <w:t xml:space="preserve">consider </w:t>
      </w:r>
      <w:r w:rsidR="008262CB">
        <w:t xml:space="preserve">appropriate </w:t>
      </w:r>
      <w:r w:rsidR="0012730C">
        <w:t xml:space="preserve">data to </w:t>
      </w:r>
      <w:r w:rsidR="00C04242">
        <w:t>estimate</w:t>
      </w:r>
      <w:r>
        <w:t xml:space="preserve"> </w:t>
      </w:r>
      <w:r w:rsidR="0012730C">
        <w:t>reasonable expectations for the</w:t>
      </w:r>
      <w:r>
        <w:t xml:space="preserve"> </w:t>
      </w:r>
      <w:r w:rsidR="005C015C">
        <w:t xml:space="preserve">long-term </w:t>
      </w:r>
      <w:r w:rsidR="0012730C">
        <w:t>growth in dividends</w:t>
      </w:r>
      <w:r>
        <w:t xml:space="preserve">.  </w:t>
      </w:r>
      <w:r w:rsidR="00673E5F">
        <w:t>As shown earlier, t</w:t>
      </w:r>
      <w:r>
        <w:t>he sum of expected dividend yield and gro</w:t>
      </w:r>
      <w:r w:rsidR="00DB39D0">
        <w:t>wth rate produces the estimate of an investor’s</w:t>
      </w:r>
      <w:r>
        <w:t xml:space="preserve"> required rate of return on common equity.</w:t>
      </w:r>
      <w:r w:rsidR="00C04242">
        <w:t xml:space="preserve">  </w:t>
      </w:r>
    </w:p>
    <w:p w:rsidR="005D3B74" w:rsidRDefault="005D3B74" w:rsidP="00F30AA5">
      <w:pPr>
        <w:tabs>
          <w:tab w:val="left" w:pos="720"/>
          <w:tab w:val="left" w:pos="1440"/>
          <w:tab w:val="left" w:pos="2160"/>
          <w:tab w:val="left" w:pos="9240"/>
        </w:tabs>
        <w:spacing w:line="480" w:lineRule="auto"/>
        <w:ind w:left="720" w:hanging="720"/>
        <w:rPr>
          <w:b/>
        </w:rPr>
      </w:pPr>
    </w:p>
    <w:p w:rsidR="005D3B74" w:rsidRDefault="005D3B74" w:rsidP="005D3B74">
      <w:pPr>
        <w:keepNext/>
        <w:tabs>
          <w:tab w:val="left" w:pos="720"/>
          <w:tab w:val="left" w:pos="1440"/>
          <w:tab w:val="left" w:pos="2160"/>
          <w:tab w:val="left" w:pos="9240"/>
        </w:tabs>
        <w:spacing w:line="480" w:lineRule="auto"/>
        <w:ind w:left="720" w:hanging="720"/>
        <w:rPr>
          <w:b/>
        </w:rPr>
      </w:pPr>
      <w:r>
        <w:rPr>
          <w:b/>
        </w:rPr>
        <w:t>Q.</w:t>
      </w:r>
      <w:r>
        <w:rPr>
          <w:b/>
        </w:rPr>
        <w:tab/>
        <w:t>How did you derive the dividend yield component of the DCF equation?</w:t>
      </w:r>
    </w:p>
    <w:p w:rsidR="005D3B74" w:rsidRDefault="005D3B74" w:rsidP="005D3B74">
      <w:pPr>
        <w:tabs>
          <w:tab w:val="left" w:pos="720"/>
          <w:tab w:val="left" w:pos="1440"/>
          <w:tab w:val="left" w:pos="2160"/>
          <w:tab w:val="left" w:pos="9240"/>
        </w:tabs>
        <w:spacing w:line="480" w:lineRule="auto"/>
        <w:ind w:left="720" w:hanging="720"/>
      </w:pPr>
      <w:r>
        <w:t>A.</w:t>
      </w:r>
      <w:r>
        <w:tab/>
        <w:t xml:space="preserve">I </w:t>
      </w:r>
      <w:r w:rsidR="006D0105">
        <w:t xml:space="preserve">evaluated </w:t>
      </w:r>
      <w:r w:rsidRPr="002F5642">
        <w:t>the actual dividend paid</w:t>
      </w:r>
      <w:r>
        <w:t xml:space="preserve"> </w:t>
      </w:r>
      <w:r w:rsidR="00600345">
        <w:t xml:space="preserve">by </w:t>
      </w:r>
      <w:r w:rsidR="00C43F70">
        <w:t>each firm within my</w:t>
      </w:r>
      <w:r w:rsidR="00600345">
        <w:t xml:space="preserve"> proxy </w:t>
      </w:r>
      <w:r w:rsidR="00C43F70">
        <w:t>group</w:t>
      </w:r>
      <w:r w:rsidR="0033220C">
        <w:t xml:space="preserve"> </w:t>
      </w:r>
      <w:r w:rsidRPr="002F5642">
        <w:t>and use</w:t>
      </w:r>
      <w:r w:rsidR="00000B72">
        <w:t>d</w:t>
      </w:r>
      <w:r w:rsidRPr="002F5642">
        <w:t xml:space="preserve"> a range of “expected” prices to calculate </w:t>
      </w:r>
      <w:r w:rsidR="006D0105">
        <w:t xml:space="preserve">a </w:t>
      </w:r>
      <w:r w:rsidRPr="002F5642">
        <w:t>dividend yield</w:t>
      </w:r>
      <w:r w:rsidR="00C04242">
        <w:t xml:space="preserve"> for the proxy group</w:t>
      </w:r>
      <w:r w:rsidRPr="002F5642">
        <w:t xml:space="preserve">.  This process accounts for the diversity of expectations investors have with respect to future dividends over time.  </w:t>
      </w:r>
      <w:r w:rsidR="0033220C">
        <w:t xml:space="preserve">This process also weighs the recent volatility in prices experienced this summer in the market.  </w:t>
      </w:r>
      <w:r w:rsidRPr="002F5642">
        <w:t xml:space="preserve">Finally, </w:t>
      </w:r>
      <w:r>
        <w:t xml:space="preserve">as a check, </w:t>
      </w:r>
      <w:r w:rsidRPr="002F5642">
        <w:t>I compare</w:t>
      </w:r>
      <w:r w:rsidR="006D0105">
        <w:t>d</w:t>
      </w:r>
      <w:r w:rsidRPr="002F5642">
        <w:t xml:space="preserve"> my dividend yield calculation </w:t>
      </w:r>
      <w:r>
        <w:t xml:space="preserve">for </w:t>
      </w:r>
      <w:r w:rsidR="00C04242">
        <w:t xml:space="preserve">both </w:t>
      </w:r>
      <w:r w:rsidR="00D25732">
        <w:t>PSE</w:t>
      </w:r>
      <w:r w:rsidR="00C04242">
        <w:t xml:space="preserve"> and </w:t>
      </w:r>
      <w:r>
        <w:t xml:space="preserve">my proxy group </w:t>
      </w:r>
      <w:r w:rsidRPr="002F5642">
        <w:t>to that provided by</w:t>
      </w:r>
      <w:r>
        <w:t xml:space="preserve"> both</w:t>
      </w:r>
      <w:r w:rsidRPr="002F5642">
        <w:t xml:space="preserve"> </w:t>
      </w:r>
      <w:r w:rsidRPr="002F5642">
        <w:rPr>
          <w:i/>
        </w:rPr>
        <w:t>Value Line</w:t>
      </w:r>
      <w:r w:rsidRPr="002F5642">
        <w:t xml:space="preserve"> and the </w:t>
      </w:r>
      <w:r w:rsidR="008262CB">
        <w:t xml:space="preserve">indicated forward expected dividend yield presented by </w:t>
      </w:r>
      <w:r w:rsidR="00B72F47">
        <w:t>Morningstar</w:t>
      </w:r>
      <w:r w:rsidR="008262CB">
        <w:t>.</w:t>
      </w:r>
      <w:r w:rsidR="00B72F47">
        <w:rPr>
          <w:rStyle w:val="FootnoteReference"/>
        </w:rPr>
        <w:footnoteReference w:id="25"/>
      </w:r>
    </w:p>
    <w:p w:rsidR="00C04242" w:rsidRPr="00C04242" w:rsidRDefault="00C04242" w:rsidP="00F30AA5">
      <w:pPr>
        <w:tabs>
          <w:tab w:val="left" w:pos="720"/>
          <w:tab w:val="left" w:pos="1440"/>
          <w:tab w:val="left" w:pos="2160"/>
          <w:tab w:val="left" w:pos="9240"/>
        </w:tabs>
        <w:spacing w:line="480" w:lineRule="auto"/>
        <w:ind w:left="720" w:hanging="720"/>
        <w:rPr>
          <w:b/>
        </w:rPr>
      </w:pPr>
    </w:p>
    <w:p w:rsidR="005D3B74" w:rsidRDefault="005D3B74" w:rsidP="005D3B74">
      <w:pPr>
        <w:tabs>
          <w:tab w:val="left" w:pos="720"/>
          <w:tab w:val="left" w:pos="1440"/>
          <w:tab w:val="left" w:pos="2160"/>
          <w:tab w:val="left" w:pos="9240"/>
        </w:tabs>
        <w:spacing w:line="480" w:lineRule="auto"/>
        <w:ind w:left="720" w:hanging="720"/>
        <w:rPr>
          <w:b/>
        </w:rPr>
      </w:pPr>
      <w:r>
        <w:rPr>
          <w:b/>
        </w:rPr>
        <w:t>Q.</w:t>
      </w:r>
      <w:r>
        <w:rPr>
          <w:b/>
        </w:rPr>
        <w:tab/>
        <w:t xml:space="preserve">What </w:t>
      </w:r>
      <w:r w:rsidR="005B124F">
        <w:rPr>
          <w:b/>
        </w:rPr>
        <w:t>does</w:t>
      </w:r>
      <w:r w:rsidR="005C015C">
        <w:rPr>
          <w:b/>
        </w:rPr>
        <w:t xml:space="preserve"> your analysis show as a reasonable indication of </w:t>
      </w:r>
      <w:r w:rsidR="00600345">
        <w:rPr>
          <w:b/>
        </w:rPr>
        <w:t xml:space="preserve">the </w:t>
      </w:r>
      <w:r w:rsidR="005C015C">
        <w:rPr>
          <w:b/>
        </w:rPr>
        <w:t>expected</w:t>
      </w:r>
      <w:r w:rsidR="008262CB">
        <w:rPr>
          <w:b/>
        </w:rPr>
        <w:t xml:space="preserve"> dividend yield for investors for the comparable group</w:t>
      </w:r>
      <w:r w:rsidR="005C015C">
        <w:rPr>
          <w:b/>
        </w:rPr>
        <w:t>?</w:t>
      </w:r>
    </w:p>
    <w:p w:rsidR="00412A60" w:rsidRDefault="005D3B74" w:rsidP="005D3B74">
      <w:pPr>
        <w:tabs>
          <w:tab w:val="left" w:pos="720"/>
          <w:tab w:val="left" w:pos="1440"/>
          <w:tab w:val="left" w:pos="2160"/>
          <w:tab w:val="left" w:pos="9240"/>
        </w:tabs>
        <w:spacing w:line="480" w:lineRule="auto"/>
        <w:ind w:left="720" w:hanging="720"/>
      </w:pPr>
      <w:r>
        <w:t>A.</w:t>
      </w:r>
      <w:r>
        <w:tab/>
      </w:r>
      <w:r w:rsidR="00D56FFB">
        <w:t>Based upon my estimate of a range of prices</w:t>
      </w:r>
      <w:r w:rsidR="00F44361">
        <w:t xml:space="preserve"> for a 3 month perio</w:t>
      </w:r>
      <w:r w:rsidR="002634F1">
        <w:t xml:space="preserve">d </w:t>
      </w:r>
      <w:r w:rsidR="00CA455B">
        <w:t>from</w:t>
      </w:r>
      <w:r w:rsidR="002634F1">
        <w:t xml:space="preserve"> September </w:t>
      </w:r>
      <w:r w:rsidR="00CA455B">
        <w:t xml:space="preserve">2011 </w:t>
      </w:r>
      <w:r w:rsidR="002634F1">
        <w:t>t</w:t>
      </w:r>
      <w:r w:rsidR="00CA455B">
        <w:t xml:space="preserve">hrough </w:t>
      </w:r>
      <w:r w:rsidR="002634F1">
        <w:t>November 2011</w:t>
      </w:r>
      <w:r w:rsidR="00000B72">
        <w:t>,</w:t>
      </w:r>
      <w:r w:rsidR="00D56FFB">
        <w:t xml:space="preserve"> the </w:t>
      </w:r>
      <w:r w:rsidR="00015679">
        <w:t xml:space="preserve">raw yield data </w:t>
      </w:r>
      <w:r w:rsidR="00D56FFB">
        <w:t xml:space="preserve">indicates that the proxy group average dividend yield </w:t>
      </w:r>
      <w:r w:rsidR="00C43F70">
        <w:t>is</w:t>
      </w:r>
      <w:r w:rsidR="00015679">
        <w:t xml:space="preserve"> </w:t>
      </w:r>
      <w:r w:rsidR="002634F1">
        <w:t>4.2</w:t>
      </w:r>
      <w:r w:rsidR="00D70347">
        <w:t>0</w:t>
      </w:r>
      <w:r w:rsidR="00D56FFB">
        <w:t>.</w:t>
      </w:r>
      <w:r w:rsidR="006D0105">
        <w:t xml:space="preserve">  </w:t>
      </w:r>
      <w:r w:rsidR="00C43F70">
        <w:t>I also considered</w:t>
      </w:r>
      <w:r w:rsidR="002634F1">
        <w:t xml:space="preserve"> the lowest prices during that period </w:t>
      </w:r>
      <w:r w:rsidR="00C43F70">
        <w:t>as an estimate of</w:t>
      </w:r>
      <w:r w:rsidR="002634F1">
        <w:t xml:space="preserve"> t</w:t>
      </w:r>
      <w:r w:rsidR="00C43F70">
        <w:t>he upper limit of what an</w:t>
      </w:r>
      <w:r w:rsidR="002634F1">
        <w:t xml:space="preserve"> investor can expect.  The average for the proxy group </w:t>
      </w:r>
      <w:r w:rsidR="0006291B">
        <w:t xml:space="preserve">using these prices </w:t>
      </w:r>
      <w:r w:rsidR="002634F1">
        <w:t xml:space="preserve">is 4.50 percent.  </w:t>
      </w:r>
      <w:r w:rsidR="00D70347">
        <w:t xml:space="preserve">  </w:t>
      </w:r>
    </w:p>
    <w:p w:rsidR="00BF21FF" w:rsidRDefault="00BF21FF" w:rsidP="00BF21FF">
      <w:pPr>
        <w:tabs>
          <w:tab w:val="left" w:pos="720"/>
          <w:tab w:val="left" w:pos="1440"/>
          <w:tab w:val="left" w:pos="2160"/>
          <w:tab w:val="left" w:pos="9240"/>
        </w:tabs>
        <w:spacing w:line="480" w:lineRule="auto"/>
        <w:ind w:left="720" w:hanging="720"/>
        <w:rPr>
          <w:b/>
        </w:rPr>
      </w:pPr>
    </w:p>
    <w:p w:rsidR="00BF21FF" w:rsidRDefault="00BF21FF" w:rsidP="00BF21FF">
      <w:pPr>
        <w:tabs>
          <w:tab w:val="left" w:pos="720"/>
          <w:tab w:val="left" w:pos="1440"/>
          <w:tab w:val="left" w:pos="2160"/>
          <w:tab w:val="left" w:pos="9240"/>
        </w:tabs>
        <w:spacing w:line="480" w:lineRule="auto"/>
        <w:ind w:left="720" w:hanging="720"/>
        <w:rPr>
          <w:b/>
        </w:rPr>
      </w:pPr>
      <w:r>
        <w:rPr>
          <w:b/>
        </w:rPr>
        <w:lastRenderedPageBreak/>
        <w:t>Q.</w:t>
      </w:r>
      <w:r>
        <w:rPr>
          <w:b/>
        </w:rPr>
        <w:tab/>
        <w:t>Did you analyze the most recent volatility in the market for estimating the dividend yield for the proxy group?</w:t>
      </w:r>
    </w:p>
    <w:p w:rsidR="00B51671" w:rsidRDefault="00B51671" w:rsidP="00BF21FF">
      <w:pPr>
        <w:tabs>
          <w:tab w:val="left" w:pos="720"/>
          <w:tab w:val="left" w:pos="1440"/>
          <w:tab w:val="left" w:pos="2160"/>
          <w:tab w:val="left" w:pos="9240"/>
        </w:tabs>
        <w:spacing w:line="480" w:lineRule="auto"/>
        <w:ind w:left="720" w:hanging="720"/>
        <w:rPr>
          <w:b/>
        </w:rPr>
      </w:pPr>
    </w:p>
    <w:p w:rsidR="00BF21FF" w:rsidRPr="00BF21FF" w:rsidRDefault="00BF21FF" w:rsidP="00BF21FF">
      <w:pPr>
        <w:tabs>
          <w:tab w:val="left" w:pos="720"/>
          <w:tab w:val="left" w:pos="1440"/>
          <w:tab w:val="left" w:pos="2160"/>
          <w:tab w:val="left" w:pos="9240"/>
        </w:tabs>
        <w:spacing w:line="480" w:lineRule="auto"/>
        <w:ind w:left="720" w:hanging="720"/>
      </w:pPr>
      <w:r>
        <w:t>A.</w:t>
      </w:r>
      <w:r>
        <w:tab/>
        <w:t>Yes.  I considered the recent volatility of the market as late as November 23, 2011.  The average dividend yield for the proxy group based upon market price during that narrow time frame is 4.25 percent.</w:t>
      </w:r>
    </w:p>
    <w:p w:rsidR="00412A60" w:rsidRDefault="00412A60" w:rsidP="005D3B74">
      <w:pPr>
        <w:tabs>
          <w:tab w:val="left" w:pos="720"/>
          <w:tab w:val="left" w:pos="1440"/>
          <w:tab w:val="left" w:pos="2160"/>
          <w:tab w:val="left" w:pos="9240"/>
        </w:tabs>
        <w:spacing w:line="480" w:lineRule="auto"/>
        <w:ind w:left="720" w:hanging="720"/>
        <w:rPr>
          <w:b/>
        </w:rPr>
      </w:pPr>
      <w:r>
        <w:rPr>
          <w:b/>
        </w:rPr>
        <w:t>Q.</w:t>
      </w:r>
      <w:r>
        <w:rPr>
          <w:b/>
        </w:rPr>
        <w:tab/>
        <w:t>What does this</w:t>
      </w:r>
      <w:r w:rsidR="00BF21FF">
        <w:rPr>
          <w:b/>
        </w:rPr>
        <w:t xml:space="preserve"> market</w:t>
      </w:r>
      <w:r>
        <w:rPr>
          <w:b/>
        </w:rPr>
        <w:t xml:space="preserve"> data suggest as a reasonable estimate for the dividend yield for the proxy group?</w:t>
      </w:r>
    </w:p>
    <w:p w:rsidR="00B51671" w:rsidRDefault="00B51671" w:rsidP="005D3B74">
      <w:pPr>
        <w:tabs>
          <w:tab w:val="left" w:pos="720"/>
          <w:tab w:val="left" w:pos="1440"/>
          <w:tab w:val="left" w:pos="2160"/>
          <w:tab w:val="left" w:pos="9240"/>
        </w:tabs>
        <w:spacing w:line="480" w:lineRule="auto"/>
        <w:ind w:left="720" w:hanging="720"/>
        <w:rPr>
          <w:b/>
        </w:rPr>
      </w:pPr>
    </w:p>
    <w:p w:rsidR="00412A60" w:rsidRDefault="00412A60" w:rsidP="005D3B74">
      <w:pPr>
        <w:tabs>
          <w:tab w:val="left" w:pos="720"/>
          <w:tab w:val="left" w:pos="1440"/>
          <w:tab w:val="left" w:pos="2160"/>
          <w:tab w:val="left" w:pos="9240"/>
        </w:tabs>
        <w:spacing w:line="480" w:lineRule="auto"/>
        <w:ind w:left="720" w:hanging="720"/>
      </w:pPr>
      <w:r>
        <w:t>A.</w:t>
      </w:r>
      <w:r>
        <w:tab/>
        <w:t>This data</w:t>
      </w:r>
      <w:r w:rsidR="0006291B">
        <w:t xml:space="preserve"> suggests a range of 4.25 to 4.</w:t>
      </w:r>
      <w:r>
        <w:t>5</w:t>
      </w:r>
      <w:r w:rsidR="0006291B">
        <w:t>0</w:t>
      </w:r>
      <w:r>
        <w:t xml:space="preserve"> percent.</w:t>
      </w:r>
    </w:p>
    <w:p w:rsidR="005C015C" w:rsidRDefault="005C015C" w:rsidP="005C015C">
      <w:pPr>
        <w:tabs>
          <w:tab w:val="left" w:pos="720"/>
          <w:tab w:val="left" w:pos="1440"/>
          <w:tab w:val="left" w:pos="2160"/>
          <w:tab w:val="left" w:pos="9240"/>
        </w:tabs>
        <w:spacing w:line="480" w:lineRule="auto"/>
        <w:ind w:left="720" w:hanging="720"/>
        <w:rPr>
          <w:b/>
        </w:rPr>
      </w:pPr>
      <w:r>
        <w:rPr>
          <w:b/>
        </w:rPr>
        <w:t>Q.</w:t>
      </w:r>
      <w:r>
        <w:rPr>
          <w:b/>
        </w:rPr>
        <w:tab/>
        <w:t xml:space="preserve">What </w:t>
      </w:r>
      <w:r w:rsidR="00EC49DF">
        <w:rPr>
          <w:b/>
        </w:rPr>
        <w:t xml:space="preserve">does </w:t>
      </w:r>
      <w:r w:rsidR="00EC49DF" w:rsidRPr="005C015C">
        <w:rPr>
          <w:b/>
          <w:i/>
        </w:rPr>
        <w:t>Value Line</w:t>
      </w:r>
      <w:r w:rsidR="00EC49DF" w:rsidDel="00EC49DF">
        <w:rPr>
          <w:b/>
        </w:rPr>
        <w:t xml:space="preserve"> </w:t>
      </w:r>
      <w:r w:rsidR="00EC49DF">
        <w:rPr>
          <w:b/>
        </w:rPr>
        <w:t>indicate a</w:t>
      </w:r>
      <w:r>
        <w:rPr>
          <w:b/>
        </w:rPr>
        <w:t xml:space="preserve">s the </w:t>
      </w:r>
      <w:r w:rsidR="00DB39D0">
        <w:rPr>
          <w:b/>
        </w:rPr>
        <w:t xml:space="preserve">average </w:t>
      </w:r>
      <w:r>
        <w:rPr>
          <w:b/>
        </w:rPr>
        <w:t xml:space="preserve">dividend yield for </w:t>
      </w:r>
      <w:r w:rsidR="006D0105">
        <w:rPr>
          <w:b/>
        </w:rPr>
        <w:t xml:space="preserve">your </w:t>
      </w:r>
      <w:r w:rsidR="000658A4">
        <w:rPr>
          <w:b/>
        </w:rPr>
        <w:t>proxy</w:t>
      </w:r>
      <w:r>
        <w:rPr>
          <w:b/>
        </w:rPr>
        <w:t xml:space="preserve"> </w:t>
      </w:r>
      <w:r w:rsidR="00DB39D0">
        <w:rPr>
          <w:b/>
        </w:rPr>
        <w:t>group</w:t>
      </w:r>
      <w:r>
        <w:rPr>
          <w:b/>
        </w:rPr>
        <w:t>?</w:t>
      </w:r>
    </w:p>
    <w:p w:rsidR="00D56FFB" w:rsidRPr="00730CAC" w:rsidRDefault="005C015C" w:rsidP="00D56FFB">
      <w:pPr>
        <w:tabs>
          <w:tab w:val="left" w:pos="720"/>
          <w:tab w:val="left" w:pos="1440"/>
          <w:tab w:val="left" w:pos="2160"/>
          <w:tab w:val="left" w:pos="9240"/>
        </w:tabs>
        <w:spacing w:line="480" w:lineRule="auto"/>
        <w:ind w:left="720" w:hanging="720"/>
      </w:pPr>
      <w:r>
        <w:t>A.</w:t>
      </w:r>
      <w:r>
        <w:tab/>
      </w:r>
      <w:r w:rsidR="00D56FFB" w:rsidRPr="00D56FFB">
        <w:rPr>
          <w:i/>
        </w:rPr>
        <w:t>Value Line</w:t>
      </w:r>
      <w:r w:rsidR="00D56FFB">
        <w:t xml:space="preserve"> </w:t>
      </w:r>
      <w:r w:rsidR="006532FE">
        <w:t xml:space="preserve">provides two separate calculations of dividend yield for investors: </w:t>
      </w:r>
      <w:r w:rsidR="00CA455B">
        <w:t xml:space="preserve"> </w:t>
      </w:r>
      <w:r w:rsidR="006532FE">
        <w:t xml:space="preserve">1) </w:t>
      </w:r>
      <w:r w:rsidR="00D56FFB">
        <w:t>a</w:t>
      </w:r>
      <w:r w:rsidR="00DB39D0">
        <w:t xml:space="preserve">n </w:t>
      </w:r>
      <w:r w:rsidR="00EC49DF">
        <w:t xml:space="preserve">indicated </w:t>
      </w:r>
      <w:r w:rsidR="00D56FFB">
        <w:t>dividend yield</w:t>
      </w:r>
      <w:r w:rsidR="00000B72">
        <w:t>;</w:t>
      </w:r>
      <w:r w:rsidR="006532FE">
        <w:t xml:space="preserve"> and</w:t>
      </w:r>
      <w:r w:rsidR="00730CAC">
        <w:t xml:space="preserve"> </w:t>
      </w:r>
      <w:r w:rsidR="006532FE">
        <w:t xml:space="preserve">2) </w:t>
      </w:r>
      <w:r w:rsidR="00730CAC">
        <w:t xml:space="preserve">an expected forward dividend yield for each utility.  The average </w:t>
      </w:r>
      <w:r w:rsidR="00731778">
        <w:t xml:space="preserve">indicated dividend yield </w:t>
      </w:r>
      <w:r w:rsidR="00EC49DF">
        <w:t>for the proxy group is 4.</w:t>
      </w:r>
      <w:r w:rsidR="0038641E">
        <w:t>5</w:t>
      </w:r>
      <w:r w:rsidR="00EC49DF">
        <w:t xml:space="preserve">0 percent and the </w:t>
      </w:r>
      <w:r w:rsidR="00C43F70">
        <w:t xml:space="preserve">average </w:t>
      </w:r>
      <w:r w:rsidR="00730CAC">
        <w:t>indicated forward dividend yield is 4.7</w:t>
      </w:r>
      <w:r w:rsidR="00D70347">
        <w:t>0</w:t>
      </w:r>
      <w:r w:rsidR="00730CAC">
        <w:t xml:space="preserve"> percent</w:t>
      </w:r>
      <w:r w:rsidR="00D70347">
        <w:t>.</w:t>
      </w:r>
      <w:r w:rsidR="00015679">
        <w:t xml:space="preserve">  This data is consistent with my point estimate using the raw data from the initial dividend yield analysis.</w:t>
      </w:r>
    </w:p>
    <w:p w:rsidR="000F5237" w:rsidRDefault="000F5237" w:rsidP="005C015C">
      <w:pPr>
        <w:tabs>
          <w:tab w:val="left" w:pos="720"/>
          <w:tab w:val="left" w:pos="1440"/>
          <w:tab w:val="left" w:pos="2160"/>
          <w:tab w:val="left" w:pos="9240"/>
        </w:tabs>
        <w:spacing w:line="480" w:lineRule="auto"/>
        <w:ind w:left="720" w:hanging="720"/>
      </w:pPr>
    </w:p>
    <w:p w:rsidR="000F5237" w:rsidRDefault="000F5237" w:rsidP="005C015C">
      <w:pPr>
        <w:tabs>
          <w:tab w:val="left" w:pos="720"/>
          <w:tab w:val="left" w:pos="1440"/>
          <w:tab w:val="left" w:pos="2160"/>
          <w:tab w:val="left" w:pos="9240"/>
        </w:tabs>
        <w:spacing w:line="480" w:lineRule="auto"/>
        <w:ind w:left="720" w:hanging="720"/>
        <w:rPr>
          <w:b/>
        </w:rPr>
      </w:pPr>
      <w:r>
        <w:rPr>
          <w:b/>
        </w:rPr>
        <w:t>Q.</w:t>
      </w:r>
      <w:r>
        <w:rPr>
          <w:b/>
        </w:rPr>
        <w:tab/>
        <w:t xml:space="preserve">What </w:t>
      </w:r>
      <w:r w:rsidR="00EC4CBB">
        <w:rPr>
          <w:b/>
        </w:rPr>
        <w:t xml:space="preserve">does </w:t>
      </w:r>
      <w:r w:rsidR="00D56FFB">
        <w:rPr>
          <w:b/>
        </w:rPr>
        <w:t>Morningstar</w:t>
      </w:r>
      <w:r w:rsidR="00EC4CBB">
        <w:rPr>
          <w:b/>
        </w:rPr>
        <w:t xml:space="preserve"> indicate as the</w:t>
      </w:r>
      <w:r>
        <w:rPr>
          <w:b/>
        </w:rPr>
        <w:t xml:space="preserve"> estimate of expected dividend yield</w:t>
      </w:r>
      <w:r w:rsidR="00EC4CBB">
        <w:rPr>
          <w:b/>
        </w:rPr>
        <w:t xml:space="preserve"> for firms in the comparable group</w:t>
      </w:r>
      <w:r>
        <w:rPr>
          <w:b/>
        </w:rPr>
        <w:t>?</w:t>
      </w:r>
    </w:p>
    <w:p w:rsidR="005C015C" w:rsidRDefault="000F5237" w:rsidP="005C015C">
      <w:pPr>
        <w:tabs>
          <w:tab w:val="left" w:pos="720"/>
          <w:tab w:val="left" w:pos="1440"/>
          <w:tab w:val="left" w:pos="2160"/>
          <w:tab w:val="left" w:pos="9240"/>
        </w:tabs>
        <w:spacing w:line="480" w:lineRule="auto"/>
        <w:ind w:left="720" w:hanging="720"/>
      </w:pPr>
      <w:r>
        <w:t>A.</w:t>
      </w:r>
      <w:r>
        <w:tab/>
      </w:r>
      <w:r w:rsidR="00D56FFB">
        <w:t>Morningstar calculates divid</w:t>
      </w:r>
      <w:r w:rsidR="00EC4CBB">
        <w:t>end yield data which it calls</w:t>
      </w:r>
      <w:r>
        <w:t xml:space="preserve"> the “Forward Dividend Yield”.  </w:t>
      </w:r>
      <w:r w:rsidR="00CF1248">
        <w:t>T</w:t>
      </w:r>
      <w:r w:rsidR="00D56FFB">
        <w:t>he average for the proxy group is 4.</w:t>
      </w:r>
      <w:r w:rsidR="002634F1">
        <w:t>2</w:t>
      </w:r>
      <w:r w:rsidR="00D56FFB">
        <w:t>0 percent</w:t>
      </w:r>
      <w:r w:rsidR="002634F1">
        <w:t xml:space="preserve"> based upon data available to </w:t>
      </w:r>
      <w:r w:rsidR="002634F1">
        <w:lastRenderedPageBreak/>
        <w:t>investors during November 2011</w:t>
      </w:r>
      <w:r w:rsidR="00D56FFB">
        <w:t>.</w:t>
      </w:r>
      <w:r>
        <w:t xml:space="preserve"> </w:t>
      </w:r>
      <w:r w:rsidR="00DB39D0">
        <w:t xml:space="preserve"> </w:t>
      </w:r>
      <w:r w:rsidR="00C43F70">
        <w:t>This data suggests additional price appreciation and a lower expected dividend yield for the proxy group.</w:t>
      </w:r>
    </w:p>
    <w:p w:rsidR="002634F1" w:rsidRDefault="002634F1" w:rsidP="005C015C">
      <w:pPr>
        <w:tabs>
          <w:tab w:val="left" w:pos="720"/>
          <w:tab w:val="left" w:pos="1440"/>
          <w:tab w:val="left" w:pos="2160"/>
          <w:tab w:val="left" w:pos="9240"/>
        </w:tabs>
        <w:spacing w:line="480" w:lineRule="auto"/>
        <w:ind w:left="720" w:hanging="720"/>
      </w:pPr>
    </w:p>
    <w:p w:rsidR="005C015C" w:rsidRDefault="005C015C" w:rsidP="005C015C">
      <w:pPr>
        <w:tabs>
          <w:tab w:val="left" w:pos="720"/>
          <w:tab w:val="left" w:pos="1440"/>
          <w:tab w:val="left" w:pos="2160"/>
          <w:tab w:val="left" w:pos="9240"/>
        </w:tabs>
        <w:spacing w:line="480" w:lineRule="auto"/>
        <w:ind w:left="720" w:hanging="720"/>
        <w:rPr>
          <w:b/>
        </w:rPr>
      </w:pPr>
      <w:r>
        <w:rPr>
          <w:b/>
        </w:rPr>
        <w:t>Q.</w:t>
      </w:r>
      <w:r>
        <w:rPr>
          <w:b/>
        </w:rPr>
        <w:tab/>
        <w:t>What is your conclusion regarding a reasonable dividend yield for investors in</w:t>
      </w:r>
      <w:r w:rsidR="00B12F5D">
        <w:rPr>
          <w:b/>
        </w:rPr>
        <w:t xml:space="preserve"> your DCF analysis</w:t>
      </w:r>
      <w:r>
        <w:rPr>
          <w:b/>
        </w:rPr>
        <w:t>?</w:t>
      </w:r>
    </w:p>
    <w:p w:rsidR="00EC49DF" w:rsidRDefault="005C015C" w:rsidP="005C015C">
      <w:pPr>
        <w:tabs>
          <w:tab w:val="left" w:pos="720"/>
          <w:tab w:val="left" w:pos="1440"/>
          <w:tab w:val="left" w:pos="2160"/>
          <w:tab w:val="left" w:pos="9240"/>
        </w:tabs>
        <w:spacing w:line="480" w:lineRule="auto"/>
        <w:ind w:left="720" w:hanging="720"/>
      </w:pPr>
      <w:r>
        <w:t>A.</w:t>
      </w:r>
      <w:r>
        <w:tab/>
      </w:r>
      <w:r w:rsidR="004C0C50">
        <w:t xml:space="preserve">I conclude </w:t>
      </w:r>
      <w:r w:rsidR="00D5702E">
        <w:t xml:space="preserve">that </w:t>
      </w:r>
      <w:r w:rsidR="00553139">
        <w:t>a</w:t>
      </w:r>
      <w:r w:rsidR="004C0C50">
        <w:t xml:space="preserve"> </w:t>
      </w:r>
      <w:r w:rsidR="00553139">
        <w:t xml:space="preserve">reasonable </w:t>
      </w:r>
      <w:r w:rsidR="0012730C">
        <w:t xml:space="preserve">expected dividend yield </w:t>
      </w:r>
      <w:r w:rsidR="00600345">
        <w:t xml:space="preserve">is </w:t>
      </w:r>
      <w:r w:rsidR="0012730C">
        <w:t xml:space="preserve">in the range of </w:t>
      </w:r>
      <w:r w:rsidR="00101F0D">
        <w:t>4.</w:t>
      </w:r>
      <w:r w:rsidR="00D70347">
        <w:t>25</w:t>
      </w:r>
      <w:r w:rsidR="004C0C50">
        <w:t xml:space="preserve"> to </w:t>
      </w:r>
      <w:r w:rsidR="00553139">
        <w:t>4.</w:t>
      </w:r>
      <w:r w:rsidR="00C43F70">
        <w:t>50</w:t>
      </w:r>
      <w:r w:rsidR="00730CAC">
        <w:t xml:space="preserve"> </w:t>
      </w:r>
      <w:r w:rsidR="00101F0D">
        <w:t>percent.</w:t>
      </w:r>
      <w:r w:rsidR="00730CAC">
        <w:t xml:space="preserve">  For the group</w:t>
      </w:r>
      <w:r w:rsidR="00D5702E">
        <w:t>,</w:t>
      </w:r>
      <w:r w:rsidR="00730CAC">
        <w:t xml:space="preserve"> a reasonable point estimate is 4.50 percent.</w:t>
      </w:r>
      <w:r w:rsidR="00DB39D0">
        <w:t xml:space="preserve">  </w:t>
      </w:r>
    </w:p>
    <w:p w:rsidR="00EC49DF" w:rsidRDefault="00EC49DF" w:rsidP="005C015C">
      <w:pPr>
        <w:tabs>
          <w:tab w:val="left" w:pos="720"/>
          <w:tab w:val="left" w:pos="1440"/>
          <w:tab w:val="left" w:pos="2160"/>
          <w:tab w:val="left" w:pos="9240"/>
        </w:tabs>
        <w:spacing w:line="480" w:lineRule="auto"/>
        <w:ind w:left="720" w:hanging="720"/>
      </w:pPr>
    </w:p>
    <w:p w:rsidR="00EC49DF" w:rsidRDefault="00EC49DF" w:rsidP="00EC49DF">
      <w:pPr>
        <w:tabs>
          <w:tab w:val="left" w:pos="720"/>
          <w:tab w:val="left" w:pos="1440"/>
          <w:tab w:val="left" w:pos="2160"/>
          <w:tab w:val="left" w:pos="9240"/>
        </w:tabs>
        <w:spacing w:line="480" w:lineRule="auto"/>
        <w:ind w:left="720" w:hanging="720"/>
        <w:rPr>
          <w:b/>
        </w:rPr>
      </w:pPr>
      <w:r>
        <w:rPr>
          <w:b/>
        </w:rPr>
        <w:t>Q.</w:t>
      </w:r>
      <w:r>
        <w:rPr>
          <w:b/>
        </w:rPr>
        <w:tab/>
        <w:t>How does this data compare to the indicated dividend yield for Dr. Olson’s proxy group?</w:t>
      </w:r>
    </w:p>
    <w:p w:rsidR="005C015C" w:rsidRPr="005C015C" w:rsidRDefault="00D5702E" w:rsidP="005C015C">
      <w:pPr>
        <w:tabs>
          <w:tab w:val="left" w:pos="720"/>
          <w:tab w:val="left" w:pos="1440"/>
          <w:tab w:val="left" w:pos="2160"/>
          <w:tab w:val="left" w:pos="9240"/>
        </w:tabs>
        <w:spacing w:line="480" w:lineRule="auto"/>
        <w:ind w:left="720" w:hanging="720"/>
      </w:pPr>
      <w:r>
        <w:t>A</w:t>
      </w:r>
      <w:r w:rsidR="00EC49DF">
        <w:t>.</w:t>
      </w:r>
      <w:r w:rsidR="00EC49DF">
        <w:tab/>
        <w:t xml:space="preserve">Even though Dr. Olson’s proxy group is not </w:t>
      </w:r>
      <w:r>
        <w:t xml:space="preserve">entirely </w:t>
      </w:r>
      <w:r w:rsidR="00EC49DF">
        <w:t>the same</w:t>
      </w:r>
      <w:r>
        <w:t xml:space="preserve"> as mine</w:t>
      </w:r>
      <w:r w:rsidR="00EC49DF">
        <w:t>, hi</w:t>
      </w:r>
      <w:r w:rsidR="00B12F5D">
        <w:t xml:space="preserve">s </w:t>
      </w:r>
      <w:r w:rsidR="00600345">
        <w:t>mean</w:t>
      </w:r>
      <w:r w:rsidR="00DA2889">
        <w:t xml:space="preserve"> </w:t>
      </w:r>
      <w:r w:rsidR="00B12F5D">
        <w:t xml:space="preserve">dividend yield </w:t>
      </w:r>
      <w:r w:rsidR="00EC49DF">
        <w:t xml:space="preserve">is </w:t>
      </w:r>
      <w:r w:rsidR="00DA2889">
        <w:t xml:space="preserve">4.14 </w:t>
      </w:r>
      <w:r w:rsidR="00B12F5D">
        <w:t>percent for his proxy group.</w:t>
      </w:r>
      <w:r>
        <w:rPr>
          <w:rStyle w:val="FootnoteReference"/>
        </w:rPr>
        <w:footnoteReference w:id="26"/>
      </w:r>
      <w:r w:rsidR="00DA2889">
        <w:t xml:space="preserve">  </w:t>
      </w:r>
      <w:r w:rsidR="00DA1E9F">
        <w:t xml:space="preserve"> </w:t>
      </w:r>
      <w:r w:rsidR="00255BF6">
        <w:t xml:space="preserve">The yield for his proxy group using </w:t>
      </w:r>
      <w:r w:rsidR="00DA1E9F">
        <w:t xml:space="preserve">stock prices in early November 2011 </w:t>
      </w:r>
      <w:r w:rsidR="00255BF6">
        <w:t xml:space="preserve">produces an </w:t>
      </w:r>
      <w:r w:rsidR="00DA1E9F">
        <w:t xml:space="preserve">average for his proxy group </w:t>
      </w:r>
      <w:r w:rsidR="00255BF6">
        <w:t>of</w:t>
      </w:r>
      <w:r w:rsidR="00DA1E9F">
        <w:t xml:space="preserve"> 3.9 percent.</w:t>
      </w:r>
    </w:p>
    <w:p w:rsidR="0012730C" w:rsidRDefault="0012730C" w:rsidP="005D3B74">
      <w:pPr>
        <w:tabs>
          <w:tab w:val="left" w:pos="720"/>
          <w:tab w:val="left" w:pos="1440"/>
          <w:tab w:val="left" w:pos="2160"/>
          <w:tab w:val="left" w:pos="9240"/>
        </w:tabs>
        <w:spacing w:line="480" w:lineRule="auto"/>
        <w:ind w:left="720" w:hanging="720"/>
        <w:rPr>
          <w:b/>
        </w:rPr>
      </w:pPr>
    </w:p>
    <w:p w:rsidR="005D3B74" w:rsidRDefault="005D3B74" w:rsidP="005D3B74">
      <w:pPr>
        <w:tabs>
          <w:tab w:val="left" w:pos="720"/>
          <w:tab w:val="left" w:pos="1440"/>
          <w:tab w:val="left" w:pos="2160"/>
          <w:tab w:val="left" w:pos="9240"/>
        </w:tabs>
        <w:spacing w:line="480" w:lineRule="auto"/>
        <w:ind w:left="720" w:hanging="720"/>
        <w:rPr>
          <w:b/>
        </w:rPr>
      </w:pPr>
      <w:r>
        <w:rPr>
          <w:b/>
        </w:rPr>
        <w:t>Q.</w:t>
      </w:r>
      <w:r>
        <w:rPr>
          <w:b/>
        </w:rPr>
        <w:tab/>
        <w:t xml:space="preserve">Turning to dividend growth, please explain the context of this part of the </w:t>
      </w:r>
      <w:r w:rsidRPr="006A277E">
        <w:rPr>
          <w:b/>
        </w:rPr>
        <w:t>DCF formula</w:t>
      </w:r>
      <w:r>
        <w:rPr>
          <w:b/>
        </w:rPr>
        <w:t>.</w:t>
      </w:r>
    </w:p>
    <w:p w:rsidR="005D3B74" w:rsidRDefault="005D3B74" w:rsidP="005D3B74">
      <w:pPr>
        <w:tabs>
          <w:tab w:val="left" w:pos="720"/>
          <w:tab w:val="left" w:pos="1440"/>
          <w:tab w:val="left" w:pos="2160"/>
          <w:tab w:val="left" w:pos="9240"/>
        </w:tabs>
        <w:spacing w:line="480" w:lineRule="auto"/>
        <w:ind w:left="720" w:hanging="720"/>
      </w:pPr>
      <w:r>
        <w:t>A.</w:t>
      </w:r>
      <w:r>
        <w:tab/>
        <w:t>In contrast to dividend yield, an investor</w:t>
      </w:r>
      <w:r w:rsidR="00A15099">
        <w:t>’s</w:t>
      </w:r>
      <w:r>
        <w:t xml:space="preserve"> expectation for future dividend growth is </w:t>
      </w:r>
      <w:r w:rsidR="0012730C">
        <w:t xml:space="preserve">much </w:t>
      </w:r>
      <w:r>
        <w:t xml:space="preserve">more difficult to estimate. </w:t>
      </w:r>
      <w:r w:rsidR="00B12F5D">
        <w:t xml:space="preserve"> </w:t>
      </w:r>
      <w:r>
        <w:t xml:space="preserve">As a result, this part of the DCF method is more controversial because analysts use different metrics to support their conclusions.  </w:t>
      </w:r>
    </w:p>
    <w:p w:rsidR="005D3B74" w:rsidRDefault="005D3B74" w:rsidP="005D3B74">
      <w:pPr>
        <w:tabs>
          <w:tab w:val="left" w:pos="720"/>
          <w:tab w:val="left" w:pos="1440"/>
          <w:tab w:val="left" w:pos="2160"/>
          <w:tab w:val="left" w:pos="9240"/>
        </w:tabs>
        <w:spacing w:line="480" w:lineRule="auto"/>
        <w:ind w:left="720" w:hanging="720"/>
      </w:pPr>
      <w:r>
        <w:tab/>
      </w:r>
      <w:r>
        <w:tab/>
        <w:t xml:space="preserve">It is important, however, to recognize that each investor has a unique perspective on the information used to form their growth expectations, and each investor individually considers and weighs </w:t>
      </w:r>
      <w:r w:rsidR="00241707">
        <w:t xml:space="preserve">all available </w:t>
      </w:r>
      <w:r>
        <w:t xml:space="preserve">alternative </w:t>
      </w:r>
      <w:r w:rsidR="00B46324">
        <w:t>information</w:t>
      </w:r>
      <w:r>
        <w:t xml:space="preserve"> in </w:t>
      </w:r>
      <w:r>
        <w:lastRenderedPageBreak/>
        <w:t xml:space="preserve">deriving their return expectations.  This is supported by the fact that markets </w:t>
      </w:r>
      <w:r w:rsidR="00EC49DF">
        <w:t xml:space="preserve">simultaneously </w:t>
      </w:r>
      <w:r>
        <w:t xml:space="preserve">reflect two distinct and complementary investment decisions: </w:t>
      </w:r>
      <w:r w:rsidR="00D5702E">
        <w:t xml:space="preserve"> </w:t>
      </w:r>
      <w:r>
        <w:t xml:space="preserve">a decision to buy stock matched by another decision to sell that same stock.  Because two investors reach different decisions at the same market price (one decides to sell; the other decides to buy), their expectations must differ.  </w:t>
      </w:r>
    </w:p>
    <w:p w:rsidR="005D3B74" w:rsidRDefault="005D3B74" w:rsidP="005D3B74">
      <w:pPr>
        <w:tabs>
          <w:tab w:val="left" w:pos="720"/>
          <w:tab w:val="left" w:pos="1440"/>
          <w:tab w:val="left" w:pos="2160"/>
          <w:tab w:val="left" w:pos="9240"/>
        </w:tabs>
        <w:spacing w:line="480" w:lineRule="auto"/>
        <w:ind w:left="720" w:hanging="720"/>
      </w:pPr>
      <w:r>
        <w:tab/>
      </w:r>
      <w:r>
        <w:tab/>
      </w:r>
      <w:r w:rsidRPr="00C16990">
        <w:t>As a result, no single indicator of growth is used by all investors.</w:t>
      </w:r>
      <w:r>
        <w:t xml:space="preserve">  Therefore, my analysis consider</w:t>
      </w:r>
      <w:r w:rsidR="00B1548E">
        <w:t>s</w:t>
      </w:r>
      <w:r>
        <w:t xml:space="preserve"> the various alternative financial metrics available to investors.  I then infer from this data reasonable </w:t>
      </w:r>
      <w:r w:rsidR="00801A98">
        <w:t xml:space="preserve">future </w:t>
      </w:r>
      <w:r>
        <w:t xml:space="preserve">expectations of investors for the long-term growth rate of dividends.  </w:t>
      </w:r>
    </w:p>
    <w:p w:rsidR="005D3B74" w:rsidRDefault="005D3B74" w:rsidP="005D3B74">
      <w:pPr>
        <w:tabs>
          <w:tab w:val="left" w:pos="720"/>
          <w:tab w:val="left" w:pos="1440"/>
          <w:tab w:val="left" w:pos="2160"/>
          <w:tab w:val="left" w:pos="9240"/>
        </w:tabs>
        <w:spacing w:line="480" w:lineRule="auto"/>
        <w:ind w:left="720" w:hanging="720"/>
      </w:pPr>
    </w:p>
    <w:p w:rsidR="005D3B74" w:rsidRDefault="005D3B74" w:rsidP="005D3B74">
      <w:pPr>
        <w:tabs>
          <w:tab w:val="left" w:pos="720"/>
          <w:tab w:val="left" w:pos="1440"/>
          <w:tab w:val="left" w:pos="2160"/>
          <w:tab w:val="left" w:pos="9240"/>
        </w:tabs>
        <w:spacing w:line="480" w:lineRule="auto"/>
        <w:ind w:left="720" w:hanging="720"/>
        <w:rPr>
          <w:b/>
        </w:rPr>
      </w:pPr>
      <w:r>
        <w:rPr>
          <w:b/>
        </w:rPr>
        <w:t>Q.</w:t>
      </w:r>
      <w:r>
        <w:rPr>
          <w:b/>
        </w:rPr>
        <w:tab/>
        <w:t>What financial information did you rely on in estimating investors’ expectations of long-term sustainable dividend growth in your DCF analysis?</w:t>
      </w:r>
    </w:p>
    <w:p w:rsidR="005D3B74" w:rsidRPr="006C35BE" w:rsidRDefault="005D3B74" w:rsidP="005D3B74">
      <w:pPr>
        <w:tabs>
          <w:tab w:val="left" w:pos="720"/>
          <w:tab w:val="left" w:pos="1440"/>
          <w:tab w:val="left" w:pos="2160"/>
          <w:tab w:val="left" w:pos="9240"/>
        </w:tabs>
        <w:spacing w:line="480" w:lineRule="auto"/>
        <w:ind w:left="720" w:hanging="720"/>
      </w:pPr>
      <w:r>
        <w:t>A.</w:t>
      </w:r>
      <w:r>
        <w:tab/>
        <w:t xml:space="preserve">I considered </w:t>
      </w:r>
      <w:r w:rsidR="00B1548E">
        <w:t xml:space="preserve">four </w:t>
      </w:r>
      <w:r w:rsidR="00B46324">
        <w:t>financial indicators o</w:t>
      </w:r>
      <w:r>
        <w:t xml:space="preserve">f </w:t>
      </w:r>
      <w:r w:rsidR="00B46324">
        <w:t xml:space="preserve">long-term </w:t>
      </w:r>
      <w:r w:rsidR="00B1548E">
        <w:t xml:space="preserve">dividend </w:t>
      </w:r>
      <w:r>
        <w:t>growth</w:t>
      </w:r>
      <w:r w:rsidR="004C0C50">
        <w:t xml:space="preserve">: </w:t>
      </w:r>
      <w:r>
        <w:t xml:space="preserve"> </w:t>
      </w:r>
      <w:r w:rsidR="00CF1248">
        <w:t>1)</w:t>
      </w:r>
      <w:r w:rsidR="0006291B" w:rsidRPr="0006291B">
        <w:t xml:space="preserve"> </w:t>
      </w:r>
      <w:r w:rsidR="0006291B">
        <w:t>book value</w:t>
      </w:r>
      <w:r w:rsidR="00CF1248">
        <w:t>; 2)</w:t>
      </w:r>
      <w:r>
        <w:t xml:space="preserve"> </w:t>
      </w:r>
      <w:r w:rsidR="00DB39D0">
        <w:t>internal growth</w:t>
      </w:r>
      <w:r w:rsidR="00CF1248">
        <w:t>; 3)</w:t>
      </w:r>
      <w:r>
        <w:t xml:space="preserve"> </w:t>
      </w:r>
      <w:r w:rsidR="0006291B">
        <w:t>dividends per share</w:t>
      </w:r>
      <w:r w:rsidR="00CF1248">
        <w:t xml:space="preserve">: </w:t>
      </w:r>
      <w:r>
        <w:t xml:space="preserve"> and </w:t>
      </w:r>
      <w:r w:rsidR="00CF1248">
        <w:t xml:space="preserve">4) </w:t>
      </w:r>
      <w:r>
        <w:t>earnings</w:t>
      </w:r>
      <w:r w:rsidR="00AA505D">
        <w:t xml:space="preserve"> per share</w:t>
      </w:r>
      <w:r>
        <w:t>.  This information, when considered as a whole, indicate</w:t>
      </w:r>
      <w:r w:rsidR="00B1548E">
        <w:t>s</w:t>
      </w:r>
      <w:r>
        <w:t xml:space="preserve"> what investors can reasonably expect as a proxy for long-term sustainable dividend growth in making </w:t>
      </w:r>
      <w:r w:rsidR="00241707">
        <w:t>an</w:t>
      </w:r>
      <w:r>
        <w:t xml:space="preserve"> investment decision.  </w:t>
      </w:r>
      <w:r w:rsidRPr="001234E0">
        <w:t>Each of these prospective indicators reflects the types of information that an investor may consider in making a specific investment decision.</w:t>
      </w:r>
      <w:r w:rsidR="00A11684">
        <w:t xml:space="preserve">  </w:t>
      </w:r>
      <w:r w:rsidR="006C35BE">
        <w:t xml:space="preserve">Each of these metrics </w:t>
      </w:r>
      <w:r w:rsidR="00D943F9">
        <w:t>is</w:t>
      </w:r>
      <w:r w:rsidR="006C35BE">
        <w:t xml:space="preserve"> </w:t>
      </w:r>
      <w:r w:rsidR="00D943F9">
        <w:t xml:space="preserve">reported </w:t>
      </w:r>
      <w:r w:rsidR="00B46324">
        <w:t>by</w:t>
      </w:r>
      <w:r w:rsidR="006C35BE">
        <w:t xml:space="preserve"> </w:t>
      </w:r>
      <w:r w:rsidR="006C35BE" w:rsidRPr="006C35BE">
        <w:rPr>
          <w:i/>
        </w:rPr>
        <w:t>Value Line</w:t>
      </w:r>
      <w:r w:rsidR="006C35BE">
        <w:t>.</w:t>
      </w:r>
      <w:r w:rsidR="00CF1248">
        <w:t xml:space="preserve">  </w:t>
      </w:r>
    </w:p>
    <w:p w:rsidR="00AA505D" w:rsidRDefault="005D3B74" w:rsidP="005D3B74">
      <w:pPr>
        <w:tabs>
          <w:tab w:val="left" w:pos="720"/>
          <w:tab w:val="left" w:pos="1440"/>
          <w:tab w:val="left" w:pos="2160"/>
          <w:tab w:val="left" w:pos="9240"/>
        </w:tabs>
        <w:spacing w:line="480" w:lineRule="auto"/>
        <w:ind w:left="720" w:hanging="720"/>
      </w:pPr>
      <w:r>
        <w:tab/>
      </w:r>
      <w:r>
        <w:tab/>
        <w:t xml:space="preserve">However, while each of these financial indicators is important, no single indicator is sufficient or wholly reliable to estimate investor expectations of dividend growth for the group of proxy companies.  On the other hand, some indicators are more important than others.  </w:t>
      </w:r>
    </w:p>
    <w:p w:rsidR="008A343B" w:rsidRDefault="008A343B" w:rsidP="005D3B74">
      <w:pPr>
        <w:tabs>
          <w:tab w:val="left" w:pos="720"/>
          <w:tab w:val="left" w:pos="1440"/>
          <w:tab w:val="left" w:pos="2160"/>
          <w:tab w:val="left" w:pos="9240"/>
        </w:tabs>
        <w:spacing w:line="480" w:lineRule="auto"/>
        <w:ind w:left="720" w:hanging="720"/>
        <w:rPr>
          <w:b/>
        </w:rPr>
      </w:pPr>
    </w:p>
    <w:p w:rsidR="00AA505D" w:rsidRPr="00AA505D" w:rsidRDefault="00AA505D" w:rsidP="005D3B74">
      <w:pPr>
        <w:tabs>
          <w:tab w:val="left" w:pos="720"/>
          <w:tab w:val="left" w:pos="1440"/>
          <w:tab w:val="left" w:pos="2160"/>
          <w:tab w:val="left" w:pos="9240"/>
        </w:tabs>
        <w:spacing w:line="480" w:lineRule="auto"/>
        <w:ind w:left="720" w:hanging="720"/>
        <w:rPr>
          <w:b/>
        </w:rPr>
      </w:pPr>
      <w:r>
        <w:rPr>
          <w:b/>
        </w:rPr>
        <w:t>Q.</w:t>
      </w:r>
      <w:r>
        <w:rPr>
          <w:b/>
        </w:rPr>
        <w:tab/>
      </w:r>
      <w:r w:rsidR="00D943F9">
        <w:rPr>
          <w:b/>
        </w:rPr>
        <w:t>W</w:t>
      </w:r>
      <w:r>
        <w:rPr>
          <w:b/>
        </w:rPr>
        <w:t xml:space="preserve">hat financial information </w:t>
      </w:r>
      <w:r w:rsidR="00D943F9">
        <w:rPr>
          <w:b/>
        </w:rPr>
        <w:t xml:space="preserve">among these factors </w:t>
      </w:r>
      <w:r>
        <w:rPr>
          <w:b/>
        </w:rPr>
        <w:t>is the most significant and carries considerable weight for investors in utility stocks?</w:t>
      </w:r>
    </w:p>
    <w:p w:rsidR="00717F1F" w:rsidRDefault="00AA505D" w:rsidP="00DA2889">
      <w:pPr>
        <w:tabs>
          <w:tab w:val="left" w:pos="720"/>
          <w:tab w:val="left" w:pos="1440"/>
          <w:tab w:val="left" w:pos="9240"/>
        </w:tabs>
        <w:spacing w:line="480" w:lineRule="auto"/>
        <w:ind w:left="720" w:hanging="720"/>
      </w:pPr>
      <w:r>
        <w:t>A.</w:t>
      </w:r>
      <w:r>
        <w:tab/>
      </w:r>
      <w:r w:rsidR="00B1548E">
        <w:t xml:space="preserve">The most significant factors </w:t>
      </w:r>
      <w:r w:rsidR="00CF1248">
        <w:t xml:space="preserve">for investors </w:t>
      </w:r>
      <w:r w:rsidR="00B1548E">
        <w:t xml:space="preserve">are growth in book value and internal growth.  </w:t>
      </w:r>
      <w:r>
        <w:t>I</w:t>
      </w:r>
      <w:r w:rsidR="005D3B74">
        <w:t xml:space="preserve">nvestors in utility stocks </w:t>
      </w:r>
      <w:r w:rsidR="006D01A8">
        <w:t>know</w:t>
      </w:r>
      <w:r w:rsidR="005D3B74">
        <w:t xml:space="preserve"> utility </w:t>
      </w:r>
      <w:r w:rsidR="00C208D2">
        <w:t>cash flows</w:t>
      </w:r>
      <w:r w:rsidR="005D3B74">
        <w:t xml:space="preserve"> are predominantly a function of historical investment, or </w:t>
      </w:r>
      <w:r w:rsidR="00DC4025">
        <w:t>rate base</w:t>
      </w:r>
      <w:r w:rsidR="005D3B74">
        <w:t xml:space="preserve">.  </w:t>
      </w:r>
      <w:r w:rsidR="00B1548E">
        <w:t>T</w:t>
      </w:r>
      <w:r w:rsidR="00D56FFB">
        <w:t xml:space="preserve">his is precisely why </w:t>
      </w:r>
      <w:r w:rsidR="00D56FFB" w:rsidRPr="00DB39D0">
        <w:rPr>
          <w:i/>
        </w:rPr>
        <w:t>Value Line</w:t>
      </w:r>
      <w:r w:rsidR="00D56FFB">
        <w:t xml:space="preserve"> </w:t>
      </w:r>
      <w:r w:rsidR="005B124F">
        <w:t>discusses</w:t>
      </w:r>
      <w:r w:rsidR="00D56FFB">
        <w:t xml:space="preserve"> this critical factor in its research covering </w:t>
      </w:r>
      <w:r w:rsidR="006D01A8">
        <w:t>utility companies</w:t>
      </w:r>
      <w:r w:rsidR="00B46324">
        <w:t xml:space="preserve">.  It </w:t>
      </w:r>
      <w:r w:rsidR="002C33DC">
        <w:t>provides investors</w:t>
      </w:r>
      <w:r w:rsidR="00CF1248">
        <w:t xml:space="preserve"> in utility stocks</w:t>
      </w:r>
      <w:r w:rsidR="002C33DC">
        <w:t xml:space="preserve"> updates </w:t>
      </w:r>
      <w:r w:rsidR="00D943F9">
        <w:t>on</w:t>
      </w:r>
      <w:r w:rsidR="002C33DC">
        <w:t xml:space="preserve"> the </w:t>
      </w:r>
      <w:r w:rsidR="00CF1248">
        <w:t xml:space="preserve">status of rate cases for </w:t>
      </w:r>
      <w:r w:rsidR="00E60844">
        <w:t xml:space="preserve">utilities </w:t>
      </w:r>
      <w:r w:rsidR="00DB39D0">
        <w:t xml:space="preserve">and possible outcomes when significant </w:t>
      </w:r>
      <w:r w:rsidR="00C713E7">
        <w:t xml:space="preserve">new </w:t>
      </w:r>
      <w:r w:rsidR="00DB39D0">
        <w:t xml:space="preserve">investments </w:t>
      </w:r>
      <w:r w:rsidR="00E60844">
        <w:t>become</w:t>
      </w:r>
      <w:r w:rsidR="00DB39D0">
        <w:t xml:space="preserve"> used and useful</w:t>
      </w:r>
      <w:r w:rsidR="006D01A8">
        <w:t xml:space="preserve">.  </w:t>
      </w:r>
      <w:r w:rsidR="00B1548E">
        <w:t>Therefore, i</w:t>
      </w:r>
      <w:r w:rsidR="005D3B74">
        <w:t xml:space="preserve">nvestor expectations for future growth are in large part driven by expectations for growth in book value and </w:t>
      </w:r>
      <w:r w:rsidR="00DB39D0">
        <w:t xml:space="preserve">internal </w:t>
      </w:r>
      <w:r w:rsidR="005D3B74">
        <w:t xml:space="preserve">growth.  </w:t>
      </w:r>
      <w:r w:rsidR="006D01A8">
        <w:t xml:space="preserve">These </w:t>
      </w:r>
      <w:r w:rsidR="002C33DC">
        <w:t xml:space="preserve">two </w:t>
      </w:r>
      <w:r w:rsidR="006D01A8">
        <w:t xml:space="preserve">factors represent the long-term core earning power of utility operations.  </w:t>
      </w:r>
      <w:r w:rsidR="00314832">
        <w:t>Furthermore, these f</w:t>
      </w:r>
      <w:r w:rsidR="00B1548E">
        <w:t>actor</w:t>
      </w:r>
      <w:r w:rsidR="00314832">
        <w:t xml:space="preserve">s along with expectations for earned returns on book represent the long-term earnings power of any </w:t>
      </w:r>
      <w:r w:rsidR="002C33DC">
        <w:t>utility</w:t>
      </w:r>
      <w:r w:rsidR="00314832">
        <w:t xml:space="preserve">.  </w:t>
      </w:r>
      <w:r w:rsidR="00BA01CF">
        <w:t>T</w:t>
      </w:r>
      <w:r w:rsidR="005D3B74">
        <w:t>his data represents the long-term financial fundamentals of a utility subject to rate base rate of return regulation.  Therefore, I give added weight to th</w:t>
      </w:r>
      <w:r w:rsidR="00EC4CBB">
        <w:t>ese</w:t>
      </w:r>
      <w:r w:rsidR="005D3B74">
        <w:t xml:space="preserve"> metric</w:t>
      </w:r>
      <w:r w:rsidR="00EC4CBB">
        <w:t>s</w:t>
      </w:r>
      <w:r w:rsidR="005D3B74">
        <w:t xml:space="preserve"> in my analysis.</w:t>
      </w:r>
      <w:r w:rsidR="006D01A8">
        <w:t xml:space="preserve">  </w:t>
      </w:r>
    </w:p>
    <w:p w:rsidR="006D01A8" w:rsidRDefault="002C33DC" w:rsidP="006D01A8">
      <w:pPr>
        <w:tabs>
          <w:tab w:val="left" w:pos="720"/>
          <w:tab w:val="left" w:pos="1440"/>
          <w:tab w:val="left" w:pos="9240"/>
        </w:tabs>
        <w:spacing w:line="480" w:lineRule="auto"/>
        <w:ind w:left="720" w:hanging="720"/>
      </w:pPr>
      <w:r>
        <w:tab/>
      </w:r>
      <w:r>
        <w:tab/>
        <w:t>Investors</w:t>
      </w:r>
      <w:r w:rsidR="006D01A8">
        <w:t xml:space="preserve"> also consider earnings growth, but place less emphasis on this factor since utility earnings growth can be </w:t>
      </w:r>
      <w:r>
        <w:t xml:space="preserve">materially </w:t>
      </w:r>
      <w:r w:rsidR="006D01A8">
        <w:t xml:space="preserve">affected in the short-term by many factors, </w:t>
      </w:r>
      <w:r w:rsidR="00B1548E">
        <w:t xml:space="preserve">such as </w:t>
      </w:r>
      <w:r w:rsidR="00D70347">
        <w:t xml:space="preserve">temperature, </w:t>
      </w:r>
      <w:r w:rsidR="006D01A8">
        <w:t>weather</w:t>
      </w:r>
      <w:r w:rsidR="00D70347">
        <w:t xml:space="preserve"> and other unusual events</w:t>
      </w:r>
      <w:r w:rsidR="006D01A8">
        <w:t xml:space="preserve">.  </w:t>
      </w:r>
      <w:r w:rsidR="006C35BE">
        <w:t xml:space="preserve">Furthermore, earnings estimates </w:t>
      </w:r>
      <w:r w:rsidR="00D70347">
        <w:t>are</w:t>
      </w:r>
      <w:r w:rsidR="006C35BE">
        <w:t xml:space="preserve"> impacted by prior periods of exceptional earnings (either low or high) and investors take into account prior period earnings in the context of near term estimates</w:t>
      </w:r>
      <w:r w:rsidR="00241707">
        <w:t xml:space="preserve"> provided by analysts</w:t>
      </w:r>
      <w:r w:rsidR="006C35BE">
        <w:t xml:space="preserve">.  </w:t>
      </w:r>
      <w:r w:rsidR="00B46324">
        <w:t xml:space="preserve">Indeed, investors would expect higher earnings growth rates from time to time as a company recovers from the earnings impact an </w:t>
      </w:r>
      <w:r w:rsidR="00B46324">
        <w:lastRenderedPageBreak/>
        <w:t xml:space="preserve">unusual event had on a prior period performance.  </w:t>
      </w:r>
      <w:r w:rsidR="006C35BE">
        <w:t>However, l</w:t>
      </w:r>
      <w:r w:rsidR="006D01A8">
        <w:t xml:space="preserve">ong-term earnings growth for a </w:t>
      </w:r>
      <w:r>
        <w:t>utility can only be realized</w:t>
      </w:r>
      <w:r w:rsidR="006C35BE">
        <w:t xml:space="preserve"> and sustained</w:t>
      </w:r>
      <w:r>
        <w:t xml:space="preserve"> if: </w:t>
      </w:r>
      <w:r w:rsidR="00B1548E">
        <w:t xml:space="preserve"> </w:t>
      </w:r>
      <w:r w:rsidR="00D5702E">
        <w:t>1</w:t>
      </w:r>
      <w:r>
        <w:t xml:space="preserve">) </w:t>
      </w:r>
      <w:r w:rsidR="006D01A8">
        <w:t>book value grows</w:t>
      </w:r>
      <w:r w:rsidR="00B1548E">
        <w:t>;</w:t>
      </w:r>
      <w:r w:rsidR="006D01A8">
        <w:t xml:space="preserve"> or </w:t>
      </w:r>
      <w:r w:rsidR="00D5702E">
        <w:t>2</w:t>
      </w:r>
      <w:r>
        <w:t xml:space="preserve">) </w:t>
      </w:r>
      <w:r w:rsidR="006D01A8">
        <w:t xml:space="preserve">the </w:t>
      </w:r>
      <w:r>
        <w:t xml:space="preserve">earned </w:t>
      </w:r>
      <w:r w:rsidR="006D01A8">
        <w:t xml:space="preserve">rate of returns on book value increase.  In other words, growth in earnings is dependent upon the long-term growth in the utility’s book value and </w:t>
      </w:r>
      <w:r w:rsidR="005B124F">
        <w:t>earned returns on book value</w:t>
      </w:r>
      <w:r w:rsidR="006D01A8">
        <w:t xml:space="preserve">.  </w:t>
      </w:r>
    </w:p>
    <w:p w:rsidR="008C3512" w:rsidRDefault="008C3512" w:rsidP="008C3512">
      <w:pPr>
        <w:tabs>
          <w:tab w:val="left" w:pos="720"/>
          <w:tab w:val="left" w:pos="1440"/>
          <w:tab w:val="left" w:pos="2160"/>
          <w:tab w:val="left" w:pos="9240"/>
        </w:tabs>
        <w:spacing w:line="480" w:lineRule="auto"/>
        <w:ind w:left="720" w:hanging="720"/>
      </w:pPr>
    </w:p>
    <w:p w:rsidR="008C3512" w:rsidRDefault="008C3512" w:rsidP="008C3512">
      <w:pPr>
        <w:tabs>
          <w:tab w:val="left" w:pos="720"/>
          <w:tab w:val="left" w:pos="1440"/>
          <w:tab w:val="left" w:pos="9240"/>
        </w:tabs>
        <w:spacing w:line="480" w:lineRule="auto"/>
        <w:ind w:left="720" w:hanging="720"/>
        <w:rPr>
          <w:b/>
        </w:rPr>
      </w:pPr>
      <w:r>
        <w:rPr>
          <w:b/>
        </w:rPr>
        <w:t>Q.</w:t>
      </w:r>
      <w:r>
        <w:rPr>
          <w:b/>
        </w:rPr>
        <w:tab/>
        <w:t>You state that an important element to investors is the expected internal growth.  Will you briefly explain that financial metric and how it is calculated?</w:t>
      </w:r>
    </w:p>
    <w:p w:rsidR="00553C85" w:rsidRDefault="008C3512" w:rsidP="008C3512">
      <w:pPr>
        <w:tabs>
          <w:tab w:val="left" w:pos="720"/>
          <w:tab w:val="left" w:pos="1440"/>
          <w:tab w:val="left" w:pos="9240"/>
        </w:tabs>
        <w:spacing w:line="480" w:lineRule="auto"/>
        <w:ind w:left="720" w:hanging="720"/>
      </w:pPr>
      <w:r>
        <w:t>A.</w:t>
      </w:r>
      <w:r>
        <w:tab/>
        <w:t xml:space="preserve">Internal growth is a function of the amount of earnings </w:t>
      </w:r>
      <w:r w:rsidR="000919D8">
        <w:t xml:space="preserve">retained </w:t>
      </w:r>
      <w:r>
        <w:t xml:space="preserve">after dividends are </w:t>
      </w:r>
      <w:r w:rsidR="000919D8">
        <w:t>paid</w:t>
      </w:r>
      <w:r>
        <w:t xml:space="preserve"> to support future growth.  </w:t>
      </w:r>
      <w:r w:rsidR="00E60844">
        <w:t xml:space="preserve">In other words, </w:t>
      </w:r>
      <w:r w:rsidR="002114E9">
        <w:t xml:space="preserve">if </w:t>
      </w:r>
      <w:r w:rsidR="00E60844">
        <w:t xml:space="preserve">a utility </w:t>
      </w:r>
      <w:r w:rsidR="000919D8">
        <w:t>that pays less of its earnings</w:t>
      </w:r>
      <w:r w:rsidR="00E60844">
        <w:t xml:space="preserve"> </w:t>
      </w:r>
      <w:r w:rsidR="000919D8">
        <w:t>to investors (</w:t>
      </w:r>
      <w:r w:rsidR="00E60844">
        <w:t>a lower payout ratio</w:t>
      </w:r>
      <w:r w:rsidR="000919D8">
        <w:t>)</w:t>
      </w:r>
      <w:r w:rsidR="002114E9">
        <w:t xml:space="preserve">, </w:t>
      </w:r>
      <w:r w:rsidR="0006291B">
        <w:t>that utility</w:t>
      </w:r>
      <w:r w:rsidR="00E60844">
        <w:t xml:space="preserve"> will </w:t>
      </w:r>
      <w:r w:rsidR="000919D8">
        <w:t>have</w:t>
      </w:r>
      <w:r w:rsidR="00E60844">
        <w:t xml:space="preserve"> more earnings</w:t>
      </w:r>
      <w:r w:rsidR="000919D8">
        <w:t xml:space="preserve"> (higher retention ratio)</w:t>
      </w:r>
      <w:r w:rsidR="00E60844">
        <w:t xml:space="preserve"> for future growth.  </w:t>
      </w:r>
      <w:r w:rsidR="002114E9">
        <w:t>Conversely</w:t>
      </w:r>
      <w:r w:rsidR="00C713E7">
        <w:t xml:space="preserve">, investors </w:t>
      </w:r>
      <w:r w:rsidR="002114E9">
        <w:t xml:space="preserve">will </w:t>
      </w:r>
      <w:r w:rsidR="000919D8">
        <w:t>have lower expectations for growth if a</w:t>
      </w:r>
      <w:r w:rsidR="00C713E7">
        <w:t xml:space="preserve"> </w:t>
      </w:r>
      <w:r w:rsidR="000919D8">
        <w:t>utility has a high payout ratio</w:t>
      </w:r>
      <w:r w:rsidR="002114E9">
        <w:t>.</w:t>
      </w:r>
      <w:r w:rsidR="00C713E7">
        <w:t xml:space="preserve">  </w:t>
      </w:r>
      <w:r w:rsidR="000919D8">
        <w:t>In other words, dividend policy impacts investor perception of future long-term growth.</w:t>
      </w:r>
    </w:p>
    <w:p w:rsidR="00960EAF" w:rsidRDefault="005A0164" w:rsidP="005A0164">
      <w:pPr>
        <w:tabs>
          <w:tab w:val="left" w:pos="720"/>
          <w:tab w:val="left" w:pos="1440"/>
          <w:tab w:val="left" w:pos="9240"/>
        </w:tabs>
        <w:spacing w:line="480" w:lineRule="auto"/>
        <w:ind w:left="720" w:hanging="720"/>
      </w:pPr>
      <w:r>
        <w:tab/>
      </w:r>
      <w:r>
        <w:tab/>
        <w:t xml:space="preserve">Next, investors consider the earned rate of return on book and apply that to </w:t>
      </w:r>
      <w:r w:rsidR="00D5702E">
        <w:t xml:space="preserve">the </w:t>
      </w:r>
      <w:r>
        <w:t xml:space="preserve">portion of earnings retained as an estimate of the long-term potential for future growth.  </w:t>
      </w:r>
      <w:r w:rsidR="00960EAF">
        <w:t xml:space="preserve">In other words, the expected earned return on book equity applied to earnings the company retains provides an indication </w:t>
      </w:r>
      <w:r w:rsidR="00BA01CF">
        <w:t xml:space="preserve">to investors </w:t>
      </w:r>
      <w:r w:rsidR="00960EAF">
        <w:t xml:space="preserve">of future growth.  Indeed, </w:t>
      </w:r>
      <w:r w:rsidR="00960EAF" w:rsidRPr="00731778">
        <w:rPr>
          <w:i/>
        </w:rPr>
        <w:t>Value Line</w:t>
      </w:r>
      <w:r w:rsidR="00BA01CF">
        <w:t xml:space="preserve"> </w:t>
      </w:r>
      <w:r w:rsidR="00960EAF">
        <w:t>does mention this fact to utility investors from time to time in its publications.</w:t>
      </w:r>
    </w:p>
    <w:p w:rsidR="008C3512" w:rsidRPr="008A180F" w:rsidRDefault="00960EAF" w:rsidP="008C3512">
      <w:pPr>
        <w:tabs>
          <w:tab w:val="left" w:pos="720"/>
          <w:tab w:val="left" w:pos="1440"/>
          <w:tab w:val="left" w:pos="9240"/>
        </w:tabs>
        <w:spacing w:line="480" w:lineRule="auto"/>
        <w:ind w:left="720" w:hanging="720"/>
      </w:pPr>
      <w:r>
        <w:tab/>
      </w:r>
      <w:r>
        <w:tab/>
      </w:r>
      <w:r w:rsidR="00553C85">
        <w:t xml:space="preserve">This </w:t>
      </w:r>
      <w:r>
        <w:t xml:space="preserve">financial index </w:t>
      </w:r>
      <w:r w:rsidR="00D756BC">
        <w:t xml:space="preserve">as a measure of long-term growth </w:t>
      </w:r>
      <w:r>
        <w:t>can be translated into a common</w:t>
      </w:r>
      <w:r w:rsidR="00D756BC">
        <w:t>ly used</w:t>
      </w:r>
      <w:r>
        <w:t xml:space="preserve"> </w:t>
      </w:r>
      <w:r w:rsidR="00553C85">
        <w:t>formula</w:t>
      </w:r>
      <w:r>
        <w:t>:</w:t>
      </w:r>
      <w:r w:rsidR="00D5702E">
        <w:t xml:space="preserve"> </w:t>
      </w:r>
      <w:r w:rsidR="00553C85">
        <w:t xml:space="preserve"> t</w:t>
      </w:r>
      <w:r w:rsidR="008C3512">
        <w:t>he rate of earnings on book equity</w:t>
      </w:r>
      <w:r>
        <w:t xml:space="preserve"> (“</w:t>
      </w:r>
      <w:r w:rsidRPr="00731778">
        <w:rPr>
          <w:i/>
        </w:rPr>
        <w:t>r</w:t>
      </w:r>
      <w:r>
        <w:t>”)</w:t>
      </w:r>
      <w:r w:rsidR="008C3512">
        <w:t xml:space="preserve"> times the amount </w:t>
      </w:r>
      <w:r w:rsidR="008C3512">
        <w:lastRenderedPageBreak/>
        <w:t xml:space="preserve">of earnings retained for future growth </w:t>
      </w:r>
      <w:r>
        <w:t>(“</w:t>
      </w:r>
      <w:r w:rsidRPr="00731778">
        <w:rPr>
          <w:i/>
        </w:rPr>
        <w:t>b</w:t>
      </w:r>
      <w:r w:rsidR="00D756BC">
        <w:t xml:space="preserve">”).  The figure </w:t>
      </w:r>
      <w:r w:rsidR="00D756BC" w:rsidRPr="00731778">
        <w:rPr>
          <w:i/>
        </w:rPr>
        <w:t>{</w:t>
      </w:r>
      <w:r w:rsidR="00D756BC" w:rsidRPr="0043755C">
        <w:rPr>
          <w:i/>
        </w:rPr>
        <w:t>“b*r</w:t>
      </w:r>
      <w:r w:rsidR="00D756BC">
        <w:rPr>
          <w:i/>
        </w:rPr>
        <w:t xml:space="preserve">”} </w:t>
      </w:r>
      <w:r w:rsidR="008C3512">
        <w:t xml:space="preserve">is </w:t>
      </w:r>
      <w:r w:rsidR="000919D8">
        <w:t>a critical</w:t>
      </w:r>
      <w:r w:rsidR="00267EE5">
        <w:t xml:space="preserve"> </w:t>
      </w:r>
      <w:r w:rsidR="000919D8">
        <w:t xml:space="preserve">factor for </w:t>
      </w:r>
      <w:r w:rsidR="008C3512">
        <w:t>investor</w:t>
      </w:r>
      <w:r w:rsidR="00D756BC">
        <w:t>s</w:t>
      </w:r>
      <w:r w:rsidR="008C3512">
        <w:t xml:space="preserve"> </w:t>
      </w:r>
      <w:r w:rsidR="000919D8">
        <w:t>evaluating</w:t>
      </w:r>
      <w:r w:rsidR="008C3512">
        <w:t xml:space="preserve"> </w:t>
      </w:r>
      <w:r w:rsidR="000919D8">
        <w:t xml:space="preserve">the prospect </w:t>
      </w:r>
      <w:r w:rsidR="008C3512">
        <w:t xml:space="preserve">for sustainable dividend growth.  </w:t>
      </w:r>
    </w:p>
    <w:p w:rsidR="00AA505D" w:rsidRDefault="00AA505D" w:rsidP="00AA505D">
      <w:pPr>
        <w:tabs>
          <w:tab w:val="left" w:pos="720"/>
          <w:tab w:val="left" w:pos="1440"/>
          <w:tab w:val="left" w:pos="9240"/>
        </w:tabs>
        <w:spacing w:line="480" w:lineRule="auto"/>
        <w:ind w:left="720" w:hanging="720"/>
      </w:pPr>
    </w:p>
    <w:p w:rsidR="0066457A" w:rsidRDefault="0066457A" w:rsidP="0066457A">
      <w:pPr>
        <w:tabs>
          <w:tab w:val="left" w:pos="720"/>
          <w:tab w:val="left" w:pos="1440"/>
          <w:tab w:val="left" w:pos="9240"/>
        </w:tabs>
        <w:spacing w:line="480" w:lineRule="auto"/>
        <w:ind w:left="720" w:hanging="720"/>
        <w:rPr>
          <w:b/>
        </w:rPr>
      </w:pPr>
      <w:r>
        <w:rPr>
          <w:b/>
        </w:rPr>
        <w:t>Q.</w:t>
      </w:r>
      <w:r>
        <w:rPr>
          <w:b/>
        </w:rPr>
        <w:tab/>
        <w:t xml:space="preserve">What does </w:t>
      </w:r>
      <w:r w:rsidRPr="00DD5A46">
        <w:rPr>
          <w:b/>
          <w:i/>
        </w:rPr>
        <w:t>Value Line</w:t>
      </w:r>
      <w:r>
        <w:rPr>
          <w:b/>
        </w:rPr>
        <w:t xml:space="preserve"> indicate as the expected growth r</w:t>
      </w:r>
      <w:r w:rsidR="0073737E">
        <w:rPr>
          <w:b/>
        </w:rPr>
        <w:t xml:space="preserve">ate for </w:t>
      </w:r>
      <w:r>
        <w:rPr>
          <w:b/>
        </w:rPr>
        <w:t xml:space="preserve">book value </w:t>
      </w:r>
      <w:r w:rsidR="006D01A8">
        <w:rPr>
          <w:b/>
        </w:rPr>
        <w:t xml:space="preserve">for </w:t>
      </w:r>
      <w:r w:rsidR="00B1548E">
        <w:rPr>
          <w:b/>
        </w:rPr>
        <w:t>your</w:t>
      </w:r>
      <w:r w:rsidR="006D01A8">
        <w:rPr>
          <w:b/>
        </w:rPr>
        <w:t xml:space="preserve"> proxy group</w:t>
      </w:r>
      <w:r>
        <w:rPr>
          <w:b/>
        </w:rPr>
        <w:t>?</w:t>
      </w:r>
    </w:p>
    <w:p w:rsidR="006D01A8" w:rsidRDefault="0066457A" w:rsidP="005D3B74">
      <w:pPr>
        <w:tabs>
          <w:tab w:val="left" w:pos="720"/>
          <w:tab w:val="left" w:pos="1440"/>
          <w:tab w:val="left" w:pos="9240"/>
        </w:tabs>
        <w:spacing w:line="480" w:lineRule="auto"/>
        <w:ind w:left="720" w:hanging="720"/>
      </w:pPr>
      <w:r>
        <w:t>A.</w:t>
      </w:r>
      <w:r>
        <w:tab/>
      </w:r>
      <w:r w:rsidR="00E05955">
        <w:t xml:space="preserve">It shows </w:t>
      </w:r>
      <w:r w:rsidR="00C713E7">
        <w:t>that the average growth rate in book value between</w:t>
      </w:r>
      <w:r w:rsidR="00E05955">
        <w:t xml:space="preserve"> 2011</w:t>
      </w:r>
      <w:r w:rsidR="00B1548E">
        <w:t xml:space="preserve"> and </w:t>
      </w:r>
      <w:r w:rsidR="00E05955">
        <w:t xml:space="preserve">2016 </w:t>
      </w:r>
      <w:r w:rsidR="006D01A8">
        <w:t>is 3.</w:t>
      </w:r>
      <w:r w:rsidR="00147506">
        <w:t>7</w:t>
      </w:r>
      <w:r w:rsidR="006D01A8">
        <w:t xml:space="preserve">0 percent.  </w:t>
      </w:r>
      <w:r w:rsidR="00E05955">
        <w:t xml:space="preserve">However, </w:t>
      </w:r>
      <w:r w:rsidR="00553C85">
        <w:t xml:space="preserve">it is my opinion </w:t>
      </w:r>
      <w:r w:rsidR="00C713E7">
        <w:t xml:space="preserve">that these </w:t>
      </w:r>
      <w:r w:rsidR="00D756BC">
        <w:t xml:space="preserve">indicated </w:t>
      </w:r>
      <w:r w:rsidR="00C713E7">
        <w:t xml:space="preserve">growth rates could increase </w:t>
      </w:r>
      <w:r w:rsidR="00BA01CF">
        <w:t xml:space="preserve">since investors </w:t>
      </w:r>
      <w:r w:rsidR="00DB39D0">
        <w:t xml:space="preserve">are </w:t>
      </w:r>
      <w:r w:rsidR="00553C85">
        <w:t>anticipating</w:t>
      </w:r>
      <w:r w:rsidR="00C713E7">
        <w:t xml:space="preserve"> </w:t>
      </w:r>
      <w:r w:rsidR="00BA01CF">
        <w:t xml:space="preserve">utility companies to continue </w:t>
      </w:r>
      <w:r w:rsidR="00C713E7">
        <w:t>large capital budgets</w:t>
      </w:r>
      <w:r w:rsidR="00553C85">
        <w:t xml:space="preserve"> for new investments in infrastructure</w:t>
      </w:r>
      <w:r w:rsidR="00C713E7">
        <w:t>.  A</w:t>
      </w:r>
      <w:r w:rsidR="00DB39D0">
        <w:t>s a result</w:t>
      </w:r>
      <w:r w:rsidR="00C713E7">
        <w:t>, investors</w:t>
      </w:r>
      <w:r w:rsidR="00DB39D0">
        <w:t xml:space="preserve"> </w:t>
      </w:r>
      <w:r w:rsidR="00E05955">
        <w:t xml:space="preserve">would expect </w:t>
      </w:r>
      <w:r w:rsidR="00F76AED">
        <w:t xml:space="preserve">somewhat higher growth in </w:t>
      </w:r>
      <w:r w:rsidR="00E05955">
        <w:t>book value</w:t>
      </w:r>
      <w:r w:rsidR="00F76AED">
        <w:t xml:space="preserve"> </w:t>
      </w:r>
      <w:r w:rsidR="00C713E7">
        <w:t>prospectively</w:t>
      </w:r>
      <w:r w:rsidR="00553C85">
        <w:t xml:space="preserve"> than that indicated by </w:t>
      </w:r>
      <w:r w:rsidR="00BA01CF">
        <w:t xml:space="preserve">the raw </w:t>
      </w:r>
      <w:r w:rsidR="00553C85" w:rsidRPr="00553C85">
        <w:rPr>
          <w:i/>
        </w:rPr>
        <w:t>Value Line</w:t>
      </w:r>
      <w:r w:rsidR="00BA01CF">
        <w:rPr>
          <w:i/>
        </w:rPr>
        <w:t xml:space="preserve"> </w:t>
      </w:r>
      <w:r w:rsidR="00BA01CF">
        <w:t>data</w:t>
      </w:r>
      <w:r w:rsidR="00F76AED">
        <w:t>.</w:t>
      </w:r>
      <w:r w:rsidR="00C713E7">
        <w:t xml:space="preserve">  </w:t>
      </w:r>
    </w:p>
    <w:p w:rsidR="00F76AED" w:rsidRDefault="00F76AED" w:rsidP="005D3B74">
      <w:pPr>
        <w:tabs>
          <w:tab w:val="left" w:pos="720"/>
          <w:tab w:val="left" w:pos="1440"/>
          <w:tab w:val="left" w:pos="9240"/>
        </w:tabs>
        <w:spacing w:line="480" w:lineRule="auto"/>
        <w:ind w:left="720" w:hanging="720"/>
      </w:pPr>
    </w:p>
    <w:p w:rsidR="006D01A8" w:rsidRDefault="006D01A8" w:rsidP="006D01A8">
      <w:pPr>
        <w:tabs>
          <w:tab w:val="left" w:pos="720"/>
          <w:tab w:val="left" w:pos="1440"/>
          <w:tab w:val="left" w:pos="9240"/>
        </w:tabs>
        <w:spacing w:line="480" w:lineRule="auto"/>
        <w:ind w:left="720" w:hanging="720"/>
        <w:rPr>
          <w:b/>
        </w:rPr>
      </w:pPr>
      <w:r>
        <w:rPr>
          <w:b/>
        </w:rPr>
        <w:t>Q.</w:t>
      </w:r>
      <w:r>
        <w:rPr>
          <w:b/>
        </w:rPr>
        <w:tab/>
        <w:t xml:space="preserve">What does </w:t>
      </w:r>
      <w:r w:rsidRPr="00DD5A46">
        <w:rPr>
          <w:b/>
          <w:i/>
        </w:rPr>
        <w:t>Value Line</w:t>
      </w:r>
      <w:r>
        <w:rPr>
          <w:b/>
        </w:rPr>
        <w:t xml:space="preserve"> indicate as the expected </w:t>
      </w:r>
      <w:r w:rsidR="008C3512">
        <w:rPr>
          <w:b/>
        </w:rPr>
        <w:t xml:space="preserve">internal </w:t>
      </w:r>
      <w:r>
        <w:rPr>
          <w:b/>
        </w:rPr>
        <w:t xml:space="preserve">growth rate </w:t>
      </w:r>
      <w:r w:rsidR="00D756BC" w:rsidRPr="00D756BC">
        <w:rPr>
          <w:b/>
          <w:i/>
        </w:rPr>
        <w:t>{“b*r”}</w:t>
      </w:r>
      <w:r w:rsidR="00D756BC">
        <w:rPr>
          <w:i/>
        </w:rPr>
        <w:t xml:space="preserve"> </w:t>
      </w:r>
      <w:r>
        <w:rPr>
          <w:b/>
        </w:rPr>
        <w:t xml:space="preserve">for </w:t>
      </w:r>
      <w:r w:rsidR="00CA455B">
        <w:rPr>
          <w:b/>
        </w:rPr>
        <w:t>your</w:t>
      </w:r>
      <w:r>
        <w:rPr>
          <w:b/>
        </w:rPr>
        <w:t xml:space="preserve"> proxy group?</w:t>
      </w:r>
    </w:p>
    <w:p w:rsidR="006D01A8" w:rsidRPr="006D01A8" w:rsidRDefault="006D01A8" w:rsidP="006D01A8">
      <w:pPr>
        <w:tabs>
          <w:tab w:val="left" w:pos="720"/>
          <w:tab w:val="left" w:pos="1440"/>
          <w:tab w:val="left" w:pos="9240"/>
        </w:tabs>
        <w:spacing w:line="480" w:lineRule="auto"/>
        <w:ind w:left="720" w:hanging="720"/>
      </w:pPr>
      <w:r>
        <w:t>A.</w:t>
      </w:r>
      <w:r>
        <w:tab/>
        <w:t xml:space="preserve">The data indicate that </w:t>
      </w:r>
      <w:r w:rsidR="00C713E7">
        <w:t>expected internal</w:t>
      </w:r>
      <w:r>
        <w:t xml:space="preserve"> growth from retained earnings of the proxy group on average is 4.45 percent.</w:t>
      </w:r>
      <w:r w:rsidR="003231E3">
        <w:t xml:space="preserve">  This figure supports my expectation</w:t>
      </w:r>
      <w:r w:rsidR="00BA01CF">
        <w:t xml:space="preserve"> of higher growth in book value for utility companies.</w:t>
      </w:r>
    </w:p>
    <w:p w:rsidR="006D01A8" w:rsidRDefault="006D01A8"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 xml:space="preserve">What does </w:t>
      </w:r>
      <w:r w:rsidRPr="008C3512">
        <w:rPr>
          <w:b/>
          <w:i/>
        </w:rPr>
        <w:t>Value Line</w:t>
      </w:r>
      <w:r>
        <w:rPr>
          <w:b/>
        </w:rPr>
        <w:t xml:space="preserve"> </w:t>
      </w:r>
      <w:r w:rsidR="00730CAC">
        <w:rPr>
          <w:b/>
        </w:rPr>
        <w:t>indicate as the growth rate for</w:t>
      </w:r>
      <w:r w:rsidR="00F54BBD">
        <w:rPr>
          <w:b/>
        </w:rPr>
        <w:t xml:space="preserve"> </w:t>
      </w:r>
      <w:r w:rsidR="00AF20C0">
        <w:rPr>
          <w:b/>
        </w:rPr>
        <w:t xml:space="preserve">dividends </w:t>
      </w:r>
      <w:r w:rsidR="00B1548E">
        <w:rPr>
          <w:b/>
        </w:rPr>
        <w:t>from</w:t>
      </w:r>
      <w:r w:rsidR="00AF20C0">
        <w:rPr>
          <w:b/>
        </w:rPr>
        <w:t xml:space="preserve"> 2011 to 2016</w:t>
      </w:r>
      <w:r w:rsidR="00553139">
        <w:rPr>
          <w:b/>
        </w:rPr>
        <w:t xml:space="preserve"> </w:t>
      </w:r>
      <w:r w:rsidR="00730CAC">
        <w:rPr>
          <w:b/>
        </w:rPr>
        <w:t xml:space="preserve">for </w:t>
      </w:r>
      <w:r w:rsidR="00CA455B">
        <w:rPr>
          <w:b/>
        </w:rPr>
        <w:t>your</w:t>
      </w:r>
      <w:r w:rsidR="00730CAC">
        <w:rPr>
          <w:b/>
        </w:rPr>
        <w:t xml:space="preserve"> proxy group</w:t>
      </w:r>
      <w:r>
        <w:rPr>
          <w:b/>
        </w:rPr>
        <w:t>?</w:t>
      </w:r>
    </w:p>
    <w:p w:rsidR="005D3B74" w:rsidRDefault="005D3B74" w:rsidP="005D3B74">
      <w:pPr>
        <w:tabs>
          <w:tab w:val="left" w:pos="720"/>
          <w:tab w:val="left" w:pos="1440"/>
          <w:tab w:val="left" w:pos="9240"/>
        </w:tabs>
        <w:spacing w:line="480" w:lineRule="auto"/>
        <w:ind w:left="720" w:hanging="720"/>
      </w:pPr>
      <w:r>
        <w:t>A.</w:t>
      </w:r>
      <w:r>
        <w:tab/>
      </w:r>
      <w:r>
        <w:rPr>
          <w:i/>
        </w:rPr>
        <w:t>Value Line</w:t>
      </w:r>
      <w:r>
        <w:t xml:space="preserve"> indicates that the </w:t>
      </w:r>
      <w:r w:rsidR="003231E3">
        <w:t xml:space="preserve">average </w:t>
      </w:r>
      <w:r>
        <w:t xml:space="preserve">growth </w:t>
      </w:r>
      <w:r w:rsidR="00F54BBD">
        <w:t xml:space="preserve">rate </w:t>
      </w:r>
      <w:r w:rsidR="003231E3">
        <w:t xml:space="preserve">for the </w:t>
      </w:r>
      <w:r w:rsidR="008A5124">
        <w:t xml:space="preserve">group </w:t>
      </w:r>
      <w:r w:rsidR="003231E3">
        <w:t>is</w:t>
      </w:r>
      <w:r w:rsidR="00F54BBD">
        <w:t xml:space="preserve"> </w:t>
      </w:r>
      <w:r w:rsidR="00AF20C0">
        <w:t>5.20</w:t>
      </w:r>
      <w:r w:rsidR="008A5124">
        <w:t xml:space="preserve"> percent.</w:t>
      </w:r>
      <w:r>
        <w:t xml:space="preserve">  </w:t>
      </w:r>
    </w:p>
    <w:p w:rsidR="00F54BBD" w:rsidRDefault="00F54BBD" w:rsidP="005D3B74">
      <w:pPr>
        <w:tabs>
          <w:tab w:val="left" w:pos="720"/>
          <w:tab w:val="left" w:pos="1440"/>
          <w:tab w:val="left" w:pos="9240"/>
        </w:tabs>
        <w:spacing w:line="480" w:lineRule="auto"/>
        <w:ind w:left="720" w:hanging="720"/>
      </w:pPr>
    </w:p>
    <w:p w:rsidR="00F54BBD" w:rsidRDefault="00F54BBD" w:rsidP="00F54BBD">
      <w:pPr>
        <w:tabs>
          <w:tab w:val="left" w:pos="720"/>
          <w:tab w:val="left" w:pos="1440"/>
          <w:tab w:val="left" w:pos="9240"/>
        </w:tabs>
        <w:spacing w:line="480" w:lineRule="auto"/>
        <w:ind w:left="720" w:hanging="720"/>
        <w:rPr>
          <w:b/>
        </w:rPr>
      </w:pPr>
      <w:r>
        <w:rPr>
          <w:b/>
        </w:rPr>
        <w:lastRenderedPageBreak/>
        <w:t>Q.</w:t>
      </w:r>
      <w:r>
        <w:rPr>
          <w:b/>
        </w:rPr>
        <w:tab/>
        <w:t xml:space="preserve">Is </w:t>
      </w:r>
      <w:r w:rsidR="006D2CD3">
        <w:rPr>
          <w:b/>
        </w:rPr>
        <w:t xml:space="preserve">it reasonable </w:t>
      </w:r>
      <w:r w:rsidR="00D756BC">
        <w:rPr>
          <w:b/>
        </w:rPr>
        <w:t xml:space="preserve">for investors </w:t>
      </w:r>
      <w:r w:rsidR="006D2CD3">
        <w:rPr>
          <w:b/>
        </w:rPr>
        <w:t xml:space="preserve">to expect </w:t>
      </w:r>
      <w:r w:rsidR="00B1548E">
        <w:rPr>
          <w:b/>
        </w:rPr>
        <w:t xml:space="preserve">a 5.20 percent </w:t>
      </w:r>
      <w:r>
        <w:rPr>
          <w:b/>
        </w:rPr>
        <w:t xml:space="preserve">rate of growth in </w:t>
      </w:r>
      <w:r w:rsidR="00AF20C0">
        <w:rPr>
          <w:b/>
        </w:rPr>
        <w:t>dividends</w:t>
      </w:r>
      <w:r>
        <w:rPr>
          <w:b/>
        </w:rPr>
        <w:t xml:space="preserve"> </w:t>
      </w:r>
      <w:r w:rsidR="006D2CD3">
        <w:rPr>
          <w:b/>
        </w:rPr>
        <w:t>in the future</w:t>
      </w:r>
      <w:r>
        <w:rPr>
          <w:b/>
        </w:rPr>
        <w:t>?</w:t>
      </w:r>
    </w:p>
    <w:p w:rsidR="00F54BBD" w:rsidRPr="00C60A0F" w:rsidRDefault="00F54BBD" w:rsidP="00F54BBD">
      <w:pPr>
        <w:tabs>
          <w:tab w:val="left" w:pos="720"/>
          <w:tab w:val="left" w:pos="1440"/>
          <w:tab w:val="left" w:pos="9240"/>
        </w:tabs>
        <w:spacing w:line="480" w:lineRule="auto"/>
        <w:ind w:left="720" w:hanging="720"/>
      </w:pPr>
      <w:r w:rsidRPr="00C00AE6">
        <w:t>A.</w:t>
      </w:r>
      <w:r w:rsidRPr="00C00AE6">
        <w:tab/>
        <w:t>No.</w:t>
      </w:r>
      <w:r>
        <w:rPr>
          <w:b/>
        </w:rPr>
        <w:t xml:space="preserve">  </w:t>
      </w:r>
      <w:r w:rsidR="002A0350" w:rsidRPr="00C60A0F">
        <w:t xml:space="preserve">A </w:t>
      </w:r>
      <w:r w:rsidR="006D2CD3">
        <w:t xml:space="preserve">dividend </w:t>
      </w:r>
      <w:r w:rsidR="002A0350" w:rsidRPr="00C60A0F">
        <w:t>growth rate</w:t>
      </w:r>
      <w:r w:rsidR="006D2CD3">
        <w:rPr>
          <w:b/>
        </w:rPr>
        <w:t xml:space="preserve"> </w:t>
      </w:r>
      <w:r w:rsidR="006D2CD3">
        <w:t>of 5.20 percent is not sustainable</w:t>
      </w:r>
      <w:r w:rsidR="00D756BC">
        <w:t xml:space="preserve"> for this proxy group</w:t>
      </w:r>
      <w:r w:rsidR="006D2CD3">
        <w:t>.</w:t>
      </w:r>
    </w:p>
    <w:p w:rsidR="00F54BBD" w:rsidRDefault="00F54BBD" w:rsidP="00F54BBD">
      <w:pPr>
        <w:tabs>
          <w:tab w:val="left" w:pos="720"/>
          <w:tab w:val="left" w:pos="1440"/>
          <w:tab w:val="left" w:pos="9240"/>
        </w:tabs>
        <w:spacing w:line="480" w:lineRule="auto"/>
        <w:ind w:left="720" w:hanging="720"/>
        <w:rPr>
          <w:b/>
        </w:rPr>
      </w:pPr>
    </w:p>
    <w:p w:rsidR="00F54BBD" w:rsidRDefault="00F54BBD" w:rsidP="00F54BBD">
      <w:pPr>
        <w:tabs>
          <w:tab w:val="left" w:pos="720"/>
          <w:tab w:val="left" w:pos="1440"/>
          <w:tab w:val="left" w:pos="9240"/>
        </w:tabs>
        <w:spacing w:line="480" w:lineRule="auto"/>
        <w:ind w:left="720" w:hanging="720"/>
        <w:rPr>
          <w:b/>
        </w:rPr>
      </w:pPr>
      <w:r>
        <w:rPr>
          <w:b/>
        </w:rPr>
        <w:t>Q.</w:t>
      </w:r>
      <w:r>
        <w:rPr>
          <w:b/>
        </w:rPr>
        <w:tab/>
        <w:t>Why is th</w:t>
      </w:r>
      <w:r w:rsidR="00B1548E">
        <w:rPr>
          <w:b/>
        </w:rPr>
        <w:t>at</w:t>
      </w:r>
      <w:r>
        <w:rPr>
          <w:b/>
        </w:rPr>
        <w:t xml:space="preserve"> growth rate in </w:t>
      </w:r>
      <w:r w:rsidR="00AF20C0">
        <w:rPr>
          <w:b/>
        </w:rPr>
        <w:t>dividends</w:t>
      </w:r>
      <w:r>
        <w:rPr>
          <w:b/>
        </w:rPr>
        <w:t xml:space="preserve"> </w:t>
      </w:r>
      <w:r w:rsidR="00AF20C0">
        <w:rPr>
          <w:b/>
        </w:rPr>
        <w:t>unsustainable</w:t>
      </w:r>
      <w:r>
        <w:rPr>
          <w:b/>
        </w:rPr>
        <w:t>?</w:t>
      </w:r>
    </w:p>
    <w:p w:rsidR="00BA01CF" w:rsidRDefault="00F54BBD" w:rsidP="002114E9">
      <w:pPr>
        <w:tabs>
          <w:tab w:val="left" w:pos="720"/>
          <w:tab w:val="left" w:pos="1440"/>
          <w:tab w:val="left" w:pos="9240"/>
        </w:tabs>
        <w:spacing w:line="480" w:lineRule="auto"/>
        <w:ind w:left="720" w:hanging="720"/>
      </w:pPr>
      <w:r>
        <w:t>A.</w:t>
      </w:r>
      <w:r>
        <w:tab/>
      </w:r>
      <w:r w:rsidR="00BA01CF">
        <w:t>T</w:t>
      </w:r>
      <w:r w:rsidR="00F76AED">
        <w:t xml:space="preserve">hree of the firms in </w:t>
      </w:r>
      <w:r w:rsidR="00B1548E">
        <w:t xml:space="preserve">my </w:t>
      </w:r>
      <w:r w:rsidR="00F76AED">
        <w:t xml:space="preserve">proxy group </w:t>
      </w:r>
      <w:r w:rsidR="00AF20C0">
        <w:t>recent</w:t>
      </w:r>
      <w:r w:rsidR="00F76AED">
        <w:t>ly changed</w:t>
      </w:r>
      <w:r w:rsidR="00AF20C0">
        <w:t xml:space="preserve"> dividend policies</w:t>
      </w:r>
      <w:r w:rsidR="00CF439E">
        <w:t xml:space="preserve"> </w:t>
      </w:r>
      <w:r w:rsidR="00BA01CF">
        <w:t>to</w:t>
      </w:r>
      <w:r w:rsidR="00AF20C0">
        <w:t xml:space="preserve"> </w:t>
      </w:r>
      <w:r w:rsidR="00CF439E">
        <w:t xml:space="preserve">increase </w:t>
      </w:r>
      <w:r w:rsidR="00AF20C0">
        <w:t>the dividend payout ratio</w:t>
      </w:r>
      <w:r w:rsidR="00E9577B">
        <w:t xml:space="preserve">.  The figure </w:t>
      </w:r>
      <w:r w:rsidR="00D756BC">
        <w:t xml:space="preserve">reported by </w:t>
      </w:r>
      <w:r w:rsidR="00D756BC" w:rsidRPr="00267EE5">
        <w:rPr>
          <w:i/>
        </w:rPr>
        <w:t>Value Line</w:t>
      </w:r>
      <w:r w:rsidR="00D756BC">
        <w:t xml:space="preserve"> </w:t>
      </w:r>
      <w:r w:rsidR="00E9577B">
        <w:t xml:space="preserve">is high </w:t>
      </w:r>
      <w:r w:rsidR="00CA455B">
        <w:t xml:space="preserve">because </w:t>
      </w:r>
      <w:r w:rsidR="00267EE5">
        <w:t xml:space="preserve">the manner in which </w:t>
      </w:r>
      <w:r w:rsidR="00D756BC">
        <w:t xml:space="preserve">it calculates dividend growth </w:t>
      </w:r>
      <w:r w:rsidR="00267EE5">
        <w:t xml:space="preserve">does not adjust for changes in </w:t>
      </w:r>
      <w:r w:rsidR="00A91420">
        <w:t xml:space="preserve">a company’s </w:t>
      </w:r>
      <w:r w:rsidR="00267EE5">
        <w:t>dividend policy</w:t>
      </w:r>
      <w:r w:rsidR="00AF20C0">
        <w:t xml:space="preserve">. </w:t>
      </w:r>
      <w:r w:rsidR="00267EE5">
        <w:t xml:space="preserve"> The calculation is a simple weighting of the </w:t>
      </w:r>
      <w:r w:rsidR="00A91420">
        <w:t xml:space="preserve">actual </w:t>
      </w:r>
      <w:r w:rsidR="00267EE5">
        <w:t>historical growth</w:t>
      </w:r>
      <w:r w:rsidR="00E9577B">
        <w:t xml:space="preserve"> and </w:t>
      </w:r>
      <w:r w:rsidR="00D756BC">
        <w:t xml:space="preserve">expected future growth; it </w:t>
      </w:r>
      <w:r w:rsidR="00E9577B">
        <w:t>is not adjusted for any changes or trends in dividend policy</w:t>
      </w:r>
      <w:r w:rsidR="00267EE5">
        <w:t>.</w:t>
      </w:r>
      <w:r w:rsidR="00314832">
        <w:t xml:space="preserve"> </w:t>
      </w:r>
    </w:p>
    <w:p w:rsidR="00BA01CF" w:rsidRDefault="00BA01CF" w:rsidP="002114E9">
      <w:pPr>
        <w:tabs>
          <w:tab w:val="left" w:pos="720"/>
          <w:tab w:val="left" w:pos="1440"/>
          <w:tab w:val="left" w:pos="9240"/>
        </w:tabs>
        <w:spacing w:line="480" w:lineRule="auto"/>
        <w:ind w:left="720" w:hanging="720"/>
      </w:pPr>
    </w:p>
    <w:p w:rsidR="00BA01CF" w:rsidRDefault="00BA01CF" w:rsidP="002114E9">
      <w:pPr>
        <w:tabs>
          <w:tab w:val="left" w:pos="720"/>
          <w:tab w:val="left" w:pos="1440"/>
          <w:tab w:val="left" w:pos="9240"/>
        </w:tabs>
        <w:spacing w:line="480" w:lineRule="auto"/>
        <w:ind w:left="720" w:hanging="720"/>
        <w:rPr>
          <w:b/>
        </w:rPr>
      </w:pPr>
      <w:r>
        <w:rPr>
          <w:b/>
        </w:rPr>
        <w:t>Q.</w:t>
      </w:r>
      <w:r>
        <w:rPr>
          <w:b/>
        </w:rPr>
        <w:tab/>
        <w:t>What three companies in your proxy group recently changed dividend policy?</w:t>
      </w:r>
    </w:p>
    <w:p w:rsidR="00CF439E" w:rsidRDefault="00BA01CF" w:rsidP="002114E9">
      <w:pPr>
        <w:tabs>
          <w:tab w:val="left" w:pos="720"/>
          <w:tab w:val="left" w:pos="1440"/>
          <w:tab w:val="left" w:pos="9240"/>
        </w:tabs>
        <w:spacing w:line="480" w:lineRule="auto"/>
        <w:ind w:left="720" w:hanging="720"/>
      </w:pPr>
      <w:r>
        <w:t>A.</w:t>
      </w:r>
      <w:r>
        <w:tab/>
      </w:r>
      <w:r w:rsidR="00386016">
        <w:t>CMS is beginning to raise its divide</w:t>
      </w:r>
      <w:r w:rsidR="00787457">
        <w:t xml:space="preserve">nd after suspending it in 2004.  </w:t>
      </w:r>
      <w:r w:rsidR="00386016">
        <w:t xml:space="preserve"> </w:t>
      </w:r>
      <w:r w:rsidR="00C60A0F">
        <w:t>Avista</w:t>
      </w:r>
      <w:r w:rsidR="00D756BC">
        <w:t>,</w:t>
      </w:r>
      <w:r w:rsidR="00D756BC" w:rsidRPr="00D756BC">
        <w:t xml:space="preserve"> </w:t>
      </w:r>
      <w:r w:rsidR="00D756BC">
        <w:t>after cutting its dividend in late 1998,</w:t>
      </w:r>
      <w:r w:rsidR="00C60A0F">
        <w:t xml:space="preserve"> </w:t>
      </w:r>
      <w:r w:rsidR="00787457">
        <w:t xml:space="preserve">is </w:t>
      </w:r>
      <w:r w:rsidR="008C3512">
        <w:t>increas</w:t>
      </w:r>
      <w:r w:rsidR="00787457">
        <w:t>ing</w:t>
      </w:r>
      <w:r w:rsidR="008C3512">
        <w:t xml:space="preserve"> its</w:t>
      </w:r>
      <w:r w:rsidR="00386016">
        <w:t xml:space="preserve"> payout</w:t>
      </w:r>
      <w:r w:rsidR="008C3512">
        <w:t xml:space="preserve"> ratio to 60 percent</w:t>
      </w:r>
      <w:r w:rsidR="00787457">
        <w:t>.  F</w:t>
      </w:r>
      <w:r w:rsidR="00386016">
        <w:t>inally, Great Plains cut its dividend in 2009 and is just now beginning on a path to restore it</w:t>
      </w:r>
      <w:r w:rsidR="00D5702E">
        <w:t xml:space="preserve">s dividend </w:t>
      </w:r>
      <w:r w:rsidR="00386016">
        <w:t xml:space="preserve">back </w:t>
      </w:r>
      <w:r w:rsidR="006D2CD3">
        <w:t xml:space="preserve">to </w:t>
      </w:r>
      <w:r w:rsidR="00CF439E">
        <w:t xml:space="preserve">an industry </w:t>
      </w:r>
      <w:r w:rsidR="00386016">
        <w:t>norm.</w:t>
      </w:r>
    </w:p>
    <w:p w:rsidR="009B39C7" w:rsidRDefault="00CF439E" w:rsidP="00F54BBD">
      <w:pPr>
        <w:tabs>
          <w:tab w:val="left" w:pos="720"/>
          <w:tab w:val="left" w:pos="1440"/>
          <w:tab w:val="left" w:pos="9240"/>
        </w:tabs>
        <w:spacing w:line="480" w:lineRule="auto"/>
        <w:ind w:left="720" w:hanging="720"/>
      </w:pPr>
      <w:r>
        <w:tab/>
      </w:r>
      <w:r>
        <w:tab/>
      </w:r>
      <w:r w:rsidR="008C3512">
        <w:t>The</w:t>
      </w:r>
      <w:r w:rsidR="00787457">
        <w:t>refore, the</w:t>
      </w:r>
      <w:r w:rsidR="008C3512">
        <w:t xml:space="preserve"> </w:t>
      </w:r>
      <w:r w:rsidR="008C3512" w:rsidRPr="008C3512">
        <w:rPr>
          <w:i/>
        </w:rPr>
        <w:t>Value Line</w:t>
      </w:r>
      <w:r w:rsidR="008C3512">
        <w:t xml:space="preserve"> data</w:t>
      </w:r>
      <w:r w:rsidR="00553C85">
        <w:t xml:space="preserve"> for dividend growth</w:t>
      </w:r>
      <w:r w:rsidR="00267EE5">
        <w:t xml:space="preserve"> is influenced by the</w:t>
      </w:r>
      <w:r w:rsidR="008C3512">
        <w:t xml:space="preserve"> recent increases in payout ratio</w:t>
      </w:r>
      <w:r w:rsidR="00E9577B">
        <w:t xml:space="preserve"> of these three firms in the proxy group</w:t>
      </w:r>
      <w:r w:rsidR="008C3512">
        <w:t xml:space="preserve">.  </w:t>
      </w:r>
      <w:r w:rsidR="00484470">
        <w:t>Investor</w:t>
      </w:r>
      <w:r w:rsidR="005B124F">
        <w:t>s</w:t>
      </w:r>
      <w:r w:rsidR="00484470">
        <w:t xml:space="preserve"> do not </w:t>
      </w:r>
      <w:r w:rsidR="00E9577B">
        <w:t xml:space="preserve">and cannot </w:t>
      </w:r>
      <w:r w:rsidR="00484470">
        <w:t>expect sustained lo</w:t>
      </w:r>
      <w:r w:rsidR="005B124F">
        <w:t xml:space="preserve">ng-term </w:t>
      </w:r>
      <w:r w:rsidR="00F76AED">
        <w:t>dividend increases at</w:t>
      </w:r>
      <w:r w:rsidR="005B124F">
        <w:t xml:space="preserve"> these</w:t>
      </w:r>
      <w:r w:rsidR="00484470">
        <w:t xml:space="preserve"> </w:t>
      </w:r>
      <w:r w:rsidR="00F76AED">
        <w:t>rates</w:t>
      </w:r>
      <w:r w:rsidR="00484470">
        <w:t xml:space="preserve">.  They </w:t>
      </w:r>
      <w:r w:rsidR="005B124F">
        <w:t>w</w:t>
      </w:r>
      <w:r w:rsidR="00484470">
        <w:t xml:space="preserve">ill look to other factors in evaluating a sustained long-term growth rate for dividends. </w:t>
      </w:r>
      <w:r w:rsidR="003231E3">
        <w:t xml:space="preserve"> In particular, </w:t>
      </w:r>
      <w:r w:rsidR="00D756BC">
        <w:t xml:space="preserve">for these firms </w:t>
      </w:r>
      <w:r w:rsidR="00E9577B">
        <w:t>investors will look at</w:t>
      </w:r>
      <w:r w:rsidR="003231E3">
        <w:t xml:space="preserve"> the indicated g</w:t>
      </w:r>
      <w:r w:rsidR="00D756BC">
        <w:t xml:space="preserve">rowth </w:t>
      </w:r>
      <w:r w:rsidR="00D756BC">
        <w:lastRenderedPageBreak/>
        <w:t>rates from internal growth</w:t>
      </w:r>
      <w:r w:rsidR="003231E3">
        <w:t xml:space="preserve"> </w:t>
      </w:r>
      <w:r w:rsidR="00D756BC">
        <w:t>and</w:t>
      </w:r>
      <w:r w:rsidR="003231E3">
        <w:t xml:space="preserve"> ratchet down </w:t>
      </w:r>
      <w:r w:rsidR="00D756BC">
        <w:t xml:space="preserve">expectations for long-term dividend growth </w:t>
      </w:r>
      <w:r w:rsidR="003231E3">
        <w:t>as payout ratios return to more constant levels.</w:t>
      </w:r>
    </w:p>
    <w:p w:rsidR="002C6DFE" w:rsidRDefault="002C6DFE" w:rsidP="00F54BBD">
      <w:pPr>
        <w:tabs>
          <w:tab w:val="left" w:pos="720"/>
          <w:tab w:val="left" w:pos="1440"/>
          <w:tab w:val="left" w:pos="9240"/>
        </w:tabs>
        <w:spacing w:line="480" w:lineRule="auto"/>
        <w:ind w:left="720" w:hanging="720"/>
      </w:pPr>
    </w:p>
    <w:p w:rsidR="009B39C7" w:rsidRDefault="009B39C7" w:rsidP="00F54BBD">
      <w:pPr>
        <w:tabs>
          <w:tab w:val="left" w:pos="720"/>
          <w:tab w:val="left" w:pos="1440"/>
          <w:tab w:val="left" w:pos="9240"/>
        </w:tabs>
        <w:spacing w:line="480" w:lineRule="auto"/>
        <w:ind w:left="720" w:hanging="720"/>
        <w:rPr>
          <w:b/>
        </w:rPr>
      </w:pPr>
      <w:r>
        <w:rPr>
          <w:b/>
        </w:rPr>
        <w:t>Q.</w:t>
      </w:r>
      <w:r>
        <w:rPr>
          <w:b/>
        </w:rPr>
        <w:tab/>
      </w:r>
      <w:r w:rsidR="009464DC">
        <w:rPr>
          <w:b/>
        </w:rPr>
        <w:t xml:space="preserve">What does Value Line show as the expected growth </w:t>
      </w:r>
      <w:r w:rsidR="00B61722">
        <w:rPr>
          <w:b/>
        </w:rPr>
        <w:t xml:space="preserve">rate </w:t>
      </w:r>
      <w:r w:rsidR="00386016">
        <w:rPr>
          <w:b/>
        </w:rPr>
        <w:t>o</w:t>
      </w:r>
      <w:r w:rsidR="00CF439E">
        <w:rPr>
          <w:b/>
        </w:rPr>
        <w:t>f</w:t>
      </w:r>
      <w:r w:rsidR="00386016">
        <w:rPr>
          <w:b/>
        </w:rPr>
        <w:t xml:space="preserve"> </w:t>
      </w:r>
      <w:r w:rsidR="005F712D">
        <w:rPr>
          <w:b/>
        </w:rPr>
        <w:t>your</w:t>
      </w:r>
      <w:r w:rsidR="00386016">
        <w:rPr>
          <w:b/>
        </w:rPr>
        <w:t xml:space="preserve"> proxy group’s </w:t>
      </w:r>
      <w:r w:rsidR="009464DC">
        <w:rPr>
          <w:b/>
        </w:rPr>
        <w:t xml:space="preserve">earnings </w:t>
      </w:r>
      <w:r w:rsidR="00386016">
        <w:rPr>
          <w:b/>
        </w:rPr>
        <w:t>in t</w:t>
      </w:r>
      <w:r w:rsidR="00896651">
        <w:rPr>
          <w:b/>
        </w:rPr>
        <w:t>he 2011 to 2016 time frame</w:t>
      </w:r>
      <w:r>
        <w:rPr>
          <w:b/>
        </w:rPr>
        <w:t>?</w:t>
      </w:r>
    </w:p>
    <w:p w:rsidR="00FE573C" w:rsidRDefault="00801A98" w:rsidP="00801A98">
      <w:pPr>
        <w:tabs>
          <w:tab w:val="left" w:pos="720"/>
          <w:tab w:val="left" w:pos="1440"/>
          <w:tab w:val="left" w:pos="9240"/>
        </w:tabs>
        <w:spacing w:line="480" w:lineRule="auto"/>
        <w:ind w:left="720" w:hanging="720"/>
      </w:pPr>
      <w:r>
        <w:t>A.</w:t>
      </w:r>
      <w:r>
        <w:tab/>
      </w:r>
      <w:r w:rsidR="009B39C7" w:rsidRPr="00801A98">
        <w:rPr>
          <w:i/>
        </w:rPr>
        <w:t xml:space="preserve">Value Line </w:t>
      </w:r>
      <w:r w:rsidR="009B39C7" w:rsidRPr="00801A98">
        <w:t>shows</w:t>
      </w:r>
      <w:r w:rsidR="009B39C7">
        <w:t xml:space="preserve"> that </w:t>
      </w:r>
      <w:r w:rsidR="00386016">
        <w:t>the average rate of growth in earnings for this time series is 5.40 percent</w:t>
      </w:r>
      <w:r w:rsidR="009B39C7">
        <w:t xml:space="preserve">.  </w:t>
      </w:r>
      <w:r w:rsidR="00386016">
        <w:t xml:space="preserve">Again, these figures are exceptional in that </w:t>
      </w:r>
      <w:r w:rsidR="009B6B75">
        <w:t>the same firms listed above</w:t>
      </w:r>
      <w:r w:rsidR="00553C85">
        <w:t xml:space="preserve"> </w:t>
      </w:r>
      <w:r w:rsidR="00386016">
        <w:t xml:space="preserve">are beginning to restore earnings after </w:t>
      </w:r>
      <w:r w:rsidR="00C60A0F">
        <w:t xml:space="preserve">prior </w:t>
      </w:r>
      <w:r w:rsidR="00386016">
        <w:t xml:space="preserve">declines and it is not reasonable for investors to consider these as sustainable estimates of </w:t>
      </w:r>
      <w:r w:rsidR="00C60A0F">
        <w:t xml:space="preserve">earnings growth as an indication of </w:t>
      </w:r>
      <w:r w:rsidR="00386016">
        <w:t>long-term dividend growth.</w:t>
      </w:r>
      <w:r w:rsidR="009B39C7">
        <w:t xml:space="preserve">  </w:t>
      </w:r>
    </w:p>
    <w:p w:rsidR="00FE573C" w:rsidRDefault="00FE573C" w:rsidP="00801A98">
      <w:pPr>
        <w:tabs>
          <w:tab w:val="left" w:pos="720"/>
          <w:tab w:val="left" w:pos="1440"/>
          <w:tab w:val="left" w:pos="9240"/>
        </w:tabs>
        <w:spacing w:line="480" w:lineRule="auto"/>
        <w:ind w:left="720" w:hanging="720"/>
        <w:rPr>
          <w:b/>
        </w:rPr>
      </w:pPr>
    </w:p>
    <w:p w:rsidR="00BA7475" w:rsidRPr="00BA7475" w:rsidRDefault="00BA7475" w:rsidP="00801A98">
      <w:pPr>
        <w:tabs>
          <w:tab w:val="left" w:pos="720"/>
          <w:tab w:val="left" w:pos="1440"/>
          <w:tab w:val="left" w:pos="9240"/>
        </w:tabs>
        <w:spacing w:line="480" w:lineRule="auto"/>
        <w:ind w:left="720" w:hanging="720"/>
        <w:rPr>
          <w:b/>
        </w:rPr>
      </w:pPr>
      <w:r>
        <w:rPr>
          <w:b/>
        </w:rPr>
        <w:t>Q.</w:t>
      </w:r>
      <w:r>
        <w:rPr>
          <w:b/>
        </w:rPr>
        <w:tab/>
        <w:t>How did you use this raw industry wide data in your estimate of long-term dividend growth?</w:t>
      </w:r>
    </w:p>
    <w:p w:rsidR="009464DC" w:rsidRDefault="00BA7475" w:rsidP="00801A98">
      <w:pPr>
        <w:tabs>
          <w:tab w:val="left" w:pos="720"/>
          <w:tab w:val="left" w:pos="1440"/>
          <w:tab w:val="left" w:pos="9240"/>
        </w:tabs>
        <w:spacing w:line="480" w:lineRule="auto"/>
        <w:ind w:left="720" w:hanging="720"/>
      </w:pPr>
      <w:r>
        <w:t>A.</w:t>
      </w:r>
      <w:r>
        <w:tab/>
        <w:t>I evaluated the internal rate of return on book equity necessary to achieve a long-term growth rate of 4.50 to 5.00 percent</w:t>
      </w:r>
      <w:r w:rsidR="00AB4CB3">
        <w:t xml:space="preserve"> with a 40 percent retention ratio</w:t>
      </w:r>
      <w:r>
        <w:t xml:space="preserve">.  </w:t>
      </w:r>
      <w:r w:rsidR="00212857">
        <w:t xml:space="preserve">The data show that if </w:t>
      </w:r>
      <w:r w:rsidR="00150038">
        <w:t>a utility</w:t>
      </w:r>
      <w:r w:rsidR="00147506">
        <w:t xml:space="preserve"> </w:t>
      </w:r>
      <w:r w:rsidR="00AB4CB3">
        <w:t>earns</w:t>
      </w:r>
      <w:r w:rsidR="00801A98">
        <w:t xml:space="preserve"> </w:t>
      </w:r>
      <w:r w:rsidR="00AB4CB3">
        <w:t xml:space="preserve">of 11.25 percent </w:t>
      </w:r>
      <w:r w:rsidR="00801A98">
        <w:t xml:space="preserve">on </w:t>
      </w:r>
      <w:r w:rsidR="00147506">
        <w:t>book equity</w:t>
      </w:r>
      <w:r w:rsidR="005B124F">
        <w:t>,</w:t>
      </w:r>
      <w:r w:rsidR="00212857">
        <w:t xml:space="preserve"> </w:t>
      </w:r>
      <w:r w:rsidR="005B124F">
        <w:t>an</w:t>
      </w:r>
      <w:r w:rsidR="00212857">
        <w:t xml:space="preserve"> internal growth ra</w:t>
      </w:r>
      <w:r w:rsidR="00484470">
        <w:t xml:space="preserve">te of </w:t>
      </w:r>
      <w:r w:rsidR="00147506">
        <w:t>4.5</w:t>
      </w:r>
      <w:r w:rsidR="005B124F">
        <w:t xml:space="preserve"> </w:t>
      </w:r>
      <w:r w:rsidR="00736CD7">
        <w:t>percent</w:t>
      </w:r>
      <w:r w:rsidR="00484470">
        <w:t xml:space="preserve"> </w:t>
      </w:r>
      <w:r w:rsidR="00AB4CB3">
        <w:t>is achievable</w:t>
      </w:r>
      <w:r w:rsidR="00484470">
        <w:t>.</w:t>
      </w:r>
      <w:r w:rsidR="00F76AED">
        <w:rPr>
          <w:rStyle w:val="FootnoteReference"/>
        </w:rPr>
        <w:footnoteReference w:id="27"/>
      </w:r>
      <w:r w:rsidR="00F76AED">
        <w:t xml:space="preserve"> </w:t>
      </w:r>
      <w:r w:rsidR="00717F1F">
        <w:t xml:space="preserve"> </w:t>
      </w:r>
      <w:r w:rsidR="008C3512">
        <w:t>Similarly, to achieve a 5.0 percent growth rate</w:t>
      </w:r>
      <w:r w:rsidR="00AB4CB3">
        <w:t>,</w:t>
      </w:r>
      <w:r w:rsidR="008C3512">
        <w:t xml:space="preserve"> a return on book of 12.5 </w:t>
      </w:r>
      <w:r w:rsidR="00AB4CB3">
        <w:t>is necessary</w:t>
      </w:r>
      <w:r w:rsidR="008C3512">
        <w:t>.</w:t>
      </w:r>
    </w:p>
    <w:p w:rsidR="00FE573C" w:rsidRDefault="00FE573C" w:rsidP="00801A98">
      <w:pPr>
        <w:tabs>
          <w:tab w:val="left" w:pos="720"/>
          <w:tab w:val="left" w:pos="1440"/>
          <w:tab w:val="left" w:pos="9240"/>
        </w:tabs>
        <w:spacing w:line="480" w:lineRule="auto"/>
        <w:ind w:left="720" w:hanging="720"/>
      </w:pPr>
      <w:r>
        <w:tab/>
      </w:r>
      <w:r>
        <w:tab/>
        <w:t xml:space="preserve">These figures </w:t>
      </w:r>
      <w:r w:rsidR="00484470">
        <w:t>show</w:t>
      </w:r>
      <w:r w:rsidR="00717F1F">
        <w:t xml:space="preserve"> that</w:t>
      </w:r>
      <w:r>
        <w:t xml:space="preserve"> any </w:t>
      </w:r>
      <w:r w:rsidR="00150038">
        <w:t xml:space="preserve">long-term </w:t>
      </w:r>
      <w:r>
        <w:t xml:space="preserve">growth rate for </w:t>
      </w:r>
      <w:r w:rsidR="00553C85">
        <w:t>any</w:t>
      </w:r>
      <w:r w:rsidR="00150038">
        <w:t xml:space="preserve"> proxy group of companies</w:t>
      </w:r>
      <w:r>
        <w:t xml:space="preserve"> above 5 percent is </w:t>
      </w:r>
      <w:r w:rsidR="008A25D5">
        <w:t xml:space="preserve">a best </w:t>
      </w:r>
      <w:r w:rsidR="003231E3">
        <w:t xml:space="preserve">case </w:t>
      </w:r>
      <w:r w:rsidR="00B61722">
        <w:t>scenario</w:t>
      </w:r>
      <w:r w:rsidR="008A25D5">
        <w:t xml:space="preserve"> that</w:t>
      </w:r>
      <w:r>
        <w:t xml:space="preserve"> investors </w:t>
      </w:r>
      <w:r w:rsidR="008A25D5">
        <w:t xml:space="preserve">could reasonably </w:t>
      </w:r>
      <w:r>
        <w:t>expect</w:t>
      </w:r>
      <w:r w:rsidR="008A25D5">
        <w:t xml:space="preserve"> to </w:t>
      </w:r>
      <w:r w:rsidR="00147506">
        <w:t>realize</w:t>
      </w:r>
      <w:r w:rsidR="00116AC6">
        <w:t xml:space="preserve"> and strongly suggests a reasonable growth rate in the range of 4.0 to 4.5 percent.</w:t>
      </w:r>
    </w:p>
    <w:p w:rsidR="009464DC" w:rsidRDefault="009464DC" w:rsidP="00921CBB">
      <w:pPr>
        <w:tabs>
          <w:tab w:val="left" w:pos="720"/>
          <w:tab w:val="left" w:pos="1440"/>
          <w:tab w:val="left" w:pos="9240"/>
        </w:tabs>
        <w:spacing w:line="480" w:lineRule="auto"/>
        <w:ind w:left="720" w:hanging="720"/>
      </w:pPr>
    </w:p>
    <w:p w:rsidR="009464DC" w:rsidRPr="007C6D8B" w:rsidRDefault="007C6D8B" w:rsidP="00921CBB">
      <w:pPr>
        <w:tabs>
          <w:tab w:val="left" w:pos="720"/>
          <w:tab w:val="left" w:pos="1440"/>
          <w:tab w:val="left" w:pos="9240"/>
        </w:tabs>
        <w:spacing w:line="480" w:lineRule="auto"/>
        <w:ind w:left="720" w:hanging="720"/>
        <w:rPr>
          <w:b/>
        </w:rPr>
      </w:pPr>
      <w:r>
        <w:rPr>
          <w:b/>
        </w:rPr>
        <w:lastRenderedPageBreak/>
        <w:t>Q.</w:t>
      </w:r>
      <w:r>
        <w:rPr>
          <w:b/>
        </w:rPr>
        <w:tab/>
        <w:t xml:space="preserve">Please summarize the relevant data that investors would rely upon to determine a </w:t>
      </w:r>
      <w:r w:rsidR="00484470">
        <w:rPr>
          <w:b/>
        </w:rPr>
        <w:t>reasonable estimate of</w:t>
      </w:r>
      <w:r>
        <w:rPr>
          <w:b/>
        </w:rPr>
        <w:t xml:space="preserve"> long-term growth in dividends</w:t>
      </w:r>
      <w:r w:rsidR="00100F84">
        <w:rPr>
          <w:b/>
        </w:rPr>
        <w:t xml:space="preserve"> for the proxy group</w:t>
      </w:r>
      <w:r>
        <w:rPr>
          <w:b/>
        </w:rPr>
        <w:t>?</w:t>
      </w:r>
    </w:p>
    <w:p w:rsidR="003231E3" w:rsidRDefault="007C6D8B" w:rsidP="003231E3">
      <w:pPr>
        <w:tabs>
          <w:tab w:val="left" w:pos="720"/>
          <w:tab w:val="left" w:pos="1440"/>
          <w:tab w:val="left" w:pos="9240"/>
        </w:tabs>
        <w:spacing w:line="480" w:lineRule="auto"/>
        <w:ind w:left="720" w:hanging="720"/>
      </w:pPr>
      <w:r>
        <w:t>A.</w:t>
      </w:r>
      <w:r>
        <w:tab/>
      </w:r>
      <w:r w:rsidR="00484470">
        <w:t xml:space="preserve">First, the growth in book value indicates </w:t>
      </w:r>
      <w:r w:rsidR="0011613C">
        <w:t>a rate of 3.</w:t>
      </w:r>
      <w:r w:rsidR="00147506">
        <w:t>7</w:t>
      </w:r>
      <w:r w:rsidR="008A25D5">
        <w:t xml:space="preserve"> </w:t>
      </w:r>
      <w:r w:rsidR="00736CD7">
        <w:t>percent</w:t>
      </w:r>
      <w:r w:rsidR="008C3512">
        <w:t xml:space="preserve">, but it is reasonable for investors to consider </w:t>
      </w:r>
      <w:r w:rsidR="003231E3">
        <w:t xml:space="preserve">the impact of </w:t>
      </w:r>
      <w:r w:rsidR="008C3512">
        <w:t xml:space="preserve">future investments </w:t>
      </w:r>
      <w:r w:rsidR="003231E3">
        <w:t>utilities are expected to undertake</w:t>
      </w:r>
      <w:r w:rsidR="0011613C">
        <w:t>.  Next</w:t>
      </w:r>
      <w:r w:rsidR="00AB4CB3">
        <w:t>,</w:t>
      </w:r>
      <w:r w:rsidR="0011613C">
        <w:t xml:space="preserve"> the</w:t>
      </w:r>
      <w:r w:rsidR="00AB4CB3">
        <w:t xml:space="preserve"> data show a</w:t>
      </w:r>
      <w:r w:rsidR="0011613C">
        <w:t xml:space="preserve"> growth from retained earnings </w:t>
      </w:r>
      <w:r w:rsidR="00AB4CB3">
        <w:t>of</w:t>
      </w:r>
      <w:r w:rsidR="0011613C">
        <w:t xml:space="preserve"> approximately 4.5</w:t>
      </w:r>
      <w:r w:rsidR="008A25D5">
        <w:t xml:space="preserve"> </w:t>
      </w:r>
      <w:r w:rsidR="00736CD7">
        <w:t>percent</w:t>
      </w:r>
      <w:r w:rsidR="0011613C">
        <w:t xml:space="preserve">.  </w:t>
      </w:r>
      <w:r w:rsidR="00AB4CB3">
        <w:t xml:space="preserve">The data show </w:t>
      </w:r>
      <w:r w:rsidR="0011613C">
        <w:t xml:space="preserve">dividend </w:t>
      </w:r>
      <w:r w:rsidR="00F76AED">
        <w:t xml:space="preserve">and earnings </w:t>
      </w:r>
      <w:r w:rsidR="00AB4CB3">
        <w:t xml:space="preserve">increases are higher: </w:t>
      </w:r>
      <w:r w:rsidR="00B61722">
        <w:t xml:space="preserve"> </w:t>
      </w:r>
      <w:r w:rsidR="0011613C">
        <w:t>5.2</w:t>
      </w:r>
      <w:r w:rsidR="008A25D5">
        <w:t xml:space="preserve"> </w:t>
      </w:r>
      <w:r w:rsidR="0011613C">
        <w:t>and 5.4</w:t>
      </w:r>
      <w:r w:rsidR="008A25D5">
        <w:t xml:space="preserve"> </w:t>
      </w:r>
      <w:r w:rsidR="00736CD7">
        <w:t>percent</w:t>
      </w:r>
      <w:r w:rsidR="00717F1F">
        <w:t>,</w:t>
      </w:r>
      <w:r w:rsidR="00F76AED">
        <w:t xml:space="preserve"> respectively</w:t>
      </w:r>
      <w:r w:rsidR="0011613C">
        <w:t xml:space="preserve">.   However, as I explained, these </w:t>
      </w:r>
      <w:r w:rsidR="008A25D5">
        <w:t xml:space="preserve">last </w:t>
      </w:r>
      <w:r w:rsidR="0011613C">
        <w:t>two metrics should be viewed</w:t>
      </w:r>
      <w:r w:rsidR="0013119A">
        <w:t xml:space="preserve"> cautiously and discounted </w:t>
      </w:r>
      <w:r w:rsidR="0011613C">
        <w:t xml:space="preserve">in light of recent dividend policy changes and a turn-around in earnings power for </w:t>
      </w:r>
      <w:r w:rsidR="00F76AED">
        <w:t>three</w:t>
      </w:r>
      <w:r w:rsidR="0011613C">
        <w:t xml:space="preserve"> of the utilities in the proxy group.  </w:t>
      </w:r>
      <w:r w:rsidR="003231E3">
        <w:t>These growth rates in dividends and earnings should be tempered by the fact that payout ratios will stabilize in order for the firms to retain earnings for future growth.</w:t>
      </w:r>
    </w:p>
    <w:p w:rsidR="00AB4CB3" w:rsidRDefault="00AB4CB3" w:rsidP="003231E3">
      <w:pPr>
        <w:tabs>
          <w:tab w:val="left" w:pos="720"/>
          <w:tab w:val="left" w:pos="1440"/>
          <w:tab w:val="left" w:pos="9240"/>
        </w:tabs>
        <w:spacing w:line="480" w:lineRule="auto"/>
        <w:ind w:left="720" w:hanging="720"/>
      </w:pPr>
    </w:p>
    <w:p w:rsidR="00AB4CB3" w:rsidRPr="00AB4CB3" w:rsidRDefault="00AB4CB3" w:rsidP="003231E3">
      <w:pPr>
        <w:tabs>
          <w:tab w:val="left" w:pos="720"/>
          <w:tab w:val="left" w:pos="1440"/>
          <w:tab w:val="left" w:pos="9240"/>
        </w:tabs>
        <w:spacing w:line="480" w:lineRule="auto"/>
        <w:ind w:left="720" w:hanging="720"/>
        <w:rPr>
          <w:b/>
        </w:rPr>
      </w:pPr>
      <w:r>
        <w:rPr>
          <w:b/>
        </w:rPr>
        <w:t>Q.</w:t>
      </w:r>
      <w:r>
        <w:rPr>
          <w:b/>
        </w:rPr>
        <w:tab/>
        <w:t>What does your analysis indicate for the data?</w:t>
      </w:r>
    </w:p>
    <w:p w:rsidR="00921CBB" w:rsidRDefault="00AB4CB3" w:rsidP="00921CBB">
      <w:pPr>
        <w:tabs>
          <w:tab w:val="left" w:pos="720"/>
          <w:tab w:val="left" w:pos="1440"/>
          <w:tab w:val="left" w:pos="9240"/>
        </w:tabs>
        <w:spacing w:line="480" w:lineRule="auto"/>
        <w:ind w:left="720" w:hanging="720"/>
      </w:pPr>
      <w:r>
        <w:t>A.</w:t>
      </w:r>
      <w:r w:rsidR="0011613C">
        <w:tab/>
        <w:t>The simple average of the four metrics produces a figure of 4.</w:t>
      </w:r>
      <w:r w:rsidR="00147506">
        <w:t>7</w:t>
      </w:r>
      <w:r w:rsidR="008A25D5">
        <w:t xml:space="preserve"> </w:t>
      </w:r>
      <w:r w:rsidR="00736CD7">
        <w:t>percent</w:t>
      </w:r>
      <w:r w:rsidR="00B61722">
        <w:t xml:space="preserve"> dividend growth rate</w:t>
      </w:r>
      <w:r w:rsidR="0011613C">
        <w:t xml:space="preserve">.  </w:t>
      </w:r>
      <w:r w:rsidR="00C708F2">
        <w:t>Giving additional weight to the metric showing growth in retained earnings of 4.4</w:t>
      </w:r>
      <w:r w:rsidR="008A25D5">
        <w:t xml:space="preserve"> </w:t>
      </w:r>
      <w:r w:rsidR="00736CD7">
        <w:t>percent</w:t>
      </w:r>
      <w:r w:rsidR="00F76AED">
        <w:t xml:space="preserve"> and book value growth in the range of 4.0 to 4.5 percent</w:t>
      </w:r>
      <w:r w:rsidR="00C708F2">
        <w:t xml:space="preserve">, </w:t>
      </w:r>
      <w:r w:rsidR="00DA2DA4">
        <w:t>indicates</w:t>
      </w:r>
      <w:r w:rsidR="00C708F2">
        <w:t xml:space="preserve"> that 4.5</w:t>
      </w:r>
      <w:r w:rsidR="008A25D5">
        <w:t xml:space="preserve"> </w:t>
      </w:r>
      <w:r w:rsidR="00736CD7">
        <w:t>percent</w:t>
      </w:r>
      <w:r w:rsidR="00C708F2">
        <w:t xml:space="preserve"> is a </w:t>
      </w:r>
      <w:r w:rsidR="00147506">
        <w:t>reasonable</w:t>
      </w:r>
      <w:r w:rsidR="00C708F2">
        <w:t xml:space="preserve"> growth rate that investors could expect to achieve.  Under a best case scenario</w:t>
      </w:r>
      <w:r w:rsidR="00DA2DA4">
        <w:t>,</w:t>
      </w:r>
      <w:r w:rsidR="00C708F2">
        <w:t xml:space="preserve"> the indicated growth rate could be as high as 5.0</w:t>
      </w:r>
      <w:r w:rsidR="008A25D5">
        <w:t xml:space="preserve"> </w:t>
      </w:r>
      <w:r w:rsidR="00736CD7">
        <w:t>percent</w:t>
      </w:r>
      <w:r w:rsidR="00C708F2">
        <w:t xml:space="preserve"> based upon expected dividend and earnings growth figures.  </w:t>
      </w:r>
    </w:p>
    <w:p w:rsidR="00C708F2" w:rsidRDefault="00C708F2" w:rsidP="00921CBB">
      <w:pPr>
        <w:tabs>
          <w:tab w:val="left" w:pos="720"/>
          <w:tab w:val="left" w:pos="1440"/>
          <w:tab w:val="left" w:pos="9240"/>
        </w:tabs>
        <w:spacing w:line="480" w:lineRule="auto"/>
        <w:ind w:left="720" w:hanging="720"/>
      </w:pPr>
    </w:p>
    <w:p w:rsidR="009B39C7" w:rsidRDefault="00921CBB" w:rsidP="00921CBB">
      <w:pPr>
        <w:tabs>
          <w:tab w:val="left" w:pos="720"/>
          <w:tab w:val="left" w:pos="1440"/>
          <w:tab w:val="left" w:pos="9240"/>
        </w:tabs>
        <w:spacing w:line="480" w:lineRule="auto"/>
        <w:ind w:left="720" w:hanging="720"/>
        <w:rPr>
          <w:b/>
        </w:rPr>
      </w:pPr>
      <w:r>
        <w:rPr>
          <w:b/>
        </w:rPr>
        <w:t>Q.</w:t>
      </w:r>
      <w:r>
        <w:rPr>
          <w:b/>
        </w:rPr>
        <w:tab/>
      </w:r>
      <w:r w:rsidR="00DA2DA4">
        <w:rPr>
          <w:b/>
        </w:rPr>
        <w:t>Based on this data, w</w:t>
      </w:r>
      <w:r>
        <w:rPr>
          <w:b/>
        </w:rPr>
        <w:t xml:space="preserve">hat </w:t>
      </w:r>
      <w:r w:rsidR="00DA2DA4">
        <w:rPr>
          <w:b/>
        </w:rPr>
        <w:t xml:space="preserve">do you conclude is the </w:t>
      </w:r>
      <w:r w:rsidR="00A85310">
        <w:rPr>
          <w:b/>
        </w:rPr>
        <w:t>expected long-term</w:t>
      </w:r>
      <w:r>
        <w:rPr>
          <w:b/>
        </w:rPr>
        <w:t xml:space="preserve"> growt</w:t>
      </w:r>
      <w:r w:rsidR="00A85310">
        <w:rPr>
          <w:b/>
        </w:rPr>
        <w:t>h in dividends per share for</w:t>
      </w:r>
      <w:r w:rsidR="008C3512">
        <w:rPr>
          <w:b/>
        </w:rPr>
        <w:t xml:space="preserve"> the proxy group</w:t>
      </w:r>
      <w:r w:rsidR="00A85310">
        <w:rPr>
          <w:b/>
        </w:rPr>
        <w:t>?</w:t>
      </w:r>
    </w:p>
    <w:p w:rsidR="00147506" w:rsidRDefault="00A85310" w:rsidP="00A46F7F">
      <w:pPr>
        <w:tabs>
          <w:tab w:val="left" w:pos="720"/>
          <w:tab w:val="left" w:pos="1440"/>
          <w:tab w:val="left" w:pos="9240"/>
        </w:tabs>
        <w:spacing w:line="480" w:lineRule="auto"/>
        <w:ind w:left="720" w:hanging="720"/>
        <w:rPr>
          <w:b/>
        </w:rPr>
      </w:pPr>
      <w:r>
        <w:lastRenderedPageBreak/>
        <w:t>A.</w:t>
      </w:r>
      <w:r>
        <w:tab/>
      </w:r>
      <w:r w:rsidR="00C708F2">
        <w:t xml:space="preserve">I conclude that investors would </w:t>
      </w:r>
      <w:r w:rsidR="00B61722">
        <w:t xml:space="preserve">most likely </w:t>
      </w:r>
      <w:r w:rsidR="00C708F2">
        <w:t xml:space="preserve">expect </w:t>
      </w:r>
      <w:r w:rsidR="00B61722">
        <w:t xml:space="preserve">4.50 percent as </w:t>
      </w:r>
      <w:r w:rsidR="00C708F2">
        <w:t>a reasonable long-term dividend</w:t>
      </w:r>
      <w:r w:rsidR="00893076">
        <w:t xml:space="preserve"> growth rate </w:t>
      </w:r>
      <w:r w:rsidR="00881333">
        <w:t xml:space="preserve">and </w:t>
      </w:r>
      <w:r w:rsidR="00B61722">
        <w:t xml:space="preserve">5.00 percent as </w:t>
      </w:r>
      <w:r w:rsidR="00881333">
        <w:t>a best case scenario</w:t>
      </w:r>
      <w:r w:rsidR="00B61722">
        <w:t>.</w:t>
      </w:r>
    </w:p>
    <w:p w:rsidR="005F712D" w:rsidRDefault="005F712D" w:rsidP="00A46F7F">
      <w:pPr>
        <w:tabs>
          <w:tab w:val="left" w:pos="720"/>
          <w:tab w:val="left" w:pos="1440"/>
          <w:tab w:val="left" w:pos="9240"/>
        </w:tabs>
        <w:spacing w:line="480" w:lineRule="auto"/>
        <w:ind w:left="720" w:hanging="720"/>
        <w:rPr>
          <w:b/>
        </w:rPr>
      </w:pPr>
    </w:p>
    <w:p w:rsidR="00A46F7F" w:rsidRDefault="00A46F7F" w:rsidP="00A46F7F">
      <w:pPr>
        <w:tabs>
          <w:tab w:val="left" w:pos="720"/>
          <w:tab w:val="left" w:pos="1440"/>
          <w:tab w:val="left" w:pos="9240"/>
        </w:tabs>
        <w:spacing w:line="480" w:lineRule="auto"/>
        <w:ind w:left="720" w:hanging="720"/>
        <w:rPr>
          <w:b/>
        </w:rPr>
      </w:pPr>
      <w:r>
        <w:rPr>
          <w:b/>
        </w:rPr>
        <w:t>Q.</w:t>
      </w:r>
      <w:r>
        <w:rPr>
          <w:b/>
        </w:rPr>
        <w:tab/>
      </w:r>
      <w:r w:rsidR="007C6D8B">
        <w:rPr>
          <w:b/>
        </w:rPr>
        <w:t>Based upon these factors</w:t>
      </w:r>
      <w:r w:rsidR="00DA2DA4">
        <w:rPr>
          <w:b/>
        </w:rPr>
        <w:t>,</w:t>
      </w:r>
      <w:r w:rsidR="007C6D8B">
        <w:rPr>
          <w:b/>
        </w:rPr>
        <w:t xml:space="preserve"> w</w:t>
      </w:r>
      <w:r>
        <w:rPr>
          <w:b/>
        </w:rPr>
        <w:t xml:space="preserve">hat is </w:t>
      </w:r>
      <w:r w:rsidR="00C60A0F">
        <w:rPr>
          <w:b/>
        </w:rPr>
        <w:t xml:space="preserve">your estimate of </w:t>
      </w:r>
      <w:r>
        <w:rPr>
          <w:b/>
        </w:rPr>
        <w:t xml:space="preserve">the </w:t>
      </w:r>
      <w:r w:rsidR="007C6D8B">
        <w:rPr>
          <w:b/>
        </w:rPr>
        <w:t>ROE</w:t>
      </w:r>
      <w:r>
        <w:rPr>
          <w:b/>
        </w:rPr>
        <w:t xml:space="preserve"> for investors in </w:t>
      </w:r>
      <w:r w:rsidR="00D25732">
        <w:rPr>
          <w:b/>
        </w:rPr>
        <w:t>PSE</w:t>
      </w:r>
      <w:r>
        <w:rPr>
          <w:b/>
        </w:rPr>
        <w:t>?</w:t>
      </w:r>
    </w:p>
    <w:p w:rsidR="00A46F7F" w:rsidRDefault="00A46F7F" w:rsidP="00A46F7F">
      <w:pPr>
        <w:tabs>
          <w:tab w:val="left" w:pos="720"/>
          <w:tab w:val="left" w:pos="1440"/>
          <w:tab w:val="left" w:pos="9240"/>
        </w:tabs>
        <w:spacing w:line="480" w:lineRule="auto"/>
        <w:ind w:left="720" w:hanging="720"/>
      </w:pPr>
      <w:r>
        <w:t>A.</w:t>
      </w:r>
      <w:r>
        <w:tab/>
      </w:r>
      <w:r w:rsidR="00D64FE1">
        <w:t>The divid</w:t>
      </w:r>
      <w:r w:rsidR="00101F0D">
        <w:t xml:space="preserve">end yield is in the range of </w:t>
      </w:r>
      <w:r w:rsidR="00C708F2">
        <w:t>4.</w:t>
      </w:r>
      <w:r w:rsidR="00D756BC">
        <w:t>2</w:t>
      </w:r>
      <w:r w:rsidR="00C708F2">
        <w:t>5 to 4.5</w:t>
      </w:r>
      <w:r w:rsidR="00D756BC">
        <w:t>0</w:t>
      </w:r>
      <w:r w:rsidR="00C708F2">
        <w:t xml:space="preserve"> </w:t>
      </w:r>
      <w:r w:rsidR="00D64FE1">
        <w:t xml:space="preserve">percent.  The </w:t>
      </w:r>
      <w:r w:rsidR="00A43061">
        <w:t xml:space="preserve">expected </w:t>
      </w:r>
      <w:r w:rsidR="00D64FE1">
        <w:t xml:space="preserve">growth rate </w:t>
      </w:r>
      <w:r w:rsidR="00A43061">
        <w:t xml:space="preserve">in dividends </w:t>
      </w:r>
      <w:r w:rsidR="00DA2DA4">
        <w:t>i</w:t>
      </w:r>
      <w:r w:rsidR="00D64FE1">
        <w:t xml:space="preserve">s between </w:t>
      </w:r>
      <w:r w:rsidR="00893076">
        <w:t>4.50</w:t>
      </w:r>
      <w:r w:rsidR="00D64FE1">
        <w:t xml:space="preserve"> </w:t>
      </w:r>
      <w:r w:rsidR="00C708F2">
        <w:t>and</w:t>
      </w:r>
      <w:r w:rsidR="00D64FE1">
        <w:t xml:space="preserve"> </w:t>
      </w:r>
      <w:r w:rsidR="00893076">
        <w:t>5.00</w:t>
      </w:r>
      <w:r w:rsidR="00D64FE1">
        <w:t xml:space="preserve"> percent.  Therefore, I conclude that a reasonable range </w:t>
      </w:r>
      <w:r w:rsidR="00B61722">
        <w:t>for</w:t>
      </w:r>
      <w:r w:rsidR="00D64FE1">
        <w:t xml:space="preserve"> the cost of equity is between </w:t>
      </w:r>
      <w:r w:rsidR="00C708F2">
        <w:t>9.00</w:t>
      </w:r>
      <w:r w:rsidR="00A43061">
        <w:t xml:space="preserve"> and 9.</w:t>
      </w:r>
      <w:r w:rsidR="00D64FE1">
        <w:t>5</w:t>
      </w:r>
      <w:r w:rsidR="00D756BC">
        <w:t>0</w:t>
      </w:r>
      <w:r w:rsidR="00D64FE1">
        <w:t xml:space="preserve"> percent.</w:t>
      </w:r>
      <w:r w:rsidR="00893076">
        <w:t xml:space="preserve">  </w:t>
      </w:r>
    </w:p>
    <w:p w:rsidR="00B61722" w:rsidRDefault="00B61722" w:rsidP="00A46F7F">
      <w:pPr>
        <w:tabs>
          <w:tab w:val="left" w:pos="720"/>
          <w:tab w:val="left" w:pos="1440"/>
          <w:tab w:val="left" w:pos="9240"/>
        </w:tabs>
        <w:spacing w:line="480" w:lineRule="auto"/>
        <w:ind w:left="720" w:hanging="720"/>
      </w:pPr>
    </w:p>
    <w:p w:rsidR="00B61722" w:rsidRDefault="00B61722" w:rsidP="00B61722">
      <w:pPr>
        <w:tabs>
          <w:tab w:val="left" w:pos="720"/>
          <w:tab w:val="left" w:pos="1440"/>
          <w:tab w:val="left" w:pos="9240"/>
        </w:tabs>
        <w:spacing w:line="480" w:lineRule="auto"/>
        <w:ind w:left="720" w:hanging="720"/>
        <w:rPr>
          <w:b/>
        </w:rPr>
      </w:pPr>
      <w:r>
        <w:rPr>
          <w:b/>
        </w:rPr>
        <w:t>Q.</w:t>
      </w:r>
      <w:r>
        <w:rPr>
          <w:b/>
        </w:rPr>
        <w:tab/>
        <w:t>Based upon your DCF analysis, what is your recommended ROE for PSE?</w:t>
      </w:r>
    </w:p>
    <w:p w:rsidR="00B61722" w:rsidRDefault="00B61722" w:rsidP="00B61722">
      <w:pPr>
        <w:tabs>
          <w:tab w:val="left" w:pos="720"/>
          <w:tab w:val="left" w:pos="1440"/>
          <w:tab w:val="left" w:pos="9240"/>
        </w:tabs>
        <w:spacing w:line="480" w:lineRule="auto"/>
        <w:ind w:left="720" w:hanging="720"/>
      </w:pPr>
      <w:r>
        <w:t>A.</w:t>
      </w:r>
      <w:r>
        <w:tab/>
        <w:t xml:space="preserve">I conclude that a fair and conservative estimate of the Company’s ROE is no more than 9.50 percent.  </w:t>
      </w:r>
    </w:p>
    <w:p w:rsidR="00B51671" w:rsidRDefault="00B51671" w:rsidP="00B61722">
      <w:pPr>
        <w:tabs>
          <w:tab w:val="left" w:pos="720"/>
          <w:tab w:val="left" w:pos="1440"/>
          <w:tab w:val="left" w:pos="9240"/>
        </w:tabs>
        <w:spacing w:line="480" w:lineRule="auto"/>
        <w:ind w:left="720" w:hanging="720"/>
      </w:pPr>
    </w:p>
    <w:p w:rsidR="00B62CDB" w:rsidRDefault="00B62CDB" w:rsidP="00B62CDB">
      <w:pPr>
        <w:keepNext/>
        <w:tabs>
          <w:tab w:val="left" w:pos="720"/>
          <w:tab w:val="left" w:pos="1440"/>
          <w:tab w:val="left" w:pos="9240"/>
        </w:tabs>
        <w:spacing w:line="480" w:lineRule="auto"/>
        <w:ind w:left="720" w:hanging="720"/>
        <w:rPr>
          <w:b/>
        </w:rPr>
      </w:pPr>
      <w:r>
        <w:rPr>
          <w:b/>
        </w:rPr>
        <w:t>Q.</w:t>
      </w:r>
      <w:r>
        <w:rPr>
          <w:b/>
        </w:rPr>
        <w:tab/>
        <w:t>Do you have any other comments with respect to your DCF analys</w:t>
      </w:r>
      <w:r w:rsidR="00814A59">
        <w:rPr>
          <w:b/>
        </w:rPr>
        <w:t>i</w:t>
      </w:r>
      <w:r>
        <w:rPr>
          <w:b/>
        </w:rPr>
        <w:t>s for the proxy group?</w:t>
      </w:r>
    </w:p>
    <w:p w:rsidR="00B62CDB" w:rsidRDefault="00B62CDB" w:rsidP="00B62CDB">
      <w:pPr>
        <w:tabs>
          <w:tab w:val="left" w:pos="720"/>
          <w:tab w:val="left" w:pos="1440"/>
          <w:tab w:val="left" w:pos="9240"/>
        </w:tabs>
        <w:spacing w:line="480" w:lineRule="auto"/>
        <w:ind w:left="720" w:hanging="720"/>
      </w:pPr>
      <w:r>
        <w:t>A.</w:t>
      </w:r>
      <w:r>
        <w:tab/>
        <w:t>Yes.  In an effort to consider the proxy group analysis in the context</w:t>
      </w:r>
      <w:r w:rsidR="002E2F66">
        <w:t xml:space="preserve"> of the entire universe of electric companies followed by </w:t>
      </w:r>
      <w:r w:rsidR="002E2F66" w:rsidRPr="002E2F66">
        <w:rPr>
          <w:i/>
        </w:rPr>
        <w:t>Value Line</w:t>
      </w:r>
      <w:r w:rsidR="002E2F66">
        <w:t xml:space="preserve">, I evaluated summary information </w:t>
      </w:r>
      <w:r w:rsidR="005F712D" w:rsidRPr="002E2F66">
        <w:rPr>
          <w:i/>
        </w:rPr>
        <w:t>Value Line</w:t>
      </w:r>
      <w:r w:rsidR="005F712D" w:rsidDel="005F712D">
        <w:t xml:space="preserve"> </w:t>
      </w:r>
      <w:r w:rsidR="002E2F66">
        <w:t xml:space="preserve">regularly prepares for investors.  </w:t>
      </w:r>
      <w:r w:rsidR="00DA2DA4">
        <w:rPr>
          <w:i/>
        </w:rPr>
        <w:t>V</w:t>
      </w:r>
      <w:r w:rsidR="002E2F66" w:rsidRPr="00CF01FE">
        <w:rPr>
          <w:i/>
        </w:rPr>
        <w:t>alue Line</w:t>
      </w:r>
      <w:r w:rsidR="002E2F66">
        <w:t xml:space="preserve"> states</w:t>
      </w:r>
      <w:r w:rsidR="00DA2DA4">
        <w:t xml:space="preserve"> that </w:t>
      </w:r>
      <w:r w:rsidR="002E2F66">
        <w:t xml:space="preserve">the </w:t>
      </w:r>
      <w:r w:rsidR="00DA2DA4">
        <w:t xml:space="preserve">“industry average” </w:t>
      </w:r>
      <w:r w:rsidR="002E2F66">
        <w:t>dividend yield for 2009 was 4.8</w:t>
      </w:r>
      <w:r w:rsidR="008A25D5">
        <w:t xml:space="preserve"> </w:t>
      </w:r>
      <w:r w:rsidR="00736CD7">
        <w:t>percent</w:t>
      </w:r>
      <w:r w:rsidR="009C702F">
        <w:t xml:space="preserve"> and </w:t>
      </w:r>
      <w:r w:rsidR="002E2F66">
        <w:t xml:space="preserve">the </w:t>
      </w:r>
      <w:r w:rsidR="009C702F">
        <w:t>current dividend yield is 4.5</w:t>
      </w:r>
      <w:r w:rsidR="008A25D5">
        <w:t xml:space="preserve"> </w:t>
      </w:r>
      <w:r w:rsidR="00736CD7">
        <w:t>percent</w:t>
      </w:r>
      <w:r w:rsidR="009C702F">
        <w:t xml:space="preserve">.  It </w:t>
      </w:r>
      <w:r w:rsidR="002E2F66">
        <w:t xml:space="preserve">anticipates a reduction in the yield </w:t>
      </w:r>
      <w:r w:rsidR="00DA2DA4">
        <w:t xml:space="preserve">to 4.3 percent </w:t>
      </w:r>
      <w:r w:rsidR="002E2F66">
        <w:t>in 2014-2016</w:t>
      </w:r>
      <w:r w:rsidR="00DA2DA4">
        <w:t>.</w:t>
      </w:r>
      <w:r w:rsidR="002E2F66">
        <w:t xml:space="preserve">  </w:t>
      </w:r>
    </w:p>
    <w:p w:rsidR="002E2F66" w:rsidRDefault="002E2F66" w:rsidP="00B62CDB">
      <w:pPr>
        <w:tabs>
          <w:tab w:val="left" w:pos="720"/>
          <w:tab w:val="left" w:pos="1440"/>
          <w:tab w:val="left" w:pos="9240"/>
        </w:tabs>
        <w:spacing w:line="480" w:lineRule="auto"/>
        <w:ind w:left="720" w:hanging="720"/>
      </w:pPr>
      <w:r>
        <w:tab/>
      </w:r>
      <w:r>
        <w:tab/>
        <w:t xml:space="preserve">The composite data also </w:t>
      </w:r>
      <w:r w:rsidR="00040243">
        <w:t xml:space="preserve">informs </w:t>
      </w:r>
      <w:r>
        <w:t xml:space="preserve">investors </w:t>
      </w:r>
      <w:r w:rsidR="00040243">
        <w:t>of th</w:t>
      </w:r>
      <w:r>
        <w:t xml:space="preserve">e overall ability of the industry to realize growth from retained earnings.  It shows </w:t>
      </w:r>
      <w:r w:rsidR="00DA2DA4">
        <w:t xml:space="preserve">a </w:t>
      </w:r>
      <w:r>
        <w:t xml:space="preserve">retention rate </w:t>
      </w:r>
      <w:r w:rsidR="00DA2DA4">
        <w:t xml:space="preserve">of </w:t>
      </w:r>
      <w:r>
        <w:t>42</w:t>
      </w:r>
      <w:r w:rsidR="008A25D5">
        <w:t xml:space="preserve"> </w:t>
      </w:r>
      <w:r w:rsidR="00736CD7">
        <w:lastRenderedPageBreak/>
        <w:t>percent</w:t>
      </w:r>
      <w:r>
        <w:t xml:space="preserve"> and </w:t>
      </w:r>
      <w:r w:rsidR="00DA2DA4">
        <w:t xml:space="preserve">an </w:t>
      </w:r>
      <w:r>
        <w:t>expected earned return on equity of 10.5</w:t>
      </w:r>
      <w:r w:rsidR="008A25D5">
        <w:t xml:space="preserve"> </w:t>
      </w:r>
      <w:r w:rsidR="00736CD7">
        <w:t>percent</w:t>
      </w:r>
      <w:r>
        <w:t>, which produces an expected growth rate in retained earnings of 4.40</w:t>
      </w:r>
      <w:r w:rsidR="008A25D5">
        <w:t xml:space="preserve"> </w:t>
      </w:r>
      <w:r w:rsidR="00736CD7">
        <w:t>percent</w:t>
      </w:r>
      <w:r>
        <w:t>.</w:t>
      </w:r>
      <w:r w:rsidR="008A25D5">
        <w:t xml:space="preserve">  </w:t>
      </w:r>
    </w:p>
    <w:p w:rsidR="002E2F66" w:rsidRDefault="002E2F66" w:rsidP="00B62CDB">
      <w:pPr>
        <w:tabs>
          <w:tab w:val="left" w:pos="720"/>
          <w:tab w:val="left" w:pos="1440"/>
          <w:tab w:val="left" w:pos="9240"/>
        </w:tabs>
        <w:spacing w:line="480" w:lineRule="auto"/>
        <w:ind w:left="720" w:hanging="720"/>
      </w:pPr>
      <w:r>
        <w:tab/>
      </w:r>
      <w:r>
        <w:tab/>
        <w:t xml:space="preserve">The data show aggregate revenues growing at the rate of </w:t>
      </w:r>
      <w:r w:rsidR="003D20B1">
        <w:t>3.8</w:t>
      </w:r>
      <w:r w:rsidR="008A25D5">
        <w:t xml:space="preserve"> </w:t>
      </w:r>
      <w:r w:rsidR="00736CD7">
        <w:t>percent</w:t>
      </w:r>
      <w:r w:rsidR="003D20B1">
        <w:t xml:space="preserve"> to 5.0 </w:t>
      </w:r>
      <w:r w:rsidR="00736CD7">
        <w:t>percent</w:t>
      </w:r>
      <w:r w:rsidR="003D20B1">
        <w:t xml:space="preserve"> and net profit growing at a rate between 4.2</w:t>
      </w:r>
      <w:r w:rsidR="008A25D5">
        <w:t xml:space="preserve"> </w:t>
      </w:r>
      <w:r w:rsidR="00736CD7">
        <w:t>percent</w:t>
      </w:r>
      <w:r w:rsidR="003D20B1">
        <w:t xml:space="preserve"> and 5.5</w:t>
      </w:r>
      <w:r w:rsidR="008A25D5">
        <w:t xml:space="preserve"> </w:t>
      </w:r>
      <w:r w:rsidR="00736CD7">
        <w:t>percent</w:t>
      </w:r>
      <w:r w:rsidR="003D20B1">
        <w:t>.</w:t>
      </w:r>
      <w:r>
        <w:t xml:space="preserve">  </w:t>
      </w:r>
    </w:p>
    <w:p w:rsidR="00AB4CB3" w:rsidRDefault="003D20B1" w:rsidP="00AB4CB3">
      <w:pPr>
        <w:tabs>
          <w:tab w:val="left" w:pos="720"/>
          <w:tab w:val="left" w:pos="1440"/>
          <w:tab w:val="left" w:pos="9240"/>
        </w:tabs>
        <w:spacing w:line="480" w:lineRule="auto"/>
        <w:ind w:left="720" w:hanging="720"/>
        <w:rPr>
          <w:b/>
        </w:rPr>
      </w:pPr>
      <w:r>
        <w:tab/>
      </w:r>
      <w:r>
        <w:tab/>
        <w:t xml:space="preserve">In conclusion, the composite data </w:t>
      </w:r>
      <w:r w:rsidR="00040243">
        <w:t>support</w:t>
      </w:r>
      <w:r>
        <w:t xml:space="preserve"> </w:t>
      </w:r>
      <w:r w:rsidR="008A25D5">
        <w:t xml:space="preserve">both the reasonableness of my dividend yield </w:t>
      </w:r>
      <w:r w:rsidR="00040243">
        <w:t xml:space="preserve">estimate </w:t>
      </w:r>
      <w:r w:rsidR="008A25D5">
        <w:t xml:space="preserve">for </w:t>
      </w:r>
      <w:r w:rsidR="005F712D">
        <w:t>my</w:t>
      </w:r>
      <w:r w:rsidR="008A25D5">
        <w:t xml:space="preserve"> proxy group and the reasonableness of the estimated growth in dividends.  This aggregate data suggest a</w:t>
      </w:r>
      <w:r>
        <w:t xml:space="preserve"> ROE for the industry </w:t>
      </w:r>
      <w:r w:rsidR="00D756BC">
        <w:t>in the range of 9.00 to 9.</w:t>
      </w:r>
      <w:r w:rsidR="008A25D5">
        <w:t>5</w:t>
      </w:r>
      <w:r w:rsidR="00D756BC">
        <w:t>0</w:t>
      </w:r>
      <w:r w:rsidR="008A25D5">
        <w:t xml:space="preserve"> percent</w:t>
      </w:r>
      <w:r w:rsidR="00814A59">
        <w:t xml:space="preserve">, </w:t>
      </w:r>
      <w:r>
        <w:t xml:space="preserve">consistent with my </w:t>
      </w:r>
      <w:r w:rsidR="00881333">
        <w:t>DCF analysis</w:t>
      </w:r>
      <w:r>
        <w:t xml:space="preserve"> for the proxy group</w:t>
      </w:r>
      <w:r w:rsidR="00B61722">
        <w:t xml:space="preserve"> and my ROE recommendation of 9.50 percent for PSE</w:t>
      </w:r>
      <w:r>
        <w:t>.</w:t>
      </w:r>
    </w:p>
    <w:p w:rsidR="00CF01FE" w:rsidRDefault="00CF01FE" w:rsidP="00F30AA5">
      <w:pPr>
        <w:spacing w:line="480" w:lineRule="auto"/>
        <w:rPr>
          <w:b/>
        </w:rPr>
      </w:pPr>
    </w:p>
    <w:p w:rsidR="005D3B74" w:rsidRDefault="005D3B74" w:rsidP="004510AD">
      <w:pPr>
        <w:spacing w:line="480" w:lineRule="auto"/>
        <w:ind w:left="720"/>
        <w:rPr>
          <w:b/>
        </w:rPr>
      </w:pPr>
      <w:r>
        <w:rPr>
          <w:b/>
        </w:rPr>
        <w:t>3.</w:t>
      </w:r>
      <w:r>
        <w:rPr>
          <w:b/>
        </w:rPr>
        <w:tab/>
      </w:r>
      <w:r w:rsidRPr="00DE055E">
        <w:rPr>
          <w:b/>
        </w:rPr>
        <w:t>C</w:t>
      </w:r>
      <w:r>
        <w:rPr>
          <w:b/>
        </w:rPr>
        <w:t>apital Asset Pricing Model Analysis</w:t>
      </w:r>
    </w:p>
    <w:p w:rsidR="005D3B74" w:rsidRDefault="005D3B74" w:rsidP="005D3B74">
      <w:pPr>
        <w:tabs>
          <w:tab w:val="left" w:pos="720"/>
          <w:tab w:val="left" w:pos="1440"/>
          <w:tab w:val="left" w:pos="9240"/>
        </w:tabs>
        <w:spacing w:line="480" w:lineRule="auto"/>
        <w:rPr>
          <w:b/>
          <w:u w:val="single"/>
        </w:rPr>
      </w:pPr>
    </w:p>
    <w:p w:rsidR="005D3B74" w:rsidRDefault="005D3B74" w:rsidP="005D3B74">
      <w:pPr>
        <w:tabs>
          <w:tab w:val="left" w:pos="720"/>
          <w:tab w:val="left" w:pos="1440"/>
          <w:tab w:val="left" w:pos="9240"/>
        </w:tabs>
        <w:spacing w:line="480" w:lineRule="auto"/>
        <w:ind w:left="720" w:hanging="720"/>
      </w:pPr>
      <w:r>
        <w:rPr>
          <w:b/>
        </w:rPr>
        <w:t>Q.</w:t>
      </w:r>
      <w:r>
        <w:rPr>
          <w:b/>
        </w:rPr>
        <w:tab/>
        <w:t>Please generally describe the Capital Asset Pricing Model (CAPM) and its underlying theory.</w:t>
      </w:r>
      <w:r>
        <w:t xml:space="preserve">   </w:t>
      </w:r>
    </w:p>
    <w:p w:rsidR="005D3B74" w:rsidRDefault="005D3B74" w:rsidP="005D3B74">
      <w:pPr>
        <w:tabs>
          <w:tab w:val="left" w:pos="720"/>
          <w:tab w:val="left" w:pos="1440"/>
          <w:tab w:val="left" w:pos="9240"/>
        </w:tabs>
        <w:spacing w:line="480" w:lineRule="auto"/>
        <w:ind w:left="720" w:hanging="720"/>
      </w:pPr>
      <w:r>
        <w:t>A.</w:t>
      </w:r>
      <w:r>
        <w:tab/>
        <w:t xml:space="preserve">CAPM was developed in the 1960s and 1970s as an extension of modern portfolio theory, which studies the relationships between risk, diversification, and expected returns.  The essence of modern portfolio theory is to measure risk by volatility, or “variance”, to use a term more commonly associated with statistics. </w:t>
      </w:r>
      <w:r>
        <w:tab/>
      </w:r>
    </w:p>
    <w:p w:rsidR="005D3B74" w:rsidRPr="002F4420" w:rsidRDefault="005D3B74" w:rsidP="005D3B74">
      <w:pPr>
        <w:tabs>
          <w:tab w:val="left" w:pos="720"/>
          <w:tab w:val="left" w:pos="1440"/>
          <w:tab w:val="left" w:pos="9240"/>
        </w:tabs>
        <w:spacing w:line="480" w:lineRule="auto"/>
        <w:ind w:left="720" w:hanging="720"/>
      </w:pPr>
      <w:r>
        <w:tab/>
      </w:r>
      <w:r>
        <w:tab/>
        <w:t xml:space="preserve">CAPM also embraces the concept of diversification:  investors should only be compensated for those risks that cannot be diversified through a portfolio effect.  </w:t>
      </w:r>
      <w:r w:rsidR="002F4420">
        <w:t xml:space="preserve">Put another way, investors should only be compensated for non-diversifiable risks.  </w:t>
      </w:r>
      <w:r w:rsidR="002F4420" w:rsidRPr="002F4420">
        <w:rPr>
          <w:i/>
        </w:rPr>
        <w:t>Beta</w:t>
      </w:r>
      <w:r w:rsidR="002F4420">
        <w:rPr>
          <w:i/>
        </w:rPr>
        <w:t xml:space="preserve"> </w:t>
      </w:r>
      <w:r w:rsidR="002F4420">
        <w:t>(“β”) is the measurement of a stock’s non-diversifiable risk.</w:t>
      </w:r>
    </w:p>
    <w:p w:rsidR="005D3B74" w:rsidRDefault="005D3B74" w:rsidP="005D3B74">
      <w:pPr>
        <w:tabs>
          <w:tab w:val="left" w:pos="720"/>
          <w:tab w:val="left" w:pos="1440"/>
          <w:tab w:val="left" w:pos="9240"/>
        </w:tabs>
        <w:spacing w:line="480" w:lineRule="auto"/>
        <w:ind w:left="720" w:hanging="720"/>
      </w:pPr>
    </w:p>
    <w:p w:rsidR="005D3B74" w:rsidRDefault="005D3B74" w:rsidP="005D3B74">
      <w:pPr>
        <w:keepNext/>
        <w:tabs>
          <w:tab w:val="left" w:pos="720"/>
          <w:tab w:val="left" w:pos="1440"/>
          <w:tab w:val="left" w:pos="9240"/>
        </w:tabs>
        <w:spacing w:line="480" w:lineRule="auto"/>
        <w:ind w:left="720" w:hanging="720"/>
        <w:rPr>
          <w:b/>
        </w:rPr>
      </w:pPr>
      <w:r>
        <w:rPr>
          <w:b/>
        </w:rPr>
        <w:lastRenderedPageBreak/>
        <w:t>Q.</w:t>
      </w:r>
      <w:r>
        <w:rPr>
          <w:b/>
        </w:rPr>
        <w:tab/>
        <w:t>What is the general form of the CAPM?</w:t>
      </w:r>
    </w:p>
    <w:p w:rsidR="005D3B74" w:rsidRDefault="005D3B74" w:rsidP="005D3B74">
      <w:pPr>
        <w:keepNext/>
        <w:tabs>
          <w:tab w:val="left" w:pos="720"/>
          <w:tab w:val="left" w:pos="1440"/>
          <w:tab w:val="left" w:pos="9240"/>
        </w:tabs>
        <w:spacing w:line="480" w:lineRule="auto"/>
        <w:ind w:left="720" w:hanging="720"/>
      </w:pPr>
      <w:r>
        <w:t>A.</w:t>
      </w:r>
      <w:r>
        <w:tab/>
        <w:t>The general form is:</w:t>
      </w:r>
    </w:p>
    <w:p w:rsidR="005D3B74" w:rsidRDefault="005D3B74" w:rsidP="005D3B74">
      <w:pPr>
        <w:keepNext/>
        <w:tabs>
          <w:tab w:val="left" w:pos="720"/>
          <w:tab w:val="left" w:pos="1440"/>
          <w:tab w:val="left" w:pos="9240"/>
        </w:tabs>
        <w:spacing w:line="360" w:lineRule="auto"/>
        <w:ind w:left="720" w:hanging="720"/>
        <w:jc w:val="center"/>
      </w:pPr>
      <w:r w:rsidRPr="00897EC7">
        <w:rPr>
          <w:position w:val="-14"/>
        </w:rPr>
        <w:object w:dxaOrig="2000" w:dyaOrig="380">
          <v:shape id="_x0000_i1026" type="#_x0000_t75" style="width:100.3pt;height:18pt" o:ole="">
            <v:imagedata r:id="rId14" o:title=""/>
          </v:shape>
          <o:OLEObject Type="Embed" ProgID="Equation.3" ShapeID="_x0000_i1026" DrawAspect="Content" ObjectID="_1384664401" r:id="rId15"/>
        </w:object>
      </w:r>
      <w:r>
        <w:t>)</w:t>
      </w:r>
    </w:p>
    <w:p w:rsidR="005D3B74" w:rsidRDefault="005D3B74" w:rsidP="005D3B74">
      <w:pPr>
        <w:keepNext/>
        <w:tabs>
          <w:tab w:val="left" w:pos="720"/>
          <w:tab w:val="left" w:pos="1800"/>
          <w:tab w:val="left" w:pos="9240"/>
        </w:tabs>
        <w:spacing w:line="276" w:lineRule="auto"/>
        <w:ind w:left="720" w:hanging="720"/>
        <w:jc w:val="both"/>
      </w:pPr>
      <w:r>
        <w:tab/>
        <w:t>where:</w:t>
      </w:r>
      <w:r>
        <w:tab/>
        <w:t>K = cost of equity</w:t>
      </w:r>
    </w:p>
    <w:p w:rsidR="005D3B74" w:rsidRDefault="005D3B74" w:rsidP="005D3B74">
      <w:pPr>
        <w:tabs>
          <w:tab w:val="left" w:pos="720"/>
          <w:tab w:val="left" w:pos="1800"/>
          <w:tab w:val="left" w:pos="9240"/>
        </w:tabs>
        <w:spacing w:line="276" w:lineRule="auto"/>
        <w:ind w:left="720" w:hanging="720"/>
        <w:jc w:val="both"/>
      </w:pPr>
      <w:r>
        <w:tab/>
      </w:r>
      <w:r>
        <w:tab/>
      </w:r>
      <w:proofErr w:type="spellStart"/>
      <w:r>
        <w:t>R</w:t>
      </w:r>
      <w:r>
        <w:rPr>
          <w:vertAlign w:val="subscript"/>
        </w:rPr>
        <w:t>f</w:t>
      </w:r>
      <w:proofErr w:type="spellEnd"/>
      <w:r>
        <w:t xml:space="preserve"> = risk-free rate</w:t>
      </w:r>
    </w:p>
    <w:p w:rsidR="005D3B74" w:rsidRDefault="005D3B74" w:rsidP="005D3B74">
      <w:pPr>
        <w:tabs>
          <w:tab w:val="left" w:pos="720"/>
          <w:tab w:val="left" w:pos="1800"/>
          <w:tab w:val="left" w:pos="9240"/>
        </w:tabs>
        <w:spacing w:line="276" w:lineRule="auto"/>
        <w:ind w:left="720" w:hanging="720"/>
        <w:jc w:val="both"/>
      </w:pPr>
      <w:r>
        <w:tab/>
      </w:r>
      <w:r>
        <w:tab/>
      </w:r>
      <w:proofErr w:type="spellStart"/>
      <w:r>
        <w:t>R</w:t>
      </w:r>
      <w:r>
        <w:rPr>
          <w:vertAlign w:val="subscript"/>
        </w:rPr>
        <w:t>m</w:t>
      </w:r>
      <w:proofErr w:type="spellEnd"/>
      <w:r>
        <w:rPr>
          <w:vertAlign w:val="subscript"/>
        </w:rPr>
        <w:t xml:space="preserve"> </w:t>
      </w:r>
      <w:r>
        <w:t>= expected return on market</w:t>
      </w:r>
    </w:p>
    <w:p w:rsidR="005D3B74" w:rsidRDefault="005D3B74" w:rsidP="005D3B74">
      <w:pPr>
        <w:tabs>
          <w:tab w:val="left" w:pos="720"/>
          <w:tab w:val="left" w:pos="1800"/>
          <w:tab w:val="left" w:pos="9240"/>
        </w:tabs>
        <w:spacing w:line="276" w:lineRule="auto"/>
        <w:ind w:left="720" w:hanging="720"/>
        <w:jc w:val="both"/>
      </w:pPr>
      <w:r>
        <w:tab/>
      </w:r>
      <w:r>
        <w:tab/>
        <w:t>β = beta</w:t>
      </w:r>
    </w:p>
    <w:p w:rsidR="005D3B74" w:rsidRDefault="005D3B74" w:rsidP="00F30AA5">
      <w:pPr>
        <w:tabs>
          <w:tab w:val="left" w:pos="720"/>
          <w:tab w:val="left" w:pos="1800"/>
          <w:tab w:val="left" w:pos="9240"/>
        </w:tabs>
        <w:spacing w:line="276" w:lineRule="auto"/>
        <w:ind w:left="720" w:hanging="720"/>
        <w:jc w:val="both"/>
      </w:pPr>
      <w:r>
        <w:tab/>
      </w:r>
      <w:r>
        <w:tab/>
      </w:r>
      <w:proofErr w:type="spellStart"/>
      <w:r>
        <w:t>R</w:t>
      </w:r>
      <w:r>
        <w:rPr>
          <w:vertAlign w:val="subscript"/>
        </w:rPr>
        <w:t>m</w:t>
      </w:r>
      <w:r>
        <w:t>-R</w:t>
      </w:r>
      <w:r>
        <w:rPr>
          <w:vertAlign w:val="subscript"/>
        </w:rPr>
        <w:t>f</w:t>
      </w:r>
      <w:proofErr w:type="spellEnd"/>
      <w:r>
        <w:t xml:space="preserve"> = expected market risk premium</w:t>
      </w:r>
    </w:p>
    <w:p w:rsidR="005D3B74" w:rsidRDefault="005D3B74" w:rsidP="005D3B74">
      <w:pPr>
        <w:tabs>
          <w:tab w:val="left" w:pos="720"/>
          <w:tab w:val="left" w:pos="1800"/>
          <w:tab w:val="left" w:pos="9240"/>
        </w:tabs>
        <w:spacing w:line="480" w:lineRule="auto"/>
        <w:ind w:left="720" w:hanging="720"/>
        <w:rPr>
          <w:b/>
        </w:rPr>
      </w:pPr>
    </w:p>
    <w:p w:rsidR="005D3B74" w:rsidRDefault="005D3B74" w:rsidP="005D3B74">
      <w:pPr>
        <w:tabs>
          <w:tab w:val="left" w:pos="720"/>
          <w:tab w:val="left" w:pos="1800"/>
          <w:tab w:val="left" w:pos="9240"/>
        </w:tabs>
        <w:spacing w:line="480" w:lineRule="auto"/>
        <w:ind w:left="720" w:hanging="720"/>
        <w:rPr>
          <w:b/>
        </w:rPr>
      </w:pPr>
      <w:r>
        <w:rPr>
          <w:b/>
        </w:rPr>
        <w:t>Q.</w:t>
      </w:r>
      <w:r>
        <w:rPr>
          <w:b/>
        </w:rPr>
        <w:tab/>
        <w:t xml:space="preserve">Do you have any general comments regarding CAPM to estimate the cost of </w:t>
      </w:r>
      <w:r w:rsidR="00DE0D6E">
        <w:rPr>
          <w:b/>
        </w:rPr>
        <w:t xml:space="preserve">equity </w:t>
      </w:r>
      <w:r>
        <w:rPr>
          <w:b/>
        </w:rPr>
        <w:t>capital?</w:t>
      </w:r>
    </w:p>
    <w:p w:rsidR="00A13BB1" w:rsidRDefault="005D3B74">
      <w:pPr>
        <w:tabs>
          <w:tab w:val="left" w:pos="720"/>
          <w:tab w:val="left" w:pos="1440"/>
          <w:tab w:val="left" w:pos="2160"/>
          <w:tab w:val="left" w:pos="9240"/>
        </w:tabs>
        <w:spacing w:line="480" w:lineRule="auto"/>
        <w:ind w:left="720" w:hanging="720"/>
      </w:pPr>
      <w:r>
        <w:t>A.</w:t>
      </w:r>
      <w:r>
        <w:tab/>
        <w:t xml:space="preserve">Yes.  CAPM and modern portfolio theory have made significant contributions to finance and the evaluation of stock prices and returns.  CAPM has significant appeal </w:t>
      </w:r>
      <w:r w:rsidR="008A25D5">
        <w:t xml:space="preserve">and </w:t>
      </w:r>
      <w:r w:rsidR="00787457">
        <w:t xml:space="preserve">there </w:t>
      </w:r>
      <w:r w:rsidR="008A25D5">
        <w:t xml:space="preserve">has </w:t>
      </w:r>
      <w:r w:rsidR="00787457">
        <w:t>been</w:t>
      </w:r>
      <w:r w:rsidR="008A25D5">
        <w:t xml:space="preserve"> extensive </w:t>
      </w:r>
      <w:r w:rsidR="00787457">
        <w:t xml:space="preserve">empirical </w:t>
      </w:r>
      <w:r w:rsidR="008A25D5">
        <w:t>r</w:t>
      </w:r>
      <w:r w:rsidR="00EF0453">
        <w:t>e</w:t>
      </w:r>
      <w:r>
        <w:t>search</w:t>
      </w:r>
      <w:r w:rsidR="008A25D5">
        <w:t xml:space="preserve"> done to determine its ability to explain risk and return</w:t>
      </w:r>
      <w:r>
        <w:t xml:space="preserve">.  However, CAPM is a methodology that should be used with considerable caution.  </w:t>
      </w:r>
      <w:r w:rsidR="00DA340E">
        <w:t>I agree with D</w:t>
      </w:r>
      <w:r w:rsidR="008A25D5">
        <w:t>r. Olson t</w:t>
      </w:r>
      <w:r w:rsidR="00DA340E">
        <w:t xml:space="preserve">hat </w:t>
      </w:r>
      <w:r w:rsidR="008A25D5">
        <w:t>there is skepticism surrounding the methodology.</w:t>
      </w:r>
      <w:r w:rsidR="00DA340E">
        <w:rPr>
          <w:rStyle w:val="FootnoteReference"/>
        </w:rPr>
        <w:footnoteReference w:id="28"/>
      </w:r>
      <w:r w:rsidR="00040243">
        <w:t xml:space="preserve">  </w:t>
      </w:r>
      <w:r>
        <w:t>Therefore, while</w:t>
      </w:r>
      <w:r w:rsidRPr="008525AB">
        <w:t xml:space="preserve"> I </w:t>
      </w:r>
      <w:r>
        <w:t>conduct</w:t>
      </w:r>
      <w:r w:rsidRPr="008525AB">
        <w:t xml:space="preserve"> a CAPM analy</w:t>
      </w:r>
      <w:r>
        <w:t>sis as a “check” to my DCF results, the Commission should view the results of the study with caution.</w:t>
      </w:r>
      <w:r w:rsidR="0038374D">
        <w:t xml:space="preserve">  </w:t>
      </w:r>
    </w:p>
    <w:p w:rsidR="005D3B74" w:rsidRDefault="005D3B74" w:rsidP="005D3B74">
      <w:pPr>
        <w:tabs>
          <w:tab w:val="left" w:pos="720"/>
          <w:tab w:val="left" w:pos="1440"/>
          <w:tab w:val="left" w:pos="9240"/>
        </w:tabs>
        <w:spacing w:line="480" w:lineRule="auto"/>
        <w:ind w:left="720" w:hanging="720"/>
      </w:pPr>
    </w:p>
    <w:p w:rsidR="005D3B74" w:rsidRPr="008525AB" w:rsidRDefault="005D3B74" w:rsidP="005D3B74">
      <w:pPr>
        <w:tabs>
          <w:tab w:val="left" w:pos="720"/>
          <w:tab w:val="left" w:pos="1440"/>
          <w:tab w:val="left" w:pos="9240"/>
        </w:tabs>
        <w:spacing w:line="480" w:lineRule="auto"/>
        <w:ind w:left="720" w:hanging="720"/>
        <w:rPr>
          <w:b/>
        </w:rPr>
      </w:pPr>
      <w:r>
        <w:rPr>
          <w:b/>
        </w:rPr>
        <w:t>Q.</w:t>
      </w:r>
      <w:r>
        <w:rPr>
          <w:b/>
        </w:rPr>
        <w:tab/>
        <w:t>Please explain why CAPM should be used with caution.</w:t>
      </w:r>
    </w:p>
    <w:p w:rsidR="00DA340E" w:rsidRDefault="005D3B74" w:rsidP="005D3B74">
      <w:pPr>
        <w:tabs>
          <w:tab w:val="left" w:pos="720"/>
          <w:tab w:val="left" w:pos="1440"/>
          <w:tab w:val="left" w:pos="9240"/>
        </w:tabs>
        <w:spacing w:line="480" w:lineRule="auto"/>
        <w:ind w:left="720" w:hanging="720"/>
      </w:pPr>
      <w:r>
        <w:t>A.</w:t>
      </w:r>
      <w:r>
        <w:tab/>
        <w:t>First, each of the elements in the formula is difficult to measure because there are simply too many issues surrounding the model</w:t>
      </w:r>
      <w:r w:rsidR="00A15099">
        <w:t>’s</w:t>
      </w:r>
      <w:r>
        <w:t xml:space="preserve"> inputs.  For example, what is the risk-free rate?  What is the return on market?  How </w:t>
      </w:r>
      <w:proofErr w:type="gramStart"/>
      <w:r>
        <w:t>is</w:t>
      </w:r>
      <w:proofErr w:type="gramEnd"/>
      <w:r>
        <w:t xml:space="preserve"> </w:t>
      </w:r>
      <w:r w:rsidRPr="00DC4D26">
        <w:rPr>
          <w:i/>
        </w:rPr>
        <w:t>beta</w:t>
      </w:r>
      <w:r>
        <w:rPr>
          <w:i/>
        </w:rPr>
        <w:t xml:space="preserve"> </w:t>
      </w:r>
      <w:r>
        <w:t xml:space="preserve">calculated and what adjustments are appropriate to </w:t>
      </w:r>
      <w:r w:rsidR="000F29BC">
        <w:t>its</w:t>
      </w:r>
      <w:r>
        <w:t xml:space="preserve"> calculation?  I am skeptical of any model which estimates an investor</w:t>
      </w:r>
      <w:r w:rsidR="00FF672F">
        <w:t xml:space="preserve">’s </w:t>
      </w:r>
      <w:r>
        <w:t xml:space="preserve">rate of return when the variables of the model are unrelated to </w:t>
      </w:r>
      <w:r>
        <w:lastRenderedPageBreak/>
        <w:t xml:space="preserve">the actual and anticipated financial performance of a </w:t>
      </w:r>
      <w:r w:rsidR="0048349A">
        <w:t xml:space="preserve">specific </w:t>
      </w:r>
      <w:r>
        <w:t xml:space="preserve">firm or set of firms in a proxy group.  Specifically, </w:t>
      </w:r>
      <w:r w:rsidRPr="000E59BC">
        <w:rPr>
          <w:i/>
        </w:rPr>
        <w:t>β</w:t>
      </w:r>
      <w:r>
        <w:t xml:space="preserve"> is the only factor in CAPM that is </w:t>
      </w:r>
      <w:r w:rsidR="00FF672F">
        <w:t>unique to the specific company</w:t>
      </w:r>
      <w:r w:rsidR="0038374D">
        <w:t xml:space="preserve"> being analyzed and</w:t>
      </w:r>
      <w:r w:rsidR="00040243">
        <w:t>,</w:t>
      </w:r>
      <w:r w:rsidR="0038374D">
        <w:t xml:space="preserve"> as research indicates</w:t>
      </w:r>
      <w:r w:rsidR="00040243">
        <w:t>,</w:t>
      </w:r>
      <w:r w:rsidR="0038374D">
        <w:t xml:space="preserve"> it does not capture all elements of risk for any particular security.</w:t>
      </w:r>
      <w:r w:rsidR="00DA340E">
        <w:rPr>
          <w:rStyle w:val="FootnoteReference"/>
        </w:rPr>
        <w:footnoteReference w:id="29"/>
      </w:r>
      <w:r w:rsidR="00787457">
        <w:t xml:space="preserve">  </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800"/>
          <w:tab w:val="left" w:pos="9240"/>
        </w:tabs>
        <w:spacing w:line="480" w:lineRule="auto"/>
        <w:ind w:left="720" w:hanging="720"/>
        <w:rPr>
          <w:b/>
        </w:rPr>
      </w:pPr>
      <w:r>
        <w:rPr>
          <w:b/>
        </w:rPr>
        <w:t>Q.</w:t>
      </w:r>
      <w:r>
        <w:rPr>
          <w:b/>
        </w:rPr>
        <w:tab/>
        <w:t>Turning to your CAPM analysis, please explain the “risk-free” rate and indicate what rate you employed.</w:t>
      </w:r>
    </w:p>
    <w:p w:rsidR="005D3B74" w:rsidRDefault="005D3B74" w:rsidP="005D3B74">
      <w:pPr>
        <w:tabs>
          <w:tab w:val="left" w:pos="720"/>
          <w:tab w:val="left" w:pos="1440"/>
          <w:tab w:val="left" w:pos="9240"/>
        </w:tabs>
        <w:spacing w:line="480" w:lineRule="auto"/>
        <w:ind w:left="720" w:hanging="720"/>
      </w:pPr>
      <w:r>
        <w:t>A.</w:t>
      </w:r>
      <w:r>
        <w:tab/>
        <w:t xml:space="preserve">In </w:t>
      </w:r>
      <w:r w:rsidR="00787457">
        <w:t xml:space="preserve">the </w:t>
      </w:r>
      <w:r>
        <w:t>application of CAPM</w:t>
      </w:r>
      <w:r w:rsidR="000F29BC">
        <w:t xml:space="preserve"> by experts that use the model</w:t>
      </w:r>
      <w:r>
        <w:t>, the risk-free rate (</w:t>
      </w:r>
      <w:proofErr w:type="spellStart"/>
      <w:r>
        <w:t>R</w:t>
      </w:r>
      <w:r>
        <w:rPr>
          <w:vertAlign w:val="subscript"/>
        </w:rPr>
        <w:t>f</w:t>
      </w:r>
      <w:proofErr w:type="spellEnd"/>
      <w:r w:rsidR="000F29BC">
        <w:t>)</w:t>
      </w:r>
      <w:r>
        <w:t xml:space="preserve"> is generally recognized as the rate of </w:t>
      </w:r>
      <w:r w:rsidR="000F29BC">
        <w:t xml:space="preserve">long-term </w:t>
      </w:r>
      <w:r>
        <w:t xml:space="preserve">United States Treasury securities.  </w:t>
      </w:r>
      <w:r w:rsidRPr="007263AB">
        <w:t>However, using the price of long-term Treasury securities as a proxy for the risk-free rate is itself problematic, because these securities are not “risk free”; they still carry interest rate risk for an investor.</w:t>
      </w:r>
      <w:r>
        <w:t xml:space="preserve">  Nonetheless, two general types of Treasury securities are often used</w:t>
      </w:r>
      <w:r w:rsidR="000F29BC">
        <w:t xml:space="preserve"> as a proxy for this component:</w:t>
      </w:r>
      <w:r>
        <w:t xml:space="preserve"> </w:t>
      </w:r>
      <w:r w:rsidR="00040243">
        <w:t xml:space="preserve"> </w:t>
      </w:r>
      <w:r>
        <w:t xml:space="preserve">short-term Treasury bills and long-term Treasury bonds.  </w:t>
      </w:r>
    </w:p>
    <w:p w:rsidR="005D3B74" w:rsidRDefault="005D3B74" w:rsidP="005D3B74">
      <w:pPr>
        <w:tabs>
          <w:tab w:val="left" w:pos="720"/>
          <w:tab w:val="left" w:pos="1440"/>
          <w:tab w:val="left" w:pos="9240"/>
        </w:tabs>
        <w:spacing w:line="480" w:lineRule="auto"/>
        <w:ind w:left="720" w:hanging="720"/>
      </w:pPr>
    </w:p>
    <w:p w:rsidR="005D3B74" w:rsidRPr="00EE781B" w:rsidRDefault="005D3B74" w:rsidP="005D3B74">
      <w:pPr>
        <w:tabs>
          <w:tab w:val="left" w:pos="720"/>
          <w:tab w:val="left" w:pos="1440"/>
          <w:tab w:val="left" w:pos="9240"/>
        </w:tabs>
        <w:spacing w:line="480" w:lineRule="auto"/>
        <w:ind w:left="720" w:hanging="720"/>
        <w:rPr>
          <w:b/>
        </w:rPr>
      </w:pPr>
      <w:r>
        <w:rPr>
          <w:b/>
        </w:rPr>
        <w:t>Q.</w:t>
      </w:r>
      <w:r>
        <w:rPr>
          <w:b/>
        </w:rPr>
        <w:tab/>
        <w:t>What is the long-term rate for United States Treasury securities you used as a proxy for the risk-free rate in your CAPM analysis?</w:t>
      </w:r>
    </w:p>
    <w:p w:rsidR="005D3B74" w:rsidRDefault="005D3B74" w:rsidP="005D3B74">
      <w:pPr>
        <w:tabs>
          <w:tab w:val="left" w:pos="720"/>
          <w:tab w:val="left" w:pos="1440"/>
          <w:tab w:val="left" w:pos="9240"/>
        </w:tabs>
        <w:spacing w:line="480" w:lineRule="auto"/>
        <w:ind w:left="720" w:hanging="720"/>
      </w:pPr>
      <w:r>
        <w:t>A.</w:t>
      </w:r>
      <w:r>
        <w:tab/>
      </w:r>
      <w:r w:rsidR="00DA340E">
        <w:t xml:space="preserve">I used </w:t>
      </w:r>
      <w:r>
        <w:t>4.2</w:t>
      </w:r>
      <w:r w:rsidR="00FF672F">
        <w:t>5</w:t>
      </w:r>
      <w:r>
        <w:t xml:space="preserve"> percent, which </w:t>
      </w:r>
      <w:r w:rsidR="00B60AB0">
        <w:t>was</w:t>
      </w:r>
      <w:r>
        <w:t xml:space="preserve"> the yield for </w:t>
      </w:r>
      <w:r w:rsidRPr="008525AB">
        <w:t xml:space="preserve">long-term </w:t>
      </w:r>
      <w:r>
        <w:t>T</w:t>
      </w:r>
      <w:r w:rsidRPr="008525AB">
        <w:t xml:space="preserve">reasury securities </w:t>
      </w:r>
      <w:r>
        <w:t xml:space="preserve">at the time I prepared this </w:t>
      </w:r>
      <w:r w:rsidR="00100F84">
        <w:t xml:space="preserve">CAPM </w:t>
      </w:r>
      <w:r w:rsidR="00B60AB0">
        <w:t>study in June 2011</w:t>
      </w:r>
      <w:r>
        <w:t>.</w:t>
      </w:r>
      <w:r w:rsidR="00FE1242">
        <w:t xml:space="preserve">  It is worth noting that prices for 30 year Treasury </w:t>
      </w:r>
      <w:r w:rsidR="00984047">
        <w:t xml:space="preserve">securities </w:t>
      </w:r>
      <w:r w:rsidR="00B60AB0">
        <w:t xml:space="preserve">began falling again in August 2011 and </w:t>
      </w:r>
      <w:r w:rsidR="00FE1242">
        <w:t xml:space="preserve">in early October </w:t>
      </w:r>
      <w:r w:rsidR="00B60AB0">
        <w:t>the yield fell to</w:t>
      </w:r>
      <w:r w:rsidR="00F23DB2">
        <w:t xml:space="preserve"> 2.75 percent.  As of early November the yields are approximately 3.00 percent.  </w:t>
      </w:r>
      <w:r w:rsidR="00FE1242">
        <w:t xml:space="preserve">A strict </w:t>
      </w:r>
      <w:r w:rsidR="00984047">
        <w:t xml:space="preserve">one-for-one </w:t>
      </w:r>
      <w:r w:rsidR="00FE1242">
        <w:t xml:space="preserve">application of the CAPM would indicate that the cost of equity is </w:t>
      </w:r>
      <w:r w:rsidR="00013CFB">
        <w:t xml:space="preserve">now lower by some </w:t>
      </w:r>
      <w:r w:rsidR="00FE1242">
        <w:t>1</w:t>
      </w:r>
      <w:r w:rsidR="00013CFB">
        <w:t>25</w:t>
      </w:r>
      <w:r w:rsidR="00FE1242">
        <w:t xml:space="preserve"> basis points based upon</w:t>
      </w:r>
      <w:r w:rsidR="00B61722">
        <w:t xml:space="preserve"> </w:t>
      </w:r>
      <w:r w:rsidR="00FE1242">
        <w:t xml:space="preserve">recent data.  This is one </w:t>
      </w:r>
      <w:r w:rsidR="00FE1242">
        <w:lastRenderedPageBreak/>
        <w:t xml:space="preserve">of the reasons why I </w:t>
      </w:r>
      <w:r w:rsidR="00B60AB0">
        <w:t>recommend that</w:t>
      </w:r>
      <w:r w:rsidR="00FE1242">
        <w:t xml:space="preserve"> the Commission be cautious with the CAPM model in its determination of a fair return on equity.</w:t>
      </w:r>
      <w:r w:rsidR="00881333">
        <w:t xml:space="preserve">  </w:t>
      </w:r>
      <w:r w:rsidR="00984047">
        <w:t xml:space="preserve"> </w:t>
      </w:r>
    </w:p>
    <w:p w:rsidR="005D3B74" w:rsidRDefault="005D3B74" w:rsidP="005D3B74">
      <w:pPr>
        <w:tabs>
          <w:tab w:val="left" w:pos="720"/>
          <w:tab w:val="left" w:pos="1440"/>
          <w:tab w:val="left" w:pos="9240"/>
        </w:tabs>
        <w:spacing w:line="480" w:lineRule="auto"/>
        <w:ind w:left="720" w:hanging="720"/>
      </w:pPr>
    </w:p>
    <w:p w:rsidR="005D3B74" w:rsidRDefault="005D3B74" w:rsidP="005D3B74">
      <w:pPr>
        <w:keepNext/>
        <w:tabs>
          <w:tab w:val="left" w:pos="720"/>
          <w:tab w:val="left" w:pos="1800"/>
          <w:tab w:val="left" w:pos="9240"/>
        </w:tabs>
        <w:spacing w:line="480" w:lineRule="auto"/>
        <w:ind w:left="720" w:hanging="720"/>
        <w:rPr>
          <w:b/>
        </w:rPr>
      </w:pPr>
      <w:r>
        <w:rPr>
          <w:b/>
        </w:rPr>
        <w:t>Q.</w:t>
      </w:r>
      <w:r>
        <w:rPr>
          <w:b/>
        </w:rPr>
        <w:tab/>
      </w:r>
      <w:r w:rsidR="002C136F">
        <w:rPr>
          <w:b/>
        </w:rPr>
        <w:t>Generally speaking, w</w:t>
      </w:r>
      <w:r>
        <w:rPr>
          <w:b/>
        </w:rPr>
        <w:t xml:space="preserve">hat is </w:t>
      </w:r>
      <w:r w:rsidRPr="007263AB">
        <w:rPr>
          <w:b/>
        </w:rPr>
        <w:t>“</w:t>
      </w:r>
      <w:r w:rsidRPr="00DC4D26">
        <w:rPr>
          <w:b/>
          <w:i/>
        </w:rPr>
        <w:t>beta</w:t>
      </w:r>
      <w:r>
        <w:rPr>
          <w:b/>
          <w:i/>
        </w:rPr>
        <w:t>”</w:t>
      </w:r>
      <w:r>
        <w:rPr>
          <w:b/>
        </w:rPr>
        <w:t>?</w:t>
      </w:r>
    </w:p>
    <w:p w:rsidR="005D3B74" w:rsidRDefault="005D3B74" w:rsidP="005D3B74">
      <w:pPr>
        <w:tabs>
          <w:tab w:val="left" w:pos="720"/>
          <w:tab w:val="left" w:pos="1440"/>
          <w:tab w:val="left" w:pos="9240"/>
        </w:tabs>
        <w:spacing w:line="480" w:lineRule="auto"/>
        <w:ind w:left="720" w:hanging="720"/>
      </w:pPr>
      <w:r>
        <w:t>A.</w:t>
      </w:r>
      <w:r>
        <w:tab/>
        <w:t>“</w:t>
      </w:r>
      <w:r w:rsidRPr="00DC4D26">
        <w:rPr>
          <w:i/>
        </w:rPr>
        <w:t>Beta</w:t>
      </w:r>
      <w:r>
        <w:rPr>
          <w:i/>
        </w:rPr>
        <w:t>”</w:t>
      </w:r>
      <w:r>
        <w:t xml:space="preserve"> is a measure of the relative volatility of a particular stock</w:t>
      </w:r>
      <w:r w:rsidR="00A15099">
        <w:t>’s</w:t>
      </w:r>
      <w:r>
        <w:t xml:space="preserve"> return in relation to the overall return on the market.  Modern portfolio theory states that the return of a stock in relation to that of the market is its indication of risk.  A company whose stock has a </w:t>
      </w:r>
      <w:r w:rsidRPr="00E02DDE">
        <w:rPr>
          <w:i/>
        </w:rPr>
        <w:t>beta</w:t>
      </w:r>
      <w:r w:rsidRPr="00DC4D26">
        <w:rPr>
          <w:i/>
        </w:rPr>
        <w:t xml:space="preserve"> </w:t>
      </w:r>
      <w:r>
        <w:t xml:space="preserve">greater than 1.0 indicates the stock is more volatile than the market as a whole.  Conversely, a company whose stock has a </w:t>
      </w:r>
      <w:r w:rsidRPr="005D081A">
        <w:rPr>
          <w:i/>
        </w:rPr>
        <w:t>be</w:t>
      </w:r>
      <w:r w:rsidRPr="0095560D">
        <w:rPr>
          <w:i/>
        </w:rPr>
        <w:t>ta</w:t>
      </w:r>
      <w:r>
        <w:t xml:space="preserve"> less than 1.0 indicates the stock is less volatile than the market as a whole.  </w:t>
      </w:r>
      <w:r w:rsidR="00345B88">
        <w:t xml:space="preserve">Generally speaking, firms with higher </w:t>
      </w:r>
      <w:r w:rsidR="00345B88" w:rsidRPr="00345B88">
        <w:rPr>
          <w:i/>
        </w:rPr>
        <w:t>betas</w:t>
      </w:r>
      <w:r w:rsidR="00345B88">
        <w:t xml:space="preserve"> require higher returns.</w:t>
      </w:r>
    </w:p>
    <w:p w:rsidR="005D3B74" w:rsidRDefault="005D3B74" w:rsidP="005D3B74">
      <w:pPr>
        <w:tabs>
          <w:tab w:val="left" w:pos="720"/>
          <w:tab w:val="left" w:pos="1440"/>
          <w:tab w:val="left" w:pos="9240"/>
        </w:tabs>
        <w:spacing w:line="480" w:lineRule="auto"/>
        <w:ind w:left="720" w:hanging="720"/>
      </w:pPr>
      <w:r>
        <w:tab/>
      </w:r>
      <w:r>
        <w:tab/>
        <w:t xml:space="preserve">Utility stocks traditionally have a </w:t>
      </w:r>
      <w:r w:rsidRPr="00DC4D26">
        <w:rPr>
          <w:i/>
        </w:rPr>
        <w:t>beta</w:t>
      </w:r>
      <w:r>
        <w:t xml:space="preserve"> below 1.0.  In other words, the returns for utility stocks exhibit less volatility than the market overall, and </w:t>
      </w:r>
      <w:r w:rsidR="0038374D">
        <w:t>according to CAPM theory</w:t>
      </w:r>
      <w:r w:rsidR="00DA340E">
        <w:t>,</w:t>
      </w:r>
      <w:r w:rsidR="0038374D">
        <w:t xml:space="preserve"> </w:t>
      </w:r>
      <w:r>
        <w:t>investors will expect lower returns for investments in these companies</w:t>
      </w:r>
      <w:r w:rsidR="002F4420">
        <w:t xml:space="preserve"> due to lower volatility</w:t>
      </w:r>
      <w:r>
        <w:t>.  This makes sense because utility companies are highly regulated and have significant protections as monopolies.</w:t>
      </w:r>
      <w:r w:rsidR="00E5263A">
        <w:t xml:space="preserve">  </w:t>
      </w:r>
      <w:r w:rsidR="00100F84">
        <w:t xml:space="preserve"> </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pPr>
      <w:r>
        <w:rPr>
          <w:b/>
        </w:rPr>
        <w:t>Q.</w:t>
      </w:r>
      <w:r>
        <w:rPr>
          <w:b/>
        </w:rPr>
        <w:tab/>
        <w:t>What is the “</w:t>
      </w:r>
      <w:r w:rsidRPr="00DC4D26">
        <w:rPr>
          <w:b/>
          <w:i/>
        </w:rPr>
        <w:t>beta</w:t>
      </w:r>
      <w:r>
        <w:rPr>
          <w:b/>
        </w:rPr>
        <w:t xml:space="preserve">” </w:t>
      </w:r>
      <w:r w:rsidR="0038374D">
        <w:rPr>
          <w:b/>
        </w:rPr>
        <w:t>you used in your CAPM analysis</w:t>
      </w:r>
      <w:r>
        <w:rPr>
          <w:b/>
        </w:rPr>
        <w:t>?</w:t>
      </w:r>
    </w:p>
    <w:p w:rsidR="005D3B74" w:rsidRDefault="005D3B74" w:rsidP="005D3B74">
      <w:pPr>
        <w:tabs>
          <w:tab w:val="left" w:pos="720"/>
          <w:tab w:val="left" w:pos="1440"/>
          <w:tab w:val="left" w:pos="9240"/>
        </w:tabs>
        <w:spacing w:line="480" w:lineRule="auto"/>
        <w:ind w:left="720" w:hanging="720"/>
      </w:pPr>
      <w:r>
        <w:t>A.</w:t>
      </w:r>
      <w:r>
        <w:tab/>
      </w:r>
      <w:r w:rsidR="0038374D">
        <w:t xml:space="preserve">PSE is not </w:t>
      </w:r>
      <w:r w:rsidR="00DE0D6E">
        <w:t xml:space="preserve">publicly </w:t>
      </w:r>
      <w:r w:rsidR="0038374D">
        <w:t>traded</w:t>
      </w:r>
      <w:r w:rsidR="00B60AB0">
        <w:t xml:space="preserve"> and its β is no longer publishe</w:t>
      </w:r>
      <w:r w:rsidR="000B6D84">
        <w:t>d</w:t>
      </w:r>
      <w:r w:rsidR="0038374D">
        <w:t xml:space="preserve">.  However, the last time </w:t>
      </w:r>
      <w:r w:rsidR="0038374D" w:rsidRPr="00CF01FE">
        <w:rPr>
          <w:i/>
        </w:rPr>
        <w:t>Value Line</w:t>
      </w:r>
      <w:r w:rsidR="0038374D">
        <w:t xml:space="preserve"> calculated a </w:t>
      </w:r>
      <w:r w:rsidRPr="007109F3">
        <w:rPr>
          <w:i/>
        </w:rPr>
        <w:t>beta</w:t>
      </w:r>
      <w:r>
        <w:rPr>
          <w:i/>
        </w:rPr>
        <w:t xml:space="preserve"> </w:t>
      </w:r>
      <w:r w:rsidR="0038374D">
        <w:t>for P</w:t>
      </w:r>
      <w:r w:rsidR="002C136F">
        <w:t>S</w:t>
      </w:r>
      <w:r w:rsidR="0038374D">
        <w:t>E as a publicly traded stock</w:t>
      </w:r>
      <w:r w:rsidR="002C136F">
        <w:t>,</w:t>
      </w:r>
      <w:r w:rsidR="0038374D">
        <w:t xml:space="preserve"> it was</w:t>
      </w:r>
      <w:r>
        <w:t xml:space="preserve"> 0.</w:t>
      </w:r>
      <w:r w:rsidR="00FF672F">
        <w:t>70</w:t>
      </w:r>
      <w:r w:rsidR="0038374D">
        <w:t>.  Based upon the</w:t>
      </w:r>
      <w:r>
        <w:t xml:space="preserve"> data</w:t>
      </w:r>
      <w:r>
        <w:rPr>
          <w:i/>
        </w:rPr>
        <w:t xml:space="preserve"> </w:t>
      </w:r>
      <w:r>
        <w:t xml:space="preserve">reported by </w:t>
      </w:r>
      <w:r>
        <w:rPr>
          <w:i/>
        </w:rPr>
        <w:t>Value Line</w:t>
      </w:r>
      <w:r w:rsidR="0038374D">
        <w:rPr>
          <w:i/>
        </w:rPr>
        <w:t xml:space="preserve"> </w:t>
      </w:r>
      <w:r w:rsidR="0038374D">
        <w:t>for the proxy group</w:t>
      </w:r>
      <w:r w:rsidR="002C136F">
        <w:t xml:space="preserve">, a </w:t>
      </w:r>
      <w:r w:rsidR="002C136F" w:rsidRPr="00CF01FE">
        <w:rPr>
          <w:i/>
        </w:rPr>
        <w:t xml:space="preserve">beta </w:t>
      </w:r>
      <w:r w:rsidR="002C136F">
        <w:t>of 0.70</w:t>
      </w:r>
      <w:r w:rsidR="0038374D">
        <w:t xml:space="preserve"> is a reasonable </w:t>
      </w:r>
      <w:r w:rsidR="00B60AB0">
        <w:t>estimate</w:t>
      </w:r>
      <w:r w:rsidR="0038374D">
        <w:t xml:space="preserve"> for purposes of this analysis</w:t>
      </w:r>
      <w:r>
        <w:t xml:space="preserve">.  </w:t>
      </w:r>
    </w:p>
    <w:p w:rsidR="0038374D" w:rsidRDefault="0038374D" w:rsidP="005D3B74">
      <w:pPr>
        <w:tabs>
          <w:tab w:val="left" w:pos="720"/>
          <w:tab w:val="left" w:pos="1440"/>
          <w:tab w:val="left" w:pos="9240"/>
        </w:tabs>
        <w:spacing w:line="480" w:lineRule="auto"/>
        <w:ind w:left="720" w:hanging="720"/>
      </w:pPr>
    </w:p>
    <w:p w:rsidR="005D3B74" w:rsidRDefault="005D3B74" w:rsidP="005D3B74">
      <w:pPr>
        <w:tabs>
          <w:tab w:val="left" w:pos="720"/>
          <w:tab w:val="left" w:pos="1800"/>
          <w:tab w:val="left" w:pos="9240"/>
        </w:tabs>
        <w:spacing w:line="480" w:lineRule="auto"/>
        <w:ind w:left="720" w:hanging="720"/>
        <w:rPr>
          <w:b/>
        </w:rPr>
      </w:pPr>
      <w:r>
        <w:rPr>
          <w:b/>
        </w:rPr>
        <w:lastRenderedPageBreak/>
        <w:t>Q.</w:t>
      </w:r>
      <w:r>
        <w:rPr>
          <w:b/>
        </w:rPr>
        <w:tab/>
        <w:t xml:space="preserve">How did you estimate the market risk premium component </w:t>
      </w:r>
      <w:r w:rsidR="00DA340E">
        <w:rPr>
          <w:b/>
        </w:rPr>
        <w:t>of</w:t>
      </w:r>
      <w:r>
        <w:rPr>
          <w:b/>
        </w:rPr>
        <w:t xml:space="preserve"> your CAPM analysis?</w:t>
      </w:r>
    </w:p>
    <w:p w:rsidR="005D3B74" w:rsidRDefault="005D3B74" w:rsidP="005D3B74">
      <w:pPr>
        <w:tabs>
          <w:tab w:val="left" w:pos="720"/>
          <w:tab w:val="left" w:pos="1440"/>
          <w:tab w:val="left" w:pos="9240"/>
        </w:tabs>
        <w:spacing w:line="480" w:lineRule="auto"/>
        <w:ind w:left="720" w:hanging="720"/>
      </w:pPr>
      <w:r>
        <w:t>A.</w:t>
      </w:r>
      <w:r>
        <w:tab/>
        <w:t>I estimate</w:t>
      </w:r>
      <w:r w:rsidR="002C136F">
        <w:t>d</w:t>
      </w:r>
      <w:r>
        <w:t xml:space="preserve"> the market risk premium component (</w:t>
      </w:r>
      <w:proofErr w:type="spellStart"/>
      <w:r>
        <w:t>R</w:t>
      </w:r>
      <w:r>
        <w:rPr>
          <w:vertAlign w:val="subscript"/>
        </w:rPr>
        <w:t>m</w:t>
      </w:r>
      <w:r>
        <w:t>-R</w:t>
      </w:r>
      <w:r>
        <w:rPr>
          <w:vertAlign w:val="subscript"/>
        </w:rPr>
        <w:t>f</w:t>
      </w:r>
      <w:proofErr w:type="spellEnd"/>
      <w:r>
        <w:t xml:space="preserve">) by considering what represents the premium investors expect for buying common stocks rather than “risk free” government bonds.  </w:t>
      </w:r>
    </w:p>
    <w:p w:rsidR="005D3B74" w:rsidRDefault="005D3B74" w:rsidP="005D3B74">
      <w:pPr>
        <w:tabs>
          <w:tab w:val="left" w:pos="720"/>
          <w:tab w:val="left" w:pos="1440"/>
          <w:tab w:val="left" w:pos="9240"/>
        </w:tabs>
        <w:spacing w:line="480" w:lineRule="auto"/>
        <w:ind w:left="720"/>
      </w:pPr>
      <w:r>
        <w:rPr>
          <w:b/>
        </w:rPr>
        <w:tab/>
      </w:r>
      <w:r>
        <w:t xml:space="preserve">First, I note that CAPM, like DCF, is an </w:t>
      </w:r>
      <w:r w:rsidRPr="00E02DDE">
        <w:rPr>
          <w:i/>
        </w:rPr>
        <w:t>ex ante</w:t>
      </w:r>
      <w:r>
        <w:t xml:space="preserve"> proposition.  In other words, investors’ future expectations are relevant.  </w:t>
      </w:r>
      <w:r w:rsidR="00B60AB0">
        <w:t>Historical realized returns are irrelevant in applying the CAPM</w:t>
      </w:r>
      <w:r w:rsidR="00345B88">
        <w:t>, despite the fact that many studies use historical data as a surrogate for future market returns.   The model also</w:t>
      </w:r>
      <w:r w:rsidR="00B60AB0">
        <w:t xml:space="preserve"> </w:t>
      </w:r>
      <w:r>
        <w:t xml:space="preserve">requires </w:t>
      </w:r>
      <w:r w:rsidR="00345B88">
        <w:t>a</w:t>
      </w:r>
      <w:r>
        <w:t xml:space="preserve"> current risk-free rate </w:t>
      </w:r>
      <w:r w:rsidR="00345B88">
        <w:t>matched</w:t>
      </w:r>
      <w:r>
        <w:t xml:space="preserve"> with expected future market returns.  Consequently, the relevant data </w:t>
      </w:r>
      <w:r w:rsidR="00FF672F">
        <w:t>is</w:t>
      </w:r>
      <w:r>
        <w:t xml:space="preserve"> the current risk-free rate matched with current market return expectations of investors.  </w:t>
      </w:r>
      <w:r w:rsidR="00B43D1A">
        <w:t>As I stated earlier, investors in today’s capital markets have reset expectations and expect lower returns on investments of all types in the future.</w:t>
      </w:r>
    </w:p>
    <w:p w:rsidR="005D3B74" w:rsidRDefault="005D3B74" w:rsidP="005D3B74">
      <w:pPr>
        <w:tabs>
          <w:tab w:val="left" w:pos="720"/>
          <w:tab w:val="left" w:pos="1440"/>
          <w:tab w:val="left" w:pos="9240"/>
        </w:tabs>
        <w:spacing w:line="480" w:lineRule="auto"/>
      </w:pPr>
    </w:p>
    <w:p w:rsidR="005D3B74" w:rsidRDefault="005D3B74" w:rsidP="005D3B74">
      <w:pPr>
        <w:tabs>
          <w:tab w:val="left" w:pos="720"/>
          <w:tab w:val="left" w:pos="1440"/>
          <w:tab w:val="left" w:pos="9240"/>
        </w:tabs>
        <w:spacing w:line="480" w:lineRule="auto"/>
        <w:rPr>
          <w:b/>
        </w:rPr>
      </w:pPr>
      <w:r>
        <w:rPr>
          <w:b/>
        </w:rPr>
        <w:t>Q.</w:t>
      </w:r>
      <w:r>
        <w:rPr>
          <w:b/>
        </w:rPr>
        <w:tab/>
        <w:t>How did you measure market risk premium?</w:t>
      </w:r>
    </w:p>
    <w:p w:rsidR="005D3B74" w:rsidRDefault="005D3B74" w:rsidP="005D3B74">
      <w:pPr>
        <w:tabs>
          <w:tab w:val="left" w:pos="720"/>
          <w:tab w:val="left" w:pos="1440"/>
          <w:tab w:val="left" w:pos="9240"/>
        </w:tabs>
        <w:spacing w:line="480" w:lineRule="auto"/>
        <w:ind w:left="720" w:hanging="720"/>
      </w:pPr>
      <w:r>
        <w:t>A</w:t>
      </w:r>
      <w:r w:rsidR="002F4420">
        <w:t>.</w:t>
      </w:r>
      <w:r w:rsidR="002F4420">
        <w:tab/>
        <w:t xml:space="preserve">I </w:t>
      </w:r>
      <w:r w:rsidR="00B43D1A">
        <w:t>beg</w:t>
      </w:r>
      <w:r w:rsidR="00161F42">
        <w:t>a</w:t>
      </w:r>
      <w:r w:rsidR="00B43D1A">
        <w:t xml:space="preserve">n by </w:t>
      </w:r>
      <w:r w:rsidR="002F4420">
        <w:t>estimat</w:t>
      </w:r>
      <w:r w:rsidR="00B43D1A">
        <w:t>ing</w:t>
      </w:r>
      <w:r>
        <w:t xml:space="preserve"> the long-term expected return of a fully diversified portfolio of stocks as the surrogate for </w:t>
      </w:r>
      <w:r w:rsidR="002C136F">
        <w:t xml:space="preserve">the </w:t>
      </w:r>
      <w:r>
        <w:t xml:space="preserve">expected return on market component of the CAPM.  </w:t>
      </w:r>
    </w:p>
    <w:p w:rsidR="005D3B74" w:rsidRDefault="005D3B74" w:rsidP="005D3B74">
      <w:pPr>
        <w:tabs>
          <w:tab w:val="left" w:pos="720"/>
          <w:tab w:val="left" w:pos="1440"/>
          <w:tab w:val="left" w:pos="9240"/>
        </w:tabs>
        <w:spacing w:line="480" w:lineRule="auto"/>
        <w:ind w:left="720" w:hanging="720"/>
      </w:pPr>
      <w:r>
        <w:tab/>
      </w:r>
      <w:r>
        <w:tab/>
        <w:t xml:space="preserve">There is no single factor that points to an objectively verifiable </w:t>
      </w:r>
      <w:r w:rsidRPr="007109F3">
        <w:rPr>
          <w:i/>
        </w:rPr>
        <w:t>ex ante</w:t>
      </w:r>
      <w:r>
        <w:t xml:space="preserve"> estimate for a return “on the market”.  Instead, my CAPM analysis is based upon a range of expectations for investors in current financial markets, including what some would consider aggressive expectations for investor returns in a </w:t>
      </w:r>
      <w:r w:rsidR="002F4420">
        <w:t xml:space="preserve">fully </w:t>
      </w:r>
      <w:r>
        <w:t xml:space="preserve">diversified portfolio of common stocks.  </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lastRenderedPageBreak/>
        <w:t>Q.</w:t>
      </w:r>
      <w:r>
        <w:rPr>
          <w:b/>
        </w:rPr>
        <w:tab/>
        <w:t>What did you use as an estimate of investor</w:t>
      </w:r>
      <w:r w:rsidR="00A15099">
        <w:rPr>
          <w:b/>
        </w:rPr>
        <w:t>s</w:t>
      </w:r>
      <w:r w:rsidR="002C136F">
        <w:rPr>
          <w:b/>
        </w:rPr>
        <w:t>’</w:t>
      </w:r>
      <w:r w:rsidR="00CD597E">
        <w:rPr>
          <w:b/>
        </w:rPr>
        <w:t xml:space="preserve"> return requirements, </w:t>
      </w:r>
      <w:r w:rsidR="00CD597E" w:rsidRPr="00CF01FE">
        <w:rPr>
          <w:b/>
          <w:i/>
        </w:rPr>
        <w:t>i.e.</w:t>
      </w:r>
      <w:r w:rsidR="00CD597E">
        <w:rPr>
          <w:b/>
        </w:rPr>
        <w:t xml:space="preserve"> </w:t>
      </w:r>
      <w:r>
        <w:rPr>
          <w:b/>
        </w:rPr>
        <w:t>the market, for a fully diversified portfolio of equities?</w:t>
      </w:r>
    </w:p>
    <w:p w:rsidR="005D3B74" w:rsidRDefault="005D3B74" w:rsidP="005D3B74">
      <w:pPr>
        <w:tabs>
          <w:tab w:val="left" w:pos="720"/>
          <w:tab w:val="left" w:pos="1440"/>
          <w:tab w:val="left" w:pos="9240"/>
        </w:tabs>
        <w:spacing w:line="480" w:lineRule="auto"/>
        <w:ind w:left="720" w:hanging="720"/>
      </w:pPr>
      <w:r>
        <w:rPr>
          <w:b/>
        </w:rPr>
        <w:t>A.</w:t>
      </w:r>
      <w:r>
        <w:rPr>
          <w:b/>
        </w:rPr>
        <w:tab/>
      </w:r>
      <w:r>
        <w:t xml:space="preserve">Based upon my </w:t>
      </w:r>
      <w:r w:rsidR="0038374D">
        <w:t>experience and knowledge</w:t>
      </w:r>
      <w:r>
        <w:t>, a reasonable expectation of a return for a fully diversified portfolio</w:t>
      </w:r>
      <w:r w:rsidRPr="00537151">
        <w:t xml:space="preserve"> </w:t>
      </w:r>
      <w:r>
        <w:t>of equities</w:t>
      </w:r>
      <w:r w:rsidR="002C136F">
        <w:t xml:space="preserve"> </w:t>
      </w:r>
      <w:r>
        <w:t>is currently 10 percent</w:t>
      </w:r>
      <w:r w:rsidR="00CD597E">
        <w:t>,</w:t>
      </w:r>
      <w:r>
        <w:t xml:space="preserve"> and an “aggressive” estimate for a market return </w:t>
      </w:r>
      <w:r w:rsidR="002C136F">
        <w:t>is 1</w:t>
      </w:r>
      <w:r>
        <w:t>2 percent.  The latter figure shows the upper bound of what investors might expect for owning a fully diversified portfolio in today</w:t>
      </w:r>
      <w:r w:rsidR="00A15099">
        <w:t>’s</w:t>
      </w:r>
      <w:r>
        <w:t xml:space="preserve"> markets.</w:t>
      </w:r>
      <w:r w:rsidR="00345B88">
        <w:t xml:space="preserve">  </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 xml:space="preserve">Based upon these inputs to CAPM, what is your estimate of the cost of equity for </w:t>
      </w:r>
      <w:r w:rsidR="00D25732">
        <w:rPr>
          <w:b/>
        </w:rPr>
        <w:t>PSE</w:t>
      </w:r>
      <w:r>
        <w:rPr>
          <w:b/>
        </w:rPr>
        <w:t>?</w:t>
      </w:r>
    </w:p>
    <w:p w:rsidR="005D3B74" w:rsidRDefault="005D3B74" w:rsidP="005D3B74">
      <w:pPr>
        <w:tabs>
          <w:tab w:val="left" w:pos="720"/>
          <w:tab w:val="left" w:pos="1440"/>
          <w:tab w:val="left" w:pos="9240"/>
        </w:tabs>
        <w:spacing w:line="480" w:lineRule="auto"/>
        <w:ind w:left="720" w:hanging="720"/>
      </w:pPr>
      <w:r>
        <w:t>A.</w:t>
      </w:r>
      <w:r>
        <w:tab/>
      </w:r>
      <w:r w:rsidR="000B6D84">
        <w:t xml:space="preserve">In June 2011 when I prepared this CAPM analysis long-term Treasury securities were 4.25 percent.  Using </w:t>
      </w:r>
      <w:r>
        <w:t>4.2</w:t>
      </w:r>
      <w:r w:rsidR="002F4420">
        <w:t>5</w:t>
      </w:r>
      <w:r w:rsidR="00161F42">
        <w:t xml:space="preserve"> </w:t>
      </w:r>
      <w:r w:rsidR="00736CD7">
        <w:t>percent</w:t>
      </w:r>
      <w:r w:rsidR="000B6D84">
        <w:t xml:space="preserve"> as the risk-free rate</w:t>
      </w:r>
      <w:r>
        <w:t>, an expect</w:t>
      </w:r>
      <w:r w:rsidR="002F4420">
        <w:t>ed return on the market of 10.0</w:t>
      </w:r>
      <w:r w:rsidR="0006623E">
        <w:t xml:space="preserve"> </w:t>
      </w:r>
      <w:r w:rsidR="00736CD7">
        <w:t>percent</w:t>
      </w:r>
      <w:r w:rsidR="002F4420">
        <w:t xml:space="preserve"> </w:t>
      </w:r>
      <w:r>
        <w:t xml:space="preserve">and a </w:t>
      </w:r>
      <w:r w:rsidRPr="00DF4FD7">
        <w:rPr>
          <w:i/>
        </w:rPr>
        <w:t>beta</w:t>
      </w:r>
      <w:r>
        <w:t xml:space="preserve"> of 0.70, the CAPM produces an expected return</w:t>
      </w:r>
      <w:r w:rsidR="00FF672F">
        <w:t xml:space="preserve"> on equity of 8.30 percent </w:t>
      </w:r>
      <w:r w:rsidR="002F4420">
        <w:t xml:space="preserve">for </w:t>
      </w:r>
      <w:r w:rsidR="00D25732">
        <w:t>PSE</w:t>
      </w:r>
      <w:r>
        <w:t>.</w:t>
      </w:r>
      <w:r w:rsidR="00C001ED">
        <w:rPr>
          <w:rStyle w:val="FootnoteReference"/>
        </w:rPr>
        <w:footnoteReference w:id="30"/>
      </w:r>
      <w:r>
        <w:t xml:space="preserve">  On the “aggressive” side, if investors expect a return on the market of 12 percent, then the CAPM result for </w:t>
      </w:r>
      <w:r w:rsidR="00D25732">
        <w:t>PSE</w:t>
      </w:r>
      <w:r w:rsidR="00FF672F">
        <w:t xml:space="preserve"> would be 9.80 percent</w:t>
      </w:r>
      <w:r>
        <w:t>.</w:t>
      </w:r>
      <w:r w:rsidR="00C001ED">
        <w:rPr>
          <w:rStyle w:val="FootnoteReference"/>
        </w:rPr>
        <w:footnoteReference w:id="31"/>
      </w:r>
      <w:r>
        <w:t xml:space="preserve">  The </w:t>
      </w:r>
      <w:r w:rsidR="00896651">
        <w:t>average</w:t>
      </w:r>
      <w:r w:rsidR="00FF672F">
        <w:t xml:space="preserve"> of these two figures is 9.05</w:t>
      </w:r>
      <w:r>
        <w:t xml:space="preserve"> percent.</w:t>
      </w:r>
      <w:r w:rsidR="00B60AB0">
        <w:t xml:space="preserve">  </w:t>
      </w:r>
    </w:p>
    <w:p w:rsidR="00B60AB0" w:rsidRDefault="00B60AB0" w:rsidP="005D3B74">
      <w:pPr>
        <w:tabs>
          <w:tab w:val="left" w:pos="720"/>
          <w:tab w:val="left" w:pos="1440"/>
          <w:tab w:val="left" w:pos="9240"/>
        </w:tabs>
        <w:spacing w:line="480" w:lineRule="auto"/>
        <w:ind w:left="720" w:hanging="720"/>
      </w:pPr>
      <w:r>
        <w:tab/>
      </w:r>
      <w:r>
        <w:tab/>
        <w:t xml:space="preserve">If I use </w:t>
      </w:r>
      <w:r w:rsidR="00613470">
        <w:t>November</w:t>
      </w:r>
      <w:r w:rsidR="000B6D84">
        <w:t xml:space="preserve"> 2011 </w:t>
      </w:r>
      <w:r>
        <w:t xml:space="preserve">Treasury yields of </w:t>
      </w:r>
      <w:r w:rsidR="00613470">
        <w:t>3.00</w:t>
      </w:r>
      <w:r>
        <w:t xml:space="preserve"> percent the respective estimates produced by CAPM produce a</w:t>
      </w:r>
      <w:r w:rsidR="00613470">
        <w:t>n even lower</w:t>
      </w:r>
      <w:r>
        <w:t xml:space="preserve"> ROE </w:t>
      </w:r>
      <w:r w:rsidR="00613470">
        <w:t xml:space="preserve">estimate.  </w:t>
      </w:r>
    </w:p>
    <w:p w:rsidR="0038374D" w:rsidRDefault="0038374D" w:rsidP="005D3B74">
      <w:pPr>
        <w:tabs>
          <w:tab w:val="left" w:pos="720"/>
          <w:tab w:val="left" w:pos="1440"/>
          <w:tab w:val="left" w:pos="9240"/>
        </w:tabs>
        <w:spacing w:line="480" w:lineRule="auto"/>
        <w:ind w:left="720" w:hanging="720"/>
      </w:pPr>
    </w:p>
    <w:p w:rsidR="0038374D" w:rsidRPr="0038374D" w:rsidRDefault="0038374D" w:rsidP="005D3B74">
      <w:pPr>
        <w:tabs>
          <w:tab w:val="left" w:pos="720"/>
          <w:tab w:val="left" w:pos="1440"/>
          <w:tab w:val="left" w:pos="9240"/>
        </w:tabs>
        <w:spacing w:line="480" w:lineRule="auto"/>
        <w:ind w:left="720" w:hanging="720"/>
        <w:rPr>
          <w:b/>
        </w:rPr>
      </w:pPr>
      <w:r>
        <w:rPr>
          <w:b/>
        </w:rPr>
        <w:t>Q.</w:t>
      </w:r>
      <w:r>
        <w:rPr>
          <w:b/>
        </w:rPr>
        <w:tab/>
        <w:t>Do you have any other comments about the</w:t>
      </w:r>
      <w:r w:rsidR="000B6D84">
        <w:rPr>
          <w:b/>
        </w:rPr>
        <w:t>se</w:t>
      </w:r>
      <w:r>
        <w:rPr>
          <w:b/>
        </w:rPr>
        <w:t xml:space="preserve"> CAPM results?</w:t>
      </w:r>
    </w:p>
    <w:p w:rsidR="00DB5A14" w:rsidRDefault="0038374D" w:rsidP="005D3B74">
      <w:pPr>
        <w:tabs>
          <w:tab w:val="left" w:pos="720"/>
          <w:tab w:val="left" w:pos="1440"/>
          <w:tab w:val="left" w:pos="9240"/>
        </w:tabs>
        <w:spacing w:line="480" w:lineRule="auto"/>
        <w:ind w:left="720" w:hanging="720"/>
      </w:pPr>
      <w:r>
        <w:t>A.</w:t>
      </w:r>
      <w:r>
        <w:tab/>
        <w:t xml:space="preserve">Yes. </w:t>
      </w:r>
      <w:r w:rsidR="005D3B74">
        <w:t xml:space="preserve"> </w:t>
      </w:r>
      <w:r w:rsidR="00161F42">
        <w:t xml:space="preserve">CAPM </w:t>
      </w:r>
      <w:r w:rsidR="005D3B74">
        <w:t xml:space="preserve">results are highly dependent upon both future market equity returns and long-term rates on Treasuries.  </w:t>
      </w:r>
      <w:r w:rsidR="00FE1242">
        <w:t>As I previously noted</w:t>
      </w:r>
      <w:r w:rsidR="00703E83">
        <w:t>,</w:t>
      </w:r>
      <w:r w:rsidR="00FE1242">
        <w:t xml:space="preserve"> </w:t>
      </w:r>
      <w:r w:rsidR="00703E83">
        <w:t xml:space="preserve">given </w:t>
      </w:r>
      <w:r w:rsidR="00FE1242">
        <w:t xml:space="preserve">the recent decline in </w:t>
      </w:r>
      <w:r w:rsidR="00FE1242">
        <w:lastRenderedPageBreak/>
        <w:t>Treasury rates</w:t>
      </w:r>
      <w:r w:rsidR="00703E83">
        <w:t xml:space="preserve">, </w:t>
      </w:r>
      <w:r w:rsidR="00FE1242">
        <w:t xml:space="preserve">CAPM would indicate a decline in the return on equity.  </w:t>
      </w:r>
      <w:r w:rsidR="00161F42">
        <w:t>Moreover</w:t>
      </w:r>
      <w:r w:rsidR="005D3B74" w:rsidRPr="00AB17BA">
        <w:t xml:space="preserve">, </w:t>
      </w:r>
      <w:r w:rsidR="005D3B74">
        <w:t xml:space="preserve">CAPM </w:t>
      </w:r>
      <w:r w:rsidR="005D3B74" w:rsidRPr="00AB17BA">
        <w:t xml:space="preserve">shows the extreme impact of the model if very favorable results for overall market returns are expected by investors.  </w:t>
      </w:r>
      <w:r w:rsidR="00B43D1A">
        <w:t xml:space="preserve">Only under the most aggressive </w:t>
      </w:r>
      <w:r w:rsidR="00984047">
        <w:t>investor expectations</w:t>
      </w:r>
      <w:r w:rsidR="00B43D1A">
        <w:t xml:space="preserve"> of future returns </w:t>
      </w:r>
      <w:r w:rsidR="00C001ED">
        <w:t xml:space="preserve">and higher interest rates </w:t>
      </w:r>
      <w:r w:rsidR="00B43D1A">
        <w:t xml:space="preserve">would CAPM support an </w:t>
      </w:r>
      <w:r w:rsidR="00161F42">
        <w:t xml:space="preserve">ROE </w:t>
      </w:r>
      <w:r w:rsidR="00B43D1A">
        <w:t xml:space="preserve">estimate in the </w:t>
      </w:r>
      <w:r w:rsidR="00396FFA">
        <w:t xml:space="preserve">mid to </w:t>
      </w:r>
      <w:r w:rsidR="00B43D1A">
        <w:t>high 9 percent range.</w:t>
      </w:r>
    </w:p>
    <w:p w:rsidR="00396FFA" w:rsidRDefault="00396FFA" w:rsidP="00396FFA">
      <w:pPr>
        <w:keepNext/>
        <w:tabs>
          <w:tab w:val="left" w:pos="720"/>
          <w:tab w:val="left" w:pos="1440"/>
          <w:tab w:val="left" w:pos="9240"/>
        </w:tabs>
        <w:spacing w:line="480" w:lineRule="auto"/>
        <w:ind w:left="720" w:hanging="720"/>
        <w:rPr>
          <w:b/>
        </w:rPr>
      </w:pPr>
    </w:p>
    <w:p w:rsidR="00396FFA" w:rsidRDefault="00396FFA" w:rsidP="00396FFA">
      <w:pPr>
        <w:keepNext/>
        <w:tabs>
          <w:tab w:val="left" w:pos="720"/>
          <w:tab w:val="left" w:pos="1440"/>
          <w:tab w:val="left" w:pos="9240"/>
        </w:tabs>
        <w:spacing w:line="480" w:lineRule="auto"/>
        <w:ind w:left="720" w:hanging="720"/>
        <w:rPr>
          <w:b/>
        </w:rPr>
      </w:pPr>
      <w:r>
        <w:rPr>
          <w:b/>
        </w:rPr>
        <w:t>Q.</w:t>
      </w:r>
      <w:r>
        <w:rPr>
          <w:b/>
        </w:rPr>
        <w:tab/>
        <w:t>What is your conclusion concerning the cost of equity for PSE based on the CAPM?</w:t>
      </w:r>
    </w:p>
    <w:p w:rsidR="00396FFA" w:rsidRDefault="00396FFA" w:rsidP="00396FFA">
      <w:pPr>
        <w:tabs>
          <w:tab w:val="left" w:pos="720"/>
          <w:tab w:val="left" w:pos="1440"/>
          <w:tab w:val="left" w:pos="9240"/>
        </w:tabs>
        <w:spacing w:line="480" w:lineRule="auto"/>
        <w:ind w:left="720" w:hanging="720"/>
      </w:pPr>
      <w:r>
        <w:t>A.</w:t>
      </w:r>
      <w:r>
        <w:tab/>
        <w:t>Based upon Treasury price data from June 2011, the average res</w:t>
      </w:r>
      <w:r w:rsidR="00613470">
        <w:t xml:space="preserve">ult of the CAPM is 9.05 percent.  It </w:t>
      </w:r>
      <w:r>
        <w:t xml:space="preserve">supports a ROE in the low </w:t>
      </w:r>
      <w:r w:rsidR="00613470">
        <w:t xml:space="preserve">9.0 </w:t>
      </w:r>
      <w:r w:rsidR="00703E83">
        <w:t xml:space="preserve">percent range </w:t>
      </w:r>
      <w:r w:rsidR="00613470">
        <w:t>consistent with</w:t>
      </w:r>
      <w:r>
        <w:t xml:space="preserve"> my DCF analysis.  The most current data supports an even lower ROE estimate.</w:t>
      </w:r>
    </w:p>
    <w:p w:rsidR="00FE1242" w:rsidRDefault="00FE1242" w:rsidP="005D3B74">
      <w:pPr>
        <w:tabs>
          <w:tab w:val="left" w:pos="720"/>
          <w:tab w:val="left" w:pos="1440"/>
          <w:tab w:val="left" w:pos="9240"/>
        </w:tabs>
        <w:spacing w:line="480" w:lineRule="auto"/>
        <w:ind w:left="720" w:hanging="720"/>
      </w:pPr>
    </w:p>
    <w:p w:rsidR="00FE1242" w:rsidRDefault="00FE1242" w:rsidP="005D3B74">
      <w:pPr>
        <w:tabs>
          <w:tab w:val="left" w:pos="720"/>
          <w:tab w:val="left" w:pos="1440"/>
          <w:tab w:val="left" w:pos="9240"/>
        </w:tabs>
        <w:spacing w:line="480" w:lineRule="auto"/>
        <w:ind w:left="720" w:hanging="720"/>
        <w:rPr>
          <w:b/>
        </w:rPr>
      </w:pPr>
      <w:r>
        <w:rPr>
          <w:b/>
        </w:rPr>
        <w:t>Q.</w:t>
      </w:r>
      <w:r>
        <w:rPr>
          <w:b/>
        </w:rPr>
        <w:tab/>
        <w:t>Do you have any final comments with respect to your CAPM analysis?</w:t>
      </w:r>
    </w:p>
    <w:p w:rsidR="00FE1242" w:rsidRPr="00FE1242" w:rsidRDefault="00FE1242" w:rsidP="005D3B74">
      <w:pPr>
        <w:tabs>
          <w:tab w:val="left" w:pos="720"/>
          <w:tab w:val="left" w:pos="1440"/>
          <w:tab w:val="left" w:pos="9240"/>
        </w:tabs>
        <w:spacing w:line="480" w:lineRule="auto"/>
        <w:ind w:left="720" w:hanging="720"/>
      </w:pPr>
      <w:r>
        <w:t>A.</w:t>
      </w:r>
      <w:r>
        <w:tab/>
        <w:t xml:space="preserve">Yes.  The Commission should give little </w:t>
      </w:r>
      <w:r w:rsidR="00396FFA">
        <w:t>weight</w:t>
      </w:r>
      <w:r>
        <w:t xml:space="preserve"> to the results.  At most </w:t>
      </w:r>
      <w:r w:rsidR="00E5263A">
        <w:t>the CAPM analysis</w:t>
      </w:r>
      <w:r>
        <w:t xml:space="preserve"> supports my conclusion presented earlier in my testimony</w:t>
      </w:r>
      <w:r w:rsidR="00984047">
        <w:t xml:space="preserve">: </w:t>
      </w:r>
      <w:r w:rsidR="00984662">
        <w:t xml:space="preserve"> </w:t>
      </w:r>
      <w:r w:rsidR="00E5263A">
        <w:t xml:space="preserve">in </w:t>
      </w:r>
      <w:r>
        <w:t>the current environment the cost of capital will continue to be low</w:t>
      </w:r>
      <w:r w:rsidR="00CE26C8">
        <w:t xml:space="preserve"> in the rate year</w:t>
      </w:r>
      <w:r>
        <w:t>.</w:t>
      </w:r>
    </w:p>
    <w:p w:rsidR="005D3B74" w:rsidRDefault="00800834" w:rsidP="005D3B74">
      <w:pPr>
        <w:tabs>
          <w:tab w:val="left" w:pos="720"/>
          <w:tab w:val="left" w:pos="1440"/>
          <w:tab w:val="left" w:pos="9240"/>
        </w:tabs>
        <w:spacing w:line="480" w:lineRule="auto"/>
        <w:ind w:left="720" w:hanging="720"/>
      </w:pPr>
      <w:r>
        <w:tab/>
      </w:r>
    </w:p>
    <w:p w:rsidR="005D3B74" w:rsidRDefault="006F289E" w:rsidP="00F30AA5">
      <w:pPr>
        <w:keepNext/>
        <w:spacing w:line="480" w:lineRule="auto"/>
        <w:ind w:left="723" w:hangingChars="300" w:hanging="723"/>
        <w:rPr>
          <w:b/>
        </w:rPr>
      </w:pPr>
      <w:r>
        <w:rPr>
          <w:b/>
        </w:rPr>
        <w:tab/>
      </w:r>
      <w:r w:rsidR="005D3B74">
        <w:rPr>
          <w:b/>
        </w:rPr>
        <w:t xml:space="preserve">4. </w:t>
      </w:r>
      <w:r w:rsidR="005D3B74">
        <w:rPr>
          <w:b/>
        </w:rPr>
        <w:tab/>
        <w:t>Risk Premium Analysis</w:t>
      </w:r>
    </w:p>
    <w:p w:rsidR="005D3B74" w:rsidRDefault="005D3B74" w:rsidP="00F30AA5">
      <w:pPr>
        <w:keepNext/>
        <w:tabs>
          <w:tab w:val="left" w:pos="720"/>
          <w:tab w:val="left" w:pos="1440"/>
          <w:tab w:val="left" w:pos="9240"/>
        </w:tabs>
        <w:spacing w:line="480" w:lineRule="auto"/>
        <w:ind w:left="723" w:hangingChars="300" w:hanging="723"/>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 xml:space="preserve">Did you undertake a Risk Premium analysis </w:t>
      </w:r>
      <w:r w:rsidR="00013E75">
        <w:rPr>
          <w:b/>
        </w:rPr>
        <w:t xml:space="preserve">as a check on your cost of equity capital </w:t>
      </w:r>
      <w:r>
        <w:rPr>
          <w:b/>
        </w:rPr>
        <w:t>recommendation?</w:t>
      </w:r>
    </w:p>
    <w:p w:rsidR="005D3B74" w:rsidRDefault="005D3B74" w:rsidP="005D3B74">
      <w:pPr>
        <w:tabs>
          <w:tab w:val="left" w:pos="720"/>
          <w:tab w:val="left" w:pos="1440"/>
          <w:tab w:val="left" w:pos="9240"/>
        </w:tabs>
        <w:spacing w:line="480" w:lineRule="auto"/>
        <w:ind w:left="720" w:hanging="720"/>
      </w:pPr>
      <w:r>
        <w:lastRenderedPageBreak/>
        <w:t>A.</w:t>
      </w:r>
      <w:r>
        <w:tab/>
        <w:t xml:space="preserve">Yes, </w:t>
      </w:r>
      <w:r w:rsidR="00161F42">
        <w:t>al</w:t>
      </w:r>
      <w:r>
        <w:t>though indirectly.  I am not an advocate of risk premium methodologies</w:t>
      </w:r>
      <w:r w:rsidR="00F56669">
        <w:t xml:space="preserve"> for the same reasons Dr. Olson states in his testimony.</w:t>
      </w:r>
      <w:r w:rsidR="00703E83">
        <w:rPr>
          <w:rStyle w:val="FootnoteReference"/>
        </w:rPr>
        <w:footnoteReference w:id="32"/>
      </w:r>
      <w:r w:rsidR="00F56669">
        <w:t xml:space="preserve">  </w:t>
      </w:r>
      <w:r>
        <w:t>However, I present a risk premium analysis for the Commission</w:t>
      </w:r>
      <w:r w:rsidR="00A15099">
        <w:t>’s</w:t>
      </w:r>
      <w:r>
        <w:t xml:space="preserve"> consideration that </w:t>
      </w:r>
      <w:r w:rsidR="00214065">
        <w:t>evaluates</w:t>
      </w:r>
      <w:r>
        <w:t xml:space="preserve"> the DCF result in comparison to the market cost of long-term debt for </w:t>
      </w:r>
      <w:r w:rsidR="00D25732">
        <w:t>PSE</w:t>
      </w:r>
      <w:r w:rsidR="00EE37FE">
        <w:t xml:space="preserve">.  </w:t>
      </w:r>
      <w:r w:rsidR="00161F42">
        <w:t xml:space="preserve">My Risk Premium analysis </w:t>
      </w:r>
      <w:r w:rsidR="00EE37FE">
        <w:t xml:space="preserve">is indirect </w:t>
      </w:r>
      <w:r w:rsidR="00161F42">
        <w:t>because</w:t>
      </w:r>
      <w:r w:rsidR="00EE37FE">
        <w:t xml:space="preserve"> it compares </w:t>
      </w:r>
      <w:r w:rsidR="00E23C0B">
        <w:t>my</w:t>
      </w:r>
      <w:r w:rsidR="00EE37FE">
        <w:t xml:space="preserve"> recommended ROE to the cost of long-term debt for the Company and judges whether the premium for shareholders </w:t>
      </w:r>
      <w:r w:rsidR="00214065">
        <w:t xml:space="preserve">for owning the stock </w:t>
      </w:r>
      <w:r w:rsidR="00EE37FE">
        <w:t xml:space="preserve">is reasonable </w:t>
      </w:r>
      <w:r w:rsidR="00214065">
        <w:t xml:space="preserve">compensation </w:t>
      </w:r>
      <w:r w:rsidR="00EE37FE">
        <w:t>in today’s capital markets.</w:t>
      </w:r>
    </w:p>
    <w:p w:rsidR="005D3B74" w:rsidRDefault="005D3B74" w:rsidP="005D3B74">
      <w:pPr>
        <w:tabs>
          <w:tab w:val="left" w:pos="720"/>
          <w:tab w:val="left" w:pos="1440"/>
          <w:tab w:val="left" w:pos="9240"/>
        </w:tabs>
        <w:spacing w:line="480" w:lineRule="auto"/>
        <w:ind w:left="720" w:hanging="720"/>
      </w:pPr>
    </w:p>
    <w:p w:rsidR="005D3B74" w:rsidRPr="00083351" w:rsidRDefault="005D3B74" w:rsidP="005D3B74">
      <w:pPr>
        <w:tabs>
          <w:tab w:val="left" w:pos="720"/>
          <w:tab w:val="left" w:pos="1440"/>
          <w:tab w:val="left" w:pos="9240"/>
        </w:tabs>
        <w:spacing w:line="480" w:lineRule="auto"/>
        <w:ind w:left="720" w:hanging="720"/>
        <w:rPr>
          <w:b/>
        </w:rPr>
      </w:pPr>
      <w:r>
        <w:rPr>
          <w:b/>
        </w:rPr>
        <w:t>Q.</w:t>
      </w:r>
      <w:r>
        <w:rPr>
          <w:b/>
        </w:rPr>
        <w:tab/>
        <w:t xml:space="preserve">Please explain what the Commission should consider in the context of a </w:t>
      </w:r>
      <w:r w:rsidR="00161F42">
        <w:rPr>
          <w:b/>
        </w:rPr>
        <w:t>R</w:t>
      </w:r>
      <w:r>
        <w:rPr>
          <w:b/>
        </w:rPr>
        <w:t xml:space="preserve">isk </w:t>
      </w:r>
      <w:r w:rsidR="00161F42">
        <w:rPr>
          <w:b/>
        </w:rPr>
        <w:t>P</w:t>
      </w:r>
      <w:r>
        <w:rPr>
          <w:b/>
        </w:rPr>
        <w:t>remium analysis</w:t>
      </w:r>
      <w:r w:rsidR="006F289E">
        <w:rPr>
          <w:b/>
        </w:rPr>
        <w:t>, if the Commission decides to consider this method</w:t>
      </w:r>
      <w:r>
        <w:rPr>
          <w:b/>
        </w:rPr>
        <w:t>.</w:t>
      </w:r>
    </w:p>
    <w:p w:rsidR="005D3B74" w:rsidRDefault="005D3B74" w:rsidP="000865E5">
      <w:pPr>
        <w:tabs>
          <w:tab w:val="left" w:pos="720"/>
          <w:tab w:val="left" w:pos="1440"/>
          <w:tab w:val="left" w:pos="9240"/>
        </w:tabs>
        <w:spacing w:line="480" w:lineRule="auto"/>
        <w:ind w:left="720" w:hanging="720"/>
      </w:pPr>
      <w:r>
        <w:t>A.</w:t>
      </w:r>
      <w:r>
        <w:tab/>
        <w:t xml:space="preserve">First the Commission should consider the current cost of long-term debt investors are willing to accept today when </w:t>
      </w:r>
      <w:r w:rsidR="00182608">
        <w:t xml:space="preserve">buying </w:t>
      </w:r>
      <w:r w:rsidR="00D25732">
        <w:t>PSE</w:t>
      </w:r>
      <w:r w:rsidR="00A348E1">
        <w:t xml:space="preserve">’s </w:t>
      </w:r>
      <w:r>
        <w:t xml:space="preserve">long-term </w:t>
      </w:r>
      <w:r w:rsidR="00EE37FE">
        <w:t>debt</w:t>
      </w:r>
      <w:r>
        <w:t xml:space="preserve">.  This is measured by the coupon rate on the bonds </w:t>
      </w:r>
      <w:r w:rsidR="00703E83">
        <w:t>PSE</w:t>
      </w:r>
      <w:r w:rsidR="0040538A">
        <w:t xml:space="preserve"> </w:t>
      </w:r>
      <w:r w:rsidR="00A348E1">
        <w:t>is</w:t>
      </w:r>
      <w:r>
        <w:t xml:space="preserve"> issuing currently.  The difference between the coupon rate and </w:t>
      </w:r>
      <w:r w:rsidR="000865E5">
        <w:t>a</w:t>
      </w:r>
      <w:r>
        <w:t xml:space="preserve"> ROE recommendation is called the “spread”</w:t>
      </w:r>
      <w:r w:rsidR="00C32318">
        <w:t xml:space="preserve"> or “risk premium”</w:t>
      </w:r>
      <w:r>
        <w:t xml:space="preserve">, </w:t>
      </w:r>
      <w:r w:rsidR="00C32318">
        <w:t>which</w:t>
      </w:r>
      <w:r>
        <w:t xml:space="preserve"> is an estimate of the </w:t>
      </w:r>
      <w:proofErr w:type="spellStart"/>
      <w:r>
        <w:rPr>
          <w:i/>
        </w:rPr>
        <w:t>ex ante</w:t>
      </w:r>
      <w:proofErr w:type="spellEnd"/>
      <w:r>
        <w:rPr>
          <w:i/>
        </w:rPr>
        <w:t xml:space="preserve"> </w:t>
      </w:r>
      <w:r>
        <w:t xml:space="preserve">market risk premium.  The </w:t>
      </w:r>
      <w:r w:rsidR="000865E5">
        <w:t xml:space="preserve">underlying theory of my </w:t>
      </w:r>
      <w:r w:rsidR="00161F42">
        <w:t>R</w:t>
      </w:r>
      <w:r w:rsidR="000865E5">
        <w:t xml:space="preserve">isk </w:t>
      </w:r>
      <w:r w:rsidR="00161F42">
        <w:t>P</w:t>
      </w:r>
      <w:r w:rsidR="000865E5">
        <w:t xml:space="preserve">remium </w:t>
      </w:r>
      <w:r w:rsidR="00076722">
        <w:t xml:space="preserve">study </w:t>
      </w:r>
      <w:r w:rsidR="000865E5">
        <w:t xml:space="preserve">is to consider whether the </w:t>
      </w:r>
      <w:r>
        <w:t xml:space="preserve">magnitude of this spread indicates </w:t>
      </w:r>
      <w:r w:rsidR="000865E5">
        <w:t>that</w:t>
      </w:r>
      <w:r>
        <w:t xml:space="preserve"> the ROE </w:t>
      </w:r>
      <w:r w:rsidR="0040538A">
        <w:t xml:space="preserve">recommendation from my DCF analysis </w:t>
      </w:r>
      <w:r>
        <w:t xml:space="preserve">is reasonable.  </w:t>
      </w:r>
    </w:p>
    <w:p w:rsidR="005D3B74" w:rsidRDefault="005D3B74" w:rsidP="005D3B74">
      <w:pPr>
        <w:tabs>
          <w:tab w:val="left" w:pos="720"/>
          <w:tab w:val="left" w:pos="1440"/>
          <w:tab w:val="left" w:pos="9240"/>
        </w:tabs>
        <w:spacing w:line="480" w:lineRule="auto"/>
        <w:ind w:left="720" w:hanging="720"/>
      </w:pPr>
    </w:p>
    <w:p w:rsidR="005D3B74" w:rsidRDefault="005D3B74" w:rsidP="00CA67A1">
      <w:pPr>
        <w:keepNext/>
        <w:tabs>
          <w:tab w:val="left" w:pos="720"/>
          <w:tab w:val="left" w:pos="1440"/>
          <w:tab w:val="left" w:pos="9240"/>
        </w:tabs>
        <w:spacing w:line="480" w:lineRule="auto"/>
        <w:ind w:left="720" w:hanging="720"/>
        <w:rPr>
          <w:b/>
        </w:rPr>
      </w:pPr>
      <w:r>
        <w:rPr>
          <w:b/>
        </w:rPr>
        <w:t>Q.</w:t>
      </w:r>
      <w:r w:rsidRPr="00302F91">
        <w:rPr>
          <w:b/>
        </w:rPr>
        <w:tab/>
      </w:r>
      <w:r>
        <w:rPr>
          <w:b/>
        </w:rPr>
        <w:t>Please explain your analysis.</w:t>
      </w:r>
    </w:p>
    <w:p w:rsidR="002977A8" w:rsidRDefault="00EC4CBB" w:rsidP="005D3B74">
      <w:pPr>
        <w:tabs>
          <w:tab w:val="left" w:pos="720"/>
          <w:tab w:val="left" w:pos="1440"/>
          <w:tab w:val="left" w:pos="9240"/>
        </w:tabs>
        <w:spacing w:line="480" w:lineRule="auto"/>
        <w:ind w:left="720" w:hanging="720"/>
      </w:pPr>
      <w:r>
        <w:t>A.</w:t>
      </w:r>
      <w:r>
        <w:tab/>
      </w:r>
      <w:r w:rsidR="002977A8">
        <w:t>According to information filed</w:t>
      </w:r>
      <w:r w:rsidR="00703E83">
        <w:t xml:space="preserve"> by PSE</w:t>
      </w:r>
      <w:r w:rsidR="002977A8">
        <w:t xml:space="preserve"> with the Commission </w:t>
      </w:r>
      <w:r w:rsidR="00161F42" w:rsidRPr="00161F42">
        <w:t xml:space="preserve">in </w:t>
      </w:r>
      <w:r w:rsidR="002A0350" w:rsidRPr="00FE1242">
        <w:t>Docket UE-101096</w:t>
      </w:r>
      <w:r w:rsidR="00161F42">
        <w:rPr>
          <w:i/>
        </w:rPr>
        <w:t xml:space="preserve"> </w:t>
      </w:r>
      <w:r w:rsidR="002977A8">
        <w:t>in June 2010</w:t>
      </w:r>
      <w:r w:rsidR="0040538A">
        <w:t xml:space="preserve">, </w:t>
      </w:r>
      <w:r w:rsidR="002977A8">
        <w:t>PSE</w:t>
      </w:r>
      <w:r w:rsidR="0040538A">
        <w:t xml:space="preserve"> </w:t>
      </w:r>
      <w:r w:rsidR="002977A8">
        <w:t xml:space="preserve">issued 30 year debt with a coupon </w:t>
      </w:r>
      <w:r w:rsidR="00161F42">
        <w:t xml:space="preserve">rate </w:t>
      </w:r>
      <w:r w:rsidR="002977A8">
        <w:t>of 5.764</w:t>
      </w:r>
      <w:r w:rsidR="00147506">
        <w:t xml:space="preserve"> </w:t>
      </w:r>
      <w:r w:rsidR="00736CD7">
        <w:t>percent</w:t>
      </w:r>
      <w:r w:rsidR="002977A8">
        <w:t>.</w:t>
      </w:r>
      <w:r w:rsidR="00EE37FE">
        <w:t xml:space="preserve"> </w:t>
      </w:r>
      <w:r w:rsidR="00E5263A">
        <w:t xml:space="preserve">  Furthermore, PSE </w:t>
      </w:r>
      <w:r w:rsidR="00202BC2">
        <w:t>sold</w:t>
      </w:r>
      <w:r w:rsidR="00E5263A">
        <w:t xml:space="preserve"> additional debt in late 2011 at rates </w:t>
      </w:r>
      <w:r w:rsidR="00202BC2">
        <w:t>between 4.50 and 4.80</w:t>
      </w:r>
      <w:r w:rsidR="00E5263A">
        <w:t xml:space="preserve"> percent.</w:t>
      </w:r>
      <w:r w:rsidR="00202BC2">
        <w:t xml:space="preserve">  </w:t>
      </w:r>
    </w:p>
    <w:p w:rsidR="00161F42" w:rsidRDefault="002977A8" w:rsidP="00161F42">
      <w:pPr>
        <w:tabs>
          <w:tab w:val="left" w:pos="720"/>
          <w:tab w:val="left" w:pos="1440"/>
          <w:tab w:val="left" w:pos="9240"/>
        </w:tabs>
        <w:spacing w:line="480" w:lineRule="auto"/>
        <w:ind w:left="720" w:hanging="720"/>
      </w:pPr>
      <w:r>
        <w:lastRenderedPageBreak/>
        <w:tab/>
      </w:r>
      <w:r>
        <w:tab/>
        <w:t xml:space="preserve">Assuming a cost of equity </w:t>
      </w:r>
      <w:r w:rsidR="00EE37FE">
        <w:t xml:space="preserve">as </w:t>
      </w:r>
      <w:r w:rsidR="00CD597E">
        <w:t>estimated</w:t>
      </w:r>
      <w:r>
        <w:t xml:space="preserve"> by Dr. </w:t>
      </w:r>
      <w:r w:rsidR="00D25732">
        <w:t>Olson</w:t>
      </w:r>
      <w:r>
        <w:t xml:space="preserve"> of </w:t>
      </w:r>
      <w:r w:rsidR="00EC4CBB">
        <w:t>11.00 to 13.00 percent</w:t>
      </w:r>
      <w:r w:rsidR="00CD597E">
        <w:t>,</w:t>
      </w:r>
      <w:r w:rsidR="00EE37FE">
        <w:t xml:space="preserve"> </w:t>
      </w:r>
      <w:r w:rsidR="00A348E1">
        <w:t>his ROE recommendation</w:t>
      </w:r>
      <w:r>
        <w:t xml:space="preserve"> </w:t>
      </w:r>
      <w:r w:rsidR="00CD597E">
        <w:t xml:space="preserve">states that the </w:t>
      </w:r>
      <w:proofErr w:type="spellStart"/>
      <w:r w:rsidR="00CD597E" w:rsidRPr="00CD597E">
        <w:rPr>
          <w:i/>
        </w:rPr>
        <w:t>ex ante</w:t>
      </w:r>
      <w:proofErr w:type="spellEnd"/>
      <w:r>
        <w:t xml:space="preserve"> risk premium </w:t>
      </w:r>
      <w:r w:rsidR="00984662">
        <w:t xml:space="preserve">is </w:t>
      </w:r>
      <w:r w:rsidR="00E5263A">
        <w:t>as high as 8</w:t>
      </w:r>
      <w:r w:rsidR="00CD597E">
        <w:t>00 basis points</w:t>
      </w:r>
      <w:r>
        <w:t xml:space="preserve">. </w:t>
      </w:r>
      <w:r w:rsidR="00EC4CBB">
        <w:t xml:space="preserve"> </w:t>
      </w:r>
      <w:r w:rsidR="00161F42">
        <w:t xml:space="preserve">In effect, Dr. Olson advocates a risk premium for equity twice the cost of long-term debt. </w:t>
      </w:r>
      <w:r w:rsidR="0050492A">
        <w:t xml:space="preserve"> </w:t>
      </w:r>
    </w:p>
    <w:p w:rsidR="00076722" w:rsidRDefault="00076722" w:rsidP="005D3B74">
      <w:pPr>
        <w:tabs>
          <w:tab w:val="left" w:pos="720"/>
          <w:tab w:val="left" w:pos="1440"/>
          <w:tab w:val="left" w:pos="9240"/>
        </w:tabs>
        <w:spacing w:line="480" w:lineRule="auto"/>
        <w:ind w:left="720" w:hanging="720"/>
      </w:pPr>
    </w:p>
    <w:p w:rsidR="005D3B74" w:rsidRDefault="002977A8" w:rsidP="005D3B74">
      <w:pPr>
        <w:tabs>
          <w:tab w:val="left" w:pos="720"/>
          <w:tab w:val="left" w:pos="1440"/>
          <w:tab w:val="left" w:pos="9240"/>
        </w:tabs>
        <w:spacing w:line="480" w:lineRule="auto"/>
        <w:ind w:left="720" w:hanging="720"/>
        <w:rPr>
          <w:b/>
        </w:rPr>
      </w:pPr>
      <w:r>
        <w:rPr>
          <w:b/>
        </w:rPr>
        <w:t>Q.</w:t>
      </w:r>
      <w:r>
        <w:rPr>
          <w:b/>
        </w:rPr>
        <w:tab/>
      </w:r>
      <w:r w:rsidR="00EE37FE">
        <w:rPr>
          <w:b/>
        </w:rPr>
        <w:t>Is</w:t>
      </w:r>
      <w:r w:rsidR="00345B88">
        <w:rPr>
          <w:b/>
        </w:rPr>
        <w:t xml:space="preserve"> an </w:t>
      </w:r>
      <w:r w:rsidR="00147506">
        <w:rPr>
          <w:b/>
        </w:rPr>
        <w:t xml:space="preserve">equity risk </w:t>
      </w:r>
      <w:r w:rsidR="005D3B74">
        <w:rPr>
          <w:b/>
        </w:rPr>
        <w:t>premium</w:t>
      </w:r>
      <w:r w:rsidR="00345B88">
        <w:rPr>
          <w:b/>
        </w:rPr>
        <w:t xml:space="preserve"> in that range</w:t>
      </w:r>
      <w:r w:rsidR="005D3B74">
        <w:rPr>
          <w:b/>
        </w:rPr>
        <w:t xml:space="preserve"> reasonable</w:t>
      </w:r>
      <w:r w:rsidR="00EE37FE">
        <w:rPr>
          <w:b/>
        </w:rPr>
        <w:t xml:space="preserve"> for </w:t>
      </w:r>
      <w:r w:rsidR="0040538A">
        <w:rPr>
          <w:b/>
        </w:rPr>
        <w:t xml:space="preserve">equity </w:t>
      </w:r>
      <w:r w:rsidR="00147506">
        <w:rPr>
          <w:b/>
        </w:rPr>
        <w:t>owners</w:t>
      </w:r>
      <w:r w:rsidR="005D3B74">
        <w:rPr>
          <w:b/>
        </w:rPr>
        <w:t>?</w:t>
      </w:r>
    </w:p>
    <w:p w:rsidR="00161F42" w:rsidRDefault="002977A8" w:rsidP="005D3B74">
      <w:pPr>
        <w:tabs>
          <w:tab w:val="left" w:pos="720"/>
          <w:tab w:val="left" w:pos="1440"/>
          <w:tab w:val="left" w:pos="9240"/>
        </w:tabs>
        <w:spacing w:line="480" w:lineRule="auto"/>
        <w:ind w:left="720" w:hanging="720"/>
      </w:pPr>
      <w:r>
        <w:t>A.</w:t>
      </w:r>
      <w:r>
        <w:tab/>
        <w:t xml:space="preserve">No.  </w:t>
      </w:r>
      <w:r w:rsidR="00345B88">
        <w:t xml:space="preserve">The suggested ROE of 11 to 13 percent and the implied </w:t>
      </w:r>
      <w:r w:rsidR="005D3B74">
        <w:t>spread</w:t>
      </w:r>
      <w:r w:rsidR="00345B88">
        <w:t xml:space="preserve"> of 500 to 800 basis points</w:t>
      </w:r>
      <w:r w:rsidR="005D3B74">
        <w:t xml:space="preserve"> is excessive compensation for equity owners over those investing in </w:t>
      </w:r>
      <w:r w:rsidR="00D25732">
        <w:t>PSE</w:t>
      </w:r>
      <w:r w:rsidR="00A11C89">
        <w:t xml:space="preserve">’s </w:t>
      </w:r>
      <w:r w:rsidR="005D3B74">
        <w:t xml:space="preserve">long-term bonds.  </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 xml:space="preserve">Why do believe that a </w:t>
      </w:r>
      <w:r w:rsidR="002977A8">
        <w:rPr>
          <w:b/>
        </w:rPr>
        <w:t>500</w:t>
      </w:r>
      <w:r>
        <w:rPr>
          <w:b/>
        </w:rPr>
        <w:t xml:space="preserve"> basis point </w:t>
      </w:r>
      <w:r w:rsidR="0040538A">
        <w:rPr>
          <w:b/>
        </w:rPr>
        <w:t xml:space="preserve">equity risk </w:t>
      </w:r>
      <w:r>
        <w:rPr>
          <w:b/>
        </w:rPr>
        <w:t>premium is excessive?</w:t>
      </w:r>
    </w:p>
    <w:p w:rsidR="00131071" w:rsidRDefault="005D3B74" w:rsidP="005D3B74">
      <w:pPr>
        <w:tabs>
          <w:tab w:val="left" w:pos="720"/>
          <w:tab w:val="left" w:pos="1440"/>
          <w:tab w:val="left" w:pos="9240"/>
        </w:tabs>
        <w:spacing w:line="480" w:lineRule="auto"/>
        <w:ind w:left="720" w:hanging="720"/>
      </w:pPr>
      <w:r>
        <w:t>A.</w:t>
      </w:r>
      <w:r>
        <w:tab/>
        <w:t>First</w:t>
      </w:r>
      <w:r w:rsidR="006F289E">
        <w:t>,</w:t>
      </w:r>
      <w:r>
        <w:t xml:space="preserve"> consider the opportunity costs for investors in long-term securities today.  As </w:t>
      </w:r>
      <w:r w:rsidR="006F289E">
        <w:t xml:space="preserve">I </w:t>
      </w:r>
      <w:r>
        <w:t xml:space="preserve">previously noted in my CAPM </w:t>
      </w:r>
      <w:r w:rsidR="00161F42">
        <w:t>discussion</w:t>
      </w:r>
      <w:r>
        <w:t>,</w:t>
      </w:r>
      <w:r w:rsidR="00CE26C8">
        <w:t xml:space="preserve"> in June 2011 long-</w:t>
      </w:r>
      <w:r>
        <w:t xml:space="preserve">term Treasury securities </w:t>
      </w:r>
      <w:r w:rsidR="00984662">
        <w:t>were</w:t>
      </w:r>
      <w:r>
        <w:t xml:space="preserve"> approximately 4.2</w:t>
      </w:r>
      <w:r w:rsidR="00B104CD">
        <w:t>5</w:t>
      </w:r>
      <w:r>
        <w:t xml:space="preserve"> percent.  </w:t>
      </w:r>
      <w:r w:rsidR="002977A8">
        <w:t>PSE</w:t>
      </w:r>
      <w:r>
        <w:t xml:space="preserve"> sold comparable long-term debt at just over </w:t>
      </w:r>
      <w:r w:rsidR="002977A8">
        <w:t>5.75</w:t>
      </w:r>
      <w:r>
        <w:t xml:space="preserve"> percent</w:t>
      </w:r>
      <w:r w:rsidR="006F289E">
        <w:t xml:space="preserve"> </w:t>
      </w:r>
      <w:r>
        <w:t>-</w:t>
      </w:r>
      <w:r w:rsidR="006F289E">
        <w:t xml:space="preserve"> </w:t>
      </w:r>
      <w:r w:rsidR="002977A8">
        <w:t>a 15</w:t>
      </w:r>
      <w:r>
        <w:t xml:space="preserve">0 basis point premium.  </w:t>
      </w:r>
      <w:r w:rsidR="00202BC2">
        <w:t xml:space="preserve">Currently PSE </w:t>
      </w:r>
      <w:r w:rsidR="003913F0">
        <w:t>just sold</w:t>
      </w:r>
      <w:r w:rsidR="00202BC2">
        <w:t xml:space="preserve"> long-term debt at 4.75</w:t>
      </w:r>
      <w:r w:rsidR="003913F0">
        <w:t xml:space="preserve"> percent, which is a175 basis point premium over</w:t>
      </w:r>
      <w:r w:rsidR="00202BC2">
        <w:t xml:space="preserve"> comparable Treasuries.  </w:t>
      </w:r>
      <w:r w:rsidR="00D25732">
        <w:t>PSE</w:t>
      </w:r>
      <w:r>
        <w:t xml:space="preserve"> proposes a </w:t>
      </w:r>
      <w:r w:rsidR="003913F0">
        <w:t xml:space="preserve">10.80 percent cost of equity, which is a </w:t>
      </w:r>
      <w:r w:rsidR="002977A8">
        <w:t>500+</w:t>
      </w:r>
      <w:r>
        <w:t xml:space="preserve"> basis point </w:t>
      </w:r>
      <w:r w:rsidR="00A348E1">
        <w:t xml:space="preserve">equity risk </w:t>
      </w:r>
      <w:r>
        <w:t>premium.  For equity investors</w:t>
      </w:r>
      <w:r w:rsidR="006F289E">
        <w:t>,</w:t>
      </w:r>
      <w:r>
        <w:t xml:space="preserve"> this </w:t>
      </w:r>
      <w:r w:rsidR="002977A8">
        <w:t xml:space="preserve">premium </w:t>
      </w:r>
      <w:r>
        <w:t xml:space="preserve">represents a spread </w:t>
      </w:r>
      <w:r w:rsidR="00A348E1">
        <w:t>of approximately</w:t>
      </w:r>
      <w:r w:rsidR="002977A8">
        <w:t xml:space="preserve"> 3</w:t>
      </w:r>
      <w:r w:rsidR="00EE37FE">
        <w:t xml:space="preserve">.3 </w:t>
      </w:r>
      <w:r>
        <w:t xml:space="preserve">times the spread </w:t>
      </w:r>
      <w:r w:rsidR="00AF432A">
        <w:t>over</w:t>
      </w:r>
      <w:r>
        <w:t xml:space="preserve"> its debt costs </w:t>
      </w:r>
      <w:r w:rsidR="006F289E">
        <w:t>(</w:t>
      </w:r>
      <w:r w:rsidR="002977A8">
        <w:t>3.3</w:t>
      </w:r>
      <w:r w:rsidR="006F289E">
        <w:t xml:space="preserve"> * 1</w:t>
      </w:r>
      <w:r w:rsidR="002977A8">
        <w:t>5</w:t>
      </w:r>
      <w:r w:rsidR="006F289E">
        <w:t xml:space="preserve">0 = </w:t>
      </w:r>
      <w:r w:rsidR="002977A8">
        <w:t>500</w:t>
      </w:r>
      <w:r w:rsidR="006F289E">
        <w:t xml:space="preserve">) </w:t>
      </w:r>
      <w:r>
        <w:t xml:space="preserve">and </w:t>
      </w:r>
      <w:r w:rsidR="00AF432A">
        <w:t>a spread of 4.3</w:t>
      </w:r>
      <w:r>
        <w:t xml:space="preserve"> times over that of comparable Treasury securiti</w:t>
      </w:r>
      <w:r w:rsidR="00131071">
        <w:t>es</w:t>
      </w:r>
      <w:r w:rsidR="006F289E">
        <w:t xml:space="preserve"> (</w:t>
      </w:r>
      <w:r w:rsidR="00013E75">
        <w:t>10.</w:t>
      </w:r>
      <w:r w:rsidR="00955D34">
        <w:t>8</w:t>
      </w:r>
      <w:r w:rsidR="00013E75">
        <w:t>0 – 4.2</w:t>
      </w:r>
      <w:r w:rsidR="002977A8">
        <w:t>5</w:t>
      </w:r>
      <w:r w:rsidR="00013E75">
        <w:t xml:space="preserve"> = 6</w:t>
      </w:r>
      <w:r w:rsidR="002977A8">
        <w:t>55</w:t>
      </w:r>
      <w:r w:rsidR="00013E75">
        <w:t xml:space="preserve"> basis points; </w:t>
      </w:r>
      <w:r w:rsidR="002977A8">
        <w:t>4.3</w:t>
      </w:r>
      <w:r w:rsidR="006F289E">
        <w:t xml:space="preserve"> * </w:t>
      </w:r>
      <w:r w:rsidR="00013E75">
        <w:t>1</w:t>
      </w:r>
      <w:r w:rsidR="002977A8">
        <w:t>5</w:t>
      </w:r>
      <w:r w:rsidR="00013E75">
        <w:t>0 = 630)</w:t>
      </w:r>
      <w:r w:rsidR="00131071">
        <w:t xml:space="preserve">.  </w:t>
      </w:r>
    </w:p>
    <w:p w:rsidR="005D3B74" w:rsidRDefault="005D3B74" w:rsidP="005D3B74">
      <w:pPr>
        <w:tabs>
          <w:tab w:val="left" w:pos="720"/>
          <w:tab w:val="left" w:pos="1440"/>
          <w:tab w:val="left" w:pos="9240"/>
        </w:tabs>
        <w:spacing w:line="480" w:lineRule="auto"/>
        <w:ind w:left="720" w:hanging="720"/>
      </w:pPr>
      <w:r>
        <w:tab/>
      </w:r>
      <w:r w:rsidR="00131071">
        <w:tab/>
      </w:r>
      <w:r>
        <w:t xml:space="preserve">Therefore, the Commission should ask the following question: </w:t>
      </w:r>
      <w:r w:rsidR="0040538A">
        <w:t xml:space="preserve"> </w:t>
      </w:r>
      <w:r>
        <w:t xml:space="preserve">is an equity risk premium of </w:t>
      </w:r>
      <w:r w:rsidR="002977A8">
        <w:t>500</w:t>
      </w:r>
      <w:r>
        <w:t xml:space="preserve"> </w:t>
      </w:r>
      <w:r w:rsidR="00E86B57">
        <w:t xml:space="preserve">to 600 </w:t>
      </w:r>
      <w:r>
        <w:t xml:space="preserve">basis points over </w:t>
      </w:r>
      <w:r w:rsidR="0040538A">
        <w:t>PSE’s</w:t>
      </w:r>
      <w:r>
        <w:t xml:space="preserve"> </w:t>
      </w:r>
      <w:r w:rsidR="002977A8">
        <w:t>estimated market</w:t>
      </w:r>
      <w:r w:rsidR="0040538A">
        <w:t>-</w:t>
      </w:r>
      <w:r w:rsidR="002977A8">
        <w:t xml:space="preserve">based </w:t>
      </w:r>
      <w:r>
        <w:t xml:space="preserve">debt </w:t>
      </w:r>
      <w:r>
        <w:lastRenderedPageBreak/>
        <w:t xml:space="preserve">costs fair?  </w:t>
      </w:r>
      <w:r w:rsidR="00013E75">
        <w:t xml:space="preserve">The Commission should </w:t>
      </w:r>
      <w:r>
        <w:t>come to the same conclusion I reach in today</w:t>
      </w:r>
      <w:r w:rsidR="00A15099">
        <w:t>’s</w:t>
      </w:r>
      <w:r>
        <w:t xml:space="preserve"> capital markets</w:t>
      </w:r>
      <w:r w:rsidR="00D94BB3">
        <w:t>:  a</w:t>
      </w:r>
      <w:r>
        <w:t xml:space="preserve"> </w:t>
      </w:r>
      <w:r w:rsidR="00E86B57">
        <w:t>6</w:t>
      </w:r>
      <w:r w:rsidR="002977A8">
        <w:t>00</w:t>
      </w:r>
      <w:r>
        <w:t xml:space="preserve"> basis point premium implicit in </w:t>
      </w:r>
      <w:r w:rsidR="00D66289">
        <w:t xml:space="preserve">the Company’s </w:t>
      </w:r>
      <w:r w:rsidR="00CF01FE">
        <w:t xml:space="preserve">10.8 percent </w:t>
      </w:r>
      <w:r w:rsidR="00D66289">
        <w:t xml:space="preserve">ROE proposal is excessive </w:t>
      </w:r>
      <w:r>
        <w:t>in today</w:t>
      </w:r>
      <w:r w:rsidR="002977A8">
        <w:t>’</w:t>
      </w:r>
      <w:r w:rsidR="00A15099">
        <w:t>s</w:t>
      </w:r>
      <w:r>
        <w:t xml:space="preserve"> capital markets.  </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 xml:space="preserve">How </w:t>
      </w:r>
      <w:r w:rsidR="00D66289">
        <w:rPr>
          <w:b/>
        </w:rPr>
        <w:t xml:space="preserve">do </w:t>
      </w:r>
      <w:r>
        <w:rPr>
          <w:b/>
        </w:rPr>
        <w:t xml:space="preserve">the results of your DCF study </w:t>
      </w:r>
      <w:r w:rsidR="00D66289">
        <w:rPr>
          <w:b/>
        </w:rPr>
        <w:t xml:space="preserve">fair </w:t>
      </w:r>
      <w:r>
        <w:rPr>
          <w:b/>
        </w:rPr>
        <w:t xml:space="preserve">in the context of a </w:t>
      </w:r>
      <w:r w:rsidR="00D66289">
        <w:rPr>
          <w:b/>
        </w:rPr>
        <w:t>R</w:t>
      </w:r>
      <w:r>
        <w:rPr>
          <w:b/>
        </w:rPr>
        <w:t xml:space="preserve">isk </w:t>
      </w:r>
      <w:r w:rsidR="00D66289">
        <w:rPr>
          <w:b/>
        </w:rPr>
        <w:t>P</w:t>
      </w:r>
      <w:r>
        <w:rPr>
          <w:b/>
        </w:rPr>
        <w:t>remium analysis?</w:t>
      </w:r>
    </w:p>
    <w:p w:rsidR="005D3B74" w:rsidRDefault="005D3B74" w:rsidP="005D3B74">
      <w:pPr>
        <w:tabs>
          <w:tab w:val="left" w:pos="720"/>
          <w:tab w:val="left" w:pos="1440"/>
          <w:tab w:val="left" w:pos="9240"/>
        </w:tabs>
        <w:spacing w:line="480" w:lineRule="auto"/>
        <w:ind w:left="720" w:hanging="720"/>
      </w:pPr>
      <w:r>
        <w:t>A.</w:t>
      </w:r>
      <w:r>
        <w:tab/>
        <w:t xml:space="preserve">My DCF result represents a premium of </w:t>
      </w:r>
      <w:r w:rsidR="00DE6D5E">
        <w:t>approximately</w:t>
      </w:r>
      <w:r>
        <w:t xml:space="preserve"> 375 basis points over </w:t>
      </w:r>
      <w:r w:rsidR="00D25732">
        <w:t>PSE</w:t>
      </w:r>
      <w:r w:rsidR="00A11C89">
        <w:t>’s</w:t>
      </w:r>
      <w:r>
        <w:t xml:space="preserve"> long-term debt costs</w:t>
      </w:r>
      <w:r w:rsidR="00BC2720">
        <w:t xml:space="preserve"> for debt it issued last year</w:t>
      </w:r>
      <w:r>
        <w:t xml:space="preserve">.  </w:t>
      </w:r>
      <w:r w:rsidR="00BC2720">
        <w:t xml:space="preserve">It is even higher considering the fact that PSE can issue new long-term debt today at a coupon I estimate in the range of 5.00 percent.  </w:t>
      </w:r>
      <w:r>
        <w:t xml:space="preserve">I conclude that </w:t>
      </w:r>
      <w:r w:rsidR="00984662">
        <w:t>m</w:t>
      </w:r>
      <w:r w:rsidR="00BC2720">
        <w:t xml:space="preserve">y recommended ROE of 9.50 percent with </w:t>
      </w:r>
      <w:r>
        <w:t>a</w:t>
      </w:r>
      <w:r w:rsidR="00BC2720">
        <w:t>n equity risk</w:t>
      </w:r>
      <w:r>
        <w:t xml:space="preserve"> premium </w:t>
      </w:r>
      <w:r w:rsidR="00BC2720">
        <w:t xml:space="preserve">of 375 to 450 basis points over </w:t>
      </w:r>
      <w:r w:rsidR="00984662">
        <w:t>PSE’s</w:t>
      </w:r>
      <w:r w:rsidR="00BC2720">
        <w:t xml:space="preserve"> long-term debt costs </w:t>
      </w:r>
      <w:r>
        <w:t xml:space="preserve">is adequate compensation for </w:t>
      </w:r>
      <w:r w:rsidR="00CD597E">
        <w:t>PSE’s</w:t>
      </w:r>
      <w:r>
        <w:t xml:space="preserve"> </w:t>
      </w:r>
      <w:r w:rsidR="00D66289">
        <w:t xml:space="preserve">equity </w:t>
      </w:r>
      <w:r>
        <w:t>owners in today</w:t>
      </w:r>
      <w:r w:rsidR="00A15099">
        <w:t>’s</w:t>
      </w:r>
      <w:r>
        <w:t xml:space="preserve"> capital markets.</w:t>
      </w:r>
      <w:r w:rsidR="00E5263A">
        <w:t xml:space="preserve">  </w:t>
      </w:r>
    </w:p>
    <w:p w:rsidR="005D3B74" w:rsidRDefault="005D3B74" w:rsidP="005D3B74">
      <w:pPr>
        <w:tabs>
          <w:tab w:val="left" w:pos="720"/>
          <w:tab w:val="left" w:pos="1440"/>
          <w:tab w:val="left" w:pos="9240"/>
        </w:tabs>
        <w:spacing w:line="480" w:lineRule="auto"/>
        <w:ind w:left="720" w:hanging="720"/>
      </w:pPr>
    </w:p>
    <w:p w:rsidR="005D3B74" w:rsidRDefault="005D3B74" w:rsidP="004510AD">
      <w:pPr>
        <w:keepNext/>
        <w:keepLines/>
        <w:tabs>
          <w:tab w:val="left" w:pos="720"/>
          <w:tab w:val="left" w:pos="1440"/>
        </w:tabs>
        <w:spacing w:line="480" w:lineRule="auto"/>
        <w:ind w:left="720"/>
        <w:rPr>
          <w:b/>
        </w:rPr>
      </w:pPr>
      <w:r>
        <w:rPr>
          <w:b/>
        </w:rPr>
        <w:t>5.</w:t>
      </w:r>
      <w:r>
        <w:rPr>
          <w:b/>
        </w:rPr>
        <w:tab/>
      </w:r>
      <w:r w:rsidR="00013E75">
        <w:rPr>
          <w:b/>
        </w:rPr>
        <w:t xml:space="preserve">Summary of </w:t>
      </w:r>
      <w:r w:rsidRPr="00DE055E">
        <w:rPr>
          <w:b/>
        </w:rPr>
        <w:t>R</w:t>
      </w:r>
      <w:r>
        <w:rPr>
          <w:b/>
        </w:rPr>
        <w:t>eturn on Equity Recommendation</w:t>
      </w:r>
    </w:p>
    <w:p w:rsidR="005D3B74" w:rsidRDefault="005D3B74" w:rsidP="005D3B74">
      <w:pPr>
        <w:keepNext/>
        <w:keepLines/>
        <w:tabs>
          <w:tab w:val="left" w:pos="720"/>
          <w:tab w:val="left" w:pos="1440"/>
          <w:tab w:val="left" w:pos="9240"/>
        </w:tabs>
        <w:spacing w:line="480" w:lineRule="auto"/>
        <w:ind w:left="720" w:hanging="720"/>
        <w:jc w:val="both"/>
        <w:rPr>
          <w:b/>
        </w:rPr>
      </w:pPr>
    </w:p>
    <w:p w:rsidR="005D3B74" w:rsidRDefault="005D3B74" w:rsidP="005D3B74">
      <w:pPr>
        <w:keepNext/>
        <w:keepLines/>
        <w:tabs>
          <w:tab w:val="left" w:pos="720"/>
          <w:tab w:val="left" w:pos="1440"/>
          <w:tab w:val="left" w:pos="9240"/>
        </w:tabs>
        <w:spacing w:line="480" w:lineRule="auto"/>
        <w:ind w:left="720" w:hanging="720"/>
        <w:rPr>
          <w:b/>
        </w:rPr>
      </w:pPr>
      <w:r>
        <w:rPr>
          <w:b/>
        </w:rPr>
        <w:t>Q.</w:t>
      </w:r>
      <w:r>
        <w:rPr>
          <w:b/>
        </w:rPr>
        <w:tab/>
        <w:t>Please summarize the results of your cost of common equity analyses.</w:t>
      </w:r>
    </w:p>
    <w:p w:rsidR="005D3B74" w:rsidRDefault="005D3B74" w:rsidP="005D3B74">
      <w:pPr>
        <w:tabs>
          <w:tab w:val="left" w:pos="720"/>
          <w:tab w:val="left" w:pos="1440"/>
          <w:tab w:val="left" w:pos="9240"/>
        </w:tabs>
        <w:spacing w:line="480" w:lineRule="auto"/>
        <w:ind w:left="720" w:hanging="720"/>
      </w:pPr>
      <w:r>
        <w:t>A.</w:t>
      </w:r>
      <w:r>
        <w:tab/>
        <w:t xml:space="preserve">I place primary reliance on my DCF study, which indicates a </w:t>
      </w:r>
      <w:r w:rsidR="00D66289">
        <w:t>ROE</w:t>
      </w:r>
      <w:r>
        <w:t xml:space="preserve"> range of </w:t>
      </w:r>
      <w:r w:rsidR="00076722">
        <w:t>9.00</w:t>
      </w:r>
      <w:r w:rsidR="000865E5">
        <w:t xml:space="preserve"> </w:t>
      </w:r>
      <w:r>
        <w:t>to 9.5</w:t>
      </w:r>
      <w:r w:rsidR="00BC2720">
        <w:t>0</w:t>
      </w:r>
      <w:r>
        <w:t xml:space="preserve"> percent.  My CAPM study </w:t>
      </w:r>
      <w:r w:rsidR="000865E5">
        <w:t>indicates</w:t>
      </w:r>
      <w:r w:rsidR="00DE6D5E">
        <w:t xml:space="preserve"> a broader range </w:t>
      </w:r>
      <w:r w:rsidR="000865E5">
        <w:t>and a lower estimate of ROE</w:t>
      </w:r>
      <w:r>
        <w:t>.  F</w:t>
      </w:r>
      <w:r w:rsidR="009938A4">
        <w:t xml:space="preserve">inally, a risk premium analysis </w:t>
      </w:r>
      <w:r>
        <w:t xml:space="preserve">supports my DCF </w:t>
      </w:r>
      <w:r w:rsidR="00613470">
        <w:t>analysis and estimate</w:t>
      </w:r>
      <w:r>
        <w:t>.</w:t>
      </w:r>
    </w:p>
    <w:p w:rsidR="00B2761C" w:rsidRDefault="005D3B74" w:rsidP="005D3B74">
      <w:pPr>
        <w:tabs>
          <w:tab w:val="left" w:pos="720"/>
          <w:tab w:val="left" w:pos="1440"/>
          <w:tab w:val="left" w:pos="9240"/>
        </w:tabs>
        <w:spacing w:line="480" w:lineRule="auto"/>
        <w:ind w:left="720" w:hanging="720"/>
      </w:pPr>
      <w:r>
        <w:tab/>
      </w:r>
      <w:r>
        <w:tab/>
        <w:t xml:space="preserve">I therefore conclude </w:t>
      </w:r>
      <w:r w:rsidR="0040538A">
        <w:t xml:space="preserve">that </w:t>
      </w:r>
      <w:r w:rsidR="00076722">
        <w:t xml:space="preserve">a fair return for </w:t>
      </w:r>
      <w:r w:rsidR="00D25732">
        <w:t>PSE</w:t>
      </w:r>
      <w:r w:rsidR="00076722">
        <w:t xml:space="preserve">’s </w:t>
      </w:r>
      <w:r w:rsidR="0040538A">
        <w:t xml:space="preserve">equity </w:t>
      </w:r>
      <w:r w:rsidR="00076722">
        <w:t xml:space="preserve">owners </w:t>
      </w:r>
      <w:r>
        <w:t xml:space="preserve">is </w:t>
      </w:r>
      <w:r w:rsidR="00E5263A">
        <w:t xml:space="preserve">no more than </w:t>
      </w:r>
      <w:r w:rsidRPr="007F3314">
        <w:t>9.50</w:t>
      </w:r>
      <w:r>
        <w:t xml:space="preserve"> percent.  </w:t>
      </w:r>
    </w:p>
    <w:p w:rsidR="00DA1E9F" w:rsidRDefault="00DA1E9F" w:rsidP="005D3B74">
      <w:pPr>
        <w:tabs>
          <w:tab w:val="left" w:pos="720"/>
          <w:tab w:val="left" w:pos="1440"/>
          <w:tab w:val="left" w:pos="9240"/>
        </w:tabs>
        <w:spacing w:line="480" w:lineRule="auto"/>
        <w:ind w:left="720" w:hanging="720"/>
      </w:pPr>
    </w:p>
    <w:p w:rsidR="00DA1E9F" w:rsidRDefault="00DA1E9F" w:rsidP="005D3B74">
      <w:pPr>
        <w:tabs>
          <w:tab w:val="left" w:pos="720"/>
          <w:tab w:val="left" w:pos="1440"/>
          <w:tab w:val="left" w:pos="9240"/>
        </w:tabs>
        <w:spacing w:line="480" w:lineRule="auto"/>
        <w:ind w:left="720" w:hanging="720"/>
        <w:rPr>
          <w:b/>
        </w:rPr>
      </w:pPr>
      <w:r>
        <w:rPr>
          <w:b/>
        </w:rPr>
        <w:lastRenderedPageBreak/>
        <w:t>Q.</w:t>
      </w:r>
      <w:r>
        <w:rPr>
          <w:b/>
        </w:rPr>
        <w:tab/>
      </w:r>
      <w:r w:rsidR="00984662">
        <w:rPr>
          <w:b/>
        </w:rPr>
        <w:t>W</w:t>
      </w:r>
      <w:r>
        <w:rPr>
          <w:b/>
        </w:rPr>
        <w:t>hat other factors should b</w:t>
      </w:r>
      <w:r w:rsidR="00BD0620">
        <w:rPr>
          <w:b/>
        </w:rPr>
        <w:t>e considered by the Commission</w:t>
      </w:r>
      <w:r>
        <w:rPr>
          <w:b/>
        </w:rPr>
        <w:t xml:space="preserve"> to determine </w:t>
      </w:r>
      <w:r w:rsidR="00BD0620">
        <w:rPr>
          <w:b/>
        </w:rPr>
        <w:t>fair</w:t>
      </w:r>
      <w:r>
        <w:rPr>
          <w:b/>
        </w:rPr>
        <w:t xml:space="preserve"> compensation for PSE’s owners?</w:t>
      </w:r>
    </w:p>
    <w:p w:rsidR="00DA1E9F" w:rsidRPr="00DA1E9F" w:rsidRDefault="00DA1E9F" w:rsidP="005D3B74">
      <w:pPr>
        <w:tabs>
          <w:tab w:val="left" w:pos="720"/>
          <w:tab w:val="left" w:pos="1440"/>
          <w:tab w:val="left" w:pos="9240"/>
        </w:tabs>
        <w:spacing w:line="480" w:lineRule="auto"/>
        <w:ind w:left="720" w:hanging="720"/>
      </w:pPr>
      <w:r>
        <w:t>A.</w:t>
      </w:r>
      <w:r>
        <w:tab/>
        <w:t xml:space="preserve">There is strong market evidence of </w:t>
      </w:r>
      <w:r w:rsidR="00BD0620">
        <w:t>sustained</w:t>
      </w:r>
      <w:r>
        <w:t xml:space="preserve"> low interest rates resulting in continued downward pressure on the cost of equity capital.  My indicated range of a fair cost of equity is 9.00 to 9.5</w:t>
      </w:r>
      <w:r w:rsidR="00BC2720">
        <w:t>0</w:t>
      </w:r>
      <w:r>
        <w:t xml:space="preserve"> percent.  In the most recent case where cost of equity was contested, the Commission determin</w:t>
      </w:r>
      <w:r w:rsidR="00BD0620">
        <w:t xml:space="preserve">ed that 9.80 percent was fair for PacifiCorp.  Since that decision, the market has assimilated the fact that the Federal Reserve will continue to keep short-term interest rates near zero for at least two more years.  The market also has discounted the prospect of inflation.  Finally, we are seeing long-term debt of </w:t>
      </w:r>
      <w:r w:rsidR="00E86B57">
        <w:t xml:space="preserve">PSE </w:t>
      </w:r>
      <w:r w:rsidR="00BD0620">
        <w:t>being sold with coupon rates below 5.0 percent.  All this suggests that the Commission could reasonably accept a figure</w:t>
      </w:r>
      <w:r w:rsidR="003802C0">
        <w:t xml:space="preserve"> below 9.50 percent.  The court in </w:t>
      </w:r>
      <w:r w:rsidR="003802C0" w:rsidRPr="003802C0">
        <w:rPr>
          <w:i/>
        </w:rPr>
        <w:t>Hope</w:t>
      </w:r>
      <w:r w:rsidR="00BD0620">
        <w:t xml:space="preserve"> indicated </w:t>
      </w:r>
      <w:r w:rsidR="00984662">
        <w:t xml:space="preserve">that </w:t>
      </w:r>
      <w:r w:rsidR="00BD0620">
        <w:t>the determination of a fair rate of return should balance investor and ratepayer interests.  Given the low interest rate climate and the prospect of continued low interest rates for the foreseeable future, the Commission is well within a “zone of reasonableness” if it were to provide PSE an opportunity to earn in the low end of my indicated range.  Anything above 9.50 percent is not fair to ratepayers</w:t>
      </w:r>
      <w:r w:rsidR="00BC2720">
        <w:t xml:space="preserve"> and provides excessive compensation to PSE’s owners</w:t>
      </w:r>
      <w:r w:rsidR="00BD0620">
        <w:t>.</w:t>
      </w:r>
    </w:p>
    <w:p w:rsidR="005D3B74" w:rsidRDefault="00076722" w:rsidP="005D3B74">
      <w:pPr>
        <w:tabs>
          <w:tab w:val="left" w:pos="2060"/>
        </w:tabs>
        <w:spacing w:line="480" w:lineRule="auto"/>
        <w:ind w:left="720" w:hanging="720"/>
      </w:pPr>
      <w:r>
        <w:t xml:space="preserve"> </w:t>
      </w:r>
    </w:p>
    <w:p w:rsidR="005D3B74" w:rsidRPr="00BC1FAB" w:rsidRDefault="005D3B74" w:rsidP="00292A3F">
      <w:pPr>
        <w:pStyle w:val="ListParagraph"/>
        <w:numPr>
          <w:ilvl w:val="0"/>
          <w:numId w:val="31"/>
        </w:numPr>
        <w:spacing w:line="480" w:lineRule="auto"/>
        <w:ind w:left="720"/>
        <w:rPr>
          <w:b/>
        </w:rPr>
      </w:pPr>
      <w:r w:rsidRPr="00BC1FAB">
        <w:rPr>
          <w:b/>
        </w:rPr>
        <w:t>C</w:t>
      </w:r>
      <w:r w:rsidR="00984662">
        <w:rPr>
          <w:b/>
        </w:rPr>
        <w:t>ost of Debt</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 xml:space="preserve">What is </w:t>
      </w:r>
      <w:r w:rsidR="00D25732">
        <w:rPr>
          <w:b/>
        </w:rPr>
        <w:t>PSE</w:t>
      </w:r>
      <w:r>
        <w:rPr>
          <w:b/>
        </w:rPr>
        <w:t xml:space="preserve"> </w:t>
      </w:r>
      <w:r w:rsidR="00A348E1">
        <w:rPr>
          <w:b/>
        </w:rPr>
        <w:t xml:space="preserve">proposing for its </w:t>
      </w:r>
      <w:r>
        <w:rPr>
          <w:b/>
        </w:rPr>
        <w:t>cost of long-term debt?</w:t>
      </w:r>
    </w:p>
    <w:p w:rsidR="00076722" w:rsidRDefault="005D3B74" w:rsidP="005D3B74">
      <w:pPr>
        <w:tabs>
          <w:tab w:val="left" w:pos="720"/>
          <w:tab w:val="left" w:pos="1440"/>
          <w:tab w:val="left" w:pos="9240"/>
        </w:tabs>
        <w:spacing w:line="480" w:lineRule="auto"/>
        <w:ind w:left="720" w:hanging="720"/>
      </w:pPr>
      <w:r>
        <w:t>A.</w:t>
      </w:r>
      <w:r>
        <w:tab/>
        <w:t>The Company</w:t>
      </w:r>
      <w:r w:rsidR="00A15099">
        <w:t>’s</w:t>
      </w:r>
      <w:r>
        <w:t xml:space="preserve"> </w:t>
      </w:r>
      <w:r w:rsidR="00076722">
        <w:t xml:space="preserve">proposed </w:t>
      </w:r>
      <w:r>
        <w:t xml:space="preserve">cost of </w:t>
      </w:r>
      <w:r w:rsidR="00AB0BCD">
        <w:t xml:space="preserve">long-term </w:t>
      </w:r>
      <w:r>
        <w:t xml:space="preserve">debt is </w:t>
      </w:r>
      <w:r w:rsidR="00AB0BCD">
        <w:t>6.36</w:t>
      </w:r>
      <w:r>
        <w:t xml:space="preserve"> percent.</w:t>
      </w:r>
      <w:r w:rsidR="00D94BB3">
        <w:rPr>
          <w:rStyle w:val="FootnoteReference"/>
        </w:rPr>
        <w:footnoteReference w:id="33"/>
      </w:r>
      <w:r>
        <w:t xml:space="preserve">  </w:t>
      </w:r>
    </w:p>
    <w:p w:rsidR="00D94BB3" w:rsidRDefault="00D94BB3" w:rsidP="005D3B74">
      <w:pPr>
        <w:tabs>
          <w:tab w:val="left" w:pos="720"/>
          <w:tab w:val="left" w:pos="1440"/>
          <w:tab w:val="left" w:pos="9240"/>
        </w:tabs>
        <w:spacing w:line="480" w:lineRule="auto"/>
        <w:ind w:left="720" w:hanging="720"/>
      </w:pPr>
    </w:p>
    <w:p w:rsidR="005D3B74" w:rsidRPr="00880EB7" w:rsidRDefault="005D3B74" w:rsidP="005D3B74">
      <w:pPr>
        <w:tabs>
          <w:tab w:val="left" w:pos="720"/>
          <w:tab w:val="left" w:pos="1440"/>
          <w:tab w:val="left" w:pos="9240"/>
        </w:tabs>
        <w:spacing w:line="480" w:lineRule="auto"/>
        <w:ind w:left="720" w:hanging="720"/>
        <w:rPr>
          <w:b/>
        </w:rPr>
      </w:pPr>
      <w:r w:rsidRPr="00880EB7">
        <w:rPr>
          <w:b/>
        </w:rPr>
        <w:lastRenderedPageBreak/>
        <w:t>Q.</w:t>
      </w:r>
      <w:r w:rsidRPr="00880EB7">
        <w:rPr>
          <w:b/>
        </w:rPr>
        <w:tab/>
      </w:r>
      <w:r w:rsidR="00A348E1">
        <w:rPr>
          <w:b/>
        </w:rPr>
        <w:t>Do you</w:t>
      </w:r>
      <w:r>
        <w:rPr>
          <w:b/>
        </w:rPr>
        <w:t xml:space="preserve"> accept</w:t>
      </w:r>
      <w:r w:rsidRPr="00880EB7">
        <w:rPr>
          <w:b/>
        </w:rPr>
        <w:t xml:space="preserve"> the Company</w:t>
      </w:r>
      <w:r w:rsidR="00A15099">
        <w:rPr>
          <w:b/>
        </w:rPr>
        <w:t>’s</w:t>
      </w:r>
      <w:r w:rsidRPr="00880EB7">
        <w:rPr>
          <w:b/>
        </w:rPr>
        <w:t xml:space="preserve"> proposed cost of </w:t>
      </w:r>
      <w:r w:rsidR="00984662">
        <w:rPr>
          <w:b/>
        </w:rPr>
        <w:t xml:space="preserve">long term </w:t>
      </w:r>
      <w:r w:rsidRPr="00880EB7">
        <w:rPr>
          <w:b/>
        </w:rPr>
        <w:t>debt?</w:t>
      </w:r>
    </w:p>
    <w:p w:rsidR="00DE334C" w:rsidRDefault="005D3B74" w:rsidP="005D3B74">
      <w:pPr>
        <w:tabs>
          <w:tab w:val="left" w:pos="720"/>
          <w:tab w:val="left" w:pos="1440"/>
          <w:tab w:val="left" w:pos="9240"/>
        </w:tabs>
        <w:spacing w:line="480" w:lineRule="auto"/>
        <w:ind w:left="720" w:hanging="720"/>
        <w:rPr>
          <w:b/>
        </w:rPr>
      </w:pPr>
      <w:r>
        <w:t xml:space="preserve">A. </w:t>
      </w:r>
      <w:r>
        <w:tab/>
      </w:r>
      <w:r w:rsidR="00101F0D">
        <w:t xml:space="preserve">No.  </w:t>
      </w:r>
      <w:r w:rsidR="00E86D7D">
        <w:t xml:space="preserve">My cost of </w:t>
      </w:r>
      <w:r w:rsidR="00984662">
        <w:t xml:space="preserve">long term </w:t>
      </w:r>
      <w:r w:rsidR="00E86D7D">
        <w:t xml:space="preserve">debt is slightly lower since </w:t>
      </w:r>
      <w:r w:rsidR="00101F0D">
        <w:t xml:space="preserve">I </w:t>
      </w:r>
      <w:r w:rsidR="00076722">
        <w:t xml:space="preserve">use a lower cost </w:t>
      </w:r>
      <w:r w:rsidR="0040538A">
        <w:t>for</w:t>
      </w:r>
      <w:r w:rsidR="00076722">
        <w:t xml:space="preserve"> the additional $250 million</w:t>
      </w:r>
      <w:r w:rsidR="00D66289">
        <w:t xml:space="preserve"> long-term </w:t>
      </w:r>
      <w:r w:rsidR="00076722">
        <w:t xml:space="preserve">debt PSE expects to issue in </w:t>
      </w:r>
      <w:r w:rsidR="00E956FB">
        <w:t xml:space="preserve">September </w:t>
      </w:r>
      <w:r w:rsidR="00076722">
        <w:t>20</w:t>
      </w:r>
      <w:r w:rsidR="00234428">
        <w:t>1</w:t>
      </w:r>
      <w:r w:rsidR="00B93403">
        <w:t>1</w:t>
      </w:r>
      <w:r w:rsidR="00B93403">
        <w:rPr>
          <w:i/>
        </w:rPr>
        <w:t xml:space="preserve">.  </w:t>
      </w:r>
      <w:r w:rsidR="00234428">
        <w:t>Mr. Gaines estimates a cost for this new issue at 6.25 percent</w:t>
      </w:r>
      <w:r w:rsidR="00E5263A">
        <w:t xml:space="preserve"> in his direct testimony</w:t>
      </w:r>
      <w:r w:rsidR="00234428">
        <w:t>.</w:t>
      </w:r>
      <w:r w:rsidR="00B93403">
        <w:rPr>
          <w:rStyle w:val="FootnoteReference"/>
        </w:rPr>
        <w:footnoteReference w:id="34"/>
      </w:r>
      <w:r w:rsidR="00234428">
        <w:t xml:space="preserve"> </w:t>
      </w:r>
      <w:r w:rsidR="00B93403">
        <w:t xml:space="preserve"> </w:t>
      </w:r>
      <w:r w:rsidR="00E5263A">
        <w:t>In response to Staff Data Request No. 10</w:t>
      </w:r>
      <w:r w:rsidR="003913F0">
        <w:t>2</w:t>
      </w:r>
      <w:r w:rsidR="00984662">
        <w:t>,</w:t>
      </w:r>
      <w:r w:rsidR="00E5263A">
        <w:t xml:space="preserve"> Mr. Gaines provided an update to the expected cost of issuing new debt in 2011.  Based upon that update, and the retirement of a high cost </w:t>
      </w:r>
      <w:r w:rsidR="00E86D7D">
        <w:t>tranche</w:t>
      </w:r>
      <w:r w:rsidR="00E5263A">
        <w:t xml:space="preserve"> in September 2011, </w:t>
      </w:r>
      <w:r w:rsidR="003913F0">
        <w:t>PSE now shows</w:t>
      </w:r>
      <w:r w:rsidR="00E5263A">
        <w:t xml:space="preserve"> the new weighted average cost of long-term debt </w:t>
      </w:r>
      <w:r w:rsidR="006E7B89">
        <w:t>a</w:t>
      </w:r>
      <w:r w:rsidR="00E5263A">
        <w:t>s 6.</w:t>
      </w:r>
      <w:r w:rsidR="003913F0">
        <w:t xml:space="preserve">22 </w:t>
      </w:r>
      <w:r w:rsidR="00E5263A">
        <w:t xml:space="preserve">percent.  I </w:t>
      </w:r>
      <w:r w:rsidR="00AA4649">
        <w:t>use</w:t>
      </w:r>
      <w:r w:rsidR="00E5263A">
        <w:t xml:space="preserve"> </w:t>
      </w:r>
      <w:r w:rsidR="006E7B89">
        <w:t xml:space="preserve">that cost rate </w:t>
      </w:r>
      <w:r w:rsidR="003913F0">
        <w:t>for</w:t>
      </w:r>
      <w:r w:rsidR="00E5263A">
        <w:t xml:space="preserve"> the </w:t>
      </w:r>
      <w:r w:rsidR="00AA4649" w:rsidRPr="00AA4649">
        <w:rPr>
          <w:i/>
        </w:rPr>
        <w:t>pro forma</w:t>
      </w:r>
      <w:r w:rsidR="00AA4649">
        <w:t xml:space="preserve"> </w:t>
      </w:r>
      <w:r w:rsidR="00E5263A">
        <w:t>cost of long-term debt in this case.</w:t>
      </w:r>
      <w:r w:rsidR="0008231D">
        <w:t xml:space="preserve">  </w:t>
      </w:r>
    </w:p>
    <w:p w:rsidR="0008231D" w:rsidRDefault="0008231D" w:rsidP="00D74338">
      <w:pPr>
        <w:tabs>
          <w:tab w:val="left" w:pos="720"/>
          <w:tab w:val="left" w:pos="1440"/>
          <w:tab w:val="left" w:pos="9240"/>
        </w:tabs>
        <w:spacing w:line="480" w:lineRule="auto"/>
        <w:ind w:left="720" w:hanging="720"/>
        <w:rPr>
          <w:b/>
        </w:rPr>
      </w:pPr>
    </w:p>
    <w:p w:rsidR="00F56669" w:rsidRPr="00F56669" w:rsidRDefault="00F56669" w:rsidP="00D74338">
      <w:pPr>
        <w:tabs>
          <w:tab w:val="left" w:pos="720"/>
          <w:tab w:val="left" w:pos="1440"/>
          <w:tab w:val="left" w:pos="9240"/>
        </w:tabs>
        <w:spacing w:line="480" w:lineRule="auto"/>
        <w:ind w:left="720" w:hanging="720"/>
        <w:rPr>
          <w:b/>
        </w:rPr>
      </w:pPr>
      <w:r w:rsidRPr="00F56669">
        <w:rPr>
          <w:b/>
        </w:rPr>
        <w:t>Q.</w:t>
      </w:r>
      <w:r w:rsidRPr="00F56669">
        <w:rPr>
          <w:b/>
        </w:rPr>
        <w:tab/>
        <w:t xml:space="preserve">Do you accept the </w:t>
      </w:r>
      <w:r w:rsidR="00181F04">
        <w:rPr>
          <w:b/>
        </w:rPr>
        <w:t xml:space="preserve">Company’s </w:t>
      </w:r>
      <w:r w:rsidRPr="00F56669">
        <w:rPr>
          <w:b/>
        </w:rPr>
        <w:t xml:space="preserve">proposed cost </w:t>
      </w:r>
      <w:r w:rsidR="00181F04">
        <w:rPr>
          <w:b/>
        </w:rPr>
        <w:t>for</w:t>
      </w:r>
      <w:r w:rsidRPr="00F56669">
        <w:rPr>
          <w:b/>
        </w:rPr>
        <w:t xml:space="preserve"> short-term debt of 4.62 percent?</w:t>
      </w:r>
    </w:p>
    <w:p w:rsidR="00E86D7D" w:rsidRDefault="00F56669" w:rsidP="006E7B89">
      <w:pPr>
        <w:tabs>
          <w:tab w:val="left" w:pos="720"/>
          <w:tab w:val="left" w:pos="1440"/>
          <w:tab w:val="left" w:pos="1800"/>
          <w:tab w:val="left" w:pos="9240"/>
        </w:tabs>
        <w:spacing w:line="480" w:lineRule="auto"/>
        <w:ind w:left="720" w:hanging="720"/>
      </w:pPr>
      <w:r>
        <w:t>A.</w:t>
      </w:r>
      <w:r>
        <w:tab/>
      </w:r>
      <w:r w:rsidR="0008231D">
        <w:t>No</w:t>
      </w:r>
      <w:r w:rsidR="00181F04">
        <w:t xml:space="preserve">.  </w:t>
      </w:r>
      <w:r w:rsidR="006E7B89">
        <w:t>I</w:t>
      </w:r>
      <w:r w:rsidR="0008231D">
        <w:t xml:space="preserve">n the same </w:t>
      </w:r>
      <w:r w:rsidR="00E86D7D">
        <w:t>response to Staff Data Request No. 10</w:t>
      </w:r>
      <w:r w:rsidR="003913F0">
        <w:t>2</w:t>
      </w:r>
      <w:r w:rsidR="006E7B89">
        <w:t>,</w:t>
      </w:r>
      <w:r w:rsidR="0008231D">
        <w:t xml:space="preserve"> Mr. Gaines </w:t>
      </w:r>
      <w:r w:rsidR="003913F0">
        <w:t xml:space="preserve">now shows </w:t>
      </w:r>
      <w:r w:rsidR="0008231D">
        <w:t xml:space="preserve">that the cost </w:t>
      </w:r>
      <w:r w:rsidR="006E7B89">
        <w:t xml:space="preserve">of short term debt </w:t>
      </w:r>
      <w:r w:rsidR="0008231D">
        <w:t>is 2.68 percent.</w:t>
      </w:r>
      <w:r w:rsidR="006E7B89">
        <w:t xml:space="preserve">  I used that new estimate in arriving at my rate of return recommendation.  </w:t>
      </w:r>
    </w:p>
    <w:p w:rsidR="00F56669" w:rsidRPr="00BD25E3" w:rsidRDefault="00F56669" w:rsidP="005D3B74">
      <w:pPr>
        <w:tabs>
          <w:tab w:val="left" w:pos="720"/>
          <w:tab w:val="left" w:pos="1440"/>
          <w:tab w:val="left" w:pos="1800"/>
          <w:tab w:val="left" w:pos="9240"/>
        </w:tabs>
        <w:spacing w:line="480" w:lineRule="auto"/>
        <w:ind w:left="720" w:hanging="720"/>
      </w:pPr>
    </w:p>
    <w:p w:rsidR="005D3B74" w:rsidRPr="00BC1FAB" w:rsidRDefault="005D3B74" w:rsidP="00292A3F">
      <w:pPr>
        <w:pStyle w:val="ListParagraph"/>
        <w:keepNext/>
        <w:numPr>
          <w:ilvl w:val="0"/>
          <w:numId w:val="31"/>
        </w:numPr>
        <w:tabs>
          <w:tab w:val="left" w:pos="720"/>
          <w:tab w:val="left" w:pos="9240"/>
        </w:tabs>
        <w:spacing w:line="480" w:lineRule="auto"/>
        <w:ind w:left="720"/>
        <w:rPr>
          <w:b/>
        </w:rPr>
      </w:pPr>
      <w:r w:rsidRPr="00BC1FAB">
        <w:rPr>
          <w:b/>
        </w:rPr>
        <w:t>T</w:t>
      </w:r>
      <w:r w:rsidR="006E7B89">
        <w:rPr>
          <w:b/>
        </w:rPr>
        <w:t>otal Cost of Capital</w:t>
      </w:r>
    </w:p>
    <w:p w:rsidR="005D3B74" w:rsidRDefault="005D3B74" w:rsidP="009F2ECE">
      <w:pPr>
        <w:keepNext/>
        <w:tabs>
          <w:tab w:val="left" w:pos="720"/>
          <w:tab w:val="left" w:pos="1440"/>
          <w:tab w:val="left" w:pos="9240"/>
        </w:tabs>
        <w:spacing w:line="480" w:lineRule="auto"/>
        <w:ind w:left="720" w:hanging="720"/>
        <w:jc w:val="both"/>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 xml:space="preserve">What is the total cost of capital for </w:t>
      </w:r>
      <w:r w:rsidR="00D25732">
        <w:rPr>
          <w:b/>
        </w:rPr>
        <w:t>PSE</w:t>
      </w:r>
      <w:r>
        <w:rPr>
          <w:b/>
        </w:rPr>
        <w:t>?</w:t>
      </w:r>
    </w:p>
    <w:p w:rsidR="005D3B74" w:rsidRDefault="005D3B74" w:rsidP="005D3B74">
      <w:pPr>
        <w:tabs>
          <w:tab w:val="left" w:pos="720"/>
          <w:tab w:val="left" w:pos="1440"/>
          <w:tab w:val="left" w:pos="9240"/>
        </w:tabs>
        <w:spacing w:line="480" w:lineRule="auto"/>
        <w:ind w:left="720" w:hanging="720"/>
      </w:pPr>
      <w:r>
        <w:t>A.</w:t>
      </w:r>
      <w:r>
        <w:tab/>
      </w:r>
      <w:r w:rsidR="00D25732">
        <w:t>PSE</w:t>
      </w:r>
      <w:r w:rsidR="00BA3A87">
        <w:t>’s</w:t>
      </w:r>
      <w:r w:rsidR="00B92031">
        <w:t xml:space="preserve"> total cost of capital is </w:t>
      </w:r>
      <w:r w:rsidR="00DF3981">
        <w:t>7.59</w:t>
      </w:r>
      <w:r w:rsidR="00100F84">
        <w:t xml:space="preserve"> </w:t>
      </w:r>
      <w:r>
        <w:t xml:space="preserve">percent.  I provide the components of the capital structure and the corresponding cost rates </w:t>
      </w:r>
      <w:r w:rsidR="00C257C0">
        <w:t xml:space="preserve">in the table </w:t>
      </w:r>
      <w:r>
        <w:t xml:space="preserve">on page </w:t>
      </w:r>
      <w:r w:rsidR="00C257C0">
        <w:t>2</w:t>
      </w:r>
      <w:r>
        <w:t xml:space="preserve"> of my testimony.</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lastRenderedPageBreak/>
        <w:t>Q.</w:t>
      </w:r>
      <w:r>
        <w:rPr>
          <w:b/>
        </w:rPr>
        <w:tab/>
      </w:r>
      <w:r w:rsidR="00C4211F">
        <w:rPr>
          <w:b/>
        </w:rPr>
        <w:t xml:space="preserve">Does </w:t>
      </w:r>
      <w:r>
        <w:rPr>
          <w:b/>
        </w:rPr>
        <w:t xml:space="preserve">a </w:t>
      </w:r>
      <w:r w:rsidR="00DF3981">
        <w:rPr>
          <w:b/>
        </w:rPr>
        <w:t>7.59</w:t>
      </w:r>
      <w:r w:rsidR="00100F84">
        <w:rPr>
          <w:b/>
        </w:rPr>
        <w:t xml:space="preserve"> </w:t>
      </w:r>
      <w:r>
        <w:rPr>
          <w:b/>
        </w:rPr>
        <w:t xml:space="preserve">percent cost of capital provide the Company a sufficient level of earnings to maintain </w:t>
      </w:r>
      <w:r w:rsidR="00C4211F">
        <w:rPr>
          <w:b/>
        </w:rPr>
        <w:t xml:space="preserve">its </w:t>
      </w:r>
      <w:r>
        <w:rPr>
          <w:b/>
        </w:rPr>
        <w:t>financial integrity</w:t>
      </w:r>
      <w:r w:rsidR="006E7B89">
        <w:rPr>
          <w:b/>
        </w:rPr>
        <w:t xml:space="preserve">, as required by the </w:t>
      </w:r>
      <w:r w:rsidR="006E7B89" w:rsidRPr="00B668C4">
        <w:rPr>
          <w:b/>
          <w:i/>
        </w:rPr>
        <w:t>Bluefield</w:t>
      </w:r>
      <w:r w:rsidR="006E7B89">
        <w:rPr>
          <w:b/>
        </w:rPr>
        <w:t xml:space="preserve"> and </w:t>
      </w:r>
      <w:r w:rsidR="006E7B89" w:rsidRPr="00B668C4">
        <w:rPr>
          <w:b/>
          <w:i/>
        </w:rPr>
        <w:t>Hope</w:t>
      </w:r>
      <w:r w:rsidR="006E7B89">
        <w:rPr>
          <w:b/>
        </w:rPr>
        <w:t xml:space="preserve"> standards</w:t>
      </w:r>
      <w:r>
        <w:rPr>
          <w:b/>
        </w:rPr>
        <w:t>?</w:t>
      </w:r>
    </w:p>
    <w:p w:rsidR="005D3B74" w:rsidRDefault="005D3B74" w:rsidP="005D3B74">
      <w:pPr>
        <w:tabs>
          <w:tab w:val="left" w:pos="720"/>
          <w:tab w:val="left" w:pos="1440"/>
          <w:tab w:val="left" w:pos="9240"/>
        </w:tabs>
        <w:spacing w:line="480" w:lineRule="auto"/>
        <w:ind w:left="720" w:hanging="720"/>
      </w:pPr>
      <w:r>
        <w:t>A.</w:t>
      </w:r>
      <w:r>
        <w:tab/>
        <w:t>Yes.</w:t>
      </w:r>
    </w:p>
    <w:p w:rsidR="00FE11DA" w:rsidRDefault="00FE11DA" w:rsidP="005D3B74">
      <w:pPr>
        <w:tabs>
          <w:tab w:val="left" w:pos="720"/>
          <w:tab w:val="left" w:pos="1440"/>
          <w:tab w:val="left" w:pos="9240"/>
        </w:tabs>
        <w:spacing w:line="480" w:lineRule="auto"/>
        <w:ind w:left="720" w:hanging="720"/>
      </w:pPr>
    </w:p>
    <w:p w:rsidR="00FE11DA" w:rsidRDefault="00FE11DA" w:rsidP="00FE11DA">
      <w:pPr>
        <w:tabs>
          <w:tab w:val="left" w:pos="720"/>
          <w:tab w:val="left" w:pos="1440"/>
          <w:tab w:val="left" w:pos="9240"/>
        </w:tabs>
        <w:spacing w:line="480" w:lineRule="auto"/>
        <w:ind w:left="720" w:hanging="720"/>
        <w:rPr>
          <w:b/>
        </w:rPr>
      </w:pPr>
      <w:r>
        <w:rPr>
          <w:b/>
        </w:rPr>
        <w:t>Q.</w:t>
      </w:r>
      <w:r>
        <w:rPr>
          <w:b/>
        </w:rPr>
        <w:tab/>
        <w:t xml:space="preserve">Is there any other direct evidence </w:t>
      </w:r>
      <w:r w:rsidR="006E7B89">
        <w:rPr>
          <w:b/>
        </w:rPr>
        <w:t xml:space="preserve">of </w:t>
      </w:r>
      <w:r>
        <w:rPr>
          <w:b/>
        </w:rPr>
        <w:t xml:space="preserve">how investors perceive PSE in the current environment </w:t>
      </w:r>
      <w:r w:rsidR="006E7B89">
        <w:rPr>
          <w:b/>
        </w:rPr>
        <w:t>support</w:t>
      </w:r>
      <w:r w:rsidR="00100F84">
        <w:rPr>
          <w:b/>
        </w:rPr>
        <w:t>ing</w:t>
      </w:r>
      <w:r w:rsidR="006E7B89">
        <w:rPr>
          <w:b/>
        </w:rPr>
        <w:t xml:space="preserve"> your conclusion </w:t>
      </w:r>
      <w:r>
        <w:rPr>
          <w:b/>
        </w:rPr>
        <w:t xml:space="preserve">with respect to the </w:t>
      </w:r>
      <w:r w:rsidRPr="00B668C4">
        <w:rPr>
          <w:b/>
          <w:i/>
        </w:rPr>
        <w:t>Bluefield</w:t>
      </w:r>
      <w:r>
        <w:rPr>
          <w:b/>
        </w:rPr>
        <w:t xml:space="preserve"> and </w:t>
      </w:r>
      <w:r w:rsidRPr="00B668C4">
        <w:rPr>
          <w:b/>
          <w:i/>
        </w:rPr>
        <w:t>Hope</w:t>
      </w:r>
      <w:r>
        <w:rPr>
          <w:b/>
        </w:rPr>
        <w:t xml:space="preserve"> standards?</w:t>
      </w:r>
    </w:p>
    <w:p w:rsidR="00FE11DA" w:rsidRDefault="00FE11DA" w:rsidP="00FE11DA">
      <w:pPr>
        <w:tabs>
          <w:tab w:val="left" w:pos="720"/>
          <w:tab w:val="left" w:pos="1440"/>
          <w:tab w:val="left" w:pos="9240"/>
        </w:tabs>
        <w:spacing w:line="480" w:lineRule="auto"/>
        <w:ind w:left="720" w:hanging="720"/>
      </w:pPr>
      <w:r>
        <w:t>A.</w:t>
      </w:r>
      <w:r>
        <w:tab/>
        <w:t xml:space="preserve">Yes.  The critical element of these cases is whether the utility is able to maintain financial integrity and attract capital on reasonable terms.  Since PSE is no longer publicly traded, </w:t>
      </w:r>
      <w:r w:rsidR="00E86D7D">
        <w:t>I</w:t>
      </w:r>
      <w:r>
        <w:t xml:space="preserve"> cannot analyze its market to book ratio and the terms and conditions under which it issues new equity.  However, the Commission can look at </w:t>
      </w:r>
      <w:r w:rsidR="006E7B89">
        <w:t>PSE’s</w:t>
      </w:r>
      <w:r>
        <w:t xml:space="preserve"> ability to sell additional debt to fund its capital budget.  </w:t>
      </w:r>
    </w:p>
    <w:p w:rsidR="00FE11DA" w:rsidRDefault="00FE11DA" w:rsidP="00FE11DA">
      <w:pPr>
        <w:tabs>
          <w:tab w:val="left" w:pos="720"/>
          <w:tab w:val="left" w:pos="1440"/>
          <w:tab w:val="left" w:pos="9240"/>
        </w:tabs>
        <w:spacing w:line="480" w:lineRule="auto"/>
        <w:ind w:left="720" w:hanging="720"/>
      </w:pPr>
    </w:p>
    <w:p w:rsidR="00FE11DA" w:rsidRDefault="00FE11DA" w:rsidP="00FE11DA">
      <w:pPr>
        <w:tabs>
          <w:tab w:val="left" w:pos="720"/>
          <w:tab w:val="left" w:pos="1440"/>
          <w:tab w:val="left" w:pos="9240"/>
        </w:tabs>
        <w:spacing w:line="480" w:lineRule="auto"/>
        <w:ind w:left="720" w:hanging="720"/>
      </w:pPr>
      <w:r>
        <w:rPr>
          <w:b/>
        </w:rPr>
        <w:t>Q.</w:t>
      </w:r>
      <w:r>
        <w:rPr>
          <w:b/>
        </w:rPr>
        <w:tab/>
        <w:t>What does the evidence say about PSE’s ability to attract new capital on reasonable terms?</w:t>
      </w:r>
    </w:p>
    <w:p w:rsidR="00E021BB" w:rsidRDefault="00FE11DA" w:rsidP="00FE11DA">
      <w:pPr>
        <w:tabs>
          <w:tab w:val="left" w:pos="720"/>
          <w:tab w:val="left" w:pos="1440"/>
          <w:tab w:val="left" w:pos="9240"/>
        </w:tabs>
        <w:spacing w:line="480" w:lineRule="auto"/>
        <w:ind w:left="720" w:hanging="720"/>
      </w:pPr>
      <w:r>
        <w:t>A.</w:t>
      </w:r>
      <w:r>
        <w:tab/>
        <w:t xml:space="preserve">The evidence is that buyers are purchasing the fixed income securities of PSE to support regulated utility operations at reasonable rates, despite actual </w:t>
      </w:r>
      <w:r w:rsidR="006E7B89">
        <w:t xml:space="preserve">(booked) </w:t>
      </w:r>
      <w:r>
        <w:t xml:space="preserve">earned equity returns below authorized levels.  Not only has the Company realized a rating increase </w:t>
      </w:r>
      <w:r w:rsidR="00100F84">
        <w:t xml:space="preserve">in </w:t>
      </w:r>
      <w:r w:rsidR="00A566E3">
        <w:t>i</w:t>
      </w:r>
      <w:r w:rsidR="00100F84">
        <w:t xml:space="preserve">ts corporate credit rating </w:t>
      </w:r>
      <w:r w:rsidR="006E7B89">
        <w:t xml:space="preserve">from </w:t>
      </w:r>
      <w:r w:rsidR="00100F84">
        <w:t xml:space="preserve">BBB- </w:t>
      </w:r>
      <w:r w:rsidR="006E7B89">
        <w:t xml:space="preserve">to </w:t>
      </w:r>
      <w:r w:rsidR="00100F84">
        <w:t>BBB</w:t>
      </w:r>
      <w:r w:rsidR="00100F84">
        <w:rPr>
          <w:rStyle w:val="FootnoteReference"/>
        </w:rPr>
        <w:footnoteReference w:id="35"/>
      </w:r>
      <w:r w:rsidR="00100F84">
        <w:t xml:space="preserve"> </w:t>
      </w:r>
      <w:r>
        <w:t xml:space="preserve">, but it also has successfully marketed its fixed income securities during the same historical period.  Throughout the past decade it has successfully sold new debt at very attractive rates.  In fact, since 2009, PSE has sold $1.125 billion of new debt at coupon rates less than </w:t>
      </w:r>
      <w:r>
        <w:lastRenderedPageBreak/>
        <w:t>6.0 percent.</w:t>
      </w:r>
      <w:r w:rsidR="00E021BB">
        <w:rPr>
          <w:rStyle w:val="FootnoteReference"/>
        </w:rPr>
        <w:footnoteReference w:id="36"/>
      </w:r>
      <w:r>
        <w:t xml:space="preserve">  </w:t>
      </w:r>
      <w:r w:rsidR="00E86D7D">
        <w:t xml:space="preserve">Finally, the Commission should look at PSE’s </w:t>
      </w:r>
      <w:r w:rsidR="00084E27">
        <w:t>actual cost</w:t>
      </w:r>
      <w:r w:rsidR="00E86D7D">
        <w:t xml:space="preserve"> for issuing additional debt during fourth quarter 2011, which w</w:t>
      </w:r>
      <w:r w:rsidR="00084E27">
        <w:t>as</w:t>
      </w:r>
      <w:r w:rsidR="00E86D7D">
        <w:t xml:space="preserve"> issued at prices of </w:t>
      </w:r>
      <w:r w:rsidR="00084E27">
        <w:t xml:space="preserve">less than </w:t>
      </w:r>
      <w:r w:rsidR="0003693D">
        <w:t>5</w:t>
      </w:r>
      <w:r w:rsidR="00E86D7D">
        <w:t>.0 percent.</w:t>
      </w:r>
    </w:p>
    <w:p w:rsidR="00FE11DA" w:rsidRDefault="00FE11DA" w:rsidP="00FE11DA">
      <w:pPr>
        <w:tabs>
          <w:tab w:val="left" w:pos="720"/>
          <w:tab w:val="left" w:pos="1440"/>
          <w:tab w:val="left" w:pos="9240"/>
        </w:tabs>
        <w:spacing w:line="480" w:lineRule="auto"/>
        <w:ind w:left="720" w:hanging="720"/>
        <w:rPr>
          <w:b/>
        </w:rPr>
      </w:pPr>
    </w:p>
    <w:p w:rsidR="00FE11DA" w:rsidRDefault="00FE11DA" w:rsidP="00FE11DA">
      <w:pPr>
        <w:tabs>
          <w:tab w:val="left" w:pos="720"/>
          <w:tab w:val="left" w:pos="1440"/>
          <w:tab w:val="left" w:pos="9240"/>
        </w:tabs>
        <w:spacing w:line="480" w:lineRule="auto"/>
        <w:ind w:left="720" w:hanging="720"/>
        <w:rPr>
          <w:b/>
        </w:rPr>
      </w:pPr>
      <w:r>
        <w:rPr>
          <w:b/>
        </w:rPr>
        <w:t>Q.</w:t>
      </w:r>
      <w:r>
        <w:rPr>
          <w:b/>
        </w:rPr>
        <w:tab/>
        <w:t>Do you have any final observations with respect to PSE’s ability to attract capital on reasonable terms and carry out its obligations as a public service company?</w:t>
      </w:r>
    </w:p>
    <w:p w:rsidR="00FE11DA" w:rsidRDefault="00FE11DA" w:rsidP="00FE11DA">
      <w:pPr>
        <w:tabs>
          <w:tab w:val="left" w:pos="720"/>
          <w:tab w:val="left" w:pos="1440"/>
          <w:tab w:val="left" w:pos="9240"/>
        </w:tabs>
        <w:spacing w:line="480" w:lineRule="auto"/>
        <w:ind w:left="720" w:hanging="720"/>
      </w:pPr>
      <w:r>
        <w:t>A.</w:t>
      </w:r>
      <w:r>
        <w:tab/>
        <w:t xml:space="preserve">Yes.  The final point I need to emphasize involves PSE’s </w:t>
      </w:r>
      <w:r w:rsidR="0003693D">
        <w:t>investment</w:t>
      </w:r>
      <w:r>
        <w:t xml:space="preserve"> the Lower Snake River project.  It is PSE’s ready access </w:t>
      </w:r>
      <w:r w:rsidR="00E021BB">
        <w:t xml:space="preserve">to </w:t>
      </w:r>
      <w:r>
        <w:t xml:space="preserve">capital that enabled it to </w:t>
      </w:r>
      <w:r w:rsidR="00E021BB">
        <w:t xml:space="preserve">complete the entire project </w:t>
      </w:r>
      <w:r>
        <w:t>despite the fact that its initial partner, RSE, could not.</w:t>
      </w:r>
      <w:r w:rsidR="00E021BB">
        <w:rPr>
          <w:rStyle w:val="FootnoteReference"/>
        </w:rPr>
        <w:footnoteReference w:id="37"/>
      </w:r>
      <w:r>
        <w:t xml:space="preserve"> </w:t>
      </w:r>
      <w:r w:rsidR="00E021BB">
        <w:t xml:space="preserve"> </w:t>
      </w:r>
      <w:r>
        <w:t>In 2009</w:t>
      </w:r>
      <w:r w:rsidR="00E021BB">
        <w:t>,</w:t>
      </w:r>
      <w:r>
        <w:t xml:space="preserve"> PSE increased its capital budget significantly to buy out its initial partner in order to move forward with the entire project.</w:t>
      </w:r>
      <w:r w:rsidR="00E021BB">
        <w:rPr>
          <w:rStyle w:val="FootnoteReference"/>
        </w:rPr>
        <w:footnoteReference w:id="38"/>
      </w:r>
      <w:r>
        <w:t xml:space="preserve">  </w:t>
      </w:r>
    </w:p>
    <w:p w:rsidR="00FE11DA" w:rsidRDefault="00FE11DA" w:rsidP="005D3B74">
      <w:pPr>
        <w:tabs>
          <w:tab w:val="left" w:pos="720"/>
          <w:tab w:val="left" w:pos="1440"/>
          <w:tab w:val="left" w:pos="9240"/>
        </w:tabs>
        <w:spacing w:line="480" w:lineRule="auto"/>
        <w:ind w:left="720" w:hanging="720"/>
        <w:rPr>
          <w:b/>
        </w:rPr>
      </w:pPr>
      <w:r>
        <w:tab/>
      </w:r>
      <w:r>
        <w:tab/>
        <w:t xml:space="preserve">Therefore, I conclude that </w:t>
      </w:r>
      <w:r w:rsidR="00882BD2">
        <w:t>my recommended cost of capital</w:t>
      </w:r>
      <w:r w:rsidR="006E7B89">
        <w:t>, which</w:t>
      </w:r>
      <w:r w:rsidR="00882BD2">
        <w:t xml:space="preserve"> </w:t>
      </w:r>
      <w:r w:rsidR="006E7B89">
        <w:t>supports</w:t>
      </w:r>
      <w:r w:rsidR="00882BD2">
        <w:t xml:space="preserve"> </w:t>
      </w:r>
      <w:r>
        <w:t xml:space="preserve">a corporate credit rating of BBB </w:t>
      </w:r>
      <w:r w:rsidR="00CC4CE0">
        <w:t xml:space="preserve">for PSE, </w:t>
      </w:r>
      <w:r w:rsidR="00882BD2">
        <w:t xml:space="preserve">enables </w:t>
      </w:r>
      <w:r w:rsidR="00CC4CE0">
        <w:t>PSE</w:t>
      </w:r>
      <w:r>
        <w:t xml:space="preserve"> to attract capital on reasonable terms consistent with </w:t>
      </w:r>
      <w:r w:rsidR="00882BD2">
        <w:t xml:space="preserve">the standards of </w:t>
      </w:r>
      <w:r w:rsidRPr="008463DF">
        <w:rPr>
          <w:i/>
        </w:rPr>
        <w:t>Bluefield</w:t>
      </w:r>
      <w:r>
        <w:t xml:space="preserve"> and </w:t>
      </w:r>
      <w:r w:rsidRPr="008463DF">
        <w:rPr>
          <w:i/>
        </w:rPr>
        <w:t>Hope</w:t>
      </w:r>
      <w:r>
        <w:t>.</w:t>
      </w:r>
    </w:p>
    <w:p w:rsidR="005D3B74" w:rsidRDefault="005D3B74" w:rsidP="000D55B3">
      <w:pPr>
        <w:tabs>
          <w:tab w:val="left" w:pos="720"/>
          <w:tab w:val="left" w:pos="1440"/>
          <w:tab w:val="left" w:pos="9240"/>
        </w:tabs>
        <w:spacing w:line="480" w:lineRule="auto"/>
        <w:ind w:left="720" w:hanging="720"/>
        <w:rPr>
          <w:b/>
        </w:rPr>
      </w:pPr>
    </w:p>
    <w:p w:rsidR="005D3B74" w:rsidRPr="00BC1FAB" w:rsidRDefault="005D3B74" w:rsidP="009F1722">
      <w:pPr>
        <w:pStyle w:val="ListParagraph"/>
        <w:keepNext/>
        <w:numPr>
          <w:ilvl w:val="0"/>
          <w:numId w:val="31"/>
        </w:numPr>
        <w:tabs>
          <w:tab w:val="left" w:pos="720"/>
          <w:tab w:val="left" w:pos="1440"/>
          <w:tab w:val="left" w:pos="9240"/>
        </w:tabs>
        <w:spacing w:line="480" w:lineRule="auto"/>
        <w:ind w:left="720"/>
        <w:rPr>
          <w:b/>
          <w:u w:val="single"/>
        </w:rPr>
      </w:pPr>
      <w:r w:rsidRPr="00BC1FAB">
        <w:rPr>
          <w:b/>
        </w:rPr>
        <w:t>R</w:t>
      </w:r>
      <w:r w:rsidR="00CC4CE0">
        <w:rPr>
          <w:b/>
        </w:rPr>
        <w:t>esponse to Company Cost of Capital Testimony</w:t>
      </w:r>
    </w:p>
    <w:p w:rsidR="005D3B74" w:rsidRDefault="005D3B74" w:rsidP="005D3B74">
      <w:pPr>
        <w:tabs>
          <w:tab w:val="left" w:pos="720"/>
          <w:tab w:val="left" w:pos="1440"/>
          <w:tab w:val="left" w:pos="9240"/>
        </w:tabs>
        <w:spacing w:line="480" w:lineRule="auto"/>
        <w:ind w:left="720" w:hanging="720"/>
        <w:jc w:val="both"/>
      </w:pPr>
    </w:p>
    <w:p w:rsidR="005D3B74" w:rsidRDefault="005D3B74" w:rsidP="005D3B74">
      <w:pPr>
        <w:tabs>
          <w:tab w:val="left" w:pos="720"/>
          <w:tab w:val="left" w:pos="1440"/>
          <w:tab w:val="left" w:pos="9240"/>
        </w:tabs>
        <w:spacing w:line="480" w:lineRule="auto"/>
        <w:ind w:left="720" w:hanging="720"/>
        <w:rPr>
          <w:b/>
        </w:rPr>
      </w:pPr>
      <w:r>
        <w:rPr>
          <w:b/>
        </w:rPr>
        <w:t>Q.</w:t>
      </w:r>
      <w:r>
        <w:rPr>
          <w:b/>
        </w:rPr>
        <w:tab/>
        <w:t xml:space="preserve">Have you reviewed the testimony of </w:t>
      </w:r>
      <w:r w:rsidR="00D25732">
        <w:rPr>
          <w:b/>
        </w:rPr>
        <w:t>PSE</w:t>
      </w:r>
      <w:r w:rsidR="009F2ECE">
        <w:rPr>
          <w:b/>
        </w:rPr>
        <w:t xml:space="preserve"> cost of capital witnesses </w:t>
      </w:r>
      <w:r w:rsidR="00D25732">
        <w:rPr>
          <w:b/>
        </w:rPr>
        <w:t>Gaines</w:t>
      </w:r>
      <w:r w:rsidR="00902C53">
        <w:rPr>
          <w:b/>
        </w:rPr>
        <w:t xml:space="preserve"> and </w:t>
      </w:r>
      <w:r w:rsidR="00D25732">
        <w:rPr>
          <w:b/>
        </w:rPr>
        <w:t>Olson</w:t>
      </w:r>
      <w:r>
        <w:rPr>
          <w:b/>
        </w:rPr>
        <w:t>?</w:t>
      </w:r>
    </w:p>
    <w:p w:rsidR="005D3B74" w:rsidRDefault="005D3B74" w:rsidP="005D3B74">
      <w:pPr>
        <w:tabs>
          <w:tab w:val="left" w:pos="720"/>
          <w:tab w:val="left" w:pos="1440"/>
          <w:tab w:val="left" w:pos="9240"/>
        </w:tabs>
        <w:spacing w:line="480" w:lineRule="auto"/>
        <w:ind w:left="720" w:hanging="720"/>
      </w:pPr>
      <w:r w:rsidRPr="00973FA0">
        <w:t>A.</w:t>
      </w:r>
      <w:r w:rsidRPr="00DC1895">
        <w:rPr>
          <w:b/>
        </w:rPr>
        <w:tab/>
      </w:r>
      <w:r>
        <w:t>Yes.</w:t>
      </w:r>
    </w:p>
    <w:p w:rsidR="005D3B74" w:rsidRDefault="005D3B74" w:rsidP="005D3B74">
      <w:pPr>
        <w:tabs>
          <w:tab w:val="left" w:pos="720"/>
          <w:tab w:val="left" w:pos="1440"/>
          <w:tab w:val="left" w:pos="9240"/>
        </w:tabs>
        <w:spacing w:line="480" w:lineRule="auto"/>
        <w:ind w:left="720" w:hanging="720"/>
      </w:pPr>
    </w:p>
    <w:p w:rsidR="005D3B74" w:rsidRPr="00754502" w:rsidRDefault="005D3B74" w:rsidP="005D3B74">
      <w:pPr>
        <w:tabs>
          <w:tab w:val="left" w:pos="720"/>
          <w:tab w:val="left" w:pos="1440"/>
          <w:tab w:val="left" w:pos="9240"/>
        </w:tabs>
        <w:spacing w:line="480" w:lineRule="auto"/>
        <w:ind w:left="720" w:hanging="720"/>
        <w:rPr>
          <w:b/>
        </w:rPr>
      </w:pPr>
      <w:r>
        <w:rPr>
          <w:b/>
        </w:rPr>
        <w:lastRenderedPageBreak/>
        <w:t>Q.</w:t>
      </w:r>
      <w:r>
        <w:rPr>
          <w:b/>
        </w:rPr>
        <w:tab/>
        <w:t xml:space="preserve">What </w:t>
      </w:r>
      <w:r w:rsidR="00800834">
        <w:rPr>
          <w:b/>
        </w:rPr>
        <w:t>are</w:t>
      </w:r>
      <w:r>
        <w:rPr>
          <w:b/>
        </w:rPr>
        <w:t xml:space="preserve"> the primary difference</w:t>
      </w:r>
      <w:r w:rsidR="00800834">
        <w:rPr>
          <w:b/>
        </w:rPr>
        <w:t>s</w:t>
      </w:r>
      <w:r>
        <w:rPr>
          <w:b/>
        </w:rPr>
        <w:t xml:space="preserve"> between your recommendation and the Company</w:t>
      </w:r>
      <w:r w:rsidR="00902C53">
        <w:rPr>
          <w:b/>
        </w:rPr>
        <w:t>’</w:t>
      </w:r>
      <w:r w:rsidR="00A15099">
        <w:rPr>
          <w:b/>
        </w:rPr>
        <w:t>s</w:t>
      </w:r>
      <w:r w:rsidR="00800834">
        <w:rPr>
          <w:b/>
        </w:rPr>
        <w:t xml:space="preserve"> </w:t>
      </w:r>
      <w:r w:rsidR="00D33DE5">
        <w:rPr>
          <w:b/>
        </w:rPr>
        <w:t>proposed cost of capital</w:t>
      </w:r>
      <w:r w:rsidR="00FC39E1">
        <w:rPr>
          <w:b/>
        </w:rPr>
        <w:t>?</w:t>
      </w:r>
    </w:p>
    <w:p w:rsidR="005D3B74" w:rsidRDefault="005D3B74" w:rsidP="005D3B74">
      <w:pPr>
        <w:tabs>
          <w:tab w:val="left" w:pos="720"/>
          <w:tab w:val="left" w:pos="1440"/>
          <w:tab w:val="left" w:pos="9240"/>
        </w:tabs>
        <w:spacing w:line="480" w:lineRule="auto"/>
        <w:ind w:left="720" w:hanging="720"/>
      </w:pPr>
      <w:r>
        <w:t>A.</w:t>
      </w:r>
      <w:r>
        <w:tab/>
        <w:t>The primary difference</w:t>
      </w:r>
      <w:r w:rsidR="00800834">
        <w:t>s</w:t>
      </w:r>
      <w:r>
        <w:t xml:space="preserve"> ar</w:t>
      </w:r>
      <w:r w:rsidR="00902C53">
        <w:t xml:space="preserve">e:  1) </w:t>
      </w:r>
      <w:r w:rsidR="00CC4CE0">
        <w:t xml:space="preserve">Capital structure where </w:t>
      </w:r>
      <w:r>
        <w:t>I recommend a 4</w:t>
      </w:r>
      <w:r w:rsidR="0051344A">
        <w:t>6</w:t>
      </w:r>
      <w:r w:rsidR="00787457">
        <w:t>.0</w:t>
      </w:r>
      <w:r w:rsidR="00F56669">
        <w:t xml:space="preserve"> percent equity ratio compared to</w:t>
      </w:r>
      <w:r w:rsidR="00902C53">
        <w:t xml:space="preserve"> </w:t>
      </w:r>
      <w:r w:rsidR="00F56669">
        <w:t>the Company</w:t>
      </w:r>
      <w:r w:rsidR="00E021BB">
        <w:t>’s</w:t>
      </w:r>
      <w:r w:rsidR="00F56669">
        <w:t xml:space="preserve"> proposed</w:t>
      </w:r>
      <w:r w:rsidRPr="008A3B9A">
        <w:t xml:space="preserve"> </w:t>
      </w:r>
      <w:r w:rsidR="00F56669">
        <w:t xml:space="preserve">equity ratio of </w:t>
      </w:r>
      <w:r w:rsidR="00A11C89">
        <w:t>48.00</w:t>
      </w:r>
      <w:r w:rsidRPr="008A3B9A">
        <w:t xml:space="preserve"> percent</w:t>
      </w:r>
      <w:r>
        <w:t xml:space="preserve">; </w:t>
      </w:r>
      <w:r w:rsidR="008B3BB8">
        <w:t xml:space="preserve">and </w:t>
      </w:r>
      <w:r>
        <w:t xml:space="preserve">2) Cost of </w:t>
      </w:r>
      <w:r w:rsidR="00E021BB">
        <w:t>e</w:t>
      </w:r>
      <w:r>
        <w:t xml:space="preserve">quity </w:t>
      </w:r>
      <w:r w:rsidR="00C4211F">
        <w:t xml:space="preserve">where </w:t>
      </w:r>
      <w:r w:rsidR="00902C53">
        <w:t>I recommend a ROE of 9.5 percent and</w:t>
      </w:r>
      <w:r w:rsidR="00CC4CE0">
        <w:t xml:space="preserve"> PSE </w:t>
      </w:r>
      <w:r w:rsidR="00A11C89">
        <w:t>proposes a ROE of 10.8</w:t>
      </w:r>
      <w:r w:rsidR="00902C53">
        <w:t xml:space="preserve"> percent.</w:t>
      </w:r>
    </w:p>
    <w:p w:rsidR="005D3B74" w:rsidRDefault="005D3B74" w:rsidP="005D3B74">
      <w:pPr>
        <w:tabs>
          <w:tab w:val="left" w:pos="720"/>
          <w:tab w:val="left" w:pos="1440"/>
          <w:tab w:val="left" w:pos="9240"/>
        </w:tabs>
        <w:spacing w:line="480" w:lineRule="auto"/>
        <w:ind w:left="720" w:hanging="720"/>
      </w:pPr>
    </w:p>
    <w:p w:rsidR="005D3B74" w:rsidRPr="00C04229" w:rsidRDefault="00CC4CE0" w:rsidP="004510AD">
      <w:pPr>
        <w:tabs>
          <w:tab w:val="left" w:pos="1440"/>
          <w:tab w:val="left" w:pos="9240"/>
        </w:tabs>
        <w:spacing w:line="480" w:lineRule="auto"/>
        <w:ind w:left="1440" w:hanging="720"/>
        <w:rPr>
          <w:b/>
        </w:rPr>
      </w:pPr>
      <w:r>
        <w:rPr>
          <w:b/>
        </w:rPr>
        <w:t>1</w:t>
      </w:r>
      <w:r w:rsidR="005D3B74">
        <w:rPr>
          <w:b/>
        </w:rPr>
        <w:t>.</w:t>
      </w:r>
      <w:r w:rsidR="005D3B74">
        <w:rPr>
          <w:b/>
        </w:rPr>
        <w:tab/>
        <w:t xml:space="preserve">Equity Ratio </w:t>
      </w:r>
    </w:p>
    <w:p w:rsidR="00A11C89" w:rsidRDefault="00A11C89" w:rsidP="005D3B74">
      <w:pPr>
        <w:tabs>
          <w:tab w:val="left" w:pos="720"/>
          <w:tab w:val="left" w:pos="1440"/>
          <w:tab w:val="left" w:pos="9240"/>
        </w:tabs>
        <w:spacing w:line="480" w:lineRule="auto"/>
        <w:ind w:left="720" w:hanging="720"/>
        <w:rPr>
          <w:b/>
        </w:rPr>
      </w:pPr>
    </w:p>
    <w:p w:rsidR="005D3B74" w:rsidRPr="00C04229" w:rsidRDefault="005D3B74" w:rsidP="005D3B74">
      <w:pPr>
        <w:tabs>
          <w:tab w:val="left" w:pos="720"/>
          <w:tab w:val="left" w:pos="1440"/>
          <w:tab w:val="left" w:pos="9240"/>
        </w:tabs>
        <w:spacing w:line="480" w:lineRule="auto"/>
        <w:ind w:left="720" w:hanging="720"/>
      </w:pPr>
      <w:r w:rsidRPr="00C04229">
        <w:rPr>
          <w:b/>
        </w:rPr>
        <w:t>Q.</w:t>
      </w:r>
      <w:r w:rsidRPr="00C04229">
        <w:rPr>
          <w:b/>
        </w:rPr>
        <w:tab/>
        <w:t>What is the Company</w:t>
      </w:r>
      <w:r w:rsidR="00A15099">
        <w:rPr>
          <w:b/>
        </w:rPr>
        <w:t>’s</w:t>
      </w:r>
      <w:r w:rsidRPr="00C04229">
        <w:rPr>
          <w:b/>
        </w:rPr>
        <w:t xml:space="preserve"> justification for its proposed </w:t>
      </w:r>
      <w:r w:rsidR="00B64383" w:rsidRPr="00C04229">
        <w:rPr>
          <w:b/>
        </w:rPr>
        <w:t>equity ratio</w:t>
      </w:r>
      <w:r w:rsidR="00B64383">
        <w:rPr>
          <w:b/>
        </w:rPr>
        <w:t xml:space="preserve"> of </w:t>
      </w:r>
      <w:r w:rsidR="00902C53">
        <w:rPr>
          <w:b/>
        </w:rPr>
        <w:t>48.0</w:t>
      </w:r>
      <w:r w:rsidR="00B64383">
        <w:rPr>
          <w:b/>
        </w:rPr>
        <w:t>0</w:t>
      </w:r>
      <w:r w:rsidRPr="00C04229">
        <w:rPr>
          <w:b/>
        </w:rPr>
        <w:t xml:space="preserve"> percent?</w:t>
      </w:r>
    </w:p>
    <w:p w:rsidR="005D3B74" w:rsidRPr="00F2094F" w:rsidRDefault="005D3B74" w:rsidP="00574B29">
      <w:pPr>
        <w:tabs>
          <w:tab w:val="left" w:pos="720"/>
          <w:tab w:val="left" w:pos="1440"/>
          <w:tab w:val="left" w:pos="9240"/>
        </w:tabs>
        <w:spacing w:line="480" w:lineRule="auto"/>
        <w:ind w:left="720" w:hanging="720"/>
      </w:pPr>
      <w:r w:rsidRPr="00C04229">
        <w:t>A.</w:t>
      </w:r>
      <w:r w:rsidRPr="00C04229">
        <w:tab/>
        <w:t xml:space="preserve">Mr. </w:t>
      </w:r>
      <w:r w:rsidR="00D25732">
        <w:t>Gaines</w:t>
      </w:r>
      <w:r w:rsidRPr="00C04229">
        <w:t xml:space="preserve"> </w:t>
      </w:r>
      <w:r w:rsidR="00223960">
        <w:t>asserts</w:t>
      </w:r>
      <w:r w:rsidRPr="00C04229">
        <w:t xml:space="preserve"> </w:t>
      </w:r>
      <w:r w:rsidR="00C4211F">
        <w:t>that the 48.00 percent equity ratio</w:t>
      </w:r>
      <w:r w:rsidRPr="00C04229">
        <w:t xml:space="preserve"> </w:t>
      </w:r>
      <w:r w:rsidR="00223960">
        <w:t xml:space="preserve">is </w:t>
      </w:r>
      <w:r w:rsidR="00F2094F">
        <w:t xml:space="preserve">its target to achieve </w:t>
      </w:r>
      <w:r w:rsidR="00223960">
        <w:t>financial</w:t>
      </w:r>
      <w:r w:rsidRPr="00C04229">
        <w:t xml:space="preserve"> flexibility</w:t>
      </w:r>
      <w:r w:rsidR="00223960">
        <w:t xml:space="preserve"> </w:t>
      </w:r>
      <w:r w:rsidR="00223960" w:rsidRPr="00C04229">
        <w:t xml:space="preserve">necessary </w:t>
      </w:r>
      <w:r w:rsidR="00223960">
        <w:t xml:space="preserve">for the Company </w:t>
      </w:r>
      <w:r w:rsidR="00223960" w:rsidRPr="00C04229">
        <w:t xml:space="preserve">to access additional sources of </w:t>
      </w:r>
      <w:r w:rsidR="00F2094F">
        <w:t xml:space="preserve">new </w:t>
      </w:r>
      <w:r w:rsidR="00223960" w:rsidRPr="00C04229">
        <w:t>external capital</w:t>
      </w:r>
      <w:r w:rsidR="00223960">
        <w:t xml:space="preserve"> </w:t>
      </w:r>
      <w:r w:rsidR="00F668C6">
        <w:t xml:space="preserve">on reasonable terms in order </w:t>
      </w:r>
      <w:r w:rsidR="00223960">
        <w:t>to fund its requirements as a public service company.</w:t>
      </w:r>
      <w:r w:rsidR="00E021BB">
        <w:rPr>
          <w:rStyle w:val="FootnoteReference"/>
        </w:rPr>
        <w:footnoteReference w:id="39"/>
      </w:r>
      <w:r w:rsidR="00223960">
        <w:t xml:space="preserve">  He also asserts that </w:t>
      </w:r>
      <w:r w:rsidR="00C4211F">
        <w:t>a 48.00 percent equity ratio</w:t>
      </w:r>
      <w:r w:rsidR="00223960">
        <w:t xml:space="preserve"> is consistent with the </w:t>
      </w:r>
      <w:r w:rsidR="00670D70">
        <w:t>capitalization ratios of other regulated utilities</w:t>
      </w:r>
      <w:r w:rsidR="00E021BB">
        <w:rPr>
          <w:rStyle w:val="FootnoteReference"/>
        </w:rPr>
        <w:footnoteReference w:id="40"/>
      </w:r>
      <w:r w:rsidR="00223960">
        <w:t xml:space="preserve"> </w:t>
      </w:r>
      <w:r w:rsidR="00CC4CE0">
        <w:t xml:space="preserve">and </w:t>
      </w:r>
      <w:r w:rsidR="00223960">
        <w:t>that the increase in</w:t>
      </w:r>
      <w:r w:rsidR="00D33DE5">
        <w:t xml:space="preserve"> the equity ratio </w:t>
      </w:r>
      <w:r w:rsidR="00B64383">
        <w:t xml:space="preserve">from 46 to 48 percent </w:t>
      </w:r>
      <w:r w:rsidR="00D33DE5">
        <w:t>may lead to an up</w:t>
      </w:r>
      <w:r w:rsidR="00223960">
        <w:t xml:space="preserve">grade in </w:t>
      </w:r>
      <w:r w:rsidR="00B64383">
        <w:t>PSE’s</w:t>
      </w:r>
      <w:r w:rsidR="00223960">
        <w:t xml:space="preserve"> corporate credit rating to BBB+.</w:t>
      </w:r>
      <w:r w:rsidR="00E021BB">
        <w:rPr>
          <w:rStyle w:val="FootnoteReference"/>
        </w:rPr>
        <w:footnoteReference w:id="41"/>
      </w:r>
      <w:r w:rsidR="00223960">
        <w:t xml:space="preserve"> </w:t>
      </w:r>
      <w:r>
        <w:t xml:space="preserve"> </w:t>
      </w:r>
      <w:r w:rsidR="00F2094F">
        <w:t xml:space="preserve">Finally, Mr. Gaines asserts that the increased equity ratio and the </w:t>
      </w:r>
      <w:r w:rsidR="00F668C6">
        <w:t xml:space="preserve">sale of PSE </w:t>
      </w:r>
      <w:r w:rsidR="00F2094F">
        <w:t>have benefitted ratepayers</w:t>
      </w:r>
      <w:r w:rsidR="00E021BB">
        <w:t>,</w:t>
      </w:r>
      <w:r w:rsidR="00F2094F">
        <w:t xml:space="preserve"> reducing the overall cost of the Company’s long-term debt since 2005.</w:t>
      </w:r>
      <w:r w:rsidR="00E021BB">
        <w:rPr>
          <w:rStyle w:val="FootnoteReference"/>
        </w:rPr>
        <w:footnoteReference w:id="42"/>
      </w:r>
      <w:r w:rsidR="00F2094F">
        <w:t xml:space="preserve">  </w:t>
      </w:r>
    </w:p>
    <w:p w:rsidR="005D3B74" w:rsidRPr="00C04229" w:rsidRDefault="005D3B74" w:rsidP="005D3B74">
      <w:pPr>
        <w:tabs>
          <w:tab w:val="left" w:pos="720"/>
          <w:tab w:val="left" w:pos="1440"/>
          <w:tab w:val="left" w:pos="9240"/>
        </w:tabs>
        <w:spacing w:line="480" w:lineRule="auto"/>
        <w:ind w:left="720" w:hanging="720"/>
      </w:pPr>
    </w:p>
    <w:p w:rsidR="005D3B74" w:rsidRPr="00C04229" w:rsidRDefault="005D3B74" w:rsidP="005D3B74">
      <w:pPr>
        <w:tabs>
          <w:tab w:val="left" w:pos="720"/>
          <w:tab w:val="left" w:pos="1440"/>
          <w:tab w:val="left" w:pos="9240"/>
        </w:tabs>
        <w:spacing w:line="480" w:lineRule="auto"/>
        <w:ind w:left="720" w:hanging="720"/>
      </w:pPr>
      <w:r w:rsidRPr="00C04229">
        <w:rPr>
          <w:b/>
        </w:rPr>
        <w:lastRenderedPageBreak/>
        <w:t>Q.</w:t>
      </w:r>
      <w:r w:rsidRPr="00C04229">
        <w:rPr>
          <w:b/>
        </w:rPr>
        <w:tab/>
        <w:t>What is your response?</w:t>
      </w:r>
    </w:p>
    <w:p w:rsidR="005D3B74" w:rsidRPr="00C04229" w:rsidRDefault="005D3B74" w:rsidP="005D3B74">
      <w:pPr>
        <w:tabs>
          <w:tab w:val="left" w:pos="720"/>
          <w:tab w:val="left" w:pos="1440"/>
          <w:tab w:val="left" w:pos="9240"/>
        </w:tabs>
        <w:spacing w:line="480" w:lineRule="auto"/>
        <w:ind w:left="720" w:hanging="720"/>
      </w:pPr>
      <w:r w:rsidRPr="00C04229">
        <w:t>A.</w:t>
      </w:r>
      <w:r w:rsidRPr="00C04229">
        <w:tab/>
        <w:t xml:space="preserve">I do not contest </w:t>
      </w:r>
      <w:r w:rsidR="00CC4CE0">
        <w:t xml:space="preserve">his </w:t>
      </w:r>
      <w:r>
        <w:t xml:space="preserve">point </w:t>
      </w:r>
      <w:r w:rsidRPr="00C04229">
        <w:t xml:space="preserve">that a more equity rich capital structure provides more financial flexibility, </w:t>
      </w:r>
      <w:r w:rsidR="00FE11DA">
        <w:t>more</w:t>
      </w:r>
      <w:r w:rsidR="00F668C6">
        <w:t xml:space="preserve"> </w:t>
      </w:r>
      <w:r>
        <w:t xml:space="preserve">financial </w:t>
      </w:r>
      <w:r w:rsidRPr="00C04229">
        <w:t>stability</w:t>
      </w:r>
      <w:r w:rsidR="00407D28">
        <w:t>,</w:t>
      </w:r>
      <w:r w:rsidRPr="00C04229">
        <w:t xml:space="preserve"> and </w:t>
      </w:r>
      <w:r w:rsidR="00C4211F">
        <w:t xml:space="preserve">perhaps </w:t>
      </w:r>
      <w:r w:rsidRPr="00C04229">
        <w:t>higher bond ratings.  However,</w:t>
      </w:r>
      <w:r w:rsidR="00574B29">
        <w:t xml:space="preserve"> as I previously demonstrated,</w:t>
      </w:r>
      <w:r w:rsidRPr="00C04229">
        <w:t xml:space="preserve"> a </w:t>
      </w:r>
      <w:r w:rsidR="00A11C89">
        <w:t>48.00</w:t>
      </w:r>
      <w:r w:rsidRPr="00C04229">
        <w:t xml:space="preserve"> percent equity ratio is too </w:t>
      </w:r>
      <w:r w:rsidR="00767779">
        <w:t>costly</w:t>
      </w:r>
      <w:r w:rsidR="00CC4CE0">
        <w:t xml:space="preserve"> a price for ratepayers</w:t>
      </w:r>
      <w:r w:rsidR="00F56669">
        <w:t>.</w:t>
      </w:r>
    </w:p>
    <w:p w:rsidR="005D3B74" w:rsidRDefault="00F07C3F" w:rsidP="005D3B74">
      <w:pPr>
        <w:tabs>
          <w:tab w:val="left" w:pos="720"/>
          <w:tab w:val="left" w:pos="1440"/>
          <w:tab w:val="left" w:pos="9240"/>
        </w:tabs>
        <w:spacing w:line="480" w:lineRule="auto"/>
        <w:ind w:left="720" w:hanging="720"/>
      </w:pPr>
      <w:r>
        <w:tab/>
      </w:r>
      <w:r>
        <w:tab/>
      </w:r>
      <w:r>
        <w:rPr>
          <w:i/>
        </w:rPr>
        <w:t xml:space="preserve">  </w:t>
      </w:r>
      <w:r w:rsidR="00C4211F">
        <w:t>In contrast, m</w:t>
      </w:r>
      <w:r w:rsidR="005D3B74" w:rsidRPr="0061646F">
        <w:t xml:space="preserve">y recommended </w:t>
      </w:r>
      <w:r w:rsidR="00AD4A8D">
        <w:t>4</w:t>
      </w:r>
      <w:r w:rsidR="0051344A">
        <w:t>6</w:t>
      </w:r>
      <w:r w:rsidR="005D3B74" w:rsidRPr="0061646F">
        <w:t xml:space="preserve"> percent equity ratio is </w:t>
      </w:r>
      <w:r w:rsidR="00E6745D">
        <w:t>appropriate</w:t>
      </w:r>
      <w:r w:rsidR="00231862">
        <w:t xml:space="preserve">; </w:t>
      </w:r>
      <w:r w:rsidR="005D3B74">
        <w:t xml:space="preserve">it is sufficient to </w:t>
      </w:r>
      <w:r w:rsidR="00D33DE5">
        <w:t>support the current</w:t>
      </w:r>
      <w:r w:rsidR="005D3B74" w:rsidRPr="00C04229">
        <w:t xml:space="preserve"> corporate credit rating of “BBB” and an “A-“ secured rating</w:t>
      </w:r>
      <w:r w:rsidR="005D3B74">
        <w:t>,</w:t>
      </w:r>
      <w:r w:rsidR="005D3B74" w:rsidRPr="00C04229">
        <w:t xml:space="preserve"> enabl</w:t>
      </w:r>
      <w:r w:rsidR="005D3B74">
        <w:t>ing</w:t>
      </w:r>
      <w:r w:rsidR="005D3B74" w:rsidRPr="00C04229">
        <w:t xml:space="preserve"> the Company to access </w:t>
      </w:r>
      <w:r w:rsidR="00231862">
        <w:t xml:space="preserve">any </w:t>
      </w:r>
      <w:r w:rsidR="005D3B74" w:rsidRPr="00C04229">
        <w:t xml:space="preserve">new capital </w:t>
      </w:r>
      <w:r w:rsidR="00231862">
        <w:t xml:space="preserve">requirements </w:t>
      </w:r>
      <w:r w:rsidR="005D3B74" w:rsidRPr="00C04229">
        <w:t>and refinance its maturing debt on reasonable terms.</w:t>
      </w:r>
      <w:r w:rsidR="00E021BB">
        <w:rPr>
          <w:rStyle w:val="FootnoteReference"/>
        </w:rPr>
        <w:footnoteReference w:id="43"/>
      </w:r>
      <w:r w:rsidR="005D3B74">
        <w:t xml:space="preserve"> </w:t>
      </w:r>
      <w:r w:rsidR="00F668C6">
        <w:t xml:space="preserve"> </w:t>
      </w:r>
      <w:r w:rsidR="005D3B74">
        <w:t xml:space="preserve"> </w:t>
      </w:r>
      <w:r w:rsidR="00F668C6">
        <w:t xml:space="preserve">BBB is the </w:t>
      </w:r>
      <w:r w:rsidR="005D3B74">
        <w:t xml:space="preserve">credit rating achieved by the large majority of investor-owned electric utilities operating in this country today.  </w:t>
      </w:r>
    </w:p>
    <w:p w:rsidR="00F2094F" w:rsidRDefault="00F2094F" w:rsidP="005D3B74">
      <w:pPr>
        <w:tabs>
          <w:tab w:val="left" w:pos="720"/>
          <w:tab w:val="left" w:pos="1440"/>
          <w:tab w:val="left" w:pos="9240"/>
        </w:tabs>
        <w:spacing w:line="480" w:lineRule="auto"/>
        <w:ind w:left="720" w:hanging="720"/>
      </w:pPr>
      <w:r>
        <w:tab/>
      </w:r>
      <w:r>
        <w:tab/>
      </w:r>
      <w:r w:rsidR="002B3953">
        <w:t>Finally, Mr. Gaines overstates the impact on the Company’s cost of long-term debt from</w:t>
      </w:r>
      <w:r>
        <w:t xml:space="preserve"> the </w:t>
      </w:r>
      <w:r w:rsidR="00F668C6">
        <w:t>sale of PSE</w:t>
      </w:r>
      <w:r>
        <w:t xml:space="preserve"> and the </w:t>
      </w:r>
      <w:r w:rsidR="00F668C6">
        <w:t xml:space="preserve">initial </w:t>
      </w:r>
      <w:r>
        <w:t xml:space="preserve">equity investment of the new owners </w:t>
      </w:r>
      <w:r w:rsidR="00F668C6">
        <w:t>increasing the</w:t>
      </w:r>
      <w:r>
        <w:t xml:space="preserve"> equity ratio.  The cost of long-term debt has declined for all investment grade utilities since 2005.  Furthermore, </w:t>
      </w:r>
      <w:r w:rsidR="002B3953">
        <w:t xml:space="preserve">the improvement in </w:t>
      </w:r>
      <w:r>
        <w:t>PSE’s bond rating over the past decade</w:t>
      </w:r>
      <w:r w:rsidR="002B3953">
        <w:t xml:space="preserve"> </w:t>
      </w:r>
      <w:r w:rsidR="00574B29">
        <w:t>is</w:t>
      </w:r>
      <w:r>
        <w:t xml:space="preserve"> due </w:t>
      </w:r>
      <w:r w:rsidR="00F668C6">
        <w:t xml:space="preserve">to </w:t>
      </w:r>
      <w:r w:rsidR="002B3953">
        <w:t xml:space="preserve">other </w:t>
      </w:r>
      <w:r w:rsidR="00F668C6">
        <w:t>factors.  I</w:t>
      </w:r>
      <w:r w:rsidR="00574B29">
        <w:t xml:space="preserve">n </w:t>
      </w:r>
      <w:r w:rsidR="00F668C6">
        <w:t xml:space="preserve">fact, </w:t>
      </w:r>
      <w:r w:rsidR="003802C0">
        <w:t>the improvement</w:t>
      </w:r>
      <w:r w:rsidR="00F668C6">
        <w:t xml:space="preserve"> is in </w:t>
      </w:r>
      <w:r w:rsidR="00574B29">
        <w:t xml:space="preserve">large part </w:t>
      </w:r>
      <w:r w:rsidR="00F668C6">
        <w:t>directly tied to</w:t>
      </w:r>
      <w:r w:rsidR="00200FF4">
        <w:t xml:space="preserve"> the Commission’s use of a hypothetical equity ratio </w:t>
      </w:r>
      <w:r w:rsidR="00F668C6">
        <w:t xml:space="preserve">in recent cases </w:t>
      </w:r>
      <w:r w:rsidR="00200FF4">
        <w:t xml:space="preserve">and the eventual increase of PSE’s equity ratio over time to </w:t>
      </w:r>
      <w:r w:rsidR="00767779">
        <w:t>the</w:t>
      </w:r>
      <w:r w:rsidR="00200FF4">
        <w:t xml:space="preserve"> </w:t>
      </w:r>
      <w:r w:rsidR="002B3953">
        <w:t xml:space="preserve">level </w:t>
      </w:r>
      <w:r w:rsidR="00767779">
        <w:t xml:space="preserve">it achieved prior to sale of the </w:t>
      </w:r>
      <w:r w:rsidR="00CC4CE0">
        <w:t>C</w:t>
      </w:r>
      <w:r w:rsidR="00767779">
        <w:t>ompany to the new owners</w:t>
      </w:r>
      <w:r w:rsidR="00200FF4">
        <w:t xml:space="preserve">.  Now that PSE’s equity ratio is solidly within </w:t>
      </w:r>
      <w:r w:rsidR="00F668C6">
        <w:t>the</w:t>
      </w:r>
      <w:r w:rsidR="00200FF4">
        <w:t xml:space="preserve"> range support</w:t>
      </w:r>
      <w:r w:rsidR="00F668C6">
        <w:t>ing</w:t>
      </w:r>
      <w:r w:rsidR="00200FF4">
        <w:t xml:space="preserve"> a BBB corporate credit rating there is no need to further increase the ratemaking equity ratio to support a possible further increase to BBB+.</w:t>
      </w:r>
    </w:p>
    <w:p w:rsidR="00AC4324" w:rsidRDefault="00AC4324" w:rsidP="005D3B74">
      <w:pPr>
        <w:tabs>
          <w:tab w:val="left" w:pos="720"/>
          <w:tab w:val="left" w:pos="1440"/>
          <w:tab w:val="left" w:pos="9240"/>
        </w:tabs>
        <w:spacing w:line="480" w:lineRule="auto"/>
        <w:ind w:left="720" w:hanging="720"/>
      </w:pPr>
    </w:p>
    <w:p w:rsidR="00AC4324" w:rsidRDefault="00AC4324" w:rsidP="005D3B74">
      <w:pPr>
        <w:tabs>
          <w:tab w:val="left" w:pos="720"/>
          <w:tab w:val="left" w:pos="1440"/>
          <w:tab w:val="left" w:pos="9240"/>
        </w:tabs>
        <w:spacing w:line="480" w:lineRule="auto"/>
        <w:ind w:left="720" w:hanging="720"/>
        <w:rPr>
          <w:b/>
        </w:rPr>
      </w:pPr>
      <w:r>
        <w:rPr>
          <w:b/>
        </w:rPr>
        <w:lastRenderedPageBreak/>
        <w:t>Q.</w:t>
      </w:r>
      <w:r>
        <w:rPr>
          <w:b/>
        </w:rPr>
        <w:tab/>
        <w:t>Do you have any specific evidence of PSE’s ability to attract capital on reasonable terms?</w:t>
      </w:r>
    </w:p>
    <w:p w:rsidR="00AC4324" w:rsidRPr="00AC4324" w:rsidRDefault="00AC4324" w:rsidP="005D3B74">
      <w:pPr>
        <w:tabs>
          <w:tab w:val="left" w:pos="720"/>
          <w:tab w:val="left" w:pos="1440"/>
          <w:tab w:val="left" w:pos="9240"/>
        </w:tabs>
        <w:spacing w:line="480" w:lineRule="auto"/>
        <w:ind w:left="720" w:hanging="720"/>
      </w:pPr>
      <w:r>
        <w:t>A.</w:t>
      </w:r>
      <w:r>
        <w:tab/>
        <w:t>Yes.  In November 2011</w:t>
      </w:r>
      <w:r w:rsidR="003B0F05">
        <w:t>,</w:t>
      </w:r>
      <w:r>
        <w:t xml:space="preserve"> PSE sold $250 million of 30-year debt with a coupon of 4.50 percent and $45 million of 40-year debt with a coupon of 4.78 percent.</w:t>
      </w:r>
    </w:p>
    <w:p w:rsidR="00F56669" w:rsidRDefault="00F56669" w:rsidP="005D3B74">
      <w:pPr>
        <w:tabs>
          <w:tab w:val="left" w:pos="720"/>
          <w:tab w:val="left" w:pos="1440"/>
          <w:tab w:val="left" w:pos="9240"/>
        </w:tabs>
        <w:spacing w:line="480" w:lineRule="auto"/>
        <w:ind w:left="720" w:hanging="720"/>
        <w:rPr>
          <w:b/>
        </w:rPr>
      </w:pPr>
    </w:p>
    <w:p w:rsidR="00D33DE5" w:rsidRDefault="00D33DE5" w:rsidP="005D3B74">
      <w:pPr>
        <w:tabs>
          <w:tab w:val="left" w:pos="720"/>
          <w:tab w:val="left" w:pos="1440"/>
          <w:tab w:val="left" w:pos="9240"/>
        </w:tabs>
        <w:spacing w:line="480" w:lineRule="auto"/>
        <w:ind w:left="720" w:hanging="720"/>
        <w:rPr>
          <w:b/>
        </w:rPr>
      </w:pPr>
      <w:r>
        <w:rPr>
          <w:b/>
        </w:rPr>
        <w:t>Q.</w:t>
      </w:r>
      <w:r>
        <w:rPr>
          <w:b/>
        </w:rPr>
        <w:tab/>
        <w:t xml:space="preserve">Mr. Gaines </w:t>
      </w:r>
      <w:r w:rsidR="0023087E">
        <w:rPr>
          <w:b/>
        </w:rPr>
        <w:t>states that his</w:t>
      </w:r>
      <w:r w:rsidR="00AB7550">
        <w:rPr>
          <w:b/>
        </w:rPr>
        <w:t xml:space="preserve"> proposed</w:t>
      </w:r>
      <w:r>
        <w:rPr>
          <w:b/>
        </w:rPr>
        <w:t xml:space="preserve"> 48 percent equity ratio </w:t>
      </w:r>
      <w:r w:rsidR="0023087E">
        <w:rPr>
          <w:b/>
        </w:rPr>
        <w:t xml:space="preserve">is consistent </w:t>
      </w:r>
      <w:r w:rsidR="00C4211F">
        <w:rPr>
          <w:b/>
        </w:rPr>
        <w:t xml:space="preserve">with </w:t>
      </w:r>
      <w:r>
        <w:rPr>
          <w:b/>
        </w:rPr>
        <w:t xml:space="preserve">a recent decision </w:t>
      </w:r>
      <w:r w:rsidR="00407D28">
        <w:rPr>
          <w:b/>
        </w:rPr>
        <w:t>of</w:t>
      </w:r>
      <w:r>
        <w:rPr>
          <w:b/>
        </w:rPr>
        <w:t xml:space="preserve"> the Commission accepting a 49.1 percent equity ratio for PacifiCorp</w:t>
      </w:r>
      <w:r w:rsidR="00CC4CE0">
        <w:rPr>
          <w:b/>
        </w:rPr>
        <w:t xml:space="preserve"> (Docket UE</w:t>
      </w:r>
      <w:r w:rsidR="00BC1FAB">
        <w:rPr>
          <w:b/>
        </w:rPr>
        <w:t xml:space="preserve">-100749).  </w:t>
      </w:r>
      <w:r w:rsidR="00534FD8">
        <w:rPr>
          <w:b/>
        </w:rPr>
        <w:t>What is your response to this point?</w:t>
      </w:r>
    </w:p>
    <w:p w:rsidR="00D95A82" w:rsidRDefault="00534FD8" w:rsidP="007C3714">
      <w:pPr>
        <w:tabs>
          <w:tab w:val="left" w:pos="720"/>
          <w:tab w:val="left" w:pos="1440"/>
          <w:tab w:val="left" w:pos="9240"/>
        </w:tabs>
        <w:spacing w:line="480" w:lineRule="auto"/>
        <w:ind w:left="720" w:hanging="720"/>
      </w:pPr>
      <w:r>
        <w:t>A.</w:t>
      </w:r>
      <w:r>
        <w:tab/>
        <w:t xml:space="preserve">It is true that the Commission </w:t>
      </w:r>
      <w:r w:rsidR="0023087E">
        <w:t>adopted</w:t>
      </w:r>
      <w:r>
        <w:t xml:space="preserve"> a 49.1 percen</w:t>
      </w:r>
      <w:r w:rsidR="00574B29">
        <w:t xml:space="preserve">t equity ratio for PacifiCorp.  </w:t>
      </w:r>
      <w:r w:rsidR="0023087E">
        <w:t>However, I do not see any connection between</w:t>
      </w:r>
      <w:r w:rsidR="00946F7A">
        <w:t xml:space="preserve"> </w:t>
      </w:r>
      <w:r w:rsidR="00CC4CE0">
        <w:t>the</w:t>
      </w:r>
      <w:r w:rsidR="00E86B57">
        <w:t xml:space="preserve"> </w:t>
      </w:r>
      <w:r w:rsidR="00946F7A">
        <w:t xml:space="preserve">49.1 percent equity ratio </w:t>
      </w:r>
      <w:r w:rsidR="00A242E3">
        <w:t xml:space="preserve">the Commission </w:t>
      </w:r>
      <w:r w:rsidR="00CC4CE0">
        <w:t>accepted</w:t>
      </w:r>
      <w:r w:rsidR="00A242E3">
        <w:t xml:space="preserve"> in that case </w:t>
      </w:r>
      <w:r w:rsidR="00946F7A">
        <w:t>and</w:t>
      </w:r>
      <w:r w:rsidR="00574B29">
        <w:t xml:space="preserve"> </w:t>
      </w:r>
      <w:r w:rsidR="00A242E3">
        <w:t>then its</w:t>
      </w:r>
      <w:r w:rsidR="00922DB0">
        <w:t xml:space="preserve"> </w:t>
      </w:r>
      <w:r w:rsidR="00946F7A">
        <w:t xml:space="preserve">explicit </w:t>
      </w:r>
      <w:r w:rsidR="0023087E">
        <w:t>affirmation of</w:t>
      </w:r>
      <w:r w:rsidR="00C4211F">
        <w:t xml:space="preserve"> </w:t>
      </w:r>
      <w:r w:rsidR="00922DB0">
        <w:t xml:space="preserve">its policy </w:t>
      </w:r>
      <w:r w:rsidR="00AB7550">
        <w:t>that</w:t>
      </w:r>
      <w:r w:rsidR="00922DB0">
        <w:t xml:space="preserve"> an appropriate capital structure</w:t>
      </w:r>
      <w:r w:rsidR="009D0BB7">
        <w:t xml:space="preserve"> </w:t>
      </w:r>
      <w:r w:rsidR="00AB7550">
        <w:t xml:space="preserve">requires </w:t>
      </w:r>
      <w:r w:rsidR="00946F7A">
        <w:t xml:space="preserve">a </w:t>
      </w:r>
      <w:r w:rsidR="009D0BB7">
        <w:t xml:space="preserve">balance </w:t>
      </w:r>
      <w:r w:rsidR="00946F7A">
        <w:t xml:space="preserve">of </w:t>
      </w:r>
      <w:r w:rsidR="009D0BB7">
        <w:t>safety and economy</w:t>
      </w:r>
      <w:r w:rsidR="0023087E">
        <w:t>.</w:t>
      </w:r>
      <w:r w:rsidR="00946F7A">
        <w:rPr>
          <w:rStyle w:val="FootnoteReference"/>
        </w:rPr>
        <w:footnoteReference w:id="44"/>
      </w:r>
      <w:r w:rsidR="0023087E">
        <w:t xml:space="preserve"> </w:t>
      </w:r>
      <w:r w:rsidR="00574B29">
        <w:t xml:space="preserve"> </w:t>
      </w:r>
      <w:r w:rsidR="0023087E">
        <w:t xml:space="preserve">If the Commission had explicitly stated that </w:t>
      </w:r>
      <w:r w:rsidR="0008231D">
        <w:t xml:space="preserve">a 49.1 equity ratio </w:t>
      </w:r>
      <w:r w:rsidR="0023087E">
        <w:t xml:space="preserve">is </w:t>
      </w:r>
      <w:r w:rsidR="0008231D">
        <w:t xml:space="preserve">an </w:t>
      </w:r>
      <w:r w:rsidR="0023087E">
        <w:t>appropriate balance of safety and economy, then Mr. Gaines</w:t>
      </w:r>
      <w:r w:rsidR="00946F7A">
        <w:t>’</w:t>
      </w:r>
      <w:r w:rsidR="0023087E">
        <w:t xml:space="preserve"> testimony </w:t>
      </w:r>
      <w:r w:rsidR="00946F7A" w:rsidRPr="00BC1FAB">
        <w:rPr>
          <w:i/>
        </w:rPr>
        <w:t>may</w:t>
      </w:r>
      <w:r w:rsidR="00946F7A">
        <w:t xml:space="preserve"> be</w:t>
      </w:r>
      <w:r w:rsidR="0023087E">
        <w:t xml:space="preserve"> relevant</w:t>
      </w:r>
      <w:r w:rsidR="0003693D">
        <w:t>.</w:t>
      </w:r>
    </w:p>
    <w:p w:rsidR="0023087E" w:rsidRDefault="0023087E" w:rsidP="0023087E">
      <w:pPr>
        <w:tabs>
          <w:tab w:val="left" w:pos="720"/>
          <w:tab w:val="left" w:pos="1440"/>
          <w:tab w:val="left" w:pos="9240"/>
        </w:tabs>
        <w:spacing w:line="480" w:lineRule="auto"/>
        <w:ind w:left="720" w:hanging="720"/>
      </w:pPr>
      <w:r>
        <w:tab/>
      </w:r>
      <w:r>
        <w:tab/>
        <w:t xml:space="preserve">The equity ratio I recommend for PSE in this case meets the Commission’s standard.  If the Commission determines that ratepayers should support higher equity ratios in order to achieve higher bond ratings, and that these ratings are consistent with its policy for determining a reasonable capital structure, then I would </w:t>
      </w:r>
      <w:r w:rsidR="00946F7A">
        <w:t xml:space="preserve">have </w:t>
      </w:r>
      <w:r>
        <w:t>expect</w:t>
      </w:r>
      <w:r w:rsidR="00946F7A">
        <w:t>ed</w:t>
      </w:r>
      <w:r>
        <w:t xml:space="preserve"> the Commission to be explicit in that finding.  </w:t>
      </w:r>
      <w:r w:rsidR="00946F7A">
        <w:t xml:space="preserve">No such statement has </w:t>
      </w:r>
      <w:r w:rsidR="00946F7A" w:rsidRPr="00BC1FAB">
        <w:rPr>
          <w:i/>
        </w:rPr>
        <w:t>ever</w:t>
      </w:r>
      <w:r w:rsidR="00946F7A">
        <w:t xml:space="preserve"> been made by the Commission</w:t>
      </w:r>
      <w:r w:rsidR="00CC4CE0">
        <w:t>, including t</w:t>
      </w:r>
      <w:r w:rsidR="00A242E3">
        <w:t>h</w:t>
      </w:r>
      <w:r w:rsidR="00CC4CE0">
        <w:t>e</w:t>
      </w:r>
      <w:r w:rsidR="00A242E3">
        <w:t xml:space="preserve"> case referred to by Mr. Gaines</w:t>
      </w:r>
      <w:r w:rsidR="00946F7A">
        <w:t>.</w:t>
      </w:r>
    </w:p>
    <w:p w:rsidR="005C483F" w:rsidRPr="00AB7550" w:rsidRDefault="00D95A82" w:rsidP="00574B29">
      <w:pPr>
        <w:tabs>
          <w:tab w:val="left" w:pos="720"/>
          <w:tab w:val="left" w:pos="1440"/>
          <w:tab w:val="left" w:pos="9240"/>
        </w:tabs>
        <w:spacing w:line="480" w:lineRule="auto"/>
        <w:ind w:left="720" w:hanging="720"/>
      </w:pPr>
      <w:r>
        <w:tab/>
      </w:r>
      <w:r>
        <w:tab/>
      </w:r>
      <w:r w:rsidR="003802C0">
        <w:t>Finally, a</w:t>
      </w:r>
      <w:r w:rsidR="00AB7550">
        <w:t xml:space="preserve">s I </w:t>
      </w:r>
      <w:r w:rsidR="003802C0">
        <w:t>demonstrated earlier</w:t>
      </w:r>
      <w:r w:rsidR="00940FEB">
        <w:t xml:space="preserve">, </w:t>
      </w:r>
      <w:r w:rsidR="00AB7550">
        <w:t xml:space="preserve">the benefits </w:t>
      </w:r>
      <w:r w:rsidR="00EC07A9">
        <w:t xml:space="preserve">of these higher bond ratings </w:t>
      </w:r>
      <w:r w:rsidR="00AB7550">
        <w:t xml:space="preserve">do not match the costs.  A solid BBB corporate rating is not only within the mainstream </w:t>
      </w:r>
      <w:r w:rsidR="00AB7550">
        <w:lastRenderedPageBreak/>
        <w:t>of all electric utilities, it is sufficient to enable the Company</w:t>
      </w:r>
      <w:r w:rsidR="00946F7A">
        <w:t xml:space="preserve"> to </w:t>
      </w:r>
      <w:r w:rsidR="00AB7550">
        <w:t>maintain financial integrity and</w:t>
      </w:r>
      <w:r w:rsidR="00AB7550" w:rsidRPr="00AB7550">
        <w:t xml:space="preserve"> </w:t>
      </w:r>
      <w:r w:rsidR="00AB7550">
        <w:t xml:space="preserve">to finance on reasonable terms consistent with the legal standards set out in </w:t>
      </w:r>
      <w:r w:rsidR="00AB7550">
        <w:rPr>
          <w:i/>
        </w:rPr>
        <w:t>Bluefi</w:t>
      </w:r>
      <w:r w:rsidR="00AB7550" w:rsidRPr="00AB7550">
        <w:rPr>
          <w:i/>
        </w:rPr>
        <w:t>e</w:t>
      </w:r>
      <w:r w:rsidR="00AB7550">
        <w:rPr>
          <w:i/>
        </w:rPr>
        <w:t>l</w:t>
      </w:r>
      <w:r w:rsidR="00AB7550" w:rsidRPr="00AB7550">
        <w:rPr>
          <w:i/>
        </w:rPr>
        <w:t>d and Hope</w:t>
      </w:r>
      <w:r w:rsidR="00AB7550">
        <w:rPr>
          <w:i/>
        </w:rPr>
        <w:t>.</w:t>
      </w:r>
    </w:p>
    <w:p w:rsidR="00AB7550" w:rsidRDefault="00AB7550" w:rsidP="004510AD">
      <w:pPr>
        <w:tabs>
          <w:tab w:val="left" w:pos="1440"/>
          <w:tab w:val="left" w:pos="9240"/>
        </w:tabs>
        <w:spacing w:line="480" w:lineRule="auto"/>
        <w:ind w:left="1440" w:hanging="720"/>
        <w:rPr>
          <w:b/>
        </w:rPr>
      </w:pPr>
    </w:p>
    <w:p w:rsidR="005D3B74" w:rsidRDefault="00CC4CE0" w:rsidP="004510AD">
      <w:pPr>
        <w:tabs>
          <w:tab w:val="left" w:pos="1440"/>
          <w:tab w:val="left" w:pos="9240"/>
        </w:tabs>
        <w:spacing w:line="480" w:lineRule="auto"/>
        <w:ind w:left="1440" w:hanging="720"/>
        <w:rPr>
          <w:b/>
        </w:rPr>
      </w:pPr>
      <w:r>
        <w:rPr>
          <w:b/>
        </w:rPr>
        <w:t>2</w:t>
      </w:r>
      <w:r w:rsidR="005D3B74">
        <w:rPr>
          <w:b/>
        </w:rPr>
        <w:t>.</w:t>
      </w:r>
      <w:r w:rsidR="005D3B74">
        <w:rPr>
          <w:b/>
        </w:rPr>
        <w:tab/>
        <w:t>DCF Growth Rates</w:t>
      </w:r>
      <w:r w:rsidR="00EC6F19">
        <w:rPr>
          <w:b/>
        </w:rPr>
        <w:t xml:space="preserve"> for the utility proxy group</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 xml:space="preserve">Regarding the DCF, please identify the key areas where you and Dr. </w:t>
      </w:r>
      <w:r w:rsidR="00D25732">
        <w:rPr>
          <w:b/>
        </w:rPr>
        <w:t>Olson</w:t>
      </w:r>
      <w:r>
        <w:rPr>
          <w:b/>
        </w:rPr>
        <w:t xml:space="preserve"> agree and disagree.  </w:t>
      </w:r>
    </w:p>
    <w:p w:rsidR="00893076" w:rsidRDefault="005D3B74" w:rsidP="005D3B74">
      <w:pPr>
        <w:tabs>
          <w:tab w:val="left" w:pos="720"/>
          <w:tab w:val="left" w:pos="1440"/>
          <w:tab w:val="left" w:pos="9240"/>
        </w:tabs>
        <w:spacing w:line="480" w:lineRule="auto"/>
        <w:ind w:left="720" w:hanging="720"/>
      </w:pPr>
      <w:r>
        <w:t>A.</w:t>
      </w:r>
      <w:r>
        <w:tab/>
        <w:t xml:space="preserve">Dr. </w:t>
      </w:r>
      <w:r w:rsidR="00D25732">
        <w:t>Olson</w:t>
      </w:r>
      <w:r>
        <w:t xml:space="preserve"> and I both use the DCF method, though we do not use it in exactly the same way.  </w:t>
      </w:r>
      <w:r w:rsidR="00A11C89">
        <w:t xml:space="preserve">The primary difference is that </w:t>
      </w:r>
      <w:r>
        <w:t>we do not agree on the appropriate dividend growth c</w:t>
      </w:r>
      <w:r w:rsidR="00A11C89">
        <w:t xml:space="preserve">omponent of the DCF formula. </w:t>
      </w:r>
      <w:r w:rsidR="00407D28">
        <w:t xml:space="preserve"> </w:t>
      </w:r>
      <w:r w:rsidR="00A11C89">
        <w:t xml:space="preserve">Dr. Olson’s </w:t>
      </w:r>
      <w:r w:rsidR="005E256C">
        <w:t xml:space="preserve">exclusive </w:t>
      </w:r>
      <w:r w:rsidR="00A11C89">
        <w:t>use of analyst</w:t>
      </w:r>
      <w:r w:rsidR="00534FD8">
        <w:t>’</w:t>
      </w:r>
      <w:r w:rsidR="00A11C89">
        <w:t xml:space="preserve">s </w:t>
      </w:r>
      <w:r w:rsidR="005E256C">
        <w:t xml:space="preserve">earnings </w:t>
      </w:r>
      <w:r w:rsidR="00A11C89">
        <w:t xml:space="preserve">forecasts </w:t>
      </w:r>
      <w:r w:rsidR="005E256C">
        <w:t xml:space="preserve">as a proxy for </w:t>
      </w:r>
      <w:r w:rsidR="00A7416B">
        <w:t xml:space="preserve">future </w:t>
      </w:r>
      <w:r w:rsidR="005E256C">
        <w:t>dividend</w:t>
      </w:r>
      <w:r w:rsidR="00A11C89">
        <w:t xml:space="preserve"> growth </w:t>
      </w:r>
      <w:r w:rsidR="00147506">
        <w:t xml:space="preserve">produces </w:t>
      </w:r>
      <w:r w:rsidR="00F668C6">
        <w:t xml:space="preserve">ROE </w:t>
      </w:r>
      <w:r w:rsidR="00A7416B">
        <w:t>estimates</w:t>
      </w:r>
      <w:r w:rsidR="00147506">
        <w:t xml:space="preserve"> that are </w:t>
      </w:r>
      <w:r w:rsidR="00A7416B">
        <w:t xml:space="preserve">too </w:t>
      </w:r>
      <w:r w:rsidR="002411FE">
        <w:t>high</w:t>
      </w:r>
      <w:r w:rsidR="00A11C89">
        <w:t xml:space="preserve">.  </w:t>
      </w:r>
    </w:p>
    <w:p w:rsidR="005E256C" w:rsidRDefault="005E256C" w:rsidP="005D3B74">
      <w:pPr>
        <w:tabs>
          <w:tab w:val="left" w:pos="720"/>
          <w:tab w:val="left" w:pos="1440"/>
          <w:tab w:val="left" w:pos="9240"/>
        </w:tabs>
        <w:spacing w:line="480" w:lineRule="auto"/>
        <w:ind w:left="720" w:hanging="720"/>
      </w:pPr>
    </w:p>
    <w:p w:rsidR="00893076" w:rsidRDefault="00893076" w:rsidP="00893076">
      <w:pPr>
        <w:tabs>
          <w:tab w:val="left" w:pos="720"/>
          <w:tab w:val="left" w:pos="1440"/>
          <w:tab w:val="left" w:pos="9240"/>
        </w:tabs>
        <w:spacing w:line="480" w:lineRule="auto"/>
        <w:ind w:left="720" w:hanging="720"/>
      </w:pPr>
      <w:r>
        <w:rPr>
          <w:b/>
        </w:rPr>
        <w:t>Q.</w:t>
      </w:r>
      <w:r>
        <w:rPr>
          <w:b/>
        </w:rPr>
        <w:tab/>
        <w:t>Are analysts’ earnings estimates or other earnings targets reliable indicators of long-term sustainable growth in dividends per share for use in the DCF formula?</w:t>
      </w:r>
    </w:p>
    <w:p w:rsidR="00B11B2F" w:rsidRDefault="00893076" w:rsidP="00893076">
      <w:pPr>
        <w:tabs>
          <w:tab w:val="left" w:pos="720"/>
          <w:tab w:val="left" w:pos="1440"/>
          <w:tab w:val="left" w:pos="9240"/>
        </w:tabs>
        <w:spacing w:line="480" w:lineRule="auto"/>
        <w:ind w:left="720" w:hanging="720"/>
      </w:pPr>
      <w:r>
        <w:t>A.</w:t>
      </w:r>
      <w:r>
        <w:tab/>
      </w:r>
      <w:r w:rsidR="00B11B2F">
        <w:t xml:space="preserve">No.  </w:t>
      </w:r>
      <w:r>
        <w:t xml:space="preserve">Analysts’ earnings </w:t>
      </w:r>
      <w:r w:rsidR="003802C0">
        <w:t>estimates</w:t>
      </w:r>
      <w:r>
        <w:t xml:space="preserve"> are not a good proxy for long-term dividend growth</w:t>
      </w:r>
      <w:r w:rsidR="00407D28">
        <w:t>.  They</w:t>
      </w:r>
      <w:r>
        <w:t xml:space="preserve"> are typically short-term in nature and subject to change over time for many different reasons</w:t>
      </w:r>
      <w:r w:rsidR="00A7416B">
        <w:t xml:space="preserve">, </w:t>
      </w:r>
      <w:r w:rsidR="00536BBF">
        <w:t xml:space="preserve">such as </w:t>
      </w:r>
      <w:r w:rsidR="00200FF4">
        <w:t>unusual weather or other extraordinary event</w:t>
      </w:r>
      <w:r w:rsidR="003802C0">
        <w:t>s</w:t>
      </w:r>
      <w:r>
        <w:t xml:space="preserve">. Analysts’ earnings estimates also tend to overstate what investors can reasonably expect because they are </w:t>
      </w:r>
      <w:r w:rsidR="00534FD8">
        <w:t xml:space="preserve">most often </w:t>
      </w:r>
      <w:r>
        <w:t xml:space="preserve">provided by persons with an interest in selling securities.  </w:t>
      </w:r>
    </w:p>
    <w:p w:rsidR="00893076" w:rsidRPr="005E256C" w:rsidRDefault="00B11B2F" w:rsidP="00893076">
      <w:pPr>
        <w:tabs>
          <w:tab w:val="left" w:pos="720"/>
          <w:tab w:val="left" w:pos="1440"/>
          <w:tab w:val="left" w:pos="9240"/>
        </w:tabs>
        <w:spacing w:line="480" w:lineRule="auto"/>
        <w:ind w:left="720" w:hanging="720"/>
      </w:pPr>
      <w:r>
        <w:lastRenderedPageBreak/>
        <w:tab/>
      </w:r>
      <w:r>
        <w:tab/>
        <w:t>This is not to say that analysts’ earnings targets are irrelevant.  They are</w:t>
      </w:r>
      <w:r w:rsidR="00893076">
        <w:t xml:space="preserve"> available and considered by investors</w:t>
      </w:r>
      <w:r w:rsidR="00147506">
        <w:t xml:space="preserve">, but </w:t>
      </w:r>
      <w:r>
        <w:t xml:space="preserve">they </w:t>
      </w:r>
      <w:r w:rsidR="00147506">
        <w:t xml:space="preserve">must be tempered by </w:t>
      </w:r>
      <w:r w:rsidR="002411FE">
        <w:t>evaluating other financial data readily available to investors</w:t>
      </w:r>
      <w:r w:rsidR="00147506">
        <w:t xml:space="preserve"> to see if credible results are produced.</w:t>
      </w:r>
      <w:r w:rsidR="005E256C">
        <w:t xml:space="preserve">   I found it rather surprising that Dr. Olson did not consider any other </w:t>
      </w:r>
      <w:r w:rsidR="00200FF4">
        <w:t xml:space="preserve">financial </w:t>
      </w:r>
      <w:r w:rsidR="005E256C">
        <w:t xml:space="preserve">data </w:t>
      </w:r>
      <w:r w:rsidR="00200FF4">
        <w:t xml:space="preserve">provided by </w:t>
      </w:r>
      <w:r w:rsidR="005E256C" w:rsidRPr="005E256C">
        <w:rPr>
          <w:i/>
        </w:rPr>
        <w:t>Value Line</w:t>
      </w:r>
      <w:r w:rsidR="00200FF4">
        <w:t xml:space="preserve"> to its subscribers</w:t>
      </w:r>
      <w:r w:rsidR="0008231D">
        <w:t xml:space="preserve"> in his DCF analysis</w:t>
      </w:r>
      <w:r w:rsidR="00200FF4">
        <w:t>.</w:t>
      </w:r>
    </w:p>
    <w:p w:rsidR="00534FD8" w:rsidRDefault="00534FD8" w:rsidP="00893076">
      <w:pPr>
        <w:tabs>
          <w:tab w:val="left" w:pos="720"/>
          <w:tab w:val="left" w:pos="1440"/>
          <w:tab w:val="left" w:pos="9240"/>
        </w:tabs>
        <w:spacing w:line="480" w:lineRule="auto"/>
        <w:ind w:left="720" w:hanging="720"/>
      </w:pPr>
    </w:p>
    <w:p w:rsidR="00534FD8" w:rsidRDefault="00534FD8" w:rsidP="00893076">
      <w:pPr>
        <w:tabs>
          <w:tab w:val="left" w:pos="720"/>
          <w:tab w:val="left" w:pos="1440"/>
          <w:tab w:val="left" w:pos="9240"/>
        </w:tabs>
        <w:spacing w:line="480" w:lineRule="auto"/>
        <w:ind w:left="720" w:hanging="720"/>
        <w:rPr>
          <w:b/>
        </w:rPr>
      </w:pPr>
      <w:r>
        <w:rPr>
          <w:b/>
        </w:rPr>
        <w:t>Q.</w:t>
      </w:r>
      <w:r>
        <w:rPr>
          <w:b/>
        </w:rPr>
        <w:tab/>
      </w:r>
      <w:r w:rsidR="00651F39">
        <w:rPr>
          <w:b/>
        </w:rPr>
        <w:t xml:space="preserve">What led you to </w:t>
      </w:r>
      <w:r w:rsidR="00407D28">
        <w:rPr>
          <w:b/>
        </w:rPr>
        <w:t>conclude</w:t>
      </w:r>
      <w:r w:rsidR="00651F39">
        <w:rPr>
          <w:b/>
        </w:rPr>
        <w:t xml:space="preserve"> that</w:t>
      </w:r>
      <w:r>
        <w:rPr>
          <w:b/>
        </w:rPr>
        <w:t xml:space="preserve"> the earnings growth estimates offered by Dr. Olson </w:t>
      </w:r>
      <w:r w:rsidR="00651F39">
        <w:rPr>
          <w:b/>
        </w:rPr>
        <w:t>overstate</w:t>
      </w:r>
      <w:r>
        <w:rPr>
          <w:b/>
        </w:rPr>
        <w:t xml:space="preserve"> </w:t>
      </w:r>
      <w:r w:rsidR="00651F39">
        <w:rPr>
          <w:b/>
        </w:rPr>
        <w:t>the</w:t>
      </w:r>
      <w:r>
        <w:rPr>
          <w:b/>
        </w:rPr>
        <w:t xml:space="preserve"> estimate of investor</w:t>
      </w:r>
      <w:r w:rsidR="00A54541">
        <w:rPr>
          <w:b/>
        </w:rPr>
        <w:t>’</w:t>
      </w:r>
      <w:r>
        <w:rPr>
          <w:b/>
        </w:rPr>
        <w:t>s expectations for long term dividend growth?</w:t>
      </w:r>
    </w:p>
    <w:p w:rsidR="00A54541" w:rsidRDefault="00534FD8" w:rsidP="001C2F20">
      <w:pPr>
        <w:tabs>
          <w:tab w:val="left" w:pos="720"/>
          <w:tab w:val="left" w:pos="1440"/>
          <w:tab w:val="left" w:pos="9240"/>
        </w:tabs>
        <w:spacing w:line="480" w:lineRule="auto"/>
        <w:ind w:left="720" w:hanging="720"/>
      </w:pPr>
      <w:r>
        <w:t>A.</w:t>
      </w:r>
      <w:r>
        <w:tab/>
      </w:r>
      <w:r w:rsidR="001C2F20">
        <w:t xml:space="preserve">For </w:t>
      </w:r>
      <w:r w:rsidR="00651F39">
        <w:t>example</w:t>
      </w:r>
      <w:r w:rsidR="001C2F20">
        <w:t xml:space="preserve">, </w:t>
      </w:r>
      <w:r w:rsidR="005E256C">
        <w:t xml:space="preserve">consider </w:t>
      </w:r>
      <w:r w:rsidR="001C2F20">
        <w:t>Dr. Olson</w:t>
      </w:r>
      <w:r w:rsidR="00B11B2F">
        <w:t>’s</w:t>
      </w:r>
      <w:r w:rsidR="001C2F20">
        <w:t xml:space="preserve"> use</w:t>
      </w:r>
      <w:r w:rsidR="005E256C">
        <w:t xml:space="preserve"> of the</w:t>
      </w:r>
      <w:r w:rsidR="001C2F20">
        <w:t xml:space="preserve"> 11.75 percent </w:t>
      </w:r>
      <w:r w:rsidR="00A7416B">
        <w:t xml:space="preserve">earnings </w:t>
      </w:r>
      <w:r w:rsidR="001C2F20">
        <w:t xml:space="preserve">growth rate </w:t>
      </w:r>
      <w:r w:rsidR="00A7416B">
        <w:t xml:space="preserve">as the estimate of dividend growth </w:t>
      </w:r>
      <w:r w:rsidR="001C2F20">
        <w:t xml:space="preserve">for NV Energy.  His estimate of dividend yield for NV Energy is 3.24 percent.  </w:t>
      </w:r>
      <w:r w:rsidR="00767779">
        <w:t>Therefore</w:t>
      </w:r>
      <w:r w:rsidR="00407D28">
        <w:t>,</w:t>
      </w:r>
      <w:r w:rsidR="001C2F20">
        <w:t xml:space="preserve"> he is stating that </w:t>
      </w:r>
      <w:r w:rsidR="005E256C">
        <w:t>the ROE for NV Energy is</w:t>
      </w:r>
      <w:r w:rsidR="00A7416B">
        <w:t xml:space="preserve"> 15 percent</w:t>
      </w:r>
      <w:r w:rsidR="00536BBF">
        <w:t>.</w:t>
      </w:r>
      <w:r w:rsidR="001C2F20">
        <w:t xml:space="preserve"> </w:t>
      </w:r>
      <w:r w:rsidR="00651F39">
        <w:t xml:space="preserve">(11.75+3.24=14.99)  </w:t>
      </w:r>
      <w:r w:rsidR="00A54541">
        <w:t>Other earnings estimate</w:t>
      </w:r>
      <w:r w:rsidR="002411FE">
        <w:t>s</w:t>
      </w:r>
      <w:r w:rsidR="00A54541">
        <w:t xml:space="preserve"> </w:t>
      </w:r>
      <w:r w:rsidR="00B11B2F">
        <w:t xml:space="preserve">also </w:t>
      </w:r>
      <w:r w:rsidR="00A54541">
        <w:t>pr</w:t>
      </w:r>
      <w:r w:rsidR="00651F39">
        <w:t xml:space="preserve">oduce excessive results </w:t>
      </w:r>
      <w:r w:rsidR="002411FE">
        <w:t xml:space="preserve">for </w:t>
      </w:r>
      <w:r w:rsidR="00407D28">
        <w:t xml:space="preserve">other </w:t>
      </w:r>
      <w:r w:rsidR="002411FE">
        <w:t xml:space="preserve">companies in his proxy group.  His data show </w:t>
      </w:r>
      <w:r w:rsidR="00B11B2F">
        <w:t xml:space="preserve">dividend </w:t>
      </w:r>
      <w:r w:rsidR="002411FE">
        <w:t xml:space="preserve">growth for </w:t>
      </w:r>
      <w:r w:rsidR="00651F39">
        <w:t>Alliant of 9.3</w:t>
      </w:r>
      <w:r w:rsidR="00536BBF">
        <w:t xml:space="preserve"> percent</w:t>
      </w:r>
      <w:r w:rsidR="00651F39">
        <w:t xml:space="preserve">, Great Plains of 8.90 </w:t>
      </w:r>
      <w:r w:rsidR="00536BBF">
        <w:t>percent</w:t>
      </w:r>
      <w:r w:rsidR="00651F39">
        <w:t xml:space="preserve"> and Wisconsin of 8.5</w:t>
      </w:r>
      <w:r w:rsidR="00536BBF">
        <w:t xml:space="preserve"> percent</w:t>
      </w:r>
      <w:r w:rsidR="00651F39">
        <w:t>.</w:t>
      </w:r>
      <w:r w:rsidR="00536BBF">
        <w:rPr>
          <w:rStyle w:val="FootnoteReference"/>
        </w:rPr>
        <w:footnoteReference w:id="45"/>
      </w:r>
      <w:r w:rsidR="00651F39">
        <w:t xml:space="preserve">   </w:t>
      </w:r>
      <w:r w:rsidR="00B11B2F">
        <w:t xml:space="preserve">No </w:t>
      </w:r>
      <w:r w:rsidR="00B01B43">
        <w:t xml:space="preserve">rational investor would expect any of these companies to have long-term sustainable growth in dividends of this magnitude.  </w:t>
      </w:r>
    </w:p>
    <w:p w:rsidR="00534FD8" w:rsidRPr="001C2F20" w:rsidRDefault="00A54541" w:rsidP="001C2F20">
      <w:pPr>
        <w:tabs>
          <w:tab w:val="left" w:pos="720"/>
          <w:tab w:val="left" w:pos="1440"/>
          <w:tab w:val="left" w:pos="9240"/>
        </w:tabs>
        <w:spacing w:line="480" w:lineRule="auto"/>
        <w:ind w:left="720" w:hanging="720"/>
      </w:pPr>
      <w:r>
        <w:tab/>
      </w:r>
      <w:r>
        <w:tab/>
      </w:r>
      <w:r w:rsidR="001C2F20">
        <w:t xml:space="preserve">Furthermore, only one company in his proxy group shows an earnings estimate below 6 percent: CMS </w:t>
      </w:r>
      <w:r w:rsidR="00B01B43">
        <w:t>at</w:t>
      </w:r>
      <w:r w:rsidR="001C2F20">
        <w:t xml:space="preserve"> 5.88 percent.  </w:t>
      </w:r>
      <w:r w:rsidR="00B01B43">
        <w:t>As a result</w:t>
      </w:r>
      <w:r w:rsidR="00B11B2F">
        <w:t>,</w:t>
      </w:r>
      <w:r w:rsidR="00B01B43">
        <w:t xml:space="preserve"> his DCF </w:t>
      </w:r>
      <w:r w:rsidR="00A7416B">
        <w:t>relies on</w:t>
      </w:r>
      <w:r w:rsidR="00B01B43">
        <w:t xml:space="preserve"> an average growth rate </w:t>
      </w:r>
      <w:r w:rsidR="00A7416B">
        <w:t xml:space="preserve">for dividends </w:t>
      </w:r>
      <w:r w:rsidR="00B01B43">
        <w:t>of 7.81% and a median growth rate of 6.95%.</w:t>
      </w:r>
      <w:r w:rsidR="00536BBF">
        <w:rPr>
          <w:rStyle w:val="FootnoteReference"/>
        </w:rPr>
        <w:footnoteReference w:id="46"/>
      </w:r>
      <w:r w:rsidR="00B01B43">
        <w:t xml:space="preserve">  </w:t>
      </w:r>
      <w:r w:rsidR="00407D28">
        <w:t xml:space="preserve">These estimates of earnings clearly strain any notion of reasonableness.  </w:t>
      </w:r>
    </w:p>
    <w:p w:rsidR="00651F39" w:rsidRDefault="00651F39" w:rsidP="00893076">
      <w:pPr>
        <w:tabs>
          <w:tab w:val="left" w:pos="720"/>
          <w:tab w:val="left" w:pos="1440"/>
          <w:tab w:val="left" w:pos="9240"/>
        </w:tabs>
        <w:spacing w:line="480" w:lineRule="auto"/>
        <w:ind w:left="720" w:hanging="720"/>
        <w:rPr>
          <w:b/>
        </w:rPr>
      </w:pPr>
    </w:p>
    <w:p w:rsidR="00B01B43" w:rsidRDefault="00B01B43" w:rsidP="00893076">
      <w:pPr>
        <w:tabs>
          <w:tab w:val="left" w:pos="720"/>
          <w:tab w:val="left" w:pos="1440"/>
          <w:tab w:val="left" w:pos="9240"/>
        </w:tabs>
        <w:spacing w:line="480" w:lineRule="auto"/>
        <w:ind w:left="720" w:hanging="720"/>
      </w:pPr>
      <w:r>
        <w:rPr>
          <w:b/>
        </w:rPr>
        <w:lastRenderedPageBreak/>
        <w:t>Q.</w:t>
      </w:r>
      <w:r>
        <w:rPr>
          <w:b/>
        </w:rPr>
        <w:tab/>
      </w:r>
      <w:r w:rsidR="00B11B2F">
        <w:rPr>
          <w:b/>
        </w:rPr>
        <w:t xml:space="preserve">Can you </w:t>
      </w:r>
      <w:r>
        <w:rPr>
          <w:b/>
        </w:rPr>
        <w:t xml:space="preserve">show </w:t>
      </w:r>
      <w:r w:rsidR="00B11B2F">
        <w:rPr>
          <w:b/>
        </w:rPr>
        <w:t>why</w:t>
      </w:r>
      <w:r>
        <w:rPr>
          <w:b/>
        </w:rPr>
        <w:t xml:space="preserve"> </w:t>
      </w:r>
      <w:r w:rsidR="00407D28">
        <w:rPr>
          <w:b/>
        </w:rPr>
        <w:t>Dr. Olson’s earnings growth</w:t>
      </w:r>
      <w:r>
        <w:rPr>
          <w:b/>
        </w:rPr>
        <w:t xml:space="preserve"> estimates are excessive?</w:t>
      </w:r>
    </w:p>
    <w:p w:rsidR="00EC216E" w:rsidRDefault="00B01B43" w:rsidP="00893076">
      <w:pPr>
        <w:tabs>
          <w:tab w:val="left" w:pos="720"/>
          <w:tab w:val="left" w:pos="1440"/>
          <w:tab w:val="left" w:pos="9240"/>
        </w:tabs>
        <w:spacing w:line="480" w:lineRule="auto"/>
        <w:ind w:left="720" w:hanging="720"/>
      </w:pPr>
      <w:r>
        <w:t>A.</w:t>
      </w:r>
      <w:r>
        <w:tab/>
        <w:t xml:space="preserve">Yes. </w:t>
      </w:r>
      <w:r w:rsidR="00407D28">
        <w:t xml:space="preserve"> </w:t>
      </w:r>
      <w:r>
        <w:t>One only needs to look at the earned return on book necessary to achieve these growth rates in earnings.  Investors know</w:t>
      </w:r>
      <w:r w:rsidR="00893076">
        <w:t xml:space="preserve"> </w:t>
      </w:r>
      <w:r w:rsidR="00651F39">
        <w:t xml:space="preserve">utility earnings are a function of book value and </w:t>
      </w:r>
      <w:r w:rsidR="00893076">
        <w:t xml:space="preserve">earned book returns </w:t>
      </w:r>
      <w:r>
        <w:t>directly tied to earnings</w:t>
      </w:r>
      <w:r w:rsidR="00893076">
        <w:t xml:space="preserve">.  The math is simple and straightforward using the </w:t>
      </w:r>
      <w:r w:rsidR="003802C0">
        <w:t>traditional</w:t>
      </w:r>
      <w:r w:rsidR="00893076">
        <w:t xml:space="preserve"> </w:t>
      </w:r>
      <w:r w:rsidR="00893076" w:rsidRPr="00214065">
        <w:rPr>
          <w:i/>
        </w:rPr>
        <w:t>“b*r”</w:t>
      </w:r>
      <w:r w:rsidR="00893076">
        <w:t xml:space="preserve"> formula.  If earnings are to grow at a rate of </w:t>
      </w:r>
      <w:r w:rsidR="001C2F20">
        <w:t>11.75</w:t>
      </w:r>
      <w:r w:rsidR="00534FD8">
        <w:t xml:space="preserve"> </w:t>
      </w:r>
      <w:r w:rsidR="00736CD7">
        <w:t>percent</w:t>
      </w:r>
      <w:r w:rsidR="00893076">
        <w:t xml:space="preserve"> </w:t>
      </w:r>
      <w:r w:rsidR="001C2F20">
        <w:t xml:space="preserve">for NV Energy </w:t>
      </w:r>
      <w:r w:rsidR="00893076">
        <w:t xml:space="preserve">and </w:t>
      </w:r>
      <w:r w:rsidR="001C2F20">
        <w:t xml:space="preserve">its </w:t>
      </w:r>
      <w:r w:rsidR="00893076">
        <w:t xml:space="preserve">retention rate is </w:t>
      </w:r>
      <w:r w:rsidR="008E1526">
        <w:t>53</w:t>
      </w:r>
      <w:r w:rsidR="001C2F20">
        <w:t xml:space="preserve"> </w:t>
      </w:r>
      <w:r w:rsidR="00736CD7">
        <w:t>percent</w:t>
      </w:r>
      <w:r w:rsidR="00536BBF">
        <w:t>,</w:t>
      </w:r>
      <w:r w:rsidR="008E1526">
        <w:rPr>
          <w:rStyle w:val="FootnoteReference"/>
        </w:rPr>
        <w:footnoteReference w:id="47"/>
      </w:r>
      <w:r w:rsidR="00536BBF">
        <w:t xml:space="preserve"> </w:t>
      </w:r>
      <w:r w:rsidR="00893076">
        <w:t xml:space="preserve">the earned return on book would have to rise </w:t>
      </w:r>
      <w:r w:rsidR="008E1526">
        <w:t>above 22</w:t>
      </w:r>
      <w:r w:rsidR="001C2F20">
        <w:t xml:space="preserve"> </w:t>
      </w:r>
      <w:r w:rsidR="00736CD7">
        <w:t>percent</w:t>
      </w:r>
      <w:r w:rsidR="00893076">
        <w:t xml:space="preserve"> {</w:t>
      </w:r>
      <w:r w:rsidR="008E1526">
        <w:t xml:space="preserve">22.2 </w:t>
      </w:r>
      <w:r w:rsidR="00736CD7">
        <w:t>percent</w:t>
      </w:r>
      <w:r w:rsidR="008E1526">
        <w:t>*0.53</w:t>
      </w:r>
      <w:r w:rsidR="00893076">
        <w:t>=</w:t>
      </w:r>
      <w:r w:rsidR="008E1526">
        <w:t xml:space="preserve">11.75 </w:t>
      </w:r>
      <w:r w:rsidR="00736CD7">
        <w:t>percent</w:t>
      </w:r>
      <w:r w:rsidR="00893076">
        <w:t xml:space="preserve">} and sustain itself over the long-term.  </w:t>
      </w:r>
      <w:r w:rsidR="00407D28">
        <w:t>It is not rationale to conclude</w:t>
      </w:r>
      <w:r w:rsidR="00A7416B">
        <w:t xml:space="preserve"> that investors </w:t>
      </w:r>
      <w:r w:rsidR="00893076">
        <w:t xml:space="preserve">expect </w:t>
      </w:r>
      <w:r w:rsidR="001565AC">
        <w:t xml:space="preserve">constant </w:t>
      </w:r>
      <w:r w:rsidR="00893076">
        <w:t>earned returns to be in that range under any plausible scenario for a</w:t>
      </w:r>
      <w:r w:rsidR="00631CE2">
        <w:t>ny</w:t>
      </w:r>
      <w:r w:rsidR="00893076">
        <w:t xml:space="preserve"> utility.</w:t>
      </w:r>
      <w:r w:rsidR="00F668C6">
        <w:t xml:space="preserve">  </w:t>
      </w:r>
    </w:p>
    <w:p w:rsidR="00173855" w:rsidRDefault="00173855" w:rsidP="00893076">
      <w:pPr>
        <w:tabs>
          <w:tab w:val="left" w:pos="720"/>
          <w:tab w:val="left" w:pos="1440"/>
          <w:tab w:val="left" w:pos="9240"/>
        </w:tabs>
        <w:spacing w:line="480" w:lineRule="auto"/>
        <w:ind w:left="720" w:hanging="720"/>
      </w:pPr>
    </w:p>
    <w:p w:rsidR="00E66A6E" w:rsidRDefault="00E66A6E" w:rsidP="005D3B74">
      <w:pPr>
        <w:tabs>
          <w:tab w:val="left" w:pos="720"/>
          <w:tab w:val="left" w:pos="1440"/>
          <w:tab w:val="left" w:pos="9240"/>
        </w:tabs>
        <w:spacing w:line="480" w:lineRule="auto"/>
        <w:ind w:left="720" w:hanging="720"/>
        <w:rPr>
          <w:b/>
        </w:rPr>
      </w:pPr>
      <w:r>
        <w:rPr>
          <w:b/>
        </w:rPr>
        <w:t>Q.</w:t>
      </w:r>
      <w:r>
        <w:rPr>
          <w:b/>
        </w:rPr>
        <w:tab/>
      </w:r>
      <w:r w:rsidR="00407D28">
        <w:rPr>
          <w:b/>
        </w:rPr>
        <w:t>Do you have</w:t>
      </w:r>
      <w:r>
        <w:rPr>
          <w:b/>
        </w:rPr>
        <w:t xml:space="preserve"> any other observations about Dr. </w:t>
      </w:r>
      <w:r w:rsidR="00D25732">
        <w:rPr>
          <w:b/>
        </w:rPr>
        <w:t>Olson</w:t>
      </w:r>
      <w:r>
        <w:rPr>
          <w:b/>
        </w:rPr>
        <w:t>’s DCF analysis?</w:t>
      </w:r>
    </w:p>
    <w:p w:rsidR="00173855" w:rsidRDefault="00E66A6E" w:rsidP="00173855">
      <w:pPr>
        <w:tabs>
          <w:tab w:val="left" w:pos="720"/>
          <w:tab w:val="left" w:pos="1440"/>
          <w:tab w:val="left" w:pos="9240"/>
        </w:tabs>
        <w:spacing w:line="480" w:lineRule="auto"/>
        <w:ind w:left="720" w:hanging="720"/>
      </w:pPr>
      <w:r>
        <w:t>A.</w:t>
      </w:r>
      <w:r>
        <w:tab/>
        <w:t xml:space="preserve">Yes.  </w:t>
      </w:r>
      <w:r w:rsidR="00A54541">
        <w:t>Dr. Olson failed to evaluate these earnings estimates with historical performance.</w:t>
      </w:r>
      <w:r w:rsidR="00536BBF">
        <w:rPr>
          <w:rStyle w:val="FootnoteReference"/>
        </w:rPr>
        <w:footnoteReference w:id="48"/>
      </w:r>
      <w:r w:rsidR="00651F39">
        <w:t xml:space="preserve">  </w:t>
      </w:r>
      <w:r w:rsidR="00536BBF">
        <w:t xml:space="preserve">Staff </w:t>
      </w:r>
      <w:r w:rsidR="00767779">
        <w:t xml:space="preserve">requested any analysis </w:t>
      </w:r>
      <w:r w:rsidR="005E256C">
        <w:t xml:space="preserve">he undertook to consider the historical earnings in the context of analyst’s expected future earnings.  </w:t>
      </w:r>
      <w:r w:rsidR="00767779">
        <w:t>In response to Staff Data Request No. 36 n</w:t>
      </w:r>
      <w:r w:rsidR="005E256C">
        <w:t xml:space="preserve">one were provided.  While I do agree that historical earnings </w:t>
      </w:r>
      <w:r w:rsidR="00173855">
        <w:t>are</w:t>
      </w:r>
      <w:r w:rsidR="005E256C">
        <w:t xml:space="preserve"> not indicative of future earnings, </w:t>
      </w:r>
      <w:r w:rsidR="00173855">
        <w:t xml:space="preserve">I have shown that estimates are impacted by the recent results as </w:t>
      </w:r>
      <w:r w:rsidR="00536BBF">
        <w:t>a</w:t>
      </w:r>
      <w:r w:rsidR="00173855">
        <w:t xml:space="preserve"> company recovers from periods of depressed earnings</w:t>
      </w:r>
      <w:r w:rsidR="00767779">
        <w:t>, and any analysis should evaluate prospective earnings estimates with this in mind</w:t>
      </w:r>
      <w:r w:rsidR="003802C0">
        <w:t xml:space="preserve"> in establishing sustainable long-term growth</w:t>
      </w:r>
      <w:r w:rsidR="00173855">
        <w:t xml:space="preserve">.  </w:t>
      </w:r>
      <w:r w:rsidR="00CC4CE0">
        <w:t>Dr. Olson failed to do so.</w:t>
      </w:r>
    </w:p>
    <w:p w:rsidR="00A91D51" w:rsidRDefault="00A91D51" w:rsidP="005D3B74">
      <w:pPr>
        <w:tabs>
          <w:tab w:val="left" w:pos="720"/>
          <w:tab w:val="left" w:pos="1440"/>
          <w:tab w:val="left" w:pos="9240"/>
        </w:tabs>
        <w:spacing w:line="480" w:lineRule="auto"/>
        <w:ind w:left="720" w:hanging="720"/>
      </w:pPr>
    </w:p>
    <w:p w:rsidR="00A91D51" w:rsidRPr="00A91D51" w:rsidRDefault="00A91D51" w:rsidP="00B51671">
      <w:pPr>
        <w:keepNext/>
        <w:tabs>
          <w:tab w:val="left" w:pos="720"/>
          <w:tab w:val="left" w:pos="1440"/>
          <w:tab w:val="left" w:pos="9240"/>
        </w:tabs>
        <w:spacing w:line="480" w:lineRule="auto"/>
        <w:ind w:left="720" w:hanging="720"/>
        <w:rPr>
          <w:b/>
        </w:rPr>
      </w:pPr>
      <w:r>
        <w:rPr>
          <w:b/>
        </w:rPr>
        <w:lastRenderedPageBreak/>
        <w:t>Q.</w:t>
      </w:r>
      <w:r>
        <w:rPr>
          <w:b/>
        </w:rPr>
        <w:tab/>
        <w:t>How would past earnings impact current estimates of earnings growth?</w:t>
      </w:r>
    </w:p>
    <w:p w:rsidR="004B127B" w:rsidRDefault="00A91D51" w:rsidP="004B127B">
      <w:pPr>
        <w:tabs>
          <w:tab w:val="left" w:pos="720"/>
          <w:tab w:val="left" w:pos="1440"/>
          <w:tab w:val="left" w:pos="9240"/>
        </w:tabs>
        <w:spacing w:line="480" w:lineRule="auto"/>
        <w:ind w:left="720" w:hanging="720"/>
      </w:pPr>
      <w:r>
        <w:t>A.</w:t>
      </w:r>
      <w:r>
        <w:tab/>
        <w:t>A</w:t>
      </w:r>
      <w:r w:rsidR="00375906">
        <w:t xml:space="preserve"> utility could have had poor earnings for brief period</w:t>
      </w:r>
      <w:r w:rsidR="00A7416B">
        <w:t>s</w:t>
      </w:r>
      <w:r w:rsidR="00375906">
        <w:t xml:space="preserve"> </w:t>
      </w:r>
      <w:r w:rsidR="00536BBF">
        <w:t xml:space="preserve">such that a </w:t>
      </w:r>
      <w:r w:rsidR="00A7416B">
        <w:t xml:space="preserve">subsequent calculation of </w:t>
      </w:r>
      <w:r w:rsidR="00375906">
        <w:t xml:space="preserve">future rates of growth </w:t>
      </w:r>
      <w:r w:rsidR="00A7416B">
        <w:t>will be high due the fact that the base is low</w:t>
      </w:r>
      <w:r w:rsidR="00375906">
        <w:t xml:space="preserve">.  </w:t>
      </w:r>
      <w:r w:rsidR="004B127B">
        <w:t xml:space="preserve">In fact, </w:t>
      </w:r>
      <w:r w:rsidR="004B127B" w:rsidRPr="004B127B">
        <w:rPr>
          <w:i/>
        </w:rPr>
        <w:t xml:space="preserve">Value Line </w:t>
      </w:r>
      <w:r w:rsidR="004B127B">
        <w:t>shows that NV Energy</w:t>
      </w:r>
      <w:r w:rsidR="00536BBF">
        <w:t>’s</w:t>
      </w:r>
      <w:r w:rsidR="004B127B">
        <w:t xml:space="preserve"> actual earned return on book since 2007 never exceeded 7 percent.  While </w:t>
      </w:r>
      <w:r w:rsidR="004B127B" w:rsidRPr="00173855">
        <w:rPr>
          <w:i/>
        </w:rPr>
        <w:t>Value Line</w:t>
      </w:r>
      <w:r w:rsidR="004B127B">
        <w:t xml:space="preserve"> shows earnings growth of 9 percent for the period 2012 to 2016, that rate of growth is necessary for </w:t>
      </w:r>
      <w:r w:rsidR="00536BBF">
        <w:t>NV Energy’s</w:t>
      </w:r>
      <w:r w:rsidR="004B127B">
        <w:t xml:space="preserve"> earned return on equity to recover to 9 percent.  Once those earnings are achieved, there is no rational basis for investors to consider the same rate of growth to continue for the long-term.</w:t>
      </w:r>
    </w:p>
    <w:p w:rsidR="00E66A6E" w:rsidRDefault="00E66A6E" w:rsidP="005D3B74">
      <w:pPr>
        <w:tabs>
          <w:tab w:val="left" w:pos="720"/>
          <w:tab w:val="left" w:pos="1440"/>
          <w:tab w:val="left" w:pos="9240"/>
        </w:tabs>
        <w:spacing w:line="480" w:lineRule="auto"/>
        <w:ind w:left="720" w:hanging="720"/>
        <w:rPr>
          <w:i/>
        </w:rPr>
      </w:pPr>
    </w:p>
    <w:p w:rsidR="00E66A6E" w:rsidRPr="00B01B43" w:rsidRDefault="00360D43" w:rsidP="005D3B74">
      <w:pPr>
        <w:tabs>
          <w:tab w:val="left" w:pos="720"/>
          <w:tab w:val="left" w:pos="1440"/>
          <w:tab w:val="left" w:pos="9240"/>
        </w:tabs>
        <w:spacing w:line="480" w:lineRule="auto"/>
        <w:ind w:left="720" w:hanging="720"/>
        <w:rPr>
          <w:b/>
        </w:rPr>
      </w:pPr>
      <w:r w:rsidRPr="00B01B43">
        <w:rPr>
          <w:b/>
        </w:rPr>
        <w:t>Q.</w:t>
      </w:r>
      <w:r w:rsidRPr="00B01B43">
        <w:rPr>
          <w:b/>
        </w:rPr>
        <w:tab/>
        <w:t xml:space="preserve">Dr. </w:t>
      </w:r>
      <w:r w:rsidR="00D25732" w:rsidRPr="00B01B43">
        <w:rPr>
          <w:b/>
        </w:rPr>
        <w:t>Olson</w:t>
      </w:r>
      <w:r w:rsidRPr="00B01B43">
        <w:rPr>
          <w:b/>
        </w:rPr>
        <w:t xml:space="preserve"> presented a </w:t>
      </w:r>
      <w:r w:rsidR="00B01B43">
        <w:rPr>
          <w:b/>
        </w:rPr>
        <w:t>risk premium</w:t>
      </w:r>
      <w:r w:rsidRPr="00B01B43">
        <w:rPr>
          <w:b/>
        </w:rPr>
        <w:t xml:space="preserve"> study.   What comments do you have with respect to it?</w:t>
      </w:r>
    </w:p>
    <w:p w:rsidR="00B42B4D" w:rsidRDefault="00360D43" w:rsidP="007C3714">
      <w:pPr>
        <w:tabs>
          <w:tab w:val="left" w:pos="720"/>
          <w:tab w:val="left" w:pos="1440"/>
          <w:tab w:val="left" w:pos="9240"/>
        </w:tabs>
        <w:spacing w:line="480" w:lineRule="auto"/>
        <w:ind w:left="720" w:hanging="720"/>
      </w:pPr>
      <w:r w:rsidRPr="00B01B43">
        <w:t>A.</w:t>
      </w:r>
      <w:r w:rsidRPr="00B01B43">
        <w:tab/>
      </w:r>
      <w:r w:rsidR="003254FA">
        <w:t>First</w:t>
      </w:r>
      <w:r w:rsidR="00536BBF">
        <w:t>,</w:t>
      </w:r>
      <w:r w:rsidR="003254FA">
        <w:t xml:space="preserve"> Dr. Olson selectively uses </w:t>
      </w:r>
      <w:r w:rsidR="00C864C3">
        <w:t xml:space="preserve">and incorrectly mixes the </w:t>
      </w:r>
      <w:r w:rsidR="003254FA">
        <w:t xml:space="preserve">data </w:t>
      </w:r>
      <w:r w:rsidR="00C864C3">
        <w:t>published by Ibbotson, all of which overstates the estimate</w:t>
      </w:r>
      <w:r w:rsidR="00A242E3">
        <w:t xml:space="preserve"> in his study</w:t>
      </w:r>
      <w:r w:rsidR="00C864C3">
        <w:t xml:space="preserve">.  </w:t>
      </w:r>
      <w:r w:rsidR="003254FA">
        <w:t>Specifically,</w:t>
      </w:r>
      <w:r w:rsidR="00C95260">
        <w:t xml:space="preserve"> </w:t>
      </w:r>
      <w:r w:rsidR="0008231D">
        <w:t xml:space="preserve">for stocks </w:t>
      </w:r>
      <w:r w:rsidR="003254FA">
        <w:t xml:space="preserve">Dr. Olson uses total </w:t>
      </w:r>
      <w:r w:rsidR="00C55260">
        <w:t>market returns</w:t>
      </w:r>
      <w:r w:rsidR="00E5537C">
        <w:t>,</w:t>
      </w:r>
      <w:r w:rsidR="00C55260">
        <w:t xml:space="preserve"> but he use</w:t>
      </w:r>
      <w:r w:rsidR="002E7061">
        <w:t>s</w:t>
      </w:r>
      <w:r w:rsidR="00C55260">
        <w:t xml:space="preserve"> on</w:t>
      </w:r>
      <w:r w:rsidR="002E7061">
        <w:t>ly</w:t>
      </w:r>
      <w:r w:rsidR="00C55260">
        <w:t xml:space="preserve"> income return</w:t>
      </w:r>
      <w:r w:rsidR="00837C5C">
        <w:t xml:space="preserve"> for bonds</w:t>
      </w:r>
      <w:r w:rsidR="00C60BEF">
        <w:t xml:space="preserve"> to calculate his 6.6 percent risk premium</w:t>
      </w:r>
      <w:r w:rsidR="00C55260">
        <w:t>.</w:t>
      </w:r>
      <w:r w:rsidR="00536BBF">
        <w:rPr>
          <w:rStyle w:val="FootnoteReference"/>
        </w:rPr>
        <w:footnoteReference w:id="49"/>
      </w:r>
      <w:r w:rsidR="00C55260">
        <w:t xml:space="preserve">  If the data is to be consistent, the data should be </w:t>
      </w:r>
      <w:r w:rsidR="00E5537C">
        <w:t xml:space="preserve">the </w:t>
      </w:r>
      <w:r w:rsidR="00C55260" w:rsidRPr="00837C5C">
        <w:rPr>
          <w:u w:val="single"/>
        </w:rPr>
        <w:t>total</w:t>
      </w:r>
      <w:r w:rsidR="00C55260">
        <w:t xml:space="preserve"> return for </w:t>
      </w:r>
      <w:r w:rsidR="00A242E3">
        <w:t>both</w:t>
      </w:r>
      <w:r w:rsidR="00C55260">
        <w:t xml:space="preserve">.  </w:t>
      </w:r>
      <w:r w:rsidR="00B42B4D">
        <w:t xml:space="preserve">If I make the data consistent, the equity risk premium </w:t>
      </w:r>
      <w:r w:rsidR="00837C5C">
        <w:t xml:space="preserve">is 5.7 percent </w:t>
      </w:r>
      <w:r w:rsidR="00B42B4D">
        <w:t xml:space="preserve">using the arithmetic mean of </w:t>
      </w:r>
      <w:r w:rsidR="00837C5C">
        <w:t xml:space="preserve">total </w:t>
      </w:r>
      <w:r w:rsidR="00B42B4D">
        <w:t xml:space="preserve">returns for </w:t>
      </w:r>
      <w:r w:rsidR="00837C5C">
        <w:t xml:space="preserve">both </w:t>
      </w:r>
      <w:r w:rsidR="00B42B4D">
        <w:t>stocks and long-term bonds.</w:t>
      </w:r>
    </w:p>
    <w:p w:rsidR="00B42B4D" w:rsidRDefault="00B42B4D" w:rsidP="00B42B4D">
      <w:pPr>
        <w:tabs>
          <w:tab w:val="left" w:pos="720"/>
          <w:tab w:val="left" w:pos="1440"/>
          <w:tab w:val="left" w:pos="9240"/>
        </w:tabs>
        <w:spacing w:line="480" w:lineRule="auto"/>
      </w:pPr>
    </w:p>
    <w:p w:rsidR="00B42B4D" w:rsidRPr="00B42B4D" w:rsidRDefault="00B42B4D" w:rsidP="00B42B4D">
      <w:pPr>
        <w:tabs>
          <w:tab w:val="left" w:pos="720"/>
          <w:tab w:val="left" w:pos="1440"/>
          <w:tab w:val="left" w:pos="9240"/>
        </w:tabs>
        <w:spacing w:line="480" w:lineRule="auto"/>
        <w:ind w:left="720" w:hanging="720"/>
        <w:rPr>
          <w:b/>
        </w:rPr>
      </w:pPr>
      <w:r>
        <w:rPr>
          <w:b/>
        </w:rPr>
        <w:t>Q.</w:t>
      </w:r>
      <w:r>
        <w:rPr>
          <w:b/>
        </w:rPr>
        <w:tab/>
        <w:t xml:space="preserve">What other problems exist with the data </w:t>
      </w:r>
      <w:r w:rsidR="00202BC2">
        <w:rPr>
          <w:b/>
        </w:rPr>
        <w:t>u</w:t>
      </w:r>
      <w:r w:rsidR="00BC1FAB">
        <w:rPr>
          <w:b/>
        </w:rPr>
        <w:t>s</w:t>
      </w:r>
      <w:r>
        <w:rPr>
          <w:b/>
        </w:rPr>
        <w:t>ed by Dr. Olson in his risk premium study?</w:t>
      </w:r>
    </w:p>
    <w:p w:rsidR="00C55260" w:rsidRDefault="00B42B4D" w:rsidP="00B42B4D">
      <w:pPr>
        <w:tabs>
          <w:tab w:val="left" w:pos="720"/>
          <w:tab w:val="left" w:pos="1440"/>
          <w:tab w:val="left" w:pos="9240"/>
        </w:tabs>
        <w:spacing w:line="480" w:lineRule="auto"/>
        <w:ind w:left="720" w:hanging="720"/>
      </w:pPr>
      <w:r>
        <w:lastRenderedPageBreak/>
        <w:t>A.</w:t>
      </w:r>
      <w:r>
        <w:tab/>
        <w:t>H</w:t>
      </w:r>
      <w:r w:rsidR="00E5537C">
        <w:t xml:space="preserve">e </w:t>
      </w:r>
      <w:r>
        <w:t xml:space="preserve">considers only </w:t>
      </w:r>
      <w:r w:rsidR="00C864C3">
        <w:t>Ibbotson’s calculation of</w:t>
      </w:r>
      <w:r w:rsidR="003254FA">
        <w:t xml:space="preserve"> the return </w:t>
      </w:r>
      <w:r w:rsidR="00C864C3">
        <w:t xml:space="preserve">on the market </w:t>
      </w:r>
      <w:r w:rsidR="003254FA">
        <w:t xml:space="preserve">based on </w:t>
      </w:r>
      <w:r w:rsidR="00C55260">
        <w:t xml:space="preserve">the arithmetic </w:t>
      </w:r>
      <w:r w:rsidR="00C864C3">
        <w:t>mean</w:t>
      </w:r>
      <w:r w:rsidR="00C55260">
        <w:t xml:space="preserve"> for the </w:t>
      </w:r>
      <w:r w:rsidR="00A242E3">
        <w:t xml:space="preserve">entire </w:t>
      </w:r>
      <w:r w:rsidR="00C55260">
        <w:t xml:space="preserve">period.  </w:t>
      </w:r>
      <w:r w:rsidR="00C864C3">
        <w:t>The assumption that investors only consider this</w:t>
      </w:r>
      <w:r w:rsidR="00C55260">
        <w:t xml:space="preserve"> </w:t>
      </w:r>
      <w:r>
        <w:t xml:space="preserve">calculation of historical returns </w:t>
      </w:r>
      <w:r w:rsidR="00C55260">
        <w:t xml:space="preserve">is incorrect. </w:t>
      </w:r>
      <w:r w:rsidR="00C864C3">
        <w:t xml:space="preserve"> </w:t>
      </w:r>
      <w:r w:rsidR="00C55260">
        <w:t xml:space="preserve">Ibbotson </w:t>
      </w:r>
      <w:r w:rsidR="00C864C3">
        <w:t xml:space="preserve">also </w:t>
      </w:r>
      <w:r w:rsidR="00C55260">
        <w:t>publishes the geometric (compound) rate of return on the market for the same time series.  Investors have this inform</w:t>
      </w:r>
      <w:r w:rsidR="002E7061">
        <w:t xml:space="preserve">ation available and </w:t>
      </w:r>
      <w:r w:rsidR="003254FA">
        <w:t xml:space="preserve">would </w:t>
      </w:r>
      <w:r w:rsidR="002E7061">
        <w:t xml:space="preserve">consider </w:t>
      </w:r>
      <w:r w:rsidR="00C864C3">
        <w:t>it</w:t>
      </w:r>
      <w:r w:rsidR="003802C0">
        <w:t xml:space="preserve"> in making investment decisions.</w:t>
      </w:r>
    </w:p>
    <w:p w:rsidR="002E7061" w:rsidRDefault="002E7061" w:rsidP="002E7061">
      <w:pPr>
        <w:tabs>
          <w:tab w:val="left" w:pos="720"/>
          <w:tab w:val="left" w:pos="1440"/>
          <w:tab w:val="left" w:pos="9240"/>
        </w:tabs>
        <w:spacing w:line="480" w:lineRule="auto"/>
      </w:pPr>
    </w:p>
    <w:p w:rsidR="002E7061" w:rsidRDefault="002E7061" w:rsidP="002E7061">
      <w:pPr>
        <w:tabs>
          <w:tab w:val="left" w:pos="720"/>
          <w:tab w:val="left" w:pos="1440"/>
          <w:tab w:val="left" w:pos="9240"/>
        </w:tabs>
        <w:spacing w:line="480" w:lineRule="auto"/>
        <w:ind w:left="720" w:hanging="720"/>
        <w:rPr>
          <w:b/>
        </w:rPr>
      </w:pPr>
      <w:r>
        <w:rPr>
          <w:b/>
        </w:rPr>
        <w:t>Q.</w:t>
      </w:r>
      <w:r>
        <w:rPr>
          <w:b/>
        </w:rPr>
        <w:tab/>
        <w:t xml:space="preserve">What does Ibbotson indicate </w:t>
      </w:r>
      <w:r w:rsidR="00536BBF">
        <w:rPr>
          <w:b/>
        </w:rPr>
        <w:t xml:space="preserve">as a </w:t>
      </w:r>
      <w:r w:rsidR="00C864C3">
        <w:rPr>
          <w:b/>
        </w:rPr>
        <w:t xml:space="preserve">compound </w:t>
      </w:r>
      <w:r>
        <w:rPr>
          <w:b/>
        </w:rPr>
        <w:t>growth rate for the market based on total return</w:t>
      </w:r>
      <w:r w:rsidR="00C864C3">
        <w:rPr>
          <w:b/>
        </w:rPr>
        <w:t xml:space="preserve"> for this time series</w:t>
      </w:r>
      <w:r>
        <w:rPr>
          <w:b/>
        </w:rPr>
        <w:t>?</w:t>
      </w:r>
    </w:p>
    <w:p w:rsidR="00C864C3" w:rsidRDefault="002E7061" w:rsidP="002E7061">
      <w:pPr>
        <w:tabs>
          <w:tab w:val="left" w:pos="720"/>
          <w:tab w:val="left" w:pos="1440"/>
          <w:tab w:val="left" w:pos="9240"/>
        </w:tabs>
        <w:spacing w:line="480" w:lineRule="auto"/>
        <w:ind w:left="720" w:hanging="720"/>
      </w:pPr>
      <w:r>
        <w:t>A.</w:t>
      </w:r>
      <w:r>
        <w:tab/>
      </w:r>
      <w:r w:rsidR="003254FA">
        <w:t xml:space="preserve">Ibbotson shows that </w:t>
      </w:r>
      <w:r w:rsidR="001319FC">
        <w:t xml:space="preserve">the mean total return calculated on the basis of </w:t>
      </w:r>
      <w:r w:rsidR="003802C0">
        <w:t xml:space="preserve">a </w:t>
      </w:r>
      <w:r w:rsidR="001319FC">
        <w:t xml:space="preserve">compound growth rate </w:t>
      </w:r>
      <w:r w:rsidR="003254FA">
        <w:t>is 9.9 percent</w:t>
      </w:r>
      <w:r w:rsidR="00C864C3">
        <w:t>,</w:t>
      </w:r>
      <w:r w:rsidR="003254FA">
        <w:t xml:space="preserve"> and </w:t>
      </w:r>
      <w:r w:rsidR="001319FC">
        <w:t xml:space="preserve">the mean total return calculated on the basis of </w:t>
      </w:r>
      <w:r w:rsidR="003802C0">
        <w:t xml:space="preserve">a </w:t>
      </w:r>
      <w:r w:rsidR="001319FC">
        <w:t xml:space="preserve">compound growth rate for long-term corporate bonds is 5.9 percent. </w:t>
      </w:r>
      <w:r w:rsidR="003254FA">
        <w:t xml:space="preserve"> </w:t>
      </w:r>
      <w:r w:rsidR="001319FC">
        <w:t>Therefore, the</w:t>
      </w:r>
      <w:r>
        <w:t xml:space="preserve"> </w:t>
      </w:r>
      <w:r w:rsidR="000D4A16">
        <w:t xml:space="preserve">indicated </w:t>
      </w:r>
      <w:r>
        <w:t xml:space="preserve">market risk premium </w:t>
      </w:r>
      <w:r w:rsidR="00202BC2">
        <w:t xml:space="preserve">using this data set </w:t>
      </w:r>
      <w:r>
        <w:t>of to</w:t>
      </w:r>
      <w:r w:rsidR="00837C5C">
        <w:t xml:space="preserve">tal return for stocks and bonds </w:t>
      </w:r>
      <w:r w:rsidR="001319FC">
        <w:t>is 4</w:t>
      </w:r>
      <w:r w:rsidR="00B42B4D">
        <w:t>.0</w:t>
      </w:r>
      <w:r>
        <w:t xml:space="preserve"> percent</w:t>
      </w:r>
      <w:r w:rsidR="001319FC">
        <w:t xml:space="preserve">.  </w:t>
      </w:r>
    </w:p>
    <w:p w:rsidR="00C864C3" w:rsidRDefault="00C864C3" w:rsidP="002E7061">
      <w:pPr>
        <w:tabs>
          <w:tab w:val="left" w:pos="720"/>
          <w:tab w:val="left" w:pos="1440"/>
          <w:tab w:val="left" w:pos="9240"/>
        </w:tabs>
        <w:spacing w:line="480" w:lineRule="auto"/>
        <w:ind w:left="720" w:hanging="720"/>
      </w:pPr>
    </w:p>
    <w:p w:rsidR="00C864C3" w:rsidRDefault="00C864C3" w:rsidP="002E7061">
      <w:pPr>
        <w:tabs>
          <w:tab w:val="left" w:pos="720"/>
          <w:tab w:val="left" w:pos="1440"/>
          <w:tab w:val="left" w:pos="9240"/>
        </w:tabs>
        <w:spacing w:line="480" w:lineRule="auto"/>
        <w:ind w:left="720" w:hanging="720"/>
      </w:pPr>
      <w:r>
        <w:rPr>
          <w:b/>
        </w:rPr>
        <w:t>Q.</w:t>
      </w:r>
      <w:r>
        <w:rPr>
          <w:b/>
        </w:rPr>
        <w:tab/>
        <w:t>What do you conclude from this data published by Ibbotson in estimating a market risk premium?</w:t>
      </w:r>
    </w:p>
    <w:p w:rsidR="002E7061" w:rsidRDefault="00C864C3" w:rsidP="002E7061">
      <w:pPr>
        <w:tabs>
          <w:tab w:val="left" w:pos="720"/>
          <w:tab w:val="left" w:pos="1440"/>
          <w:tab w:val="left" w:pos="9240"/>
        </w:tabs>
        <w:spacing w:line="480" w:lineRule="auto"/>
        <w:ind w:left="720" w:hanging="720"/>
      </w:pPr>
      <w:r>
        <w:t>A</w:t>
      </w:r>
      <w:r>
        <w:tab/>
      </w:r>
      <w:r w:rsidR="001319FC">
        <w:t>I</w:t>
      </w:r>
      <w:r w:rsidR="00C60BEF">
        <w:t xml:space="preserve">f </w:t>
      </w:r>
      <w:r>
        <w:t xml:space="preserve">investors </w:t>
      </w:r>
      <w:r w:rsidR="00C60BEF">
        <w:t xml:space="preserve">rely on historical returns to estimate </w:t>
      </w:r>
      <w:r w:rsidR="000D4A16">
        <w:t xml:space="preserve">the </w:t>
      </w:r>
      <w:r w:rsidR="00C60BEF">
        <w:t xml:space="preserve">prospective equity risk premium, they would </w:t>
      </w:r>
      <w:r>
        <w:t>consider both</w:t>
      </w:r>
      <w:r w:rsidR="00C60BEF">
        <w:t xml:space="preserve"> the geometric and arithmetic return on the market</w:t>
      </w:r>
      <w:r>
        <w:t>.</w:t>
      </w:r>
      <w:r w:rsidR="001319FC">
        <w:t xml:space="preserve">  </w:t>
      </w:r>
      <w:r w:rsidR="00C60BEF">
        <w:t>Furthermore</w:t>
      </w:r>
      <w:r>
        <w:t>, for long holding periods the compound growth rate is superior</w:t>
      </w:r>
      <w:r w:rsidR="00837C5C">
        <w:t xml:space="preserve"> and should be given the most weight</w:t>
      </w:r>
      <w:r>
        <w:t xml:space="preserve">.  </w:t>
      </w:r>
      <w:r w:rsidR="00C60BEF">
        <w:t xml:space="preserve"> </w:t>
      </w:r>
      <w:r>
        <w:t xml:space="preserve">However, at a minimum the analyst should consider the average of the two figures.  Doing so indicates </w:t>
      </w:r>
      <w:r w:rsidR="003E321A">
        <w:t xml:space="preserve">a </w:t>
      </w:r>
      <w:r w:rsidR="002E7061">
        <w:t xml:space="preserve">historical market equity </w:t>
      </w:r>
      <w:r w:rsidR="002E7061">
        <w:lastRenderedPageBreak/>
        <w:t xml:space="preserve">risk premium of </w:t>
      </w:r>
      <w:r w:rsidR="00B42B4D">
        <w:t>4.85</w:t>
      </w:r>
      <w:r w:rsidR="002E7061">
        <w:t xml:space="preserve"> percent.</w:t>
      </w:r>
      <w:r>
        <w:t xml:space="preserve">  Providing a 2 to 1 weight of compound </w:t>
      </w:r>
      <w:r w:rsidR="00B42B4D">
        <w:t xml:space="preserve">growth </w:t>
      </w:r>
      <w:r>
        <w:t xml:space="preserve">over arithmetic </w:t>
      </w:r>
      <w:r w:rsidR="00B42B4D">
        <w:t xml:space="preserve">growth </w:t>
      </w:r>
      <w:r>
        <w:t xml:space="preserve">produces an </w:t>
      </w:r>
      <w:r w:rsidR="00B42B4D">
        <w:t>estimate of 4.56 percent.</w:t>
      </w:r>
    </w:p>
    <w:p w:rsidR="002E7061" w:rsidRDefault="002E7061" w:rsidP="002E7061">
      <w:pPr>
        <w:tabs>
          <w:tab w:val="left" w:pos="720"/>
          <w:tab w:val="left" w:pos="1440"/>
          <w:tab w:val="left" w:pos="9240"/>
        </w:tabs>
        <w:spacing w:line="480" w:lineRule="auto"/>
        <w:ind w:left="720" w:hanging="720"/>
      </w:pPr>
    </w:p>
    <w:p w:rsidR="002E7061" w:rsidRDefault="002E7061" w:rsidP="002E7061">
      <w:pPr>
        <w:tabs>
          <w:tab w:val="left" w:pos="720"/>
          <w:tab w:val="left" w:pos="1440"/>
          <w:tab w:val="left" w:pos="9240"/>
        </w:tabs>
        <w:spacing w:line="480" w:lineRule="auto"/>
        <w:ind w:left="720" w:hanging="720"/>
        <w:rPr>
          <w:b/>
        </w:rPr>
      </w:pPr>
      <w:r>
        <w:rPr>
          <w:b/>
        </w:rPr>
        <w:t>Q.</w:t>
      </w:r>
      <w:r>
        <w:rPr>
          <w:b/>
        </w:rPr>
        <w:tab/>
        <w:t>What other proble</w:t>
      </w:r>
      <w:r w:rsidR="00976D49">
        <w:rPr>
          <w:b/>
        </w:rPr>
        <w:t>m</w:t>
      </w:r>
      <w:r>
        <w:rPr>
          <w:b/>
        </w:rPr>
        <w:t>s exist with Dr. Olson’s data in his risk premium study?</w:t>
      </w:r>
    </w:p>
    <w:p w:rsidR="002E7061" w:rsidRDefault="002E7061" w:rsidP="002E7061">
      <w:pPr>
        <w:tabs>
          <w:tab w:val="left" w:pos="720"/>
          <w:tab w:val="left" w:pos="1440"/>
          <w:tab w:val="left" w:pos="9240"/>
        </w:tabs>
        <w:spacing w:line="480" w:lineRule="auto"/>
        <w:ind w:left="720" w:hanging="720"/>
      </w:pPr>
      <w:r>
        <w:t>A.</w:t>
      </w:r>
      <w:r>
        <w:tab/>
      </w:r>
      <w:r w:rsidR="00C60BEF">
        <w:t xml:space="preserve">Dr. Olson </w:t>
      </w:r>
      <w:r w:rsidR="00B42B4D">
        <w:t>uses</w:t>
      </w:r>
      <w:r>
        <w:t xml:space="preserve"> </w:t>
      </w:r>
      <w:r w:rsidR="00976D49">
        <w:t>Moody’s</w:t>
      </w:r>
      <w:r>
        <w:t xml:space="preserve"> 30 year forecast for government bonds</w:t>
      </w:r>
      <w:r w:rsidR="00C60BEF">
        <w:t xml:space="preserve">; </w:t>
      </w:r>
      <w:r w:rsidR="00837C5C">
        <w:t>that figure</w:t>
      </w:r>
      <w:r w:rsidR="00976D49">
        <w:t xml:space="preserve"> overstates the current rate </w:t>
      </w:r>
      <w:r w:rsidR="003E321A">
        <w:t xml:space="preserve">for government bonds </w:t>
      </w:r>
      <w:r w:rsidR="00976D49">
        <w:t xml:space="preserve">by a significant amount.  The estimate </w:t>
      </w:r>
      <w:r w:rsidR="00837C5C">
        <w:t xml:space="preserve">for long-term Treasury bonds </w:t>
      </w:r>
      <w:r w:rsidR="00C60BEF">
        <w:t xml:space="preserve">he uses </w:t>
      </w:r>
      <w:r w:rsidR="00976D49">
        <w:t>is no different than the price PSE sold new 30 year first mortgage bonds in 2010.</w:t>
      </w:r>
      <w:r w:rsidR="00B42B4D">
        <w:t xml:space="preserve">  Using the prices of Treasury </w:t>
      </w:r>
      <w:r w:rsidR="003E321A">
        <w:t xml:space="preserve">bonds </w:t>
      </w:r>
      <w:r w:rsidR="00B42B4D">
        <w:t>from June 2011 produc</w:t>
      </w:r>
      <w:r w:rsidR="003E321A">
        <w:t>es</w:t>
      </w:r>
      <w:r w:rsidR="00B42B4D">
        <w:t xml:space="preserve"> a yield of 4.5 percent</w:t>
      </w:r>
      <w:r w:rsidR="007C3714">
        <w:t>, which</w:t>
      </w:r>
      <w:r w:rsidR="00B42B4D">
        <w:t xml:space="preserve"> is more reasonable.  Combining that estimate of future yields on long-term government bonds with a more realistic estimate produces an ROE estimate of 9.0</w:t>
      </w:r>
      <w:r w:rsidR="00221160">
        <w:t xml:space="preserve"> percent.  </w:t>
      </w:r>
    </w:p>
    <w:p w:rsidR="00976D49" w:rsidRDefault="00976D49" w:rsidP="002E7061">
      <w:pPr>
        <w:tabs>
          <w:tab w:val="left" w:pos="720"/>
          <w:tab w:val="left" w:pos="1440"/>
          <w:tab w:val="left" w:pos="9240"/>
        </w:tabs>
        <w:spacing w:line="480" w:lineRule="auto"/>
        <w:ind w:left="720" w:hanging="720"/>
      </w:pPr>
    </w:p>
    <w:p w:rsidR="00976D49" w:rsidRPr="00976D49" w:rsidRDefault="00976D49" w:rsidP="002E7061">
      <w:pPr>
        <w:tabs>
          <w:tab w:val="left" w:pos="720"/>
          <w:tab w:val="left" w:pos="1440"/>
          <w:tab w:val="left" w:pos="9240"/>
        </w:tabs>
        <w:spacing w:line="480" w:lineRule="auto"/>
        <w:ind w:left="720" w:hanging="720"/>
        <w:rPr>
          <w:b/>
        </w:rPr>
      </w:pPr>
      <w:r>
        <w:rPr>
          <w:b/>
        </w:rPr>
        <w:t>Q.</w:t>
      </w:r>
      <w:r>
        <w:rPr>
          <w:b/>
        </w:rPr>
        <w:tab/>
        <w:t>What conclusion do you reach with respect to Dr. Olson’s risk premium study?</w:t>
      </w:r>
    </w:p>
    <w:p w:rsidR="002E7061" w:rsidRDefault="00976D49" w:rsidP="002E7061">
      <w:pPr>
        <w:tabs>
          <w:tab w:val="left" w:pos="720"/>
          <w:tab w:val="left" w:pos="1440"/>
          <w:tab w:val="left" w:pos="9240"/>
        </w:tabs>
        <w:spacing w:line="480" w:lineRule="auto"/>
        <w:ind w:left="720" w:hanging="720"/>
      </w:pPr>
      <w:r>
        <w:t>A.</w:t>
      </w:r>
      <w:r>
        <w:tab/>
      </w:r>
      <w:r w:rsidR="00221160">
        <w:t>His</w:t>
      </w:r>
      <w:r>
        <w:t xml:space="preserve"> study significantly overstates the ROE estimate</w:t>
      </w:r>
      <w:r w:rsidR="00221160">
        <w:t xml:space="preserve"> due to his selective use of Ibbotson data</w:t>
      </w:r>
      <w:r>
        <w:t>.  It ignores relevant data</w:t>
      </w:r>
      <w:r w:rsidR="00A242E3">
        <w:t xml:space="preserve"> published by Ibbotson that is</w:t>
      </w:r>
      <w:r>
        <w:t xml:space="preserve"> </w:t>
      </w:r>
      <w:r w:rsidR="00E5537C">
        <w:t xml:space="preserve">readily available to investors.  In conclusion, Dr. Olson’s risk premium study </w:t>
      </w:r>
      <w:r w:rsidR="00221160">
        <w:t>should be rejected</w:t>
      </w:r>
      <w:r>
        <w:t xml:space="preserve"> by the Commission.</w:t>
      </w:r>
      <w:r w:rsidR="00837C5C">
        <w:t xml:space="preserve">  </w:t>
      </w:r>
    </w:p>
    <w:p w:rsidR="009D1062" w:rsidRDefault="009D1062" w:rsidP="009D1062">
      <w:pPr>
        <w:tabs>
          <w:tab w:val="left" w:pos="720"/>
          <w:tab w:val="left" w:pos="1440"/>
          <w:tab w:val="left" w:pos="9240"/>
        </w:tabs>
        <w:spacing w:line="480" w:lineRule="auto"/>
        <w:ind w:left="720" w:hanging="720"/>
      </w:pPr>
    </w:p>
    <w:p w:rsidR="009D1062" w:rsidRPr="00976D49" w:rsidRDefault="009D1062" w:rsidP="009D1062">
      <w:pPr>
        <w:tabs>
          <w:tab w:val="left" w:pos="720"/>
          <w:tab w:val="left" w:pos="1440"/>
          <w:tab w:val="left" w:pos="9240"/>
        </w:tabs>
        <w:spacing w:line="480" w:lineRule="auto"/>
        <w:ind w:left="720" w:hanging="720"/>
        <w:rPr>
          <w:b/>
        </w:rPr>
      </w:pPr>
      <w:r>
        <w:rPr>
          <w:b/>
        </w:rPr>
        <w:t>Q.</w:t>
      </w:r>
      <w:r>
        <w:rPr>
          <w:b/>
        </w:rPr>
        <w:tab/>
        <w:t>Do you have any final comments with respect to Dr. Olson’s risk premium study and the methodology in general?</w:t>
      </w:r>
    </w:p>
    <w:p w:rsidR="00221160" w:rsidRDefault="009D1062" w:rsidP="009D1062">
      <w:pPr>
        <w:tabs>
          <w:tab w:val="left" w:pos="720"/>
          <w:tab w:val="left" w:pos="1440"/>
          <w:tab w:val="left" w:pos="9240"/>
        </w:tabs>
        <w:spacing w:line="480" w:lineRule="auto"/>
        <w:ind w:left="720" w:hanging="720"/>
      </w:pPr>
      <w:r>
        <w:t>A.</w:t>
      </w:r>
      <w:r>
        <w:tab/>
        <w:t xml:space="preserve">Yes.  The Commission has seen similar studies in prior cases and evaluated evidence from opposing </w:t>
      </w:r>
      <w:r w:rsidR="003E321A">
        <w:t>experts</w:t>
      </w:r>
      <w:r>
        <w:t xml:space="preserve"> concerning Ibbotson </w:t>
      </w:r>
      <w:r w:rsidR="00E71E3D">
        <w:t xml:space="preserve">market </w:t>
      </w:r>
      <w:r>
        <w:t xml:space="preserve">data, arithmetic versus </w:t>
      </w:r>
      <w:r w:rsidR="00E5537C">
        <w:t>geometric</w:t>
      </w:r>
      <w:r>
        <w:t xml:space="preserve"> returns </w:t>
      </w:r>
      <w:r w:rsidR="00E5537C">
        <w:t>for calculating the market risk premium</w:t>
      </w:r>
      <w:r w:rsidR="003E321A">
        <w:t>,</w:t>
      </w:r>
      <w:r w:rsidR="00E5537C">
        <w:t xml:space="preserve"> </w:t>
      </w:r>
      <w:r>
        <w:t xml:space="preserve">and the correct base for adding the </w:t>
      </w:r>
      <w:r>
        <w:lastRenderedPageBreak/>
        <w:t xml:space="preserve">equity risk premium estimate.  I have been unable to find any order where </w:t>
      </w:r>
      <w:r w:rsidR="00E5537C">
        <w:t xml:space="preserve">the </w:t>
      </w:r>
      <w:r>
        <w:t xml:space="preserve">Commission determined the proper data </w:t>
      </w:r>
      <w:r w:rsidR="007C0127">
        <w:t xml:space="preserve">it will accept </w:t>
      </w:r>
      <w:r>
        <w:t xml:space="preserve">for purposes of how to apply </w:t>
      </w:r>
      <w:r w:rsidR="007C0127">
        <w:t>a</w:t>
      </w:r>
      <w:r>
        <w:t xml:space="preserve"> risk premium methodology.  </w:t>
      </w:r>
      <w:r w:rsidR="00E5537C">
        <w:t xml:space="preserve"> </w:t>
      </w:r>
    </w:p>
    <w:p w:rsidR="00221160" w:rsidRDefault="00221160" w:rsidP="009D1062">
      <w:pPr>
        <w:tabs>
          <w:tab w:val="left" w:pos="720"/>
          <w:tab w:val="left" w:pos="1440"/>
          <w:tab w:val="left" w:pos="9240"/>
        </w:tabs>
        <w:spacing w:line="480" w:lineRule="auto"/>
        <w:ind w:left="720" w:hanging="720"/>
      </w:pPr>
    </w:p>
    <w:p w:rsidR="00221160" w:rsidRDefault="00221160" w:rsidP="009D1062">
      <w:pPr>
        <w:tabs>
          <w:tab w:val="left" w:pos="720"/>
          <w:tab w:val="left" w:pos="1440"/>
          <w:tab w:val="left" w:pos="9240"/>
        </w:tabs>
        <w:spacing w:line="480" w:lineRule="auto"/>
        <w:ind w:left="720" w:hanging="720"/>
      </w:pPr>
      <w:r>
        <w:rPr>
          <w:b/>
        </w:rPr>
        <w:t>Q.</w:t>
      </w:r>
      <w:r>
        <w:rPr>
          <w:b/>
        </w:rPr>
        <w:tab/>
        <w:t>As a check on the DCF results</w:t>
      </w:r>
      <w:r w:rsidR="003E321A">
        <w:rPr>
          <w:b/>
        </w:rPr>
        <w:t>,</w:t>
      </w:r>
      <w:r>
        <w:rPr>
          <w:b/>
        </w:rPr>
        <w:t xml:space="preserve"> what conclusion do you reach based upon a risk premium study using Ibbotson data?</w:t>
      </w:r>
    </w:p>
    <w:p w:rsidR="009D1062" w:rsidRDefault="00221160" w:rsidP="009D1062">
      <w:pPr>
        <w:tabs>
          <w:tab w:val="left" w:pos="720"/>
          <w:tab w:val="left" w:pos="1440"/>
          <w:tab w:val="left" w:pos="9240"/>
        </w:tabs>
        <w:spacing w:line="480" w:lineRule="auto"/>
        <w:ind w:left="720" w:hanging="720"/>
      </w:pPr>
      <w:r>
        <w:t>A.</w:t>
      </w:r>
      <w:r>
        <w:tab/>
        <w:t xml:space="preserve">As a check, the Ibbotson data, </w:t>
      </w:r>
      <w:r w:rsidR="00E71E3D">
        <w:t xml:space="preserve">if </w:t>
      </w:r>
      <w:r>
        <w:t xml:space="preserve">applied </w:t>
      </w:r>
      <w:r w:rsidR="007C0127">
        <w:t xml:space="preserve">uniformly and </w:t>
      </w:r>
      <w:r w:rsidR="00C60BEF">
        <w:t>completely</w:t>
      </w:r>
      <w:r>
        <w:t xml:space="preserve">, supports my </w:t>
      </w:r>
      <w:r w:rsidR="00882BD2">
        <w:t>conclusion</w:t>
      </w:r>
      <w:r>
        <w:t xml:space="preserve"> that</w:t>
      </w:r>
      <w:r w:rsidR="00882BD2">
        <w:t xml:space="preserve"> a ROE of </w:t>
      </w:r>
      <w:r>
        <w:t>9.5 percent is a reasonable.</w:t>
      </w:r>
      <w:r w:rsidR="00837C5C">
        <w:t xml:space="preserve">  That data show</w:t>
      </w:r>
      <w:r w:rsidR="00132582">
        <w:t>ing</w:t>
      </w:r>
      <w:r w:rsidR="00837C5C">
        <w:t xml:space="preserve"> an estimated Treasury bond yield of 4.50 percent with an equity risk premium of 4.50 to 5.00 percent suggests that an ROE of </w:t>
      </w:r>
      <w:r w:rsidR="00C60BEF">
        <w:t xml:space="preserve">9.00 to </w:t>
      </w:r>
      <w:r w:rsidR="00837C5C">
        <w:t>9.50 percent is fair.</w:t>
      </w:r>
    </w:p>
    <w:p w:rsidR="00476891" w:rsidRDefault="00476891" w:rsidP="00A11C89">
      <w:pPr>
        <w:tabs>
          <w:tab w:val="left" w:pos="720"/>
          <w:tab w:val="left" w:pos="1440"/>
          <w:tab w:val="left" w:pos="9240"/>
        </w:tabs>
        <w:spacing w:line="480" w:lineRule="auto"/>
        <w:ind w:left="720" w:hanging="720"/>
      </w:pPr>
    </w:p>
    <w:p w:rsidR="00476891" w:rsidRPr="00B01B43" w:rsidRDefault="00476891" w:rsidP="00476891">
      <w:pPr>
        <w:tabs>
          <w:tab w:val="left" w:pos="720"/>
          <w:tab w:val="left" w:pos="1440"/>
          <w:tab w:val="left" w:pos="9240"/>
        </w:tabs>
        <w:spacing w:line="480" w:lineRule="auto"/>
        <w:ind w:left="720" w:hanging="720"/>
        <w:rPr>
          <w:b/>
        </w:rPr>
      </w:pPr>
      <w:r w:rsidRPr="00B01B43">
        <w:rPr>
          <w:b/>
        </w:rPr>
        <w:t>Q.</w:t>
      </w:r>
      <w:r w:rsidRPr="00B01B43">
        <w:rPr>
          <w:b/>
        </w:rPr>
        <w:tab/>
        <w:t xml:space="preserve">Dr. Olson </w:t>
      </w:r>
      <w:r>
        <w:rPr>
          <w:b/>
        </w:rPr>
        <w:t xml:space="preserve">also </w:t>
      </w:r>
      <w:r w:rsidRPr="00B01B43">
        <w:rPr>
          <w:b/>
        </w:rPr>
        <w:t xml:space="preserve">presented a </w:t>
      </w:r>
      <w:r>
        <w:rPr>
          <w:b/>
        </w:rPr>
        <w:t xml:space="preserve">CAPM </w:t>
      </w:r>
      <w:r w:rsidRPr="00B01B43">
        <w:rPr>
          <w:b/>
        </w:rPr>
        <w:t>study.   What comments do you have with respect to it?</w:t>
      </w:r>
    </w:p>
    <w:p w:rsidR="00D95A82" w:rsidRDefault="00476891" w:rsidP="00476891">
      <w:pPr>
        <w:tabs>
          <w:tab w:val="left" w:pos="720"/>
          <w:tab w:val="left" w:pos="1440"/>
          <w:tab w:val="left" w:pos="9240"/>
        </w:tabs>
        <w:spacing w:line="480" w:lineRule="auto"/>
        <w:ind w:left="720" w:hanging="720"/>
      </w:pPr>
      <w:r w:rsidRPr="00B01B43">
        <w:t>A.</w:t>
      </w:r>
      <w:r w:rsidRPr="00B01B43">
        <w:tab/>
      </w:r>
      <w:r>
        <w:t>I have the same concerns as just mentioned with his r</w:t>
      </w:r>
      <w:r w:rsidR="00882BD2">
        <w:t xml:space="preserve">isk premium study.  The use of </w:t>
      </w:r>
      <w:r>
        <w:t xml:space="preserve">11.8% market return is </w:t>
      </w:r>
      <w:r w:rsidR="00B05604">
        <w:t>aggressive and highly unlikely as the forecasted government bond yield.  Both data</w:t>
      </w:r>
      <w:r w:rsidR="00FE11DA">
        <w:t xml:space="preserve"> points overstate</w:t>
      </w:r>
      <w:r w:rsidR="00B05604">
        <w:t xml:space="preserve"> the estimate.  </w:t>
      </w:r>
      <w:r>
        <w:t xml:space="preserve">Finally, this data show why Dr. Olson and I both do not advocate </w:t>
      </w:r>
      <w:r w:rsidR="00A91D51">
        <w:t>CAPM</w:t>
      </w:r>
      <w:r>
        <w:t xml:space="preserve"> as a reliable tool for estimating ROE: </w:t>
      </w:r>
      <w:r w:rsidR="00736204">
        <w:t xml:space="preserve"> </w:t>
      </w:r>
      <w:r>
        <w:t xml:space="preserve">the results are too dependent on </w:t>
      </w:r>
      <w:r w:rsidR="00736204">
        <w:t>T</w:t>
      </w:r>
      <w:r>
        <w:t>reasury securities and estimates of future market returns</w:t>
      </w:r>
      <w:r w:rsidR="00D95A82">
        <w:t>.</w:t>
      </w:r>
    </w:p>
    <w:p w:rsidR="00B51671" w:rsidRDefault="00B51671" w:rsidP="00476891">
      <w:pPr>
        <w:tabs>
          <w:tab w:val="left" w:pos="720"/>
          <w:tab w:val="left" w:pos="1440"/>
          <w:tab w:val="left" w:pos="9240"/>
        </w:tabs>
        <w:spacing w:line="480" w:lineRule="auto"/>
        <w:ind w:left="720" w:hanging="720"/>
      </w:pPr>
    </w:p>
    <w:p w:rsidR="00837C5C" w:rsidRDefault="00837C5C" w:rsidP="00B51671">
      <w:pPr>
        <w:keepNext/>
        <w:tabs>
          <w:tab w:val="left" w:pos="720"/>
          <w:tab w:val="left" w:pos="1440"/>
          <w:tab w:val="left" w:pos="9240"/>
        </w:tabs>
        <w:spacing w:line="480" w:lineRule="auto"/>
        <w:ind w:left="720" w:hanging="720"/>
        <w:jc w:val="center"/>
        <w:rPr>
          <w:b/>
        </w:rPr>
      </w:pPr>
    </w:p>
    <w:p w:rsidR="008653F7" w:rsidRDefault="00132582" w:rsidP="00B51671">
      <w:pPr>
        <w:keepNext/>
        <w:tabs>
          <w:tab w:val="left" w:pos="720"/>
          <w:tab w:val="left" w:pos="1440"/>
          <w:tab w:val="left" w:pos="9240"/>
        </w:tabs>
        <w:spacing w:line="480" w:lineRule="auto"/>
        <w:ind w:left="720" w:hanging="720"/>
        <w:jc w:val="center"/>
        <w:rPr>
          <w:b/>
        </w:rPr>
      </w:pPr>
      <w:r>
        <w:rPr>
          <w:b/>
        </w:rPr>
        <w:t>IV</w:t>
      </w:r>
      <w:r w:rsidR="009C7A0F">
        <w:rPr>
          <w:b/>
        </w:rPr>
        <w:t>.</w:t>
      </w:r>
      <w:r w:rsidR="009C7A0F">
        <w:rPr>
          <w:b/>
        </w:rPr>
        <w:tab/>
      </w:r>
      <w:r w:rsidR="008653F7">
        <w:rPr>
          <w:b/>
        </w:rPr>
        <w:t xml:space="preserve">ATTRITION </w:t>
      </w:r>
    </w:p>
    <w:p w:rsidR="0029071F" w:rsidRDefault="0029071F" w:rsidP="00B51671">
      <w:pPr>
        <w:keepNext/>
        <w:tabs>
          <w:tab w:val="left" w:pos="720"/>
          <w:tab w:val="left" w:pos="1440"/>
          <w:tab w:val="left" w:pos="9240"/>
        </w:tabs>
        <w:spacing w:line="480" w:lineRule="auto"/>
        <w:ind w:left="720" w:hanging="720"/>
        <w:jc w:val="center"/>
      </w:pPr>
    </w:p>
    <w:p w:rsidR="0029071F" w:rsidRPr="00B53490" w:rsidRDefault="0029071F" w:rsidP="00B51671">
      <w:pPr>
        <w:pStyle w:val="ListParagraph"/>
        <w:keepNext/>
        <w:numPr>
          <w:ilvl w:val="0"/>
          <w:numId w:val="30"/>
        </w:numPr>
        <w:tabs>
          <w:tab w:val="left" w:pos="720"/>
          <w:tab w:val="left" w:pos="1440"/>
          <w:tab w:val="left" w:pos="9240"/>
        </w:tabs>
        <w:spacing w:line="480" w:lineRule="auto"/>
        <w:ind w:left="720" w:hanging="720"/>
        <w:contextualSpacing/>
        <w:rPr>
          <w:b/>
        </w:rPr>
      </w:pPr>
      <w:r w:rsidRPr="00B53490">
        <w:rPr>
          <w:b/>
        </w:rPr>
        <w:t>Definition of Attrition</w:t>
      </w:r>
      <w:r>
        <w:rPr>
          <w:b/>
        </w:rPr>
        <w:t xml:space="preserve"> and Commission </w:t>
      </w:r>
      <w:r w:rsidRPr="00B53490">
        <w:rPr>
          <w:b/>
        </w:rPr>
        <w:t>Precedent for Attrition Adjustments</w:t>
      </w:r>
    </w:p>
    <w:p w:rsidR="0029071F" w:rsidRPr="00B53490" w:rsidRDefault="0029071F" w:rsidP="0029071F">
      <w:pPr>
        <w:pStyle w:val="ListParagraph"/>
        <w:tabs>
          <w:tab w:val="left" w:pos="720"/>
          <w:tab w:val="left" w:pos="1440"/>
          <w:tab w:val="left" w:pos="9240"/>
        </w:tabs>
        <w:spacing w:line="480" w:lineRule="auto"/>
        <w:ind w:left="1080"/>
        <w:rPr>
          <w:b/>
        </w:rPr>
      </w:pPr>
    </w:p>
    <w:p w:rsidR="0029071F" w:rsidRDefault="0029071F" w:rsidP="0029071F">
      <w:pPr>
        <w:pStyle w:val="BodyTextIndent"/>
        <w:rPr>
          <w:b/>
        </w:rPr>
      </w:pPr>
      <w:r>
        <w:rPr>
          <w:b/>
        </w:rPr>
        <w:t>Q.</w:t>
      </w:r>
      <w:r>
        <w:rPr>
          <w:b/>
        </w:rPr>
        <w:tab/>
        <w:t>Does PSE raise the issue of attrition?</w:t>
      </w:r>
    </w:p>
    <w:p w:rsidR="0029071F" w:rsidRDefault="0029071F" w:rsidP="0029071F">
      <w:pPr>
        <w:pStyle w:val="BodyTextIndent"/>
      </w:pPr>
      <w:r>
        <w:t>A.</w:t>
      </w:r>
      <w:r>
        <w:tab/>
        <w:t xml:space="preserve">Yes.  PSE raises this issue in the direct testimony of Mr. Gaines and Dr. Olson who present comparisons of </w:t>
      </w:r>
      <w:r w:rsidRPr="007C3714">
        <w:t>actual (per books) returns</w:t>
      </w:r>
      <w:r>
        <w:t xml:space="preserve"> on equity with “authorized” returns on equity.</w:t>
      </w:r>
      <w:r w:rsidRPr="00B937C3">
        <w:t xml:space="preserve"> </w:t>
      </w:r>
      <w:r>
        <w:t xml:space="preserve"> Mr. Gaines asserts that PSE has under-earned </w:t>
      </w:r>
      <w:proofErr w:type="gramStart"/>
      <w:r>
        <w:t>its</w:t>
      </w:r>
      <w:proofErr w:type="gramEnd"/>
      <w:r>
        <w:t xml:space="preserve"> authorized ROE in 2007 and that the trend has been downward ever since.  His time series of data shows an ROE of 9.1 percent in 2007, falling to an adjusted 6.4 percent in 2010.</w:t>
      </w:r>
      <w:r>
        <w:rPr>
          <w:rStyle w:val="FootnoteReference"/>
        </w:rPr>
        <w:footnoteReference w:id="50"/>
      </w:r>
      <w:r>
        <w:t xml:space="preserve">  Dr. Olson then alleges that this earnings short-fall for PSE is attrition.</w:t>
      </w:r>
      <w:r>
        <w:rPr>
          <w:rStyle w:val="FootnoteReference"/>
        </w:rPr>
        <w:footnoteReference w:id="51"/>
      </w:r>
    </w:p>
    <w:p w:rsidR="0029071F" w:rsidRDefault="0029071F" w:rsidP="0029071F">
      <w:pPr>
        <w:pStyle w:val="BodyTextIndent"/>
      </w:pPr>
    </w:p>
    <w:p w:rsidR="0029071F" w:rsidRDefault="0029071F" w:rsidP="0029071F">
      <w:pPr>
        <w:pStyle w:val="BodyTextIndent"/>
        <w:rPr>
          <w:b/>
        </w:rPr>
      </w:pPr>
      <w:r>
        <w:rPr>
          <w:b/>
        </w:rPr>
        <w:t>Q.</w:t>
      </w:r>
      <w:r>
        <w:rPr>
          <w:b/>
        </w:rPr>
        <w:tab/>
        <w:t>What specific remedies does PSE propose to address the alleged attrition in this case?</w:t>
      </w:r>
    </w:p>
    <w:p w:rsidR="0029071F" w:rsidRDefault="0029071F" w:rsidP="0029071F">
      <w:pPr>
        <w:pStyle w:val="BodyTextIndent"/>
      </w:pPr>
      <w:r>
        <w:t>A.</w:t>
      </w:r>
      <w:r>
        <w:tab/>
        <w:t>In response to Staff Data Request No. 83 PSE identifies its remedies as:</w:t>
      </w:r>
    </w:p>
    <w:p w:rsidR="0029071F" w:rsidRDefault="0029071F" w:rsidP="0029071F">
      <w:pPr>
        <w:pStyle w:val="BodyTextIndent"/>
        <w:numPr>
          <w:ilvl w:val="0"/>
          <w:numId w:val="28"/>
        </w:numPr>
      </w:pPr>
      <w:r>
        <w:t>an increase in its ROE from 10.1% to 10.8% ROE;</w:t>
      </w:r>
    </w:p>
    <w:p w:rsidR="0029071F" w:rsidRDefault="0029071F" w:rsidP="0029071F">
      <w:pPr>
        <w:pStyle w:val="BodyTextIndent"/>
        <w:numPr>
          <w:ilvl w:val="0"/>
          <w:numId w:val="28"/>
        </w:numPr>
      </w:pPr>
      <w:r>
        <w:t>an increase in its equity ratio from 46% to 48%;</w:t>
      </w:r>
      <w:r w:rsidR="007564C3">
        <w:t xml:space="preserve"> and</w:t>
      </w:r>
    </w:p>
    <w:p w:rsidR="0029071F" w:rsidRDefault="0029071F" w:rsidP="007564C3">
      <w:pPr>
        <w:pStyle w:val="BodyTextIndent"/>
        <w:numPr>
          <w:ilvl w:val="0"/>
          <w:numId w:val="28"/>
        </w:numPr>
      </w:pPr>
      <w:r>
        <w:t xml:space="preserve">the proposed </w:t>
      </w:r>
      <w:r w:rsidR="003B0F05">
        <w:t>C</w:t>
      </w:r>
      <w:r>
        <w:t xml:space="preserve">onservation </w:t>
      </w:r>
      <w:r w:rsidR="003B0F05">
        <w:t>S</w:t>
      </w:r>
      <w:r>
        <w:t xml:space="preserve">avings </w:t>
      </w:r>
      <w:r w:rsidR="003B0F05">
        <w:t>A</w:t>
      </w:r>
      <w:r>
        <w:t>djustment mechanism</w:t>
      </w:r>
      <w:r w:rsidR="007564C3">
        <w:t>.</w:t>
      </w:r>
    </w:p>
    <w:p w:rsidR="00C60BEF" w:rsidRDefault="00C60BEF" w:rsidP="0029071F">
      <w:pPr>
        <w:pStyle w:val="BodyTextIndent"/>
        <w:rPr>
          <w:b/>
        </w:rPr>
      </w:pPr>
    </w:p>
    <w:p w:rsidR="0029071F" w:rsidRPr="00655029" w:rsidRDefault="0029071F" w:rsidP="00B51671">
      <w:pPr>
        <w:pStyle w:val="BodyTextIndent"/>
        <w:keepNext/>
        <w:rPr>
          <w:b/>
        </w:rPr>
      </w:pPr>
      <w:r>
        <w:rPr>
          <w:b/>
        </w:rPr>
        <w:lastRenderedPageBreak/>
        <w:t>Q.</w:t>
      </w:r>
      <w:r>
        <w:rPr>
          <w:b/>
        </w:rPr>
        <w:tab/>
        <w:t>What is attrition?</w:t>
      </w:r>
    </w:p>
    <w:p w:rsidR="0029071F" w:rsidRDefault="0029071F" w:rsidP="0029071F">
      <w:pPr>
        <w:pStyle w:val="BodyTextIndent"/>
      </w:pPr>
      <w:r>
        <w:t>A.</w:t>
      </w:r>
      <w:r>
        <w:tab/>
        <w:t>The term typically is used to refer the erosion of a company’s rate of return over time when the historical test period relationship in revenues, expenses and rate base accepted by the Commission in a rate case does not hold during a future rate year.  This erosion deprives the utility an opportunity to earn a fair rate of return.  However, there are circumstances where a change in the test year relationships of revenues, expenses and rate base provides the utility an opportunity to earn more than a fair rate of return.  This would be positive attrition.</w:t>
      </w:r>
    </w:p>
    <w:p w:rsidR="0029071F" w:rsidRDefault="0029071F" w:rsidP="0029071F">
      <w:pPr>
        <w:pStyle w:val="BodyTextIndent"/>
        <w:rPr>
          <w:b/>
        </w:rPr>
      </w:pPr>
    </w:p>
    <w:p w:rsidR="0029071F" w:rsidRDefault="0029071F" w:rsidP="0029071F">
      <w:pPr>
        <w:pStyle w:val="BodyTextIndent"/>
      </w:pPr>
      <w:r>
        <w:rPr>
          <w:b/>
        </w:rPr>
        <w:t>Q.</w:t>
      </w:r>
      <w:r>
        <w:rPr>
          <w:b/>
        </w:rPr>
        <w:tab/>
        <w:t xml:space="preserve">When did the </w:t>
      </w:r>
      <w:r w:rsidR="000D4A16">
        <w:rPr>
          <w:b/>
        </w:rPr>
        <w:t xml:space="preserve">attrition </w:t>
      </w:r>
      <w:r>
        <w:rPr>
          <w:b/>
        </w:rPr>
        <w:t>issue first present itself in Washington?</w:t>
      </w:r>
    </w:p>
    <w:p w:rsidR="0029071F" w:rsidRDefault="0029071F" w:rsidP="0029071F">
      <w:pPr>
        <w:pStyle w:val="BodyTextIndent"/>
      </w:pPr>
      <w:r>
        <w:t>A.</w:t>
      </w:r>
      <w:r>
        <w:tab/>
        <w:t xml:space="preserve">Based on my review of prior Commission orders, the issue first arose in the early1970’s.  While the Commission initially did not call it “attrition”, the issue at that time was the disparate growth in rate base and operating income in the rate year from test period relationships.  </w:t>
      </w:r>
    </w:p>
    <w:p w:rsidR="0029071F" w:rsidRDefault="0029071F" w:rsidP="0029071F">
      <w:pPr>
        <w:pStyle w:val="BodyTextIndent"/>
      </w:pPr>
    </w:p>
    <w:p w:rsidR="0029071F" w:rsidRDefault="0029071F" w:rsidP="0029071F">
      <w:pPr>
        <w:pStyle w:val="BodyTextIndent"/>
        <w:rPr>
          <w:b/>
        </w:rPr>
      </w:pPr>
      <w:r>
        <w:rPr>
          <w:b/>
        </w:rPr>
        <w:t>Q.</w:t>
      </w:r>
      <w:r>
        <w:rPr>
          <w:b/>
        </w:rPr>
        <w:tab/>
        <w:t>What remedies did utilities propose during that time frame to address earnings erosion due to growing infrastructure investments?</w:t>
      </w:r>
    </w:p>
    <w:p w:rsidR="0029071F" w:rsidRDefault="0029071F" w:rsidP="0029071F">
      <w:pPr>
        <w:pStyle w:val="BodyTextIndent"/>
      </w:pPr>
      <w:r>
        <w:t>A.</w:t>
      </w:r>
      <w:r>
        <w:tab/>
        <w:t xml:space="preserve">The Commission was presented with proposals by utilities to use end-of-period balances in net plant to determine rate base.  In Cause No. U-73-57, Puget Sound Power &amp; Light Company (“Puget”) proposed that its rate base be calculated on the basis of end-of-period balances to account for what Puget asserted was a changed relationship between test year and rate year investments.  </w:t>
      </w:r>
    </w:p>
    <w:p w:rsidR="0029071F" w:rsidRDefault="0029071F" w:rsidP="0029071F">
      <w:pPr>
        <w:pStyle w:val="BodyTextIndent"/>
      </w:pPr>
    </w:p>
    <w:p w:rsidR="0029071F" w:rsidRPr="00B53490" w:rsidRDefault="0029071F" w:rsidP="0029071F">
      <w:pPr>
        <w:pStyle w:val="BodyTextIndent"/>
        <w:rPr>
          <w:b/>
        </w:rPr>
      </w:pPr>
      <w:r w:rsidRPr="00B53490">
        <w:rPr>
          <w:b/>
        </w:rPr>
        <w:lastRenderedPageBreak/>
        <w:t>Q.</w:t>
      </w:r>
      <w:r w:rsidRPr="00B53490">
        <w:rPr>
          <w:b/>
        </w:rPr>
        <w:tab/>
        <w:t>What di</w:t>
      </w:r>
      <w:r w:rsidRPr="00737E39">
        <w:rPr>
          <w:b/>
        </w:rPr>
        <w:t xml:space="preserve">d the Commission decide for </w:t>
      </w:r>
      <w:r>
        <w:rPr>
          <w:b/>
        </w:rPr>
        <w:t xml:space="preserve">Puget’s </w:t>
      </w:r>
      <w:r w:rsidRPr="00B53490">
        <w:rPr>
          <w:b/>
        </w:rPr>
        <w:t>proposal</w:t>
      </w:r>
      <w:r>
        <w:rPr>
          <w:b/>
        </w:rPr>
        <w:t>?</w:t>
      </w:r>
    </w:p>
    <w:p w:rsidR="0029071F" w:rsidRDefault="0029071F" w:rsidP="0029071F">
      <w:pPr>
        <w:pStyle w:val="BodyTextIndent"/>
      </w:pPr>
      <w:r>
        <w:t>A.</w:t>
      </w:r>
      <w:r w:rsidDel="00B53490">
        <w:t xml:space="preserve"> </w:t>
      </w:r>
      <w:r>
        <w:tab/>
        <w:t xml:space="preserve">The Commission did not accept Puget’s proposal for end-of-period rate base treatment.  However, it stated, </w:t>
      </w:r>
    </w:p>
    <w:p w:rsidR="0029071F" w:rsidRDefault="0029071F" w:rsidP="0029071F">
      <w:pPr>
        <w:pStyle w:val="BodyTextIndent"/>
        <w:spacing w:line="240" w:lineRule="auto"/>
        <w:ind w:left="1440" w:firstLine="0"/>
      </w:pPr>
      <w:r>
        <w:t>[The Commission] has not, however, discounted the validity of year-end rate base where special conditions exist, such as unusual growth in plant at a faster pace than customer growth and customary rate-making treatment is deficient.  When a special condition is presented and shown to warrant year-end rate base treatment, consideration should be given to the revenue producing capabilities of plant added at the end, or near the end, of the test period.</w:t>
      </w:r>
      <w:r>
        <w:rPr>
          <w:rStyle w:val="FootnoteReference"/>
        </w:rPr>
        <w:footnoteReference w:id="52"/>
      </w:r>
    </w:p>
    <w:p w:rsidR="0029071F" w:rsidRDefault="0029071F" w:rsidP="0029071F">
      <w:pPr>
        <w:pStyle w:val="BodyTextIndent"/>
      </w:pPr>
    </w:p>
    <w:p w:rsidR="005E30F2" w:rsidRDefault="005E30F2" w:rsidP="0029071F">
      <w:pPr>
        <w:pStyle w:val="BodyTextIndent"/>
        <w:rPr>
          <w:b/>
        </w:rPr>
      </w:pPr>
      <w:r>
        <w:rPr>
          <w:b/>
        </w:rPr>
        <w:t>Q.</w:t>
      </w:r>
      <w:r>
        <w:rPr>
          <w:b/>
        </w:rPr>
        <w:tab/>
      </w:r>
      <w:r w:rsidR="007564C3">
        <w:rPr>
          <w:b/>
        </w:rPr>
        <w:t>In w</w:t>
      </w:r>
      <w:r>
        <w:rPr>
          <w:b/>
        </w:rPr>
        <w:t>hat other cases did the Commission consider end-of-period rate base and what did it decide with respect to its use?</w:t>
      </w:r>
    </w:p>
    <w:p w:rsidR="005E30F2" w:rsidRDefault="005E30F2" w:rsidP="0029071F">
      <w:pPr>
        <w:pStyle w:val="BodyTextIndent"/>
      </w:pPr>
      <w:r>
        <w:t>A.</w:t>
      </w:r>
      <w:r>
        <w:tab/>
        <w:t>In Cause No. U-80-25</w:t>
      </w:r>
      <w:r w:rsidR="007564C3">
        <w:t>,</w:t>
      </w:r>
      <w:r w:rsidR="00DF7A6E">
        <w:t xml:space="preserve"> Washington Natural Gas Company (“WNG”) proposed end-of-period rate base to improve the prospects of it earning its allowed rate of return.</w:t>
      </w:r>
      <w:r w:rsidR="00DF7A6E">
        <w:rPr>
          <w:rStyle w:val="FootnoteReference"/>
        </w:rPr>
        <w:footnoteReference w:id="53"/>
      </w:r>
      <w:r w:rsidR="00DF7A6E">
        <w:t xml:space="preserve">  The Commission rejected the proposal due to WNG’s failure to adequately demonstrate the validity of the remedy.</w:t>
      </w:r>
      <w:r w:rsidR="00DF7A6E">
        <w:rPr>
          <w:rStyle w:val="FootnoteReference"/>
        </w:rPr>
        <w:footnoteReference w:id="54"/>
      </w:r>
      <w:r w:rsidR="00DF7A6E">
        <w:t xml:space="preserve">  However, the Commission did state</w:t>
      </w:r>
      <w:r w:rsidR="007564C3">
        <w:t xml:space="preserve"> that it</w:t>
      </w:r>
      <w:r w:rsidR="00DF7A6E">
        <w:t xml:space="preserve">, </w:t>
      </w:r>
    </w:p>
    <w:p w:rsidR="00DF7A6E" w:rsidRPr="005E30F2" w:rsidRDefault="007564C3" w:rsidP="00BC1FAB">
      <w:pPr>
        <w:pStyle w:val="BodyTextIndent"/>
        <w:spacing w:line="240" w:lineRule="auto"/>
        <w:ind w:left="1440" w:firstLine="0"/>
      </w:pPr>
      <w:r>
        <w:t>[C]</w:t>
      </w:r>
      <w:proofErr w:type="spellStart"/>
      <w:r w:rsidR="00DF7A6E">
        <w:t>ontinues</w:t>
      </w:r>
      <w:proofErr w:type="spellEnd"/>
      <w:r w:rsidR="00DF7A6E">
        <w:t xml:space="preserve"> to be concerned about the need of utilities to deal with regulatory lag and inflation; …</w:t>
      </w:r>
      <w:r>
        <w:t xml:space="preserve">[The Commission] </w:t>
      </w:r>
      <w:r w:rsidR="00DF7A6E">
        <w:t xml:space="preserve">will be receptive in dealing with future </w:t>
      </w:r>
      <w:r w:rsidR="00007000">
        <w:t>cases</w:t>
      </w:r>
      <w:r w:rsidR="00DF7A6E">
        <w:t xml:space="preserve"> to well-reasoned, supportable mechanisms to address these concerns, recognizing that the adoption of such mechanisms would require verifiable evidence of their validity and propriety.</w:t>
      </w:r>
      <w:r w:rsidR="00DF7A6E">
        <w:rPr>
          <w:rStyle w:val="FootnoteReference"/>
        </w:rPr>
        <w:footnoteReference w:id="55"/>
      </w:r>
    </w:p>
    <w:p w:rsidR="005E30F2" w:rsidRDefault="005E30F2" w:rsidP="0029071F">
      <w:pPr>
        <w:pStyle w:val="BodyTextIndent"/>
        <w:rPr>
          <w:b/>
        </w:rPr>
      </w:pPr>
    </w:p>
    <w:p w:rsidR="0029071F" w:rsidRDefault="0029071F" w:rsidP="0029071F">
      <w:pPr>
        <w:pStyle w:val="BodyTextIndent"/>
        <w:rPr>
          <w:b/>
        </w:rPr>
      </w:pPr>
      <w:r>
        <w:rPr>
          <w:b/>
        </w:rPr>
        <w:t>Q.</w:t>
      </w:r>
      <w:r>
        <w:rPr>
          <w:b/>
        </w:rPr>
        <w:tab/>
        <w:t xml:space="preserve">Has the Commission ever accepted end-of-period balances for </w:t>
      </w:r>
      <w:r w:rsidRPr="008059A0">
        <w:rPr>
          <w:b/>
        </w:rPr>
        <w:t>rate</w:t>
      </w:r>
      <w:r>
        <w:rPr>
          <w:b/>
        </w:rPr>
        <w:t xml:space="preserve"> base to cope with growing investments, rising costs and regulatory lag?</w:t>
      </w:r>
    </w:p>
    <w:p w:rsidR="0029071F" w:rsidRDefault="0029071F" w:rsidP="0029071F">
      <w:pPr>
        <w:pStyle w:val="BodyTextIndent"/>
      </w:pPr>
      <w:r>
        <w:lastRenderedPageBreak/>
        <w:t>A.</w:t>
      </w:r>
      <w:r>
        <w:tab/>
        <w:t xml:space="preserve">Yes. </w:t>
      </w:r>
      <w:r w:rsidR="007564C3">
        <w:t xml:space="preserve"> </w:t>
      </w:r>
      <w:r>
        <w:t xml:space="preserve">In Cause No. U-80-111, the Commission accepted this treatment as proposed by </w:t>
      </w:r>
      <w:r w:rsidR="00DF7A6E">
        <w:t>WNG</w:t>
      </w:r>
      <w:r>
        <w:t>.  The Commission found that WNG was being impacted by inflation, rising investments, declining revenues due to rising prices of natural gas, and regulatory lag.  However, in accepting end-of-period rate base the Commission also accepted the study submitted by WNG showing adjustments to its entire operations to capture end-of-period effects.</w:t>
      </w:r>
      <w:r w:rsidRPr="00C556F4">
        <w:t xml:space="preserve"> </w:t>
      </w:r>
      <w:r>
        <w:t xml:space="preserve"> There have been no other circumstances where this treatment has been accepted by the Commission.</w:t>
      </w:r>
    </w:p>
    <w:p w:rsidR="0029071F" w:rsidRDefault="0029071F" w:rsidP="0029071F">
      <w:pPr>
        <w:pStyle w:val="BodyTextIndent"/>
      </w:pPr>
    </w:p>
    <w:p w:rsidR="0029071F" w:rsidRPr="00C556F4" w:rsidRDefault="0029071F" w:rsidP="0029071F">
      <w:pPr>
        <w:pStyle w:val="BodyTextIndent"/>
        <w:rPr>
          <w:b/>
        </w:rPr>
      </w:pPr>
      <w:r>
        <w:rPr>
          <w:b/>
        </w:rPr>
        <w:t>Q.</w:t>
      </w:r>
      <w:r>
        <w:rPr>
          <w:b/>
        </w:rPr>
        <w:tab/>
        <w:t>What other remedies did utilities propose during that time frame to address earnings erosion due to growing infrastructure investments?</w:t>
      </w:r>
    </w:p>
    <w:p w:rsidR="0029071F" w:rsidRDefault="0029071F" w:rsidP="007564C3">
      <w:pPr>
        <w:pStyle w:val="BodyTextIndent"/>
      </w:pPr>
      <w:r>
        <w:t>A.</w:t>
      </w:r>
      <w:r>
        <w:tab/>
        <w:t>The Commission began considering proposals to include construction work in progress (“CWIP”) in rate base.  If a utility could show that the result of its new construction amounted to a “dramatic” percentage of net plant, the Commission included CWIP in rate base.</w:t>
      </w:r>
      <w:r>
        <w:rPr>
          <w:rStyle w:val="FootnoteReference"/>
        </w:rPr>
        <w:footnoteReference w:id="56"/>
      </w:r>
      <w:r>
        <w:t xml:space="preserve">  The Commission’s objective in accepting CWIP in the calculation of rate base was to ensure the financial integrity of the utilities.  It is worth noting the similarity in circumstances then and those underlying PSE’s alleged attrition today:  increasing rate base not offset by a corresponding increase in revenue.</w:t>
      </w:r>
      <w:r>
        <w:rPr>
          <w:rStyle w:val="FootnoteReference"/>
        </w:rPr>
        <w:footnoteReference w:id="57"/>
      </w:r>
    </w:p>
    <w:p w:rsidR="0029071F" w:rsidRDefault="0029071F" w:rsidP="0029071F">
      <w:pPr>
        <w:pStyle w:val="BodyTextIndent"/>
      </w:pPr>
    </w:p>
    <w:p w:rsidR="0029071F" w:rsidRPr="00C556F4" w:rsidRDefault="0029071F" w:rsidP="0029071F">
      <w:pPr>
        <w:pStyle w:val="BodyTextIndent"/>
        <w:rPr>
          <w:b/>
        </w:rPr>
      </w:pPr>
      <w:r>
        <w:rPr>
          <w:b/>
        </w:rPr>
        <w:t>Q.</w:t>
      </w:r>
      <w:r>
        <w:rPr>
          <w:b/>
        </w:rPr>
        <w:tab/>
        <w:t>In addition to including CWIP in rate base, what other proposals were considered by the Commission to deal with attrition?</w:t>
      </w:r>
    </w:p>
    <w:p w:rsidR="0029071F" w:rsidRDefault="0029071F" w:rsidP="0029071F">
      <w:pPr>
        <w:pStyle w:val="BodyTextIndent"/>
      </w:pPr>
      <w:r>
        <w:lastRenderedPageBreak/>
        <w:t>A.</w:t>
      </w:r>
      <w:r>
        <w:tab/>
        <w:t xml:space="preserve">Later, in the early 1980’s, as the impact of inflation became an additional problem for utilities, the Commission considered specific attrition adjustments in addition to including CWIP in rate base.  </w:t>
      </w:r>
    </w:p>
    <w:p w:rsidR="0029071F" w:rsidRDefault="0029071F" w:rsidP="0029071F">
      <w:pPr>
        <w:pStyle w:val="BodyTextIndent"/>
      </w:pPr>
    </w:p>
    <w:p w:rsidR="0029071F" w:rsidRPr="00C556F4" w:rsidRDefault="0029071F" w:rsidP="0029071F">
      <w:pPr>
        <w:pStyle w:val="BodyTextIndent"/>
        <w:rPr>
          <w:b/>
        </w:rPr>
      </w:pPr>
      <w:r>
        <w:rPr>
          <w:b/>
        </w:rPr>
        <w:t>Q.</w:t>
      </w:r>
      <w:r>
        <w:rPr>
          <w:b/>
        </w:rPr>
        <w:tab/>
        <w:t>How is an attrition adjustment calculated?</w:t>
      </w:r>
    </w:p>
    <w:p w:rsidR="0029071F" w:rsidRDefault="0029071F" w:rsidP="0029071F">
      <w:pPr>
        <w:pStyle w:val="BodyTextIndent"/>
      </w:pPr>
      <w:r>
        <w:t>A.</w:t>
      </w:r>
      <w:r>
        <w:tab/>
        <w:t xml:space="preserve">An attrition adjustment analyzes actual historical trends in the growth rate of revenues, expenses and rate base to estimate the erosion in rate of return caused by disparate growth in each of these categories.  Once the trend in each of these categories is estimated, it is then applied to the fully restated </w:t>
      </w:r>
      <w:r w:rsidRPr="00B53490">
        <w:rPr>
          <w:i/>
        </w:rPr>
        <w:t xml:space="preserve">pro forma </w:t>
      </w:r>
      <w:r>
        <w:t>results of operations to calculate the impact on rate of return.  Once the rate of return impact is calculated, it is translated to a revenue amount through the conversion factor.</w:t>
      </w:r>
    </w:p>
    <w:p w:rsidR="0029071F" w:rsidRDefault="0029071F" w:rsidP="0029071F">
      <w:pPr>
        <w:pStyle w:val="BodyTextIndent"/>
        <w:ind w:firstLine="720"/>
      </w:pPr>
      <w:r>
        <w:t>Like the decision to include CWIP in rate base, attrition adjustments were explicitly linked to ensuring that utilities were able to finance their construction budgets and maintain financial integrity.</w:t>
      </w:r>
      <w:r>
        <w:rPr>
          <w:rStyle w:val="FootnoteReference"/>
        </w:rPr>
        <w:footnoteReference w:id="58"/>
      </w:r>
      <w:r>
        <w:t xml:space="preserve">  In accepting an attrition adjust</w:t>
      </w:r>
      <w:r w:rsidR="00B51671">
        <w:t xml:space="preserve">ment, the Commission stated, </w:t>
      </w:r>
    </w:p>
    <w:p w:rsidR="0029071F" w:rsidRDefault="0029071F" w:rsidP="0029071F">
      <w:pPr>
        <w:pStyle w:val="BodyTextIndent"/>
        <w:spacing w:line="240" w:lineRule="auto"/>
        <w:ind w:left="1440" w:firstLine="0"/>
      </w:pPr>
      <w:r>
        <w:t xml:space="preserve">Upon examination of the detailed analysis of Mr. </w:t>
      </w:r>
      <w:proofErr w:type="spellStart"/>
      <w:r>
        <w:t>Louiselle’s</w:t>
      </w:r>
      <w:proofErr w:type="spellEnd"/>
      <w:r>
        <w:t xml:space="preserve"> testimony and supporting exhibit, we are convinced that in order to preserve and maintain the company’s financial integrity and allow it to generate sufficient cash flow consistent with its need for construction projects, and to attract investors at a reasonable cost, the staff’s attrition allowance should be accepted.</w:t>
      </w:r>
      <w:r>
        <w:rPr>
          <w:rStyle w:val="FootnoteReference"/>
        </w:rPr>
        <w:footnoteReference w:id="59"/>
      </w:r>
      <w:r>
        <w:t xml:space="preserve">  </w:t>
      </w:r>
    </w:p>
    <w:p w:rsidR="0029071F" w:rsidRDefault="0029071F" w:rsidP="0029071F">
      <w:pPr>
        <w:pStyle w:val="BodyTextIndent"/>
        <w:spacing w:line="240" w:lineRule="auto"/>
        <w:ind w:firstLine="0"/>
      </w:pPr>
    </w:p>
    <w:p w:rsidR="0029071F" w:rsidRDefault="0029071F" w:rsidP="0029071F">
      <w:pPr>
        <w:pStyle w:val="BodyTextIndent"/>
        <w:ind w:firstLine="0"/>
      </w:pPr>
      <w:r>
        <w:t>The policies adopted by the Commission to</w:t>
      </w:r>
      <w:r w:rsidR="00E86B57">
        <w:t xml:space="preserve"> value rate base on end-of-period amounts,</w:t>
      </w:r>
      <w:r>
        <w:t xml:space="preserve"> includ</w:t>
      </w:r>
      <w:r w:rsidR="00E86B57">
        <w:t>ing</w:t>
      </w:r>
      <w:r>
        <w:t xml:space="preserve"> </w:t>
      </w:r>
      <w:proofErr w:type="spellStart"/>
      <w:r>
        <w:t>CWIP</w:t>
      </w:r>
      <w:proofErr w:type="spellEnd"/>
      <w:r>
        <w:t xml:space="preserve"> in rate base and attrition adjustments were consistent with its over-arching statutory obligation to set rates that are fair, just, reasonable and sufficient.</w:t>
      </w:r>
    </w:p>
    <w:p w:rsidR="0029071F" w:rsidRDefault="0029071F" w:rsidP="0029071F">
      <w:pPr>
        <w:pStyle w:val="BodyTextIndent"/>
      </w:pPr>
    </w:p>
    <w:p w:rsidR="0029071F" w:rsidRPr="003B2192" w:rsidRDefault="0029071F" w:rsidP="0029071F">
      <w:pPr>
        <w:pStyle w:val="BodyTextIndent"/>
        <w:rPr>
          <w:b/>
        </w:rPr>
      </w:pPr>
      <w:r>
        <w:rPr>
          <w:b/>
        </w:rPr>
        <w:t>Q.</w:t>
      </w:r>
      <w:r>
        <w:rPr>
          <w:b/>
        </w:rPr>
        <w:tab/>
        <w:t>During this period, what other proposals did the Commission consider to address significant increases in rate base and inflation?</w:t>
      </w:r>
    </w:p>
    <w:p w:rsidR="0029071F" w:rsidRDefault="0029071F" w:rsidP="0029071F">
      <w:pPr>
        <w:pStyle w:val="BodyTextIndent"/>
      </w:pPr>
      <w:r>
        <w:t>A.</w:t>
      </w:r>
      <w:r>
        <w:tab/>
        <w:t xml:space="preserve">Utilities also proposed future test periods based upon budgets.  Examples of these proposals were Cause No. U-81-15/16, involving The Washington Water Power Company (now Avista) and Cause No. U-81-17, involving Pacific Power &amp; Light Company (now PacifiCorp).  </w:t>
      </w:r>
    </w:p>
    <w:p w:rsidR="0029071F" w:rsidRDefault="0029071F" w:rsidP="0029071F">
      <w:pPr>
        <w:pStyle w:val="BodyTextIndent"/>
      </w:pPr>
    </w:p>
    <w:p w:rsidR="0029071F" w:rsidRPr="003B2192" w:rsidRDefault="0029071F" w:rsidP="0029071F">
      <w:pPr>
        <w:pStyle w:val="BodyTextIndent"/>
        <w:rPr>
          <w:b/>
        </w:rPr>
      </w:pPr>
      <w:r>
        <w:rPr>
          <w:b/>
        </w:rPr>
        <w:t>Q.</w:t>
      </w:r>
      <w:r>
        <w:rPr>
          <w:b/>
        </w:rPr>
        <w:tab/>
        <w:t>What did the Commission decide with respect to these future test period proposals?</w:t>
      </w:r>
    </w:p>
    <w:p w:rsidR="0029071F" w:rsidRDefault="0029071F" w:rsidP="0029071F">
      <w:pPr>
        <w:pStyle w:val="BodyTextIndent"/>
      </w:pPr>
      <w:r>
        <w:t>A.</w:t>
      </w:r>
      <w:r>
        <w:tab/>
        <w:t xml:space="preserve">The Commission rejected the use of a future test period based upon budgets and rejected rate base determinations based on budgets or forecasts.  In Cause No. U-81-15/16, the Commission stated: </w:t>
      </w:r>
    </w:p>
    <w:p w:rsidR="0029071F" w:rsidRDefault="0029071F" w:rsidP="0029071F">
      <w:pPr>
        <w:pStyle w:val="BodyTextIndent"/>
        <w:spacing w:line="240" w:lineRule="auto"/>
        <w:ind w:left="1440" w:firstLine="0"/>
      </w:pPr>
      <w:r>
        <w:t>Traditionally, this Commission had adopted the historical test year to examine a utility’s operating results.  We are not at this time prepared to depart from that posture for a variety of reasons, including the inability of the company in this proceeding to demonstrate that the projected budget test year is reliable and reasonably subject to intelligent examination and scrutiny upon which we can base an informed judgment.</w:t>
      </w:r>
      <w:r>
        <w:rPr>
          <w:rStyle w:val="FootnoteReference"/>
        </w:rPr>
        <w:footnoteReference w:id="60"/>
      </w:r>
      <w:r>
        <w:t xml:space="preserve">  </w:t>
      </w:r>
    </w:p>
    <w:p w:rsidR="0029071F" w:rsidRDefault="0029071F" w:rsidP="0029071F">
      <w:pPr>
        <w:pStyle w:val="BodyTextIndent"/>
      </w:pPr>
    </w:p>
    <w:p w:rsidR="0029071F" w:rsidRDefault="0029071F" w:rsidP="0029071F">
      <w:pPr>
        <w:pStyle w:val="BodyTextIndent"/>
        <w:rPr>
          <w:b/>
        </w:rPr>
      </w:pPr>
      <w:r>
        <w:rPr>
          <w:b/>
        </w:rPr>
        <w:t>Q.</w:t>
      </w:r>
      <w:r>
        <w:rPr>
          <w:b/>
        </w:rPr>
        <w:tab/>
        <w:t>Do future test periods present these same problems today?</w:t>
      </w:r>
    </w:p>
    <w:p w:rsidR="0029071F" w:rsidRPr="00811B15" w:rsidRDefault="0029071F" w:rsidP="0029071F">
      <w:pPr>
        <w:pStyle w:val="BodyTextIndent"/>
      </w:pPr>
      <w:r>
        <w:t>A.</w:t>
      </w:r>
      <w:r>
        <w:tab/>
        <w:t xml:space="preserve">Yes.  Budgets and future test years create the same issues and problems today as they did then:  inaccuracy and unreliability.  A budget or forecast is subject to error and revision.  Indeed, one of the principle functions of effective management is controlling expenditures in light of new information.  Furthermore, budgets tend to be “self-fulfilling prophecies”.  That is, if a utility has its rates set based on </w:t>
      </w:r>
      <w:r>
        <w:lastRenderedPageBreak/>
        <w:t>anticipated capital expenditures from a budget, the utility will spend that amount on its investments even if it is not reasonable or prudent to do so.  In my opinion, this reduces the utility’s incentive to efficiently budget and control expenditures.  This is inconsistent with the Commission’s recent affirmation that regulation should constantly provide incentives for a utility to manage costs in an efficient manner.</w:t>
      </w:r>
      <w:r>
        <w:rPr>
          <w:rStyle w:val="FootnoteReference"/>
        </w:rPr>
        <w:footnoteReference w:id="61"/>
      </w:r>
    </w:p>
    <w:p w:rsidR="0029071F" w:rsidRDefault="0029071F" w:rsidP="0029071F">
      <w:pPr>
        <w:tabs>
          <w:tab w:val="left" w:pos="720"/>
          <w:tab w:val="left" w:pos="1440"/>
          <w:tab w:val="left" w:pos="9240"/>
        </w:tabs>
        <w:spacing w:line="480" w:lineRule="auto"/>
        <w:ind w:left="720" w:hanging="720"/>
        <w:rPr>
          <w:b/>
        </w:rPr>
      </w:pPr>
    </w:p>
    <w:p w:rsidR="0029071F" w:rsidRDefault="0029071F" w:rsidP="0029071F">
      <w:pPr>
        <w:tabs>
          <w:tab w:val="left" w:pos="720"/>
          <w:tab w:val="left" w:pos="1440"/>
          <w:tab w:val="left" w:pos="9240"/>
        </w:tabs>
        <w:spacing w:line="480" w:lineRule="auto"/>
        <w:ind w:left="720" w:hanging="720"/>
      </w:pPr>
      <w:r>
        <w:rPr>
          <w:b/>
        </w:rPr>
        <w:t>Q.</w:t>
      </w:r>
      <w:r>
        <w:rPr>
          <w:b/>
        </w:rPr>
        <w:tab/>
        <w:t>What has been the Commission’s practice with respect to attrition?</w:t>
      </w:r>
    </w:p>
    <w:p w:rsidR="0029071F" w:rsidRDefault="0029071F" w:rsidP="0029071F">
      <w:pPr>
        <w:pStyle w:val="BodyTextIndent"/>
      </w:pPr>
      <w:r>
        <w:t>A.</w:t>
      </w:r>
      <w:r>
        <w:tab/>
        <w:t>Based on my review of prior orders, in setting rates, the Commission has provided a specific adjustment for attrition when the utility alleging attrition has proven in its direct case that the adjustment is necessary to provide an opportunity to earn a fair rate of return.  This demonstration is based on a detailed showing that the test year relationship between revenues, expenses and rate base will not prevail in the rate year, and a calculation of the impact of that erosion on rate of return.  When the utility has made that demonstration, the Commission has provided additional revenue, pursuant to the goal of providing the utility a reasonable opportunity to earn a fair rate of return.</w:t>
      </w:r>
    </w:p>
    <w:p w:rsidR="0029071F" w:rsidRDefault="0029071F" w:rsidP="0029071F">
      <w:pPr>
        <w:pStyle w:val="BodyTextIndent"/>
      </w:pPr>
    </w:p>
    <w:p w:rsidR="0029071F" w:rsidRPr="00B53490" w:rsidRDefault="0029071F" w:rsidP="0029071F">
      <w:pPr>
        <w:pStyle w:val="BodyTextIndent"/>
        <w:rPr>
          <w:b/>
        </w:rPr>
      </w:pPr>
      <w:r w:rsidRPr="00B53490">
        <w:rPr>
          <w:b/>
        </w:rPr>
        <w:t>Q.</w:t>
      </w:r>
      <w:r w:rsidRPr="00B53490">
        <w:rPr>
          <w:b/>
        </w:rPr>
        <w:tab/>
        <w:t>Is an attrition adjustment the only means by which the Commission could respond to the current circumstances described by PSE to address its ability to earn a fair rate of return?</w:t>
      </w:r>
    </w:p>
    <w:p w:rsidR="0029071F" w:rsidRDefault="0029071F" w:rsidP="0029071F">
      <w:pPr>
        <w:pStyle w:val="BodyTextIndent"/>
      </w:pPr>
      <w:r>
        <w:t>A.</w:t>
      </w:r>
      <w:r>
        <w:tab/>
        <w:t xml:space="preserve">No.  As I described earlier, the Commission has </w:t>
      </w:r>
      <w:r w:rsidR="00B713E6">
        <w:t>accepted both</w:t>
      </w:r>
      <w:r>
        <w:t xml:space="preserve"> CWIP </w:t>
      </w:r>
      <w:r w:rsidR="00B713E6">
        <w:t xml:space="preserve">and </w:t>
      </w:r>
      <w:r>
        <w:t xml:space="preserve">end-of-period </w:t>
      </w:r>
      <w:r w:rsidR="00B713E6">
        <w:t xml:space="preserve">amounts to determine </w:t>
      </w:r>
      <w:r>
        <w:t xml:space="preserve">rate base as a proper response to significant increases in </w:t>
      </w:r>
      <w:r>
        <w:lastRenderedPageBreak/>
        <w:t xml:space="preserve">utility expenditures for new facilities.  </w:t>
      </w:r>
      <w:r w:rsidR="00B44D88">
        <w:t>In ac</w:t>
      </w:r>
      <w:r w:rsidR="00B713E6">
        <w:t>cepting these methods of valuing rate base</w:t>
      </w:r>
      <w:r w:rsidR="007564C3">
        <w:t>,</w:t>
      </w:r>
      <w:r w:rsidR="00B44D88">
        <w:t xml:space="preserve"> the Commission requires a competent persuasive case in support of </w:t>
      </w:r>
      <w:r w:rsidR="00B713E6">
        <w:t>such</w:t>
      </w:r>
      <w:r w:rsidR="00B44D88">
        <w:t xml:space="preserve"> treatment.  </w:t>
      </w:r>
      <w:r>
        <w:t>However, the Commission has flatly rejected future test periods as a basis for determining fair rates.</w:t>
      </w:r>
    </w:p>
    <w:p w:rsidR="0029071F" w:rsidRDefault="0029071F" w:rsidP="0029071F">
      <w:pPr>
        <w:pStyle w:val="BodyTextIndent"/>
      </w:pPr>
    </w:p>
    <w:p w:rsidR="0029071F" w:rsidRDefault="0029071F" w:rsidP="0029071F">
      <w:pPr>
        <w:pStyle w:val="BodyTextIndent"/>
        <w:rPr>
          <w:b/>
        </w:rPr>
      </w:pPr>
      <w:r>
        <w:rPr>
          <w:b/>
        </w:rPr>
        <w:t>Q.</w:t>
      </w:r>
      <w:r>
        <w:rPr>
          <w:b/>
        </w:rPr>
        <w:tab/>
        <w:t>Is attrition always “negative” in that it always applies when a utility is not provided an opportunity to earn a fair return?</w:t>
      </w:r>
    </w:p>
    <w:p w:rsidR="0029071F" w:rsidRDefault="0029071F" w:rsidP="0029071F">
      <w:pPr>
        <w:pStyle w:val="BodyTextIndent"/>
      </w:pPr>
      <w:r>
        <w:t>A.</w:t>
      </w:r>
      <w:r>
        <w:tab/>
        <w:t xml:space="preserve">No.  As I mentioned earlier, attrition can work in exactly opposite circumstances to benefit utilities.  In fact, in Cause No. U-85-53, the Commission accepted Staff’s recommendation for a “positive” attrition adjustment.  </w:t>
      </w:r>
    </w:p>
    <w:p w:rsidR="0029071F" w:rsidRDefault="0029071F" w:rsidP="0029071F">
      <w:pPr>
        <w:pStyle w:val="BodyTextIndent"/>
      </w:pPr>
    </w:p>
    <w:p w:rsidR="0029071F" w:rsidRDefault="0029071F" w:rsidP="0029071F">
      <w:pPr>
        <w:pStyle w:val="BodyTextIndent"/>
        <w:rPr>
          <w:b/>
        </w:rPr>
      </w:pPr>
      <w:r>
        <w:rPr>
          <w:b/>
        </w:rPr>
        <w:t>Q.</w:t>
      </w:r>
      <w:r>
        <w:rPr>
          <w:b/>
        </w:rPr>
        <w:tab/>
        <w:t>Are the effects of attrition and regulatory lag always “bad”?</w:t>
      </w:r>
    </w:p>
    <w:p w:rsidR="0029071F" w:rsidRDefault="0029071F" w:rsidP="0029071F">
      <w:pPr>
        <w:pStyle w:val="BodyTextIndent"/>
      </w:pPr>
      <w:r>
        <w:t>A.</w:t>
      </w:r>
      <w:r>
        <w:tab/>
        <w:t xml:space="preserve">No.  Regulatory lag should inspire utility managers to control costs aggressively to achieve the lowest reasonable cost of service, which is a good thing for both the utility and its rate payers.  </w:t>
      </w:r>
      <w:r w:rsidR="00255BF6">
        <w:t xml:space="preserve">Attrition caused by increasing construction budgets also should inspire utility management to carefully evaluate capital budgets and approve only those projects absolutely necessary.  </w:t>
      </w:r>
      <w:r>
        <w:t xml:space="preserve">I mentioned this earlier in my testimony when discussing the Commission’s decision to reject future test periods based on budgets.  This incentive also is consistent with the </w:t>
      </w:r>
      <w:r w:rsidRPr="00EB13FE">
        <w:rPr>
          <w:i/>
        </w:rPr>
        <w:t xml:space="preserve">Bluefield </w:t>
      </w:r>
      <w:r w:rsidRPr="00DF6FF5">
        <w:t>and</w:t>
      </w:r>
      <w:r w:rsidRPr="00EB13FE">
        <w:rPr>
          <w:i/>
        </w:rPr>
        <w:t xml:space="preserve"> Hope</w:t>
      </w:r>
      <w:r>
        <w:t xml:space="preserve"> standards regarding efficiency and our statutes governing the obligation of a public service company to keep its facilities safe, adequate and efficient.</w:t>
      </w:r>
      <w:r>
        <w:rPr>
          <w:rStyle w:val="FootnoteReference"/>
        </w:rPr>
        <w:footnoteReference w:id="62"/>
      </w:r>
      <w:r>
        <w:t xml:space="preserve">  Finally, the Commission </w:t>
      </w:r>
      <w:r>
        <w:lastRenderedPageBreak/>
        <w:t>has recognized that historical test periods and regulatory lag are self-regulating mechanisms that provide the proper incentive for utilities to control costs.</w:t>
      </w:r>
      <w:r>
        <w:rPr>
          <w:rStyle w:val="FootnoteReference"/>
        </w:rPr>
        <w:footnoteReference w:id="63"/>
      </w:r>
      <w:r>
        <w:t xml:space="preserve">  </w:t>
      </w:r>
    </w:p>
    <w:p w:rsidR="0029071F" w:rsidRDefault="0029071F" w:rsidP="0029071F">
      <w:pPr>
        <w:pStyle w:val="BodyTextIndent"/>
      </w:pPr>
    </w:p>
    <w:p w:rsidR="0029071F" w:rsidRDefault="0029071F" w:rsidP="0029071F">
      <w:pPr>
        <w:pStyle w:val="BodyTextIndent"/>
        <w:rPr>
          <w:b/>
        </w:rPr>
      </w:pPr>
      <w:r>
        <w:rPr>
          <w:b/>
        </w:rPr>
        <w:t>Q.</w:t>
      </w:r>
      <w:r>
        <w:rPr>
          <w:b/>
        </w:rPr>
        <w:tab/>
        <w:t>Did you prepare an exhibit with the relevant excerpts from these orders addressing attrition?</w:t>
      </w:r>
    </w:p>
    <w:p w:rsidR="0029071F" w:rsidRDefault="0029071F" w:rsidP="0029071F">
      <w:pPr>
        <w:pStyle w:val="BodyTextIndent"/>
      </w:pPr>
      <w:r>
        <w:t>A.</w:t>
      </w:r>
      <w:r>
        <w:tab/>
        <w:t>Yes.  Exhibit No. ___ (</w:t>
      </w:r>
      <w:proofErr w:type="spellStart"/>
      <w:r>
        <w:t>KLE</w:t>
      </w:r>
      <w:proofErr w:type="spellEnd"/>
      <w:r>
        <w:t>-</w:t>
      </w:r>
      <w:r w:rsidR="002739BE">
        <w:t>6</w:t>
      </w:r>
      <w:r>
        <w:t xml:space="preserve">) contains excerpts from the following orders describing the Commission’s ratemaking policy with respect to attrition, rate base </w:t>
      </w:r>
      <w:r w:rsidR="00255BF6">
        <w:t>valuation</w:t>
      </w:r>
      <w:r>
        <w:t>, cost pressures, and future test periods:</w:t>
      </w:r>
    </w:p>
    <w:p w:rsidR="0029071F" w:rsidRDefault="0029071F" w:rsidP="0029071F">
      <w:pPr>
        <w:pStyle w:val="BodyTextIndent"/>
        <w:numPr>
          <w:ilvl w:val="0"/>
          <w:numId w:val="25"/>
        </w:numPr>
      </w:pPr>
      <w:r>
        <w:t xml:space="preserve">Cause U-75-24, Pacific Power &amp; Light Company </w:t>
      </w:r>
    </w:p>
    <w:p w:rsidR="0029071F" w:rsidRDefault="0029071F" w:rsidP="0029071F">
      <w:pPr>
        <w:pStyle w:val="BodyTextIndent"/>
        <w:numPr>
          <w:ilvl w:val="0"/>
          <w:numId w:val="25"/>
        </w:numPr>
      </w:pPr>
      <w:r>
        <w:t xml:space="preserve">Cause U-78-22, Puget Sound Power &amp; Light Company </w:t>
      </w:r>
    </w:p>
    <w:p w:rsidR="0029071F" w:rsidRDefault="0029071F" w:rsidP="0029071F">
      <w:pPr>
        <w:pStyle w:val="BodyTextIndent"/>
        <w:numPr>
          <w:ilvl w:val="0"/>
          <w:numId w:val="25"/>
        </w:numPr>
      </w:pPr>
      <w:r>
        <w:t>Cause U-80-10, Puget Sound Power &amp; Light Company</w:t>
      </w:r>
    </w:p>
    <w:p w:rsidR="00B713E6" w:rsidRDefault="00B713E6" w:rsidP="00B713E6">
      <w:pPr>
        <w:pStyle w:val="BodyTextIndent"/>
        <w:numPr>
          <w:ilvl w:val="0"/>
          <w:numId w:val="25"/>
        </w:numPr>
      </w:pPr>
      <w:r>
        <w:t>Cause U-80-25, Washington Natural Gas Company</w:t>
      </w:r>
    </w:p>
    <w:p w:rsidR="00B713E6" w:rsidRDefault="00B713E6" w:rsidP="0029071F">
      <w:pPr>
        <w:pStyle w:val="BodyTextIndent"/>
        <w:numPr>
          <w:ilvl w:val="0"/>
          <w:numId w:val="25"/>
        </w:numPr>
      </w:pPr>
      <w:r>
        <w:t>Cause U-80-111, Washington Natural Gas Company</w:t>
      </w:r>
    </w:p>
    <w:p w:rsidR="0029071F" w:rsidRDefault="0029071F" w:rsidP="0029071F">
      <w:pPr>
        <w:pStyle w:val="BodyTextIndent"/>
        <w:numPr>
          <w:ilvl w:val="0"/>
          <w:numId w:val="25"/>
        </w:numPr>
      </w:pPr>
      <w:r>
        <w:t>Cause U-81-15/16, Washington Water Power Company</w:t>
      </w:r>
    </w:p>
    <w:p w:rsidR="0029071F" w:rsidRDefault="0029071F" w:rsidP="0029071F">
      <w:pPr>
        <w:pStyle w:val="BodyTextIndent"/>
        <w:numPr>
          <w:ilvl w:val="0"/>
          <w:numId w:val="25"/>
        </w:numPr>
      </w:pPr>
      <w:r>
        <w:t>Cause U-81-17, Pacific Power &amp; Light Company</w:t>
      </w:r>
    </w:p>
    <w:p w:rsidR="0029071F" w:rsidRDefault="0029071F" w:rsidP="0029071F">
      <w:pPr>
        <w:pStyle w:val="BodyTextIndent"/>
        <w:numPr>
          <w:ilvl w:val="0"/>
          <w:numId w:val="25"/>
        </w:numPr>
      </w:pPr>
      <w:r>
        <w:t>Cause U-81-41, Puget Sound Power &amp; Light Company</w:t>
      </w:r>
    </w:p>
    <w:p w:rsidR="0029071F" w:rsidRDefault="0029071F" w:rsidP="0029071F">
      <w:pPr>
        <w:pStyle w:val="BodyTextIndent"/>
        <w:numPr>
          <w:ilvl w:val="0"/>
          <w:numId w:val="25"/>
        </w:numPr>
      </w:pPr>
      <w:r>
        <w:t>Cause U-85-53, Puget Sound Power &amp; Light Company</w:t>
      </w:r>
    </w:p>
    <w:p w:rsidR="0029071F" w:rsidRDefault="0029071F" w:rsidP="0029071F">
      <w:pPr>
        <w:pStyle w:val="BodyTextIndent"/>
      </w:pPr>
    </w:p>
    <w:p w:rsidR="0029071F" w:rsidRDefault="0029071F" w:rsidP="0029071F">
      <w:pPr>
        <w:pStyle w:val="BodyTextIndent"/>
        <w:rPr>
          <w:b/>
        </w:rPr>
      </w:pPr>
      <w:r>
        <w:rPr>
          <w:b/>
        </w:rPr>
        <w:t>Q.</w:t>
      </w:r>
      <w:r>
        <w:rPr>
          <w:b/>
        </w:rPr>
        <w:tab/>
        <w:t xml:space="preserve">Since the Commission issued those orders, have there been any significant statutory changes affecting Commission regulation of gas and electric utilities? </w:t>
      </w:r>
    </w:p>
    <w:p w:rsidR="0029071F" w:rsidRPr="00A16766" w:rsidRDefault="0029071F" w:rsidP="0029071F">
      <w:pPr>
        <w:pStyle w:val="BodyTextIndent"/>
      </w:pPr>
      <w:r w:rsidRPr="00700C2A">
        <w:t>A.</w:t>
      </w:r>
      <w:r w:rsidRPr="00700C2A">
        <w:tab/>
        <w:t xml:space="preserve">Yes.  The </w:t>
      </w:r>
      <w:r w:rsidR="002A159A">
        <w:t>passage</w:t>
      </w:r>
      <w:r w:rsidRPr="00700C2A">
        <w:t xml:space="preserve"> of </w:t>
      </w:r>
      <w:r w:rsidRPr="00A16766">
        <w:t>Initiative 937</w:t>
      </w:r>
      <w:r w:rsidR="002A159A">
        <w:t xml:space="preserve">, codified at RCW 19.285, </w:t>
      </w:r>
      <w:r w:rsidRPr="00A16766">
        <w:t xml:space="preserve">established </w:t>
      </w:r>
      <w:r>
        <w:t xml:space="preserve">the </w:t>
      </w:r>
      <w:r w:rsidRPr="00A16766">
        <w:t xml:space="preserve">mandate for </w:t>
      </w:r>
      <w:r>
        <w:t xml:space="preserve">electricity </w:t>
      </w:r>
      <w:r w:rsidRPr="00A16766">
        <w:t xml:space="preserve">utilities to pursue all cost-effective, </w:t>
      </w:r>
      <w:r>
        <w:t xml:space="preserve">reliable and </w:t>
      </w:r>
      <w:r w:rsidRPr="00A16766">
        <w:t xml:space="preserve">feasible </w:t>
      </w:r>
      <w:r w:rsidRPr="00A16766">
        <w:lastRenderedPageBreak/>
        <w:t>conservation</w:t>
      </w:r>
      <w:r>
        <w:t xml:space="preserve">.  </w:t>
      </w:r>
      <w:r w:rsidRPr="00A16766">
        <w:t>RCW 80.28.260</w:t>
      </w:r>
      <w:r>
        <w:t xml:space="preserve">(3) </w:t>
      </w:r>
      <w:r w:rsidRPr="00A16766">
        <w:t>authorize</w:t>
      </w:r>
      <w:r w:rsidR="00522E82">
        <w:t>s</w:t>
      </w:r>
      <w:r w:rsidRPr="00A16766">
        <w:t xml:space="preserve"> the Commission to </w:t>
      </w:r>
      <w:r>
        <w:t xml:space="preserve">consider policies to protect </w:t>
      </w:r>
      <w:r w:rsidRPr="00A16766">
        <w:t xml:space="preserve">utilities from short-term reductions in earnings as a result of utility conservation programs.  </w:t>
      </w:r>
    </w:p>
    <w:p w:rsidR="0029071F" w:rsidRDefault="0029071F" w:rsidP="0029071F">
      <w:pPr>
        <w:pStyle w:val="BodyTextIndent"/>
        <w:rPr>
          <w:b/>
        </w:rPr>
      </w:pPr>
    </w:p>
    <w:p w:rsidR="0029071F" w:rsidRDefault="0029071F" w:rsidP="0029071F">
      <w:pPr>
        <w:pStyle w:val="BodyTextIndent"/>
        <w:rPr>
          <w:b/>
        </w:rPr>
      </w:pPr>
      <w:r>
        <w:rPr>
          <w:b/>
        </w:rPr>
        <w:t>Q.</w:t>
      </w:r>
      <w:r>
        <w:rPr>
          <w:b/>
        </w:rPr>
        <w:tab/>
        <w:t>Do these statutory directives warrant abandonment of the ratemaking policies previously adopted by the Commission for attrition?</w:t>
      </w:r>
    </w:p>
    <w:p w:rsidR="0029071F" w:rsidRDefault="0029071F" w:rsidP="0029071F">
      <w:pPr>
        <w:pStyle w:val="BodyTextIndent"/>
      </w:pPr>
      <w:r>
        <w:t>A.</w:t>
      </w:r>
      <w:r>
        <w:tab/>
        <w:t>No.   The circumstances facing utilities today are quite similar to those of the late 1970’s and early 1980’s:  growing investments, high costs, and changes in revenues.  Each of these broad categories of the ratemaking formula fits squarely within the scope of a credible attrition study.  By providing this evidence and showing the trends in these components of the ratemaking paradigm, the Commission is able to exercise its judgment and implement its statutory mandate to set rates that are fair, just, reasonable and sufficient.  Indeed, the Commission’s recent Decoupling Policy Statement affirmed explicitly that an appropriate attrition study in a rate case is a proper response to address earnings erosion issues:</w:t>
      </w:r>
    </w:p>
    <w:p w:rsidR="0029071F" w:rsidRPr="00406EDE" w:rsidRDefault="0029071F" w:rsidP="0029071F">
      <w:pPr>
        <w:spacing w:line="288" w:lineRule="auto"/>
        <w:ind w:left="1440"/>
      </w:pPr>
      <w:r w:rsidRPr="00AC7F84">
        <w:t>The guidance provided in this policy statement does not imply that the Commission would not consider other mechanisms in the context of a general rate case, including an appropriate attrition adjustment designed to protect the company from lost margin due to any reason.</w:t>
      </w:r>
      <w:r w:rsidRPr="00406EDE">
        <w:rPr>
          <w:rStyle w:val="FootnoteReference"/>
        </w:rPr>
        <w:footnoteReference w:id="64"/>
      </w:r>
      <w:r w:rsidRPr="00406EDE">
        <w:t xml:space="preserve">  </w:t>
      </w:r>
    </w:p>
    <w:p w:rsidR="0029071F" w:rsidRPr="00EA2AAE" w:rsidRDefault="0029071F" w:rsidP="0029071F">
      <w:pPr>
        <w:pStyle w:val="BodyTextIndent"/>
      </w:pPr>
    </w:p>
    <w:p w:rsidR="0029071F" w:rsidRPr="00AC7F84" w:rsidRDefault="0029071F" w:rsidP="0029071F">
      <w:pPr>
        <w:pStyle w:val="BodyTextIndent"/>
        <w:rPr>
          <w:b/>
        </w:rPr>
      </w:pPr>
      <w:r>
        <w:rPr>
          <w:b/>
        </w:rPr>
        <w:t>Q.</w:t>
      </w:r>
      <w:r>
        <w:rPr>
          <w:b/>
        </w:rPr>
        <w:tab/>
        <w:t>What have you concluded with respect to the Commission’s policies concerning attrition and the circumstances facing PSE today?</w:t>
      </w:r>
    </w:p>
    <w:p w:rsidR="0029071F" w:rsidRDefault="0029071F" w:rsidP="0029071F">
      <w:pPr>
        <w:pStyle w:val="BodyTextIndent"/>
      </w:pPr>
      <w:r>
        <w:t>A.</w:t>
      </w:r>
      <w:r>
        <w:tab/>
        <w:t xml:space="preserve">If PSE believes existing ratemaking policies are inappropriate for the circumstances it faces today, it has the burden to show how these changed circumstances warrant </w:t>
      </w:r>
      <w:r>
        <w:lastRenderedPageBreak/>
        <w:t>new rate making policies that would be consistent with the statutory requirements for setting rates.  As discussed next in more detail, PSE’s simple showing that historical per book earnings are lower than what PSE believes it is entitled to earn is insufficient to prove attrition.</w:t>
      </w:r>
      <w:r w:rsidR="00B713E6">
        <w:t xml:space="preserve">  Furthermore, deferring alleged lost margins due to conservation based upon engineering estimates is unacceptable as well. </w:t>
      </w:r>
      <w:r w:rsidR="000D4A16">
        <w:t xml:space="preserve">  Ms. Reynolds addresses this point in her testimony responding to PSE’s proposed Conservation Savings Adjustment.</w:t>
      </w:r>
    </w:p>
    <w:p w:rsidR="0029071F" w:rsidRDefault="0029071F" w:rsidP="0029071F">
      <w:pPr>
        <w:pStyle w:val="BodyTextIndent"/>
      </w:pPr>
    </w:p>
    <w:p w:rsidR="0029071F" w:rsidRPr="00AC7F84" w:rsidRDefault="00C62BDB" w:rsidP="00C62BDB">
      <w:pPr>
        <w:pStyle w:val="BodyTextIndent"/>
      </w:pPr>
      <w:r>
        <w:rPr>
          <w:b/>
        </w:rPr>
        <w:t>B.</w:t>
      </w:r>
      <w:r>
        <w:rPr>
          <w:b/>
        </w:rPr>
        <w:tab/>
      </w:r>
      <w:r w:rsidR="003B0F05">
        <w:rPr>
          <w:b/>
        </w:rPr>
        <w:t xml:space="preserve">PSE’s </w:t>
      </w:r>
      <w:r w:rsidR="0029071F" w:rsidRPr="0028704A">
        <w:rPr>
          <w:b/>
        </w:rPr>
        <w:t>E</w:t>
      </w:r>
      <w:r w:rsidR="0029071F">
        <w:rPr>
          <w:b/>
        </w:rPr>
        <w:t>vidence on</w:t>
      </w:r>
      <w:r w:rsidR="0029071F" w:rsidRPr="0028704A">
        <w:rPr>
          <w:b/>
        </w:rPr>
        <w:t xml:space="preserve"> </w:t>
      </w:r>
      <w:r w:rsidR="0029071F">
        <w:rPr>
          <w:b/>
        </w:rPr>
        <w:t>Attrition</w:t>
      </w:r>
    </w:p>
    <w:p w:rsidR="0029071F" w:rsidRDefault="0029071F" w:rsidP="00C62BDB">
      <w:pPr>
        <w:pStyle w:val="BodyTextIndent"/>
      </w:pPr>
    </w:p>
    <w:p w:rsidR="0029071F" w:rsidRDefault="0029071F" w:rsidP="0029071F">
      <w:pPr>
        <w:pStyle w:val="BodyTextIndent"/>
        <w:rPr>
          <w:b/>
        </w:rPr>
      </w:pPr>
      <w:r>
        <w:rPr>
          <w:b/>
        </w:rPr>
        <w:t>Q.</w:t>
      </w:r>
      <w:r>
        <w:rPr>
          <w:b/>
        </w:rPr>
        <w:tab/>
        <w:t>Did PSE submit or prepare an attrition study in this case?</w:t>
      </w:r>
    </w:p>
    <w:p w:rsidR="0029071F" w:rsidRDefault="0029071F" w:rsidP="0029071F">
      <w:pPr>
        <w:pStyle w:val="BodyTextIndent"/>
      </w:pPr>
      <w:r>
        <w:t>A.</w:t>
      </w:r>
      <w:r>
        <w:tab/>
        <w:t xml:space="preserve">No.  No Company witness presents an attrition study or adjustment.  Moreover, Staff asked PSE to provide any attrition study prepared since 2005.  In response to Staff Data Request 90, PSE stated that it had not performed an attrition study during that period.  Instead, </w:t>
      </w:r>
      <w:r w:rsidR="002A159A">
        <w:t xml:space="preserve">in its response to the data request, </w:t>
      </w:r>
      <w:r>
        <w:t>PSE provided what it called a “ROE Gap Analysis-Calendar Year 2010”, comparing what PSE believes to be the under-recovery of costs in each major category of expense and rate base</w:t>
      </w:r>
      <w:r w:rsidR="00640726">
        <w:t xml:space="preserve"> in the 2010 </w:t>
      </w:r>
      <w:r w:rsidR="002A159A">
        <w:t>test</w:t>
      </w:r>
      <w:r w:rsidR="00640726">
        <w:t xml:space="preserve"> year</w:t>
      </w:r>
      <w:r>
        <w:t xml:space="preserve">.  The analysis also shows changes in the growth rate of customers and load.  This is not an attrition study.  While it does contain data showing historical trends in net plant, expenses, customers and loads, it is not constructed in a manner that would enable the Commission to determine the degree of attrition PSE is expected to experience in the rate year.  </w:t>
      </w:r>
    </w:p>
    <w:p w:rsidR="00007000" w:rsidRDefault="00007000" w:rsidP="0029071F">
      <w:pPr>
        <w:pStyle w:val="BodyTextIndent"/>
      </w:pPr>
    </w:p>
    <w:p w:rsidR="00007000" w:rsidRDefault="00007000" w:rsidP="0029071F">
      <w:pPr>
        <w:pStyle w:val="BodyTextIndent"/>
        <w:rPr>
          <w:b/>
        </w:rPr>
      </w:pPr>
      <w:r>
        <w:rPr>
          <w:b/>
        </w:rPr>
        <w:lastRenderedPageBreak/>
        <w:t>Q.</w:t>
      </w:r>
      <w:r>
        <w:rPr>
          <w:b/>
        </w:rPr>
        <w:tab/>
        <w:t>Has the Company presented an attrition study recently?</w:t>
      </w:r>
    </w:p>
    <w:p w:rsidR="00007000" w:rsidRDefault="00007000" w:rsidP="00007000">
      <w:pPr>
        <w:pStyle w:val="BodyTextIndent"/>
      </w:pPr>
      <w:r>
        <w:t>A.</w:t>
      </w:r>
      <w:r>
        <w:tab/>
        <w:t>Yes.  In D</w:t>
      </w:r>
      <w:r w:rsidR="00522E82">
        <w:t>ocket</w:t>
      </w:r>
      <w:r w:rsidR="002A159A">
        <w:t>s</w:t>
      </w:r>
      <w:r w:rsidR="00522E82">
        <w:t xml:space="preserve"> UE-060266 and UG-0602</w:t>
      </w:r>
      <w:r>
        <w:t>67</w:t>
      </w:r>
      <w:r w:rsidR="002A159A">
        <w:t>,</w:t>
      </w:r>
      <w:r>
        <w:t xml:space="preserve"> PSE presented attrition analyses for its electric and natural gas operations in support of </w:t>
      </w:r>
      <w:r w:rsidR="002A159A">
        <w:t xml:space="preserve">a </w:t>
      </w:r>
      <w:r>
        <w:t xml:space="preserve">depreciation tracker mechanism in that case.  The depreciation tracker was a new proposal to cope with the issues </w:t>
      </w:r>
      <w:r w:rsidR="002A159A">
        <w:t xml:space="preserve">similar to those </w:t>
      </w:r>
      <w:r>
        <w:t xml:space="preserve">PSE again alleges in this case: </w:t>
      </w:r>
      <w:r w:rsidR="002A159A">
        <w:t xml:space="preserve"> </w:t>
      </w:r>
      <w:r>
        <w:t>regulatory lag and erosion of earnings</w:t>
      </w:r>
      <w:r w:rsidR="00883467">
        <w:t xml:space="preserve"> due to increasing costs for new infrastructure</w:t>
      </w:r>
      <w:r>
        <w:t>.</w:t>
      </w:r>
    </w:p>
    <w:p w:rsidR="00883467" w:rsidRDefault="00883467" w:rsidP="00007000">
      <w:pPr>
        <w:pStyle w:val="BodyTextIndent"/>
      </w:pPr>
    </w:p>
    <w:p w:rsidR="00883467" w:rsidRDefault="00883467" w:rsidP="00007000">
      <w:pPr>
        <w:pStyle w:val="BodyTextIndent"/>
        <w:rPr>
          <w:b/>
        </w:rPr>
      </w:pPr>
      <w:r w:rsidRPr="00BC1FAB">
        <w:rPr>
          <w:b/>
        </w:rPr>
        <w:t>Q.</w:t>
      </w:r>
      <w:r>
        <w:tab/>
      </w:r>
      <w:r>
        <w:rPr>
          <w:b/>
        </w:rPr>
        <w:t xml:space="preserve">Did the Commission accept PSE’s proposed </w:t>
      </w:r>
      <w:r w:rsidR="009E4FC0">
        <w:rPr>
          <w:b/>
        </w:rPr>
        <w:t>depreciation tracker</w:t>
      </w:r>
      <w:r>
        <w:rPr>
          <w:b/>
        </w:rPr>
        <w:t xml:space="preserve"> in that case?</w:t>
      </w:r>
    </w:p>
    <w:p w:rsidR="0029071F" w:rsidRDefault="00883467" w:rsidP="009E4FC0">
      <w:pPr>
        <w:pStyle w:val="BodyTextIndent"/>
      </w:pPr>
      <w:r>
        <w:t>A.</w:t>
      </w:r>
      <w:r>
        <w:tab/>
        <w:t xml:space="preserve">No.  The Commission determined that the proposed mechanism and the evidence supporting the new mechanism were insufficient.  </w:t>
      </w:r>
      <w:r w:rsidR="009E4FC0">
        <w:t xml:space="preserve">However, the point is that PSE did in fact present an attrition study in 2006.  Now that it alleges attrition in this case it should have presented a study in support of its alleged </w:t>
      </w:r>
      <w:r w:rsidR="004B21D5">
        <w:t>attrition</w:t>
      </w:r>
      <w:r w:rsidR="009E4FC0">
        <w:t>.</w:t>
      </w:r>
    </w:p>
    <w:p w:rsidR="009E4FC0" w:rsidRDefault="009E4FC0" w:rsidP="009E4FC0">
      <w:pPr>
        <w:pStyle w:val="BodyTextIndent"/>
      </w:pPr>
    </w:p>
    <w:p w:rsidR="0029071F" w:rsidRPr="00137B17" w:rsidRDefault="0029071F" w:rsidP="0029071F">
      <w:pPr>
        <w:pStyle w:val="BodyTextIndent"/>
        <w:rPr>
          <w:b/>
        </w:rPr>
      </w:pPr>
      <w:r w:rsidRPr="008135F8">
        <w:rPr>
          <w:b/>
        </w:rPr>
        <w:t>Q.</w:t>
      </w:r>
      <w:r>
        <w:tab/>
      </w:r>
      <w:r>
        <w:rPr>
          <w:b/>
        </w:rPr>
        <w:t xml:space="preserve">Is </w:t>
      </w:r>
      <w:r w:rsidR="008871F0">
        <w:rPr>
          <w:b/>
        </w:rPr>
        <w:t xml:space="preserve">the </w:t>
      </w:r>
      <w:r>
        <w:rPr>
          <w:b/>
        </w:rPr>
        <w:t xml:space="preserve">evidence </w:t>
      </w:r>
      <w:r w:rsidR="008871F0">
        <w:rPr>
          <w:b/>
        </w:rPr>
        <w:t xml:space="preserve">PSE presented in this case </w:t>
      </w:r>
      <w:r>
        <w:rPr>
          <w:b/>
        </w:rPr>
        <w:t xml:space="preserve">of </w:t>
      </w:r>
      <w:r w:rsidRPr="00137B17">
        <w:rPr>
          <w:b/>
        </w:rPr>
        <w:t>actual (per books) returns sufficient to demonstrate attrition</w:t>
      </w:r>
      <w:r>
        <w:rPr>
          <w:b/>
        </w:rPr>
        <w:t>?</w:t>
      </w:r>
    </w:p>
    <w:p w:rsidR="0029071F" w:rsidRDefault="0029071F" w:rsidP="0029071F">
      <w:pPr>
        <w:pStyle w:val="BodyTextIndent"/>
      </w:pPr>
      <w:r>
        <w:t xml:space="preserve">A. </w:t>
      </w:r>
      <w:r>
        <w:tab/>
        <w:t xml:space="preserve">No.  Historical results showing actual returns are not sufficient to demonstrate attrition.  Actual results are impacted by too many factors to be any gauge of attrition.  If actual results were reliable, the rate setting process would be relatively simple since there would be no need for restating and </w:t>
      </w:r>
      <w:r w:rsidRPr="006D6901">
        <w:rPr>
          <w:i/>
        </w:rPr>
        <w:t>pro forma</w:t>
      </w:r>
      <w:r>
        <w:t xml:space="preserve"> adjustments.  The Commission would simply take actual results and determine rates based upon those results.  </w:t>
      </w:r>
    </w:p>
    <w:p w:rsidR="0029071F" w:rsidRDefault="0029071F" w:rsidP="0029071F">
      <w:pPr>
        <w:pStyle w:val="BodyTextIndent"/>
        <w:rPr>
          <w:b/>
        </w:rPr>
      </w:pPr>
    </w:p>
    <w:p w:rsidR="0029071F" w:rsidRPr="00A06EC1" w:rsidRDefault="0029071F" w:rsidP="0029071F">
      <w:pPr>
        <w:pStyle w:val="BodyTextIndent"/>
        <w:rPr>
          <w:b/>
        </w:rPr>
      </w:pPr>
      <w:r>
        <w:rPr>
          <w:b/>
        </w:rPr>
        <w:lastRenderedPageBreak/>
        <w:t>Q.</w:t>
      </w:r>
      <w:r>
        <w:rPr>
          <w:b/>
        </w:rPr>
        <w:tab/>
        <w:t>Does PSE offer any other evidence regarding its financial performance based upon actual results?</w:t>
      </w:r>
    </w:p>
    <w:p w:rsidR="0029071F" w:rsidRDefault="0029071F" w:rsidP="0029071F">
      <w:pPr>
        <w:pStyle w:val="BodyTextIndent"/>
      </w:pPr>
      <w:r>
        <w:t>A.</w:t>
      </w:r>
      <w:r>
        <w:tab/>
        <w:t>Yes.  Ms. Harris discusses the volatile nature of actual results as a gauge of financial performance.</w:t>
      </w:r>
      <w:r>
        <w:rPr>
          <w:rStyle w:val="FootnoteReference"/>
        </w:rPr>
        <w:footnoteReference w:id="65"/>
      </w:r>
      <w:r>
        <w:t xml:space="preserve">  </w:t>
      </w:r>
    </w:p>
    <w:p w:rsidR="0029071F" w:rsidRDefault="0029071F" w:rsidP="0029071F">
      <w:pPr>
        <w:pStyle w:val="BodyTextIndent"/>
      </w:pPr>
    </w:p>
    <w:p w:rsidR="0029071F" w:rsidRDefault="0029071F" w:rsidP="0029071F">
      <w:pPr>
        <w:pStyle w:val="BodyTextIndent"/>
        <w:rPr>
          <w:b/>
        </w:rPr>
      </w:pPr>
      <w:r>
        <w:rPr>
          <w:b/>
        </w:rPr>
        <w:t>Q.</w:t>
      </w:r>
      <w:r>
        <w:rPr>
          <w:b/>
        </w:rPr>
        <w:tab/>
        <w:t>Is her testimony consistent with the reliance of Mr. Gaines and Dr. Olson on actual returns as a gauge of financial performance?</w:t>
      </w:r>
    </w:p>
    <w:p w:rsidR="0029071F" w:rsidRDefault="0029071F" w:rsidP="0029071F">
      <w:pPr>
        <w:pStyle w:val="BodyTextIndent"/>
        <w:rPr>
          <w:b/>
        </w:rPr>
      </w:pPr>
      <w:r>
        <w:t>A.</w:t>
      </w:r>
      <w:r>
        <w:tab/>
        <w:t>No.  In fact, her testimony shows how various factors other than attrition affect actual earned returns.  This directly contradicts Mr. Gaines’ and Dr. Olson’s reliance upon actual returns as a gauge of financial performance</w:t>
      </w:r>
      <w:r w:rsidR="00AD5539">
        <w:t xml:space="preserve"> for ratemaking purposes</w:t>
      </w:r>
      <w:r>
        <w:t xml:space="preserve">. </w:t>
      </w:r>
    </w:p>
    <w:p w:rsidR="0029071F" w:rsidRDefault="0029071F" w:rsidP="0029071F">
      <w:pPr>
        <w:pStyle w:val="BodyTextIndent"/>
        <w:rPr>
          <w:b/>
        </w:rPr>
      </w:pPr>
    </w:p>
    <w:p w:rsidR="0029071F" w:rsidRPr="00B1084B" w:rsidRDefault="0029071F" w:rsidP="0029071F">
      <w:pPr>
        <w:pStyle w:val="BodyTextIndent"/>
        <w:rPr>
          <w:b/>
        </w:rPr>
      </w:pPr>
      <w:r>
        <w:rPr>
          <w:b/>
        </w:rPr>
        <w:t>Q.</w:t>
      </w:r>
      <w:r>
        <w:rPr>
          <w:b/>
        </w:rPr>
        <w:tab/>
        <w:t>What other factors did you consider in evaluating the Company’s claim of attrition based upon actual returns?</w:t>
      </w:r>
    </w:p>
    <w:p w:rsidR="0029071F" w:rsidRDefault="0029071F" w:rsidP="0029071F">
      <w:pPr>
        <w:pStyle w:val="BodyTextIndent"/>
      </w:pPr>
      <w:r>
        <w:t>A.</w:t>
      </w:r>
      <w:r>
        <w:tab/>
        <w:t>I also considered the fact that the data presented by Mr. Gaines is for the combined gas and electric utility operations.</w:t>
      </w:r>
      <w:r>
        <w:rPr>
          <w:rStyle w:val="FootnoteReference"/>
        </w:rPr>
        <w:footnoteReference w:id="66"/>
      </w:r>
      <w:r>
        <w:t xml:space="preserve">  By combining gas and electric results, the Commission is prevented from understanding what, if any, specific remedy may be necessary and appropriate for each line of business.  </w:t>
      </w:r>
      <w:r w:rsidR="00546664">
        <w:t xml:space="preserve"> </w:t>
      </w:r>
    </w:p>
    <w:p w:rsidR="0029071F" w:rsidRDefault="0029071F" w:rsidP="0029071F">
      <w:pPr>
        <w:tabs>
          <w:tab w:val="left" w:pos="720"/>
          <w:tab w:val="left" w:pos="1440"/>
          <w:tab w:val="left" w:pos="9240"/>
        </w:tabs>
        <w:spacing w:line="480" w:lineRule="auto"/>
        <w:ind w:left="720" w:hanging="720"/>
        <w:rPr>
          <w:b/>
        </w:rPr>
      </w:pPr>
    </w:p>
    <w:p w:rsidR="0029071F" w:rsidRDefault="0029071F" w:rsidP="0029071F">
      <w:pPr>
        <w:pStyle w:val="BodyTextIndent"/>
        <w:rPr>
          <w:b/>
        </w:rPr>
      </w:pPr>
      <w:r>
        <w:rPr>
          <w:b/>
        </w:rPr>
        <w:t>Q.</w:t>
      </w:r>
      <w:r>
        <w:rPr>
          <w:b/>
        </w:rPr>
        <w:tab/>
        <w:t>Has the Commission ever evaluated whether actual results are a proper gauge of financial performance?</w:t>
      </w:r>
    </w:p>
    <w:p w:rsidR="0029071F" w:rsidRDefault="0029071F" w:rsidP="0029071F">
      <w:pPr>
        <w:pStyle w:val="BodyTextIndent"/>
      </w:pPr>
      <w:r>
        <w:t>A.</w:t>
      </w:r>
      <w:r>
        <w:tab/>
        <w:t xml:space="preserve">Yes.  In 1988, the </w:t>
      </w:r>
      <w:r w:rsidR="008871F0">
        <w:t xml:space="preserve">State </w:t>
      </w:r>
      <w:r>
        <w:t xml:space="preserve">legislature expressed concern to the Commission that utilities were realizing excessive earnings.  The legislature reached this conclusion based </w:t>
      </w:r>
      <w:r>
        <w:lastRenderedPageBreak/>
        <w:t xml:space="preserve">upon actual per books results as reported to the Commission. </w:t>
      </w:r>
      <w:r w:rsidR="008871F0">
        <w:t xml:space="preserve"> </w:t>
      </w:r>
      <w:r>
        <w:t xml:space="preserve">The Commission realized that its </w:t>
      </w:r>
      <w:r w:rsidR="008871F0">
        <w:t xml:space="preserve">then-existing </w:t>
      </w:r>
      <w:r>
        <w:t>rules requiring utilities to file financial reports based upon actual results were not an accurate gauge of financial performance and could lead to inaccurate conclusions.  As a result, the Commission amended its rules to correct that flaw in reporting financial results.  It now requires utilities to report normalized financial results, now commonly referred to as “Commission basis” results.</w:t>
      </w:r>
      <w:r w:rsidR="008871F0">
        <w:rPr>
          <w:rStyle w:val="FootnoteReference"/>
        </w:rPr>
        <w:footnoteReference w:id="67"/>
      </w:r>
    </w:p>
    <w:p w:rsidR="00EF5B61" w:rsidRDefault="00EF5B61" w:rsidP="0029071F">
      <w:pPr>
        <w:pStyle w:val="BodyTextIndent"/>
      </w:pPr>
    </w:p>
    <w:p w:rsidR="00EF5B61" w:rsidRDefault="00586CDE" w:rsidP="0029071F">
      <w:pPr>
        <w:pStyle w:val="BodyTextIndent"/>
        <w:rPr>
          <w:b/>
        </w:rPr>
      </w:pPr>
      <w:r>
        <w:rPr>
          <w:b/>
        </w:rPr>
        <w:t>Q.</w:t>
      </w:r>
      <w:r>
        <w:rPr>
          <w:b/>
        </w:rPr>
        <w:tab/>
        <w:t xml:space="preserve">Can you provide any </w:t>
      </w:r>
      <w:r w:rsidR="00EF5B61">
        <w:rPr>
          <w:b/>
        </w:rPr>
        <w:t>example</w:t>
      </w:r>
      <w:r>
        <w:rPr>
          <w:b/>
        </w:rPr>
        <w:t>s</w:t>
      </w:r>
      <w:r w:rsidR="00EF5B61">
        <w:rPr>
          <w:b/>
        </w:rPr>
        <w:t xml:space="preserve"> of how PSE calculates per books results and </w:t>
      </w:r>
      <w:r w:rsidR="003723B9">
        <w:rPr>
          <w:b/>
        </w:rPr>
        <w:t>why</w:t>
      </w:r>
      <w:r w:rsidR="00EF5B61">
        <w:rPr>
          <w:b/>
        </w:rPr>
        <w:t xml:space="preserve"> its presentation</w:t>
      </w:r>
      <w:r w:rsidR="003723B9">
        <w:rPr>
          <w:b/>
        </w:rPr>
        <w:t xml:space="preserve"> of these results should be used with caution</w:t>
      </w:r>
      <w:r w:rsidR="00EF5B61">
        <w:rPr>
          <w:b/>
        </w:rPr>
        <w:t>?</w:t>
      </w:r>
    </w:p>
    <w:p w:rsidR="00EF5B61" w:rsidRDefault="00EF5B61" w:rsidP="0029071F">
      <w:pPr>
        <w:pStyle w:val="BodyTextIndent"/>
      </w:pPr>
      <w:r>
        <w:t>A.</w:t>
      </w:r>
      <w:r>
        <w:tab/>
      </w:r>
      <w:r w:rsidR="003723B9">
        <w:t xml:space="preserve">Yes.  A good example is </w:t>
      </w:r>
      <w:r>
        <w:t xml:space="preserve">PSE’s per books </w:t>
      </w:r>
      <w:r w:rsidR="003723B9">
        <w:t>for December 31, 2010</w:t>
      </w:r>
      <w:r w:rsidR="00E71A31">
        <w:t>,</w:t>
      </w:r>
      <w:r w:rsidR="008135F8">
        <w:t xml:space="preserve"> for its electric operations</w:t>
      </w:r>
      <w:r w:rsidR="003723B9">
        <w:t xml:space="preserve">.  </w:t>
      </w:r>
      <w:r>
        <w:t xml:space="preserve">In its </w:t>
      </w:r>
      <w:r w:rsidR="003723B9">
        <w:t>Commission basis report filed with the Commission</w:t>
      </w:r>
      <w:r w:rsidR="00522E82">
        <w:t>,</w:t>
      </w:r>
      <w:r>
        <w:t xml:space="preserve"> PSE records its FAS 133 mark-to-market results above </w:t>
      </w:r>
      <w:r w:rsidR="002739BE">
        <w:t>the line.  Exhibit No.___ (</w:t>
      </w:r>
      <w:proofErr w:type="spellStart"/>
      <w:r w:rsidR="002739BE">
        <w:t>KLE</w:t>
      </w:r>
      <w:proofErr w:type="spellEnd"/>
      <w:r w:rsidR="002739BE">
        <w:t>-7</w:t>
      </w:r>
      <w:r>
        <w:t xml:space="preserve">) is a summary page of that report.  On line 28 PSE shows the </w:t>
      </w:r>
      <w:r w:rsidR="003723B9">
        <w:t>above-the-line</w:t>
      </w:r>
      <w:r>
        <w:t xml:space="preserve"> </w:t>
      </w:r>
      <w:r w:rsidR="003723B9">
        <w:t xml:space="preserve">treatment of this item </w:t>
      </w:r>
      <w:r>
        <w:t xml:space="preserve">in </w:t>
      </w:r>
      <w:r w:rsidR="009E4FC0">
        <w:t>the</w:t>
      </w:r>
      <w:r>
        <w:t xml:space="preserve"> per books results.  As a result</w:t>
      </w:r>
      <w:r w:rsidR="00220DA5">
        <w:t>,</w:t>
      </w:r>
      <w:r>
        <w:t xml:space="preserve"> line 34 is understated by $166,953,</w:t>
      </w:r>
      <w:r w:rsidR="009E4FC0">
        <w:t>097.  In turn</w:t>
      </w:r>
      <w:r w:rsidR="00220DA5">
        <w:t xml:space="preserve">, </w:t>
      </w:r>
      <w:r>
        <w:t xml:space="preserve">PSE calculates a per books rate of return on line 36 of 2.89 percent.  </w:t>
      </w:r>
      <w:r w:rsidR="003723B9">
        <w:t>The result</w:t>
      </w:r>
      <w:r>
        <w:t xml:space="preserve"> is a significant understatement </w:t>
      </w:r>
      <w:r w:rsidR="00586CDE">
        <w:t>of the</w:t>
      </w:r>
      <w:r>
        <w:t xml:space="preserve"> per books results.</w:t>
      </w:r>
      <w:r w:rsidR="003723B9">
        <w:t xml:space="preserve">  </w:t>
      </w:r>
    </w:p>
    <w:p w:rsidR="00586CDE" w:rsidRDefault="00586CDE" w:rsidP="0029071F">
      <w:pPr>
        <w:pStyle w:val="BodyTextIndent"/>
      </w:pPr>
      <w:r>
        <w:tab/>
      </w:r>
      <w:r>
        <w:tab/>
        <w:t xml:space="preserve">Another example is the most recent quarterly report filed by PSE </w:t>
      </w:r>
      <w:r w:rsidR="00DF47CE">
        <w:t xml:space="preserve">with the Commission showing the per book results for the period ending </w:t>
      </w:r>
      <w:r>
        <w:t xml:space="preserve">September 30, 2011.  </w:t>
      </w:r>
      <w:r w:rsidR="00DF47CE">
        <w:t>T</w:t>
      </w:r>
      <w:r>
        <w:t xml:space="preserve">his data indicates that the alleged attrition is not so bad.  PSE’s </w:t>
      </w:r>
      <w:r w:rsidR="00DF47CE">
        <w:t>report shows</w:t>
      </w:r>
      <w:r>
        <w:t xml:space="preserve"> an overall rate of return of 7.03 and 7.31 percent</w:t>
      </w:r>
      <w:r w:rsidR="00220DA5">
        <w:t>,</w:t>
      </w:r>
      <w:r>
        <w:t xml:space="preserve"> respectively</w:t>
      </w:r>
      <w:r w:rsidR="00220DA5">
        <w:t>,</w:t>
      </w:r>
      <w:r>
        <w:t xml:space="preserve"> for its electric and natural gas operations.</w:t>
      </w:r>
      <w:r>
        <w:rPr>
          <w:rStyle w:val="FootnoteReference"/>
        </w:rPr>
        <w:footnoteReference w:id="68"/>
      </w:r>
    </w:p>
    <w:p w:rsidR="00586CDE" w:rsidRDefault="00586CDE" w:rsidP="0029071F">
      <w:pPr>
        <w:pStyle w:val="BodyTextIndent"/>
      </w:pPr>
    </w:p>
    <w:p w:rsidR="00586CDE" w:rsidRPr="00586CDE" w:rsidRDefault="00586CDE" w:rsidP="0029071F">
      <w:pPr>
        <w:pStyle w:val="BodyTextIndent"/>
        <w:rPr>
          <w:b/>
        </w:rPr>
      </w:pPr>
      <w:r>
        <w:rPr>
          <w:b/>
        </w:rPr>
        <w:t>Q.</w:t>
      </w:r>
      <w:r>
        <w:rPr>
          <w:b/>
        </w:rPr>
        <w:tab/>
        <w:t xml:space="preserve">What </w:t>
      </w:r>
      <w:r w:rsidR="00220DA5">
        <w:rPr>
          <w:b/>
        </w:rPr>
        <w:t>do</w:t>
      </w:r>
      <w:r>
        <w:rPr>
          <w:b/>
        </w:rPr>
        <w:t xml:space="preserve"> you conclu</w:t>
      </w:r>
      <w:r w:rsidR="00220DA5">
        <w:rPr>
          <w:b/>
        </w:rPr>
        <w:t>de</w:t>
      </w:r>
      <w:r>
        <w:rPr>
          <w:b/>
        </w:rPr>
        <w:t xml:space="preserve"> about whether per books financial results should be used in the rate setting process to evaluate attrition?</w:t>
      </w:r>
    </w:p>
    <w:p w:rsidR="00586CDE" w:rsidRDefault="00586CDE" w:rsidP="00586CDE">
      <w:pPr>
        <w:pStyle w:val="BodyTextIndent"/>
      </w:pPr>
      <w:r>
        <w:t>A.</w:t>
      </w:r>
      <w:r w:rsidR="00DF47CE">
        <w:rPr>
          <w:b/>
        </w:rPr>
        <w:tab/>
      </w:r>
      <w:r w:rsidR="00DF47CE">
        <w:t xml:space="preserve">Unadjusted per book results should </w:t>
      </w:r>
      <w:r w:rsidR="009E4FC0">
        <w:t>not be</w:t>
      </w:r>
      <w:r w:rsidR="00DF47CE">
        <w:t xml:space="preserve"> </w:t>
      </w:r>
      <w:r w:rsidR="009E4FC0">
        <w:t>a measure of</w:t>
      </w:r>
      <w:r w:rsidR="00220DA5">
        <w:t xml:space="preserve"> attrition</w:t>
      </w:r>
      <w:r w:rsidR="00DF47CE">
        <w:t xml:space="preserve">.  </w:t>
      </w:r>
      <w:r w:rsidR="00220DA5">
        <w:t>Instead</w:t>
      </w:r>
      <w:r w:rsidR="00DF47CE">
        <w:t>, a</w:t>
      </w:r>
      <w:r w:rsidRPr="00586CDE">
        <w:t xml:space="preserve"> proper</w:t>
      </w:r>
      <w:r w:rsidR="00DF47CE">
        <w:t>ly performed attrition study using</w:t>
      </w:r>
      <w:r w:rsidRPr="00586CDE">
        <w:t xml:space="preserve"> trend analysis </w:t>
      </w:r>
      <w:r w:rsidR="00DF47CE">
        <w:t>i</w:t>
      </w:r>
      <w:r w:rsidR="00220DA5">
        <w:t>s</w:t>
      </w:r>
      <w:r w:rsidR="00DF47CE">
        <w:t xml:space="preserve"> necessary </w:t>
      </w:r>
      <w:r w:rsidRPr="00586CDE">
        <w:t>to</w:t>
      </w:r>
      <w:r>
        <w:t xml:space="preserve"> determine whether there is a strong probability in the rate year that the utility will not experience the test period relationship of revenues, expenses and rate base.</w:t>
      </w:r>
      <w:r>
        <w:rPr>
          <w:rStyle w:val="FootnoteReference"/>
        </w:rPr>
        <w:footnoteReference w:id="69"/>
      </w:r>
      <w:r>
        <w:t xml:space="preserve"> Moreover, the specific attrition calculation will show the impact of attrition on rate of return.  The Commission would then have evidence and the ability to determine the revenue necessary to provide PSE an opportunity to earn a fair rate of return.</w:t>
      </w:r>
    </w:p>
    <w:p w:rsidR="0029071F" w:rsidRPr="00586CDE" w:rsidRDefault="0029071F" w:rsidP="00586CDE">
      <w:pPr>
        <w:pStyle w:val="BodyTextIndent"/>
        <w:ind w:left="0" w:firstLine="0"/>
        <w:rPr>
          <w:b/>
        </w:rPr>
      </w:pPr>
    </w:p>
    <w:p w:rsidR="0029071F" w:rsidRDefault="0029071F" w:rsidP="0029071F">
      <w:pPr>
        <w:tabs>
          <w:tab w:val="left" w:pos="720"/>
          <w:tab w:val="left" w:pos="1440"/>
          <w:tab w:val="left" w:pos="9240"/>
        </w:tabs>
        <w:spacing w:line="480" w:lineRule="auto"/>
        <w:ind w:left="720" w:hanging="720"/>
        <w:rPr>
          <w:b/>
        </w:rPr>
      </w:pPr>
      <w:r>
        <w:rPr>
          <w:b/>
        </w:rPr>
        <w:t>Q.</w:t>
      </w:r>
      <w:r>
        <w:rPr>
          <w:b/>
        </w:rPr>
        <w:tab/>
        <w:t>Both Mr. Gaines and Dr. Olson discuss attrition and its implications on the Company’s owners and the cost of capital.  What is your response?</w:t>
      </w:r>
    </w:p>
    <w:p w:rsidR="0029071F" w:rsidRDefault="0029071F" w:rsidP="0029071F">
      <w:pPr>
        <w:tabs>
          <w:tab w:val="left" w:pos="720"/>
          <w:tab w:val="left" w:pos="1440"/>
          <w:tab w:val="left" w:pos="9240"/>
        </w:tabs>
        <w:spacing w:line="480" w:lineRule="auto"/>
        <w:ind w:left="720" w:hanging="720"/>
      </w:pPr>
      <w:r>
        <w:t>A.</w:t>
      </w:r>
      <w:r>
        <w:tab/>
        <w:t xml:space="preserve">I do not agree with their interpretations of </w:t>
      </w:r>
      <w:r w:rsidRPr="00B945C1">
        <w:rPr>
          <w:i/>
        </w:rPr>
        <w:t xml:space="preserve">Hope </w:t>
      </w:r>
      <w:r w:rsidRPr="00B945C1">
        <w:t>and</w:t>
      </w:r>
      <w:r w:rsidRPr="00B945C1">
        <w:rPr>
          <w:i/>
        </w:rPr>
        <w:t xml:space="preserve"> Bluefield</w:t>
      </w:r>
      <w:r>
        <w:t>.  In particular, their use of terms such as “entitled” or “authorized” when referring to actual earned returns is troublesome.</w:t>
      </w:r>
      <w:r>
        <w:rPr>
          <w:rStyle w:val="FootnoteReference"/>
        </w:rPr>
        <w:footnoteReference w:id="70"/>
      </w:r>
      <w:r>
        <w:t xml:space="preserve">  </w:t>
      </w:r>
    </w:p>
    <w:p w:rsidR="0029071F" w:rsidRDefault="0029071F" w:rsidP="00220DA5">
      <w:pPr>
        <w:tabs>
          <w:tab w:val="left" w:pos="720"/>
          <w:tab w:val="left" w:pos="1440"/>
          <w:tab w:val="left" w:pos="9240"/>
        </w:tabs>
        <w:spacing w:line="480" w:lineRule="auto"/>
        <w:ind w:left="720" w:hanging="720"/>
      </w:pPr>
      <w:r>
        <w:tab/>
      </w:r>
      <w:r>
        <w:tab/>
        <w:t xml:space="preserve">This language suggests that regulation should guarantee a specified </w:t>
      </w:r>
      <w:r w:rsidR="00DF47CE" w:rsidRPr="00DF47CE">
        <w:rPr>
          <w:i/>
        </w:rPr>
        <w:t>ex post</w:t>
      </w:r>
      <w:r w:rsidR="00DF47CE">
        <w:t xml:space="preserve"> </w:t>
      </w:r>
      <w:r>
        <w:t xml:space="preserve">return.  Neither </w:t>
      </w:r>
      <w:r w:rsidRPr="00A154D5">
        <w:rPr>
          <w:i/>
        </w:rPr>
        <w:t>Hope</w:t>
      </w:r>
      <w:r>
        <w:t xml:space="preserve"> nor </w:t>
      </w:r>
      <w:r w:rsidRPr="00A154D5">
        <w:rPr>
          <w:i/>
        </w:rPr>
        <w:t>Bluefield</w:t>
      </w:r>
      <w:r>
        <w:t xml:space="preserve"> requires the Commission to guarantee a particular cost of capital or entitle a utility to a certain return on equity.  In fact, </w:t>
      </w:r>
      <w:r w:rsidRPr="00B76628">
        <w:rPr>
          <w:i/>
        </w:rPr>
        <w:t>Hope</w:t>
      </w:r>
      <w:r>
        <w:t xml:space="preserve"> recognized that valid rate making may sometimes produce a lower return: </w:t>
      </w:r>
    </w:p>
    <w:p w:rsidR="0029071F" w:rsidRDefault="0029071F" w:rsidP="0029071F">
      <w:pPr>
        <w:tabs>
          <w:tab w:val="left" w:pos="9240"/>
        </w:tabs>
        <w:ind w:left="1440"/>
      </w:pPr>
      <w:r>
        <w:t xml:space="preserve">Rates which enable the company to operate successfully, to maintain its financial integrity, to attract capital, and to compensate its investors for the </w:t>
      </w:r>
      <w:r>
        <w:lastRenderedPageBreak/>
        <w:t>risks assumed certainly cannot be condemned as invalid, even though they might produce only a meager return on the so-called “fair value” rate base.</w:t>
      </w:r>
      <w:r w:rsidR="003913F0">
        <w:rPr>
          <w:rStyle w:val="FootnoteReference"/>
        </w:rPr>
        <w:footnoteReference w:id="71"/>
      </w:r>
      <w:r>
        <w:t xml:space="preserve"> </w:t>
      </w:r>
    </w:p>
    <w:p w:rsidR="0029071F" w:rsidRDefault="0029071F" w:rsidP="0029071F">
      <w:pPr>
        <w:tabs>
          <w:tab w:val="left" w:pos="9240"/>
        </w:tabs>
        <w:ind w:left="1440"/>
      </w:pPr>
    </w:p>
    <w:p w:rsidR="0029071F" w:rsidRDefault="0029071F" w:rsidP="0029071F">
      <w:pPr>
        <w:tabs>
          <w:tab w:val="left" w:pos="720"/>
          <w:tab w:val="left" w:pos="1440"/>
          <w:tab w:val="left" w:pos="9240"/>
        </w:tabs>
        <w:spacing w:line="480" w:lineRule="auto"/>
        <w:ind w:left="720" w:hanging="720"/>
      </w:pPr>
      <w:r>
        <w:tab/>
      </w:r>
      <w:r>
        <w:tab/>
        <w:t xml:space="preserve">In my opinion, the relevant question is whether the Commission treats its utilities consistently and fairly over time.  My experience is that the Commission has done so.  The Commission has provided </w:t>
      </w:r>
      <w:r w:rsidRPr="00FE11DA">
        <w:rPr>
          <w:sz w:val="22"/>
        </w:rPr>
        <w:t>PSE</w:t>
      </w:r>
      <w:r>
        <w:rPr>
          <w:sz w:val="22"/>
        </w:rPr>
        <w:t xml:space="preserve"> </w:t>
      </w:r>
      <w:r>
        <w:t>many special accounting and ratemaking treatments for many different items of expense and investment.  In fact, Moody’s identifies the Commission as providing, “Collaborative Regulatory Relationships and Credit Supportive Regulatory Practices.”</w:t>
      </w:r>
      <w:r>
        <w:rPr>
          <w:rStyle w:val="FootnoteReference"/>
        </w:rPr>
        <w:footnoteReference w:id="72"/>
      </w:r>
      <w:r>
        <w:t xml:space="preserve">  </w:t>
      </w:r>
    </w:p>
    <w:p w:rsidR="0029071F" w:rsidRDefault="0029071F" w:rsidP="0029071F">
      <w:pPr>
        <w:tabs>
          <w:tab w:val="left" w:pos="720"/>
          <w:tab w:val="left" w:pos="1440"/>
          <w:tab w:val="left" w:pos="9240"/>
        </w:tabs>
        <w:spacing w:line="480" w:lineRule="auto"/>
        <w:ind w:left="720" w:hanging="720"/>
      </w:pPr>
    </w:p>
    <w:p w:rsidR="0029071F" w:rsidRDefault="0029071F" w:rsidP="0029071F">
      <w:pPr>
        <w:tabs>
          <w:tab w:val="left" w:pos="720"/>
          <w:tab w:val="left" w:pos="1440"/>
          <w:tab w:val="left" w:pos="9240"/>
        </w:tabs>
        <w:spacing w:line="480" w:lineRule="auto"/>
        <w:ind w:left="720" w:hanging="720"/>
        <w:rPr>
          <w:b/>
        </w:rPr>
      </w:pPr>
      <w:r>
        <w:rPr>
          <w:b/>
        </w:rPr>
        <w:t>Q.</w:t>
      </w:r>
      <w:r>
        <w:rPr>
          <w:b/>
        </w:rPr>
        <w:tab/>
        <w:t>Do you have any other comments with respect to the Company’s presentation on attrition?</w:t>
      </w:r>
    </w:p>
    <w:p w:rsidR="0029071F" w:rsidRDefault="0029071F" w:rsidP="0029071F">
      <w:pPr>
        <w:tabs>
          <w:tab w:val="left" w:pos="720"/>
          <w:tab w:val="left" w:pos="1440"/>
          <w:tab w:val="left" w:pos="9240"/>
        </w:tabs>
        <w:spacing w:line="480" w:lineRule="auto"/>
        <w:ind w:left="720" w:hanging="720"/>
        <w:rPr>
          <w:b/>
        </w:rPr>
      </w:pPr>
      <w:r>
        <w:t>A.</w:t>
      </w:r>
      <w:r>
        <w:tab/>
        <w:t>Yes.  First, if the Commission amends its ratemaking practices and establishes rates that guarantee a rate of return, or otherwise develops policies that provide an entitlement to the “authorized” return on equity for any utility, then the ROE should be adjusted downward to reflect</w:t>
      </w:r>
      <w:r w:rsidR="00640726">
        <w:t xml:space="preserve"> this</w:t>
      </w:r>
      <w:r>
        <w:t xml:space="preserve"> substantial reduction in risk.  The Commission has </w:t>
      </w:r>
      <w:r w:rsidR="00220DA5">
        <w:t xml:space="preserve">already recognized this </w:t>
      </w:r>
      <w:r w:rsidR="003B5421">
        <w:t>principle when it stated that</w:t>
      </w:r>
      <w:r>
        <w:t xml:space="preserve"> amending its ratemaking policies to implement full decoupling, a mechanism that guarantee</w:t>
      </w:r>
      <w:r w:rsidR="00220DA5">
        <w:t>s</w:t>
      </w:r>
      <w:r>
        <w:t xml:space="preserve"> revenues </w:t>
      </w:r>
      <w:proofErr w:type="gramStart"/>
      <w:r>
        <w:t xml:space="preserve">or </w:t>
      </w:r>
      <w:r w:rsidR="00FF46ED">
        <w:t xml:space="preserve"> p</w:t>
      </w:r>
      <w:r>
        <w:t>rofits</w:t>
      </w:r>
      <w:proofErr w:type="gramEnd"/>
      <w:r w:rsidR="003B5421">
        <w:t>,</w:t>
      </w:r>
      <w:r>
        <w:t xml:space="preserve"> reduces risk and reduces both debt and equity costs.</w:t>
      </w:r>
      <w:r>
        <w:rPr>
          <w:rStyle w:val="FootnoteReference"/>
        </w:rPr>
        <w:footnoteReference w:id="73"/>
      </w:r>
    </w:p>
    <w:p w:rsidR="0029071F" w:rsidRDefault="0029071F" w:rsidP="0029071F">
      <w:pPr>
        <w:tabs>
          <w:tab w:val="left" w:pos="720"/>
          <w:tab w:val="left" w:pos="1440"/>
          <w:tab w:val="left" w:pos="9240"/>
        </w:tabs>
        <w:spacing w:line="480" w:lineRule="auto"/>
        <w:ind w:left="720" w:hanging="720"/>
      </w:pPr>
      <w:r>
        <w:tab/>
      </w:r>
      <w:r>
        <w:tab/>
        <w:t xml:space="preserve">Second, the Commission should review the utility’s capital structure in light of the guaranteed revenue and earnings stream of the utility.  The purpose of an equity layer is to provide sufficient operating income or profit margin so the firm has sufficient pre-tax revenue to service debt under adverse earnings scenarios.  If the </w:t>
      </w:r>
      <w:r>
        <w:lastRenderedPageBreak/>
        <w:t>utility is “entitled” to some level of profits, either through decoupling or some other mechanism guaranteeing profits, adverse earnings scenarios are eliminated.  Therefore, the amount of equity and profit margin should be reduced accordingly.</w:t>
      </w:r>
    </w:p>
    <w:p w:rsidR="0029071F" w:rsidRDefault="0029071F" w:rsidP="0029071F">
      <w:pPr>
        <w:tabs>
          <w:tab w:val="left" w:pos="720"/>
          <w:tab w:val="left" w:pos="1440"/>
          <w:tab w:val="left" w:pos="9240"/>
        </w:tabs>
        <w:spacing w:line="480" w:lineRule="auto"/>
        <w:ind w:left="720" w:hanging="720"/>
      </w:pPr>
    </w:p>
    <w:p w:rsidR="0029071F" w:rsidRPr="00884FB7" w:rsidRDefault="0029071F" w:rsidP="0029071F">
      <w:pPr>
        <w:tabs>
          <w:tab w:val="left" w:pos="720"/>
          <w:tab w:val="left" w:pos="1440"/>
          <w:tab w:val="left" w:pos="9240"/>
        </w:tabs>
        <w:spacing w:line="480" w:lineRule="auto"/>
        <w:ind w:left="720" w:hanging="720"/>
        <w:rPr>
          <w:b/>
        </w:rPr>
      </w:pPr>
      <w:r>
        <w:rPr>
          <w:b/>
        </w:rPr>
        <w:t>Q.</w:t>
      </w:r>
      <w:r>
        <w:rPr>
          <w:b/>
        </w:rPr>
        <w:tab/>
        <w:t>Does this have any impact on Staff’s response to the Commission’s Bench Request seeking input on decoupling?</w:t>
      </w:r>
    </w:p>
    <w:p w:rsidR="0029071F" w:rsidRDefault="0029071F" w:rsidP="0029071F">
      <w:pPr>
        <w:tabs>
          <w:tab w:val="left" w:pos="720"/>
          <w:tab w:val="left" w:pos="1440"/>
          <w:tab w:val="left" w:pos="9240"/>
        </w:tabs>
        <w:spacing w:line="480" w:lineRule="auto"/>
        <w:ind w:left="720" w:hanging="720"/>
      </w:pPr>
      <w:r>
        <w:t>A.</w:t>
      </w:r>
      <w:r>
        <w:tab/>
        <w:t xml:space="preserve">Yes.  Staff is </w:t>
      </w:r>
      <w:r w:rsidR="003B5421">
        <w:t xml:space="preserve">providing a response to the Commission’s Bench Request on decoupling and is also </w:t>
      </w:r>
      <w:r>
        <w:t xml:space="preserve">evaluating the conservation savings adjustment proposed by PSE.  However, it is important to recognize that an attrition study, which includes a proper bill analysis, will capture the effects of conservation on PSE’s opportunity to earn a fair rate of return.  There is no need to develop a separate deferral mechanism for conservation impacts on load as proposed by PSE.  Alternatively, if the Commission considers </w:t>
      </w:r>
      <w:proofErr w:type="gramStart"/>
      <w:r>
        <w:t>both an</w:t>
      </w:r>
      <w:proofErr w:type="gramEnd"/>
      <w:r>
        <w:t xml:space="preserve"> attrition study and decoupling, the </w:t>
      </w:r>
      <w:r w:rsidR="003B5421">
        <w:t xml:space="preserve">Commission and parties </w:t>
      </w:r>
      <w:r>
        <w:t xml:space="preserve">will need to be sure there is no overlap between the two. </w:t>
      </w:r>
    </w:p>
    <w:p w:rsidR="0029071F" w:rsidRDefault="0029071F" w:rsidP="0029071F">
      <w:pPr>
        <w:tabs>
          <w:tab w:val="left" w:pos="720"/>
          <w:tab w:val="left" w:pos="1440"/>
          <w:tab w:val="left" w:pos="9240"/>
        </w:tabs>
        <w:spacing w:line="480" w:lineRule="auto"/>
        <w:ind w:left="720" w:hanging="720"/>
      </w:pPr>
    </w:p>
    <w:p w:rsidR="0029071F" w:rsidRDefault="0029071F" w:rsidP="0029071F">
      <w:pPr>
        <w:tabs>
          <w:tab w:val="left" w:pos="720"/>
          <w:tab w:val="left" w:pos="1440"/>
          <w:tab w:val="left" w:pos="9240"/>
        </w:tabs>
        <w:spacing w:line="480" w:lineRule="auto"/>
        <w:ind w:left="720" w:hanging="720"/>
        <w:rPr>
          <w:b/>
        </w:rPr>
      </w:pPr>
      <w:r>
        <w:rPr>
          <w:b/>
        </w:rPr>
        <w:t>Q.</w:t>
      </w:r>
      <w:r>
        <w:rPr>
          <w:b/>
        </w:rPr>
        <w:tab/>
        <w:t>Do you have any final comment with respect to the issue of attrition in evaluating PSE’s direct case and the Commission’s Bench Request with respect to decoupling as an appropriate response for utilities in today’s environment?</w:t>
      </w:r>
    </w:p>
    <w:p w:rsidR="003B5421" w:rsidRDefault="0029071F" w:rsidP="0029071F">
      <w:pPr>
        <w:pStyle w:val="BodyTextIndent"/>
        <w:rPr>
          <w:b/>
        </w:rPr>
      </w:pPr>
      <w:r>
        <w:t>A.</w:t>
      </w:r>
      <w:r>
        <w:tab/>
        <w:t xml:space="preserve">Yes.  An attrition study is much simpler to administer and evaluate in the context of the over-arching obligation of the Commission to set fair, just, reasonable and sufficient rates.  Decoupling in all its varied forms creates unnecessary complexity.  Indeed, the Commission recognized the potential for decoupling to create </w:t>
      </w:r>
      <w:r>
        <w:lastRenderedPageBreak/>
        <w:t>unreasonable administrative burdens.</w:t>
      </w:r>
      <w:r>
        <w:rPr>
          <w:rStyle w:val="FootnoteReference"/>
        </w:rPr>
        <w:footnoteReference w:id="74"/>
      </w:r>
      <w:r>
        <w:t xml:space="preserve">  An attrition study is a simple effective tool for addressing load changes caused by all factors, and it provides the Commission with the best tool for determining fair rates.</w:t>
      </w:r>
    </w:p>
    <w:p w:rsidR="0029071F" w:rsidRDefault="0029071F" w:rsidP="0029071F">
      <w:pPr>
        <w:pStyle w:val="BodyTextIndent"/>
        <w:rPr>
          <w:b/>
        </w:rPr>
      </w:pPr>
    </w:p>
    <w:p w:rsidR="0029071F" w:rsidRPr="00DA5595" w:rsidRDefault="0029071F" w:rsidP="0029071F">
      <w:pPr>
        <w:pStyle w:val="BodyTextIndent"/>
        <w:rPr>
          <w:b/>
        </w:rPr>
      </w:pPr>
      <w:r w:rsidRPr="00DA5595">
        <w:rPr>
          <w:b/>
        </w:rPr>
        <w:t>Q.</w:t>
      </w:r>
      <w:r w:rsidRPr="00DA5595">
        <w:rPr>
          <w:b/>
        </w:rPr>
        <w:tab/>
        <w:t xml:space="preserve">Please summarize </w:t>
      </w:r>
      <w:r>
        <w:rPr>
          <w:b/>
        </w:rPr>
        <w:t>Staff’s position on the Company’s case on</w:t>
      </w:r>
      <w:r w:rsidRPr="00DA5595">
        <w:rPr>
          <w:b/>
        </w:rPr>
        <w:t xml:space="preserve"> attrition.</w:t>
      </w:r>
    </w:p>
    <w:p w:rsidR="0029071F" w:rsidRDefault="0029071F" w:rsidP="0029071F">
      <w:pPr>
        <w:pStyle w:val="BodyTextIndent"/>
      </w:pPr>
      <w:r>
        <w:t>A.</w:t>
      </w:r>
      <w:r>
        <w:tab/>
        <w:t xml:space="preserve">Any utility claiming attrition should support that claim by sufficient evidence, first, demonstrating that attrition exists, and, second, quantifying its impact on the rate of return.  </w:t>
      </w:r>
      <w:r w:rsidR="003E2A08">
        <w:t xml:space="preserve">Despite being capable of presenting a full attrition analysis, </w:t>
      </w:r>
      <w:r>
        <w:t xml:space="preserve">PSE’s claim for attrition is founded only upon actual, unadjusted </w:t>
      </w:r>
      <w:r w:rsidR="00522E82">
        <w:t xml:space="preserve">total </w:t>
      </w:r>
      <w:r>
        <w:t>returns since 2007.  PSE should have presented an attrition study and specified the attrition adjustment, consistent with Commission p</w:t>
      </w:r>
      <w:r w:rsidR="003B5421">
        <w:t>recedent and policy</w:t>
      </w:r>
      <w:r>
        <w:t xml:space="preserve">.  Since PSE failed to do so, or explain why the Commission’s established practice is no longer appropriate, its claim of attrition is unsubstantiated and should be rejected by the Commission.  </w:t>
      </w:r>
    </w:p>
    <w:p w:rsidR="0029071F" w:rsidRDefault="0029071F" w:rsidP="0029071F">
      <w:pPr>
        <w:tabs>
          <w:tab w:val="left" w:pos="720"/>
          <w:tab w:val="left" w:pos="1440"/>
          <w:tab w:val="left" w:pos="9240"/>
        </w:tabs>
        <w:spacing w:line="480" w:lineRule="auto"/>
        <w:ind w:left="720" w:hanging="720"/>
      </w:pPr>
    </w:p>
    <w:p w:rsidR="0029071F" w:rsidRPr="00AC7F84" w:rsidRDefault="00C62BDB" w:rsidP="00C62BDB">
      <w:pPr>
        <w:pStyle w:val="BodyTextIndent"/>
        <w:rPr>
          <w:b/>
        </w:rPr>
      </w:pPr>
      <w:r>
        <w:rPr>
          <w:b/>
        </w:rPr>
        <w:t>C.</w:t>
      </w:r>
      <w:r>
        <w:rPr>
          <w:b/>
        </w:rPr>
        <w:tab/>
      </w:r>
      <w:r w:rsidR="0029071F">
        <w:rPr>
          <w:b/>
        </w:rPr>
        <w:t xml:space="preserve">Staff’s Recommendation for Regulatory Lag </w:t>
      </w:r>
    </w:p>
    <w:p w:rsidR="0029071F" w:rsidRDefault="0029071F" w:rsidP="0029071F">
      <w:pPr>
        <w:pStyle w:val="BodyTextIndent"/>
      </w:pPr>
    </w:p>
    <w:p w:rsidR="0029071F" w:rsidRDefault="0029071F" w:rsidP="0029071F">
      <w:pPr>
        <w:pStyle w:val="BodyTextIndent"/>
      </w:pPr>
      <w:r w:rsidRPr="00DA5595">
        <w:rPr>
          <w:b/>
        </w:rPr>
        <w:t>Q.</w:t>
      </w:r>
      <w:r>
        <w:rPr>
          <w:b/>
        </w:rPr>
        <w:tab/>
        <w:t>Despite the Company’s failure to prove and quantify attrition, are there circumstances currently facing PSE that warrant a ratemaking response?</w:t>
      </w:r>
    </w:p>
    <w:p w:rsidR="0029071F" w:rsidRDefault="0029071F" w:rsidP="0029071F">
      <w:pPr>
        <w:pStyle w:val="BodyTextIndent"/>
      </w:pPr>
      <w:r>
        <w:t>A.</w:t>
      </w:r>
      <w:r>
        <w:tab/>
        <w:t>Yes.  The Company has presented testimony regarding ongoing costs associated with infrastructure additions, replacements and maintenance.</w:t>
      </w:r>
      <w:r>
        <w:rPr>
          <w:rStyle w:val="FootnoteReference"/>
        </w:rPr>
        <w:footnoteReference w:id="75"/>
      </w:r>
      <w:r>
        <w:t xml:space="preserve">  This testimony warrants a proper response, but one that is consistent with Commission practice and long-standing rate making principles embodied in an historical rate base matched with test </w:t>
      </w:r>
      <w:r>
        <w:lastRenderedPageBreak/>
        <w:t xml:space="preserve">period revenues and expenses that are normalized and include </w:t>
      </w:r>
      <w:r w:rsidR="00640726">
        <w:t xml:space="preserve">accepted </w:t>
      </w:r>
      <w:r>
        <w:t xml:space="preserve">adjustments to the test period.  </w:t>
      </w:r>
    </w:p>
    <w:p w:rsidR="0029071F" w:rsidRDefault="0029071F" w:rsidP="0029071F">
      <w:pPr>
        <w:pStyle w:val="BodyTextIndent"/>
      </w:pPr>
    </w:p>
    <w:p w:rsidR="0029071F" w:rsidRDefault="0029071F" w:rsidP="0029071F">
      <w:pPr>
        <w:pStyle w:val="BodyTextIndent"/>
        <w:rPr>
          <w:b/>
        </w:rPr>
      </w:pPr>
      <w:r>
        <w:rPr>
          <w:b/>
        </w:rPr>
        <w:t>Q.</w:t>
      </w:r>
      <w:r>
        <w:rPr>
          <w:b/>
        </w:rPr>
        <w:tab/>
        <w:t>What do you recommend in this case?</w:t>
      </w:r>
    </w:p>
    <w:p w:rsidR="0029071F" w:rsidRDefault="0029071F" w:rsidP="0029071F">
      <w:pPr>
        <w:pStyle w:val="BodyTextIndent"/>
      </w:pPr>
      <w:r>
        <w:t>A.</w:t>
      </w:r>
      <w:r>
        <w:tab/>
        <w:t>Immediately following the determination of a f</w:t>
      </w:r>
      <w:r w:rsidR="00F6046B">
        <w:t>ully contested rate case, PSE c</w:t>
      </w:r>
      <w:r>
        <w:t xml:space="preserve">ould file an “expedited” rate case using an updated test year.  Basically, the case would be an update to the relationships between rate base, revenues and expenses.  The Company </w:t>
      </w:r>
      <w:r w:rsidR="003E2A08">
        <w:t>c</w:t>
      </w:r>
      <w:r>
        <w:t>ould not request a change in the rate of return, except to update debt costs for known changes.  To reduce controversy, the filing would contain restating adjustments only, such as adjustments for temperature normalization, unbilled revenues and other adjustments (</w:t>
      </w:r>
      <w:r w:rsidRPr="00BF60B2">
        <w:rPr>
          <w:i/>
        </w:rPr>
        <w:t>e.g</w:t>
      </w:r>
      <w:r>
        <w:t xml:space="preserve">., eliminate charitable contribution, club dues, etc., if any) to “clean” the books in order to reflect proper ratemaking. </w:t>
      </w:r>
      <w:r w:rsidR="003E2A08">
        <w:t xml:space="preserve"> </w:t>
      </w:r>
      <w:r>
        <w:t xml:space="preserve">Finally, there should be no rate spread or rate design changes: </w:t>
      </w:r>
      <w:r w:rsidR="003E2A08">
        <w:t xml:space="preserve"> </w:t>
      </w:r>
      <w:r>
        <w:t xml:space="preserve">the </w:t>
      </w:r>
      <w:r w:rsidR="003E2A08">
        <w:t>C</w:t>
      </w:r>
      <w:r>
        <w:t>ompany should follow the most recent Commission decision on th</w:t>
      </w:r>
      <w:r w:rsidR="003E2A08">
        <w:t>o</w:t>
      </w:r>
      <w:r>
        <w:t>se issues.</w:t>
      </w:r>
      <w:r w:rsidR="00640726">
        <w:t xml:space="preserve">  It is important to note that this process I recommend includ</w:t>
      </w:r>
      <w:r w:rsidR="00A91420">
        <w:t>es normalizing test period load, which</w:t>
      </w:r>
      <w:r w:rsidR="006F774A">
        <w:t xml:space="preserve"> will</w:t>
      </w:r>
      <w:r w:rsidR="00640726">
        <w:t xml:space="preserve"> capture the impact </w:t>
      </w:r>
      <w:r w:rsidR="00A91420">
        <w:t xml:space="preserve">of </w:t>
      </w:r>
      <w:r w:rsidR="00640726">
        <w:t xml:space="preserve">conservation on utility revenue.  It is a form of decoupling </w:t>
      </w:r>
      <w:r w:rsidR="006F774A">
        <w:t>since</w:t>
      </w:r>
      <w:r w:rsidR="00640726">
        <w:t xml:space="preserve"> rates will be adjusted in a timely manner to capture the effects of DSM, which theoretically reduces load, and </w:t>
      </w:r>
      <w:r w:rsidR="003937B4">
        <w:t xml:space="preserve">captures the rate effects of load with </w:t>
      </w:r>
      <w:r w:rsidR="00640726">
        <w:t>ne</w:t>
      </w:r>
      <w:r w:rsidR="00A91420">
        <w:t xml:space="preserve">w rate base additions.  </w:t>
      </w:r>
      <w:r>
        <w:t xml:space="preserve">If the results of this filing show a revenue deficiency, the Company would include proposed rates based upon these updated test period results.  Staff is committed to complete its investigation of those results prior to the beginning of the fourth quarter, the onset of the heating season.  </w:t>
      </w:r>
    </w:p>
    <w:p w:rsidR="0029071F" w:rsidRDefault="0029071F" w:rsidP="0029071F">
      <w:pPr>
        <w:pStyle w:val="BodyTextIndent"/>
      </w:pPr>
      <w:r>
        <w:lastRenderedPageBreak/>
        <w:tab/>
      </w:r>
      <w:r>
        <w:tab/>
        <w:t xml:space="preserve">Of course, </w:t>
      </w:r>
      <w:r w:rsidR="00A91420">
        <w:t>PSE</w:t>
      </w:r>
      <w:r>
        <w:t xml:space="preserve"> is not precluded from filing a </w:t>
      </w:r>
      <w:r w:rsidR="00393CD6">
        <w:t>“</w:t>
      </w:r>
      <w:r>
        <w:t>traditional</w:t>
      </w:r>
      <w:r w:rsidR="00393CD6">
        <w:t>”</w:t>
      </w:r>
      <w:r>
        <w:t xml:space="preserve"> rate case, but this expedited process offers </w:t>
      </w:r>
      <w:r w:rsidR="00A91420">
        <w:t>it the</w:t>
      </w:r>
      <w:r>
        <w:t xml:space="preserve"> opportunity for </w:t>
      </w:r>
      <w:r w:rsidR="003E2A08">
        <w:t xml:space="preserve">faster </w:t>
      </w:r>
      <w:r>
        <w:t>rate relief</w:t>
      </w:r>
      <w:r w:rsidR="00A91420">
        <w:t xml:space="preserve">.  </w:t>
      </w:r>
      <w:r>
        <w:t>Finally, the Company would be allowed to use this process for</w:t>
      </w:r>
      <w:r w:rsidR="00393CD6">
        <w:t xml:space="preserve"> only </w:t>
      </w:r>
      <w:r>
        <w:t xml:space="preserve">two </w:t>
      </w:r>
      <w:r w:rsidR="00393CD6">
        <w:t xml:space="preserve">consecutive </w:t>
      </w:r>
      <w:r>
        <w:t>year</w:t>
      </w:r>
      <w:r w:rsidR="00393CD6">
        <w:t xml:space="preserve">s </w:t>
      </w:r>
      <w:r w:rsidR="00A91420">
        <w:t xml:space="preserve">following a full evaluation in a </w:t>
      </w:r>
      <w:r w:rsidR="00393CD6">
        <w:t xml:space="preserve">traditional </w:t>
      </w:r>
      <w:r w:rsidR="00A91420">
        <w:t>rate case</w:t>
      </w:r>
      <w:r>
        <w:t>.</w:t>
      </w:r>
      <w:r w:rsidR="003E2A08">
        <w:t xml:space="preserve">  </w:t>
      </w:r>
    </w:p>
    <w:p w:rsidR="0029071F" w:rsidRDefault="0029071F" w:rsidP="0029071F">
      <w:pPr>
        <w:pStyle w:val="BodyTextIndent"/>
      </w:pPr>
    </w:p>
    <w:p w:rsidR="0029071F" w:rsidRDefault="0029071F" w:rsidP="0029071F">
      <w:pPr>
        <w:pStyle w:val="BodyTextIndent"/>
      </w:pPr>
      <w:r>
        <w:rPr>
          <w:b/>
        </w:rPr>
        <w:t>Q.</w:t>
      </w:r>
      <w:r>
        <w:rPr>
          <w:b/>
        </w:rPr>
        <w:tab/>
        <w:t>What are the benefits of this expedited process you describe?</w:t>
      </w:r>
    </w:p>
    <w:p w:rsidR="0029071F" w:rsidRDefault="0029071F" w:rsidP="0029071F">
      <w:pPr>
        <w:pStyle w:val="BodyTextIndent"/>
      </w:pPr>
      <w:r>
        <w:t>A.</w:t>
      </w:r>
      <w:r>
        <w:tab/>
        <w:t xml:space="preserve">This expedited rate setting process provides the following benefits:  1) the new rates would be based upon known costs - not budgets; 2) the process captures changes to test year customer growth and load in a timely manner; 3) it provides a mechanism to implement rate changes to maximize the impact on financial results; and 4) the process is transparent and retains the self-regulating aspects of historical test-period ratemaking which dampen </w:t>
      </w:r>
      <w:r w:rsidR="00393CD6">
        <w:t>the</w:t>
      </w:r>
      <w:r>
        <w:t xml:space="preserve"> </w:t>
      </w:r>
      <w:r w:rsidR="00393CD6">
        <w:t>C</w:t>
      </w:r>
      <w:r>
        <w:t>ompany’s incentive to overinvest in new infrastructure.</w:t>
      </w:r>
      <w:r>
        <w:rPr>
          <w:rStyle w:val="FootnoteReference"/>
        </w:rPr>
        <w:footnoteReference w:id="76"/>
      </w:r>
      <w:r>
        <w:t xml:space="preserve">  </w:t>
      </w:r>
    </w:p>
    <w:p w:rsidR="0029071F" w:rsidRPr="004C10EE" w:rsidRDefault="0029071F" w:rsidP="0029071F">
      <w:pPr>
        <w:pStyle w:val="BodyTextIndent"/>
      </w:pPr>
      <w:r>
        <w:tab/>
      </w:r>
      <w:r>
        <w:tab/>
        <w:t xml:space="preserve">This process will also provide these future benefits:  1) more streamlined and less contentious rate proceedings; 2) standardized filings for all utilities; 3) better data for the Commission; and 4) less rate case costs to the </w:t>
      </w:r>
      <w:r w:rsidR="00393CD6">
        <w:t>Company</w:t>
      </w:r>
      <w:r>
        <w:t xml:space="preserve"> and other participants in the process.  </w:t>
      </w:r>
    </w:p>
    <w:p w:rsidR="0029071F" w:rsidRDefault="0029071F" w:rsidP="0029071F">
      <w:pPr>
        <w:pStyle w:val="BodyTextIndent"/>
      </w:pPr>
    </w:p>
    <w:p w:rsidR="0029071F" w:rsidRDefault="0029071F" w:rsidP="0029071F">
      <w:pPr>
        <w:pStyle w:val="BodyTextIndent"/>
        <w:rPr>
          <w:b/>
        </w:rPr>
      </w:pPr>
      <w:r>
        <w:rPr>
          <w:b/>
        </w:rPr>
        <w:t>Q.</w:t>
      </w:r>
      <w:r>
        <w:rPr>
          <w:b/>
        </w:rPr>
        <w:tab/>
        <w:t>Why is it important to PSE to have new rates in effect prior to the heating season?</w:t>
      </w:r>
    </w:p>
    <w:p w:rsidR="0029071F" w:rsidRDefault="0029071F" w:rsidP="0029071F">
      <w:pPr>
        <w:pStyle w:val="BodyTextIndent"/>
      </w:pPr>
      <w:r>
        <w:t>A.</w:t>
      </w:r>
      <w:r>
        <w:tab/>
        <w:t xml:space="preserve">Energy utilities </w:t>
      </w:r>
      <w:r w:rsidR="00393CD6">
        <w:t xml:space="preserve">such as PSE </w:t>
      </w:r>
      <w:r>
        <w:t xml:space="preserve">generate up to 70 percent of their annual net operating income during the heating season, which is October through March.  If the rate setting process can adjust to provide rate relief prior to the heating season, the rate </w:t>
      </w:r>
      <w:r>
        <w:lastRenderedPageBreak/>
        <w:t>change impacts two annual reporting cycles</w:t>
      </w:r>
      <w:r w:rsidRPr="00A576B5">
        <w:t xml:space="preserve"> </w:t>
      </w:r>
      <w:r>
        <w:t xml:space="preserve">for the utility:  the fourth quarter of one financial cycle and the first quarter of the next financial cycle.  </w:t>
      </w:r>
    </w:p>
    <w:p w:rsidR="0029071F" w:rsidRDefault="0029071F" w:rsidP="0029071F">
      <w:pPr>
        <w:pStyle w:val="BodyTextIndent"/>
      </w:pPr>
      <w:r>
        <w:tab/>
      </w:r>
      <w:r>
        <w:tab/>
      </w:r>
      <w:r w:rsidR="00393CD6">
        <w:t>For example, i</w:t>
      </w:r>
      <w:r>
        <w:t xml:space="preserve">f a 2011 updated test period shows a revenue deficiency, PSE should be able use the Commission basis reports for rates that impact the 2012 fiscal year.  The expedited rate case I describe would be completed by September 30, 2012, in time for new rates during the fourth quarter of 2012, the onset of the heating season.  “Syncing-up” rate relief with reported financial results is a significant step to address regulatory lag. </w:t>
      </w:r>
    </w:p>
    <w:p w:rsidR="0029071F" w:rsidRDefault="0029071F" w:rsidP="0029071F">
      <w:pPr>
        <w:pStyle w:val="BodyTextIndent"/>
      </w:pPr>
    </w:p>
    <w:p w:rsidR="0029071F" w:rsidRDefault="0029071F" w:rsidP="0029071F">
      <w:pPr>
        <w:pStyle w:val="BodyTextIndent"/>
        <w:rPr>
          <w:b/>
        </w:rPr>
      </w:pPr>
      <w:r>
        <w:rPr>
          <w:b/>
        </w:rPr>
        <w:t>Q.</w:t>
      </w:r>
      <w:r>
        <w:rPr>
          <w:b/>
        </w:rPr>
        <w:tab/>
        <w:t xml:space="preserve">Doesn’t the timing of this case present difficulty in processing the course of action you recommend </w:t>
      </w:r>
      <w:r w:rsidR="00393CD6">
        <w:rPr>
          <w:b/>
        </w:rPr>
        <w:t xml:space="preserve">since the Commission basis report for 2012 will be filed in </w:t>
      </w:r>
      <w:r w:rsidR="008135F8">
        <w:rPr>
          <w:b/>
        </w:rPr>
        <w:t>May 2011</w:t>
      </w:r>
      <w:r w:rsidR="00393CD6">
        <w:rPr>
          <w:b/>
        </w:rPr>
        <w:t>, before an order is issued in this case</w:t>
      </w:r>
      <w:r>
        <w:rPr>
          <w:b/>
        </w:rPr>
        <w:t>?</w:t>
      </w:r>
    </w:p>
    <w:p w:rsidR="0029071F" w:rsidRDefault="0029071F" w:rsidP="0029071F">
      <w:pPr>
        <w:pStyle w:val="BodyTextIndent"/>
      </w:pPr>
      <w:r>
        <w:t>A.</w:t>
      </w:r>
      <w:r>
        <w:tab/>
        <w:t xml:space="preserve">Yes, the fact that a rate order will likely not be issued by the Commission until May 2012 is problematic, but that can be overcome.  In this initial case we would have to process the update more rapidly.  It is also possible that the process could take an additional month and new rates would not be in effect until November 1, 2012.  Furthermore, the process could begin with PSE filing its </w:t>
      </w:r>
      <w:r w:rsidR="003937B4">
        <w:t>updated normal</w:t>
      </w:r>
      <w:r w:rsidR="00393CD6">
        <w:t>i</w:t>
      </w:r>
      <w:r w:rsidR="003937B4">
        <w:t>zed</w:t>
      </w:r>
      <w:r>
        <w:t xml:space="preserve"> 2011 results but no tariffs.  Staff could begin its audit of the results.  Once the Commission decides this case, PSE can then incorporate the Commission’s decision and file for corresponding rates.  In any event, Staff can begin its audit while the Commission is deciding the merits of this case.</w:t>
      </w:r>
    </w:p>
    <w:p w:rsidR="00546664" w:rsidRDefault="00546664" w:rsidP="0029071F">
      <w:pPr>
        <w:pStyle w:val="BodyTextIndent"/>
      </w:pPr>
    </w:p>
    <w:p w:rsidR="00546664" w:rsidRDefault="00546664" w:rsidP="0029071F">
      <w:pPr>
        <w:pStyle w:val="BodyTextIndent"/>
        <w:rPr>
          <w:b/>
        </w:rPr>
      </w:pPr>
      <w:r>
        <w:rPr>
          <w:b/>
        </w:rPr>
        <w:lastRenderedPageBreak/>
        <w:t>Q.</w:t>
      </w:r>
      <w:r>
        <w:rPr>
          <w:b/>
        </w:rPr>
        <w:tab/>
        <w:t>Do you have any final comments with respect to this proposed expedited rate case process you recommend for PSE in this case?</w:t>
      </w:r>
    </w:p>
    <w:p w:rsidR="00546664" w:rsidRPr="00546664" w:rsidRDefault="00546664" w:rsidP="0029071F">
      <w:pPr>
        <w:pStyle w:val="BodyTextIndent"/>
      </w:pPr>
      <w:r>
        <w:t>A.</w:t>
      </w:r>
      <w:r>
        <w:tab/>
        <w:t>Yes.  In the last case where an attrition study was offered Mr. Story discussed the need for more timely relief to address regulatory lag.</w:t>
      </w:r>
      <w:r w:rsidR="00393CD6">
        <w:rPr>
          <w:rStyle w:val="FootnoteReference"/>
        </w:rPr>
        <w:footnoteReference w:id="77"/>
      </w:r>
      <w:r>
        <w:t xml:space="preserve">  </w:t>
      </w:r>
      <w:r w:rsidR="00883467">
        <w:t>Staff’s proposed rate setting process accomplishes that goal.</w:t>
      </w:r>
    </w:p>
    <w:p w:rsidR="0029071F" w:rsidRDefault="0029071F" w:rsidP="0029071F">
      <w:pPr>
        <w:tabs>
          <w:tab w:val="left" w:pos="720"/>
          <w:tab w:val="left" w:pos="1440"/>
          <w:tab w:val="left" w:pos="9240"/>
        </w:tabs>
        <w:spacing w:line="480" w:lineRule="auto"/>
        <w:ind w:left="720" w:hanging="720"/>
      </w:pPr>
    </w:p>
    <w:p w:rsidR="0029071F" w:rsidRDefault="0029071F" w:rsidP="0029071F">
      <w:pPr>
        <w:tabs>
          <w:tab w:val="left" w:pos="720"/>
          <w:tab w:val="left" w:pos="1440"/>
          <w:tab w:val="left" w:pos="9240"/>
        </w:tabs>
        <w:spacing w:line="480" w:lineRule="auto"/>
        <w:ind w:left="720" w:hanging="720"/>
        <w:rPr>
          <w:b/>
        </w:rPr>
      </w:pPr>
      <w:r>
        <w:rPr>
          <w:b/>
        </w:rPr>
        <w:t>Q.</w:t>
      </w:r>
      <w:r>
        <w:rPr>
          <w:b/>
        </w:rPr>
        <w:tab/>
        <w:t>Does this conclude your response testimony?</w:t>
      </w:r>
    </w:p>
    <w:p w:rsidR="0029071F" w:rsidRDefault="0029071F" w:rsidP="0029071F">
      <w:pPr>
        <w:tabs>
          <w:tab w:val="left" w:pos="720"/>
          <w:tab w:val="left" w:pos="1440"/>
          <w:tab w:val="left" w:pos="9240"/>
        </w:tabs>
        <w:spacing w:line="480" w:lineRule="auto"/>
        <w:ind w:left="720" w:hanging="720"/>
      </w:pPr>
      <w:r>
        <w:t>A.</w:t>
      </w:r>
      <w:r>
        <w:tab/>
        <w:t>Yes.</w:t>
      </w:r>
    </w:p>
    <w:p w:rsidR="00CA67A1" w:rsidRDefault="00CA67A1" w:rsidP="00C62BDB">
      <w:pPr>
        <w:tabs>
          <w:tab w:val="left" w:pos="720"/>
          <w:tab w:val="left" w:pos="1440"/>
          <w:tab w:val="left" w:pos="9240"/>
        </w:tabs>
        <w:spacing w:line="480" w:lineRule="auto"/>
      </w:pPr>
    </w:p>
    <w:sectPr w:rsidR="00CA67A1" w:rsidSect="00F56B1C">
      <w:footerReference w:type="default" r:id="rId16"/>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722" w:rsidRDefault="009F1722">
      <w:r>
        <w:separator/>
      </w:r>
    </w:p>
  </w:endnote>
  <w:endnote w:type="continuationSeparator" w:id="0">
    <w:p w:rsidR="009F1722" w:rsidRDefault="009F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722" w:rsidRDefault="009F1722" w:rsidP="00755F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F1722" w:rsidRDefault="009F1722" w:rsidP="00755F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722" w:rsidRDefault="009F1722" w:rsidP="00A83246">
    <w:pPr>
      <w:pStyle w:val="Footer"/>
      <w:tabs>
        <w:tab w:val="clear" w:pos="8640"/>
        <w:tab w:val="right" w:pos="9240"/>
      </w:tabs>
      <w:rPr>
        <w:sz w:val="22"/>
        <w:szCs w:val="22"/>
      </w:rPr>
    </w:pPr>
  </w:p>
  <w:p w:rsidR="009F1722" w:rsidRPr="000D7E15" w:rsidRDefault="009F1722" w:rsidP="00A83246">
    <w:pPr>
      <w:pStyle w:val="Footer"/>
      <w:tabs>
        <w:tab w:val="clear" w:pos="8640"/>
        <w:tab w:val="right" w:pos="9240"/>
      </w:tabs>
      <w:rPr>
        <w:sz w:val="22"/>
        <w:szCs w:val="22"/>
      </w:rPr>
    </w:pPr>
    <w:r w:rsidRPr="000D7E15">
      <w:rPr>
        <w:sz w:val="22"/>
        <w:szCs w:val="22"/>
      </w:rPr>
      <w:t>T</w:t>
    </w:r>
    <w:r>
      <w:rPr>
        <w:sz w:val="22"/>
        <w:szCs w:val="22"/>
      </w:rPr>
      <w:t>ESTIMONY OF KENNETH L. ELGIN</w:t>
    </w:r>
    <w:r w:rsidRPr="000D7E15">
      <w:rPr>
        <w:sz w:val="22"/>
        <w:szCs w:val="22"/>
      </w:rPr>
      <w:tab/>
    </w:r>
    <w:r w:rsidRPr="000D7E15">
      <w:rPr>
        <w:sz w:val="22"/>
        <w:szCs w:val="22"/>
      </w:rPr>
      <w:tab/>
      <w:t xml:space="preserve">Exhibit No. </w:t>
    </w:r>
    <w:r>
      <w:rPr>
        <w:sz w:val="22"/>
        <w:szCs w:val="22"/>
      </w:rPr>
      <w:t>___T (KLE-</w:t>
    </w:r>
    <w:r w:rsidRPr="000D7E15">
      <w:rPr>
        <w:sz w:val="22"/>
        <w:szCs w:val="22"/>
      </w:rPr>
      <w:t>1T</w:t>
    </w:r>
    <w:r>
      <w:rPr>
        <w:sz w:val="22"/>
        <w:szCs w:val="22"/>
      </w:rPr>
      <w:t>)</w:t>
    </w:r>
  </w:p>
  <w:p w:rsidR="009F1722" w:rsidRPr="00131071" w:rsidRDefault="009F1722" w:rsidP="00A83246">
    <w:pPr>
      <w:pStyle w:val="Footer"/>
      <w:tabs>
        <w:tab w:val="clear" w:pos="8640"/>
        <w:tab w:val="right" w:pos="9240"/>
      </w:tabs>
      <w:rPr>
        <w:b/>
        <w:sz w:val="22"/>
        <w:szCs w:val="22"/>
      </w:rPr>
    </w:pPr>
    <w:r>
      <w:rPr>
        <w:sz w:val="22"/>
        <w:szCs w:val="22"/>
      </w:rPr>
      <w:t>Docket UE-100749</w:t>
    </w:r>
    <w:r w:rsidRPr="000D7E15">
      <w:rPr>
        <w:sz w:val="22"/>
        <w:szCs w:val="22"/>
      </w:rPr>
      <w:tab/>
    </w:r>
    <w:r w:rsidRPr="000D7E15">
      <w:rPr>
        <w:sz w:val="22"/>
        <w:szCs w:val="22"/>
      </w:rPr>
      <w:tab/>
      <w:t xml:space="preserve">Page </w:t>
    </w:r>
    <w:r w:rsidRPr="000D7E15">
      <w:rPr>
        <w:sz w:val="22"/>
        <w:szCs w:val="22"/>
      </w:rPr>
      <w:fldChar w:fldCharType="begin"/>
    </w:r>
    <w:r w:rsidRPr="000D7E15">
      <w:rPr>
        <w:sz w:val="22"/>
        <w:szCs w:val="22"/>
      </w:rPr>
      <w:instrText xml:space="preserve"> PAGE   \* MERGEFORMAT </w:instrText>
    </w:r>
    <w:r w:rsidRPr="000D7E15">
      <w:rPr>
        <w:sz w:val="22"/>
        <w:szCs w:val="22"/>
      </w:rPr>
      <w:fldChar w:fldCharType="separate"/>
    </w:r>
    <w:r>
      <w:rPr>
        <w:noProof/>
        <w:sz w:val="22"/>
        <w:szCs w:val="22"/>
      </w:rPr>
      <w:t>2</w:t>
    </w:r>
    <w:r w:rsidRPr="000D7E15">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722" w:rsidRDefault="009F1722" w:rsidP="00A83246">
    <w:pPr>
      <w:pStyle w:val="Footer"/>
      <w:tabs>
        <w:tab w:val="clear" w:pos="8640"/>
        <w:tab w:val="right" w:pos="9240"/>
      </w:tabs>
      <w:rPr>
        <w:sz w:val="22"/>
        <w:szCs w:val="22"/>
      </w:rPr>
    </w:pPr>
  </w:p>
  <w:p w:rsidR="009F1722" w:rsidRPr="000D7E15" w:rsidRDefault="009F1722" w:rsidP="00A83246">
    <w:pPr>
      <w:pStyle w:val="Footer"/>
      <w:tabs>
        <w:tab w:val="clear" w:pos="8640"/>
        <w:tab w:val="right" w:pos="9240"/>
      </w:tabs>
      <w:rPr>
        <w:sz w:val="22"/>
        <w:szCs w:val="22"/>
      </w:rPr>
    </w:pPr>
    <w:r w:rsidRPr="000D7E15">
      <w:rPr>
        <w:sz w:val="22"/>
        <w:szCs w:val="22"/>
      </w:rPr>
      <w:t>T</w:t>
    </w:r>
    <w:r>
      <w:rPr>
        <w:sz w:val="22"/>
        <w:szCs w:val="22"/>
      </w:rPr>
      <w:t>ESTIMONY OF KENNETH L. ELGIN</w:t>
    </w:r>
    <w:r w:rsidRPr="000D7E15">
      <w:rPr>
        <w:sz w:val="22"/>
        <w:szCs w:val="22"/>
      </w:rPr>
      <w:tab/>
    </w:r>
    <w:r w:rsidRPr="000D7E15">
      <w:rPr>
        <w:sz w:val="22"/>
        <w:szCs w:val="22"/>
      </w:rPr>
      <w:tab/>
      <w:t xml:space="preserve">Exhibit No. </w:t>
    </w:r>
    <w:r>
      <w:rPr>
        <w:sz w:val="22"/>
        <w:szCs w:val="22"/>
      </w:rPr>
      <w:t>___T (KLE-</w:t>
    </w:r>
    <w:r w:rsidRPr="000D7E15">
      <w:rPr>
        <w:sz w:val="22"/>
        <w:szCs w:val="22"/>
      </w:rPr>
      <w:t>1T</w:t>
    </w:r>
    <w:r>
      <w:rPr>
        <w:sz w:val="22"/>
        <w:szCs w:val="22"/>
      </w:rPr>
      <w:t>)</w:t>
    </w:r>
  </w:p>
  <w:p w:rsidR="009F1722" w:rsidRPr="00131071" w:rsidRDefault="009F1722" w:rsidP="00A83246">
    <w:pPr>
      <w:pStyle w:val="Footer"/>
      <w:tabs>
        <w:tab w:val="clear" w:pos="8640"/>
        <w:tab w:val="right" w:pos="9240"/>
      </w:tabs>
      <w:rPr>
        <w:b/>
        <w:sz w:val="22"/>
        <w:szCs w:val="22"/>
      </w:rPr>
    </w:pPr>
    <w:r>
      <w:rPr>
        <w:sz w:val="22"/>
        <w:szCs w:val="22"/>
      </w:rPr>
      <w:t>Dockets UE-111048 and UG-111049</w:t>
    </w:r>
    <w:r w:rsidRPr="000D7E15">
      <w:rPr>
        <w:sz w:val="22"/>
        <w:szCs w:val="22"/>
      </w:rPr>
      <w:tab/>
    </w:r>
    <w:r w:rsidRPr="000D7E15">
      <w:rPr>
        <w:sz w:val="22"/>
        <w:szCs w:val="22"/>
      </w:rPr>
      <w:tab/>
      <w:t xml:space="preserve">Page </w:t>
    </w:r>
    <w:r w:rsidRPr="000D7E15">
      <w:rPr>
        <w:sz w:val="22"/>
        <w:szCs w:val="22"/>
      </w:rPr>
      <w:fldChar w:fldCharType="begin"/>
    </w:r>
    <w:r w:rsidRPr="000D7E15">
      <w:rPr>
        <w:sz w:val="22"/>
        <w:szCs w:val="22"/>
      </w:rPr>
      <w:instrText xml:space="preserve"> PAGE   \* MERGEFORMAT </w:instrText>
    </w:r>
    <w:r w:rsidRPr="000D7E15">
      <w:rPr>
        <w:sz w:val="22"/>
        <w:szCs w:val="22"/>
      </w:rPr>
      <w:fldChar w:fldCharType="separate"/>
    </w:r>
    <w:r w:rsidR="005D0715">
      <w:rPr>
        <w:noProof/>
        <w:sz w:val="22"/>
        <w:szCs w:val="22"/>
      </w:rPr>
      <w:t>ii</w:t>
    </w:r>
    <w:r w:rsidRPr="000D7E15">
      <w:rPr>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722" w:rsidRPr="00A11684" w:rsidRDefault="009F1722" w:rsidP="00A83246">
    <w:pPr>
      <w:pStyle w:val="Footer"/>
      <w:tabs>
        <w:tab w:val="clear" w:pos="8640"/>
        <w:tab w:val="right" w:pos="9240"/>
      </w:tabs>
      <w:rPr>
        <w:sz w:val="20"/>
        <w:szCs w:val="20"/>
      </w:rPr>
    </w:pPr>
  </w:p>
  <w:p w:rsidR="009F1722" w:rsidRPr="00A11684" w:rsidRDefault="009F1722" w:rsidP="00A83246">
    <w:pPr>
      <w:pStyle w:val="Footer"/>
      <w:tabs>
        <w:tab w:val="clear" w:pos="8640"/>
        <w:tab w:val="right" w:pos="9240"/>
      </w:tabs>
      <w:rPr>
        <w:sz w:val="20"/>
        <w:szCs w:val="20"/>
      </w:rPr>
    </w:pPr>
    <w:r w:rsidRPr="00A11684">
      <w:rPr>
        <w:sz w:val="20"/>
        <w:szCs w:val="20"/>
      </w:rPr>
      <w:t>TESTIMONY OF KENNETH L. ELGIN</w:t>
    </w:r>
    <w:r w:rsidRPr="00A11684">
      <w:rPr>
        <w:sz w:val="20"/>
        <w:szCs w:val="20"/>
      </w:rPr>
      <w:tab/>
    </w:r>
    <w:r w:rsidRPr="00A11684">
      <w:rPr>
        <w:sz w:val="20"/>
        <w:szCs w:val="20"/>
      </w:rPr>
      <w:tab/>
      <w:t>Exhibit No. ___T (KLE-1T)</w:t>
    </w:r>
  </w:p>
  <w:p w:rsidR="009F1722" w:rsidRPr="00A11684" w:rsidRDefault="009F1722" w:rsidP="00A83246">
    <w:pPr>
      <w:pStyle w:val="Footer"/>
      <w:tabs>
        <w:tab w:val="clear" w:pos="8640"/>
        <w:tab w:val="right" w:pos="9240"/>
      </w:tabs>
      <w:rPr>
        <w:b/>
        <w:sz w:val="20"/>
        <w:szCs w:val="20"/>
      </w:rPr>
    </w:pPr>
    <w:r w:rsidRPr="00A11684">
      <w:rPr>
        <w:sz w:val="20"/>
        <w:szCs w:val="20"/>
      </w:rPr>
      <w:t>Docket</w:t>
    </w:r>
    <w:r>
      <w:rPr>
        <w:sz w:val="20"/>
        <w:szCs w:val="20"/>
      </w:rPr>
      <w:t>s</w:t>
    </w:r>
    <w:r w:rsidRPr="00A11684">
      <w:rPr>
        <w:sz w:val="20"/>
        <w:szCs w:val="20"/>
      </w:rPr>
      <w:t xml:space="preserve"> UE-1</w:t>
    </w:r>
    <w:r>
      <w:rPr>
        <w:sz w:val="20"/>
        <w:szCs w:val="20"/>
      </w:rPr>
      <w:t>11048/UG-111049</w:t>
    </w:r>
    <w:r w:rsidRPr="00A11684">
      <w:rPr>
        <w:sz w:val="20"/>
        <w:szCs w:val="20"/>
      </w:rPr>
      <w:tab/>
    </w:r>
    <w:r w:rsidRPr="00A11684">
      <w:rPr>
        <w:sz w:val="20"/>
        <w:szCs w:val="20"/>
      </w:rPr>
      <w:tab/>
      <w:t xml:space="preserve">Page </w:t>
    </w:r>
    <w:r w:rsidRPr="00A11684">
      <w:rPr>
        <w:sz w:val="20"/>
        <w:szCs w:val="20"/>
      </w:rPr>
      <w:fldChar w:fldCharType="begin"/>
    </w:r>
    <w:r w:rsidRPr="00A11684">
      <w:rPr>
        <w:sz w:val="20"/>
        <w:szCs w:val="20"/>
      </w:rPr>
      <w:instrText xml:space="preserve"> PAGE   \* MERGEFORMAT </w:instrText>
    </w:r>
    <w:r w:rsidRPr="00A11684">
      <w:rPr>
        <w:sz w:val="20"/>
        <w:szCs w:val="20"/>
      </w:rPr>
      <w:fldChar w:fldCharType="separate"/>
    </w:r>
    <w:r w:rsidR="005D0715">
      <w:rPr>
        <w:noProof/>
        <w:sz w:val="20"/>
        <w:szCs w:val="20"/>
      </w:rPr>
      <w:t>84</w:t>
    </w:r>
    <w:r w:rsidRPr="00A11684">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722" w:rsidRDefault="009F1722">
      <w:r>
        <w:separator/>
      </w:r>
    </w:p>
  </w:footnote>
  <w:footnote w:type="continuationSeparator" w:id="0">
    <w:p w:rsidR="009F1722" w:rsidRDefault="009F1722">
      <w:r>
        <w:continuationSeparator/>
      </w:r>
    </w:p>
  </w:footnote>
  <w:footnote w:id="1">
    <w:p w:rsidR="009F1722" w:rsidRDefault="009F1722">
      <w:pPr>
        <w:pStyle w:val="FootnoteText"/>
      </w:pPr>
      <w:r>
        <w:rPr>
          <w:rStyle w:val="FootnoteReference"/>
        </w:rPr>
        <w:footnoteRef/>
      </w:r>
      <w:r>
        <w:t xml:space="preserve"> WAC 580-07-510(4</w:t>
      </w:r>
      <w:proofErr w:type="gramStart"/>
      <w:r>
        <w:t>)(</w:t>
      </w:r>
      <w:proofErr w:type="gramEnd"/>
      <w:r>
        <w:t>i).</w:t>
      </w:r>
    </w:p>
  </w:footnote>
  <w:footnote w:id="2">
    <w:p w:rsidR="009F1722" w:rsidRDefault="009F1722">
      <w:pPr>
        <w:pStyle w:val="FootnoteText"/>
      </w:pPr>
      <w:r>
        <w:rPr>
          <w:rStyle w:val="FootnoteReference"/>
        </w:rPr>
        <w:footnoteRef/>
      </w:r>
      <w:r>
        <w:t xml:space="preserve"> WAC 580-07-510(3</w:t>
      </w:r>
      <w:proofErr w:type="gramStart"/>
      <w:r>
        <w:t>)(</w:t>
      </w:r>
      <w:proofErr w:type="gramEnd"/>
      <w:r>
        <w:t>e).</w:t>
      </w:r>
    </w:p>
  </w:footnote>
  <w:footnote w:id="3">
    <w:p w:rsidR="009F1722" w:rsidRPr="00977D04" w:rsidRDefault="009F1722" w:rsidP="00977D04">
      <w:pPr>
        <w:tabs>
          <w:tab w:val="left" w:pos="720"/>
          <w:tab w:val="left" w:pos="1440"/>
          <w:tab w:val="right" w:leader="dot" w:pos="8640"/>
          <w:tab w:val="left" w:pos="9240"/>
        </w:tabs>
        <w:ind w:left="720" w:hanging="720"/>
        <w:rPr>
          <w:i/>
        </w:rPr>
      </w:pPr>
      <w:r>
        <w:rPr>
          <w:rStyle w:val="FootnoteReference"/>
        </w:rPr>
        <w:footnoteRef/>
      </w:r>
      <w:r>
        <w:t xml:space="preserve"> </w:t>
      </w:r>
      <w:r w:rsidRPr="00C42F67">
        <w:rPr>
          <w:sz w:val="20"/>
          <w:szCs w:val="20"/>
        </w:rPr>
        <w:t xml:space="preserve">See RCW 80.28.010, </w:t>
      </w:r>
      <w:r>
        <w:rPr>
          <w:sz w:val="20"/>
          <w:szCs w:val="20"/>
        </w:rPr>
        <w:t xml:space="preserve">RCW </w:t>
      </w:r>
      <w:r w:rsidRPr="00C42F67">
        <w:rPr>
          <w:sz w:val="20"/>
          <w:szCs w:val="20"/>
        </w:rPr>
        <w:t xml:space="preserve">80.04.250 and </w:t>
      </w:r>
      <w:r>
        <w:rPr>
          <w:sz w:val="20"/>
          <w:szCs w:val="20"/>
        </w:rPr>
        <w:t xml:space="preserve">RCW </w:t>
      </w:r>
      <w:r w:rsidRPr="00C42F67">
        <w:rPr>
          <w:sz w:val="20"/>
          <w:szCs w:val="20"/>
        </w:rPr>
        <w:t>80.04.350.</w:t>
      </w:r>
      <w:r>
        <w:rPr>
          <w:i/>
        </w:rPr>
        <w:t xml:space="preserve">  </w:t>
      </w:r>
    </w:p>
  </w:footnote>
  <w:footnote w:id="4">
    <w:p w:rsidR="009F1722" w:rsidRPr="00EA5CA0" w:rsidRDefault="009F1722" w:rsidP="00EA5CA0">
      <w:pPr>
        <w:tabs>
          <w:tab w:val="left" w:pos="720"/>
          <w:tab w:val="left" w:pos="1440"/>
          <w:tab w:val="left" w:pos="9240"/>
        </w:tabs>
        <w:ind w:left="720" w:hanging="720"/>
        <w:rPr>
          <w:sz w:val="20"/>
          <w:szCs w:val="20"/>
        </w:rPr>
      </w:pPr>
      <w:r>
        <w:rPr>
          <w:rStyle w:val="FootnoteReference"/>
        </w:rPr>
        <w:footnoteRef/>
      </w:r>
      <w:r>
        <w:t xml:space="preserve"> </w:t>
      </w:r>
      <w:r w:rsidRPr="00C42F67">
        <w:rPr>
          <w:i/>
          <w:sz w:val="20"/>
          <w:szCs w:val="20"/>
        </w:rPr>
        <w:t xml:space="preserve">See WUTC v. Pacific Power &amp; Light Company, </w:t>
      </w:r>
      <w:r w:rsidRPr="00C42F67">
        <w:rPr>
          <w:sz w:val="20"/>
          <w:szCs w:val="20"/>
        </w:rPr>
        <w:t>Docket UE-100749, Order 07 at ¶¶ 33-34 (March 25, 2011).</w:t>
      </w:r>
    </w:p>
  </w:footnote>
  <w:footnote w:id="5">
    <w:p w:rsidR="009F1722" w:rsidRDefault="009F1722">
      <w:pPr>
        <w:pStyle w:val="FootnoteText"/>
      </w:pPr>
      <w:r>
        <w:rPr>
          <w:rStyle w:val="FootnoteReference"/>
        </w:rPr>
        <w:footnoteRef/>
      </w:r>
      <w:r>
        <w:t xml:space="preserve"> In Cause No. U-81-41 the Commission made a distinction between attrition and financial attrition.  The latter refinement was to address capital turnover as utilities retired low cost debt and incurring significantly higher debt costs due to inflation.</w:t>
      </w:r>
    </w:p>
  </w:footnote>
  <w:footnote w:id="6">
    <w:p w:rsidR="009F1722" w:rsidRDefault="009F1722">
      <w:pPr>
        <w:pStyle w:val="FootnoteText"/>
      </w:pPr>
      <w:r>
        <w:rPr>
          <w:rStyle w:val="FootnoteReference"/>
        </w:rPr>
        <w:footnoteRef/>
      </w:r>
      <w:r>
        <w:t xml:space="preserve"> </w:t>
      </w:r>
      <w:r w:rsidRPr="00EE050B">
        <w:rPr>
          <w:i/>
        </w:rPr>
        <w:t>WUTC v. Puget Sound Power &amp; Light Co</w:t>
      </w:r>
      <w:r>
        <w:t xml:space="preserve">., </w:t>
      </w:r>
      <w:r w:rsidRPr="00EE050B">
        <w:t>Cause No. U-81-41,</w:t>
      </w:r>
      <w:r w:rsidRPr="00D91982">
        <w:t xml:space="preserve"> </w:t>
      </w:r>
      <w:r w:rsidRPr="00EE050B">
        <w:t xml:space="preserve">Second Supp. Order at 11 </w:t>
      </w:r>
      <w:r>
        <w:t>(March 12, 1982).</w:t>
      </w:r>
    </w:p>
  </w:footnote>
  <w:footnote w:id="7">
    <w:p w:rsidR="009F1722" w:rsidRPr="00EA5CA0" w:rsidRDefault="009F1722" w:rsidP="00C62BDB">
      <w:pPr>
        <w:pStyle w:val="TestimonyAnswer"/>
        <w:tabs>
          <w:tab w:val="clear" w:pos="720"/>
          <w:tab w:val="left" w:pos="0"/>
        </w:tabs>
        <w:spacing w:after="0" w:line="240" w:lineRule="auto"/>
        <w:ind w:left="0" w:firstLine="0"/>
        <w:jc w:val="left"/>
        <w:rPr>
          <w:sz w:val="20"/>
          <w:szCs w:val="20"/>
        </w:rPr>
      </w:pPr>
      <w:r w:rsidRPr="00C42F67">
        <w:rPr>
          <w:rStyle w:val="FootnoteReference"/>
          <w:sz w:val="20"/>
          <w:szCs w:val="20"/>
        </w:rPr>
        <w:footnoteRef/>
      </w:r>
      <w:r w:rsidRPr="00C42F67">
        <w:rPr>
          <w:sz w:val="20"/>
          <w:szCs w:val="20"/>
        </w:rPr>
        <w:t xml:space="preserve"> </w:t>
      </w:r>
      <w:r w:rsidRPr="00C42F67">
        <w:rPr>
          <w:i/>
          <w:sz w:val="20"/>
          <w:szCs w:val="20"/>
        </w:rPr>
        <w:t xml:space="preserve">WUTC, v. Puget Sound Energy, Inc., </w:t>
      </w:r>
      <w:r w:rsidRPr="00C42F67">
        <w:rPr>
          <w:sz w:val="20"/>
          <w:szCs w:val="20"/>
        </w:rPr>
        <w:t xml:space="preserve">Dockets UE-090704 and UG-090705, Order 11 at ¶ 281 (April 10, 2010).  </w:t>
      </w:r>
      <w:r w:rsidRPr="00C42F67">
        <w:rPr>
          <w:i/>
          <w:sz w:val="20"/>
          <w:szCs w:val="20"/>
        </w:rPr>
        <w:t xml:space="preserve">See also WUTC v. Pacific Power &amp; Light Company, </w:t>
      </w:r>
      <w:r w:rsidRPr="00C42F67">
        <w:rPr>
          <w:sz w:val="20"/>
          <w:szCs w:val="20"/>
        </w:rPr>
        <w:t>Docket UE-100749, Order 06 at ¶ 92 (March 25, 2011).</w:t>
      </w:r>
    </w:p>
  </w:footnote>
  <w:footnote w:id="8">
    <w:p w:rsidR="009F1722" w:rsidRPr="00EA5CA0" w:rsidRDefault="009F1722" w:rsidP="00EA5CA0">
      <w:pPr>
        <w:tabs>
          <w:tab w:val="left" w:pos="720"/>
          <w:tab w:val="left" w:pos="1440"/>
          <w:tab w:val="left" w:pos="9240"/>
        </w:tabs>
        <w:ind w:left="720" w:hanging="720"/>
        <w:rPr>
          <w:sz w:val="20"/>
          <w:szCs w:val="20"/>
        </w:rPr>
      </w:pPr>
      <w:r>
        <w:rPr>
          <w:rStyle w:val="FootnoteReference"/>
        </w:rPr>
        <w:footnoteRef/>
      </w:r>
      <w:r>
        <w:t xml:space="preserve"> </w:t>
      </w:r>
      <w:r w:rsidRPr="00C42F67">
        <w:rPr>
          <w:i/>
          <w:sz w:val="20"/>
          <w:szCs w:val="20"/>
        </w:rPr>
        <w:t>WUTC v. PacifiCorp, d/b/a Pacific Power &amp; Light Co.</w:t>
      </w:r>
      <w:r w:rsidRPr="00C42F67">
        <w:rPr>
          <w:sz w:val="20"/>
          <w:szCs w:val="20"/>
        </w:rPr>
        <w:t>, Docket UE-110749, Order 07 at ¶10 (May 12, 2011).</w:t>
      </w:r>
    </w:p>
  </w:footnote>
  <w:footnote w:id="9">
    <w:p w:rsidR="009F1722" w:rsidRDefault="009F1722">
      <w:pPr>
        <w:pStyle w:val="FootnoteText"/>
      </w:pPr>
      <w:r>
        <w:rPr>
          <w:rStyle w:val="FootnoteReference"/>
        </w:rPr>
        <w:footnoteRef/>
      </w:r>
      <w:r>
        <w:t xml:space="preserve"> </w:t>
      </w:r>
      <w:r w:rsidRPr="00EE050B">
        <w:t>Exhibit No. __ (DEG-4), page 2, line 17, column (O).</w:t>
      </w:r>
      <w:r w:rsidRPr="005374E8">
        <w:rPr>
          <w:i/>
        </w:rPr>
        <w:t xml:space="preserve">  </w:t>
      </w:r>
      <w:r>
        <w:rPr>
          <w:i/>
        </w:rPr>
        <w:t xml:space="preserve"> </w:t>
      </w:r>
    </w:p>
  </w:footnote>
  <w:footnote w:id="10">
    <w:p w:rsidR="009F1722" w:rsidRDefault="009F1722">
      <w:pPr>
        <w:pStyle w:val="FootnoteText"/>
      </w:pPr>
      <w:r>
        <w:rPr>
          <w:rStyle w:val="FootnoteReference"/>
        </w:rPr>
        <w:footnoteRef/>
      </w:r>
      <w:r>
        <w:t xml:space="preserve"> </w:t>
      </w:r>
      <w:r w:rsidRPr="00C42F67">
        <w:t>Exhibit No. __ (DEG-4), page 2, lines 13-18, column (N).</w:t>
      </w:r>
      <w:r>
        <w:t xml:space="preserve">   </w:t>
      </w:r>
    </w:p>
  </w:footnote>
  <w:footnote w:id="11">
    <w:p w:rsidR="009F1722" w:rsidRDefault="009F1722" w:rsidP="00C42F67">
      <w:pPr>
        <w:tabs>
          <w:tab w:val="left" w:pos="720"/>
          <w:tab w:val="left" w:pos="1440"/>
          <w:tab w:val="left" w:pos="9240"/>
        </w:tabs>
        <w:ind w:left="720" w:hanging="720"/>
      </w:pPr>
      <w:r w:rsidRPr="008135F8">
        <w:rPr>
          <w:rStyle w:val="FootnoteReference"/>
          <w:sz w:val="20"/>
          <w:szCs w:val="20"/>
        </w:rPr>
        <w:footnoteRef/>
      </w:r>
      <w:r w:rsidRPr="008135F8">
        <w:rPr>
          <w:sz w:val="20"/>
          <w:szCs w:val="20"/>
        </w:rPr>
        <w:t xml:space="preserve"> </w:t>
      </w:r>
      <w:r w:rsidRPr="0087693A">
        <w:rPr>
          <w:sz w:val="20"/>
          <w:szCs w:val="20"/>
        </w:rPr>
        <w:t>Exhibit</w:t>
      </w:r>
      <w:r w:rsidRPr="0004296A">
        <w:rPr>
          <w:sz w:val="20"/>
          <w:szCs w:val="20"/>
        </w:rPr>
        <w:t xml:space="preserve"> No. __</w:t>
      </w:r>
      <w:r>
        <w:rPr>
          <w:sz w:val="20"/>
          <w:szCs w:val="20"/>
        </w:rPr>
        <w:t xml:space="preserve"> </w:t>
      </w:r>
      <w:r w:rsidRPr="0004296A">
        <w:rPr>
          <w:sz w:val="20"/>
          <w:szCs w:val="20"/>
        </w:rPr>
        <w:t>(DEG-4), page 2, line 17, columns (B)-(N) and page 6 lines, 23-24.</w:t>
      </w:r>
      <w:r>
        <w:t xml:space="preserve"> </w:t>
      </w:r>
    </w:p>
  </w:footnote>
  <w:footnote w:id="12">
    <w:p w:rsidR="009F1722" w:rsidRDefault="009F1722" w:rsidP="0004296A">
      <w:pPr>
        <w:pStyle w:val="FootnoteText"/>
      </w:pPr>
      <w:r>
        <w:rPr>
          <w:rStyle w:val="FootnoteReference"/>
        </w:rPr>
        <w:footnoteRef/>
      </w:r>
      <w:r>
        <w:t xml:space="preserve"> </w:t>
      </w:r>
      <w:r w:rsidRPr="00C42F67">
        <w:t>Exhibit No.</w:t>
      </w:r>
      <w:r>
        <w:t xml:space="preserve"> </w:t>
      </w:r>
      <w:r w:rsidRPr="00C42F67">
        <w:t>__ (DEG-4), page 2, line 28.</w:t>
      </w:r>
      <w:r>
        <w:rPr>
          <w:i/>
        </w:rPr>
        <w:t xml:space="preserve">  </w:t>
      </w:r>
    </w:p>
  </w:footnote>
  <w:footnote w:id="13">
    <w:p w:rsidR="009F1722" w:rsidRDefault="009F1722">
      <w:pPr>
        <w:pStyle w:val="FootnoteText"/>
      </w:pPr>
      <w:r>
        <w:rPr>
          <w:rStyle w:val="FootnoteReference"/>
        </w:rPr>
        <w:footnoteRef/>
      </w:r>
      <w:r>
        <w:t xml:space="preserve"> In this calculation, I removed the equity ratio for CMS because its equity ratio as reported by both services is 27.3 percent.</w:t>
      </w:r>
    </w:p>
  </w:footnote>
  <w:footnote w:id="14">
    <w:p w:rsidR="009F1722" w:rsidRDefault="009F1722">
      <w:pPr>
        <w:pStyle w:val="FootnoteText"/>
      </w:pPr>
      <w:r>
        <w:rPr>
          <w:rStyle w:val="FootnoteReference"/>
        </w:rPr>
        <w:footnoteRef/>
      </w:r>
      <w:r>
        <w:t xml:space="preserve"> S&amp;P </w:t>
      </w:r>
      <w:proofErr w:type="spellStart"/>
      <w:r>
        <w:t>RatingsDirect</w:t>
      </w:r>
      <w:proofErr w:type="spellEnd"/>
      <w:r>
        <w:t xml:space="preserve"> (January 24, 2011).  S&amp;P has three different ratings within the BBB category:  BBB-, BBB and BBB+.</w:t>
      </w:r>
    </w:p>
  </w:footnote>
  <w:footnote w:id="15">
    <w:p w:rsidR="009F1722" w:rsidRDefault="009F1722" w:rsidP="00C62BDB">
      <w:pPr>
        <w:pStyle w:val="FootnoteText"/>
      </w:pPr>
      <w:r>
        <w:rPr>
          <w:rStyle w:val="FootnoteReference"/>
        </w:rPr>
        <w:footnoteRef/>
      </w:r>
      <w:r>
        <w:t xml:space="preserve"> </w:t>
      </w:r>
      <w:r w:rsidRPr="00EE050B">
        <w:rPr>
          <w:i/>
        </w:rPr>
        <w:t>WUTC, v. Puget Sound Energy, Inc.,</w:t>
      </w:r>
      <w:r w:rsidRPr="00EE050B">
        <w:t xml:space="preserve"> Dockets UE-090704 and UG-090705, Order 11 at ¶ 283 (April 2</w:t>
      </w:r>
      <w:r>
        <w:t xml:space="preserve">, </w:t>
      </w:r>
      <w:r w:rsidRPr="00EE050B">
        <w:t>2010).</w:t>
      </w:r>
    </w:p>
  </w:footnote>
  <w:footnote w:id="16">
    <w:p w:rsidR="009F1722" w:rsidRDefault="009F1722">
      <w:pPr>
        <w:pStyle w:val="FootnoteText"/>
      </w:pPr>
      <w:r>
        <w:rPr>
          <w:rStyle w:val="FootnoteReference"/>
        </w:rPr>
        <w:footnoteRef/>
      </w:r>
      <w:r>
        <w:t xml:space="preserve"> </w:t>
      </w:r>
      <w:r w:rsidRPr="00C42F67">
        <w:t>Exhibit No. __</w:t>
      </w:r>
      <w:r>
        <w:t xml:space="preserve"> </w:t>
      </w:r>
      <w:r w:rsidRPr="00C42F67">
        <w:t>(DEG-1T) at page 6, lines 3-4.</w:t>
      </w:r>
    </w:p>
  </w:footnote>
  <w:footnote w:id="17">
    <w:p w:rsidR="009F1722" w:rsidRDefault="009F1722">
      <w:pPr>
        <w:pStyle w:val="FootnoteText"/>
      </w:pPr>
      <w:r>
        <w:rPr>
          <w:rStyle w:val="FootnoteReference"/>
        </w:rPr>
        <w:footnoteRef/>
      </w:r>
      <w:r>
        <w:t xml:space="preserve"> </w:t>
      </w:r>
      <w:r w:rsidRPr="00EE050B">
        <w:t>Exhibit No. __ (DEG-1T), page 8, lines 17-18 and Exhibit No. __ (DEG-3).</w:t>
      </w:r>
      <w:r w:rsidRPr="007E025C">
        <w:t xml:space="preserve">   </w:t>
      </w:r>
    </w:p>
  </w:footnote>
  <w:footnote w:id="18">
    <w:p w:rsidR="009F1722" w:rsidRDefault="009F1722">
      <w:pPr>
        <w:pStyle w:val="FootnoteText"/>
      </w:pPr>
      <w:r>
        <w:rPr>
          <w:rStyle w:val="FootnoteReference"/>
        </w:rPr>
        <w:footnoteRef/>
      </w:r>
      <w:r>
        <w:t xml:space="preserve"> </w:t>
      </w:r>
      <w:r w:rsidRPr="00EE050B">
        <w:t>Exhibit No. __ (DEG-1T), page 9, lines 16-18.</w:t>
      </w:r>
      <w:r>
        <w:t xml:space="preserve">  </w:t>
      </w:r>
    </w:p>
  </w:footnote>
  <w:footnote w:id="19">
    <w:p w:rsidR="009F1722" w:rsidRDefault="009F1722">
      <w:pPr>
        <w:pStyle w:val="FootnoteText"/>
      </w:pPr>
      <w:r>
        <w:rPr>
          <w:rStyle w:val="FootnoteReference"/>
        </w:rPr>
        <w:footnoteRef/>
      </w:r>
      <w:r>
        <w:t xml:space="preserve"> Exhibit No. __ (DEG-3), page 1, column labeled “</w:t>
      </w:r>
      <w:proofErr w:type="spellStart"/>
      <w:r w:rsidRPr="004B31C3">
        <w:rPr>
          <w:u w:val="single"/>
        </w:rPr>
        <w:t>Est’d</w:t>
      </w:r>
      <w:proofErr w:type="spellEnd"/>
      <w:r w:rsidRPr="004B31C3">
        <w:rPr>
          <w:u w:val="single"/>
        </w:rPr>
        <w:t xml:space="preserve"> Annual Interest Savings</w:t>
      </w:r>
      <w:r>
        <w:t>”.</w:t>
      </w:r>
    </w:p>
  </w:footnote>
  <w:footnote w:id="20">
    <w:p w:rsidR="009F1722" w:rsidRDefault="009F1722">
      <w:pPr>
        <w:pStyle w:val="FootnoteText"/>
      </w:pPr>
      <w:r>
        <w:rPr>
          <w:rStyle w:val="FootnoteReference"/>
        </w:rPr>
        <w:footnoteRef/>
      </w:r>
      <w:r>
        <w:t xml:space="preserve"> </w:t>
      </w:r>
      <w:r w:rsidRPr="00C42F67">
        <w:t>Exhibit No. __ (DEG -1T), page 18, lines 17-21.</w:t>
      </w:r>
      <w:r w:rsidRPr="000658A4">
        <w:rPr>
          <w:i/>
        </w:rPr>
        <w:t xml:space="preserve"> </w:t>
      </w:r>
      <w:r>
        <w:t xml:space="preserve">  </w:t>
      </w:r>
    </w:p>
  </w:footnote>
  <w:footnote w:id="21">
    <w:p w:rsidR="009F1722" w:rsidRDefault="009F1722" w:rsidP="00F30AA5">
      <w:pPr>
        <w:tabs>
          <w:tab w:val="left" w:pos="720"/>
          <w:tab w:val="left" w:pos="1440"/>
          <w:tab w:val="left" w:pos="9240"/>
        </w:tabs>
        <w:ind w:left="720" w:hanging="720"/>
      </w:pPr>
      <w:r w:rsidRPr="00C42F67">
        <w:rPr>
          <w:rStyle w:val="FootnoteReference"/>
          <w:sz w:val="20"/>
          <w:szCs w:val="20"/>
        </w:rPr>
        <w:footnoteRef/>
      </w:r>
      <w:r w:rsidRPr="00C42F67">
        <w:rPr>
          <w:sz w:val="20"/>
          <w:szCs w:val="20"/>
        </w:rPr>
        <w:t xml:space="preserve"> Exhibit No. __ (DEG-1T), page 28, lines 9-16.</w:t>
      </w:r>
      <w:r w:rsidRPr="00CE5178">
        <w:t xml:space="preserve">  </w:t>
      </w:r>
    </w:p>
  </w:footnote>
  <w:footnote w:id="22">
    <w:p w:rsidR="009F1722" w:rsidRDefault="009F1722">
      <w:pPr>
        <w:pStyle w:val="FootnoteText"/>
      </w:pPr>
      <w:r>
        <w:rPr>
          <w:rStyle w:val="FootnoteReference"/>
        </w:rPr>
        <w:footnoteRef/>
      </w:r>
      <w:r>
        <w:t xml:space="preserve"> </w:t>
      </w:r>
      <w:r w:rsidRPr="00EE050B">
        <w:t>Exhibit No. _</w:t>
      </w:r>
      <w:proofErr w:type="gramStart"/>
      <w:r w:rsidRPr="00EE050B">
        <w:t xml:space="preserve">_ </w:t>
      </w:r>
      <w:r>
        <w:t xml:space="preserve"> </w:t>
      </w:r>
      <w:r w:rsidRPr="00EE050B">
        <w:t>(</w:t>
      </w:r>
      <w:proofErr w:type="gramEnd"/>
      <w:r w:rsidRPr="00EE050B">
        <w:t>DEG-1T), page 18, lines19-21.</w:t>
      </w:r>
      <w:r>
        <w:t xml:space="preserve">   </w:t>
      </w:r>
    </w:p>
  </w:footnote>
  <w:footnote w:id="23">
    <w:p w:rsidR="009F1722" w:rsidRDefault="009F1722">
      <w:pPr>
        <w:pStyle w:val="FootnoteText"/>
      </w:pPr>
      <w:r>
        <w:rPr>
          <w:rStyle w:val="FootnoteReference"/>
        </w:rPr>
        <w:footnoteRef/>
      </w:r>
      <w:r>
        <w:t xml:space="preserve"> </w:t>
      </w:r>
      <w:r w:rsidRPr="00EE050B">
        <w:t>Exhibit No. __ (CEO-1T), page 21, line 15.</w:t>
      </w:r>
    </w:p>
  </w:footnote>
  <w:footnote w:id="24">
    <w:p w:rsidR="009F1722" w:rsidRPr="00977D04" w:rsidRDefault="009F1722" w:rsidP="00977D04">
      <w:pPr>
        <w:tabs>
          <w:tab w:val="left" w:pos="720"/>
          <w:tab w:val="left" w:pos="1440"/>
          <w:tab w:val="left" w:pos="9240"/>
        </w:tabs>
        <w:ind w:left="720" w:hanging="720"/>
        <w:rPr>
          <w:sz w:val="20"/>
          <w:szCs w:val="20"/>
        </w:rPr>
      </w:pPr>
      <w:r w:rsidRPr="00C42F67">
        <w:rPr>
          <w:rStyle w:val="FootnoteReference"/>
          <w:sz w:val="20"/>
          <w:szCs w:val="20"/>
        </w:rPr>
        <w:footnoteRef/>
      </w:r>
      <w:r w:rsidRPr="00C42F67">
        <w:rPr>
          <w:sz w:val="20"/>
          <w:szCs w:val="20"/>
        </w:rPr>
        <w:t xml:space="preserve"> Exhibit No. __ (CEO-1T), page 22, line 21 to page 23, line 2.</w:t>
      </w:r>
    </w:p>
  </w:footnote>
  <w:footnote w:id="25">
    <w:p w:rsidR="009F1722" w:rsidRDefault="009F1722">
      <w:pPr>
        <w:pStyle w:val="FootnoteText"/>
      </w:pPr>
      <w:r>
        <w:rPr>
          <w:rStyle w:val="FootnoteReference"/>
        </w:rPr>
        <w:footnoteRef/>
      </w:r>
      <w:r>
        <w:t xml:space="preserve"> This data is compiled by Morningstar and published on the Yahoo Finance investor website.</w:t>
      </w:r>
    </w:p>
  </w:footnote>
  <w:footnote w:id="26">
    <w:p w:rsidR="009F1722" w:rsidRPr="00F30AA5" w:rsidRDefault="009F1722" w:rsidP="00F30AA5">
      <w:pPr>
        <w:tabs>
          <w:tab w:val="left" w:pos="720"/>
          <w:tab w:val="left" w:pos="1440"/>
          <w:tab w:val="left" w:pos="2160"/>
          <w:tab w:val="left" w:pos="9240"/>
        </w:tabs>
        <w:ind w:left="720" w:hanging="720"/>
        <w:rPr>
          <w:sz w:val="20"/>
          <w:szCs w:val="20"/>
        </w:rPr>
      </w:pPr>
      <w:r w:rsidRPr="00C42F67">
        <w:rPr>
          <w:rStyle w:val="FootnoteReference"/>
          <w:sz w:val="20"/>
          <w:szCs w:val="20"/>
        </w:rPr>
        <w:footnoteRef/>
      </w:r>
      <w:r w:rsidRPr="00C42F67">
        <w:rPr>
          <w:sz w:val="20"/>
          <w:szCs w:val="20"/>
        </w:rPr>
        <w:t xml:space="preserve"> Exhibit No. ___</w:t>
      </w:r>
      <w:r>
        <w:rPr>
          <w:sz w:val="20"/>
          <w:szCs w:val="20"/>
        </w:rPr>
        <w:t xml:space="preserve"> </w:t>
      </w:r>
      <w:r w:rsidRPr="00C42F67">
        <w:rPr>
          <w:sz w:val="20"/>
          <w:szCs w:val="20"/>
        </w:rPr>
        <w:t>(CEO-3), page 1.</w:t>
      </w:r>
    </w:p>
  </w:footnote>
  <w:footnote w:id="27">
    <w:p w:rsidR="009F1722" w:rsidRDefault="009F1722">
      <w:pPr>
        <w:pStyle w:val="FootnoteText"/>
      </w:pPr>
      <w:r>
        <w:rPr>
          <w:rStyle w:val="FootnoteReference"/>
        </w:rPr>
        <w:footnoteRef/>
      </w:r>
      <w:r>
        <w:t xml:space="preserve">{0.40*11.25 percent=4.5 percent}.   </w:t>
      </w:r>
    </w:p>
  </w:footnote>
  <w:footnote w:id="28">
    <w:p w:rsidR="009F1722" w:rsidRDefault="009F1722">
      <w:pPr>
        <w:pStyle w:val="FootnoteText"/>
      </w:pPr>
      <w:r>
        <w:rPr>
          <w:rStyle w:val="FootnoteReference"/>
        </w:rPr>
        <w:footnoteRef/>
      </w:r>
      <w:r>
        <w:t xml:space="preserve"> See Exhibit No. ___ (CEO-1T), page 19, lines 5-11.  </w:t>
      </w:r>
    </w:p>
  </w:footnote>
  <w:footnote w:id="29">
    <w:p w:rsidR="009F1722" w:rsidRPr="00F30AA5" w:rsidRDefault="009F1722" w:rsidP="00F30AA5">
      <w:pPr>
        <w:tabs>
          <w:tab w:val="left" w:pos="720"/>
          <w:tab w:val="left" w:pos="1440"/>
          <w:tab w:val="left" w:pos="9240"/>
        </w:tabs>
        <w:ind w:left="720" w:hanging="720"/>
        <w:rPr>
          <w:sz w:val="20"/>
          <w:szCs w:val="20"/>
        </w:rPr>
      </w:pPr>
      <w:r w:rsidRPr="00C42F67">
        <w:rPr>
          <w:rStyle w:val="FootnoteReference"/>
          <w:sz w:val="20"/>
          <w:szCs w:val="20"/>
        </w:rPr>
        <w:footnoteRef/>
      </w:r>
      <w:r w:rsidRPr="00C42F67">
        <w:rPr>
          <w:sz w:val="20"/>
          <w:szCs w:val="20"/>
        </w:rPr>
        <w:t xml:space="preserve"> See Exhibit No. ___ (CEO-1T), page 19, lines 9-11.  </w:t>
      </w:r>
    </w:p>
  </w:footnote>
  <w:footnote w:id="30">
    <w:p w:rsidR="009F1722" w:rsidRDefault="009F1722">
      <w:pPr>
        <w:pStyle w:val="FootnoteText"/>
      </w:pPr>
      <w:r>
        <w:rPr>
          <w:rStyle w:val="FootnoteReference"/>
        </w:rPr>
        <w:footnoteRef/>
      </w:r>
      <w:r>
        <w:t xml:space="preserve"> {4.25 + [0.70(10.0-4.25)]}.</w:t>
      </w:r>
    </w:p>
  </w:footnote>
  <w:footnote w:id="31">
    <w:p w:rsidR="009F1722" w:rsidRDefault="009F1722">
      <w:pPr>
        <w:pStyle w:val="FootnoteText"/>
      </w:pPr>
      <w:r>
        <w:rPr>
          <w:rStyle w:val="FootnoteReference"/>
        </w:rPr>
        <w:footnoteRef/>
      </w:r>
      <w:r>
        <w:t xml:space="preserve"> {4.25 + [0.70(12.0-4.25)]}.</w:t>
      </w:r>
    </w:p>
  </w:footnote>
  <w:footnote w:id="32">
    <w:p w:rsidR="009F1722" w:rsidRDefault="009F1722">
      <w:pPr>
        <w:pStyle w:val="FootnoteText"/>
      </w:pPr>
      <w:r>
        <w:rPr>
          <w:rStyle w:val="FootnoteReference"/>
        </w:rPr>
        <w:footnoteRef/>
      </w:r>
      <w:r>
        <w:t xml:space="preserve"> See Exhibit No. ___ (CEO-1T), page 17, lines 2-7.  </w:t>
      </w:r>
    </w:p>
  </w:footnote>
  <w:footnote w:id="33">
    <w:p w:rsidR="009F1722" w:rsidRDefault="009F1722" w:rsidP="00C42F67">
      <w:pPr>
        <w:tabs>
          <w:tab w:val="left" w:pos="720"/>
          <w:tab w:val="left" w:pos="1440"/>
          <w:tab w:val="left" w:pos="9240"/>
        </w:tabs>
        <w:ind w:left="720" w:hanging="720"/>
      </w:pPr>
      <w:r w:rsidRPr="00D94BB3">
        <w:rPr>
          <w:rStyle w:val="FootnoteReference"/>
          <w:sz w:val="20"/>
          <w:szCs w:val="20"/>
        </w:rPr>
        <w:footnoteRef/>
      </w:r>
      <w:r w:rsidRPr="00D94BB3">
        <w:rPr>
          <w:sz w:val="20"/>
          <w:szCs w:val="20"/>
        </w:rPr>
        <w:t xml:space="preserve"> </w:t>
      </w:r>
      <w:r>
        <w:rPr>
          <w:sz w:val="20"/>
          <w:szCs w:val="20"/>
        </w:rPr>
        <w:t>Exhibit No. __ (</w:t>
      </w:r>
      <w:r w:rsidRPr="00D94BB3">
        <w:rPr>
          <w:sz w:val="20"/>
          <w:szCs w:val="20"/>
        </w:rPr>
        <w:t>DEG-4</w:t>
      </w:r>
      <w:r>
        <w:rPr>
          <w:sz w:val="20"/>
          <w:szCs w:val="20"/>
        </w:rPr>
        <w:t>),</w:t>
      </w:r>
      <w:r w:rsidRPr="00D94BB3">
        <w:rPr>
          <w:sz w:val="20"/>
          <w:szCs w:val="20"/>
        </w:rPr>
        <w:t xml:space="preserve"> page 4</w:t>
      </w:r>
      <w:r>
        <w:rPr>
          <w:sz w:val="20"/>
          <w:szCs w:val="20"/>
        </w:rPr>
        <w:t>,</w:t>
      </w:r>
      <w:r w:rsidRPr="00D94BB3">
        <w:rPr>
          <w:sz w:val="20"/>
          <w:szCs w:val="20"/>
        </w:rPr>
        <w:t xml:space="preserve"> line 31</w:t>
      </w:r>
      <w:r>
        <w:rPr>
          <w:sz w:val="20"/>
          <w:szCs w:val="20"/>
        </w:rPr>
        <w:t>,</w:t>
      </w:r>
      <w:r w:rsidRPr="00D94BB3">
        <w:rPr>
          <w:sz w:val="20"/>
          <w:szCs w:val="20"/>
        </w:rPr>
        <w:t xml:space="preserve"> column (G)</w:t>
      </w:r>
      <w:r>
        <w:rPr>
          <w:sz w:val="20"/>
          <w:szCs w:val="20"/>
        </w:rPr>
        <w:t>.</w:t>
      </w:r>
    </w:p>
  </w:footnote>
  <w:footnote w:id="34">
    <w:p w:rsidR="009F1722" w:rsidRPr="00B93403" w:rsidRDefault="009F1722" w:rsidP="00B93403">
      <w:pPr>
        <w:pStyle w:val="FootnoteText"/>
      </w:pPr>
      <w:r w:rsidRPr="00B93403">
        <w:rPr>
          <w:rStyle w:val="FootnoteReference"/>
        </w:rPr>
        <w:footnoteRef/>
      </w:r>
      <w:r w:rsidRPr="00B93403">
        <w:t xml:space="preserve"> </w:t>
      </w:r>
      <w:r w:rsidRPr="00C42F67">
        <w:t xml:space="preserve">Exhibit </w:t>
      </w:r>
      <w:r>
        <w:t>No. __ (</w:t>
      </w:r>
      <w:r w:rsidRPr="00C42F67">
        <w:t>DEG-1T</w:t>
      </w:r>
      <w:r>
        <w:t>)</w:t>
      </w:r>
      <w:r w:rsidRPr="00C42F67">
        <w:t>, page 34, line 8and page 35, lines 11-12.</w:t>
      </w:r>
    </w:p>
  </w:footnote>
  <w:footnote w:id="35">
    <w:p w:rsidR="009F1722" w:rsidRDefault="009F1722">
      <w:pPr>
        <w:pStyle w:val="FootnoteText"/>
      </w:pPr>
      <w:r>
        <w:rPr>
          <w:rStyle w:val="FootnoteReference"/>
        </w:rPr>
        <w:footnoteRef/>
      </w:r>
      <w:r>
        <w:t xml:space="preserve"> See Exhibit No. __</w:t>
      </w:r>
      <w:proofErr w:type="gramStart"/>
      <w:r>
        <w:t>_(</w:t>
      </w:r>
      <w:proofErr w:type="gramEnd"/>
      <w:r>
        <w:t>KLE-3) page 1 for a complete description of PSE’s ratings by S&amp;P.</w:t>
      </w:r>
    </w:p>
  </w:footnote>
  <w:footnote w:id="36">
    <w:p w:rsidR="009F1722" w:rsidRPr="000D55B3" w:rsidRDefault="009F1722" w:rsidP="000D55B3">
      <w:pPr>
        <w:tabs>
          <w:tab w:val="left" w:pos="720"/>
          <w:tab w:val="left" w:pos="1440"/>
          <w:tab w:val="left" w:pos="9240"/>
        </w:tabs>
        <w:ind w:left="720" w:hanging="720"/>
        <w:rPr>
          <w:sz w:val="20"/>
          <w:szCs w:val="20"/>
        </w:rPr>
      </w:pPr>
      <w:r w:rsidRPr="00C42F67">
        <w:rPr>
          <w:rStyle w:val="FootnoteReference"/>
          <w:sz w:val="20"/>
          <w:szCs w:val="20"/>
        </w:rPr>
        <w:footnoteRef/>
      </w:r>
      <w:r w:rsidRPr="00C42F67">
        <w:rPr>
          <w:sz w:val="20"/>
          <w:szCs w:val="20"/>
        </w:rPr>
        <w:t xml:space="preserve"> See Exhibit </w:t>
      </w:r>
      <w:r>
        <w:rPr>
          <w:sz w:val="20"/>
          <w:szCs w:val="20"/>
        </w:rPr>
        <w:t>No. __ (</w:t>
      </w:r>
      <w:r w:rsidRPr="00C42F67">
        <w:rPr>
          <w:sz w:val="20"/>
          <w:szCs w:val="20"/>
        </w:rPr>
        <w:t>DEG-10</w:t>
      </w:r>
      <w:r>
        <w:rPr>
          <w:sz w:val="20"/>
          <w:szCs w:val="20"/>
        </w:rPr>
        <w:t>)</w:t>
      </w:r>
      <w:r w:rsidRPr="00C42F67">
        <w:rPr>
          <w:sz w:val="20"/>
          <w:szCs w:val="20"/>
        </w:rPr>
        <w:t>, page 4, lines 18-27.</w:t>
      </w:r>
    </w:p>
  </w:footnote>
  <w:footnote w:id="37">
    <w:p w:rsidR="009F1722" w:rsidRDefault="009F1722">
      <w:pPr>
        <w:pStyle w:val="FootnoteText"/>
      </w:pPr>
      <w:r>
        <w:rPr>
          <w:rStyle w:val="FootnoteReference"/>
        </w:rPr>
        <w:footnoteRef/>
      </w:r>
      <w:r>
        <w:t xml:space="preserve"> </w:t>
      </w:r>
      <w:r w:rsidRPr="00E021BB">
        <w:t xml:space="preserve">See </w:t>
      </w:r>
      <w:r w:rsidRPr="00C42F67">
        <w:t>Exhibit No.___ (RG-1T) 32:12-21</w:t>
      </w:r>
      <w:r>
        <w:t xml:space="preserve">.   </w:t>
      </w:r>
    </w:p>
  </w:footnote>
  <w:footnote w:id="38">
    <w:p w:rsidR="009F1722" w:rsidRDefault="009F1722">
      <w:pPr>
        <w:pStyle w:val="FootnoteText"/>
      </w:pPr>
      <w:r>
        <w:rPr>
          <w:rStyle w:val="FootnoteReference"/>
        </w:rPr>
        <w:footnoteRef/>
      </w:r>
      <w:r>
        <w:t xml:space="preserve"> </w:t>
      </w:r>
      <w:r w:rsidRPr="00AF002C">
        <w:rPr>
          <w:i/>
        </w:rPr>
        <w:t>Id</w:t>
      </w:r>
      <w:r>
        <w:rPr>
          <w:i/>
        </w:rPr>
        <w:t>.</w:t>
      </w:r>
      <w:r w:rsidRPr="00AF002C">
        <w:rPr>
          <w:i/>
        </w:rPr>
        <w:t xml:space="preserve"> </w:t>
      </w:r>
      <w:r w:rsidRPr="00C42F67">
        <w:t>at page 35, line 26.</w:t>
      </w:r>
    </w:p>
  </w:footnote>
  <w:footnote w:id="39">
    <w:p w:rsidR="009F1722" w:rsidRDefault="009F1722">
      <w:pPr>
        <w:pStyle w:val="FootnoteText"/>
      </w:pPr>
      <w:r>
        <w:rPr>
          <w:rStyle w:val="FootnoteReference"/>
        </w:rPr>
        <w:footnoteRef/>
      </w:r>
      <w:r>
        <w:t xml:space="preserve"> </w:t>
      </w:r>
      <w:r w:rsidRPr="00731778">
        <w:t>Ex</w:t>
      </w:r>
      <w:r w:rsidRPr="00F2094F">
        <w:t>hibit No. ___ (DEG-1T)</w:t>
      </w:r>
      <w:r>
        <w:t>, page 7, line 16</w:t>
      </w:r>
      <w:r w:rsidRPr="00731778">
        <w:t>.</w:t>
      </w:r>
      <w:r>
        <w:t xml:space="preserve">   </w:t>
      </w:r>
    </w:p>
  </w:footnote>
  <w:footnote w:id="40">
    <w:p w:rsidR="009F1722" w:rsidRDefault="009F1722">
      <w:pPr>
        <w:pStyle w:val="FootnoteText"/>
      </w:pPr>
      <w:r>
        <w:rPr>
          <w:rStyle w:val="FootnoteReference"/>
        </w:rPr>
        <w:footnoteRef/>
      </w:r>
      <w:r>
        <w:t xml:space="preserve"> </w:t>
      </w:r>
      <w:r w:rsidRPr="00C42F67">
        <w:t>Exhibit No. ___ (DEG-6).</w:t>
      </w:r>
      <w:r>
        <w:rPr>
          <w:i/>
        </w:rPr>
        <w:t xml:space="preserve">  </w:t>
      </w:r>
    </w:p>
  </w:footnote>
  <w:footnote w:id="41">
    <w:p w:rsidR="009F1722" w:rsidRDefault="009F1722">
      <w:pPr>
        <w:pStyle w:val="FootnoteText"/>
      </w:pPr>
      <w:r>
        <w:rPr>
          <w:rStyle w:val="FootnoteReference"/>
        </w:rPr>
        <w:footnoteRef/>
      </w:r>
      <w:r>
        <w:t xml:space="preserve"> </w:t>
      </w:r>
      <w:r w:rsidRPr="00C42F67">
        <w:t>Exhibit No. ___ (DEG-1T), page 16</w:t>
      </w:r>
      <w:r w:rsidRPr="00C04229">
        <w:rPr>
          <w:i/>
        </w:rPr>
        <w:t>.</w:t>
      </w:r>
      <w:r>
        <w:rPr>
          <w:i/>
        </w:rPr>
        <w:t xml:space="preserve">  </w:t>
      </w:r>
    </w:p>
  </w:footnote>
  <w:footnote w:id="42">
    <w:p w:rsidR="009F1722" w:rsidRPr="000D55B3" w:rsidRDefault="009F1722" w:rsidP="000D55B3">
      <w:pPr>
        <w:tabs>
          <w:tab w:val="left" w:pos="720"/>
          <w:tab w:val="left" w:pos="1440"/>
          <w:tab w:val="left" w:pos="9240"/>
        </w:tabs>
        <w:ind w:left="720" w:hanging="720"/>
        <w:rPr>
          <w:sz w:val="20"/>
          <w:szCs w:val="20"/>
        </w:rPr>
      </w:pPr>
      <w:r w:rsidRPr="00C42F67">
        <w:rPr>
          <w:rStyle w:val="FootnoteReference"/>
          <w:sz w:val="20"/>
          <w:szCs w:val="20"/>
        </w:rPr>
        <w:footnoteRef/>
      </w:r>
      <w:r w:rsidRPr="00C42F67">
        <w:rPr>
          <w:sz w:val="20"/>
          <w:szCs w:val="20"/>
        </w:rPr>
        <w:t xml:space="preserve"> Exhibit No. ___ (DEG-1T)</w:t>
      </w:r>
      <w:r>
        <w:rPr>
          <w:sz w:val="20"/>
          <w:szCs w:val="20"/>
        </w:rPr>
        <w:t>, page</w:t>
      </w:r>
      <w:r w:rsidRPr="00C42F67">
        <w:rPr>
          <w:sz w:val="20"/>
          <w:szCs w:val="20"/>
        </w:rPr>
        <w:t xml:space="preserve"> 46</w:t>
      </w:r>
      <w:r>
        <w:rPr>
          <w:sz w:val="20"/>
          <w:szCs w:val="20"/>
        </w:rPr>
        <w:t xml:space="preserve">, lines </w:t>
      </w:r>
      <w:r w:rsidRPr="00C42F67">
        <w:rPr>
          <w:sz w:val="20"/>
          <w:szCs w:val="20"/>
        </w:rPr>
        <w:t>15-16</w:t>
      </w:r>
      <w:r>
        <w:rPr>
          <w:sz w:val="20"/>
          <w:szCs w:val="20"/>
        </w:rPr>
        <w:t xml:space="preserve"> and page</w:t>
      </w:r>
      <w:r w:rsidRPr="00C42F67">
        <w:rPr>
          <w:sz w:val="20"/>
          <w:szCs w:val="20"/>
        </w:rPr>
        <w:t xml:space="preserve"> 47</w:t>
      </w:r>
      <w:r>
        <w:rPr>
          <w:sz w:val="20"/>
          <w:szCs w:val="20"/>
        </w:rPr>
        <w:t xml:space="preserve">, </w:t>
      </w:r>
      <w:r w:rsidRPr="00C42F67">
        <w:rPr>
          <w:sz w:val="20"/>
          <w:szCs w:val="20"/>
        </w:rPr>
        <w:t>Figure1</w:t>
      </w:r>
      <w:r>
        <w:rPr>
          <w:sz w:val="20"/>
          <w:szCs w:val="20"/>
        </w:rPr>
        <w:t>.</w:t>
      </w:r>
    </w:p>
  </w:footnote>
  <w:footnote w:id="43">
    <w:p w:rsidR="009F1722" w:rsidRDefault="009F1722">
      <w:pPr>
        <w:pStyle w:val="FootnoteText"/>
      </w:pPr>
      <w:r>
        <w:rPr>
          <w:rStyle w:val="FootnoteReference"/>
        </w:rPr>
        <w:footnoteRef/>
      </w:r>
      <w:r>
        <w:t xml:space="preserve"> </w:t>
      </w:r>
      <w:r w:rsidRPr="00C42F67">
        <w:t xml:space="preserve">See Exhibit </w:t>
      </w:r>
      <w:r>
        <w:t>No. _</w:t>
      </w:r>
      <w:proofErr w:type="gramStart"/>
      <w:r>
        <w:t>_(</w:t>
      </w:r>
      <w:proofErr w:type="gramEnd"/>
      <w:r w:rsidRPr="00C42F67">
        <w:t>DEG-1T</w:t>
      </w:r>
      <w:r>
        <w:t>), page</w:t>
      </w:r>
      <w:r w:rsidRPr="002B3953">
        <w:t xml:space="preserve"> 3</w:t>
      </w:r>
      <w:r>
        <w:t>,</w:t>
      </w:r>
      <w:r w:rsidRPr="00C42F67">
        <w:t xml:space="preserve"> Table 2</w:t>
      </w:r>
      <w:r>
        <w:t>.</w:t>
      </w:r>
    </w:p>
  </w:footnote>
  <w:footnote w:id="44">
    <w:p w:rsidR="009F1722" w:rsidRDefault="009F1722">
      <w:pPr>
        <w:pStyle w:val="FootnoteText"/>
      </w:pPr>
      <w:r>
        <w:rPr>
          <w:rStyle w:val="FootnoteReference"/>
        </w:rPr>
        <w:footnoteRef/>
      </w:r>
      <w:r>
        <w:t xml:space="preserve"> </w:t>
      </w:r>
      <w:r w:rsidRPr="00690BE5">
        <w:rPr>
          <w:i/>
        </w:rPr>
        <w:t>WUTC v. PacifiCorp, d/b/a Pacific Power &amp; Light Co.</w:t>
      </w:r>
      <w:r>
        <w:t>, Docket UE-110749</w:t>
      </w:r>
      <w:r w:rsidRPr="00BA4623">
        <w:t>,</w:t>
      </w:r>
      <w:r w:rsidRPr="00690BE5">
        <w:t xml:space="preserve"> Order 07 at ¶10 (May 12, 2011).</w:t>
      </w:r>
      <w:r>
        <w:t xml:space="preserve">  </w:t>
      </w:r>
    </w:p>
  </w:footnote>
  <w:footnote w:id="45">
    <w:p w:rsidR="009F1722" w:rsidRPr="00536BBF" w:rsidRDefault="009F1722">
      <w:pPr>
        <w:pStyle w:val="FootnoteText"/>
      </w:pPr>
      <w:r w:rsidRPr="00536BBF">
        <w:rPr>
          <w:rStyle w:val="FootnoteReference"/>
        </w:rPr>
        <w:footnoteRef/>
      </w:r>
      <w:r w:rsidRPr="00536BBF">
        <w:t xml:space="preserve"> </w:t>
      </w:r>
      <w:r w:rsidRPr="00C42F67">
        <w:t>Exhibit No. _</w:t>
      </w:r>
      <w:proofErr w:type="gramStart"/>
      <w:r w:rsidRPr="00C42F67">
        <w:t xml:space="preserve">_ </w:t>
      </w:r>
      <w:r>
        <w:t xml:space="preserve"> </w:t>
      </w:r>
      <w:r w:rsidRPr="00C42F67">
        <w:t>(</w:t>
      </w:r>
      <w:proofErr w:type="gramEnd"/>
      <w:r w:rsidRPr="00C42F67">
        <w:t>CEO-4).</w:t>
      </w:r>
    </w:p>
  </w:footnote>
  <w:footnote w:id="46">
    <w:p w:rsidR="009F1722" w:rsidRDefault="009F1722">
      <w:pPr>
        <w:pStyle w:val="FootnoteText"/>
      </w:pPr>
      <w:r>
        <w:rPr>
          <w:rStyle w:val="FootnoteReference"/>
        </w:rPr>
        <w:footnoteRef/>
      </w:r>
      <w:r>
        <w:t xml:space="preserve"> </w:t>
      </w:r>
      <w:r w:rsidRPr="00C42F67">
        <w:rPr>
          <w:i/>
        </w:rPr>
        <w:t>Id</w:t>
      </w:r>
      <w:r>
        <w:t>.</w:t>
      </w:r>
    </w:p>
  </w:footnote>
  <w:footnote w:id="47">
    <w:p w:rsidR="009F1722" w:rsidRDefault="009F1722">
      <w:pPr>
        <w:pStyle w:val="FootnoteText"/>
      </w:pPr>
      <w:r>
        <w:rPr>
          <w:rStyle w:val="FootnoteReference"/>
        </w:rPr>
        <w:footnoteRef/>
      </w:r>
      <w:r>
        <w:t xml:space="preserve"> See Yahoo Finance.</w:t>
      </w:r>
    </w:p>
  </w:footnote>
  <w:footnote w:id="48">
    <w:p w:rsidR="009F1722" w:rsidRDefault="009F1722">
      <w:pPr>
        <w:pStyle w:val="FootnoteText"/>
      </w:pPr>
      <w:r>
        <w:rPr>
          <w:rStyle w:val="FootnoteReference"/>
        </w:rPr>
        <w:footnoteRef/>
      </w:r>
      <w:r>
        <w:t xml:space="preserve"> See Exhibit No.__ (CEO-1T) at page 24, line 3.  </w:t>
      </w:r>
    </w:p>
  </w:footnote>
  <w:footnote w:id="49">
    <w:p w:rsidR="009F1722" w:rsidRDefault="009F1722">
      <w:pPr>
        <w:pStyle w:val="FootnoteText"/>
      </w:pPr>
      <w:r>
        <w:rPr>
          <w:rStyle w:val="FootnoteReference"/>
        </w:rPr>
        <w:footnoteRef/>
      </w:r>
      <w:r>
        <w:t xml:space="preserve"> </w:t>
      </w:r>
      <w:r w:rsidRPr="00EE050B">
        <w:t>Exhibit No. __</w:t>
      </w:r>
      <w:proofErr w:type="gramStart"/>
      <w:r w:rsidRPr="00EE050B">
        <w:t xml:space="preserve">_ </w:t>
      </w:r>
      <w:r>
        <w:t xml:space="preserve"> </w:t>
      </w:r>
      <w:r w:rsidRPr="00EE050B">
        <w:t>(</w:t>
      </w:r>
      <w:proofErr w:type="gramEnd"/>
      <w:r w:rsidRPr="00EE050B">
        <w:t>CEO-6)</w:t>
      </w:r>
      <w:r>
        <w:t>,</w:t>
      </w:r>
      <w:r w:rsidRPr="00EE050B">
        <w:t xml:space="preserve"> page 1, second column</w:t>
      </w:r>
      <w:r>
        <w:t>,</w:t>
      </w:r>
      <w:r w:rsidRPr="00EE050B">
        <w:t xml:space="preserve"> first three lines.</w:t>
      </w:r>
    </w:p>
  </w:footnote>
  <w:footnote w:id="50">
    <w:p w:rsidR="009F1722" w:rsidRDefault="009F1722" w:rsidP="0029071F">
      <w:pPr>
        <w:pStyle w:val="FootnoteText"/>
      </w:pPr>
      <w:r w:rsidRPr="00B937C3">
        <w:rPr>
          <w:rStyle w:val="FootnoteReference"/>
        </w:rPr>
        <w:footnoteRef/>
      </w:r>
      <w:r>
        <w:t xml:space="preserve"> Exhibit No.__</w:t>
      </w:r>
      <w:proofErr w:type="gramStart"/>
      <w:r>
        <w:t>_(</w:t>
      </w:r>
      <w:proofErr w:type="gramEnd"/>
      <w:r>
        <w:t>DEG-1T), page 23, Chart 1.</w:t>
      </w:r>
    </w:p>
  </w:footnote>
  <w:footnote w:id="51">
    <w:p w:rsidR="009F1722" w:rsidRDefault="009F1722" w:rsidP="0029071F">
      <w:pPr>
        <w:pStyle w:val="FootnoteText"/>
      </w:pPr>
      <w:r>
        <w:rPr>
          <w:rStyle w:val="FootnoteReference"/>
        </w:rPr>
        <w:footnoteRef/>
      </w:r>
      <w:r>
        <w:t xml:space="preserve"> Exhibit No.__</w:t>
      </w:r>
      <w:proofErr w:type="gramStart"/>
      <w:r>
        <w:t>_(</w:t>
      </w:r>
      <w:proofErr w:type="gramEnd"/>
      <w:r>
        <w:t>CEO-1T), page 8, lines 10-12 and 15-17.</w:t>
      </w:r>
    </w:p>
  </w:footnote>
  <w:footnote w:id="52">
    <w:p w:rsidR="009F1722" w:rsidRDefault="009F1722" w:rsidP="0029071F">
      <w:pPr>
        <w:pStyle w:val="FootnoteText"/>
      </w:pPr>
      <w:r>
        <w:rPr>
          <w:rStyle w:val="FootnoteReference"/>
        </w:rPr>
        <w:footnoteRef/>
      </w:r>
      <w:r>
        <w:t xml:space="preserve"> </w:t>
      </w:r>
      <w:r w:rsidRPr="00B937C3">
        <w:rPr>
          <w:i/>
        </w:rPr>
        <w:t xml:space="preserve">WUTC v. </w:t>
      </w:r>
      <w:r>
        <w:rPr>
          <w:i/>
        </w:rPr>
        <w:t>Puget Sound Power &amp; Light Company,</w:t>
      </w:r>
      <w:r>
        <w:t xml:space="preserve"> Cause No. U-73-57, 6th Supp. Order at 9 (October 25, 1974). </w:t>
      </w:r>
    </w:p>
  </w:footnote>
  <w:footnote w:id="53">
    <w:p w:rsidR="009F1722" w:rsidRDefault="009F1722">
      <w:pPr>
        <w:pStyle w:val="FootnoteText"/>
      </w:pPr>
      <w:r>
        <w:rPr>
          <w:rStyle w:val="FootnoteReference"/>
        </w:rPr>
        <w:footnoteRef/>
      </w:r>
      <w:r>
        <w:t xml:space="preserve"> </w:t>
      </w:r>
      <w:r w:rsidRPr="00B937C3">
        <w:rPr>
          <w:i/>
        </w:rPr>
        <w:t xml:space="preserve">WUTC v. </w:t>
      </w:r>
      <w:r>
        <w:rPr>
          <w:i/>
        </w:rPr>
        <w:t>Washington Natural Gas Company,</w:t>
      </w:r>
      <w:r>
        <w:t xml:space="preserve"> Cause No. U-80-25, 4th Supp. Order at 5 (September 19, 1980)</w:t>
      </w:r>
    </w:p>
  </w:footnote>
  <w:footnote w:id="54">
    <w:p w:rsidR="009F1722" w:rsidRDefault="009F1722">
      <w:pPr>
        <w:pStyle w:val="FootnoteText"/>
      </w:pPr>
      <w:r>
        <w:rPr>
          <w:rStyle w:val="FootnoteReference"/>
        </w:rPr>
        <w:footnoteRef/>
      </w:r>
      <w:r>
        <w:t xml:space="preserve"> </w:t>
      </w:r>
      <w:r w:rsidRPr="008135F8">
        <w:rPr>
          <w:i/>
        </w:rPr>
        <w:t>Id.</w:t>
      </w:r>
      <w:r>
        <w:t xml:space="preserve"> at 6.</w:t>
      </w:r>
    </w:p>
  </w:footnote>
  <w:footnote w:id="55">
    <w:p w:rsidR="009F1722" w:rsidRDefault="009F1722">
      <w:pPr>
        <w:pStyle w:val="FootnoteText"/>
      </w:pPr>
      <w:r>
        <w:rPr>
          <w:rStyle w:val="FootnoteReference"/>
        </w:rPr>
        <w:footnoteRef/>
      </w:r>
      <w:r>
        <w:t xml:space="preserve"> </w:t>
      </w:r>
      <w:r w:rsidRPr="008135F8">
        <w:rPr>
          <w:i/>
        </w:rPr>
        <w:t>Id</w:t>
      </w:r>
      <w:r>
        <w:t>.</w:t>
      </w:r>
    </w:p>
  </w:footnote>
  <w:footnote w:id="56">
    <w:p w:rsidR="009F1722" w:rsidRDefault="009F1722" w:rsidP="0029071F">
      <w:pPr>
        <w:pStyle w:val="FootnoteText"/>
      </w:pPr>
      <w:r>
        <w:rPr>
          <w:rStyle w:val="FootnoteReference"/>
        </w:rPr>
        <w:footnoteRef/>
      </w:r>
      <w:r>
        <w:t xml:space="preserve"> </w:t>
      </w:r>
      <w:r w:rsidRPr="00B937C3">
        <w:rPr>
          <w:i/>
        </w:rPr>
        <w:t xml:space="preserve">WUTC v. </w:t>
      </w:r>
      <w:r>
        <w:rPr>
          <w:i/>
        </w:rPr>
        <w:t>Pacific Power &amp; Light Company,</w:t>
      </w:r>
      <w:r>
        <w:t xml:space="preserve"> Cause No. U-75-24, 2</w:t>
      </w:r>
      <w:r w:rsidRPr="00C0357F">
        <w:rPr>
          <w:vertAlign w:val="superscript"/>
        </w:rPr>
        <w:t>nd</w:t>
      </w:r>
      <w:r>
        <w:t xml:space="preserve"> Supp. Order at 3-6 (September 30, 1975) and </w:t>
      </w:r>
      <w:r>
        <w:rPr>
          <w:i/>
        </w:rPr>
        <w:t>WUTC v. Puget Sound Power &amp; Light Company,</w:t>
      </w:r>
      <w:r>
        <w:t xml:space="preserve"> Cause No. U-78-21, 2</w:t>
      </w:r>
      <w:r w:rsidRPr="00C0357F">
        <w:rPr>
          <w:vertAlign w:val="superscript"/>
        </w:rPr>
        <w:t>nd</w:t>
      </w:r>
      <w:r>
        <w:t xml:space="preserve"> Supp. Order at 13-19 (March 8, 1979).</w:t>
      </w:r>
    </w:p>
  </w:footnote>
  <w:footnote w:id="57">
    <w:p w:rsidR="009F1722" w:rsidRDefault="009F1722" w:rsidP="0029071F">
      <w:pPr>
        <w:pStyle w:val="FootnoteText"/>
      </w:pPr>
      <w:r>
        <w:rPr>
          <w:rStyle w:val="FootnoteReference"/>
        </w:rPr>
        <w:footnoteRef/>
      </w:r>
      <w:r>
        <w:t xml:space="preserve"> Exhibit No. __ (CEO-1T), page 8, lines 5-9.</w:t>
      </w:r>
    </w:p>
  </w:footnote>
  <w:footnote w:id="58">
    <w:p w:rsidR="009F1722" w:rsidRDefault="009F1722" w:rsidP="0029071F">
      <w:pPr>
        <w:pStyle w:val="FootnoteText"/>
      </w:pPr>
      <w:r w:rsidRPr="008135F8">
        <w:rPr>
          <w:rStyle w:val="FootnoteReference"/>
        </w:rPr>
        <w:footnoteRef/>
      </w:r>
      <w:r w:rsidRPr="00C42F67">
        <w:rPr>
          <w:i/>
        </w:rPr>
        <w:t xml:space="preserve"> </w:t>
      </w:r>
      <w:r w:rsidRPr="006D6901">
        <w:rPr>
          <w:i/>
        </w:rPr>
        <w:t>WUTC v.</w:t>
      </w:r>
      <w:r>
        <w:rPr>
          <w:i/>
        </w:rPr>
        <w:t xml:space="preserve"> Washington Water Power Company,</w:t>
      </w:r>
      <w:r>
        <w:t xml:space="preserve"> Cause No. U-81-15/16, 2</w:t>
      </w:r>
      <w:r w:rsidRPr="00C42F67">
        <w:rPr>
          <w:vertAlign w:val="superscript"/>
        </w:rPr>
        <w:t>nd</w:t>
      </w:r>
      <w:r>
        <w:t xml:space="preserve"> Suppl. Order at 22 (November 25, 1981).</w:t>
      </w:r>
    </w:p>
  </w:footnote>
  <w:footnote w:id="59">
    <w:p w:rsidR="009F1722" w:rsidRDefault="009F1722" w:rsidP="0029071F">
      <w:pPr>
        <w:pStyle w:val="FootnoteText"/>
      </w:pPr>
      <w:r w:rsidRPr="008135F8">
        <w:rPr>
          <w:rStyle w:val="FootnoteReference"/>
        </w:rPr>
        <w:footnoteRef/>
      </w:r>
      <w:r w:rsidRPr="007564C3">
        <w:t xml:space="preserve"> </w:t>
      </w:r>
      <w:r w:rsidRPr="008135F8">
        <w:rPr>
          <w:i/>
        </w:rPr>
        <w:t>Id.</w:t>
      </w:r>
    </w:p>
  </w:footnote>
  <w:footnote w:id="60">
    <w:p w:rsidR="009F1722" w:rsidRDefault="009F1722" w:rsidP="0029071F">
      <w:pPr>
        <w:pStyle w:val="FootnoteText"/>
      </w:pPr>
      <w:r>
        <w:rPr>
          <w:rStyle w:val="FootnoteReference"/>
        </w:rPr>
        <w:footnoteRef/>
      </w:r>
      <w:r>
        <w:t xml:space="preserve"> </w:t>
      </w:r>
      <w:r w:rsidRPr="00C42F67">
        <w:rPr>
          <w:i/>
        </w:rPr>
        <w:t>Id</w:t>
      </w:r>
      <w:r>
        <w:t>. at 7.</w:t>
      </w:r>
    </w:p>
  </w:footnote>
  <w:footnote w:id="61">
    <w:p w:rsidR="009F1722" w:rsidRDefault="009F1722" w:rsidP="0029071F">
      <w:pPr>
        <w:pStyle w:val="FootnoteText"/>
      </w:pPr>
      <w:r>
        <w:rPr>
          <w:rStyle w:val="FootnoteReference"/>
        </w:rPr>
        <w:footnoteRef/>
      </w:r>
      <w:r>
        <w:t xml:space="preserve"> </w:t>
      </w:r>
      <w:r w:rsidRPr="00A16766">
        <w:rPr>
          <w:i/>
        </w:rPr>
        <w:t>In the Matter of the Washington Utilities and Transportation Commission’s Investigation into Energy Conservation Incentives</w:t>
      </w:r>
      <w:r>
        <w:t>, Docket U-100522, Report and Policy Statement, page 16, ¶26 (November 4, 2010) (“Decoupling Policy Statement”).</w:t>
      </w:r>
    </w:p>
  </w:footnote>
  <w:footnote w:id="62">
    <w:p w:rsidR="009F1722" w:rsidRDefault="009F1722" w:rsidP="0029071F">
      <w:pPr>
        <w:pStyle w:val="FootnoteText"/>
      </w:pPr>
      <w:r w:rsidRPr="00C42F67">
        <w:rPr>
          <w:rStyle w:val="FootnoteReference"/>
        </w:rPr>
        <w:footnoteRef/>
      </w:r>
      <w:r w:rsidRPr="00C42F67">
        <w:t xml:space="preserve"> RCW 80.28.010(2).</w:t>
      </w:r>
    </w:p>
  </w:footnote>
  <w:footnote w:id="63">
    <w:p w:rsidR="009F1722" w:rsidRDefault="009F1722" w:rsidP="0029071F">
      <w:pPr>
        <w:pStyle w:val="BodyTextIndent"/>
        <w:spacing w:line="240" w:lineRule="auto"/>
        <w:ind w:left="0" w:firstLine="0"/>
      </w:pPr>
      <w:r w:rsidRPr="00C42F67">
        <w:rPr>
          <w:rStyle w:val="FootnoteReference"/>
          <w:sz w:val="20"/>
          <w:szCs w:val="20"/>
        </w:rPr>
        <w:footnoteRef/>
      </w:r>
      <w:r w:rsidRPr="00C42F67">
        <w:rPr>
          <w:sz w:val="20"/>
          <w:szCs w:val="20"/>
        </w:rPr>
        <w:t xml:space="preserve"> </w:t>
      </w:r>
      <w:r w:rsidRPr="006D6901">
        <w:rPr>
          <w:i/>
          <w:sz w:val="20"/>
          <w:szCs w:val="20"/>
        </w:rPr>
        <w:t>WUTC v.</w:t>
      </w:r>
      <w:r>
        <w:rPr>
          <w:i/>
          <w:sz w:val="20"/>
          <w:szCs w:val="20"/>
        </w:rPr>
        <w:t xml:space="preserve"> Puget Sound Power &amp; Light Company,</w:t>
      </w:r>
      <w:r>
        <w:rPr>
          <w:sz w:val="20"/>
          <w:szCs w:val="20"/>
        </w:rPr>
        <w:t xml:space="preserve"> Cause No. U-81-41, </w:t>
      </w:r>
      <w:r w:rsidRPr="00C42F67">
        <w:rPr>
          <w:sz w:val="20"/>
          <w:szCs w:val="20"/>
        </w:rPr>
        <w:t>2</w:t>
      </w:r>
      <w:r w:rsidRPr="00C42F67">
        <w:rPr>
          <w:sz w:val="20"/>
          <w:szCs w:val="20"/>
          <w:vertAlign w:val="superscript"/>
        </w:rPr>
        <w:t>nd</w:t>
      </w:r>
      <w:r w:rsidRPr="00C42F67">
        <w:rPr>
          <w:sz w:val="20"/>
          <w:szCs w:val="20"/>
        </w:rPr>
        <w:t xml:space="preserve"> Supp. </w:t>
      </w:r>
      <w:r>
        <w:rPr>
          <w:sz w:val="20"/>
          <w:szCs w:val="20"/>
        </w:rPr>
        <w:t xml:space="preserve"> Order at </w:t>
      </w:r>
      <w:r w:rsidRPr="00C42F67">
        <w:rPr>
          <w:sz w:val="20"/>
          <w:szCs w:val="20"/>
        </w:rPr>
        <w:t xml:space="preserve">20 </w:t>
      </w:r>
      <w:r>
        <w:rPr>
          <w:sz w:val="20"/>
          <w:szCs w:val="20"/>
        </w:rPr>
        <w:t xml:space="preserve">(March 12, </w:t>
      </w:r>
      <w:r w:rsidRPr="00C42F67">
        <w:rPr>
          <w:sz w:val="20"/>
          <w:szCs w:val="20"/>
        </w:rPr>
        <w:t>1982</w:t>
      </w:r>
      <w:r>
        <w:rPr>
          <w:sz w:val="20"/>
          <w:szCs w:val="20"/>
        </w:rPr>
        <w:t>).</w:t>
      </w:r>
    </w:p>
  </w:footnote>
  <w:footnote w:id="64">
    <w:p w:rsidR="009F1722" w:rsidRPr="00D87F88" w:rsidRDefault="009F1722" w:rsidP="00D87F88">
      <w:pPr>
        <w:spacing w:line="288" w:lineRule="auto"/>
        <w:rPr>
          <w:sz w:val="20"/>
          <w:szCs w:val="20"/>
        </w:rPr>
      </w:pPr>
      <w:r w:rsidRPr="00A16766">
        <w:rPr>
          <w:rStyle w:val="FootnoteReference"/>
          <w:sz w:val="20"/>
          <w:szCs w:val="20"/>
        </w:rPr>
        <w:footnoteRef/>
      </w:r>
      <w:r w:rsidRPr="00A16766">
        <w:rPr>
          <w:sz w:val="20"/>
          <w:szCs w:val="20"/>
        </w:rPr>
        <w:t xml:space="preserve"> D</w:t>
      </w:r>
      <w:r>
        <w:rPr>
          <w:sz w:val="20"/>
          <w:szCs w:val="20"/>
        </w:rPr>
        <w:t xml:space="preserve">ecoupling Policy Statement, </w:t>
      </w:r>
      <w:r w:rsidRPr="00A16766">
        <w:rPr>
          <w:sz w:val="20"/>
          <w:szCs w:val="20"/>
        </w:rPr>
        <w:t>¶ 3</w:t>
      </w:r>
      <w:r>
        <w:rPr>
          <w:sz w:val="20"/>
          <w:szCs w:val="20"/>
        </w:rPr>
        <w:t>4.</w:t>
      </w:r>
    </w:p>
  </w:footnote>
  <w:footnote w:id="65">
    <w:p w:rsidR="009F1722" w:rsidRDefault="009F1722" w:rsidP="0029071F">
      <w:pPr>
        <w:pStyle w:val="BodyTextIndent"/>
        <w:spacing w:line="240" w:lineRule="auto"/>
      </w:pPr>
      <w:r w:rsidRPr="00C42F67">
        <w:rPr>
          <w:rStyle w:val="FootnoteReference"/>
          <w:sz w:val="20"/>
          <w:szCs w:val="20"/>
        </w:rPr>
        <w:footnoteRef/>
      </w:r>
      <w:r w:rsidRPr="00C42F67">
        <w:rPr>
          <w:sz w:val="20"/>
          <w:szCs w:val="20"/>
        </w:rPr>
        <w:t xml:space="preserve"> Exhibit No. ___ (KJH-1T)</w:t>
      </w:r>
      <w:r>
        <w:rPr>
          <w:sz w:val="20"/>
          <w:szCs w:val="20"/>
        </w:rPr>
        <w:t>, page</w:t>
      </w:r>
      <w:r w:rsidRPr="00C42F67">
        <w:rPr>
          <w:sz w:val="20"/>
          <w:szCs w:val="20"/>
        </w:rPr>
        <w:t xml:space="preserve"> 3</w:t>
      </w:r>
      <w:r>
        <w:rPr>
          <w:sz w:val="20"/>
          <w:szCs w:val="20"/>
        </w:rPr>
        <w:t xml:space="preserve">, lines </w:t>
      </w:r>
      <w:r w:rsidRPr="00C42F67">
        <w:rPr>
          <w:sz w:val="20"/>
          <w:szCs w:val="20"/>
        </w:rPr>
        <w:t xml:space="preserve">15-22 </w:t>
      </w:r>
      <w:r>
        <w:rPr>
          <w:sz w:val="20"/>
          <w:szCs w:val="20"/>
        </w:rPr>
        <w:t>and page</w:t>
      </w:r>
      <w:r w:rsidRPr="00C42F67">
        <w:rPr>
          <w:sz w:val="20"/>
          <w:szCs w:val="20"/>
        </w:rPr>
        <w:t xml:space="preserve"> 4</w:t>
      </w:r>
      <w:r>
        <w:rPr>
          <w:sz w:val="20"/>
          <w:szCs w:val="20"/>
        </w:rPr>
        <w:t xml:space="preserve">, lines </w:t>
      </w:r>
      <w:r w:rsidRPr="00C42F67">
        <w:rPr>
          <w:sz w:val="20"/>
          <w:szCs w:val="20"/>
        </w:rPr>
        <w:t>1-2.</w:t>
      </w:r>
    </w:p>
  </w:footnote>
  <w:footnote w:id="66">
    <w:p w:rsidR="009F1722" w:rsidRDefault="009F1722" w:rsidP="0029071F">
      <w:pPr>
        <w:pStyle w:val="FootnoteText"/>
      </w:pPr>
      <w:r>
        <w:rPr>
          <w:rStyle w:val="FootnoteReference"/>
        </w:rPr>
        <w:footnoteRef/>
      </w:r>
      <w:r>
        <w:t xml:space="preserve"> Exhibit No. ___ (DEG-1T), page 23, Chart 1.</w:t>
      </w:r>
    </w:p>
  </w:footnote>
  <w:footnote w:id="67">
    <w:p w:rsidR="009F1722" w:rsidRDefault="009F1722">
      <w:pPr>
        <w:pStyle w:val="FootnoteText"/>
      </w:pPr>
      <w:r>
        <w:rPr>
          <w:rStyle w:val="FootnoteReference"/>
        </w:rPr>
        <w:footnoteRef/>
      </w:r>
      <w:r>
        <w:t xml:space="preserve"> WAC 480-90-257 and WAC 480-100-257.</w:t>
      </w:r>
    </w:p>
  </w:footnote>
  <w:footnote w:id="68">
    <w:p w:rsidR="009F1722" w:rsidRDefault="009F1722">
      <w:pPr>
        <w:pStyle w:val="FootnoteText"/>
      </w:pPr>
      <w:r>
        <w:rPr>
          <w:rStyle w:val="FootnoteReference"/>
        </w:rPr>
        <w:footnoteRef/>
      </w:r>
      <w:r>
        <w:t xml:space="preserve"> Dockets UE-111965 and UG-111966.</w:t>
      </w:r>
    </w:p>
  </w:footnote>
  <w:footnote w:id="69">
    <w:p w:rsidR="009F1722" w:rsidRDefault="009F1722" w:rsidP="00586CDE">
      <w:pPr>
        <w:pStyle w:val="FootnoteText"/>
      </w:pPr>
      <w:r>
        <w:rPr>
          <w:rStyle w:val="FootnoteReference"/>
        </w:rPr>
        <w:footnoteRef/>
      </w:r>
      <w:r>
        <w:t xml:space="preserve"> </w:t>
      </w:r>
      <w:r w:rsidRPr="006D6901">
        <w:rPr>
          <w:i/>
        </w:rPr>
        <w:t>WUTC v.</w:t>
      </w:r>
      <w:r>
        <w:rPr>
          <w:i/>
        </w:rPr>
        <w:t xml:space="preserve"> Washington Water Power Company,</w:t>
      </w:r>
      <w:r>
        <w:t xml:space="preserve"> Cause No. U-81-15/16, 2</w:t>
      </w:r>
      <w:r w:rsidRPr="00C42F67">
        <w:rPr>
          <w:vertAlign w:val="superscript"/>
        </w:rPr>
        <w:t>nd</w:t>
      </w:r>
      <w:r>
        <w:t xml:space="preserve"> Suppl. Order at 22 (November 25, 1981).</w:t>
      </w:r>
    </w:p>
  </w:footnote>
  <w:footnote w:id="70">
    <w:p w:rsidR="009F1722" w:rsidRDefault="009F1722" w:rsidP="0029071F">
      <w:pPr>
        <w:pStyle w:val="FootnoteText"/>
      </w:pPr>
      <w:r>
        <w:rPr>
          <w:rStyle w:val="FootnoteReference"/>
        </w:rPr>
        <w:footnoteRef/>
      </w:r>
      <w:r>
        <w:t xml:space="preserve"> See Exhibit No. __ (DEG-1T), page 22, lines 1 and 9 and Exhibit No. __ (CEO-1T), page 10, line 8.  </w:t>
      </w:r>
    </w:p>
  </w:footnote>
  <w:footnote w:id="71">
    <w:p w:rsidR="009F1722" w:rsidRDefault="009F1722">
      <w:pPr>
        <w:pStyle w:val="FootnoteText"/>
      </w:pPr>
      <w:r>
        <w:rPr>
          <w:rStyle w:val="FootnoteReference"/>
        </w:rPr>
        <w:footnoteRef/>
      </w:r>
      <w:r>
        <w:t xml:space="preserve"> </w:t>
      </w:r>
      <w:r w:rsidRPr="009864AC">
        <w:rPr>
          <w:i/>
        </w:rPr>
        <w:t>Hope Natural Gas Co.</w:t>
      </w:r>
      <w:r>
        <w:t>, 320 U.S. 591 at 605.</w:t>
      </w:r>
    </w:p>
  </w:footnote>
  <w:footnote w:id="72">
    <w:p w:rsidR="009F1722" w:rsidRDefault="009F1722" w:rsidP="0029071F">
      <w:pPr>
        <w:tabs>
          <w:tab w:val="left" w:pos="720"/>
          <w:tab w:val="left" w:pos="1440"/>
          <w:tab w:val="left" w:pos="9240"/>
        </w:tabs>
        <w:ind w:left="720" w:hanging="720"/>
      </w:pPr>
      <w:r w:rsidRPr="00C42F67">
        <w:rPr>
          <w:rStyle w:val="FootnoteReference"/>
          <w:sz w:val="20"/>
          <w:szCs w:val="20"/>
        </w:rPr>
        <w:footnoteRef/>
      </w:r>
      <w:r w:rsidRPr="00C42F67">
        <w:rPr>
          <w:sz w:val="20"/>
          <w:szCs w:val="20"/>
        </w:rPr>
        <w:t xml:space="preserve"> See Exhibit No.___ (DEG-5)</w:t>
      </w:r>
      <w:r>
        <w:rPr>
          <w:sz w:val="20"/>
          <w:szCs w:val="20"/>
        </w:rPr>
        <w:t>,</w:t>
      </w:r>
      <w:r w:rsidRPr="00C42F67">
        <w:rPr>
          <w:sz w:val="20"/>
          <w:szCs w:val="20"/>
        </w:rPr>
        <w:t xml:space="preserve"> page 2.</w:t>
      </w:r>
    </w:p>
  </w:footnote>
  <w:footnote w:id="73">
    <w:p w:rsidR="009F1722" w:rsidRDefault="009F1722" w:rsidP="0029071F">
      <w:pPr>
        <w:pStyle w:val="FootnoteText"/>
      </w:pPr>
      <w:r>
        <w:rPr>
          <w:rStyle w:val="FootnoteReference"/>
        </w:rPr>
        <w:footnoteRef/>
      </w:r>
      <w:r>
        <w:t xml:space="preserve"> Decoupling Policy Statement, ¶ 27.</w:t>
      </w:r>
    </w:p>
  </w:footnote>
  <w:footnote w:id="74">
    <w:p w:rsidR="009F1722" w:rsidRDefault="009F1722" w:rsidP="0029071F">
      <w:pPr>
        <w:pStyle w:val="FootnoteText"/>
      </w:pPr>
      <w:r>
        <w:rPr>
          <w:rStyle w:val="FootnoteReference"/>
        </w:rPr>
        <w:footnoteRef/>
      </w:r>
      <w:r>
        <w:t xml:space="preserve"> Decoupling Policy Statement, ¶29.</w:t>
      </w:r>
    </w:p>
  </w:footnote>
  <w:footnote w:id="75">
    <w:p w:rsidR="009F1722" w:rsidRDefault="009F1722" w:rsidP="0029071F">
      <w:pPr>
        <w:pStyle w:val="FootnoteText"/>
      </w:pPr>
      <w:r>
        <w:rPr>
          <w:rStyle w:val="FootnoteReference"/>
        </w:rPr>
        <w:footnoteRef/>
      </w:r>
      <w:r>
        <w:t xml:space="preserve"> Exhibit No. __</w:t>
      </w:r>
      <w:proofErr w:type="gramStart"/>
      <w:r>
        <w:t>_(</w:t>
      </w:r>
      <w:proofErr w:type="gramEnd"/>
      <w:r>
        <w:t>SML-1T).</w:t>
      </w:r>
    </w:p>
  </w:footnote>
  <w:footnote w:id="76">
    <w:p w:rsidR="009F1722" w:rsidRPr="00C62BDB" w:rsidRDefault="009F1722" w:rsidP="00C62BDB">
      <w:pPr>
        <w:pStyle w:val="BodyTextIndent"/>
        <w:spacing w:line="240" w:lineRule="auto"/>
        <w:rPr>
          <w:sz w:val="20"/>
          <w:szCs w:val="20"/>
        </w:rPr>
      </w:pPr>
      <w:r w:rsidRPr="00C42F67">
        <w:rPr>
          <w:rStyle w:val="FootnoteReference"/>
          <w:sz w:val="20"/>
          <w:szCs w:val="20"/>
        </w:rPr>
        <w:footnoteRef/>
      </w:r>
      <w:r w:rsidRPr="00C42F67">
        <w:rPr>
          <w:sz w:val="20"/>
          <w:szCs w:val="20"/>
        </w:rPr>
        <w:t xml:space="preserve"> The incentive to over-invest is known as the “</w:t>
      </w:r>
      <w:proofErr w:type="spellStart"/>
      <w:r w:rsidRPr="00C42F67">
        <w:rPr>
          <w:sz w:val="20"/>
          <w:szCs w:val="20"/>
        </w:rPr>
        <w:t>Averch</w:t>
      </w:r>
      <w:proofErr w:type="spellEnd"/>
      <w:r w:rsidRPr="00C42F67">
        <w:rPr>
          <w:sz w:val="20"/>
          <w:szCs w:val="20"/>
        </w:rPr>
        <w:t xml:space="preserve">-Johnson Effect”.  </w:t>
      </w:r>
    </w:p>
  </w:footnote>
  <w:footnote w:id="77">
    <w:p w:rsidR="009F1722" w:rsidRDefault="009F1722">
      <w:pPr>
        <w:pStyle w:val="FootnoteText"/>
      </w:pPr>
      <w:r>
        <w:rPr>
          <w:rStyle w:val="FootnoteReference"/>
        </w:rPr>
        <w:footnoteRef/>
      </w:r>
      <w:r>
        <w:t xml:space="preserve"> Exhibit No. 421 (JHS-1T) at 56:9-16 (Dockets UE-060266</w:t>
      </w:r>
      <w:r w:rsidRPr="00EE050B">
        <w:t xml:space="preserve"> and UG-</w:t>
      </w:r>
      <w:r>
        <w:t>060267).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11C"/>
    <w:multiLevelType w:val="hybridMultilevel"/>
    <w:tmpl w:val="3A34653E"/>
    <w:lvl w:ilvl="0" w:tplc="289072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3724D9"/>
    <w:multiLevelType w:val="hybridMultilevel"/>
    <w:tmpl w:val="02AAB6D4"/>
    <w:lvl w:ilvl="0" w:tplc="9CE6BF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A559D0"/>
    <w:multiLevelType w:val="hybridMultilevel"/>
    <w:tmpl w:val="5FBAC4BC"/>
    <w:lvl w:ilvl="0" w:tplc="821010B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66BD0"/>
    <w:multiLevelType w:val="hybridMultilevel"/>
    <w:tmpl w:val="55A07174"/>
    <w:lvl w:ilvl="0" w:tplc="1DB89CE4">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072C7"/>
    <w:multiLevelType w:val="hybridMultilevel"/>
    <w:tmpl w:val="060C5BF6"/>
    <w:lvl w:ilvl="0" w:tplc="A0BAA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4A3D19"/>
    <w:multiLevelType w:val="hybridMultilevel"/>
    <w:tmpl w:val="C07246B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5C38A7"/>
    <w:multiLevelType w:val="hybridMultilevel"/>
    <w:tmpl w:val="4CC46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ED5CF7"/>
    <w:multiLevelType w:val="hybridMultilevel"/>
    <w:tmpl w:val="0CDE191E"/>
    <w:lvl w:ilvl="0" w:tplc="66A082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C548AF"/>
    <w:multiLevelType w:val="hybridMultilevel"/>
    <w:tmpl w:val="F078C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A53E6B"/>
    <w:multiLevelType w:val="hybridMultilevel"/>
    <w:tmpl w:val="9BBE34C6"/>
    <w:lvl w:ilvl="0" w:tplc="BD34E804">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A0485"/>
    <w:multiLevelType w:val="hybridMultilevel"/>
    <w:tmpl w:val="6BB8DA44"/>
    <w:lvl w:ilvl="0" w:tplc="482C4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6E74A6"/>
    <w:multiLevelType w:val="hybridMultilevel"/>
    <w:tmpl w:val="B2F4C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A466976"/>
    <w:multiLevelType w:val="hybridMultilevel"/>
    <w:tmpl w:val="7DEC5560"/>
    <w:lvl w:ilvl="0" w:tplc="B026509A">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D811A9"/>
    <w:multiLevelType w:val="hybridMultilevel"/>
    <w:tmpl w:val="8678537E"/>
    <w:lvl w:ilvl="0" w:tplc="FFFFFFFF">
      <w:start w:val="1"/>
      <w:numFmt w:val="decimal"/>
      <w:lvlText w:val="%1"/>
      <w:lvlJc w:val="left"/>
      <w:pPr>
        <w:ind w:left="360" w:hanging="360"/>
      </w:pPr>
      <w:rPr>
        <w:rFonts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6940A0"/>
    <w:multiLevelType w:val="hybridMultilevel"/>
    <w:tmpl w:val="D2384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330B14"/>
    <w:multiLevelType w:val="hybridMultilevel"/>
    <w:tmpl w:val="5F9C4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53603F"/>
    <w:multiLevelType w:val="hybridMultilevel"/>
    <w:tmpl w:val="1F26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EB4DE0"/>
    <w:multiLevelType w:val="hybridMultilevel"/>
    <w:tmpl w:val="60FADA52"/>
    <w:lvl w:ilvl="0" w:tplc="4092AC7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435D79"/>
    <w:multiLevelType w:val="hybridMultilevel"/>
    <w:tmpl w:val="D5500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8E21E0"/>
    <w:multiLevelType w:val="hybridMultilevel"/>
    <w:tmpl w:val="1A8CC2B4"/>
    <w:lvl w:ilvl="0" w:tplc="D1CE49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4A28C3"/>
    <w:multiLevelType w:val="hybridMultilevel"/>
    <w:tmpl w:val="A1C6B5B6"/>
    <w:lvl w:ilvl="0" w:tplc="429A675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2F6F42"/>
    <w:multiLevelType w:val="hybridMultilevel"/>
    <w:tmpl w:val="87E60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3C7DA4"/>
    <w:multiLevelType w:val="hybridMultilevel"/>
    <w:tmpl w:val="1F044DC0"/>
    <w:lvl w:ilvl="0" w:tplc="A3D80214">
      <w:start w:val="17"/>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5BFB0287"/>
    <w:multiLevelType w:val="hybridMultilevel"/>
    <w:tmpl w:val="27D2F1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nsid w:val="5D46024C"/>
    <w:multiLevelType w:val="hybridMultilevel"/>
    <w:tmpl w:val="7C5E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B84AEF"/>
    <w:multiLevelType w:val="hybridMultilevel"/>
    <w:tmpl w:val="0FA4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9E2EFF"/>
    <w:multiLevelType w:val="hybridMultilevel"/>
    <w:tmpl w:val="23B64A8E"/>
    <w:lvl w:ilvl="0" w:tplc="5FFA4D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3705737"/>
    <w:multiLevelType w:val="hybridMultilevel"/>
    <w:tmpl w:val="3F889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59A5C79"/>
    <w:multiLevelType w:val="hybridMultilevel"/>
    <w:tmpl w:val="785A7E5C"/>
    <w:lvl w:ilvl="0" w:tplc="2A5ECB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6D4A8F"/>
    <w:multiLevelType w:val="hybridMultilevel"/>
    <w:tmpl w:val="AB08D658"/>
    <w:lvl w:ilvl="0" w:tplc="EAE60C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A2948B3"/>
    <w:multiLevelType w:val="hybridMultilevel"/>
    <w:tmpl w:val="9FAE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6C3259"/>
    <w:multiLevelType w:val="hybridMultilevel"/>
    <w:tmpl w:val="83CEE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BF075DE"/>
    <w:multiLevelType w:val="hybridMultilevel"/>
    <w:tmpl w:val="9D369544"/>
    <w:lvl w:ilvl="0" w:tplc="06BC9B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3"/>
  </w:num>
  <w:num w:numId="3">
    <w:abstractNumId w:val="25"/>
  </w:num>
  <w:num w:numId="4">
    <w:abstractNumId w:val="30"/>
  </w:num>
  <w:num w:numId="5">
    <w:abstractNumId w:val="9"/>
  </w:num>
  <w:num w:numId="6">
    <w:abstractNumId w:val="12"/>
  </w:num>
  <w:num w:numId="7">
    <w:abstractNumId w:val="3"/>
  </w:num>
  <w:num w:numId="8">
    <w:abstractNumId w:val="16"/>
  </w:num>
  <w:num w:numId="9">
    <w:abstractNumId w:val="10"/>
  </w:num>
  <w:num w:numId="10">
    <w:abstractNumId w:val="21"/>
  </w:num>
  <w:num w:numId="11">
    <w:abstractNumId w:val="8"/>
  </w:num>
  <w:num w:numId="12">
    <w:abstractNumId w:val="24"/>
  </w:num>
  <w:num w:numId="13">
    <w:abstractNumId w:val="31"/>
  </w:num>
  <w:num w:numId="14">
    <w:abstractNumId w:val="5"/>
  </w:num>
  <w:num w:numId="15">
    <w:abstractNumId w:val="0"/>
  </w:num>
  <w:num w:numId="16">
    <w:abstractNumId w:val="7"/>
  </w:num>
  <w:num w:numId="17">
    <w:abstractNumId w:val="14"/>
  </w:num>
  <w:num w:numId="18">
    <w:abstractNumId w:val="19"/>
  </w:num>
  <w:num w:numId="19">
    <w:abstractNumId w:val="1"/>
  </w:num>
  <w:num w:numId="20">
    <w:abstractNumId w:val="4"/>
  </w:num>
  <w:num w:numId="21">
    <w:abstractNumId w:val="32"/>
  </w:num>
  <w:num w:numId="22">
    <w:abstractNumId w:val="29"/>
  </w:num>
  <w:num w:numId="23">
    <w:abstractNumId w:val="15"/>
  </w:num>
  <w:num w:numId="24">
    <w:abstractNumId w:val="22"/>
  </w:num>
  <w:num w:numId="25">
    <w:abstractNumId w:val="27"/>
  </w:num>
  <w:num w:numId="26">
    <w:abstractNumId w:val="20"/>
  </w:num>
  <w:num w:numId="27">
    <w:abstractNumId w:val="17"/>
  </w:num>
  <w:num w:numId="28">
    <w:abstractNumId w:val="6"/>
  </w:num>
  <w:num w:numId="29">
    <w:abstractNumId w:val="13"/>
  </w:num>
  <w:num w:numId="30">
    <w:abstractNumId w:val="26"/>
  </w:num>
  <w:num w:numId="31">
    <w:abstractNumId w:val="2"/>
  </w:num>
  <w:num w:numId="32">
    <w:abstractNumId w:val="28"/>
  </w:num>
  <w:num w:numId="3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6C"/>
    <w:rsid w:val="00000B72"/>
    <w:rsid w:val="00001FE2"/>
    <w:rsid w:val="00002810"/>
    <w:rsid w:val="00002A1F"/>
    <w:rsid w:val="00002A51"/>
    <w:rsid w:val="000031E3"/>
    <w:rsid w:val="00003CEB"/>
    <w:rsid w:val="0000439A"/>
    <w:rsid w:val="0000650F"/>
    <w:rsid w:val="0000670C"/>
    <w:rsid w:val="00006AE2"/>
    <w:rsid w:val="00006B9D"/>
    <w:rsid w:val="00006BFC"/>
    <w:rsid w:val="00007000"/>
    <w:rsid w:val="000125A4"/>
    <w:rsid w:val="000132A9"/>
    <w:rsid w:val="00013CFB"/>
    <w:rsid w:val="00013E75"/>
    <w:rsid w:val="0001444C"/>
    <w:rsid w:val="00015679"/>
    <w:rsid w:val="00015EC1"/>
    <w:rsid w:val="00020CCA"/>
    <w:rsid w:val="000228B1"/>
    <w:rsid w:val="00022912"/>
    <w:rsid w:val="00022BF5"/>
    <w:rsid w:val="00022D1B"/>
    <w:rsid w:val="00024B1F"/>
    <w:rsid w:val="00024B48"/>
    <w:rsid w:val="00024C25"/>
    <w:rsid w:val="0002576B"/>
    <w:rsid w:val="00026DC1"/>
    <w:rsid w:val="00030E77"/>
    <w:rsid w:val="00031BF8"/>
    <w:rsid w:val="00032E71"/>
    <w:rsid w:val="0003332A"/>
    <w:rsid w:val="00033409"/>
    <w:rsid w:val="00035403"/>
    <w:rsid w:val="00035AE6"/>
    <w:rsid w:val="0003693D"/>
    <w:rsid w:val="000371AF"/>
    <w:rsid w:val="00040243"/>
    <w:rsid w:val="00040D3B"/>
    <w:rsid w:val="0004296A"/>
    <w:rsid w:val="00044DB3"/>
    <w:rsid w:val="00047D47"/>
    <w:rsid w:val="00047E3E"/>
    <w:rsid w:val="00051450"/>
    <w:rsid w:val="00054C7A"/>
    <w:rsid w:val="00054F2D"/>
    <w:rsid w:val="00055A72"/>
    <w:rsid w:val="000578EB"/>
    <w:rsid w:val="00057CCD"/>
    <w:rsid w:val="00057D2C"/>
    <w:rsid w:val="00060B17"/>
    <w:rsid w:val="00061A17"/>
    <w:rsid w:val="0006291B"/>
    <w:rsid w:val="00062E62"/>
    <w:rsid w:val="00063467"/>
    <w:rsid w:val="00064184"/>
    <w:rsid w:val="00064607"/>
    <w:rsid w:val="000658A4"/>
    <w:rsid w:val="0006623E"/>
    <w:rsid w:val="000673F9"/>
    <w:rsid w:val="00067784"/>
    <w:rsid w:val="00070096"/>
    <w:rsid w:val="00070E10"/>
    <w:rsid w:val="000710C6"/>
    <w:rsid w:val="0007132B"/>
    <w:rsid w:val="00071615"/>
    <w:rsid w:val="00071EAF"/>
    <w:rsid w:val="000734B1"/>
    <w:rsid w:val="000744E0"/>
    <w:rsid w:val="00075F41"/>
    <w:rsid w:val="00076120"/>
    <w:rsid w:val="0007661C"/>
    <w:rsid w:val="00076722"/>
    <w:rsid w:val="00076DE3"/>
    <w:rsid w:val="00077499"/>
    <w:rsid w:val="00077575"/>
    <w:rsid w:val="00077A46"/>
    <w:rsid w:val="000804C1"/>
    <w:rsid w:val="0008231D"/>
    <w:rsid w:val="000825F7"/>
    <w:rsid w:val="00082AE8"/>
    <w:rsid w:val="00083351"/>
    <w:rsid w:val="00084E27"/>
    <w:rsid w:val="0008512B"/>
    <w:rsid w:val="000865E5"/>
    <w:rsid w:val="00087359"/>
    <w:rsid w:val="00087BE3"/>
    <w:rsid w:val="00090400"/>
    <w:rsid w:val="000919D8"/>
    <w:rsid w:val="00093972"/>
    <w:rsid w:val="00093D60"/>
    <w:rsid w:val="00094B5F"/>
    <w:rsid w:val="000950BB"/>
    <w:rsid w:val="00095CAD"/>
    <w:rsid w:val="000964E3"/>
    <w:rsid w:val="000971DB"/>
    <w:rsid w:val="000A06DC"/>
    <w:rsid w:val="000A13EF"/>
    <w:rsid w:val="000A1D6B"/>
    <w:rsid w:val="000A24C4"/>
    <w:rsid w:val="000A2FD0"/>
    <w:rsid w:val="000A3918"/>
    <w:rsid w:val="000A4196"/>
    <w:rsid w:val="000A5267"/>
    <w:rsid w:val="000A582A"/>
    <w:rsid w:val="000A60D1"/>
    <w:rsid w:val="000A62DA"/>
    <w:rsid w:val="000A6801"/>
    <w:rsid w:val="000A6B4E"/>
    <w:rsid w:val="000A79F0"/>
    <w:rsid w:val="000B0FF7"/>
    <w:rsid w:val="000B2156"/>
    <w:rsid w:val="000B4855"/>
    <w:rsid w:val="000B5980"/>
    <w:rsid w:val="000B6D84"/>
    <w:rsid w:val="000B75D9"/>
    <w:rsid w:val="000C3C1B"/>
    <w:rsid w:val="000C41D8"/>
    <w:rsid w:val="000C54D0"/>
    <w:rsid w:val="000C5B64"/>
    <w:rsid w:val="000C6CA7"/>
    <w:rsid w:val="000C7034"/>
    <w:rsid w:val="000C7836"/>
    <w:rsid w:val="000D10FD"/>
    <w:rsid w:val="000D1BFA"/>
    <w:rsid w:val="000D2E7B"/>
    <w:rsid w:val="000D4226"/>
    <w:rsid w:val="000D4A16"/>
    <w:rsid w:val="000D55B3"/>
    <w:rsid w:val="000D5C8F"/>
    <w:rsid w:val="000D71D1"/>
    <w:rsid w:val="000D7319"/>
    <w:rsid w:val="000D7A3B"/>
    <w:rsid w:val="000D7AF8"/>
    <w:rsid w:val="000E06F9"/>
    <w:rsid w:val="000E1B1C"/>
    <w:rsid w:val="000E3E47"/>
    <w:rsid w:val="000E4116"/>
    <w:rsid w:val="000E4F2C"/>
    <w:rsid w:val="000E5371"/>
    <w:rsid w:val="000E59BC"/>
    <w:rsid w:val="000E617A"/>
    <w:rsid w:val="000E71DC"/>
    <w:rsid w:val="000E7CE8"/>
    <w:rsid w:val="000F04C0"/>
    <w:rsid w:val="000F101A"/>
    <w:rsid w:val="000F29BC"/>
    <w:rsid w:val="000F2DB1"/>
    <w:rsid w:val="000F46E8"/>
    <w:rsid w:val="000F4D60"/>
    <w:rsid w:val="000F5046"/>
    <w:rsid w:val="000F5237"/>
    <w:rsid w:val="000F63A5"/>
    <w:rsid w:val="000F7BD9"/>
    <w:rsid w:val="000F7F30"/>
    <w:rsid w:val="00100786"/>
    <w:rsid w:val="00100F84"/>
    <w:rsid w:val="001018D3"/>
    <w:rsid w:val="00101F0D"/>
    <w:rsid w:val="00102343"/>
    <w:rsid w:val="0010288C"/>
    <w:rsid w:val="00112C96"/>
    <w:rsid w:val="00115DF1"/>
    <w:rsid w:val="0011613C"/>
    <w:rsid w:val="0011616C"/>
    <w:rsid w:val="00116AC6"/>
    <w:rsid w:val="00117B71"/>
    <w:rsid w:val="00122E63"/>
    <w:rsid w:val="001234E0"/>
    <w:rsid w:val="00124060"/>
    <w:rsid w:val="00125D4B"/>
    <w:rsid w:val="00126113"/>
    <w:rsid w:val="0012730C"/>
    <w:rsid w:val="001303A5"/>
    <w:rsid w:val="00131071"/>
    <w:rsid w:val="0013119A"/>
    <w:rsid w:val="001319FC"/>
    <w:rsid w:val="001322F3"/>
    <w:rsid w:val="00132582"/>
    <w:rsid w:val="00133EDD"/>
    <w:rsid w:val="001360B8"/>
    <w:rsid w:val="001368C1"/>
    <w:rsid w:val="001370EC"/>
    <w:rsid w:val="0013777A"/>
    <w:rsid w:val="0014170E"/>
    <w:rsid w:val="001436D4"/>
    <w:rsid w:val="001439C9"/>
    <w:rsid w:val="0014630C"/>
    <w:rsid w:val="001469ED"/>
    <w:rsid w:val="00147506"/>
    <w:rsid w:val="00150038"/>
    <w:rsid w:val="0015022B"/>
    <w:rsid w:val="00150424"/>
    <w:rsid w:val="00150853"/>
    <w:rsid w:val="00150E39"/>
    <w:rsid w:val="001536B3"/>
    <w:rsid w:val="00154A48"/>
    <w:rsid w:val="001565A6"/>
    <w:rsid w:val="001565AC"/>
    <w:rsid w:val="00157277"/>
    <w:rsid w:val="001609A7"/>
    <w:rsid w:val="00160BCA"/>
    <w:rsid w:val="00161EEB"/>
    <w:rsid w:val="00161F42"/>
    <w:rsid w:val="001627E6"/>
    <w:rsid w:val="00162923"/>
    <w:rsid w:val="00163C4A"/>
    <w:rsid w:val="00163EBB"/>
    <w:rsid w:val="00165179"/>
    <w:rsid w:val="00166064"/>
    <w:rsid w:val="001661BE"/>
    <w:rsid w:val="001705C1"/>
    <w:rsid w:val="0017190A"/>
    <w:rsid w:val="00171D14"/>
    <w:rsid w:val="00171EC7"/>
    <w:rsid w:val="0017206E"/>
    <w:rsid w:val="00172082"/>
    <w:rsid w:val="00173855"/>
    <w:rsid w:val="0017464D"/>
    <w:rsid w:val="00174C9D"/>
    <w:rsid w:val="00175460"/>
    <w:rsid w:val="00176B99"/>
    <w:rsid w:val="001771B6"/>
    <w:rsid w:val="001778E1"/>
    <w:rsid w:val="001800DB"/>
    <w:rsid w:val="0018056D"/>
    <w:rsid w:val="00180928"/>
    <w:rsid w:val="00180C3C"/>
    <w:rsid w:val="0018128C"/>
    <w:rsid w:val="00181F04"/>
    <w:rsid w:val="00182608"/>
    <w:rsid w:val="001853F9"/>
    <w:rsid w:val="00185B41"/>
    <w:rsid w:val="0018634E"/>
    <w:rsid w:val="00187617"/>
    <w:rsid w:val="001911B7"/>
    <w:rsid w:val="00192952"/>
    <w:rsid w:val="00194648"/>
    <w:rsid w:val="0019508D"/>
    <w:rsid w:val="0019600F"/>
    <w:rsid w:val="001973FF"/>
    <w:rsid w:val="00197E85"/>
    <w:rsid w:val="001A202A"/>
    <w:rsid w:val="001A2C15"/>
    <w:rsid w:val="001A5484"/>
    <w:rsid w:val="001A6795"/>
    <w:rsid w:val="001B0293"/>
    <w:rsid w:val="001B12CB"/>
    <w:rsid w:val="001B2AB1"/>
    <w:rsid w:val="001B2BD2"/>
    <w:rsid w:val="001B4E30"/>
    <w:rsid w:val="001B5775"/>
    <w:rsid w:val="001B5EF1"/>
    <w:rsid w:val="001B6335"/>
    <w:rsid w:val="001B651C"/>
    <w:rsid w:val="001C01B8"/>
    <w:rsid w:val="001C1979"/>
    <w:rsid w:val="001C1DDC"/>
    <w:rsid w:val="001C296D"/>
    <w:rsid w:val="001C2D2C"/>
    <w:rsid w:val="001C2F20"/>
    <w:rsid w:val="001C3211"/>
    <w:rsid w:val="001C359E"/>
    <w:rsid w:val="001C45C2"/>
    <w:rsid w:val="001C53F2"/>
    <w:rsid w:val="001C5671"/>
    <w:rsid w:val="001C665C"/>
    <w:rsid w:val="001C67D3"/>
    <w:rsid w:val="001D1F6D"/>
    <w:rsid w:val="001D3E6E"/>
    <w:rsid w:val="001D58AC"/>
    <w:rsid w:val="001D5A1F"/>
    <w:rsid w:val="001D667C"/>
    <w:rsid w:val="001D699B"/>
    <w:rsid w:val="001D6B2C"/>
    <w:rsid w:val="001D72E0"/>
    <w:rsid w:val="001D78F5"/>
    <w:rsid w:val="001D7AD7"/>
    <w:rsid w:val="001D7E1E"/>
    <w:rsid w:val="001E23B0"/>
    <w:rsid w:val="001E3EC1"/>
    <w:rsid w:val="001E5DD1"/>
    <w:rsid w:val="001E67DD"/>
    <w:rsid w:val="001F0C74"/>
    <w:rsid w:val="001F2A1D"/>
    <w:rsid w:val="00200F81"/>
    <w:rsid w:val="00200FF4"/>
    <w:rsid w:val="00202B00"/>
    <w:rsid w:val="00202BC2"/>
    <w:rsid w:val="00202C25"/>
    <w:rsid w:val="00206B43"/>
    <w:rsid w:val="002074E4"/>
    <w:rsid w:val="002114E9"/>
    <w:rsid w:val="002122A0"/>
    <w:rsid w:val="00212857"/>
    <w:rsid w:val="00212950"/>
    <w:rsid w:val="00212AC3"/>
    <w:rsid w:val="00214065"/>
    <w:rsid w:val="0021423E"/>
    <w:rsid w:val="00215A85"/>
    <w:rsid w:val="00216DF2"/>
    <w:rsid w:val="00220752"/>
    <w:rsid w:val="00220DA5"/>
    <w:rsid w:val="00221160"/>
    <w:rsid w:val="00223960"/>
    <w:rsid w:val="002248E1"/>
    <w:rsid w:val="00224D9B"/>
    <w:rsid w:val="00226C1B"/>
    <w:rsid w:val="0022765F"/>
    <w:rsid w:val="00227FD7"/>
    <w:rsid w:val="0023037F"/>
    <w:rsid w:val="00230408"/>
    <w:rsid w:val="0023087E"/>
    <w:rsid w:val="0023097B"/>
    <w:rsid w:val="00230984"/>
    <w:rsid w:val="00231066"/>
    <w:rsid w:val="00231487"/>
    <w:rsid w:val="00231862"/>
    <w:rsid w:val="0023190E"/>
    <w:rsid w:val="00231B99"/>
    <w:rsid w:val="002323DA"/>
    <w:rsid w:val="00232EC1"/>
    <w:rsid w:val="00233CE1"/>
    <w:rsid w:val="002341C0"/>
    <w:rsid w:val="00234428"/>
    <w:rsid w:val="00237974"/>
    <w:rsid w:val="0024041B"/>
    <w:rsid w:val="00240CD6"/>
    <w:rsid w:val="002411FE"/>
    <w:rsid w:val="00241707"/>
    <w:rsid w:val="00241AAD"/>
    <w:rsid w:val="00241DA6"/>
    <w:rsid w:val="00243004"/>
    <w:rsid w:val="002431CB"/>
    <w:rsid w:val="0025162F"/>
    <w:rsid w:val="002518FB"/>
    <w:rsid w:val="00252380"/>
    <w:rsid w:val="00252456"/>
    <w:rsid w:val="00252941"/>
    <w:rsid w:val="002530F7"/>
    <w:rsid w:val="00255BF6"/>
    <w:rsid w:val="002579B9"/>
    <w:rsid w:val="00260074"/>
    <w:rsid w:val="00261A68"/>
    <w:rsid w:val="002634F1"/>
    <w:rsid w:val="00264043"/>
    <w:rsid w:val="00264C53"/>
    <w:rsid w:val="00267EE5"/>
    <w:rsid w:val="00270C19"/>
    <w:rsid w:val="002716A7"/>
    <w:rsid w:val="00271862"/>
    <w:rsid w:val="00271987"/>
    <w:rsid w:val="00271C19"/>
    <w:rsid w:val="00272811"/>
    <w:rsid w:val="00273108"/>
    <w:rsid w:val="002739BE"/>
    <w:rsid w:val="00274B23"/>
    <w:rsid w:val="0027527D"/>
    <w:rsid w:val="00275C54"/>
    <w:rsid w:val="00276567"/>
    <w:rsid w:val="002810C4"/>
    <w:rsid w:val="00282224"/>
    <w:rsid w:val="002831DC"/>
    <w:rsid w:val="0028354D"/>
    <w:rsid w:val="00284844"/>
    <w:rsid w:val="002849ED"/>
    <w:rsid w:val="002866A0"/>
    <w:rsid w:val="002869F7"/>
    <w:rsid w:val="00286AFB"/>
    <w:rsid w:val="00286B51"/>
    <w:rsid w:val="00287CBB"/>
    <w:rsid w:val="0029071F"/>
    <w:rsid w:val="00291956"/>
    <w:rsid w:val="00291F33"/>
    <w:rsid w:val="00292913"/>
    <w:rsid w:val="002929F4"/>
    <w:rsid w:val="00292A3F"/>
    <w:rsid w:val="00293A6B"/>
    <w:rsid w:val="00293B41"/>
    <w:rsid w:val="002953C6"/>
    <w:rsid w:val="002959FA"/>
    <w:rsid w:val="00295A10"/>
    <w:rsid w:val="00296391"/>
    <w:rsid w:val="002977A8"/>
    <w:rsid w:val="002A0350"/>
    <w:rsid w:val="002A159A"/>
    <w:rsid w:val="002A1E59"/>
    <w:rsid w:val="002A22E3"/>
    <w:rsid w:val="002A235E"/>
    <w:rsid w:val="002A30AF"/>
    <w:rsid w:val="002A37CF"/>
    <w:rsid w:val="002A3E6E"/>
    <w:rsid w:val="002A4B3A"/>
    <w:rsid w:val="002A4C71"/>
    <w:rsid w:val="002A4F27"/>
    <w:rsid w:val="002A5F67"/>
    <w:rsid w:val="002A728C"/>
    <w:rsid w:val="002B09B2"/>
    <w:rsid w:val="002B17A0"/>
    <w:rsid w:val="002B3953"/>
    <w:rsid w:val="002B4B8A"/>
    <w:rsid w:val="002B5F94"/>
    <w:rsid w:val="002B5FAE"/>
    <w:rsid w:val="002C05AB"/>
    <w:rsid w:val="002C0CAC"/>
    <w:rsid w:val="002C136F"/>
    <w:rsid w:val="002C27BB"/>
    <w:rsid w:val="002C2D25"/>
    <w:rsid w:val="002C33DC"/>
    <w:rsid w:val="002C351B"/>
    <w:rsid w:val="002C6DFE"/>
    <w:rsid w:val="002C73BB"/>
    <w:rsid w:val="002D21E9"/>
    <w:rsid w:val="002D48D0"/>
    <w:rsid w:val="002D4FBE"/>
    <w:rsid w:val="002D5314"/>
    <w:rsid w:val="002D68F8"/>
    <w:rsid w:val="002D7D51"/>
    <w:rsid w:val="002E0769"/>
    <w:rsid w:val="002E0F54"/>
    <w:rsid w:val="002E1EE6"/>
    <w:rsid w:val="002E2819"/>
    <w:rsid w:val="002E2F66"/>
    <w:rsid w:val="002E3A56"/>
    <w:rsid w:val="002E401B"/>
    <w:rsid w:val="002E4475"/>
    <w:rsid w:val="002E7061"/>
    <w:rsid w:val="002F116C"/>
    <w:rsid w:val="002F1E6B"/>
    <w:rsid w:val="002F2A44"/>
    <w:rsid w:val="002F3CDA"/>
    <w:rsid w:val="002F4420"/>
    <w:rsid w:val="002F5642"/>
    <w:rsid w:val="002F6C81"/>
    <w:rsid w:val="00300627"/>
    <w:rsid w:val="003009FC"/>
    <w:rsid w:val="00300AA6"/>
    <w:rsid w:val="00300C21"/>
    <w:rsid w:val="003013BC"/>
    <w:rsid w:val="00302D4E"/>
    <w:rsid w:val="00302E5E"/>
    <w:rsid w:val="00302F91"/>
    <w:rsid w:val="00304D50"/>
    <w:rsid w:val="003051F4"/>
    <w:rsid w:val="0031207E"/>
    <w:rsid w:val="00312787"/>
    <w:rsid w:val="00312ADF"/>
    <w:rsid w:val="00312F96"/>
    <w:rsid w:val="00313EC7"/>
    <w:rsid w:val="00314832"/>
    <w:rsid w:val="00315728"/>
    <w:rsid w:val="00316027"/>
    <w:rsid w:val="003177DB"/>
    <w:rsid w:val="00320045"/>
    <w:rsid w:val="00321C66"/>
    <w:rsid w:val="00322E87"/>
    <w:rsid w:val="00323191"/>
    <w:rsid w:val="003231DA"/>
    <w:rsid w:val="003231E3"/>
    <w:rsid w:val="003241DF"/>
    <w:rsid w:val="0032457C"/>
    <w:rsid w:val="003254FA"/>
    <w:rsid w:val="003263FA"/>
    <w:rsid w:val="003267A6"/>
    <w:rsid w:val="003304F6"/>
    <w:rsid w:val="00330710"/>
    <w:rsid w:val="003309C5"/>
    <w:rsid w:val="0033220C"/>
    <w:rsid w:val="003327FF"/>
    <w:rsid w:val="00332C83"/>
    <w:rsid w:val="003334B7"/>
    <w:rsid w:val="00333C72"/>
    <w:rsid w:val="003343F1"/>
    <w:rsid w:val="003350BD"/>
    <w:rsid w:val="003424DE"/>
    <w:rsid w:val="00343F4D"/>
    <w:rsid w:val="003449EE"/>
    <w:rsid w:val="00344B46"/>
    <w:rsid w:val="00345B88"/>
    <w:rsid w:val="0034704C"/>
    <w:rsid w:val="0034777A"/>
    <w:rsid w:val="00347794"/>
    <w:rsid w:val="0035031E"/>
    <w:rsid w:val="00351C22"/>
    <w:rsid w:val="00352840"/>
    <w:rsid w:val="00353726"/>
    <w:rsid w:val="00354D74"/>
    <w:rsid w:val="003554F9"/>
    <w:rsid w:val="003604A5"/>
    <w:rsid w:val="00360D43"/>
    <w:rsid w:val="00362792"/>
    <w:rsid w:val="00363B8F"/>
    <w:rsid w:val="00370108"/>
    <w:rsid w:val="00371EB3"/>
    <w:rsid w:val="003723B9"/>
    <w:rsid w:val="00374DA4"/>
    <w:rsid w:val="00375906"/>
    <w:rsid w:val="0037641C"/>
    <w:rsid w:val="00376659"/>
    <w:rsid w:val="00380259"/>
    <w:rsid w:val="003802C0"/>
    <w:rsid w:val="003805B4"/>
    <w:rsid w:val="00380E23"/>
    <w:rsid w:val="00382EF0"/>
    <w:rsid w:val="00383046"/>
    <w:rsid w:val="0038374D"/>
    <w:rsid w:val="00383BB4"/>
    <w:rsid w:val="00384A07"/>
    <w:rsid w:val="003857BE"/>
    <w:rsid w:val="00386016"/>
    <w:rsid w:val="0038641E"/>
    <w:rsid w:val="00386F48"/>
    <w:rsid w:val="00387040"/>
    <w:rsid w:val="003907EA"/>
    <w:rsid w:val="003913F0"/>
    <w:rsid w:val="00392003"/>
    <w:rsid w:val="00393173"/>
    <w:rsid w:val="003931E2"/>
    <w:rsid w:val="003937B4"/>
    <w:rsid w:val="00393CD6"/>
    <w:rsid w:val="0039591E"/>
    <w:rsid w:val="00396B02"/>
    <w:rsid w:val="00396FFA"/>
    <w:rsid w:val="00397310"/>
    <w:rsid w:val="003A057C"/>
    <w:rsid w:val="003A2489"/>
    <w:rsid w:val="003A52EA"/>
    <w:rsid w:val="003A5E26"/>
    <w:rsid w:val="003A6343"/>
    <w:rsid w:val="003A6B3C"/>
    <w:rsid w:val="003A7EEF"/>
    <w:rsid w:val="003B0114"/>
    <w:rsid w:val="003B0F05"/>
    <w:rsid w:val="003B166C"/>
    <w:rsid w:val="003B199E"/>
    <w:rsid w:val="003B1FEE"/>
    <w:rsid w:val="003B2192"/>
    <w:rsid w:val="003B253B"/>
    <w:rsid w:val="003B421C"/>
    <w:rsid w:val="003B5421"/>
    <w:rsid w:val="003B64C1"/>
    <w:rsid w:val="003B6883"/>
    <w:rsid w:val="003B6D63"/>
    <w:rsid w:val="003B79BB"/>
    <w:rsid w:val="003B7EF5"/>
    <w:rsid w:val="003C0CC4"/>
    <w:rsid w:val="003C1526"/>
    <w:rsid w:val="003C2EF6"/>
    <w:rsid w:val="003C3DAF"/>
    <w:rsid w:val="003C43EC"/>
    <w:rsid w:val="003C4B10"/>
    <w:rsid w:val="003C568F"/>
    <w:rsid w:val="003C6005"/>
    <w:rsid w:val="003C6A8E"/>
    <w:rsid w:val="003C6ECE"/>
    <w:rsid w:val="003C7477"/>
    <w:rsid w:val="003D1D65"/>
    <w:rsid w:val="003D20B1"/>
    <w:rsid w:val="003D2C4E"/>
    <w:rsid w:val="003D3630"/>
    <w:rsid w:val="003D3714"/>
    <w:rsid w:val="003D403F"/>
    <w:rsid w:val="003D4605"/>
    <w:rsid w:val="003D4AF9"/>
    <w:rsid w:val="003D53C6"/>
    <w:rsid w:val="003D5606"/>
    <w:rsid w:val="003D6BC4"/>
    <w:rsid w:val="003D6C81"/>
    <w:rsid w:val="003D75B3"/>
    <w:rsid w:val="003E019F"/>
    <w:rsid w:val="003E1632"/>
    <w:rsid w:val="003E21B9"/>
    <w:rsid w:val="003E2A08"/>
    <w:rsid w:val="003E321A"/>
    <w:rsid w:val="003E3C63"/>
    <w:rsid w:val="003E5056"/>
    <w:rsid w:val="003E53BB"/>
    <w:rsid w:val="003E7E3C"/>
    <w:rsid w:val="003E7E96"/>
    <w:rsid w:val="003E7FFE"/>
    <w:rsid w:val="003F2F18"/>
    <w:rsid w:val="003F3A1A"/>
    <w:rsid w:val="003F3E19"/>
    <w:rsid w:val="003F443E"/>
    <w:rsid w:val="003F58CF"/>
    <w:rsid w:val="003F5B87"/>
    <w:rsid w:val="00400F7D"/>
    <w:rsid w:val="00401069"/>
    <w:rsid w:val="00401BB4"/>
    <w:rsid w:val="00402EB2"/>
    <w:rsid w:val="00404856"/>
    <w:rsid w:val="0040538A"/>
    <w:rsid w:val="00406F71"/>
    <w:rsid w:val="00407D28"/>
    <w:rsid w:val="00410A06"/>
    <w:rsid w:val="00412257"/>
    <w:rsid w:val="00412A60"/>
    <w:rsid w:val="00413704"/>
    <w:rsid w:val="00413B15"/>
    <w:rsid w:val="004151F8"/>
    <w:rsid w:val="00415B2D"/>
    <w:rsid w:val="00415F0C"/>
    <w:rsid w:val="00416652"/>
    <w:rsid w:val="00417CC8"/>
    <w:rsid w:val="00417CF7"/>
    <w:rsid w:val="00420579"/>
    <w:rsid w:val="004219BE"/>
    <w:rsid w:val="00423F29"/>
    <w:rsid w:val="00426492"/>
    <w:rsid w:val="00430395"/>
    <w:rsid w:val="00430DBE"/>
    <w:rsid w:val="00431620"/>
    <w:rsid w:val="0043177C"/>
    <w:rsid w:val="00436AFA"/>
    <w:rsid w:val="004413A8"/>
    <w:rsid w:val="00442C7E"/>
    <w:rsid w:val="00444396"/>
    <w:rsid w:val="0044607C"/>
    <w:rsid w:val="00446201"/>
    <w:rsid w:val="00446B11"/>
    <w:rsid w:val="0044730C"/>
    <w:rsid w:val="004510AD"/>
    <w:rsid w:val="004522CE"/>
    <w:rsid w:val="0045267D"/>
    <w:rsid w:val="004537D6"/>
    <w:rsid w:val="0045428A"/>
    <w:rsid w:val="00454820"/>
    <w:rsid w:val="004554C1"/>
    <w:rsid w:val="004576DA"/>
    <w:rsid w:val="00460926"/>
    <w:rsid w:val="004619A3"/>
    <w:rsid w:val="00461D17"/>
    <w:rsid w:val="00461F7F"/>
    <w:rsid w:val="004630EC"/>
    <w:rsid w:val="00464CA2"/>
    <w:rsid w:val="00465DB1"/>
    <w:rsid w:val="00465E45"/>
    <w:rsid w:val="00467390"/>
    <w:rsid w:val="00471E2D"/>
    <w:rsid w:val="0047203A"/>
    <w:rsid w:val="004723F2"/>
    <w:rsid w:val="004727C9"/>
    <w:rsid w:val="0047411D"/>
    <w:rsid w:val="00474A64"/>
    <w:rsid w:val="00474AF7"/>
    <w:rsid w:val="00475E7A"/>
    <w:rsid w:val="004760D2"/>
    <w:rsid w:val="00476891"/>
    <w:rsid w:val="00476DED"/>
    <w:rsid w:val="00477660"/>
    <w:rsid w:val="004811B5"/>
    <w:rsid w:val="00482282"/>
    <w:rsid w:val="0048349A"/>
    <w:rsid w:val="0048435E"/>
    <w:rsid w:val="00484470"/>
    <w:rsid w:val="00485658"/>
    <w:rsid w:val="00485B8A"/>
    <w:rsid w:val="00486156"/>
    <w:rsid w:val="00486614"/>
    <w:rsid w:val="0049060D"/>
    <w:rsid w:val="00490CAC"/>
    <w:rsid w:val="00491509"/>
    <w:rsid w:val="004924C7"/>
    <w:rsid w:val="00493EA5"/>
    <w:rsid w:val="004951D1"/>
    <w:rsid w:val="0049708A"/>
    <w:rsid w:val="004A05A5"/>
    <w:rsid w:val="004A09F8"/>
    <w:rsid w:val="004A2542"/>
    <w:rsid w:val="004A2794"/>
    <w:rsid w:val="004A2BAB"/>
    <w:rsid w:val="004A3F74"/>
    <w:rsid w:val="004A44BF"/>
    <w:rsid w:val="004A4A21"/>
    <w:rsid w:val="004A617C"/>
    <w:rsid w:val="004A7ED7"/>
    <w:rsid w:val="004B0165"/>
    <w:rsid w:val="004B068F"/>
    <w:rsid w:val="004B083B"/>
    <w:rsid w:val="004B0B15"/>
    <w:rsid w:val="004B0FAE"/>
    <w:rsid w:val="004B127B"/>
    <w:rsid w:val="004B21D5"/>
    <w:rsid w:val="004B2A00"/>
    <w:rsid w:val="004B31C3"/>
    <w:rsid w:val="004B3233"/>
    <w:rsid w:val="004B51E2"/>
    <w:rsid w:val="004B64E0"/>
    <w:rsid w:val="004B7405"/>
    <w:rsid w:val="004B7968"/>
    <w:rsid w:val="004B79F3"/>
    <w:rsid w:val="004B7DF6"/>
    <w:rsid w:val="004C0C50"/>
    <w:rsid w:val="004C0FFD"/>
    <w:rsid w:val="004C1063"/>
    <w:rsid w:val="004C10EE"/>
    <w:rsid w:val="004C189E"/>
    <w:rsid w:val="004C238D"/>
    <w:rsid w:val="004C25F7"/>
    <w:rsid w:val="004C461C"/>
    <w:rsid w:val="004C4EFD"/>
    <w:rsid w:val="004C62A4"/>
    <w:rsid w:val="004C6AF9"/>
    <w:rsid w:val="004C78E6"/>
    <w:rsid w:val="004D0810"/>
    <w:rsid w:val="004D3526"/>
    <w:rsid w:val="004D4049"/>
    <w:rsid w:val="004D4C73"/>
    <w:rsid w:val="004D4F51"/>
    <w:rsid w:val="004D6128"/>
    <w:rsid w:val="004E0921"/>
    <w:rsid w:val="004E11E4"/>
    <w:rsid w:val="004E18C5"/>
    <w:rsid w:val="004E1CE2"/>
    <w:rsid w:val="004E1DE8"/>
    <w:rsid w:val="004E1FA1"/>
    <w:rsid w:val="004E3BF1"/>
    <w:rsid w:val="004E3C98"/>
    <w:rsid w:val="004E5981"/>
    <w:rsid w:val="004E6C99"/>
    <w:rsid w:val="004E6FBE"/>
    <w:rsid w:val="004F124B"/>
    <w:rsid w:val="004F1D7D"/>
    <w:rsid w:val="004F459E"/>
    <w:rsid w:val="004F45CF"/>
    <w:rsid w:val="004F5D30"/>
    <w:rsid w:val="0050052D"/>
    <w:rsid w:val="0050087C"/>
    <w:rsid w:val="00503D46"/>
    <w:rsid w:val="0050492A"/>
    <w:rsid w:val="005057D6"/>
    <w:rsid w:val="0050678B"/>
    <w:rsid w:val="00506D17"/>
    <w:rsid w:val="00507C93"/>
    <w:rsid w:val="00510892"/>
    <w:rsid w:val="005113F9"/>
    <w:rsid w:val="005122C2"/>
    <w:rsid w:val="0051344A"/>
    <w:rsid w:val="0051374E"/>
    <w:rsid w:val="00514779"/>
    <w:rsid w:val="00514890"/>
    <w:rsid w:val="00516A80"/>
    <w:rsid w:val="00516E51"/>
    <w:rsid w:val="00521FC2"/>
    <w:rsid w:val="005222A2"/>
    <w:rsid w:val="00522E82"/>
    <w:rsid w:val="0052437E"/>
    <w:rsid w:val="005267EC"/>
    <w:rsid w:val="0052757A"/>
    <w:rsid w:val="0053223F"/>
    <w:rsid w:val="005343C0"/>
    <w:rsid w:val="00534FD8"/>
    <w:rsid w:val="00535579"/>
    <w:rsid w:val="00536BBF"/>
    <w:rsid w:val="00536E4A"/>
    <w:rsid w:val="00536E7F"/>
    <w:rsid w:val="0053708C"/>
    <w:rsid w:val="00537151"/>
    <w:rsid w:val="005374E8"/>
    <w:rsid w:val="0054012B"/>
    <w:rsid w:val="005405C6"/>
    <w:rsid w:val="00541291"/>
    <w:rsid w:val="00541D96"/>
    <w:rsid w:val="005420C9"/>
    <w:rsid w:val="00542A25"/>
    <w:rsid w:val="005437EE"/>
    <w:rsid w:val="00544BBF"/>
    <w:rsid w:val="005457A9"/>
    <w:rsid w:val="00546664"/>
    <w:rsid w:val="00546D72"/>
    <w:rsid w:val="0055148A"/>
    <w:rsid w:val="00551C00"/>
    <w:rsid w:val="005523D5"/>
    <w:rsid w:val="005525C9"/>
    <w:rsid w:val="00553139"/>
    <w:rsid w:val="005531B0"/>
    <w:rsid w:val="0055327A"/>
    <w:rsid w:val="00553C85"/>
    <w:rsid w:val="00553DDA"/>
    <w:rsid w:val="00554A57"/>
    <w:rsid w:val="0056725C"/>
    <w:rsid w:val="00567C27"/>
    <w:rsid w:val="00570FE0"/>
    <w:rsid w:val="00571495"/>
    <w:rsid w:val="005716BA"/>
    <w:rsid w:val="005725A3"/>
    <w:rsid w:val="00572A89"/>
    <w:rsid w:val="00573D41"/>
    <w:rsid w:val="005741BD"/>
    <w:rsid w:val="00574772"/>
    <w:rsid w:val="00574B29"/>
    <w:rsid w:val="00574F51"/>
    <w:rsid w:val="005755FE"/>
    <w:rsid w:val="00575A49"/>
    <w:rsid w:val="0057686C"/>
    <w:rsid w:val="00577360"/>
    <w:rsid w:val="005826E3"/>
    <w:rsid w:val="00582A23"/>
    <w:rsid w:val="00582F43"/>
    <w:rsid w:val="005832F8"/>
    <w:rsid w:val="00583AB1"/>
    <w:rsid w:val="005869F2"/>
    <w:rsid w:val="00586A80"/>
    <w:rsid w:val="00586CDE"/>
    <w:rsid w:val="00587295"/>
    <w:rsid w:val="00587687"/>
    <w:rsid w:val="005911A7"/>
    <w:rsid w:val="00591C54"/>
    <w:rsid w:val="00591FE4"/>
    <w:rsid w:val="00592207"/>
    <w:rsid w:val="00592482"/>
    <w:rsid w:val="0059265F"/>
    <w:rsid w:val="005957C3"/>
    <w:rsid w:val="00595F4A"/>
    <w:rsid w:val="0059609B"/>
    <w:rsid w:val="005A0164"/>
    <w:rsid w:val="005A31BC"/>
    <w:rsid w:val="005A4510"/>
    <w:rsid w:val="005A579F"/>
    <w:rsid w:val="005A5A9E"/>
    <w:rsid w:val="005A6287"/>
    <w:rsid w:val="005A7899"/>
    <w:rsid w:val="005B04EA"/>
    <w:rsid w:val="005B0AF3"/>
    <w:rsid w:val="005B124F"/>
    <w:rsid w:val="005B12DA"/>
    <w:rsid w:val="005B431F"/>
    <w:rsid w:val="005B462B"/>
    <w:rsid w:val="005B466D"/>
    <w:rsid w:val="005B5FD1"/>
    <w:rsid w:val="005B6FE4"/>
    <w:rsid w:val="005B714B"/>
    <w:rsid w:val="005C015C"/>
    <w:rsid w:val="005C1452"/>
    <w:rsid w:val="005C375B"/>
    <w:rsid w:val="005C3F38"/>
    <w:rsid w:val="005C483F"/>
    <w:rsid w:val="005C6795"/>
    <w:rsid w:val="005D0715"/>
    <w:rsid w:val="005D081A"/>
    <w:rsid w:val="005D10CF"/>
    <w:rsid w:val="005D12A4"/>
    <w:rsid w:val="005D1B58"/>
    <w:rsid w:val="005D245F"/>
    <w:rsid w:val="005D2B01"/>
    <w:rsid w:val="005D3B74"/>
    <w:rsid w:val="005D5187"/>
    <w:rsid w:val="005D51D2"/>
    <w:rsid w:val="005D5D5B"/>
    <w:rsid w:val="005D737C"/>
    <w:rsid w:val="005D7600"/>
    <w:rsid w:val="005D7A6E"/>
    <w:rsid w:val="005E13FE"/>
    <w:rsid w:val="005E256C"/>
    <w:rsid w:val="005E2C4B"/>
    <w:rsid w:val="005E30F2"/>
    <w:rsid w:val="005E3169"/>
    <w:rsid w:val="005E407C"/>
    <w:rsid w:val="005E5834"/>
    <w:rsid w:val="005E5AFE"/>
    <w:rsid w:val="005E5BD4"/>
    <w:rsid w:val="005E5C49"/>
    <w:rsid w:val="005E6A82"/>
    <w:rsid w:val="005E6CAD"/>
    <w:rsid w:val="005F0C99"/>
    <w:rsid w:val="005F3748"/>
    <w:rsid w:val="005F39D5"/>
    <w:rsid w:val="005F4373"/>
    <w:rsid w:val="005F625F"/>
    <w:rsid w:val="005F6F84"/>
    <w:rsid w:val="005F712D"/>
    <w:rsid w:val="005F7C92"/>
    <w:rsid w:val="00600345"/>
    <w:rsid w:val="006003F3"/>
    <w:rsid w:val="00601B5D"/>
    <w:rsid w:val="00604975"/>
    <w:rsid w:val="00605989"/>
    <w:rsid w:val="00610D8D"/>
    <w:rsid w:val="00611673"/>
    <w:rsid w:val="0061330B"/>
    <w:rsid w:val="00613470"/>
    <w:rsid w:val="00613AAF"/>
    <w:rsid w:val="0061451D"/>
    <w:rsid w:val="00614534"/>
    <w:rsid w:val="00614BAE"/>
    <w:rsid w:val="00616126"/>
    <w:rsid w:val="0061646F"/>
    <w:rsid w:val="00623BC8"/>
    <w:rsid w:val="00624AE3"/>
    <w:rsid w:val="006259E7"/>
    <w:rsid w:val="00626606"/>
    <w:rsid w:val="006272FA"/>
    <w:rsid w:val="00630733"/>
    <w:rsid w:val="00630984"/>
    <w:rsid w:val="00631CE2"/>
    <w:rsid w:val="00634698"/>
    <w:rsid w:val="00634EF0"/>
    <w:rsid w:val="00635591"/>
    <w:rsid w:val="00635F2E"/>
    <w:rsid w:val="006361BB"/>
    <w:rsid w:val="00636315"/>
    <w:rsid w:val="00636540"/>
    <w:rsid w:val="0063736F"/>
    <w:rsid w:val="00640726"/>
    <w:rsid w:val="00642497"/>
    <w:rsid w:val="0064476E"/>
    <w:rsid w:val="0064654B"/>
    <w:rsid w:val="006465EB"/>
    <w:rsid w:val="00647849"/>
    <w:rsid w:val="00650549"/>
    <w:rsid w:val="00651A01"/>
    <w:rsid w:val="00651F39"/>
    <w:rsid w:val="00652CE6"/>
    <w:rsid w:val="006532FE"/>
    <w:rsid w:val="00654097"/>
    <w:rsid w:val="0066037F"/>
    <w:rsid w:val="006603CC"/>
    <w:rsid w:val="00660F51"/>
    <w:rsid w:val="00661089"/>
    <w:rsid w:val="00663953"/>
    <w:rsid w:val="00663E91"/>
    <w:rsid w:val="0066457A"/>
    <w:rsid w:val="006649E6"/>
    <w:rsid w:val="00665673"/>
    <w:rsid w:val="006656BA"/>
    <w:rsid w:val="0066574E"/>
    <w:rsid w:val="00665AC7"/>
    <w:rsid w:val="00665C0A"/>
    <w:rsid w:val="00666A3A"/>
    <w:rsid w:val="00666F31"/>
    <w:rsid w:val="00670D70"/>
    <w:rsid w:val="006716B6"/>
    <w:rsid w:val="006727F2"/>
    <w:rsid w:val="00672973"/>
    <w:rsid w:val="00673E5F"/>
    <w:rsid w:val="00676088"/>
    <w:rsid w:val="00680729"/>
    <w:rsid w:val="00681F1D"/>
    <w:rsid w:val="00682CA0"/>
    <w:rsid w:val="00683907"/>
    <w:rsid w:val="0068440D"/>
    <w:rsid w:val="00686151"/>
    <w:rsid w:val="0068647F"/>
    <w:rsid w:val="00687220"/>
    <w:rsid w:val="00690925"/>
    <w:rsid w:val="00690BA4"/>
    <w:rsid w:val="00690BE5"/>
    <w:rsid w:val="006921AA"/>
    <w:rsid w:val="00693EE2"/>
    <w:rsid w:val="00694CE7"/>
    <w:rsid w:val="0069761E"/>
    <w:rsid w:val="006A0BB3"/>
    <w:rsid w:val="006A1803"/>
    <w:rsid w:val="006A1916"/>
    <w:rsid w:val="006A277E"/>
    <w:rsid w:val="006A2A94"/>
    <w:rsid w:val="006A2DEC"/>
    <w:rsid w:val="006A307D"/>
    <w:rsid w:val="006A350A"/>
    <w:rsid w:val="006A4441"/>
    <w:rsid w:val="006A47DC"/>
    <w:rsid w:val="006A51B0"/>
    <w:rsid w:val="006A58AE"/>
    <w:rsid w:val="006A6DF9"/>
    <w:rsid w:val="006B1CD6"/>
    <w:rsid w:val="006B1E1A"/>
    <w:rsid w:val="006B1F36"/>
    <w:rsid w:val="006B4EBB"/>
    <w:rsid w:val="006B5DAC"/>
    <w:rsid w:val="006B5DDE"/>
    <w:rsid w:val="006B635F"/>
    <w:rsid w:val="006B67FA"/>
    <w:rsid w:val="006B6E94"/>
    <w:rsid w:val="006B71F5"/>
    <w:rsid w:val="006C00A9"/>
    <w:rsid w:val="006C021A"/>
    <w:rsid w:val="006C2193"/>
    <w:rsid w:val="006C3530"/>
    <w:rsid w:val="006C35BE"/>
    <w:rsid w:val="006C3787"/>
    <w:rsid w:val="006C4567"/>
    <w:rsid w:val="006C4D95"/>
    <w:rsid w:val="006C53CB"/>
    <w:rsid w:val="006C5402"/>
    <w:rsid w:val="006C55FE"/>
    <w:rsid w:val="006C622B"/>
    <w:rsid w:val="006C6454"/>
    <w:rsid w:val="006D0105"/>
    <w:rsid w:val="006D01A8"/>
    <w:rsid w:val="006D088A"/>
    <w:rsid w:val="006D1943"/>
    <w:rsid w:val="006D2C1E"/>
    <w:rsid w:val="006D2CD3"/>
    <w:rsid w:val="006D394C"/>
    <w:rsid w:val="006D447C"/>
    <w:rsid w:val="006D5E0B"/>
    <w:rsid w:val="006D615D"/>
    <w:rsid w:val="006D680B"/>
    <w:rsid w:val="006D68D6"/>
    <w:rsid w:val="006D6901"/>
    <w:rsid w:val="006D696E"/>
    <w:rsid w:val="006D6F66"/>
    <w:rsid w:val="006D7C5D"/>
    <w:rsid w:val="006E02D5"/>
    <w:rsid w:val="006E089F"/>
    <w:rsid w:val="006E0D23"/>
    <w:rsid w:val="006E7B89"/>
    <w:rsid w:val="006F0023"/>
    <w:rsid w:val="006F1546"/>
    <w:rsid w:val="006F18C7"/>
    <w:rsid w:val="006F19EF"/>
    <w:rsid w:val="006F1B56"/>
    <w:rsid w:val="006F289E"/>
    <w:rsid w:val="006F292D"/>
    <w:rsid w:val="006F4437"/>
    <w:rsid w:val="006F4AA2"/>
    <w:rsid w:val="006F51CC"/>
    <w:rsid w:val="006F774A"/>
    <w:rsid w:val="007010E4"/>
    <w:rsid w:val="00701E82"/>
    <w:rsid w:val="0070306F"/>
    <w:rsid w:val="007034C6"/>
    <w:rsid w:val="00703E83"/>
    <w:rsid w:val="00704151"/>
    <w:rsid w:val="00710627"/>
    <w:rsid w:val="00710901"/>
    <w:rsid w:val="007109F3"/>
    <w:rsid w:val="00710EAB"/>
    <w:rsid w:val="0071342D"/>
    <w:rsid w:val="00713E1F"/>
    <w:rsid w:val="00715226"/>
    <w:rsid w:val="00716F7B"/>
    <w:rsid w:val="007178D0"/>
    <w:rsid w:val="00717F1F"/>
    <w:rsid w:val="00720809"/>
    <w:rsid w:val="00720B18"/>
    <w:rsid w:val="00723137"/>
    <w:rsid w:val="00723296"/>
    <w:rsid w:val="00723F8C"/>
    <w:rsid w:val="007242E5"/>
    <w:rsid w:val="00724582"/>
    <w:rsid w:val="00724611"/>
    <w:rsid w:val="007263AB"/>
    <w:rsid w:val="0072688F"/>
    <w:rsid w:val="00726D9E"/>
    <w:rsid w:val="007274AE"/>
    <w:rsid w:val="00730604"/>
    <w:rsid w:val="00730CAC"/>
    <w:rsid w:val="00731109"/>
    <w:rsid w:val="00731778"/>
    <w:rsid w:val="00731854"/>
    <w:rsid w:val="00731996"/>
    <w:rsid w:val="00731A39"/>
    <w:rsid w:val="00731D52"/>
    <w:rsid w:val="00732008"/>
    <w:rsid w:val="007328C6"/>
    <w:rsid w:val="007332A4"/>
    <w:rsid w:val="00733626"/>
    <w:rsid w:val="00733A33"/>
    <w:rsid w:val="00736204"/>
    <w:rsid w:val="0073644F"/>
    <w:rsid w:val="00736C73"/>
    <w:rsid w:val="00736CD7"/>
    <w:rsid w:val="0073737E"/>
    <w:rsid w:val="00737BF3"/>
    <w:rsid w:val="007407B8"/>
    <w:rsid w:val="00741869"/>
    <w:rsid w:val="00745019"/>
    <w:rsid w:val="00745AEB"/>
    <w:rsid w:val="00746810"/>
    <w:rsid w:val="00747046"/>
    <w:rsid w:val="0075056A"/>
    <w:rsid w:val="0075072A"/>
    <w:rsid w:val="00751CAE"/>
    <w:rsid w:val="007542FD"/>
    <w:rsid w:val="00754502"/>
    <w:rsid w:val="00754CE2"/>
    <w:rsid w:val="007550E9"/>
    <w:rsid w:val="0075548E"/>
    <w:rsid w:val="00755F86"/>
    <w:rsid w:val="0075626B"/>
    <w:rsid w:val="007564C3"/>
    <w:rsid w:val="00756862"/>
    <w:rsid w:val="00760CAB"/>
    <w:rsid w:val="00762126"/>
    <w:rsid w:val="00762B98"/>
    <w:rsid w:val="00763996"/>
    <w:rsid w:val="00763B89"/>
    <w:rsid w:val="007642E9"/>
    <w:rsid w:val="00765495"/>
    <w:rsid w:val="00766255"/>
    <w:rsid w:val="0076681D"/>
    <w:rsid w:val="00767779"/>
    <w:rsid w:val="00767FCD"/>
    <w:rsid w:val="00770969"/>
    <w:rsid w:val="00771F57"/>
    <w:rsid w:val="00772498"/>
    <w:rsid w:val="00774809"/>
    <w:rsid w:val="00774C6D"/>
    <w:rsid w:val="00774EFE"/>
    <w:rsid w:val="0077501B"/>
    <w:rsid w:val="00775334"/>
    <w:rsid w:val="007761F7"/>
    <w:rsid w:val="00776B79"/>
    <w:rsid w:val="00782967"/>
    <w:rsid w:val="007836CE"/>
    <w:rsid w:val="00783A9E"/>
    <w:rsid w:val="00784855"/>
    <w:rsid w:val="0078562E"/>
    <w:rsid w:val="00785CF4"/>
    <w:rsid w:val="00786294"/>
    <w:rsid w:val="00786722"/>
    <w:rsid w:val="00787457"/>
    <w:rsid w:val="00787953"/>
    <w:rsid w:val="00787CAC"/>
    <w:rsid w:val="00790367"/>
    <w:rsid w:val="00793737"/>
    <w:rsid w:val="007945A4"/>
    <w:rsid w:val="00795D40"/>
    <w:rsid w:val="00797478"/>
    <w:rsid w:val="007A1E51"/>
    <w:rsid w:val="007A2287"/>
    <w:rsid w:val="007A2B9E"/>
    <w:rsid w:val="007A35D1"/>
    <w:rsid w:val="007A3C02"/>
    <w:rsid w:val="007A7A12"/>
    <w:rsid w:val="007B0B59"/>
    <w:rsid w:val="007B1B3A"/>
    <w:rsid w:val="007B235E"/>
    <w:rsid w:val="007B2A8E"/>
    <w:rsid w:val="007B308C"/>
    <w:rsid w:val="007B46F6"/>
    <w:rsid w:val="007B476C"/>
    <w:rsid w:val="007B77AF"/>
    <w:rsid w:val="007B77CB"/>
    <w:rsid w:val="007C0127"/>
    <w:rsid w:val="007C0FA0"/>
    <w:rsid w:val="007C0FA1"/>
    <w:rsid w:val="007C1982"/>
    <w:rsid w:val="007C215A"/>
    <w:rsid w:val="007C2626"/>
    <w:rsid w:val="007C3714"/>
    <w:rsid w:val="007C3990"/>
    <w:rsid w:val="007C4402"/>
    <w:rsid w:val="007C540D"/>
    <w:rsid w:val="007C6D8B"/>
    <w:rsid w:val="007C6E29"/>
    <w:rsid w:val="007D0452"/>
    <w:rsid w:val="007D1A02"/>
    <w:rsid w:val="007D38C5"/>
    <w:rsid w:val="007D479B"/>
    <w:rsid w:val="007D66E1"/>
    <w:rsid w:val="007D7222"/>
    <w:rsid w:val="007D7F83"/>
    <w:rsid w:val="007E025C"/>
    <w:rsid w:val="007E0935"/>
    <w:rsid w:val="007E2A1B"/>
    <w:rsid w:val="007E2EFC"/>
    <w:rsid w:val="007E5358"/>
    <w:rsid w:val="007F0345"/>
    <w:rsid w:val="007F1560"/>
    <w:rsid w:val="007F1C80"/>
    <w:rsid w:val="007F3314"/>
    <w:rsid w:val="007F3941"/>
    <w:rsid w:val="007F48A7"/>
    <w:rsid w:val="007F6A2A"/>
    <w:rsid w:val="007F6BF8"/>
    <w:rsid w:val="007F6EC3"/>
    <w:rsid w:val="008007DD"/>
    <w:rsid w:val="00800834"/>
    <w:rsid w:val="00800D40"/>
    <w:rsid w:val="00801A98"/>
    <w:rsid w:val="008066E8"/>
    <w:rsid w:val="008100EC"/>
    <w:rsid w:val="0081058A"/>
    <w:rsid w:val="00810854"/>
    <w:rsid w:val="00810A7B"/>
    <w:rsid w:val="00811106"/>
    <w:rsid w:val="00811B15"/>
    <w:rsid w:val="00811CB6"/>
    <w:rsid w:val="008135F8"/>
    <w:rsid w:val="008137C3"/>
    <w:rsid w:val="00814A59"/>
    <w:rsid w:val="00815010"/>
    <w:rsid w:val="00815E26"/>
    <w:rsid w:val="00816392"/>
    <w:rsid w:val="00820A8F"/>
    <w:rsid w:val="008217D7"/>
    <w:rsid w:val="0082200B"/>
    <w:rsid w:val="00825051"/>
    <w:rsid w:val="008262CB"/>
    <w:rsid w:val="00826BF5"/>
    <w:rsid w:val="00827E87"/>
    <w:rsid w:val="0083100A"/>
    <w:rsid w:val="00831280"/>
    <w:rsid w:val="00831399"/>
    <w:rsid w:val="00831B75"/>
    <w:rsid w:val="00831C36"/>
    <w:rsid w:val="00832CC9"/>
    <w:rsid w:val="00834493"/>
    <w:rsid w:val="008363A0"/>
    <w:rsid w:val="008363DF"/>
    <w:rsid w:val="0083766C"/>
    <w:rsid w:val="0083793C"/>
    <w:rsid w:val="008379B7"/>
    <w:rsid w:val="00837C5C"/>
    <w:rsid w:val="008405C8"/>
    <w:rsid w:val="0084097F"/>
    <w:rsid w:val="00840ADC"/>
    <w:rsid w:val="00841A8F"/>
    <w:rsid w:val="00841E5A"/>
    <w:rsid w:val="00845A46"/>
    <w:rsid w:val="0084621D"/>
    <w:rsid w:val="008463DF"/>
    <w:rsid w:val="008471F4"/>
    <w:rsid w:val="008506D7"/>
    <w:rsid w:val="00851B2A"/>
    <w:rsid w:val="008525AB"/>
    <w:rsid w:val="00852CEA"/>
    <w:rsid w:val="008535E7"/>
    <w:rsid w:val="008537AC"/>
    <w:rsid w:val="00854728"/>
    <w:rsid w:val="008561A6"/>
    <w:rsid w:val="0085627D"/>
    <w:rsid w:val="00857401"/>
    <w:rsid w:val="00857AC6"/>
    <w:rsid w:val="00857B68"/>
    <w:rsid w:val="00860C87"/>
    <w:rsid w:val="00861FAC"/>
    <w:rsid w:val="008633FA"/>
    <w:rsid w:val="00863999"/>
    <w:rsid w:val="00863A30"/>
    <w:rsid w:val="00863AF7"/>
    <w:rsid w:val="008653F7"/>
    <w:rsid w:val="00867635"/>
    <w:rsid w:val="0087097E"/>
    <w:rsid w:val="00871B6A"/>
    <w:rsid w:val="00873437"/>
    <w:rsid w:val="008734B5"/>
    <w:rsid w:val="00873F99"/>
    <w:rsid w:val="008741E7"/>
    <w:rsid w:val="008746EF"/>
    <w:rsid w:val="00875037"/>
    <w:rsid w:val="008759B0"/>
    <w:rsid w:val="0087693A"/>
    <w:rsid w:val="00877190"/>
    <w:rsid w:val="0087726B"/>
    <w:rsid w:val="0087796B"/>
    <w:rsid w:val="00877D7A"/>
    <w:rsid w:val="008802FE"/>
    <w:rsid w:val="00880EB7"/>
    <w:rsid w:val="00881333"/>
    <w:rsid w:val="008816CA"/>
    <w:rsid w:val="008816EF"/>
    <w:rsid w:val="00881AEC"/>
    <w:rsid w:val="00882BD2"/>
    <w:rsid w:val="00883467"/>
    <w:rsid w:val="00884333"/>
    <w:rsid w:val="00884790"/>
    <w:rsid w:val="008847B7"/>
    <w:rsid w:val="00886BB6"/>
    <w:rsid w:val="008871F0"/>
    <w:rsid w:val="008873B4"/>
    <w:rsid w:val="00890174"/>
    <w:rsid w:val="00890541"/>
    <w:rsid w:val="00890826"/>
    <w:rsid w:val="00891B1A"/>
    <w:rsid w:val="00892113"/>
    <w:rsid w:val="00892D45"/>
    <w:rsid w:val="00893076"/>
    <w:rsid w:val="00894228"/>
    <w:rsid w:val="008944F0"/>
    <w:rsid w:val="00894C6C"/>
    <w:rsid w:val="00895029"/>
    <w:rsid w:val="00896376"/>
    <w:rsid w:val="00896651"/>
    <w:rsid w:val="00896C52"/>
    <w:rsid w:val="00897DCB"/>
    <w:rsid w:val="00897EC7"/>
    <w:rsid w:val="008A03E6"/>
    <w:rsid w:val="008A13C0"/>
    <w:rsid w:val="008A25D5"/>
    <w:rsid w:val="008A26EA"/>
    <w:rsid w:val="008A2D0B"/>
    <w:rsid w:val="008A343B"/>
    <w:rsid w:val="008A3898"/>
    <w:rsid w:val="008A3B9A"/>
    <w:rsid w:val="008A5124"/>
    <w:rsid w:val="008A5E1D"/>
    <w:rsid w:val="008A6603"/>
    <w:rsid w:val="008A720D"/>
    <w:rsid w:val="008B2320"/>
    <w:rsid w:val="008B33EC"/>
    <w:rsid w:val="008B3B8D"/>
    <w:rsid w:val="008B3BB8"/>
    <w:rsid w:val="008B3D66"/>
    <w:rsid w:val="008B5201"/>
    <w:rsid w:val="008B57B0"/>
    <w:rsid w:val="008B6B7C"/>
    <w:rsid w:val="008B6D41"/>
    <w:rsid w:val="008B7B05"/>
    <w:rsid w:val="008C04C6"/>
    <w:rsid w:val="008C2629"/>
    <w:rsid w:val="008C3512"/>
    <w:rsid w:val="008C3BE0"/>
    <w:rsid w:val="008C405B"/>
    <w:rsid w:val="008C4B11"/>
    <w:rsid w:val="008C5027"/>
    <w:rsid w:val="008C67FA"/>
    <w:rsid w:val="008C7A08"/>
    <w:rsid w:val="008C7E19"/>
    <w:rsid w:val="008D05EA"/>
    <w:rsid w:val="008D0C58"/>
    <w:rsid w:val="008D2808"/>
    <w:rsid w:val="008D29B6"/>
    <w:rsid w:val="008D5EAB"/>
    <w:rsid w:val="008E01EB"/>
    <w:rsid w:val="008E10BB"/>
    <w:rsid w:val="008E11A6"/>
    <w:rsid w:val="008E1526"/>
    <w:rsid w:val="008E18BF"/>
    <w:rsid w:val="008E26B7"/>
    <w:rsid w:val="008E4AFE"/>
    <w:rsid w:val="008E57E3"/>
    <w:rsid w:val="008E79F0"/>
    <w:rsid w:val="008F0A10"/>
    <w:rsid w:val="008F15A3"/>
    <w:rsid w:val="008F1F66"/>
    <w:rsid w:val="008F28A7"/>
    <w:rsid w:val="008F2EFD"/>
    <w:rsid w:val="008F3432"/>
    <w:rsid w:val="008F44CA"/>
    <w:rsid w:val="008F50AD"/>
    <w:rsid w:val="008F5323"/>
    <w:rsid w:val="008F5602"/>
    <w:rsid w:val="008F6992"/>
    <w:rsid w:val="008F70D0"/>
    <w:rsid w:val="008F7AF5"/>
    <w:rsid w:val="008F7E4E"/>
    <w:rsid w:val="00901487"/>
    <w:rsid w:val="00902AA4"/>
    <w:rsid w:val="00902C53"/>
    <w:rsid w:val="0090371E"/>
    <w:rsid w:val="00903D6D"/>
    <w:rsid w:val="00906CA5"/>
    <w:rsid w:val="00910212"/>
    <w:rsid w:val="00910296"/>
    <w:rsid w:val="009108EF"/>
    <w:rsid w:val="009116BA"/>
    <w:rsid w:val="00911C1E"/>
    <w:rsid w:val="009127AD"/>
    <w:rsid w:val="00913136"/>
    <w:rsid w:val="0091353D"/>
    <w:rsid w:val="00913DDF"/>
    <w:rsid w:val="009140A0"/>
    <w:rsid w:val="00914379"/>
    <w:rsid w:val="00914E0A"/>
    <w:rsid w:val="00915A46"/>
    <w:rsid w:val="00915DC2"/>
    <w:rsid w:val="00916147"/>
    <w:rsid w:val="00916744"/>
    <w:rsid w:val="009170D2"/>
    <w:rsid w:val="00921CBB"/>
    <w:rsid w:val="00922DB0"/>
    <w:rsid w:val="00924A36"/>
    <w:rsid w:val="00925FF4"/>
    <w:rsid w:val="00926409"/>
    <w:rsid w:val="00927D75"/>
    <w:rsid w:val="009313E5"/>
    <w:rsid w:val="00932088"/>
    <w:rsid w:val="009345D4"/>
    <w:rsid w:val="00934A2A"/>
    <w:rsid w:val="00934D1A"/>
    <w:rsid w:val="00935FF8"/>
    <w:rsid w:val="009376E6"/>
    <w:rsid w:val="009408F3"/>
    <w:rsid w:val="00940B21"/>
    <w:rsid w:val="00940F6E"/>
    <w:rsid w:val="00940FEB"/>
    <w:rsid w:val="009464DC"/>
    <w:rsid w:val="00946F7A"/>
    <w:rsid w:val="00946FC6"/>
    <w:rsid w:val="00947570"/>
    <w:rsid w:val="00951160"/>
    <w:rsid w:val="00951B10"/>
    <w:rsid w:val="00953DE6"/>
    <w:rsid w:val="00954205"/>
    <w:rsid w:val="0095446F"/>
    <w:rsid w:val="009555C1"/>
    <w:rsid w:val="0095560D"/>
    <w:rsid w:val="00955D34"/>
    <w:rsid w:val="0095771C"/>
    <w:rsid w:val="00960EAF"/>
    <w:rsid w:val="00961462"/>
    <w:rsid w:val="0096348C"/>
    <w:rsid w:val="0096374C"/>
    <w:rsid w:val="009642D7"/>
    <w:rsid w:val="0096530F"/>
    <w:rsid w:val="00965BCB"/>
    <w:rsid w:val="009672E1"/>
    <w:rsid w:val="009677F0"/>
    <w:rsid w:val="0097001E"/>
    <w:rsid w:val="009708ED"/>
    <w:rsid w:val="0097186F"/>
    <w:rsid w:val="00972413"/>
    <w:rsid w:val="00973ABF"/>
    <w:rsid w:val="00973FA0"/>
    <w:rsid w:val="009752B4"/>
    <w:rsid w:val="0097621E"/>
    <w:rsid w:val="00976545"/>
    <w:rsid w:val="00976A27"/>
    <w:rsid w:val="00976D49"/>
    <w:rsid w:val="00977270"/>
    <w:rsid w:val="00977D04"/>
    <w:rsid w:val="00980441"/>
    <w:rsid w:val="00981E8F"/>
    <w:rsid w:val="00982418"/>
    <w:rsid w:val="00982EB3"/>
    <w:rsid w:val="00983314"/>
    <w:rsid w:val="00983761"/>
    <w:rsid w:val="00984047"/>
    <w:rsid w:val="00984662"/>
    <w:rsid w:val="00985024"/>
    <w:rsid w:val="00985366"/>
    <w:rsid w:val="00985AC6"/>
    <w:rsid w:val="00985F45"/>
    <w:rsid w:val="00986276"/>
    <w:rsid w:val="009864AC"/>
    <w:rsid w:val="00986FA2"/>
    <w:rsid w:val="00991C43"/>
    <w:rsid w:val="0099388E"/>
    <w:rsid w:val="009938A4"/>
    <w:rsid w:val="00993D58"/>
    <w:rsid w:val="00995232"/>
    <w:rsid w:val="0099553C"/>
    <w:rsid w:val="0099711F"/>
    <w:rsid w:val="009A18D8"/>
    <w:rsid w:val="009A1923"/>
    <w:rsid w:val="009A20F4"/>
    <w:rsid w:val="009A23D1"/>
    <w:rsid w:val="009A242C"/>
    <w:rsid w:val="009A2E6C"/>
    <w:rsid w:val="009A4874"/>
    <w:rsid w:val="009A48F4"/>
    <w:rsid w:val="009A4CC1"/>
    <w:rsid w:val="009A5538"/>
    <w:rsid w:val="009B1466"/>
    <w:rsid w:val="009B2797"/>
    <w:rsid w:val="009B343F"/>
    <w:rsid w:val="009B39C7"/>
    <w:rsid w:val="009B3F56"/>
    <w:rsid w:val="009B5844"/>
    <w:rsid w:val="009B6313"/>
    <w:rsid w:val="009B6476"/>
    <w:rsid w:val="009B6A04"/>
    <w:rsid w:val="009B6B75"/>
    <w:rsid w:val="009B6EDD"/>
    <w:rsid w:val="009C0785"/>
    <w:rsid w:val="009C0945"/>
    <w:rsid w:val="009C2C61"/>
    <w:rsid w:val="009C4180"/>
    <w:rsid w:val="009C5209"/>
    <w:rsid w:val="009C702F"/>
    <w:rsid w:val="009C70BF"/>
    <w:rsid w:val="009C7A0F"/>
    <w:rsid w:val="009D0BB7"/>
    <w:rsid w:val="009D1021"/>
    <w:rsid w:val="009D1062"/>
    <w:rsid w:val="009D5DC0"/>
    <w:rsid w:val="009D62A6"/>
    <w:rsid w:val="009D62AD"/>
    <w:rsid w:val="009D7110"/>
    <w:rsid w:val="009E2531"/>
    <w:rsid w:val="009E2FCA"/>
    <w:rsid w:val="009E3861"/>
    <w:rsid w:val="009E4C3A"/>
    <w:rsid w:val="009E4FC0"/>
    <w:rsid w:val="009E55D0"/>
    <w:rsid w:val="009E76E1"/>
    <w:rsid w:val="009F0660"/>
    <w:rsid w:val="009F107D"/>
    <w:rsid w:val="009F13CA"/>
    <w:rsid w:val="009F1722"/>
    <w:rsid w:val="009F2546"/>
    <w:rsid w:val="009F2ECE"/>
    <w:rsid w:val="009F330D"/>
    <w:rsid w:val="009F3315"/>
    <w:rsid w:val="009F3C71"/>
    <w:rsid w:val="009F4182"/>
    <w:rsid w:val="009F445D"/>
    <w:rsid w:val="009F495B"/>
    <w:rsid w:val="009F4C6D"/>
    <w:rsid w:val="00A02505"/>
    <w:rsid w:val="00A04B67"/>
    <w:rsid w:val="00A04DC9"/>
    <w:rsid w:val="00A06E4D"/>
    <w:rsid w:val="00A06EC1"/>
    <w:rsid w:val="00A10438"/>
    <w:rsid w:val="00A1090D"/>
    <w:rsid w:val="00A11684"/>
    <w:rsid w:val="00A11C89"/>
    <w:rsid w:val="00A12148"/>
    <w:rsid w:val="00A1291B"/>
    <w:rsid w:val="00A13BB1"/>
    <w:rsid w:val="00A15099"/>
    <w:rsid w:val="00A1545D"/>
    <w:rsid w:val="00A154D5"/>
    <w:rsid w:val="00A1563D"/>
    <w:rsid w:val="00A159C4"/>
    <w:rsid w:val="00A17692"/>
    <w:rsid w:val="00A20239"/>
    <w:rsid w:val="00A2161D"/>
    <w:rsid w:val="00A22269"/>
    <w:rsid w:val="00A228F2"/>
    <w:rsid w:val="00A23054"/>
    <w:rsid w:val="00A242E3"/>
    <w:rsid w:val="00A243D0"/>
    <w:rsid w:val="00A24FF6"/>
    <w:rsid w:val="00A25BF6"/>
    <w:rsid w:val="00A25DAA"/>
    <w:rsid w:val="00A27FF5"/>
    <w:rsid w:val="00A3061C"/>
    <w:rsid w:val="00A30C34"/>
    <w:rsid w:val="00A322FD"/>
    <w:rsid w:val="00A32572"/>
    <w:rsid w:val="00A32931"/>
    <w:rsid w:val="00A32D2C"/>
    <w:rsid w:val="00A348E1"/>
    <w:rsid w:val="00A34C8E"/>
    <w:rsid w:val="00A36C23"/>
    <w:rsid w:val="00A37899"/>
    <w:rsid w:val="00A37950"/>
    <w:rsid w:val="00A4001B"/>
    <w:rsid w:val="00A4034B"/>
    <w:rsid w:val="00A41C00"/>
    <w:rsid w:val="00A41DA6"/>
    <w:rsid w:val="00A428CC"/>
    <w:rsid w:val="00A43061"/>
    <w:rsid w:val="00A4440B"/>
    <w:rsid w:val="00A45184"/>
    <w:rsid w:val="00A453C1"/>
    <w:rsid w:val="00A45E3A"/>
    <w:rsid w:val="00A462AA"/>
    <w:rsid w:val="00A462AB"/>
    <w:rsid w:val="00A46721"/>
    <w:rsid w:val="00A46C62"/>
    <w:rsid w:val="00A46F7F"/>
    <w:rsid w:val="00A4728A"/>
    <w:rsid w:val="00A51A03"/>
    <w:rsid w:val="00A53D81"/>
    <w:rsid w:val="00A54541"/>
    <w:rsid w:val="00A54EF3"/>
    <w:rsid w:val="00A566E3"/>
    <w:rsid w:val="00A56B96"/>
    <w:rsid w:val="00A576B5"/>
    <w:rsid w:val="00A612C8"/>
    <w:rsid w:val="00A61652"/>
    <w:rsid w:val="00A63424"/>
    <w:rsid w:val="00A63CB4"/>
    <w:rsid w:val="00A64A1C"/>
    <w:rsid w:val="00A64DDF"/>
    <w:rsid w:val="00A669C7"/>
    <w:rsid w:val="00A66F5A"/>
    <w:rsid w:val="00A67003"/>
    <w:rsid w:val="00A67C01"/>
    <w:rsid w:val="00A67D90"/>
    <w:rsid w:val="00A7125B"/>
    <w:rsid w:val="00A71E75"/>
    <w:rsid w:val="00A73CC0"/>
    <w:rsid w:val="00A7416B"/>
    <w:rsid w:val="00A7423D"/>
    <w:rsid w:val="00A74D6D"/>
    <w:rsid w:val="00A75D95"/>
    <w:rsid w:val="00A80F22"/>
    <w:rsid w:val="00A821E9"/>
    <w:rsid w:val="00A823A7"/>
    <w:rsid w:val="00A83246"/>
    <w:rsid w:val="00A85310"/>
    <w:rsid w:val="00A90714"/>
    <w:rsid w:val="00A90D2C"/>
    <w:rsid w:val="00A91420"/>
    <w:rsid w:val="00A9144B"/>
    <w:rsid w:val="00A91D51"/>
    <w:rsid w:val="00A94708"/>
    <w:rsid w:val="00A97012"/>
    <w:rsid w:val="00A977A5"/>
    <w:rsid w:val="00AA0CD8"/>
    <w:rsid w:val="00AA1EBC"/>
    <w:rsid w:val="00AA2DF4"/>
    <w:rsid w:val="00AA4649"/>
    <w:rsid w:val="00AA505D"/>
    <w:rsid w:val="00AA5709"/>
    <w:rsid w:val="00AA7394"/>
    <w:rsid w:val="00AA7873"/>
    <w:rsid w:val="00AB0BCD"/>
    <w:rsid w:val="00AB16F3"/>
    <w:rsid w:val="00AB17BA"/>
    <w:rsid w:val="00AB3122"/>
    <w:rsid w:val="00AB4CB3"/>
    <w:rsid w:val="00AB6860"/>
    <w:rsid w:val="00AB6C70"/>
    <w:rsid w:val="00AB7550"/>
    <w:rsid w:val="00AB75CE"/>
    <w:rsid w:val="00AC074F"/>
    <w:rsid w:val="00AC2908"/>
    <w:rsid w:val="00AC4324"/>
    <w:rsid w:val="00AC571F"/>
    <w:rsid w:val="00AC6079"/>
    <w:rsid w:val="00AC6134"/>
    <w:rsid w:val="00AD0272"/>
    <w:rsid w:val="00AD0A58"/>
    <w:rsid w:val="00AD2D0A"/>
    <w:rsid w:val="00AD4A8D"/>
    <w:rsid w:val="00AD4D4D"/>
    <w:rsid w:val="00AD4F58"/>
    <w:rsid w:val="00AD5539"/>
    <w:rsid w:val="00AD5745"/>
    <w:rsid w:val="00AD5983"/>
    <w:rsid w:val="00AE0B12"/>
    <w:rsid w:val="00AE102D"/>
    <w:rsid w:val="00AE18A3"/>
    <w:rsid w:val="00AE1959"/>
    <w:rsid w:val="00AE1FAF"/>
    <w:rsid w:val="00AE2631"/>
    <w:rsid w:val="00AE799C"/>
    <w:rsid w:val="00AF002C"/>
    <w:rsid w:val="00AF0155"/>
    <w:rsid w:val="00AF015C"/>
    <w:rsid w:val="00AF0311"/>
    <w:rsid w:val="00AF0FB4"/>
    <w:rsid w:val="00AF13B3"/>
    <w:rsid w:val="00AF1FB6"/>
    <w:rsid w:val="00AF20C0"/>
    <w:rsid w:val="00AF42EA"/>
    <w:rsid w:val="00AF432A"/>
    <w:rsid w:val="00AF4BB1"/>
    <w:rsid w:val="00AF5AE4"/>
    <w:rsid w:val="00AF6290"/>
    <w:rsid w:val="00B00244"/>
    <w:rsid w:val="00B0082C"/>
    <w:rsid w:val="00B00D7F"/>
    <w:rsid w:val="00B01733"/>
    <w:rsid w:val="00B01B43"/>
    <w:rsid w:val="00B01E6B"/>
    <w:rsid w:val="00B02CBC"/>
    <w:rsid w:val="00B04253"/>
    <w:rsid w:val="00B05604"/>
    <w:rsid w:val="00B06FEE"/>
    <w:rsid w:val="00B07E38"/>
    <w:rsid w:val="00B10348"/>
    <w:rsid w:val="00B104CD"/>
    <w:rsid w:val="00B1084B"/>
    <w:rsid w:val="00B112FC"/>
    <w:rsid w:val="00B117D0"/>
    <w:rsid w:val="00B11B2F"/>
    <w:rsid w:val="00B1253E"/>
    <w:rsid w:val="00B12F5D"/>
    <w:rsid w:val="00B134EB"/>
    <w:rsid w:val="00B14EDE"/>
    <w:rsid w:val="00B1548E"/>
    <w:rsid w:val="00B1565F"/>
    <w:rsid w:val="00B15ED9"/>
    <w:rsid w:val="00B17651"/>
    <w:rsid w:val="00B17BE7"/>
    <w:rsid w:val="00B17E02"/>
    <w:rsid w:val="00B21A8A"/>
    <w:rsid w:val="00B23456"/>
    <w:rsid w:val="00B235F1"/>
    <w:rsid w:val="00B2457E"/>
    <w:rsid w:val="00B25914"/>
    <w:rsid w:val="00B25FE0"/>
    <w:rsid w:val="00B26F6C"/>
    <w:rsid w:val="00B2761C"/>
    <w:rsid w:val="00B30085"/>
    <w:rsid w:val="00B31539"/>
    <w:rsid w:val="00B32572"/>
    <w:rsid w:val="00B328FF"/>
    <w:rsid w:val="00B3305C"/>
    <w:rsid w:val="00B349F9"/>
    <w:rsid w:val="00B3501B"/>
    <w:rsid w:val="00B360C6"/>
    <w:rsid w:val="00B3671B"/>
    <w:rsid w:val="00B36FE5"/>
    <w:rsid w:val="00B37266"/>
    <w:rsid w:val="00B37658"/>
    <w:rsid w:val="00B378DD"/>
    <w:rsid w:val="00B37E63"/>
    <w:rsid w:val="00B41296"/>
    <w:rsid w:val="00B42B4D"/>
    <w:rsid w:val="00B43D1A"/>
    <w:rsid w:val="00B44D88"/>
    <w:rsid w:val="00B450D7"/>
    <w:rsid w:val="00B45432"/>
    <w:rsid w:val="00B45638"/>
    <w:rsid w:val="00B46324"/>
    <w:rsid w:val="00B46AF4"/>
    <w:rsid w:val="00B478A2"/>
    <w:rsid w:val="00B509D5"/>
    <w:rsid w:val="00B51671"/>
    <w:rsid w:val="00B51709"/>
    <w:rsid w:val="00B51B99"/>
    <w:rsid w:val="00B51C04"/>
    <w:rsid w:val="00B52B77"/>
    <w:rsid w:val="00B52EA4"/>
    <w:rsid w:val="00B53EF8"/>
    <w:rsid w:val="00B5529C"/>
    <w:rsid w:val="00B55F8F"/>
    <w:rsid w:val="00B57E63"/>
    <w:rsid w:val="00B60AB0"/>
    <w:rsid w:val="00B61722"/>
    <w:rsid w:val="00B6204D"/>
    <w:rsid w:val="00B625D3"/>
    <w:rsid w:val="00B6278D"/>
    <w:rsid w:val="00B62A1F"/>
    <w:rsid w:val="00B62CDB"/>
    <w:rsid w:val="00B64383"/>
    <w:rsid w:val="00B66464"/>
    <w:rsid w:val="00B668C4"/>
    <w:rsid w:val="00B679FC"/>
    <w:rsid w:val="00B713E6"/>
    <w:rsid w:val="00B718D6"/>
    <w:rsid w:val="00B7272D"/>
    <w:rsid w:val="00B72AF1"/>
    <w:rsid w:val="00B72F47"/>
    <w:rsid w:val="00B73FEB"/>
    <w:rsid w:val="00B756A3"/>
    <w:rsid w:val="00B75B23"/>
    <w:rsid w:val="00B763DD"/>
    <w:rsid w:val="00B77D01"/>
    <w:rsid w:val="00B80F59"/>
    <w:rsid w:val="00B822A6"/>
    <w:rsid w:val="00B82F22"/>
    <w:rsid w:val="00B82FA5"/>
    <w:rsid w:val="00B849A9"/>
    <w:rsid w:val="00B86167"/>
    <w:rsid w:val="00B8674B"/>
    <w:rsid w:val="00B911D0"/>
    <w:rsid w:val="00B91BA3"/>
    <w:rsid w:val="00B92031"/>
    <w:rsid w:val="00B93403"/>
    <w:rsid w:val="00B937C3"/>
    <w:rsid w:val="00B9416C"/>
    <w:rsid w:val="00B945C1"/>
    <w:rsid w:val="00B948C6"/>
    <w:rsid w:val="00B9498F"/>
    <w:rsid w:val="00B95C8C"/>
    <w:rsid w:val="00B96838"/>
    <w:rsid w:val="00B9691F"/>
    <w:rsid w:val="00B97AD6"/>
    <w:rsid w:val="00BA01CF"/>
    <w:rsid w:val="00BA0AAE"/>
    <w:rsid w:val="00BA0C6F"/>
    <w:rsid w:val="00BA0EA8"/>
    <w:rsid w:val="00BA1129"/>
    <w:rsid w:val="00BA1ECB"/>
    <w:rsid w:val="00BA2178"/>
    <w:rsid w:val="00BA3A87"/>
    <w:rsid w:val="00BA3C80"/>
    <w:rsid w:val="00BA4623"/>
    <w:rsid w:val="00BA5BE0"/>
    <w:rsid w:val="00BA6358"/>
    <w:rsid w:val="00BA6831"/>
    <w:rsid w:val="00BA725C"/>
    <w:rsid w:val="00BA7475"/>
    <w:rsid w:val="00BB066D"/>
    <w:rsid w:val="00BB1065"/>
    <w:rsid w:val="00BB3FC4"/>
    <w:rsid w:val="00BB5149"/>
    <w:rsid w:val="00BB5987"/>
    <w:rsid w:val="00BB6562"/>
    <w:rsid w:val="00BB7DC9"/>
    <w:rsid w:val="00BC09DA"/>
    <w:rsid w:val="00BC1FAB"/>
    <w:rsid w:val="00BC2720"/>
    <w:rsid w:val="00BC2F14"/>
    <w:rsid w:val="00BC46C8"/>
    <w:rsid w:val="00BC507A"/>
    <w:rsid w:val="00BC5C2B"/>
    <w:rsid w:val="00BC6A84"/>
    <w:rsid w:val="00BC74D0"/>
    <w:rsid w:val="00BD0620"/>
    <w:rsid w:val="00BD0945"/>
    <w:rsid w:val="00BD25E3"/>
    <w:rsid w:val="00BD264A"/>
    <w:rsid w:val="00BD48EF"/>
    <w:rsid w:val="00BD54C2"/>
    <w:rsid w:val="00BD6CA1"/>
    <w:rsid w:val="00BE0888"/>
    <w:rsid w:val="00BE09C5"/>
    <w:rsid w:val="00BE0DAB"/>
    <w:rsid w:val="00BE0E91"/>
    <w:rsid w:val="00BE204A"/>
    <w:rsid w:val="00BE28B6"/>
    <w:rsid w:val="00BE59FD"/>
    <w:rsid w:val="00BF1513"/>
    <w:rsid w:val="00BF21FF"/>
    <w:rsid w:val="00BF35E6"/>
    <w:rsid w:val="00BF3CAA"/>
    <w:rsid w:val="00BF7B46"/>
    <w:rsid w:val="00C001ED"/>
    <w:rsid w:val="00C00AE6"/>
    <w:rsid w:val="00C00CC7"/>
    <w:rsid w:val="00C013E2"/>
    <w:rsid w:val="00C01E4D"/>
    <w:rsid w:val="00C024A9"/>
    <w:rsid w:val="00C024BA"/>
    <w:rsid w:val="00C0357F"/>
    <w:rsid w:val="00C03689"/>
    <w:rsid w:val="00C04229"/>
    <w:rsid w:val="00C04242"/>
    <w:rsid w:val="00C04676"/>
    <w:rsid w:val="00C0589D"/>
    <w:rsid w:val="00C058E2"/>
    <w:rsid w:val="00C062E9"/>
    <w:rsid w:val="00C146BB"/>
    <w:rsid w:val="00C14BAC"/>
    <w:rsid w:val="00C1604E"/>
    <w:rsid w:val="00C16990"/>
    <w:rsid w:val="00C20355"/>
    <w:rsid w:val="00C208D2"/>
    <w:rsid w:val="00C21B20"/>
    <w:rsid w:val="00C222AD"/>
    <w:rsid w:val="00C23022"/>
    <w:rsid w:val="00C232F8"/>
    <w:rsid w:val="00C248CF"/>
    <w:rsid w:val="00C257C0"/>
    <w:rsid w:val="00C262D6"/>
    <w:rsid w:val="00C269AC"/>
    <w:rsid w:val="00C2780A"/>
    <w:rsid w:val="00C312B4"/>
    <w:rsid w:val="00C31532"/>
    <w:rsid w:val="00C31E94"/>
    <w:rsid w:val="00C32318"/>
    <w:rsid w:val="00C32954"/>
    <w:rsid w:val="00C32D79"/>
    <w:rsid w:val="00C332FE"/>
    <w:rsid w:val="00C3657B"/>
    <w:rsid w:val="00C4030D"/>
    <w:rsid w:val="00C4211F"/>
    <w:rsid w:val="00C42D72"/>
    <w:rsid w:val="00C42F67"/>
    <w:rsid w:val="00C43E36"/>
    <w:rsid w:val="00C43F70"/>
    <w:rsid w:val="00C4485B"/>
    <w:rsid w:val="00C44BC1"/>
    <w:rsid w:val="00C45049"/>
    <w:rsid w:val="00C475DA"/>
    <w:rsid w:val="00C53087"/>
    <w:rsid w:val="00C53ADD"/>
    <w:rsid w:val="00C55260"/>
    <w:rsid w:val="00C57BAF"/>
    <w:rsid w:val="00C60211"/>
    <w:rsid w:val="00C60A0F"/>
    <w:rsid w:val="00C60BEF"/>
    <w:rsid w:val="00C60C39"/>
    <w:rsid w:val="00C61754"/>
    <w:rsid w:val="00C62BDB"/>
    <w:rsid w:val="00C64682"/>
    <w:rsid w:val="00C646C3"/>
    <w:rsid w:val="00C64784"/>
    <w:rsid w:val="00C6480D"/>
    <w:rsid w:val="00C648A0"/>
    <w:rsid w:val="00C6589A"/>
    <w:rsid w:val="00C70687"/>
    <w:rsid w:val="00C708F2"/>
    <w:rsid w:val="00C70BE3"/>
    <w:rsid w:val="00C713E7"/>
    <w:rsid w:val="00C7186F"/>
    <w:rsid w:val="00C73221"/>
    <w:rsid w:val="00C74C8E"/>
    <w:rsid w:val="00C7576C"/>
    <w:rsid w:val="00C77C1F"/>
    <w:rsid w:val="00C77EAC"/>
    <w:rsid w:val="00C8219C"/>
    <w:rsid w:val="00C8222F"/>
    <w:rsid w:val="00C82BB7"/>
    <w:rsid w:val="00C82F65"/>
    <w:rsid w:val="00C852E8"/>
    <w:rsid w:val="00C864C3"/>
    <w:rsid w:val="00C868F1"/>
    <w:rsid w:val="00C869B0"/>
    <w:rsid w:val="00C87EE0"/>
    <w:rsid w:val="00C91469"/>
    <w:rsid w:val="00C9300D"/>
    <w:rsid w:val="00C941C3"/>
    <w:rsid w:val="00C94F0D"/>
    <w:rsid w:val="00C95260"/>
    <w:rsid w:val="00C975AD"/>
    <w:rsid w:val="00CA0292"/>
    <w:rsid w:val="00CA182A"/>
    <w:rsid w:val="00CA2476"/>
    <w:rsid w:val="00CA2E3F"/>
    <w:rsid w:val="00CA2F01"/>
    <w:rsid w:val="00CA394A"/>
    <w:rsid w:val="00CA455B"/>
    <w:rsid w:val="00CA67A1"/>
    <w:rsid w:val="00CA6ADA"/>
    <w:rsid w:val="00CA6B16"/>
    <w:rsid w:val="00CA7037"/>
    <w:rsid w:val="00CA7E06"/>
    <w:rsid w:val="00CB00E7"/>
    <w:rsid w:val="00CB1308"/>
    <w:rsid w:val="00CB3124"/>
    <w:rsid w:val="00CB3C86"/>
    <w:rsid w:val="00CB3CFD"/>
    <w:rsid w:val="00CB558B"/>
    <w:rsid w:val="00CB5875"/>
    <w:rsid w:val="00CB619E"/>
    <w:rsid w:val="00CB68CB"/>
    <w:rsid w:val="00CB7F4B"/>
    <w:rsid w:val="00CC06DB"/>
    <w:rsid w:val="00CC0AAD"/>
    <w:rsid w:val="00CC217C"/>
    <w:rsid w:val="00CC38AA"/>
    <w:rsid w:val="00CC46B8"/>
    <w:rsid w:val="00CC47F7"/>
    <w:rsid w:val="00CC4CE0"/>
    <w:rsid w:val="00CC4CFA"/>
    <w:rsid w:val="00CC4DA0"/>
    <w:rsid w:val="00CC4E73"/>
    <w:rsid w:val="00CC5257"/>
    <w:rsid w:val="00CC5414"/>
    <w:rsid w:val="00CC5B9F"/>
    <w:rsid w:val="00CC6183"/>
    <w:rsid w:val="00CC6A99"/>
    <w:rsid w:val="00CC6EED"/>
    <w:rsid w:val="00CC7188"/>
    <w:rsid w:val="00CC7C30"/>
    <w:rsid w:val="00CC7F19"/>
    <w:rsid w:val="00CD0320"/>
    <w:rsid w:val="00CD0847"/>
    <w:rsid w:val="00CD09E0"/>
    <w:rsid w:val="00CD1F40"/>
    <w:rsid w:val="00CD212E"/>
    <w:rsid w:val="00CD597E"/>
    <w:rsid w:val="00CD5DF0"/>
    <w:rsid w:val="00CD6C3A"/>
    <w:rsid w:val="00CD6D2B"/>
    <w:rsid w:val="00CD6F7C"/>
    <w:rsid w:val="00CD7DDD"/>
    <w:rsid w:val="00CE03E6"/>
    <w:rsid w:val="00CE0D91"/>
    <w:rsid w:val="00CE2059"/>
    <w:rsid w:val="00CE2388"/>
    <w:rsid w:val="00CE26C8"/>
    <w:rsid w:val="00CE395B"/>
    <w:rsid w:val="00CE3BFF"/>
    <w:rsid w:val="00CE3C27"/>
    <w:rsid w:val="00CE4D10"/>
    <w:rsid w:val="00CE5178"/>
    <w:rsid w:val="00CE55E9"/>
    <w:rsid w:val="00CE5F92"/>
    <w:rsid w:val="00CE63DE"/>
    <w:rsid w:val="00CE63E5"/>
    <w:rsid w:val="00CF01FE"/>
    <w:rsid w:val="00CF1248"/>
    <w:rsid w:val="00CF2DC4"/>
    <w:rsid w:val="00CF439E"/>
    <w:rsid w:val="00CF56ED"/>
    <w:rsid w:val="00CF57A4"/>
    <w:rsid w:val="00CF5DFC"/>
    <w:rsid w:val="00CF658E"/>
    <w:rsid w:val="00CF7180"/>
    <w:rsid w:val="00CF7963"/>
    <w:rsid w:val="00D002E6"/>
    <w:rsid w:val="00D003CA"/>
    <w:rsid w:val="00D01CB7"/>
    <w:rsid w:val="00D02976"/>
    <w:rsid w:val="00D0370F"/>
    <w:rsid w:val="00D038CA"/>
    <w:rsid w:val="00D0398A"/>
    <w:rsid w:val="00D043B6"/>
    <w:rsid w:val="00D0449C"/>
    <w:rsid w:val="00D04B33"/>
    <w:rsid w:val="00D04CEE"/>
    <w:rsid w:val="00D05EF4"/>
    <w:rsid w:val="00D06014"/>
    <w:rsid w:val="00D06DF8"/>
    <w:rsid w:val="00D075DE"/>
    <w:rsid w:val="00D07965"/>
    <w:rsid w:val="00D10611"/>
    <w:rsid w:val="00D120B5"/>
    <w:rsid w:val="00D12744"/>
    <w:rsid w:val="00D14427"/>
    <w:rsid w:val="00D16E73"/>
    <w:rsid w:val="00D17A3B"/>
    <w:rsid w:val="00D217FA"/>
    <w:rsid w:val="00D221DE"/>
    <w:rsid w:val="00D23099"/>
    <w:rsid w:val="00D23DEB"/>
    <w:rsid w:val="00D2408E"/>
    <w:rsid w:val="00D25732"/>
    <w:rsid w:val="00D3033C"/>
    <w:rsid w:val="00D30928"/>
    <w:rsid w:val="00D31405"/>
    <w:rsid w:val="00D316DB"/>
    <w:rsid w:val="00D32C17"/>
    <w:rsid w:val="00D32F09"/>
    <w:rsid w:val="00D33841"/>
    <w:rsid w:val="00D33942"/>
    <w:rsid w:val="00D33DE5"/>
    <w:rsid w:val="00D341AA"/>
    <w:rsid w:val="00D34C7D"/>
    <w:rsid w:val="00D37833"/>
    <w:rsid w:val="00D412B8"/>
    <w:rsid w:val="00D41A90"/>
    <w:rsid w:val="00D42EFC"/>
    <w:rsid w:val="00D44D35"/>
    <w:rsid w:val="00D45C91"/>
    <w:rsid w:val="00D47C0B"/>
    <w:rsid w:val="00D512F5"/>
    <w:rsid w:val="00D51311"/>
    <w:rsid w:val="00D51814"/>
    <w:rsid w:val="00D52A4D"/>
    <w:rsid w:val="00D54AFB"/>
    <w:rsid w:val="00D56076"/>
    <w:rsid w:val="00D56FFB"/>
    <w:rsid w:val="00D5702E"/>
    <w:rsid w:val="00D57207"/>
    <w:rsid w:val="00D5751A"/>
    <w:rsid w:val="00D579D0"/>
    <w:rsid w:val="00D6005E"/>
    <w:rsid w:val="00D603CF"/>
    <w:rsid w:val="00D6083D"/>
    <w:rsid w:val="00D60B14"/>
    <w:rsid w:val="00D617B1"/>
    <w:rsid w:val="00D62483"/>
    <w:rsid w:val="00D639AA"/>
    <w:rsid w:val="00D644AC"/>
    <w:rsid w:val="00D648DC"/>
    <w:rsid w:val="00D64FE1"/>
    <w:rsid w:val="00D65314"/>
    <w:rsid w:val="00D656DE"/>
    <w:rsid w:val="00D66289"/>
    <w:rsid w:val="00D70347"/>
    <w:rsid w:val="00D708CF"/>
    <w:rsid w:val="00D71990"/>
    <w:rsid w:val="00D72AD5"/>
    <w:rsid w:val="00D74338"/>
    <w:rsid w:val="00D74A7E"/>
    <w:rsid w:val="00D756BC"/>
    <w:rsid w:val="00D76780"/>
    <w:rsid w:val="00D768D0"/>
    <w:rsid w:val="00D77594"/>
    <w:rsid w:val="00D77BE8"/>
    <w:rsid w:val="00D801D7"/>
    <w:rsid w:val="00D8029D"/>
    <w:rsid w:val="00D826C5"/>
    <w:rsid w:val="00D82CF7"/>
    <w:rsid w:val="00D82FBA"/>
    <w:rsid w:val="00D833BB"/>
    <w:rsid w:val="00D834F0"/>
    <w:rsid w:val="00D83761"/>
    <w:rsid w:val="00D83C85"/>
    <w:rsid w:val="00D85081"/>
    <w:rsid w:val="00D8681C"/>
    <w:rsid w:val="00D86851"/>
    <w:rsid w:val="00D8705C"/>
    <w:rsid w:val="00D87F88"/>
    <w:rsid w:val="00D91982"/>
    <w:rsid w:val="00D93B41"/>
    <w:rsid w:val="00D943F9"/>
    <w:rsid w:val="00D945CB"/>
    <w:rsid w:val="00D94BB3"/>
    <w:rsid w:val="00D95A82"/>
    <w:rsid w:val="00D966A3"/>
    <w:rsid w:val="00D97ED0"/>
    <w:rsid w:val="00D97F89"/>
    <w:rsid w:val="00DA0576"/>
    <w:rsid w:val="00DA070D"/>
    <w:rsid w:val="00DA171E"/>
    <w:rsid w:val="00DA1BB4"/>
    <w:rsid w:val="00DA1E9F"/>
    <w:rsid w:val="00DA2889"/>
    <w:rsid w:val="00DA2DA4"/>
    <w:rsid w:val="00DA340E"/>
    <w:rsid w:val="00DA4368"/>
    <w:rsid w:val="00DA56AB"/>
    <w:rsid w:val="00DB16C9"/>
    <w:rsid w:val="00DB196E"/>
    <w:rsid w:val="00DB2FA7"/>
    <w:rsid w:val="00DB39D0"/>
    <w:rsid w:val="00DB46FA"/>
    <w:rsid w:val="00DB5543"/>
    <w:rsid w:val="00DB5A14"/>
    <w:rsid w:val="00DB6361"/>
    <w:rsid w:val="00DB663D"/>
    <w:rsid w:val="00DB6EB5"/>
    <w:rsid w:val="00DB7E93"/>
    <w:rsid w:val="00DB7FE3"/>
    <w:rsid w:val="00DC27CF"/>
    <w:rsid w:val="00DC2C0E"/>
    <w:rsid w:val="00DC4025"/>
    <w:rsid w:val="00DC4947"/>
    <w:rsid w:val="00DC4D26"/>
    <w:rsid w:val="00DC5E48"/>
    <w:rsid w:val="00DC6465"/>
    <w:rsid w:val="00DC6BA0"/>
    <w:rsid w:val="00DD0D6B"/>
    <w:rsid w:val="00DD5502"/>
    <w:rsid w:val="00DD5A46"/>
    <w:rsid w:val="00DD6D1B"/>
    <w:rsid w:val="00DD721F"/>
    <w:rsid w:val="00DD7D62"/>
    <w:rsid w:val="00DE0279"/>
    <w:rsid w:val="00DE055E"/>
    <w:rsid w:val="00DE0990"/>
    <w:rsid w:val="00DE0D6E"/>
    <w:rsid w:val="00DE2546"/>
    <w:rsid w:val="00DE334C"/>
    <w:rsid w:val="00DE3E4F"/>
    <w:rsid w:val="00DE4585"/>
    <w:rsid w:val="00DE47A5"/>
    <w:rsid w:val="00DE4C6A"/>
    <w:rsid w:val="00DE4C86"/>
    <w:rsid w:val="00DE69DC"/>
    <w:rsid w:val="00DE6B43"/>
    <w:rsid w:val="00DE6D5E"/>
    <w:rsid w:val="00DF047C"/>
    <w:rsid w:val="00DF0633"/>
    <w:rsid w:val="00DF0B5C"/>
    <w:rsid w:val="00DF0C2E"/>
    <w:rsid w:val="00DF1EE4"/>
    <w:rsid w:val="00DF224C"/>
    <w:rsid w:val="00DF2CF9"/>
    <w:rsid w:val="00DF33DC"/>
    <w:rsid w:val="00DF3765"/>
    <w:rsid w:val="00DF3981"/>
    <w:rsid w:val="00DF47CE"/>
    <w:rsid w:val="00DF4FD7"/>
    <w:rsid w:val="00DF512A"/>
    <w:rsid w:val="00DF5181"/>
    <w:rsid w:val="00DF62A4"/>
    <w:rsid w:val="00DF6F8E"/>
    <w:rsid w:val="00DF7A6E"/>
    <w:rsid w:val="00E005CF"/>
    <w:rsid w:val="00E021BB"/>
    <w:rsid w:val="00E02DDE"/>
    <w:rsid w:val="00E032F4"/>
    <w:rsid w:val="00E035B1"/>
    <w:rsid w:val="00E05795"/>
    <w:rsid w:val="00E05955"/>
    <w:rsid w:val="00E05CFC"/>
    <w:rsid w:val="00E06B1F"/>
    <w:rsid w:val="00E06ED1"/>
    <w:rsid w:val="00E07C0E"/>
    <w:rsid w:val="00E112C6"/>
    <w:rsid w:val="00E114A4"/>
    <w:rsid w:val="00E15841"/>
    <w:rsid w:val="00E17DDA"/>
    <w:rsid w:val="00E21FA4"/>
    <w:rsid w:val="00E22AE6"/>
    <w:rsid w:val="00E23BCD"/>
    <w:rsid w:val="00E23C0B"/>
    <w:rsid w:val="00E24A73"/>
    <w:rsid w:val="00E24C76"/>
    <w:rsid w:val="00E26DA1"/>
    <w:rsid w:val="00E278D9"/>
    <w:rsid w:val="00E302A9"/>
    <w:rsid w:val="00E30879"/>
    <w:rsid w:val="00E322F2"/>
    <w:rsid w:val="00E32F7A"/>
    <w:rsid w:val="00E346F9"/>
    <w:rsid w:val="00E35348"/>
    <w:rsid w:val="00E37433"/>
    <w:rsid w:val="00E37CEB"/>
    <w:rsid w:val="00E404B0"/>
    <w:rsid w:val="00E422D8"/>
    <w:rsid w:val="00E4281A"/>
    <w:rsid w:val="00E433AD"/>
    <w:rsid w:val="00E433E2"/>
    <w:rsid w:val="00E43DFB"/>
    <w:rsid w:val="00E440D8"/>
    <w:rsid w:val="00E4510B"/>
    <w:rsid w:val="00E455E3"/>
    <w:rsid w:val="00E464A6"/>
    <w:rsid w:val="00E465D2"/>
    <w:rsid w:val="00E4725A"/>
    <w:rsid w:val="00E47CCF"/>
    <w:rsid w:val="00E5062C"/>
    <w:rsid w:val="00E5263A"/>
    <w:rsid w:val="00E5350A"/>
    <w:rsid w:val="00E5537C"/>
    <w:rsid w:val="00E5578F"/>
    <w:rsid w:val="00E56220"/>
    <w:rsid w:val="00E562CF"/>
    <w:rsid w:val="00E57C81"/>
    <w:rsid w:val="00E60844"/>
    <w:rsid w:val="00E609DA"/>
    <w:rsid w:val="00E60C5E"/>
    <w:rsid w:val="00E611FB"/>
    <w:rsid w:val="00E62D29"/>
    <w:rsid w:val="00E650F6"/>
    <w:rsid w:val="00E6559B"/>
    <w:rsid w:val="00E65A4F"/>
    <w:rsid w:val="00E66A6E"/>
    <w:rsid w:val="00E67088"/>
    <w:rsid w:val="00E6745D"/>
    <w:rsid w:val="00E70B7A"/>
    <w:rsid w:val="00E71A31"/>
    <w:rsid w:val="00E71AE8"/>
    <w:rsid w:val="00E71E3D"/>
    <w:rsid w:val="00E733AA"/>
    <w:rsid w:val="00E73CB2"/>
    <w:rsid w:val="00E745C0"/>
    <w:rsid w:val="00E74B4C"/>
    <w:rsid w:val="00E75DCE"/>
    <w:rsid w:val="00E760E6"/>
    <w:rsid w:val="00E768C4"/>
    <w:rsid w:val="00E77A66"/>
    <w:rsid w:val="00E8037E"/>
    <w:rsid w:val="00E80D53"/>
    <w:rsid w:val="00E8124F"/>
    <w:rsid w:val="00E83E63"/>
    <w:rsid w:val="00E850A9"/>
    <w:rsid w:val="00E85352"/>
    <w:rsid w:val="00E86B57"/>
    <w:rsid w:val="00E86D7D"/>
    <w:rsid w:val="00E87D2B"/>
    <w:rsid w:val="00E93465"/>
    <w:rsid w:val="00E9387A"/>
    <w:rsid w:val="00E94DAF"/>
    <w:rsid w:val="00E953E1"/>
    <w:rsid w:val="00E956FB"/>
    <w:rsid w:val="00E9577B"/>
    <w:rsid w:val="00E9584B"/>
    <w:rsid w:val="00E97ADF"/>
    <w:rsid w:val="00EA024A"/>
    <w:rsid w:val="00EA204B"/>
    <w:rsid w:val="00EA24E9"/>
    <w:rsid w:val="00EA2F82"/>
    <w:rsid w:val="00EA3D17"/>
    <w:rsid w:val="00EA51CE"/>
    <w:rsid w:val="00EA5CA0"/>
    <w:rsid w:val="00EA635A"/>
    <w:rsid w:val="00EA691A"/>
    <w:rsid w:val="00EA695C"/>
    <w:rsid w:val="00EB0520"/>
    <w:rsid w:val="00EB1E94"/>
    <w:rsid w:val="00EB2F7F"/>
    <w:rsid w:val="00EB307C"/>
    <w:rsid w:val="00EB47BE"/>
    <w:rsid w:val="00EB52D7"/>
    <w:rsid w:val="00EB5BBE"/>
    <w:rsid w:val="00EB5F3F"/>
    <w:rsid w:val="00EB7008"/>
    <w:rsid w:val="00EC07A9"/>
    <w:rsid w:val="00EC1C93"/>
    <w:rsid w:val="00EC216E"/>
    <w:rsid w:val="00EC2366"/>
    <w:rsid w:val="00EC2E60"/>
    <w:rsid w:val="00EC32DE"/>
    <w:rsid w:val="00EC3B45"/>
    <w:rsid w:val="00EC43E3"/>
    <w:rsid w:val="00EC49DF"/>
    <w:rsid w:val="00EC4CBB"/>
    <w:rsid w:val="00EC6F19"/>
    <w:rsid w:val="00EC74AD"/>
    <w:rsid w:val="00ED0578"/>
    <w:rsid w:val="00ED2572"/>
    <w:rsid w:val="00ED25AB"/>
    <w:rsid w:val="00ED35DC"/>
    <w:rsid w:val="00ED3AE5"/>
    <w:rsid w:val="00ED4F04"/>
    <w:rsid w:val="00ED52BD"/>
    <w:rsid w:val="00ED5490"/>
    <w:rsid w:val="00ED6106"/>
    <w:rsid w:val="00ED61C2"/>
    <w:rsid w:val="00ED6874"/>
    <w:rsid w:val="00ED71A8"/>
    <w:rsid w:val="00ED75A8"/>
    <w:rsid w:val="00EE0279"/>
    <w:rsid w:val="00EE0C54"/>
    <w:rsid w:val="00EE1E93"/>
    <w:rsid w:val="00EE213B"/>
    <w:rsid w:val="00EE37FE"/>
    <w:rsid w:val="00EE6446"/>
    <w:rsid w:val="00EE6AF7"/>
    <w:rsid w:val="00EE6DE0"/>
    <w:rsid w:val="00EE77C1"/>
    <w:rsid w:val="00EE781B"/>
    <w:rsid w:val="00EE7E17"/>
    <w:rsid w:val="00EF0453"/>
    <w:rsid w:val="00EF089D"/>
    <w:rsid w:val="00EF09C3"/>
    <w:rsid w:val="00EF111F"/>
    <w:rsid w:val="00EF152E"/>
    <w:rsid w:val="00EF17E7"/>
    <w:rsid w:val="00EF190D"/>
    <w:rsid w:val="00EF36A2"/>
    <w:rsid w:val="00EF3820"/>
    <w:rsid w:val="00EF39F5"/>
    <w:rsid w:val="00EF48B0"/>
    <w:rsid w:val="00EF503B"/>
    <w:rsid w:val="00EF57B5"/>
    <w:rsid w:val="00EF5B61"/>
    <w:rsid w:val="00EF6233"/>
    <w:rsid w:val="00EF6EC0"/>
    <w:rsid w:val="00F018AF"/>
    <w:rsid w:val="00F01C96"/>
    <w:rsid w:val="00F01E6E"/>
    <w:rsid w:val="00F039DC"/>
    <w:rsid w:val="00F04BD3"/>
    <w:rsid w:val="00F06384"/>
    <w:rsid w:val="00F066DE"/>
    <w:rsid w:val="00F07C3F"/>
    <w:rsid w:val="00F100A4"/>
    <w:rsid w:val="00F1033F"/>
    <w:rsid w:val="00F10442"/>
    <w:rsid w:val="00F10BCB"/>
    <w:rsid w:val="00F10C54"/>
    <w:rsid w:val="00F115A1"/>
    <w:rsid w:val="00F12A6F"/>
    <w:rsid w:val="00F12C1A"/>
    <w:rsid w:val="00F156EB"/>
    <w:rsid w:val="00F15735"/>
    <w:rsid w:val="00F15E51"/>
    <w:rsid w:val="00F16736"/>
    <w:rsid w:val="00F17150"/>
    <w:rsid w:val="00F17CD8"/>
    <w:rsid w:val="00F2094F"/>
    <w:rsid w:val="00F22418"/>
    <w:rsid w:val="00F23DB2"/>
    <w:rsid w:val="00F26D33"/>
    <w:rsid w:val="00F270AA"/>
    <w:rsid w:val="00F276F2"/>
    <w:rsid w:val="00F278D6"/>
    <w:rsid w:val="00F30AA5"/>
    <w:rsid w:val="00F31339"/>
    <w:rsid w:val="00F329BE"/>
    <w:rsid w:val="00F32CAF"/>
    <w:rsid w:val="00F34D23"/>
    <w:rsid w:val="00F34DB1"/>
    <w:rsid w:val="00F35624"/>
    <w:rsid w:val="00F3572C"/>
    <w:rsid w:val="00F40F8A"/>
    <w:rsid w:val="00F418FA"/>
    <w:rsid w:val="00F43247"/>
    <w:rsid w:val="00F437CC"/>
    <w:rsid w:val="00F44361"/>
    <w:rsid w:val="00F4530A"/>
    <w:rsid w:val="00F463A8"/>
    <w:rsid w:val="00F4677F"/>
    <w:rsid w:val="00F47087"/>
    <w:rsid w:val="00F476CA"/>
    <w:rsid w:val="00F47E80"/>
    <w:rsid w:val="00F509D0"/>
    <w:rsid w:val="00F51966"/>
    <w:rsid w:val="00F53702"/>
    <w:rsid w:val="00F53C0A"/>
    <w:rsid w:val="00F53D87"/>
    <w:rsid w:val="00F548C1"/>
    <w:rsid w:val="00F54BBD"/>
    <w:rsid w:val="00F54DB0"/>
    <w:rsid w:val="00F554DD"/>
    <w:rsid w:val="00F56258"/>
    <w:rsid w:val="00F56669"/>
    <w:rsid w:val="00F56B1C"/>
    <w:rsid w:val="00F571FA"/>
    <w:rsid w:val="00F6046B"/>
    <w:rsid w:val="00F60559"/>
    <w:rsid w:val="00F60940"/>
    <w:rsid w:val="00F61257"/>
    <w:rsid w:val="00F6145D"/>
    <w:rsid w:val="00F623C3"/>
    <w:rsid w:val="00F6278E"/>
    <w:rsid w:val="00F6297B"/>
    <w:rsid w:val="00F62D5C"/>
    <w:rsid w:val="00F63EA6"/>
    <w:rsid w:val="00F64542"/>
    <w:rsid w:val="00F6556C"/>
    <w:rsid w:val="00F66875"/>
    <w:rsid w:val="00F668C6"/>
    <w:rsid w:val="00F66DC0"/>
    <w:rsid w:val="00F676FA"/>
    <w:rsid w:val="00F702EB"/>
    <w:rsid w:val="00F7189E"/>
    <w:rsid w:val="00F739C2"/>
    <w:rsid w:val="00F73C7B"/>
    <w:rsid w:val="00F73E84"/>
    <w:rsid w:val="00F75B5C"/>
    <w:rsid w:val="00F76AED"/>
    <w:rsid w:val="00F7766F"/>
    <w:rsid w:val="00F77A76"/>
    <w:rsid w:val="00F77BE8"/>
    <w:rsid w:val="00F80B6F"/>
    <w:rsid w:val="00F81266"/>
    <w:rsid w:val="00F81B3D"/>
    <w:rsid w:val="00F83731"/>
    <w:rsid w:val="00F83DAD"/>
    <w:rsid w:val="00F840B8"/>
    <w:rsid w:val="00F84281"/>
    <w:rsid w:val="00F846B9"/>
    <w:rsid w:val="00F850E7"/>
    <w:rsid w:val="00F8603C"/>
    <w:rsid w:val="00F8743F"/>
    <w:rsid w:val="00F9022D"/>
    <w:rsid w:val="00F91DD0"/>
    <w:rsid w:val="00F94FDD"/>
    <w:rsid w:val="00F95081"/>
    <w:rsid w:val="00F95AD8"/>
    <w:rsid w:val="00F95C1C"/>
    <w:rsid w:val="00FA04B1"/>
    <w:rsid w:val="00FA0A60"/>
    <w:rsid w:val="00FA0B27"/>
    <w:rsid w:val="00FA0B4A"/>
    <w:rsid w:val="00FA47CE"/>
    <w:rsid w:val="00FB10AF"/>
    <w:rsid w:val="00FB1E69"/>
    <w:rsid w:val="00FB32C5"/>
    <w:rsid w:val="00FB36E4"/>
    <w:rsid w:val="00FB3F8B"/>
    <w:rsid w:val="00FB40DD"/>
    <w:rsid w:val="00FB5FF0"/>
    <w:rsid w:val="00FB617F"/>
    <w:rsid w:val="00FB6637"/>
    <w:rsid w:val="00FB683A"/>
    <w:rsid w:val="00FB711D"/>
    <w:rsid w:val="00FC1AF2"/>
    <w:rsid w:val="00FC39E1"/>
    <w:rsid w:val="00FC6EA2"/>
    <w:rsid w:val="00FC7663"/>
    <w:rsid w:val="00FD03B4"/>
    <w:rsid w:val="00FD0C9C"/>
    <w:rsid w:val="00FD1285"/>
    <w:rsid w:val="00FD1808"/>
    <w:rsid w:val="00FD226E"/>
    <w:rsid w:val="00FD2B4F"/>
    <w:rsid w:val="00FD2C7E"/>
    <w:rsid w:val="00FD5247"/>
    <w:rsid w:val="00FD54DD"/>
    <w:rsid w:val="00FD62AD"/>
    <w:rsid w:val="00FD6458"/>
    <w:rsid w:val="00FE0022"/>
    <w:rsid w:val="00FE06D0"/>
    <w:rsid w:val="00FE0726"/>
    <w:rsid w:val="00FE0B6C"/>
    <w:rsid w:val="00FE11DA"/>
    <w:rsid w:val="00FE1242"/>
    <w:rsid w:val="00FE1E6F"/>
    <w:rsid w:val="00FE2E25"/>
    <w:rsid w:val="00FE4165"/>
    <w:rsid w:val="00FE4E56"/>
    <w:rsid w:val="00FE573C"/>
    <w:rsid w:val="00FE673A"/>
    <w:rsid w:val="00FE6DCE"/>
    <w:rsid w:val="00FE7404"/>
    <w:rsid w:val="00FE7BD7"/>
    <w:rsid w:val="00FF0AE2"/>
    <w:rsid w:val="00FF14D8"/>
    <w:rsid w:val="00FF2FF4"/>
    <w:rsid w:val="00FF32EE"/>
    <w:rsid w:val="00FF46ED"/>
    <w:rsid w:val="00FF4767"/>
    <w:rsid w:val="00FF4E4A"/>
    <w:rsid w:val="00FF51D1"/>
    <w:rsid w:val="00FF5234"/>
    <w:rsid w:val="00FF653C"/>
    <w:rsid w:val="00FF672F"/>
    <w:rsid w:val="00FF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3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54C1"/>
    <w:pPr>
      <w:tabs>
        <w:tab w:val="center" w:pos="4320"/>
        <w:tab w:val="right" w:pos="8640"/>
      </w:tabs>
    </w:pPr>
  </w:style>
  <w:style w:type="character" w:styleId="PageNumber">
    <w:name w:val="page number"/>
    <w:basedOn w:val="DefaultParagraphFont"/>
    <w:rsid w:val="004554C1"/>
  </w:style>
  <w:style w:type="paragraph" w:styleId="Header">
    <w:name w:val="header"/>
    <w:basedOn w:val="Normal"/>
    <w:link w:val="HeaderChar"/>
    <w:rsid w:val="004554C1"/>
    <w:pPr>
      <w:tabs>
        <w:tab w:val="center" w:pos="4320"/>
        <w:tab w:val="right" w:pos="8640"/>
      </w:tabs>
    </w:pPr>
  </w:style>
  <w:style w:type="character" w:styleId="LineNumber">
    <w:name w:val="line number"/>
    <w:basedOn w:val="DefaultParagraphFont"/>
    <w:rsid w:val="00FE0726"/>
  </w:style>
  <w:style w:type="table" w:styleId="TableGrid">
    <w:name w:val="Table Grid"/>
    <w:basedOn w:val="TableNormal"/>
    <w:rsid w:val="0073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897EC7"/>
    <w:rPr>
      <w:sz w:val="20"/>
      <w:szCs w:val="20"/>
    </w:rPr>
  </w:style>
  <w:style w:type="character" w:styleId="FootnoteReference">
    <w:name w:val="footnote reference"/>
    <w:basedOn w:val="DefaultParagraphFont"/>
    <w:semiHidden/>
    <w:rsid w:val="00897EC7"/>
    <w:rPr>
      <w:vertAlign w:val="superscript"/>
    </w:rPr>
  </w:style>
  <w:style w:type="character" w:styleId="Hyperlink">
    <w:name w:val="Hyperlink"/>
    <w:basedOn w:val="DefaultParagraphFont"/>
    <w:rsid w:val="00117B71"/>
    <w:rPr>
      <w:color w:val="0000FF"/>
      <w:u w:val="single"/>
    </w:rPr>
  </w:style>
  <w:style w:type="paragraph" w:styleId="BalloonText">
    <w:name w:val="Balloon Text"/>
    <w:basedOn w:val="Normal"/>
    <w:link w:val="BalloonTextChar"/>
    <w:semiHidden/>
    <w:rsid w:val="00064184"/>
    <w:rPr>
      <w:rFonts w:ascii="Tahoma" w:hAnsi="Tahoma" w:cs="Tahoma"/>
      <w:sz w:val="16"/>
      <w:szCs w:val="16"/>
    </w:rPr>
  </w:style>
  <w:style w:type="character" w:styleId="CommentReference">
    <w:name w:val="annotation reference"/>
    <w:basedOn w:val="DefaultParagraphFont"/>
    <w:uiPriority w:val="99"/>
    <w:semiHidden/>
    <w:unhideWhenUsed/>
    <w:rsid w:val="00C70687"/>
    <w:rPr>
      <w:sz w:val="16"/>
      <w:szCs w:val="16"/>
    </w:rPr>
  </w:style>
  <w:style w:type="paragraph" w:styleId="CommentText">
    <w:name w:val="annotation text"/>
    <w:basedOn w:val="Normal"/>
    <w:link w:val="CommentTextChar"/>
    <w:uiPriority w:val="99"/>
    <w:semiHidden/>
    <w:unhideWhenUsed/>
    <w:rsid w:val="00C70687"/>
    <w:rPr>
      <w:sz w:val="20"/>
      <w:szCs w:val="20"/>
    </w:rPr>
  </w:style>
  <w:style w:type="character" w:customStyle="1" w:styleId="CommentTextChar">
    <w:name w:val="Comment Text Char"/>
    <w:basedOn w:val="DefaultParagraphFont"/>
    <w:link w:val="CommentText"/>
    <w:uiPriority w:val="99"/>
    <w:semiHidden/>
    <w:rsid w:val="00C70687"/>
  </w:style>
  <w:style w:type="paragraph" w:styleId="CommentSubject">
    <w:name w:val="annotation subject"/>
    <w:basedOn w:val="CommentText"/>
    <w:next w:val="CommentText"/>
    <w:link w:val="CommentSubjectChar"/>
    <w:uiPriority w:val="99"/>
    <w:semiHidden/>
    <w:unhideWhenUsed/>
    <w:rsid w:val="00C70687"/>
    <w:rPr>
      <w:b/>
      <w:bCs/>
    </w:rPr>
  </w:style>
  <w:style w:type="character" w:customStyle="1" w:styleId="CommentSubjectChar">
    <w:name w:val="Comment Subject Char"/>
    <w:basedOn w:val="CommentTextChar"/>
    <w:link w:val="CommentSubject"/>
    <w:uiPriority w:val="99"/>
    <w:semiHidden/>
    <w:rsid w:val="00C70687"/>
    <w:rPr>
      <w:b/>
      <w:bCs/>
    </w:rPr>
  </w:style>
  <w:style w:type="paragraph" w:customStyle="1" w:styleId="TestimonyAnswer">
    <w:name w:val="Testimony Answer"/>
    <w:basedOn w:val="Normal"/>
    <w:qFormat/>
    <w:rsid w:val="00A612C8"/>
    <w:pPr>
      <w:tabs>
        <w:tab w:val="left" w:pos="720"/>
        <w:tab w:val="right" w:leader="dot" w:pos="8640"/>
        <w:tab w:val="left" w:pos="9240"/>
      </w:tabs>
      <w:spacing w:after="360" w:line="360" w:lineRule="auto"/>
      <w:ind w:left="720" w:hanging="720"/>
      <w:jc w:val="both"/>
    </w:pPr>
    <w:rPr>
      <w:rFonts w:eastAsia="Calibri"/>
    </w:rPr>
  </w:style>
  <w:style w:type="paragraph" w:customStyle="1" w:styleId="TestimonyQuestion">
    <w:name w:val="Testimony Question"/>
    <w:basedOn w:val="Normal"/>
    <w:rsid w:val="00A612C8"/>
    <w:pPr>
      <w:tabs>
        <w:tab w:val="left" w:pos="720"/>
        <w:tab w:val="right" w:leader="dot" w:pos="8640"/>
        <w:tab w:val="left" w:pos="9240"/>
      </w:tabs>
      <w:spacing w:before="240" w:after="240"/>
      <w:ind w:left="720" w:hanging="720"/>
      <w:jc w:val="both"/>
    </w:pPr>
    <w:rPr>
      <w:rFonts w:eastAsia="Calibri"/>
      <w:b/>
      <w:caps/>
    </w:rPr>
  </w:style>
  <w:style w:type="paragraph" w:styleId="ListParagraph">
    <w:name w:val="List Paragraph"/>
    <w:basedOn w:val="Normal"/>
    <w:uiPriority w:val="34"/>
    <w:qFormat/>
    <w:rsid w:val="00392003"/>
    <w:pPr>
      <w:ind w:left="720"/>
    </w:pPr>
  </w:style>
  <w:style w:type="character" w:customStyle="1" w:styleId="FooterChar">
    <w:name w:val="Footer Char"/>
    <w:basedOn w:val="DefaultParagraphFont"/>
    <w:link w:val="Footer"/>
    <w:rsid w:val="00A83246"/>
    <w:rPr>
      <w:sz w:val="24"/>
      <w:szCs w:val="24"/>
    </w:rPr>
  </w:style>
  <w:style w:type="paragraph" w:styleId="Revision">
    <w:name w:val="Revision"/>
    <w:hidden/>
    <w:uiPriority w:val="99"/>
    <w:semiHidden/>
    <w:rsid w:val="008F7AF5"/>
    <w:rPr>
      <w:sz w:val="24"/>
      <w:szCs w:val="24"/>
    </w:rPr>
  </w:style>
  <w:style w:type="character" w:customStyle="1" w:styleId="HeaderChar">
    <w:name w:val="Header Char"/>
    <w:basedOn w:val="DefaultParagraphFont"/>
    <w:link w:val="Header"/>
    <w:rsid w:val="005D3B74"/>
    <w:rPr>
      <w:sz w:val="24"/>
      <w:szCs w:val="24"/>
    </w:rPr>
  </w:style>
  <w:style w:type="character" w:customStyle="1" w:styleId="FootnoteTextChar">
    <w:name w:val="Footnote Text Char"/>
    <w:basedOn w:val="DefaultParagraphFont"/>
    <w:link w:val="FootnoteText"/>
    <w:semiHidden/>
    <w:rsid w:val="005D3B74"/>
  </w:style>
  <w:style w:type="character" w:customStyle="1" w:styleId="BalloonTextChar">
    <w:name w:val="Balloon Text Char"/>
    <w:basedOn w:val="DefaultParagraphFont"/>
    <w:link w:val="BalloonText"/>
    <w:semiHidden/>
    <w:rsid w:val="005D3B74"/>
    <w:rPr>
      <w:rFonts w:ascii="Tahoma" w:hAnsi="Tahoma" w:cs="Tahoma"/>
      <w:sz w:val="16"/>
      <w:szCs w:val="16"/>
    </w:rPr>
  </w:style>
  <w:style w:type="paragraph" w:styleId="EndnoteText">
    <w:name w:val="endnote text"/>
    <w:basedOn w:val="Normal"/>
    <w:link w:val="EndnoteTextChar"/>
    <w:uiPriority w:val="99"/>
    <w:semiHidden/>
    <w:unhideWhenUsed/>
    <w:rsid w:val="00C32318"/>
    <w:rPr>
      <w:sz w:val="20"/>
      <w:szCs w:val="20"/>
    </w:rPr>
  </w:style>
  <w:style w:type="character" w:customStyle="1" w:styleId="EndnoteTextChar">
    <w:name w:val="Endnote Text Char"/>
    <w:basedOn w:val="DefaultParagraphFont"/>
    <w:link w:val="EndnoteText"/>
    <w:uiPriority w:val="99"/>
    <w:semiHidden/>
    <w:rsid w:val="00C32318"/>
  </w:style>
  <w:style w:type="character" w:styleId="EndnoteReference">
    <w:name w:val="endnote reference"/>
    <w:basedOn w:val="DefaultParagraphFont"/>
    <w:uiPriority w:val="99"/>
    <w:semiHidden/>
    <w:unhideWhenUsed/>
    <w:rsid w:val="00C32318"/>
    <w:rPr>
      <w:vertAlign w:val="superscript"/>
    </w:rPr>
  </w:style>
  <w:style w:type="paragraph" w:styleId="BodyTextIndent">
    <w:name w:val="Body Text Indent"/>
    <w:basedOn w:val="Normal"/>
    <w:link w:val="BodyTextIndentChar"/>
    <w:rsid w:val="008C67FA"/>
    <w:pPr>
      <w:spacing w:line="480" w:lineRule="auto"/>
      <w:ind w:left="720" w:hanging="720"/>
    </w:pPr>
  </w:style>
  <w:style w:type="character" w:customStyle="1" w:styleId="BodyTextIndentChar">
    <w:name w:val="Body Text Indent Char"/>
    <w:basedOn w:val="DefaultParagraphFont"/>
    <w:link w:val="BodyTextIndent"/>
    <w:rsid w:val="008C67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3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54C1"/>
    <w:pPr>
      <w:tabs>
        <w:tab w:val="center" w:pos="4320"/>
        <w:tab w:val="right" w:pos="8640"/>
      </w:tabs>
    </w:pPr>
  </w:style>
  <w:style w:type="character" w:styleId="PageNumber">
    <w:name w:val="page number"/>
    <w:basedOn w:val="DefaultParagraphFont"/>
    <w:rsid w:val="004554C1"/>
  </w:style>
  <w:style w:type="paragraph" w:styleId="Header">
    <w:name w:val="header"/>
    <w:basedOn w:val="Normal"/>
    <w:link w:val="HeaderChar"/>
    <w:rsid w:val="004554C1"/>
    <w:pPr>
      <w:tabs>
        <w:tab w:val="center" w:pos="4320"/>
        <w:tab w:val="right" w:pos="8640"/>
      </w:tabs>
    </w:pPr>
  </w:style>
  <w:style w:type="character" w:styleId="LineNumber">
    <w:name w:val="line number"/>
    <w:basedOn w:val="DefaultParagraphFont"/>
    <w:rsid w:val="00FE0726"/>
  </w:style>
  <w:style w:type="table" w:styleId="TableGrid">
    <w:name w:val="Table Grid"/>
    <w:basedOn w:val="TableNormal"/>
    <w:rsid w:val="0073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897EC7"/>
    <w:rPr>
      <w:sz w:val="20"/>
      <w:szCs w:val="20"/>
    </w:rPr>
  </w:style>
  <w:style w:type="character" w:styleId="FootnoteReference">
    <w:name w:val="footnote reference"/>
    <w:basedOn w:val="DefaultParagraphFont"/>
    <w:semiHidden/>
    <w:rsid w:val="00897EC7"/>
    <w:rPr>
      <w:vertAlign w:val="superscript"/>
    </w:rPr>
  </w:style>
  <w:style w:type="character" w:styleId="Hyperlink">
    <w:name w:val="Hyperlink"/>
    <w:basedOn w:val="DefaultParagraphFont"/>
    <w:rsid w:val="00117B71"/>
    <w:rPr>
      <w:color w:val="0000FF"/>
      <w:u w:val="single"/>
    </w:rPr>
  </w:style>
  <w:style w:type="paragraph" w:styleId="BalloonText">
    <w:name w:val="Balloon Text"/>
    <w:basedOn w:val="Normal"/>
    <w:link w:val="BalloonTextChar"/>
    <w:semiHidden/>
    <w:rsid w:val="00064184"/>
    <w:rPr>
      <w:rFonts w:ascii="Tahoma" w:hAnsi="Tahoma" w:cs="Tahoma"/>
      <w:sz w:val="16"/>
      <w:szCs w:val="16"/>
    </w:rPr>
  </w:style>
  <w:style w:type="character" w:styleId="CommentReference">
    <w:name w:val="annotation reference"/>
    <w:basedOn w:val="DefaultParagraphFont"/>
    <w:uiPriority w:val="99"/>
    <w:semiHidden/>
    <w:unhideWhenUsed/>
    <w:rsid w:val="00C70687"/>
    <w:rPr>
      <w:sz w:val="16"/>
      <w:szCs w:val="16"/>
    </w:rPr>
  </w:style>
  <w:style w:type="paragraph" w:styleId="CommentText">
    <w:name w:val="annotation text"/>
    <w:basedOn w:val="Normal"/>
    <w:link w:val="CommentTextChar"/>
    <w:uiPriority w:val="99"/>
    <w:semiHidden/>
    <w:unhideWhenUsed/>
    <w:rsid w:val="00C70687"/>
    <w:rPr>
      <w:sz w:val="20"/>
      <w:szCs w:val="20"/>
    </w:rPr>
  </w:style>
  <w:style w:type="character" w:customStyle="1" w:styleId="CommentTextChar">
    <w:name w:val="Comment Text Char"/>
    <w:basedOn w:val="DefaultParagraphFont"/>
    <w:link w:val="CommentText"/>
    <w:uiPriority w:val="99"/>
    <w:semiHidden/>
    <w:rsid w:val="00C70687"/>
  </w:style>
  <w:style w:type="paragraph" w:styleId="CommentSubject">
    <w:name w:val="annotation subject"/>
    <w:basedOn w:val="CommentText"/>
    <w:next w:val="CommentText"/>
    <w:link w:val="CommentSubjectChar"/>
    <w:uiPriority w:val="99"/>
    <w:semiHidden/>
    <w:unhideWhenUsed/>
    <w:rsid w:val="00C70687"/>
    <w:rPr>
      <w:b/>
      <w:bCs/>
    </w:rPr>
  </w:style>
  <w:style w:type="character" w:customStyle="1" w:styleId="CommentSubjectChar">
    <w:name w:val="Comment Subject Char"/>
    <w:basedOn w:val="CommentTextChar"/>
    <w:link w:val="CommentSubject"/>
    <w:uiPriority w:val="99"/>
    <w:semiHidden/>
    <w:rsid w:val="00C70687"/>
    <w:rPr>
      <w:b/>
      <w:bCs/>
    </w:rPr>
  </w:style>
  <w:style w:type="paragraph" w:customStyle="1" w:styleId="TestimonyAnswer">
    <w:name w:val="Testimony Answer"/>
    <w:basedOn w:val="Normal"/>
    <w:qFormat/>
    <w:rsid w:val="00A612C8"/>
    <w:pPr>
      <w:tabs>
        <w:tab w:val="left" w:pos="720"/>
        <w:tab w:val="right" w:leader="dot" w:pos="8640"/>
        <w:tab w:val="left" w:pos="9240"/>
      </w:tabs>
      <w:spacing w:after="360" w:line="360" w:lineRule="auto"/>
      <w:ind w:left="720" w:hanging="720"/>
      <w:jc w:val="both"/>
    </w:pPr>
    <w:rPr>
      <w:rFonts w:eastAsia="Calibri"/>
    </w:rPr>
  </w:style>
  <w:style w:type="paragraph" w:customStyle="1" w:styleId="TestimonyQuestion">
    <w:name w:val="Testimony Question"/>
    <w:basedOn w:val="Normal"/>
    <w:rsid w:val="00A612C8"/>
    <w:pPr>
      <w:tabs>
        <w:tab w:val="left" w:pos="720"/>
        <w:tab w:val="right" w:leader="dot" w:pos="8640"/>
        <w:tab w:val="left" w:pos="9240"/>
      </w:tabs>
      <w:spacing w:before="240" w:after="240"/>
      <w:ind w:left="720" w:hanging="720"/>
      <w:jc w:val="both"/>
    </w:pPr>
    <w:rPr>
      <w:rFonts w:eastAsia="Calibri"/>
      <w:b/>
      <w:caps/>
    </w:rPr>
  </w:style>
  <w:style w:type="paragraph" w:styleId="ListParagraph">
    <w:name w:val="List Paragraph"/>
    <w:basedOn w:val="Normal"/>
    <w:uiPriority w:val="34"/>
    <w:qFormat/>
    <w:rsid w:val="00392003"/>
    <w:pPr>
      <w:ind w:left="720"/>
    </w:pPr>
  </w:style>
  <w:style w:type="character" w:customStyle="1" w:styleId="FooterChar">
    <w:name w:val="Footer Char"/>
    <w:basedOn w:val="DefaultParagraphFont"/>
    <w:link w:val="Footer"/>
    <w:rsid w:val="00A83246"/>
    <w:rPr>
      <w:sz w:val="24"/>
      <w:szCs w:val="24"/>
    </w:rPr>
  </w:style>
  <w:style w:type="paragraph" w:styleId="Revision">
    <w:name w:val="Revision"/>
    <w:hidden/>
    <w:uiPriority w:val="99"/>
    <w:semiHidden/>
    <w:rsid w:val="008F7AF5"/>
    <w:rPr>
      <w:sz w:val="24"/>
      <w:szCs w:val="24"/>
    </w:rPr>
  </w:style>
  <w:style w:type="character" w:customStyle="1" w:styleId="HeaderChar">
    <w:name w:val="Header Char"/>
    <w:basedOn w:val="DefaultParagraphFont"/>
    <w:link w:val="Header"/>
    <w:rsid w:val="005D3B74"/>
    <w:rPr>
      <w:sz w:val="24"/>
      <w:szCs w:val="24"/>
    </w:rPr>
  </w:style>
  <w:style w:type="character" w:customStyle="1" w:styleId="FootnoteTextChar">
    <w:name w:val="Footnote Text Char"/>
    <w:basedOn w:val="DefaultParagraphFont"/>
    <w:link w:val="FootnoteText"/>
    <w:semiHidden/>
    <w:rsid w:val="005D3B74"/>
  </w:style>
  <w:style w:type="character" w:customStyle="1" w:styleId="BalloonTextChar">
    <w:name w:val="Balloon Text Char"/>
    <w:basedOn w:val="DefaultParagraphFont"/>
    <w:link w:val="BalloonText"/>
    <w:semiHidden/>
    <w:rsid w:val="005D3B74"/>
    <w:rPr>
      <w:rFonts w:ascii="Tahoma" w:hAnsi="Tahoma" w:cs="Tahoma"/>
      <w:sz w:val="16"/>
      <w:szCs w:val="16"/>
    </w:rPr>
  </w:style>
  <w:style w:type="paragraph" w:styleId="EndnoteText">
    <w:name w:val="endnote text"/>
    <w:basedOn w:val="Normal"/>
    <w:link w:val="EndnoteTextChar"/>
    <w:uiPriority w:val="99"/>
    <w:semiHidden/>
    <w:unhideWhenUsed/>
    <w:rsid w:val="00C32318"/>
    <w:rPr>
      <w:sz w:val="20"/>
      <w:szCs w:val="20"/>
    </w:rPr>
  </w:style>
  <w:style w:type="character" w:customStyle="1" w:styleId="EndnoteTextChar">
    <w:name w:val="Endnote Text Char"/>
    <w:basedOn w:val="DefaultParagraphFont"/>
    <w:link w:val="EndnoteText"/>
    <w:uiPriority w:val="99"/>
    <w:semiHidden/>
    <w:rsid w:val="00C32318"/>
  </w:style>
  <w:style w:type="character" w:styleId="EndnoteReference">
    <w:name w:val="endnote reference"/>
    <w:basedOn w:val="DefaultParagraphFont"/>
    <w:uiPriority w:val="99"/>
    <w:semiHidden/>
    <w:unhideWhenUsed/>
    <w:rsid w:val="00C32318"/>
    <w:rPr>
      <w:vertAlign w:val="superscript"/>
    </w:rPr>
  </w:style>
  <w:style w:type="paragraph" w:styleId="BodyTextIndent">
    <w:name w:val="Body Text Indent"/>
    <w:basedOn w:val="Normal"/>
    <w:link w:val="BodyTextIndentChar"/>
    <w:rsid w:val="008C67FA"/>
    <w:pPr>
      <w:spacing w:line="480" w:lineRule="auto"/>
      <w:ind w:left="720" w:hanging="720"/>
    </w:pPr>
  </w:style>
  <w:style w:type="character" w:customStyle="1" w:styleId="BodyTextIndentChar">
    <w:name w:val="Body Text Indent Char"/>
    <w:basedOn w:val="DefaultParagraphFont"/>
    <w:link w:val="BodyTextIndent"/>
    <w:rsid w:val="008C67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footer" Target="foot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2011-12-07T08:00:00+00:00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F35E8C5-AAE3-4D1C-9865-897ECC53A27B}"/>
</file>

<file path=customXml/itemProps2.xml><?xml version="1.0" encoding="utf-8"?>
<ds:datastoreItem xmlns:ds="http://schemas.openxmlformats.org/officeDocument/2006/customXml" ds:itemID="{E1AD9627-28AC-4C59-925F-4019FB7718CE}"/>
</file>

<file path=customXml/itemProps3.xml><?xml version="1.0" encoding="utf-8"?>
<ds:datastoreItem xmlns:ds="http://schemas.openxmlformats.org/officeDocument/2006/customXml" ds:itemID="{72AC8269-A2C2-4F01-B774-FF01B747D33A}"/>
</file>

<file path=customXml/itemProps4.xml><?xml version="1.0" encoding="utf-8"?>
<ds:datastoreItem xmlns:ds="http://schemas.openxmlformats.org/officeDocument/2006/customXml" ds:itemID="{08C818DF-37C1-4DDE-A2A2-3DCC3EFFDEE8}"/>
</file>

<file path=customXml/itemProps5.xml><?xml version="1.0" encoding="utf-8"?>
<ds:datastoreItem xmlns:ds="http://schemas.openxmlformats.org/officeDocument/2006/customXml" ds:itemID="{221845D2-E141-4FC0-AD18-A9FF4D0846DF}"/>
</file>

<file path=docProps/app.xml><?xml version="1.0" encoding="utf-8"?>
<Properties xmlns="http://schemas.openxmlformats.org/officeDocument/2006/extended-properties" xmlns:vt="http://schemas.openxmlformats.org/officeDocument/2006/docPropsVTypes">
  <Template>Normal.dotm</Template>
  <TotalTime>108</TotalTime>
  <Pages>87</Pages>
  <Words>19493</Words>
  <Characters>101892</Characters>
  <Application>Microsoft Office Word</Application>
  <DocSecurity>0</DocSecurity>
  <Lines>849</Lines>
  <Paragraphs>242</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Hewlett-Packard Company</Company>
  <LinksUpToDate>false</LinksUpToDate>
  <CharactersWithSpaces>121143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dc:creator>
  <cp:lastModifiedBy>Krista Gross</cp:lastModifiedBy>
  <cp:revision>16</cp:revision>
  <cp:lastPrinted>2011-12-05T17:58:00Z</cp:lastPrinted>
  <dcterms:created xsi:type="dcterms:W3CDTF">2011-11-30T19:49:00Z</dcterms:created>
  <dcterms:modified xsi:type="dcterms:W3CDTF">2011-12-06T16:14:00Z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