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676046" w:rsidRPr="007D5EB2" w:rsidP="00676046">
      <w:pPr>
        <w:pStyle w:val="Header"/>
        <w:tabs>
          <w:tab w:val="clear" w:pos="4320"/>
          <w:tab w:val="clear" w:pos="8640"/>
        </w:tabs>
        <w:jc w:val="center"/>
        <w:rPr>
          <w:rFonts w:ascii="Times New Roman" w:hAnsi="Times New Roman"/>
        </w:rPr>
      </w:pPr>
      <w:r w:rsidRPr="007D5EB2">
        <w:rPr>
          <w:rFonts w:ascii="Times New Roman" w:hAnsi="Times New Roman"/>
        </w:rPr>
        <w:t>BEFORE THE WASHINGTON UTILITIES AND TRANSPORTATION COMMISSION</w:t>
      </w:r>
    </w:p>
    <w:p w:rsidR="00676046" w:rsidRPr="007D5EB2" w:rsidP="00676046">
      <w:pPr>
        <w:pStyle w:val="Header"/>
        <w:rPr>
          <w:rFonts w:ascii="Times New Roman" w:hAnsi="Times New Roman"/>
        </w:rPr>
      </w:pPr>
    </w:p>
    <w:tbl>
      <w:tblPr>
        <w:tblW w:w="9180" w:type="dxa"/>
        <w:tblInd w:w="124" w:type="dxa"/>
        <w:tblLayout w:type="fixed"/>
        <w:tblCellMar>
          <w:left w:w="124" w:type="dxa"/>
          <w:right w:w="124" w:type="dxa"/>
        </w:tblCellMar>
        <w:tblLook w:val="0000"/>
      </w:tblPr>
      <w:tblGrid>
        <w:gridCol w:w="4410"/>
        <w:gridCol w:w="4770"/>
      </w:tblGrid>
      <w:tr w:rsidTr="00C45843">
        <w:tblPrEx>
          <w:tblW w:w="9180" w:type="dxa"/>
          <w:tblInd w:w="124" w:type="dxa"/>
          <w:tblLayout w:type="fixed"/>
          <w:tblCellMar>
            <w:left w:w="124" w:type="dxa"/>
            <w:right w:w="124" w:type="dxa"/>
          </w:tblCellMar>
          <w:tblLook w:val="0000"/>
        </w:tblPrEx>
        <w:tc>
          <w:tcPr>
            <w:tcW w:w="4410" w:type="dxa"/>
            <w:tcBorders>
              <w:top w:val="single" w:sz="6" w:space="0" w:color="FFFFFF"/>
              <w:left w:val="single" w:sz="6" w:space="0" w:color="FFFFFF"/>
              <w:bottom w:val="single" w:sz="7" w:space="0" w:color="000000"/>
              <w:right w:val="single" w:sz="6" w:space="0" w:color="FFFFFF"/>
            </w:tcBorders>
          </w:tcPr>
          <w:p w:rsidR="00676046" w:rsidRPr="004554F5" w:rsidP="00C45843">
            <w:pPr>
              <w:rPr>
                <w:rFonts w:ascii="Times New Roman" w:hAnsi="Times New Roman" w:cs="Times New Roman"/>
                <w:sz w:val="24"/>
                <w:szCs w:val="24"/>
              </w:rPr>
            </w:pPr>
            <w:r w:rsidRPr="004554F5">
              <w:rPr>
                <w:rFonts w:ascii="Times New Roman" w:hAnsi="Times New Roman" w:cs="Times New Roman"/>
                <w:sz w:val="24"/>
                <w:szCs w:val="24"/>
              </w:rPr>
              <w:t>In re Application TC-143691</w:t>
            </w:r>
          </w:p>
          <w:p w:rsidR="00676046" w:rsidRPr="004554F5" w:rsidP="00C45843">
            <w:pPr>
              <w:rPr>
                <w:rFonts w:ascii="Times New Roman" w:hAnsi="Times New Roman" w:cs="Times New Roman"/>
                <w:sz w:val="24"/>
                <w:szCs w:val="24"/>
              </w:rPr>
            </w:pPr>
          </w:p>
          <w:p w:rsidR="00676046" w:rsidRPr="004554F5" w:rsidP="00C45843">
            <w:pPr>
              <w:rPr>
                <w:rFonts w:ascii="Times New Roman" w:hAnsi="Times New Roman" w:cs="Times New Roman"/>
                <w:sz w:val="24"/>
                <w:szCs w:val="24"/>
              </w:rPr>
            </w:pPr>
            <w:r w:rsidRPr="004554F5">
              <w:rPr>
                <w:rFonts w:ascii="Times New Roman" w:hAnsi="Times New Roman" w:cs="Times New Roman"/>
                <w:sz w:val="24"/>
                <w:szCs w:val="24"/>
              </w:rPr>
              <w:t xml:space="preserve">SPEEDISHUTTLE WASHINGTON, </w:t>
            </w:r>
          </w:p>
          <w:p w:rsidR="00676046" w:rsidRPr="004554F5" w:rsidP="00C45843">
            <w:pPr>
              <w:rPr>
                <w:rFonts w:ascii="Times New Roman" w:hAnsi="Times New Roman" w:cs="Times New Roman"/>
                <w:sz w:val="24"/>
                <w:szCs w:val="24"/>
              </w:rPr>
            </w:pPr>
            <w:r w:rsidRPr="004554F5">
              <w:rPr>
                <w:rFonts w:ascii="Times New Roman" w:hAnsi="Times New Roman" w:cs="Times New Roman"/>
                <w:sz w:val="24"/>
                <w:szCs w:val="24"/>
              </w:rPr>
              <w:t xml:space="preserve">LLC </w:t>
            </w:r>
            <w:r w:rsidR="009A27E0">
              <w:rPr>
                <w:rFonts w:ascii="Times New Roman" w:hAnsi="Times New Roman" w:cs="Times New Roman"/>
                <w:sz w:val="24"/>
                <w:szCs w:val="24"/>
              </w:rPr>
              <w:t>d/b/a</w:t>
            </w:r>
            <w:r w:rsidRPr="004554F5">
              <w:rPr>
                <w:rFonts w:ascii="Times New Roman" w:hAnsi="Times New Roman" w:cs="Times New Roman"/>
                <w:sz w:val="24"/>
                <w:szCs w:val="24"/>
              </w:rPr>
              <w:t xml:space="preserve"> SPEEDISHUTTLE SEATTLE</w:t>
            </w:r>
          </w:p>
          <w:p w:rsidR="00676046" w:rsidRPr="004554F5" w:rsidP="00C45843">
            <w:pPr>
              <w:rPr>
                <w:rFonts w:ascii="Times New Roman" w:hAnsi="Times New Roman" w:cs="Times New Roman"/>
                <w:sz w:val="24"/>
                <w:szCs w:val="24"/>
              </w:rPr>
            </w:pPr>
            <w:r w:rsidRPr="004554F5">
              <w:rPr>
                <w:rFonts w:ascii="Times New Roman" w:hAnsi="Times New Roman" w:cs="Times New Roman"/>
                <w:sz w:val="24"/>
                <w:szCs w:val="24"/>
              </w:rPr>
              <w:tab/>
            </w:r>
            <w:r w:rsidRPr="004554F5">
              <w:rPr>
                <w:rFonts w:ascii="Times New Roman" w:hAnsi="Times New Roman" w:cs="Times New Roman"/>
                <w:sz w:val="24"/>
                <w:szCs w:val="24"/>
              </w:rPr>
              <w:tab/>
            </w:r>
            <w:r w:rsidRPr="004554F5">
              <w:rPr>
                <w:rFonts w:ascii="Times New Roman" w:hAnsi="Times New Roman" w:cs="Times New Roman"/>
                <w:sz w:val="24"/>
                <w:szCs w:val="24"/>
              </w:rPr>
              <w:tab/>
            </w:r>
          </w:p>
          <w:p w:rsidR="00676046" w:rsidRPr="003E3A33" w:rsidP="003E3A33">
            <w:pPr>
              <w:spacing w:line="240" w:lineRule="atLeast"/>
              <w:rPr>
                <w:rFonts w:ascii="Times New Roman" w:hAnsi="Times New Roman" w:cs="Times New Roman"/>
                <w:sz w:val="24"/>
                <w:szCs w:val="24"/>
              </w:rPr>
            </w:pPr>
            <w:r w:rsidRPr="004554F5">
              <w:rPr>
                <w:rFonts w:ascii="Times New Roman" w:hAnsi="Times New Roman" w:cs="Times New Roman"/>
                <w:sz w:val="24"/>
                <w:szCs w:val="24"/>
              </w:rPr>
              <w:t>For a Certificate of Pub</w:t>
            </w:r>
            <w:r>
              <w:rPr>
                <w:rFonts w:ascii="Times New Roman" w:hAnsi="Times New Roman" w:cs="Times New Roman"/>
                <w:sz w:val="24"/>
                <w:szCs w:val="24"/>
              </w:rPr>
              <w:t>l</w:t>
            </w:r>
            <w:r w:rsidRPr="004554F5">
              <w:rPr>
                <w:rFonts w:ascii="Times New Roman" w:hAnsi="Times New Roman" w:cs="Times New Roman"/>
                <w:sz w:val="24"/>
                <w:szCs w:val="24"/>
              </w:rPr>
              <w:t>ic Convenience and Necessity to Operate Motor Vehicles in Furnishing Passenger and Express Service as an Auto Transportation Company</w:t>
            </w:r>
          </w:p>
        </w:tc>
        <w:tc>
          <w:tcPr>
            <w:tcW w:w="4770" w:type="dxa"/>
            <w:tcBorders>
              <w:top w:val="single" w:sz="6" w:space="0" w:color="FFFFFF"/>
              <w:left w:val="single" w:sz="7" w:space="0" w:color="000000"/>
              <w:bottom w:val="single" w:sz="6" w:space="0" w:color="FFFFFF"/>
              <w:right w:val="single" w:sz="6" w:space="0" w:color="FFFFFF"/>
            </w:tcBorders>
          </w:tcPr>
          <w:p w:rsidR="00676046" w:rsidRPr="004554F5" w:rsidP="00C45843">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sidRPr="004554F5">
              <w:rPr>
                <w:rFonts w:ascii="Times New Roman" w:hAnsi="Times New Roman" w:cs="Times New Roman"/>
                <w:sz w:val="24"/>
                <w:szCs w:val="24"/>
              </w:rPr>
              <w:t>143691</w:t>
            </w:r>
          </w:p>
          <w:p w:rsidR="00676046" w:rsidRPr="004554F5" w:rsidP="00C45843">
            <w:pPr>
              <w:rPr>
                <w:rFonts w:ascii="Times New Roman" w:hAnsi="Times New Roman" w:cs="Times New Roman"/>
                <w:sz w:val="24"/>
                <w:szCs w:val="24"/>
              </w:rPr>
            </w:pPr>
          </w:p>
          <w:p w:rsidR="00676046" w:rsidRPr="004554F5" w:rsidP="00C45843">
            <w:pPr>
              <w:rPr>
                <w:rFonts w:ascii="Times New Roman" w:hAnsi="Times New Roman" w:cs="Times New Roman"/>
                <w:sz w:val="24"/>
                <w:szCs w:val="24"/>
              </w:rPr>
            </w:pPr>
            <w:r>
              <w:rPr>
                <w:rFonts w:ascii="Times New Roman" w:hAnsi="Times New Roman" w:cs="Times New Roman"/>
                <w:sz w:val="24"/>
                <w:szCs w:val="24"/>
              </w:rPr>
              <w:t xml:space="preserve">SPEEDISHUTTLE WASHINGTON, LLC </w:t>
            </w:r>
            <w:r w:rsidR="0048270D">
              <w:rPr>
                <w:rFonts w:ascii="Times New Roman" w:hAnsi="Times New Roman" w:cs="Times New Roman"/>
                <w:sz w:val="24"/>
                <w:szCs w:val="24"/>
              </w:rPr>
              <w:t>d/b/a</w:t>
            </w:r>
            <w:r>
              <w:rPr>
                <w:rFonts w:ascii="Times New Roman" w:hAnsi="Times New Roman" w:cs="Times New Roman"/>
                <w:sz w:val="24"/>
                <w:szCs w:val="24"/>
              </w:rPr>
              <w:t xml:space="preserve"> SPEEDISHUTTLE SEATTLE’S </w:t>
            </w:r>
            <w:r w:rsidR="007A51C0">
              <w:rPr>
                <w:rFonts w:ascii="Times New Roman" w:hAnsi="Times New Roman" w:cs="Times New Roman"/>
                <w:sz w:val="24"/>
                <w:szCs w:val="24"/>
              </w:rPr>
              <w:t xml:space="preserve">(“APPLICANT’S”) </w:t>
            </w:r>
            <w:r w:rsidR="005635CE">
              <w:rPr>
                <w:rFonts w:ascii="Times New Roman" w:hAnsi="Times New Roman" w:cs="Times New Roman"/>
                <w:sz w:val="24"/>
                <w:szCs w:val="24"/>
              </w:rPr>
              <w:t>RESPONSE</w:t>
            </w:r>
            <w:r>
              <w:rPr>
                <w:rFonts w:ascii="Times New Roman" w:hAnsi="Times New Roman" w:cs="Times New Roman"/>
                <w:sz w:val="24"/>
                <w:szCs w:val="24"/>
              </w:rPr>
              <w:t xml:space="preserve"> TO </w:t>
            </w:r>
            <w:r w:rsidR="00CF4069">
              <w:rPr>
                <w:rFonts w:ascii="Times New Roman" w:hAnsi="Times New Roman" w:cs="Times New Roman"/>
                <w:sz w:val="24"/>
                <w:szCs w:val="24"/>
              </w:rPr>
              <w:t>SHUTTLE EXPRESS’S MOTION TO REOPEN THE RECORD</w:t>
            </w:r>
          </w:p>
          <w:p w:rsidR="00676046" w:rsidRPr="004554F5" w:rsidP="00C45843">
            <w:pPr>
              <w:rPr>
                <w:rFonts w:ascii="Times New Roman" w:hAnsi="Times New Roman" w:cs="Times New Roman"/>
                <w:sz w:val="24"/>
                <w:szCs w:val="24"/>
              </w:rPr>
            </w:pPr>
          </w:p>
          <w:p w:rsidR="00676046" w:rsidP="00C45843"/>
        </w:tc>
      </w:tr>
    </w:tbl>
    <w:p w:rsidR="009C290E" w:rsidP="009C290E">
      <w:pPr>
        <w:pStyle w:val="Heading2"/>
        <w:numPr>
          <w:ilvl w:val="0"/>
          <w:numId w:val="0"/>
        </w:numPr>
        <w:ind w:left="720"/>
      </w:pPr>
    </w:p>
    <w:p w:rsidR="0089422A" w:rsidRPr="0089422A" w:rsidP="00F31820">
      <w:pPr>
        <w:pStyle w:val="Heading1"/>
      </w:pPr>
      <w:r>
        <w:t>PRELIMINARY STATEMENT AND BACKGROUND TO MOTION</w:t>
      </w:r>
    </w:p>
    <w:p w:rsidR="0066081E" w:rsidP="00F31820">
      <w:pPr>
        <w:pStyle w:val="Heading2"/>
      </w:pPr>
      <w:r>
        <w:tab/>
      </w:r>
      <w:r w:rsidR="0089422A">
        <w:t>On February 10, 2015</w:t>
      </w:r>
      <w:r>
        <w:t>,</w:t>
      </w:r>
      <w:r w:rsidR="0089422A">
        <w:t xml:space="preserve"> as a precursor to its Petition for Administrative Review filed the next day, Shuttle Express, Inc. (“Shuttle Express”) filed and served a Motion to Reopen the Record in this proceeding. By its Motion</w:t>
      </w:r>
      <w:r>
        <w:t>,</w:t>
      </w:r>
      <w:r w:rsidR="0089422A">
        <w:t xml:space="preserve"> t</w:t>
      </w:r>
      <w:r w:rsidR="00F433D6">
        <w:t>he Petitioners utterly fail to demonstrate any circumstances meriting reopening under Commission rule or case law authority.</w:t>
      </w:r>
      <w:r>
        <w:rPr>
          <w:rStyle w:val="FootnoteReference"/>
        </w:rPr>
        <w:footnoteReference w:id="2"/>
      </w:r>
      <w:r w:rsidR="00F433D6">
        <w:t xml:space="preserve">  </w:t>
      </w:r>
      <w:r>
        <w:t xml:space="preserve">  </w:t>
      </w:r>
    </w:p>
    <w:p w:rsidR="00EF46FE" w:rsidP="00F31820">
      <w:pPr>
        <w:pStyle w:val="Heading2"/>
      </w:pPr>
      <w:r>
        <w:tab/>
      </w:r>
      <w:r w:rsidR="00C74FFA">
        <w:t xml:space="preserve">However, </w:t>
      </w:r>
      <w:r>
        <w:t xml:space="preserve">none of </w:t>
      </w:r>
      <w:r w:rsidR="00C74FFA">
        <w:t>th</w:t>
      </w:r>
      <w:r>
        <w:t>e</w:t>
      </w:r>
      <w:r w:rsidR="00C74FFA">
        <w:t>se strategic iterations should facilitate delays in the hearing and post</w:t>
      </w:r>
      <w:r w:rsidR="00DC2131">
        <w:t>-</w:t>
      </w:r>
      <w:r w:rsidR="00C74FFA">
        <w:t xml:space="preserve">hearing process nor frustrate the Commission’s announced intent </w:t>
      </w:r>
      <w:r w:rsidR="0089422A">
        <w:t xml:space="preserve">for this industry </w:t>
      </w:r>
      <w:r w:rsidR="00C74FFA">
        <w:t>that</w:t>
      </w:r>
      <w:r w:rsidR="0089422A">
        <w:t xml:space="preserve"> its:</w:t>
      </w:r>
    </w:p>
    <w:p w:rsidR="00800616" w:rsidP="00800616">
      <w:pPr>
        <w:pStyle w:val="Quote"/>
        <w:rPr>
          <w:rFonts w:ascii="Times New Roman" w:hAnsi="Times New Roman" w:cs="Times New Roman"/>
        </w:rPr>
      </w:pPr>
      <w:r w:rsidRPr="00BF0FD7">
        <w:rPr>
          <w:rFonts w:ascii="Times New Roman" w:hAnsi="Times New Roman" w:cs="Times New Roman"/>
        </w:rPr>
        <w:t>…current rules and processes…ensure that they recognize current competitive conditions.  It must also ensure that its processes are streamlined and efficient</w:t>
      </w:r>
      <w:r>
        <w:rPr>
          <w:rFonts w:ascii="Times New Roman" w:hAnsi="Times New Roman" w:cs="Times New Roman"/>
        </w:rPr>
        <w:t>.</w:t>
      </w:r>
      <w:r w:rsidRPr="00BF0FD7">
        <w:rPr>
          <w:rStyle w:val="FootnoteReference"/>
          <w:rFonts w:ascii="Times New Roman" w:hAnsi="Times New Roman" w:cs="Times New Roman"/>
        </w:rPr>
        <w:t xml:space="preserve"> </w:t>
      </w:r>
      <w:r>
        <w:rPr>
          <w:rStyle w:val="FootnoteReference"/>
          <w:rFonts w:ascii="Times New Roman" w:hAnsi="Times New Roman" w:cs="Times New Roman"/>
        </w:rPr>
        <w:footnoteReference w:id="3"/>
      </w:r>
    </w:p>
    <w:p w:rsidR="00C74FFA" w:rsidP="00DC2131">
      <w:pPr>
        <w:pStyle w:val="Heading2"/>
      </w:pPr>
      <w:r>
        <w:tab/>
      </w:r>
      <w:r w:rsidRPr="00C74FFA">
        <w:t>Shuttle</w:t>
      </w:r>
      <w:r>
        <w:t xml:space="preserve"> Express has ostensibly done everything possible to thwart that intent</w:t>
      </w:r>
      <w:r w:rsidR="00092C1C">
        <w:t xml:space="preserve"> by: 1) initially objecting to the forum and process by which this application and</w:t>
      </w:r>
      <w:r w:rsidR="0089422A">
        <w:t xml:space="preserve"> its objections were considered;</w:t>
      </w:r>
      <w:r w:rsidR="00092C1C">
        <w:t xml:space="preserve"> 2) simultaneously arguing that a full-blown traditional evidentiary hearing was required </w:t>
      </w:r>
      <w:r w:rsidR="0089422A">
        <w:t xml:space="preserve">and intending the discovery rule be invoked </w:t>
      </w:r>
      <w:r w:rsidR="00092C1C">
        <w:t xml:space="preserve">and now 3) in post-hearing proceedings, </w:t>
      </w:r>
      <w:r w:rsidR="00092C1C">
        <w:t>moving to reopen the record and</w:t>
      </w:r>
      <w:r w:rsidR="0066081E">
        <w:t>,</w:t>
      </w:r>
      <w:r w:rsidR="00092C1C">
        <w:t xml:space="preserve"> in its Petition for Administrative Review</w:t>
      </w:r>
      <w:r w:rsidR="0066081E">
        <w:t>,</w:t>
      </w:r>
      <w:r w:rsidR="00FE1CEA">
        <w:t xml:space="preserve"> even</w:t>
      </w:r>
      <w:r w:rsidR="00092C1C">
        <w:t xml:space="preserve"> seekin</w:t>
      </w:r>
      <w:r>
        <w:t xml:space="preserve">g to schedule oral argument on its </w:t>
      </w:r>
      <w:r w:rsidR="00092C1C">
        <w:t>appeal</w:t>
      </w:r>
      <w:r w:rsidR="00FE1CEA">
        <w:t xml:space="preserve">. </w:t>
      </w:r>
      <w:r w:rsidR="00092C1C">
        <w:t xml:space="preserve"> </w:t>
      </w:r>
      <w:r w:rsidR="00FE1CEA">
        <w:t>W</w:t>
      </w:r>
      <w:r w:rsidR="00092C1C">
        <w:t xml:space="preserve">hile no one suggests Shuttle Express lacks the due process right to avail itself of </w:t>
      </w:r>
      <w:r w:rsidR="00FE1CEA">
        <w:t xml:space="preserve">any and all </w:t>
      </w:r>
      <w:r w:rsidR="00092C1C">
        <w:t xml:space="preserve">procedural remedies, the effect of seeking such opportunities is unquestionably to delay and make far more burdensome and expensive Commission processes intended to be streamlined by the </w:t>
      </w:r>
      <w:r>
        <w:t xml:space="preserve">industry </w:t>
      </w:r>
      <w:r w:rsidR="00092C1C">
        <w:t>rule revisions in 2013.</w:t>
      </w:r>
    </w:p>
    <w:p w:rsidR="009C290E" w:rsidP="00274507">
      <w:pPr>
        <w:pStyle w:val="Heading2"/>
      </w:pPr>
      <w:r>
        <w:tab/>
        <w:t xml:space="preserve">The instant Motion to Reopen is classically such a tactic.  </w:t>
      </w:r>
      <w:r w:rsidR="0066081E">
        <w:t xml:space="preserve">Shuttle Express </w:t>
      </w:r>
      <w:r>
        <w:t xml:space="preserve">justifies the failure to present evidence reasonably available before hearing by defaulting to the premise that one of two Shuttle Express principals, </w:t>
      </w:r>
      <w:r w:rsidR="00FE1CEA">
        <w:t>(</w:t>
      </w:r>
      <w:r>
        <w:t>Paul Kajanoff’s</w:t>
      </w:r>
      <w:r w:rsidR="00FE1CEA">
        <w:t>),</w:t>
      </w:r>
      <w:r>
        <w:t xml:space="preserve"> temporary hearing defect somehow rendered the objector’s case presentation incomplete.  Putting aside the fact that the Objector’s eleventh-hour request to the Commission for interpretive assistance </w:t>
      </w:r>
      <w:r w:rsidR="00C20005">
        <w:t xml:space="preserve">at hearing </w:t>
      </w:r>
      <w:r>
        <w:t>was never served on the applicant, there is no question that Shuttle Express was in fact</w:t>
      </w:r>
      <w:r w:rsidR="00DC2131">
        <w:t xml:space="preserve"> adequately</w:t>
      </w:r>
      <w:r>
        <w:t xml:space="preserve"> able to represent itself at the BAP and adduce evidence in opposition to the application.  Moreover, Shuttle Express never explains </w:t>
      </w:r>
      <w:r w:rsidR="0066081E">
        <w:t>in its Motion n</w:t>
      </w:r>
      <w:r>
        <w:t>or even attempts to explain why it could not have produced the evidence</w:t>
      </w:r>
      <w:r>
        <w:t xml:space="preserve"> it now seeks to inject into the record by the </w:t>
      </w:r>
      <w:r w:rsidR="00FE1CEA">
        <w:t xml:space="preserve">original </w:t>
      </w:r>
      <w:r>
        <w:t>exhibit filing deadline of Monday, December 29, 2014</w:t>
      </w:r>
      <w:r w:rsidR="00E5244F">
        <w:t>.</w:t>
      </w:r>
      <w:r>
        <w:rPr>
          <w:rStyle w:val="FootnoteReference"/>
        </w:rPr>
        <w:footnoteReference w:id="4"/>
      </w:r>
      <w:r w:rsidR="00E5244F">
        <w:t xml:space="preserve">  It also never defends why </w:t>
      </w:r>
      <w:r>
        <w:t xml:space="preserve">it could not have attempted to introduce </w:t>
      </w:r>
      <w:r w:rsidR="00FE1CEA">
        <w:t xml:space="preserve">the information </w:t>
      </w:r>
      <w:r>
        <w:t xml:space="preserve">through the testimony </w:t>
      </w:r>
      <w:r w:rsidR="0066081E">
        <w:t xml:space="preserve">at hearing </w:t>
      </w:r>
      <w:r>
        <w:t>of its other</w:t>
      </w:r>
      <w:r w:rsidR="00FE1CEA">
        <w:t>,</w:t>
      </w:r>
      <w:r>
        <w:t xml:space="preserve"> non-hearing impaired representative</w:t>
      </w:r>
      <w:r w:rsidR="00FE1CEA">
        <w:t>,</w:t>
      </w:r>
      <w:r>
        <w:t xml:space="preserve"> Wesley Marks, the financial officer of the company who testified on a wide range of topics and who clearly was a logical sponsor of such evidence.</w:t>
      </w:r>
    </w:p>
    <w:p w:rsidR="009C290E" w:rsidP="00274507">
      <w:pPr>
        <w:pStyle w:val="Heading1"/>
      </w:pPr>
      <w:r>
        <w:t>LEGAL A</w:t>
      </w:r>
      <w:r w:rsidR="00C20005">
        <w:t>nalysis</w:t>
      </w:r>
      <w:r>
        <w:t xml:space="preserve"> IN OPPOSITION TO MOTION TO REOPEN</w:t>
      </w:r>
    </w:p>
    <w:p w:rsidR="0025588C" w:rsidP="00274507">
      <w:pPr>
        <w:pStyle w:val="Heading2"/>
      </w:pPr>
      <w:r>
        <w:tab/>
      </w:r>
      <w:r>
        <w:t xml:space="preserve">As the parties are </w:t>
      </w:r>
      <w:r w:rsidR="00DC2131">
        <w:t xml:space="preserve">all </w:t>
      </w:r>
      <w:r>
        <w:t>aware</w:t>
      </w:r>
      <w:r>
        <w:t>,</w:t>
      </w:r>
      <w:r>
        <w:t xml:space="preserve"> WAC 480-07-830 controls the </w:t>
      </w:r>
      <w:r w:rsidR="00DC2131">
        <w:t xml:space="preserve">reopening </w:t>
      </w:r>
      <w:r>
        <w:t>process at this juncture which</w:t>
      </w:r>
      <w:r w:rsidR="00DC2131">
        <w:t>,</w:t>
      </w:r>
      <w:r>
        <w:t xml:space="preserve"> in relevan</w:t>
      </w:r>
      <w:r w:rsidR="00DC2131">
        <w:t>t part</w:t>
      </w:r>
      <w:r w:rsidR="00071E2C">
        <w:t>, provides</w:t>
      </w:r>
      <w:r>
        <w:t>:</w:t>
      </w:r>
    </w:p>
    <w:p w:rsidR="00800616" w:rsidP="00274507">
      <w:pPr>
        <w:pStyle w:val="Quote"/>
        <w:rPr>
          <w:rFonts w:ascii="Times New Roman" w:hAnsi="Times New Roman" w:cs="Times New Roman"/>
        </w:rPr>
      </w:pPr>
      <w:r>
        <w:rPr>
          <w:rFonts w:ascii="Times New Roman" w:hAnsi="Times New Roman" w:cs="Times New Roman"/>
        </w:rPr>
        <w:t xml:space="preserve">…In </w:t>
      </w:r>
      <w:r w:rsidRPr="0025588C" w:rsidR="0025588C">
        <w:rPr>
          <w:rFonts w:ascii="Times New Roman" w:hAnsi="Times New Roman" w:cs="Times New Roman"/>
        </w:rPr>
        <w:t>contested proceedings, the commission may reopen the record to allow receipt of evidence that is essential to a decision and that was unavailable and not reasonably discoverable with due diligence at the time of the hearing or for any other good and sufficient cause….</w:t>
      </w:r>
    </w:p>
    <w:p w:rsidR="00DC2131" w:rsidP="004936EB">
      <w:pPr>
        <w:pStyle w:val="Heading3"/>
        <w:ind w:left="360"/>
      </w:pPr>
      <w:r w:rsidRPr="00DC2131">
        <w:t>The Belated Request for a Hearing Interpreter in these Circumstances is Hardly “Good and Sufficient Cause” for Reopening</w:t>
      </w:r>
      <w:r>
        <w:t>.</w:t>
      </w:r>
    </w:p>
    <w:p w:rsidR="004936EB" w:rsidP="00373C7C">
      <w:pPr>
        <w:pStyle w:val="Heading2"/>
        <w:tabs>
          <w:tab w:val="clear" w:pos="0"/>
        </w:tabs>
      </w:pPr>
      <w:r>
        <w:tab/>
        <w:t>N</w:t>
      </w:r>
      <w:r w:rsidRPr="0025588C">
        <w:t xml:space="preserve">one of the elements of the </w:t>
      </w:r>
      <w:r w:rsidR="00C20005">
        <w:t>C</w:t>
      </w:r>
      <w:r w:rsidRPr="0025588C">
        <w:t>ommission’s procedural rule on reopening have here been</w:t>
      </w:r>
      <w:r w:rsidR="00C20005">
        <w:t xml:space="preserve"> demonstrated</w:t>
      </w:r>
      <w:r w:rsidR="006C2649">
        <w:t xml:space="preserve">. </w:t>
      </w:r>
      <w:r>
        <w:t xml:space="preserve"> </w:t>
      </w:r>
      <w:r w:rsidR="00373C7C">
        <w:t xml:space="preserve">Shuttle Express’s </w:t>
      </w:r>
      <w:r>
        <w:t xml:space="preserve">reference to </w:t>
      </w:r>
      <w:r w:rsidR="00373C7C">
        <w:t xml:space="preserve">the provisions WAC 480-07-350 and WAC 10-08-150 to attempt to establish “good cause” under WAC 480-07-830 fails to </w:t>
      </w:r>
      <w:r w:rsidR="006C2649">
        <w:t xml:space="preserve">explain </w:t>
      </w:r>
      <w:r w:rsidR="00373C7C">
        <w:t xml:space="preserve">why the lack of a qualified interpreter prevented Shuttle Express from presenting the evidence it seeks to offer now.  </w:t>
      </w:r>
      <w:r w:rsidR="006C2649">
        <w:t xml:space="preserve">Moreover, </w:t>
      </w:r>
      <w:r w:rsidR="00373C7C">
        <w:t xml:space="preserve">Shuttle Express has not made even the barest of showings that </w:t>
      </w:r>
      <w:r>
        <w:t xml:space="preserve">the </w:t>
      </w:r>
      <w:r w:rsidR="00373C7C">
        <w:t xml:space="preserve">evidence it seeks to admit </w:t>
      </w:r>
      <w:r>
        <w:t xml:space="preserve">is </w:t>
      </w:r>
      <w:r w:rsidR="00373C7C">
        <w:t xml:space="preserve">“essential to the decision and…was unavailable and not reasonably discoverable with due diligence at the time of the hearing.”  </w:t>
      </w:r>
      <w:r w:rsidR="006C2649">
        <w:t xml:space="preserve">Implicitly, </w:t>
      </w:r>
      <w:r w:rsidR="00373C7C">
        <w:t xml:space="preserve">Shuttle </w:t>
      </w:r>
      <w:r w:rsidR="00E5244F">
        <w:t xml:space="preserve">Express singularly </w:t>
      </w:r>
      <w:r w:rsidR="00373C7C">
        <w:t xml:space="preserve">relies on the alternative “good and sufficient cause” rationale under WAC 480-07-830 to trigger its eligibility to reopen here.  Yet in order to do so, Shuttle Express </w:t>
      </w:r>
      <w:r w:rsidR="006C2649">
        <w:t xml:space="preserve">ignores </w:t>
      </w:r>
      <w:r w:rsidR="00373C7C">
        <w:t>the fact that two</w:t>
      </w:r>
      <w:r w:rsidR="006C2649">
        <w:t>,</w:t>
      </w:r>
      <w:r w:rsidR="00373C7C">
        <w:t xml:space="preserve"> not one</w:t>
      </w:r>
      <w:r w:rsidR="006C2649">
        <w:t>,</w:t>
      </w:r>
      <w:r w:rsidR="00373C7C">
        <w:t xml:space="preserve"> representatives were present at the hearing, that its request for accommodation was </w:t>
      </w:r>
      <w:r>
        <w:t xml:space="preserve">untimely </w:t>
      </w:r>
      <w:r w:rsidR="00373C7C">
        <w:t xml:space="preserve">and </w:t>
      </w:r>
      <w:r w:rsidR="006C2649">
        <w:t>un</w:t>
      </w:r>
      <w:r w:rsidR="00373C7C">
        <w:t>serve</w:t>
      </w:r>
      <w:r>
        <w:t>d</w:t>
      </w:r>
      <w:r w:rsidR="00373C7C">
        <w:t xml:space="preserve"> on the applicant</w:t>
      </w:r>
      <w:r>
        <w:t xml:space="preserve"> and that</w:t>
      </w:r>
      <w:r w:rsidR="00373C7C">
        <w:t xml:space="preserve"> it might have sought a continuance </w:t>
      </w:r>
      <w:r w:rsidR="00E5244F">
        <w:t xml:space="preserve">at the hearing </w:t>
      </w:r>
      <w:r w:rsidR="00373C7C">
        <w:t>pursuant to WAC 480-07-385</w:t>
      </w:r>
      <w:r>
        <w:t>,</w:t>
      </w:r>
      <w:r w:rsidR="00373C7C">
        <w:t xml:space="preserve"> but </w:t>
      </w:r>
      <w:r>
        <w:t xml:space="preserve">failed to </w:t>
      </w:r>
      <w:r w:rsidR="00373C7C">
        <w:t xml:space="preserve">do so.  </w:t>
      </w:r>
    </w:p>
    <w:p w:rsidR="00373C7C" w:rsidRPr="00373C7C" w:rsidP="00373C7C">
      <w:pPr>
        <w:pStyle w:val="Heading2"/>
        <w:tabs>
          <w:tab w:val="clear" w:pos="0"/>
        </w:tabs>
      </w:pPr>
      <w:r>
        <w:tab/>
      </w:r>
      <w:r>
        <w:t xml:space="preserve">While WAC 480-07-350 appears not to have been </w:t>
      </w:r>
      <w:r w:rsidR="00C20005">
        <w:t xml:space="preserve">previously </w:t>
      </w:r>
      <w:r>
        <w:t>interpreted by the Commission in case law</w:t>
      </w:r>
      <w:r w:rsidR="006C2649">
        <w:t xml:space="preserve"> on this issue</w:t>
      </w:r>
      <w:r>
        <w:t>,</w:t>
      </w:r>
      <w:r>
        <w:t xml:space="preserve"> </w:t>
      </w:r>
      <w:r w:rsidR="00C20005">
        <w:t>it expressly incorporates WAC 1</w:t>
      </w:r>
      <w:r>
        <w:t xml:space="preserve">0-08-150 as to the rules of procedure governing the provision and qualifications of interpreters, </w:t>
      </w:r>
      <w:r w:rsidR="00C20005">
        <w:t xml:space="preserve">in </w:t>
      </w:r>
      <w:r>
        <w:t>WAC 480-07-350(1)</w:t>
      </w:r>
      <w:r>
        <w:t xml:space="preserve">.  </w:t>
      </w:r>
      <w:r>
        <w:t xml:space="preserve">However, other provisions of the Washington Administrative Code may provide some insight.  </w:t>
      </w:r>
      <w:r>
        <w:t>For example</w:t>
      </w:r>
      <w:r w:rsidR="00E5244F">
        <w:t>,</w:t>
      </w:r>
      <w:r>
        <w:t xml:space="preserve"> WAC 371-08-490</w:t>
      </w:r>
      <w:r>
        <w:t>,</w:t>
      </w:r>
      <w:r>
        <w:t xml:space="preserve"> </w:t>
      </w:r>
      <w:r>
        <w:t>“</w:t>
      </w:r>
      <w:r>
        <w:t>Provision of interpreters and of reasonable accommodations to individuals with special needs</w:t>
      </w:r>
      <w:r>
        <w:t>”</w:t>
      </w:r>
      <w:r>
        <w:t xml:space="preserve"> which applies to environmental and land use hearings</w:t>
      </w:r>
      <w:r w:rsidR="00C20005">
        <w:t>,</w:t>
      </w:r>
      <w:r w:rsidR="00E5244F">
        <w:t xml:space="preserve"> </w:t>
      </w:r>
      <w:r w:rsidR="00C20005">
        <w:t xml:space="preserve">indicates: </w:t>
      </w:r>
      <w:r>
        <w:t>“</w:t>
      </w:r>
      <w:r w:rsidR="00C20005">
        <w:t>…</w:t>
      </w:r>
      <w:r>
        <w:t>[</w:t>
      </w:r>
      <w:r w:rsidR="004A1492">
        <w:t>t</w:t>
      </w:r>
      <w:r>
        <w:t>]hat person [seeking accommodation] shall request an interpreter or other reasonable accommodation from the pr</w:t>
      </w:r>
      <w:r w:rsidR="00C20005">
        <w:t>esiding officer not later than three</w:t>
      </w:r>
      <w:r>
        <w:t xml:space="preserve"> weeks before the date of the hearing, conference or other situation for which the interpreter or accommodation is needed.”  Clearly</w:t>
      </w:r>
      <w:r w:rsidR="00C20005">
        <w:t>,</w:t>
      </w:r>
      <w:r>
        <w:t xml:space="preserve"> asking an </w:t>
      </w:r>
      <w:r w:rsidR="00E5244F">
        <w:t xml:space="preserve">administrative </w:t>
      </w:r>
      <w:r>
        <w:t xml:space="preserve">agency to accommodate </w:t>
      </w:r>
      <w:r w:rsidR="004A1492">
        <w:t xml:space="preserve">an auditory </w:t>
      </w:r>
      <w:r>
        <w:t>deficiency the last business day before the long-scheduled administrative proceeding is not reasonable.  Again, if good cause for affording</w:t>
      </w:r>
      <w:r w:rsidR="00C20005">
        <w:t xml:space="preserve"> accommodation is demonstrated </w:t>
      </w:r>
      <w:r>
        <w:t xml:space="preserve">for an </w:t>
      </w:r>
      <w:r w:rsidR="00C20005">
        <w:t xml:space="preserve">indispensable </w:t>
      </w:r>
      <w:r>
        <w:t xml:space="preserve">participant, </w:t>
      </w:r>
      <w:r>
        <w:t xml:space="preserve">the alternative would have been to move for a continuance and argue its appropriateness.  Shuttle Express clearly does not have “good and sufficient cause” to reopen the hearing pursuant to the </w:t>
      </w:r>
      <w:r>
        <w:t>above Commission</w:t>
      </w:r>
      <w:r>
        <w:t xml:space="preserve"> r</w:t>
      </w:r>
      <w:r>
        <w:t xml:space="preserve">ule.  </w:t>
      </w:r>
      <w:r w:rsidR="00C20005">
        <w:t>In summary</w:t>
      </w:r>
      <w:r>
        <w:t>, Shuttle Express:</w:t>
      </w:r>
      <w:r>
        <w:t xml:space="preserve"> 1) was aware of the evidence to be presented long in advance of the hearing but elected after the fact to seek its introduction attached to a Motion to Reopen, 2) had two</w:t>
      </w:r>
      <w:r>
        <w:t>,</w:t>
      </w:r>
      <w:r>
        <w:t xml:space="preserve"> not one</w:t>
      </w:r>
      <w:r>
        <w:t>,</w:t>
      </w:r>
      <w:r>
        <w:t xml:space="preserve"> qualified representatives at the hearing only one of wh</w:t>
      </w:r>
      <w:r w:rsidR="00C20005">
        <w:t>om</w:t>
      </w:r>
      <w:r>
        <w:t xml:space="preserve"> suffered from a temporal hearing loss</w:t>
      </w:r>
      <w:r>
        <w:t>,</w:t>
      </w:r>
      <w:r>
        <w:t xml:space="preserve"> and 3) failed to req</w:t>
      </w:r>
      <w:r w:rsidR="009B547C">
        <w:t xml:space="preserve">uest </w:t>
      </w:r>
      <w:r w:rsidR="00E32D53">
        <w:t xml:space="preserve">and argue in support of </w:t>
      </w:r>
      <w:r w:rsidR="009B547C">
        <w:t>a continuance in light of the</w:t>
      </w:r>
      <w:r>
        <w:t xml:space="preserve"> alleged lack of accommodation.  For all of these reasons, again, this </w:t>
      </w:r>
      <w:r>
        <w:t xml:space="preserve">effort </w:t>
      </w:r>
      <w:r>
        <w:t>should fail.</w:t>
      </w:r>
    </w:p>
    <w:p w:rsidR="00800616" w:rsidRPr="00800616" w:rsidP="004936EB">
      <w:pPr>
        <w:pStyle w:val="Heading3"/>
        <w:ind w:left="360"/>
      </w:pPr>
      <w:r w:rsidRPr="00FE1CEA">
        <w:rPr>
          <w:szCs w:val="24"/>
        </w:rPr>
        <w:t>There</w:t>
      </w:r>
      <w:r>
        <w:t xml:space="preserve"> is No Supportable Basis for Shuttle Express to Reopen the Record Here</w:t>
      </w:r>
      <w:r w:rsidR="009B547C">
        <w:t>.</w:t>
      </w:r>
    </w:p>
    <w:p w:rsidR="00713669" w:rsidP="00E75BE4">
      <w:pPr>
        <w:pStyle w:val="Heading2"/>
      </w:pPr>
      <w:r>
        <w:tab/>
        <w:t>The Commission has previously dealt with and articulated bases for Motions to Reopen.  A petition/motion to reopen should show circumstances not reasonably foreseeable during the presentation of evidence.  Order</w:t>
      </w:r>
      <w:r w:rsidR="0077430B">
        <w:t xml:space="preserve"> M.V. No. 126785, </w:t>
      </w:r>
      <w:r w:rsidR="0077430B">
        <w:rPr>
          <w:i/>
        </w:rPr>
        <w:t>In re John A. Huffman/Rich’s Hauling Service</w:t>
      </w:r>
      <w:r w:rsidR="0077430B">
        <w:t>, App. P-65687 (April 1983)</w:t>
      </w:r>
      <w:r w:rsidR="004936EB">
        <w:t>,</w:t>
      </w:r>
      <w:r w:rsidR="0077430B">
        <w:t xml:space="preserve"> where the Commission also noted it looked by analogy at CR 59(a) to determine whether reopening is appropriate.  Shuttle Express has </w:t>
      </w:r>
      <w:r w:rsidR="00E5244F">
        <w:t xml:space="preserve">not </w:t>
      </w:r>
      <w:r w:rsidR="0077430B">
        <w:t xml:space="preserve">attempted to claim that the </w:t>
      </w:r>
      <w:r w:rsidR="00FE1CEA">
        <w:t>customer attrition evidence</w:t>
      </w:r>
      <w:r w:rsidR="0077430B">
        <w:t xml:space="preserve"> it seeks to present was unforeseeable, unavailable or </w:t>
      </w:r>
      <w:r w:rsidR="0077430B">
        <w:t xml:space="preserve">newly discovered so that it was not able to be produced at the time of hearing.  Indeed, the data and the customer count figures it seeks to supply over </w:t>
      </w:r>
      <w:r w:rsidR="00E75BE4">
        <w:t xml:space="preserve">two </w:t>
      </w:r>
      <w:r w:rsidR="0077430B">
        <w:t xml:space="preserve">years </w:t>
      </w:r>
      <w:r w:rsidR="00FE1CEA">
        <w:t xml:space="preserve">were </w:t>
      </w:r>
      <w:r w:rsidR="0077430B">
        <w:t xml:space="preserve">all likely available at the exhibit </w:t>
      </w:r>
      <w:r w:rsidR="00E5244F">
        <w:t xml:space="preserve">filing </w:t>
      </w:r>
      <w:r w:rsidR="0077430B">
        <w:t>deadline</w:t>
      </w:r>
      <w:r w:rsidR="004A1492">
        <w:t xml:space="preserve">. </w:t>
      </w:r>
      <w:r w:rsidR="0077430B">
        <w:t xml:space="preserve"> </w:t>
      </w:r>
      <w:r w:rsidR="004A1492">
        <w:t>T</w:t>
      </w:r>
      <w:r w:rsidR="0077430B">
        <w:t xml:space="preserve">he </w:t>
      </w:r>
      <w:r w:rsidR="00E75BE4">
        <w:t xml:space="preserve">month’s end </w:t>
      </w:r>
      <w:r w:rsidR="0077430B">
        <w:t xml:space="preserve">December, 2014 information could have been supplied by the date of the hearing or </w:t>
      </w:r>
      <w:r w:rsidR="00E75BE4">
        <w:t>been the subject of a late-</w:t>
      </w:r>
      <w:r w:rsidR="0077430B">
        <w:t xml:space="preserve">filed </w:t>
      </w:r>
      <w:r w:rsidR="00FE1CEA">
        <w:t>e</w:t>
      </w:r>
      <w:r w:rsidR="0077430B">
        <w:t xml:space="preserve">xhibit Motion.  </w:t>
      </w:r>
    </w:p>
    <w:p w:rsidR="00E75BE4" w:rsidRPr="004936EB" w:rsidP="00E75BE4">
      <w:pPr>
        <w:pStyle w:val="Heading2"/>
      </w:pPr>
      <w:r>
        <w:tab/>
      </w:r>
      <w:r w:rsidR="0077430B">
        <w:t xml:space="preserve">A request for reopening to supplement the record with evidence </w:t>
      </w:r>
      <w:r w:rsidR="00C20005">
        <w:t>which was reasonably</w:t>
      </w:r>
      <w:r w:rsidR="0077430B">
        <w:t xml:space="preserve"> available at the time of the hearing will be denied.  </w:t>
      </w:r>
      <w:r w:rsidR="00F6369E">
        <w:rPr>
          <w:i/>
        </w:rPr>
        <w:t>Thurston County v. Burlington Northern Railroad,</w:t>
      </w:r>
      <w:r w:rsidR="00F6369E">
        <w:t xml:space="preserve"> TR-1930 (Aug. 1988).  </w:t>
      </w:r>
      <w:r w:rsidRPr="004936EB">
        <w:t>Reopening to receive additional evidence will be denied when the additional evidence is not essential to a decision and the evidence was available or reasonabl</w:t>
      </w:r>
      <w:r w:rsidR="00C20005">
        <w:t>y</w:t>
      </w:r>
      <w:r w:rsidRPr="004936EB">
        <w:t xml:space="preserve"> discoverable at the time of the hearing.  Order M.V. No. 140608, </w:t>
      </w:r>
      <w:r w:rsidRPr="004936EB">
        <w:rPr>
          <w:i/>
        </w:rPr>
        <w:t>WUTC v. Ro</w:t>
      </w:r>
      <w:r w:rsidR="004A1492">
        <w:rPr>
          <w:i/>
        </w:rPr>
        <w:t>n</w:t>
      </w:r>
      <w:r w:rsidRPr="004936EB">
        <w:rPr>
          <w:i/>
        </w:rPr>
        <w:t>tra Freight,</w:t>
      </w:r>
      <w:r w:rsidRPr="004936EB">
        <w:t xml:space="preserve"> H-4990 (Dec. 1989).</w:t>
      </w:r>
      <w:r>
        <w:rPr>
          <w:rStyle w:val="FootnoteReference"/>
        </w:rPr>
        <w:footnoteReference w:id="5"/>
      </w:r>
    </w:p>
    <w:p w:rsidR="0077430B" w:rsidP="00274507">
      <w:pPr>
        <w:pStyle w:val="Heading2"/>
      </w:pPr>
      <w:r>
        <w:tab/>
        <w:t xml:space="preserve">Indeed, the Commission has been consistent in resisting litigants who want another bite of the apple once an </w:t>
      </w:r>
      <w:r w:rsidR="00FE1CEA">
        <w:t>application O</w:t>
      </w:r>
      <w:r>
        <w:t>rder is entered from augmenting their presentation with evidence available at the</w:t>
      </w:r>
      <w:r w:rsidR="009D2013">
        <w:t xml:space="preserve"> time of the hearing.  Such “do overs” unquestionably protract proceedings and should be particularly eschewed in streamline</w:t>
      </w:r>
      <w:r w:rsidR="00E32D53">
        <w:t>d brief adjudicative proceeding settings:</w:t>
      </w:r>
    </w:p>
    <w:p w:rsidR="009D2013" w:rsidRPr="009D2013" w:rsidP="009D2013">
      <w:pPr>
        <w:pStyle w:val="Quote"/>
        <w:rPr>
          <w:rFonts w:ascii="Times New Roman" w:hAnsi="Times New Roman" w:cs="Times New Roman"/>
        </w:rPr>
      </w:pPr>
      <w:r>
        <w:rPr>
          <w:rFonts w:ascii="Times New Roman" w:hAnsi="Times New Roman" w:cs="Times New Roman"/>
        </w:rPr>
        <w:t>There is no reason shown for reopening except that the Commission found applicant’s case sufficient for a….grant of authority and protestant wants to supplement its case with evidence that was available at the time of the hearing.  That is not sufficient reason for reopening.</w:t>
      </w:r>
      <w:r>
        <w:rPr>
          <w:rStyle w:val="FootnoteReference"/>
          <w:rFonts w:ascii="Times New Roman" w:hAnsi="Times New Roman" w:cs="Times New Roman"/>
        </w:rPr>
        <w:footnoteReference w:id="6"/>
      </w:r>
    </w:p>
    <w:p w:rsidR="00FE1CEA" w:rsidRPr="00FE1CEA" w:rsidP="004936EB">
      <w:pPr>
        <w:pStyle w:val="Heading3"/>
        <w:ind w:left="360"/>
      </w:pPr>
      <w:r w:rsidRPr="00FE1CEA">
        <w:rPr>
          <w:rFonts w:cs="Times New Roman"/>
          <w:szCs w:val="24"/>
        </w:rPr>
        <w:t xml:space="preserve">Even Should the Commission </w:t>
      </w:r>
      <w:r w:rsidR="00E75BE4">
        <w:rPr>
          <w:rFonts w:cs="Times New Roman"/>
          <w:szCs w:val="24"/>
        </w:rPr>
        <w:t xml:space="preserve">Here </w:t>
      </w:r>
      <w:r w:rsidRPr="00FE1CEA">
        <w:rPr>
          <w:rFonts w:cs="Times New Roman"/>
          <w:szCs w:val="24"/>
        </w:rPr>
        <w:t>Consider the Proffered Evidence</w:t>
      </w:r>
      <w:r w:rsidR="00E75BE4">
        <w:rPr>
          <w:rFonts w:cs="Times New Roman"/>
          <w:szCs w:val="24"/>
        </w:rPr>
        <w:t>,</w:t>
      </w:r>
      <w:r w:rsidRPr="00FE1CEA">
        <w:rPr>
          <w:rFonts w:cs="Times New Roman"/>
          <w:szCs w:val="24"/>
        </w:rPr>
        <w:t xml:space="preserve"> it has no Probative Value.</w:t>
      </w:r>
    </w:p>
    <w:p w:rsidR="009C290E" w:rsidP="00274507">
      <w:pPr>
        <w:pStyle w:val="Heading2"/>
      </w:pPr>
      <w:r>
        <w:tab/>
      </w:r>
      <w:r w:rsidR="009D2013">
        <w:t xml:space="preserve">In the unlikely event the Commission somehow allows reopening here, the Applicant would note that Shuttle Express’s new evidence does nothing more than </w:t>
      </w:r>
      <w:r w:rsidR="00B16735">
        <w:t xml:space="preserve">suggest </w:t>
      </w:r>
      <w:r w:rsidR="009D2013">
        <w:t xml:space="preserve">its </w:t>
      </w:r>
      <w:r w:rsidR="00713669">
        <w:t xml:space="preserve">passenger volume </w:t>
      </w:r>
      <w:r w:rsidR="009D2013">
        <w:t>in the requested territory purport</w:t>
      </w:r>
      <w:r w:rsidR="00713669">
        <w:t>s</w:t>
      </w:r>
      <w:r w:rsidR="009D2013">
        <w:t xml:space="preserve"> to show declines in the past two calendar years.  </w:t>
      </w:r>
      <w:r w:rsidR="00B16735">
        <w:t xml:space="preserve">As verified on </w:t>
      </w:r>
      <w:r w:rsidR="009D2013">
        <w:t>the</w:t>
      </w:r>
      <w:r w:rsidR="00FE1CEA">
        <w:t xml:space="preserve"> Commission’s website, Shuttle E</w:t>
      </w:r>
      <w:r w:rsidR="009D2013">
        <w:t>xpress has revised its tariffs in that</w:t>
      </w:r>
      <w:r>
        <w:t xml:space="preserve"> same </w:t>
      </w:r>
      <w:r w:rsidR="009D2013">
        <w:t>interval and has elected fare flexibility in 2013 as provided by the auto transportation rule revision</w:t>
      </w:r>
      <w:r w:rsidR="00FE1CEA">
        <w:t>s</w:t>
      </w:r>
      <w:r w:rsidR="009D2013">
        <w:t xml:space="preserve">.  The reasons for that </w:t>
      </w:r>
      <w:r w:rsidR="00FE1CEA">
        <w:t>diminution in</w:t>
      </w:r>
      <w:r w:rsidR="009D2013">
        <w:t xml:space="preserve"> customer count </w:t>
      </w:r>
      <w:r w:rsidR="009A27E0">
        <w:t>could</w:t>
      </w:r>
      <w:r w:rsidR="009D2013">
        <w:t xml:space="preserve"> </w:t>
      </w:r>
      <w:r w:rsidR="009A27E0">
        <w:t>be</w:t>
      </w:r>
      <w:r w:rsidR="009D2013">
        <w:t xml:space="preserve"> legion:  service quality degradation, </w:t>
      </w:r>
      <w:r w:rsidR="00B16735">
        <w:t>rate</w:t>
      </w:r>
      <w:r w:rsidR="00713669">
        <w:t xml:space="preserve"> changes</w:t>
      </w:r>
      <w:r w:rsidR="00B16735">
        <w:t xml:space="preserve">, </w:t>
      </w:r>
      <w:r w:rsidR="009D2013">
        <w:t xml:space="preserve">Shuttle Express’s </w:t>
      </w:r>
      <w:r w:rsidR="00FE1CEA">
        <w:t xml:space="preserve">sizeable </w:t>
      </w:r>
      <w:r w:rsidR="009D2013">
        <w:t>regulatory fine</w:t>
      </w:r>
      <w:r w:rsidR="00FE1CEA">
        <w:t>s</w:t>
      </w:r>
      <w:r w:rsidR="009D2013">
        <w:t xml:space="preserve"> and possible notoriety through the proceeding in Docket No. TC-120323 and the proliferation of unregulated competition that it cites to at page 2 of its Motion to Reopen</w:t>
      </w:r>
      <w:r w:rsidR="00FE1CEA">
        <w:t>,</w:t>
      </w:r>
      <w:r w:rsidR="009D2013">
        <w:t xml:space="preserve"> amongst others.</w:t>
      </w:r>
      <w:r w:rsidR="00FE1CEA">
        <w:t xml:space="preserve"> </w:t>
      </w:r>
    </w:p>
    <w:p w:rsidR="00FE1CEA" w:rsidP="00274507">
      <w:pPr>
        <w:pStyle w:val="Heading2"/>
      </w:pPr>
      <w:r>
        <w:tab/>
      </w:r>
      <w:r w:rsidR="00B16735">
        <w:t xml:space="preserve">Shuttle Express also appears to suggest </w:t>
      </w:r>
      <w:r w:rsidR="00713669">
        <w:t xml:space="preserve">in its Motion </w:t>
      </w:r>
      <w:r w:rsidR="00B16735">
        <w:t xml:space="preserve">that the latter unregulated competition growth </w:t>
      </w:r>
      <w:r w:rsidR="00785A13">
        <w:t xml:space="preserve">factor </w:t>
      </w:r>
      <w:r w:rsidR="00B16735">
        <w:t xml:space="preserve">should trigger renewed regulatory controls on entry.  </w:t>
      </w:r>
      <w:r>
        <w:t>Once again</w:t>
      </w:r>
      <w:r w:rsidR="00713669">
        <w:t>,</w:t>
      </w:r>
      <w:r>
        <w:t xml:space="preserve"> the Commission has addressed this concern in General Order R-572 </w:t>
      </w:r>
      <w:r w:rsidR="00713669">
        <w:t xml:space="preserve">that </w:t>
      </w:r>
      <w:r>
        <w:t xml:space="preserve">revised the intrastate auto transportation rules and found, </w:t>
      </w:r>
      <w:r>
        <w:rPr>
          <w:i/>
        </w:rPr>
        <w:t>inter alia</w:t>
      </w:r>
      <w:r w:rsidR="00E32D53">
        <w:t>, that</w:t>
      </w:r>
    </w:p>
    <w:p w:rsidR="009D2013" w:rsidP="00FE1CEA">
      <w:pPr>
        <w:pStyle w:val="Quote"/>
      </w:pPr>
      <w:r w:rsidRPr="00FE1CEA">
        <w:rPr>
          <w:rFonts w:ascii="Times New Roman" w:hAnsi="Times New Roman" w:cs="Times New Roman"/>
        </w:rPr>
        <w:t>it has determined auto transportation companies opera</w:t>
      </w:r>
      <w:r w:rsidR="003B33EE">
        <w:rPr>
          <w:rFonts w:ascii="Times New Roman" w:hAnsi="Times New Roman" w:cs="Times New Roman"/>
        </w:rPr>
        <w:t xml:space="preserve">te within a competitive market </w:t>
      </w:r>
      <w:r w:rsidRPr="00FE1CEA">
        <w:rPr>
          <w:rFonts w:ascii="Times New Roman" w:hAnsi="Times New Roman" w:cs="Times New Roman"/>
        </w:rPr>
        <w:t>for passenger service in the state.  Man</w:t>
      </w:r>
      <w:r w:rsidR="003B33EE">
        <w:rPr>
          <w:rFonts w:ascii="Times New Roman" w:hAnsi="Times New Roman" w:cs="Times New Roman"/>
        </w:rPr>
        <w:t>y</w:t>
      </w:r>
      <w:r w:rsidRPr="00FE1CEA">
        <w:rPr>
          <w:rFonts w:ascii="Times New Roman" w:hAnsi="Times New Roman" w:cs="Times New Roman"/>
        </w:rPr>
        <w:t xml:space="preserve"> alternatives to auto transportation company service exist, including taxis, limousines, public transit, rail or intrastate airline service.  Individuals may drive to SeaTac International Airport and park at the Port of Seattle or in one of the many </w:t>
      </w:r>
      <w:r w:rsidRPr="00FE1CEA" w:rsidR="009A27E0">
        <w:rPr>
          <w:rFonts w:ascii="Times New Roman" w:hAnsi="Times New Roman" w:cs="Times New Roman"/>
        </w:rPr>
        <w:t>private</w:t>
      </w:r>
      <w:r w:rsidR="00FE1CEA">
        <w:rPr>
          <w:rFonts w:ascii="Times New Roman" w:hAnsi="Times New Roman" w:cs="Times New Roman"/>
        </w:rPr>
        <w:t xml:space="preserve"> lots.  They may</w:t>
      </w:r>
      <w:r w:rsidRPr="00FE1CEA">
        <w:rPr>
          <w:rFonts w:ascii="Times New Roman" w:hAnsi="Times New Roman" w:cs="Times New Roman"/>
        </w:rPr>
        <w:t xml:space="preserve"> also obtain rides from family or friends</w:t>
      </w:r>
      <w:r>
        <w:t>.</w:t>
      </w:r>
      <w:r>
        <w:rPr>
          <w:rStyle w:val="FootnoteReference"/>
        </w:rPr>
        <w:footnoteReference w:id="7"/>
      </w:r>
    </w:p>
    <w:p w:rsidR="009A27E0" w:rsidP="00274507">
      <w:pPr>
        <w:pStyle w:val="Heading2"/>
      </w:pPr>
      <w:r>
        <w:tab/>
        <w:t xml:space="preserve">Shuttle Express’s apparent answer to this evolving competitive </w:t>
      </w:r>
      <w:r w:rsidR="003B33EE">
        <w:t xml:space="preserve">reality is </w:t>
      </w:r>
      <w:r w:rsidR="00713669">
        <w:t xml:space="preserve">simultaneously </w:t>
      </w:r>
      <w:r w:rsidR="003B33EE">
        <w:t xml:space="preserve">to seek to gain the advantage </w:t>
      </w:r>
      <w:r>
        <w:t xml:space="preserve">of a new </w:t>
      </w:r>
      <w:r w:rsidR="003B33EE">
        <w:t xml:space="preserve">rate </w:t>
      </w:r>
      <w:r>
        <w:t xml:space="preserve">regulatory flexibility mechanism but argue here that the Applicants proposed service model should be </w:t>
      </w:r>
      <w:r w:rsidR="003B33EE">
        <w:t xml:space="preserve">thwarted </w:t>
      </w:r>
      <w:r>
        <w:t xml:space="preserve">by return to an entry analysis attuned to a primary focus on the impact of additional </w:t>
      </w:r>
      <w:r w:rsidR="00713669">
        <w:t xml:space="preserve">authorized </w:t>
      </w:r>
      <w:r>
        <w:t xml:space="preserve">service on incumbent regulated providers.  Unfortunately for Shuttle </w:t>
      </w:r>
      <w:r w:rsidR="003B33EE">
        <w:t>E</w:t>
      </w:r>
      <w:r>
        <w:t>xpress</w:t>
      </w:r>
      <w:r w:rsidR="003B33EE">
        <w:t>,</w:t>
      </w:r>
      <w:r>
        <w:t xml:space="preserve"> that regulatory focus has shifted and the </w:t>
      </w:r>
      <w:r>
        <w:t>Commission has implemented a policy “to promote competition in the auto transportation industry.”</w:t>
      </w:r>
      <w:r>
        <w:rPr>
          <w:rStyle w:val="FootnoteReference"/>
        </w:rPr>
        <w:footnoteReference w:id="8"/>
      </w:r>
      <w:r>
        <w:t xml:space="preserve">  Even if Shuttle Express could somehow</w:t>
      </w:r>
      <w:r w:rsidR="003B33EE">
        <w:t xml:space="preserve"> put the traditional entry model genie back in the proverbial regulatory bottle and </w:t>
      </w:r>
      <w:r>
        <w:t xml:space="preserve">connect its purported regulated </w:t>
      </w:r>
      <w:r w:rsidR="00E32D53">
        <w:t>customer</w:t>
      </w:r>
      <w:r>
        <w:t xml:space="preserve"> declines to the prospect of additional competition in the regulated marketplace</w:t>
      </w:r>
      <w:r w:rsidR="003B33EE">
        <w:t>,</w:t>
      </w:r>
      <w:r>
        <w:t xml:space="preserve"> this could not overcome the </w:t>
      </w:r>
      <w:r w:rsidR="00E75BE4">
        <w:t xml:space="preserve">findings on the </w:t>
      </w:r>
      <w:r>
        <w:t>focal legal issues featured in</w:t>
      </w:r>
      <w:r w:rsidR="00B16735">
        <w:t xml:space="preserve"> Order 02 </w:t>
      </w:r>
      <w:r w:rsidR="00785A13">
        <w:t xml:space="preserve">under </w:t>
      </w:r>
      <w:r>
        <w:t>WAC 480-30-136 and WAC 480-30-140</w:t>
      </w:r>
      <w:r w:rsidR="000B0484">
        <w:t xml:space="preserve"> and</w:t>
      </w:r>
      <w:r w:rsidR="00E32D53">
        <w:t xml:space="preserve"> which will </w:t>
      </w:r>
      <w:r w:rsidR="00785A13">
        <w:t xml:space="preserve">be </w:t>
      </w:r>
      <w:r w:rsidR="00B16735">
        <w:t xml:space="preserve">addressed </w:t>
      </w:r>
      <w:r w:rsidR="00E32D53">
        <w:t xml:space="preserve">in detail </w:t>
      </w:r>
      <w:r w:rsidR="00B16735">
        <w:t>in the Applicant’s Answer to Petition for Administrative Review</w:t>
      </w:r>
      <w:r>
        <w:t xml:space="preserve">.  </w:t>
      </w:r>
    </w:p>
    <w:p w:rsidR="009A27E0" w:rsidP="00274507">
      <w:pPr>
        <w:pStyle w:val="Heading2"/>
      </w:pPr>
      <w:r>
        <w:tab/>
        <w:t xml:space="preserve">For all of the above reasons, </w:t>
      </w:r>
      <w:r w:rsidR="004414E1">
        <w:t xml:space="preserve">Applicant asks that </w:t>
      </w:r>
      <w:r>
        <w:t xml:space="preserve">Shuttle Express’s Motion to Reopen </w:t>
      </w:r>
      <w:r w:rsidR="00053F98">
        <w:t xml:space="preserve">the Record </w:t>
      </w:r>
      <w:bookmarkStart w:id="0" w:name="_GoBack"/>
      <w:bookmarkEnd w:id="0"/>
      <w:r>
        <w:t>be denied.</w:t>
      </w:r>
    </w:p>
    <w:p w:rsidR="00E75BE4" w:rsidP="00F433D6">
      <w:pPr>
        <w:pStyle w:val="StyleListParagraphLinespacingDouble"/>
        <w:rPr>
          <w:szCs w:val="24"/>
        </w:rPr>
      </w:pPr>
    </w:p>
    <w:p w:rsidR="006F59AE" w:rsidRPr="00757D1F" w:rsidP="00F433D6">
      <w:pPr>
        <w:pStyle w:val="StyleListParagraphLinespacingDouble"/>
      </w:pPr>
      <w:r w:rsidRPr="00757D1F">
        <w:rPr>
          <w:szCs w:val="24"/>
        </w:rPr>
        <w:t xml:space="preserve">DATED this </w:t>
      </w:r>
      <w:r w:rsidR="00703380">
        <w:rPr>
          <w:szCs w:val="24"/>
        </w:rPr>
        <w:t>17</w:t>
      </w:r>
      <w:r w:rsidRPr="00703380" w:rsidR="00703380">
        <w:rPr>
          <w:szCs w:val="24"/>
          <w:vertAlign w:val="superscript"/>
        </w:rPr>
        <w:t>th</w:t>
      </w:r>
      <w:r w:rsidR="00703380">
        <w:rPr>
          <w:szCs w:val="24"/>
        </w:rPr>
        <w:t xml:space="preserve"> </w:t>
      </w:r>
      <w:r w:rsidRPr="00757D1F">
        <w:t xml:space="preserve">day of </w:t>
      </w:r>
      <w:r w:rsidRPr="00757D1F" w:rsidR="00787DD8">
        <w:t>February, 2015</w:t>
      </w:r>
      <w:r w:rsidRPr="00757D1F">
        <w:t>.</w:t>
      </w:r>
    </w:p>
    <w:tbl>
      <w:tblPr>
        <w:tblW w:w="0" w:type="auto"/>
        <w:tblLayout w:type="fixed"/>
        <w:tblLook w:val="0000"/>
      </w:tblPr>
      <w:tblGrid>
        <w:gridCol w:w="4698"/>
        <w:gridCol w:w="4860"/>
      </w:tblGrid>
      <w:tr w:rsidTr="009B30C3">
        <w:tblPrEx>
          <w:tblW w:w="0" w:type="auto"/>
          <w:tblLayout w:type="fixed"/>
          <w:tblLook w:val="0000"/>
        </w:tblPrEx>
        <w:trPr>
          <w:cantSplit/>
        </w:trPr>
        <w:tc>
          <w:tcPr>
            <w:tcW w:w="4698" w:type="dxa"/>
          </w:tcPr>
          <w:p w:rsidR="006F59AE" w:rsidRPr="00712413" w:rsidP="009B30C3">
            <w:pPr>
              <w:keepNext/>
              <w:tabs>
                <w:tab w:val="left" w:pos="432"/>
              </w:tabs>
              <w:spacing w:line="240" w:lineRule="exact"/>
              <w:rPr>
                <w:rFonts w:ascii="Times New Roman" w:hAnsi="Times New Roman"/>
                <w:sz w:val="20"/>
                <w:szCs w:val="20"/>
              </w:rPr>
            </w:pPr>
          </w:p>
        </w:tc>
        <w:tc>
          <w:tcPr>
            <w:tcW w:w="4860" w:type="dxa"/>
          </w:tcPr>
          <w:p w:rsidR="006F59AE" w:rsidP="009B30C3">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6F59AE" w:rsidRPr="00712413" w:rsidP="009B30C3">
            <w:pPr>
              <w:keepNext/>
              <w:spacing w:line="240" w:lineRule="exact"/>
              <w:rPr>
                <w:rFonts w:ascii="Times New Roman" w:hAnsi="Times New Roman"/>
                <w:caps/>
                <w:sz w:val="20"/>
                <w:szCs w:val="20"/>
              </w:rPr>
            </w:pPr>
          </w:p>
          <w:p w:rsidR="006F59AE" w:rsidRPr="00712413" w:rsidP="009B30C3">
            <w:pPr>
              <w:keepNext/>
              <w:spacing w:line="240" w:lineRule="exact"/>
              <w:rPr>
                <w:rFonts w:ascii="Times New Roman" w:hAnsi="Times New Roman"/>
                <w:caps/>
                <w:sz w:val="20"/>
                <w:szCs w:val="20"/>
              </w:rPr>
            </w:pPr>
          </w:p>
          <w:p w:rsidR="006F59AE" w:rsidRPr="00712413" w:rsidP="009B30C3">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6F59AE" w:rsidRPr="00712413" w:rsidP="009B30C3">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rsidR="006F59AE" w:rsidRPr="00712413" w:rsidP="009B30C3">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r w:rsidRPr="00712413">
              <w:rPr>
                <w:rStyle w:val="Hyperlink"/>
                <w:rFonts w:ascii="Times New Roman" w:hAnsi="Times New Roman"/>
                <w:sz w:val="20"/>
                <w:szCs w:val="20"/>
              </w:rPr>
              <w:t>dwiley@williamskastner.com</w:t>
            </w:r>
            <w:r w:rsidRPr="00712413">
              <w:rPr>
                <w:rFonts w:ascii="Times New Roman" w:hAnsi="Times New Roman"/>
                <w:sz w:val="20"/>
                <w:szCs w:val="20"/>
              </w:rPr>
              <w:t xml:space="preserve"> </w:t>
            </w:r>
          </w:p>
          <w:p w:rsidR="006F59AE" w:rsidRPr="00712413" w:rsidP="009B30C3">
            <w:pPr>
              <w:keepNext/>
              <w:spacing w:line="240" w:lineRule="exact"/>
              <w:rPr>
                <w:rFonts w:ascii="Times New Roman" w:hAnsi="Times New Roman"/>
              </w:rPr>
            </w:pPr>
            <w:r w:rsidRPr="00712413">
              <w:rPr>
                <w:rFonts w:ascii="Times New Roman" w:hAnsi="Times New Roman"/>
              </w:rPr>
              <w:t xml:space="preserve">Attorneys for </w:t>
            </w:r>
            <w:r>
              <w:rPr>
                <w:rFonts w:ascii="Times New Roman" w:hAnsi="Times New Roman"/>
              </w:rPr>
              <w:t>Speedishuttle Washington, LLC</w:t>
            </w:r>
          </w:p>
        </w:tc>
      </w:tr>
    </w:tbl>
    <w:p w:rsidR="006F59AE" w:rsidP="006F59AE">
      <w:pPr>
        <w:keepNext/>
        <w:keepLines/>
        <w:jc w:val="center"/>
        <w:rPr>
          <w:rFonts w:ascii="Times New Roman" w:hAnsi="Times New Roman"/>
          <w:sz w:val="24"/>
        </w:rPr>
      </w:pPr>
    </w:p>
    <w:p w:rsidR="006F59AE" w:rsidRPr="006F59AE" w:rsidP="00C77CAD">
      <w:pPr>
        <w:pStyle w:val="StyleListParagraphTimesNewRoman12ptLinespacingDouble"/>
      </w:pPr>
    </w:p>
    <w:p w:rsidR="003E3A33" w:rsidRPr="00B37094" w:rsidP="00B37094">
      <w:pPr>
        <w:rPr>
          <w:rFonts w:ascii="Times New Roman" w:hAnsi="Times New Roman" w:cs="Times New Roman"/>
        </w:rPr>
      </w:pPr>
    </w:p>
    <w:p w:rsidR="003E3A33" w:rsidP="003E3A33">
      <w:pPr>
        <w:keepNext/>
        <w:keepLines/>
        <w:jc w:val="center"/>
        <w:rPr>
          <w:rFonts w:ascii="Times New Roman" w:hAnsi="Times New Roman"/>
          <w:sz w:val="24"/>
        </w:rPr>
      </w:pPr>
    </w:p>
    <w:p w:rsidR="00703380" w:rsidP="00C77CAD">
      <w:pPr>
        <w:pStyle w:val="StyleListParagraphTimesNewRoman12ptLinespacingDouble"/>
      </w:pPr>
      <w:r>
        <w:br w:type="page"/>
      </w:r>
    </w:p>
    <w:p w:rsidR="00703380" w:rsidRPr="00316687" w:rsidP="00703380">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t>CERTIFICATE OF SERVICE</w:t>
      </w:r>
    </w:p>
    <w:p w:rsidR="00703380" w:rsidRPr="00316687" w:rsidP="00703380">
      <w:pPr>
        <w:rPr>
          <w:rFonts w:ascii="Times New Roman" w:hAnsi="Times New Roman" w:cs="Times New Roman"/>
          <w:sz w:val="24"/>
          <w:szCs w:val="24"/>
        </w:rPr>
      </w:pPr>
      <w:r w:rsidRPr="00316687">
        <w:rPr>
          <w:rFonts w:ascii="Times New Roman" w:hAnsi="Times New Roman" w:cs="Times New Roman"/>
          <w:sz w:val="24"/>
          <w:szCs w:val="24"/>
        </w:rPr>
        <w:tab/>
        <w:t xml:space="preserve">I hereby certify that on </w:t>
      </w:r>
      <w:r>
        <w:rPr>
          <w:rFonts w:ascii="Times New Roman" w:hAnsi="Times New Roman" w:cs="Times New Roman"/>
          <w:sz w:val="24"/>
          <w:szCs w:val="24"/>
        </w:rPr>
        <w:t>February 17, 2015</w:t>
      </w:r>
      <w:r w:rsidRPr="00316687">
        <w:rPr>
          <w:rFonts w:ascii="Times New Roman" w:hAnsi="Times New Roman" w:cs="Times New Roman"/>
          <w:sz w:val="24"/>
          <w:szCs w:val="24"/>
        </w:rPr>
        <w:t>, I caused</w:t>
      </w:r>
      <w:r>
        <w:rPr>
          <w:rFonts w:ascii="Times New Roman" w:hAnsi="Times New Roman" w:cs="Times New Roman"/>
          <w:sz w:val="24"/>
          <w:szCs w:val="24"/>
        </w:rPr>
        <w:t xml:space="preserve"> to be served the original and three (3</w:t>
      </w:r>
      <w:r w:rsidRPr="00316687">
        <w:rPr>
          <w:rFonts w:ascii="Times New Roman" w:hAnsi="Times New Roman" w:cs="Times New Roman"/>
          <w:sz w:val="24"/>
          <w:szCs w:val="24"/>
        </w:rPr>
        <w:t>) copies of the foregoing document</w:t>
      </w:r>
      <w:r>
        <w:rPr>
          <w:rFonts w:ascii="Times New Roman" w:hAnsi="Times New Roman" w:cs="Times New Roman"/>
          <w:sz w:val="24"/>
          <w:szCs w:val="24"/>
        </w:rPr>
        <w:t>s</w:t>
      </w:r>
      <w:r w:rsidRPr="00316687">
        <w:rPr>
          <w:rFonts w:ascii="Times New Roman" w:hAnsi="Times New Roman" w:cs="Times New Roman"/>
          <w:sz w:val="24"/>
          <w:szCs w:val="24"/>
        </w:rPr>
        <w:t xml:space="preserve"> to the following address via </w:t>
      </w:r>
      <w:r>
        <w:rPr>
          <w:rFonts w:ascii="Times New Roman" w:hAnsi="Times New Roman" w:cs="Times New Roman"/>
          <w:sz w:val="24"/>
          <w:szCs w:val="24"/>
        </w:rPr>
        <w:t>first class mail</w:t>
      </w:r>
      <w:r w:rsidRPr="00316687">
        <w:rPr>
          <w:rFonts w:ascii="Times New Roman" w:hAnsi="Times New Roman" w:cs="Times New Roman"/>
          <w:sz w:val="24"/>
          <w:szCs w:val="24"/>
        </w:rPr>
        <w:t>, to:</w:t>
      </w:r>
    </w:p>
    <w:p w:rsidR="00703380" w:rsidRPr="00316687" w:rsidP="00703380">
      <w:pPr>
        <w:rPr>
          <w:rFonts w:ascii="Times New Roman" w:hAnsi="Times New Roman" w:cs="Times New Roman"/>
          <w:sz w:val="24"/>
          <w:szCs w:val="24"/>
        </w:rPr>
      </w:pPr>
    </w:p>
    <w:p w:rsidR="00703380" w:rsidRPr="00316687" w:rsidP="00703380">
      <w:pPr>
        <w:rPr>
          <w:rFonts w:ascii="Times New Roman" w:hAnsi="Times New Roman" w:cs="Times New Roman"/>
          <w:sz w:val="24"/>
          <w:szCs w:val="24"/>
        </w:rPr>
      </w:pPr>
      <w:r w:rsidRPr="00316687">
        <w:rPr>
          <w:rFonts w:ascii="Times New Roman" w:hAnsi="Times New Roman" w:cs="Times New Roman"/>
          <w:sz w:val="24"/>
          <w:szCs w:val="24"/>
        </w:rPr>
        <w:tab/>
        <w:t>Steven V. King, Executive Director and Secretary</w:t>
      </w:r>
    </w:p>
    <w:p w:rsidR="00703380" w:rsidRPr="00316687" w:rsidP="00703380">
      <w:pPr>
        <w:ind w:firstLine="720"/>
        <w:rPr>
          <w:rFonts w:ascii="Times New Roman" w:hAnsi="Times New Roman" w:cs="Times New Roman"/>
          <w:sz w:val="24"/>
          <w:szCs w:val="24"/>
        </w:rPr>
      </w:pPr>
      <w:r w:rsidRPr="00316687">
        <w:rPr>
          <w:rFonts w:ascii="Times New Roman" w:hAnsi="Times New Roman" w:cs="Times New Roman"/>
          <w:sz w:val="24"/>
          <w:szCs w:val="24"/>
        </w:rPr>
        <w:t>Washington Utilities and Transportation Commission</w:t>
      </w:r>
    </w:p>
    <w:p w:rsidR="00703380" w:rsidRPr="00316687" w:rsidP="00703380">
      <w:pPr>
        <w:ind w:firstLine="720"/>
        <w:rPr>
          <w:rFonts w:ascii="Times New Roman" w:hAnsi="Times New Roman" w:cs="Times New Roman"/>
          <w:sz w:val="24"/>
          <w:szCs w:val="24"/>
        </w:rPr>
      </w:pPr>
      <w:r w:rsidRPr="00316687">
        <w:rPr>
          <w:rFonts w:ascii="Times New Roman" w:hAnsi="Times New Roman" w:cs="Times New Roman"/>
          <w:sz w:val="24"/>
          <w:szCs w:val="24"/>
        </w:rPr>
        <w:t>Attn.:  Records Center</w:t>
      </w:r>
    </w:p>
    <w:p w:rsidR="00703380" w:rsidRPr="00316687" w:rsidP="00703380">
      <w:pPr>
        <w:ind w:firstLine="720"/>
        <w:rPr>
          <w:rFonts w:ascii="Times New Roman" w:hAnsi="Times New Roman" w:cs="Times New Roman"/>
          <w:sz w:val="24"/>
          <w:szCs w:val="24"/>
        </w:rPr>
      </w:pPr>
      <w:r w:rsidRPr="00316687">
        <w:rPr>
          <w:rFonts w:ascii="Times New Roman" w:hAnsi="Times New Roman" w:cs="Times New Roman"/>
          <w:sz w:val="24"/>
          <w:szCs w:val="24"/>
        </w:rPr>
        <w:t>P.O. Box 47250</w:t>
      </w:r>
    </w:p>
    <w:p w:rsidR="00703380" w:rsidRPr="00316687" w:rsidP="00703380">
      <w:pPr>
        <w:ind w:firstLine="720"/>
        <w:rPr>
          <w:rFonts w:ascii="Times New Roman" w:hAnsi="Times New Roman" w:cs="Times New Roman"/>
          <w:sz w:val="24"/>
          <w:szCs w:val="24"/>
        </w:rPr>
      </w:pPr>
      <w:r w:rsidRPr="00316687">
        <w:rPr>
          <w:rFonts w:ascii="Times New Roman" w:hAnsi="Times New Roman" w:cs="Times New Roman"/>
          <w:sz w:val="24"/>
          <w:szCs w:val="24"/>
        </w:rPr>
        <w:t>1300 S. Evergreen Park Dr. SW</w:t>
      </w:r>
    </w:p>
    <w:p w:rsidR="00703380" w:rsidRPr="00316687" w:rsidP="00703380">
      <w:pPr>
        <w:ind w:firstLine="720"/>
        <w:rPr>
          <w:rFonts w:ascii="Times New Roman" w:hAnsi="Times New Roman" w:cs="Times New Roman"/>
          <w:sz w:val="24"/>
          <w:szCs w:val="24"/>
        </w:rPr>
      </w:pPr>
      <w:r w:rsidRPr="00316687">
        <w:rPr>
          <w:rFonts w:ascii="Times New Roman" w:hAnsi="Times New Roman" w:cs="Times New Roman"/>
          <w:sz w:val="24"/>
          <w:szCs w:val="24"/>
        </w:rPr>
        <w:t>Olympia, WA 98504-7250</w:t>
      </w:r>
    </w:p>
    <w:p w:rsidR="00703380" w:rsidRPr="00316687" w:rsidP="00703380">
      <w:pPr>
        <w:keepNext/>
        <w:keepLines/>
        <w:rPr>
          <w:rFonts w:ascii="Times New Roman" w:hAnsi="Times New Roman" w:cs="Times New Roman"/>
          <w:sz w:val="24"/>
          <w:szCs w:val="24"/>
        </w:rPr>
      </w:pPr>
    </w:p>
    <w:p w:rsidR="00703380" w:rsidRPr="00316687" w:rsidP="00703380">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I </w:t>
      </w:r>
      <w:r>
        <w:rPr>
          <w:rFonts w:ascii="Times New Roman" w:hAnsi="Times New Roman" w:cs="Times New Roman"/>
          <w:sz w:val="24"/>
          <w:szCs w:val="24"/>
        </w:rPr>
        <w:t xml:space="preserve">further </w:t>
      </w:r>
      <w:r w:rsidRPr="00316687">
        <w:rPr>
          <w:rFonts w:ascii="Times New Roman" w:hAnsi="Times New Roman" w:cs="Times New Roman"/>
          <w:sz w:val="24"/>
          <w:szCs w:val="24"/>
        </w:rPr>
        <w:t xml:space="preserve">certify I have also provided to the Washington Utilities and Transportation Commission’s Secretary an official electronic file containing the foregoing document via email to:  </w:t>
      </w:r>
    </w:p>
    <w:p w:rsidR="00703380" w:rsidRPr="00316687" w:rsidP="00703380">
      <w:pPr>
        <w:keepNext/>
        <w:keepLines/>
        <w:rPr>
          <w:rFonts w:ascii="Times New Roman" w:hAnsi="Times New Roman" w:cs="Times New Roman"/>
          <w:sz w:val="24"/>
          <w:szCs w:val="24"/>
        </w:rPr>
      </w:pPr>
      <w:r w:rsidRPr="00316687">
        <w:rPr>
          <w:rFonts w:ascii="Times New Roman" w:hAnsi="Times New Roman" w:cs="Times New Roman"/>
          <w:sz w:val="24"/>
          <w:szCs w:val="24"/>
        </w:rPr>
        <w:t>records@utc.wa.gov</w:t>
      </w:r>
    </w:p>
    <w:p w:rsidR="00703380" w:rsidRPr="00316687" w:rsidP="00703380">
      <w:pPr>
        <w:rPr>
          <w:rFonts w:ascii="Times New Roman" w:hAnsi="Times New Roman" w:cs="Times New Roman"/>
          <w:sz w:val="24"/>
          <w:szCs w:val="24"/>
        </w:rPr>
      </w:pPr>
    </w:p>
    <w:p w:rsidR="00703380" w:rsidRPr="00316687" w:rsidP="00703380">
      <w:pPr>
        <w:keepNext/>
        <w:keepLines/>
        <w:rPr>
          <w:rFonts w:ascii="Times New Roman" w:hAnsi="Times New Roman" w:cs="Times New Roman"/>
          <w:sz w:val="24"/>
          <w:szCs w:val="24"/>
        </w:rPr>
      </w:pPr>
      <w:r w:rsidRPr="00316687">
        <w:rPr>
          <w:rFonts w:ascii="Times New Roman" w:hAnsi="Times New Roman" w:cs="Times New Roman"/>
          <w:sz w:val="24"/>
          <w:szCs w:val="24"/>
        </w:rPr>
        <w:t>and an electronic copy via email and first class mail, postage prepaid, to:</w:t>
      </w:r>
      <w:r w:rsidRPr="00316687">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860"/>
      </w:tblGrid>
      <w:tr w:rsidTr="005B190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38" w:type="dxa"/>
            <w:shd w:val="clear" w:color="auto" w:fill="auto"/>
          </w:tcPr>
          <w:p w:rsidR="00703380" w:rsidRPr="00316687" w:rsidP="005B190D">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703380" w:rsidP="005B190D">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703380" w:rsidRPr="00316687" w:rsidP="005B190D">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703380" w:rsidRPr="00316687" w:rsidP="005B190D">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703380" w:rsidRPr="00316687" w:rsidP="005B190D">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703380" w:rsidRPr="00316687" w:rsidP="005B190D">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703380" w:rsidRPr="00316687" w:rsidP="005B190D">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703380" w:rsidRPr="00316687" w:rsidP="005B190D">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r w:rsidRPr="0014570A">
              <w:rPr>
                <w:rStyle w:val="Hyperlink"/>
                <w:rFonts w:ascii="Times New Roman" w:hAnsi="Times New Roman" w:cs="Times New Roman"/>
                <w:sz w:val="24"/>
                <w:szCs w:val="24"/>
              </w:rPr>
              <w:t>jbeattie@utc.wa.gov</w:t>
            </w:r>
          </w:p>
          <w:p w:rsidR="00703380" w:rsidRPr="00316687" w:rsidP="005B190D">
            <w:pPr>
              <w:keepNext/>
              <w:keepLines/>
              <w:rPr>
                <w:rFonts w:ascii="Times New Roman" w:hAnsi="Times New Roman" w:cs="Times New Roman"/>
                <w:sz w:val="24"/>
                <w:szCs w:val="24"/>
              </w:rPr>
            </w:pPr>
          </w:p>
        </w:tc>
        <w:tc>
          <w:tcPr>
            <w:tcW w:w="4860" w:type="dxa"/>
            <w:shd w:val="clear" w:color="auto" w:fill="auto"/>
          </w:tcPr>
          <w:p w:rsidR="000901BF" w:rsidP="00D26C45">
            <w:pPr>
              <w:keepNext/>
              <w:keepLines/>
              <w:rPr>
                <w:rFonts w:ascii="Times New Roman" w:hAnsi="Times New Roman" w:cs="Times New Roman"/>
                <w:sz w:val="24"/>
                <w:szCs w:val="24"/>
              </w:rPr>
            </w:pPr>
            <w:r>
              <w:rPr>
                <w:rFonts w:ascii="Times New Roman" w:hAnsi="Times New Roman" w:cs="Times New Roman"/>
                <w:sz w:val="24"/>
                <w:szCs w:val="24"/>
              </w:rPr>
              <w:t>Greg Kopta</w:t>
            </w:r>
          </w:p>
          <w:p w:rsidR="000901BF" w:rsidP="00D26C45">
            <w:pPr>
              <w:keepNext/>
              <w:keepLines/>
              <w:rPr>
                <w:rFonts w:ascii="Times New Roman" w:hAnsi="Times New Roman" w:cs="Times New Roman"/>
                <w:sz w:val="24"/>
                <w:szCs w:val="24"/>
              </w:rPr>
            </w:pPr>
            <w:r>
              <w:rPr>
                <w:rFonts w:ascii="Times New Roman" w:hAnsi="Times New Roman" w:cs="Times New Roman"/>
                <w:sz w:val="24"/>
                <w:szCs w:val="24"/>
              </w:rPr>
              <w:t>Director/Administrative Law Judge</w:t>
            </w:r>
          </w:p>
          <w:p w:rsidR="000204F8" w:rsidP="00D26C45">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 W.</w:t>
            </w:r>
          </w:p>
          <w:p w:rsidR="000204F8" w:rsidP="00D26C45">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rsidR="000204F8" w:rsidP="00D26C45">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rsidR="000901BF" w:rsidRPr="000901BF" w:rsidP="00D26C45">
            <w:pPr>
              <w:keepNext/>
              <w:keepLines/>
              <w:rPr>
                <w:rFonts w:ascii="Times New Roman" w:hAnsi="Times New Roman" w:cs="Times New Roman"/>
                <w:sz w:val="24"/>
                <w:szCs w:val="24"/>
              </w:rPr>
            </w:pP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360</w:t>
            </w: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-664-1355</w:t>
            </w:r>
          </w:p>
          <w:p w:rsidR="00703380" w:rsidP="00D26C45">
            <w:pPr>
              <w:keepNext/>
              <w:keepLines/>
              <w:rPr>
                <w:rFonts w:ascii="Times New Roman" w:hAnsi="Times New Roman" w:cs="Times New Roman"/>
                <w:sz w:val="24"/>
                <w:szCs w:val="24"/>
              </w:rPr>
            </w:pPr>
            <w:r w:rsidRPr="007E7EBB">
              <w:rPr>
                <w:rStyle w:val="Hyperlink"/>
                <w:rFonts w:ascii="Times New Roman" w:hAnsi="Times New Roman" w:cs="Times New Roman"/>
                <w:sz w:val="24"/>
                <w:szCs w:val="24"/>
              </w:rPr>
              <w:t>gkopta@utc.wa.gov</w:t>
            </w:r>
          </w:p>
          <w:p w:rsidR="000901BF" w:rsidRPr="00316687" w:rsidP="00D26C45">
            <w:pPr>
              <w:keepNext/>
              <w:keepLines/>
              <w:rPr>
                <w:rFonts w:ascii="Times New Roman" w:hAnsi="Times New Roman" w:cs="Times New Roman"/>
                <w:sz w:val="24"/>
                <w:szCs w:val="24"/>
              </w:rPr>
            </w:pPr>
          </w:p>
        </w:tc>
      </w:tr>
      <w:tr w:rsidTr="005B190D">
        <w:tblPrEx>
          <w:tblW w:w="0" w:type="auto"/>
          <w:tblLook w:val="04A0"/>
        </w:tblPrEx>
        <w:tc>
          <w:tcPr>
            <w:tcW w:w="4338" w:type="dxa"/>
            <w:shd w:val="clear" w:color="auto" w:fill="auto"/>
          </w:tcPr>
          <w:p w:rsidR="00703380" w:rsidP="005B190D">
            <w:pPr>
              <w:keepNext/>
              <w:keepLines/>
              <w:rPr>
                <w:rFonts w:ascii="Times New Roman" w:hAnsi="Times New Roman" w:cs="Times New Roman"/>
                <w:sz w:val="24"/>
                <w:szCs w:val="24"/>
              </w:rPr>
            </w:pPr>
            <w:r>
              <w:rPr>
                <w:rFonts w:ascii="Times New Roman" w:hAnsi="Times New Roman" w:cs="Times New Roman"/>
                <w:sz w:val="24"/>
                <w:szCs w:val="24"/>
              </w:rPr>
              <w:t>Bruce Winchell</w:t>
            </w:r>
          </w:p>
          <w:p w:rsidR="00703380" w:rsidP="005B190D">
            <w:pPr>
              <w:keepNext/>
              <w:keepLines/>
              <w:rPr>
                <w:rFonts w:ascii="Times New Roman" w:hAnsi="Times New Roman" w:cs="Times New Roman"/>
                <w:sz w:val="24"/>
                <w:szCs w:val="24"/>
              </w:rPr>
            </w:pPr>
            <w:r>
              <w:rPr>
                <w:rFonts w:ascii="Times New Roman" w:hAnsi="Times New Roman" w:cs="Times New Roman"/>
                <w:sz w:val="24"/>
                <w:szCs w:val="24"/>
              </w:rPr>
              <w:t>Hunter G. Jeffers</w:t>
            </w:r>
          </w:p>
          <w:p w:rsidR="00703380" w:rsidRPr="00316687" w:rsidP="005B190D">
            <w:pPr>
              <w:keepNext/>
              <w:keepLines/>
              <w:rPr>
                <w:rFonts w:ascii="Times New Roman" w:hAnsi="Times New Roman" w:cs="Times New Roman"/>
                <w:sz w:val="24"/>
                <w:szCs w:val="24"/>
              </w:rPr>
            </w:pPr>
            <w:r>
              <w:rPr>
                <w:rFonts w:ascii="Times New Roman" w:hAnsi="Times New Roman" w:cs="Times New Roman"/>
                <w:sz w:val="24"/>
                <w:szCs w:val="24"/>
              </w:rPr>
              <w:t>Mills Meyers Swartling P.S.</w:t>
            </w:r>
          </w:p>
          <w:p w:rsidR="00703380" w:rsidRPr="00316687" w:rsidP="005B190D">
            <w:pPr>
              <w:keepNext/>
              <w:keepLines/>
              <w:rPr>
                <w:rFonts w:ascii="Times New Roman" w:hAnsi="Times New Roman" w:cs="Times New Roman"/>
                <w:sz w:val="24"/>
                <w:szCs w:val="24"/>
              </w:rPr>
            </w:pPr>
            <w:r>
              <w:rPr>
                <w:rFonts w:ascii="Times New Roman" w:hAnsi="Times New Roman" w:cs="Times New Roman"/>
                <w:sz w:val="24"/>
                <w:szCs w:val="24"/>
              </w:rPr>
              <w:t>1000 Second Ave, 30</w:t>
            </w:r>
            <w:r w:rsidRPr="00E828CF">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703380" w:rsidRPr="00316687" w:rsidP="005B190D">
            <w:pPr>
              <w:keepNext/>
              <w:keepLines/>
              <w:rPr>
                <w:rFonts w:ascii="Times New Roman" w:hAnsi="Times New Roman" w:cs="Times New Roman"/>
                <w:sz w:val="24"/>
                <w:szCs w:val="24"/>
              </w:rPr>
            </w:pPr>
            <w:r>
              <w:rPr>
                <w:rFonts w:ascii="Times New Roman" w:hAnsi="Times New Roman" w:cs="Times New Roman"/>
                <w:sz w:val="24"/>
                <w:szCs w:val="24"/>
              </w:rPr>
              <w:t>Seattle, WA 98104-1064</w:t>
            </w:r>
          </w:p>
          <w:p w:rsidR="00703380" w:rsidRPr="00316687" w:rsidP="005B190D">
            <w:pPr>
              <w:keepNext/>
              <w:keepLines/>
              <w:rPr>
                <w:rFonts w:ascii="Times New Roman" w:hAnsi="Times New Roman" w:cs="Times New Roman"/>
                <w:sz w:val="24"/>
                <w:szCs w:val="24"/>
              </w:rPr>
            </w:pPr>
            <w:r>
              <w:rPr>
                <w:rFonts w:ascii="Times New Roman" w:hAnsi="Times New Roman" w:cs="Times New Roman"/>
                <w:sz w:val="24"/>
                <w:szCs w:val="24"/>
              </w:rPr>
              <w:t>(206) 382-1000</w:t>
            </w:r>
          </w:p>
          <w:p w:rsidR="00703380" w:rsidP="005B190D">
            <w:pPr>
              <w:keepNext/>
              <w:keepLines/>
              <w:rPr>
                <w:rStyle w:val="Hyperlink"/>
                <w:rFonts w:ascii="Times New Roman" w:hAnsi="Times New Roman" w:cs="Times New Roman"/>
                <w:sz w:val="24"/>
                <w:szCs w:val="24"/>
              </w:rPr>
            </w:pPr>
            <w:r w:rsidRPr="00316687">
              <w:rPr>
                <w:rFonts w:ascii="Times New Roman" w:hAnsi="Times New Roman" w:cs="Times New Roman"/>
                <w:sz w:val="24"/>
                <w:szCs w:val="24"/>
              </w:rPr>
              <w:t xml:space="preserve">Email: </w:t>
            </w:r>
            <w:r w:rsidRPr="00171F80">
              <w:rPr>
                <w:rStyle w:val="Hyperlink"/>
                <w:rFonts w:ascii="Times New Roman" w:hAnsi="Times New Roman" w:cs="Times New Roman"/>
                <w:sz w:val="24"/>
                <w:szCs w:val="24"/>
              </w:rPr>
              <w:t>bwinchell@millsmeyers.com</w:t>
            </w:r>
          </w:p>
          <w:p w:rsidR="00703380" w:rsidP="005B190D">
            <w:pPr>
              <w:keepNext/>
              <w:keepLines/>
              <w:rPr>
                <w:rFonts w:ascii="Times New Roman" w:hAnsi="Times New Roman" w:cs="Times New Roman"/>
                <w:sz w:val="24"/>
                <w:szCs w:val="24"/>
              </w:rPr>
            </w:pPr>
            <w:r>
              <w:rPr>
                <w:rFonts w:ascii="Times New Roman" w:hAnsi="Times New Roman" w:cs="Times New Roman"/>
                <w:sz w:val="24"/>
                <w:szCs w:val="24"/>
              </w:rPr>
              <w:t xml:space="preserve">Email: </w:t>
            </w:r>
            <w:r w:rsidRPr="00171F80">
              <w:rPr>
                <w:rStyle w:val="Hyperlink"/>
                <w:rFonts w:ascii="Times New Roman" w:hAnsi="Times New Roman" w:cs="Times New Roman"/>
                <w:sz w:val="24"/>
                <w:szCs w:val="24"/>
              </w:rPr>
              <w:t>hjeffers@millsmeyers.com</w:t>
            </w:r>
          </w:p>
          <w:p w:rsidR="00703380" w:rsidRPr="00316687" w:rsidP="005B190D">
            <w:pPr>
              <w:keepNext/>
              <w:keepLines/>
              <w:rPr>
                <w:rFonts w:ascii="Times New Roman" w:hAnsi="Times New Roman" w:cs="Times New Roman"/>
                <w:sz w:val="24"/>
                <w:szCs w:val="24"/>
              </w:rPr>
            </w:pPr>
          </w:p>
        </w:tc>
        <w:tc>
          <w:tcPr>
            <w:tcW w:w="4860" w:type="dxa"/>
            <w:shd w:val="clear" w:color="auto" w:fill="auto"/>
          </w:tcPr>
          <w:p w:rsidR="000901BF" w:rsidRPr="00316687" w:rsidP="000901BF">
            <w:pPr>
              <w:rPr>
                <w:rFonts w:ascii="Times New Roman" w:hAnsi="Times New Roman" w:cs="Times New Roman"/>
                <w:sz w:val="24"/>
                <w:szCs w:val="24"/>
              </w:rPr>
            </w:pPr>
            <w:r w:rsidRPr="00316687">
              <w:rPr>
                <w:rFonts w:ascii="Times New Roman" w:hAnsi="Times New Roman" w:cs="Times New Roman"/>
                <w:sz w:val="24"/>
                <w:szCs w:val="24"/>
              </w:rPr>
              <w:t>John Fricke</w:t>
            </w:r>
          </w:p>
          <w:p w:rsidR="000901BF" w:rsidRPr="00316687" w:rsidP="000901BF">
            <w:pPr>
              <w:rPr>
                <w:rFonts w:ascii="Times New Roman" w:hAnsi="Times New Roman" w:cs="Times New Roman"/>
                <w:sz w:val="24"/>
                <w:szCs w:val="24"/>
              </w:rPr>
            </w:pPr>
            <w:r w:rsidRPr="00316687">
              <w:rPr>
                <w:rFonts w:ascii="Times New Roman" w:hAnsi="Times New Roman" w:cs="Times New Roman"/>
                <w:sz w:val="24"/>
                <w:szCs w:val="24"/>
              </w:rPr>
              <w:t>Pacific Northwest Transportation Services, Inc.</w:t>
            </w:r>
          </w:p>
          <w:p w:rsidR="000901BF" w:rsidRPr="00316687" w:rsidP="000901BF">
            <w:pPr>
              <w:rPr>
                <w:rFonts w:ascii="Times New Roman" w:hAnsi="Times New Roman" w:cs="Times New Roman"/>
                <w:sz w:val="24"/>
                <w:szCs w:val="24"/>
              </w:rPr>
            </w:pPr>
            <w:r w:rsidRPr="00316687">
              <w:rPr>
                <w:rFonts w:ascii="Times New Roman" w:hAnsi="Times New Roman" w:cs="Times New Roman"/>
                <w:sz w:val="24"/>
                <w:szCs w:val="24"/>
              </w:rPr>
              <w:t>d/b/a Capital Aeroporter Airport Shuttle</w:t>
            </w:r>
          </w:p>
          <w:p w:rsidR="000901BF" w:rsidRPr="00316687" w:rsidP="000901BF">
            <w:pPr>
              <w:rPr>
                <w:rFonts w:ascii="Times New Roman" w:hAnsi="Times New Roman" w:cs="Times New Roman"/>
                <w:sz w:val="24"/>
                <w:szCs w:val="24"/>
              </w:rPr>
            </w:pPr>
            <w:r w:rsidRPr="00316687">
              <w:rPr>
                <w:rFonts w:ascii="Times New Roman" w:hAnsi="Times New Roman" w:cs="Times New Roman"/>
                <w:sz w:val="24"/>
                <w:szCs w:val="24"/>
              </w:rPr>
              <w:t>PO Box 2163</w:t>
            </w:r>
          </w:p>
          <w:p w:rsidR="000901BF" w:rsidRPr="00316687" w:rsidP="000901BF">
            <w:pPr>
              <w:rPr>
                <w:rFonts w:ascii="Times New Roman" w:hAnsi="Times New Roman" w:cs="Times New Roman"/>
                <w:sz w:val="24"/>
                <w:szCs w:val="24"/>
              </w:rPr>
            </w:pPr>
            <w:r w:rsidRPr="00316687">
              <w:rPr>
                <w:rFonts w:ascii="Times New Roman" w:hAnsi="Times New Roman" w:cs="Times New Roman"/>
                <w:sz w:val="24"/>
                <w:szCs w:val="24"/>
              </w:rPr>
              <w:t>Olympia, WA 98507-2163</w:t>
            </w:r>
          </w:p>
          <w:p w:rsidR="000901BF" w:rsidRPr="00316687" w:rsidP="000901BF">
            <w:pPr>
              <w:rPr>
                <w:rFonts w:ascii="Times New Roman" w:hAnsi="Times New Roman" w:cs="Times New Roman"/>
                <w:sz w:val="24"/>
                <w:szCs w:val="24"/>
              </w:rPr>
            </w:pPr>
            <w:r w:rsidRPr="00316687">
              <w:rPr>
                <w:rFonts w:ascii="Times New Roman" w:hAnsi="Times New Roman" w:cs="Times New Roman"/>
                <w:sz w:val="24"/>
                <w:szCs w:val="24"/>
              </w:rPr>
              <w:t>(360) 292-7680</w:t>
            </w:r>
          </w:p>
          <w:p w:rsidR="00703380" w:rsidRPr="00316687" w:rsidP="000901BF">
            <w:pPr>
              <w:keepNext/>
              <w:keepLines/>
              <w:rPr>
                <w:rFonts w:ascii="Times New Roman" w:hAnsi="Times New Roman" w:cs="Times New Roman"/>
                <w:sz w:val="24"/>
                <w:szCs w:val="24"/>
              </w:rPr>
            </w:pPr>
            <w:r w:rsidRPr="00316687">
              <w:rPr>
                <w:rStyle w:val="Hyperlink"/>
                <w:rFonts w:ascii="Times New Roman" w:hAnsi="Times New Roman" w:cs="Times New Roman"/>
                <w:sz w:val="24"/>
                <w:szCs w:val="24"/>
              </w:rPr>
              <w:t>johnf@capair.com</w:t>
            </w:r>
          </w:p>
        </w:tc>
      </w:tr>
    </w:tbl>
    <w:p w:rsidR="00703380" w:rsidRPr="00316687" w:rsidP="00703380">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703380" w:rsidRPr="00316687" w:rsidP="00703380">
      <w:pPr>
        <w:keepNext/>
        <w:keepLines/>
        <w:jc w:val="center"/>
        <w:rPr>
          <w:rFonts w:ascii="Times New Roman" w:hAnsi="Times New Roman" w:cs="Times New Roman"/>
          <w:sz w:val="24"/>
          <w:szCs w:val="24"/>
        </w:rPr>
      </w:pPr>
    </w:p>
    <w:p w:rsidR="00703380" w:rsidRPr="00316687" w:rsidP="00703380">
      <w:pPr>
        <w:keepNext/>
        <w:keepLines/>
        <w:jc w:val="center"/>
        <w:rPr>
          <w:rFonts w:ascii="Times New Roman" w:hAnsi="Times New Roman" w:cs="Times New Roman"/>
          <w:sz w:val="24"/>
          <w:szCs w:val="24"/>
        </w:rPr>
      </w:pPr>
    </w:p>
    <w:p w:rsidR="00703380" w:rsidRPr="00316687" w:rsidP="00703380">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rsidR="00703380" w:rsidRPr="00316687" w:rsidP="00703380">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rsidR="00D42FB2" w:rsidP="00C77CAD">
      <w:pPr>
        <w:pStyle w:val="StyleListParagraphTimesNewRoman12ptLinespacingDouble"/>
      </w:pPr>
    </w:p>
    <w:sectPr w:rsidSect="004414E1">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261" w:other="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20" w:type="dxa"/>
      <w:tblInd w:w="91" w:type="dxa"/>
      <w:tblLayout w:type="fixed"/>
      <w:tblCellMar>
        <w:left w:w="91" w:type="dxa"/>
        <w:right w:w="91" w:type="dxa"/>
      </w:tblCellMar>
      <w:tblLook w:val="0000"/>
    </w:tblPr>
    <w:tblGrid>
      <w:gridCol w:w="6029"/>
      <w:gridCol w:w="202"/>
      <w:gridCol w:w="3489"/>
    </w:tblGrid>
    <w:tr w:rsidTr="00403A09">
      <w:tblPrEx>
        <w:tblW w:w="9720" w:type="dxa"/>
        <w:tblInd w:w="91" w:type="dxa"/>
        <w:tblLayout w:type="fixed"/>
        <w:tblCellMar>
          <w:left w:w="91" w:type="dxa"/>
          <w:right w:w="91" w:type="dxa"/>
        </w:tblCellMar>
        <w:tblLook w:val="0000"/>
      </w:tblPrEx>
      <w:trPr>
        <w:trHeight w:val="700"/>
      </w:trPr>
      <w:tc>
        <w:tcPr>
          <w:tcW w:w="6029" w:type="dxa"/>
        </w:tcPr>
        <w:p w:rsidR="00403A09" w:rsidRPr="00403A09" w:rsidP="004414E1">
          <w:pPr>
            <w:rPr>
              <w:rStyle w:val="PageNumber"/>
              <w:rFonts w:ascii="Times New Roman" w:hAnsi="Times New Roman" w:cs="Times New Roman"/>
              <w:szCs w:val="24"/>
            </w:rPr>
          </w:pPr>
          <w:r w:rsidRPr="00435A84">
            <w:rPr>
              <w:rFonts w:ascii="Times New Roman" w:hAnsi="Times New Roman" w:cs="Times New Roman"/>
              <w:sz w:val="20"/>
              <w:szCs w:val="24"/>
            </w:rPr>
            <w:t xml:space="preserve">SPEEDISHUTTLE WASHINGTON, LLC D/B/A SPEEDISHUTTLE SEATTLE’S </w:t>
          </w:r>
          <w:r w:rsidRPr="007A51C0" w:rsidR="007A51C0">
            <w:rPr>
              <w:rFonts w:ascii="Times New Roman" w:hAnsi="Times New Roman" w:cs="Times New Roman"/>
              <w:sz w:val="20"/>
              <w:szCs w:val="24"/>
            </w:rPr>
            <w:t xml:space="preserve">(“APPLICANT’S”) </w:t>
          </w:r>
          <w:r w:rsidR="004414E1">
            <w:rPr>
              <w:rFonts w:ascii="Times New Roman" w:hAnsi="Times New Roman" w:cs="Times New Roman"/>
              <w:sz w:val="20"/>
              <w:szCs w:val="24"/>
            </w:rPr>
            <w:t>RESPONSE</w:t>
          </w:r>
          <w:r w:rsidRPr="00435A84">
            <w:rPr>
              <w:rFonts w:ascii="Times New Roman" w:hAnsi="Times New Roman" w:cs="Times New Roman"/>
              <w:sz w:val="20"/>
              <w:szCs w:val="24"/>
            </w:rPr>
            <w:t xml:space="preserve"> TO SHUTTLE EXPRESS’S MOTION TO REOPEN THE RECORD</w:t>
          </w:r>
          <w:r w:rsidRPr="00435A84">
            <w:rPr>
              <w:rStyle w:val="PageNumber"/>
              <w:sz w:val="16"/>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8</w:t>
          </w:r>
          <w:r>
            <w:rPr>
              <w:rStyle w:val="PageNumber"/>
              <w:sz w:val="20"/>
            </w:rPr>
            <w:fldChar w:fldCharType="end"/>
          </w:r>
        </w:p>
      </w:tc>
      <w:tc>
        <w:tcPr>
          <w:tcW w:w="202" w:type="dxa"/>
        </w:tcPr>
        <w:p w:rsidR="00403A09" w:rsidP="00C45843">
          <w:pPr>
            <w:pStyle w:val="FirmName"/>
            <w:spacing w:line="200" w:lineRule="exact"/>
            <w:jc w:val="left"/>
            <w:rPr>
              <w:b/>
              <w:sz w:val="16"/>
            </w:rPr>
          </w:pPr>
        </w:p>
      </w:tc>
      <w:tc>
        <w:tcPr>
          <w:tcW w:w="3489" w:type="dxa"/>
        </w:tcPr>
        <w:p w:rsidR="00403A09" w:rsidP="00C45843">
          <w:pPr>
            <w:pStyle w:val="FirmName"/>
            <w:spacing w:line="240" w:lineRule="auto"/>
            <w:ind w:left="-86"/>
            <w:jc w:val="left"/>
            <w:rPr>
              <w:sz w:val="16"/>
            </w:rPr>
          </w:pPr>
        </w:p>
      </w:tc>
    </w:tr>
  </w:tbl>
  <w:p w:rsidR="00A273DB" w:rsidP="00A273DB">
    <w:pPr>
      <w:pStyle w:val="Footer"/>
    </w:pPr>
    <w:r>
      <w:rPr>
        <w:sz w:val="16"/>
      </w:rPr>
      <w:fldChar w:fldCharType="begin"/>
    </w:r>
    <w:r>
      <w:rPr>
        <w:sz w:val="16"/>
      </w:rPr>
      <w:instrText xml:space="preserve"> </w:instrText>
    </w:r>
    <w:r w:rsidRPr="00A273DB">
      <w:rPr>
        <w:sz w:val="16"/>
      </w:rPr>
      <w:instrText>IF "</w:instrText>
    </w:r>
    <w:r w:rsidRPr="00A273DB">
      <w:rPr>
        <w:sz w:val="16"/>
      </w:rPr>
      <w:instrText>1</w:instrText>
    </w:r>
    <w:r w:rsidRPr="00A273DB">
      <w:rPr>
        <w:sz w:val="16"/>
      </w:rPr>
      <w:instrText>" = "1" "</w:instrText>
    </w:r>
    <w:r w:rsidRPr="00A273DB">
      <w:rPr>
        <w:sz w:val="16"/>
      </w:rPr>
      <w:fldChar w:fldCharType="begin"/>
    </w:r>
    <w:r w:rsidRPr="00A273DB">
      <w:rPr>
        <w:sz w:val="16"/>
      </w:rPr>
      <w:instrText xml:space="preserve"> DOCPROPERTY "SWDocID" </w:instrText>
    </w:r>
    <w:r w:rsidRPr="00A273DB">
      <w:rPr>
        <w:sz w:val="16"/>
      </w:rPr>
      <w:fldChar w:fldCharType="separate"/>
    </w:r>
    <w:r w:rsidRPr="00A273DB">
      <w:rPr>
        <w:sz w:val="16"/>
      </w:rPr>
      <w:instrText xml:space="preserve"> 5338138.2</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Pr="00A273DB">
      <w:rPr>
        <w:sz w:val="16"/>
      </w:rPr>
      <w:t xml:space="preserve"> 5338138.2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76046">
      <w:r>
        <w:separator/>
      </w:r>
    </w:p>
  </w:footnote>
  <w:footnote w:type="continuationSeparator" w:id="1">
    <w:p w:rsidR="00676046">
      <w:r>
        <w:continuationSeparator/>
      </w:r>
    </w:p>
  </w:footnote>
  <w:footnote w:id="2">
    <w:p w:rsidR="00FA4954">
      <w:pPr>
        <w:pStyle w:val="FootnoteText"/>
      </w:pPr>
      <w:r>
        <w:rPr>
          <w:rStyle w:val="FootnoteReference"/>
        </w:rPr>
        <w:footnoteRef/>
      </w:r>
      <w:r>
        <w:t xml:space="preserve"> Admittedly, Shuttle Express has gone through various representation cycles in this proceeding, having initially retained counsel who challenged the brief adjudicative proceeding format for considering auto transportation applications</w:t>
      </w:r>
      <w:r w:rsidR="00E32D53">
        <w:t xml:space="preserve"> in a Motion to Strike,</w:t>
      </w:r>
      <w:r>
        <w:t xml:space="preserve"> unsuccessfully claimed the APA was being violated, then participated in the BAP hearing </w:t>
      </w:r>
      <w:r w:rsidRPr="00F31820">
        <w:rPr>
          <w:i/>
        </w:rPr>
        <w:t>pro se</w:t>
      </w:r>
      <w:r>
        <w:t>, and now has new counsel for the post-hearing processes, all of which naturally impact the Objector’s strategy for sustaining its opposition to this application.</w:t>
      </w:r>
    </w:p>
  </w:footnote>
  <w:footnote w:id="3">
    <w:p w:rsidR="00800616" w:rsidRPr="00C74FFA" w:rsidP="00800616">
      <w:pPr>
        <w:pStyle w:val="FootnoteText"/>
        <w:rPr>
          <w:rFonts w:cs="Times New Roman"/>
        </w:rPr>
      </w:pPr>
      <w:r>
        <w:rPr>
          <w:rStyle w:val="FootnoteReference"/>
        </w:rPr>
        <w:footnoteRef/>
      </w:r>
      <w:r>
        <w:t xml:space="preserve"> </w:t>
      </w:r>
      <w:r w:rsidRPr="00C74FFA">
        <w:rPr>
          <w:rFonts w:cs="Times New Roman"/>
          <w:i/>
        </w:rPr>
        <w:t>In re Amending and Adopting Rules in WAC 480-30 Relating to Passenger Transportation Companies</w:t>
      </w:r>
      <w:r>
        <w:rPr>
          <w:rFonts w:cs="Times New Roman"/>
        </w:rPr>
        <w:t>,  Docket TC-121328, General Order R-572 (Au</w:t>
      </w:r>
      <w:r w:rsidR="00584114">
        <w:rPr>
          <w:rFonts w:cs="Times New Roman"/>
        </w:rPr>
        <w:t>g. 2013) (“Auto Transportation R</w:t>
      </w:r>
      <w:r>
        <w:rPr>
          <w:rFonts w:cs="Times New Roman"/>
        </w:rPr>
        <w:t>ulemaking”) at ¶25, p. 9.</w:t>
      </w:r>
    </w:p>
  </w:footnote>
  <w:footnote w:id="4">
    <w:p w:rsidR="00B5596B">
      <w:pPr>
        <w:pStyle w:val="FootnoteText"/>
      </w:pPr>
      <w:r>
        <w:rPr>
          <w:rStyle w:val="FootnoteReference"/>
        </w:rPr>
        <w:footnoteRef/>
      </w:r>
      <w:r>
        <w:t xml:space="preserve"> </w:t>
      </w:r>
      <w:r w:rsidRPr="00B5596B">
        <w:t xml:space="preserve">Moreover that evidence is without foundation, does not clearly indicate on what basis scheduled service customers are excluded from the totals or what that period experienced with respect to attrition or growth </w:t>
      </w:r>
      <w:r w:rsidR="009B547C">
        <w:t>in</w:t>
      </w:r>
      <w:r w:rsidRPr="00B5596B">
        <w:t xml:space="preserve"> other of its regulated customer counts, etc.  As noted, the objectors had Applicant’s proposed exhibits for two weeks before the hearing and there is no reason why Shuttle Express could not have marshaled testimony and cross-examination in support of statistical data it now belatedly seeks to introduce.  </w:t>
      </w:r>
    </w:p>
  </w:footnote>
  <w:footnote w:id="5">
    <w:p w:rsidR="00E5244F" w:rsidRPr="00E5244F">
      <w:pPr>
        <w:pStyle w:val="FootnoteText"/>
      </w:pPr>
      <w:r>
        <w:rPr>
          <w:rStyle w:val="FootnoteReference"/>
        </w:rPr>
        <w:footnoteRef/>
      </w:r>
      <w:r>
        <w:t xml:space="preserve"> Ironically, this is also not the only time</w:t>
      </w:r>
      <w:r w:rsidR="00E32D53">
        <w:t xml:space="preserve"> Shuttle Express has been reminded </w:t>
      </w:r>
      <w:r>
        <w:t xml:space="preserve">by the Commission about the requisite standards for reopening.  In </w:t>
      </w:r>
      <w:r w:rsidR="00785A13">
        <w:t xml:space="preserve">Order </w:t>
      </w:r>
      <w:r>
        <w:t xml:space="preserve">M.V.C. No. 1899, </w:t>
      </w:r>
      <w:r w:rsidRPr="000B0484">
        <w:rPr>
          <w:i/>
        </w:rPr>
        <w:t>In re San Juan Airlines, Inc. d/b/a Shuttle Express</w:t>
      </w:r>
      <w:r>
        <w:t xml:space="preserve"> (Mar. 1991), the Commission rejected its </w:t>
      </w:r>
      <w:r w:rsidR="00B5596B">
        <w:t>prior eff</w:t>
      </w:r>
      <w:r w:rsidR="00645398">
        <w:t>or</w:t>
      </w:r>
      <w:r w:rsidR="00B5596B">
        <w:t xml:space="preserve">ts </w:t>
      </w:r>
      <w:r w:rsidR="00785A13">
        <w:t xml:space="preserve">(this time as an applicant) to reopen the hearing record to show improved financial circumstances.  The Commission there found, as Speedishuttle here contends, that the information Shuttle Express sought to introduce “was entirely within the control of the carrier.  Information about the rate increase was not reasonably </w:t>
      </w:r>
      <w:r w:rsidR="00B5596B">
        <w:t xml:space="preserve">undiscoverable </w:t>
      </w:r>
      <w:r w:rsidR="00785A13">
        <w:t xml:space="preserve">by the </w:t>
      </w:r>
      <w:r w:rsidR="00B5596B">
        <w:t>Applicant</w:t>
      </w:r>
      <w:r w:rsidR="00785A13">
        <w:t>.”  Order M.V.C. No. 1899 at 5.</w:t>
      </w:r>
    </w:p>
  </w:footnote>
  <w:footnote w:id="6">
    <w:p w:rsidR="009D2013" w:rsidRPr="009D2013">
      <w:pPr>
        <w:pStyle w:val="FootnoteText"/>
        <w:rPr>
          <w:rFonts w:cs="Times New Roman"/>
        </w:rPr>
      </w:pPr>
      <w:r>
        <w:rPr>
          <w:rStyle w:val="FootnoteReference"/>
        </w:rPr>
        <w:footnoteRef/>
      </w:r>
      <w:r>
        <w:t xml:space="preserve"> </w:t>
      </w:r>
      <w:r w:rsidR="00FE1CEA">
        <w:rPr>
          <w:rFonts w:cs="Times New Roman"/>
        </w:rPr>
        <w:t>Order M.</w:t>
      </w:r>
      <w:r>
        <w:rPr>
          <w:rFonts w:cs="Times New Roman"/>
        </w:rPr>
        <w:t>V</w:t>
      </w:r>
      <w:r w:rsidR="00FE1CEA">
        <w:rPr>
          <w:rFonts w:cs="Times New Roman"/>
        </w:rPr>
        <w:t>.</w:t>
      </w:r>
      <w:r>
        <w:rPr>
          <w:rFonts w:cs="Times New Roman"/>
        </w:rPr>
        <w:t xml:space="preserve"> No. 137347, </w:t>
      </w:r>
      <w:r>
        <w:rPr>
          <w:rFonts w:cs="Times New Roman"/>
          <w:i/>
        </w:rPr>
        <w:t xml:space="preserve">In re Redondo Heights Wrecker Service, Ltd. </w:t>
      </w:r>
      <w:r>
        <w:rPr>
          <w:rFonts w:cs="Times New Roman"/>
        </w:rPr>
        <w:t xml:space="preserve">(Feb. 1988) </w:t>
      </w:r>
      <w:r w:rsidR="00FE1CEA">
        <w:rPr>
          <w:rFonts w:cs="Times New Roman"/>
        </w:rPr>
        <w:t>at p. 4</w:t>
      </w:r>
      <w:r>
        <w:rPr>
          <w:rFonts w:cs="Times New Roman"/>
          <w:i/>
        </w:rPr>
        <w:t xml:space="preserve"> citing, </w:t>
      </w:r>
      <w:r>
        <w:rPr>
          <w:rFonts w:cs="Times New Roman"/>
        </w:rPr>
        <w:t xml:space="preserve"> Order M.V. No. 129635, </w:t>
      </w:r>
      <w:r>
        <w:rPr>
          <w:rFonts w:cs="Times New Roman"/>
          <w:i/>
        </w:rPr>
        <w:t xml:space="preserve"> In re Susan Schlosser and Peggy Blake d/b/a The Paper Jogger,</w:t>
      </w:r>
      <w:r w:rsidR="00FE1CEA">
        <w:rPr>
          <w:rFonts w:cs="Times New Roman"/>
        </w:rPr>
        <w:t xml:space="preserve"> App. P-67065 (May, 1984)</w:t>
      </w:r>
      <w:r>
        <w:rPr>
          <w:rFonts w:cs="Times New Roman"/>
        </w:rPr>
        <w:t>.</w:t>
      </w:r>
    </w:p>
  </w:footnote>
  <w:footnote w:id="7">
    <w:p w:rsidR="009D2013" w:rsidRPr="009A27E0">
      <w:pPr>
        <w:pStyle w:val="FootnoteText"/>
        <w:rPr>
          <w:rFonts w:cs="Times New Roman"/>
        </w:rPr>
      </w:pPr>
      <w:r>
        <w:rPr>
          <w:rStyle w:val="FootnoteReference"/>
        </w:rPr>
        <w:footnoteRef/>
      </w:r>
      <w:r>
        <w:t xml:space="preserve"> </w:t>
      </w:r>
      <w:r w:rsidR="00D128A4">
        <w:t xml:space="preserve">The </w:t>
      </w:r>
      <w:r w:rsidR="009A27E0">
        <w:rPr>
          <w:rFonts w:cs="Times New Roman"/>
        </w:rPr>
        <w:t xml:space="preserve">2013 </w:t>
      </w:r>
      <w:r w:rsidR="003B33EE">
        <w:rPr>
          <w:rFonts w:cs="Times New Roman"/>
        </w:rPr>
        <w:t>“</w:t>
      </w:r>
      <w:r w:rsidR="009A27E0">
        <w:rPr>
          <w:rFonts w:cs="Times New Roman"/>
        </w:rPr>
        <w:t>Auto Transportation Rulemaking</w:t>
      </w:r>
      <w:r w:rsidR="003B33EE">
        <w:rPr>
          <w:rFonts w:cs="Times New Roman"/>
        </w:rPr>
        <w:t>”</w:t>
      </w:r>
      <w:r w:rsidR="009A27E0">
        <w:rPr>
          <w:rFonts w:cs="Times New Roman"/>
        </w:rPr>
        <w:t xml:space="preserve"> at ¶25, p. 9.</w:t>
      </w:r>
    </w:p>
  </w:footnote>
  <w:footnote w:id="8">
    <w:p w:rsidR="009A27E0" w:rsidRPr="009A27E0">
      <w:pPr>
        <w:pStyle w:val="FootnoteText"/>
        <w:rPr>
          <w:rFonts w:cs="Times New Roman"/>
        </w:rPr>
      </w:pPr>
      <w:r>
        <w:rPr>
          <w:rStyle w:val="FootnoteReference"/>
        </w:rPr>
        <w:footnoteRef/>
      </w:r>
      <w:r>
        <w:t xml:space="preserve"> </w:t>
      </w:r>
      <w:r>
        <w:rPr>
          <w:rFonts w:cs="Times New Roman"/>
          <w:i/>
        </w:rPr>
        <w:t>I</w:t>
      </w:r>
      <w:r w:rsidRPr="009A27E0">
        <w:rPr>
          <w:rFonts w:cs="Times New Roman"/>
          <w:i/>
        </w:rPr>
        <w: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C9C6CAE"/>
    <w:multiLevelType w:val="hybridMultilevel"/>
    <w:tmpl w:val="0CC675BA"/>
    <w:lvl w:ilvl="0">
      <w:start w:val="1"/>
      <w:numFmt w:val="decimal"/>
      <w:lvlText w:val="%1"/>
      <w:lvlJc w:val="left"/>
      <w:pPr>
        <w:ind w:left="1440" w:hanging="360"/>
      </w:pPr>
      <w:rPr>
        <w:rFonts w:ascii="Times New Roman" w:hAnsi="Times New Roman" w:hint="default"/>
        <w:b w:val="0"/>
        <w:i/>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8FB3AED"/>
    <w:multiLevelType w:val="hybridMultilevel"/>
    <w:tmpl w:val="8EBE923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29174B2"/>
    <w:multiLevelType w:val="hybridMultilevel"/>
    <w:tmpl w:val="668A449C"/>
    <w:lvl w:ilvl="0">
      <w:start w:val="1"/>
      <w:numFmt w:val="upperLetter"/>
      <w:pStyle w:val="Heading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upperLetter"/>
      <w:suff w:val="nothing"/>
      <w:lvlText w:val="%2.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2">
      <w:start w:val="1"/>
      <w:numFmt w:val="lowerLetter"/>
      <w:suff w:val="nothing"/>
      <w:lvlText w:val="%3"/>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6">
    <w:nsid w:val="620115ED"/>
    <w:multiLevelType w:val="hybridMultilevel"/>
    <w:tmpl w:val="551A618C"/>
    <w:lvl w:ilvl="0">
      <w:start w:val="1"/>
      <w:numFmt w:val="decimal"/>
      <w:lvlText w:val="%1"/>
      <w:lvlJc w:val="left"/>
      <w:pPr>
        <w:ind w:left="360" w:hanging="360"/>
      </w:pPr>
      <w:rPr>
        <w:rFonts w:ascii="Times New Roman" w:hAnsi="Times New Roman" w:hint="default"/>
        <w:b w:val="0"/>
        <w: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ACF31F2"/>
    <w:multiLevelType w:val="multilevel"/>
    <w:tmpl w:val="9F5AC78A"/>
    <w:lvl w:ilvl="0">
      <w:start w:val="1"/>
      <w:numFmt w:val="upperRoman"/>
      <w:pStyle w:val="Heading1"/>
      <w:lvlText w:val="%1"/>
      <w:lvlJc w:val="left"/>
      <w:pPr>
        <w:tabs>
          <w:tab w:val="num" w:pos="0"/>
        </w:tabs>
        <w:ind w:left="720" w:hanging="720"/>
      </w:pPr>
      <w:rPr>
        <w:rFonts w:ascii="9999999" w:hAnsi="9999999" w:hint="default"/>
        <w:b w:val="0"/>
        <w:i w:val="0"/>
        <w:caps/>
        <w:smallCaps w:val="0"/>
        <w:strike w:val="0"/>
        <w:dstrike w:val="0"/>
        <w:outline w:val="0"/>
        <w:shadow w:val="0"/>
        <w:emboss w:val="0"/>
        <w:imprint w:val="0"/>
        <w:vanish w:val="0"/>
        <w:color w:val="000000"/>
        <w:u w:val="none"/>
        <w:effect w:val="none"/>
        <w:vertAlign w:val="baseline"/>
      </w:rPr>
    </w:lvl>
    <w:lvl w:ilvl="1">
      <w:start w:val="1"/>
      <w:numFmt w:val="decimal"/>
      <w:lvlRestart w:val="0"/>
      <w:pStyle w:val="Heading2"/>
      <w:lvlText w:val="%2"/>
      <w:lvlJc w:val="left"/>
      <w:pPr>
        <w:tabs>
          <w:tab w:val="num" w:pos="0"/>
        </w:tabs>
        <w:ind w:left="0" w:hanging="720"/>
      </w:pPr>
      <w:rPr>
        <w:rFonts w:ascii="Times New Roman" w:hAnsi="Times New Roman" w:cs="Times New Roman" w:hint="default"/>
        <w:b w:val="0"/>
        <w:i/>
        <w:caps w:val="0"/>
        <w:smallCaps w:val="0"/>
        <w:strike w:val="0"/>
        <w:dstrike w:val="0"/>
        <w:outline w:val="0"/>
        <w:shadow w:val="0"/>
        <w:emboss w:val="0"/>
        <w:imprint w:val="0"/>
        <w:vanish w:val="0"/>
        <w:color w:val="000000"/>
        <w:sz w:val="24"/>
        <w:u w:val="none"/>
        <w:effect w:val="none"/>
        <w:vertAlign w:val="baseline"/>
      </w:rPr>
    </w:lvl>
    <w:lvl w:ilvl="2">
      <w:start w:val="1"/>
      <w:numFmt w:val="upperLetter"/>
      <w:suff w:val="nothing"/>
      <w:lvlText w:val="%3.  "/>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xmlns:w14="http://schemas.microsoft.com/office/word/2010/wordml" w14:rad="0">
          <w14:srgbClr w14:val="000000"/>
        </w14:glow>
        <w14:shadow xmlns:w14="http://schemas.microsoft.com/office/word/2010/wordml" w14:blurRad="0" w14:dist="0" w14:dir="0" w14:sx="0" w14:sy="0" w14:kx="0" w14:ky="0" w14:algn="none">
          <w14:srgbClr w14:val="000000"/>
        </w14:shad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14:scene3d xmlns:w14="http://schemas.microsoft.com/office/word/2010/wordml">
          <w14:camera w14:prst="orthographicFront"/>
          <w14:lightRig w14:rig="threePt" w14:dir="t">
            <w14:rot w14:lat="0" w14:lon="0" w14:rev="0"/>
          </w14:lightRig>
        </w14:scene3d>
        <w14:props3d xmlns:w14="http://schemas.microsoft.com/office/word/2010/wordml" w14:extrusionH="0" w14:contourW="0" w14:prstMaterial="none"/>
        <w14:ligatures w14:val="none"/>
        <w14:numForm w14:val="default"/>
        <w14:numSpacing w14:val="default"/>
        <w14:stylisticSets xmlns:w14="http://schemas.microsoft.com/office/word/2010/wordml"/>
        <w14:cntxtAlts w14:val="0"/>
      </w:rPr>
    </w:lvl>
    <w:lvl w:ilvl="3">
      <w:start w:val="1"/>
      <w:numFmt w:val="none"/>
      <w:pStyle w:val="Heading4"/>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abstractNum>
  <w:abstractNum w:abstractNumId="18">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8"/>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6"/>
  </w:num>
  <w:num w:numId="15">
    <w:abstractNumId w:val="15"/>
  </w:num>
  <w:num w:numId="16">
    <w:abstractNumId w:val="10"/>
  </w:num>
  <w:num w:numId="17">
    <w:abstractNumId w:val="17"/>
  </w:num>
  <w:num w:numId="18">
    <w:abstractNumId w:val="10"/>
    <w:lvlOverride w:ilvl="0">
      <w:startOverride w:val="1"/>
    </w:lvlOverride>
  </w:num>
  <w:num w:numId="19">
    <w:abstractNumId w:val="10"/>
  </w:num>
  <w:num w:numId="20">
    <w:abstractNumId w:val="10"/>
    <w:lvlOverride w:ilvl="0">
      <w:startOverride w:val="1"/>
    </w:lvlOverride>
  </w:num>
  <w:num w:numId="21">
    <w:abstractNumId w:val="13"/>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7"/>
  </w:num>
  <w:num w:numId="41">
    <w:abstractNumId w:val="1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ListParagraph"/>
    <w:uiPriority w:val="9"/>
    <w:qFormat/>
    <w:rsid w:val="004936EB"/>
    <w:pPr>
      <w:keepNext/>
      <w:numPr>
        <w:numId w:val="17"/>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4A1492"/>
    <w:pPr>
      <w:numPr>
        <w:ilvl w:val="1"/>
        <w:numId w:val="17"/>
      </w:numPr>
      <w:spacing w:before="120" w:after="120" w:line="480" w:lineRule="auto"/>
      <w:outlineLvl w:val="1"/>
    </w:pPr>
    <w:rPr>
      <w:rFonts w:ascii="Times New Roman" w:hAnsi="Times New Roman" w:cs="Times New Roman"/>
      <w:bCs/>
      <w:iCs/>
      <w:sz w:val="24"/>
      <w:szCs w:val="28"/>
    </w:rPr>
  </w:style>
  <w:style w:type="paragraph" w:styleId="Heading3">
    <w:name w:val="heading 3"/>
    <w:basedOn w:val="Normal"/>
    <w:next w:val="BodyText2"/>
    <w:uiPriority w:val="9"/>
    <w:qFormat/>
    <w:rsid w:val="004936EB"/>
    <w:pPr>
      <w:keepNext/>
      <w:numPr>
        <w:numId w:val="42"/>
      </w:numPr>
      <w:spacing w:after="240"/>
      <w:outlineLvl w:val="2"/>
    </w:pPr>
    <w:rPr>
      <w:rFonts w:ascii="Times New Roman" w:hAnsi="Times New Roman" w:cs="Arial"/>
      <w:b/>
      <w:bCs/>
      <w:sz w:val="24"/>
      <w:szCs w:val="26"/>
      <w:u w:val="single"/>
    </w:rPr>
  </w:style>
  <w:style w:type="paragraph" w:styleId="Heading4">
    <w:name w:val="heading 4"/>
    <w:basedOn w:val="Normal"/>
    <w:next w:val="BodyText2"/>
    <w:uiPriority w:val="9"/>
    <w:unhideWhenUsed/>
    <w:qFormat/>
    <w:rsid w:val="004936EB"/>
    <w:pPr>
      <w:keepNext/>
      <w:numPr>
        <w:ilvl w:val="3"/>
        <w:numId w:val="17"/>
      </w:numPr>
      <w:spacing w:before="240" w:after="60"/>
      <w:outlineLvl w:val="3"/>
    </w:pPr>
    <w:rPr>
      <w:b/>
      <w:bCs/>
      <w:sz w:val="28"/>
      <w:szCs w:val="28"/>
    </w:rPr>
  </w:style>
  <w:style w:type="paragraph" w:styleId="Heading5">
    <w:name w:val="heading 5"/>
    <w:basedOn w:val="Normal"/>
    <w:next w:val="BodyText2"/>
    <w:uiPriority w:val="9"/>
    <w:unhideWhenUsed/>
    <w:qFormat/>
    <w:rsid w:val="004936EB"/>
    <w:pPr>
      <w:numPr>
        <w:ilvl w:val="4"/>
        <w:numId w:val="17"/>
      </w:numPr>
      <w:spacing w:before="240" w:after="60"/>
      <w:outlineLvl w:val="4"/>
    </w:pPr>
    <w:rPr>
      <w:b/>
      <w:bCs/>
      <w:i/>
      <w:iCs/>
      <w:sz w:val="26"/>
      <w:szCs w:val="26"/>
    </w:rPr>
  </w:style>
  <w:style w:type="paragraph" w:styleId="Heading6">
    <w:name w:val="heading 6"/>
    <w:basedOn w:val="Normal"/>
    <w:next w:val="BodyText2"/>
    <w:uiPriority w:val="9"/>
    <w:unhideWhenUsed/>
    <w:qFormat/>
    <w:rsid w:val="004936EB"/>
    <w:pPr>
      <w:numPr>
        <w:ilvl w:val="5"/>
        <w:numId w:val="17"/>
      </w:numPr>
      <w:spacing w:before="240" w:after="60"/>
      <w:outlineLvl w:val="5"/>
    </w:pPr>
    <w:rPr>
      <w:b/>
      <w:bCs/>
    </w:rPr>
  </w:style>
  <w:style w:type="paragraph" w:styleId="Heading7">
    <w:name w:val="heading 7"/>
    <w:basedOn w:val="Normal"/>
    <w:next w:val="BodyText2"/>
    <w:uiPriority w:val="9"/>
    <w:unhideWhenUsed/>
    <w:qFormat/>
    <w:rsid w:val="004936EB"/>
    <w:pPr>
      <w:numPr>
        <w:ilvl w:val="6"/>
        <w:numId w:val="17"/>
      </w:numPr>
      <w:spacing w:before="240" w:after="60"/>
      <w:outlineLvl w:val="6"/>
    </w:pPr>
  </w:style>
  <w:style w:type="paragraph" w:styleId="Heading8">
    <w:name w:val="heading 8"/>
    <w:basedOn w:val="Normal"/>
    <w:next w:val="BodyText2"/>
    <w:uiPriority w:val="9"/>
    <w:unhideWhenUsed/>
    <w:qFormat/>
    <w:rsid w:val="004936EB"/>
    <w:pPr>
      <w:numPr>
        <w:ilvl w:val="7"/>
        <w:numId w:val="17"/>
      </w:numPr>
      <w:spacing w:before="240" w:after="60"/>
      <w:outlineLvl w:val="7"/>
    </w:pPr>
    <w:rPr>
      <w:i/>
      <w:iCs/>
    </w:rPr>
  </w:style>
  <w:style w:type="paragraph" w:styleId="Heading9">
    <w:name w:val="heading 9"/>
    <w:basedOn w:val="Normal"/>
    <w:next w:val="BodyText2"/>
    <w:uiPriority w:val="9"/>
    <w:unhideWhenUsed/>
    <w:qFormat/>
    <w:rsid w:val="004936EB"/>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74507"/>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676046"/>
    <w:pPr>
      <w:contextualSpacing/>
    </w:p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hAnsi="Tahoma" w:eastAsiaTheme="minorHAnsi" w:cs="Tahoma"/>
      <w:sz w:val="16"/>
      <w:szCs w:val="16"/>
    </w:rPr>
  </w:style>
  <w:style w:type="paragraph" w:customStyle="1" w:styleId="StyleListParagraphTimesNewRoman12pt">
    <w:name w:val="Style List Paragraph + Times New Roman 12 pt"/>
    <w:basedOn w:val="ListParagraph"/>
    <w:rsid w:val="00B221C8"/>
    <w:rPr>
      <w:rFonts w:ascii="Times New Roman" w:hAnsi="Times New Roman"/>
      <w:sz w:val="24"/>
    </w:rPr>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ascii="Times New Roman" w:eastAsia="Times New Roman" w:hAnsi="Times New Roman" w:cs="Times New Roman"/>
      <w:sz w:val="24"/>
      <w:szCs w:val="20"/>
    </w:rPr>
  </w:style>
  <w:style w:type="paragraph" w:customStyle="1" w:styleId="StyleListParagraphLinespacingDouble">
    <w:name w:val="Style List Paragraph + Line spacing:  Double"/>
    <w:basedOn w:val="ListParagraph"/>
    <w:rsid w:val="00F433D6"/>
    <w:pPr>
      <w:spacing w:line="480" w:lineRule="auto"/>
    </w:pPr>
    <w:rPr>
      <w:rFonts w:ascii="Times New Roman" w:eastAsia="Times New Roman" w:hAnsi="Times New Roman" w:cs="Times New Roman"/>
      <w:sz w:val="24"/>
      <w:szCs w:val="20"/>
    </w:rPr>
  </w:style>
  <w:style w:type="paragraph" w:customStyle="1" w:styleId="StyleHeading1LinespacingDouble">
    <w:name w:val="Style Heading 1 + Line spacing:  Double"/>
    <w:basedOn w:val="Heading1"/>
    <w:rsid w:val="00092C1C"/>
    <w:pPr>
      <w:spacing w:line="480" w:lineRule="auto"/>
    </w:pPr>
    <w:rPr>
      <w:rFonts w:eastAsia="Times New Roman"/>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2015-02-17T08:00:00+00:00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7FC477-853A-413F-8A4F-B21A87F8243F}"/>
</file>

<file path=customXml/itemProps2.xml><?xml version="1.0" encoding="utf-8"?>
<ds:datastoreItem xmlns:ds="http://schemas.openxmlformats.org/officeDocument/2006/customXml" ds:itemID="{9F021D49-72CA-4A7A-B6B9-F94B2634623F}"/>
</file>

<file path=customXml/itemProps3.xml><?xml version="1.0" encoding="utf-8"?>
<ds:datastoreItem xmlns:ds="http://schemas.openxmlformats.org/officeDocument/2006/customXml" ds:itemID="{B628EAFC-2B21-42A5-A86E-3203538F5B09}"/>
</file>

<file path=customXml/itemProps4.xml><?xml version="1.0" encoding="utf-8"?>
<ds:datastoreItem xmlns:ds="http://schemas.openxmlformats.org/officeDocument/2006/customXml" ds:itemID="{75FAD821-F3AA-427C-AFEE-4E0EDC29EF93}"/>
</file>

<file path=docProps/app.xml><?xml version="1.0" encoding="utf-8"?>
<Properties xmlns="http://schemas.openxmlformats.org/officeDocument/2006/extended-properties" xmlns:vt="http://schemas.openxmlformats.org/officeDocument/2006/docPropsVTypes">
  <Template>WKNormal.dotx</Template>
  <TotalTime>0</TotalTime>
  <Pages>8</Pages>
  <Words>1994</Words>
  <Characters>11172</Characters>
  <Application>Microsoft Office Word</Application>
  <DocSecurity>0</DocSecurity>
  <Lines>225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2015-02-17T23:19:04Z</dcterms:created>
  <dcterms:modified xsi:type="dcterms:W3CDTF">2015-02-17T23:19:04Z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5338138.2</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