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551C2D">
        <w:t>1</w:t>
      </w:r>
      <w:r w:rsidR="00FE3A52">
        <w:t>5</w:t>
      </w:r>
      <w:r w:rsidR="003D4167">
        <w:t>0204</w:t>
      </w:r>
    </w:p>
    <w:p w:rsidR="00914F08" w:rsidRPr="005540EB" w:rsidRDefault="00131A33" w:rsidP="000F6CFB">
      <w:pPr>
        <w:tabs>
          <w:tab w:val="left" w:pos="1260"/>
        </w:tabs>
        <w:spacing w:line="480" w:lineRule="auto"/>
        <w:ind w:left="-270"/>
        <w:jc w:val="center"/>
      </w:pPr>
      <w:r w:rsidRPr="005540EB">
        <w:t>DOCKET NO. UG-</w:t>
      </w:r>
      <w:r w:rsidR="00551C2D">
        <w:t>1</w:t>
      </w:r>
      <w:r w:rsidR="00FE3A52">
        <w:t>5</w:t>
      </w:r>
      <w:r w:rsidR="003D4167">
        <w:t>0205</w:t>
      </w:r>
    </w:p>
    <w:p w:rsidR="00914F08" w:rsidRPr="005540EB" w:rsidRDefault="00914F08" w:rsidP="000F6CFB">
      <w:pPr>
        <w:tabs>
          <w:tab w:val="left" w:pos="1260"/>
        </w:tabs>
        <w:spacing w:line="480" w:lineRule="auto"/>
        <w:ind w:left="-270"/>
        <w:jc w:val="center"/>
      </w:pPr>
    </w:p>
    <w:p w:rsidR="00914F08" w:rsidRPr="005540EB" w:rsidRDefault="00823B37" w:rsidP="000F6CFB">
      <w:pPr>
        <w:tabs>
          <w:tab w:val="left" w:pos="1260"/>
        </w:tabs>
        <w:spacing w:line="480" w:lineRule="auto"/>
        <w:ind w:left="-270"/>
        <w:jc w:val="center"/>
      </w:pPr>
      <w:r>
        <w:t>REBUTTAL</w:t>
      </w:r>
      <w:r w:rsidR="00914F08" w:rsidRPr="005540EB">
        <w:t xml:space="preserve">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3E19C9">
          <w:headerReference w:type="default" r:id="rId8"/>
          <w:footerReference w:type="default" r:id="rId9"/>
          <w:headerReference w:type="first" r:id="rId10"/>
          <w:footerReference w:type="first" r:id="rId11"/>
          <w:type w:val="continuous"/>
          <w:pgSz w:w="12240" w:h="15840" w:code="1"/>
          <w:pgMar w:top="1440" w:right="1296" w:bottom="1728"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1D76D1" w:rsidRDefault="00914F08">
      <w:pPr>
        <w:pStyle w:val="Heading5"/>
        <w:rPr>
          <w:rStyle w:val="PageNumber"/>
          <w:u w:val="single"/>
        </w:rPr>
      </w:pPr>
      <w:r w:rsidRPr="001D76D1">
        <w:rPr>
          <w:rStyle w:val="PageNumber"/>
          <w:u w:val="single"/>
        </w:rPr>
        <w:lastRenderedPageBreak/>
        <w:t xml:space="preserve">I.  </w:t>
      </w:r>
      <w:r w:rsidR="000D6ABC" w:rsidRPr="001D76D1">
        <w:rPr>
          <w:rStyle w:val="PageNumber"/>
          <w:u w:val="single"/>
        </w:rPr>
        <w:t xml:space="preserve">   </w:t>
      </w:r>
      <w:r w:rsidRPr="001D76D1">
        <w:rPr>
          <w:rStyle w:val="PageNumber"/>
          <w:u w:val="single"/>
        </w:rPr>
        <w:t>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w:t>
      </w:r>
      <w:smartTag w:uri="urn:schemas-microsoft-com:office:smarttags" w:element="Street">
        <w:r w:rsidRPr="005540EB">
          <w:rPr>
            <w:rFonts w:ascii="Times New Roman" w:hAnsi="Times New Roman" w:cs="Times New Roman"/>
          </w:rPr>
          <w:t>1411 East Mission Avenue</w:t>
        </w:r>
      </w:smartTag>
      <w:r w:rsidRPr="005540EB">
        <w:rPr>
          <w:rFonts w:ascii="Times New Roman" w:hAnsi="Times New Roman" w:cs="Times New Roman"/>
        </w:rPr>
        <w:t xml:space="preserve">, </w:t>
      </w:r>
      <w:smartTag w:uri="urn:schemas-microsoft-com:office:smarttags" w:element="City">
        <w:r w:rsidRPr="005540EB">
          <w:rPr>
            <w:rFonts w:ascii="Times New Roman" w:hAnsi="Times New Roman" w:cs="Times New Roman"/>
          </w:rPr>
          <w:t>Spokane</w:t>
        </w:r>
      </w:smartTag>
      <w:r w:rsidRPr="005540EB">
        <w:rPr>
          <w:rFonts w:ascii="Times New Roman" w:hAnsi="Times New Roman" w:cs="Times New Roman"/>
        </w:rPr>
        <w:t xml:space="preserve">, Washington.  I am presently assigned to the State and Federal Regulation Department as Manager of </w:t>
      </w:r>
      <w:r w:rsidR="00F85036">
        <w:rPr>
          <w:rFonts w:ascii="Times New Roman" w:hAnsi="Times New Roman" w:cs="Times New Roman"/>
        </w:rPr>
        <w:t>Rates and Tariffs</w:t>
      </w:r>
      <w:r w:rsidRPr="005540EB">
        <w:rPr>
          <w:rFonts w:ascii="Times New Roman" w:hAnsi="Times New Roman" w:cs="Times New Roman"/>
        </w:rPr>
        <w:t>.</w:t>
      </w:r>
    </w:p>
    <w:p w:rsidR="00823B37" w:rsidRDefault="00823B37" w:rsidP="00823B37">
      <w:pPr>
        <w:pStyle w:val="P65"/>
        <w:jc w:val="both"/>
        <w:rPr>
          <w:rFonts w:ascii="Times New Roman" w:hAnsi="Times New Roman" w:cs="Times New Roman"/>
        </w:rPr>
      </w:pPr>
      <w:r>
        <w:rPr>
          <w:rFonts w:ascii="Times New Roman" w:hAnsi="Times New Roman" w:cs="Times New Roman"/>
        </w:rPr>
        <w:t>Q.</w:t>
      </w:r>
      <w:r>
        <w:rPr>
          <w:rFonts w:ascii="Times New Roman" w:hAnsi="Times New Roman" w:cs="Times New Roman"/>
        </w:rPr>
        <w:tab/>
        <w:t>Have you filed direct testimony in this proceeding?</w:t>
      </w:r>
    </w:p>
    <w:p w:rsidR="00823B37" w:rsidRDefault="00823B37" w:rsidP="00823B37">
      <w:pPr>
        <w:pStyle w:val="P31"/>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Yes.  I have filed direct testimony in this case addressing rate spread and rate design, among other things.</w:t>
      </w:r>
    </w:p>
    <w:p w:rsidR="005540EB" w:rsidRPr="00823B37" w:rsidRDefault="005540EB" w:rsidP="006A4CE9">
      <w:pPr>
        <w:pStyle w:val="P31"/>
        <w:jc w:val="both"/>
        <w:rPr>
          <w:rFonts w:ascii="Times New Roman" w:hAnsi="Times New Roman" w:cs="Times New Roman"/>
          <w:b/>
        </w:rPr>
      </w:pPr>
      <w:r w:rsidRPr="00823B37">
        <w:rPr>
          <w:rFonts w:ascii="Times New Roman" w:hAnsi="Times New Roman" w:cs="Times New Roman"/>
          <w:b/>
        </w:rPr>
        <w:t>Q.</w:t>
      </w:r>
      <w:r w:rsidRPr="00823B37">
        <w:rPr>
          <w:rFonts w:ascii="Times New Roman" w:hAnsi="Times New Roman" w:cs="Times New Roman"/>
          <w:b/>
        </w:rPr>
        <w:tab/>
      </w:r>
      <w:r w:rsidR="00823B37" w:rsidRPr="00823B37">
        <w:rPr>
          <w:rFonts w:ascii="Times New Roman" w:hAnsi="Times New Roman" w:cs="Times New Roman"/>
          <w:b/>
        </w:rPr>
        <w:t>What is the scope of your rebuttal testimony?</w:t>
      </w:r>
    </w:p>
    <w:p w:rsidR="00BA6E81" w:rsidRDefault="005540EB" w:rsidP="00823B37">
      <w:pPr>
        <w:pStyle w:val="P106"/>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517BD6" w:rsidRPr="00517BD6">
        <w:rPr>
          <w:rFonts w:ascii="Times New Roman" w:hAnsi="Times New Roman" w:cs="Times New Roman"/>
        </w:rPr>
        <w:t xml:space="preserve">My testimony will cover the spread of the proposed annual electric base </w:t>
      </w:r>
      <w:r w:rsidR="00517BD6">
        <w:rPr>
          <w:rFonts w:ascii="Times New Roman" w:hAnsi="Times New Roman" w:cs="Times New Roman"/>
        </w:rPr>
        <w:t xml:space="preserve">rate increase </w:t>
      </w:r>
      <w:r w:rsidR="00CA156F">
        <w:rPr>
          <w:rFonts w:ascii="Times New Roman" w:hAnsi="Times New Roman" w:cs="Times New Roman"/>
        </w:rPr>
        <w:t xml:space="preserve">on rebuttal </w:t>
      </w:r>
      <w:r w:rsidR="00517BD6">
        <w:rPr>
          <w:rFonts w:ascii="Times New Roman" w:hAnsi="Times New Roman" w:cs="Times New Roman"/>
        </w:rPr>
        <w:t xml:space="preserve">of $3,639,000, or 0.7%, </w:t>
      </w:r>
      <w:r w:rsidR="00517BD6" w:rsidRPr="00517BD6">
        <w:rPr>
          <w:rFonts w:ascii="Times New Roman" w:hAnsi="Times New Roman" w:cs="Times New Roman"/>
        </w:rPr>
        <w:t xml:space="preserve">among the Company’s electric general service schedules.  </w:t>
      </w:r>
      <w:r w:rsidR="00517BD6">
        <w:rPr>
          <w:rFonts w:ascii="Times New Roman" w:hAnsi="Times New Roman" w:cs="Times New Roman"/>
        </w:rPr>
        <w:t xml:space="preserve">I will also provide the total change in billed revenue incorporating the expiration of the current Energy Recovery Mechanism rebate, the </w:t>
      </w:r>
      <w:r w:rsidR="00BA6E81">
        <w:rPr>
          <w:rFonts w:ascii="Times New Roman" w:hAnsi="Times New Roman" w:cs="Times New Roman"/>
        </w:rPr>
        <w:t xml:space="preserve">proposed </w:t>
      </w:r>
      <w:r w:rsidR="00517BD6">
        <w:rPr>
          <w:rFonts w:ascii="Times New Roman" w:hAnsi="Times New Roman" w:cs="Times New Roman"/>
        </w:rPr>
        <w:t>increase in funding for the Company’s Low</w:t>
      </w:r>
      <w:r w:rsidR="00913FDC">
        <w:rPr>
          <w:rFonts w:ascii="Times New Roman" w:hAnsi="Times New Roman" w:cs="Times New Roman"/>
        </w:rPr>
        <w:t xml:space="preserve"> Income Rate Assistance Program (“LIRAP”),</w:t>
      </w:r>
      <w:r w:rsidR="00517BD6">
        <w:rPr>
          <w:rFonts w:ascii="Times New Roman" w:hAnsi="Times New Roman" w:cs="Times New Roman"/>
        </w:rPr>
        <w:t xml:space="preserve"> and the estimated</w:t>
      </w:r>
      <w:r w:rsidR="005309AB">
        <w:rPr>
          <w:rFonts w:ascii="Times New Roman" w:hAnsi="Times New Roman" w:cs="Times New Roman"/>
        </w:rPr>
        <w:t xml:space="preserve"> revenue reduction of</w:t>
      </w:r>
      <w:r w:rsidR="00517BD6">
        <w:rPr>
          <w:rFonts w:ascii="Times New Roman" w:hAnsi="Times New Roman" w:cs="Times New Roman"/>
        </w:rPr>
        <w:t xml:space="preserve"> $10,000,000</w:t>
      </w:r>
      <w:r w:rsidR="005309AB">
        <w:rPr>
          <w:rFonts w:ascii="Times New Roman" w:hAnsi="Times New Roman" w:cs="Times New Roman"/>
        </w:rPr>
        <w:t xml:space="preserve"> related to the </w:t>
      </w:r>
      <w:r w:rsidR="00205954">
        <w:rPr>
          <w:rFonts w:ascii="Times New Roman" w:hAnsi="Times New Roman" w:cs="Times New Roman"/>
        </w:rPr>
        <w:t xml:space="preserve">November 2015 </w:t>
      </w:r>
      <w:r w:rsidR="00517BD6">
        <w:rPr>
          <w:rFonts w:ascii="Times New Roman" w:hAnsi="Times New Roman" w:cs="Times New Roman"/>
        </w:rPr>
        <w:t xml:space="preserve">Power Supply Update.  </w:t>
      </w:r>
    </w:p>
    <w:p w:rsidR="00517BD6" w:rsidRDefault="00517BD6" w:rsidP="00823B37">
      <w:pPr>
        <w:pStyle w:val="P106"/>
        <w:jc w:val="both"/>
        <w:rPr>
          <w:rFonts w:ascii="Times New Roman" w:hAnsi="Times New Roman" w:cs="Times New Roman"/>
        </w:rPr>
      </w:pPr>
      <w:r w:rsidRPr="00517BD6">
        <w:rPr>
          <w:rFonts w:ascii="Times New Roman" w:hAnsi="Times New Roman" w:cs="Times New Roman"/>
        </w:rPr>
        <w:t xml:space="preserve">With regard to natural gas service, I will describe the spread of the proposed annual base revenue increase </w:t>
      </w:r>
      <w:r w:rsidR="00CA156F">
        <w:rPr>
          <w:rFonts w:ascii="Times New Roman" w:hAnsi="Times New Roman" w:cs="Times New Roman"/>
        </w:rPr>
        <w:t xml:space="preserve">on rebuttal </w:t>
      </w:r>
      <w:r w:rsidRPr="00517BD6">
        <w:rPr>
          <w:rFonts w:ascii="Times New Roman" w:hAnsi="Times New Roman" w:cs="Times New Roman"/>
        </w:rPr>
        <w:t>of $</w:t>
      </w:r>
      <w:r>
        <w:rPr>
          <w:rFonts w:ascii="Times New Roman" w:hAnsi="Times New Roman" w:cs="Times New Roman"/>
        </w:rPr>
        <w:t>10,009</w:t>
      </w:r>
      <w:r w:rsidRPr="00517BD6">
        <w:rPr>
          <w:rFonts w:ascii="Times New Roman" w:hAnsi="Times New Roman" w:cs="Times New Roman"/>
        </w:rPr>
        <w:t xml:space="preserve">,000, or </w:t>
      </w:r>
      <w:r>
        <w:rPr>
          <w:rFonts w:ascii="Times New Roman" w:hAnsi="Times New Roman" w:cs="Times New Roman"/>
        </w:rPr>
        <w:t>5.9</w:t>
      </w:r>
      <w:r w:rsidRPr="00517BD6">
        <w:rPr>
          <w:rFonts w:ascii="Times New Roman" w:hAnsi="Times New Roman" w:cs="Times New Roman"/>
        </w:rPr>
        <w:t>%, among the Company’s natural gas service schedules</w:t>
      </w:r>
      <w:r>
        <w:rPr>
          <w:rFonts w:ascii="Times New Roman" w:hAnsi="Times New Roman" w:cs="Times New Roman"/>
        </w:rPr>
        <w:t>, as well as the increase in billed revenue after incorporating the</w:t>
      </w:r>
      <w:r w:rsidR="00BA6E81">
        <w:rPr>
          <w:rFonts w:ascii="Times New Roman" w:hAnsi="Times New Roman" w:cs="Times New Roman"/>
        </w:rPr>
        <w:t xml:space="preserve"> proposed</w:t>
      </w:r>
      <w:r>
        <w:rPr>
          <w:rFonts w:ascii="Times New Roman" w:hAnsi="Times New Roman" w:cs="Times New Roman"/>
        </w:rPr>
        <w:t xml:space="preserve"> increase in funding for </w:t>
      </w:r>
      <w:r w:rsidR="00913FDC">
        <w:rPr>
          <w:rFonts w:ascii="Times New Roman" w:hAnsi="Times New Roman" w:cs="Times New Roman"/>
        </w:rPr>
        <w:t>LIRAP</w:t>
      </w:r>
      <w:r>
        <w:rPr>
          <w:rFonts w:ascii="Times New Roman" w:hAnsi="Times New Roman" w:cs="Times New Roman"/>
        </w:rPr>
        <w:t>.</w:t>
      </w:r>
    </w:p>
    <w:p w:rsidR="000B6A29" w:rsidRDefault="007D16EF" w:rsidP="00823B37">
      <w:pPr>
        <w:pStyle w:val="P106"/>
        <w:jc w:val="both"/>
        <w:rPr>
          <w:rFonts w:ascii="Times New Roman" w:hAnsi="Times New Roman" w:cs="Times New Roman"/>
        </w:rPr>
      </w:pPr>
      <w:r w:rsidRPr="005540EB">
        <w:rPr>
          <w:rFonts w:ascii="Times New Roman" w:hAnsi="Times New Roman" w:cs="Times New Roman"/>
        </w:rPr>
        <w:t xml:space="preserve">My testimony </w:t>
      </w:r>
      <w:r w:rsidRPr="000A6734">
        <w:rPr>
          <w:rFonts w:ascii="Times New Roman" w:hAnsi="Times New Roman" w:cs="Times New Roman"/>
        </w:rPr>
        <w:t>will</w:t>
      </w:r>
      <w:r w:rsidR="00823B37">
        <w:rPr>
          <w:rFonts w:ascii="Times New Roman" w:hAnsi="Times New Roman" w:cs="Times New Roman"/>
        </w:rPr>
        <w:t xml:space="preserve"> </w:t>
      </w:r>
      <w:r w:rsidR="00517BD6">
        <w:rPr>
          <w:rFonts w:ascii="Times New Roman" w:hAnsi="Times New Roman" w:cs="Times New Roman"/>
        </w:rPr>
        <w:t xml:space="preserve">also </w:t>
      </w:r>
      <w:r w:rsidR="00823B37">
        <w:rPr>
          <w:rFonts w:ascii="Times New Roman" w:hAnsi="Times New Roman" w:cs="Times New Roman"/>
        </w:rPr>
        <w:t>provide the Company’s response to Staff and Public Counsel/The Energy Project</w:t>
      </w:r>
      <w:r w:rsidR="00913FDC">
        <w:rPr>
          <w:rFonts w:ascii="Times New Roman" w:hAnsi="Times New Roman" w:cs="Times New Roman"/>
        </w:rPr>
        <w:t>’</w:t>
      </w:r>
      <w:r w:rsidR="00823B37">
        <w:rPr>
          <w:rFonts w:ascii="Times New Roman" w:hAnsi="Times New Roman" w:cs="Times New Roman"/>
        </w:rPr>
        <w:t xml:space="preserve">s funding proposals related to </w:t>
      </w:r>
      <w:r w:rsidR="00913FDC">
        <w:rPr>
          <w:rFonts w:ascii="Times New Roman" w:hAnsi="Times New Roman" w:cs="Times New Roman"/>
        </w:rPr>
        <w:t>LIRAP</w:t>
      </w:r>
      <w:r w:rsidR="00823B37">
        <w:rPr>
          <w:rFonts w:ascii="Times New Roman" w:hAnsi="Times New Roman" w:cs="Times New Roman"/>
        </w:rPr>
        <w:t xml:space="preserve">.  I will present an alternative proposal that provides an increase in funding that is in line with Staff’s proposal, </w:t>
      </w:r>
      <w:r w:rsidR="00823B37">
        <w:rPr>
          <w:rFonts w:ascii="Times New Roman" w:hAnsi="Times New Roman" w:cs="Times New Roman"/>
        </w:rPr>
        <w:lastRenderedPageBreak/>
        <w:t xml:space="preserve">but which is </w:t>
      </w:r>
      <w:r w:rsidR="00BA6E81">
        <w:rPr>
          <w:rFonts w:ascii="Times New Roman" w:hAnsi="Times New Roman" w:cs="Times New Roman"/>
        </w:rPr>
        <w:t>applied separately to electric and natural gas service</w:t>
      </w:r>
      <w:r w:rsidR="00913FDC">
        <w:rPr>
          <w:rFonts w:ascii="Times New Roman" w:hAnsi="Times New Roman" w:cs="Times New Roman"/>
        </w:rPr>
        <w:t xml:space="preserve"> for ease of administration</w:t>
      </w:r>
      <w:r w:rsidR="00823B37">
        <w:rPr>
          <w:rFonts w:ascii="Times New Roman" w:hAnsi="Times New Roman" w:cs="Times New Roman"/>
        </w:rPr>
        <w:t xml:space="preserve">. </w:t>
      </w:r>
      <w:r w:rsidR="00517BD6">
        <w:rPr>
          <w:rFonts w:ascii="Times New Roman" w:hAnsi="Times New Roman" w:cs="Times New Roman"/>
        </w:rPr>
        <w:t xml:space="preserve"> </w:t>
      </w:r>
    </w:p>
    <w:p w:rsidR="005540EB" w:rsidRPr="005540EB" w:rsidRDefault="005540EB" w:rsidP="000B6A29">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Are you sponsoring any </w:t>
      </w:r>
      <w:r w:rsidR="00B50A07">
        <w:rPr>
          <w:rStyle w:val="T11"/>
          <w:rFonts w:ascii="Times New Roman" w:hAnsi="Times New Roman" w:cs="Times New Roman"/>
        </w:rPr>
        <w:t>e</w:t>
      </w:r>
      <w:r w:rsidRPr="005540EB">
        <w:rPr>
          <w:rStyle w:val="T11"/>
          <w:rFonts w:ascii="Times New Roman" w:hAnsi="Times New Roman" w:cs="Times New Roman"/>
        </w:rPr>
        <w:t>xhibits that accompany your testimony?</w:t>
      </w:r>
    </w:p>
    <w:p w:rsidR="00823B37" w:rsidRDefault="005540EB" w:rsidP="00823B37">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517BD6" w:rsidRPr="005540EB">
        <w:rPr>
          <w:rFonts w:ascii="Times New Roman" w:hAnsi="Times New Roman" w:cs="Times New Roman"/>
        </w:rPr>
        <w:t>Y</w:t>
      </w:r>
      <w:r w:rsidR="00517BD6">
        <w:rPr>
          <w:rFonts w:ascii="Times New Roman" w:hAnsi="Times New Roman" w:cs="Times New Roman"/>
        </w:rPr>
        <w:t>es.  I am sponsoring Exhibit No</w:t>
      </w:r>
      <w:r w:rsidR="00517BD6" w:rsidRPr="005540EB">
        <w:rPr>
          <w:rFonts w:ascii="Times New Roman" w:hAnsi="Times New Roman" w:cs="Times New Roman"/>
        </w:rPr>
        <w:t>._</w:t>
      </w:r>
      <w:r w:rsidR="00517BD6">
        <w:rPr>
          <w:rFonts w:ascii="Times New Roman" w:hAnsi="Times New Roman" w:cs="Times New Roman"/>
        </w:rPr>
        <w:t>__</w:t>
      </w:r>
      <w:r w:rsidR="00517BD6" w:rsidRPr="005540EB">
        <w:rPr>
          <w:rFonts w:ascii="Times New Roman" w:hAnsi="Times New Roman" w:cs="Times New Roman"/>
        </w:rPr>
        <w:t>(</w:t>
      </w:r>
      <w:r w:rsidR="00517BD6">
        <w:rPr>
          <w:rFonts w:ascii="Times New Roman" w:hAnsi="Times New Roman" w:cs="Times New Roman"/>
        </w:rPr>
        <w:t>PDE</w:t>
      </w:r>
      <w:r w:rsidR="00517BD6" w:rsidRPr="005540EB">
        <w:rPr>
          <w:rFonts w:ascii="Times New Roman" w:hAnsi="Times New Roman" w:cs="Times New Roman"/>
        </w:rPr>
        <w:t>-</w:t>
      </w:r>
      <w:r w:rsidR="00517BD6">
        <w:rPr>
          <w:rFonts w:ascii="Times New Roman" w:hAnsi="Times New Roman" w:cs="Times New Roman"/>
        </w:rPr>
        <w:t>9</w:t>
      </w:r>
      <w:r w:rsidR="00517BD6" w:rsidRPr="005540EB">
        <w:rPr>
          <w:rFonts w:ascii="Times New Roman" w:hAnsi="Times New Roman" w:cs="Times New Roman"/>
        </w:rPr>
        <w:t>)</w:t>
      </w:r>
      <w:r w:rsidR="00517BD6" w:rsidRPr="005540EB">
        <w:rPr>
          <w:rFonts w:ascii="Times New Roman" w:hAnsi="Times New Roman" w:cs="Times New Roman"/>
          <w:iCs/>
        </w:rPr>
        <w:t xml:space="preserve"> related to the proposed el</w:t>
      </w:r>
      <w:r w:rsidR="00517BD6">
        <w:rPr>
          <w:rFonts w:ascii="Times New Roman" w:hAnsi="Times New Roman" w:cs="Times New Roman"/>
          <w:iCs/>
        </w:rPr>
        <w:t>ectric increase, and Exhibit No</w:t>
      </w:r>
      <w:r w:rsidR="00517BD6" w:rsidRPr="005540EB">
        <w:rPr>
          <w:rFonts w:ascii="Times New Roman" w:hAnsi="Times New Roman" w:cs="Times New Roman"/>
          <w:iCs/>
        </w:rPr>
        <w:t>.</w:t>
      </w:r>
      <w:r w:rsidR="00517BD6" w:rsidRPr="005540EB">
        <w:rPr>
          <w:rFonts w:ascii="Times New Roman" w:hAnsi="Times New Roman" w:cs="Times New Roman"/>
        </w:rPr>
        <w:t>_</w:t>
      </w:r>
      <w:r w:rsidR="00517BD6">
        <w:rPr>
          <w:rFonts w:ascii="Times New Roman" w:hAnsi="Times New Roman" w:cs="Times New Roman"/>
        </w:rPr>
        <w:t>__</w:t>
      </w:r>
      <w:r w:rsidR="00517BD6" w:rsidRPr="005540EB">
        <w:rPr>
          <w:rFonts w:ascii="Times New Roman" w:hAnsi="Times New Roman" w:cs="Times New Roman"/>
        </w:rPr>
        <w:t>(</w:t>
      </w:r>
      <w:r w:rsidR="00517BD6">
        <w:rPr>
          <w:rFonts w:ascii="Times New Roman" w:hAnsi="Times New Roman" w:cs="Times New Roman"/>
        </w:rPr>
        <w:t>PDE</w:t>
      </w:r>
      <w:r w:rsidR="00517BD6" w:rsidRPr="005540EB">
        <w:rPr>
          <w:rFonts w:ascii="Times New Roman" w:hAnsi="Times New Roman" w:cs="Times New Roman"/>
        </w:rPr>
        <w:t>-</w:t>
      </w:r>
      <w:r w:rsidR="00517BD6">
        <w:rPr>
          <w:rFonts w:ascii="Times New Roman" w:hAnsi="Times New Roman" w:cs="Times New Roman"/>
        </w:rPr>
        <w:t>10</w:t>
      </w:r>
      <w:r w:rsidR="00517BD6" w:rsidRPr="005540EB">
        <w:rPr>
          <w:rFonts w:ascii="Times New Roman" w:hAnsi="Times New Roman" w:cs="Times New Roman"/>
        </w:rPr>
        <w:t>)</w:t>
      </w:r>
      <w:r w:rsidR="00517BD6">
        <w:rPr>
          <w:rFonts w:ascii="Times New Roman" w:hAnsi="Times New Roman" w:cs="Times New Roman"/>
        </w:rPr>
        <w:t xml:space="preserve"> </w:t>
      </w:r>
      <w:r w:rsidR="00517BD6" w:rsidRPr="005540EB">
        <w:rPr>
          <w:rFonts w:ascii="Times New Roman" w:hAnsi="Times New Roman" w:cs="Times New Roman"/>
        </w:rPr>
        <w:t xml:space="preserve">related to the proposed natural gas increase.  </w:t>
      </w:r>
      <w:r w:rsidR="00517BD6" w:rsidRPr="00C92A6D">
        <w:rPr>
          <w:rFonts w:ascii="Times New Roman" w:hAnsi="Times New Roman" w:cs="Times New Roman"/>
        </w:rPr>
        <w:t>These</w:t>
      </w:r>
      <w:r w:rsidR="00517BD6">
        <w:rPr>
          <w:rFonts w:ascii="Times New Roman" w:hAnsi="Times New Roman" w:cs="Times New Roman"/>
        </w:rPr>
        <w:t xml:space="preserve"> exhibits were prepared under my supervision.  </w:t>
      </w:r>
    </w:p>
    <w:p w:rsidR="005E72C5" w:rsidRDefault="005E72C5" w:rsidP="00823B37">
      <w:pPr>
        <w:pStyle w:val="P31"/>
        <w:jc w:val="both"/>
        <w:rPr>
          <w:rFonts w:ascii="Times New Roman" w:hAnsi="Times New Roman" w:cs="Times New Roman"/>
        </w:rPr>
      </w:pPr>
    </w:p>
    <w:p w:rsidR="00517BD6" w:rsidRPr="00517BD6" w:rsidRDefault="00517BD6" w:rsidP="00BA6E81">
      <w:pPr>
        <w:pStyle w:val="P31"/>
        <w:ind w:firstLine="0"/>
        <w:jc w:val="center"/>
        <w:rPr>
          <w:rFonts w:ascii="Times New Roman" w:hAnsi="Times New Roman" w:cs="Times New Roman"/>
          <w:b/>
          <w:u w:val="single"/>
        </w:rPr>
      </w:pPr>
      <w:r w:rsidRPr="00517BD6">
        <w:rPr>
          <w:rFonts w:ascii="Times New Roman" w:hAnsi="Times New Roman" w:cs="Times New Roman"/>
          <w:b/>
          <w:u w:val="single"/>
        </w:rPr>
        <w:t>PROPOSED ELECTRIC REVENUE INCREASE</w:t>
      </w:r>
    </w:p>
    <w:p w:rsidR="00517BD6" w:rsidRPr="005540EB" w:rsidRDefault="0074438F" w:rsidP="00E324CE">
      <w:pPr>
        <w:pStyle w:val="P158"/>
        <w:ind w:left="0"/>
        <w:jc w:val="both"/>
        <w:rPr>
          <w:rFonts w:ascii="Times New Roman" w:hAnsi="Times New Roman" w:cs="Times New Roman"/>
        </w:rPr>
      </w:pPr>
      <w:r>
        <w:rPr>
          <w:rStyle w:val="T11"/>
          <w:rFonts w:ascii="Times New Roman" w:hAnsi="Times New Roman" w:cs="Times New Roman"/>
        </w:rPr>
        <w:tab/>
      </w:r>
      <w:r>
        <w:rPr>
          <w:rStyle w:val="T11"/>
          <w:rFonts w:ascii="Times New Roman" w:hAnsi="Times New Roman" w:cs="Times New Roman"/>
        </w:rPr>
        <w:tab/>
        <w:t>Q.</w:t>
      </w:r>
      <w:r>
        <w:rPr>
          <w:rStyle w:val="T11"/>
          <w:rFonts w:ascii="Times New Roman" w:hAnsi="Times New Roman" w:cs="Times New Roman"/>
        </w:rPr>
        <w:tab/>
      </w:r>
      <w:r w:rsidR="00517BD6" w:rsidRPr="005540EB">
        <w:rPr>
          <w:rStyle w:val="T11"/>
          <w:rFonts w:ascii="Times New Roman" w:hAnsi="Times New Roman" w:cs="Times New Roman"/>
        </w:rPr>
        <w:t xml:space="preserve">How </w:t>
      </w:r>
      <w:r w:rsidR="00517BD6">
        <w:rPr>
          <w:rStyle w:val="T11"/>
          <w:rFonts w:ascii="Times New Roman" w:hAnsi="Times New Roman" w:cs="Times New Roman"/>
        </w:rPr>
        <w:t>has</w:t>
      </w:r>
      <w:r w:rsidR="00517BD6" w:rsidRPr="005540EB">
        <w:rPr>
          <w:rStyle w:val="T11"/>
          <w:rFonts w:ascii="Times New Roman" w:hAnsi="Times New Roman" w:cs="Times New Roman"/>
        </w:rPr>
        <w:t xml:space="preserve"> the Company spread the total </w:t>
      </w:r>
      <w:r w:rsidR="008033BB">
        <w:rPr>
          <w:rStyle w:val="T11"/>
          <w:rFonts w:ascii="Times New Roman" w:hAnsi="Times New Roman" w:cs="Times New Roman"/>
        </w:rPr>
        <w:t xml:space="preserve">electric </w:t>
      </w:r>
      <w:r w:rsidR="00517BD6" w:rsidRPr="005540EB">
        <w:rPr>
          <w:rStyle w:val="T11"/>
          <w:rFonts w:ascii="Times New Roman" w:hAnsi="Times New Roman" w:cs="Times New Roman"/>
        </w:rPr>
        <w:t xml:space="preserve">general revenue increase </w:t>
      </w:r>
      <w:r w:rsidR="00517BD6" w:rsidRPr="00081958">
        <w:rPr>
          <w:rStyle w:val="T11"/>
          <w:rFonts w:ascii="Times New Roman" w:hAnsi="Times New Roman" w:cs="Times New Roman"/>
        </w:rPr>
        <w:t>request of $</w:t>
      </w:r>
      <w:r w:rsidR="00517BD6">
        <w:rPr>
          <w:rStyle w:val="T11"/>
          <w:rFonts w:ascii="Times New Roman" w:hAnsi="Times New Roman" w:cs="Times New Roman"/>
        </w:rPr>
        <w:t>3,639,000</w:t>
      </w:r>
      <w:r>
        <w:rPr>
          <w:rStyle w:val="T11"/>
          <w:rFonts w:ascii="Times New Roman" w:hAnsi="Times New Roman" w:cs="Times New Roman"/>
        </w:rPr>
        <w:t>, or 0.7%,</w:t>
      </w:r>
      <w:r w:rsidR="00517BD6" w:rsidRPr="00081958">
        <w:rPr>
          <w:rStyle w:val="T11"/>
          <w:rFonts w:ascii="Times New Roman" w:hAnsi="Times New Roman" w:cs="Times New Roman"/>
        </w:rPr>
        <w:t xml:space="preserve"> among</w:t>
      </w:r>
      <w:r w:rsidR="00517BD6" w:rsidRPr="005540EB">
        <w:rPr>
          <w:rStyle w:val="T11"/>
          <w:rFonts w:ascii="Times New Roman" w:hAnsi="Times New Roman" w:cs="Times New Roman"/>
        </w:rPr>
        <w:t xml:space="preserve"> its various rate schedules?</w:t>
      </w:r>
    </w:p>
    <w:p w:rsidR="00034A93" w:rsidRPr="00034A93" w:rsidRDefault="00517BD6" w:rsidP="00034A93">
      <w:pPr>
        <w:pStyle w:val="P31"/>
        <w:tabs>
          <w:tab w:val="left" w:pos="720"/>
        </w:tabs>
        <w:ind w:firstLine="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5540EB">
        <w:rPr>
          <w:rFonts w:ascii="Times New Roman" w:hAnsi="Times New Roman" w:cs="Times New Roman"/>
        </w:rPr>
        <w:t xml:space="preserve">The </w:t>
      </w:r>
      <w:r w:rsidRPr="002B3375">
        <w:rPr>
          <w:rFonts w:ascii="Times New Roman" w:hAnsi="Times New Roman" w:cs="Times New Roman"/>
        </w:rPr>
        <w:t xml:space="preserve">Company </w:t>
      </w:r>
      <w:r>
        <w:rPr>
          <w:rFonts w:ascii="Times New Roman" w:hAnsi="Times New Roman" w:cs="Times New Roman"/>
        </w:rPr>
        <w:t>spread</w:t>
      </w:r>
      <w:r w:rsidRPr="002B3375">
        <w:rPr>
          <w:rFonts w:ascii="Times New Roman" w:hAnsi="Times New Roman" w:cs="Times New Roman"/>
        </w:rPr>
        <w:t xml:space="preserve"> the overall requested </w:t>
      </w:r>
      <w:r w:rsidR="008033BB">
        <w:rPr>
          <w:rFonts w:ascii="Times New Roman" w:hAnsi="Times New Roman" w:cs="Times New Roman"/>
        </w:rPr>
        <w:t xml:space="preserve">electric </w:t>
      </w:r>
      <w:r w:rsidRPr="002B3375">
        <w:rPr>
          <w:rFonts w:ascii="Times New Roman" w:hAnsi="Times New Roman" w:cs="Times New Roman"/>
        </w:rPr>
        <w:t xml:space="preserve">revenue increase </w:t>
      </w:r>
      <w:r>
        <w:rPr>
          <w:rFonts w:ascii="Times New Roman" w:hAnsi="Times New Roman" w:cs="Times New Roman"/>
        </w:rPr>
        <w:t>consistent with the provisions of the Multiparty Settlement Stipulation filed with the Commission on May 1, 2015.  The Parties to that settlement agreed “</w:t>
      </w:r>
      <w:r>
        <w:rPr>
          <w:rFonts w:ascii="Times New Roman" w:hAnsi="Times New Roman"/>
        </w:rPr>
        <w:t>to apply an equal percentage of revenue increase for purposes of spreading the revised electric revenue requirement”.</w:t>
      </w:r>
      <w:r>
        <w:rPr>
          <w:rStyle w:val="FootnoteReference"/>
          <w:rFonts w:ascii="Times New Roman" w:hAnsi="Times New Roman"/>
        </w:rPr>
        <w:footnoteReference w:id="1"/>
      </w:r>
      <w:r w:rsidR="0074438F">
        <w:rPr>
          <w:rFonts w:ascii="Times New Roman" w:hAnsi="Times New Roman"/>
        </w:rPr>
        <w:t xml:space="preserve">  As a result, the </w:t>
      </w:r>
      <w:r w:rsidR="00034A93">
        <w:rPr>
          <w:rFonts w:ascii="Times New Roman" w:hAnsi="Times New Roman"/>
        </w:rPr>
        <w:t xml:space="preserve">$3,639,000 </w:t>
      </w:r>
      <w:r w:rsidR="0074438F">
        <w:rPr>
          <w:rFonts w:ascii="Times New Roman" w:hAnsi="Times New Roman"/>
        </w:rPr>
        <w:t xml:space="preserve">increase in base rates for all rate schedules is 0.7%, the same as the overall increase in base rates.  </w:t>
      </w:r>
      <w:r w:rsidR="009D0936">
        <w:rPr>
          <w:rFonts w:ascii="Times New Roman" w:hAnsi="Times New Roman" w:cs="Times New Roman"/>
        </w:rPr>
        <w:t>Table No. 1 below shows the revenue spread by rate schedule:</w:t>
      </w:r>
      <w:r w:rsidR="00034A93">
        <w:rPr>
          <w:rFonts w:ascii="Times New Roman" w:hAnsi="Times New Roman" w:cs="Times New Roman"/>
        </w:rPr>
        <w:br w:type="page"/>
      </w:r>
    </w:p>
    <w:p w:rsidR="00517BD6" w:rsidRDefault="009D0936" w:rsidP="00E324CE">
      <w:pPr>
        <w:pStyle w:val="P31"/>
        <w:tabs>
          <w:tab w:val="left" w:pos="720"/>
        </w:tabs>
        <w:ind w:firstLine="0"/>
        <w:jc w:val="both"/>
        <w:rPr>
          <w:rFonts w:ascii="Times New Roman" w:hAnsi="Times New Roman" w:cs="Times New Roman"/>
        </w:rPr>
      </w:pPr>
      <w:r w:rsidRPr="009D0936">
        <w:rPr>
          <w:noProof/>
        </w:rPr>
        <w:lastRenderedPageBreak/>
        <w:drawing>
          <wp:anchor distT="0" distB="0" distL="114300" distR="114300" simplePos="0" relativeHeight="251665408" behindDoc="1" locked="0" layoutInCell="1" allowOverlap="1">
            <wp:simplePos x="0" y="0"/>
            <wp:positionH relativeFrom="column">
              <wp:posOffset>1211220</wp:posOffset>
            </wp:positionH>
            <wp:positionV relativeFrom="paragraph">
              <wp:posOffset>-515</wp:posOffset>
            </wp:positionV>
            <wp:extent cx="3509154" cy="200995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509154" cy="2009955"/>
                    </a:xfrm>
                    <a:prstGeom prst="rect">
                      <a:avLst/>
                    </a:prstGeom>
                    <a:noFill/>
                    <a:ln w="9525">
                      <a:noFill/>
                      <a:miter lim="800000"/>
                      <a:headEnd/>
                      <a:tailEnd/>
                    </a:ln>
                  </pic:spPr>
                </pic:pic>
              </a:graphicData>
            </a:graphic>
          </wp:anchor>
        </w:drawing>
      </w:r>
    </w:p>
    <w:p w:rsidR="009D0936" w:rsidRDefault="0074438F" w:rsidP="00E324CE">
      <w:pPr>
        <w:pStyle w:val="P158"/>
        <w:ind w:left="0"/>
        <w:jc w:val="both"/>
        <w:rPr>
          <w:rStyle w:val="T11"/>
          <w:rFonts w:ascii="Times New Roman" w:hAnsi="Times New Roman" w:cs="Times New Roman"/>
        </w:rPr>
      </w:pPr>
      <w:r>
        <w:rPr>
          <w:rStyle w:val="T11"/>
          <w:rFonts w:ascii="Times New Roman" w:hAnsi="Times New Roman" w:cs="Times New Roman"/>
        </w:rPr>
        <w:tab/>
      </w:r>
      <w:r>
        <w:rPr>
          <w:rStyle w:val="T11"/>
          <w:rFonts w:ascii="Times New Roman" w:hAnsi="Times New Roman" w:cs="Times New Roman"/>
        </w:rPr>
        <w:tab/>
      </w:r>
    </w:p>
    <w:p w:rsidR="009D0936" w:rsidRDefault="009D0936" w:rsidP="00E324CE">
      <w:pPr>
        <w:pStyle w:val="P158"/>
        <w:ind w:left="0"/>
        <w:jc w:val="both"/>
        <w:rPr>
          <w:rStyle w:val="T11"/>
          <w:rFonts w:ascii="Times New Roman" w:hAnsi="Times New Roman" w:cs="Times New Roman"/>
        </w:rPr>
      </w:pPr>
    </w:p>
    <w:p w:rsidR="009D0936" w:rsidRDefault="009D0936" w:rsidP="00E324CE">
      <w:pPr>
        <w:pStyle w:val="P158"/>
        <w:ind w:left="0"/>
        <w:jc w:val="both"/>
        <w:rPr>
          <w:rStyle w:val="T11"/>
          <w:rFonts w:ascii="Times New Roman" w:hAnsi="Times New Roman" w:cs="Times New Roman"/>
        </w:rPr>
      </w:pPr>
    </w:p>
    <w:p w:rsidR="009D0936" w:rsidRDefault="009D0936" w:rsidP="00E324CE">
      <w:pPr>
        <w:pStyle w:val="P158"/>
        <w:ind w:left="0"/>
        <w:jc w:val="both"/>
        <w:rPr>
          <w:rStyle w:val="T11"/>
          <w:rFonts w:ascii="Times New Roman" w:hAnsi="Times New Roman" w:cs="Times New Roman"/>
        </w:rPr>
      </w:pPr>
    </w:p>
    <w:p w:rsidR="009D0936" w:rsidRDefault="009D0936" w:rsidP="00E324CE">
      <w:pPr>
        <w:pStyle w:val="P158"/>
        <w:ind w:left="0"/>
        <w:jc w:val="both"/>
        <w:rPr>
          <w:rStyle w:val="T11"/>
          <w:rFonts w:ascii="Times New Roman" w:hAnsi="Times New Roman" w:cs="Times New Roman"/>
        </w:rPr>
      </w:pPr>
    </w:p>
    <w:p w:rsidR="009D0936" w:rsidRDefault="009D0936" w:rsidP="00E324CE">
      <w:pPr>
        <w:pStyle w:val="P158"/>
        <w:ind w:left="0"/>
        <w:jc w:val="both"/>
        <w:rPr>
          <w:rStyle w:val="T11"/>
          <w:rFonts w:ascii="Times New Roman" w:hAnsi="Times New Roman" w:cs="Times New Roman"/>
        </w:rPr>
      </w:pPr>
      <w:r>
        <w:rPr>
          <w:rFonts w:ascii="Times New Roman" w:hAnsi="Times New Roman"/>
        </w:rPr>
        <w:t xml:space="preserve">This is shown on Page 1 of Exhibit No.___(PDE-9).  </w:t>
      </w:r>
    </w:p>
    <w:p w:rsidR="0074438F" w:rsidRPr="005540EB" w:rsidRDefault="009D0936" w:rsidP="00E324CE">
      <w:pPr>
        <w:pStyle w:val="P158"/>
        <w:ind w:left="0"/>
        <w:jc w:val="both"/>
        <w:rPr>
          <w:rFonts w:ascii="Times New Roman" w:hAnsi="Times New Roman" w:cs="Times New Roman"/>
        </w:rPr>
      </w:pPr>
      <w:r>
        <w:rPr>
          <w:rStyle w:val="T11"/>
          <w:rFonts w:ascii="Times New Roman" w:hAnsi="Times New Roman" w:cs="Times New Roman"/>
        </w:rPr>
        <w:tab/>
      </w:r>
      <w:r>
        <w:rPr>
          <w:rStyle w:val="T11"/>
          <w:rFonts w:ascii="Times New Roman" w:hAnsi="Times New Roman" w:cs="Times New Roman"/>
        </w:rPr>
        <w:tab/>
      </w:r>
      <w:r w:rsidR="0074438F">
        <w:rPr>
          <w:rStyle w:val="T11"/>
          <w:rFonts w:ascii="Times New Roman" w:hAnsi="Times New Roman" w:cs="Times New Roman"/>
        </w:rPr>
        <w:t>Q.</w:t>
      </w:r>
      <w:r w:rsidR="0074438F">
        <w:rPr>
          <w:rStyle w:val="T11"/>
          <w:rFonts w:ascii="Times New Roman" w:hAnsi="Times New Roman" w:cs="Times New Roman"/>
        </w:rPr>
        <w:tab/>
        <w:t>What other rate changes are shown on Page 1 of Exhibit No.___(PDE-9)</w:t>
      </w:r>
      <w:r w:rsidR="0074438F" w:rsidRPr="005540EB">
        <w:rPr>
          <w:rStyle w:val="T11"/>
          <w:rFonts w:ascii="Times New Roman" w:hAnsi="Times New Roman" w:cs="Times New Roman"/>
        </w:rPr>
        <w:t>?</w:t>
      </w:r>
    </w:p>
    <w:p w:rsidR="009D0936" w:rsidRDefault="0074438F" w:rsidP="00E324CE">
      <w:pPr>
        <w:pStyle w:val="P31"/>
        <w:tabs>
          <w:tab w:val="left" w:pos="720"/>
        </w:tabs>
        <w:ind w:firstLine="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009D0936">
        <w:rPr>
          <w:rFonts w:ascii="Times New Roman" w:hAnsi="Times New Roman" w:cs="Times New Roman"/>
        </w:rPr>
        <w:t xml:space="preserve">There are three additional rate changes shown on Page 1 of Exhibit No. ___(PDE-9).  </w:t>
      </w:r>
      <w:r>
        <w:rPr>
          <w:rFonts w:ascii="Times New Roman" w:hAnsi="Times New Roman" w:cs="Times New Roman"/>
        </w:rPr>
        <w:t>In addition to the base rate increase of $3,639,000, Page 1 of Exhibit No.___(PDE-9) shows</w:t>
      </w:r>
      <w:r w:rsidR="009D0936">
        <w:rPr>
          <w:rFonts w:ascii="Times New Roman" w:hAnsi="Times New Roman" w:cs="Times New Roman"/>
        </w:rPr>
        <w:t xml:space="preserve"> the estimated November 2015 Power Supply Update </w:t>
      </w:r>
      <w:r w:rsidR="00034A93">
        <w:rPr>
          <w:rFonts w:ascii="Times New Roman" w:hAnsi="Times New Roman" w:cs="Times New Roman"/>
        </w:rPr>
        <w:t xml:space="preserve">revenue reduction </w:t>
      </w:r>
      <w:r w:rsidR="009D0936">
        <w:rPr>
          <w:rFonts w:ascii="Times New Roman" w:hAnsi="Times New Roman" w:cs="Times New Roman"/>
        </w:rPr>
        <w:t>of $10,000,000.</w:t>
      </w:r>
      <w:r w:rsidR="00034A93">
        <w:rPr>
          <w:rFonts w:ascii="Times New Roman" w:hAnsi="Times New Roman" w:cs="Times New Roman"/>
        </w:rPr>
        <w:t xml:space="preserve">  </w:t>
      </w:r>
      <w:r w:rsidR="009D0936">
        <w:rPr>
          <w:rFonts w:ascii="Times New Roman" w:hAnsi="Times New Roman" w:cs="Times New Roman"/>
        </w:rPr>
        <w:t>As a condition of the Multiparty Settlement Stipulation filed in this general rate case, the “</w:t>
      </w:r>
      <w:r w:rsidR="009D0936" w:rsidRPr="00A40F39">
        <w:rPr>
          <w:rFonts w:ascii="Times New Roman" w:hAnsi="Times New Roman" w:cs="Times New Roman"/>
        </w:rPr>
        <w:t>Parties agree that Avista shall file with the Commission an updated Power Supply adjustment two months before new electric retail rates from this electric Docket go into effect</w:t>
      </w:r>
      <w:r w:rsidR="009D0936">
        <w:rPr>
          <w:rFonts w:ascii="Times New Roman" w:hAnsi="Times New Roman" w:cs="Times New Roman"/>
        </w:rPr>
        <w:t>”</w:t>
      </w:r>
      <w:r w:rsidR="009D0936" w:rsidRPr="00A40F39">
        <w:rPr>
          <w:rFonts w:ascii="Times New Roman" w:hAnsi="Times New Roman" w:cs="Times New Roman"/>
        </w:rPr>
        <w:t>.</w:t>
      </w:r>
      <w:r w:rsidR="009D0936">
        <w:rPr>
          <w:rStyle w:val="FootnoteReference"/>
          <w:rFonts w:ascii="Times New Roman" w:hAnsi="Times New Roman"/>
        </w:rPr>
        <w:footnoteReference w:id="2"/>
      </w:r>
      <w:r w:rsidR="009D0936">
        <w:rPr>
          <w:rFonts w:ascii="Times New Roman" w:hAnsi="Times New Roman" w:cs="Times New Roman"/>
        </w:rPr>
        <w:t xml:space="preserve">  Avista’s current estimate of what the Power Supply Update will be is a decrease of $10,000,000 as discussed by Company witness Mr. Norwood.</w:t>
      </w:r>
    </w:p>
    <w:p w:rsidR="00A423CC" w:rsidRDefault="009D0936" w:rsidP="00E324CE">
      <w:pPr>
        <w:pStyle w:val="P31"/>
        <w:tabs>
          <w:tab w:val="left" w:pos="720"/>
        </w:tabs>
        <w:ind w:firstLine="0"/>
        <w:jc w:val="both"/>
        <w:rPr>
          <w:rFonts w:ascii="Times New Roman" w:hAnsi="Times New Roman" w:cs="Times New Roman"/>
        </w:rPr>
      </w:pPr>
      <w:r>
        <w:rPr>
          <w:rFonts w:ascii="Times New Roman" w:hAnsi="Times New Roman" w:cs="Times New Roman"/>
        </w:rPr>
        <w:tab/>
        <w:t xml:space="preserve">Also shown on Page 1 of Exhibit No. ___(PDE-9) is </w:t>
      </w:r>
      <w:r w:rsidR="0074438F">
        <w:rPr>
          <w:rFonts w:ascii="Times New Roman" w:hAnsi="Times New Roman" w:cs="Times New Roman"/>
        </w:rPr>
        <w:t>the effect of the expiration of the Energy Recovery Mechanism rebate that customers are receiving in 2015.  As a part of the Settlement Stipulation approved by the Commission in Docket No</w:t>
      </w:r>
      <w:r w:rsidR="005309AB">
        <w:rPr>
          <w:rFonts w:ascii="Times New Roman" w:hAnsi="Times New Roman" w:cs="Times New Roman"/>
        </w:rPr>
        <w:t>s</w:t>
      </w:r>
      <w:r w:rsidR="0074438F">
        <w:rPr>
          <w:rFonts w:ascii="Times New Roman" w:hAnsi="Times New Roman" w:cs="Times New Roman"/>
        </w:rPr>
        <w:t>. UE-140188 and UG-140189, Avista is</w:t>
      </w:r>
      <w:r w:rsidR="00034A93">
        <w:rPr>
          <w:rFonts w:ascii="Times New Roman" w:hAnsi="Times New Roman" w:cs="Times New Roman"/>
        </w:rPr>
        <w:t xml:space="preserve"> presently</w:t>
      </w:r>
      <w:r w:rsidR="0074438F">
        <w:rPr>
          <w:rFonts w:ascii="Times New Roman" w:hAnsi="Times New Roman" w:cs="Times New Roman"/>
        </w:rPr>
        <w:t xml:space="preserve"> rebating to customers approximately $8.2 million in 2015.  That rebate will expire on December 31, 2015.  </w:t>
      </w:r>
    </w:p>
    <w:p w:rsidR="009D0936" w:rsidRDefault="00A423CC" w:rsidP="009D0936">
      <w:pPr>
        <w:pStyle w:val="P31"/>
        <w:tabs>
          <w:tab w:val="left" w:pos="720"/>
        </w:tabs>
        <w:ind w:firstLine="0"/>
        <w:jc w:val="both"/>
        <w:rPr>
          <w:rFonts w:ascii="Times New Roman" w:hAnsi="Times New Roman" w:cs="Times New Roman"/>
        </w:rPr>
      </w:pPr>
      <w:r>
        <w:rPr>
          <w:rFonts w:ascii="Times New Roman" w:hAnsi="Times New Roman" w:cs="Times New Roman"/>
        </w:rPr>
        <w:tab/>
      </w:r>
      <w:r w:rsidR="009D0936">
        <w:rPr>
          <w:rFonts w:ascii="Times New Roman" w:hAnsi="Times New Roman" w:cs="Times New Roman"/>
        </w:rPr>
        <w:t xml:space="preserve">Finally, </w:t>
      </w:r>
      <w:r w:rsidR="0074438F">
        <w:rPr>
          <w:rFonts w:ascii="Times New Roman" w:hAnsi="Times New Roman" w:cs="Times New Roman"/>
        </w:rPr>
        <w:t xml:space="preserve">Page 1 of Exhibit No.___(PDE-9) </w:t>
      </w:r>
      <w:r w:rsidR="009D0936">
        <w:rPr>
          <w:rFonts w:ascii="Times New Roman" w:hAnsi="Times New Roman" w:cs="Times New Roman"/>
        </w:rPr>
        <w:t>shows</w:t>
      </w:r>
      <w:r w:rsidR="0074438F">
        <w:rPr>
          <w:rFonts w:ascii="Times New Roman" w:hAnsi="Times New Roman" w:cs="Times New Roman"/>
        </w:rPr>
        <w:t xml:space="preserve"> the increase in electric LIRAP </w:t>
      </w:r>
      <w:r w:rsidR="0074438F">
        <w:rPr>
          <w:rFonts w:ascii="Times New Roman" w:hAnsi="Times New Roman" w:cs="Times New Roman"/>
        </w:rPr>
        <w:lastRenderedPageBreak/>
        <w:t xml:space="preserve">funding of $320,000 that will be discussed later in my testimony.  The net effect of the base rate increase, </w:t>
      </w:r>
      <w:r w:rsidR="009D0936">
        <w:rPr>
          <w:rFonts w:ascii="Times New Roman" w:hAnsi="Times New Roman" w:cs="Times New Roman"/>
        </w:rPr>
        <w:t xml:space="preserve">the November 2015 Power Supply Update, the </w:t>
      </w:r>
      <w:r w:rsidR="0074438F">
        <w:rPr>
          <w:rFonts w:ascii="Times New Roman" w:hAnsi="Times New Roman" w:cs="Times New Roman"/>
        </w:rPr>
        <w:t xml:space="preserve">ERM rebate expiration, and increase in LIRAP funding, is an overall increase in billed revenue </w:t>
      </w:r>
      <w:r w:rsidR="009D0936">
        <w:rPr>
          <w:rFonts w:ascii="Times New Roman" w:hAnsi="Times New Roman" w:cs="Times New Roman"/>
        </w:rPr>
        <w:t>of</w:t>
      </w:r>
      <w:r w:rsidR="00E324CE">
        <w:rPr>
          <w:rFonts w:ascii="Times New Roman" w:hAnsi="Times New Roman" w:cs="Times New Roman"/>
        </w:rPr>
        <w:t xml:space="preserve"> $2,187,000, or 0.4%.  Table No. 2 below shows the revenue spread by rate schedule:</w:t>
      </w:r>
    </w:p>
    <w:p w:rsidR="00E324CE" w:rsidRPr="00A40F39" w:rsidRDefault="00E324CE" w:rsidP="00E324CE">
      <w:pPr>
        <w:pStyle w:val="P31"/>
        <w:ind w:right="-288" w:firstLine="0"/>
        <w:jc w:val="both"/>
        <w:rPr>
          <w:rFonts w:ascii="Times New Roman" w:hAnsi="Times New Roman" w:cs="Times New Roman"/>
          <w:b/>
          <w:u w:val="single"/>
        </w:rPr>
      </w:pPr>
      <w:r w:rsidRPr="00A40F39">
        <w:rPr>
          <w:rFonts w:ascii="Times New Roman" w:hAnsi="Times New Roman" w:cs="Times New Roman"/>
          <w:b/>
          <w:u w:val="single"/>
        </w:rPr>
        <w:t xml:space="preserve">Table No. </w:t>
      </w:r>
      <w:r>
        <w:rPr>
          <w:rFonts w:ascii="Times New Roman" w:hAnsi="Times New Roman" w:cs="Times New Roman"/>
          <w:b/>
          <w:u w:val="single"/>
        </w:rPr>
        <w:t>2</w:t>
      </w:r>
      <w:r w:rsidRPr="00A40F39">
        <w:rPr>
          <w:rFonts w:ascii="Times New Roman" w:hAnsi="Times New Roman" w:cs="Times New Roman"/>
          <w:b/>
          <w:u w:val="single"/>
        </w:rPr>
        <w:t xml:space="preserve"> – Proposed </w:t>
      </w:r>
      <w:r>
        <w:rPr>
          <w:rFonts w:ascii="Times New Roman" w:hAnsi="Times New Roman" w:cs="Times New Roman"/>
          <w:b/>
          <w:u w:val="single"/>
        </w:rPr>
        <w:t>%</w:t>
      </w:r>
      <w:r w:rsidRPr="00A40F39">
        <w:rPr>
          <w:rFonts w:ascii="Times New Roman" w:hAnsi="Times New Roman" w:cs="Times New Roman"/>
          <w:b/>
          <w:u w:val="single"/>
        </w:rPr>
        <w:t xml:space="preserve"> Electric Increase by Schedule</w:t>
      </w:r>
      <w:r>
        <w:rPr>
          <w:rFonts w:ascii="Times New Roman" w:hAnsi="Times New Roman" w:cs="Times New Roman"/>
          <w:b/>
          <w:u w:val="single"/>
        </w:rPr>
        <w:t xml:space="preserve"> Including </w:t>
      </w:r>
      <w:r w:rsidR="009D0936">
        <w:rPr>
          <w:rFonts w:ascii="Times New Roman" w:hAnsi="Times New Roman" w:cs="Times New Roman"/>
          <w:b/>
          <w:u w:val="single"/>
        </w:rPr>
        <w:t>All Rate Changes</w:t>
      </w:r>
    </w:p>
    <w:p w:rsidR="00517BD6" w:rsidRDefault="009D0936" w:rsidP="00517BD6">
      <w:pPr>
        <w:pStyle w:val="P31"/>
        <w:ind w:firstLine="0"/>
        <w:jc w:val="both"/>
        <w:rPr>
          <w:rFonts w:ascii="Times New Roman" w:hAnsi="Times New Roman" w:cs="Times New Roman"/>
        </w:rPr>
      </w:pPr>
      <w:r w:rsidRPr="009D0936">
        <w:rPr>
          <w:noProof/>
        </w:rPr>
        <w:drawing>
          <wp:anchor distT="0" distB="0" distL="114300" distR="114300" simplePos="0" relativeHeight="251666432" behindDoc="1" locked="0" layoutInCell="1" allowOverlap="1">
            <wp:simplePos x="0" y="0"/>
            <wp:positionH relativeFrom="column">
              <wp:posOffset>20775</wp:posOffset>
            </wp:positionH>
            <wp:positionV relativeFrom="paragraph">
              <wp:posOffset>3163</wp:posOffset>
            </wp:positionV>
            <wp:extent cx="5760648" cy="1682151"/>
            <wp:effectExtent l="1905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760648" cy="1682151"/>
                    </a:xfrm>
                    <a:prstGeom prst="rect">
                      <a:avLst/>
                    </a:prstGeom>
                    <a:noFill/>
                    <a:ln w="9525">
                      <a:noFill/>
                      <a:miter lim="800000"/>
                      <a:headEnd/>
                      <a:tailEnd/>
                    </a:ln>
                  </pic:spPr>
                </pic:pic>
              </a:graphicData>
            </a:graphic>
          </wp:anchor>
        </w:drawing>
      </w:r>
    </w:p>
    <w:p w:rsidR="00962C59" w:rsidRDefault="00962C59" w:rsidP="00517BD6">
      <w:pPr>
        <w:pStyle w:val="P31"/>
        <w:ind w:firstLine="0"/>
        <w:jc w:val="both"/>
        <w:rPr>
          <w:rFonts w:ascii="Times New Roman" w:hAnsi="Times New Roman" w:cs="Times New Roman"/>
        </w:rPr>
      </w:pPr>
    </w:p>
    <w:p w:rsidR="00962C59" w:rsidRDefault="00962C59" w:rsidP="00517BD6">
      <w:pPr>
        <w:pStyle w:val="P31"/>
        <w:ind w:firstLine="0"/>
        <w:jc w:val="both"/>
        <w:rPr>
          <w:rFonts w:ascii="Times New Roman" w:hAnsi="Times New Roman" w:cs="Times New Roman"/>
        </w:rPr>
      </w:pPr>
    </w:p>
    <w:p w:rsidR="00962C59" w:rsidRDefault="00962C59" w:rsidP="00517BD6">
      <w:pPr>
        <w:pStyle w:val="P31"/>
        <w:ind w:firstLine="0"/>
        <w:jc w:val="both"/>
        <w:rPr>
          <w:rFonts w:ascii="Times New Roman" w:hAnsi="Times New Roman" w:cs="Times New Roman"/>
        </w:rPr>
      </w:pPr>
    </w:p>
    <w:p w:rsidR="00517BD6" w:rsidRDefault="00517BD6" w:rsidP="00517BD6">
      <w:pPr>
        <w:pStyle w:val="P31"/>
        <w:ind w:firstLine="0"/>
        <w:jc w:val="both"/>
        <w:rPr>
          <w:rFonts w:ascii="Times New Roman" w:hAnsi="Times New Roman" w:cs="Times New Roman"/>
        </w:rPr>
      </w:pPr>
    </w:p>
    <w:p w:rsidR="0085756C" w:rsidRDefault="0085756C" w:rsidP="0085756C">
      <w:pPr>
        <w:pStyle w:val="P267"/>
        <w:tabs>
          <w:tab w:val="clear" w:pos="360"/>
          <w:tab w:val="left" w:pos="0"/>
        </w:tabs>
        <w:ind w:left="0"/>
        <w:jc w:val="center"/>
        <w:rPr>
          <w:rFonts w:ascii="Times New Roman" w:hAnsi="Times New Roman" w:cs="Times New Roman"/>
        </w:rPr>
      </w:pPr>
    </w:p>
    <w:p w:rsidR="0085756C" w:rsidRPr="005540EB" w:rsidRDefault="0085756C" w:rsidP="005C7C02">
      <w:pPr>
        <w:pStyle w:val="P106"/>
        <w:jc w:val="both"/>
        <w:rPr>
          <w:rFonts w:ascii="Times New Roman" w:hAnsi="Times New Roman" w:cs="Times New Roman"/>
        </w:rPr>
      </w:pPr>
      <w:r>
        <w:rPr>
          <w:rStyle w:val="T11"/>
          <w:rFonts w:ascii="Times New Roman" w:hAnsi="Times New Roman" w:cs="Times New Roman"/>
        </w:rPr>
        <w:t>Q.</w:t>
      </w:r>
      <w:r>
        <w:rPr>
          <w:rStyle w:val="T11"/>
          <w:rFonts w:ascii="Times New Roman" w:hAnsi="Times New Roman" w:cs="Times New Roman"/>
        </w:rPr>
        <w:tab/>
        <w:t>Has the Company provided what the rates would be, by rate schedule, incorporating the effects of the revenue changes noted above</w:t>
      </w:r>
      <w:r w:rsidRPr="005540EB">
        <w:rPr>
          <w:rStyle w:val="T11"/>
          <w:rFonts w:ascii="Times New Roman" w:hAnsi="Times New Roman" w:cs="Times New Roman"/>
        </w:rPr>
        <w:t>?</w:t>
      </w:r>
    </w:p>
    <w:p w:rsidR="00040CA8" w:rsidRDefault="0085756C" w:rsidP="005C7C02">
      <w:pPr>
        <w:pStyle w:val="P10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Yes.  </w:t>
      </w:r>
      <w:r w:rsidR="00040CA8">
        <w:rPr>
          <w:rFonts w:ascii="Times New Roman" w:hAnsi="Times New Roman" w:cs="Times New Roman"/>
        </w:rPr>
        <w:t xml:space="preserve">Page </w:t>
      </w:r>
      <w:r w:rsidR="009D0936">
        <w:rPr>
          <w:rFonts w:ascii="Times New Roman" w:hAnsi="Times New Roman" w:cs="Times New Roman"/>
        </w:rPr>
        <w:t>2</w:t>
      </w:r>
      <w:r w:rsidR="00040CA8">
        <w:rPr>
          <w:rFonts w:ascii="Times New Roman" w:hAnsi="Times New Roman" w:cs="Times New Roman"/>
        </w:rPr>
        <w:t xml:space="preserve"> of Exhibit No.___(PDE-9) provides the revised base and billing rates, by rate schedule, incorporating the billed revenue increase of $2,187,000 </w:t>
      </w:r>
      <w:r w:rsidR="006942FA">
        <w:rPr>
          <w:rFonts w:ascii="Times New Roman" w:hAnsi="Times New Roman" w:cs="Times New Roman"/>
        </w:rPr>
        <w:t>and the rate design that the Parties to the Multiparty Settlement Stipulation</w:t>
      </w:r>
      <w:r w:rsidR="006942FA" w:rsidRPr="0085756C">
        <w:rPr>
          <w:rFonts w:ascii="Times New Roman" w:hAnsi="Times New Roman" w:cs="Times New Roman"/>
        </w:rPr>
        <w:t xml:space="preserve"> </w:t>
      </w:r>
      <w:r w:rsidR="006942FA">
        <w:rPr>
          <w:rFonts w:ascii="Times New Roman" w:hAnsi="Times New Roman" w:cs="Times New Roman"/>
        </w:rPr>
        <w:t xml:space="preserve">agreed to, </w:t>
      </w:r>
      <w:r>
        <w:rPr>
          <w:rFonts w:ascii="Times New Roman" w:hAnsi="Times New Roman" w:cs="Times New Roman"/>
        </w:rPr>
        <w:t>such as keeping the Basic Charge for Schedule 1 at $8.50 per month</w:t>
      </w:r>
      <w:r w:rsidR="00040CA8">
        <w:rPr>
          <w:rFonts w:ascii="Times New Roman" w:hAnsi="Times New Roman" w:cs="Times New Roman"/>
        </w:rPr>
        <w:t xml:space="preserve">.  </w:t>
      </w:r>
    </w:p>
    <w:p w:rsidR="00A423CC" w:rsidRPr="005540EB" w:rsidRDefault="00A423CC" w:rsidP="00A423CC">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Pr>
          <w:rStyle w:val="T11"/>
          <w:rFonts w:ascii="Times New Roman" w:hAnsi="Times New Roman" w:cs="Times New Roman"/>
        </w:rPr>
        <w:t>What rate effective date is the Company is proposing</w:t>
      </w:r>
      <w:r w:rsidRPr="005540EB">
        <w:rPr>
          <w:rStyle w:val="T11"/>
          <w:rFonts w:ascii="Times New Roman" w:hAnsi="Times New Roman" w:cs="Times New Roman"/>
        </w:rPr>
        <w:t>?</w:t>
      </w:r>
    </w:p>
    <w:p w:rsidR="00E37C6D" w:rsidRPr="00E37C6D" w:rsidRDefault="00A423CC" w:rsidP="00E37C6D">
      <w:pPr>
        <w:pStyle w:val="P31"/>
        <w:tabs>
          <w:tab w:val="clear" w:pos="810"/>
          <w:tab w:val="left" w:pos="720"/>
        </w:tabs>
        <w:ind w:firstLine="0"/>
        <w:jc w:val="both"/>
        <w:rPr>
          <w:rFonts w:ascii="Times New Roman" w:hAnsi="Times New Roman" w:cs="Times New Roman"/>
          <w:b/>
          <w:u w:val="single"/>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 xml:space="preserve">In order to minimize the number of bill changes for customers, the Company requests that the base rate increase, inclusive of the Power Supply Update, as well as the increase in LIRAP funding, occur on January 1, 2016 in order to match the expiration of the </w:t>
      </w:r>
      <w:r w:rsidR="00CA156F">
        <w:rPr>
          <w:rFonts w:ascii="Times New Roman" w:hAnsi="Times New Roman" w:cs="Times New Roman"/>
        </w:rPr>
        <w:t xml:space="preserve">current </w:t>
      </w:r>
      <w:r>
        <w:rPr>
          <w:rFonts w:ascii="Times New Roman" w:hAnsi="Times New Roman" w:cs="Times New Roman"/>
        </w:rPr>
        <w:t xml:space="preserve">ERM rebate.   </w:t>
      </w:r>
      <w:r w:rsidR="00E37C6D">
        <w:rPr>
          <w:rFonts w:ascii="Times New Roman" w:hAnsi="Times New Roman" w:cs="Times New Roman"/>
          <w:b/>
          <w:u w:val="single"/>
        </w:rPr>
        <w:br w:type="page"/>
      </w:r>
    </w:p>
    <w:p w:rsidR="00517BD6" w:rsidRPr="00517BD6" w:rsidRDefault="00517BD6" w:rsidP="00040CA8">
      <w:pPr>
        <w:pStyle w:val="P31"/>
        <w:ind w:firstLine="0"/>
        <w:jc w:val="center"/>
        <w:rPr>
          <w:rFonts w:ascii="Times New Roman" w:hAnsi="Times New Roman" w:cs="Times New Roman"/>
          <w:b/>
          <w:u w:val="single"/>
        </w:rPr>
      </w:pPr>
      <w:r w:rsidRPr="00517BD6">
        <w:rPr>
          <w:rFonts w:ascii="Times New Roman" w:hAnsi="Times New Roman" w:cs="Times New Roman"/>
          <w:b/>
          <w:u w:val="single"/>
        </w:rPr>
        <w:lastRenderedPageBreak/>
        <w:t>PROPOSED NATURAL GAS REVENUE INCREASE</w:t>
      </w:r>
    </w:p>
    <w:p w:rsidR="008033BB" w:rsidRPr="005540EB" w:rsidRDefault="008033BB" w:rsidP="008033BB">
      <w:pPr>
        <w:pStyle w:val="P158"/>
        <w:ind w:left="0"/>
        <w:jc w:val="both"/>
        <w:rPr>
          <w:rFonts w:ascii="Times New Roman" w:hAnsi="Times New Roman" w:cs="Times New Roman"/>
        </w:rPr>
      </w:pPr>
      <w:r>
        <w:rPr>
          <w:rStyle w:val="T11"/>
          <w:rFonts w:ascii="Times New Roman" w:hAnsi="Times New Roman" w:cs="Times New Roman"/>
        </w:rPr>
        <w:tab/>
      </w:r>
      <w:r>
        <w:rPr>
          <w:rStyle w:val="T11"/>
          <w:rFonts w:ascii="Times New Roman" w:hAnsi="Times New Roman" w:cs="Times New Roman"/>
        </w:rPr>
        <w:tab/>
        <w:t>Q.</w:t>
      </w:r>
      <w:r>
        <w:rPr>
          <w:rStyle w:val="T11"/>
          <w:rFonts w:ascii="Times New Roman" w:hAnsi="Times New Roman" w:cs="Times New Roman"/>
        </w:rPr>
        <w:tab/>
      </w:r>
      <w:r w:rsidRPr="005540EB">
        <w:rPr>
          <w:rStyle w:val="T11"/>
          <w:rFonts w:ascii="Times New Roman" w:hAnsi="Times New Roman" w:cs="Times New Roman"/>
        </w:rPr>
        <w:t xml:space="preserve">How </w:t>
      </w:r>
      <w:r>
        <w:rPr>
          <w:rStyle w:val="T11"/>
          <w:rFonts w:ascii="Times New Roman" w:hAnsi="Times New Roman" w:cs="Times New Roman"/>
        </w:rPr>
        <w:t>has</w:t>
      </w:r>
      <w:r w:rsidRPr="005540EB">
        <w:rPr>
          <w:rStyle w:val="T11"/>
          <w:rFonts w:ascii="Times New Roman" w:hAnsi="Times New Roman" w:cs="Times New Roman"/>
        </w:rPr>
        <w:t xml:space="preserve"> the Company spread the total </w:t>
      </w:r>
      <w:r>
        <w:rPr>
          <w:rStyle w:val="T11"/>
          <w:rFonts w:ascii="Times New Roman" w:hAnsi="Times New Roman" w:cs="Times New Roman"/>
        </w:rPr>
        <w:t xml:space="preserve">natural gas </w:t>
      </w:r>
      <w:r w:rsidRPr="005540EB">
        <w:rPr>
          <w:rStyle w:val="T11"/>
          <w:rFonts w:ascii="Times New Roman" w:hAnsi="Times New Roman" w:cs="Times New Roman"/>
        </w:rPr>
        <w:t xml:space="preserve">general </w:t>
      </w:r>
      <w:r w:rsidR="001E46B2">
        <w:rPr>
          <w:rStyle w:val="T11"/>
          <w:rFonts w:ascii="Times New Roman" w:hAnsi="Times New Roman" w:cs="Times New Roman"/>
        </w:rPr>
        <w:t xml:space="preserve">base </w:t>
      </w:r>
      <w:r w:rsidRPr="005540EB">
        <w:rPr>
          <w:rStyle w:val="T11"/>
          <w:rFonts w:ascii="Times New Roman" w:hAnsi="Times New Roman" w:cs="Times New Roman"/>
        </w:rPr>
        <w:t xml:space="preserve">revenue increase </w:t>
      </w:r>
      <w:r w:rsidRPr="00081958">
        <w:rPr>
          <w:rStyle w:val="T11"/>
          <w:rFonts w:ascii="Times New Roman" w:hAnsi="Times New Roman" w:cs="Times New Roman"/>
        </w:rPr>
        <w:t>request of $</w:t>
      </w:r>
      <w:r w:rsidR="00CA156F">
        <w:rPr>
          <w:rStyle w:val="T11"/>
          <w:rFonts w:ascii="Times New Roman" w:hAnsi="Times New Roman" w:cs="Times New Roman"/>
        </w:rPr>
        <w:t>10,009,000</w:t>
      </w:r>
      <w:r w:rsidR="001E46B2">
        <w:rPr>
          <w:rStyle w:val="T11"/>
          <w:rFonts w:ascii="Times New Roman" w:hAnsi="Times New Roman" w:cs="Times New Roman"/>
        </w:rPr>
        <w:t>, or 5.9%</w:t>
      </w:r>
      <w:r>
        <w:rPr>
          <w:rStyle w:val="T11"/>
          <w:rFonts w:ascii="Times New Roman" w:hAnsi="Times New Roman" w:cs="Times New Roman"/>
        </w:rPr>
        <w:t xml:space="preserve"> </w:t>
      </w:r>
      <w:r w:rsidRPr="00081958">
        <w:rPr>
          <w:rStyle w:val="T11"/>
          <w:rFonts w:ascii="Times New Roman" w:hAnsi="Times New Roman" w:cs="Times New Roman"/>
        </w:rPr>
        <w:t>among</w:t>
      </w:r>
      <w:r w:rsidRPr="005540EB">
        <w:rPr>
          <w:rStyle w:val="T11"/>
          <w:rFonts w:ascii="Times New Roman" w:hAnsi="Times New Roman" w:cs="Times New Roman"/>
        </w:rPr>
        <w:t xml:space="preserve"> its various rate schedules?</w:t>
      </w:r>
    </w:p>
    <w:p w:rsidR="008033BB" w:rsidRDefault="008033BB" w:rsidP="008033BB">
      <w:pPr>
        <w:pStyle w:val="P31"/>
        <w:tabs>
          <w:tab w:val="left" w:pos="720"/>
        </w:tabs>
        <w:ind w:firstLine="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5540EB">
        <w:rPr>
          <w:rFonts w:ascii="Times New Roman" w:hAnsi="Times New Roman" w:cs="Times New Roman"/>
        </w:rPr>
        <w:t xml:space="preserve">The </w:t>
      </w:r>
      <w:r w:rsidRPr="002B3375">
        <w:rPr>
          <w:rFonts w:ascii="Times New Roman" w:hAnsi="Times New Roman" w:cs="Times New Roman"/>
        </w:rPr>
        <w:t xml:space="preserve">Company </w:t>
      </w:r>
      <w:r>
        <w:rPr>
          <w:rFonts w:ascii="Times New Roman" w:hAnsi="Times New Roman" w:cs="Times New Roman"/>
        </w:rPr>
        <w:t>spread</w:t>
      </w:r>
      <w:r w:rsidRPr="002B3375">
        <w:rPr>
          <w:rFonts w:ascii="Times New Roman" w:hAnsi="Times New Roman" w:cs="Times New Roman"/>
        </w:rPr>
        <w:t xml:space="preserve"> the overall requested </w:t>
      </w:r>
      <w:r>
        <w:rPr>
          <w:rFonts w:ascii="Times New Roman" w:hAnsi="Times New Roman" w:cs="Times New Roman"/>
        </w:rPr>
        <w:t xml:space="preserve">natural gas </w:t>
      </w:r>
      <w:r w:rsidR="001E46B2">
        <w:rPr>
          <w:rFonts w:ascii="Times New Roman" w:hAnsi="Times New Roman" w:cs="Times New Roman"/>
        </w:rPr>
        <w:t xml:space="preserve">base </w:t>
      </w:r>
      <w:r w:rsidRPr="002B3375">
        <w:rPr>
          <w:rFonts w:ascii="Times New Roman" w:hAnsi="Times New Roman" w:cs="Times New Roman"/>
        </w:rPr>
        <w:t xml:space="preserve">revenue increase </w:t>
      </w:r>
      <w:r>
        <w:rPr>
          <w:rFonts w:ascii="Times New Roman" w:hAnsi="Times New Roman" w:cs="Times New Roman"/>
        </w:rPr>
        <w:t>consistent with the provisions of the Multiparty Settlement Stipulation filed with the Commission on May 1, 2015.  The Parties to that settlement agreed</w:t>
      </w:r>
      <w:r w:rsidR="00A423CC">
        <w:rPr>
          <w:rFonts w:ascii="Times New Roman" w:hAnsi="Times New Roman" w:cs="Times New Roman"/>
        </w:rPr>
        <w:t xml:space="preserve"> to</w:t>
      </w:r>
      <w:r>
        <w:rPr>
          <w:rFonts w:ascii="Times New Roman" w:hAnsi="Times New Roman" w:cs="Times New Roman"/>
        </w:rPr>
        <w:t xml:space="preserve"> “</w:t>
      </w:r>
      <w:r>
        <w:rPr>
          <w:rFonts w:ascii="Times New Roman" w:hAnsi="Times New Roman"/>
        </w:rPr>
        <w:t>apply an equal percentage of margin increase for purposes of spreading the increase in the retail natural gas non-gas revenue requirement”.</w:t>
      </w:r>
      <w:r>
        <w:rPr>
          <w:rStyle w:val="FootnoteReference"/>
          <w:rFonts w:ascii="Times New Roman" w:hAnsi="Times New Roman"/>
        </w:rPr>
        <w:footnoteReference w:id="3"/>
      </w:r>
      <w:r>
        <w:rPr>
          <w:rFonts w:ascii="Times New Roman" w:hAnsi="Times New Roman"/>
        </w:rPr>
        <w:t xml:space="preserve">  This is shown on Page 1 of Exhibit No.___(PDE-10).</w:t>
      </w:r>
    </w:p>
    <w:p w:rsidR="008033BB" w:rsidRPr="005540EB" w:rsidRDefault="008033BB" w:rsidP="008033BB">
      <w:pPr>
        <w:pStyle w:val="P158"/>
        <w:ind w:left="0"/>
        <w:jc w:val="both"/>
        <w:rPr>
          <w:rFonts w:ascii="Times New Roman" w:hAnsi="Times New Roman" w:cs="Times New Roman"/>
        </w:rPr>
      </w:pPr>
      <w:r>
        <w:rPr>
          <w:rStyle w:val="T11"/>
          <w:rFonts w:ascii="Times New Roman" w:hAnsi="Times New Roman" w:cs="Times New Roman"/>
        </w:rPr>
        <w:tab/>
      </w:r>
      <w:r>
        <w:rPr>
          <w:rStyle w:val="T11"/>
          <w:rFonts w:ascii="Times New Roman" w:hAnsi="Times New Roman" w:cs="Times New Roman"/>
        </w:rPr>
        <w:tab/>
        <w:t>Q.</w:t>
      </w:r>
      <w:r>
        <w:rPr>
          <w:rStyle w:val="T11"/>
          <w:rFonts w:ascii="Times New Roman" w:hAnsi="Times New Roman" w:cs="Times New Roman"/>
        </w:rPr>
        <w:tab/>
        <w:t>What other rate changes are shown on Page 1 of Exhibit No.___(PDE-10)</w:t>
      </w:r>
      <w:r w:rsidRPr="005540EB">
        <w:rPr>
          <w:rStyle w:val="T11"/>
          <w:rFonts w:ascii="Times New Roman" w:hAnsi="Times New Roman" w:cs="Times New Roman"/>
        </w:rPr>
        <w:t>?</w:t>
      </w:r>
    </w:p>
    <w:p w:rsidR="00913FDC" w:rsidRPr="00913FDC" w:rsidRDefault="008033BB" w:rsidP="00913FDC">
      <w:pPr>
        <w:pStyle w:val="P31"/>
        <w:tabs>
          <w:tab w:val="left" w:pos="720"/>
        </w:tabs>
        <w:ind w:firstLine="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In addition to the </w:t>
      </w:r>
      <w:r w:rsidRPr="001E46B2">
        <w:rPr>
          <w:rFonts w:ascii="Times New Roman" w:hAnsi="Times New Roman" w:cs="Times New Roman"/>
          <w:u w:val="single"/>
        </w:rPr>
        <w:t>base</w:t>
      </w:r>
      <w:r>
        <w:rPr>
          <w:rFonts w:ascii="Times New Roman" w:hAnsi="Times New Roman" w:cs="Times New Roman"/>
        </w:rPr>
        <w:t xml:space="preserve"> rate increase of $10,009,000, Page 1 of Exhibit No.___(PDE-10) shows the proposed increase in natural gas LIRAP funding of </w:t>
      </w:r>
      <w:r w:rsidR="001E46B2">
        <w:rPr>
          <w:rFonts w:ascii="Times New Roman" w:hAnsi="Times New Roman" w:cs="Times New Roman"/>
        </w:rPr>
        <w:t xml:space="preserve">approximately </w:t>
      </w:r>
      <w:r>
        <w:rPr>
          <w:rFonts w:ascii="Times New Roman" w:hAnsi="Times New Roman" w:cs="Times New Roman"/>
        </w:rPr>
        <w:t>$</w:t>
      </w:r>
      <w:r w:rsidR="00CA156F">
        <w:rPr>
          <w:rFonts w:ascii="Times New Roman" w:hAnsi="Times New Roman" w:cs="Times New Roman"/>
        </w:rPr>
        <w:t>311</w:t>
      </w:r>
      <w:r>
        <w:rPr>
          <w:rFonts w:ascii="Times New Roman" w:hAnsi="Times New Roman" w:cs="Times New Roman"/>
        </w:rPr>
        <w:t xml:space="preserve">,000 that will be discussed later in my testimony.  The net effect of the base rate increase and increase in LIRAP funding, is an overall increase in </w:t>
      </w:r>
      <w:r w:rsidRPr="001E46B2">
        <w:rPr>
          <w:rFonts w:ascii="Times New Roman" w:hAnsi="Times New Roman" w:cs="Times New Roman"/>
          <w:u w:val="single"/>
        </w:rPr>
        <w:t>billed</w:t>
      </w:r>
      <w:r>
        <w:rPr>
          <w:rFonts w:ascii="Times New Roman" w:hAnsi="Times New Roman" w:cs="Times New Roman"/>
        </w:rPr>
        <w:t xml:space="preserve"> revenue of $</w:t>
      </w:r>
      <w:r w:rsidR="008618A0">
        <w:rPr>
          <w:rFonts w:ascii="Times New Roman" w:hAnsi="Times New Roman" w:cs="Times New Roman"/>
        </w:rPr>
        <w:t>10</w:t>
      </w:r>
      <w:r>
        <w:rPr>
          <w:rFonts w:ascii="Times New Roman" w:hAnsi="Times New Roman" w:cs="Times New Roman"/>
        </w:rPr>
        <w:t>,</w:t>
      </w:r>
      <w:r w:rsidR="00CA156F">
        <w:rPr>
          <w:rFonts w:ascii="Times New Roman" w:hAnsi="Times New Roman" w:cs="Times New Roman"/>
        </w:rPr>
        <w:t>320</w:t>
      </w:r>
      <w:r>
        <w:rPr>
          <w:rFonts w:ascii="Times New Roman" w:hAnsi="Times New Roman" w:cs="Times New Roman"/>
        </w:rPr>
        <w:t xml:space="preserve">,000, or </w:t>
      </w:r>
      <w:r w:rsidR="008618A0">
        <w:rPr>
          <w:rFonts w:ascii="Times New Roman" w:hAnsi="Times New Roman" w:cs="Times New Roman"/>
        </w:rPr>
        <w:t>5.</w:t>
      </w:r>
      <w:r w:rsidR="00CA156F">
        <w:rPr>
          <w:rFonts w:ascii="Times New Roman" w:hAnsi="Times New Roman" w:cs="Times New Roman"/>
        </w:rPr>
        <w:t>9</w:t>
      </w:r>
      <w:r>
        <w:rPr>
          <w:rFonts w:ascii="Times New Roman" w:hAnsi="Times New Roman" w:cs="Times New Roman"/>
        </w:rPr>
        <w:t xml:space="preserve">%.  Table No. </w:t>
      </w:r>
      <w:r w:rsidR="008618A0">
        <w:rPr>
          <w:rFonts w:ascii="Times New Roman" w:hAnsi="Times New Roman" w:cs="Times New Roman"/>
        </w:rPr>
        <w:t>3</w:t>
      </w:r>
      <w:r>
        <w:rPr>
          <w:rFonts w:ascii="Times New Roman" w:hAnsi="Times New Roman" w:cs="Times New Roman"/>
        </w:rPr>
        <w:t xml:space="preserve"> below shows the revenue spread by rate schedule:</w:t>
      </w:r>
    </w:p>
    <w:p w:rsidR="008033BB" w:rsidRDefault="001E46B2" w:rsidP="00517BD6">
      <w:pPr>
        <w:pStyle w:val="P31"/>
        <w:ind w:firstLine="0"/>
        <w:jc w:val="both"/>
        <w:rPr>
          <w:rFonts w:ascii="Times New Roman" w:hAnsi="Times New Roman" w:cs="Times New Roman"/>
        </w:rPr>
      </w:pPr>
      <w:r>
        <w:rPr>
          <w:rFonts w:ascii="Times New Roman" w:hAnsi="Times New Roman" w:cs="Times New Roman"/>
          <w:b/>
          <w:noProof/>
          <w:u w:val="single"/>
        </w:rPr>
        <w:drawing>
          <wp:anchor distT="0" distB="0" distL="114300" distR="114300" simplePos="0" relativeHeight="251673600" behindDoc="1" locked="0" layoutInCell="1" allowOverlap="1">
            <wp:simplePos x="0" y="0"/>
            <wp:positionH relativeFrom="column">
              <wp:posOffset>20775</wp:posOffset>
            </wp:positionH>
            <wp:positionV relativeFrom="paragraph">
              <wp:posOffset>182940</wp:posOffset>
            </wp:positionV>
            <wp:extent cx="5760648" cy="1751162"/>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60648" cy="1751162"/>
                    </a:xfrm>
                    <a:prstGeom prst="rect">
                      <a:avLst/>
                    </a:prstGeom>
                    <a:noFill/>
                    <a:ln w="9525">
                      <a:noFill/>
                      <a:miter lim="800000"/>
                      <a:headEnd/>
                      <a:tailEnd/>
                    </a:ln>
                  </pic:spPr>
                </pic:pic>
              </a:graphicData>
            </a:graphic>
          </wp:anchor>
        </w:drawing>
      </w:r>
      <w:r w:rsidR="008618A0" w:rsidRPr="00A40F39">
        <w:rPr>
          <w:rFonts w:ascii="Times New Roman" w:hAnsi="Times New Roman" w:cs="Times New Roman"/>
          <w:b/>
          <w:u w:val="single"/>
        </w:rPr>
        <w:t xml:space="preserve">Table No. </w:t>
      </w:r>
      <w:r w:rsidR="008618A0">
        <w:rPr>
          <w:rFonts w:ascii="Times New Roman" w:hAnsi="Times New Roman" w:cs="Times New Roman"/>
          <w:b/>
          <w:u w:val="single"/>
        </w:rPr>
        <w:t>3</w:t>
      </w:r>
      <w:r w:rsidR="008618A0" w:rsidRPr="00A40F39">
        <w:rPr>
          <w:rFonts w:ascii="Times New Roman" w:hAnsi="Times New Roman" w:cs="Times New Roman"/>
          <w:b/>
          <w:u w:val="single"/>
        </w:rPr>
        <w:t xml:space="preserve"> – Proposed </w:t>
      </w:r>
      <w:r w:rsidR="008618A0">
        <w:rPr>
          <w:rFonts w:ascii="Times New Roman" w:hAnsi="Times New Roman" w:cs="Times New Roman"/>
          <w:b/>
          <w:u w:val="single"/>
        </w:rPr>
        <w:t>%</w:t>
      </w:r>
      <w:r w:rsidR="008618A0" w:rsidRPr="00A40F39">
        <w:rPr>
          <w:rFonts w:ascii="Times New Roman" w:hAnsi="Times New Roman" w:cs="Times New Roman"/>
          <w:b/>
          <w:u w:val="single"/>
        </w:rPr>
        <w:t xml:space="preserve"> </w:t>
      </w:r>
      <w:r w:rsidR="008618A0">
        <w:rPr>
          <w:rFonts w:ascii="Times New Roman" w:hAnsi="Times New Roman" w:cs="Times New Roman"/>
          <w:b/>
          <w:u w:val="single"/>
        </w:rPr>
        <w:t>Natural Gas</w:t>
      </w:r>
      <w:r w:rsidR="008618A0" w:rsidRPr="00A40F39">
        <w:rPr>
          <w:rFonts w:ascii="Times New Roman" w:hAnsi="Times New Roman" w:cs="Times New Roman"/>
          <w:b/>
          <w:u w:val="single"/>
        </w:rPr>
        <w:t xml:space="preserve"> Increase by Schedule</w:t>
      </w:r>
    </w:p>
    <w:p w:rsidR="008033BB" w:rsidRDefault="008033BB" w:rsidP="00517BD6">
      <w:pPr>
        <w:pStyle w:val="P31"/>
        <w:ind w:firstLine="0"/>
        <w:jc w:val="both"/>
        <w:rPr>
          <w:rFonts w:ascii="Times New Roman" w:hAnsi="Times New Roman" w:cs="Times New Roman"/>
        </w:rPr>
      </w:pPr>
    </w:p>
    <w:p w:rsidR="008033BB" w:rsidRDefault="008033BB" w:rsidP="00517BD6">
      <w:pPr>
        <w:pStyle w:val="P31"/>
        <w:ind w:firstLine="0"/>
        <w:jc w:val="both"/>
        <w:rPr>
          <w:rFonts w:ascii="Times New Roman" w:hAnsi="Times New Roman" w:cs="Times New Roman"/>
        </w:rPr>
      </w:pPr>
    </w:p>
    <w:p w:rsidR="008033BB" w:rsidRDefault="008033BB" w:rsidP="00517BD6">
      <w:pPr>
        <w:pStyle w:val="P31"/>
        <w:ind w:firstLine="0"/>
        <w:jc w:val="both"/>
        <w:rPr>
          <w:rFonts w:ascii="Times New Roman" w:hAnsi="Times New Roman" w:cs="Times New Roman"/>
        </w:rPr>
      </w:pPr>
    </w:p>
    <w:p w:rsidR="008033BB" w:rsidRDefault="008033BB" w:rsidP="00517BD6">
      <w:pPr>
        <w:pStyle w:val="P31"/>
        <w:ind w:firstLine="0"/>
        <w:jc w:val="both"/>
        <w:rPr>
          <w:rFonts w:ascii="Times New Roman" w:hAnsi="Times New Roman" w:cs="Times New Roman"/>
        </w:rPr>
      </w:pPr>
    </w:p>
    <w:p w:rsidR="001E46B2" w:rsidRDefault="001E46B2">
      <w:pPr>
        <w:autoSpaceDE/>
        <w:autoSpaceDN/>
        <w:rPr>
          <w:b/>
          <w:szCs w:val="20"/>
          <w:u w:val="single"/>
        </w:rPr>
      </w:pPr>
      <w:r>
        <w:br w:type="page"/>
      </w:r>
    </w:p>
    <w:p w:rsidR="00913FDC" w:rsidRPr="005540EB" w:rsidRDefault="00913FDC" w:rsidP="00913FDC">
      <w:pPr>
        <w:pStyle w:val="P158"/>
        <w:ind w:left="0"/>
        <w:jc w:val="both"/>
        <w:rPr>
          <w:rFonts w:ascii="Times New Roman" w:hAnsi="Times New Roman" w:cs="Times New Roman"/>
        </w:rPr>
      </w:pPr>
      <w:r>
        <w:rPr>
          <w:rStyle w:val="T11"/>
          <w:rFonts w:ascii="Times New Roman" w:hAnsi="Times New Roman" w:cs="Times New Roman"/>
        </w:rPr>
        <w:lastRenderedPageBreak/>
        <w:tab/>
      </w:r>
      <w:r>
        <w:rPr>
          <w:rStyle w:val="T11"/>
          <w:rFonts w:ascii="Times New Roman" w:hAnsi="Times New Roman" w:cs="Times New Roman"/>
        </w:rPr>
        <w:tab/>
        <w:t>Q.</w:t>
      </w:r>
      <w:r>
        <w:rPr>
          <w:rStyle w:val="T11"/>
          <w:rFonts w:ascii="Times New Roman" w:hAnsi="Times New Roman" w:cs="Times New Roman"/>
        </w:rPr>
        <w:tab/>
        <w:t xml:space="preserve">Has the Company provided what the rates would be, by rate schedule, incorporating the effects of the revenue changes noted </w:t>
      </w:r>
      <w:r w:rsidR="0085756C">
        <w:rPr>
          <w:rStyle w:val="T11"/>
          <w:rFonts w:ascii="Times New Roman" w:hAnsi="Times New Roman" w:cs="Times New Roman"/>
        </w:rPr>
        <w:t>above</w:t>
      </w:r>
      <w:r w:rsidRPr="005540EB">
        <w:rPr>
          <w:rStyle w:val="T11"/>
          <w:rFonts w:ascii="Times New Roman" w:hAnsi="Times New Roman" w:cs="Times New Roman"/>
        </w:rPr>
        <w:t>?</w:t>
      </w:r>
    </w:p>
    <w:p w:rsidR="00913FDC" w:rsidRDefault="00913FDC" w:rsidP="00913FDC">
      <w:pPr>
        <w:pStyle w:val="P158"/>
        <w:ind w:left="0"/>
        <w:jc w:val="both"/>
        <w:rPr>
          <w:rStyle w:val="T11"/>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Yes.  Page 2 of Exhibit No.___(PDE-10) provides the revised base and billing rates, by rate schedule, incorporating the billed revenue increase of $10,</w:t>
      </w:r>
      <w:r w:rsidR="00CA156F">
        <w:rPr>
          <w:rFonts w:ascii="Times New Roman" w:hAnsi="Times New Roman" w:cs="Times New Roman"/>
        </w:rPr>
        <w:t>320</w:t>
      </w:r>
      <w:r>
        <w:rPr>
          <w:rFonts w:ascii="Times New Roman" w:hAnsi="Times New Roman" w:cs="Times New Roman"/>
        </w:rPr>
        <w:t xml:space="preserve">,000 and the rate design </w:t>
      </w:r>
      <w:r w:rsidR="006942FA">
        <w:rPr>
          <w:rFonts w:ascii="Times New Roman" w:hAnsi="Times New Roman" w:cs="Times New Roman"/>
        </w:rPr>
        <w:t>that the Parties to the</w:t>
      </w:r>
      <w:r>
        <w:rPr>
          <w:rFonts w:ascii="Times New Roman" w:hAnsi="Times New Roman" w:cs="Times New Roman"/>
        </w:rPr>
        <w:t xml:space="preserve"> Multiparty Settlement Stipulation</w:t>
      </w:r>
      <w:r w:rsidR="0085756C" w:rsidRPr="0085756C">
        <w:rPr>
          <w:rFonts w:ascii="Times New Roman" w:hAnsi="Times New Roman" w:cs="Times New Roman"/>
        </w:rPr>
        <w:t xml:space="preserve"> </w:t>
      </w:r>
      <w:r w:rsidR="006942FA">
        <w:rPr>
          <w:rFonts w:ascii="Times New Roman" w:hAnsi="Times New Roman" w:cs="Times New Roman"/>
        </w:rPr>
        <w:t xml:space="preserve">agreed to, </w:t>
      </w:r>
      <w:r w:rsidR="0085756C">
        <w:rPr>
          <w:rFonts w:ascii="Times New Roman" w:hAnsi="Times New Roman" w:cs="Times New Roman"/>
        </w:rPr>
        <w:t xml:space="preserve">such as keeping the Basic Charge for Schedule 101 at $9.00 per month.  </w:t>
      </w:r>
    </w:p>
    <w:p w:rsidR="00A423CC" w:rsidRPr="005540EB" w:rsidRDefault="00A423CC" w:rsidP="00A423CC">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Pr>
          <w:rStyle w:val="T11"/>
          <w:rFonts w:ascii="Times New Roman" w:hAnsi="Times New Roman" w:cs="Times New Roman"/>
        </w:rPr>
        <w:t>What rate effective date is the Company is proposing</w:t>
      </w:r>
      <w:r w:rsidRPr="005540EB">
        <w:rPr>
          <w:rStyle w:val="T11"/>
          <w:rFonts w:ascii="Times New Roman" w:hAnsi="Times New Roman" w:cs="Times New Roman"/>
        </w:rPr>
        <w:t>?</w:t>
      </w:r>
    </w:p>
    <w:p w:rsidR="00A423CC" w:rsidRDefault="00A423CC" w:rsidP="00A423CC">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 xml:space="preserve">The Company is also requesting a January 1, 2016 effective date to match the change in electric rates.  </w:t>
      </w:r>
    </w:p>
    <w:p w:rsidR="006942FA" w:rsidRDefault="006942FA" w:rsidP="00A423CC">
      <w:pPr>
        <w:pStyle w:val="P31"/>
        <w:tabs>
          <w:tab w:val="clear" w:pos="810"/>
          <w:tab w:val="left" w:pos="720"/>
        </w:tabs>
        <w:ind w:firstLine="0"/>
        <w:jc w:val="both"/>
        <w:rPr>
          <w:rFonts w:ascii="Times New Roman" w:hAnsi="Times New Roman" w:cs="Times New Roman"/>
        </w:rPr>
      </w:pPr>
    </w:p>
    <w:p w:rsidR="005540EB" w:rsidRPr="001D76D1" w:rsidRDefault="00823B37" w:rsidP="005540EB">
      <w:pPr>
        <w:pStyle w:val="P267"/>
        <w:tabs>
          <w:tab w:val="clear" w:pos="360"/>
          <w:tab w:val="left" w:pos="0"/>
        </w:tabs>
        <w:ind w:left="0"/>
        <w:jc w:val="center"/>
        <w:rPr>
          <w:rFonts w:ascii="Times New Roman" w:hAnsi="Times New Roman" w:cs="Times New Roman"/>
        </w:rPr>
      </w:pPr>
      <w:r>
        <w:rPr>
          <w:rFonts w:ascii="Times New Roman" w:hAnsi="Times New Roman" w:cs="Times New Roman"/>
        </w:rPr>
        <w:t>LOW INCOME RATE ASSISTANCE PROGRAM FUNDING PLAN</w:t>
      </w:r>
    </w:p>
    <w:p w:rsidR="00823B37" w:rsidRPr="00AC1B59" w:rsidRDefault="00823B37" w:rsidP="00823B37">
      <w:pPr>
        <w:spacing w:line="480" w:lineRule="auto"/>
        <w:ind w:firstLine="720"/>
        <w:jc w:val="both"/>
        <w:rPr>
          <w:b/>
        </w:rPr>
      </w:pPr>
      <w:r>
        <w:rPr>
          <w:b/>
        </w:rPr>
        <w:t>Q.</w:t>
      </w:r>
      <w:r>
        <w:rPr>
          <w:b/>
        </w:rPr>
        <w:tab/>
      </w:r>
      <w:r w:rsidR="006942FA">
        <w:rPr>
          <w:b/>
        </w:rPr>
        <w:t>Please summarize the funding proposals</w:t>
      </w:r>
      <w:r>
        <w:rPr>
          <w:b/>
        </w:rPr>
        <w:t xml:space="preserve"> </w:t>
      </w:r>
      <w:r w:rsidRPr="00AC1B59">
        <w:rPr>
          <w:b/>
        </w:rPr>
        <w:t xml:space="preserve">related to </w:t>
      </w:r>
      <w:r>
        <w:rPr>
          <w:b/>
        </w:rPr>
        <w:t>the Company’s Low Income Rate Assistance Program (“</w:t>
      </w:r>
      <w:r w:rsidRPr="00AC1B59">
        <w:rPr>
          <w:b/>
        </w:rPr>
        <w:t>LIRAP</w:t>
      </w:r>
      <w:r>
        <w:rPr>
          <w:b/>
        </w:rPr>
        <w:t>”)</w:t>
      </w:r>
      <w:r w:rsidRPr="00AC1B59">
        <w:rPr>
          <w:b/>
        </w:rPr>
        <w:t xml:space="preserve"> proposed by the Parties in this case?</w:t>
      </w:r>
    </w:p>
    <w:p w:rsidR="00823B37" w:rsidRPr="00AC1B59" w:rsidRDefault="00823B37" w:rsidP="00823B37">
      <w:pPr>
        <w:spacing w:line="480" w:lineRule="auto"/>
        <w:ind w:firstLine="720"/>
        <w:jc w:val="both"/>
      </w:pPr>
      <w:r>
        <w:t>A.</w:t>
      </w:r>
      <w:r>
        <w:tab/>
        <w:t xml:space="preserve">There were two funding plans related to LIRAP proposed by the Parties.  The first plan, proposed by </w:t>
      </w:r>
      <w:r w:rsidRPr="00AC1B59">
        <w:t>Staff</w:t>
      </w:r>
      <w:r>
        <w:t xml:space="preserve"> witness Ms. Williams,</w:t>
      </w:r>
      <w:r w:rsidRPr="00AC1B59">
        <w:t xml:space="preserve"> proposed a five-year LIRAP funding plan that would increase the LIRAP </w:t>
      </w:r>
      <w:r w:rsidR="00CA156F">
        <w:t>funding</w:t>
      </w:r>
      <w:r w:rsidRPr="00AC1B59">
        <w:t xml:space="preserve"> by $475,000 per year, with the provision that if Avista files a general rate case within the five-year period, the LIRAP revenue requirement would increase by twice the percentage of the final residential revenue requirement increase, or $475,000, whichever is greater.</w:t>
      </w:r>
    </w:p>
    <w:p w:rsidR="00823B37" w:rsidRDefault="00823B37" w:rsidP="00823B37">
      <w:pPr>
        <w:spacing w:line="480" w:lineRule="auto"/>
        <w:ind w:firstLine="720"/>
        <w:jc w:val="both"/>
      </w:pPr>
      <w:r>
        <w:t>The second LIRAP funding plan, th</w:t>
      </w:r>
      <w:r w:rsidR="00A423CC">
        <w:t>rough</w:t>
      </w:r>
      <w:r>
        <w:t xml:space="preserve"> t</w:t>
      </w:r>
      <w:r w:rsidRPr="00AC1B59">
        <w:t xml:space="preserve">he joint testimony of </w:t>
      </w:r>
      <w:r>
        <w:t xml:space="preserve">Ms. Johnson on behalf of </w:t>
      </w:r>
      <w:r w:rsidRPr="00AC1B59">
        <w:t>Public Counsel and</w:t>
      </w:r>
      <w:r>
        <w:t xml:space="preserve"> Mr. Collins on behalf of </w:t>
      </w:r>
      <w:r w:rsidRPr="00AC1B59">
        <w:t xml:space="preserve">The Energy </w:t>
      </w:r>
      <w:r>
        <w:t>P</w:t>
      </w:r>
      <w:r w:rsidRPr="00AC1B59">
        <w:t>roject</w:t>
      </w:r>
      <w:r>
        <w:t xml:space="preserve"> (“PC/EP”), </w:t>
      </w:r>
      <w:r w:rsidRPr="00AC1B59">
        <w:t xml:space="preserve">proposed that the Commission approve a five-year LIRAP plan that </w:t>
      </w:r>
      <w:r>
        <w:t xml:space="preserve">would </w:t>
      </w:r>
      <w:r w:rsidRPr="00AC1B59">
        <w:t xml:space="preserve">annually increase LIRAP funding over the prior year’s budget by an amount equal to twice the percentage </w:t>
      </w:r>
      <w:r w:rsidRPr="00AC1B59">
        <w:lastRenderedPageBreak/>
        <w:t>increase of the final residential bill impact to customers resulting from a general rate case, or 10 percent, whichever is greater.</w:t>
      </w:r>
    </w:p>
    <w:p w:rsidR="00823B37" w:rsidRPr="00AC1B59" w:rsidRDefault="00823B37" w:rsidP="00823B37">
      <w:pPr>
        <w:spacing w:line="480" w:lineRule="auto"/>
        <w:ind w:firstLine="720"/>
        <w:jc w:val="both"/>
        <w:rPr>
          <w:b/>
        </w:rPr>
      </w:pPr>
      <w:r>
        <w:rPr>
          <w:b/>
        </w:rPr>
        <w:t>Q.</w:t>
      </w:r>
      <w:r>
        <w:rPr>
          <w:b/>
        </w:rPr>
        <w:tab/>
      </w:r>
      <w:r w:rsidRPr="00AC1B59">
        <w:rPr>
          <w:b/>
        </w:rPr>
        <w:t>Did the Company propose an increase in LIRAP funding as a part of its direct case?</w:t>
      </w:r>
    </w:p>
    <w:p w:rsidR="00823B37" w:rsidRPr="00AC1B59" w:rsidRDefault="00823B37" w:rsidP="00823B37">
      <w:pPr>
        <w:spacing w:line="480" w:lineRule="auto"/>
        <w:ind w:firstLine="720"/>
        <w:jc w:val="both"/>
      </w:pPr>
      <w:r>
        <w:t>A.</w:t>
      </w:r>
      <w:r>
        <w:tab/>
        <w:t xml:space="preserve">No. </w:t>
      </w:r>
      <w:r w:rsidRPr="00AC1B59">
        <w:t>The Company did not propose additional funding to LIRAP as a part of its direct case because, at th</w:t>
      </w:r>
      <w:r>
        <w:t>e</w:t>
      </w:r>
      <w:r w:rsidRPr="00AC1B59">
        <w:t xml:space="preserve"> time of the Company’s filing, the workshops related to potential modifications and additions to LIRAP resulting from the 2014 general rate case had just </w:t>
      </w:r>
      <w:r>
        <w:t>commenced</w:t>
      </w:r>
      <w:r w:rsidRPr="00AC1B59">
        <w:t xml:space="preserve">.  It was </w:t>
      </w:r>
      <w:r>
        <w:t xml:space="preserve">the Company’s </w:t>
      </w:r>
      <w:r w:rsidRPr="00AC1B59">
        <w:t>view that LIRAP funding would be addressed</w:t>
      </w:r>
      <w:r>
        <w:t xml:space="preserve"> in those workshops and then ultimately filed with the Commission</w:t>
      </w:r>
      <w:r w:rsidRPr="00AC1B59">
        <w:t>.</w:t>
      </w:r>
    </w:p>
    <w:p w:rsidR="00823B37" w:rsidRPr="00AC1B59" w:rsidRDefault="00823B37" w:rsidP="00823B37">
      <w:pPr>
        <w:spacing w:line="480" w:lineRule="auto"/>
        <w:ind w:firstLine="720"/>
        <w:jc w:val="both"/>
        <w:rPr>
          <w:b/>
        </w:rPr>
      </w:pPr>
      <w:r>
        <w:rPr>
          <w:b/>
        </w:rPr>
        <w:t>Q.</w:t>
      </w:r>
      <w:r>
        <w:rPr>
          <w:b/>
        </w:rPr>
        <w:tab/>
      </w:r>
      <w:r w:rsidRPr="00AC1B59">
        <w:rPr>
          <w:b/>
        </w:rPr>
        <w:t>Was LIRAP funding addressed as a part of the final Commission-approved modifications and additions?</w:t>
      </w:r>
    </w:p>
    <w:p w:rsidR="00823B37" w:rsidRPr="00AC1B59" w:rsidRDefault="00823B37" w:rsidP="00823B37">
      <w:pPr>
        <w:spacing w:line="480" w:lineRule="auto"/>
        <w:ind w:firstLine="720"/>
        <w:jc w:val="both"/>
      </w:pPr>
      <w:r>
        <w:t>A.</w:t>
      </w:r>
      <w:r>
        <w:tab/>
      </w:r>
      <w:r w:rsidRPr="00AC1B59">
        <w:t>Yes</w:t>
      </w:r>
      <w:r>
        <w:t>, in part</w:t>
      </w:r>
      <w:r w:rsidRPr="00AC1B59">
        <w:t>.  Effective October 1, 2015, LIRAP funding will increase by $350,000</w:t>
      </w:r>
      <w:r>
        <w:t xml:space="preserve"> in order to fund</w:t>
      </w:r>
      <w:r w:rsidRPr="00AC1B59">
        <w:t xml:space="preserve"> the LIRAP Senior/Disabled Rate Discount Pilot.  However, the overall funding level for LIRAP was not addressed as the Parties believed that it was better addressed in this general rate case.</w:t>
      </w:r>
      <w:r>
        <w:rPr>
          <w:rStyle w:val="FootnoteReference"/>
        </w:rPr>
        <w:footnoteReference w:id="4"/>
      </w:r>
    </w:p>
    <w:p w:rsidR="00823B37" w:rsidRPr="00AC1B59" w:rsidRDefault="00823B37" w:rsidP="00823B37">
      <w:pPr>
        <w:spacing w:line="480" w:lineRule="auto"/>
        <w:ind w:firstLine="720"/>
        <w:jc w:val="both"/>
        <w:rPr>
          <w:b/>
        </w:rPr>
      </w:pPr>
      <w:r>
        <w:rPr>
          <w:b/>
        </w:rPr>
        <w:t>Q.</w:t>
      </w:r>
      <w:r>
        <w:rPr>
          <w:b/>
        </w:rPr>
        <w:tab/>
        <w:t>What is the present level of LIRAP funding</w:t>
      </w:r>
      <w:r w:rsidRPr="00AC1B59">
        <w:rPr>
          <w:b/>
        </w:rPr>
        <w:t>?</w:t>
      </w:r>
    </w:p>
    <w:p w:rsidR="00823B37" w:rsidRPr="00AC1B59" w:rsidRDefault="00823B37" w:rsidP="00823B37">
      <w:pPr>
        <w:spacing w:line="480" w:lineRule="auto"/>
        <w:ind w:firstLine="720"/>
        <w:jc w:val="both"/>
      </w:pPr>
      <w:r>
        <w:t>A.</w:t>
      </w:r>
      <w:r>
        <w:tab/>
      </w:r>
      <w:r w:rsidRPr="00AC1B59">
        <w:t xml:space="preserve">The </w:t>
      </w:r>
      <w:r>
        <w:t>present level of LIRAP funding, including the $350,000 increase that will occur on October 1, 2015, is $7,048,065.  Of that amount, $4,572,134 is collected from electric customers, and $2,475,931 is collected from natural gas customers.</w:t>
      </w:r>
    </w:p>
    <w:p w:rsidR="00823B37" w:rsidRDefault="00823B37" w:rsidP="00823B37">
      <w:pPr>
        <w:spacing w:line="480" w:lineRule="auto"/>
        <w:ind w:firstLine="720"/>
        <w:jc w:val="both"/>
        <w:rPr>
          <w:b/>
        </w:rPr>
      </w:pPr>
      <w:r>
        <w:rPr>
          <w:b/>
        </w:rPr>
        <w:t>Q.</w:t>
      </w:r>
      <w:r>
        <w:rPr>
          <w:b/>
        </w:rPr>
        <w:tab/>
      </w:r>
      <w:r w:rsidRPr="00AC1B59">
        <w:rPr>
          <w:b/>
        </w:rPr>
        <w:t xml:space="preserve">What is the Company’s proposal related to LIRAP funding, given the </w:t>
      </w:r>
      <w:r w:rsidR="006942FA">
        <w:rPr>
          <w:b/>
        </w:rPr>
        <w:t>proposals</w:t>
      </w:r>
      <w:r w:rsidRPr="00AC1B59">
        <w:rPr>
          <w:b/>
        </w:rPr>
        <w:t xml:space="preserve"> of the Parties?</w:t>
      </w:r>
    </w:p>
    <w:p w:rsidR="00CA156F" w:rsidRDefault="00823B37" w:rsidP="00823B37">
      <w:pPr>
        <w:spacing w:line="480" w:lineRule="auto"/>
        <w:ind w:firstLine="720"/>
        <w:jc w:val="both"/>
      </w:pPr>
      <w:r w:rsidRPr="00AC1B59">
        <w:lastRenderedPageBreak/>
        <w:t>A.</w:t>
      </w:r>
      <w:r w:rsidRPr="00AC1B59">
        <w:tab/>
        <w:t>The Company recommends that the Commission approve a five-year LIRAP funding plan that increases Schedule 92 electric LIRAP funding</w:t>
      </w:r>
      <w:r>
        <w:rPr>
          <w:rStyle w:val="FootnoteReference"/>
        </w:rPr>
        <w:footnoteReference w:id="5"/>
      </w:r>
      <w:r w:rsidRPr="00AC1B59">
        <w:t xml:space="preserve"> each year by two times the final approved base rate increase for Schedule 1 customers, or 7.</w:t>
      </w:r>
      <w:r>
        <w:t>0</w:t>
      </w:r>
      <w:r w:rsidRPr="00AC1B59">
        <w:t xml:space="preserve"> percent, whichever is greater.  For natural gas, </w:t>
      </w:r>
      <w:r>
        <w:t xml:space="preserve">the Company recommends </w:t>
      </w:r>
      <w:r w:rsidRPr="00AC1B59">
        <w:t>the LIRAP funding for Schedule 192</w:t>
      </w:r>
      <w:r>
        <w:rPr>
          <w:rStyle w:val="FootnoteReference"/>
        </w:rPr>
        <w:footnoteReference w:id="6"/>
      </w:r>
      <w:r w:rsidRPr="00AC1B59">
        <w:t xml:space="preserve"> increase each year by two times the final approved base rate increase for Schedule 101 customers, or 7.</w:t>
      </w:r>
      <w:r>
        <w:t>0</w:t>
      </w:r>
      <w:r w:rsidRPr="00AC1B59">
        <w:t xml:space="preserve"> percent, whichever is greater.</w:t>
      </w:r>
      <w:r w:rsidR="00A423CC">
        <w:rPr>
          <w:rStyle w:val="FootnoteReference"/>
        </w:rPr>
        <w:footnoteReference w:id="7"/>
      </w:r>
      <w:r w:rsidRPr="00AC1B59">
        <w:t xml:space="preserve">  </w:t>
      </w:r>
    </w:p>
    <w:p w:rsidR="00823B37" w:rsidRPr="005F1EA4" w:rsidRDefault="00823B37" w:rsidP="00823B37">
      <w:pPr>
        <w:spacing w:line="480" w:lineRule="auto"/>
        <w:ind w:firstLine="720"/>
        <w:jc w:val="both"/>
      </w:pPr>
      <w:r w:rsidRPr="00AC1B59">
        <w:t>For 2016, the LIRAP increases w</w:t>
      </w:r>
      <w:r>
        <w:t>ould be</w:t>
      </w:r>
      <w:r w:rsidRPr="00AC1B59">
        <w:t xml:space="preserve">come effective </w:t>
      </w:r>
      <w:r>
        <w:t xml:space="preserve">at the </w:t>
      </w:r>
      <w:r w:rsidR="006942FA">
        <w:t>time new rates from</w:t>
      </w:r>
      <w:r>
        <w:t xml:space="preserve"> this general rate case</w:t>
      </w:r>
      <w:r w:rsidR="006942FA">
        <w:t xml:space="preserve"> become effective; proposed</w:t>
      </w:r>
      <w:r>
        <w:t xml:space="preserve"> to be January 1, 2016</w:t>
      </w:r>
      <w:r w:rsidRPr="00AC1B59">
        <w:t xml:space="preserve">. </w:t>
      </w:r>
      <w:r>
        <w:t>The Company proposes that the next four s</w:t>
      </w:r>
      <w:r w:rsidRPr="00AC1B59">
        <w:t>ubsequent increases w</w:t>
      </w:r>
      <w:r>
        <w:t xml:space="preserve">ould </w:t>
      </w:r>
      <w:r w:rsidRPr="00AC1B59">
        <w:t xml:space="preserve">be filed </w:t>
      </w:r>
      <w:r>
        <w:t>by August 15</w:t>
      </w:r>
      <w:r w:rsidR="00034A93">
        <w:t>th</w:t>
      </w:r>
      <w:r>
        <w:t xml:space="preserve"> </w:t>
      </w:r>
      <w:r w:rsidRPr="00AC1B59">
        <w:t>to become effective October 1st, beginning October 1, 2016</w:t>
      </w:r>
      <w:r>
        <w:t>, in order to match up the increased level of funding with the LIRAP program year</w:t>
      </w:r>
      <w:r w:rsidRPr="00AC1B59">
        <w:t xml:space="preserve">.  Any additional LIRAP funding increases necessary to achieve two-times the base rate increase would be become effective with the corresponding base rate </w:t>
      </w:r>
      <w:r w:rsidRPr="005F1EA4">
        <w:t xml:space="preserve">increase.   </w:t>
      </w:r>
    </w:p>
    <w:p w:rsidR="00823B37" w:rsidRPr="005F1EA4" w:rsidRDefault="00823B37" w:rsidP="00823B37">
      <w:pPr>
        <w:spacing w:line="480" w:lineRule="auto"/>
        <w:ind w:firstLine="720"/>
        <w:jc w:val="both"/>
        <w:rPr>
          <w:b/>
        </w:rPr>
      </w:pPr>
      <w:r w:rsidRPr="005F1EA4">
        <w:rPr>
          <w:b/>
        </w:rPr>
        <w:t>Q.</w:t>
      </w:r>
      <w:r w:rsidRPr="005F1EA4">
        <w:rPr>
          <w:b/>
        </w:rPr>
        <w:tab/>
        <w:t>What would be the increase in funding effective January 1, 2016 if the Commission approved the Company’s funding plan?</w:t>
      </w:r>
    </w:p>
    <w:p w:rsidR="00CA156F" w:rsidRDefault="00823B37" w:rsidP="005F1EA4">
      <w:pPr>
        <w:spacing w:line="480" w:lineRule="auto"/>
        <w:ind w:firstLine="720"/>
        <w:jc w:val="both"/>
      </w:pPr>
      <w:r w:rsidRPr="005F1EA4">
        <w:t>A.</w:t>
      </w:r>
      <w:r w:rsidRPr="005F1EA4">
        <w:tab/>
        <w:t xml:space="preserve">Table </w:t>
      </w:r>
      <w:r w:rsidR="00BA6E81" w:rsidRPr="005F1EA4">
        <w:t>No. 4</w:t>
      </w:r>
      <w:r w:rsidRPr="005F1EA4">
        <w:t xml:space="preserve"> below shows the level of funding, by fuel, effective January 1, 2016 under the Company’s proposal.  </w:t>
      </w:r>
      <w:r w:rsidR="005F1EA4">
        <w:t>For electric service, the overall increase in LIRAP funding would be 7%</w:t>
      </w:r>
      <w:r w:rsidR="00533FD0">
        <w:t>, or $320,049.</w:t>
      </w:r>
      <w:r w:rsidR="002B6984">
        <w:rPr>
          <w:rStyle w:val="FootnoteReference"/>
        </w:rPr>
        <w:footnoteReference w:id="8"/>
      </w:r>
      <w:r w:rsidR="00533FD0">
        <w:t xml:space="preserve">  </w:t>
      </w:r>
      <w:r w:rsidR="002B6984">
        <w:t>For natural gas service</w:t>
      </w:r>
      <w:r w:rsidR="00533FD0">
        <w:t>, b</w:t>
      </w:r>
      <w:r w:rsidR="005F1EA4">
        <w:t xml:space="preserve">ecause the </w:t>
      </w:r>
      <w:r w:rsidR="002F15BA">
        <w:t xml:space="preserve">proposed </w:t>
      </w:r>
      <w:r w:rsidR="005F1EA4">
        <w:t xml:space="preserve">base rate </w:t>
      </w:r>
      <w:r w:rsidR="005F1EA4">
        <w:lastRenderedPageBreak/>
        <w:t>increase for Schedule 101 is 6.3%</w:t>
      </w:r>
      <w:r w:rsidR="002B6984">
        <w:t xml:space="preserve"> as shown earlier in Table No. 3</w:t>
      </w:r>
      <w:r w:rsidR="005F1EA4">
        <w:t>, the increase in natural gas funding is 12.6%</w:t>
      </w:r>
      <w:r w:rsidR="00533FD0">
        <w:t>, or $311,400,</w:t>
      </w:r>
      <w:r w:rsidR="005F1EA4">
        <w:t xml:space="preserve"> effective January 1, 2016 under the Company’s proposal.</w:t>
      </w:r>
    </w:p>
    <w:p w:rsidR="00823B37" w:rsidRPr="002B494E" w:rsidRDefault="00823B37" w:rsidP="00823B37">
      <w:pPr>
        <w:spacing w:line="480" w:lineRule="auto"/>
        <w:jc w:val="both"/>
        <w:rPr>
          <w:b/>
          <w:u w:val="single"/>
        </w:rPr>
      </w:pPr>
      <w:r w:rsidRPr="002B494E">
        <w:rPr>
          <w:b/>
          <w:u w:val="single"/>
        </w:rPr>
        <w:t xml:space="preserve">Table </w:t>
      </w:r>
      <w:r w:rsidR="00BA6E81">
        <w:rPr>
          <w:b/>
          <w:u w:val="single"/>
        </w:rPr>
        <w:t>No. 4</w:t>
      </w:r>
      <w:r w:rsidRPr="002B494E">
        <w:rPr>
          <w:b/>
          <w:u w:val="single"/>
        </w:rPr>
        <w:t xml:space="preserve"> – Avista’s </w:t>
      </w:r>
      <w:r>
        <w:rPr>
          <w:b/>
          <w:u w:val="single"/>
        </w:rPr>
        <w:t>Proposed LIRAP Funding Plan – January 1, 2016</w:t>
      </w:r>
    </w:p>
    <w:p w:rsidR="00823B37" w:rsidRDefault="005F1EA4" w:rsidP="00823B37">
      <w:pPr>
        <w:spacing w:line="480" w:lineRule="auto"/>
        <w:ind w:firstLine="720"/>
        <w:jc w:val="both"/>
      </w:pPr>
      <w:r w:rsidRPr="005F1EA4">
        <w:rPr>
          <w:noProof/>
        </w:rPr>
        <w:drawing>
          <wp:anchor distT="0" distB="0" distL="114300" distR="114300" simplePos="0" relativeHeight="251672576" behindDoc="1" locked="0" layoutInCell="1" allowOverlap="1">
            <wp:simplePos x="0" y="0"/>
            <wp:positionH relativeFrom="column">
              <wp:posOffset>477975</wp:posOffset>
            </wp:positionH>
            <wp:positionV relativeFrom="paragraph">
              <wp:posOffset>3163</wp:posOffset>
            </wp:positionV>
            <wp:extent cx="4406301" cy="1112808"/>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406301" cy="1112808"/>
                    </a:xfrm>
                    <a:prstGeom prst="rect">
                      <a:avLst/>
                    </a:prstGeom>
                    <a:noFill/>
                    <a:ln w="9525">
                      <a:noFill/>
                      <a:miter lim="800000"/>
                      <a:headEnd/>
                      <a:tailEnd/>
                    </a:ln>
                  </pic:spPr>
                </pic:pic>
              </a:graphicData>
            </a:graphic>
          </wp:anchor>
        </w:drawing>
      </w:r>
    </w:p>
    <w:p w:rsidR="00823B37" w:rsidRDefault="00823B37" w:rsidP="00823B37">
      <w:pPr>
        <w:spacing w:line="480" w:lineRule="auto"/>
        <w:ind w:firstLine="720"/>
        <w:jc w:val="both"/>
      </w:pPr>
    </w:p>
    <w:p w:rsidR="00823B37" w:rsidRDefault="00823B37" w:rsidP="00823B37">
      <w:pPr>
        <w:spacing w:line="480" w:lineRule="auto"/>
        <w:ind w:firstLine="720"/>
        <w:jc w:val="both"/>
      </w:pPr>
    </w:p>
    <w:p w:rsidR="005F1EA4" w:rsidRDefault="005F1EA4" w:rsidP="00823B37">
      <w:pPr>
        <w:spacing w:line="480" w:lineRule="auto"/>
        <w:ind w:firstLine="720"/>
        <w:jc w:val="both"/>
      </w:pPr>
    </w:p>
    <w:p w:rsidR="00823B37" w:rsidRDefault="00823B37" w:rsidP="00823B37">
      <w:pPr>
        <w:spacing w:line="480" w:lineRule="auto"/>
        <w:ind w:firstLine="720"/>
        <w:jc w:val="both"/>
      </w:pPr>
      <w:r>
        <w:t xml:space="preserve">Table </w:t>
      </w:r>
      <w:r w:rsidR="00BA6E81">
        <w:t>No. 5</w:t>
      </w:r>
      <w:r>
        <w:t xml:space="preserve"> </w:t>
      </w:r>
      <w:r w:rsidR="002B6984">
        <w:t xml:space="preserve">below </w:t>
      </w:r>
      <w:r>
        <w:t>shows the proposed funding for the five-year funding plan, assuming that the annual increase</w:t>
      </w:r>
      <w:r w:rsidR="005F1EA4">
        <w:t xml:space="preserve"> for Years 2 through 5</w:t>
      </w:r>
      <w:r>
        <w:t xml:space="preserve"> is 7% (i.e., it does not include any estimates for increases resulting from the two-times base rate increase for Schedule 1 or 101):</w:t>
      </w:r>
    </w:p>
    <w:p w:rsidR="00823B37" w:rsidRPr="002B494E" w:rsidRDefault="00823B37" w:rsidP="00823B37">
      <w:pPr>
        <w:spacing w:line="480" w:lineRule="auto"/>
        <w:jc w:val="both"/>
        <w:rPr>
          <w:b/>
          <w:u w:val="single"/>
        </w:rPr>
      </w:pPr>
      <w:r w:rsidRPr="002B494E">
        <w:rPr>
          <w:b/>
          <w:u w:val="single"/>
        </w:rPr>
        <w:t xml:space="preserve">Table </w:t>
      </w:r>
      <w:r w:rsidR="00BA6E81">
        <w:rPr>
          <w:b/>
          <w:u w:val="single"/>
        </w:rPr>
        <w:t>No. 5</w:t>
      </w:r>
      <w:r w:rsidRPr="002B494E">
        <w:rPr>
          <w:b/>
          <w:u w:val="single"/>
        </w:rPr>
        <w:t xml:space="preserve"> – Avista’s Proposed LIRAP Funding Plan – All Years</w:t>
      </w:r>
    </w:p>
    <w:p w:rsidR="00823B37" w:rsidRDefault="005F1EA4" w:rsidP="00823B37">
      <w:pPr>
        <w:spacing w:line="480" w:lineRule="auto"/>
        <w:ind w:firstLine="720"/>
        <w:jc w:val="both"/>
      </w:pPr>
      <w:r w:rsidRPr="005F1EA4">
        <w:rPr>
          <w:noProof/>
        </w:rPr>
        <w:drawing>
          <wp:anchor distT="0" distB="0" distL="114300" distR="114300" simplePos="0" relativeHeight="251671552" behindDoc="1" locked="0" layoutInCell="1" allowOverlap="1">
            <wp:simplePos x="0" y="0"/>
            <wp:positionH relativeFrom="column">
              <wp:posOffset>-5104</wp:posOffset>
            </wp:positionH>
            <wp:positionV relativeFrom="paragraph">
              <wp:posOffset>149237</wp:posOffset>
            </wp:positionV>
            <wp:extent cx="6174716" cy="905774"/>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174716" cy="905774"/>
                    </a:xfrm>
                    <a:prstGeom prst="rect">
                      <a:avLst/>
                    </a:prstGeom>
                    <a:noFill/>
                    <a:ln w="9525">
                      <a:noFill/>
                      <a:miter lim="800000"/>
                      <a:headEnd/>
                      <a:tailEnd/>
                    </a:ln>
                  </pic:spPr>
                </pic:pic>
              </a:graphicData>
            </a:graphic>
          </wp:anchor>
        </w:drawing>
      </w:r>
    </w:p>
    <w:p w:rsidR="00823B37" w:rsidRDefault="00823B37" w:rsidP="00823B37">
      <w:pPr>
        <w:spacing w:line="480" w:lineRule="auto"/>
        <w:ind w:firstLine="720"/>
        <w:jc w:val="both"/>
      </w:pPr>
    </w:p>
    <w:p w:rsidR="00823B37" w:rsidRDefault="00823B37" w:rsidP="00823B37">
      <w:pPr>
        <w:spacing w:line="480" w:lineRule="auto"/>
        <w:ind w:firstLine="720"/>
        <w:jc w:val="both"/>
      </w:pPr>
    </w:p>
    <w:p w:rsidR="005F1EA4" w:rsidRDefault="005F1EA4" w:rsidP="00823B37">
      <w:pPr>
        <w:spacing w:line="480" w:lineRule="auto"/>
        <w:ind w:firstLine="720"/>
        <w:jc w:val="both"/>
        <w:rPr>
          <w:b/>
        </w:rPr>
      </w:pPr>
    </w:p>
    <w:p w:rsidR="00823B37" w:rsidRDefault="00823B37" w:rsidP="00823B37">
      <w:pPr>
        <w:spacing w:line="480" w:lineRule="auto"/>
        <w:ind w:firstLine="720"/>
        <w:jc w:val="both"/>
        <w:rPr>
          <w:b/>
        </w:rPr>
      </w:pPr>
      <w:r>
        <w:rPr>
          <w:b/>
        </w:rPr>
        <w:t>Q.</w:t>
      </w:r>
      <w:r>
        <w:rPr>
          <w:b/>
        </w:rPr>
        <w:tab/>
        <w:t>Why did the Company choose 7% as the proposed annual increase</w:t>
      </w:r>
      <w:r w:rsidRPr="00AC1B59">
        <w:rPr>
          <w:b/>
        </w:rPr>
        <w:t>?</w:t>
      </w:r>
    </w:p>
    <w:p w:rsidR="00823B37" w:rsidRDefault="00823B37" w:rsidP="00823B37">
      <w:pPr>
        <w:spacing w:line="480" w:lineRule="auto"/>
        <w:ind w:firstLine="720"/>
        <w:jc w:val="both"/>
        <w:rPr>
          <w:b/>
        </w:rPr>
      </w:pPr>
      <w:r w:rsidRPr="00AC1B59">
        <w:t>A.</w:t>
      </w:r>
      <w:r w:rsidRPr="00AC1B59">
        <w:tab/>
      </w:r>
      <w:r>
        <w:t>The Company compared Staff’s proposed increase of $475,000 to the total level of present funding of $7,048,065.  That ratio is approximately 6.7 percent.  The Company simply rounded that to the nearest whole increment, 7</w:t>
      </w:r>
      <w:r w:rsidR="00533FD0">
        <w:t>.0</w:t>
      </w:r>
      <w:r>
        <w:t>%.</w:t>
      </w:r>
      <w:r w:rsidR="005F1EA4">
        <w:t xml:space="preserve">  </w:t>
      </w:r>
    </w:p>
    <w:p w:rsidR="00823B37" w:rsidRDefault="00823B37" w:rsidP="00823B37">
      <w:pPr>
        <w:spacing w:line="480" w:lineRule="auto"/>
        <w:ind w:firstLine="720"/>
        <w:jc w:val="both"/>
        <w:rPr>
          <w:b/>
        </w:rPr>
      </w:pPr>
      <w:r>
        <w:rPr>
          <w:b/>
        </w:rPr>
        <w:t>Q.</w:t>
      </w:r>
      <w:r>
        <w:rPr>
          <w:b/>
        </w:rPr>
        <w:tab/>
        <w:t>Why does the Company believe its proposed LIRAP funding proposal is preferable</w:t>
      </w:r>
      <w:r w:rsidRPr="00AC1B59">
        <w:rPr>
          <w:b/>
        </w:rPr>
        <w:t>?</w:t>
      </w:r>
    </w:p>
    <w:p w:rsidR="00823B37" w:rsidRPr="00AC1B59" w:rsidRDefault="00823B37" w:rsidP="00823B37">
      <w:pPr>
        <w:spacing w:line="480" w:lineRule="auto"/>
        <w:ind w:firstLine="720"/>
        <w:jc w:val="both"/>
      </w:pPr>
      <w:r w:rsidRPr="00AC1B59">
        <w:t>A.</w:t>
      </w:r>
      <w:r w:rsidRPr="00AC1B59">
        <w:tab/>
      </w:r>
      <w:r>
        <w:t xml:space="preserve">The Company believes that its proposed funding plan balances both the need to provide LIRAP grants to a greater number of customers while at the same time keeping the </w:t>
      </w:r>
      <w:r>
        <w:lastRenderedPageBreak/>
        <w:t xml:space="preserve">overall increase at a reasonable level of 7.0% annually, similar to Staff’s proposal.  </w:t>
      </w:r>
      <w:r w:rsidR="00034A93">
        <w:t>T</w:t>
      </w:r>
      <w:r>
        <w:t>he Company’s proposal</w:t>
      </w:r>
      <w:r w:rsidR="00034A93">
        <w:t xml:space="preserve"> also</w:t>
      </w:r>
      <w:r>
        <w:t xml:space="preserve"> specifies how the proposed increases in LIRAP funding would be recovered for each service, rather than at the total program level.</w:t>
      </w:r>
    </w:p>
    <w:p w:rsidR="00976DDC" w:rsidRPr="0020672A" w:rsidRDefault="00976DDC" w:rsidP="00976DDC">
      <w:pPr>
        <w:spacing w:line="480" w:lineRule="auto"/>
        <w:ind w:firstLine="720"/>
        <w:jc w:val="both"/>
        <w:rPr>
          <w:b/>
        </w:rPr>
      </w:pPr>
      <w:r w:rsidRPr="0020672A">
        <w:rPr>
          <w:b/>
        </w:rPr>
        <w:t xml:space="preserve">Q.  </w:t>
      </w:r>
      <w:r>
        <w:rPr>
          <w:b/>
        </w:rPr>
        <w:tab/>
        <w:t xml:space="preserve">Does this conclude your </w:t>
      </w:r>
      <w:r w:rsidR="00823B37">
        <w:rPr>
          <w:b/>
        </w:rPr>
        <w:t>rebuttal</w:t>
      </w:r>
      <w:r>
        <w:rPr>
          <w:b/>
        </w:rPr>
        <w:t xml:space="preserve"> testimony?</w:t>
      </w:r>
    </w:p>
    <w:p w:rsidR="00976DDC" w:rsidRPr="00F72F9A" w:rsidRDefault="00976DDC" w:rsidP="00976DDC">
      <w:pPr>
        <w:spacing w:line="480" w:lineRule="auto"/>
        <w:ind w:firstLine="720"/>
        <w:jc w:val="both"/>
      </w:pPr>
      <w:r w:rsidRPr="0020672A">
        <w:t>A.</w:t>
      </w:r>
      <w:r w:rsidRPr="0020672A">
        <w:rPr>
          <w:b/>
        </w:rPr>
        <w:t xml:space="preserve">  </w:t>
      </w:r>
      <w:r>
        <w:rPr>
          <w:b/>
        </w:rPr>
        <w:tab/>
      </w:r>
      <w:r>
        <w:t xml:space="preserve">Yes it does. </w:t>
      </w:r>
    </w:p>
    <w:sectPr w:rsidR="00976DDC" w:rsidRPr="00F72F9A" w:rsidSect="003E19C9">
      <w:pgSz w:w="12240" w:h="15840" w:code="1"/>
      <w:pgMar w:top="1440" w:right="1296" w:bottom="1728" w:left="1872" w:header="720" w:footer="435"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6B2" w:rsidRDefault="001E46B2">
      <w:r>
        <w:separator/>
      </w:r>
    </w:p>
  </w:endnote>
  <w:endnote w:type="continuationSeparator" w:id="0">
    <w:p w:rsidR="001E46B2" w:rsidRDefault="001E4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B2" w:rsidRPr="00C372CC" w:rsidRDefault="001E46B2">
    <w:pPr>
      <w:pStyle w:val="Footer"/>
      <w:tabs>
        <w:tab w:val="clear" w:pos="4320"/>
        <w:tab w:val="clear" w:pos="8640"/>
        <w:tab w:val="left" w:pos="180"/>
        <w:tab w:val="right" w:pos="9360"/>
      </w:tabs>
    </w:pPr>
    <w:r>
      <w:t xml:space="preserve">Rebuttal </w:t>
    </w:r>
    <w:r w:rsidRPr="00C372CC">
      <w:t>Testimony of Patrick D. Ehrbar</w:t>
    </w:r>
  </w:p>
  <w:p w:rsidR="001E46B2" w:rsidRPr="00C372CC" w:rsidRDefault="001E46B2">
    <w:pPr>
      <w:pStyle w:val="Footer"/>
      <w:tabs>
        <w:tab w:val="clear" w:pos="4320"/>
        <w:tab w:val="clear" w:pos="8640"/>
        <w:tab w:val="left" w:pos="180"/>
        <w:tab w:val="right" w:pos="9360"/>
      </w:tabs>
    </w:pPr>
    <w:r w:rsidRPr="00C372CC">
      <w:t>Avista Corporation</w:t>
    </w:r>
  </w:p>
  <w:p w:rsidR="001E46B2" w:rsidRPr="008B0C99" w:rsidRDefault="001E46B2" w:rsidP="008B0C99">
    <w:pPr>
      <w:pStyle w:val="Footer"/>
      <w:tabs>
        <w:tab w:val="clear" w:pos="4320"/>
        <w:tab w:val="clear" w:pos="8640"/>
        <w:tab w:val="left" w:pos="180"/>
        <w:tab w:val="right" w:pos="8910"/>
      </w:tabs>
    </w:pPr>
    <w:r w:rsidRPr="00C372CC">
      <w:t>Docket Nos. UE-1</w:t>
    </w:r>
    <w:r>
      <w:t>50204</w:t>
    </w:r>
    <w:r w:rsidRPr="00C372CC">
      <w:t xml:space="preserve"> and UG-</w:t>
    </w:r>
    <w:r>
      <w:t>150205</w:t>
    </w:r>
    <w:r w:rsidRPr="00C372CC">
      <w:tab/>
      <w:t xml:space="preserve">Page </w:t>
    </w:r>
    <w:r w:rsidR="003709EA" w:rsidRPr="00C372CC">
      <w:rPr>
        <w:rStyle w:val="PageNumber"/>
      </w:rPr>
      <w:fldChar w:fldCharType="begin"/>
    </w:r>
    <w:r w:rsidRPr="00C372CC">
      <w:rPr>
        <w:rStyle w:val="PageNumber"/>
      </w:rPr>
      <w:instrText xml:space="preserve"> PAGE </w:instrText>
    </w:r>
    <w:r w:rsidR="003709EA" w:rsidRPr="00C372CC">
      <w:rPr>
        <w:rStyle w:val="PageNumber"/>
      </w:rPr>
      <w:fldChar w:fldCharType="separate"/>
    </w:r>
    <w:r w:rsidR="002F15BA">
      <w:rPr>
        <w:rStyle w:val="PageNumber"/>
        <w:noProof/>
      </w:rPr>
      <w:t>8</w:t>
    </w:r>
    <w:r w:rsidR="003709EA" w:rsidRPr="00C372CC">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B2" w:rsidRDefault="001E46B2">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6B2" w:rsidRDefault="001E46B2">
      <w:r>
        <w:separator/>
      </w:r>
    </w:p>
  </w:footnote>
  <w:footnote w:type="continuationSeparator" w:id="0">
    <w:p w:rsidR="001E46B2" w:rsidRDefault="001E46B2">
      <w:r>
        <w:continuationSeparator/>
      </w:r>
    </w:p>
  </w:footnote>
  <w:footnote w:id="1">
    <w:p w:rsidR="001E46B2" w:rsidRDefault="001E46B2">
      <w:pPr>
        <w:pStyle w:val="FootnoteText"/>
      </w:pPr>
      <w:r>
        <w:rPr>
          <w:rStyle w:val="FootnoteReference"/>
        </w:rPr>
        <w:footnoteRef/>
      </w:r>
      <w:r>
        <w:t xml:space="preserve"> Multiparty Settlement Stipulation, </w:t>
      </w:r>
      <w:r>
        <w:rPr>
          <w:rStyle w:val="tgc"/>
        </w:rPr>
        <w:t>¶ 6a.</w:t>
      </w:r>
    </w:p>
  </w:footnote>
  <w:footnote w:id="2">
    <w:p w:rsidR="001E46B2" w:rsidRDefault="001E46B2" w:rsidP="009D0936">
      <w:pPr>
        <w:pStyle w:val="FootnoteText"/>
      </w:pPr>
      <w:r>
        <w:rPr>
          <w:rStyle w:val="FootnoteReference"/>
        </w:rPr>
        <w:footnoteRef/>
      </w:r>
      <w:r>
        <w:t xml:space="preserve"> Multiparty Settlement Stipulation, </w:t>
      </w:r>
      <w:r>
        <w:rPr>
          <w:rStyle w:val="tgc"/>
        </w:rPr>
        <w:t>¶ 5a.</w:t>
      </w:r>
    </w:p>
  </w:footnote>
  <w:footnote w:id="3">
    <w:p w:rsidR="001E46B2" w:rsidRDefault="001E46B2" w:rsidP="008033BB">
      <w:pPr>
        <w:pStyle w:val="FootnoteText"/>
      </w:pPr>
      <w:r>
        <w:rPr>
          <w:rStyle w:val="FootnoteReference"/>
        </w:rPr>
        <w:footnoteRef/>
      </w:r>
      <w:r>
        <w:t xml:space="preserve"> Multiparty Settlement Stipulation, </w:t>
      </w:r>
      <w:r>
        <w:rPr>
          <w:rStyle w:val="tgc"/>
        </w:rPr>
        <w:t>¶ 7a.</w:t>
      </w:r>
    </w:p>
  </w:footnote>
  <w:footnote w:id="4">
    <w:p w:rsidR="001E46B2" w:rsidRPr="00045252" w:rsidRDefault="001E46B2" w:rsidP="00A423CC">
      <w:pPr>
        <w:pStyle w:val="FootnoteText"/>
        <w:jc w:val="both"/>
      </w:pPr>
      <w:r w:rsidRPr="00432127">
        <w:rPr>
          <w:rStyle w:val="FootnoteReference"/>
        </w:rPr>
        <w:footnoteRef/>
      </w:r>
      <w:r w:rsidRPr="00432127">
        <w:t xml:space="preserve"> Docket UE-140188 et. al., In the Matter of the Joint Petition of Avista Corporation, Commission Staff, Public Counsel, Energy </w:t>
      </w:r>
      <w:r w:rsidRPr="00045252">
        <w:t>Project, NWIGU and ICNU Request Modification and a Proposed Addition to the Company’s Low-Income Rate Assistance Program, ¶. 16.</w:t>
      </w:r>
    </w:p>
  </w:footnote>
  <w:footnote w:id="5">
    <w:p w:rsidR="001E46B2" w:rsidRPr="00045252" w:rsidRDefault="001E46B2" w:rsidP="00A423CC">
      <w:pPr>
        <w:pStyle w:val="FootnoteText"/>
        <w:jc w:val="both"/>
      </w:pPr>
      <w:r w:rsidRPr="00045252">
        <w:rPr>
          <w:rStyle w:val="FootnoteReference"/>
        </w:rPr>
        <w:footnoteRef/>
      </w:r>
      <w:r w:rsidRPr="00045252">
        <w:t xml:space="preserve"> Schedule 92</w:t>
      </w:r>
      <w:r>
        <w:t xml:space="preserve">, </w:t>
      </w:r>
      <w:r w:rsidRPr="00045252">
        <w:t xml:space="preserve"> Low Income Rate Assistance Rate Adjustment - Electric</w:t>
      </w:r>
    </w:p>
  </w:footnote>
  <w:footnote w:id="6">
    <w:p w:rsidR="001E46B2" w:rsidRDefault="001E46B2" w:rsidP="00A423CC">
      <w:pPr>
        <w:pStyle w:val="FootnoteText"/>
        <w:jc w:val="both"/>
      </w:pPr>
      <w:r w:rsidRPr="00045252">
        <w:rPr>
          <w:rStyle w:val="FootnoteReference"/>
        </w:rPr>
        <w:footnoteRef/>
      </w:r>
      <w:r w:rsidRPr="00045252">
        <w:t xml:space="preserve"> Schedule 192</w:t>
      </w:r>
      <w:r>
        <w:t xml:space="preserve">, </w:t>
      </w:r>
      <w:r w:rsidRPr="00045252">
        <w:t xml:space="preserve"> Low Income Rate Assistance Rate Adjustment – Natural Gas</w:t>
      </w:r>
    </w:p>
  </w:footnote>
  <w:footnote w:id="7">
    <w:p w:rsidR="001E46B2" w:rsidRDefault="001E46B2" w:rsidP="002B6984">
      <w:pPr>
        <w:pStyle w:val="FootnoteText"/>
        <w:jc w:val="both"/>
      </w:pPr>
      <w:r>
        <w:rPr>
          <w:rStyle w:val="FootnoteReference"/>
        </w:rPr>
        <w:footnoteRef/>
      </w:r>
      <w:r>
        <w:t xml:space="preserve"> Base rates, for purposes of LIRAP funding, include the final approved base tariff rates as well as the then-current Schedule 150 (Purchase Gas Adjustment) rates.</w:t>
      </w:r>
    </w:p>
  </w:footnote>
  <w:footnote w:id="8">
    <w:p w:rsidR="002B6984" w:rsidRDefault="002B6984" w:rsidP="002B6984">
      <w:pPr>
        <w:pStyle w:val="FootnoteText"/>
        <w:jc w:val="both"/>
      </w:pPr>
      <w:r>
        <w:rPr>
          <w:rStyle w:val="FootnoteReference"/>
        </w:rPr>
        <w:footnoteRef/>
      </w:r>
      <w:r>
        <w:t xml:space="preserve"> In order for the increase in electric LIRAP funding to be above the minimum 7.0% threshold, the base rate increase for Schedule 1 would need to be 3.5% or greater.  As shown in Table No. 2, the base rate increase before the Power Supply Update is 0.7%.  Including the </w:t>
      </w:r>
      <w:r w:rsidR="002F15BA">
        <w:t xml:space="preserve">estimated </w:t>
      </w:r>
      <w:r>
        <w:t xml:space="preserve">Power Supply Update, which is a base rate change, the net base rate effect for Schedule 1 </w:t>
      </w:r>
      <w:r w:rsidR="002F15BA">
        <w:t>would be</w:t>
      </w:r>
      <w:r>
        <w:t xml:space="preserve"> a rate reduction.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B2" w:rsidRDefault="001E46B2">
    <w:pPr>
      <w:pStyle w:val="Header"/>
      <w:jc w:val="right"/>
    </w:pPr>
    <w:r>
      <w:t>Exhibit No. ___(PDE-8T)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B2" w:rsidRDefault="001E46B2" w:rsidP="007B58C5">
    <w:pPr>
      <w:pStyle w:val="Header"/>
      <w:jc w:val="right"/>
    </w:pPr>
    <w:r>
      <w:t>Exhibit No. ___(PDE-8T)</w:t>
    </w:r>
  </w:p>
  <w:p w:rsidR="001E46B2" w:rsidRDefault="001E46B2"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1">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4">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6">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7">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9">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0">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1">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2">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3">
    <w:nsid w:val="235E76F7"/>
    <w:multiLevelType w:val="multilevel"/>
    <w:tmpl w:val="7736C418"/>
    <w:styleLink w:val="RTF5fNum2027"/>
    <w:lvl w:ilvl="0">
      <w:start w:val="17"/>
      <w:numFmt w:val="upperLetter"/>
      <w:lvlText w:val="%1."/>
      <w:lvlJc w:val="left"/>
      <w:pPr>
        <w:tabs>
          <w:tab w:val="num" w:pos="1680"/>
        </w:tabs>
        <w:ind w:left="1530" w:hanging="720"/>
      </w:pPr>
      <w:rPr>
        <w:rFonts w:cs="Times New Roman"/>
      </w:rPr>
    </w:lvl>
    <w:lvl w:ilvl="1">
      <w:start w:val="1"/>
      <w:numFmt w:val="lowerLetter"/>
      <w:lvlText w:val="%2."/>
      <w:lvlJc w:val="left"/>
      <w:pPr>
        <w:tabs>
          <w:tab w:val="num" w:pos="2040"/>
        </w:tabs>
        <w:ind w:left="1890" w:hanging="36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0"/>
        </w:tabs>
        <w:ind w:left="6930" w:hanging="180"/>
      </w:pPr>
      <w:rPr>
        <w:rFonts w:cs="Times New Roman"/>
      </w:rPr>
    </w:lvl>
  </w:abstractNum>
  <w:abstractNum w:abstractNumId="14">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5">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6">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8">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9">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0">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1">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2">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3">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24">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5">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7">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28">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9">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1">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2">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33">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4">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1"/>
  </w:num>
  <w:num w:numId="2">
    <w:abstractNumId w:val="23"/>
  </w:num>
  <w:num w:numId="3">
    <w:abstractNumId w:val="1"/>
  </w:num>
  <w:num w:numId="4">
    <w:abstractNumId w:val="17"/>
  </w:num>
  <w:num w:numId="5">
    <w:abstractNumId w:val="4"/>
  </w:num>
  <w:num w:numId="6">
    <w:abstractNumId w:val="16"/>
  </w:num>
  <w:num w:numId="7">
    <w:abstractNumId w:val="8"/>
  </w:num>
  <w:num w:numId="8">
    <w:abstractNumId w:val="12"/>
  </w:num>
  <w:num w:numId="9">
    <w:abstractNumId w:val="20"/>
  </w:num>
  <w:num w:numId="10">
    <w:abstractNumId w:val="14"/>
  </w:num>
  <w:num w:numId="11">
    <w:abstractNumId w:val="6"/>
  </w:num>
  <w:num w:numId="12">
    <w:abstractNumId w:val="33"/>
  </w:num>
  <w:num w:numId="13">
    <w:abstractNumId w:val="31"/>
  </w:num>
  <w:num w:numId="14">
    <w:abstractNumId w:val="34"/>
  </w:num>
  <w:num w:numId="15">
    <w:abstractNumId w:val="11"/>
  </w:num>
  <w:num w:numId="16">
    <w:abstractNumId w:val="13"/>
  </w:num>
  <w:num w:numId="17">
    <w:abstractNumId w:val="19"/>
  </w:num>
  <w:num w:numId="18">
    <w:abstractNumId w:val="32"/>
  </w:num>
  <w:num w:numId="19">
    <w:abstractNumId w:val="15"/>
  </w:num>
  <w:num w:numId="20">
    <w:abstractNumId w:val="27"/>
  </w:num>
  <w:num w:numId="21">
    <w:abstractNumId w:val="0"/>
  </w:num>
  <w:num w:numId="22">
    <w:abstractNumId w:val="26"/>
  </w:num>
  <w:num w:numId="23">
    <w:abstractNumId w:val="22"/>
  </w:num>
  <w:num w:numId="24">
    <w:abstractNumId w:val="18"/>
  </w:num>
  <w:num w:numId="25">
    <w:abstractNumId w:val="3"/>
  </w:num>
  <w:num w:numId="26">
    <w:abstractNumId w:val="2"/>
  </w:num>
  <w:num w:numId="27">
    <w:abstractNumId w:val="10"/>
  </w:num>
  <w:num w:numId="28">
    <w:abstractNumId w:val="30"/>
  </w:num>
  <w:num w:numId="29">
    <w:abstractNumId w:val="9"/>
  </w:num>
  <w:num w:numId="30">
    <w:abstractNumId w:val="24"/>
  </w:num>
  <w:num w:numId="31">
    <w:abstractNumId w:val="28"/>
  </w:num>
  <w:num w:numId="32">
    <w:abstractNumId w:val="29"/>
  </w:num>
  <w:num w:numId="33">
    <w:abstractNumId w:val="25"/>
  </w:num>
  <w:num w:numId="34">
    <w:abstractNumId w:val="5"/>
  </w:num>
  <w:num w:numId="35">
    <w:abstractNumId w:val="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0480"/>
    <w:rsid w:val="00003068"/>
    <w:rsid w:val="00004003"/>
    <w:rsid w:val="00005690"/>
    <w:rsid w:val="000061C2"/>
    <w:rsid w:val="00006E2F"/>
    <w:rsid w:val="00007085"/>
    <w:rsid w:val="00007E94"/>
    <w:rsid w:val="00010A41"/>
    <w:rsid w:val="00010FB3"/>
    <w:rsid w:val="00011D1C"/>
    <w:rsid w:val="0001379A"/>
    <w:rsid w:val="00013EB7"/>
    <w:rsid w:val="0001498B"/>
    <w:rsid w:val="00015AD9"/>
    <w:rsid w:val="00016F05"/>
    <w:rsid w:val="00022EA9"/>
    <w:rsid w:val="00024AC8"/>
    <w:rsid w:val="0003051A"/>
    <w:rsid w:val="0003347A"/>
    <w:rsid w:val="00034A93"/>
    <w:rsid w:val="0003621B"/>
    <w:rsid w:val="00040CA8"/>
    <w:rsid w:val="00042739"/>
    <w:rsid w:val="00045827"/>
    <w:rsid w:val="00045C70"/>
    <w:rsid w:val="00046323"/>
    <w:rsid w:val="000504EF"/>
    <w:rsid w:val="000547A1"/>
    <w:rsid w:val="00054A99"/>
    <w:rsid w:val="000568B0"/>
    <w:rsid w:val="00060FF5"/>
    <w:rsid w:val="00064145"/>
    <w:rsid w:val="00065523"/>
    <w:rsid w:val="00066399"/>
    <w:rsid w:val="00066C73"/>
    <w:rsid w:val="0006733F"/>
    <w:rsid w:val="00067420"/>
    <w:rsid w:val="00070A2E"/>
    <w:rsid w:val="00071706"/>
    <w:rsid w:val="0007197F"/>
    <w:rsid w:val="000725F5"/>
    <w:rsid w:val="00075515"/>
    <w:rsid w:val="00075612"/>
    <w:rsid w:val="00081958"/>
    <w:rsid w:val="0008235E"/>
    <w:rsid w:val="000831A6"/>
    <w:rsid w:val="00083D6D"/>
    <w:rsid w:val="000844DB"/>
    <w:rsid w:val="0008527C"/>
    <w:rsid w:val="00085E52"/>
    <w:rsid w:val="000925D0"/>
    <w:rsid w:val="000926C0"/>
    <w:rsid w:val="000926CF"/>
    <w:rsid w:val="0009624A"/>
    <w:rsid w:val="0009730E"/>
    <w:rsid w:val="000A0894"/>
    <w:rsid w:val="000A19F4"/>
    <w:rsid w:val="000A204F"/>
    <w:rsid w:val="000A2244"/>
    <w:rsid w:val="000A232B"/>
    <w:rsid w:val="000A2AD6"/>
    <w:rsid w:val="000A3548"/>
    <w:rsid w:val="000A497F"/>
    <w:rsid w:val="000A4A15"/>
    <w:rsid w:val="000A4C44"/>
    <w:rsid w:val="000A502C"/>
    <w:rsid w:val="000A6665"/>
    <w:rsid w:val="000A6734"/>
    <w:rsid w:val="000A6860"/>
    <w:rsid w:val="000A6BBC"/>
    <w:rsid w:val="000B2F0A"/>
    <w:rsid w:val="000B55F7"/>
    <w:rsid w:val="000B567E"/>
    <w:rsid w:val="000B5939"/>
    <w:rsid w:val="000B5DDE"/>
    <w:rsid w:val="000B6139"/>
    <w:rsid w:val="000B6A29"/>
    <w:rsid w:val="000B7DDE"/>
    <w:rsid w:val="000C0177"/>
    <w:rsid w:val="000C19AD"/>
    <w:rsid w:val="000C21C5"/>
    <w:rsid w:val="000C5931"/>
    <w:rsid w:val="000C64E4"/>
    <w:rsid w:val="000D3A30"/>
    <w:rsid w:val="000D4B96"/>
    <w:rsid w:val="000D5132"/>
    <w:rsid w:val="000D6ABC"/>
    <w:rsid w:val="000D6BFD"/>
    <w:rsid w:val="000D7C83"/>
    <w:rsid w:val="000E2E27"/>
    <w:rsid w:val="000E62F6"/>
    <w:rsid w:val="000E6F31"/>
    <w:rsid w:val="000F0B81"/>
    <w:rsid w:val="000F0F87"/>
    <w:rsid w:val="000F15F3"/>
    <w:rsid w:val="000F2A4D"/>
    <w:rsid w:val="000F3263"/>
    <w:rsid w:val="000F3897"/>
    <w:rsid w:val="000F3DC4"/>
    <w:rsid w:val="000F4153"/>
    <w:rsid w:val="000F5D38"/>
    <w:rsid w:val="000F6CFB"/>
    <w:rsid w:val="00100091"/>
    <w:rsid w:val="001020C1"/>
    <w:rsid w:val="00102C9F"/>
    <w:rsid w:val="00102DA5"/>
    <w:rsid w:val="00103076"/>
    <w:rsid w:val="00103E4A"/>
    <w:rsid w:val="0010527D"/>
    <w:rsid w:val="00106FF3"/>
    <w:rsid w:val="00110785"/>
    <w:rsid w:val="001121FA"/>
    <w:rsid w:val="00112801"/>
    <w:rsid w:val="00113A3C"/>
    <w:rsid w:val="001210ED"/>
    <w:rsid w:val="00121B28"/>
    <w:rsid w:val="0012232D"/>
    <w:rsid w:val="00122BB9"/>
    <w:rsid w:val="0012369E"/>
    <w:rsid w:val="001279B7"/>
    <w:rsid w:val="00131A33"/>
    <w:rsid w:val="00131E05"/>
    <w:rsid w:val="00132707"/>
    <w:rsid w:val="00133769"/>
    <w:rsid w:val="0013455F"/>
    <w:rsid w:val="00135AD1"/>
    <w:rsid w:val="00137989"/>
    <w:rsid w:val="00141F88"/>
    <w:rsid w:val="001448F1"/>
    <w:rsid w:val="00146C46"/>
    <w:rsid w:val="001473F1"/>
    <w:rsid w:val="00147D24"/>
    <w:rsid w:val="00150518"/>
    <w:rsid w:val="00156D28"/>
    <w:rsid w:val="0015701E"/>
    <w:rsid w:val="00162D05"/>
    <w:rsid w:val="001634DE"/>
    <w:rsid w:val="00164150"/>
    <w:rsid w:val="00165004"/>
    <w:rsid w:val="001665DB"/>
    <w:rsid w:val="0017074B"/>
    <w:rsid w:val="00170A22"/>
    <w:rsid w:val="00171B4C"/>
    <w:rsid w:val="00174854"/>
    <w:rsid w:val="00174FCE"/>
    <w:rsid w:val="0017674C"/>
    <w:rsid w:val="00177866"/>
    <w:rsid w:val="00177CFC"/>
    <w:rsid w:val="00177FF7"/>
    <w:rsid w:val="00180519"/>
    <w:rsid w:val="001813D8"/>
    <w:rsid w:val="001827B6"/>
    <w:rsid w:val="00185D46"/>
    <w:rsid w:val="0019267A"/>
    <w:rsid w:val="0019453A"/>
    <w:rsid w:val="00197176"/>
    <w:rsid w:val="001A1483"/>
    <w:rsid w:val="001A3017"/>
    <w:rsid w:val="001A315C"/>
    <w:rsid w:val="001A4278"/>
    <w:rsid w:val="001A58EA"/>
    <w:rsid w:val="001A60D6"/>
    <w:rsid w:val="001A786F"/>
    <w:rsid w:val="001B0AC2"/>
    <w:rsid w:val="001B23F5"/>
    <w:rsid w:val="001B2DA2"/>
    <w:rsid w:val="001B3343"/>
    <w:rsid w:val="001B3BF7"/>
    <w:rsid w:val="001C01E1"/>
    <w:rsid w:val="001C15C7"/>
    <w:rsid w:val="001C4645"/>
    <w:rsid w:val="001C57DE"/>
    <w:rsid w:val="001C5F10"/>
    <w:rsid w:val="001C6565"/>
    <w:rsid w:val="001D224A"/>
    <w:rsid w:val="001D2BD3"/>
    <w:rsid w:val="001D2DC2"/>
    <w:rsid w:val="001D76D1"/>
    <w:rsid w:val="001E12F2"/>
    <w:rsid w:val="001E22ED"/>
    <w:rsid w:val="001E427B"/>
    <w:rsid w:val="001E455B"/>
    <w:rsid w:val="001E46B2"/>
    <w:rsid w:val="001E48C8"/>
    <w:rsid w:val="001E65B2"/>
    <w:rsid w:val="001E6D70"/>
    <w:rsid w:val="001E7D9F"/>
    <w:rsid w:val="001F0D77"/>
    <w:rsid w:val="001F4EC4"/>
    <w:rsid w:val="00200521"/>
    <w:rsid w:val="00203679"/>
    <w:rsid w:val="002041A4"/>
    <w:rsid w:val="00204C48"/>
    <w:rsid w:val="00204E63"/>
    <w:rsid w:val="00204EB2"/>
    <w:rsid w:val="00205954"/>
    <w:rsid w:val="00206BDE"/>
    <w:rsid w:val="002079A8"/>
    <w:rsid w:val="00207D6E"/>
    <w:rsid w:val="00212B99"/>
    <w:rsid w:val="00214D76"/>
    <w:rsid w:val="0021578E"/>
    <w:rsid w:val="00216493"/>
    <w:rsid w:val="00216BB6"/>
    <w:rsid w:val="00221538"/>
    <w:rsid w:val="0022220E"/>
    <w:rsid w:val="0022502F"/>
    <w:rsid w:val="00226A86"/>
    <w:rsid w:val="00230326"/>
    <w:rsid w:val="00231169"/>
    <w:rsid w:val="00232747"/>
    <w:rsid w:val="002329CD"/>
    <w:rsid w:val="002336F1"/>
    <w:rsid w:val="00233F30"/>
    <w:rsid w:val="002369E0"/>
    <w:rsid w:val="00240544"/>
    <w:rsid w:val="00240E36"/>
    <w:rsid w:val="00244590"/>
    <w:rsid w:val="002467E2"/>
    <w:rsid w:val="00247DEE"/>
    <w:rsid w:val="00251F92"/>
    <w:rsid w:val="0025349A"/>
    <w:rsid w:val="0025427B"/>
    <w:rsid w:val="002543B2"/>
    <w:rsid w:val="002558EB"/>
    <w:rsid w:val="00257659"/>
    <w:rsid w:val="00260171"/>
    <w:rsid w:val="0026350D"/>
    <w:rsid w:val="00265299"/>
    <w:rsid w:val="00265A10"/>
    <w:rsid w:val="00266EF0"/>
    <w:rsid w:val="00267E54"/>
    <w:rsid w:val="00272E6B"/>
    <w:rsid w:val="002734F6"/>
    <w:rsid w:val="002746C1"/>
    <w:rsid w:val="002750A1"/>
    <w:rsid w:val="0027643C"/>
    <w:rsid w:val="00280678"/>
    <w:rsid w:val="00284453"/>
    <w:rsid w:val="00284C92"/>
    <w:rsid w:val="0028794F"/>
    <w:rsid w:val="00287B1F"/>
    <w:rsid w:val="0029101F"/>
    <w:rsid w:val="00291631"/>
    <w:rsid w:val="00292D6F"/>
    <w:rsid w:val="00294B78"/>
    <w:rsid w:val="00294C0F"/>
    <w:rsid w:val="00294CA7"/>
    <w:rsid w:val="00294F94"/>
    <w:rsid w:val="0029596D"/>
    <w:rsid w:val="002A1F24"/>
    <w:rsid w:val="002A2752"/>
    <w:rsid w:val="002A433D"/>
    <w:rsid w:val="002A5583"/>
    <w:rsid w:val="002A7002"/>
    <w:rsid w:val="002A7493"/>
    <w:rsid w:val="002B0DA7"/>
    <w:rsid w:val="002B1B54"/>
    <w:rsid w:val="002B3375"/>
    <w:rsid w:val="002B68A1"/>
    <w:rsid w:val="002B6984"/>
    <w:rsid w:val="002B6EA3"/>
    <w:rsid w:val="002B738D"/>
    <w:rsid w:val="002C0C2F"/>
    <w:rsid w:val="002C1009"/>
    <w:rsid w:val="002C1940"/>
    <w:rsid w:val="002C60CB"/>
    <w:rsid w:val="002C625F"/>
    <w:rsid w:val="002D35C8"/>
    <w:rsid w:val="002D398E"/>
    <w:rsid w:val="002E0B86"/>
    <w:rsid w:val="002E3123"/>
    <w:rsid w:val="002E3552"/>
    <w:rsid w:val="002E35D8"/>
    <w:rsid w:val="002E7F3A"/>
    <w:rsid w:val="002F0D16"/>
    <w:rsid w:val="002F15BA"/>
    <w:rsid w:val="002F3BC3"/>
    <w:rsid w:val="002F5AD7"/>
    <w:rsid w:val="0030040F"/>
    <w:rsid w:val="00301EC5"/>
    <w:rsid w:val="00303750"/>
    <w:rsid w:val="0030773D"/>
    <w:rsid w:val="00310EBD"/>
    <w:rsid w:val="00311F09"/>
    <w:rsid w:val="00313EFD"/>
    <w:rsid w:val="0031526F"/>
    <w:rsid w:val="003162C7"/>
    <w:rsid w:val="003201FB"/>
    <w:rsid w:val="00324DBB"/>
    <w:rsid w:val="003279B2"/>
    <w:rsid w:val="00334F95"/>
    <w:rsid w:val="00336CAF"/>
    <w:rsid w:val="003370D8"/>
    <w:rsid w:val="0033746D"/>
    <w:rsid w:val="00337649"/>
    <w:rsid w:val="00337798"/>
    <w:rsid w:val="00337BB3"/>
    <w:rsid w:val="00344D41"/>
    <w:rsid w:val="00346019"/>
    <w:rsid w:val="00352572"/>
    <w:rsid w:val="00352B85"/>
    <w:rsid w:val="003538D4"/>
    <w:rsid w:val="00356E89"/>
    <w:rsid w:val="00357DE8"/>
    <w:rsid w:val="00362A42"/>
    <w:rsid w:val="003636C6"/>
    <w:rsid w:val="00364F2D"/>
    <w:rsid w:val="003709EA"/>
    <w:rsid w:val="00371D94"/>
    <w:rsid w:val="003728BA"/>
    <w:rsid w:val="003730D2"/>
    <w:rsid w:val="00375BB2"/>
    <w:rsid w:val="00377B55"/>
    <w:rsid w:val="00377BBA"/>
    <w:rsid w:val="00381013"/>
    <w:rsid w:val="00384DAD"/>
    <w:rsid w:val="003956A9"/>
    <w:rsid w:val="0039709C"/>
    <w:rsid w:val="00397844"/>
    <w:rsid w:val="003A16ED"/>
    <w:rsid w:val="003B133A"/>
    <w:rsid w:val="003B278C"/>
    <w:rsid w:val="003B42EC"/>
    <w:rsid w:val="003C1C3E"/>
    <w:rsid w:val="003C1E67"/>
    <w:rsid w:val="003C3120"/>
    <w:rsid w:val="003C50D7"/>
    <w:rsid w:val="003C53DB"/>
    <w:rsid w:val="003D2E9A"/>
    <w:rsid w:val="003D4167"/>
    <w:rsid w:val="003D665D"/>
    <w:rsid w:val="003D716B"/>
    <w:rsid w:val="003E19C9"/>
    <w:rsid w:val="003E2C1F"/>
    <w:rsid w:val="003E339D"/>
    <w:rsid w:val="003E3A36"/>
    <w:rsid w:val="003E52DF"/>
    <w:rsid w:val="003E654B"/>
    <w:rsid w:val="003E71B4"/>
    <w:rsid w:val="003E7ABF"/>
    <w:rsid w:val="003F11AC"/>
    <w:rsid w:val="003F5EB7"/>
    <w:rsid w:val="003F6BFD"/>
    <w:rsid w:val="003F766B"/>
    <w:rsid w:val="0040013A"/>
    <w:rsid w:val="004032B9"/>
    <w:rsid w:val="004034D5"/>
    <w:rsid w:val="004043D5"/>
    <w:rsid w:val="00407743"/>
    <w:rsid w:val="00411FE6"/>
    <w:rsid w:val="004163BA"/>
    <w:rsid w:val="00416D8E"/>
    <w:rsid w:val="00417744"/>
    <w:rsid w:val="00423244"/>
    <w:rsid w:val="004233FE"/>
    <w:rsid w:val="0042464B"/>
    <w:rsid w:val="0043473F"/>
    <w:rsid w:val="00434EE0"/>
    <w:rsid w:val="0043608E"/>
    <w:rsid w:val="00437376"/>
    <w:rsid w:val="00437F07"/>
    <w:rsid w:val="004414DA"/>
    <w:rsid w:val="00443386"/>
    <w:rsid w:val="00444CC5"/>
    <w:rsid w:val="00444CEA"/>
    <w:rsid w:val="004461E9"/>
    <w:rsid w:val="0044635D"/>
    <w:rsid w:val="004477EA"/>
    <w:rsid w:val="00451B1C"/>
    <w:rsid w:val="00451C4F"/>
    <w:rsid w:val="004568E4"/>
    <w:rsid w:val="00460A8B"/>
    <w:rsid w:val="00460FCB"/>
    <w:rsid w:val="004621CA"/>
    <w:rsid w:val="00462682"/>
    <w:rsid w:val="004627E0"/>
    <w:rsid w:val="00466E60"/>
    <w:rsid w:val="004713C9"/>
    <w:rsid w:val="004729E4"/>
    <w:rsid w:val="00474CF8"/>
    <w:rsid w:val="00475FB0"/>
    <w:rsid w:val="00476E35"/>
    <w:rsid w:val="00482455"/>
    <w:rsid w:val="004868D1"/>
    <w:rsid w:val="004910B1"/>
    <w:rsid w:val="004921AA"/>
    <w:rsid w:val="00492441"/>
    <w:rsid w:val="00492DDD"/>
    <w:rsid w:val="004940D3"/>
    <w:rsid w:val="00497EDA"/>
    <w:rsid w:val="004A0973"/>
    <w:rsid w:val="004A14EC"/>
    <w:rsid w:val="004A3FBB"/>
    <w:rsid w:val="004A43E9"/>
    <w:rsid w:val="004A5E75"/>
    <w:rsid w:val="004A5E9F"/>
    <w:rsid w:val="004A7A4C"/>
    <w:rsid w:val="004B1B0F"/>
    <w:rsid w:val="004B1D0C"/>
    <w:rsid w:val="004B23F1"/>
    <w:rsid w:val="004B4017"/>
    <w:rsid w:val="004B402E"/>
    <w:rsid w:val="004B5594"/>
    <w:rsid w:val="004B650C"/>
    <w:rsid w:val="004B6F76"/>
    <w:rsid w:val="004C1B9A"/>
    <w:rsid w:val="004C2025"/>
    <w:rsid w:val="004C3392"/>
    <w:rsid w:val="004C3DE4"/>
    <w:rsid w:val="004C58FC"/>
    <w:rsid w:val="004C5C79"/>
    <w:rsid w:val="004C6D99"/>
    <w:rsid w:val="004C715C"/>
    <w:rsid w:val="004C7198"/>
    <w:rsid w:val="004D0644"/>
    <w:rsid w:val="004D081B"/>
    <w:rsid w:val="004D0E04"/>
    <w:rsid w:val="004D102F"/>
    <w:rsid w:val="004D1B1A"/>
    <w:rsid w:val="004D207D"/>
    <w:rsid w:val="004D28F2"/>
    <w:rsid w:val="004D772E"/>
    <w:rsid w:val="004D7861"/>
    <w:rsid w:val="004E2D52"/>
    <w:rsid w:val="004E3BE5"/>
    <w:rsid w:val="004E4650"/>
    <w:rsid w:val="004E5181"/>
    <w:rsid w:val="004E793A"/>
    <w:rsid w:val="004E7C36"/>
    <w:rsid w:val="004F713F"/>
    <w:rsid w:val="004F7514"/>
    <w:rsid w:val="004F7C90"/>
    <w:rsid w:val="0050216C"/>
    <w:rsid w:val="0050474D"/>
    <w:rsid w:val="005100B9"/>
    <w:rsid w:val="005141FE"/>
    <w:rsid w:val="00514E80"/>
    <w:rsid w:val="00515008"/>
    <w:rsid w:val="00516F25"/>
    <w:rsid w:val="00517717"/>
    <w:rsid w:val="00517BD6"/>
    <w:rsid w:val="00520565"/>
    <w:rsid w:val="00524793"/>
    <w:rsid w:val="00524E01"/>
    <w:rsid w:val="00524EA6"/>
    <w:rsid w:val="005309AB"/>
    <w:rsid w:val="00531D60"/>
    <w:rsid w:val="00533FD0"/>
    <w:rsid w:val="005369BB"/>
    <w:rsid w:val="00536E7C"/>
    <w:rsid w:val="005410BB"/>
    <w:rsid w:val="00541BEB"/>
    <w:rsid w:val="0054237D"/>
    <w:rsid w:val="005426B3"/>
    <w:rsid w:val="00543395"/>
    <w:rsid w:val="00545B95"/>
    <w:rsid w:val="00551C2D"/>
    <w:rsid w:val="0055278A"/>
    <w:rsid w:val="005540EB"/>
    <w:rsid w:val="0055620C"/>
    <w:rsid w:val="00562193"/>
    <w:rsid w:val="00562C12"/>
    <w:rsid w:val="0056366E"/>
    <w:rsid w:val="005678FA"/>
    <w:rsid w:val="00571787"/>
    <w:rsid w:val="005777CE"/>
    <w:rsid w:val="00577848"/>
    <w:rsid w:val="00580834"/>
    <w:rsid w:val="005819D4"/>
    <w:rsid w:val="00583438"/>
    <w:rsid w:val="0058469D"/>
    <w:rsid w:val="00585860"/>
    <w:rsid w:val="005869EC"/>
    <w:rsid w:val="00586BE2"/>
    <w:rsid w:val="00586CB3"/>
    <w:rsid w:val="00592BD1"/>
    <w:rsid w:val="00593603"/>
    <w:rsid w:val="00593B68"/>
    <w:rsid w:val="00596611"/>
    <w:rsid w:val="005A10A8"/>
    <w:rsid w:val="005A200C"/>
    <w:rsid w:val="005A37F6"/>
    <w:rsid w:val="005A38EB"/>
    <w:rsid w:val="005A47CB"/>
    <w:rsid w:val="005A55AE"/>
    <w:rsid w:val="005A6FE5"/>
    <w:rsid w:val="005A6FF9"/>
    <w:rsid w:val="005B0B41"/>
    <w:rsid w:val="005B1AA3"/>
    <w:rsid w:val="005B4C72"/>
    <w:rsid w:val="005B5994"/>
    <w:rsid w:val="005C1AB9"/>
    <w:rsid w:val="005C251E"/>
    <w:rsid w:val="005C26D3"/>
    <w:rsid w:val="005C2C88"/>
    <w:rsid w:val="005C37F4"/>
    <w:rsid w:val="005C3EE2"/>
    <w:rsid w:val="005C4E2C"/>
    <w:rsid w:val="005C4F7B"/>
    <w:rsid w:val="005C7C02"/>
    <w:rsid w:val="005D0943"/>
    <w:rsid w:val="005D45EC"/>
    <w:rsid w:val="005D6CC2"/>
    <w:rsid w:val="005D7A9E"/>
    <w:rsid w:val="005E0D2F"/>
    <w:rsid w:val="005E12E5"/>
    <w:rsid w:val="005E2247"/>
    <w:rsid w:val="005E25D7"/>
    <w:rsid w:val="005E61D1"/>
    <w:rsid w:val="005E72C5"/>
    <w:rsid w:val="005E79A4"/>
    <w:rsid w:val="005F0B42"/>
    <w:rsid w:val="005F1CE5"/>
    <w:rsid w:val="005F1EA4"/>
    <w:rsid w:val="005F3BDA"/>
    <w:rsid w:val="005F4B1C"/>
    <w:rsid w:val="005F52EE"/>
    <w:rsid w:val="005F75EE"/>
    <w:rsid w:val="00600A93"/>
    <w:rsid w:val="00601C28"/>
    <w:rsid w:val="006057DA"/>
    <w:rsid w:val="0061080A"/>
    <w:rsid w:val="006130C6"/>
    <w:rsid w:val="00614DB9"/>
    <w:rsid w:val="0061606F"/>
    <w:rsid w:val="0061684F"/>
    <w:rsid w:val="00620985"/>
    <w:rsid w:val="006234CA"/>
    <w:rsid w:val="00625666"/>
    <w:rsid w:val="006324E1"/>
    <w:rsid w:val="00633F02"/>
    <w:rsid w:val="00634835"/>
    <w:rsid w:val="006368E0"/>
    <w:rsid w:val="00642E83"/>
    <w:rsid w:val="00643147"/>
    <w:rsid w:val="006435B7"/>
    <w:rsid w:val="00643CE5"/>
    <w:rsid w:val="0064487F"/>
    <w:rsid w:val="00644E23"/>
    <w:rsid w:val="00645683"/>
    <w:rsid w:val="006456F0"/>
    <w:rsid w:val="00645E0A"/>
    <w:rsid w:val="006470C2"/>
    <w:rsid w:val="006507E2"/>
    <w:rsid w:val="00651416"/>
    <w:rsid w:val="00652AC9"/>
    <w:rsid w:val="00657437"/>
    <w:rsid w:val="0065749C"/>
    <w:rsid w:val="00664B41"/>
    <w:rsid w:val="00667220"/>
    <w:rsid w:val="006676B9"/>
    <w:rsid w:val="006712D4"/>
    <w:rsid w:val="00671CFD"/>
    <w:rsid w:val="00672D65"/>
    <w:rsid w:val="006753D1"/>
    <w:rsid w:val="00675C4E"/>
    <w:rsid w:val="0067797B"/>
    <w:rsid w:val="00677B7B"/>
    <w:rsid w:val="00680941"/>
    <w:rsid w:val="006848C3"/>
    <w:rsid w:val="0068497F"/>
    <w:rsid w:val="00685D0C"/>
    <w:rsid w:val="00686872"/>
    <w:rsid w:val="00690866"/>
    <w:rsid w:val="006942FA"/>
    <w:rsid w:val="006A2A4B"/>
    <w:rsid w:val="006A2C7D"/>
    <w:rsid w:val="006A2F58"/>
    <w:rsid w:val="006A39AB"/>
    <w:rsid w:val="006A4BDB"/>
    <w:rsid w:val="006A4CE9"/>
    <w:rsid w:val="006B0FBF"/>
    <w:rsid w:val="006B1DF5"/>
    <w:rsid w:val="006B4092"/>
    <w:rsid w:val="006B6BC2"/>
    <w:rsid w:val="006C1681"/>
    <w:rsid w:val="006C2E1E"/>
    <w:rsid w:val="006C2F60"/>
    <w:rsid w:val="006C6690"/>
    <w:rsid w:val="006C681F"/>
    <w:rsid w:val="006C72E6"/>
    <w:rsid w:val="006C7E37"/>
    <w:rsid w:val="006D0B08"/>
    <w:rsid w:val="006D0C1F"/>
    <w:rsid w:val="006D1C8A"/>
    <w:rsid w:val="006D3C1A"/>
    <w:rsid w:val="006E11B2"/>
    <w:rsid w:val="006E2663"/>
    <w:rsid w:val="006E2F83"/>
    <w:rsid w:val="006E3755"/>
    <w:rsid w:val="006E75AB"/>
    <w:rsid w:val="006E7C1D"/>
    <w:rsid w:val="006F42EC"/>
    <w:rsid w:val="006F6605"/>
    <w:rsid w:val="006F6763"/>
    <w:rsid w:val="006F681C"/>
    <w:rsid w:val="006F730C"/>
    <w:rsid w:val="00701425"/>
    <w:rsid w:val="00702E30"/>
    <w:rsid w:val="00704982"/>
    <w:rsid w:val="00704EEB"/>
    <w:rsid w:val="007055A8"/>
    <w:rsid w:val="007077ED"/>
    <w:rsid w:val="007100B2"/>
    <w:rsid w:val="00711833"/>
    <w:rsid w:val="00712A9B"/>
    <w:rsid w:val="00716C13"/>
    <w:rsid w:val="00720D05"/>
    <w:rsid w:val="00720F15"/>
    <w:rsid w:val="00721F40"/>
    <w:rsid w:val="00722C46"/>
    <w:rsid w:val="007267F6"/>
    <w:rsid w:val="00733A66"/>
    <w:rsid w:val="00736360"/>
    <w:rsid w:val="00737207"/>
    <w:rsid w:val="00737CA1"/>
    <w:rsid w:val="00742B9F"/>
    <w:rsid w:val="00743B59"/>
    <w:rsid w:val="0074438F"/>
    <w:rsid w:val="00744D65"/>
    <w:rsid w:val="0074529E"/>
    <w:rsid w:val="0075372F"/>
    <w:rsid w:val="00754AF6"/>
    <w:rsid w:val="007559C8"/>
    <w:rsid w:val="00757728"/>
    <w:rsid w:val="007579AD"/>
    <w:rsid w:val="0076151E"/>
    <w:rsid w:val="007645E8"/>
    <w:rsid w:val="00772721"/>
    <w:rsid w:val="00774CC3"/>
    <w:rsid w:val="00775966"/>
    <w:rsid w:val="00777ABD"/>
    <w:rsid w:val="0078116B"/>
    <w:rsid w:val="00781C4B"/>
    <w:rsid w:val="00782766"/>
    <w:rsid w:val="007827FA"/>
    <w:rsid w:val="007836C7"/>
    <w:rsid w:val="00786A12"/>
    <w:rsid w:val="00787FB4"/>
    <w:rsid w:val="007917C5"/>
    <w:rsid w:val="00791C2B"/>
    <w:rsid w:val="007928C1"/>
    <w:rsid w:val="00794403"/>
    <w:rsid w:val="00794492"/>
    <w:rsid w:val="00796789"/>
    <w:rsid w:val="00797C30"/>
    <w:rsid w:val="007A2A98"/>
    <w:rsid w:val="007A2F03"/>
    <w:rsid w:val="007A4F93"/>
    <w:rsid w:val="007A5DCF"/>
    <w:rsid w:val="007A73E1"/>
    <w:rsid w:val="007A7BE0"/>
    <w:rsid w:val="007B04C8"/>
    <w:rsid w:val="007B5402"/>
    <w:rsid w:val="007B58C5"/>
    <w:rsid w:val="007B5B92"/>
    <w:rsid w:val="007B60A4"/>
    <w:rsid w:val="007B7B22"/>
    <w:rsid w:val="007B7C07"/>
    <w:rsid w:val="007C10C8"/>
    <w:rsid w:val="007C1D7F"/>
    <w:rsid w:val="007C32EE"/>
    <w:rsid w:val="007C504B"/>
    <w:rsid w:val="007C54AA"/>
    <w:rsid w:val="007C57D8"/>
    <w:rsid w:val="007C7320"/>
    <w:rsid w:val="007C7911"/>
    <w:rsid w:val="007D05D4"/>
    <w:rsid w:val="007D16EF"/>
    <w:rsid w:val="007E1AF4"/>
    <w:rsid w:val="007E208F"/>
    <w:rsid w:val="007E6EA3"/>
    <w:rsid w:val="007E74EA"/>
    <w:rsid w:val="007F042B"/>
    <w:rsid w:val="007F095E"/>
    <w:rsid w:val="007F101D"/>
    <w:rsid w:val="007F1D69"/>
    <w:rsid w:val="007F213C"/>
    <w:rsid w:val="007F2423"/>
    <w:rsid w:val="007F3749"/>
    <w:rsid w:val="007F6B5E"/>
    <w:rsid w:val="00802819"/>
    <w:rsid w:val="008033BB"/>
    <w:rsid w:val="00804381"/>
    <w:rsid w:val="00806C7F"/>
    <w:rsid w:val="0080740D"/>
    <w:rsid w:val="00807FC4"/>
    <w:rsid w:val="00812DE4"/>
    <w:rsid w:val="00814123"/>
    <w:rsid w:val="0081442F"/>
    <w:rsid w:val="008147B1"/>
    <w:rsid w:val="00815D50"/>
    <w:rsid w:val="00816DD9"/>
    <w:rsid w:val="00817342"/>
    <w:rsid w:val="0081738C"/>
    <w:rsid w:val="00817ECB"/>
    <w:rsid w:val="008202A5"/>
    <w:rsid w:val="00820881"/>
    <w:rsid w:val="00822186"/>
    <w:rsid w:val="0082229C"/>
    <w:rsid w:val="00822621"/>
    <w:rsid w:val="00823B37"/>
    <w:rsid w:val="00824F12"/>
    <w:rsid w:val="0082656C"/>
    <w:rsid w:val="0082661B"/>
    <w:rsid w:val="00830886"/>
    <w:rsid w:val="0083229F"/>
    <w:rsid w:val="00833CE1"/>
    <w:rsid w:val="008354EE"/>
    <w:rsid w:val="00843D43"/>
    <w:rsid w:val="00846B6E"/>
    <w:rsid w:val="0085002C"/>
    <w:rsid w:val="008503A2"/>
    <w:rsid w:val="008555E4"/>
    <w:rsid w:val="0085756C"/>
    <w:rsid w:val="008618A0"/>
    <w:rsid w:val="00872D83"/>
    <w:rsid w:val="0087366D"/>
    <w:rsid w:val="00874B82"/>
    <w:rsid w:val="008779F0"/>
    <w:rsid w:val="00881754"/>
    <w:rsid w:val="00882549"/>
    <w:rsid w:val="008832F2"/>
    <w:rsid w:val="00883CCA"/>
    <w:rsid w:val="00883F6F"/>
    <w:rsid w:val="00886C9D"/>
    <w:rsid w:val="00886E4E"/>
    <w:rsid w:val="008918EA"/>
    <w:rsid w:val="00891D48"/>
    <w:rsid w:val="00891F68"/>
    <w:rsid w:val="00892413"/>
    <w:rsid w:val="00892523"/>
    <w:rsid w:val="00892BAC"/>
    <w:rsid w:val="0089410F"/>
    <w:rsid w:val="00894834"/>
    <w:rsid w:val="00894CE2"/>
    <w:rsid w:val="008970B3"/>
    <w:rsid w:val="00897B8E"/>
    <w:rsid w:val="008A52E8"/>
    <w:rsid w:val="008A7469"/>
    <w:rsid w:val="008B0C99"/>
    <w:rsid w:val="008B41AB"/>
    <w:rsid w:val="008B4398"/>
    <w:rsid w:val="008B536F"/>
    <w:rsid w:val="008B5C02"/>
    <w:rsid w:val="008B744B"/>
    <w:rsid w:val="008B7D0B"/>
    <w:rsid w:val="008B7E2A"/>
    <w:rsid w:val="008C2923"/>
    <w:rsid w:val="008C49C5"/>
    <w:rsid w:val="008C51DB"/>
    <w:rsid w:val="008C59AC"/>
    <w:rsid w:val="008C630F"/>
    <w:rsid w:val="008D18B6"/>
    <w:rsid w:val="008D1B9E"/>
    <w:rsid w:val="008D2D75"/>
    <w:rsid w:val="008D308F"/>
    <w:rsid w:val="008D5C91"/>
    <w:rsid w:val="008E1B2E"/>
    <w:rsid w:val="008E48B0"/>
    <w:rsid w:val="008E49DF"/>
    <w:rsid w:val="008E580F"/>
    <w:rsid w:val="008E7886"/>
    <w:rsid w:val="008F0D0B"/>
    <w:rsid w:val="008F5275"/>
    <w:rsid w:val="008F62BD"/>
    <w:rsid w:val="008F6E36"/>
    <w:rsid w:val="008F70B5"/>
    <w:rsid w:val="009026B3"/>
    <w:rsid w:val="00903213"/>
    <w:rsid w:val="00904ACA"/>
    <w:rsid w:val="0090528A"/>
    <w:rsid w:val="00905F79"/>
    <w:rsid w:val="00910A6F"/>
    <w:rsid w:val="0091181E"/>
    <w:rsid w:val="0091216A"/>
    <w:rsid w:val="00912886"/>
    <w:rsid w:val="0091322F"/>
    <w:rsid w:val="00913FDC"/>
    <w:rsid w:val="00914F08"/>
    <w:rsid w:val="00916D0F"/>
    <w:rsid w:val="00921304"/>
    <w:rsid w:val="00922002"/>
    <w:rsid w:val="00923A17"/>
    <w:rsid w:val="00923D5A"/>
    <w:rsid w:val="00925CE2"/>
    <w:rsid w:val="00931621"/>
    <w:rsid w:val="009331EA"/>
    <w:rsid w:val="009334AE"/>
    <w:rsid w:val="0093530C"/>
    <w:rsid w:val="00935CE0"/>
    <w:rsid w:val="00936BE1"/>
    <w:rsid w:val="00937BA3"/>
    <w:rsid w:val="00944313"/>
    <w:rsid w:val="00946E99"/>
    <w:rsid w:val="00947A07"/>
    <w:rsid w:val="00956624"/>
    <w:rsid w:val="00956860"/>
    <w:rsid w:val="009577D0"/>
    <w:rsid w:val="009605C7"/>
    <w:rsid w:val="00961303"/>
    <w:rsid w:val="00962C59"/>
    <w:rsid w:val="00964427"/>
    <w:rsid w:val="00966A3C"/>
    <w:rsid w:val="00973290"/>
    <w:rsid w:val="00974F03"/>
    <w:rsid w:val="00975FB9"/>
    <w:rsid w:val="00976DDC"/>
    <w:rsid w:val="0098231D"/>
    <w:rsid w:val="00983877"/>
    <w:rsid w:val="00987E07"/>
    <w:rsid w:val="00996D9A"/>
    <w:rsid w:val="009979AF"/>
    <w:rsid w:val="009A0AA1"/>
    <w:rsid w:val="009A1846"/>
    <w:rsid w:val="009A6E1D"/>
    <w:rsid w:val="009B388A"/>
    <w:rsid w:val="009B6AD6"/>
    <w:rsid w:val="009C289B"/>
    <w:rsid w:val="009C4EF9"/>
    <w:rsid w:val="009C52C8"/>
    <w:rsid w:val="009C54AD"/>
    <w:rsid w:val="009D0936"/>
    <w:rsid w:val="009D3196"/>
    <w:rsid w:val="009D7F10"/>
    <w:rsid w:val="009E002D"/>
    <w:rsid w:val="009E1E4A"/>
    <w:rsid w:val="009E29E5"/>
    <w:rsid w:val="009E6376"/>
    <w:rsid w:val="009E6CD4"/>
    <w:rsid w:val="009F116E"/>
    <w:rsid w:val="009F186A"/>
    <w:rsid w:val="009F3201"/>
    <w:rsid w:val="009F36FA"/>
    <w:rsid w:val="009F4D51"/>
    <w:rsid w:val="009F5837"/>
    <w:rsid w:val="009F69BF"/>
    <w:rsid w:val="009F6A4B"/>
    <w:rsid w:val="00A001E8"/>
    <w:rsid w:val="00A05EB6"/>
    <w:rsid w:val="00A06D3D"/>
    <w:rsid w:val="00A07AB7"/>
    <w:rsid w:val="00A07B81"/>
    <w:rsid w:val="00A11C96"/>
    <w:rsid w:val="00A13A68"/>
    <w:rsid w:val="00A152BC"/>
    <w:rsid w:val="00A309B9"/>
    <w:rsid w:val="00A310C9"/>
    <w:rsid w:val="00A31942"/>
    <w:rsid w:val="00A33643"/>
    <w:rsid w:val="00A3375D"/>
    <w:rsid w:val="00A33792"/>
    <w:rsid w:val="00A355FE"/>
    <w:rsid w:val="00A359BB"/>
    <w:rsid w:val="00A4037C"/>
    <w:rsid w:val="00A40F39"/>
    <w:rsid w:val="00A423CC"/>
    <w:rsid w:val="00A429FD"/>
    <w:rsid w:val="00A42AF9"/>
    <w:rsid w:val="00A42F19"/>
    <w:rsid w:val="00A43F4C"/>
    <w:rsid w:val="00A44669"/>
    <w:rsid w:val="00A47B5B"/>
    <w:rsid w:val="00A522F4"/>
    <w:rsid w:val="00A539B1"/>
    <w:rsid w:val="00A54220"/>
    <w:rsid w:val="00A55DC6"/>
    <w:rsid w:val="00A6021E"/>
    <w:rsid w:val="00A63164"/>
    <w:rsid w:val="00A64306"/>
    <w:rsid w:val="00A64E45"/>
    <w:rsid w:val="00A65961"/>
    <w:rsid w:val="00A67FB6"/>
    <w:rsid w:val="00A74FBD"/>
    <w:rsid w:val="00A769E3"/>
    <w:rsid w:val="00A85884"/>
    <w:rsid w:val="00A8627C"/>
    <w:rsid w:val="00A879CD"/>
    <w:rsid w:val="00A91003"/>
    <w:rsid w:val="00A931A6"/>
    <w:rsid w:val="00AA0324"/>
    <w:rsid w:val="00AA41A9"/>
    <w:rsid w:val="00AA7417"/>
    <w:rsid w:val="00AB59BB"/>
    <w:rsid w:val="00AC1B51"/>
    <w:rsid w:val="00AC1DAD"/>
    <w:rsid w:val="00AC32BF"/>
    <w:rsid w:val="00AC3ADC"/>
    <w:rsid w:val="00AC43BC"/>
    <w:rsid w:val="00AC6208"/>
    <w:rsid w:val="00AD03A5"/>
    <w:rsid w:val="00AD03EF"/>
    <w:rsid w:val="00AD1968"/>
    <w:rsid w:val="00AD2C96"/>
    <w:rsid w:val="00AD2FA3"/>
    <w:rsid w:val="00AD4FD5"/>
    <w:rsid w:val="00AE0842"/>
    <w:rsid w:val="00AE0E9E"/>
    <w:rsid w:val="00AE4671"/>
    <w:rsid w:val="00AF0066"/>
    <w:rsid w:val="00AF04A5"/>
    <w:rsid w:val="00AF0FEB"/>
    <w:rsid w:val="00AF12CC"/>
    <w:rsid w:val="00AF2573"/>
    <w:rsid w:val="00AF5996"/>
    <w:rsid w:val="00AF6076"/>
    <w:rsid w:val="00AF6449"/>
    <w:rsid w:val="00B028C8"/>
    <w:rsid w:val="00B03C54"/>
    <w:rsid w:val="00B03DF0"/>
    <w:rsid w:val="00B065DD"/>
    <w:rsid w:val="00B07C8E"/>
    <w:rsid w:val="00B10A70"/>
    <w:rsid w:val="00B10EE8"/>
    <w:rsid w:val="00B11A3B"/>
    <w:rsid w:val="00B12CA5"/>
    <w:rsid w:val="00B15B30"/>
    <w:rsid w:val="00B17425"/>
    <w:rsid w:val="00B17703"/>
    <w:rsid w:val="00B21F13"/>
    <w:rsid w:val="00B220C2"/>
    <w:rsid w:val="00B232F9"/>
    <w:rsid w:val="00B26158"/>
    <w:rsid w:val="00B26691"/>
    <w:rsid w:val="00B312FA"/>
    <w:rsid w:val="00B313D9"/>
    <w:rsid w:val="00B319D8"/>
    <w:rsid w:val="00B346E1"/>
    <w:rsid w:val="00B34EAB"/>
    <w:rsid w:val="00B361D5"/>
    <w:rsid w:val="00B36F8C"/>
    <w:rsid w:val="00B40081"/>
    <w:rsid w:val="00B44612"/>
    <w:rsid w:val="00B46884"/>
    <w:rsid w:val="00B50A07"/>
    <w:rsid w:val="00B5246C"/>
    <w:rsid w:val="00B54997"/>
    <w:rsid w:val="00B56F17"/>
    <w:rsid w:val="00B57941"/>
    <w:rsid w:val="00B605E8"/>
    <w:rsid w:val="00B60D79"/>
    <w:rsid w:val="00B62488"/>
    <w:rsid w:val="00B632D5"/>
    <w:rsid w:val="00B63D21"/>
    <w:rsid w:val="00B6598F"/>
    <w:rsid w:val="00B707E0"/>
    <w:rsid w:val="00B71BE8"/>
    <w:rsid w:val="00B73EB1"/>
    <w:rsid w:val="00B83A07"/>
    <w:rsid w:val="00B85AB9"/>
    <w:rsid w:val="00B9198A"/>
    <w:rsid w:val="00B9227F"/>
    <w:rsid w:val="00B96536"/>
    <w:rsid w:val="00B96DF1"/>
    <w:rsid w:val="00B96E2B"/>
    <w:rsid w:val="00BA0836"/>
    <w:rsid w:val="00BA3C7B"/>
    <w:rsid w:val="00BA4C27"/>
    <w:rsid w:val="00BA66BC"/>
    <w:rsid w:val="00BA6E81"/>
    <w:rsid w:val="00BB1AEE"/>
    <w:rsid w:val="00BB28F9"/>
    <w:rsid w:val="00BB4B20"/>
    <w:rsid w:val="00BC1E00"/>
    <w:rsid w:val="00BC29D3"/>
    <w:rsid w:val="00BC395A"/>
    <w:rsid w:val="00BC4EEE"/>
    <w:rsid w:val="00BC5C99"/>
    <w:rsid w:val="00BD11DE"/>
    <w:rsid w:val="00BD4FCB"/>
    <w:rsid w:val="00BD66D3"/>
    <w:rsid w:val="00BE3A17"/>
    <w:rsid w:val="00BE4355"/>
    <w:rsid w:val="00BE592C"/>
    <w:rsid w:val="00BE67DE"/>
    <w:rsid w:val="00BE7011"/>
    <w:rsid w:val="00BE7DBC"/>
    <w:rsid w:val="00BF0B67"/>
    <w:rsid w:val="00BF1E04"/>
    <w:rsid w:val="00BF220C"/>
    <w:rsid w:val="00BF3494"/>
    <w:rsid w:val="00BF36C1"/>
    <w:rsid w:val="00BF3B9A"/>
    <w:rsid w:val="00BF6CAC"/>
    <w:rsid w:val="00BF7A34"/>
    <w:rsid w:val="00C01292"/>
    <w:rsid w:val="00C0218F"/>
    <w:rsid w:val="00C02270"/>
    <w:rsid w:val="00C03760"/>
    <w:rsid w:val="00C04BCF"/>
    <w:rsid w:val="00C05050"/>
    <w:rsid w:val="00C057A2"/>
    <w:rsid w:val="00C06F9C"/>
    <w:rsid w:val="00C07A93"/>
    <w:rsid w:val="00C14052"/>
    <w:rsid w:val="00C142F0"/>
    <w:rsid w:val="00C14E85"/>
    <w:rsid w:val="00C17302"/>
    <w:rsid w:val="00C17D7D"/>
    <w:rsid w:val="00C20044"/>
    <w:rsid w:val="00C207BF"/>
    <w:rsid w:val="00C21346"/>
    <w:rsid w:val="00C21F4B"/>
    <w:rsid w:val="00C226BE"/>
    <w:rsid w:val="00C227DF"/>
    <w:rsid w:val="00C22D33"/>
    <w:rsid w:val="00C26773"/>
    <w:rsid w:val="00C2766D"/>
    <w:rsid w:val="00C33B67"/>
    <w:rsid w:val="00C372CC"/>
    <w:rsid w:val="00C37C56"/>
    <w:rsid w:val="00C42FEB"/>
    <w:rsid w:val="00C47E03"/>
    <w:rsid w:val="00C53F95"/>
    <w:rsid w:val="00C55F2A"/>
    <w:rsid w:val="00C62791"/>
    <w:rsid w:val="00C647CD"/>
    <w:rsid w:val="00C66B50"/>
    <w:rsid w:val="00C67525"/>
    <w:rsid w:val="00C67759"/>
    <w:rsid w:val="00C679F4"/>
    <w:rsid w:val="00C73089"/>
    <w:rsid w:val="00C73F56"/>
    <w:rsid w:val="00C845A7"/>
    <w:rsid w:val="00C84E4F"/>
    <w:rsid w:val="00C86EA5"/>
    <w:rsid w:val="00C86EB1"/>
    <w:rsid w:val="00C91091"/>
    <w:rsid w:val="00C92A6D"/>
    <w:rsid w:val="00C92E0A"/>
    <w:rsid w:val="00C9379A"/>
    <w:rsid w:val="00C94D90"/>
    <w:rsid w:val="00C951DC"/>
    <w:rsid w:val="00C95E6C"/>
    <w:rsid w:val="00CA1321"/>
    <w:rsid w:val="00CA156F"/>
    <w:rsid w:val="00CA394A"/>
    <w:rsid w:val="00CA4E13"/>
    <w:rsid w:val="00CA565F"/>
    <w:rsid w:val="00CA7EA4"/>
    <w:rsid w:val="00CB03C2"/>
    <w:rsid w:val="00CB153A"/>
    <w:rsid w:val="00CB3A2C"/>
    <w:rsid w:val="00CB4B74"/>
    <w:rsid w:val="00CB6133"/>
    <w:rsid w:val="00CB616E"/>
    <w:rsid w:val="00CB6730"/>
    <w:rsid w:val="00CB6B66"/>
    <w:rsid w:val="00CB6B6A"/>
    <w:rsid w:val="00CB77AB"/>
    <w:rsid w:val="00CD3B0C"/>
    <w:rsid w:val="00CD4F5D"/>
    <w:rsid w:val="00CE5121"/>
    <w:rsid w:val="00CE6A59"/>
    <w:rsid w:val="00CE7021"/>
    <w:rsid w:val="00CF07FD"/>
    <w:rsid w:val="00CF134C"/>
    <w:rsid w:val="00CF1C5E"/>
    <w:rsid w:val="00CF227B"/>
    <w:rsid w:val="00CF4396"/>
    <w:rsid w:val="00CF4E3A"/>
    <w:rsid w:val="00CF6646"/>
    <w:rsid w:val="00CF74E0"/>
    <w:rsid w:val="00D00A5C"/>
    <w:rsid w:val="00D01D5D"/>
    <w:rsid w:val="00D05A0A"/>
    <w:rsid w:val="00D05FDA"/>
    <w:rsid w:val="00D07D43"/>
    <w:rsid w:val="00D114C4"/>
    <w:rsid w:val="00D13BAA"/>
    <w:rsid w:val="00D211CA"/>
    <w:rsid w:val="00D22D26"/>
    <w:rsid w:val="00D23105"/>
    <w:rsid w:val="00D23716"/>
    <w:rsid w:val="00D24629"/>
    <w:rsid w:val="00D2673C"/>
    <w:rsid w:val="00D26BFF"/>
    <w:rsid w:val="00D30451"/>
    <w:rsid w:val="00D32A7D"/>
    <w:rsid w:val="00D33F64"/>
    <w:rsid w:val="00D34F06"/>
    <w:rsid w:val="00D35291"/>
    <w:rsid w:val="00D35D3E"/>
    <w:rsid w:val="00D37769"/>
    <w:rsid w:val="00D37C2D"/>
    <w:rsid w:val="00D408D9"/>
    <w:rsid w:val="00D41DAB"/>
    <w:rsid w:val="00D431A2"/>
    <w:rsid w:val="00D448D9"/>
    <w:rsid w:val="00D44A55"/>
    <w:rsid w:val="00D44C2E"/>
    <w:rsid w:val="00D4544A"/>
    <w:rsid w:val="00D469C0"/>
    <w:rsid w:val="00D503E1"/>
    <w:rsid w:val="00D52400"/>
    <w:rsid w:val="00D52594"/>
    <w:rsid w:val="00D52BEC"/>
    <w:rsid w:val="00D57309"/>
    <w:rsid w:val="00D57644"/>
    <w:rsid w:val="00D602F1"/>
    <w:rsid w:val="00D60AAA"/>
    <w:rsid w:val="00D60C38"/>
    <w:rsid w:val="00D6388A"/>
    <w:rsid w:val="00D6449A"/>
    <w:rsid w:val="00D64945"/>
    <w:rsid w:val="00D65965"/>
    <w:rsid w:val="00D65F38"/>
    <w:rsid w:val="00D665C6"/>
    <w:rsid w:val="00D66BCF"/>
    <w:rsid w:val="00D66DF0"/>
    <w:rsid w:val="00D66EE2"/>
    <w:rsid w:val="00D72036"/>
    <w:rsid w:val="00D74916"/>
    <w:rsid w:val="00D7592A"/>
    <w:rsid w:val="00D76B2E"/>
    <w:rsid w:val="00D77281"/>
    <w:rsid w:val="00D81685"/>
    <w:rsid w:val="00D8198E"/>
    <w:rsid w:val="00D84EFB"/>
    <w:rsid w:val="00D84FF1"/>
    <w:rsid w:val="00D86546"/>
    <w:rsid w:val="00D8699E"/>
    <w:rsid w:val="00D8771A"/>
    <w:rsid w:val="00D90448"/>
    <w:rsid w:val="00D90ACA"/>
    <w:rsid w:val="00D9113E"/>
    <w:rsid w:val="00D9150B"/>
    <w:rsid w:val="00D91979"/>
    <w:rsid w:val="00D92562"/>
    <w:rsid w:val="00D94D79"/>
    <w:rsid w:val="00D951AB"/>
    <w:rsid w:val="00D95326"/>
    <w:rsid w:val="00D9742D"/>
    <w:rsid w:val="00DA1FA5"/>
    <w:rsid w:val="00DA3323"/>
    <w:rsid w:val="00DA4A2B"/>
    <w:rsid w:val="00DB0086"/>
    <w:rsid w:val="00DB02B8"/>
    <w:rsid w:val="00DB40E5"/>
    <w:rsid w:val="00DB7660"/>
    <w:rsid w:val="00DB780C"/>
    <w:rsid w:val="00DB7F95"/>
    <w:rsid w:val="00DD0A5E"/>
    <w:rsid w:val="00DD318C"/>
    <w:rsid w:val="00DD4AC7"/>
    <w:rsid w:val="00DE00E2"/>
    <w:rsid w:val="00DE2D27"/>
    <w:rsid w:val="00DE33BF"/>
    <w:rsid w:val="00DE62CA"/>
    <w:rsid w:val="00DF0F9A"/>
    <w:rsid w:val="00DF12F7"/>
    <w:rsid w:val="00DF1AB0"/>
    <w:rsid w:val="00DF5CDD"/>
    <w:rsid w:val="00E000F4"/>
    <w:rsid w:val="00E01006"/>
    <w:rsid w:val="00E01674"/>
    <w:rsid w:val="00E0406D"/>
    <w:rsid w:val="00E05E04"/>
    <w:rsid w:val="00E10C3E"/>
    <w:rsid w:val="00E11984"/>
    <w:rsid w:val="00E13701"/>
    <w:rsid w:val="00E14F63"/>
    <w:rsid w:val="00E1520D"/>
    <w:rsid w:val="00E15C86"/>
    <w:rsid w:val="00E16771"/>
    <w:rsid w:val="00E16CAE"/>
    <w:rsid w:val="00E177B5"/>
    <w:rsid w:val="00E204C6"/>
    <w:rsid w:val="00E228B0"/>
    <w:rsid w:val="00E23CFF"/>
    <w:rsid w:val="00E23F70"/>
    <w:rsid w:val="00E24E2A"/>
    <w:rsid w:val="00E252B9"/>
    <w:rsid w:val="00E27E81"/>
    <w:rsid w:val="00E324CE"/>
    <w:rsid w:val="00E355F1"/>
    <w:rsid w:val="00E35684"/>
    <w:rsid w:val="00E35B37"/>
    <w:rsid w:val="00E37C6D"/>
    <w:rsid w:val="00E42AAE"/>
    <w:rsid w:val="00E43526"/>
    <w:rsid w:val="00E50228"/>
    <w:rsid w:val="00E5022E"/>
    <w:rsid w:val="00E50FA4"/>
    <w:rsid w:val="00E54BA8"/>
    <w:rsid w:val="00E60660"/>
    <w:rsid w:val="00E64A57"/>
    <w:rsid w:val="00E657FC"/>
    <w:rsid w:val="00E65A4C"/>
    <w:rsid w:val="00E66914"/>
    <w:rsid w:val="00E726ED"/>
    <w:rsid w:val="00E745DE"/>
    <w:rsid w:val="00E74B3E"/>
    <w:rsid w:val="00E759B3"/>
    <w:rsid w:val="00E82144"/>
    <w:rsid w:val="00E828FA"/>
    <w:rsid w:val="00E8422E"/>
    <w:rsid w:val="00E844AB"/>
    <w:rsid w:val="00E85E66"/>
    <w:rsid w:val="00E87A5E"/>
    <w:rsid w:val="00E90849"/>
    <w:rsid w:val="00E90A92"/>
    <w:rsid w:val="00E90E6D"/>
    <w:rsid w:val="00E94D31"/>
    <w:rsid w:val="00EA2588"/>
    <w:rsid w:val="00EA3898"/>
    <w:rsid w:val="00EA52CF"/>
    <w:rsid w:val="00EA75E7"/>
    <w:rsid w:val="00EB082C"/>
    <w:rsid w:val="00EB1E66"/>
    <w:rsid w:val="00EB338C"/>
    <w:rsid w:val="00EB4421"/>
    <w:rsid w:val="00EB681F"/>
    <w:rsid w:val="00EB6F55"/>
    <w:rsid w:val="00EC06E6"/>
    <w:rsid w:val="00EC11AD"/>
    <w:rsid w:val="00EC4770"/>
    <w:rsid w:val="00EC7BFB"/>
    <w:rsid w:val="00ED3B60"/>
    <w:rsid w:val="00ED435A"/>
    <w:rsid w:val="00EE2BCD"/>
    <w:rsid w:val="00EE3D44"/>
    <w:rsid w:val="00EE498A"/>
    <w:rsid w:val="00EF07BA"/>
    <w:rsid w:val="00EF2458"/>
    <w:rsid w:val="00EF3C1A"/>
    <w:rsid w:val="00EF723C"/>
    <w:rsid w:val="00F02AD8"/>
    <w:rsid w:val="00F03E78"/>
    <w:rsid w:val="00F043CB"/>
    <w:rsid w:val="00F04603"/>
    <w:rsid w:val="00F04E95"/>
    <w:rsid w:val="00F05529"/>
    <w:rsid w:val="00F058FA"/>
    <w:rsid w:val="00F10C1F"/>
    <w:rsid w:val="00F10E61"/>
    <w:rsid w:val="00F125B2"/>
    <w:rsid w:val="00F13D1C"/>
    <w:rsid w:val="00F14CC5"/>
    <w:rsid w:val="00F152A2"/>
    <w:rsid w:val="00F161AD"/>
    <w:rsid w:val="00F16DBE"/>
    <w:rsid w:val="00F17A6C"/>
    <w:rsid w:val="00F17ED7"/>
    <w:rsid w:val="00F20CDF"/>
    <w:rsid w:val="00F22C45"/>
    <w:rsid w:val="00F2314D"/>
    <w:rsid w:val="00F234BF"/>
    <w:rsid w:val="00F24A6E"/>
    <w:rsid w:val="00F270B6"/>
    <w:rsid w:val="00F303A1"/>
    <w:rsid w:val="00F318AD"/>
    <w:rsid w:val="00F31A4E"/>
    <w:rsid w:val="00F31BEF"/>
    <w:rsid w:val="00F33810"/>
    <w:rsid w:val="00F34EA0"/>
    <w:rsid w:val="00F40195"/>
    <w:rsid w:val="00F4098D"/>
    <w:rsid w:val="00F40EED"/>
    <w:rsid w:val="00F4142D"/>
    <w:rsid w:val="00F46CE8"/>
    <w:rsid w:val="00F50CC2"/>
    <w:rsid w:val="00F50FF3"/>
    <w:rsid w:val="00F51458"/>
    <w:rsid w:val="00F51504"/>
    <w:rsid w:val="00F539AB"/>
    <w:rsid w:val="00F553EF"/>
    <w:rsid w:val="00F557D5"/>
    <w:rsid w:val="00F57D93"/>
    <w:rsid w:val="00F61FC8"/>
    <w:rsid w:val="00F63B78"/>
    <w:rsid w:val="00F64806"/>
    <w:rsid w:val="00F71538"/>
    <w:rsid w:val="00F7271F"/>
    <w:rsid w:val="00F72F9A"/>
    <w:rsid w:val="00F7412B"/>
    <w:rsid w:val="00F76380"/>
    <w:rsid w:val="00F765C1"/>
    <w:rsid w:val="00F76726"/>
    <w:rsid w:val="00F820B5"/>
    <w:rsid w:val="00F829AF"/>
    <w:rsid w:val="00F84743"/>
    <w:rsid w:val="00F85036"/>
    <w:rsid w:val="00F90494"/>
    <w:rsid w:val="00F9270A"/>
    <w:rsid w:val="00F957E5"/>
    <w:rsid w:val="00F95B65"/>
    <w:rsid w:val="00F96B2B"/>
    <w:rsid w:val="00F97D0D"/>
    <w:rsid w:val="00F97F00"/>
    <w:rsid w:val="00FA6D7F"/>
    <w:rsid w:val="00FA79E5"/>
    <w:rsid w:val="00FA7C1F"/>
    <w:rsid w:val="00FA7F94"/>
    <w:rsid w:val="00FB0DE4"/>
    <w:rsid w:val="00FB214D"/>
    <w:rsid w:val="00FB30C0"/>
    <w:rsid w:val="00FB67D0"/>
    <w:rsid w:val="00FB789D"/>
    <w:rsid w:val="00FC3CEF"/>
    <w:rsid w:val="00FC74FC"/>
    <w:rsid w:val="00FC7B01"/>
    <w:rsid w:val="00FD0445"/>
    <w:rsid w:val="00FD0FCC"/>
    <w:rsid w:val="00FD3616"/>
    <w:rsid w:val="00FD5ADD"/>
    <w:rsid w:val="00FE07FB"/>
    <w:rsid w:val="00FE0C74"/>
    <w:rsid w:val="00FE19A9"/>
    <w:rsid w:val="00FE31C3"/>
    <w:rsid w:val="00FE3A52"/>
    <w:rsid w:val="00FE74A8"/>
    <w:rsid w:val="00FF02B4"/>
    <w:rsid w:val="00FF2A84"/>
    <w:rsid w:val="00FF5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8918EA"/>
    <w:rPr>
      <w:sz w:val="20"/>
      <w:szCs w:val="20"/>
    </w:rPr>
  </w:style>
  <w:style w:type="character" w:styleId="FootnoteReference">
    <w:name w:val="footnote reference"/>
    <w:aliases w:val="o,fr,Style 3"/>
    <w:basedOn w:val="DefaultParagraphFont"/>
    <w:uiPriority w:val="99"/>
    <w:qFormat/>
    <w:rsid w:val="008918EA"/>
    <w:rPr>
      <w:rFonts w:cs="Times New Roman"/>
      <w:vertAlign w:val="superscript"/>
    </w:rPr>
  </w:style>
  <w:style w:type="paragraph" w:styleId="BodyText">
    <w:name w:val="Body Text"/>
    <w:basedOn w:val="Normal"/>
    <w:link w:val="BodyTextChar"/>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99"/>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 w:type="character" w:customStyle="1" w:styleId="BodyTextChar">
    <w:name w:val="Body Text Char"/>
    <w:basedOn w:val="DefaultParagraphFont"/>
    <w:link w:val="BodyText"/>
    <w:rsid w:val="00721F40"/>
    <w:rPr>
      <w:b/>
      <w:bCs/>
      <w:sz w:val="24"/>
      <w:szCs w:val="24"/>
    </w:rPr>
  </w:style>
  <w:style w:type="character" w:customStyle="1" w:styleId="EquationCaption">
    <w:name w:val="_Equation Caption"/>
    <w:rsid w:val="006A4CE9"/>
  </w:style>
  <w:style w:type="character" w:customStyle="1" w:styleId="tgc">
    <w:name w:val="_tgc"/>
    <w:basedOn w:val="DefaultParagraphFont"/>
    <w:rsid w:val="0074438F"/>
  </w:style>
</w:styles>
</file>

<file path=word/webSettings.xml><?xml version="1.0" encoding="utf-8"?>
<w:webSettings xmlns:r="http://schemas.openxmlformats.org/officeDocument/2006/relationships" xmlns:w="http://schemas.openxmlformats.org/wordprocessingml/2006/main">
  <w:divs>
    <w:div w:id="65031064">
      <w:bodyDiv w:val="1"/>
      <w:marLeft w:val="0"/>
      <w:marRight w:val="0"/>
      <w:marTop w:val="0"/>
      <w:marBottom w:val="0"/>
      <w:divBdr>
        <w:top w:val="none" w:sz="0" w:space="0" w:color="auto"/>
        <w:left w:val="none" w:sz="0" w:space="0" w:color="auto"/>
        <w:bottom w:val="none" w:sz="0" w:space="0" w:color="auto"/>
        <w:right w:val="none" w:sz="0" w:space="0" w:color="auto"/>
      </w:divBdr>
    </w:div>
    <w:div w:id="364064500">
      <w:bodyDiv w:val="1"/>
      <w:marLeft w:val="0"/>
      <w:marRight w:val="0"/>
      <w:marTop w:val="0"/>
      <w:marBottom w:val="0"/>
      <w:divBdr>
        <w:top w:val="none" w:sz="0" w:space="0" w:color="auto"/>
        <w:left w:val="none" w:sz="0" w:space="0" w:color="auto"/>
        <w:bottom w:val="none" w:sz="0" w:space="0" w:color="auto"/>
        <w:right w:val="none" w:sz="0" w:space="0" w:color="auto"/>
      </w:divBdr>
    </w:div>
    <w:div w:id="418528646">
      <w:bodyDiv w:val="1"/>
      <w:marLeft w:val="0"/>
      <w:marRight w:val="0"/>
      <w:marTop w:val="0"/>
      <w:marBottom w:val="0"/>
      <w:divBdr>
        <w:top w:val="none" w:sz="0" w:space="0" w:color="auto"/>
        <w:left w:val="none" w:sz="0" w:space="0" w:color="auto"/>
        <w:bottom w:val="none" w:sz="0" w:space="0" w:color="auto"/>
        <w:right w:val="none" w:sz="0" w:space="0" w:color="auto"/>
      </w:divBdr>
    </w:div>
    <w:div w:id="570386216">
      <w:bodyDiv w:val="1"/>
      <w:marLeft w:val="0"/>
      <w:marRight w:val="0"/>
      <w:marTop w:val="0"/>
      <w:marBottom w:val="0"/>
      <w:divBdr>
        <w:top w:val="none" w:sz="0" w:space="0" w:color="auto"/>
        <w:left w:val="none" w:sz="0" w:space="0" w:color="auto"/>
        <w:bottom w:val="none" w:sz="0" w:space="0" w:color="auto"/>
        <w:right w:val="none" w:sz="0" w:space="0" w:color="auto"/>
      </w:divBdr>
    </w:div>
    <w:div w:id="956326706">
      <w:bodyDiv w:val="1"/>
      <w:marLeft w:val="0"/>
      <w:marRight w:val="0"/>
      <w:marTop w:val="0"/>
      <w:marBottom w:val="0"/>
      <w:divBdr>
        <w:top w:val="none" w:sz="0" w:space="0" w:color="auto"/>
        <w:left w:val="none" w:sz="0" w:space="0" w:color="auto"/>
        <w:bottom w:val="none" w:sz="0" w:space="0" w:color="auto"/>
        <w:right w:val="none" w:sz="0" w:space="0" w:color="auto"/>
      </w:divBdr>
    </w:div>
    <w:div w:id="1182428921">
      <w:bodyDiv w:val="1"/>
      <w:marLeft w:val="0"/>
      <w:marRight w:val="0"/>
      <w:marTop w:val="0"/>
      <w:marBottom w:val="0"/>
      <w:divBdr>
        <w:top w:val="none" w:sz="0" w:space="0" w:color="auto"/>
        <w:left w:val="none" w:sz="0" w:space="0" w:color="auto"/>
        <w:bottom w:val="none" w:sz="0" w:space="0" w:color="auto"/>
        <w:right w:val="none" w:sz="0" w:space="0" w:color="auto"/>
      </w:divBdr>
    </w:div>
    <w:div w:id="1187404018">
      <w:bodyDiv w:val="1"/>
      <w:marLeft w:val="0"/>
      <w:marRight w:val="0"/>
      <w:marTop w:val="0"/>
      <w:marBottom w:val="0"/>
      <w:divBdr>
        <w:top w:val="none" w:sz="0" w:space="0" w:color="auto"/>
        <w:left w:val="none" w:sz="0" w:space="0" w:color="auto"/>
        <w:bottom w:val="none" w:sz="0" w:space="0" w:color="auto"/>
        <w:right w:val="none" w:sz="0" w:space="0" w:color="auto"/>
      </w:divBdr>
    </w:div>
    <w:div w:id="1195539232">
      <w:bodyDiv w:val="1"/>
      <w:marLeft w:val="0"/>
      <w:marRight w:val="0"/>
      <w:marTop w:val="0"/>
      <w:marBottom w:val="0"/>
      <w:divBdr>
        <w:top w:val="none" w:sz="0" w:space="0" w:color="auto"/>
        <w:left w:val="none" w:sz="0" w:space="0" w:color="auto"/>
        <w:bottom w:val="none" w:sz="0" w:space="0" w:color="auto"/>
        <w:right w:val="none" w:sz="0" w:space="0" w:color="auto"/>
      </w:divBdr>
    </w:div>
    <w:div w:id="1511337799">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2015-09-04T07:00:00+00:00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CBEFC91-9340-406C-A649-ECC867DE98F5}"/>
</file>

<file path=customXml/itemProps2.xml><?xml version="1.0" encoding="utf-8"?>
<ds:datastoreItem xmlns:ds="http://schemas.openxmlformats.org/officeDocument/2006/customXml" ds:itemID="{384421EB-74BC-4E45-A869-228CA3FA9CA2}"/>
</file>

<file path=customXml/itemProps3.xml><?xml version="1.0" encoding="utf-8"?>
<ds:datastoreItem xmlns:ds="http://schemas.openxmlformats.org/officeDocument/2006/customXml" ds:itemID="{F7F6D7CF-DD7A-4668-B0EC-F8CE1FDB4440}"/>
</file>

<file path=customXml/itemProps4.xml><?xml version="1.0" encoding="utf-8"?>
<ds:datastoreItem xmlns:ds="http://schemas.openxmlformats.org/officeDocument/2006/customXml" ds:itemID="{783118E6-F36E-4C55-B488-297FCB9B1314}"/>
</file>

<file path=customXml/itemProps5.xml><?xml version="1.0" encoding="utf-8"?>
<ds:datastoreItem xmlns:ds="http://schemas.openxmlformats.org/officeDocument/2006/customXml" ds:itemID="{D0518BF4-091A-46AD-AF30-D98B08476F50}"/>
</file>

<file path=docProps/app.xml><?xml version="1.0" encoding="utf-8"?>
<Properties xmlns="http://schemas.openxmlformats.org/officeDocument/2006/extended-properties" xmlns:vt="http://schemas.openxmlformats.org/officeDocument/2006/docPropsVTypes">
  <Template>Normal.dotm</Template>
  <TotalTime>803</TotalTime>
  <Pages>11</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Pat Ehrbar</cp:lastModifiedBy>
  <cp:revision>69</cp:revision>
  <cp:lastPrinted>2015-02-04T00:58:00Z</cp:lastPrinted>
  <dcterms:created xsi:type="dcterms:W3CDTF">2015-01-25T22:26:00Z</dcterms:created>
  <dcterms:modified xsi:type="dcterms:W3CDTF">2015-09-03T16:43:00Z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