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004C8132" w:rsidR="00803373" w:rsidRDefault="00E6492E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36B6078D" w14:textId="77777777" w:rsidR="00E6492E" w:rsidRDefault="00E6492E">
      <w:pPr>
        <w:widowControl/>
        <w:rPr>
          <w:rFonts w:ascii="Times New Roman" w:hAnsi="Times New Roman"/>
          <w:b/>
          <w:i/>
          <w:sz w:val="24"/>
        </w:rPr>
      </w:pPr>
    </w:p>
    <w:p w14:paraId="234EFB07" w14:textId="77777777" w:rsidR="007A4FC6" w:rsidRDefault="007A4FC6">
      <w:pPr>
        <w:widowControl/>
        <w:rPr>
          <w:rFonts w:ascii="Times New Roman" w:hAnsi="Times New Roman"/>
          <w:b/>
          <w:i/>
          <w:sz w:val="24"/>
        </w:rPr>
      </w:pPr>
    </w:p>
    <w:p w14:paraId="460EB1FF" w14:textId="77777777" w:rsidR="00E6492E" w:rsidRPr="00E6492E" w:rsidRDefault="00E6492E">
      <w:pPr>
        <w:widowControl/>
        <w:rPr>
          <w:rFonts w:ascii="Times New Roman" w:hAnsi="Times New Roman"/>
          <w:b/>
          <w:i/>
          <w:sz w:val="24"/>
        </w:rPr>
      </w:pPr>
    </w:p>
    <w:p w14:paraId="3D5F56C7" w14:textId="14FC22C2" w:rsidR="00803373" w:rsidRPr="00391AFB" w:rsidRDefault="00E6492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12, 2017</w:t>
      </w:r>
    </w:p>
    <w:p w14:paraId="3D5F56C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874F0D5" w14:textId="77777777" w:rsidR="007A4FC6" w:rsidRPr="00391AFB" w:rsidRDefault="007A4FC6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58232AA" w:rsidR="00EB79F0" w:rsidRDefault="00E6492E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Kopta</w:t>
      </w:r>
    </w:p>
    <w:p w14:paraId="32A816DF" w14:textId="75A9B4C0" w:rsidR="00E6492E" w:rsidRPr="00EB79F0" w:rsidRDefault="00E6492E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Administrative Law Judge 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909738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C4686F">
        <w:rPr>
          <w:rFonts w:ascii="Times New Roman" w:hAnsi="Times New Roman"/>
          <w:i/>
          <w:sz w:val="24"/>
        </w:rPr>
        <w:t>Puget Sound Energy</w:t>
      </w:r>
    </w:p>
    <w:p w14:paraId="3D5F56D2" w14:textId="69DA012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4686F">
        <w:rPr>
          <w:rFonts w:ascii="Times New Roman" w:hAnsi="Times New Roman"/>
          <w:sz w:val="24"/>
        </w:rPr>
        <w:t>PG-160924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51E063DA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E6492E">
        <w:rPr>
          <w:rFonts w:ascii="Times New Roman" w:hAnsi="Times New Roman"/>
          <w:sz w:val="24"/>
        </w:rPr>
        <w:t>Judge Kopta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67DF5587" w:rsidR="00803373" w:rsidRDefault="00E6492E" w:rsidP="00C15492">
      <w:pPr>
        <w:widowControl/>
        <w:ind w:right="-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Commission Staff and PSE</w:t>
      </w:r>
      <w:r w:rsidR="00C15492">
        <w:rPr>
          <w:rFonts w:ascii="Times New Roman" w:hAnsi="Times New Roman"/>
          <w:sz w:val="24"/>
        </w:rPr>
        <w:t xml:space="preserve"> filed its proposed settlement agreement </w:t>
      </w:r>
      <w:r w:rsidR="000874D3">
        <w:rPr>
          <w:rFonts w:ascii="Times New Roman" w:hAnsi="Times New Roman"/>
          <w:sz w:val="24"/>
        </w:rPr>
        <w:t xml:space="preserve">and narrative in support </w:t>
      </w:r>
      <w:r w:rsidR="007A4FC6">
        <w:rPr>
          <w:rFonts w:ascii="Times New Roman" w:hAnsi="Times New Roman"/>
          <w:sz w:val="24"/>
        </w:rPr>
        <w:t xml:space="preserve">of that agreement on March 28, 2017. We </w:t>
      </w:r>
      <w:r>
        <w:rPr>
          <w:rFonts w:ascii="Times New Roman" w:hAnsi="Times New Roman"/>
          <w:sz w:val="24"/>
        </w:rPr>
        <w:t xml:space="preserve">learned on April 10, 2017, that Public Counsel </w:t>
      </w:r>
      <w:r w:rsidR="007A4FC6">
        <w:rPr>
          <w:rFonts w:ascii="Times New Roman" w:hAnsi="Times New Roman"/>
          <w:sz w:val="24"/>
        </w:rPr>
        <w:t>would</w:t>
      </w:r>
      <w:r>
        <w:rPr>
          <w:rFonts w:ascii="Times New Roman" w:hAnsi="Times New Roman"/>
          <w:sz w:val="24"/>
        </w:rPr>
        <w:t xml:space="preserve"> not be joining our settlement agreement</w:t>
      </w:r>
      <w:r w:rsidR="00C15492">
        <w:rPr>
          <w:rFonts w:ascii="Times New Roman" w:hAnsi="Times New Roman"/>
          <w:sz w:val="24"/>
        </w:rPr>
        <w:t xml:space="preserve"> after participating in extensive settlement negotiations</w:t>
      </w:r>
      <w:r>
        <w:rPr>
          <w:rFonts w:ascii="Times New Roman" w:hAnsi="Times New Roman"/>
          <w:sz w:val="24"/>
        </w:rPr>
        <w:t xml:space="preserve">. Rather than require the parties to file testimony and exhibits in support of or in opposition to the settlement agreement simultaneously on May 1, 2017, </w:t>
      </w:r>
      <w:r w:rsidR="00C15492">
        <w:rPr>
          <w:rFonts w:ascii="Times New Roman" w:hAnsi="Times New Roman"/>
          <w:sz w:val="24"/>
        </w:rPr>
        <w:t>as the Commission ordered in its March 28, 2017, Notice</w:t>
      </w:r>
      <w:r w:rsidR="000874D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Commission Staff proposes that we follow the procedural process adopted by the Commission in the CenturyLink 911 case (Docket UT-140597) </w:t>
      </w:r>
      <w:r w:rsidR="007A4FC6">
        <w:rPr>
          <w:rFonts w:ascii="Times New Roman" w:hAnsi="Times New Roman"/>
          <w:sz w:val="24"/>
        </w:rPr>
        <w:t>after</w:t>
      </w:r>
      <w:r>
        <w:rPr>
          <w:rFonts w:ascii="Times New Roman" w:hAnsi="Times New Roman"/>
          <w:sz w:val="24"/>
        </w:rPr>
        <w:t xml:space="preserve"> Public Counsel declined to join the settlement agreement in that case, </w:t>
      </w:r>
      <w:r w:rsidR="00C15492">
        <w:rPr>
          <w:rFonts w:ascii="Times New Roman" w:hAnsi="Times New Roman"/>
          <w:sz w:val="24"/>
        </w:rPr>
        <w:t xml:space="preserve">also </w:t>
      </w:r>
      <w:r>
        <w:rPr>
          <w:rFonts w:ascii="Times New Roman" w:hAnsi="Times New Roman"/>
          <w:sz w:val="24"/>
        </w:rPr>
        <w:t>following extensive settlement negotiations</w:t>
      </w:r>
      <w:r w:rsidR="000874D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</w:p>
    <w:p w14:paraId="60195D6F" w14:textId="77777777" w:rsidR="00E6492E" w:rsidRDefault="00E6492E">
      <w:pPr>
        <w:widowControl/>
        <w:rPr>
          <w:rFonts w:ascii="Times New Roman" w:hAnsi="Times New Roman"/>
          <w:sz w:val="24"/>
        </w:rPr>
      </w:pPr>
    </w:p>
    <w:p w14:paraId="0EB458E1" w14:textId="77777777" w:rsidR="007A4FC6" w:rsidRDefault="007A4FC6">
      <w:pPr>
        <w:widowControl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983"/>
      </w:tblGrid>
      <w:tr w:rsidR="00E6492E" w:rsidRPr="007A4FC6" w14:paraId="7E2330D2" w14:textId="77777777" w:rsidTr="00E6492E">
        <w:tc>
          <w:tcPr>
            <w:tcW w:w="5935" w:type="dxa"/>
            <w:shd w:val="clear" w:color="auto" w:fill="BFBFBF" w:themeFill="background1" w:themeFillShade="BF"/>
          </w:tcPr>
          <w:p w14:paraId="19FCC23F" w14:textId="2DAF5A30" w:rsidR="00E6492E" w:rsidRPr="007A4FC6" w:rsidRDefault="000874D3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7A4FC6">
              <w:rPr>
                <w:rFonts w:ascii="Times New Roman" w:hAnsi="Times New Roman"/>
                <w:b/>
                <w:sz w:val="24"/>
              </w:rPr>
              <w:t>Event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10B4AB7A" w14:textId="16255FDA" w:rsidR="00E6492E" w:rsidRPr="007A4FC6" w:rsidRDefault="000874D3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7A4FC6">
              <w:rPr>
                <w:rFonts w:ascii="Times New Roman" w:hAnsi="Times New Roman"/>
                <w:b/>
                <w:sz w:val="24"/>
              </w:rPr>
              <w:t>D</w:t>
            </w:r>
            <w:r w:rsidR="007A4FC6" w:rsidRPr="007A4FC6">
              <w:rPr>
                <w:rFonts w:ascii="Times New Roman" w:hAnsi="Times New Roman"/>
                <w:b/>
                <w:sz w:val="24"/>
              </w:rPr>
              <w:t>eadline</w:t>
            </w:r>
          </w:p>
        </w:tc>
      </w:tr>
      <w:tr w:rsidR="00E6492E" w14:paraId="5C767F28" w14:textId="77777777" w:rsidTr="00E6492E">
        <w:tc>
          <w:tcPr>
            <w:tcW w:w="5935" w:type="dxa"/>
          </w:tcPr>
          <w:p w14:paraId="0E7C984F" w14:textId="23D0E114" w:rsidR="00E6492E" w:rsidRDefault="00C15492" w:rsidP="000874D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Staff &amp; Company settlement </w:t>
            </w:r>
            <w:r w:rsidR="000874D3">
              <w:rPr>
                <w:rFonts w:ascii="Times New Roman" w:hAnsi="Times New Roman"/>
                <w:sz w:val="24"/>
              </w:rPr>
              <w:t>and narrative</w:t>
            </w:r>
          </w:p>
        </w:tc>
        <w:tc>
          <w:tcPr>
            <w:tcW w:w="2983" w:type="dxa"/>
          </w:tcPr>
          <w:p w14:paraId="5CEBC878" w14:textId="393411B9" w:rsidR="00E6492E" w:rsidRDefault="000874D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March 28, 2017</w:t>
            </w:r>
          </w:p>
        </w:tc>
      </w:tr>
      <w:tr w:rsidR="00E6492E" w14:paraId="6CCD9B9D" w14:textId="77777777" w:rsidTr="00E6492E">
        <w:tc>
          <w:tcPr>
            <w:tcW w:w="5935" w:type="dxa"/>
          </w:tcPr>
          <w:p w14:paraId="18D49B6F" w14:textId="701A62EF" w:rsidR="00E6492E" w:rsidRDefault="00C15492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 Counsel responsive testimony</w:t>
            </w:r>
          </w:p>
        </w:tc>
        <w:tc>
          <w:tcPr>
            <w:tcW w:w="2983" w:type="dxa"/>
          </w:tcPr>
          <w:p w14:paraId="2F5BB8CF" w14:textId="38909E3B" w:rsidR="00E6492E" w:rsidRDefault="000874D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April 14, 2017</w:t>
            </w:r>
          </w:p>
        </w:tc>
      </w:tr>
      <w:tr w:rsidR="00E6492E" w14:paraId="1AD21982" w14:textId="77777777" w:rsidTr="00E6492E">
        <w:tc>
          <w:tcPr>
            <w:tcW w:w="5935" w:type="dxa"/>
          </w:tcPr>
          <w:p w14:paraId="4B54F495" w14:textId="3F5250F4" w:rsidR="00E6492E" w:rsidRDefault="00C15492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Staff &amp; Company rebuttal testimony</w:t>
            </w:r>
          </w:p>
        </w:tc>
        <w:tc>
          <w:tcPr>
            <w:tcW w:w="2983" w:type="dxa"/>
          </w:tcPr>
          <w:p w14:paraId="1537DAD0" w14:textId="1463A407" w:rsidR="00E6492E" w:rsidRDefault="000874D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May 8, 2017</w:t>
            </w:r>
          </w:p>
        </w:tc>
      </w:tr>
      <w:tr w:rsidR="00C15492" w14:paraId="24A4F25C" w14:textId="77777777" w:rsidTr="00E6492E">
        <w:tc>
          <w:tcPr>
            <w:tcW w:w="5935" w:type="dxa"/>
          </w:tcPr>
          <w:p w14:paraId="73B52E10" w14:textId="66F282D8" w:rsidR="00C15492" w:rsidRDefault="00C15492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Settlement hearing </w:t>
            </w:r>
          </w:p>
        </w:tc>
        <w:tc>
          <w:tcPr>
            <w:tcW w:w="2983" w:type="dxa"/>
          </w:tcPr>
          <w:p w14:paraId="08B50C49" w14:textId="00E9329D" w:rsidR="00C15492" w:rsidRDefault="000874D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May 15, 2017 (no change)</w:t>
            </w:r>
          </w:p>
        </w:tc>
      </w:tr>
    </w:tbl>
    <w:p w14:paraId="27AA2660" w14:textId="77777777" w:rsidR="00E6492E" w:rsidRDefault="00E6492E">
      <w:pPr>
        <w:widowControl/>
        <w:rPr>
          <w:rFonts w:ascii="Times New Roman" w:hAnsi="Times New Roman"/>
          <w:sz w:val="24"/>
        </w:rPr>
      </w:pPr>
    </w:p>
    <w:p w14:paraId="4DF9D3E8" w14:textId="77777777" w:rsidR="007A4FC6" w:rsidRDefault="007A4FC6">
      <w:pPr>
        <w:widowControl/>
        <w:rPr>
          <w:rFonts w:ascii="Times New Roman" w:hAnsi="Times New Roman"/>
          <w:sz w:val="24"/>
        </w:rPr>
      </w:pPr>
    </w:p>
    <w:p w14:paraId="23F90559" w14:textId="77777777" w:rsidR="007A4FC6" w:rsidRDefault="007A4FC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DE0FBDF" w14:textId="0443469F" w:rsidR="007A4FC6" w:rsidRDefault="007A4FC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Thank yo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 for your consideration.  </w:t>
      </w:r>
    </w:p>
    <w:p w14:paraId="54CF68FA" w14:textId="77777777" w:rsidR="007A4FC6" w:rsidRDefault="007A4FC6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67453CB" w:rsidR="00813052" w:rsidRPr="00391AFB" w:rsidRDefault="00E6492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76FA9043" w:rsidR="00803373" w:rsidRPr="00391AFB" w:rsidRDefault="00E6492E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04E59D1E" w:rsidR="00803373" w:rsidRDefault="00E6492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</w:t>
      </w:r>
      <w:r w:rsidR="00C4686F">
        <w:rPr>
          <w:rFonts w:ascii="Times New Roman" w:hAnsi="Times New Roman"/>
          <w:sz w:val="24"/>
        </w:rPr>
        <w:t>B</w:t>
      </w:r>
      <w:proofErr w:type="gramStart"/>
      <w:r>
        <w:rPr>
          <w:rFonts w:ascii="Times New Roman" w:hAnsi="Times New Roman"/>
          <w:sz w:val="24"/>
        </w:rPr>
        <w:t>:klg</w:t>
      </w:r>
      <w:proofErr w:type="gramEnd"/>
    </w:p>
    <w:p w14:paraId="3D5F56E1" w14:textId="7CA5AF4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4686F">
        <w:rPr>
          <w:rFonts w:ascii="Times New Roman" w:hAnsi="Times New Roman"/>
          <w:sz w:val="24"/>
        </w:rPr>
        <w:t>P</w:t>
      </w:r>
      <w:r w:rsidR="0070440E">
        <w:rPr>
          <w:rFonts w:ascii="Times New Roman" w:hAnsi="Times New Roman"/>
          <w:sz w:val="24"/>
        </w:rPr>
        <w:t>arties</w:t>
      </w:r>
      <w:r w:rsidR="00E6492E">
        <w:rPr>
          <w:rFonts w:ascii="Times New Roman" w:hAnsi="Times New Roman"/>
          <w:sz w:val="24"/>
        </w:rPr>
        <w:t xml:space="preserve"> </w:t>
      </w:r>
    </w:p>
    <w:sectPr w:rsidR="001E37F4" w:rsidRPr="00391AFB" w:rsidSect="00061F09">
      <w:headerReference w:type="default" r:id="rId9"/>
      <w:endnotePr>
        <w:numFmt w:val="decimal"/>
      </w:endnotePr>
      <w:pgSz w:w="12240" w:h="15840" w:code="1"/>
      <w:pgMar w:top="1440" w:right="1440" w:bottom="1008" w:left="1440" w:header="1440" w:footer="1440" w:gutter="0"/>
      <w:paperSrc w:first="2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3AD2" w14:textId="77777777" w:rsidR="00061F09" w:rsidRDefault="00061F09" w:rsidP="00061F09">
      <w:r>
        <w:separator/>
      </w:r>
    </w:p>
  </w:endnote>
  <w:endnote w:type="continuationSeparator" w:id="0">
    <w:p w14:paraId="216E5C99" w14:textId="77777777" w:rsidR="00061F09" w:rsidRDefault="00061F09" w:rsidP="000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9DE8" w14:textId="77777777" w:rsidR="00061F09" w:rsidRDefault="00061F09" w:rsidP="00061F09">
      <w:r>
        <w:separator/>
      </w:r>
    </w:p>
  </w:footnote>
  <w:footnote w:type="continuationSeparator" w:id="0">
    <w:p w14:paraId="7C166256" w14:textId="77777777" w:rsidR="00061F09" w:rsidRDefault="00061F09" w:rsidP="000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41DF" w14:textId="0DEF91F6" w:rsidR="00061F09" w:rsidRPr="00061F09" w:rsidRDefault="00061F09">
    <w:pPr>
      <w:pStyle w:val="Header"/>
      <w:rPr>
        <w:rFonts w:ascii="Times New Roman" w:hAnsi="Times New Roman"/>
      </w:rPr>
    </w:pPr>
    <w:r w:rsidRPr="00061F09">
      <w:rPr>
        <w:rFonts w:ascii="Times New Roman" w:hAnsi="Times New Roman"/>
      </w:rPr>
      <w:t>Gregory Kopta</w:t>
    </w:r>
  </w:p>
  <w:p w14:paraId="3ABF5479" w14:textId="2230E016" w:rsidR="00061F09" w:rsidRPr="00061F09" w:rsidRDefault="00061F09">
    <w:pPr>
      <w:pStyle w:val="Header"/>
      <w:rPr>
        <w:rFonts w:ascii="Times New Roman" w:hAnsi="Times New Roman"/>
      </w:rPr>
    </w:pPr>
    <w:r w:rsidRPr="00061F09">
      <w:rPr>
        <w:rFonts w:ascii="Times New Roman" w:hAnsi="Times New Roman"/>
      </w:rPr>
      <w:t>April 12, 2017</w:t>
    </w:r>
  </w:p>
  <w:p w14:paraId="4811689C" w14:textId="0D3AD6DC" w:rsidR="00061F09" w:rsidRPr="00061F09" w:rsidRDefault="00061F09">
    <w:pPr>
      <w:pStyle w:val="Header"/>
      <w:rPr>
        <w:rFonts w:ascii="Times New Roman" w:hAnsi="Times New Roman"/>
        <w:noProof/>
      </w:rPr>
    </w:pPr>
    <w:r w:rsidRPr="00061F09">
      <w:rPr>
        <w:rFonts w:ascii="Times New Roman" w:hAnsi="Times New Roman"/>
      </w:rPr>
      <w:t xml:space="preserve">Page </w:t>
    </w:r>
    <w:r w:rsidRPr="00061F09">
      <w:rPr>
        <w:rFonts w:ascii="Times New Roman" w:hAnsi="Times New Roman"/>
      </w:rPr>
      <w:fldChar w:fldCharType="begin"/>
    </w:r>
    <w:r w:rsidRPr="00061F09">
      <w:rPr>
        <w:rFonts w:ascii="Times New Roman" w:hAnsi="Times New Roman"/>
      </w:rPr>
      <w:instrText xml:space="preserve"> PAGE   \* MERGEFORMAT </w:instrText>
    </w:r>
    <w:r w:rsidRPr="00061F0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61F09">
      <w:rPr>
        <w:rFonts w:ascii="Times New Roman" w:hAnsi="Times New Roman"/>
        <w:noProof/>
      </w:rPr>
      <w:fldChar w:fldCharType="end"/>
    </w:r>
  </w:p>
  <w:p w14:paraId="25517BE8" w14:textId="77777777" w:rsidR="00061F09" w:rsidRPr="00061F09" w:rsidRDefault="00061F09">
    <w:pPr>
      <w:pStyle w:val="Header"/>
      <w:rPr>
        <w:rFonts w:ascii="Times New Roman" w:hAnsi="Times New Roman"/>
        <w:noProof/>
      </w:rPr>
    </w:pPr>
  </w:p>
  <w:p w14:paraId="420B3FC9" w14:textId="77777777" w:rsidR="00061F09" w:rsidRPr="00061F09" w:rsidRDefault="00061F09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61F09"/>
    <w:rsid w:val="000802F4"/>
    <w:rsid w:val="000874D3"/>
    <w:rsid w:val="000F083B"/>
    <w:rsid w:val="000F19C7"/>
    <w:rsid w:val="00115ED1"/>
    <w:rsid w:val="001445F7"/>
    <w:rsid w:val="001C55F2"/>
    <w:rsid w:val="001D62B4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B152F"/>
    <w:rsid w:val="004C25DB"/>
    <w:rsid w:val="00514D48"/>
    <w:rsid w:val="005347AD"/>
    <w:rsid w:val="00544539"/>
    <w:rsid w:val="005668DD"/>
    <w:rsid w:val="00575A3F"/>
    <w:rsid w:val="005903B0"/>
    <w:rsid w:val="00695BEB"/>
    <w:rsid w:val="0070440E"/>
    <w:rsid w:val="00711347"/>
    <w:rsid w:val="007A4FC6"/>
    <w:rsid w:val="00803373"/>
    <w:rsid w:val="00813052"/>
    <w:rsid w:val="00825404"/>
    <w:rsid w:val="00851FA4"/>
    <w:rsid w:val="00860654"/>
    <w:rsid w:val="008A2990"/>
    <w:rsid w:val="0092593F"/>
    <w:rsid w:val="009472D9"/>
    <w:rsid w:val="00A57448"/>
    <w:rsid w:val="00A87803"/>
    <w:rsid w:val="00A95A91"/>
    <w:rsid w:val="00B36E25"/>
    <w:rsid w:val="00B51FBA"/>
    <w:rsid w:val="00B53D8A"/>
    <w:rsid w:val="00B826BD"/>
    <w:rsid w:val="00B95D12"/>
    <w:rsid w:val="00BF3F9D"/>
    <w:rsid w:val="00C15492"/>
    <w:rsid w:val="00C3537F"/>
    <w:rsid w:val="00C4686F"/>
    <w:rsid w:val="00D14527"/>
    <w:rsid w:val="00D241B2"/>
    <w:rsid w:val="00D313BD"/>
    <w:rsid w:val="00D77E0D"/>
    <w:rsid w:val="00D92C93"/>
    <w:rsid w:val="00DC36B5"/>
    <w:rsid w:val="00DD1EDA"/>
    <w:rsid w:val="00DE2032"/>
    <w:rsid w:val="00E577E3"/>
    <w:rsid w:val="00E57A36"/>
    <w:rsid w:val="00E6492E"/>
    <w:rsid w:val="00EB79F0"/>
    <w:rsid w:val="00EE430E"/>
    <w:rsid w:val="00EE5664"/>
    <w:rsid w:val="00F058EA"/>
    <w:rsid w:val="00F249BB"/>
    <w:rsid w:val="00F3694F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6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F09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061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1F09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EBB9EC-A199-49E9-8A3D-4CD4CB654F0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de7b3f8-6eac-457b-bc2a-336d890ae1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5B6DE-1D68-45AD-836D-E4D1C083F557}"/>
</file>

<file path=customXml/itemProps4.xml><?xml version="1.0" encoding="utf-8"?>
<ds:datastoreItem xmlns:ds="http://schemas.openxmlformats.org/officeDocument/2006/customXml" ds:itemID="{6F159A18-F59E-4EB8-8617-CC462F87E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7</cp:revision>
  <cp:lastPrinted>2017-04-12T18:07:00Z</cp:lastPrinted>
  <dcterms:created xsi:type="dcterms:W3CDTF">2017-04-12T17:20:00Z</dcterms:created>
  <dcterms:modified xsi:type="dcterms:W3CDTF">2017-04-12T18:18:00Z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