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6438A" w14:textId="77777777" w:rsidR="002163EE" w:rsidRPr="00CC0840" w:rsidRDefault="002163EE" w:rsidP="00CC0840">
      <w:pPr>
        <w:pStyle w:val="NoSpacing"/>
        <w:jc w:val="both"/>
        <w:rPr>
          <w:rFonts w:ascii="Arial" w:hAnsi="Arial" w:cs="Arial"/>
          <w:sz w:val="24"/>
          <w:szCs w:val="24"/>
        </w:rPr>
      </w:pPr>
      <w:bookmarkStart w:id="0" w:name="_Toc321147149"/>
      <w:bookmarkStart w:id="1" w:name="_Toc318188227"/>
      <w:bookmarkStart w:id="2" w:name="_Toc318188327"/>
      <w:bookmarkStart w:id="3" w:name="_Toc318189312"/>
      <w:bookmarkStart w:id="4" w:name="_Toc321147011"/>
    </w:p>
    <w:p w14:paraId="2CF9E784" w14:textId="77777777" w:rsidR="000715A9" w:rsidRPr="00CC0840" w:rsidRDefault="000715A9" w:rsidP="00CC0840">
      <w:pPr>
        <w:pStyle w:val="NoSpacing"/>
        <w:jc w:val="both"/>
        <w:rPr>
          <w:rFonts w:ascii="Arial" w:hAnsi="Arial" w:cs="Arial"/>
          <w:sz w:val="24"/>
          <w:szCs w:val="24"/>
        </w:rPr>
      </w:pPr>
    </w:p>
    <w:p w14:paraId="0A337964" w14:textId="77777777" w:rsidR="000715A9" w:rsidRPr="00CC0840" w:rsidRDefault="000715A9" w:rsidP="00CC0840">
      <w:pPr>
        <w:pStyle w:val="NoSpacing"/>
        <w:jc w:val="both"/>
        <w:rPr>
          <w:rFonts w:ascii="Arial" w:hAnsi="Arial" w:cs="Arial"/>
          <w:sz w:val="24"/>
          <w:szCs w:val="24"/>
        </w:rPr>
      </w:pPr>
    </w:p>
    <w:p w14:paraId="73C49AE9" w14:textId="77777777" w:rsidR="000715A9" w:rsidRPr="00CC0840" w:rsidRDefault="000715A9" w:rsidP="00CC0840">
      <w:pPr>
        <w:pStyle w:val="NoSpacing"/>
        <w:jc w:val="both"/>
        <w:rPr>
          <w:rFonts w:ascii="Arial" w:hAnsi="Arial" w:cs="Arial"/>
          <w:sz w:val="24"/>
          <w:szCs w:val="24"/>
        </w:rPr>
      </w:pPr>
    </w:p>
    <w:p w14:paraId="5877D594" w14:textId="77777777" w:rsidR="000715A9" w:rsidRPr="00CC0840" w:rsidRDefault="000715A9" w:rsidP="00CC0840">
      <w:pPr>
        <w:pStyle w:val="NoSpacing"/>
        <w:jc w:val="both"/>
        <w:rPr>
          <w:rFonts w:ascii="Arial" w:hAnsi="Arial" w:cs="Arial"/>
          <w:sz w:val="24"/>
          <w:szCs w:val="24"/>
        </w:rPr>
      </w:pPr>
    </w:p>
    <w:p w14:paraId="08496F34" w14:textId="77777777" w:rsidR="000715A9" w:rsidRPr="00CC0840" w:rsidRDefault="000715A9" w:rsidP="00CC0840">
      <w:pPr>
        <w:pStyle w:val="NoSpacing"/>
        <w:jc w:val="both"/>
        <w:rPr>
          <w:rFonts w:ascii="Arial" w:hAnsi="Arial" w:cs="Arial"/>
          <w:sz w:val="24"/>
          <w:szCs w:val="24"/>
        </w:rPr>
      </w:pPr>
    </w:p>
    <w:p w14:paraId="043BC89B" w14:textId="77777777" w:rsidR="000715A9" w:rsidRPr="00CC0840" w:rsidRDefault="000715A9" w:rsidP="00CC0840">
      <w:pPr>
        <w:pStyle w:val="NoSpacing"/>
        <w:jc w:val="both"/>
        <w:rPr>
          <w:rFonts w:ascii="Arial" w:hAnsi="Arial" w:cs="Arial"/>
          <w:sz w:val="24"/>
          <w:szCs w:val="24"/>
        </w:rPr>
      </w:pPr>
    </w:p>
    <w:p w14:paraId="048B83F5" w14:textId="77777777" w:rsidR="000715A9" w:rsidRPr="00CC0840" w:rsidRDefault="000715A9" w:rsidP="00CC0840">
      <w:pPr>
        <w:pStyle w:val="NoSpacing"/>
        <w:jc w:val="both"/>
        <w:rPr>
          <w:rFonts w:ascii="Arial" w:hAnsi="Arial" w:cs="Arial"/>
          <w:sz w:val="24"/>
          <w:szCs w:val="24"/>
        </w:rPr>
      </w:pPr>
    </w:p>
    <w:p w14:paraId="7751F078" w14:textId="77777777" w:rsidR="000715A9" w:rsidRPr="00CC0840" w:rsidRDefault="000715A9" w:rsidP="00CC0840">
      <w:pPr>
        <w:pStyle w:val="NoSpacing"/>
        <w:jc w:val="both"/>
        <w:rPr>
          <w:rFonts w:ascii="Arial" w:hAnsi="Arial" w:cs="Arial"/>
          <w:sz w:val="24"/>
          <w:szCs w:val="24"/>
        </w:rPr>
      </w:pPr>
    </w:p>
    <w:p w14:paraId="1D831AB7" w14:textId="77777777" w:rsidR="000715A9" w:rsidRPr="00CC0840" w:rsidRDefault="000715A9" w:rsidP="00CC0840">
      <w:pPr>
        <w:pStyle w:val="NoSpacing"/>
        <w:jc w:val="both"/>
        <w:rPr>
          <w:rFonts w:ascii="Arial" w:hAnsi="Arial" w:cs="Arial"/>
          <w:sz w:val="24"/>
          <w:szCs w:val="24"/>
        </w:rPr>
      </w:pPr>
    </w:p>
    <w:p w14:paraId="49A4A058" w14:textId="77777777" w:rsidR="001D5CEE" w:rsidRPr="001D5CEE" w:rsidRDefault="001D5CEE" w:rsidP="001D5CEE">
      <w:pPr>
        <w:tabs>
          <w:tab w:val="left" w:pos="-1440"/>
          <w:tab w:val="left" w:pos="-720"/>
          <w:tab w:val="left" w:pos="0"/>
          <w:tab w:val="left" w:pos="1080"/>
          <w:tab w:val="left" w:pos="1440"/>
        </w:tabs>
        <w:suppressAutoHyphens/>
        <w:overflowPunct w:val="0"/>
        <w:autoSpaceDE w:val="0"/>
        <w:autoSpaceDN w:val="0"/>
        <w:adjustRightInd w:val="0"/>
        <w:spacing w:before="0" w:after="0" w:line="240" w:lineRule="auto"/>
        <w:jc w:val="center"/>
        <w:textAlignment w:val="baseline"/>
        <w:rPr>
          <w:rFonts w:ascii="Arial" w:eastAsia="Times New Roman" w:hAnsi="Arial" w:cs="Times New Roman"/>
          <w:color w:val="auto"/>
          <w:spacing w:val="-3"/>
          <w:sz w:val="24"/>
          <w:lang w:eastAsia="en-US"/>
        </w:rPr>
      </w:pPr>
    </w:p>
    <w:p w14:paraId="4BA81CD8" w14:textId="77777777" w:rsidR="001D5CEE" w:rsidRPr="001D5CEE" w:rsidRDefault="001D5CEE" w:rsidP="001D5CEE">
      <w:pPr>
        <w:tabs>
          <w:tab w:val="center" w:pos="4680"/>
        </w:tabs>
        <w:suppressAutoHyphens/>
        <w:overflowPunct w:val="0"/>
        <w:autoSpaceDE w:val="0"/>
        <w:autoSpaceDN w:val="0"/>
        <w:adjustRightInd w:val="0"/>
        <w:spacing w:before="0" w:after="0" w:line="240" w:lineRule="auto"/>
        <w:jc w:val="center"/>
        <w:textAlignment w:val="baseline"/>
        <w:rPr>
          <w:rFonts w:ascii="Arial" w:eastAsia="Times New Roman" w:hAnsi="Arial" w:cs="Times New Roman"/>
          <w:b/>
          <w:color w:val="auto"/>
          <w:spacing w:val="-4"/>
          <w:sz w:val="36"/>
          <w:lang w:eastAsia="en-US"/>
        </w:rPr>
      </w:pPr>
      <w:r w:rsidRPr="001D5CEE">
        <w:rPr>
          <w:rFonts w:ascii="Arial" w:eastAsia="Times New Roman" w:hAnsi="Arial" w:cs="Times New Roman"/>
          <w:b/>
          <w:color w:val="auto"/>
          <w:spacing w:val="-4"/>
          <w:sz w:val="36"/>
          <w:lang w:eastAsia="en-US"/>
        </w:rPr>
        <w:t>SECTION 5</w:t>
      </w:r>
    </w:p>
    <w:p w14:paraId="0B67723F" w14:textId="77777777" w:rsidR="001D5CEE" w:rsidRPr="001D5CEE" w:rsidRDefault="001D5CEE" w:rsidP="001D5CEE">
      <w:pPr>
        <w:tabs>
          <w:tab w:val="left" w:pos="-1440"/>
          <w:tab w:val="left" w:pos="-720"/>
          <w:tab w:val="left" w:pos="0"/>
          <w:tab w:val="left" w:pos="1080"/>
          <w:tab w:val="left" w:pos="1440"/>
        </w:tabs>
        <w:suppressAutoHyphens/>
        <w:overflowPunct w:val="0"/>
        <w:autoSpaceDE w:val="0"/>
        <w:autoSpaceDN w:val="0"/>
        <w:adjustRightInd w:val="0"/>
        <w:spacing w:before="0" w:after="0" w:line="240" w:lineRule="auto"/>
        <w:jc w:val="center"/>
        <w:textAlignment w:val="baseline"/>
        <w:rPr>
          <w:rFonts w:ascii="Arial" w:eastAsia="Times New Roman" w:hAnsi="Arial" w:cs="Times New Roman"/>
          <w:b/>
          <w:color w:val="auto"/>
          <w:spacing w:val="-4"/>
          <w:sz w:val="36"/>
          <w:lang w:eastAsia="en-US"/>
        </w:rPr>
      </w:pPr>
    </w:p>
    <w:p w14:paraId="1A96A452" w14:textId="77777777" w:rsidR="001D5CEE" w:rsidRPr="001D5CEE" w:rsidRDefault="001D5CEE" w:rsidP="001D5CEE">
      <w:pPr>
        <w:tabs>
          <w:tab w:val="center" w:pos="4680"/>
        </w:tabs>
        <w:suppressAutoHyphens/>
        <w:overflowPunct w:val="0"/>
        <w:autoSpaceDE w:val="0"/>
        <w:autoSpaceDN w:val="0"/>
        <w:adjustRightInd w:val="0"/>
        <w:spacing w:before="0" w:after="0" w:line="240" w:lineRule="auto"/>
        <w:jc w:val="center"/>
        <w:textAlignment w:val="baseline"/>
        <w:rPr>
          <w:rFonts w:ascii="Arial" w:eastAsia="Times New Roman" w:hAnsi="Arial" w:cs="Times New Roman"/>
          <w:b/>
          <w:color w:val="auto"/>
          <w:spacing w:val="-4"/>
          <w:sz w:val="36"/>
          <w:lang w:eastAsia="en-US"/>
        </w:rPr>
      </w:pPr>
      <w:r w:rsidRPr="001D5CEE">
        <w:rPr>
          <w:rFonts w:ascii="Arial" w:eastAsia="Times New Roman" w:hAnsi="Arial" w:cs="Times New Roman"/>
          <w:b/>
          <w:color w:val="auto"/>
          <w:spacing w:val="-4"/>
          <w:sz w:val="36"/>
          <w:lang w:eastAsia="en-US"/>
        </w:rPr>
        <w:t>ENVIRONMENTAL CONSIDERATONS</w:t>
      </w:r>
    </w:p>
    <w:p w14:paraId="202A9191" w14:textId="77777777" w:rsidR="000715A9" w:rsidRPr="00CC0840" w:rsidRDefault="000715A9" w:rsidP="00CC0840">
      <w:pPr>
        <w:pStyle w:val="NoSpacing"/>
        <w:jc w:val="both"/>
        <w:rPr>
          <w:rFonts w:ascii="Arial" w:hAnsi="Arial" w:cs="Arial"/>
          <w:sz w:val="24"/>
          <w:szCs w:val="24"/>
        </w:rPr>
      </w:pPr>
    </w:p>
    <w:p w14:paraId="1C1F2EDC" w14:textId="77777777" w:rsidR="000715A9" w:rsidRPr="00CC0840" w:rsidRDefault="000715A9" w:rsidP="00CC0840">
      <w:pPr>
        <w:pStyle w:val="NoSpacing"/>
        <w:jc w:val="both"/>
        <w:rPr>
          <w:rFonts w:ascii="Arial" w:hAnsi="Arial" w:cs="Arial"/>
          <w:sz w:val="24"/>
          <w:szCs w:val="24"/>
        </w:rPr>
      </w:pPr>
    </w:p>
    <w:p w14:paraId="735576D3" w14:textId="7AA76744" w:rsidR="000715A9" w:rsidRPr="00CC0840" w:rsidRDefault="0047523F" w:rsidP="00CC0840">
      <w:pPr>
        <w:pStyle w:val="NoSpacing"/>
        <w:jc w:val="both"/>
        <w:rPr>
          <w:rFonts w:ascii="Arial" w:hAnsi="Arial" w:cs="Arial"/>
          <w:sz w:val="24"/>
          <w:szCs w:val="24"/>
        </w:rPr>
      </w:pPr>
      <w:r>
        <w:rPr>
          <w:noProof/>
          <w:lang w:eastAsia="en-US"/>
        </w:rPr>
        <w:drawing>
          <wp:inline distT="0" distB="0" distL="0" distR="0" wp14:anchorId="3FC0B0F3" wp14:editId="5E512069">
            <wp:extent cx="1038225" cy="1581150"/>
            <wp:effectExtent l="0" t="0" r="9525"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0"/>
                    <a:stretch>
                      <a:fillRect/>
                    </a:stretch>
                  </pic:blipFill>
                  <pic:spPr>
                    <a:xfrm>
                      <a:off x="0" y="0"/>
                      <a:ext cx="1038225" cy="1581150"/>
                    </a:xfrm>
                    <a:prstGeom prst="rect">
                      <a:avLst/>
                    </a:prstGeom>
                  </pic:spPr>
                </pic:pic>
              </a:graphicData>
            </a:graphic>
          </wp:inline>
        </w:drawing>
      </w:r>
      <w:r w:rsidRPr="0047523F">
        <w:rPr>
          <w:noProof/>
          <w:lang w:eastAsia="en-US"/>
        </w:rPr>
        <w:t xml:space="preserve"> </w:t>
      </w:r>
      <w:r>
        <w:rPr>
          <w:noProof/>
          <w:lang w:eastAsia="en-US"/>
        </w:rPr>
        <w:drawing>
          <wp:inline distT="0" distB="0" distL="0" distR="0" wp14:anchorId="69553695" wp14:editId="051BD530">
            <wp:extent cx="1820349" cy="1941289"/>
            <wp:effectExtent l="0" t="0" r="8890" b="1905"/>
            <wp:docPr id="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a:stretch>
                      <a:fillRect/>
                    </a:stretch>
                  </pic:blipFill>
                  <pic:spPr>
                    <a:xfrm>
                      <a:off x="0" y="0"/>
                      <a:ext cx="1820349" cy="1941289"/>
                    </a:xfrm>
                    <a:prstGeom prst="rect">
                      <a:avLst/>
                    </a:prstGeom>
                  </pic:spPr>
                </pic:pic>
              </a:graphicData>
            </a:graphic>
          </wp:inline>
        </w:drawing>
      </w:r>
      <w:r w:rsidRPr="0047523F">
        <w:rPr>
          <w:noProof/>
          <w:lang w:eastAsia="en-US"/>
        </w:rPr>
        <w:t xml:space="preserve"> </w:t>
      </w:r>
    </w:p>
    <w:p w14:paraId="30BC72BE" w14:textId="77777777" w:rsidR="000715A9" w:rsidRPr="00CC0840" w:rsidRDefault="0047523F" w:rsidP="00CC0840">
      <w:pPr>
        <w:pStyle w:val="NoSpacing"/>
        <w:jc w:val="both"/>
        <w:rPr>
          <w:rFonts w:ascii="Arial" w:hAnsi="Arial" w:cs="Arial"/>
          <w:sz w:val="24"/>
          <w:szCs w:val="24"/>
        </w:rPr>
      </w:pPr>
      <w:r>
        <w:rPr>
          <w:noProof/>
          <w:lang w:eastAsia="en-US"/>
        </w:rPr>
        <w:drawing>
          <wp:inline distT="0" distB="0" distL="0" distR="0" wp14:anchorId="7A248062" wp14:editId="655E168D">
            <wp:extent cx="3098912" cy="1525274"/>
            <wp:effectExtent l="0" t="0" r="6350" b="0"/>
            <wp:docPr id="1"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2"/>
                    <a:stretch>
                      <a:fillRect/>
                    </a:stretch>
                  </pic:blipFill>
                  <pic:spPr>
                    <a:xfrm>
                      <a:off x="0" y="0"/>
                      <a:ext cx="3098912" cy="1525274"/>
                    </a:xfrm>
                    <a:prstGeom prst="rect">
                      <a:avLst/>
                    </a:prstGeom>
                  </pic:spPr>
                </pic:pic>
              </a:graphicData>
            </a:graphic>
          </wp:inline>
        </w:drawing>
      </w:r>
      <w:r w:rsidRPr="0047523F">
        <w:rPr>
          <w:noProof/>
          <w:lang w:eastAsia="en-US"/>
        </w:rPr>
        <w:t xml:space="preserve"> </w:t>
      </w:r>
      <w:r>
        <w:rPr>
          <w:noProof/>
          <w:lang w:eastAsia="en-US"/>
        </w:rPr>
        <w:drawing>
          <wp:inline distT="0" distB="0" distL="0" distR="0" wp14:anchorId="65940F3D" wp14:editId="7C198633">
            <wp:extent cx="1914525" cy="1685925"/>
            <wp:effectExtent l="0" t="0" r="9525" b="9525"/>
            <wp:docPr id="5"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3"/>
                    <a:stretch>
                      <a:fillRect/>
                    </a:stretch>
                  </pic:blipFill>
                  <pic:spPr>
                    <a:xfrm>
                      <a:off x="0" y="0"/>
                      <a:ext cx="1914525" cy="1685925"/>
                    </a:xfrm>
                    <a:prstGeom prst="rect">
                      <a:avLst/>
                    </a:prstGeom>
                  </pic:spPr>
                </pic:pic>
              </a:graphicData>
            </a:graphic>
          </wp:inline>
        </w:drawing>
      </w:r>
    </w:p>
    <w:p w14:paraId="488AA0B0" w14:textId="77777777" w:rsidR="000715A9" w:rsidRPr="00CC0840" w:rsidRDefault="000715A9" w:rsidP="00CC0840">
      <w:pPr>
        <w:pStyle w:val="NoSpacing"/>
        <w:jc w:val="both"/>
        <w:rPr>
          <w:rFonts w:ascii="Arial" w:hAnsi="Arial" w:cs="Arial"/>
          <w:sz w:val="24"/>
          <w:szCs w:val="24"/>
        </w:rPr>
      </w:pPr>
    </w:p>
    <w:p w14:paraId="09436C96" w14:textId="77777777" w:rsidR="000715A9" w:rsidRPr="00CC0840" w:rsidRDefault="000715A9" w:rsidP="00CC0840">
      <w:pPr>
        <w:pStyle w:val="NoSpacing"/>
        <w:jc w:val="both"/>
        <w:rPr>
          <w:rFonts w:ascii="Arial" w:hAnsi="Arial" w:cs="Arial"/>
          <w:sz w:val="24"/>
          <w:szCs w:val="24"/>
        </w:rPr>
      </w:pPr>
    </w:p>
    <w:p w14:paraId="7AA97880" w14:textId="77777777" w:rsidR="000715A9" w:rsidRPr="00CC0840" w:rsidRDefault="000715A9" w:rsidP="00CC0840">
      <w:pPr>
        <w:pStyle w:val="NoSpacing"/>
        <w:jc w:val="both"/>
        <w:rPr>
          <w:rFonts w:ascii="Arial" w:hAnsi="Arial" w:cs="Arial"/>
          <w:sz w:val="24"/>
          <w:szCs w:val="24"/>
        </w:rPr>
      </w:pPr>
    </w:p>
    <w:p w14:paraId="5280C7AD" w14:textId="77777777" w:rsidR="000715A9" w:rsidRPr="00CC0840" w:rsidRDefault="000715A9" w:rsidP="00CC0840">
      <w:pPr>
        <w:pStyle w:val="NoSpacing"/>
        <w:jc w:val="both"/>
        <w:rPr>
          <w:rFonts w:ascii="Arial" w:hAnsi="Arial" w:cs="Arial"/>
          <w:sz w:val="24"/>
          <w:szCs w:val="24"/>
        </w:rPr>
      </w:pPr>
    </w:p>
    <w:p w14:paraId="31791762" w14:textId="77777777" w:rsidR="000715A9" w:rsidRPr="00CC0840" w:rsidRDefault="000715A9" w:rsidP="00CC0840">
      <w:pPr>
        <w:pStyle w:val="NoSpacing"/>
        <w:jc w:val="both"/>
        <w:rPr>
          <w:rFonts w:ascii="Arial" w:hAnsi="Arial" w:cs="Arial"/>
          <w:sz w:val="24"/>
          <w:szCs w:val="24"/>
        </w:rPr>
      </w:pPr>
    </w:p>
    <w:p w14:paraId="0D82D4C9" w14:textId="77777777" w:rsidR="000715A9" w:rsidRPr="00CC0840" w:rsidRDefault="000715A9" w:rsidP="00CC0840">
      <w:pPr>
        <w:pStyle w:val="NoSpacing"/>
        <w:jc w:val="both"/>
        <w:rPr>
          <w:rFonts w:ascii="Arial" w:hAnsi="Arial" w:cs="Arial"/>
          <w:sz w:val="24"/>
          <w:szCs w:val="24"/>
        </w:rPr>
      </w:pPr>
    </w:p>
    <w:p w14:paraId="1D0F3E75" w14:textId="77777777" w:rsidR="00992012" w:rsidRDefault="00992012" w:rsidP="00CC0840">
      <w:pPr>
        <w:pStyle w:val="Heading1"/>
        <w:jc w:val="both"/>
        <w:rPr>
          <w:rFonts w:ascii="Arial" w:hAnsi="Arial" w:cs="Arial"/>
          <w:b/>
          <w:color w:val="auto"/>
          <w:sz w:val="28"/>
          <w:szCs w:val="28"/>
        </w:rPr>
      </w:pPr>
      <w:bookmarkStart w:id="5" w:name="_Toc459622863"/>
      <w:bookmarkEnd w:id="0"/>
      <w:bookmarkEnd w:id="1"/>
      <w:bookmarkEnd w:id="2"/>
      <w:bookmarkEnd w:id="3"/>
      <w:bookmarkEnd w:id="4"/>
    </w:p>
    <w:p w14:paraId="6F29CFC0" w14:textId="77777777" w:rsidR="00D85FB7" w:rsidRPr="00CC0840" w:rsidRDefault="001D5CEE" w:rsidP="00CC0840">
      <w:pPr>
        <w:pStyle w:val="Heading1"/>
        <w:jc w:val="both"/>
        <w:rPr>
          <w:rFonts w:ascii="Arial" w:hAnsi="Arial" w:cs="Arial"/>
          <w:b/>
          <w:color w:val="auto"/>
          <w:sz w:val="28"/>
          <w:szCs w:val="28"/>
        </w:rPr>
      </w:pPr>
      <w:r>
        <w:rPr>
          <w:rFonts w:ascii="Arial" w:hAnsi="Arial" w:cs="Arial"/>
          <w:b/>
          <w:color w:val="auto"/>
          <w:sz w:val="28"/>
          <w:szCs w:val="28"/>
        </w:rPr>
        <w:t>O</w:t>
      </w:r>
      <w:r w:rsidR="00CC0840" w:rsidRPr="00CC0840">
        <w:rPr>
          <w:rFonts w:ascii="Arial" w:hAnsi="Arial" w:cs="Arial"/>
          <w:b/>
          <w:color w:val="auto"/>
          <w:sz w:val="28"/>
          <w:szCs w:val="28"/>
        </w:rPr>
        <w:t>verview</w:t>
      </w:r>
      <w:bookmarkEnd w:id="5"/>
    </w:p>
    <w:p w14:paraId="3213E373" w14:textId="77777777" w:rsidR="00D85FB7" w:rsidRPr="00CC0840" w:rsidRDefault="00D85FB7" w:rsidP="00CC0840">
      <w:pPr>
        <w:pStyle w:val="NoSpacing"/>
        <w:jc w:val="both"/>
        <w:rPr>
          <w:rFonts w:ascii="Arial" w:hAnsi="Arial" w:cs="Arial"/>
          <w:sz w:val="24"/>
          <w:szCs w:val="24"/>
        </w:rPr>
      </w:pPr>
    </w:p>
    <w:p w14:paraId="40097F6E" w14:textId="799C708C" w:rsidR="00D85FB7" w:rsidRPr="00CC0840" w:rsidRDefault="007D52A5" w:rsidP="00CC0840">
      <w:pPr>
        <w:pStyle w:val="NoSpacing"/>
        <w:jc w:val="both"/>
        <w:rPr>
          <w:rFonts w:ascii="Arial" w:hAnsi="Arial" w:cs="Arial"/>
          <w:sz w:val="24"/>
          <w:szCs w:val="24"/>
        </w:rPr>
      </w:pPr>
      <w:r>
        <w:rPr>
          <w:rFonts w:ascii="Arial" w:hAnsi="Arial" w:cs="Arial"/>
          <w:sz w:val="24"/>
          <w:szCs w:val="24"/>
        </w:rPr>
        <w:t>As an energy provider</w:t>
      </w:r>
      <w:r w:rsidR="00546A8D">
        <w:rPr>
          <w:rFonts w:ascii="Arial" w:hAnsi="Arial" w:cs="Arial"/>
          <w:sz w:val="24"/>
          <w:szCs w:val="24"/>
        </w:rPr>
        <w:t>,</w:t>
      </w:r>
      <w:r>
        <w:rPr>
          <w:rFonts w:ascii="Arial" w:hAnsi="Arial" w:cs="Arial"/>
          <w:sz w:val="24"/>
          <w:szCs w:val="24"/>
        </w:rPr>
        <w:t xml:space="preserve"> environmental considerations and regulations have the potential to significantly impact Company efforts and methods by which it can meet its obligation to deliver natural gas to its customer base. </w:t>
      </w:r>
      <w:r w:rsidR="00AA033C">
        <w:rPr>
          <w:rFonts w:ascii="Arial" w:hAnsi="Arial" w:cs="Arial"/>
          <w:sz w:val="24"/>
          <w:szCs w:val="24"/>
        </w:rPr>
        <w:t>A series of new r</w:t>
      </w:r>
      <w:r w:rsidR="00AA033C" w:rsidRPr="00CC0840">
        <w:rPr>
          <w:rFonts w:ascii="Arial" w:hAnsi="Arial" w:cs="Arial"/>
          <w:sz w:val="24"/>
          <w:szCs w:val="24"/>
        </w:rPr>
        <w:t xml:space="preserve">egulations </w:t>
      </w:r>
      <w:r w:rsidR="00D85FB7" w:rsidRPr="00CC0840">
        <w:rPr>
          <w:rFonts w:ascii="Arial" w:hAnsi="Arial" w:cs="Arial"/>
          <w:sz w:val="24"/>
          <w:szCs w:val="24"/>
        </w:rPr>
        <w:t xml:space="preserve">and policies </w:t>
      </w:r>
      <w:r w:rsidR="00AA033C">
        <w:rPr>
          <w:rFonts w:ascii="Arial" w:hAnsi="Arial" w:cs="Arial"/>
          <w:sz w:val="24"/>
          <w:szCs w:val="24"/>
        </w:rPr>
        <w:t>are currently being proposed at the Washington, Oregon and Federal levels. The purpose of these rules are to address greenhouse</w:t>
      </w:r>
      <w:r w:rsidR="006617B4">
        <w:rPr>
          <w:rFonts w:ascii="Arial" w:hAnsi="Arial" w:cs="Arial"/>
          <w:sz w:val="24"/>
          <w:szCs w:val="24"/>
        </w:rPr>
        <w:t xml:space="preserve"> gas</w:t>
      </w:r>
      <w:r w:rsidR="00546A8D">
        <w:rPr>
          <w:rFonts w:ascii="Arial" w:hAnsi="Arial" w:cs="Arial"/>
          <w:sz w:val="24"/>
          <w:szCs w:val="24"/>
        </w:rPr>
        <w:t xml:space="preserve"> (GHG)</w:t>
      </w:r>
      <w:r w:rsidR="00AA033C">
        <w:rPr>
          <w:rFonts w:ascii="Arial" w:hAnsi="Arial" w:cs="Arial"/>
          <w:sz w:val="24"/>
          <w:szCs w:val="24"/>
        </w:rPr>
        <w:t>, and specifically the management of c</w:t>
      </w:r>
      <w:r w:rsidR="00D85FB7" w:rsidRPr="00CC0840">
        <w:rPr>
          <w:rFonts w:ascii="Arial" w:hAnsi="Arial" w:cs="Arial"/>
          <w:sz w:val="24"/>
          <w:szCs w:val="24"/>
        </w:rPr>
        <w:t xml:space="preserve">arbon dioxide </w:t>
      </w:r>
      <w:r w:rsidR="00AA033C">
        <w:rPr>
          <w:rFonts w:ascii="Arial" w:hAnsi="Arial" w:cs="Arial"/>
          <w:sz w:val="24"/>
          <w:szCs w:val="24"/>
        </w:rPr>
        <w:t>(</w:t>
      </w:r>
      <w:r w:rsidR="00D85FB7" w:rsidRPr="00CC0840">
        <w:rPr>
          <w:rFonts w:ascii="Arial" w:hAnsi="Arial" w:cs="Arial"/>
          <w:sz w:val="24"/>
          <w:szCs w:val="24"/>
        </w:rPr>
        <w:t>CO2</w:t>
      </w:r>
      <w:r w:rsidR="00AA033C">
        <w:rPr>
          <w:rFonts w:ascii="Arial" w:hAnsi="Arial" w:cs="Arial"/>
          <w:sz w:val="24"/>
          <w:szCs w:val="24"/>
        </w:rPr>
        <w:t>)</w:t>
      </w:r>
      <w:r w:rsidR="006617B4">
        <w:rPr>
          <w:rFonts w:ascii="Arial" w:hAnsi="Arial" w:cs="Arial"/>
          <w:sz w:val="24"/>
          <w:szCs w:val="24"/>
        </w:rPr>
        <w:t xml:space="preserve"> emissions</w:t>
      </w:r>
      <w:r w:rsidR="00D85FB7" w:rsidRPr="00CC0840">
        <w:rPr>
          <w:rFonts w:ascii="Arial" w:hAnsi="Arial" w:cs="Arial"/>
          <w:sz w:val="24"/>
          <w:szCs w:val="24"/>
        </w:rPr>
        <w:t>.</w:t>
      </w:r>
      <w:r w:rsidR="00853588">
        <w:rPr>
          <w:rStyle w:val="FootnoteReference"/>
          <w:rFonts w:ascii="Arial" w:hAnsi="Arial" w:cs="Arial"/>
          <w:sz w:val="24"/>
          <w:szCs w:val="24"/>
        </w:rPr>
        <w:footnoteReference w:id="1"/>
      </w:r>
      <w:r w:rsidR="00AA033C">
        <w:rPr>
          <w:rFonts w:ascii="Arial" w:hAnsi="Arial" w:cs="Arial"/>
          <w:sz w:val="24"/>
          <w:szCs w:val="24"/>
        </w:rPr>
        <w:t xml:space="preserve"> </w:t>
      </w:r>
    </w:p>
    <w:p w14:paraId="476A71D5" w14:textId="77777777" w:rsidR="00D85FB7" w:rsidRPr="00CC0840" w:rsidRDefault="00D85FB7" w:rsidP="00CC0840">
      <w:pPr>
        <w:pStyle w:val="NoSpacing"/>
        <w:jc w:val="both"/>
        <w:rPr>
          <w:rFonts w:ascii="Arial" w:hAnsi="Arial" w:cs="Arial"/>
          <w:sz w:val="24"/>
          <w:szCs w:val="24"/>
        </w:rPr>
      </w:pPr>
    </w:p>
    <w:p w14:paraId="599DCE2C" w14:textId="5EBDAFCB" w:rsidR="00D85FB7" w:rsidRDefault="00D85FB7" w:rsidP="00CC0840">
      <w:pPr>
        <w:pStyle w:val="NoSpacing"/>
        <w:jc w:val="both"/>
        <w:rPr>
          <w:rFonts w:ascii="Arial" w:hAnsi="Arial" w:cs="Arial"/>
          <w:sz w:val="24"/>
          <w:szCs w:val="24"/>
        </w:rPr>
      </w:pPr>
      <w:r w:rsidRPr="00CC0840">
        <w:rPr>
          <w:rFonts w:ascii="Arial" w:hAnsi="Arial" w:cs="Arial"/>
          <w:sz w:val="24"/>
          <w:szCs w:val="24"/>
        </w:rPr>
        <w:t xml:space="preserve">The Clean Air Act has led the U.S. Environmental Protection Agency (EPA) </w:t>
      </w:r>
      <w:r w:rsidR="00B72ADB">
        <w:rPr>
          <w:rFonts w:ascii="Arial" w:hAnsi="Arial" w:cs="Arial"/>
          <w:sz w:val="24"/>
          <w:szCs w:val="24"/>
        </w:rPr>
        <w:t>to promulgate</w:t>
      </w:r>
      <w:r w:rsidR="00B72ADB" w:rsidRPr="00CC0840">
        <w:rPr>
          <w:rFonts w:ascii="Arial" w:hAnsi="Arial" w:cs="Arial"/>
          <w:sz w:val="24"/>
          <w:szCs w:val="24"/>
        </w:rPr>
        <w:t xml:space="preserve"> </w:t>
      </w:r>
      <w:r w:rsidRPr="00CC0840">
        <w:rPr>
          <w:rFonts w:ascii="Arial" w:hAnsi="Arial" w:cs="Arial"/>
          <w:sz w:val="24"/>
          <w:szCs w:val="24"/>
        </w:rPr>
        <w:t xml:space="preserve">rules </w:t>
      </w:r>
      <w:r w:rsidR="00FF17D1">
        <w:rPr>
          <w:rFonts w:ascii="Arial" w:hAnsi="Arial" w:cs="Arial"/>
          <w:sz w:val="24"/>
          <w:szCs w:val="24"/>
        </w:rPr>
        <w:t>requiring</w:t>
      </w:r>
      <w:r w:rsidRPr="00CC0840">
        <w:rPr>
          <w:rFonts w:ascii="Arial" w:hAnsi="Arial" w:cs="Arial"/>
          <w:sz w:val="24"/>
          <w:szCs w:val="24"/>
        </w:rPr>
        <w:t xml:space="preserve"> state Clean Power Plans (also known as </w:t>
      </w:r>
      <w:r w:rsidR="00CD77B5">
        <w:rPr>
          <w:rFonts w:ascii="Arial" w:hAnsi="Arial" w:cs="Arial"/>
          <w:sz w:val="24"/>
          <w:szCs w:val="24"/>
        </w:rPr>
        <w:t>S</w:t>
      </w:r>
      <w:r w:rsidRPr="00CC0840">
        <w:rPr>
          <w:rFonts w:ascii="Arial" w:hAnsi="Arial" w:cs="Arial"/>
          <w:sz w:val="24"/>
          <w:szCs w:val="24"/>
        </w:rPr>
        <w:t xml:space="preserve">tate </w:t>
      </w:r>
      <w:r w:rsidR="00CD77B5">
        <w:rPr>
          <w:rFonts w:ascii="Arial" w:hAnsi="Arial" w:cs="Arial"/>
          <w:sz w:val="24"/>
          <w:szCs w:val="24"/>
        </w:rPr>
        <w:t>I</w:t>
      </w:r>
      <w:r w:rsidR="00992012">
        <w:rPr>
          <w:rFonts w:ascii="Arial" w:hAnsi="Arial" w:cs="Arial"/>
          <w:sz w:val="24"/>
          <w:szCs w:val="24"/>
        </w:rPr>
        <w:t xml:space="preserve">mplementation </w:t>
      </w:r>
      <w:r w:rsidR="00CD77B5">
        <w:rPr>
          <w:rFonts w:ascii="Arial" w:hAnsi="Arial" w:cs="Arial"/>
          <w:sz w:val="24"/>
          <w:szCs w:val="24"/>
        </w:rPr>
        <w:t>P</w:t>
      </w:r>
      <w:r w:rsidRPr="00CC0840">
        <w:rPr>
          <w:rFonts w:ascii="Arial" w:hAnsi="Arial" w:cs="Arial"/>
          <w:sz w:val="24"/>
          <w:szCs w:val="24"/>
        </w:rPr>
        <w:t>lans or SIP</w:t>
      </w:r>
      <w:r w:rsidR="00CD77B5">
        <w:rPr>
          <w:rFonts w:ascii="Arial" w:hAnsi="Arial" w:cs="Arial"/>
          <w:sz w:val="24"/>
          <w:szCs w:val="24"/>
        </w:rPr>
        <w:t>s</w:t>
      </w:r>
      <w:r w:rsidRPr="00CC0840">
        <w:rPr>
          <w:rFonts w:ascii="Arial" w:hAnsi="Arial" w:cs="Arial"/>
          <w:sz w:val="24"/>
          <w:szCs w:val="24"/>
        </w:rPr>
        <w:t xml:space="preserve">) </w:t>
      </w:r>
      <w:r w:rsidR="00CD77B5">
        <w:rPr>
          <w:rFonts w:ascii="Arial" w:hAnsi="Arial" w:cs="Arial"/>
          <w:sz w:val="24"/>
          <w:szCs w:val="24"/>
        </w:rPr>
        <w:t>for reducing CO2</w:t>
      </w:r>
      <w:r w:rsidRPr="00CC0840">
        <w:rPr>
          <w:rFonts w:ascii="Arial" w:hAnsi="Arial" w:cs="Arial"/>
          <w:sz w:val="24"/>
          <w:szCs w:val="24"/>
        </w:rPr>
        <w:t xml:space="preserve"> in the electric industry.</w:t>
      </w:r>
      <w:r w:rsidR="002B0D76" w:rsidRPr="00CC0840">
        <w:rPr>
          <w:rStyle w:val="FootnoteReference"/>
          <w:rFonts w:ascii="Arial" w:hAnsi="Arial" w:cs="Arial"/>
          <w:sz w:val="24"/>
          <w:szCs w:val="24"/>
        </w:rPr>
        <w:footnoteReference w:id="2"/>
      </w:r>
      <w:r w:rsidRPr="00CC0840">
        <w:rPr>
          <w:rFonts w:ascii="Arial" w:hAnsi="Arial" w:cs="Arial"/>
          <w:sz w:val="24"/>
          <w:szCs w:val="24"/>
        </w:rPr>
        <w:t xml:space="preserve">  </w:t>
      </w:r>
      <w:r w:rsidR="00CD77B5">
        <w:rPr>
          <w:rFonts w:ascii="Arial" w:hAnsi="Arial" w:cs="Arial"/>
          <w:sz w:val="24"/>
          <w:szCs w:val="24"/>
        </w:rPr>
        <w:t xml:space="preserve">On the state level, </w:t>
      </w:r>
      <w:r w:rsidRPr="00CC0840">
        <w:rPr>
          <w:rFonts w:ascii="Arial" w:hAnsi="Arial" w:cs="Arial"/>
          <w:sz w:val="24"/>
          <w:szCs w:val="24"/>
        </w:rPr>
        <w:t xml:space="preserve">Washington’s </w:t>
      </w:r>
      <w:r w:rsidR="001D5CEE">
        <w:rPr>
          <w:rFonts w:ascii="Arial" w:hAnsi="Arial" w:cs="Arial"/>
          <w:sz w:val="24"/>
          <w:szCs w:val="24"/>
        </w:rPr>
        <w:t>g</w:t>
      </w:r>
      <w:r w:rsidRPr="00CC0840">
        <w:rPr>
          <w:rFonts w:ascii="Arial" w:hAnsi="Arial" w:cs="Arial"/>
          <w:sz w:val="24"/>
          <w:szCs w:val="24"/>
        </w:rPr>
        <w:t xml:space="preserve">overnor has </w:t>
      </w:r>
      <w:r w:rsidR="00786F75">
        <w:rPr>
          <w:rFonts w:ascii="Arial" w:hAnsi="Arial" w:cs="Arial"/>
          <w:sz w:val="24"/>
          <w:szCs w:val="24"/>
        </w:rPr>
        <w:t xml:space="preserve">also </w:t>
      </w:r>
      <w:r w:rsidRPr="00CC0840">
        <w:rPr>
          <w:rFonts w:ascii="Arial" w:hAnsi="Arial" w:cs="Arial"/>
          <w:sz w:val="24"/>
          <w:szCs w:val="24"/>
        </w:rPr>
        <w:t>directe</w:t>
      </w:r>
      <w:r w:rsidR="002B0D76" w:rsidRPr="00CC0840">
        <w:rPr>
          <w:rFonts w:ascii="Arial" w:hAnsi="Arial" w:cs="Arial"/>
          <w:sz w:val="24"/>
          <w:szCs w:val="24"/>
        </w:rPr>
        <w:t xml:space="preserve">d the Department of Ecology to </w:t>
      </w:r>
      <w:r w:rsidR="004567F0" w:rsidRPr="00CC0840">
        <w:rPr>
          <w:rFonts w:ascii="Arial" w:hAnsi="Arial" w:cs="Arial"/>
          <w:sz w:val="24"/>
          <w:szCs w:val="24"/>
        </w:rPr>
        <w:t>adopt a rule to reduce GHG emissions</w:t>
      </w:r>
      <w:r w:rsidRPr="00CC0840">
        <w:rPr>
          <w:rFonts w:ascii="Arial" w:hAnsi="Arial" w:cs="Arial"/>
          <w:sz w:val="24"/>
          <w:szCs w:val="24"/>
        </w:rPr>
        <w:t>.</w:t>
      </w:r>
      <w:r w:rsidR="004567F0" w:rsidRPr="00CC0840">
        <w:rPr>
          <w:rStyle w:val="FootnoteReference"/>
          <w:rFonts w:ascii="Arial" w:hAnsi="Arial" w:cs="Arial"/>
          <w:sz w:val="24"/>
          <w:szCs w:val="24"/>
        </w:rPr>
        <w:footnoteReference w:id="3"/>
      </w:r>
      <w:r w:rsidRPr="00CC0840">
        <w:rPr>
          <w:rFonts w:ascii="Arial" w:hAnsi="Arial" w:cs="Arial"/>
          <w:sz w:val="24"/>
          <w:szCs w:val="24"/>
        </w:rPr>
        <w:t xml:space="preserve">  Regardless of the outcome of this effort, similar objectives will likely be included in the Washington’s SIP.  The 2016 Oregon Legislature adopted “Coal to Clean” </w:t>
      </w:r>
      <w:r w:rsidR="004567F0" w:rsidRPr="00CC0840">
        <w:rPr>
          <w:rFonts w:ascii="Arial" w:hAnsi="Arial" w:cs="Arial"/>
          <w:sz w:val="24"/>
          <w:szCs w:val="24"/>
        </w:rPr>
        <w:t>(</w:t>
      </w:r>
      <w:r w:rsidR="00CC0840" w:rsidRPr="00CC0840">
        <w:rPr>
          <w:rFonts w:ascii="Arial" w:hAnsi="Arial" w:cs="Arial"/>
          <w:sz w:val="24"/>
          <w:szCs w:val="24"/>
        </w:rPr>
        <w:t>SB 1547</w:t>
      </w:r>
      <w:r w:rsidR="004567F0" w:rsidRPr="00CC0840">
        <w:rPr>
          <w:rFonts w:ascii="Arial" w:hAnsi="Arial" w:cs="Arial"/>
          <w:sz w:val="24"/>
          <w:szCs w:val="24"/>
        </w:rPr>
        <w:t xml:space="preserve">) </w:t>
      </w:r>
      <w:r w:rsidRPr="00CC0840">
        <w:rPr>
          <w:rFonts w:ascii="Arial" w:hAnsi="Arial" w:cs="Arial"/>
          <w:sz w:val="24"/>
          <w:szCs w:val="24"/>
        </w:rPr>
        <w:t>legislation effectively removing coal in the state by 2030 (</w:t>
      </w:r>
      <w:r w:rsidR="00CD77B5">
        <w:rPr>
          <w:rFonts w:ascii="Arial" w:hAnsi="Arial" w:cs="Arial"/>
          <w:sz w:val="24"/>
          <w:szCs w:val="24"/>
        </w:rPr>
        <w:t>by disallowing</w:t>
      </w:r>
      <w:r w:rsidRPr="00CC0840">
        <w:rPr>
          <w:rFonts w:ascii="Arial" w:hAnsi="Arial" w:cs="Arial"/>
          <w:sz w:val="24"/>
          <w:szCs w:val="24"/>
        </w:rPr>
        <w:t xml:space="preserve"> any coal</w:t>
      </w:r>
      <w:r w:rsidR="00CD77B5">
        <w:rPr>
          <w:rFonts w:ascii="Arial" w:hAnsi="Arial" w:cs="Arial"/>
          <w:sz w:val="24"/>
          <w:szCs w:val="24"/>
        </w:rPr>
        <w:t>-related</w:t>
      </w:r>
      <w:r w:rsidR="004567F0" w:rsidRPr="00CC0840">
        <w:rPr>
          <w:rFonts w:ascii="Arial" w:hAnsi="Arial" w:cs="Arial"/>
          <w:sz w:val="24"/>
          <w:szCs w:val="24"/>
        </w:rPr>
        <w:t xml:space="preserve"> costs in retail </w:t>
      </w:r>
      <w:r w:rsidR="00CD77B5">
        <w:rPr>
          <w:rFonts w:ascii="Arial" w:hAnsi="Arial" w:cs="Arial"/>
          <w:sz w:val="24"/>
          <w:szCs w:val="24"/>
        </w:rPr>
        <w:t xml:space="preserve">electricity </w:t>
      </w:r>
      <w:r w:rsidR="004567F0" w:rsidRPr="00CC0840">
        <w:rPr>
          <w:rFonts w:ascii="Arial" w:hAnsi="Arial" w:cs="Arial"/>
          <w:sz w:val="24"/>
          <w:szCs w:val="24"/>
        </w:rPr>
        <w:t xml:space="preserve">rates) and </w:t>
      </w:r>
      <w:r w:rsidR="00CD77B5">
        <w:rPr>
          <w:rFonts w:ascii="Arial" w:hAnsi="Arial" w:cs="Arial"/>
          <w:sz w:val="24"/>
          <w:szCs w:val="24"/>
        </w:rPr>
        <w:t xml:space="preserve">also adopts </w:t>
      </w:r>
      <w:r w:rsidR="004567F0" w:rsidRPr="00CC0840">
        <w:rPr>
          <w:rFonts w:ascii="Arial" w:hAnsi="Arial" w:cs="Arial"/>
          <w:sz w:val="24"/>
          <w:szCs w:val="24"/>
        </w:rPr>
        <w:t xml:space="preserve">a </w:t>
      </w:r>
      <w:r w:rsidR="00CD77B5">
        <w:rPr>
          <w:rFonts w:ascii="Arial" w:hAnsi="Arial" w:cs="Arial"/>
          <w:sz w:val="24"/>
          <w:szCs w:val="24"/>
        </w:rPr>
        <w:t xml:space="preserve">standard that requires </w:t>
      </w:r>
      <w:r w:rsidR="004567F0" w:rsidRPr="00CC0840">
        <w:rPr>
          <w:rFonts w:ascii="Arial" w:hAnsi="Arial" w:cs="Arial"/>
          <w:sz w:val="24"/>
          <w:szCs w:val="24"/>
        </w:rPr>
        <w:t>50</w:t>
      </w:r>
      <w:r w:rsidRPr="00CC0840">
        <w:rPr>
          <w:rFonts w:ascii="Arial" w:hAnsi="Arial" w:cs="Arial"/>
          <w:sz w:val="24"/>
          <w:szCs w:val="24"/>
        </w:rPr>
        <w:t xml:space="preserve">% </w:t>
      </w:r>
      <w:r w:rsidR="00CD77B5">
        <w:rPr>
          <w:rFonts w:ascii="Arial" w:hAnsi="Arial" w:cs="Arial"/>
          <w:sz w:val="24"/>
          <w:szCs w:val="24"/>
        </w:rPr>
        <w:t xml:space="preserve">of all electricity used in Oregon to be from </w:t>
      </w:r>
      <w:r w:rsidRPr="00CC0840">
        <w:rPr>
          <w:rFonts w:ascii="Arial" w:hAnsi="Arial" w:cs="Arial"/>
          <w:sz w:val="24"/>
          <w:szCs w:val="24"/>
        </w:rPr>
        <w:t xml:space="preserve">renewable </w:t>
      </w:r>
      <w:r w:rsidR="00CD77B5">
        <w:rPr>
          <w:rFonts w:ascii="Arial" w:hAnsi="Arial" w:cs="Arial"/>
          <w:sz w:val="24"/>
          <w:szCs w:val="24"/>
        </w:rPr>
        <w:t>sources</w:t>
      </w:r>
      <w:r w:rsidR="00CD77B5" w:rsidRPr="00CC0840">
        <w:rPr>
          <w:rFonts w:ascii="Arial" w:hAnsi="Arial" w:cs="Arial"/>
          <w:sz w:val="24"/>
          <w:szCs w:val="24"/>
        </w:rPr>
        <w:t xml:space="preserve"> </w:t>
      </w:r>
      <w:r w:rsidR="00CD77B5">
        <w:rPr>
          <w:rFonts w:ascii="Arial" w:hAnsi="Arial" w:cs="Arial"/>
          <w:sz w:val="24"/>
          <w:szCs w:val="24"/>
        </w:rPr>
        <w:t>starting in</w:t>
      </w:r>
      <w:r w:rsidR="00CD77B5" w:rsidRPr="00CC0840">
        <w:rPr>
          <w:rFonts w:ascii="Arial" w:hAnsi="Arial" w:cs="Arial"/>
          <w:sz w:val="24"/>
          <w:szCs w:val="24"/>
        </w:rPr>
        <w:t xml:space="preserve"> </w:t>
      </w:r>
      <w:r w:rsidR="004567F0" w:rsidRPr="00CC0840">
        <w:rPr>
          <w:rFonts w:ascii="Arial" w:hAnsi="Arial" w:cs="Arial"/>
          <w:sz w:val="24"/>
          <w:szCs w:val="24"/>
        </w:rPr>
        <w:t>2040</w:t>
      </w:r>
      <w:r w:rsidRPr="00CC0840">
        <w:rPr>
          <w:rFonts w:ascii="Arial" w:hAnsi="Arial" w:cs="Arial"/>
          <w:sz w:val="24"/>
          <w:szCs w:val="24"/>
        </w:rPr>
        <w:t xml:space="preserve">.  Other </w:t>
      </w:r>
      <w:r w:rsidR="00CD77B5">
        <w:rPr>
          <w:rFonts w:ascii="Arial" w:hAnsi="Arial" w:cs="Arial"/>
          <w:sz w:val="24"/>
          <w:szCs w:val="24"/>
        </w:rPr>
        <w:t>federal</w:t>
      </w:r>
      <w:r w:rsidR="00CD77B5" w:rsidRPr="00CC0840">
        <w:rPr>
          <w:rFonts w:ascii="Arial" w:hAnsi="Arial" w:cs="Arial"/>
          <w:sz w:val="24"/>
          <w:szCs w:val="24"/>
        </w:rPr>
        <w:t xml:space="preserve"> </w:t>
      </w:r>
      <w:r w:rsidRPr="00CC0840">
        <w:rPr>
          <w:rFonts w:ascii="Arial" w:hAnsi="Arial" w:cs="Arial"/>
          <w:sz w:val="24"/>
          <w:szCs w:val="24"/>
        </w:rPr>
        <w:t>and state proposals are in process.</w:t>
      </w:r>
    </w:p>
    <w:p w14:paraId="4139A841" w14:textId="77777777" w:rsidR="0045672F" w:rsidRDefault="0045672F" w:rsidP="00CC0840">
      <w:pPr>
        <w:pStyle w:val="NoSpacing"/>
        <w:jc w:val="both"/>
        <w:rPr>
          <w:rFonts w:ascii="Arial" w:hAnsi="Arial" w:cs="Arial"/>
          <w:sz w:val="24"/>
          <w:szCs w:val="24"/>
        </w:rPr>
      </w:pPr>
    </w:p>
    <w:p w14:paraId="75E7D028" w14:textId="3489027F" w:rsidR="0045672F" w:rsidRPr="00CC0840" w:rsidRDefault="0045672F" w:rsidP="00CC0840">
      <w:pPr>
        <w:pStyle w:val="NoSpacing"/>
        <w:jc w:val="both"/>
        <w:rPr>
          <w:rFonts w:ascii="Arial" w:hAnsi="Arial" w:cs="Arial"/>
          <w:sz w:val="24"/>
          <w:szCs w:val="24"/>
        </w:rPr>
      </w:pPr>
      <w:r w:rsidRPr="00CC0840">
        <w:rPr>
          <w:rFonts w:ascii="Arial" w:hAnsi="Arial" w:cs="Arial"/>
          <w:sz w:val="24"/>
          <w:szCs w:val="24"/>
        </w:rPr>
        <w:t>While focused on the Pacific Northwest electric industry, the Northwest Power and Conservation Council (NP</w:t>
      </w:r>
      <w:r w:rsidR="00BC62C5">
        <w:rPr>
          <w:rFonts w:ascii="Arial" w:hAnsi="Arial" w:cs="Arial"/>
          <w:sz w:val="24"/>
          <w:szCs w:val="24"/>
        </w:rPr>
        <w:t>C</w:t>
      </w:r>
      <w:r w:rsidRPr="00CC0840">
        <w:rPr>
          <w:rFonts w:ascii="Arial" w:hAnsi="Arial" w:cs="Arial"/>
          <w:sz w:val="24"/>
          <w:szCs w:val="24"/>
        </w:rPr>
        <w:t>C or Council) exhaustively examine</w:t>
      </w:r>
      <w:r>
        <w:rPr>
          <w:rFonts w:ascii="Arial" w:hAnsi="Arial" w:cs="Arial"/>
          <w:sz w:val="24"/>
          <w:szCs w:val="24"/>
        </w:rPr>
        <w:t>d</w:t>
      </w:r>
      <w:r w:rsidRPr="00CC0840">
        <w:rPr>
          <w:rFonts w:ascii="Arial" w:hAnsi="Arial" w:cs="Arial"/>
          <w:sz w:val="24"/>
          <w:szCs w:val="24"/>
        </w:rPr>
        <w:t xml:space="preserve"> CO2 in its Seventh Power Plan (Plan) released in May, 2016.</w:t>
      </w:r>
      <w:r w:rsidRPr="00CC0840">
        <w:rPr>
          <w:rStyle w:val="FootnoteReference"/>
          <w:rFonts w:ascii="Arial" w:hAnsi="Arial" w:cs="Arial"/>
          <w:sz w:val="24"/>
          <w:szCs w:val="24"/>
        </w:rPr>
        <w:footnoteReference w:id="4"/>
      </w:r>
      <w:r w:rsidRPr="00CC0840">
        <w:rPr>
          <w:rFonts w:ascii="Arial" w:hAnsi="Arial" w:cs="Arial"/>
          <w:sz w:val="24"/>
          <w:szCs w:val="24"/>
        </w:rPr>
        <w:t xml:space="preserve">  This Plan builds on the Council’s previous work and has become the recognized standard for carbon analys</w:t>
      </w:r>
      <w:r>
        <w:rPr>
          <w:rFonts w:ascii="Arial" w:hAnsi="Arial" w:cs="Arial"/>
          <w:sz w:val="24"/>
          <w:szCs w:val="24"/>
        </w:rPr>
        <w:t>is</w:t>
      </w:r>
      <w:r w:rsidRPr="00CC0840">
        <w:rPr>
          <w:rFonts w:ascii="Arial" w:hAnsi="Arial" w:cs="Arial"/>
          <w:sz w:val="24"/>
          <w:szCs w:val="24"/>
        </w:rPr>
        <w:t xml:space="preserve">.  </w:t>
      </w:r>
    </w:p>
    <w:p w14:paraId="15FB4701" w14:textId="77777777" w:rsidR="00D85FB7" w:rsidRPr="00CC0840" w:rsidRDefault="00D85FB7" w:rsidP="00CC0840">
      <w:pPr>
        <w:pStyle w:val="NoSpacing"/>
        <w:jc w:val="both"/>
        <w:rPr>
          <w:rFonts w:ascii="Arial" w:hAnsi="Arial" w:cs="Arial"/>
          <w:sz w:val="24"/>
          <w:szCs w:val="24"/>
        </w:rPr>
      </w:pPr>
    </w:p>
    <w:p w14:paraId="6E37700F" w14:textId="77777777" w:rsidR="00BC62C5" w:rsidRDefault="00D85FB7" w:rsidP="00CC0840">
      <w:pPr>
        <w:pStyle w:val="NoSpacing"/>
        <w:jc w:val="both"/>
        <w:rPr>
          <w:rFonts w:ascii="Arial" w:hAnsi="Arial" w:cs="Arial"/>
          <w:sz w:val="24"/>
          <w:szCs w:val="24"/>
        </w:rPr>
      </w:pPr>
      <w:r w:rsidRPr="00CC0840">
        <w:rPr>
          <w:rFonts w:ascii="Arial" w:hAnsi="Arial" w:cs="Arial"/>
          <w:sz w:val="24"/>
          <w:szCs w:val="24"/>
        </w:rPr>
        <w:t>The Council considered eight analytical approaches to establish future carbon costs.</w:t>
      </w:r>
      <w:r w:rsidR="004567F0" w:rsidRPr="00CC0840">
        <w:rPr>
          <w:rStyle w:val="FootnoteReference"/>
          <w:rFonts w:ascii="Arial" w:hAnsi="Arial" w:cs="Arial"/>
          <w:sz w:val="24"/>
          <w:szCs w:val="24"/>
        </w:rPr>
        <w:footnoteReference w:id="5"/>
      </w:r>
      <w:r w:rsidRPr="00CC0840">
        <w:rPr>
          <w:rFonts w:ascii="Arial" w:hAnsi="Arial" w:cs="Arial"/>
          <w:sz w:val="24"/>
          <w:szCs w:val="24"/>
        </w:rPr>
        <w:t xml:space="preserve">  These are:  </w:t>
      </w:r>
    </w:p>
    <w:p w14:paraId="6224FA55" w14:textId="77777777" w:rsidR="00BC62C5" w:rsidRDefault="00D85FB7" w:rsidP="00992012">
      <w:pPr>
        <w:pStyle w:val="NoSpacing"/>
        <w:numPr>
          <w:ilvl w:val="0"/>
          <w:numId w:val="10"/>
        </w:numPr>
        <w:jc w:val="both"/>
        <w:rPr>
          <w:rFonts w:ascii="Arial" w:hAnsi="Arial" w:cs="Arial"/>
          <w:sz w:val="24"/>
          <w:szCs w:val="24"/>
        </w:rPr>
      </w:pPr>
      <w:r w:rsidRPr="00CC0840">
        <w:rPr>
          <w:rFonts w:ascii="Arial" w:hAnsi="Arial" w:cs="Arial"/>
          <w:sz w:val="24"/>
          <w:szCs w:val="24"/>
        </w:rPr>
        <w:t xml:space="preserve">Social Cost of Carbon (Mid-Range and High); </w:t>
      </w:r>
    </w:p>
    <w:p w14:paraId="39383750" w14:textId="3FA47BFA" w:rsidR="00BC62C5" w:rsidRDefault="00D85FB7" w:rsidP="00992012">
      <w:pPr>
        <w:pStyle w:val="NoSpacing"/>
        <w:numPr>
          <w:ilvl w:val="0"/>
          <w:numId w:val="10"/>
        </w:numPr>
        <w:jc w:val="both"/>
        <w:rPr>
          <w:rFonts w:ascii="Arial" w:hAnsi="Arial" w:cs="Arial"/>
          <w:sz w:val="24"/>
          <w:szCs w:val="24"/>
        </w:rPr>
      </w:pPr>
      <w:r w:rsidRPr="00CC0840">
        <w:rPr>
          <w:rFonts w:ascii="Arial" w:hAnsi="Arial" w:cs="Arial"/>
          <w:sz w:val="24"/>
          <w:szCs w:val="24"/>
        </w:rPr>
        <w:t xml:space="preserve">Carbon Cost Risk (e.g., $0 - $110/ton); </w:t>
      </w:r>
    </w:p>
    <w:p w14:paraId="1A04F91A" w14:textId="026753C0" w:rsidR="00BC62C5" w:rsidRDefault="00D85FB7" w:rsidP="00992012">
      <w:pPr>
        <w:pStyle w:val="NoSpacing"/>
        <w:numPr>
          <w:ilvl w:val="0"/>
          <w:numId w:val="10"/>
        </w:numPr>
        <w:jc w:val="both"/>
        <w:rPr>
          <w:rFonts w:ascii="Arial" w:hAnsi="Arial" w:cs="Arial"/>
          <w:sz w:val="24"/>
          <w:szCs w:val="24"/>
        </w:rPr>
      </w:pPr>
      <w:r w:rsidRPr="00CC0840">
        <w:rPr>
          <w:rFonts w:ascii="Arial" w:hAnsi="Arial" w:cs="Arial"/>
          <w:sz w:val="24"/>
          <w:szCs w:val="24"/>
        </w:rPr>
        <w:t xml:space="preserve">Regional Renewable Portfolio Standards at 35%; </w:t>
      </w:r>
      <w:r w:rsidR="005A5ED6">
        <w:rPr>
          <w:rFonts w:ascii="Arial" w:hAnsi="Arial" w:cs="Arial"/>
          <w:sz w:val="24"/>
          <w:szCs w:val="24"/>
        </w:rPr>
        <w:t>and</w:t>
      </w:r>
    </w:p>
    <w:p w14:paraId="48054296" w14:textId="1F013553" w:rsidR="00BC62C5" w:rsidRDefault="003834E5" w:rsidP="00992012">
      <w:pPr>
        <w:pStyle w:val="NoSpacing"/>
        <w:numPr>
          <w:ilvl w:val="0"/>
          <w:numId w:val="10"/>
        </w:numPr>
        <w:jc w:val="both"/>
        <w:rPr>
          <w:rFonts w:ascii="Arial" w:hAnsi="Arial" w:cs="Arial"/>
          <w:sz w:val="24"/>
          <w:szCs w:val="24"/>
        </w:rPr>
      </w:pPr>
      <w:r>
        <w:rPr>
          <w:rFonts w:ascii="Arial" w:hAnsi="Arial" w:cs="Arial"/>
          <w:sz w:val="24"/>
          <w:szCs w:val="24"/>
        </w:rPr>
        <w:t xml:space="preserve">Five </w:t>
      </w:r>
      <w:r w:rsidR="00D85FB7" w:rsidRPr="00CC0840">
        <w:rPr>
          <w:rFonts w:ascii="Arial" w:hAnsi="Arial" w:cs="Arial"/>
          <w:sz w:val="24"/>
          <w:szCs w:val="24"/>
        </w:rPr>
        <w:t xml:space="preserve">Maximum Carbon Reduction </w:t>
      </w:r>
      <w:r>
        <w:rPr>
          <w:rFonts w:ascii="Arial" w:hAnsi="Arial" w:cs="Arial"/>
          <w:sz w:val="24"/>
          <w:szCs w:val="24"/>
        </w:rPr>
        <w:t xml:space="preserve">approaches </w:t>
      </w:r>
      <w:r w:rsidR="00D85FB7" w:rsidRPr="00CC0840">
        <w:rPr>
          <w:rFonts w:ascii="Arial" w:hAnsi="Arial" w:cs="Arial"/>
          <w:sz w:val="24"/>
          <w:szCs w:val="24"/>
        </w:rPr>
        <w:t>(Existing Technology, Coal Retirement, Coal Retirement with the Social Cost of Carbon, Coal Retirement with the Social Cost of Carbon</w:t>
      </w:r>
      <w:r>
        <w:rPr>
          <w:rFonts w:ascii="Arial" w:hAnsi="Arial" w:cs="Arial"/>
          <w:sz w:val="24"/>
          <w:szCs w:val="24"/>
        </w:rPr>
        <w:t>,</w:t>
      </w:r>
      <w:r w:rsidR="00D85FB7" w:rsidRPr="00CC0840">
        <w:rPr>
          <w:rFonts w:ascii="Arial" w:hAnsi="Arial" w:cs="Arial"/>
          <w:sz w:val="24"/>
          <w:szCs w:val="24"/>
        </w:rPr>
        <w:t xml:space="preserve"> and No New Gas).  </w:t>
      </w:r>
    </w:p>
    <w:p w14:paraId="0C678287" w14:textId="77777777" w:rsidR="003834E5" w:rsidRDefault="003834E5" w:rsidP="003834E5">
      <w:pPr>
        <w:pStyle w:val="NoSpacing"/>
        <w:jc w:val="both"/>
        <w:rPr>
          <w:rFonts w:ascii="Arial" w:hAnsi="Arial" w:cs="Arial"/>
          <w:sz w:val="24"/>
          <w:szCs w:val="24"/>
        </w:rPr>
      </w:pPr>
    </w:p>
    <w:p w14:paraId="63DF9CBF" w14:textId="5206922F" w:rsidR="00D85FB7" w:rsidRPr="00CC0840" w:rsidRDefault="00D85FB7" w:rsidP="003834E5">
      <w:pPr>
        <w:pStyle w:val="NoSpacing"/>
        <w:jc w:val="both"/>
        <w:rPr>
          <w:rFonts w:ascii="Arial" w:hAnsi="Arial" w:cs="Arial"/>
          <w:sz w:val="24"/>
          <w:szCs w:val="24"/>
        </w:rPr>
      </w:pPr>
      <w:r w:rsidRPr="00CC0840">
        <w:rPr>
          <w:rFonts w:ascii="Arial" w:hAnsi="Arial" w:cs="Arial"/>
          <w:sz w:val="24"/>
          <w:szCs w:val="24"/>
        </w:rPr>
        <w:t xml:space="preserve">Four additional scenarios </w:t>
      </w:r>
      <w:r w:rsidR="001D5CEE">
        <w:rPr>
          <w:rFonts w:ascii="Arial" w:hAnsi="Arial" w:cs="Arial"/>
          <w:sz w:val="24"/>
          <w:szCs w:val="24"/>
        </w:rPr>
        <w:t xml:space="preserve">were </w:t>
      </w:r>
      <w:r w:rsidRPr="00CC0840">
        <w:rPr>
          <w:rFonts w:ascii="Arial" w:hAnsi="Arial" w:cs="Arial"/>
          <w:sz w:val="24"/>
          <w:szCs w:val="24"/>
        </w:rPr>
        <w:t xml:space="preserve">included: </w:t>
      </w:r>
      <w:r w:rsidR="00BC62C5">
        <w:rPr>
          <w:rFonts w:ascii="Arial" w:hAnsi="Arial" w:cs="Arial"/>
          <w:sz w:val="24"/>
          <w:szCs w:val="24"/>
        </w:rPr>
        <w:t xml:space="preserve">1) </w:t>
      </w:r>
      <w:r w:rsidRPr="00CC0840">
        <w:rPr>
          <w:rFonts w:ascii="Arial" w:hAnsi="Arial" w:cs="Arial"/>
          <w:sz w:val="24"/>
          <w:szCs w:val="24"/>
        </w:rPr>
        <w:t>Planned Loss of a Major Non-GHG Emitting Resource (i.e., 1,000 aMW</w:t>
      </w:r>
      <w:bookmarkStart w:id="6" w:name="_GoBack"/>
      <w:bookmarkEnd w:id="6"/>
      <w:r w:rsidRPr="00CC0840">
        <w:rPr>
          <w:rFonts w:ascii="Arial" w:hAnsi="Arial" w:cs="Arial"/>
          <w:sz w:val="24"/>
          <w:szCs w:val="24"/>
        </w:rPr>
        <w:t xml:space="preserve"> of hydro); </w:t>
      </w:r>
      <w:r w:rsidR="00BC62C5">
        <w:rPr>
          <w:rFonts w:ascii="Arial" w:hAnsi="Arial" w:cs="Arial"/>
          <w:sz w:val="24"/>
          <w:szCs w:val="24"/>
        </w:rPr>
        <w:t xml:space="preserve">2) </w:t>
      </w:r>
      <w:r w:rsidRPr="00CC0840">
        <w:rPr>
          <w:rFonts w:ascii="Arial" w:hAnsi="Arial" w:cs="Arial"/>
          <w:sz w:val="24"/>
          <w:szCs w:val="24"/>
        </w:rPr>
        <w:t xml:space="preserve">Unplanned Loss of a Major Non- GHG Emitting Resource; </w:t>
      </w:r>
      <w:r w:rsidR="00BC62C5">
        <w:rPr>
          <w:rFonts w:ascii="Arial" w:hAnsi="Arial" w:cs="Arial"/>
          <w:sz w:val="24"/>
          <w:szCs w:val="24"/>
        </w:rPr>
        <w:t xml:space="preserve">3) </w:t>
      </w:r>
      <w:r w:rsidRPr="00CC0840">
        <w:rPr>
          <w:rFonts w:ascii="Arial" w:hAnsi="Arial" w:cs="Arial"/>
          <w:sz w:val="24"/>
          <w:szCs w:val="24"/>
        </w:rPr>
        <w:t xml:space="preserve">Faster Conservation Deployment; and </w:t>
      </w:r>
      <w:r w:rsidR="00BC62C5">
        <w:rPr>
          <w:rFonts w:ascii="Arial" w:hAnsi="Arial" w:cs="Arial"/>
          <w:sz w:val="24"/>
          <w:szCs w:val="24"/>
        </w:rPr>
        <w:t xml:space="preserve">4) </w:t>
      </w:r>
      <w:r w:rsidRPr="00CC0840">
        <w:rPr>
          <w:rFonts w:ascii="Arial" w:hAnsi="Arial" w:cs="Arial"/>
          <w:sz w:val="24"/>
          <w:szCs w:val="24"/>
        </w:rPr>
        <w:t xml:space="preserve">Slower Conservation Deployment.  Further, four sensitivity analyses were performed:  </w:t>
      </w:r>
      <w:r w:rsidR="00BC62C5">
        <w:rPr>
          <w:rFonts w:ascii="Arial" w:hAnsi="Arial" w:cs="Arial"/>
          <w:sz w:val="24"/>
          <w:szCs w:val="24"/>
        </w:rPr>
        <w:t xml:space="preserve">1) </w:t>
      </w:r>
      <w:r w:rsidRPr="00CC0840">
        <w:rPr>
          <w:rFonts w:ascii="Arial" w:hAnsi="Arial" w:cs="Arial"/>
          <w:sz w:val="24"/>
          <w:szCs w:val="24"/>
        </w:rPr>
        <w:t xml:space="preserve">No Demand Response; </w:t>
      </w:r>
      <w:r w:rsidR="00BC62C5">
        <w:rPr>
          <w:rFonts w:ascii="Arial" w:hAnsi="Arial" w:cs="Arial"/>
          <w:sz w:val="24"/>
          <w:szCs w:val="24"/>
        </w:rPr>
        <w:t xml:space="preserve">2) </w:t>
      </w:r>
      <w:r w:rsidRPr="00CC0840">
        <w:rPr>
          <w:rFonts w:ascii="Arial" w:hAnsi="Arial" w:cs="Arial"/>
          <w:sz w:val="24"/>
          <w:szCs w:val="24"/>
        </w:rPr>
        <w:t xml:space="preserve">Low Natural Gas and Wholesale Electricity Prices; </w:t>
      </w:r>
      <w:r w:rsidR="00BC62C5">
        <w:rPr>
          <w:rFonts w:ascii="Arial" w:hAnsi="Arial" w:cs="Arial"/>
          <w:sz w:val="24"/>
          <w:szCs w:val="24"/>
        </w:rPr>
        <w:t xml:space="preserve">3) </w:t>
      </w:r>
      <w:r w:rsidR="002E2672" w:rsidRPr="00CC0840">
        <w:rPr>
          <w:rFonts w:ascii="Arial" w:hAnsi="Arial" w:cs="Arial"/>
          <w:sz w:val="24"/>
          <w:szCs w:val="24"/>
        </w:rPr>
        <w:t xml:space="preserve">Increased Market Reliance: and </w:t>
      </w:r>
      <w:r w:rsidR="00BC62C5">
        <w:rPr>
          <w:rFonts w:ascii="Arial" w:hAnsi="Arial" w:cs="Arial"/>
          <w:sz w:val="24"/>
          <w:szCs w:val="24"/>
        </w:rPr>
        <w:t xml:space="preserve">4) </w:t>
      </w:r>
      <w:r w:rsidRPr="00CC0840">
        <w:rPr>
          <w:rFonts w:ascii="Arial" w:hAnsi="Arial" w:cs="Arial"/>
          <w:sz w:val="24"/>
          <w:szCs w:val="24"/>
        </w:rPr>
        <w:t>Lower Conservation.</w:t>
      </w:r>
    </w:p>
    <w:p w14:paraId="148D2BBF" w14:textId="77777777" w:rsidR="00D85FB7" w:rsidRPr="00CC0840" w:rsidRDefault="00D85FB7" w:rsidP="00CC0840">
      <w:pPr>
        <w:pStyle w:val="NoSpacing"/>
        <w:jc w:val="both"/>
        <w:rPr>
          <w:rFonts w:ascii="Arial" w:hAnsi="Arial" w:cs="Arial"/>
          <w:sz w:val="24"/>
          <w:szCs w:val="24"/>
        </w:rPr>
      </w:pPr>
    </w:p>
    <w:p w14:paraId="06D4087F" w14:textId="36F7A329" w:rsidR="00D85FB7" w:rsidRPr="00CC0840" w:rsidRDefault="005436E6" w:rsidP="00CC0840">
      <w:pPr>
        <w:pStyle w:val="NoSpacing"/>
        <w:jc w:val="both"/>
        <w:rPr>
          <w:rFonts w:ascii="Arial" w:hAnsi="Arial" w:cs="Arial"/>
          <w:sz w:val="24"/>
          <w:szCs w:val="24"/>
        </w:rPr>
      </w:pPr>
      <w:r>
        <w:rPr>
          <w:rFonts w:ascii="Arial" w:hAnsi="Arial" w:cs="Arial"/>
          <w:sz w:val="24"/>
          <w:szCs w:val="24"/>
        </w:rPr>
        <w:t xml:space="preserve">The Council also addresses fugitive natural gas emissions. </w:t>
      </w:r>
      <w:r w:rsidR="00D85FB7" w:rsidRPr="00CC0840">
        <w:rPr>
          <w:rFonts w:ascii="Arial" w:hAnsi="Arial" w:cs="Arial"/>
          <w:sz w:val="24"/>
          <w:szCs w:val="24"/>
        </w:rPr>
        <w:t xml:space="preserve">Some studies </w:t>
      </w:r>
      <w:r w:rsidR="002E2672" w:rsidRPr="00CC0840">
        <w:rPr>
          <w:rFonts w:ascii="Arial" w:hAnsi="Arial" w:cs="Arial"/>
          <w:sz w:val="24"/>
          <w:szCs w:val="24"/>
        </w:rPr>
        <w:t>suggest</w:t>
      </w:r>
      <w:r w:rsidR="00D85FB7" w:rsidRPr="00CC0840">
        <w:rPr>
          <w:rFonts w:ascii="Arial" w:hAnsi="Arial" w:cs="Arial"/>
          <w:sz w:val="24"/>
          <w:szCs w:val="24"/>
        </w:rPr>
        <w:t xml:space="preserve"> “fugitive methane” emissions can be more impactful to the natural gas industry than CO2 emissions from using natural gas at the end-use or to generate electricity.</w:t>
      </w:r>
      <w:r w:rsidR="002E2672" w:rsidRPr="00CC0840">
        <w:rPr>
          <w:rStyle w:val="FootnoteReference"/>
          <w:rFonts w:ascii="Arial" w:hAnsi="Arial" w:cs="Arial"/>
          <w:sz w:val="24"/>
          <w:szCs w:val="24"/>
        </w:rPr>
        <w:footnoteReference w:id="6"/>
      </w:r>
      <w:r w:rsidR="00D85FB7" w:rsidRPr="00CC0840">
        <w:rPr>
          <w:rFonts w:ascii="Arial" w:hAnsi="Arial" w:cs="Arial"/>
          <w:sz w:val="24"/>
          <w:szCs w:val="24"/>
        </w:rPr>
        <w:t xml:space="preserve">  Fugitive methane emissions occur at all points of the extraction, gathering, transportation, storage, and distribution of natural gas.  The Council notes the actual amount of fugitive natural gas involves considerable uncertainty and may be less than 1% (or significantly below some estimates) and that its contribution to greenhouse gas emissions is less than that of the electric industry.</w:t>
      </w:r>
    </w:p>
    <w:p w14:paraId="0F5695E7" w14:textId="77777777" w:rsidR="00D85FB7" w:rsidRPr="00CC0840" w:rsidRDefault="00D85FB7" w:rsidP="00CC0840">
      <w:pPr>
        <w:pStyle w:val="NoSpacing"/>
        <w:jc w:val="both"/>
        <w:rPr>
          <w:rFonts w:ascii="Arial" w:hAnsi="Arial" w:cs="Arial"/>
          <w:sz w:val="24"/>
          <w:szCs w:val="24"/>
        </w:rPr>
      </w:pPr>
    </w:p>
    <w:p w14:paraId="3E12D526" w14:textId="0C0D4497" w:rsidR="005436E6" w:rsidRDefault="00BE1040" w:rsidP="00CC0840">
      <w:pPr>
        <w:pStyle w:val="NoSpacing"/>
        <w:jc w:val="both"/>
        <w:rPr>
          <w:rFonts w:ascii="Arial" w:hAnsi="Arial" w:cs="Arial"/>
          <w:sz w:val="24"/>
          <w:szCs w:val="24"/>
        </w:rPr>
      </w:pPr>
      <w:r w:rsidRPr="00CC0840">
        <w:rPr>
          <w:rFonts w:ascii="Arial" w:hAnsi="Arial" w:cs="Arial"/>
          <w:sz w:val="24"/>
          <w:szCs w:val="24"/>
        </w:rPr>
        <w:t>Cascade</w:t>
      </w:r>
      <w:r>
        <w:rPr>
          <w:rFonts w:ascii="Arial" w:hAnsi="Arial" w:cs="Arial"/>
          <w:sz w:val="24"/>
          <w:szCs w:val="24"/>
        </w:rPr>
        <w:t xml:space="preserve">’s </w:t>
      </w:r>
      <w:r w:rsidRPr="00CC0840">
        <w:rPr>
          <w:rFonts w:ascii="Arial" w:hAnsi="Arial" w:cs="Arial"/>
          <w:sz w:val="24"/>
          <w:szCs w:val="24"/>
        </w:rPr>
        <w:t xml:space="preserve">integrated resource plan (IRP) </w:t>
      </w:r>
      <w:r>
        <w:rPr>
          <w:rFonts w:ascii="Arial" w:hAnsi="Arial" w:cs="Arial"/>
          <w:sz w:val="24"/>
          <w:szCs w:val="24"/>
        </w:rPr>
        <w:t>has been</w:t>
      </w:r>
      <w:r w:rsidRPr="00CC0840">
        <w:rPr>
          <w:rFonts w:ascii="Arial" w:hAnsi="Arial" w:cs="Arial"/>
          <w:sz w:val="24"/>
          <w:szCs w:val="24"/>
        </w:rPr>
        <w:t xml:space="preserve"> </w:t>
      </w:r>
      <w:r>
        <w:rPr>
          <w:rFonts w:ascii="Arial" w:hAnsi="Arial" w:cs="Arial"/>
          <w:sz w:val="24"/>
          <w:szCs w:val="24"/>
        </w:rPr>
        <w:t xml:space="preserve">heavily </w:t>
      </w:r>
      <w:r w:rsidRPr="00CC0840">
        <w:rPr>
          <w:rFonts w:ascii="Arial" w:hAnsi="Arial" w:cs="Arial"/>
          <w:sz w:val="24"/>
          <w:szCs w:val="24"/>
        </w:rPr>
        <w:t xml:space="preserve">informed by the Council’s </w:t>
      </w:r>
      <w:r w:rsidR="005436E6">
        <w:rPr>
          <w:rFonts w:ascii="Arial" w:hAnsi="Arial" w:cs="Arial"/>
          <w:sz w:val="24"/>
          <w:szCs w:val="24"/>
        </w:rPr>
        <w:t xml:space="preserve">Seventh Power Plan and has carefully incorporated its </w:t>
      </w:r>
      <w:r w:rsidRPr="00CC0840">
        <w:rPr>
          <w:rFonts w:ascii="Arial" w:hAnsi="Arial" w:cs="Arial"/>
          <w:sz w:val="24"/>
          <w:szCs w:val="24"/>
        </w:rPr>
        <w:t>survey of approaches, sensitivity analyses, and scenarios</w:t>
      </w:r>
      <w:r>
        <w:rPr>
          <w:rFonts w:ascii="Arial" w:hAnsi="Arial" w:cs="Arial"/>
          <w:sz w:val="24"/>
          <w:szCs w:val="24"/>
        </w:rPr>
        <w:t>. C</w:t>
      </w:r>
      <w:r w:rsidR="0089058C">
        <w:rPr>
          <w:rFonts w:ascii="Arial" w:hAnsi="Arial" w:cs="Arial"/>
          <w:sz w:val="24"/>
          <w:szCs w:val="24"/>
        </w:rPr>
        <w:t>onsideration has also b</w:t>
      </w:r>
      <w:r w:rsidR="00195251">
        <w:rPr>
          <w:rFonts w:ascii="Arial" w:hAnsi="Arial" w:cs="Arial"/>
          <w:sz w:val="24"/>
          <w:szCs w:val="24"/>
        </w:rPr>
        <w:t>e</w:t>
      </w:r>
      <w:r w:rsidR="0089058C">
        <w:rPr>
          <w:rFonts w:ascii="Arial" w:hAnsi="Arial" w:cs="Arial"/>
          <w:sz w:val="24"/>
          <w:szCs w:val="24"/>
        </w:rPr>
        <w:t>e</w:t>
      </w:r>
      <w:r w:rsidR="00195251">
        <w:rPr>
          <w:rFonts w:ascii="Arial" w:hAnsi="Arial" w:cs="Arial"/>
          <w:sz w:val="24"/>
          <w:szCs w:val="24"/>
        </w:rPr>
        <w:t>n</w:t>
      </w:r>
      <w:r w:rsidR="0089058C">
        <w:rPr>
          <w:rFonts w:ascii="Arial" w:hAnsi="Arial" w:cs="Arial"/>
          <w:sz w:val="24"/>
          <w:szCs w:val="24"/>
        </w:rPr>
        <w:t xml:space="preserve"> given to c</w:t>
      </w:r>
      <w:r w:rsidRPr="00CC0840">
        <w:rPr>
          <w:rFonts w:ascii="Arial" w:hAnsi="Arial" w:cs="Arial"/>
          <w:sz w:val="24"/>
          <w:szCs w:val="24"/>
        </w:rPr>
        <w:t>ost-effectiveness</w:t>
      </w:r>
      <w:r>
        <w:rPr>
          <w:rFonts w:ascii="Arial" w:hAnsi="Arial" w:cs="Arial"/>
          <w:sz w:val="24"/>
          <w:szCs w:val="24"/>
        </w:rPr>
        <w:t>, customer value,</w:t>
      </w:r>
      <w:r w:rsidRPr="00CC0840">
        <w:rPr>
          <w:rFonts w:ascii="Arial" w:hAnsi="Arial" w:cs="Arial"/>
          <w:sz w:val="24"/>
          <w:szCs w:val="24"/>
        </w:rPr>
        <w:t xml:space="preserve"> and the results of other local distribution companies (LDC</w:t>
      </w:r>
      <w:r w:rsidR="005A5ED6">
        <w:rPr>
          <w:rFonts w:ascii="Arial" w:hAnsi="Arial" w:cs="Arial"/>
          <w:sz w:val="24"/>
          <w:szCs w:val="24"/>
        </w:rPr>
        <w:t>s</w:t>
      </w:r>
      <w:r w:rsidRPr="00CC0840">
        <w:rPr>
          <w:rFonts w:ascii="Arial" w:hAnsi="Arial" w:cs="Arial"/>
          <w:sz w:val="24"/>
          <w:szCs w:val="24"/>
        </w:rPr>
        <w:t>)</w:t>
      </w:r>
      <w:r w:rsidR="0089058C">
        <w:rPr>
          <w:rFonts w:ascii="Arial" w:hAnsi="Arial" w:cs="Arial"/>
          <w:sz w:val="24"/>
          <w:szCs w:val="24"/>
        </w:rPr>
        <w:t>.</w:t>
      </w:r>
    </w:p>
    <w:p w14:paraId="0636F996" w14:textId="77777777" w:rsidR="005436E6" w:rsidRDefault="005436E6" w:rsidP="00CC0840">
      <w:pPr>
        <w:pStyle w:val="NoSpacing"/>
        <w:jc w:val="both"/>
        <w:rPr>
          <w:rFonts w:ascii="Arial" w:hAnsi="Arial" w:cs="Arial"/>
          <w:sz w:val="24"/>
          <w:szCs w:val="24"/>
        </w:rPr>
      </w:pPr>
    </w:p>
    <w:p w14:paraId="07C18761" w14:textId="251195EA" w:rsidR="00D85FB7" w:rsidRDefault="00D85FB7" w:rsidP="00CC0840">
      <w:pPr>
        <w:pStyle w:val="NoSpacing"/>
        <w:jc w:val="both"/>
        <w:rPr>
          <w:rFonts w:ascii="Arial" w:hAnsi="Arial" w:cs="Arial"/>
          <w:sz w:val="24"/>
          <w:szCs w:val="24"/>
        </w:rPr>
      </w:pPr>
      <w:r w:rsidRPr="00CC0840">
        <w:rPr>
          <w:rFonts w:ascii="Arial" w:hAnsi="Arial" w:cs="Arial"/>
          <w:sz w:val="24"/>
          <w:szCs w:val="24"/>
        </w:rPr>
        <w:t>Of the eight approaches examined by the NP</w:t>
      </w:r>
      <w:r w:rsidR="005A5ED6">
        <w:rPr>
          <w:rFonts w:ascii="Arial" w:hAnsi="Arial" w:cs="Arial"/>
          <w:sz w:val="24"/>
          <w:szCs w:val="24"/>
        </w:rPr>
        <w:t>C</w:t>
      </w:r>
      <w:r w:rsidRPr="00CC0840">
        <w:rPr>
          <w:rFonts w:ascii="Arial" w:hAnsi="Arial" w:cs="Arial"/>
          <w:sz w:val="24"/>
          <w:szCs w:val="24"/>
        </w:rPr>
        <w:t>C, virtually a</w:t>
      </w:r>
      <w:r w:rsidR="002E2672" w:rsidRPr="00CC0840">
        <w:rPr>
          <w:rFonts w:ascii="Arial" w:hAnsi="Arial" w:cs="Arial"/>
          <w:sz w:val="24"/>
          <w:szCs w:val="24"/>
        </w:rPr>
        <w:t>ll LDCs and electric utilities—a</w:t>
      </w:r>
      <w:r w:rsidRPr="00CC0840">
        <w:rPr>
          <w:rFonts w:ascii="Arial" w:hAnsi="Arial" w:cs="Arial"/>
          <w:sz w:val="24"/>
          <w:szCs w:val="24"/>
        </w:rPr>
        <w:t xml:space="preserve">s well as the Council—have centered on the Carbon Cost Risk approach.  This results in a $10 per ton carbon cost adder to Cascade’s avoided costs in 2018 and $30 per ton in 2035. </w:t>
      </w:r>
      <w:r w:rsidR="005436E6">
        <w:rPr>
          <w:rFonts w:ascii="Arial" w:hAnsi="Arial" w:cs="Arial"/>
          <w:sz w:val="24"/>
          <w:szCs w:val="24"/>
        </w:rPr>
        <w:t xml:space="preserve">Therefore, </w:t>
      </w:r>
      <w:r w:rsidR="005436E6" w:rsidRPr="00CC0840">
        <w:rPr>
          <w:rFonts w:ascii="Arial" w:hAnsi="Arial" w:cs="Arial"/>
          <w:sz w:val="24"/>
          <w:szCs w:val="24"/>
        </w:rPr>
        <w:t xml:space="preserve">the question is not whether carbon adders should be included in Washington and Oregon but, rather, how and at what amount. </w:t>
      </w:r>
      <w:r w:rsidR="00E94892">
        <w:rPr>
          <w:rFonts w:ascii="Arial" w:hAnsi="Arial" w:cs="Arial"/>
          <w:sz w:val="24"/>
          <w:szCs w:val="24"/>
        </w:rPr>
        <w:t>This IRP</w:t>
      </w:r>
      <w:r w:rsidRPr="00CC0840">
        <w:rPr>
          <w:rFonts w:ascii="Arial" w:hAnsi="Arial" w:cs="Arial"/>
          <w:sz w:val="24"/>
          <w:szCs w:val="24"/>
        </w:rPr>
        <w:t xml:space="preserve"> </w:t>
      </w:r>
      <w:r w:rsidR="00E94892" w:rsidRPr="00CC0840">
        <w:rPr>
          <w:rFonts w:ascii="Arial" w:hAnsi="Arial" w:cs="Arial"/>
          <w:sz w:val="24"/>
          <w:szCs w:val="24"/>
        </w:rPr>
        <w:t>model</w:t>
      </w:r>
      <w:r w:rsidR="00E94892">
        <w:rPr>
          <w:rFonts w:ascii="Arial" w:hAnsi="Arial" w:cs="Arial"/>
          <w:sz w:val="24"/>
          <w:szCs w:val="24"/>
        </w:rPr>
        <w:t>s</w:t>
      </w:r>
      <w:r w:rsidR="00E94892" w:rsidRPr="00CC0840">
        <w:rPr>
          <w:rFonts w:ascii="Arial" w:hAnsi="Arial" w:cs="Arial"/>
          <w:sz w:val="24"/>
          <w:szCs w:val="24"/>
        </w:rPr>
        <w:t xml:space="preserve"> </w:t>
      </w:r>
      <w:r w:rsidRPr="00CC0840">
        <w:rPr>
          <w:rFonts w:ascii="Arial" w:hAnsi="Arial" w:cs="Arial"/>
          <w:sz w:val="24"/>
          <w:szCs w:val="24"/>
        </w:rPr>
        <w:t>these assumptions and analyze</w:t>
      </w:r>
      <w:r w:rsidR="00E94892">
        <w:rPr>
          <w:rFonts w:ascii="Arial" w:hAnsi="Arial" w:cs="Arial"/>
          <w:sz w:val="24"/>
          <w:szCs w:val="24"/>
        </w:rPr>
        <w:t>s cost</w:t>
      </w:r>
      <w:r w:rsidRPr="00CC0840">
        <w:rPr>
          <w:rFonts w:ascii="Arial" w:hAnsi="Arial" w:cs="Arial"/>
          <w:sz w:val="24"/>
          <w:szCs w:val="24"/>
        </w:rPr>
        <w:t xml:space="preserve"> ranges </w:t>
      </w:r>
      <w:r w:rsidR="00E94892">
        <w:rPr>
          <w:rFonts w:ascii="Arial" w:hAnsi="Arial" w:cs="Arial"/>
          <w:sz w:val="24"/>
          <w:szCs w:val="24"/>
        </w:rPr>
        <w:t>for various</w:t>
      </w:r>
      <w:r w:rsidRPr="00CC0840">
        <w:rPr>
          <w:rFonts w:ascii="Arial" w:hAnsi="Arial" w:cs="Arial"/>
          <w:sz w:val="24"/>
          <w:szCs w:val="24"/>
        </w:rPr>
        <w:t xml:space="preserve"> sensitivities and several related scenarios.</w:t>
      </w:r>
      <w:r w:rsidR="00546A8D">
        <w:rPr>
          <w:rFonts w:ascii="Arial" w:hAnsi="Arial" w:cs="Arial"/>
          <w:sz w:val="24"/>
          <w:szCs w:val="24"/>
        </w:rPr>
        <w:t xml:space="preserve">  </w:t>
      </w:r>
    </w:p>
    <w:p w14:paraId="576DB4D6" w14:textId="77777777" w:rsidR="00546A8D" w:rsidRDefault="00546A8D" w:rsidP="00CC0840">
      <w:pPr>
        <w:pStyle w:val="NoSpacing"/>
        <w:jc w:val="both"/>
        <w:rPr>
          <w:rFonts w:ascii="Arial" w:hAnsi="Arial" w:cs="Arial"/>
          <w:sz w:val="24"/>
          <w:szCs w:val="24"/>
        </w:rPr>
      </w:pPr>
    </w:p>
    <w:p w14:paraId="13CD1F45" w14:textId="3F355B54" w:rsidR="00546A8D" w:rsidRPr="00CC0840" w:rsidRDefault="00546A8D" w:rsidP="00CC0840">
      <w:pPr>
        <w:pStyle w:val="NoSpacing"/>
        <w:jc w:val="both"/>
        <w:rPr>
          <w:rFonts w:ascii="Arial" w:hAnsi="Arial" w:cs="Arial"/>
          <w:sz w:val="24"/>
          <w:szCs w:val="24"/>
        </w:rPr>
      </w:pPr>
      <w:r>
        <w:rPr>
          <w:rFonts w:ascii="Arial" w:hAnsi="Arial" w:cs="Arial"/>
          <w:sz w:val="24"/>
          <w:szCs w:val="24"/>
        </w:rPr>
        <w:t>Additionally, Cascade has undertaken GHG emission reductions through its energy efficiency programs and continues to monitor other options, as described at the end of this chapter.</w:t>
      </w:r>
    </w:p>
    <w:p w14:paraId="26733A27" w14:textId="77777777" w:rsidR="00D85FB7" w:rsidRPr="00CC0840" w:rsidRDefault="00D85FB7" w:rsidP="00CC0840">
      <w:pPr>
        <w:pStyle w:val="Heading1"/>
        <w:jc w:val="both"/>
        <w:rPr>
          <w:rFonts w:ascii="Arial" w:hAnsi="Arial" w:cs="Arial"/>
          <w:b/>
          <w:color w:val="auto"/>
          <w:sz w:val="24"/>
          <w:szCs w:val="24"/>
        </w:rPr>
      </w:pPr>
      <w:bookmarkStart w:id="7" w:name="_Toc459622864"/>
      <w:r w:rsidRPr="00CC0840">
        <w:rPr>
          <w:rFonts w:ascii="Arial" w:hAnsi="Arial" w:cs="Arial"/>
          <w:b/>
          <w:color w:val="auto"/>
          <w:sz w:val="24"/>
          <w:szCs w:val="24"/>
        </w:rPr>
        <w:t>Purpose</w:t>
      </w:r>
      <w:bookmarkEnd w:id="7"/>
      <w:r w:rsidRPr="00CC0840">
        <w:rPr>
          <w:rFonts w:ascii="Arial" w:hAnsi="Arial" w:cs="Arial"/>
          <w:b/>
          <w:color w:val="auto"/>
          <w:sz w:val="24"/>
          <w:szCs w:val="24"/>
        </w:rPr>
        <w:t xml:space="preserve"> </w:t>
      </w:r>
    </w:p>
    <w:p w14:paraId="2D8AC090" w14:textId="77777777" w:rsidR="00D85FB7" w:rsidRPr="00CC0840" w:rsidRDefault="00D85FB7" w:rsidP="00CC0840">
      <w:pPr>
        <w:pStyle w:val="NoSpacing"/>
        <w:jc w:val="both"/>
        <w:rPr>
          <w:rFonts w:ascii="Arial" w:hAnsi="Arial" w:cs="Arial"/>
          <w:sz w:val="24"/>
          <w:szCs w:val="24"/>
        </w:rPr>
      </w:pPr>
    </w:p>
    <w:p w14:paraId="3F0A1859" w14:textId="07C7D770" w:rsidR="00D85FB7" w:rsidRPr="00CC0840" w:rsidRDefault="00E94892" w:rsidP="00CC0840">
      <w:pPr>
        <w:pStyle w:val="NoSpacing"/>
        <w:jc w:val="both"/>
        <w:rPr>
          <w:rFonts w:ascii="Arial" w:hAnsi="Arial" w:cs="Arial"/>
          <w:sz w:val="24"/>
          <w:szCs w:val="24"/>
        </w:rPr>
      </w:pPr>
      <w:r>
        <w:rPr>
          <w:rFonts w:ascii="Arial" w:hAnsi="Arial" w:cs="Arial"/>
          <w:sz w:val="24"/>
          <w:szCs w:val="24"/>
        </w:rPr>
        <w:t>This chapter</w:t>
      </w:r>
      <w:r w:rsidR="00D85FB7" w:rsidRPr="00CC0840">
        <w:rPr>
          <w:rFonts w:ascii="Arial" w:hAnsi="Arial" w:cs="Arial"/>
          <w:sz w:val="24"/>
          <w:szCs w:val="24"/>
        </w:rPr>
        <w:t xml:space="preserve"> consider</w:t>
      </w:r>
      <w:r>
        <w:rPr>
          <w:rFonts w:ascii="Arial" w:hAnsi="Arial" w:cs="Arial"/>
          <w:sz w:val="24"/>
          <w:szCs w:val="24"/>
        </w:rPr>
        <w:t>s</w:t>
      </w:r>
      <w:r w:rsidR="00D85FB7" w:rsidRPr="00CC0840">
        <w:rPr>
          <w:rFonts w:ascii="Arial" w:hAnsi="Arial" w:cs="Arial"/>
          <w:sz w:val="24"/>
          <w:szCs w:val="24"/>
        </w:rPr>
        <w:t xml:space="preserve"> policies that cost-effectively </w:t>
      </w:r>
      <w:r>
        <w:rPr>
          <w:rFonts w:ascii="Arial" w:hAnsi="Arial" w:cs="Arial"/>
          <w:sz w:val="24"/>
          <w:szCs w:val="24"/>
        </w:rPr>
        <w:t xml:space="preserve">meet </w:t>
      </w:r>
      <w:r w:rsidR="00F75572">
        <w:rPr>
          <w:rFonts w:ascii="Arial" w:hAnsi="Arial" w:cs="Arial"/>
          <w:sz w:val="24"/>
          <w:szCs w:val="24"/>
        </w:rPr>
        <w:t>the outcomes mandated by</w:t>
      </w:r>
      <w:r w:rsidR="00D85FB7" w:rsidRPr="00CC0840">
        <w:rPr>
          <w:rFonts w:ascii="Arial" w:hAnsi="Arial" w:cs="Arial"/>
          <w:sz w:val="24"/>
          <w:szCs w:val="24"/>
        </w:rPr>
        <w:t xml:space="preserve"> state and federal carbon emission reduction policies and regulations.  Specifically, </w:t>
      </w:r>
      <w:r w:rsidR="00BF53A5">
        <w:rPr>
          <w:rFonts w:ascii="Arial" w:hAnsi="Arial" w:cs="Arial"/>
          <w:sz w:val="24"/>
          <w:szCs w:val="24"/>
        </w:rPr>
        <w:t xml:space="preserve">this section examines </w:t>
      </w:r>
      <w:r w:rsidR="00D85FB7" w:rsidRPr="00CC0840">
        <w:rPr>
          <w:rFonts w:ascii="Arial" w:hAnsi="Arial" w:cs="Arial"/>
          <w:sz w:val="24"/>
          <w:szCs w:val="24"/>
        </w:rPr>
        <w:t xml:space="preserve">carbon methodologies and assumptions </w:t>
      </w:r>
      <w:r w:rsidR="00BF53A5">
        <w:rPr>
          <w:rFonts w:ascii="Arial" w:hAnsi="Arial" w:cs="Arial"/>
          <w:sz w:val="24"/>
          <w:szCs w:val="24"/>
        </w:rPr>
        <w:t>in order to calculate</w:t>
      </w:r>
      <w:r w:rsidR="00D85FB7" w:rsidRPr="00CC0840">
        <w:rPr>
          <w:rFonts w:ascii="Arial" w:hAnsi="Arial" w:cs="Arial"/>
          <w:sz w:val="24"/>
          <w:szCs w:val="24"/>
        </w:rPr>
        <w:t xml:space="preserve"> inputs towards a 20 year avoided cost of natural gas, </w:t>
      </w:r>
      <w:r w:rsidR="00BF53A5">
        <w:rPr>
          <w:rFonts w:ascii="Arial" w:hAnsi="Arial" w:cs="Arial"/>
          <w:sz w:val="24"/>
          <w:szCs w:val="24"/>
        </w:rPr>
        <w:t xml:space="preserve">and to pair these </w:t>
      </w:r>
      <w:r w:rsidR="00D85FB7" w:rsidRPr="00CC0840">
        <w:rPr>
          <w:rFonts w:ascii="Arial" w:hAnsi="Arial" w:cs="Arial"/>
          <w:sz w:val="24"/>
          <w:szCs w:val="24"/>
        </w:rPr>
        <w:t>with associated two-year action items.</w:t>
      </w:r>
    </w:p>
    <w:p w14:paraId="0154E57A" w14:textId="77777777" w:rsidR="00D85FB7" w:rsidRPr="00CC0840" w:rsidRDefault="00D85FB7" w:rsidP="00CC0840">
      <w:pPr>
        <w:pStyle w:val="NoSpacing"/>
        <w:jc w:val="both"/>
        <w:rPr>
          <w:rFonts w:ascii="Arial" w:hAnsi="Arial" w:cs="Arial"/>
          <w:sz w:val="24"/>
          <w:szCs w:val="24"/>
        </w:rPr>
      </w:pPr>
    </w:p>
    <w:p w14:paraId="03B8C535" w14:textId="77777777" w:rsidR="00FF19E0" w:rsidRDefault="001A5AB6" w:rsidP="00CC0840">
      <w:pPr>
        <w:pStyle w:val="NoSpacing"/>
        <w:jc w:val="both"/>
        <w:rPr>
          <w:rFonts w:ascii="Arial" w:hAnsi="Arial" w:cs="Arial"/>
          <w:sz w:val="24"/>
          <w:szCs w:val="24"/>
        </w:rPr>
      </w:pPr>
      <w:r w:rsidRPr="00CC0840">
        <w:rPr>
          <w:rFonts w:ascii="Arial" w:hAnsi="Arial" w:cs="Arial"/>
          <w:sz w:val="24"/>
          <w:szCs w:val="24"/>
        </w:rPr>
        <w:lastRenderedPageBreak/>
        <w:t>Significant emission policies—proposed or adopted—have</w:t>
      </w:r>
      <w:r w:rsidR="00D85FB7" w:rsidRPr="00CC0840">
        <w:rPr>
          <w:rFonts w:ascii="Arial" w:hAnsi="Arial" w:cs="Arial"/>
          <w:sz w:val="24"/>
          <w:szCs w:val="24"/>
        </w:rPr>
        <w:t xml:space="preserve"> occurred since Cascade’s last IRP.  The Federal government as well as policy-makers in Washington and Oregon have actively pursued assertive GHG</w:t>
      </w:r>
      <w:r w:rsidRPr="00CC0840">
        <w:rPr>
          <w:rFonts w:ascii="Arial" w:hAnsi="Arial" w:cs="Arial"/>
          <w:sz w:val="24"/>
          <w:szCs w:val="24"/>
        </w:rPr>
        <w:t xml:space="preserve"> emission reductions</w:t>
      </w:r>
      <w:r w:rsidR="00D85FB7" w:rsidRPr="00CC0840">
        <w:rPr>
          <w:rFonts w:ascii="Arial" w:hAnsi="Arial" w:cs="Arial"/>
          <w:sz w:val="24"/>
          <w:szCs w:val="24"/>
        </w:rPr>
        <w:t xml:space="preserve"> and, specifically, </w:t>
      </w:r>
      <w:r w:rsidRPr="00CC0840">
        <w:rPr>
          <w:rFonts w:ascii="Arial" w:hAnsi="Arial" w:cs="Arial"/>
          <w:sz w:val="24"/>
          <w:szCs w:val="24"/>
        </w:rPr>
        <w:t xml:space="preserve">required </w:t>
      </w:r>
      <w:r w:rsidR="00D85FB7" w:rsidRPr="00CC0840">
        <w:rPr>
          <w:rFonts w:ascii="Arial" w:hAnsi="Arial" w:cs="Arial"/>
          <w:sz w:val="24"/>
          <w:szCs w:val="24"/>
        </w:rPr>
        <w:t xml:space="preserve">CO2 </w:t>
      </w:r>
      <w:r w:rsidRPr="00CC0840">
        <w:rPr>
          <w:rFonts w:ascii="Arial" w:hAnsi="Arial" w:cs="Arial"/>
          <w:sz w:val="24"/>
          <w:szCs w:val="24"/>
        </w:rPr>
        <w:t>emission</w:t>
      </w:r>
      <w:r w:rsidR="00D85FB7" w:rsidRPr="00CC0840">
        <w:rPr>
          <w:rFonts w:ascii="Arial" w:hAnsi="Arial" w:cs="Arial"/>
          <w:sz w:val="24"/>
          <w:szCs w:val="24"/>
        </w:rPr>
        <w:t xml:space="preserve"> reductions</w:t>
      </w:r>
      <w:r w:rsidRPr="00CC0840">
        <w:rPr>
          <w:rFonts w:ascii="Arial" w:hAnsi="Arial" w:cs="Arial"/>
          <w:sz w:val="24"/>
          <w:szCs w:val="24"/>
        </w:rPr>
        <w:t xml:space="preserve"> (because CO2 is the primary source of GHG emissions)</w:t>
      </w:r>
      <w:r w:rsidR="00D85FB7" w:rsidRPr="00CC0840">
        <w:rPr>
          <w:rFonts w:ascii="Arial" w:hAnsi="Arial" w:cs="Arial"/>
          <w:sz w:val="24"/>
          <w:szCs w:val="24"/>
        </w:rPr>
        <w:t xml:space="preserve">.  </w:t>
      </w:r>
    </w:p>
    <w:p w14:paraId="4CB09146" w14:textId="77777777" w:rsidR="00FF19E0" w:rsidRDefault="00FF19E0" w:rsidP="00CC0840">
      <w:pPr>
        <w:pStyle w:val="NoSpacing"/>
        <w:jc w:val="both"/>
        <w:rPr>
          <w:rFonts w:ascii="Arial" w:hAnsi="Arial" w:cs="Arial"/>
          <w:sz w:val="24"/>
          <w:szCs w:val="24"/>
        </w:rPr>
      </w:pPr>
    </w:p>
    <w:p w14:paraId="30F43650" w14:textId="18A0A0D5" w:rsidR="00D85FB7" w:rsidRPr="00CC0840" w:rsidRDefault="00D85FB7" w:rsidP="00CC0840">
      <w:pPr>
        <w:pStyle w:val="NoSpacing"/>
        <w:jc w:val="both"/>
        <w:rPr>
          <w:rFonts w:ascii="Arial" w:hAnsi="Arial" w:cs="Arial"/>
          <w:sz w:val="24"/>
          <w:szCs w:val="24"/>
        </w:rPr>
      </w:pPr>
      <w:r w:rsidRPr="00CC0840">
        <w:rPr>
          <w:rFonts w:ascii="Arial" w:hAnsi="Arial" w:cs="Arial"/>
          <w:sz w:val="24"/>
          <w:szCs w:val="24"/>
        </w:rPr>
        <w:t>The following summarizes the salient aspects of this at the national, regional, and state levels</w:t>
      </w:r>
      <w:r w:rsidR="00546A8D">
        <w:rPr>
          <w:rFonts w:ascii="Arial" w:hAnsi="Arial" w:cs="Arial"/>
          <w:sz w:val="24"/>
          <w:szCs w:val="24"/>
        </w:rPr>
        <w:t>.</w:t>
      </w:r>
    </w:p>
    <w:p w14:paraId="23D46F5C" w14:textId="77777777" w:rsidR="00CC0840" w:rsidRDefault="00CC0840" w:rsidP="00CC0840">
      <w:pPr>
        <w:pStyle w:val="Heading2"/>
        <w:jc w:val="both"/>
        <w:rPr>
          <w:rFonts w:ascii="Arial" w:hAnsi="Arial" w:cs="Arial"/>
          <w:b/>
          <w:caps w:val="0"/>
          <w:color w:val="auto"/>
          <w:sz w:val="24"/>
          <w:szCs w:val="24"/>
        </w:rPr>
      </w:pPr>
      <w:bookmarkStart w:id="8" w:name="_Toc459622866"/>
    </w:p>
    <w:p w14:paraId="714652A8" w14:textId="77777777" w:rsidR="00FF19E0" w:rsidRPr="00546A8D" w:rsidRDefault="00FF19E0" w:rsidP="00546A8D">
      <w:pPr>
        <w:rPr>
          <w:caps/>
        </w:rPr>
      </w:pPr>
    </w:p>
    <w:p w14:paraId="27C0E8AA" w14:textId="77777777" w:rsidR="00D85FB7" w:rsidRPr="00CC0840" w:rsidRDefault="00CC0840" w:rsidP="00CC0840">
      <w:pPr>
        <w:pStyle w:val="Heading2"/>
        <w:jc w:val="both"/>
        <w:rPr>
          <w:rFonts w:ascii="Arial" w:hAnsi="Arial" w:cs="Arial"/>
          <w:b/>
          <w:color w:val="auto"/>
          <w:sz w:val="24"/>
          <w:szCs w:val="24"/>
        </w:rPr>
      </w:pPr>
      <w:r w:rsidRPr="00CC0840">
        <w:rPr>
          <w:rFonts w:ascii="Arial" w:hAnsi="Arial" w:cs="Arial"/>
          <w:b/>
          <w:caps w:val="0"/>
          <w:color w:val="auto"/>
          <w:sz w:val="24"/>
          <w:szCs w:val="24"/>
        </w:rPr>
        <w:t>The National Focus</w:t>
      </w:r>
      <w:bookmarkEnd w:id="8"/>
    </w:p>
    <w:p w14:paraId="2EAA817C" w14:textId="77777777" w:rsidR="00D85FB7" w:rsidRPr="00CC0840" w:rsidRDefault="00D85FB7" w:rsidP="00CC0840">
      <w:pPr>
        <w:pStyle w:val="NoSpacing"/>
        <w:jc w:val="both"/>
        <w:rPr>
          <w:rFonts w:ascii="Arial" w:hAnsi="Arial" w:cs="Arial"/>
          <w:sz w:val="24"/>
          <w:szCs w:val="24"/>
        </w:rPr>
      </w:pPr>
    </w:p>
    <w:p w14:paraId="5E364B53" w14:textId="6CDBCFD7" w:rsidR="00D85FB7" w:rsidRPr="00CC0840" w:rsidRDefault="00D85FB7" w:rsidP="00CC0840">
      <w:pPr>
        <w:pStyle w:val="NoSpacing"/>
        <w:jc w:val="both"/>
        <w:rPr>
          <w:rFonts w:ascii="Arial" w:hAnsi="Arial" w:cs="Arial"/>
          <w:sz w:val="24"/>
          <w:szCs w:val="24"/>
        </w:rPr>
      </w:pPr>
      <w:r w:rsidRPr="00CC0840">
        <w:rPr>
          <w:rFonts w:ascii="Arial" w:hAnsi="Arial" w:cs="Arial"/>
          <w:sz w:val="24"/>
          <w:szCs w:val="24"/>
        </w:rPr>
        <w:t>The Clean Air Act, Section 111(d) gave the US EPA authority to promulgate state Clean Power Plan re</w:t>
      </w:r>
      <w:r w:rsidR="001A5AB6" w:rsidRPr="00CC0840">
        <w:rPr>
          <w:rFonts w:ascii="Arial" w:hAnsi="Arial" w:cs="Arial"/>
          <w:sz w:val="24"/>
          <w:szCs w:val="24"/>
        </w:rPr>
        <w:t>gulations, primarily directed</w:t>
      </w:r>
      <w:r w:rsidRPr="00CC0840">
        <w:rPr>
          <w:rFonts w:ascii="Arial" w:hAnsi="Arial" w:cs="Arial"/>
          <w:sz w:val="24"/>
          <w:szCs w:val="24"/>
        </w:rPr>
        <w:t xml:space="preserve"> towards electric generation.  The rules would require </w:t>
      </w:r>
      <w:r w:rsidR="00EF5418">
        <w:rPr>
          <w:rFonts w:ascii="Arial" w:hAnsi="Arial" w:cs="Arial"/>
          <w:sz w:val="24"/>
          <w:szCs w:val="24"/>
        </w:rPr>
        <w:t>GHG</w:t>
      </w:r>
      <w:r w:rsidRPr="00CC0840">
        <w:rPr>
          <w:rFonts w:ascii="Arial" w:hAnsi="Arial" w:cs="Arial"/>
          <w:sz w:val="24"/>
          <w:szCs w:val="24"/>
        </w:rPr>
        <w:t xml:space="preserve"> emissions from </w:t>
      </w:r>
      <w:r w:rsidR="00EF5418">
        <w:rPr>
          <w:rFonts w:ascii="Arial" w:hAnsi="Arial" w:cs="Arial"/>
          <w:sz w:val="24"/>
          <w:szCs w:val="24"/>
        </w:rPr>
        <w:t>specified</w:t>
      </w:r>
      <w:r w:rsidR="00992012">
        <w:rPr>
          <w:rFonts w:ascii="Arial" w:hAnsi="Arial" w:cs="Arial"/>
          <w:sz w:val="24"/>
          <w:szCs w:val="24"/>
        </w:rPr>
        <w:t xml:space="preserve"> </w:t>
      </w:r>
      <w:r w:rsidRPr="00CC0840">
        <w:rPr>
          <w:rFonts w:ascii="Arial" w:hAnsi="Arial" w:cs="Arial"/>
          <w:sz w:val="24"/>
          <w:szCs w:val="24"/>
        </w:rPr>
        <w:t>power plants to be reduced by 32% from 2005 levels by 2030.  The US Supreme Court stayed implementation of the proposed rules in February 2015 and oral arguments were heard June 2016 in the District of Columbia Circuit Court of Appeals.</w:t>
      </w:r>
      <w:r w:rsidR="00546A8D">
        <w:rPr>
          <w:rFonts w:ascii="Arial" w:hAnsi="Arial" w:cs="Arial"/>
          <w:sz w:val="24"/>
          <w:szCs w:val="24"/>
        </w:rPr>
        <w:t xml:space="preserve"> The timing of its findings is indeterminate.</w:t>
      </w:r>
    </w:p>
    <w:p w14:paraId="63F4861B" w14:textId="77777777" w:rsidR="00D85FB7" w:rsidRPr="00CC0840" w:rsidRDefault="00D85FB7" w:rsidP="00CC0840">
      <w:pPr>
        <w:pStyle w:val="NoSpacing"/>
        <w:jc w:val="both"/>
        <w:rPr>
          <w:rFonts w:ascii="Arial" w:hAnsi="Arial" w:cs="Arial"/>
          <w:sz w:val="24"/>
          <w:szCs w:val="24"/>
        </w:rPr>
      </w:pPr>
    </w:p>
    <w:p w14:paraId="36C99EF6" w14:textId="77777777" w:rsidR="00D85FB7" w:rsidRPr="00CC0840" w:rsidRDefault="00D85FB7" w:rsidP="00CC0840">
      <w:pPr>
        <w:pStyle w:val="NoSpacing"/>
        <w:jc w:val="both"/>
        <w:rPr>
          <w:rFonts w:ascii="Arial" w:hAnsi="Arial" w:cs="Arial"/>
          <w:sz w:val="24"/>
          <w:szCs w:val="24"/>
        </w:rPr>
      </w:pPr>
      <w:r w:rsidRPr="00CC0840">
        <w:rPr>
          <w:rFonts w:ascii="Arial" w:hAnsi="Arial" w:cs="Arial"/>
          <w:sz w:val="24"/>
          <w:szCs w:val="24"/>
        </w:rPr>
        <w:t>Under the proposed regulations, states may comply in two ways:</w:t>
      </w:r>
    </w:p>
    <w:p w14:paraId="6FE42572" w14:textId="6D85C1F9" w:rsidR="00D85FB7" w:rsidRPr="00CC0840" w:rsidRDefault="00D85FB7" w:rsidP="00CC0840">
      <w:pPr>
        <w:pStyle w:val="NoSpacing"/>
        <w:numPr>
          <w:ilvl w:val="0"/>
          <w:numId w:val="7"/>
        </w:numPr>
        <w:jc w:val="both"/>
        <w:rPr>
          <w:rFonts w:ascii="Arial" w:hAnsi="Arial" w:cs="Arial"/>
          <w:sz w:val="24"/>
          <w:szCs w:val="24"/>
        </w:rPr>
      </w:pPr>
      <w:r w:rsidRPr="00992012">
        <w:rPr>
          <w:rFonts w:ascii="Arial" w:hAnsi="Arial" w:cs="Arial"/>
          <w:sz w:val="24"/>
          <w:szCs w:val="24"/>
          <w:u w:val="single"/>
        </w:rPr>
        <w:t>Rate-based</w:t>
      </w:r>
      <w:r w:rsidRPr="00CC0840">
        <w:rPr>
          <w:rFonts w:ascii="Arial" w:hAnsi="Arial" w:cs="Arial"/>
          <w:sz w:val="24"/>
          <w:szCs w:val="24"/>
        </w:rPr>
        <w:t xml:space="preserve"> – </w:t>
      </w:r>
      <w:r w:rsidR="009658A7" w:rsidRPr="00CC0840">
        <w:rPr>
          <w:rFonts w:ascii="Arial" w:hAnsi="Arial" w:cs="Arial"/>
          <w:sz w:val="24"/>
          <w:szCs w:val="24"/>
        </w:rPr>
        <w:t>R</w:t>
      </w:r>
      <w:r w:rsidRPr="00CC0840">
        <w:rPr>
          <w:rFonts w:ascii="Arial" w:hAnsi="Arial" w:cs="Arial"/>
          <w:sz w:val="24"/>
          <w:szCs w:val="24"/>
        </w:rPr>
        <w:t>educing the average CO2 emissions rate (pounds of CO2/kilowatt-hour) from electric generating plants</w:t>
      </w:r>
      <w:r w:rsidR="00EF5418">
        <w:rPr>
          <w:rFonts w:ascii="Arial" w:hAnsi="Arial" w:cs="Arial"/>
          <w:sz w:val="24"/>
          <w:szCs w:val="24"/>
        </w:rPr>
        <w:t>, or</w:t>
      </w:r>
    </w:p>
    <w:p w14:paraId="1E7D7DB4" w14:textId="77777777" w:rsidR="00D85FB7" w:rsidRPr="00CC0840" w:rsidRDefault="00D85FB7" w:rsidP="00CC0840">
      <w:pPr>
        <w:pStyle w:val="NoSpacing"/>
        <w:numPr>
          <w:ilvl w:val="0"/>
          <w:numId w:val="7"/>
        </w:numPr>
        <w:jc w:val="both"/>
        <w:rPr>
          <w:rFonts w:ascii="Arial" w:hAnsi="Arial" w:cs="Arial"/>
          <w:sz w:val="24"/>
          <w:szCs w:val="24"/>
        </w:rPr>
      </w:pPr>
      <w:r w:rsidRPr="00992012">
        <w:rPr>
          <w:rFonts w:ascii="Arial" w:hAnsi="Arial" w:cs="Arial"/>
          <w:sz w:val="24"/>
          <w:szCs w:val="24"/>
          <w:u w:val="single"/>
        </w:rPr>
        <w:t>Mass-based</w:t>
      </w:r>
      <w:r w:rsidRPr="00CC0840">
        <w:rPr>
          <w:rFonts w:ascii="Arial" w:hAnsi="Arial" w:cs="Arial"/>
          <w:sz w:val="24"/>
          <w:szCs w:val="24"/>
        </w:rPr>
        <w:t xml:space="preserve"> – Limiting the total emissions (tons of CO2 per year)</w:t>
      </w:r>
    </w:p>
    <w:p w14:paraId="4F4C1C76" w14:textId="77777777" w:rsidR="00D85FB7" w:rsidRPr="00CC0840" w:rsidRDefault="00CC0840" w:rsidP="00CC0840">
      <w:pPr>
        <w:pStyle w:val="Heading2"/>
        <w:jc w:val="both"/>
        <w:rPr>
          <w:rFonts w:ascii="Arial" w:hAnsi="Arial" w:cs="Arial"/>
          <w:b/>
          <w:color w:val="auto"/>
          <w:sz w:val="24"/>
          <w:szCs w:val="24"/>
        </w:rPr>
      </w:pPr>
      <w:bookmarkStart w:id="9" w:name="_Toc459622867"/>
      <w:r w:rsidRPr="00CC0840">
        <w:rPr>
          <w:rFonts w:ascii="Arial" w:hAnsi="Arial" w:cs="Arial"/>
          <w:b/>
          <w:caps w:val="0"/>
          <w:color w:val="auto"/>
          <w:sz w:val="24"/>
          <w:szCs w:val="24"/>
        </w:rPr>
        <w:t>The Regional Focus</w:t>
      </w:r>
      <w:bookmarkEnd w:id="9"/>
    </w:p>
    <w:p w14:paraId="35ECABF1" w14:textId="77777777" w:rsidR="00D85FB7" w:rsidRPr="00CC0840" w:rsidRDefault="00D85FB7" w:rsidP="00CC0840">
      <w:pPr>
        <w:pStyle w:val="NoSpacing"/>
        <w:jc w:val="both"/>
        <w:rPr>
          <w:rFonts w:ascii="Arial" w:hAnsi="Arial" w:cs="Arial"/>
          <w:sz w:val="24"/>
          <w:szCs w:val="24"/>
        </w:rPr>
      </w:pPr>
    </w:p>
    <w:p w14:paraId="538D048E" w14:textId="77777777" w:rsidR="00D85FB7" w:rsidRPr="00CC0840" w:rsidRDefault="00D85FB7" w:rsidP="00CC0840">
      <w:pPr>
        <w:pStyle w:val="NoSpacing"/>
        <w:jc w:val="both"/>
        <w:rPr>
          <w:rFonts w:ascii="Arial" w:hAnsi="Arial" w:cs="Arial"/>
          <w:sz w:val="24"/>
          <w:szCs w:val="24"/>
        </w:rPr>
      </w:pPr>
      <w:r w:rsidRPr="00CC0840">
        <w:rPr>
          <w:rFonts w:ascii="Arial" w:hAnsi="Arial" w:cs="Arial"/>
          <w:sz w:val="24"/>
          <w:szCs w:val="24"/>
        </w:rPr>
        <w:t xml:space="preserve">The Northwest Power Planning and Conservation Council recently </w:t>
      </w:r>
      <w:r w:rsidR="009658A7" w:rsidRPr="00CC0840">
        <w:rPr>
          <w:rFonts w:ascii="Arial" w:hAnsi="Arial" w:cs="Arial"/>
          <w:sz w:val="24"/>
          <w:szCs w:val="24"/>
        </w:rPr>
        <w:t>approved</w:t>
      </w:r>
      <w:r w:rsidRPr="00CC0840">
        <w:rPr>
          <w:rFonts w:ascii="Arial" w:hAnsi="Arial" w:cs="Arial"/>
          <w:sz w:val="24"/>
          <w:szCs w:val="24"/>
        </w:rPr>
        <w:t xml:space="preserve"> its 7</w:t>
      </w:r>
      <w:r w:rsidRPr="00CC0840">
        <w:rPr>
          <w:rFonts w:ascii="Arial" w:hAnsi="Arial" w:cs="Arial"/>
          <w:sz w:val="24"/>
          <w:szCs w:val="24"/>
          <w:vertAlign w:val="superscript"/>
        </w:rPr>
        <w:t>th</w:t>
      </w:r>
      <w:r w:rsidRPr="00CC0840">
        <w:rPr>
          <w:rFonts w:ascii="Arial" w:hAnsi="Arial" w:cs="Arial"/>
          <w:sz w:val="24"/>
          <w:szCs w:val="24"/>
        </w:rPr>
        <w:t xml:space="preserve"> Power Plan (May 2016). </w:t>
      </w:r>
      <w:r w:rsidR="009658A7" w:rsidRPr="00CC0840">
        <w:rPr>
          <w:rFonts w:ascii="Arial" w:hAnsi="Arial" w:cs="Arial"/>
          <w:sz w:val="24"/>
          <w:szCs w:val="24"/>
        </w:rPr>
        <w:t xml:space="preserve"> Significant discussion, analyse</w:t>
      </w:r>
      <w:r w:rsidRPr="00CC0840">
        <w:rPr>
          <w:rFonts w:ascii="Arial" w:hAnsi="Arial" w:cs="Arial"/>
          <w:sz w:val="24"/>
          <w:szCs w:val="24"/>
        </w:rPr>
        <w:t>s, and scenarios regarding CO2 are contained in Chapters 3 an</w:t>
      </w:r>
      <w:r w:rsidR="0002051A" w:rsidRPr="00CC0840">
        <w:rPr>
          <w:rFonts w:ascii="Arial" w:hAnsi="Arial" w:cs="Arial"/>
          <w:sz w:val="24"/>
          <w:szCs w:val="24"/>
        </w:rPr>
        <w:t>d 15.  These will be addressed i</w:t>
      </w:r>
      <w:r w:rsidRPr="00CC0840">
        <w:rPr>
          <w:rFonts w:ascii="Arial" w:hAnsi="Arial" w:cs="Arial"/>
          <w:sz w:val="24"/>
          <w:szCs w:val="24"/>
        </w:rPr>
        <w:t xml:space="preserve">n the following section (“Types of CO2 </w:t>
      </w:r>
      <w:r w:rsidR="0002051A" w:rsidRPr="00CC0840">
        <w:rPr>
          <w:rFonts w:ascii="Arial" w:hAnsi="Arial" w:cs="Arial"/>
          <w:sz w:val="24"/>
          <w:szCs w:val="24"/>
        </w:rPr>
        <w:t>Adder Analyses</w:t>
      </w:r>
      <w:r w:rsidRPr="00CC0840">
        <w:rPr>
          <w:rFonts w:ascii="Arial" w:hAnsi="Arial" w:cs="Arial"/>
          <w:sz w:val="24"/>
          <w:szCs w:val="24"/>
        </w:rPr>
        <w:t>”).</w:t>
      </w:r>
    </w:p>
    <w:p w14:paraId="63F4AAC7" w14:textId="77777777" w:rsidR="00D85FB7" w:rsidRPr="00CC0840" w:rsidRDefault="00D85FB7" w:rsidP="00CC0840">
      <w:pPr>
        <w:pStyle w:val="NoSpacing"/>
        <w:jc w:val="both"/>
        <w:rPr>
          <w:rFonts w:ascii="Arial" w:hAnsi="Arial" w:cs="Arial"/>
          <w:sz w:val="24"/>
          <w:szCs w:val="24"/>
        </w:rPr>
      </w:pPr>
    </w:p>
    <w:p w14:paraId="44E63B4B" w14:textId="39EBB5BC" w:rsidR="00CC0840" w:rsidRDefault="00D85FB7" w:rsidP="00546A8D">
      <w:pPr>
        <w:pStyle w:val="NoSpacing"/>
        <w:jc w:val="both"/>
      </w:pPr>
      <w:r w:rsidRPr="00CC0840">
        <w:rPr>
          <w:rFonts w:ascii="Arial" w:hAnsi="Arial" w:cs="Arial"/>
          <w:sz w:val="24"/>
          <w:szCs w:val="24"/>
        </w:rPr>
        <w:t>Moreover, considerable prior regional collaboration has occurred regarding GHG, such as the proposed cap and trade program of the Western Climate Initiative.</w:t>
      </w:r>
      <w:bookmarkStart w:id="10" w:name="_Toc459622868"/>
      <w:r w:rsidR="00A04419">
        <w:rPr>
          <w:rStyle w:val="FootnoteReference"/>
          <w:rFonts w:ascii="Arial" w:hAnsi="Arial" w:cs="Arial"/>
          <w:sz w:val="24"/>
          <w:szCs w:val="24"/>
        </w:rPr>
        <w:footnoteReference w:id="7"/>
      </w:r>
    </w:p>
    <w:p w14:paraId="4F7D9884" w14:textId="77777777" w:rsidR="00D85FB7" w:rsidRPr="00CC0840" w:rsidRDefault="00CC0840" w:rsidP="00CC0840">
      <w:pPr>
        <w:pStyle w:val="Heading2"/>
        <w:jc w:val="both"/>
        <w:rPr>
          <w:rFonts w:ascii="Arial" w:hAnsi="Arial" w:cs="Arial"/>
          <w:b/>
          <w:color w:val="auto"/>
          <w:sz w:val="24"/>
          <w:szCs w:val="24"/>
        </w:rPr>
      </w:pPr>
      <w:r w:rsidRPr="00CC0840">
        <w:rPr>
          <w:rFonts w:ascii="Arial" w:hAnsi="Arial" w:cs="Arial"/>
          <w:b/>
          <w:caps w:val="0"/>
          <w:color w:val="auto"/>
          <w:sz w:val="24"/>
          <w:szCs w:val="24"/>
        </w:rPr>
        <w:t>Washington</w:t>
      </w:r>
      <w:bookmarkEnd w:id="10"/>
      <w:r w:rsidRPr="00CC0840">
        <w:rPr>
          <w:rFonts w:ascii="Arial" w:hAnsi="Arial" w:cs="Arial"/>
          <w:b/>
          <w:caps w:val="0"/>
          <w:color w:val="auto"/>
          <w:sz w:val="24"/>
          <w:szCs w:val="24"/>
        </w:rPr>
        <w:t xml:space="preserve"> </w:t>
      </w:r>
    </w:p>
    <w:p w14:paraId="2050EBDA" w14:textId="77777777" w:rsidR="00D85FB7" w:rsidRPr="00CC0840" w:rsidRDefault="00D85FB7" w:rsidP="00CC0840">
      <w:pPr>
        <w:pStyle w:val="NoSpacing"/>
        <w:jc w:val="both"/>
        <w:rPr>
          <w:rFonts w:ascii="Arial" w:hAnsi="Arial" w:cs="Arial"/>
          <w:sz w:val="24"/>
          <w:szCs w:val="24"/>
        </w:rPr>
      </w:pPr>
    </w:p>
    <w:p w14:paraId="5B74D340" w14:textId="60EF37D8" w:rsidR="002A7366" w:rsidRDefault="00D85FB7" w:rsidP="002A7366">
      <w:pPr>
        <w:pStyle w:val="NoSpacing"/>
        <w:jc w:val="both"/>
        <w:rPr>
          <w:rFonts w:ascii="Arial" w:hAnsi="Arial" w:cs="Arial"/>
          <w:sz w:val="24"/>
          <w:szCs w:val="24"/>
        </w:rPr>
      </w:pPr>
      <w:r w:rsidRPr="00CC0840">
        <w:rPr>
          <w:rFonts w:ascii="Arial" w:hAnsi="Arial" w:cs="Arial"/>
          <w:sz w:val="24"/>
          <w:szCs w:val="24"/>
        </w:rPr>
        <w:t xml:space="preserve">The Department of Ecology published its Draft Clean Air Rule </w:t>
      </w:r>
      <w:r w:rsidR="002A7366">
        <w:rPr>
          <w:rFonts w:ascii="Arial" w:hAnsi="Arial" w:cs="Arial"/>
          <w:sz w:val="24"/>
          <w:szCs w:val="24"/>
        </w:rPr>
        <w:t xml:space="preserve">(CAR) </w:t>
      </w:r>
      <w:r w:rsidRPr="00CC0840">
        <w:rPr>
          <w:rFonts w:ascii="Arial" w:hAnsi="Arial" w:cs="Arial"/>
          <w:sz w:val="24"/>
          <w:szCs w:val="24"/>
        </w:rPr>
        <w:t xml:space="preserve">in January (2016), with </w:t>
      </w:r>
      <w:r w:rsidR="0002051A" w:rsidRPr="00CC0840">
        <w:rPr>
          <w:rFonts w:ascii="Arial" w:hAnsi="Arial" w:cs="Arial"/>
          <w:sz w:val="24"/>
          <w:szCs w:val="24"/>
        </w:rPr>
        <w:t xml:space="preserve">a </w:t>
      </w:r>
      <w:r w:rsidR="002A7366">
        <w:rPr>
          <w:rFonts w:ascii="Arial" w:hAnsi="Arial" w:cs="Arial"/>
          <w:sz w:val="24"/>
          <w:szCs w:val="24"/>
        </w:rPr>
        <w:t xml:space="preserve">new draft released in June.  The CAR was adopted on September 15, 2016 </w:t>
      </w:r>
      <w:r w:rsidR="00AF146F">
        <w:rPr>
          <w:rFonts w:ascii="Arial" w:hAnsi="Arial" w:cs="Arial"/>
          <w:sz w:val="24"/>
          <w:szCs w:val="24"/>
        </w:rPr>
        <w:t>with an</w:t>
      </w:r>
      <w:r w:rsidR="002A7366">
        <w:rPr>
          <w:rFonts w:ascii="Arial" w:hAnsi="Arial" w:cs="Arial"/>
          <w:sz w:val="24"/>
          <w:szCs w:val="24"/>
        </w:rPr>
        <w:t xml:space="preserve"> effective </w:t>
      </w:r>
      <w:r w:rsidR="00AF146F">
        <w:rPr>
          <w:rFonts w:ascii="Arial" w:hAnsi="Arial" w:cs="Arial"/>
          <w:sz w:val="24"/>
          <w:szCs w:val="24"/>
        </w:rPr>
        <w:t xml:space="preserve">date of </w:t>
      </w:r>
      <w:r w:rsidR="002A7366">
        <w:rPr>
          <w:rFonts w:ascii="Arial" w:hAnsi="Arial" w:cs="Arial"/>
          <w:sz w:val="24"/>
          <w:szCs w:val="24"/>
        </w:rPr>
        <w:t xml:space="preserve">October 17, 2016.  </w:t>
      </w:r>
      <w:r w:rsidRPr="00CC0840">
        <w:rPr>
          <w:rFonts w:ascii="Arial" w:hAnsi="Arial" w:cs="Arial"/>
          <w:sz w:val="24"/>
          <w:szCs w:val="24"/>
        </w:rPr>
        <w:t xml:space="preserve">The reductions would come </w:t>
      </w:r>
      <w:r w:rsidRPr="00CC0840">
        <w:rPr>
          <w:rFonts w:ascii="Arial" w:hAnsi="Arial" w:cs="Arial"/>
          <w:sz w:val="24"/>
          <w:szCs w:val="24"/>
        </w:rPr>
        <w:lastRenderedPageBreak/>
        <w:t xml:space="preserve">from efficiency, investment in Washington, and/or purchased allowances and </w:t>
      </w:r>
      <w:r w:rsidR="00AF146F">
        <w:rPr>
          <w:rFonts w:ascii="Arial" w:hAnsi="Arial" w:cs="Arial"/>
          <w:sz w:val="24"/>
          <w:szCs w:val="24"/>
        </w:rPr>
        <w:t xml:space="preserve">carbon </w:t>
      </w:r>
      <w:r w:rsidRPr="00CC0840">
        <w:rPr>
          <w:rFonts w:ascii="Arial" w:hAnsi="Arial" w:cs="Arial"/>
          <w:sz w:val="24"/>
          <w:szCs w:val="24"/>
        </w:rPr>
        <w:t>offsets</w:t>
      </w:r>
      <w:r w:rsidR="002A7366">
        <w:rPr>
          <w:rFonts w:ascii="Arial" w:hAnsi="Arial" w:cs="Arial"/>
          <w:sz w:val="24"/>
          <w:szCs w:val="24"/>
        </w:rPr>
        <w:t xml:space="preserve">. On September 27, 2016, </w:t>
      </w:r>
      <w:r w:rsidR="002A7366" w:rsidRPr="002A7366">
        <w:rPr>
          <w:rFonts w:ascii="Arial" w:hAnsi="Arial" w:cs="Arial"/>
          <w:sz w:val="24"/>
          <w:szCs w:val="24"/>
        </w:rPr>
        <w:t>Avista Corporation, Cascade Natural Gas Corp., N</w:t>
      </w:r>
      <w:r w:rsidR="00892487">
        <w:rPr>
          <w:rFonts w:ascii="Arial" w:hAnsi="Arial" w:cs="Arial"/>
          <w:sz w:val="24"/>
          <w:szCs w:val="24"/>
        </w:rPr>
        <w:t>orthwest</w:t>
      </w:r>
      <w:r w:rsidR="002A7366" w:rsidRPr="002A7366">
        <w:rPr>
          <w:rFonts w:ascii="Arial" w:hAnsi="Arial" w:cs="Arial"/>
          <w:sz w:val="24"/>
          <w:szCs w:val="24"/>
        </w:rPr>
        <w:t xml:space="preserve"> Natural </w:t>
      </w:r>
      <w:r w:rsidR="00892487">
        <w:rPr>
          <w:rFonts w:ascii="Arial" w:hAnsi="Arial" w:cs="Arial"/>
          <w:sz w:val="24"/>
          <w:szCs w:val="24"/>
        </w:rPr>
        <w:t xml:space="preserve">Gas </w:t>
      </w:r>
      <w:r w:rsidR="002A7366" w:rsidRPr="002A7366">
        <w:rPr>
          <w:rFonts w:ascii="Arial" w:hAnsi="Arial" w:cs="Arial"/>
          <w:sz w:val="24"/>
          <w:szCs w:val="24"/>
        </w:rPr>
        <w:t xml:space="preserve">and Puget Sound Energy jointly filed an action in the U.S. District Court for the Eastern District of Washington challenging </w:t>
      </w:r>
      <w:r w:rsidR="002A7366">
        <w:rPr>
          <w:rFonts w:ascii="Arial" w:hAnsi="Arial" w:cs="Arial"/>
          <w:sz w:val="24"/>
          <w:szCs w:val="24"/>
        </w:rPr>
        <w:t>the CAR</w:t>
      </w:r>
      <w:r w:rsidR="002A7366" w:rsidRPr="002A7366">
        <w:rPr>
          <w:rFonts w:ascii="Arial" w:hAnsi="Arial" w:cs="Arial"/>
          <w:sz w:val="24"/>
          <w:szCs w:val="24"/>
        </w:rPr>
        <w:t>.</w:t>
      </w:r>
      <w:r w:rsidR="002A7366">
        <w:rPr>
          <w:rFonts w:ascii="Arial" w:hAnsi="Arial" w:cs="Arial"/>
          <w:sz w:val="24"/>
          <w:szCs w:val="24"/>
        </w:rPr>
        <w:t xml:space="preserve"> The four companies </w:t>
      </w:r>
      <w:r w:rsidR="002A7366" w:rsidRPr="002A7366">
        <w:rPr>
          <w:rFonts w:ascii="Arial" w:hAnsi="Arial" w:cs="Arial"/>
          <w:sz w:val="24"/>
          <w:szCs w:val="24"/>
        </w:rPr>
        <w:t xml:space="preserve">also </w:t>
      </w:r>
      <w:r w:rsidR="002A7366">
        <w:rPr>
          <w:rFonts w:ascii="Arial" w:hAnsi="Arial" w:cs="Arial"/>
          <w:sz w:val="24"/>
          <w:szCs w:val="24"/>
        </w:rPr>
        <w:t xml:space="preserve">indicated plans to </w:t>
      </w:r>
      <w:r w:rsidR="002A7366" w:rsidRPr="002A7366">
        <w:rPr>
          <w:rFonts w:ascii="Arial" w:hAnsi="Arial" w:cs="Arial"/>
          <w:sz w:val="24"/>
          <w:szCs w:val="24"/>
        </w:rPr>
        <w:t>file litigation in Thurston County Superior Court.</w:t>
      </w:r>
    </w:p>
    <w:p w14:paraId="2BD91BE9" w14:textId="77777777" w:rsidR="002A7366" w:rsidRPr="002A7366" w:rsidRDefault="002A7366" w:rsidP="002A7366">
      <w:pPr>
        <w:pStyle w:val="NoSpacing"/>
        <w:jc w:val="both"/>
        <w:rPr>
          <w:rFonts w:ascii="Arial" w:hAnsi="Arial" w:cs="Arial"/>
          <w:sz w:val="24"/>
          <w:szCs w:val="24"/>
        </w:rPr>
      </w:pPr>
    </w:p>
    <w:p w14:paraId="4310956F" w14:textId="77777777" w:rsidR="00D85FB7" w:rsidRPr="00CC0840" w:rsidRDefault="002A7366" w:rsidP="002A7366">
      <w:pPr>
        <w:pStyle w:val="NoSpacing"/>
        <w:jc w:val="both"/>
        <w:rPr>
          <w:rFonts w:ascii="Arial" w:hAnsi="Arial" w:cs="Arial"/>
          <w:sz w:val="24"/>
          <w:szCs w:val="24"/>
        </w:rPr>
      </w:pPr>
      <w:r>
        <w:rPr>
          <w:rFonts w:ascii="Arial" w:hAnsi="Arial" w:cs="Arial"/>
          <w:sz w:val="24"/>
          <w:szCs w:val="24"/>
        </w:rPr>
        <w:t xml:space="preserve">The </w:t>
      </w:r>
      <w:r w:rsidRPr="002A7366">
        <w:rPr>
          <w:rFonts w:ascii="Arial" w:hAnsi="Arial" w:cs="Arial"/>
          <w:sz w:val="24"/>
          <w:szCs w:val="24"/>
        </w:rPr>
        <w:t>Washington natural gas utilities believe that reducing greenhouse gas emissions is a matter that needs addressing, but CAR is not the solution.</w:t>
      </w:r>
      <w:r>
        <w:rPr>
          <w:rFonts w:ascii="Arial" w:hAnsi="Arial" w:cs="Arial"/>
          <w:sz w:val="24"/>
          <w:szCs w:val="24"/>
        </w:rPr>
        <w:t xml:space="preserve">  Because an action has been filed challenging CAR, Cascade’s 2016 IRP does not take the new rule into consideration. </w:t>
      </w:r>
    </w:p>
    <w:p w14:paraId="6E418A5B" w14:textId="77777777" w:rsidR="00D85FB7" w:rsidRPr="00CC0840" w:rsidRDefault="00D85FB7" w:rsidP="00CC0840">
      <w:pPr>
        <w:pStyle w:val="NoSpacing"/>
        <w:jc w:val="both"/>
        <w:rPr>
          <w:rFonts w:ascii="Arial" w:hAnsi="Arial" w:cs="Arial"/>
          <w:sz w:val="24"/>
          <w:szCs w:val="24"/>
        </w:rPr>
      </w:pPr>
    </w:p>
    <w:p w14:paraId="6365A663" w14:textId="5336C6F2" w:rsidR="00D85FB7" w:rsidRPr="00CC0840" w:rsidRDefault="00D85FB7" w:rsidP="00CC0840">
      <w:pPr>
        <w:pStyle w:val="NoSpacing"/>
        <w:jc w:val="both"/>
        <w:rPr>
          <w:rFonts w:ascii="Arial" w:hAnsi="Arial" w:cs="Arial"/>
          <w:sz w:val="24"/>
          <w:szCs w:val="24"/>
        </w:rPr>
      </w:pPr>
      <w:r w:rsidRPr="00CC0840">
        <w:rPr>
          <w:rFonts w:ascii="Arial" w:hAnsi="Arial" w:cs="Arial"/>
          <w:sz w:val="24"/>
          <w:szCs w:val="24"/>
        </w:rPr>
        <w:t>Initiative 732 (I-732 or “Clean Energy Future”) will appear on the November ballot.  I-732 would charge a carbon tax of $25 per ton of carbon, lower the sales tax by 1%, grant tax rebate of up to $1,500 annually to 400,000 low income families, and eliminate the business and occupation (B&amp;O) tax on manufacturing</w:t>
      </w:r>
      <w:r w:rsidR="00892487">
        <w:rPr>
          <w:rFonts w:ascii="Arial" w:hAnsi="Arial" w:cs="Arial"/>
          <w:sz w:val="24"/>
          <w:szCs w:val="24"/>
        </w:rPr>
        <w:t>.  On November 8</w:t>
      </w:r>
      <w:r w:rsidR="00892487" w:rsidRPr="00992012">
        <w:rPr>
          <w:rFonts w:ascii="Arial" w:hAnsi="Arial" w:cs="Arial"/>
          <w:sz w:val="24"/>
          <w:szCs w:val="24"/>
          <w:vertAlign w:val="superscript"/>
        </w:rPr>
        <w:t>th</w:t>
      </w:r>
      <w:r w:rsidR="00892487">
        <w:rPr>
          <w:rFonts w:ascii="Arial" w:hAnsi="Arial" w:cs="Arial"/>
          <w:sz w:val="24"/>
          <w:szCs w:val="24"/>
        </w:rPr>
        <w:t>, Washington voters approved/rejected this measure with the percentage vote being __% for/against. [Note to readers: this sentence will be update prior to submittal of the final IRP.]</w:t>
      </w:r>
      <w:r w:rsidRPr="00CC0840">
        <w:rPr>
          <w:rFonts w:ascii="Arial" w:hAnsi="Arial" w:cs="Arial"/>
          <w:sz w:val="24"/>
          <w:szCs w:val="24"/>
        </w:rPr>
        <w:t xml:space="preserve"> Potential other carbon initiatives are in-progress, such as one that may be introduced by environmental and labor advocates.</w:t>
      </w:r>
      <w:r w:rsidR="00514150" w:rsidRPr="00CC0840">
        <w:rPr>
          <w:rStyle w:val="FootnoteReference"/>
          <w:rFonts w:ascii="Arial" w:hAnsi="Arial" w:cs="Arial"/>
          <w:sz w:val="24"/>
          <w:szCs w:val="24"/>
        </w:rPr>
        <w:footnoteReference w:id="8"/>
      </w:r>
      <w:r w:rsidRPr="00CC0840">
        <w:rPr>
          <w:rFonts w:ascii="Arial" w:hAnsi="Arial" w:cs="Arial"/>
          <w:sz w:val="24"/>
          <w:szCs w:val="24"/>
        </w:rPr>
        <w:t xml:space="preserve">  Regardless, significant other state policies with CO2 impacts have been adopted including, but not limited to, the Energy Independence Act (“I-937”) and the </w:t>
      </w:r>
      <w:r w:rsidR="00514150" w:rsidRPr="00CC0840">
        <w:rPr>
          <w:rFonts w:ascii="Arial" w:hAnsi="Arial" w:cs="Arial"/>
          <w:sz w:val="24"/>
          <w:szCs w:val="24"/>
        </w:rPr>
        <w:t xml:space="preserve">Washington </w:t>
      </w:r>
      <w:r w:rsidRPr="00CC0840">
        <w:rPr>
          <w:rFonts w:ascii="Arial" w:hAnsi="Arial" w:cs="Arial"/>
          <w:sz w:val="24"/>
          <w:szCs w:val="24"/>
        </w:rPr>
        <w:t xml:space="preserve">State Electric Vehicle </w:t>
      </w:r>
      <w:r w:rsidR="00514150" w:rsidRPr="00CC0840">
        <w:rPr>
          <w:rFonts w:ascii="Arial" w:hAnsi="Arial" w:cs="Arial"/>
          <w:sz w:val="24"/>
          <w:szCs w:val="24"/>
        </w:rPr>
        <w:t xml:space="preserve">Action </w:t>
      </w:r>
      <w:r w:rsidRPr="00CC0840">
        <w:rPr>
          <w:rFonts w:ascii="Arial" w:hAnsi="Arial" w:cs="Arial"/>
          <w:sz w:val="24"/>
          <w:szCs w:val="24"/>
        </w:rPr>
        <w:t xml:space="preserve">Plan. </w:t>
      </w:r>
    </w:p>
    <w:p w14:paraId="4DAD225E" w14:textId="77777777" w:rsidR="00D85FB7" w:rsidRPr="00CC0840" w:rsidRDefault="00CC0840" w:rsidP="00CC0840">
      <w:pPr>
        <w:pStyle w:val="Heading2"/>
        <w:jc w:val="both"/>
        <w:rPr>
          <w:rFonts w:ascii="Arial" w:hAnsi="Arial" w:cs="Arial"/>
          <w:b/>
          <w:color w:val="auto"/>
          <w:sz w:val="24"/>
          <w:szCs w:val="24"/>
        </w:rPr>
      </w:pPr>
      <w:bookmarkStart w:id="11" w:name="_Toc459622869"/>
      <w:r w:rsidRPr="00CC0840">
        <w:rPr>
          <w:rFonts w:ascii="Arial" w:hAnsi="Arial" w:cs="Arial"/>
          <w:b/>
          <w:caps w:val="0"/>
          <w:color w:val="auto"/>
          <w:sz w:val="24"/>
          <w:szCs w:val="24"/>
        </w:rPr>
        <w:t>Oregon</w:t>
      </w:r>
      <w:bookmarkEnd w:id="11"/>
      <w:r w:rsidRPr="00CC0840">
        <w:rPr>
          <w:rFonts w:ascii="Arial" w:hAnsi="Arial" w:cs="Arial"/>
          <w:b/>
          <w:caps w:val="0"/>
          <w:color w:val="auto"/>
          <w:sz w:val="24"/>
          <w:szCs w:val="24"/>
        </w:rPr>
        <w:t xml:space="preserve"> </w:t>
      </w:r>
    </w:p>
    <w:p w14:paraId="060C5A67" w14:textId="77777777" w:rsidR="00D85FB7" w:rsidRPr="00CC0840" w:rsidRDefault="00D85FB7" w:rsidP="00CC0840">
      <w:pPr>
        <w:pStyle w:val="NoSpacing"/>
        <w:jc w:val="both"/>
        <w:rPr>
          <w:rFonts w:ascii="Arial" w:hAnsi="Arial" w:cs="Arial"/>
          <w:sz w:val="24"/>
          <w:szCs w:val="24"/>
        </w:rPr>
      </w:pPr>
    </w:p>
    <w:p w14:paraId="22F4C443" w14:textId="777B19B0" w:rsidR="00D85FB7" w:rsidRPr="00CC0840" w:rsidRDefault="00D85FB7" w:rsidP="00CC0840">
      <w:pPr>
        <w:pStyle w:val="NoSpacing"/>
        <w:jc w:val="both"/>
        <w:rPr>
          <w:rFonts w:ascii="Arial" w:hAnsi="Arial" w:cs="Arial"/>
          <w:sz w:val="24"/>
          <w:szCs w:val="24"/>
        </w:rPr>
      </w:pPr>
      <w:r w:rsidRPr="00CC0840">
        <w:rPr>
          <w:rFonts w:ascii="Arial" w:hAnsi="Arial" w:cs="Arial"/>
          <w:sz w:val="24"/>
          <w:szCs w:val="24"/>
        </w:rPr>
        <w:t>The Oregon Legislature has actively considered multiple new state laws as follows</w:t>
      </w:r>
      <w:r w:rsidR="00AF146F">
        <w:rPr>
          <w:rFonts w:ascii="Arial" w:hAnsi="Arial" w:cs="Arial"/>
          <w:sz w:val="24"/>
          <w:szCs w:val="24"/>
        </w:rPr>
        <w:t>:</w:t>
      </w:r>
      <w:r w:rsidRPr="00CC0840">
        <w:rPr>
          <w:rFonts w:ascii="Arial" w:hAnsi="Arial" w:cs="Arial"/>
          <w:sz w:val="24"/>
          <w:szCs w:val="24"/>
        </w:rPr>
        <w:t xml:space="preserve">  </w:t>
      </w:r>
    </w:p>
    <w:p w14:paraId="231A0393" w14:textId="77777777" w:rsidR="00D85FB7" w:rsidRPr="00CC0840" w:rsidRDefault="00D85FB7" w:rsidP="00CC0840">
      <w:pPr>
        <w:pStyle w:val="NoSpacing"/>
        <w:jc w:val="both"/>
        <w:rPr>
          <w:rFonts w:ascii="Arial" w:hAnsi="Arial" w:cs="Arial"/>
          <w:sz w:val="24"/>
          <w:szCs w:val="24"/>
        </w:rPr>
      </w:pPr>
    </w:p>
    <w:p w14:paraId="3807F1F3" w14:textId="77777777" w:rsidR="00D85FB7" w:rsidRPr="00CC0840" w:rsidRDefault="00D85FB7" w:rsidP="00CC0840">
      <w:pPr>
        <w:pStyle w:val="NoSpacing"/>
        <w:numPr>
          <w:ilvl w:val="0"/>
          <w:numId w:val="8"/>
        </w:numPr>
        <w:ind w:left="360"/>
        <w:jc w:val="both"/>
        <w:rPr>
          <w:rFonts w:ascii="Arial" w:hAnsi="Arial" w:cs="Arial"/>
          <w:sz w:val="24"/>
          <w:szCs w:val="24"/>
        </w:rPr>
      </w:pPr>
      <w:r w:rsidRPr="00CC0840">
        <w:rPr>
          <w:rFonts w:ascii="Arial" w:hAnsi="Arial" w:cs="Arial"/>
          <w:sz w:val="24"/>
          <w:szCs w:val="24"/>
        </w:rPr>
        <w:t>“Coal to Clean” law</w:t>
      </w:r>
      <w:r w:rsidR="00514150" w:rsidRPr="00CC0840">
        <w:rPr>
          <w:rFonts w:ascii="Arial" w:hAnsi="Arial" w:cs="Arial"/>
          <w:sz w:val="24"/>
          <w:szCs w:val="24"/>
        </w:rPr>
        <w:t xml:space="preserve"> adopted</w:t>
      </w:r>
      <w:r w:rsidRPr="00CC0840">
        <w:rPr>
          <w:rFonts w:ascii="Arial" w:hAnsi="Arial" w:cs="Arial"/>
          <w:sz w:val="24"/>
          <w:szCs w:val="24"/>
        </w:rPr>
        <w:t xml:space="preserve"> in 2016 (SB 1547)</w:t>
      </w:r>
    </w:p>
    <w:p w14:paraId="23D9BF10" w14:textId="77777777" w:rsidR="00D85FB7" w:rsidRPr="00CC0840" w:rsidRDefault="00D85FB7" w:rsidP="00CC0840">
      <w:pPr>
        <w:pStyle w:val="NoSpacing"/>
        <w:numPr>
          <w:ilvl w:val="1"/>
          <w:numId w:val="8"/>
        </w:numPr>
        <w:jc w:val="both"/>
        <w:rPr>
          <w:rFonts w:ascii="Arial" w:hAnsi="Arial" w:cs="Arial"/>
          <w:sz w:val="24"/>
          <w:szCs w:val="24"/>
        </w:rPr>
      </w:pPr>
      <w:r w:rsidRPr="00CC0840">
        <w:rPr>
          <w:rFonts w:ascii="Arial" w:hAnsi="Arial" w:cs="Arial"/>
          <w:sz w:val="24"/>
          <w:szCs w:val="24"/>
        </w:rPr>
        <w:t>Effectively eliminates coal power by 2030</w:t>
      </w:r>
    </w:p>
    <w:p w14:paraId="73837CBC" w14:textId="324AD86E" w:rsidR="00D85FB7" w:rsidRPr="00CC0840" w:rsidRDefault="00D85FB7" w:rsidP="00CC0840">
      <w:pPr>
        <w:pStyle w:val="NoSpacing"/>
        <w:numPr>
          <w:ilvl w:val="1"/>
          <w:numId w:val="8"/>
        </w:numPr>
        <w:jc w:val="both"/>
        <w:rPr>
          <w:rFonts w:ascii="Arial" w:hAnsi="Arial" w:cs="Arial"/>
          <w:sz w:val="24"/>
          <w:szCs w:val="24"/>
        </w:rPr>
      </w:pPr>
      <w:r w:rsidRPr="00CC0840">
        <w:rPr>
          <w:rFonts w:ascii="Arial" w:hAnsi="Arial" w:cs="Arial"/>
          <w:sz w:val="24"/>
          <w:szCs w:val="24"/>
        </w:rPr>
        <w:t>50% renewable electric generation by 2040</w:t>
      </w:r>
      <w:r w:rsidR="00AF146F">
        <w:rPr>
          <w:rFonts w:ascii="Arial" w:hAnsi="Arial" w:cs="Arial"/>
          <w:sz w:val="24"/>
          <w:szCs w:val="24"/>
        </w:rPr>
        <w:t>.</w:t>
      </w:r>
    </w:p>
    <w:p w14:paraId="165533C8" w14:textId="77777777" w:rsidR="00D85FB7" w:rsidRPr="00CC0840" w:rsidRDefault="00D85FB7" w:rsidP="00CC0840">
      <w:pPr>
        <w:pStyle w:val="NoSpacing"/>
        <w:jc w:val="both"/>
        <w:rPr>
          <w:rFonts w:ascii="Arial" w:hAnsi="Arial" w:cs="Arial"/>
          <w:sz w:val="24"/>
          <w:szCs w:val="24"/>
        </w:rPr>
      </w:pPr>
    </w:p>
    <w:p w14:paraId="5DB04051" w14:textId="77777777" w:rsidR="00D85FB7" w:rsidRPr="00CC0840" w:rsidRDefault="00D85FB7" w:rsidP="00CC0840">
      <w:pPr>
        <w:pStyle w:val="NoSpacing"/>
        <w:numPr>
          <w:ilvl w:val="0"/>
          <w:numId w:val="8"/>
        </w:numPr>
        <w:ind w:left="360"/>
        <w:jc w:val="both"/>
        <w:rPr>
          <w:rFonts w:ascii="Arial" w:hAnsi="Arial" w:cs="Arial"/>
          <w:sz w:val="24"/>
          <w:szCs w:val="24"/>
        </w:rPr>
      </w:pPr>
      <w:r w:rsidRPr="00CC0840">
        <w:rPr>
          <w:rFonts w:ascii="Arial" w:hAnsi="Arial" w:cs="Arial"/>
          <w:sz w:val="24"/>
          <w:szCs w:val="24"/>
        </w:rPr>
        <w:t>Several other legislative proposals considered without adoption in 2016:</w:t>
      </w:r>
    </w:p>
    <w:p w14:paraId="4DA05A43" w14:textId="77777777" w:rsidR="00D85FB7" w:rsidRPr="00CC0840" w:rsidRDefault="00D85FB7" w:rsidP="00CC0840">
      <w:pPr>
        <w:pStyle w:val="NoSpacing"/>
        <w:numPr>
          <w:ilvl w:val="1"/>
          <w:numId w:val="8"/>
        </w:numPr>
        <w:jc w:val="both"/>
        <w:rPr>
          <w:rFonts w:ascii="Arial" w:hAnsi="Arial" w:cs="Arial"/>
          <w:sz w:val="24"/>
          <w:szCs w:val="24"/>
        </w:rPr>
      </w:pPr>
      <w:r w:rsidRPr="00CC0840">
        <w:rPr>
          <w:rFonts w:ascii="Arial" w:hAnsi="Arial" w:cs="Arial"/>
          <w:sz w:val="24"/>
          <w:szCs w:val="24"/>
        </w:rPr>
        <w:t>Replace GHG emission goal with cap and trade program (SB 1574)</w:t>
      </w:r>
    </w:p>
    <w:p w14:paraId="1BB39954" w14:textId="77777777" w:rsidR="00D85FB7" w:rsidRPr="00CC0840" w:rsidRDefault="00D85FB7" w:rsidP="00CC0840">
      <w:pPr>
        <w:pStyle w:val="NoSpacing"/>
        <w:numPr>
          <w:ilvl w:val="1"/>
          <w:numId w:val="8"/>
        </w:numPr>
        <w:jc w:val="both"/>
        <w:rPr>
          <w:rFonts w:ascii="Arial" w:hAnsi="Arial" w:cs="Arial"/>
          <w:sz w:val="24"/>
          <w:szCs w:val="24"/>
        </w:rPr>
      </w:pPr>
      <w:r w:rsidRPr="00CC0840">
        <w:rPr>
          <w:rFonts w:ascii="Arial" w:hAnsi="Arial" w:cs="Arial"/>
          <w:sz w:val="24"/>
          <w:szCs w:val="24"/>
        </w:rPr>
        <w:t>Repeal GHG emission goal; requires Environmental Quality Commission to adopt goals and limits (HB 4068)</w:t>
      </w:r>
    </w:p>
    <w:p w14:paraId="540DEEF3" w14:textId="77777777" w:rsidR="00D85FB7" w:rsidRPr="00CC0840" w:rsidRDefault="00D85FB7" w:rsidP="00CC0840">
      <w:pPr>
        <w:pStyle w:val="NoSpacing"/>
        <w:jc w:val="both"/>
        <w:rPr>
          <w:rFonts w:ascii="Arial" w:hAnsi="Arial" w:cs="Arial"/>
          <w:sz w:val="24"/>
          <w:szCs w:val="24"/>
        </w:rPr>
      </w:pPr>
    </w:p>
    <w:p w14:paraId="3594CC66" w14:textId="77777777" w:rsidR="00D85FB7" w:rsidRDefault="00D85FB7" w:rsidP="00CC0840">
      <w:pPr>
        <w:pStyle w:val="NoSpacing"/>
        <w:jc w:val="both"/>
        <w:rPr>
          <w:rFonts w:ascii="Arial" w:hAnsi="Arial" w:cs="Arial"/>
          <w:sz w:val="24"/>
          <w:szCs w:val="24"/>
        </w:rPr>
      </w:pPr>
      <w:r w:rsidRPr="00CC0840">
        <w:rPr>
          <w:rFonts w:ascii="Arial" w:hAnsi="Arial" w:cs="Arial"/>
          <w:sz w:val="24"/>
          <w:szCs w:val="24"/>
        </w:rPr>
        <w:t>Additional proposals are expected in the 2017 legislative session</w:t>
      </w:r>
      <w:r w:rsidR="00CC0840">
        <w:rPr>
          <w:rFonts w:ascii="Arial" w:hAnsi="Arial" w:cs="Arial"/>
          <w:sz w:val="24"/>
          <w:szCs w:val="24"/>
        </w:rPr>
        <w:t>.</w:t>
      </w:r>
    </w:p>
    <w:p w14:paraId="7C5DD1D8" w14:textId="77777777" w:rsidR="00AF146F" w:rsidRDefault="00AF146F" w:rsidP="00CC0840">
      <w:pPr>
        <w:pStyle w:val="NoSpacing"/>
        <w:jc w:val="both"/>
        <w:rPr>
          <w:rFonts w:ascii="Arial" w:hAnsi="Arial" w:cs="Arial"/>
          <w:sz w:val="24"/>
          <w:szCs w:val="24"/>
        </w:rPr>
      </w:pPr>
    </w:p>
    <w:p w14:paraId="2E0DF2E3" w14:textId="77777777" w:rsidR="00992012" w:rsidRDefault="00992012" w:rsidP="00CC0840">
      <w:pPr>
        <w:pStyle w:val="NoSpacing"/>
        <w:jc w:val="both"/>
        <w:rPr>
          <w:rFonts w:ascii="Arial" w:hAnsi="Arial" w:cs="Arial"/>
          <w:sz w:val="24"/>
          <w:szCs w:val="24"/>
        </w:rPr>
      </w:pPr>
    </w:p>
    <w:p w14:paraId="682BB6C5" w14:textId="77777777" w:rsidR="00992012" w:rsidRPr="00CC0840" w:rsidRDefault="00992012" w:rsidP="00CC0840">
      <w:pPr>
        <w:pStyle w:val="NoSpacing"/>
        <w:jc w:val="both"/>
        <w:rPr>
          <w:rFonts w:ascii="Arial" w:hAnsi="Arial" w:cs="Arial"/>
          <w:sz w:val="24"/>
          <w:szCs w:val="24"/>
        </w:rPr>
      </w:pPr>
    </w:p>
    <w:p w14:paraId="28724304" w14:textId="77777777" w:rsidR="00D85FB7" w:rsidRPr="00CC0840" w:rsidRDefault="00D85FB7" w:rsidP="00CC0840">
      <w:pPr>
        <w:pStyle w:val="Heading1"/>
        <w:jc w:val="both"/>
        <w:rPr>
          <w:rFonts w:ascii="Arial" w:hAnsi="Arial" w:cs="Arial"/>
          <w:b/>
          <w:color w:val="auto"/>
          <w:sz w:val="24"/>
          <w:szCs w:val="24"/>
        </w:rPr>
      </w:pPr>
      <w:bookmarkStart w:id="12" w:name="_Toc459622870"/>
      <w:r w:rsidRPr="00CC0840">
        <w:rPr>
          <w:rFonts w:ascii="Arial" w:hAnsi="Arial" w:cs="Arial"/>
          <w:b/>
          <w:color w:val="auto"/>
          <w:sz w:val="24"/>
          <w:szCs w:val="24"/>
        </w:rPr>
        <w:lastRenderedPageBreak/>
        <w:t>Types of CO2 Adder Analyses</w:t>
      </w:r>
      <w:bookmarkEnd w:id="12"/>
      <w:r w:rsidRPr="00CC0840">
        <w:rPr>
          <w:rFonts w:ascii="Arial" w:hAnsi="Arial" w:cs="Arial"/>
          <w:b/>
          <w:color w:val="auto"/>
          <w:sz w:val="24"/>
          <w:szCs w:val="24"/>
        </w:rPr>
        <w:t xml:space="preserve"> </w:t>
      </w:r>
    </w:p>
    <w:p w14:paraId="4281C1C0" w14:textId="77777777" w:rsidR="00D85FB7" w:rsidRPr="00CC0840" w:rsidRDefault="00D85FB7" w:rsidP="00CC0840">
      <w:pPr>
        <w:pStyle w:val="NoSpacing"/>
        <w:jc w:val="both"/>
        <w:rPr>
          <w:rFonts w:ascii="Arial" w:hAnsi="Arial" w:cs="Arial"/>
          <w:sz w:val="24"/>
          <w:szCs w:val="24"/>
        </w:rPr>
      </w:pPr>
    </w:p>
    <w:p w14:paraId="06F2BFAA" w14:textId="77777777" w:rsidR="00D85FB7" w:rsidRPr="00CC0840" w:rsidRDefault="00D85FB7" w:rsidP="00CC0840">
      <w:pPr>
        <w:pStyle w:val="NoSpacing"/>
        <w:jc w:val="both"/>
        <w:rPr>
          <w:rFonts w:ascii="Arial" w:hAnsi="Arial" w:cs="Arial"/>
          <w:sz w:val="24"/>
          <w:szCs w:val="24"/>
        </w:rPr>
      </w:pPr>
      <w:r w:rsidRPr="00CC0840">
        <w:rPr>
          <w:rFonts w:ascii="Arial" w:hAnsi="Arial" w:cs="Arial"/>
          <w:sz w:val="24"/>
          <w:szCs w:val="24"/>
        </w:rPr>
        <w:t>The Council’s Seventh Power Plan summarizes applicable approaches.  While directed to the electric industry, these are provided as illustrations of the potential scope of methodologies and recently-performed analyses.  These are excerpted</w:t>
      </w:r>
      <w:r w:rsidR="00514150" w:rsidRPr="00CC0840">
        <w:rPr>
          <w:rFonts w:ascii="Arial" w:hAnsi="Arial" w:cs="Arial"/>
          <w:sz w:val="24"/>
          <w:szCs w:val="24"/>
        </w:rPr>
        <w:t xml:space="preserve">, </w:t>
      </w:r>
      <w:r w:rsidR="00514150" w:rsidRPr="00CC0840">
        <w:rPr>
          <w:rFonts w:ascii="Arial" w:hAnsi="Arial" w:cs="Arial"/>
          <w:i/>
          <w:sz w:val="24"/>
          <w:szCs w:val="24"/>
        </w:rPr>
        <w:t>verbatim</w:t>
      </w:r>
      <w:r w:rsidR="00514150" w:rsidRPr="00CC0840">
        <w:rPr>
          <w:rFonts w:ascii="Arial" w:hAnsi="Arial" w:cs="Arial"/>
          <w:sz w:val="24"/>
          <w:szCs w:val="24"/>
        </w:rPr>
        <w:t>,</w:t>
      </w:r>
      <w:r w:rsidRPr="00CC0840">
        <w:rPr>
          <w:rFonts w:ascii="Arial" w:hAnsi="Arial" w:cs="Arial"/>
          <w:sz w:val="24"/>
          <w:szCs w:val="24"/>
        </w:rPr>
        <w:t xml:space="preserve"> so as to illustrate the Plan’s characterization of each.</w:t>
      </w:r>
    </w:p>
    <w:p w14:paraId="29AF993A" w14:textId="77777777" w:rsidR="00D85FB7" w:rsidRPr="00CC0840" w:rsidRDefault="00D85FB7" w:rsidP="00CC0840">
      <w:pPr>
        <w:pStyle w:val="NoSpacing"/>
        <w:jc w:val="both"/>
        <w:rPr>
          <w:rFonts w:ascii="Arial" w:hAnsi="Arial" w:cs="Arial"/>
          <w:sz w:val="24"/>
          <w:szCs w:val="24"/>
        </w:rPr>
      </w:pPr>
    </w:p>
    <w:p w14:paraId="50960FF3" w14:textId="77777777" w:rsidR="00D85FB7" w:rsidRPr="00CC0840" w:rsidRDefault="006B0B67" w:rsidP="00CC0840">
      <w:pPr>
        <w:pStyle w:val="NoSpacing"/>
        <w:jc w:val="both"/>
        <w:rPr>
          <w:rFonts w:ascii="Arial" w:hAnsi="Arial" w:cs="Arial"/>
          <w:sz w:val="24"/>
          <w:szCs w:val="24"/>
          <w:u w:val="single"/>
        </w:rPr>
      </w:pPr>
      <w:r w:rsidRPr="00CC0840">
        <w:rPr>
          <w:rFonts w:ascii="Arial" w:hAnsi="Arial" w:cs="Arial"/>
          <w:sz w:val="24"/>
          <w:szCs w:val="24"/>
          <w:u w:val="single"/>
        </w:rPr>
        <w:t>Social Cost of Carbon (SCC)</w:t>
      </w:r>
    </w:p>
    <w:p w14:paraId="27EEBADD" w14:textId="77777777" w:rsidR="00D85FB7" w:rsidRPr="00CC0840" w:rsidRDefault="00D85FB7" w:rsidP="00CC0840">
      <w:pPr>
        <w:pStyle w:val="NoSpacing"/>
        <w:ind w:left="720"/>
        <w:jc w:val="both"/>
        <w:rPr>
          <w:rFonts w:ascii="Arial" w:hAnsi="Arial" w:cs="Arial"/>
          <w:sz w:val="24"/>
          <w:szCs w:val="24"/>
        </w:rPr>
      </w:pPr>
      <w:r w:rsidRPr="00CC0840">
        <w:rPr>
          <w:rFonts w:ascii="Arial" w:hAnsi="Arial" w:cs="Arial"/>
          <w:sz w:val="24"/>
          <w:szCs w:val="24"/>
        </w:rPr>
        <w:t>“Two scenarios, the Social Cost of Carbon – Mid-Range (SCC-MidRange) and Social Cost of Carbon – High (SCC-High), use the US Interagency Working Group on Social Cost of Carbon’s estimates of the damage cost of forecast global climate change. According to the Working Group, the SCC is an estimate of the economic damages associated with a small increase in carbon dioxide (CO2) emissions, conventionally one metric ton, in a given year. This dollar figure also represents the value of damages avoided for a small emission reduction (i.e. the benefit of a CO2 reduction). Therefore, in theory, the cost and economic risk of the resource strategy that achieves carbon dioxide emissions reductions equivalent to the social cost of carbon would offset the cost of damage.”</w:t>
      </w:r>
    </w:p>
    <w:p w14:paraId="0C83851C" w14:textId="77777777" w:rsidR="00D85FB7" w:rsidRPr="00CC0840" w:rsidRDefault="00D85FB7" w:rsidP="00CC0840">
      <w:pPr>
        <w:pStyle w:val="NoSpacing"/>
        <w:jc w:val="both"/>
        <w:rPr>
          <w:rFonts w:ascii="Arial" w:hAnsi="Arial" w:cs="Arial"/>
          <w:sz w:val="24"/>
          <w:szCs w:val="24"/>
        </w:rPr>
      </w:pPr>
    </w:p>
    <w:p w14:paraId="2C9627F7" w14:textId="77777777" w:rsidR="00D85FB7" w:rsidRPr="00CC0840" w:rsidRDefault="006B0B67" w:rsidP="00CC0840">
      <w:pPr>
        <w:pStyle w:val="NoSpacing"/>
        <w:jc w:val="both"/>
        <w:rPr>
          <w:rFonts w:ascii="Arial" w:hAnsi="Arial" w:cs="Arial"/>
          <w:sz w:val="24"/>
          <w:szCs w:val="24"/>
          <w:u w:val="single"/>
        </w:rPr>
      </w:pPr>
      <w:r w:rsidRPr="00CC0840">
        <w:rPr>
          <w:rFonts w:ascii="Arial" w:hAnsi="Arial" w:cs="Arial"/>
          <w:sz w:val="24"/>
          <w:szCs w:val="24"/>
          <w:u w:val="single"/>
        </w:rPr>
        <w:t>Carbon Cost Risk</w:t>
      </w:r>
    </w:p>
    <w:p w14:paraId="1787E954" w14:textId="77777777" w:rsidR="00D85FB7" w:rsidRPr="00CC0840" w:rsidRDefault="00D85FB7" w:rsidP="00CC0840">
      <w:pPr>
        <w:pStyle w:val="NoSpacing"/>
        <w:ind w:left="720"/>
        <w:jc w:val="both"/>
        <w:rPr>
          <w:rFonts w:ascii="Arial" w:hAnsi="Arial" w:cs="Arial"/>
          <w:sz w:val="24"/>
          <w:szCs w:val="24"/>
        </w:rPr>
      </w:pPr>
      <w:r w:rsidRPr="00CC0840">
        <w:rPr>
          <w:rFonts w:ascii="Arial" w:hAnsi="Arial" w:cs="Arial"/>
          <w:sz w:val="24"/>
          <w:szCs w:val="24"/>
        </w:rPr>
        <w:t>“The carbon cost risk scenario is intended to explore what resources result in the lowest expected cost and economic risk given existing policy plus the economic risk that additional carbon dioxide reduction policies will be implemented. Each of the 800 futures imposes a carbon dioxide price from $0 to $110 per metric ton at a random year during the 20 year planning period. Over time, the probability of a carbon dioxide price being imposed and the level of that price both increase. By 2035, the average price of carbon dioxide rises to $47 per metric ton across all futures. It should be noted, that the use of a carbon dioxide price does not presume that a “pricing policy” (e.g., carbon tax, cap and trade system) would be used to reduce carbon dioxide emissions. The prices imposed in this scenario could also be a proxy for the cost imposed on the power system through regulation to reduce carbon dioxide emissions (e.g., caps on emissions).”</w:t>
      </w:r>
    </w:p>
    <w:p w14:paraId="540EF0A4" w14:textId="77777777" w:rsidR="00D85FB7" w:rsidRPr="00CC0840" w:rsidRDefault="00D85FB7" w:rsidP="00CC0840">
      <w:pPr>
        <w:pStyle w:val="NoSpacing"/>
        <w:jc w:val="both"/>
        <w:rPr>
          <w:rFonts w:ascii="Arial" w:hAnsi="Arial" w:cs="Arial"/>
          <w:sz w:val="24"/>
          <w:szCs w:val="24"/>
        </w:rPr>
      </w:pPr>
    </w:p>
    <w:p w14:paraId="5C329519" w14:textId="77777777" w:rsidR="00D85FB7" w:rsidRPr="00CC0840" w:rsidRDefault="00D85FB7" w:rsidP="00CC0840">
      <w:pPr>
        <w:pStyle w:val="NoSpacing"/>
        <w:jc w:val="both"/>
        <w:rPr>
          <w:rFonts w:ascii="Arial" w:hAnsi="Arial" w:cs="Arial"/>
          <w:sz w:val="24"/>
          <w:szCs w:val="24"/>
          <w:u w:val="single"/>
        </w:rPr>
      </w:pPr>
      <w:r w:rsidRPr="00CC0840">
        <w:rPr>
          <w:rFonts w:ascii="Arial" w:hAnsi="Arial" w:cs="Arial"/>
          <w:sz w:val="24"/>
          <w:szCs w:val="24"/>
          <w:u w:val="single"/>
        </w:rPr>
        <w:t xml:space="preserve">Regional Renewable Portfolio Standard at 35 </w:t>
      </w:r>
      <w:r w:rsidR="006B0B67" w:rsidRPr="00CC0840">
        <w:rPr>
          <w:rFonts w:ascii="Arial" w:hAnsi="Arial" w:cs="Arial"/>
          <w:sz w:val="24"/>
          <w:szCs w:val="24"/>
          <w:u w:val="single"/>
        </w:rPr>
        <w:t>Percent (Regional RPS at 35%)</w:t>
      </w:r>
    </w:p>
    <w:p w14:paraId="1B8ED1E7" w14:textId="2934972E" w:rsidR="00D85FB7" w:rsidRPr="00CC0840" w:rsidRDefault="00D85FB7" w:rsidP="00CC0840">
      <w:pPr>
        <w:pStyle w:val="NoSpacing"/>
        <w:ind w:left="720"/>
        <w:jc w:val="both"/>
        <w:rPr>
          <w:rFonts w:ascii="Arial" w:hAnsi="Arial" w:cs="Arial"/>
          <w:sz w:val="24"/>
          <w:szCs w:val="24"/>
        </w:rPr>
      </w:pPr>
      <w:r w:rsidRPr="00CC0840">
        <w:rPr>
          <w:rFonts w:ascii="Arial" w:hAnsi="Arial" w:cs="Arial"/>
          <w:sz w:val="24"/>
          <w:szCs w:val="24"/>
        </w:rPr>
        <w:t xml:space="preserve">“This scenario assumes that a region wide Renewable Portfolio Standard (RPS) is established at 35 percent of regional retail electricity sales across all four Northwest states. Presently, three states in the region have RPS. Montana and Washington require that 15 percent of the retail sales </w:t>
      </w:r>
      <w:r w:rsidR="0068350F" w:rsidRPr="00CC0840">
        <w:rPr>
          <w:rFonts w:ascii="Arial" w:hAnsi="Arial" w:cs="Arial"/>
          <w:sz w:val="24"/>
          <w:szCs w:val="24"/>
        </w:rPr>
        <w:t>of</w:t>
      </w:r>
      <w:r w:rsidR="0068350F">
        <w:rPr>
          <w:rFonts w:ascii="Arial" w:hAnsi="Arial" w:cs="Arial"/>
          <w:sz w:val="24"/>
          <w:szCs w:val="24"/>
        </w:rPr>
        <w:t xml:space="preserve"> energy </w:t>
      </w:r>
      <w:r w:rsidRPr="00CC0840">
        <w:rPr>
          <w:rFonts w:ascii="Arial" w:hAnsi="Arial" w:cs="Arial"/>
          <w:sz w:val="24"/>
          <w:szCs w:val="24"/>
        </w:rPr>
        <w:t xml:space="preserve">be served by renewable resources. Montana’s RPS must be satisfied in 2015 and Washington’s by 2020. Oregon requires that 20 percent of retail sales be served by renewable resources by 2020. These state level RPS generally only apply to investor owned utilities and larger public utilities, while this scenario assumes that all of the region’s retail sales are covered. Since this scenario was designed to test the cost and </w:t>
      </w:r>
      <w:r w:rsidRPr="00CC0840">
        <w:rPr>
          <w:rFonts w:ascii="Arial" w:hAnsi="Arial" w:cs="Arial"/>
          <w:sz w:val="24"/>
          <w:szCs w:val="24"/>
        </w:rPr>
        <w:lastRenderedPageBreak/>
        <w:t xml:space="preserve">effectiveness of this policy for reducing regional power system carbon dioxide emissions, it did not include future carbon dioxide regulatory cost risk uncertainty or estimated damage cost. The cost-effectiveness of a policy that only requires use of additional renewable generation can, therefore, be compared to other scenarios that tested alternative policy options to reduce carbon dioxide emissions, including those use a combination of strategies such as limiting the type of new resources that can be developed and imposing a carbon price.”  </w:t>
      </w:r>
    </w:p>
    <w:p w14:paraId="51173B05" w14:textId="77777777" w:rsidR="00D85FB7" w:rsidRPr="00CC0840" w:rsidRDefault="00D85FB7" w:rsidP="00CC0840">
      <w:pPr>
        <w:pStyle w:val="NoSpacing"/>
        <w:jc w:val="both"/>
        <w:rPr>
          <w:rFonts w:ascii="Arial" w:hAnsi="Arial" w:cs="Arial"/>
          <w:sz w:val="24"/>
          <w:szCs w:val="24"/>
        </w:rPr>
      </w:pPr>
    </w:p>
    <w:p w14:paraId="03402030" w14:textId="77777777" w:rsidR="00D85FB7" w:rsidRPr="00CC0840" w:rsidRDefault="00D85FB7" w:rsidP="00CC0840">
      <w:pPr>
        <w:pStyle w:val="NoSpacing"/>
        <w:jc w:val="both"/>
        <w:rPr>
          <w:rFonts w:ascii="Arial" w:hAnsi="Arial" w:cs="Arial"/>
          <w:sz w:val="24"/>
          <w:szCs w:val="24"/>
          <w:u w:val="single"/>
        </w:rPr>
      </w:pPr>
      <w:r w:rsidRPr="00CC0840">
        <w:rPr>
          <w:rFonts w:ascii="Arial" w:hAnsi="Arial" w:cs="Arial"/>
          <w:sz w:val="24"/>
          <w:szCs w:val="24"/>
          <w:u w:val="single"/>
        </w:rPr>
        <w:t>Maximum Carbon Re</w:t>
      </w:r>
      <w:r w:rsidR="006B0B67" w:rsidRPr="00CC0840">
        <w:rPr>
          <w:rFonts w:ascii="Arial" w:hAnsi="Arial" w:cs="Arial"/>
          <w:sz w:val="24"/>
          <w:szCs w:val="24"/>
          <w:u w:val="single"/>
        </w:rPr>
        <w:t>duction – Existing Technology</w:t>
      </w:r>
    </w:p>
    <w:p w14:paraId="4E1F7E18" w14:textId="77777777" w:rsidR="00D85FB7" w:rsidRPr="00CC0840" w:rsidRDefault="00D85FB7" w:rsidP="00CC0840">
      <w:pPr>
        <w:pStyle w:val="NoSpacing"/>
        <w:ind w:left="720"/>
        <w:jc w:val="both"/>
        <w:rPr>
          <w:rFonts w:ascii="Arial" w:hAnsi="Arial" w:cs="Arial"/>
          <w:sz w:val="24"/>
          <w:szCs w:val="24"/>
        </w:rPr>
      </w:pPr>
      <w:r w:rsidRPr="00CC0840">
        <w:rPr>
          <w:rFonts w:ascii="Arial" w:hAnsi="Arial" w:cs="Arial"/>
          <w:sz w:val="24"/>
          <w:szCs w:val="24"/>
        </w:rPr>
        <w:t xml:space="preserve">“This scenario was designed to explore the maximum carbon dioxide emissions reductions that are feasible with current commercially available technologies. In this scenario all of the existing coal plants serving the region were assumed to be retired by 2026. In addition, the least efficient (i.e., those with heat rates exceeding 8,500 Btu/kWh) existing natural gas-fired generating facilities were assumed to be retired by 2031. No carbon dioxide cost risk or estimated damage cost was assumed, so this scenario can be compared to the cost-effectiveness of other policy options (e.g., Carbon Cost Risk, Regional RPS at 35%, Social Cost of Carbon, Retire Coal w/SCC MidRange, etc. scenarios) for reducing carbon dioxide emissions.”  </w:t>
      </w:r>
    </w:p>
    <w:p w14:paraId="29354274" w14:textId="77777777" w:rsidR="00D85FB7" w:rsidRPr="00CC0840" w:rsidRDefault="00D85FB7" w:rsidP="00CC0840">
      <w:pPr>
        <w:pStyle w:val="NoSpacing"/>
        <w:jc w:val="both"/>
        <w:rPr>
          <w:rFonts w:ascii="Arial" w:hAnsi="Arial" w:cs="Arial"/>
          <w:sz w:val="24"/>
          <w:szCs w:val="24"/>
        </w:rPr>
      </w:pPr>
    </w:p>
    <w:p w14:paraId="7B431D8D" w14:textId="77777777" w:rsidR="00D85FB7" w:rsidRPr="00CC0840" w:rsidRDefault="00D85FB7" w:rsidP="00CC0840">
      <w:pPr>
        <w:pStyle w:val="NoSpacing"/>
        <w:jc w:val="both"/>
        <w:rPr>
          <w:rFonts w:ascii="Arial" w:hAnsi="Arial" w:cs="Arial"/>
          <w:sz w:val="24"/>
          <w:szCs w:val="24"/>
          <w:u w:val="single"/>
        </w:rPr>
      </w:pPr>
      <w:r w:rsidRPr="00CC0840">
        <w:rPr>
          <w:rFonts w:ascii="Arial" w:hAnsi="Arial" w:cs="Arial"/>
          <w:sz w:val="24"/>
          <w:szCs w:val="24"/>
          <w:u w:val="single"/>
        </w:rPr>
        <w:t>Maximum Carbon Reduction – Emerging Te</w:t>
      </w:r>
      <w:r w:rsidR="006B0B67" w:rsidRPr="00CC0840">
        <w:rPr>
          <w:rFonts w:ascii="Arial" w:hAnsi="Arial" w:cs="Arial"/>
          <w:sz w:val="24"/>
          <w:szCs w:val="24"/>
          <w:u w:val="single"/>
        </w:rPr>
        <w:t>chnology</w:t>
      </w:r>
    </w:p>
    <w:p w14:paraId="58D19A04" w14:textId="6198847E" w:rsidR="00D85FB7" w:rsidRPr="00CC0840" w:rsidRDefault="00D85FB7" w:rsidP="00CC0840">
      <w:pPr>
        <w:pStyle w:val="NoSpacing"/>
        <w:ind w:left="720"/>
        <w:jc w:val="both"/>
        <w:rPr>
          <w:rFonts w:ascii="Arial" w:hAnsi="Arial" w:cs="Arial"/>
          <w:sz w:val="24"/>
          <w:szCs w:val="24"/>
        </w:rPr>
      </w:pPr>
      <w:r w:rsidRPr="00CC0840">
        <w:rPr>
          <w:rFonts w:ascii="Arial" w:hAnsi="Arial" w:cs="Arial"/>
          <w:sz w:val="24"/>
          <w:szCs w:val="24"/>
        </w:rPr>
        <w:t xml:space="preserve">“This scenario considers the role </w:t>
      </w:r>
      <w:r w:rsidR="0068350F">
        <w:rPr>
          <w:rFonts w:ascii="Arial" w:hAnsi="Arial" w:cs="Arial"/>
          <w:sz w:val="24"/>
          <w:szCs w:val="24"/>
        </w:rPr>
        <w:t>that</w:t>
      </w:r>
      <w:r w:rsidR="0068350F" w:rsidRPr="00CC0840">
        <w:rPr>
          <w:rFonts w:ascii="Arial" w:hAnsi="Arial" w:cs="Arial"/>
          <w:sz w:val="24"/>
          <w:szCs w:val="24"/>
        </w:rPr>
        <w:t xml:space="preserve"> </w:t>
      </w:r>
      <w:r w:rsidRPr="00CC0840">
        <w:rPr>
          <w:rFonts w:ascii="Arial" w:hAnsi="Arial" w:cs="Arial"/>
          <w:sz w:val="24"/>
          <w:szCs w:val="24"/>
        </w:rPr>
        <w:t xml:space="preserve">new technologies might play in achieving carbon dioxide reduction. Due to the speculative nature of the performance and ultimate cost of technologies considered in this scenario the Council’s Regional Portfolio Model (RPM) was not used to identify this scenario’s least cost resource strategy. Rather, the RPM was used to define the role (e.g., capacity and energy requirements) that new and emerging technologies would need to play in order to achieve carbon dioxide reductions beyond those achievable with existing technology.”  </w:t>
      </w:r>
    </w:p>
    <w:p w14:paraId="7C0E6597" w14:textId="77777777" w:rsidR="00D85FB7" w:rsidRPr="00CC0840" w:rsidRDefault="00D85FB7" w:rsidP="00CC0840">
      <w:pPr>
        <w:pStyle w:val="NoSpacing"/>
        <w:jc w:val="both"/>
        <w:rPr>
          <w:rFonts w:ascii="Arial" w:hAnsi="Arial" w:cs="Arial"/>
          <w:sz w:val="24"/>
          <w:szCs w:val="24"/>
        </w:rPr>
      </w:pPr>
    </w:p>
    <w:p w14:paraId="4F5C3F66" w14:textId="77777777" w:rsidR="00D85FB7" w:rsidRPr="00CC0840" w:rsidRDefault="00D85FB7" w:rsidP="00CC0840">
      <w:pPr>
        <w:pStyle w:val="NoSpacing"/>
        <w:jc w:val="both"/>
        <w:rPr>
          <w:rFonts w:ascii="Arial" w:hAnsi="Arial" w:cs="Arial"/>
          <w:sz w:val="24"/>
          <w:szCs w:val="24"/>
          <w:u w:val="single"/>
        </w:rPr>
      </w:pPr>
      <w:r w:rsidRPr="00CC0840">
        <w:rPr>
          <w:rFonts w:ascii="Arial" w:hAnsi="Arial" w:cs="Arial"/>
          <w:sz w:val="24"/>
          <w:szCs w:val="24"/>
          <w:u w:val="single"/>
        </w:rPr>
        <w:t>Retire Coal – This scenario is identical to the Maximum Carbon Red</w:t>
      </w:r>
      <w:r w:rsidR="006B0B67" w:rsidRPr="00CC0840">
        <w:rPr>
          <w:rFonts w:ascii="Arial" w:hAnsi="Arial" w:cs="Arial"/>
          <w:sz w:val="24"/>
          <w:szCs w:val="24"/>
          <w:u w:val="single"/>
        </w:rPr>
        <w:t>uction</w:t>
      </w:r>
      <w:r w:rsidRPr="00CC0840">
        <w:rPr>
          <w:rFonts w:ascii="Arial" w:hAnsi="Arial" w:cs="Arial"/>
          <w:sz w:val="24"/>
          <w:szCs w:val="24"/>
          <w:u w:val="single"/>
        </w:rPr>
        <w:t xml:space="preserve"> </w:t>
      </w:r>
    </w:p>
    <w:p w14:paraId="20F91B7A" w14:textId="77777777" w:rsidR="00D85FB7" w:rsidRPr="00CC0840" w:rsidRDefault="00D85FB7" w:rsidP="00CC0840">
      <w:pPr>
        <w:pStyle w:val="NoSpacing"/>
        <w:ind w:left="720"/>
        <w:jc w:val="both"/>
        <w:rPr>
          <w:rFonts w:ascii="Arial" w:hAnsi="Arial" w:cs="Arial"/>
          <w:sz w:val="24"/>
          <w:szCs w:val="24"/>
        </w:rPr>
      </w:pPr>
      <w:r w:rsidRPr="00CC0840">
        <w:rPr>
          <w:rFonts w:ascii="Arial" w:hAnsi="Arial" w:cs="Arial"/>
          <w:sz w:val="24"/>
          <w:szCs w:val="24"/>
        </w:rPr>
        <w:t xml:space="preserve">“Existing Technology scenario, except that it does not retire any existing natural gas generation. This scenario was designed to establish the lowest carbon dioxide emission level achievable by retiring all of the existing coal plants serving the region while assuming the continued operation of existing gas-fired generation. Since this resource strategy relies on existing gas generation rather than investing new resource development it could potentially have lower costs than the Maximum Carbon Reduction – Existing Technology scenario, but might produce similar carbon dioxide emissions. This scenario constructed based on public comment on the draft plan, and therefore was not considered during its development.”  </w:t>
      </w:r>
    </w:p>
    <w:p w14:paraId="0F9FCE9F" w14:textId="77777777" w:rsidR="00D85FB7" w:rsidRPr="00CC0840" w:rsidRDefault="00D85FB7" w:rsidP="00CC0840">
      <w:pPr>
        <w:pStyle w:val="NoSpacing"/>
        <w:jc w:val="both"/>
        <w:rPr>
          <w:rFonts w:ascii="Arial" w:hAnsi="Arial" w:cs="Arial"/>
          <w:sz w:val="24"/>
          <w:szCs w:val="24"/>
        </w:rPr>
      </w:pPr>
    </w:p>
    <w:p w14:paraId="00C65F31" w14:textId="77777777" w:rsidR="00D85FB7" w:rsidRPr="00CC0840" w:rsidRDefault="00D85FB7" w:rsidP="00CC0840">
      <w:pPr>
        <w:pStyle w:val="NoSpacing"/>
        <w:jc w:val="both"/>
        <w:rPr>
          <w:rFonts w:ascii="Arial" w:hAnsi="Arial" w:cs="Arial"/>
          <w:sz w:val="24"/>
          <w:szCs w:val="24"/>
          <w:u w:val="single"/>
        </w:rPr>
      </w:pPr>
      <w:r w:rsidRPr="00CC0840">
        <w:rPr>
          <w:rFonts w:ascii="Arial" w:hAnsi="Arial" w:cs="Arial"/>
          <w:sz w:val="24"/>
          <w:szCs w:val="24"/>
          <w:u w:val="single"/>
        </w:rPr>
        <w:t>Retire Coal with Social Cost of Carbon Mid-Rang</w:t>
      </w:r>
      <w:r w:rsidR="006B0B67" w:rsidRPr="00CC0840">
        <w:rPr>
          <w:rFonts w:ascii="Arial" w:hAnsi="Arial" w:cs="Arial"/>
          <w:sz w:val="24"/>
          <w:szCs w:val="24"/>
          <w:u w:val="single"/>
        </w:rPr>
        <w:t>e (Retire Coal w/SCC MidRange)</w:t>
      </w:r>
      <w:r w:rsidRPr="00CC0840">
        <w:rPr>
          <w:rFonts w:ascii="Arial" w:hAnsi="Arial" w:cs="Arial"/>
          <w:sz w:val="24"/>
          <w:szCs w:val="24"/>
          <w:u w:val="single"/>
        </w:rPr>
        <w:t xml:space="preserve"> </w:t>
      </w:r>
    </w:p>
    <w:p w14:paraId="553E7B78" w14:textId="77777777" w:rsidR="00D85FB7" w:rsidRPr="00CC0840" w:rsidRDefault="00D85FB7" w:rsidP="00CC0840">
      <w:pPr>
        <w:pStyle w:val="NoSpacing"/>
        <w:ind w:left="720"/>
        <w:jc w:val="both"/>
        <w:rPr>
          <w:rFonts w:ascii="Arial" w:hAnsi="Arial" w:cs="Arial"/>
          <w:sz w:val="24"/>
          <w:szCs w:val="24"/>
        </w:rPr>
      </w:pPr>
      <w:r w:rsidRPr="00CC0840">
        <w:rPr>
          <w:rFonts w:ascii="Arial" w:hAnsi="Arial" w:cs="Arial"/>
          <w:sz w:val="24"/>
          <w:szCs w:val="24"/>
        </w:rPr>
        <w:t>“This scenario is identical to Retire Coal scenario, except that it assumes that the US Interagency Working Group on Social Cost of Carbon’s Mid-</w:t>
      </w:r>
      <w:r w:rsidRPr="00CC0840">
        <w:rPr>
          <w:rFonts w:ascii="Arial" w:hAnsi="Arial" w:cs="Arial"/>
          <w:sz w:val="24"/>
          <w:szCs w:val="24"/>
        </w:rPr>
        <w:lastRenderedPageBreak/>
        <w:t>Range estimate of the damage cost of forecast global climate change are reflected in fossil fuel costs. This scenario was designed to test the cost, economic risk and carbon emissions impacts that internalizing the damage cost of climate change would have on the resource dispatch and development. It was assumed that this scenario’s resource strategy would rely more on renewable resources. Therefore, this scenario assumes greater availability and lower solar PV system cost for both utility scale projects and distributed systems. This scenario was constructed based on public comment on the draft plan, and therefore was not considered during its development.”</w:t>
      </w:r>
    </w:p>
    <w:p w14:paraId="59138BED" w14:textId="77777777" w:rsidR="00D85FB7" w:rsidRPr="00CC0840" w:rsidRDefault="00D85FB7" w:rsidP="00CC0840">
      <w:pPr>
        <w:pStyle w:val="NoSpacing"/>
        <w:jc w:val="both"/>
        <w:rPr>
          <w:rFonts w:ascii="Arial" w:hAnsi="Arial" w:cs="Arial"/>
          <w:sz w:val="24"/>
          <w:szCs w:val="24"/>
        </w:rPr>
      </w:pPr>
    </w:p>
    <w:p w14:paraId="5DEBE687" w14:textId="77777777" w:rsidR="00D85FB7" w:rsidRPr="00CC0840" w:rsidRDefault="00D85FB7" w:rsidP="00CC0840">
      <w:pPr>
        <w:pStyle w:val="NoSpacing"/>
        <w:jc w:val="both"/>
        <w:rPr>
          <w:rFonts w:ascii="Arial" w:hAnsi="Arial" w:cs="Arial"/>
          <w:sz w:val="24"/>
          <w:szCs w:val="24"/>
          <w:u w:val="single"/>
        </w:rPr>
      </w:pPr>
      <w:r w:rsidRPr="00CC0840">
        <w:rPr>
          <w:rFonts w:ascii="Arial" w:hAnsi="Arial" w:cs="Arial"/>
          <w:sz w:val="24"/>
          <w:szCs w:val="24"/>
          <w:u w:val="single"/>
        </w:rPr>
        <w:t>Retire Coal with Social Cost of Carbon Mid-Range and No New Gas Generation (Retire Coa</w:t>
      </w:r>
      <w:r w:rsidR="006B0B67" w:rsidRPr="00CC0840">
        <w:rPr>
          <w:rFonts w:ascii="Arial" w:hAnsi="Arial" w:cs="Arial"/>
          <w:sz w:val="24"/>
          <w:szCs w:val="24"/>
          <w:u w:val="single"/>
        </w:rPr>
        <w:t>l w/SCC MidRange &amp; No New Gas)</w:t>
      </w:r>
      <w:r w:rsidRPr="00CC0840">
        <w:rPr>
          <w:rFonts w:ascii="Arial" w:hAnsi="Arial" w:cs="Arial"/>
          <w:sz w:val="24"/>
          <w:szCs w:val="24"/>
          <w:u w:val="single"/>
        </w:rPr>
        <w:t xml:space="preserve"> </w:t>
      </w:r>
    </w:p>
    <w:p w14:paraId="3DF7A44E" w14:textId="77777777" w:rsidR="00D85FB7" w:rsidRPr="00CC0840" w:rsidRDefault="00D85FB7" w:rsidP="00CC0840">
      <w:pPr>
        <w:pStyle w:val="NoSpacing"/>
        <w:ind w:left="720"/>
        <w:jc w:val="both"/>
        <w:rPr>
          <w:rFonts w:ascii="Arial" w:hAnsi="Arial" w:cs="Arial"/>
          <w:sz w:val="24"/>
          <w:szCs w:val="24"/>
        </w:rPr>
      </w:pPr>
      <w:r w:rsidRPr="00CC0840">
        <w:rPr>
          <w:rFonts w:ascii="Arial" w:hAnsi="Arial" w:cs="Arial"/>
          <w:sz w:val="24"/>
          <w:szCs w:val="24"/>
        </w:rPr>
        <w:t xml:space="preserve">“This scenario is identical to Retire Coal w/SCC MidRange scenario, except that it assumes that no new natural gas-fired generation resources can be constructed to replace retiring coal plants or existing gas generation if such plants are uneconomic to operate. This scenario was designed to test the cost, economic risk and carbon emissions impacts of restricting new resource development to renewable resources when compared to the Retire Coal w/SCC MidRange scenario. This scenario was constructed based on public comment on the draft plan, and therefore was not considered during its development.”  </w:t>
      </w:r>
    </w:p>
    <w:p w14:paraId="60672751" w14:textId="77777777" w:rsidR="00D85FB7" w:rsidRPr="00CC0840" w:rsidRDefault="00D85FB7" w:rsidP="00CC0840">
      <w:pPr>
        <w:pStyle w:val="NoSpacing"/>
        <w:jc w:val="both"/>
        <w:rPr>
          <w:rFonts w:ascii="Arial" w:hAnsi="Arial" w:cs="Arial"/>
          <w:sz w:val="24"/>
          <w:szCs w:val="24"/>
        </w:rPr>
      </w:pPr>
    </w:p>
    <w:p w14:paraId="705C263D" w14:textId="77777777" w:rsidR="00D85FB7" w:rsidRPr="00CC0840" w:rsidRDefault="00D85FB7" w:rsidP="00CC0840">
      <w:pPr>
        <w:pStyle w:val="NoSpacing"/>
        <w:jc w:val="both"/>
        <w:rPr>
          <w:rFonts w:ascii="Arial" w:hAnsi="Arial" w:cs="Arial"/>
          <w:sz w:val="24"/>
          <w:szCs w:val="24"/>
        </w:rPr>
      </w:pPr>
      <w:r w:rsidRPr="00CC0840">
        <w:rPr>
          <w:rFonts w:ascii="Arial" w:hAnsi="Arial" w:cs="Arial"/>
          <w:sz w:val="24"/>
          <w:szCs w:val="24"/>
        </w:rPr>
        <w:t xml:space="preserve">To account for resource uncertainty, in addition to the above approaches, four additional scenarios were analyzed.  “Four scenarios explored resource uncertainties and carbon dioxide regulatory compliance cost and economic risk. Two examined the effect that the loss of a major non-greenhouse gas-emitting resource might have on the region’s ability to reduce power system carbon dioxide emissions. The Unplanned Major Resource Loss scenario assumed that a significant (approximately 1000 average megawatt) non-greenhouse gas emitting generator was unexpectedly taken out of service. The Planned Major Resource Loss scenario assumed that similar magnitudes of the region’s existing non-greenhouse gas emitting resources were phased out over the next 20 years. Since both of these scenarios were designed to identify resource strategies that would maintain regional compliance with federal carbon dioxide emissions limits they assumed the cost of future carbon dioxide regulatory risk used in the Carbon Cost Risk scenario. </w:t>
      </w:r>
    </w:p>
    <w:p w14:paraId="1A33EDDF" w14:textId="77777777" w:rsidR="00D85FB7" w:rsidRPr="00CC0840" w:rsidRDefault="00D85FB7" w:rsidP="00CC0840">
      <w:pPr>
        <w:pStyle w:val="NoSpacing"/>
        <w:jc w:val="both"/>
        <w:rPr>
          <w:rFonts w:ascii="Arial" w:hAnsi="Arial" w:cs="Arial"/>
          <w:sz w:val="24"/>
          <w:szCs w:val="24"/>
        </w:rPr>
      </w:pPr>
    </w:p>
    <w:p w14:paraId="5539334A" w14:textId="77777777" w:rsidR="00D85FB7" w:rsidRPr="00CC0840" w:rsidRDefault="00D85FB7" w:rsidP="00CC0840">
      <w:pPr>
        <w:pStyle w:val="NoSpacing"/>
        <w:jc w:val="both"/>
        <w:rPr>
          <w:rFonts w:ascii="Arial" w:hAnsi="Arial" w:cs="Arial"/>
          <w:sz w:val="24"/>
          <w:szCs w:val="24"/>
        </w:rPr>
      </w:pPr>
      <w:r w:rsidRPr="00CC0840">
        <w:rPr>
          <w:rFonts w:ascii="Arial" w:hAnsi="Arial" w:cs="Arial"/>
          <w:sz w:val="24"/>
          <w:szCs w:val="24"/>
        </w:rPr>
        <w:t>“The Planned Major Resource Loss scenario also provides insight into the resource implications that would occur in the event of the planned removal of any specific non-carbon resource in the region, including the removal of major hydroelectric projects such as the four federal dams on the lower Snake River The lower Snake River dams have a combined nameplate capacity of 3,033 megawatts. However, because of limited reservoir storage, their useful peaking capability (e.g. 10-hour sustained-period capacity) ranges from about 1,700 to 2,000 megawatts, which represents about 11 percent of the aggregate hydroelectric system’</w:t>
      </w:r>
      <w:r w:rsidR="00514150" w:rsidRPr="00CC0840">
        <w:rPr>
          <w:rFonts w:ascii="Arial" w:hAnsi="Arial" w:cs="Arial"/>
          <w:sz w:val="24"/>
          <w:szCs w:val="24"/>
        </w:rPr>
        <w:t xml:space="preserve">s sustained peaking capability. </w:t>
      </w:r>
      <w:r w:rsidRPr="00CC0840">
        <w:rPr>
          <w:rFonts w:ascii="Arial" w:hAnsi="Arial" w:cs="Arial"/>
          <w:sz w:val="24"/>
          <w:szCs w:val="24"/>
        </w:rPr>
        <w:t xml:space="preserve"> Annually, on average, these </w:t>
      </w:r>
      <w:r w:rsidRPr="00CC0840">
        <w:rPr>
          <w:rFonts w:ascii="Arial" w:hAnsi="Arial" w:cs="Arial"/>
          <w:sz w:val="24"/>
          <w:szCs w:val="24"/>
        </w:rPr>
        <w:lastRenderedPageBreak/>
        <w:t xml:space="preserve">four projects produce about 1,000 average megawatts of energy or about 5 percent of the region’s annual average load.” </w:t>
      </w:r>
    </w:p>
    <w:p w14:paraId="0E718F54" w14:textId="77777777" w:rsidR="00D85FB7" w:rsidRPr="00CC0840" w:rsidRDefault="00D85FB7" w:rsidP="00CC0840">
      <w:pPr>
        <w:pStyle w:val="NoSpacing"/>
        <w:jc w:val="both"/>
        <w:rPr>
          <w:rFonts w:ascii="Arial" w:hAnsi="Arial" w:cs="Arial"/>
          <w:sz w:val="24"/>
          <w:szCs w:val="24"/>
        </w:rPr>
      </w:pPr>
    </w:p>
    <w:p w14:paraId="35943D24" w14:textId="77777777" w:rsidR="00D85FB7" w:rsidRPr="00CC0840" w:rsidRDefault="00D85FB7" w:rsidP="00CC0840">
      <w:pPr>
        <w:pStyle w:val="NoSpacing"/>
        <w:jc w:val="both"/>
        <w:rPr>
          <w:rFonts w:ascii="Arial" w:hAnsi="Arial" w:cs="Arial"/>
          <w:sz w:val="24"/>
          <w:szCs w:val="24"/>
        </w:rPr>
      </w:pPr>
      <w:r w:rsidRPr="00CC0840">
        <w:rPr>
          <w:rFonts w:ascii="Arial" w:hAnsi="Arial" w:cs="Arial"/>
          <w:sz w:val="24"/>
          <w:szCs w:val="24"/>
        </w:rPr>
        <w:t>Four sensitivity analyses were performed:</w:t>
      </w:r>
    </w:p>
    <w:p w14:paraId="12FA6DB1" w14:textId="77777777" w:rsidR="00D85FB7" w:rsidRPr="00CC0840" w:rsidRDefault="00D85FB7" w:rsidP="00CC0840">
      <w:pPr>
        <w:pStyle w:val="NoSpacing"/>
        <w:numPr>
          <w:ilvl w:val="0"/>
          <w:numId w:val="9"/>
        </w:numPr>
        <w:jc w:val="both"/>
        <w:rPr>
          <w:rFonts w:ascii="Arial" w:hAnsi="Arial" w:cs="Arial"/>
          <w:sz w:val="24"/>
          <w:szCs w:val="24"/>
        </w:rPr>
      </w:pPr>
      <w:r w:rsidRPr="00CC0840">
        <w:rPr>
          <w:rFonts w:ascii="Arial" w:hAnsi="Arial" w:cs="Arial"/>
          <w:sz w:val="24"/>
          <w:szCs w:val="24"/>
        </w:rPr>
        <w:t>No Demand Response</w:t>
      </w:r>
    </w:p>
    <w:p w14:paraId="2C4ECA16" w14:textId="77777777" w:rsidR="00D85FB7" w:rsidRPr="00CC0840" w:rsidRDefault="00D85FB7" w:rsidP="00CC0840">
      <w:pPr>
        <w:pStyle w:val="NoSpacing"/>
        <w:numPr>
          <w:ilvl w:val="0"/>
          <w:numId w:val="9"/>
        </w:numPr>
        <w:jc w:val="both"/>
        <w:rPr>
          <w:rFonts w:ascii="Arial" w:hAnsi="Arial" w:cs="Arial"/>
          <w:sz w:val="24"/>
          <w:szCs w:val="24"/>
        </w:rPr>
      </w:pPr>
      <w:r w:rsidRPr="00CC0840">
        <w:rPr>
          <w:rFonts w:ascii="Arial" w:hAnsi="Arial" w:cs="Arial"/>
          <w:sz w:val="24"/>
          <w:szCs w:val="24"/>
        </w:rPr>
        <w:t>Low Natural Gas and Wholesale Electricity Prices</w:t>
      </w:r>
    </w:p>
    <w:p w14:paraId="65AB7CF7" w14:textId="77777777" w:rsidR="00D85FB7" w:rsidRPr="00CC0840" w:rsidRDefault="00D85FB7" w:rsidP="00CC0840">
      <w:pPr>
        <w:pStyle w:val="NoSpacing"/>
        <w:numPr>
          <w:ilvl w:val="0"/>
          <w:numId w:val="9"/>
        </w:numPr>
        <w:jc w:val="both"/>
        <w:rPr>
          <w:rFonts w:ascii="Arial" w:hAnsi="Arial" w:cs="Arial"/>
          <w:sz w:val="24"/>
          <w:szCs w:val="24"/>
        </w:rPr>
      </w:pPr>
      <w:r w:rsidRPr="00CC0840">
        <w:rPr>
          <w:rFonts w:ascii="Arial" w:hAnsi="Arial" w:cs="Arial"/>
          <w:sz w:val="24"/>
          <w:szCs w:val="24"/>
        </w:rPr>
        <w:t>Increased Market Reliance</w:t>
      </w:r>
    </w:p>
    <w:p w14:paraId="7EE5FACD" w14:textId="77777777" w:rsidR="00D85FB7" w:rsidRPr="00CC0840" w:rsidRDefault="00D85FB7" w:rsidP="00CC0840">
      <w:pPr>
        <w:pStyle w:val="NoSpacing"/>
        <w:numPr>
          <w:ilvl w:val="0"/>
          <w:numId w:val="9"/>
        </w:numPr>
        <w:jc w:val="both"/>
        <w:rPr>
          <w:rFonts w:ascii="Arial" w:hAnsi="Arial" w:cs="Arial"/>
          <w:sz w:val="24"/>
          <w:szCs w:val="24"/>
        </w:rPr>
      </w:pPr>
      <w:r w:rsidRPr="00CC0840">
        <w:rPr>
          <w:rFonts w:ascii="Arial" w:hAnsi="Arial" w:cs="Arial"/>
          <w:sz w:val="24"/>
          <w:szCs w:val="24"/>
        </w:rPr>
        <w:t>Lower Conservation</w:t>
      </w:r>
    </w:p>
    <w:p w14:paraId="57D379F7" w14:textId="77777777" w:rsidR="00D85FB7" w:rsidRPr="00CC0840" w:rsidRDefault="00D85FB7" w:rsidP="00CC0840">
      <w:pPr>
        <w:pStyle w:val="Heading1"/>
        <w:jc w:val="both"/>
        <w:rPr>
          <w:rFonts w:ascii="Arial" w:hAnsi="Arial" w:cs="Arial"/>
          <w:b/>
          <w:color w:val="auto"/>
          <w:sz w:val="24"/>
          <w:szCs w:val="24"/>
        </w:rPr>
      </w:pPr>
      <w:bookmarkStart w:id="13" w:name="_Toc459622871"/>
      <w:r w:rsidRPr="00CC0840">
        <w:rPr>
          <w:rFonts w:ascii="Arial" w:hAnsi="Arial" w:cs="Arial"/>
          <w:b/>
          <w:color w:val="auto"/>
          <w:sz w:val="24"/>
          <w:szCs w:val="24"/>
        </w:rPr>
        <w:t>Fugitive Methane Emissions</w:t>
      </w:r>
      <w:bookmarkEnd w:id="13"/>
      <w:r w:rsidRPr="00CC0840">
        <w:rPr>
          <w:rFonts w:ascii="Arial" w:hAnsi="Arial" w:cs="Arial"/>
          <w:b/>
          <w:color w:val="auto"/>
          <w:sz w:val="24"/>
          <w:szCs w:val="24"/>
        </w:rPr>
        <w:t xml:space="preserve"> </w:t>
      </w:r>
    </w:p>
    <w:p w14:paraId="66FADD5B" w14:textId="77777777" w:rsidR="00D85FB7" w:rsidRPr="00CC0840" w:rsidRDefault="00D85FB7" w:rsidP="00CC0840">
      <w:pPr>
        <w:pStyle w:val="NoSpacing"/>
        <w:jc w:val="both"/>
        <w:rPr>
          <w:rFonts w:ascii="Arial" w:hAnsi="Arial" w:cs="Arial"/>
          <w:sz w:val="24"/>
          <w:szCs w:val="24"/>
        </w:rPr>
      </w:pPr>
    </w:p>
    <w:p w14:paraId="410AEA17" w14:textId="77777777" w:rsidR="00D85FB7" w:rsidRPr="00CC0840" w:rsidRDefault="00D85FB7" w:rsidP="00CC0840">
      <w:pPr>
        <w:pStyle w:val="NoSpacing"/>
        <w:jc w:val="both"/>
        <w:rPr>
          <w:rFonts w:ascii="Arial" w:hAnsi="Arial" w:cs="Arial"/>
          <w:sz w:val="24"/>
          <w:szCs w:val="24"/>
        </w:rPr>
      </w:pPr>
      <w:r w:rsidRPr="00CC0840">
        <w:rPr>
          <w:rFonts w:ascii="Arial" w:hAnsi="Arial" w:cs="Arial"/>
          <w:sz w:val="24"/>
          <w:szCs w:val="24"/>
        </w:rPr>
        <w:t xml:space="preserve">Electric generation fueled by natural gas has significantly less CO2 emissions than electric generation from coal.  However, fugitive methane (a major component of natural gas) occurs during production, transportation and distribution </w:t>
      </w:r>
      <w:r w:rsidR="00514150" w:rsidRPr="00CC0840">
        <w:rPr>
          <w:rFonts w:ascii="Arial" w:hAnsi="Arial" w:cs="Arial"/>
          <w:sz w:val="24"/>
          <w:szCs w:val="24"/>
        </w:rPr>
        <w:t>with estimates</w:t>
      </w:r>
      <w:r w:rsidRPr="00CC0840">
        <w:rPr>
          <w:rFonts w:ascii="Arial" w:hAnsi="Arial" w:cs="Arial"/>
          <w:sz w:val="24"/>
          <w:szCs w:val="24"/>
        </w:rPr>
        <w:t xml:space="preserve"> as high as 10%.</w:t>
      </w:r>
      <w:r w:rsidR="00514150" w:rsidRPr="00CC0840">
        <w:rPr>
          <w:rStyle w:val="FootnoteReference"/>
          <w:rFonts w:ascii="Arial" w:hAnsi="Arial" w:cs="Arial"/>
          <w:sz w:val="24"/>
          <w:szCs w:val="24"/>
        </w:rPr>
        <w:footnoteReference w:id="9"/>
      </w:r>
      <w:r w:rsidRPr="00CC0840">
        <w:rPr>
          <w:rFonts w:ascii="Arial" w:hAnsi="Arial" w:cs="Arial"/>
          <w:sz w:val="24"/>
          <w:szCs w:val="24"/>
        </w:rPr>
        <w:t xml:space="preserve">  New production facilities now are coming in around 1%.</w:t>
      </w:r>
    </w:p>
    <w:p w14:paraId="5AC33BC3" w14:textId="77777777" w:rsidR="00D85FB7" w:rsidRPr="00CC0840" w:rsidRDefault="00D85FB7" w:rsidP="00CC0840">
      <w:pPr>
        <w:pStyle w:val="NoSpacing"/>
        <w:jc w:val="both"/>
        <w:rPr>
          <w:rFonts w:ascii="Arial" w:hAnsi="Arial" w:cs="Arial"/>
          <w:sz w:val="24"/>
          <w:szCs w:val="24"/>
        </w:rPr>
      </w:pPr>
    </w:p>
    <w:p w14:paraId="0ED885A7" w14:textId="77777777" w:rsidR="00D85FB7" w:rsidRPr="00CC0840" w:rsidRDefault="00D85FB7" w:rsidP="00CC0840">
      <w:pPr>
        <w:pStyle w:val="NoSpacing"/>
        <w:jc w:val="both"/>
        <w:rPr>
          <w:rFonts w:ascii="Arial" w:hAnsi="Arial" w:cs="Arial"/>
          <w:sz w:val="24"/>
          <w:szCs w:val="24"/>
        </w:rPr>
      </w:pPr>
      <w:r w:rsidRPr="00CC0840">
        <w:rPr>
          <w:rFonts w:ascii="Arial" w:hAnsi="Arial" w:cs="Arial"/>
          <w:sz w:val="24"/>
          <w:szCs w:val="24"/>
        </w:rPr>
        <w:t>The Council’s 7</w:t>
      </w:r>
      <w:r w:rsidRPr="00CC0840">
        <w:rPr>
          <w:rFonts w:ascii="Arial" w:hAnsi="Arial" w:cs="Arial"/>
          <w:sz w:val="24"/>
          <w:szCs w:val="24"/>
          <w:vertAlign w:val="superscript"/>
        </w:rPr>
        <w:t>th</w:t>
      </w:r>
      <w:r w:rsidRPr="00CC0840">
        <w:rPr>
          <w:rFonts w:ascii="Arial" w:hAnsi="Arial" w:cs="Arial"/>
          <w:sz w:val="24"/>
          <w:szCs w:val="24"/>
        </w:rPr>
        <w:t xml:space="preserve"> Power Plan notes:  </w:t>
      </w:r>
    </w:p>
    <w:p w14:paraId="238C1B08" w14:textId="77777777" w:rsidR="00D85FB7" w:rsidRPr="00CC0840" w:rsidRDefault="00D85FB7" w:rsidP="00CC0840">
      <w:pPr>
        <w:pStyle w:val="NoSpacing"/>
        <w:jc w:val="both"/>
        <w:rPr>
          <w:rFonts w:ascii="Arial" w:hAnsi="Arial" w:cs="Arial"/>
          <w:sz w:val="24"/>
          <w:szCs w:val="24"/>
        </w:rPr>
      </w:pPr>
    </w:p>
    <w:p w14:paraId="50F5C0B2" w14:textId="77777777" w:rsidR="00D85FB7" w:rsidRPr="00CC0840" w:rsidRDefault="00D85FB7" w:rsidP="00CC0840">
      <w:pPr>
        <w:pStyle w:val="NoSpacing"/>
        <w:ind w:left="720"/>
        <w:jc w:val="both"/>
        <w:rPr>
          <w:rFonts w:ascii="Arial" w:hAnsi="Arial" w:cs="Arial"/>
          <w:sz w:val="24"/>
          <w:szCs w:val="24"/>
        </w:rPr>
      </w:pPr>
      <w:r w:rsidRPr="00CC0840">
        <w:rPr>
          <w:rFonts w:ascii="Arial" w:hAnsi="Arial" w:cs="Arial"/>
          <w:sz w:val="24"/>
          <w:szCs w:val="24"/>
        </w:rPr>
        <w:t>“…there is considerable uncertainty around such issues as whether its impacts compared to carbon dioxide are over or under-stated…and whether accounting for the methane emissions from coal production would also raise that fuel’s full life-cycle climate impacts…”</w:t>
      </w:r>
    </w:p>
    <w:p w14:paraId="7EEE4EBE" w14:textId="77777777" w:rsidR="00D85FB7" w:rsidRPr="00CC0840" w:rsidRDefault="00D85FB7" w:rsidP="00CC0840">
      <w:pPr>
        <w:pStyle w:val="NoSpacing"/>
        <w:ind w:left="720"/>
        <w:jc w:val="both"/>
        <w:rPr>
          <w:rFonts w:ascii="Arial" w:hAnsi="Arial" w:cs="Arial"/>
          <w:sz w:val="24"/>
          <w:szCs w:val="24"/>
        </w:rPr>
      </w:pPr>
    </w:p>
    <w:p w14:paraId="174FC650" w14:textId="77777777" w:rsidR="00D85FB7" w:rsidRPr="00CC0840" w:rsidRDefault="00D85FB7" w:rsidP="00CC0840">
      <w:pPr>
        <w:pStyle w:val="NoSpacing"/>
        <w:ind w:left="720"/>
        <w:jc w:val="both"/>
        <w:rPr>
          <w:rFonts w:ascii="Arial" w:hAnsi="Arial" w:cs="Arial"/>
          <w:sz w:val="24"/>
          <w:szCs w:val="24"/>
        </w:rPr>
      </w:pPr>
      <w:r w:rsidRPr="00CC0840">
        <w:rPr>
          <w:rFonts w:ascii="Arial" w:hAnsi="Arial" w:cs="Arial"/>
          <w:sz w:val="24"/>
          <w:szCs w:val="24"/>
        </w:rPr>
        <w:t>“…will likely draw on gas production new wells which have lower fugitive emissions…”</w:t>
      </w:r>
    </w:p>
    <w:p w14:paraId="6A77A521" w14:textId="77777777" w:rsidR="00D85FB7" w:rsidRPr="00CC0840" w:rsidRDefault="00D85FB7" w:rsidP="00CC0840">
      <w:pPr>
        <w:pStyle w:val="NoSpacing"/>
        <w:ind w:left="720"/>
        <w:jc w:val="both"/>
        <w:rPr>
          <w:rFonts w:ascii="Arial" w:hAnsi="Arial" w:cs="Arial"/>
          <w:sz w:val="24"/>
          <w:szCs w:val="24"/>
        </w:rPr>
      </w:pPr>
    </w:p>
    <w:p w14:paraId="0B06DA6D" w14:textId="77777777" w:rsidR="00D85FB7" w:rsidRPr="00CC0840" w:rsidRDefault="00D85FB7" w:rsidP="00CC0840">
      <w:pPr>
        <w:pStyle w:val="NoSpacing"/>
        <w:ind w:left="720"/>
        <w:jc w:val="both"/>
        <w:rPr>
          <w:rFonts w:ascii="Arial" w:hAnsi="Arial" w:cs="Arial"/>
          <w:sz w:val="24"/>
          <w:szCs w:val="24"/>
        </w:rPr>
      </w:pPr>
      <w:r w:rsidRPr="00CC0840">
        <w:rPr>
          <w:rFonts w:ascii="Arial" w:hAnsi="Arial" w:cs="Arial"/>
          <w:sz w:val="24"/>
          <w:szCs w:val="24"/>
        </w:rPr>
        <w:t>“…unless new pipeline capacity is needed, fugitive emissions from pipeline leaks remain relatively constant…”</w:t>
      </w:r>
    </w:p>
    <w:p w14:paraId="20F64F9B" w14:textId="77777777" w:rsidR="00D85FB7" w:rsidRPr="00CC0840" w:rsidRDefault="00D85FB7" w:rsidP="00CC0840">
      <w:pPr>
        <w:pStyle w:val="NoSpacing"/>
        <w:jc w:val="both"/>
        <w:rPr>
          <w:rFonts w:ascii="Arial" w:hAnsi="Arial" w:cs="Arial"/>
          <w:sz w:val="24"/>
          <w:szCs w:val="24"/>
        </w:rPr>
      </w:pPr>
    </w:p>
    <w:p w14:paraId="2458B624" w14:textId="489564BB" w:rsidR="001D5CEE" w:rsidRDefault="00D85FB7" w:rsidP="000B5487">
      <w:pPr>
        <w:pStyle w:val="NoSpacing"/>
        <w:jc w:val="both"/>
        <w:rPr>
          <w:rFonts w:ascii="Arial" w:hAnsi="Arial" w:cs="Arial"/>
          <w:b/>
          <w:sz w:val="24"/>
          <w:szCs w:val="24"/>
        </w:rPr>
      </w:pPr>
      <w:r w:rsidRPr="00CC0840">
        <w:rPr>
          <w:rFonts w:ascii="Arial" w:hAnsi="Arial" w:cs="Arial"/>
          <w:sz w:val="24"/>
          <w:szCs w:val="24"/>
        </w:rPr>
        <w:t>Thus, fugitive methane emissions need to be addressed but do not offset the benefit of lower overall CO2 emissions when compared to electr</w:t>
      </w:r>
      <w:r w:rsidR="00103767" w:rsidRPr="00CC0840">
        <w:rPr>
          <w:rFonts w:ascii="Arial" w:hAnsi="Arial" w:cs="Arial"/>
          <w:sz w:val="24"/>
          <w:szCs w:val="24"/>
        </w:rPr>
        <w:t>ic generation from natural gas.</w:t>
      </w:r>
      <w:bookmarkStart w:id="14" w:name="_Toc459622872"/>
    </w:p>
    <w:p w14:paraId="7A504BD5" w14:textId="77777777" w:rsidR="00D85FB7" w:rsidRPr="00CC0840" w:rsidRDefault="00D85FB7" w:rsidP="00CC0840">
      <w:pPr>
        <w:pStyle w:val="Heading1"/>
        <w:jc w:val="both"/>
        <w:rPr>
          <w:rFonts w:ascii="Arial" w:hAnsi="Arial" w:cs="Arial"/>
          <w:b/>
          <w:color w:val="auto"/>
          <w:sz w:val="24"/>
          <w:szCs w:val="24"/>
        </w:rPr>
      </w:pPr>
      <w:r w:rsidRPr="00CC0840">
        <w:rPr>
          <w:rFonts w:ascii="Arial" w:hAnsi="Arial" w:cs="Arial"/>
          <w:b/>
          <w:color w:val="auto"/>
          <w:sz w:val="24"/>
          <w:szCs w:val="24"/>
        </w:rPr>
        <w:t>Washington and Oregon Commission-Jurisdictional Planning Treatment</w:t>
      </w:r>
      <w:bookmarkEnd w:id="14"/>
      <w:r w:rsidRPr="00CC0840">
        <w:rPr>
          <w:rFonts w:ascii="Arial" w:hAnsi="Arial" w:cs="Arial"/>
          <w:b/>
          <w:color w:val="auto"/>
          <w:sz w:val="24"/>
          <w:szCs w:val="24"/>
        </w:rPr>
        <w:t xml:space="preserve"> </w:t>
      </w:r>
    </w:p>
    <w:p w14:paraId="757A1287" w14:textId="77777777" w:rsidR="00D85FB7" w:rsidRPr="00CC0840" w:rsidRDefault="00D85FB7" w:rsidP="00CC0840">
      <w:pPr>
        <w:pStyle w:val="NoSpacing"/>
        <w:jc w:val="both"/>
        <w:rPr>
          <w:rFonts w:ascii="Arial" w:hAnsi="Arial" w:cs="Arial"/>
          <w:sz w:val="24"/>
          <w:szCs w:val="24"/>
        </w:rPr>
      </w:pPr>
    </w:p>
    <w:p w14:paraId="6725B176" w14:textId="77777777" w:rsidR="00D85FB7" w:rsidRDefault="00D85FB7" w:rsidP="00CC0840">
      <w:pPr>
        <w:pStyle w:val="NoSpacing"/>
        <w:jc w:val="both"/>
        <w:rPr>
          <w:rFonts w:ascii="Arial" w:hAnsi="Arial" w:cs="Arial"/>
          <w:sz w:val="24"/>
          <w:szCs w:val="24"/>
        </w:rPr>
      </w:pPr>
      <w:r w:rsidRPr="00CC0840">
        <w:rPr>
          <w:rFonts w:ascii="Arial" w:hAnsi="Arial" w:cs="Arial"/>
          <w:sz w:val="24"/>
          <w:szCs w:val="24"/>
        </w:rPr>
        <w:t>All Washington and Oregon LDCs follow the protocols of the Council’s Carbon Cost Risk approach:</w:t>
      </w:r>
    </w:p>
    <w:p w14:paraId="700F8844" w14:textId="77777777" w:rsidR="00992012" w:rsidRDefault="00992012" w:rsidP="00CC0840">
      <w:pPr>
        <w:pStyle w:val="NoSpacing"/>
        <w:jc w:val="both"/>
        <w:rPr>
          <w:rFonts w:ascii="Arial" w:hAnsi="Arial" w:cs="Arial"/>
          <w:sz w:val="24"/>
          <w:szCs w:val="24"/>
        </w:rPr>
      </w:pPr>
    </w:p>
    <w:p w14:paraId="3B683BE7" w14:textId="77777777" w:rsidR="00992012" w:rsidRDefault="00992012" w:rsidP="00CC0840">
      <w:pPr>
        <w:pStyle w:val="NoSpacing"/>
        <w:jc w:val="both"/>
        <w:rPr>
          <w:rFonts w:ascii="Arial" w:hAnsi="Arial" w:cs="Arial"/>
          <w:sz w:val="24"/>
          <w:szCs w:val="24"/>
        </w:rPr>
      </w:pPr>
    </w:p>
    <w:p w14:paraId="28CEEF00" w14:textId="77777777" w:rsidR="00992012" w:rsidRPr="00CC0840" w:rsidRDefault="00992012" w:rsidP="00CC0840">
      <w:pPr>
        <w:pStyle w:val="NoSpacing"/>
        <w:jc w:val="both"/>
        <w:rPr>
          <w:rFonts w:ascii="Arial" w:hAnsi="Arial" w:cs="Arial"/>
          <w:sz w:val="24"/>
          <w:szCs w:val="24"/>
        </w:rPr>
      </w:pPr>
    </w:p>
    <w:p w14:paraId="2C15F5C7" w14:textId="77777777" w:rsidR="00D85FB7" w:rsidRPr="00CC0840" w:rsidRDefault="00D85FB7" w:rsidP="00CC0840">
      <w:pPr>
        <w:pStyle w:val="NoSpacing"/>
        <w:jc w:val="both"/>
        <w:rPr>
          <w:rFonts w:ascii="Arial" w:hAnsi="Arial" w:cs="Arial"/>
          <w:sz w:val="24"/>
          <w:szCs w:val="24"/>
        </w:rPr>
      </w:pPr>
    </w:p>
    <w:p w14:paraId="61829B13" w14:textId="77777777" w:rsidR="00D85FB7" w:rsidRPr="00CC0840" w:rsidRDefault="006B0B67" w:rsidP="00CC0840">
      <w:pPr>
        <w:pStyle w:val="NoSpacing"/>
        <w:jc w:val="both"/>
        <w:rPr>
          <w:rFonts w:ascii="Arial" w:hAnsi="Arial" w:cs="Arial"/>
          <w:sz w:val="24"/>
          <w:szCs w:val="24"/>
          <w:u w:val="single"/>
        </w:rPr>
      </w:pPr>
      <w:r w:rsidRPr="00CC0840">
        <w:rPr>
          <w:rFonts w:ascii="Arial" w:hAnsi="Arial" w:cs="Arial"/>
          <w:sz w:val="24"/>
          <w:szCs w:val="24"/>
          <w:u w:val="single"/>
        </w:rPr>
        <w:lastRenderedPageBreak/>
        <w:t>Puget Sound Energy</w:t>
      </w:r>
    </w:p>
    <w:p w14:paraId="6A840230" w14:textId="77777777" w:rsidR="006B0B67" w:rsidRPr="00CC0840" w:rsidRDefault="006B0B67" w:rsidP="00CC0840">
      <w:pPr>
        <w:pStyle w:val="NoSpacing"/>
        <w:jc w:val="both"/>
        <w:rPr>
          <w:rFonts w:ascii="Arial" w:hAnsi="Arial" w:cs="Arial"/>
          <w:sz w:val="24"/>
          <w:szCs w:val="24"/>
        </w:rPr>
      </w:pPr>
    </w:p>
    <w:p w14:paraId="6554E6EB" w14:textId="2755F106" w:rsidR="00D85FB7" w:rsidRDefault="00D85FB7" w:rsidP="00CC0840">
      <w:pPr>
        <w:pStyle w:val="NoSpacing"/>
        <w:jc w:val="both"/>
        <w:rPr>
          <w:rFonts w:ascii="Arial" w:hAnsi="Arial" w:cs="Arial"/>
          <w:sz w:val="24"/>
          <w:szCs w:val="24"/>
        </w:rPr>
      </w:pPr>
      <w:r w:rsidRPr="00CC0840">
        <w:rPr>
          <w:rFonts w:ascii="Arial" w:hAnsi="Arial" w:cs="Arial"/>
          <w:sz w:val="24"/>
          <w:szCs w:val="24"/>
        </w:rPr>
        <w:t xml:space="preserve">In its 2015 IRP, </w:t>
      </w:r>
      <w:r w:rsidR="002C7CB3">
        <w:rPr>
          <w:rFonts w:ascii="Arial" w:hAnsi="Arial" w:cs="Arial"/>
          <w:sz w:val="24"/>
          <w:szCs w:val="24"/>
        </w:rPr>
        <w:t xml:space="preserve">Puget Sound Energy </w:t>
      </w:r>
      <w:r w:rsidRPr="00CC0840">
        <w:rPr>
          <w:rFonts w:ascii="Arial" w:hAnsi="Arial" w:cs="Arial"/>
          <w:sz w:val="24"/>
          <w:szCs w:val="24"/>
        </w:rPr>
        <w:t>modeled three CO2 prices:  No Federal CO2 price ($0/ton); Mid CO2 price ($13/ton in 2016 to $54/ton in 2035); High CO2 price ($35/ton in 2020 to $120/ton in 2035)</w:t>
      </w:r>
    </w:p>
    <w:p w14:paraId="052BAC67" w14:textId="77777777" w:rsidR="00CC0840" w:rsidRDefault="00CC0840" w:rsidP="00CC0840">
      <w:pPr>
        <w:pStyle w:val="NoSpacing"/>
        <w:jc w:val="both"/>
        <w:rPr>
          <w:rFonts w:ascii="Arial" w:hAnsi="Arial" w:cs="Arial"/>
          <w:sz w:val="24"/>
          <w:szCs w:val="24"/>
        </w:rPr>
      </w:pPr>
    </w:p>
    <w:p w14:paraId="77819586" w14:textId="77777777" w:rsidR="00D85FB7" w:rsidRPr="00CC0840" w:rsidRDefault="00D85FB7" w:rsidP="00CC0840">
      <w:pPr>
        <w:pStyle w:val="NoSpacing"/>
        <w:jc w:val="both"/>
        <w:rPr>
          <w:rFonts w:ascii="Arial" w:hAnsi="Arial" w:cs="Arial"/>
          <w:sz w:val="24"/>
          <w:szCs w:val="24"/>
        </w:rPr>
      </w:pPr>
    </w:p>
    <w:p w14:paraId="41523907" w14:textId="26463413" w:rsidR="00D85FB7" w:rsidRPr="00CC0840" w:rsidRDefault="002C7CB3" w:rsidP="00CC0840">
      <w:pPr>
        <w:pStyle w:val="NoSpacing"/>
        <w:jc w:val="both"/>
        <w:rPr>
          <w:rFonts w:ascii="Arial" w:hAnsi="Arial" w:cs="Arial"/>
          <w:sz w:val="24"/>
          <w:szCs w:val="24"/>
          <w:u w:val="single"/>
        </w:rPr>
      </w:pPr>
      <w:r>
        <w:rPr>
          <w:rFonts w:ascii="Arial" w:hAnsi="Arial" w:cs="Arial"/>
          <w:sz w:val="24"/>
          <w:szCs w:val="24"/>
          <w:u w:val="single"/>
        </w:rPr>
        <w:t>NW</w:t>
      </w:r>
      <w:r w:rsidRPr="00CC0840">
        <w:rPr>
          <w:rFonts w:ascii="Arial" w:hAnsi="Arial" w:cs="Arial"/>
          <w:sz w:val="24"/>
          <w:szCs w:val="24"/>
          <w:u w:val="single"/>
        </w:rPr>
        <w:t xml:space="preserve"> </w:t>
      </w:r>
      <w:r w:rsidR="00D85FB7" w:rsidRPr="00CC0840">
        <w:rPr>
          <w:rFonts w:ascii="Arial" w:hAnsi="Arial" w:cs="Arial"/>
          <w:sz w:val="24"/>
          <w:szCs w:val="24"/>
          <w:u w:val="single"/>
        </w:rPr>
        <w:t>Natural</w:t>
      </w:r>
      <w:r w:rsidR="006B0B67" w:rsidRPr="00CC0840">
        <w:rPr>
          <w:rFonts w:ascii="Arial" w:hAnsi="Arial" w:cs="Arial"/>
          <w:sz w:val="24"/>
          <w:szCs w:val="24"/>
          <w:u w:val="single"/>
        </w:rPr>
        <w:t xml:space="preserve"> Gas</w:t>
      </w:r>
    </w:p>
    <w:p w14:paraId="0A62AB6C" w14:textId="77777777" w:rsidR="006B0B67" w:rsidRPr="00CC0840" w:rsidRDefault="006B0B67" w:rsidP="00CC0840">
      <w:pPr>
        <w:pStyle w:val="NoSpacing"/>
        <w:jc w:val="both"/>
        <w:rPr>
          <w:rFonts w:ascii="Arial" w:hAnsi="Arial" w:cs="Arial"/>
          <w:sz w:val="24"/>
          <w:szCs w:val="24"/>
        </w:rPr>
      </w:pPr>
    </w:p>
    <w:p w14:paraId="0656F49A" w14:textId="6E488415" w:rsidR="00D85FB7" w:rsidRPr="00CC0840" w:rsidRDefault="00D85FB7" w:rsidP="00CC0840">
      <w:pPr>
        <w:pStyle w:val="NoSpacing"/>
        <w:jc w:val="both"/>
        <w:rPr>
          <w:rFonts w:ascii="Arial" w:hAnsi="Arial" w:cs="Arial"/>
          <w:sz w:val="24"/>
          <w:szCs w:val="24"/>
        </w:rPr>
      </w:pPr>
      <w:r w:rsidRPr="00CC0840">
        <w:rPr>
          <w:rFonts w:ascii="Arial" w:hAnsi="Arial" w:cs="Arial"/>
          <w:sz w:val="24"/>
          <w:szCs w:val="24"/>
        </w:rPr>
        <w:t xml:space="preserve">In its “2016 IRP Draft for Public Comment,” for Oregon, </w:t>
      </w:r>
      <w:r w:rsidR="002C7CB3">
        <w:rPr>
          <w:rFonts w:ascii="Arial" w:hAnsi="Arial" w:cs="Arial"/>
          <w:sz w:val="24"/>
          <w:szCs w:val="24"/>
        </w:rPr>
        <w:t xml:space="preserve">a cost for carbon </w:t>
      </w:r>
      <w:r w:rsidRPr="00CC0840">
        <w:rPr>
          <w:rFonts w:ascii="Arial" w:hAnsi="Arial" w:cs="Arial"/>
          <w:sz w:val="24"/>
          <w:szCs w:val="24"/>
        </w:rPr>
        <w:t>begins in 2021 at $7/ton with $28/ton in 2035 and for Washington</w:t>
      </w:r>
      <w:r w:rsidR="002C7CB3">
        <w:rPr>
          <w:rFonts w:ascii="Arial" w:hAnsi="Arial" w:cs="Arial"/>
          <w:sz w:val="24"/>
          <w:szCs w:val="24"/>
        </w:rPr>
        <w:t>; it</w:t>
      </w:r>
      <w:r w:rsidRPr="00CC0840">
        <w:rPr>
          <w:rFonts w:ascii="Arial" w:hAnsi="Arial" w:cs="Arial"/>
          <w:sz w:val="24"/>
          <w:szCs w:val="24"/>
        </w:rPr>
        <w:t xml:space="preserve"> starts at $7/ton in 2017 with $32/ton in 2035)</w:t>
      </w:r>
    </w:p>
    <w:p w14:paraId="50F26B6C" w14:textId="77777777" w:rsidR="00D85FB7" w:rsidRPr="00CC0840" w:rsidRDefault="00D85FB7" w:rsidP="00CC0840">
      <w:pPr>
        <w:pStyle w:val="NoSpacing"/>
        <w:jc w:val="both"/>
        <w:rPr>
          <w:rFonts w:ascii="Arial" w:hAnsi="Arial" w:cs="Arial"/>
          <w:sz w:val="24"/>
          <w:szCs w:val="24"/>
        </w:rPr>
      </w:pPr>
    </w:p>
    <w:p w14:paraId="7F0FDFE7" w14:textId="77777777" w:rsidR="00D85FB7" w:rsidRPr="00CC0840" w:rsidRDefault="00D85FB7" w:rsidP="00CC0840">
      <w:pPr>
        <w:pStyle w:val="NoSpacing"/>
        <w:jc w:val="both"/>
        <w:rPr>
          <w:rFonts w:ascii="Arial" w:hAnsi="Arial" w:cs="Arial"/>
          <w:sz w:val="24"/>
          <w:szCs w:val="24"/>
          <w:u w:val="single"/>
        </w:rPr>
      </w:pPr>
      <w:r w:rsidRPr="00CC0840">
        <w:rPr>
          <w:rFonts w:ascii="Arial" w:hAnsi="Arial" w:cs="Arial"/>
          <w:sz w:val="24"/>
          <w:szCs w:val="24"/>
          <w:u w:val="single"/>
        </w:rPr>
        <w:t>Avista</w:t>
      </w:r>
    </w:p>
    <w:p w14:paraId="1F0DA0AC" w14:textId="77777777" w:rsidR="006B0B67" w:rsidRPr="00CC0840" w:rsidRDefault="006B0B67" w:rsidP="00CC0840">
      <w:pPr>
        <w:pStyle w:val="NoSpacing"/>
        <w:jc w:val="both"/>
        <w:rPr>
          <w:rFonts w:ascii="Arial" w:hAnsi="Arial" w:cs="Arial"/>
          <w:sz w:val="24"/>
          <w:szCs w:val="24"/>
        </w:rPr>
      </w:pPr>
    </w:p>
    <w:p w14:paraId="68D9B4C8" w14:textId="7E859129" w:rsidR="00D85FB7" w:rsidRPr="00CC0840" w:rsidRDefault="00D85FB7" w:rsidP="00CC0840">
      <w:pPr>
        <w:pStyle w:val="NoSpacing"/>
        <w:jc w:val="both"/>
        <w:rPr>
          <w:rFonts w:ascii="Arial" w:hAnsi="Arial" w:cs="Arial"/>
          <w:sz w:val="24"/>
          <w:szCs w:val="24"/>
        </w:rPr>
      </w:pPr>
      <w:r w:rsidRPr="00CC0840">
        <w:rPr>
          <w:rFonts w:ascii="Arial" w:hAnsi="Arial" w:cs="Arial"/>
          <w:sz w:val="24"/>
          <w:szCs w:val="24"/>
        </w:rPr>
        <w:t>In it</w:t>
      </w:r>
      <w:r w:rsidR="00205F18">
        <w:rPr>
          <w:rFonts w:ascii="Arial" w:hAnsi="Arial" w:cs="Arial"/>
          <w:sz w:val="24"/>
          <w:szCs w:val="24"/>
        </w:rPr>
        <w:t>s</w:t>
      </w:r>
      <w:r w:rsidRPr="00CC0840">
        <w:rPr>
          <w:rFonts w:ascii="Arial" w:hAnsi="Arial" w:cs="Arial"/>
          <w:sz w:val="24"/>
          <w:szCs w:val="24"/>
        </w:rPr>
        <w:t xml:space="preserve"> 2016 </w:t>
      </w:r>
      <w:r w:rsidR="00205F18">
        <w:rPr>
          <w:rFonts w:ascii="Arial" w:hAnsi="Arial" w:cs="Arial"/>
          <w:sz w:val="24"/>
          <w:szCs w:val="24"/>
        </w:rPr>
        <w:t>Natural Gas IRP:</w:t>
      </w:r>
      <w:r w:rsidR="002C7CB3">
        <w:rPr>
          <w:rFonts w:ascii="Arial" w:hAnsi="Arial" w:cs="Arial"/>
          <w:sz w:val="24"/>
          <w:szCs w:val="24"/>
        </w:rPr>
        <w:t xml:space="preserve"> a carbon adder is</w:t>
      </w:r>
      <w:r w:rsidRPr="00CC0840">
        <w:rPr>
          <w:rFonts w:ascii="Arial" w:hAnsi="Arial" w:cs="Arial"/>
          <w:sz w:val="24"/>
          <w:szCs w:val="24"/>
        </w:rPr>
        <w:t xml:space="preserve"> </w:t>
      </w:r>
      <w:r w:rsidR="00205F18">
        <w:rPr>
          <w:rFonts w:ascii="Arial" w:hAnsi="Arial" w:cs="Arial"/>
          <w:sz w:val="24"/>
          <w:szCs w:val="24"/>
        </w:rPr>
        <w:t>include</w:t>
      </w:r>
      <w:r w:rsidR="002C7CB3">
        <w:rPr>
          <w:rFonts w:ascii="Arial" w:hAnsi="Arial" w:cs="Arial"/>
          <w:sz w:val="24"/>
          <w:szCs w:val="24"/>
        </w:rPr>
        <w:t xml:space="preserve">d </w:t>
      </w:r>
      <w:r w:rsidRPr="00CC0840">
        <w:rPr>
          <w:rFonts w:ascii="Arial" w:hAnsi="Arial" w:cs="Arial"/>
          <w:sz w:val="24"/>
          <w:szCs w:val="24"/>
        </w:rPr>
        <w:t xml:space="preserve">beginning in 2018 ($10/ton), escalating to </w:t>
      </w:r>
      <w:r w:rsidR="00205F18">
        <w:rPr>
          <w:rFonts w:ascii="Arial" w:hAnsi="Arial" w:cs="Arial"/>
          <w:sz w:val="24"/>
          <w:szCs w:val="24"/>
        </w:rPr>
        <w:t xml:space="preserve">approximately </w:t>
      </w:r>
      <w:r w:rsidRPr="00CC0840">
        <w:rPr>
          <w:rFonts w:ascii="Arial" w:hAnsi="Arial" w:cs="Arial"/>
          <w:sz w:val="24"/>
          <w:szCs w:val="24"/>
        </w:rPr>
        <w:t xml:space="preserve">$20/ton (2035) based </w:t>
      </w:r>
      <w:proofErr w:type="gramStart"/>
      <w:r w:rsidRPr="00CC0840">
        <w:rPr>
          <w:rFonts w:ascii="Arial" w:hAnsi="Arial" w:cs="Arial"/>
          <w:sz w:val="24"/>
          <w:szCs w:val="24"/>
        </w:rPr>
        <w:t>on  cap</w:t>
      </w:r>
      <w:proofErr w:type="gramEnd"/>
      <w:r w:rsidRPr="00CC0840">
        <w:rPr>
          <w:rFonts w:ascii="Arial" w:hAnsi="Arial" w:cs="Arial"/>
          <w:sz w:val="24"/>
          <w:szCs w:val="24"/>
        </w:rPr>
        <w:t xml:space="preserve"> and trade</w:t>
      </w:r>
      <w:r w:rsidR="00205F18">
        <w:rPr>
          <w:rFonts w:ascii="Arial" w:hAnsi="Arial" w:cs="Arial"/>
          <w:sz w:val="24"/>
          <w:szCs w:val="24"/>
        </w:rPr>
        <w:t xml:space="preserve"> carbon policy</w:t>
      </w:r>
    </w:p>
    <w:p w14:paraId="02F955BF" w14:textId="651ECBCD" w:rsidR="00D85FB7" w:rsidRPr="00CC0840" w:rsidRDefault="009F4536" w:rsidP="00CC0840">
      <w:pPr>
        <w:pStyle w:val="Heading1"/>
        <w:jc w:val="both"/>
        <w:rPr>
          <w:rFonts w:ascii="Arial" w:hAnsi="Arial" w:cs="Arial"/>
          <w:b/>
          <w:color w:val="auto"/>
          <w:sz w:val="24"/>
          <w:szCs w:val="24"/>
        </w:rPr>
      </w:pPr>
      <w:bookmarkStart w:id="15" w:name="_Toc459622873"/>
      <w:r>
        <w:rPr>
          <w:rFonts w:ascii="Arial" w:hAnsi="Arial" w:cs="Arial"/>
          <w:b/>
          <w:color w:val="auto"/>
          <w:sz w:val="24"/>
          <w:szCs w:val="24"/>
        </w:rPr>
        <w:t xml:space="preserve">Cascade’s </w:t>
      </w:r>
      <w:r w:rsidR="00D85FB7" w:rsidRPr="00CC0840">
        <w:rPr>
          <w:rFonts w:ascii="Arial" w:hAnsi="Arial" w:cs="Arial"/>
          <w:b/>
          <w:color w:val="auto"/>
          <w:sz w:val="24"/>
          <w:szCs w:val="24"/>
        </w:rPr>
        <w:t xml:space="preserve">Current Efforts </w:t>
      </w:r>
      <w:r>
        <w:rPr>
          <w:rFonts w:ascii="Arial" w:hAnsi="Arial" w:cs="Arial"/>
          <w:b/>
          <w:color w:val="auto"/>
          <w:sz w:val="24"/>
          <w:szCs w:val="24"/>
        </w:rPr>
        <w:t>for</w:t>
      </w:r>
      <w:r w:rsidR="00D85FB7" w:rsidRPr="00CC0840">
        <w:rPr>
          <w:rFonts w:ascii="Arial" w:hAnsi="Arial" w:cs="Arial"/>
          <w:b/>
          <w:color w:val="auto"/>
          <w:sz w:val="24"/>
          <w:szCs w:val="24"/>
        </w:rPr>
        <w:t xml:space="preserve"> Greenhouse Gas Reduction</w:t>
      </w:r>
      <w:bookmarkEnd w:id="15"/>
      <w:r w:rsidR="00D85FB7" w:rsidRPr="00CC0840">
        <w:rPr>
          <w:rFonts w:ascii="Arial" w:hAnsi="Arial" w:cs="Arial"/>
          <w:b/>
          <w:color w:val="auto"/>
          <w:sz w:val="24"/>
          <w:szCs w:val="24"/>
        </w:rPr>
        <w:t xml:space="preserve"> </w:t>
      </w:r>
    </w:p>
    <w:p w14:paraId="325B21E1" w14:textId="77777777" w:rsidR="00D85FB7" w:rsidRPr="00CC0840" w:rsidRDefault="00D85FB7" w:rsidP="00CC0840">
      <w:pPr>
        <w:pStyle w:val="NoSpacing"/>
        <w:jc w:val="both"/>
        <w:rPr>
          <w:rFonts w:ascii="Arial" w:hAnsi="Arial" w:cs="Arial"/>
          <w:sz w:val="24"/>
          <w:szCs w:val="24"/>
        </w:rPr>
      </w:pPr>
    </w:p>
    <w:p w14:paraId="6D2F95FF" w14:textId="0612ED38" w:rsidR="00D85FB7" w:rsidRPr="00CC0840" w:rsidRDefault="00D85FB7" w:rsidP="00CC0840">
      <w:pPr>
        <w:pStyle w:val="NoSpacing"/>
        <w:jc w:val="both"/>
        <w:rPr>
          <w:rFonts w:ascii="Arial" w:hAnsi="Arial" w:cs="Arial"/>
          <w:sz w:val="24"/>
          <w:szCs w:val="24"/>
        </w:rPr>
      </w:pPr>
      <w:r w:rsidRPr="00CC0840">
        <w:rPr>
          <w:rFonts w:ascii="Arial" w:hAnsi="Arial" w:cs="Arial"/>
          <w:sz w:val="24"/>
          <w:szCs w:val="24"/>
        </w:rPr>
        <w:t xml:space="preserve">Cascade’s conservation programs help reduce CO2 emissions by </w:t>
      </w:r>
      <w:r w:rsidR="0002119A">
        <w:rPr>
          <w:rFonts w:ascii="Arial" w:hAnsi="Arial" w:cs="Arial"/>
          <w:sz w:val="24"/>
          <w:szCs w:val="24"/>
        </w:rPr>
        <w:t>providing incentives to</w:t>
      </w:r>
      <w:r w:rsidR="0002119A" w:rsidRPr="00CC0840">
        <w:rPr>
          <w:rFonts w:ascii="Arial" w:hAnsi="Arial" w:cs="Arial"/>
          <w:sz w:val="24"/>
          <w:szCs w:val="24"/>
        </w:rPr>
        <w:t xml:space="preserve"> </w:t>
      </w:r>
      <w:r w:rsidRPr="00CC0840">
        <w:rPr>
          <w:rFonts w:ascii="Arial" w:hAnsi="Arial" w:cs="Arial"/>
          <w:sz w:val="24"/>
          <w:szCs w:val="24"/>
        </w:rPr>
        <w:t>customers</w:t>
      </w:r>
      <w:r w:rsidR="0002119A">
        <w:rPr>
          <w:rFonts w:ascii="Arial" w:hAnsi="Arial" w:cs="Arial"/>
          <w:sz w:val="24"/>
          <w:szCs w:val="24"/>
        </w:rPr>
        <w:t xml:space="preserve"> for a comprehensive set of prescriptive and custom energy efficiency upgrades designed to</w:t>
      </w:r>
      <w:r w:rsidR="00347CE4">
        <w:rPr>
          <w:rFonts w:ascii="Arial" w:hAnsi="Arial" w:cs="Arial"/>
          <w:sz w:val="24"/>
          <w:szCs w:val="24"/>
        </w:rPr>
        <w:t xml:space="preserve"> streamline their use of natural gas, thus reducing their overall carbon footprint</w:t>
      </w:r>
      <w:r w:rsidRPr="00CC0840">
        <w:rPr>
          <w:rFonts w:ascii="Arial" w:hAnsi="Arial" w:cs="Arial"/>
          <w:sz w:val="24"/>
          <w:szCs w:val="24"/>
        </w:rPr>
        <w:t xml:space="preserve">.  </w:t>
      </w:r>
      <w:r w:rsidR="0012756E">
        <w:rPr>
          <w:rFonts w:ascii="Arial" w:hAnsi="Arial" w:cs="Arial"/>
          <w:sz w:val="24"/>
          <w:szCs w:val="24"/>
        </w:rPr>
        <w:t xml:space="preserve">Space, water heating, and weatherization incentives drive positive energy behavior in customers’ homes and businesses. This leads to lowered demand, </w:t>
      </w:r>
      <w:r w:rsidRPr="00CC0840">
        <w:rPr>
          <w:rFonts w:ascii="Arial" w:hAnsi="Arial" w:cs="Arial"/>
          <w:sz w:val="24"/>
          <w:szCs w:val="24"/>
        </w:rPr>
        <w:t>bill reduction</w:t>
      </w:r>
      <w:r w:rsidR="0012756E">
        <w:rPr>
          <w:rFonts w:ascii="Arial" w:hAnsi="Arial" w:cs="Arial"/>
          <w:sz w:val="24"/>
          <w:szCs w:val="24"/>
        </w:rPr>
        <w:t xml:space="preserve">s, and overall </w:t>
      </w:r>
      <w:r w:rsidR="00003561">
        <w:rPr>
          <w:rFonts w:ascii="Arial" w:hAnsi="Arial" w:cs="Arial"/>
          <w:sz w:val="24"/>
          <w:szCs w:val="24"/>
        </w:rPr>
        <w:t xml:space="preserve">carbon </w:t>
      </w:r>
      <w:r w:rsidRPr="00CC0840">
        <w:rPr>
          <w:rFonts w:ascii="Arial" w:hAnsi="Arial" w:cs="Arial"/>
          <w:sz w:val="24"/>
          <w:szCs w:val="24"/>
        </w:rPr>
        <w:t>emission reductions</w:t>
      </w:r>
      <w:r w:rsidR="0012756E">
        <w:rPr>
          <w:rFonts w:ascii="Arial" w:hAnsi="Arial" w:cs="Arial"/>
          <w:sz w:val="24"/>
          <w:szCs w:val="24"/>
        </w:rPr>
        <w:t xml:space="preserve"> in the communities Cascade serves</w:t>
      </w:r>
      <w:r w:rsidR="007E439E">
        <w:rPr>
          <w:rFonts w:ascii="Arial" w:hAnsi="Arial" w:cs="Arial"/>
          <w:sz w:val="24"/>
          <w:szCs w:val="24"/>
        </w:rPr>
        <w:t xml:space="preserve"> (see Chapter </w:t>
      </w:r>
      <w:r w:rsidR="007E439E" w:rsidRPr="00546A8D">
        <w:rPr>
          <w:rFonts w:ascii="Arial" w:hAnsi="Arial" w:cs="Arial"/>
          <w:i/>
          <w:sz w:val="24"/>
          <w:szCs w:val="24"/>
        </w:rPr>
        <w:t>7 Demand Side Management</w:t>
      </w:r>
      <w:r w:rsidR="007E439E">
        <w:rPr>
          <w:rFonts w:ascii="Arial" w:hAnsi="Arial" w:cs="Arial"/>
          <w:sz w:val="24"/>
          <w:szCs w:val="24"/>
        </w:rPr>
        <w:t xml:space="preserve"> for additional details). </w:t>
      </w:r>
    </w:p>
    <w:p w14:paraId="559A3FA3" w14:textId="77777777" w:rsidR="00D85FB7" w:rsidRPr="00CC0840" w:rsidRDefault="00D85FB7" w:rsidP="00CC0840">
      <w:pPr>
        <w:pStyle w:val="NoSpacing"/>
        <w:jc w:val="both"/>
        <w:rPr>
          <w:rFonts w:ascii="Arial" w:hAnsi="Arial" w:cs="Arial"/>
          <w:sz w:val="24"/>
          <w:szCs w:val="24"/>
        </w:rPr>
      </w:pPr>
    </w:p>
    <w:p w14:paraId="1C9512E3" w14:textId="2B247783" w:rsidR="004E46F6" w:rsidRPr="004E46F6" w:rsidRDefault="0066794F" w:rsidP="00CC0840">
      <w:pPr>
        <w:pStyle w:val="NoSpacing"/>
        <w:jc w:val="both"/>
        <w:rPr>
          <w:rFonts w:ascii="Arial" w:hAnsi="Arial" w:cs="Arial"/>
          <w:sz w:val="24"/>
          <w:szCs w:val="24"/>
        </w:rPr>
      </w:pPr>
      <w:r>
        <w:rPr>
          <w:rFonts w:ascii="Arial" w:hAnsi="Arial" w:cs="Arial"/>
          <w:sz w:val="24"/>
          <w:szCs w:val="24"/>
        </w:rPr>
        <w:t>In addition to the conservation of natural gas, t</w:t>
      </w:r>
      <w:r w:rsidR="00D85FB7" w:rsidRPr="00CC0840">
        <w:rPr>
          <w:rFonts w:ascii="Arial" w:hAnsi="Arial" w:cs="Arial"/>
          <w:sz w:val="24"/>
          <w:szCs w:val="24"/>
        </w:rPr>
        <w:t xml:space="preserve">he direct use of </w:t>
      </w:r>
      <w:r>
        <w:rPr>
          <w:rFonts w:ascii="Arial" w:hAnsi="Arial" w:cs="Arial"/>
          <w:sz w:val="24"/>
          <w:szCs w:val="24"/>
        </w:rPr>
        <w:t xml:space="preserve">this resource </w:t>
      </w:r>
      <w:r w:rsidR="00D85FB7" w:rsidRPr="00CC0840">
        <w:rPr>
          <w:rFonts w:ascii="Arial" w:hAnsi="Arial" w:cs="Arial"/>
          <w:sz w:val="24"/>
          <w:szCs w:val="24"/>
        </w:rPr>
        <w:t>can</w:t>
      </w:r>
      <w:r w:rsidR="00312B7B">
        <w:rPr>
          <w:rFonts w:ascii="Arial" w:hAnsi="Arial" w:cs="Arial"/>
          <w:sz w:val="24"/>
          <w:szCs w:val="24"/>
        </w:rPr>
        <w:t xml:space="preserve"> also </w:t>
      </w:r>
      <w:r w:rsidR="00D85FB7" w:rsidRPr="00CC0840">
        <w:rPr>
          <w:rFonts w:ascii="Arial" w:hAnsi="Arial" w:cs="Arial"/>
          <w:sz w:val="24"/>
          <w:szCs w:val="24"/>
        </w:rPr>
        <w:t>be a significant source of carbon reduction.  When natural gas is transported to electric generation facilities which, in turn, transmit</w:t>
      </w:r>
      <w:r w:rsidR="009F4536">
        <w:rPr>
          <w:rFonts w:ascii="Arial" w:hAnsi="Arial" w:cs="Arial"/>
          <w:sz w:val="24"/>
          <w:szCs w:val="24"/>
        </w:rPr>
        <w:t>s</w:t>
      </w:r>
      <w:r w:rsidR="00D85FB7" w:rsidRPr="00CC0840">
        <w:rPr>
          <w:rFonts w:ascii="Arial" w:hAnsi="Arial" w:cs="Arial"/>
          <w:sz w:val="24"/>
          <w:szCs w:val="24"/>
        </w:rPr>
        <w:t xml:space="preserve"> electricity </w:t>
      </w:r>
      <w:r w:rsidR="009F4536">
        <w:rPr>
          <w:rFonts w:ascii="Arial" w:hAnsi="Arial" w:cs="Arial"/>
          <w:sz w:val="24"/>
          <w:szCs w:val="24"/>
        </w:rPr>
        <w:t>for</w:t>
      </w:r>
      <w:r w:rsidR="00D85FB7" w:rsidRPr="00CC0840">
        <w:rPr>
          <w:rFonts w:ascii="Arial" w:hAnsi="Arial" w:cs="Arial"/>
          <w:sz w:val="24"/>
          <w:szCs w:val="24"/>
        </w:rPr>
        <w:t xml:space="preserve"> customers</w:t>
      </w:r>
      <w:r w:rsidR="009F4536">
        <w:rPr>
          <w:rFonts w:ascii="Arial" w:hAnsi="Arial" w:cs="Arial"/>
          <w:sz w:val="24"/>
          <w:szCs w:val="24"/>
        </w:rPr>
        <w:t>’</w:t>
      </w:r>
      <w:r w:rsidR="00D85FB7" w:rsidRPr="00CC0840">
        <w:rPr>
          <w:rFonts w:ascii="Arial" w:hAnsi="Arial" w:cs="Arial"/>
          <w:sz w:val="24"/>
          <w:szCs w:val="24"/>
        </w:rPr>
        <w:t xml:space="preserve"> end-uses (e.g., space heating, water heating, cooking, etc.), 50% to 75% of the Btu content of the power is lost when compared </w:t>
      </w:r>
      <w:r w:rsidR="009F4536">
        <w:rPr>
          <w:rFonts w:ascii="Arial" w:hAnsi="Arial" w:cs="Arial"/>
          <w:sz w:val="24"/>
          <w:szCs w:val="24"/>
        </w:rPr>
        <w:t>for</w:t>
      </w:r>
      <w:r w:rsidR="00D85FB7" w:rsidRPr="00CC0840">
        <w:rPr>
          <w:rFonts w:ascii="Arial" w:hAnsi="Arial" w:cs="Arial"/>
          <w:sz w:val="24"/>
          <w:szCs w:val="24"/>
        </w:rPr>
        <w:t xml:space="preserve"> the same end-uses </w:t>
      </w:r>
      <w:r w:rsidR="009F4536">
        <w:rPr>
          <w:rFonts w:ascii="Arial" w:hAnsi="Arial" w:cs="Arial"/>
          <w:sz w:val="24"/>
          <w:szCs w:val="24"/>
        </w:rPr>
        <w:t>which</w:t>
      </w:r>
      <w:r w:rsidR="009F4536" w:rsidRPr="00CC0840">
        <w:rPr>
          <w:rFonts w:ascii="Arial" w:hAnsi="Arial" w:cs="Arial"/>
          <w:sz w:val="24"/>
          <w:szCs w:val="24"/>
        </w:rPr>
        <w:t xml:space="preserve"> </w:t>
      </w:r>
      <w:r w:rsidR="00D85FB7" w:rsidRPr="00CC0840">
        <w:rPr>
          <w:rFonts w:ascii="Arial" w:hAnsi="Arial" w:cs="Arial"/>
          <w:sz w:val="24"/>
          <w:szCs w:val="24"/>
        </w:rPr>
        <w:t xml:space="preserve">have been supplied by natural gas.  </w:t>
      </w:r>
      <w:r w:rsidR="004E46F6">
        <w:rPr>
          <w:rFonts w:ascii="Arial" w:hAnsi="Arial" w:cs="Arial"/>
          <w:sz w:val="24"/>
          <w:szCs w:val="24"/>
        </w:rPr>
        <w:t xml:space="preserve">According to the American Gas Association’s whitepaper, </w:t>
      </w:r>
      <w:r w:rsidR="004E46F6">
        <w:rPr>
          <w:rFonts w:ascii="Arial" w:hAnsi="Arial" w:cs="Arial"/>
          <w:i/>
          <w:sz w:val="24"/>
          <w:szCs w:val="24"/>
        </w:rPr>
        <w:t>Dispatching Direct Use: Achieving Greenhouse Gas Reductions with Natural Gas in Homes and Businesses</w:t>
      </w:r>
      <w:r w:rsidR="004E46F6">
        <w:rPr>
          <w:rFonts w:ascii="Arial" w:hAnsi="Arial" w:cs="Arial"/>
          <w:sz w:val="24"/>
          <w:szCs w:val="24"/>
        </w:rPr>
        <w:t>, a typical gas water heater uses half the energy of an electric resistance hot water heater, emits half the CO2, and costs less than half as much to operate on an annual basis.</w:t>
      </w:r>
      <w:r w:rsidR="004E7C9D">
        <w:rPr>
          <w:rFonts w:ascii="Arial" w:hAnsi="Arial" w:cs="Arial"/>
          <w:sz w:val="24"/>
          <w:szCs w:val="24"/>
        </w:rPr>
        <w:t xml:space="preserve"> This</w:t>
      </w:r>
      <w:r w:rsidR="00737412">
        <w:rPr>
          <w:rFonts w:ascii="Arial" w:hAnsi="Arial" w:cs="Arial"/>
          <w:sz w:val="24"/>
          <w:szCs w:val="24"/>
        </w:rPr>
        <w:t xml:space="preserve"> opportunity for carbon savings</w:t>
      </w:r>
      <w:r w:rsidR="004E7C9D">
        <w:rPr>
          <w:rFonts w:ascii="Arial" w:hAnsi="Arial" w:cs="Arial"/>
          <w:sz w:val="24"/>
          <w:szCs w:val="24"/>
        </w:rPr>
        <w:t xml:space="preserve"> applies to space heating equipment as well.</w:t>
      </w:r>
      <w:r w:rsidR="004E46F6">
        <w:rPr>
          <w:rFonts w:ascii="Arial" w:hAnsi="Arial" w:cs="Arial"/>
          <w:sz w:val="24"/>
          <w:szCs w:val="24"/>
        </w:rPr>
        <w:t xml:space="preserve"> </w:t>
      </w:r>
    </w:p>
    <w:p w14:paraId="265FB6D9" w14:textId="77777777" w:rsidR="004E46F6" w:rsidRDefault="004E46F6" w:rsidP="00CC0840">
      <w:pPr>
        <w:pStyle w:val="NoSpacing"/>
        <w:jc w:val="both"/>
        <w:rPr>
          <w:rFonts w:ascii="Arial" w:hAnsi="Arial" w:cs="Arial"/>
          <w:sz w:val="24"/>
          <w:szCs w:val="24"/>
        </w:rPr>
      </w:pPr>
    </w:p>
    <w:p w14:paraId="358CCD54" w14:textId="3109B24F" w:rsidR="006626F2" w:rsidRDefault="00791103" w:rsidP="00CC0840">
      <w:pPr>
        <w:pStyle w:val="NoSpacing"/>
        <w:jc w:val="both"/>
        <w:rPr>
          <w:rFonts w:ascii="Arial" w:hAnsi="Arial" w:cs="Arial"/>
          <w:sz w:val="24"/>
          <w:szCs w:val="24"/>
        </w:rPr>
      </w:pPr>
      <w:r>
        <w:rPr>
          <w:rFonts w:ascii="Arial" w:hAnsi="Arial" w:cs="Arial"/>
          <w:sz w:val="24"/>
          <w:szCs w:val="24"/>
        </w:rPr>
        <w:t xml:space="preserve">In fact, the </w:t>
      </w:r>
      <w:r w:rsidR="006626F2">
        <w:rPr>
          <w:rFonts w:ascii="Arial" w:hAnsi="Arial" w:cs="Arial"/>
          <w:sz w:val="24"/>
          <w:szCs w:val="24"/>
        </w:rPr>
        <w:t>Environmental Protection Agency</w:t>
      </w:r>
      <w:r>
        <w:rPr>
          <w:rFonts w:ascii="Arial" w:hAnsi="Arial" w:cs="Arial"/>
          <w:sz w:val="24"/>
          <w:szCs w:val="24"/>
        </w:rPr>
        <w:t xml:space="preserve"> recognizes source efficiency as the method utilized when assessing the energy efficiency value of conservation equipment and measur</w:t>
      </w:r>
      <w:r w:rsidR="00383FF7">
        <w:rPr>
          <w:rFonts w:ascii="Arial" w:hAnsi="Arial" w:cs="Arial"/>
          <w:sz w:val="24"/>
          <w:szCs w:val="24"/>
        </w:rPr>
        <w:t>e</w:t>
      </w:r>
      <w:r>
        <w:rPr>
          <w:rFonts w:ascii="Arial" w:hAnsi="Arial" w:cs="Arial"/>
          <w:sz w:val="24"/>
          <w:szCs w:val="24"/>
        </w:rPr>
        <w:t>s</w:t>
      </w:r>
      <w:r w:rsidR="006626F2">
        <w:rPr>
          <w:rFonts w:ascii="Arial" w:hAnsi="Arial" w:cs="Arial"/>
          <w:sz w:val="24"/>
          <w:szCs w:val="24"/>
        </w:rPr>
        <w:t xml:space="preserve"> </w:t>
      </w:r>
    </w:p>
    <w:p w14:paraId="4639AA92" w14:textId="72132AC7" w:rsidR="006626F2" w:rsidRDefault="006626F2" w:rsidP="00CC0840">
      <w:pPr>
        <w:pStyle w:val="NoSpacing"/>
        <w:jc w:val="both"/>
        <w:rPr>
          <w:rFonts w:ascii="Arial" w:hAnsi="Arial" w:cs="Arial"/>
          <w:sz w:val="24"/>
          <w:szCs w:val="24"/>
        </w:rPr>
      </w:pPr>
      <w:r>
        <w:rPr>
          <w:rFonts w:ascii="Arial" w:hAnsi="Arial" w:cs="Arial"/>
          <w:sz w:val="24"/>
          <w:szCs w:val="24"/>
        </w:rPr>
        <w:lastRenderedPageBreak/>
        <w:t>(</w:t>
      </w:r>
      <w:hyperlink r:id="rId14" w:history="1">
        <w:r w:rsidRPr="00F55522">
          <w:rPr>
            <w:rStyle w:val="Hyperlink"/>
            <w:rFonts w:ascii="Arial" w:hAnsi="Arial" w:cs="Arial"/>
            <w:sz w:val="24"/>
            <w:szCs w:val="24"/>
          </w:rPr>
          <w:t>https://www.energystar.gov/buildings/facility-owners-and-managers/existing-buildings/use-portfolio-manager/understand-metrics/difference</w:t>
        </w:r>
      </w:hyperlink>
      <w:r>
        <w:rPr>
          <w:rFonts w:ascii="Arial" w:hAnsi="Arial" w:cs="Arial"/>
          <w:sz w:val="24"/>
          <w:szCs w:val="24"/>
        </w:rPr>
        <w:t>)</w:t>
      </w:r>
      <w:r w:rsidR="00791103">
        <w:rPr>
          <w:rFonts w:ascii="Arial" w:hAnsi="Arial" w:cs="Arial"/>
          <w:sz w:val="24"/>
          <w:szCs w:val="24"/>
        </w:rPr>
        <w:t xml:space="preserve">. </w:t>
      </w:r>
    </w:p>
    <w:p w14:paraId="25B3A3ED" w14:textId="77777777" w:rsidR="00992012" w:rsidRDefault="00992012" w:rsidP="00CC0840">
      <w:pPr>
        <w:pStyle w:val="NoSpacing"/>
        <w:jc w:val="both"/>
        <w:rPr>
          <w:rFonts w:ascii="Arial" w:hAnsi="Arial" w:cs="Arial"/>
          <w:sz w:val="24"/>
          <w:szCs w:val="24"/>
        </w:rPr>
      </w:pPr>
    </w:p>
    <w:p w14:paraId="19882E8D" w14:textId="5C0A52BF" w:rsidR="00D85FB7" w:rsidRPr="00CC0840" w:rsidRDefault="006626F2" w:rsidP="00CC0840">
      <w:pPr>
        <w:pStyle w:val="NoSpacing"/>
        <w:jc w:val="both"/>
        <w:rPr>
          <w:rFonts w:ascii="Arial" w:hAnsi="Arial" w:cs="Arial"/>
          <w:sz w:val="24"/>
          <w:szCs w:val="24"/>
        </w:rPr>
      </w:pPr>
      <w:r>
        <w:rPr>
          <w:rFonts w:ascii="Arial" w:hAnsi="Arial" w:cs="Arial"/>
          <w:sz w:val="24"/>
          <w:szCs w:val="24"/>
        </w:rPr>
        <w:t>It is for these reasons that</w:t>
      </w:r>
      <w:r w:rsidR="00D85FB7" w:rsidRPr="00CC0840">
        <w:rPr>
          <w:rFonts w:ascii="Arial" w:hAnsi="Arial" w:cs="Arial"/>
          <w:sz w:val="24"/>
          <w:szCs w:val="24"/>
        </w:rPr>
        <w:t xml:space="preserve"> Cascade has encouraged the direct use of natural gas</w:t>
      </w:r>
      <w:r w:rsidR="0093335B">
        <w:rPr>
          <w:rFonts w:ascii="Arial" w:hAnsi="Arial" w:cs="Arial"/>
          <w:sz w:val="24"/>
          <w:szCs w:val="24"/>
        </w:rPr>
        <w:t xml:space="preserve"> when paired with strong energy conservation measures.</w:t>
      </w:r>
      <w:r w:rsidR="00D85FB7" w:rsidRPr="00CC0840">
        <w:rPr>
          <w:rFonts w:ascii="Arial" w:hAnsi="Arial" w:cs="Arial"/>
          <w:sz w:val="24"/>
          <w:szCs w:val="24"/>
        </w:rPr>
        <w:t xml:space="preserve"> </w:t>
      </w:r>
      <w:r w:rsidR="0093335B">
        <w:rPr>
          <w:rFonts w:ascii="Arial" w:hAnsi="Arial" w:cs="Arial"/>
          <w:sz w:val="24"/>
          <w:szCs w:val="24"/>
        </w:rPr>
        <w:t>A</w:t>
      </w:r>
      <w:r w:rsidR="00D85FB7" w:rsidRPr="00CC0840">
        <w:rPr>
          <w:rFonts w:ascii="Arial" w:hAnsi="Arial" w:cs="Arial"/>
          <w:sz w:val="24"/>
          <w:szCs w:val="24"/>
        </w:rPr>
        <w:t xml:space="preserve">ccelerating this effort </w:t>
      </w:r>
      <w:r w:rsidR="0093335B">
        <w:rPr>
          <w:rFonts w:ascii="Arial" w:hAnsi="Arial" w:cs="Arial"/>
          <w:sz w:val="24"/>
          <w:szCs w:val="24"/>
        </w:rPr>
        <w:t xml:space="preserve">would be of benefit from </w:t>
      </w:r>
      <w:r w:rsidR="004E2465">
        <w:rPr>
          <w:rFonts w:ascii="Arial" w:hAnsi="Arial" w:cs="Arial"/>
          <w:sz w:val="24"/>
          <w:szCs w:val="24"/>
        </w:rPr>
        <w:t>both</w:t>
      </w:r>
      <w:r w:rsidR="0093335B">
        <w:rPr>
          <w:rFonts w:ascii="Arial" w:hAnsi="Arial" w:cs="Arial"/>
          <w:sz w:val="24"/>
          <w:szCs w:val="24"/>
        </w:rPr>
        <w:t xml:space="preserve"> a demand response and a carbon reduction standpoint—a win for the community, company, and customers. </w:t>
      </w:r>
    </w:p>
    <w:p w14:paraId="186EA500" w14:textId="77777777" w:rsidR="00D85FB7" w:rsidRPr="00CC0840" w:rsidRDefault="00D85FB7" w:rsidP="00CC0840">
      <w:pPr>
        <w:pStyle w:val="NoSpacing"/>
        <w:jc w:val="both"/>
        <w:rPr>
          <w:rFonts w:ascii="Arial" w:hAnsi="Arial" w:cs="Arial"/>
          <w:sz w:val="24"/>
          <w:szCs w:val="24"/>
        </w:rPr>
      </w:pPr>
    </w:p>
    <w:p w14:paraId="67BCB94E" w14:textId="13153F42" w:rsidR="00D85FB7" w:rsidRPr="00CC0840" w:rsidRDefault="00D85FB7" w:rsidP="00CC0840">
      <w:pPr>
        <w:pStyle w:val="NoSpacing"/>
        <w:jc w:val="both"/>
        <w:rPr>
          <w:rFonts w:ascii="Arial" w:hAnsi="Arial" w:cs="Arial"/>
          <w:sz w:val="24"/>
          <w:szCs w:val="24"/>
        </w:rPr>
      </w:pPr>
      <w:r w:rsidRPr="00CC0840">
        <w:rPr>
          <w:rFonts w:ascii="Arial" w:hAnsi="Arial" w:cs="Arial"/>
          <w:sz w:val="24"/>
          <w:szCs w:val="24"/>
        </w:rPr>
        <w:t>The natural gas industry is</w:t>
      </w:r>
      <w:r w:rsidR="0049686D">
        <w:rPr>
          <w:rFonts w:ascii="Arial" w:hAnsi="Arial" w:cs="Arial"/>
          <w:sz w:val="24"/>
          <w:szCs w:val="24"/>
        </w:rPr>
        <w:t xml:space="preserve"> additionally</w:t>
      </w:r>
      <w:r w:rsidRPr="00CC0840">
        <w:rPr>
          <w:rFonts w:ascii="Arial" w:hAnsi="Arial" w:cs="Arial"/>
          <w:sz w:val="24"/>
          <w:szCs w:val="24"/>
        </w:rPr>
        <w:t xml:space="preserve"> focused on methane recapturing and leak prevention efforts.  Cascade is monitoring th</w:t>
      </w:r>
      <w:r w:rsidR="00602D94">
        <w:rPr>
          <w:rFonts w:ascii="Arial" w:hAnsi="Arial" w:cs="Arial"/>
          <w:sz w:val="24"/>
          <w:szCs w:val="24"/>
        </w:rPr>
        <w:t>ese</w:t>
      </w:r>
      <w:r w:rsidRPr="00CC0840">
        <w:rPr>
          <w:rFonts w:ascii="Arial" w:hAnsi="Arial" w:cs="Arial"/>
          <w:sz w:val="24"/>
          <w:szCs w:val="24"/>
        </w:rPr>
        <w:t xml:space="preserve"> effort</w:t>
      </w:r>
      <w:r w:rsidR="00602D94">
        <w:rPr>
          <w:rFonts w:ascii="Arial" w:hAnsi="Arial" w:cs="Arial"/>
          <w:sz w:val="24"/>
          <w:szCs w:val="24"/>
        </w:rPr>
        <w:t>s</w:t>
      </w:r>
      <w:r w:rsidRPr="00CC0840">
        <w:rPr>
          <w:rFonts w:ascii="Arial" w:hAnsi="Arial" w:cs="Arial"/>
          <w:sz w:val="24"/>
          <w:szCs w:val="24"/>
        </w:rPr>
        <w:t xml:space="preserve">, both nationally and regionally. </w:t>
      </w:r>
    </w:p>
    <w:p w14:paraId="4E1DCA0A" w14:textId="77777777" w:rsidR="00D85FB7" w:rsidRPr="00CC0840" w:rsidRDefault="00D85FB7" w:rsidP="00CC0840">
      <w:pPr>
        <w:pStyle w:val="Heading1"/>
        <w:jc w:val="both"/>
        <w:rPr>
          <w:rFonts w:ascii="Arial" w:hAnsi="Arial" w:cs="Arial"/>
          <w:b/>
          <w:color w:val="auto"/>
          <w:sz w:val="24"/>
          <w:szCs w:val="24"/>
        </w:rPr>
      </w:pPr>
      <w:bookmarkStart w:id="16" w:name="_Toc459622874"/>
      <w:r w:rsidRPr="00CC0840">
        <w:rPr>
          <w:rFonts w:ascii="Arial" w:hAnsi="Arial" w:cs="Arial"/>
          <w:b/>
          <w:color w:val="auto"/>
          <w:sz w:val="24"/>
          <w:szCs w:val="24"/>
        </w:rPr>
        <w:t>Proposed Direction</w:t>
      </w:r>
      <w:bookmarkEnd w:id="16"/>
      <w:r w:rsidRPr="00CC0840">
        <w:rPr>
          <w:rFonts w:ascii="Arial" w:hAnsi="Arial" w:cs="Arial"/>
          <w:b/>
          <w:color w:val="auto"/>
          <w:sz w:val="24"/>
          <w:szCs w:val="24"/>
        </w:rPr>
        <w:t xml:space="preserve"> </w:t>
      </w:r>
    </w:p>
    <w:p w14:paraId="67DCC044" w14:textId="77777777" w:rsidR="00D85FB7" w:rsidRPr="00CC0840" w:rsidRDefault="00D85FB7" w:rsidP="00CC0840">
      <w:pPr>
        <w:pStyle w:val="NoSpacing"/>
        <w:jc w:val="both"/>
        <w:rPr>
          <w:rFonts w:ascii="Arial" w:hAnsi="Arial" w:cs="Arial"/>
          <w:sz w:val="24"/>
          <w:szCs w:val="24"/>
        </w:rPr>
      </w:pPr>
    </w:p>
    <w:p w14:paraId="1AC8DA5B" w14:textId="77777777" w:rsidR="00D85FB7" w:rsidRPr="00CC0840" w:rsidRDefault="00D85FB7" w:rsidP="00CC0840">
      <w:pPr>
        <w:pStyle w:val="NoSpacing"/>
        <w:jc w:val="both"/>
        <w:rPr>
          <w:rFonts w:ascii="Arial" w:hAnsi="Arial" w:cs="Arial"/>
          <w:sz w:val="24"/>
          <w:szCs w:val="24"/>
        </w:rPr>
      </w:pPr>
      <w:r w:rsidRPr="00CC0840">
        <w:rPr>
          <w:rFonts w:ascii="Arial" w:hAnsi="Arial" w:cs="Arial"/>
          <w:sz w:val="24"/>
          <w:szCs w:val="24"/>
        </w:rPr>
        <w:t>The Seventh Power Plan provides a considered rendition of carbon cost treatment for planning purposes.  Cascade’s specific assumptions would benefit by following the Council’s Carbon Cost Risk approach yielding a $10 per ton carbon adder in 2018, r</w:t>
      </w:r>
      <w:r w:rsidR="00514150" w:rsidRPr="00CC0840">
        <w:rPr>
          <w:rFonts w:ascii="Arial" w:hAnsi="Arial" w:cs="Arial"/>
          <w:sz w:val="24"/>
          <w:szCs w:val="24"/>
        </w:rPr>
        <w:t>ising to $3</w:t>
      </w:r>
      <w:r w:rsidR="001D5CEE">
        <w:rPr>
          <w:rFonts w:ascii="Arial" w:hAnsi="Arial" w:cs="Arial"/>
          <w:sz w:val="24"/>
          <w:szCs w:val="24"/>
        </w:rPr>
        <w:t>0</w:t>
      </w:r>
      <w:r w:rsidRPr="00CC0840">
        <w:rPr>
          <w:rFonts w:ascii="Arial" w:hAnsi="Arial" w:cs="Arial"/>
          <w:sz w:val="24"/>
          <w:szCs w:val="24"/>
        </w:rPr>
        <w:t xml:space="preserve"> per ton in 2035.</w:t>
      </w:r>
    </w:p>
    <w:p w14:paraId="266D8CE2" w14:textId="77777777" w:rsidR="00D85FB7" w:rsidRPr="00CC0840" w:rsidRDefault="00D85FB7" w:rsidP="00CC0840">
      <w:pPr>
        <w:pStyle w:val="NoSpacing"/>
        <w:jc w:val="both"/>
        <w:rPr>
          <w:rFonts w:ascii="Arial" w:hAnsi="Arial" w:cs="Arial"/>
          <w:sz w:val="24"/>
          <w:szCs w:val="24"/>
        </w:rPr>
      </w:pPr>
    </w:p>
    <w:p w14:paraId="53C279F1" w14:textId="441E40FD" w:rsidR="00D85FB7" w:rsidRPr="00CC0840" w:rsidRDefault="00D85FB7" w:rsidP="00CC0840">
      <w:pPr>
        <w:pStyle w:val="NoSpacing"/>
        <w:jc w:val="both"/>
        <w:rPr>
          <w:rFonts w:ascii="Arial" w:hAnsi="Arial" w:cs="Arial"/>
          <w:sz w:val="24"/>
          <w:szCs w:val="24"/>
        </w:rPr>
      </w:pPr>
      <w:r w:rsidRPr="00CC0840">
        <w:rPr>
          <w:rFonts w:ascii="Arial" w:hAnsi="Arial" w:cs="Arial"/>
          <w:sz w:val="24"/>
          <w:szCs w:val="24"/>
        </w:rPr>
        <w:t xml:space="preserve">High and low ranges modeled to determine cost sensitivities and scenario planning provide alternative forecasting methodologies.  Thus, sensitivities and impacts on prices </w:t>
      </w:r>
      <w:r w:rsidR="00FF112C">
        <w:rPr>
          <w:rFonts w:ascii="Arial" w:hAnsi="Arial" w:cs="Arial"/>
          <w:sz w:val="24"/>
          <w:szCs w:val="24"/>
        </w:rPr>
        <w:t>are</w:t>
      </w:r>
      <w:r w:rsidRPr="00CC0840">
        <w:rPr>
          <w:rFonts w:ascii="Arial" w:hAnsi="Arial" w:cs="Arial"/>
          <w:sz w:val="24"/>
          <w:szCs w:val="24"/>
        </w:rPr>
        <w:t xml:space="preserve"> analyzed.</w:t>
      </w:r>
    </w:p>
    <w:p w14:paraId="66CCE319" w14:textId="77777777" w:rsidR="00D85FB7" w:rsidRPr="00CC0840" w:rsidRDefault="00D85FB7" w:rsidP="00CC0840">
      <w:pPr>
        <w:pStyle w:val="NoSpacing"/>
        <w:jc w:val="both"/>
        <w:rPr>
          <w:rFonts w:ascii="Arial" w:hAnsi="Arial" w:cs="Arial"/>
          <w:sz w:val="24"/>
          <w:szCs w:val="24"/>
        </w:rPr>
      </w:pPr>
    </w:p>
    <w:p w14:paraId="5D311A09" w14:textId="13ACCF88" w:rsidR="002163EE" w:rsidRPr="00CC0840" w:rsidRDefault="002163EE" w:rsidP="00CC0840">
      <w:pPr>
        <w:pStyle w:val="NoSpacing"/>
        <w:jc w:val="both"/>
        <w:rPr>
          <w:rFonts w:ascii="Arial" w:hAnsi="Arial" w:cs="Arial"/>
          <w:sz w:val="24"/>
          <w:szCs w:val="24"/>
        </w:rPr>
      </w:pPr>
    </w:p>
    <w:sectPr w:rsidR="002163EE" w:rsidRPr="00CC0840" w:rsidSect="001D5CEE">
      <w:headerReference w:type="default" r:id="rId15"/>
      <w:footerReference w:type="even" r:id="rId16"/>
      <w:footerReference w:type="default" r:id="rId17"/>
      <w:pgSz w:w="12240" w:h="15840"/>
      <w:pgMar w:top="1440" w:right="1440" w:bottom="720" w:left="216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8AE15" w14:textId="77777777" w:rsidR="00C834BC" w:rsidRDefault="00C834BC">
      <w:pPr>
        <w:spacing w:before="0" w:after="0" w:line="240" w:lineRule="auto"/>
      </w:pPr>
      <w:r>
        <w:separator/>
      </w:r>
    </w:p>
  </w:endnote>
  <w:endnote w:type="continuationSeparator" w:id="0">
    <w:p w14:paraId="1A5A3CE2" w14:textId="77777777" w:rsidR="00C834BC" w:rsidRDefault="00C834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DD39" w14:textId="77777777" w:rsidR="000715A9" w:rsidRDefault="000715A9" w:rsidP="000715A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D206" w14:textId="77777777" w:rsidR="000B5487" w:rsidRDefault="000B5487">
    <w:pPr>
      <w:pStyle w:val="Footer"/>
      <w:jc w:val="center"/>
      <w:rPr>
        <w:rFonts w:ascii="Arial" w:hAnsi="Arial" w:cs="Arial"/>
        <w:caps w:val="0"/>
        <w:color w:val="00B0F0"/>
      </w:rPr>
    </w:pPr>
  </w:p>
  <w:p w14:paraId="2C5CE169" w14:textId="37AB47E0" w:rsidR="000B5487" w:rsidRPr="000B5487" w:rsidRDefault="000B5487">
    <w:pPr>
      <w:pStyle w:val="Footer"/>
      <w:jc w:val="center"/>
      <w:rPr>
        <w:rFonts w:ascii="Arial" w:hAnsi="Arial" w:cs="Arial"/>
        <w:i/>
        <w:color w:val="auto"/>
      </w:rPr>
    </w:pPr>
    <w:r w:rsidRPr="000B5487">
      <w:rPr>
        <w:rFonts w:ascii="Arial" w:hAnsi="Arial" w:cs="Arial"/>
        <w:i/>
        <w:caps w:val="0"/>
        <w:color w:val="auto"/>
      </w:rPr>
      <w:t>Page</w:t>
    </w:r>
    <w:r w:rsidR="005E7361">
      <w:rPr>
        <w:rFonts w:ascii="Arial" w:hAnsi="Arial" w:cs="Arial"/>
        <w:i/>
        <w:caps w:val="0"/>
        <w:color w:val="auto"/>
      </w:rPr>
      <w:t xml:space="preserve"> 5-</w:t>
    </w:r>
    <w:sdt>
      <w:sdtPr>
        <w:rPr>
          <w:rFonts w:ascii="Arial" w:hAnsi="Arial" w:cs="Arial"/>
          <w:i/>
          <w:color w:val="auto"/>
        </w:rPr>
        <w:id w:val="-969289357"/>
        <w:docPartObj>
          <w:docPartGallery w:val="Page Numbers (Bottom of Page)"/>
          <w:docPartUnique/>
        </w:docPartObj>
      </w:sdtPr>
      <w:sdtEndPr>
        <w:rPr>
          <w:noProof/>
        </w:rPr>
      </w:sdtEndPr>
      <w:sdtContent>
        <w:r w:rsidRPr="000B5487">
          <w:rPr>
            <w:rFonts w:ascii="Arial" w:hAnsi="Arial" w:cs="Arial"/>
            <w:i/>
            <w:color w:val="auto"/>
          </w:rPr>
          <w:fldChar w:fldCharType="begin"/>
        </w:r>
        <w:r w:rsidRPr="000B5487">
          <w:rPr>
            <w:rFonts w:ascii="Arial" w:hAnsi="Arial" w:cs="Arial"/>
            <w:i/>
            <w:color w:val="auto"/>
          </w:rPr>
          <w:instrText xml:space="preserve"> PAGE   \* MERGEFORMAT </w:instrText>
        </w:r>
        <w:r w:rsidRPr="000B5487">
          <w:rPr>
            <w:rFonts w:ascii="Arial" w:hAnsi="Arial" w:cs="Arial"/>
            <w:i/>
            <w:color w:val="auto"/>
          </w:rPr>
          <w:fldChar w:fldCharType="separate"/>
        </w:r>
        <w:r w:rsidR="005E7361">
          <w:rPr>
            <w:rFonts w:ascii="Arial" w:hAnsi="Arial" w:cs="Arial"/>
            <w:i/>
            <w:noProof/>
            <w:color w:val="auto"/>
          </w:rPr>
          <w:t>1</w:t>
        </w:r>
        <w:r w:rsidRPr="000B5487">
          <w:rPr>
            <w:rFonts w:ascii="Arial" w:hAnsi="Arial" w:cs="Arial"/>
            <w:i/>
            <w:noProof/>
            <w:color w:val="auto"/>
          </w:rPr>
          <w:fldChar w:fldCharType="end"/>
        </w:r>
      </w:sdtContent>
    </w:sdt>
  </w:p>
  <w:p w14:paraId="02403996" w14:textId="77777777" w:rsidR="000B5487" w:rsidRDefault="000B54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EBB2C" w14:textId="77777777" w:rsidR="00C834BC" w:rsidRDefault="00C834BC">
      <w:pPr>
        <w:spacing w:before="0" w:after="0" w:line="240" w:lineRule="auto"/>
      </w:pPr>
      <w:r>
        <w:separator/>
      </w:r>
    </w:p>
  </w:footnote>
  <w:footnote w:type="continuationSeparator" w:id="0">
    <w:p w14:paraId="2987C373" w14:textId="77777777" w:rsidR="00C834BC" w:rsidRDefault="00C834BC">
      <w:pPr>
        <w:spacing w:before="0" w:after="0" w:line="240" w:lineRule="auto"/>
      </w:pPr>
      <w:r>
        <w:continuationSeparator/>
      </w:r>
    </w:p>
  </w:footnote>
  <w:footnote w:id="1">
    <w:p w14:paraId="019695A3" w14:textId="3930467F" w:rsidR="00853588" w:rsidRDefault="00853588">
      <w:pPr>
        <w:pStyle w:val="FootnoteText"/>
      </w:pPr>
      <w:r>
        <w:rPr>
          <w:rStyle w:val="FootnoteReference"/>
        </w:rPr>
        <w:footnoteRef/>
      </w:r>
      <w:r>
        <w:t xml:space="preserve"> GHG are atmospheric gases, such as methane, nitrous oxide, and ozone, wit</w:t>
      </w:r>
      <w:r w:rsidR="005A5ED6">
        <w:t>h carbon dioxide (CO2) being the</w:t>
      </w:r>
      <w:r>
        <w:t xml:space="preserve"> primary component.  GHGs are also referred generally as carbon dioxide equivalents or CO2e.</w:t>
      </w:r>
    </w:p>
  </w:footnote>
  <w:footnote w:id="2">
    <w:p w14:paraId="12339883" w14:textId="77777777" w:rsidR="002B0D76" w:rsidRPr="002E2672" w:rsidRDefault="002B0D76">
      <w:pPr>
        <w:pStyle w:val="FootnoteText"/>
        <w:rPr>
          <w:sz w:val="18"/>
          <w:szCs w:val="18"/>
        </w:rPr>
      </w:pPr>
      <w:r w:rsidRPr="004567F0">
        <w:rPr>
          <w:rStyle w:val="FootnoteReference"/>
          <w:sz w:val="18"/>
          <w:szCs w:val="18"/>
        </w:rPr>
        <w:footnoteRef/>
      </w:r>
      <w:r w:rsidRPr="004567F0">
        <w:rPr>
          <w:sz w:val="18"/>
          <w:szCs w:val="18"/>
        </w:rPr>
        <w:t xml:space="preserve"> </w:t>
      </w:r>
      <w:r w:rsidRPr="002E2672">
        <w:rPr>
          <w:sz w:val="18"/>
          <w:szCs w:val="18"/>
        </w:rPr>
        <w:t>42 U.S.C. Section 7411(d)(2014)</w:t>
      </w:r>
    </w:p>
  </w:footnote>
  <w:footnote w:id="3">
    <w:p w14:paraId="606EA557" w14:textId="77777777" w:rsidR="004567F0" w:rsidRPr="002E2672" w:rsidRDefault="004567F0">
      <w:pPr>
        <w:pStyle w:val="FootnoteText"/>
        <w:rPr>
          <w:sz w:val="18"/>
          <w:szCs w:val="18"/>
        </w:rPr>
      </w:pPr>
      <w:r w:rsidRPr="002E2672">
        <w:rPr>
          <w:rStyle w:val="FootnoteReference"/>
          <w:sz w:val="18"/>
          <w:szCs w:val="18"/>
        </w:rPr>
        <w:footnoteRef/>
      </w:r>
      <w:r w:rsidRPr="002E2672">
        <w:rPr>
          <w:sz w:val="18"/>
          <w:szCs w:val="18"/>
        </w:rPr>
        <w:t xml:space="preserve"> Proposed WAC 173-441-120</w:t>
      </w:r>
    </w:p>
  </w:footnote>
  <w:footnote w:id="4">
    <w:p w14:paraId="4F31E728" w14:textId="77777777" w:rsidR="0045672F" w:rsidRPr="004567F0" w:rsidRDefault="0045672F" w:rsidP="0045672F">
      <w:pPr>
        <w:pStyle w:val="FootnoteText"/>
        <w:rPr>
          <w:sz w:val="18"/>
          <w:szCs w:val="18"/>
        </w:rPr>
      </w:pPr>
      <w:r w:rsidRPr="004567F0">
        <w:rPr>
          <w:rStyle w:val="FootnoteReference"/>
          <w:sz w:val="18"/>
          <w:szCs w:val="18"/>
        </w:rPr>
        <w:footnoteRef/>
      </w:r>
      <w:r w:rsidRPr="004567F0">
        <w:rPr>
          <w:sz w:val="18"/>
          <w:szCs w:val="18"/>
        </w:rPr>
        <w:t xml:space="preserve"> Seventh Northwest Power and Conservation Council Plan</w:t>
      </w:r>
      <w:r>
        <w:rPr>
          <w:sz w:val="18"/>
          <w:szCs w:val="18"/>
        </w:rPr>
        <w:t xml:space="preserve"> (aka Seventh Power Plan)</w:t>
      </w:r>
      <w:r w:rsidRPr="004567F0">
        <w:rPr>
          <w:sz w:val="18"/>
          <w:szCs w:val="18"/>
        </w:rPr>
        <w:t>, Northwest Power and Conservation Council, Document 2016-02, February 25, 2016; approved and released May, 2016</w:t>
      </w:r>
    </w:p>
  </w:footnote>
  <w:footnote w:id="5">
    <w:p w14:paraId="0FC9ECF3" w14:textId="77777777" w:rsidR="004567F0" w:rsidRPr="002E2672" w:rsidRDefault="004567F0">
      <w:pPr>
        <w:pStyle w:val="FootnoteText"/>
        <w:rPr>
          <w:sz w:val="18"/>
          <w:szCs w:val="18"/>
        </w:rPr>
      </w:pPr>
      <w:r w:rsidRPr="002E2672">
        <w:rPr>
          <w:rStyle w:val="FootnoteReference"/>
          <w:sz w:val="18"/>
          <w:szCs w:val="18"/>
        </w:rPr>
        <w:footnoteRef/>
      </w:r>
      <w:r w:rsidRPr="002E2672">
        <w:rPr>
          <w:sz w:val="18"/>
          <w:szCs w:val="18"/>
        </w:rPr>
        <w:t xml:space="preserve"> </w:t>
      </w:r>
      <w:r w:rsidR="0084588F" w:rsidRPr="002E2672">
        <w:rPr>
          <w:sz w:val="18"/>
          <w:szCs w:val="18"/>
        </w:rPr>
        <w:t>Seventh Power Plan, page</w:t>
      </w:r>
      <w:r w:rsidR="002E2672" w:rsidRPr="002E2672">
        <w:rPr>
          <w:sz w:val="18"/>
          <w:szCs w:val="18"/>
        </w:rPr>
        <w:t>s</w:t>
      </w:r>
      <w:r w:rsidR="0084588F" w:rsidRPr="002E2672">
        <w:rPr>
          <w:sz w:val="18"/>
          <w:szCs w:val="18"/>
        </w:rPr>
        <w:t xml:space="preserve"> 3-7 to 3.14</w:t>
      </w:r>
    </w:p>
  </w:footnote>
  <w:footnote w:id="6">
    <w:p w14:paraId="5093E0CC" w14:textId="77777777" w:rsidR="002E2672" w:rsidRDefault="002E2672">
      <w:pPr>
        <w:pStyle w:val="FootnoteText"/>
      </w:pPr>
      <w:r w:rsidRPr="002E2672">
        <w:rPr>
          <w:rStyle w:val="FootnoteReference"/>
          <w:sz w:val="18"/>
          <w:szCs w:val="18"/>
        </w:rPr>
        <w:footnoteRef/>
      </w:r>
      <w:r w:rsidRPr="002E2672">
        <w:rPr>
          <w:sz w:val="18"/>
          <w:szCs w:val="18"/>
        </w:rPr>
        <w:t xml:space="preserve"> Seventh Power Plan, pages 3-31 to 3.32</w:t>
      </w:r>
    </w:p>
  </w:footnote>
  <w:footnote w:id="7">
    <w:p w14:paraId="22A7B4C8" w14:textId="73C64A11" w:rsidR="00A04419" w:rsidRDefault="00A04419">
      <w:pPr>
        <w:pStyle w:val="FootnoteText"/>
      </w:pPr>
      <w:r>
        <w:rPr>
          <w:rStyle w:val="FootnoteReference"/>
        </w:rPr>
        <w:footnoteRef/>
      </w:r>
      <w:r>
        <w:t xml:space="preserve">  </w:t>
      </w:r>
      <w:r w:rsidRPr="00992012">
        <w:rPr>
          <w:rFonts w:asciiTheme="majorHAnsi" w:hAnsiTheme="majorHAnsi"/>
        </w:rPr>
        <w:t>Cap and trade is “</w:t>
      </w:r>
      <w:r w:rsidRPr="00992012">
        <w:rPr>
          <w:rFonts w:asciiTheme="majorHAnsi" w:hAnsiTheme="majorHAnsi" w:cs="Arial"/>
          <w:lang w:val="en"/>
        </w:rPr>
        <w:t>a system for controlling carbon emissions and other forms of atmospheric pollution by which an upper limit is set on the amount a given business or other organization may produce but which allows further capacity to be bought from other organizations that have not used their full allowance.” Oxford Dictionary</w:t>
      </w:r>
    </w:p>
  </w:footnote>
  <w:footnote w:id="8">
    <w:p w14:paraId="7B87E421" w14:textId="77777777" w:rsidR="00514150" w:rsidRDefault="00514150">
      <w:pPr>
        <w:pStyle w:val="FootnoteText"/>
      </w:pPr>
      <w:r w:rsidRPr="00514150">
        <w:rPr>
          <w:rStyle w:val="FootnoteReference"/>
          <w:sz w:val="18"/>
          <w:szCs w:val="18"/>
        </w:rPr>
        <w:footnoteRef/>
      </w:r>
      <w:r w:rsidRPr="00514150">
        <w:rPr>
          <w:sz w:val="18"/>
          <w:szCs w:val="18"/>
        </w:rPr>
        <w:t xml:space="preserve"> Based on discussions with environmental advocates</w:t>
      </w:r>
    </w:p>
  </w:footnote>
  <w:footnote w:id="9">
    <w:p w14:paraId="2747B76E" w14:textId="77777777" w:rsidR="00514150" w:rsidRPr="00514150" w:rsidRDefault="00514150">
      <w:pPr>
        <w:pStyle w:val="FootnoteText"/>
        <w:rPr>
          <w:sz w:val="18"/>
          <w:szCs w:val="18"/>
        </w:rPr>
      </w:pPr>
      <w:r w:rsidRPr="00514150">
        <w:rPr>
          <w:rStyle w:val="FootnoteReference"/>
          <w:sz w:val="18"/>
          <w:szCs w:val="18"/>
        </w:rPr>
        <w:footnoteRef/>
      </w:r>
      <w:r w:rsidRPr="00514150">
        <w:rPr>
          <w:sz w:val="18"/>
          <w:szCs w:val="18"/>
        </w:rPr>
        <w:t xml:space="preserve"> Seventh Power Plan, Page 3-32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425F0" w14:textId="77777777" w:rsidR="000715A9" w:rsidRPr="000715A9" w:rsidRDefault="000715A9" w:rsidP="000715A9">
    <w:pPr>
      <w:tabs>
        <w:tab w:val="center" w:pos="4680"/>
        <w:tab w:val="right" w:pos="9360"/>
      </w:tabs>
      <w:overflowPunct w:val="0"/>
      <w:autoSpaceDE w:val="0"/>
      <w:autoSpaceDN w:val="0"/>
      <w:adjustRightInd w:val="0"/>
      <w:spacing w:before="0" w:after="0" w:line="240" w:lineRule="auto"/>
      <w:textAlignment w:val="baseline"/>
      <w:rPr>
        <w:rFonts w:ascii="Arial" w:eastAsia="Times New Roman" w:hAnsi="Arial" w:cs="Arial"/>
        <w:i/>
        <w:color w:val="auto"/>
        <w:sz w:val="24"/>
        <w:szCs w:val="24"/>
        <w:lang w:eastAsia="en-US"/>
      </w:rPr>
    </w:pPr>
    <w:r w:rsidRPr="000715A9">
      <w:rPr>
        <w:rFonts w:ascii="Arial" w:eastAsia="Times New Roman" w:hAnsi="Arial" w:cs="Arial"/>
        <w:i/>
        <w:color w:val="auto"/>
        <w:sz w:val="24"/>
        <w:szCs w:val="24"/>
        <w:lang w:eastAsia="en-US"/>
      </w:rPr>
      <w:t>Cascade Natural Gas Corporation</w:t>
    </w:r>
  </w:p>
  <w:p w14:paraId="1C501E5D" w14:textId="77777777" w:rsidR="000715A9" w:rsidRPr="000715A9" w:rsidRDefault="000715A9" w:rsidP="000715A9">
    <w:pPr>
      <w:tabs>
        <w:tab w:val="center" w:pos="4680"/>
        <w:tab w:val="right" w:pos="9360"/>
      </w:tabs>
      <w:overflowPunct w:val="0"/>
      <w:autoSpaceDE w:val="0"/>
      <w:autoSpaceDN w:val="0"/>
      <w:adjustRightInd w:val="0"/>
      <w:spacing w:before="0" w:after="0" w:line="240" w:lineRule="auto"/>
      <w:textAlignment w:val="baseline"/>
      <w:rPr>
        <w:rFonts w:ascii="Arial" w:eastAsia="Times New Roman" w:hAnsi="Arial" w:cs="Arial"/>
        <w:i/>
        <w:color w:val="auto"/>
        <w:sz w:val="24"/>
        <w:szCs w:val="24"/>
        <w:lang w:eastAsia="en-US"/>
      </w:rPr>
    </w:pPr>
    <w:r w:rsidRPr="000715A9">
      <w:rPr>
        <w:rFonts w:ascii="Arial" w:eastAsia="Times New Roman" w:hAnsi="Arial" w:cs="Arial"/>
        <w:i/>
        <w:color w:val="auto"/>
        <w:sz w:val="24"/>
        <w:szCs w:val="24"/>
        <w:lang w:eastAsia="en-US"/>
      </w:rPr>
      <w:t xml:space="preserve"> 2016 Integrated Resource Plan (UG-160453)</w:t>
    </w:r>
    <w:r>
      <w:rPr>
        <w:rFonts w:ascii="Arial" w:eastAsia="Times New Roman" w:hAnsi="Arial" w:cs="Arial"/>
        <w:i/>
        <w:color w:val="auto"/>
        <w:sz w:val="24"/>
        <w:szCs w:val="24"/>
        <w:lang w:eastAsia="en-US"/>
      </w:rPr>
      <w:t xml:space="preserve">                                      </w:t>
    </w:r>
    <w:r w:rsidRPr="000715A9">
      <w:rPr>
        <w:rFonts w:ascii="Arial" w:eastAsia="Times New Roman" w:hAnsi="Arial" w:cs="Arial"/>
        <w:i/>
        <w:color w:val="auto"/>
        <w:sz w:val="24"/>
        <w:szCs w:val="24"/>
        <w:lang w:eastAsia="en-US"/>
      </w:rPr>
      <w:t xml:space="preserve"> </w:t>
    </w:r>
  </w:p>
  <w:p w14:paraId="48A995C6" w14:textId="77777777" w:rsidR="000715A9" w:rsidRPr="000715A9" w:rsidRDefault="000715A9" w:rsidP="00071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26EB35C1"/>
    <w:multiLevelType w:val="hybridMultilevel"/>
    <w:tmpl w:val="D932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7268C"/>
    <w:multiLevelType w:val="hybridMultilevel"/>
    <w:tmpl w:val="15DCE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2E3D64"/>
    <w:multiLevelType w:val="hybridMultilevel"/>
    <w:tmpl w:val="BFCC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221645"/>
    <w:multiLevelType w:val="hybridMultilevel"/>
    <w:tmpl w:val="F3AC9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4"/>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B7"/>
    <w:rsid w:val="00003561"/>
    <w:rsid w:val="0002051A"/>
    <w:rsid w:val="0002119A"/>
    <w:rsid w:val="00066CE6"/>
    <w:rsid w:val="000715A9"/>
    <w:rsid w:val="000B5487"/>
    <w:rsid w:val="00103767"/>
    <w:rsid w:val="0012756E"/>
    <w:rsid w:val="001827E9"/>
    <w:rsid w:val="00195251"/>
    <w:rsid w:val="001A5AB6"/>
    <w:rsid w:val="001D5CEE"/>
    <w:rsid w:val="00205F18"/>
    <w:rsid w:val="002163EE"/>
    <w:rsid w:val="0024398D"/>
    <w:rsid w:val="002A7366"/>
    <w:rsid w:val="002B0D76"/>
    <w:rsid w:val="002C7CB3"/>
    <w:rsid w:val="002E2672"/>
    <w:rsid w:val="002E67CE"/>
    <w:rsid w:val="00312B7B"/>
    <w:rsid w:val="00347CE4"/>
    <w:rsid w:val="003766C5"/>
    <w:rsid w:val="003806E6"/>
    <w:rsid w:val="003834E5"/>
    <w:rsid w:val="00383FF7"/>
    <w:rsid w:val="00410BB4"/>
    <w:rsid w:val="0041234E"/>
    <w:rsid w:val="00440B5F"/>
    <w:rsid w:val="0045672F"/>
    <w:rsid w:val="004567F0"/>
    <w:rsid w:val="0047523F"/>
    <w:rsid w:val="0049686D"/>
    <w:rsid w:val="004E2465"/>
    <w:rsid w:val="004E46F6"/>
    <w:rsid w:val="004E7C9D"/>
    <w:rsid w:val="00514150"/>
    <w:rsid w:val="005436E6"/>
    <w:rsid w:val="00543997"/>
    <w:rsid w:val="00546A8D"/>
    <w:rsid w:val="005858E0"/>
    <w:rsid w:val="00586C65"/>
    <w:rsid w:val="0059497A"/>
    <w:rsid w:val="005A5ED6"/>
    <w:rsid w:val="005B5A4C"/>
    <w:rsid w:val="005E7361"/>
    <w:rsid w:val="00602D94"/>
    <w:rsid w:val="00613C62"/>
    <w:rsid w:val="006443A9"/>
    <w:rsid w:val="006471FC"/>
    <w:rsid w:val="006617B4"/>
    <w:rsid w:val="006626F2"/>
    <w:rsid w:val="0066794F"/>
    <w:rsid w:val="006704D8"/>
    <w:rsid w:val="0068350F"/>
    <w:rsid w:val="006B0B67"/>
    <w:rsid w:val="006B2534"/>
    <w:rsid w:val="00737412"/>
    <w:rsid w:val="00744C3D"/>
    <w:rsid w:val="00750F50"/>
    <w:rsid w:val="00763F77"/>
    <w:rsid w:val="00764D53"/>
    <w:rsid w:val="00786F75"/>
    <w:rsid w:val="00791103"/>
    <w:rsid w:val="007A3085"/>
    <w:rsid w:val="007B2B9C"/>
    <w:rsid w:val="007D150D"/>
    <w:rsid w:val="007D52A5"/>
    <w:rsid w:val="007E439E"/>
    <w:rsid w:val="007F2F69"/>
    <w:rsid w:val="007F5D8E"/>
    <w:rsid w:val="0081438D"/>
    <w:rsid w:val="0084588F"/>
    <w:rsid w:val="00853588"/>
    <w:rsid w:val="0089058C"/>
    <w:rsid w:val="00892487"/>
    <w:rsid w:val="008F2F3E"/>
    <w:rsid w:val="0093335B"/>
    <w:rsid w:val="009658A7"/>
    <w:rsid w:val="009732DA"/>
    <w:rsid w:val="00992012"/>
    <w:rsid w:val="009C6C45"/>
    <w:rsid w:val="009E5A73"/>
    <w:rsid w:val="009F4536"/>
    <w:rsid w:val="00A04419"/>
    <w:rsid w:val="00A46D84"/>
    <w:rsid w:val="00A51EB4"/>
    <w:rsid w:val="00A6180C"/>
    <w:rsid w:val="00AA033C"/>
    <w:rsid w:val="00AC14C8"/>
    <w:rsid w:val="00AD2443"/>
    <w:rsid w:val="00AF146F"/>
    <w:rsid w:val="00B44D77"/>
    <w:rsid w:val="00B72ADB"/>
    <w:rsid w:val="00B7498A"/>
    <w:rsid w:val="00BC62C5"/>
    <w:rsid w:val="00BE1040"/>
    <w:rsid w:val="00BE5C7B"/>
    <w:rsid w:val="00BF53A5"/>
    <w:rsid w:val="00C21EC4"/>
    <w:rsid w:val="00C24F98"/>
    <w:rsid w:val="00C834BC"/>
    <w:rsid w:val="00CC0840"/>
    <w:rsid w:val="00CD77B5"/>
    <w:rsid w:val="00CE46FF"/>
    <w:rsid w:val="00D149CF"/>
    <w:rsid w:val="00D3631B"/>
    <w:rsid w:val="00D52964"/>
    <w:rsid w:val="00D575DA"/>
    <w:rsid w:val="00D736BA"/>
    <w:rsid w:val="00D85FB7"/>
    <w:rsid w:val="00D93A1A"/>
    <w:rsid w:val="00E12D21"/>
    <w:rsid w:val="00E94892"/>
    <w:rsid w:val="00ED2540"/>
    <w:rsid w:val="00ED6CAD"/>
    <w:rsid w:val="00EF5418"/>
    <w:rsid w:val="00F42C10"/>
    <w:rsid w:val="00F46C38"/>
    <w:rsid w:val="00F53FB0"/>
    <w:rsid w:val="00F625EF"/>
    <w:rsid w:val="00F75572"/>
    <w:rsid w:val="00FA47FD"/>
    <w:rsid w:val="00FF112C"/>
    <w:rsid w:val="00FF17D1"/>
    <w:rsid w:val="00FF1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6A07E65"/>
  <w15:docId w15:val="{DDFF8974-68D6-4DF0-B6E9-E45ADEBD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pPr>
      <w:spacing w:before="0" w:after="0"/>
      <w:jc w:val="center"/>
    </w:pPr>
  </w:style>
  <w:style w:type="character" w:customStyle="1" w:styleId="Heading1Char">
    <w:name w:val="Heading 1 Char"/>
    <w:basedOn w:val="DefaultParagraphFont"/>
    <w:link w:val="Heading1"/>
    <w:uiPriority w:val="1"/>
    <w:rPr>
      <w:rFonts w:asciiTheme="majorHAnsi" w:eastAsiaTheme="majorEastAsia" w:hAnsiTheme="majorHAnsi" w:cstheme="majorBidi"/>
      <w:color w:val="00A0B8" w:themeColor="accent1"/>
      <w:sz w:val="30"/>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00A0B8" w:themeColor="accent1"/>
      <w:sz w:val="22"/>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00A0B8" w:themeColor="accent1"/>
      <w:sz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505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pPr>
      <w:spacing w:before="200" w:after="120" w:line="240" w:lineRule="auto"/>
    </w:pPr>
    <w:rPr>
      <w:i/>
      <w:iCs/>
    </w:rPr>
  </w:style>
  <w:style w:type="paragraph" w:styleId="ListBullet">
    <w:name w:val="List Bullet"/>
    <w:basedOn w:val="Normal"/>
    <w:uiPriority w:val="1"/>
    <w:unhideWhenUsed/>
    <w:qFormat/>
    <w:pPr>
      <w:numPr>
        <w:numId w:val="5"/>
      </w:numPr>
    </w:pPr>
  </w:style>
  <w:style w:type="paragraph" w:styleId="ListNumber">
    <w:name w:val="List Number"/>
    <w:basedOn w:val="Normal"/>
    <w:uiPriority w:val="1"/>
    <w:unhideWhenUsed/>
    <w:qFormat/>
    <w:pPr>
      <w:numPr>
        <w:numId w:val="6"/>
      </w:numPr>
      <w:contextualSpacing/>
    </w:pPr>
  </w:style>
  <w:style w:type="paragraph" w:styleId="Title">
    <w:name w:val="Title"/>
    <w:basedOn w:val="Normal"/>
    <w:next w:val="Normal"/>
    <w:link w:val="Title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007789" w:themeColor="accent1" w:themeShade="BF"/>
      <w:kern w:val="28"/>
      <w:sz w:val="60"/>
    </w:rPr>
  </w:style>
  <w:style w:type="paragraph" w:styleId="Subtitle">
    <w:name w:val="Subtitle"/>
    <w:basedOn w:val="Normal"/>
    <w:next w:val="Normal"/>
    <w:link w:val="SubtitleChar"/>
    <w:uiPriority w:val="11"/>
    <w:unhideWhenUsed/>
    <w:qFormat/>
    <w:pPr>
      <w:numPr>
        <w:ilvl w:val="1"/>
      </w:numPr>
      <w:spacing w:before="0" w:after="480"/>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11"/>
    <w:rPr>
      <w:rFonts w:asciiTheme="majorHAnsi" w:eastAsiaTheme="majorEastAsia" w:hAnsiTheme="majorHAnsi" w:cstheme="majorBidi"/>
      <w:caps/>
      <w:sz w:val="26"/>
    </w:rPr>
  </w:style>
  <w:style w:type="character" w:styleId="Emphasis">
    <w:name w:val="Emphasis"/>
    <w:basedOn w:val="DefaultParagraphFont"/>
    <w:uiPriority w:val="10"/>
    <w:unhideWhenUsed/>
    <w:qFormat/>
    <w:rPr>
      <w:i w:val="0"/>
      <w:iCs w:val="0"/>
      <w:color w:val="007789" w:themeColor="accent1" w:themeShade="BF"/>
    </w:rPr>
  </w:style>
  <w:style w:type="paragraph" w:styleId="NoSpacing">
    <w:name w:val="No Spacing"/>
    <w:link w:val="NoSpacingChar"/>
    <w:uiPriority w:val="1"/>
    <w:unhideWhenUsed/>
    <w:qFormat/>
    <w:pPr>
      <w:spacing w:before="0" w:after="0" w:line="240" w:lineRule="auto"/>
    </w:pPr>
    <w:rPr>
      <w:color w:val="auto"/>
    </w:rPr>
  </w:style>
  <w:style w:type="character" w:customStyle="1" w:styleId="NoSpacingChar">
    <w:name w:val="No Spacing Char"/>
    <w:basedOn w:val="DefaultParagraphFont"/>
    <w:link w:val="NoSpacing"/>
    <w:uiPriority w:val="1"/>
    <w:rPr>
      <w:rFonts w:asciiTheme="minorHAnsi" w:eastAsiaTheme="minorEastAsia" w:hAnsiTheme="minorHAnsi" w:cstheme="minorBidi"/>
      <w:color w:val="auto"/>
    </w:rPr>
  </w:style>
  <w:style w:type="paragraph" w:styleId="Quote">
    <w:name w:val="Quote"/>
    <w:basedOn w:val="Normal"/>
    <w:next w:val="Normal"/>
    <w:link w:val="QuoteChar"/>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QuoteChar">
    <w:name w:val="Quote Char"/>
    <w:basedOn w:val="DefaultParagraphFont"/>
    <w:link w:val="Quote"/>
    <w:uiPriority w:val="10"/>
    <w:rPr>
      <w:i/>
      <w:iCs/>
      <w:color w:val="00A0B8" w:themeColor="accent1"/>
      <w:sz w:val="26"/>
      <w14:textFill>
        <w14:solidFill>
          <w14:schemeClr w14:val="accent1">
            <w14:alpha w14:val="30000"/>
          </w14:schemeClr>
        </w14:solidFill>
      </w14:textFill>
    </w:rPr>
  </w:style>
  <w:style w:type="paragraph" w:styleId="TOCHeading">
    <w:name w:val="TOC Heading"/>
    <w:basedOn w:val="Heading1"/>
    <w:next w:val="Normal"/>
    <w:uiPriority w:val="39"/>
    <w:unhideWhenUsed/>
    <w:qFormat/>
    <w:pPr>
      <w:spacing w:before="0"/>
      <w:outlineLvl w:val="9"/>
    </w:pPr>
  </w:style>
  <w:style w:type="paragraph" w:styleId="Footer">
    <w:name w:val="footer"/>
    <w:basedOn w:val="Normal"/>
    <w:link w:val="FooterChar"/>
    <w:uiPriority w:val="99"/>
    <w:unhideWhenUsed/>
    <w:pPr>
      <w:spacing w:before="0" w:after="0" w:line="240" w:lineRule="auto"/>
      <w:jc w:val="right"/>
    </w:pPr>
    <w:rPr>
      <w:caps/>
      <w:sz w:val="16"/>
    </w:rPr>
  </w:style>
  <w:style w:type="character" w:customStyle="1" w:styleId="FooterChar">
    <w:name w:val="Footer Char"/>
    <w:basedOn w:val="DefaultParagraphFont"/>
    <w:link w:val="Footer"/>
    <w:uiPriority w:val="99"/>
    <w:rPr>
      <w:caps/>
      <w:sz w:val="16"/>
    </w:rPr>
  </w:style>
  <w:style w:type="paragraph" w:styleId="TOC3">
    <w:name w:val="toc 3"/>
    <w:basedOn w:val="Normal"/>
    <w:next w:val="Normal"/>
    <w:autoRedefine/>
    <w:uiPriority w:val="39"/>
    <w:unhideWhenUsed/>
    <w:pPr>
      <w:spacing w:after="100"/>
      <w:ind w:left="400"/>
    </w:pPr>
    <w:rPr>
      <w:i/>
      <w:iCs/>
    </w:rPr>
  </w:style>
  <w:style w:type="character" w:styleId="Hyperlink">
    <w:name w:val="Hyperlink"/>
    <w:basedOn w:val="DefaultParagraphFont"/>
    <w:uiPriority w:val="99"/>
    <w:unhideWhenUsed/>
    <w:rPr>
      <w:color w:val="EB8803"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paragraph" w:styleId="Bibliography">
    <w:name w:val="Bibliography"/>
    <w:basedOn w:val="Normal"/>
    <w:next w:val="Normal"/>
    <w:uiPriority w:val="39"/>
    <w:unhideWhenUsed/>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NormalIndent">
    <w:name w:val="Normal Indent"/>
    <w:basedOn w:val="Normal"/>
    <w:uiPriority w:val="99"/>
    <w:unhideWhenUsed/>
    <w:pPr>
      <w:ind w:left="720"/>
    </w:pPr>
  </w:style>
  <w:style w:type="character" w:styleId="PlaceholderText">
    <w:name w:val="Placeholder Text"/>
    <w:basedOn w:val="DefaultParagraphFont"/>
    <w:uiPriority w:val="99"/>
    <w:semiHidden/>
    <w:rPr>
      <w:color w:val="808080"/>
    </w:rPr>
  </w:style>
  <w:style w:type="table" w:customStyle="1" w:styleId="ReportTable">
    <w:name w:val="Report Table"/>
    <w:basedOn w:val="TableNormal"/>
    <w:uiPriority w:val="99"/>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2534"/>
    <w:pPr>
      <w:spacing w:before="0" w:after="0" w:line="240" w:lineRule="auto"/>
    </w:pPr>
  </w:style>
  <w:style w:type="character" w:customStyle="1" w:styleId="FootnoteTextChar">
    <w:name w:val="Footnote Text Char"/>
    <w:basedOn w:val="DefaultParagraphFont"/>
    <w:link w:val="FootnoteText"/>
    <w:uiPriority w:val="99"/>
    <w:semiHidden/>
    <w:rsid w:val="006B2534"/>
  </w:style>
  <w:style w:type="character" w:styleId="FootnoteReference">
    <w:name w:val="footnote reference"/>
    <w:basedOn w:val="DefaultParagraphFont"/>
    <w:uiPriority w:val="99"/>
    <w:semiHidden/>
    <w:unhideWhenUsed/>
    <w:rsid w:val="006B2534"/>
    <w:rPr>
      <w:vertAlign w:val="superscript"/>
    </w:rPr>
  </w:style>
  <w:style w:type="paragraph" w:styleId="CommentText">
    <w:name w:val="annotation text"/>
    <w:basedOn w:val="Normal"/>
    <w:link w:val="CommentTextChar"/>
    <w:uiPriority w:val="99"/>
    <w:semiHidden/>
    <w:unhideWhenUsed/>
    <w:rsid w:val="002A7366"/>
    <w:pPr>
      <w:spacing w:line="240" w:lineRule="auto"/>
    </w:pPr>
  </w:style>
  <w:style w:type="character" w:customStyle="1" w:styleId="CommentTextChar">
    <w:name w:val="Comment Text Char"/>
    <w:basedOn w:val="DefaultParagraphFont"/>
    <w:link w:val="CommentText"/>
    <w:uiPriority w:val="99"/>
    <w:semiHidden/>
    <w:rsid w:val="002A7366"/>
  </w:style>
  <w:style w:type="paragraph" w:styleId="CommentSubject">
    <w:name w:val="annotation subject"/>
    <w:basedOn w:val="CommentText"/>
    <w:next w:val="CommentText"/>
    <w:link w:val="CommentSubjectChar"/>
    <w:uiPriority w:val="99"/>
    <w:semiHidden/>
    <w:unhideWhenUsed/>
    <w:rsid w:val="002A7366"/>
    <w:pPr>
      <w:spacing w:before="0"/>
    </w:pPr>
    <w:rPr>
      <w:rFonts w:eastAsiaTheme="minorEastAsia"/>
      <w:b/>
      <w:bCs/>
      <w:color w:val="auto"/>
      <w:lang w:eastAsia="zh-CN"/>
    </w:rPr>
  </w:style>
  <w:style w:type="character" w:customStyle="1" w:styleId="CommentSubjectChar">
    <w:name w:val="Comment Subject Char"/>
    <w:basedOn w:val="CommentTextChar"/>
    <w:link w:val="CommentSubject"/>
    <w:uiPriority w:val="99"/>
    <w:semiHidden/>
    <w:rsid w:val="002A7366"/>
    <w:rPr>
      <w:rFonts w:eastAsiaTheme="minorEastAsia"/>
      <w:b/>
      <w:bCs/>
      <w:color w:val="auto"/>
      <w:lang w:eastAsia="zh-CN"/>
    </w:rPr>
  </w:style>
  <w:style w:type="character" w:styleId="CommentReference">
    <w:name w:val="annotation reference"/>
    <w:basedOn w:val="DefaultParagraphFont"/>
    <w:uiPriority w:val="99"/>
    <w:semiHidden/>
    <w:unhideWhenUsed/>
    <w:rsid w:val="00F46C38"/>
    <w:rPr>
      <w:sz w:val="16"/>
      <w:szCs w:val="16"/>
    </w:rPr>
  </w:style>
  <w:style w:type="paragraph" w:styleId="Revision">
    <w:name w:val="Revision"/>
    <w:hidden/>
    <w:uiPriority w:val="99"/>
    <w:semiHidden/>
    <w:rsid w:val="00F46C38"/>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ergystar.gov/buildings/facility-owners-and-managers/existing-buildings/use-portfolio-manager/understand-metrics/difference" TargetMode="External"/><Relationship Id="rId22"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Microsoft\Templates\Student%20report%20with%20cover%20photo.dotx" TargetMode="External"/></Relationship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2016-10-17T07:00:00+00:00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056D62-245E-4439-9D63-030EA4A9C58E}"/>
</file>

<file path=customXml/itemProps3.xml><?xml version="1.0" encoding="utf-8"?>
<ds:datastoreItem xmlns:ds="http://schemas.openxmlformats.org/officeDocument/2006/customXml" ds:itemID="{F6E83068-DA6E-4D6F-9DCB-3A57624BAACB}">
  <ds:schemaRefs>
    <ds:schemaRef ds:uri="http://schemas.openxmlformats.org/officeDocument/2006/bibliography"/>
  </ds:schemaRefs>
</ds:datastoreItem>
</file>

<file path=customXml/itemProps4.xml><?xml version="1.0" encoding="utf-8"?>
<ds:datastoreItem xmlns:ds="http://schemas.openxmlformats.org/officeDocument/2006/customXml" ds:itemID="{C488B63C-635C-4793-BFD0-127251C509B6}"/>
</file>

<file path=customXml/itemProps5.xml><?xml version="1.0" encoding="utf-8"?>
<ds:datastoreItem xmlns:ds="http://schemas.openxmlformats.org/officeDocument/2006/customXml" ds:itemID="{05B3F6A1-1860-40A6-A11E-D9B1612AF654}"/>
</file>

<file path=customXml/itemProps6.xml><?xml version="1.0" encoding="utf-8"?>
<ds:datastoreItem xmlns:ds="http://schemas.openxmlformats.org/officeDocument/2006/customXml" ds:itemID="{E5570A31-265C-42AB-A690-ED2AAF034192}"/>
</file>

<file path=docProps/app.xml><?xml version="1.0" encoding="utf-8"?>
<Properties xmlns="http://schemas.openxmlformats.org/officeDocument/2006/extended-properties" xmlns:vt="http://schemas.openxmlformats.org/officeDocument/2006/docPropsVTypes">
  <Template>Student report with cover photo.dotx</Template>
  <TotalTime>8</TotalTime>
  <Pages>11</Pages>
  <Words>3365</Words>
  <Characters>19185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IRP Carbon Assumptions</vt:lpstr>
    </vt:vector>
  </TitlesOfParts>
  <Company>MDU Resoures Group</Company>
  <LinksUpToDate>false</LinksUpToDate>
  <CharactersWithSpaces>22505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IRP Carbon Assumptions</dc:title>
  <dc:subject>submitted to cascade natural gas corporation</dc:subject>
  <dc:creator>Bruce Folsom</dc:creator>
  <cp:lastModifiedBy>Sellers-Vaughn, Mark</cp:lastModifiedBy>
  <cp:revision>3</cp:revision>
  <cp:lastPrinted>2016-08-22T16:55:00Z</cp:lastPrinted>
  <dcterms:created xsi:type="dcterms:W3CDTF">2016-10-17T19:57:00Z</dcterms:created>
  <dcterms:modified xsi:type="dcterms:W3CDTF">2016-10-17T20:09:00Z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y fmtid="{D5CDD505-2E9C-101B-9397-08002B2CF9AE}" pid="3" name="ContentTypeId">
    <vt:lpwstr>0x0101006E56B4D1795A2E4DB2F0B01679ED314A009E60FB7A06EC0A4287672D91D8331009</vt:lpwstr>
  </property>
  <property fmtid="{D5CDD505-2E9C-101B-9397-08002B2CF9AE}" pid="4" name="_docset_NoMedatataSyncRequired">
    <vt:lpwstr>False</vt:lpwstr>
  </property>
</Properties>
</file>