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C21F0" w14:textId="77777777" w:rsidR="00F748D8" w:rsidRPr="00EE1CD1" w:rsidRDefault="00F748D8" w:rsidP="00EE1CD1">
      <w:pPr>
        <w:tabs>
          <w:tab w:val="center" w:pos="4680"/>
        </w:tabs>
        <w:ind w:right="-108" w:hanging="180"/>
        <w:jc w:val="both"/>
        <w:rPr>
          <w:sz w:val="24"/>
        </w:rPr>
      </w:pPr>
      <w:r w:rsidRPr="00EE1CD1">
        <w:rPr>
          <w:sz w:val="24"/>
        </w:rPr>
        <w:t>BEFORE THE WASHINGTON UTILITIES AND TRANSPORTATION COMMISSION</w:t>
      </w:r>
    </w:p>
    <w:p w14:paraId="228C21F1" w14:textId="77777777" w:rsidR="00F748D8" w:rsidRPr="00EE1CD1" w:rsidRDefault="00F748D8" w:rsidP="00EE1CD1">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EE1CD1" w14:paraId="228C2218" w14:textId="77777777" w:rsidTr="00EC5B23">
        <w:tc>
          <w:tcPr>
            <w:tcW w:w="4590" w:type="dxa"/>
            <w:tcBorders>
              <w:top w:val="single" w:sz="6" w:space="0" w:color="FFFFFF"/>
              <w:left w:val="single" w:sz="6" w:space="0" w:color="FFFFFF"/>
              <w:bottom w:val="single" w:sz="6" w:space="0" w:color="FFFFFF"/>
              <w:right w:val="single" w:sz="6" w:space="0" w:color="FFFFFF"/>
            </w:tcBorders>
          </w:tcPr>
          <w:p w14:paraId="228C21F2" w14:textId="77777777" w:rsidR="00EE1CD1" w:rsidRPr="00EE1CD1" w:rsidRDefault="00EE1CD1" w:rsidP="00EE1CD1">
            <w:pPr>
              <w:rPr>
                <w:sz w:val="24"/>
              </w:rPr>
            </w:pPr>
            <w:r w:rsidRPr="00EE1CD1">
              <w:rPr>
                <w:sz w:val="24"/>
              </w:rPr>
              <w:t>WASHINGTON UTILITIES AND TRANSPORTATION COMMISSION,</w:t>
            </w:r>
          </w:p>
          <w:p w14:paraId="228C21F3" w14:textId="77777777" w:rsidR="00EE1CD1" w:rsidRPr="00EE1CD1" w:rsidRDefault="00EE1CD1" w:rsidP="00EE1CD1">
            <w:pPr>
              <w:rPr>
                <w:sz w:val="24"/>
              </w:rPr>
            </w:pPr>
          </w:p>
          <w:p w14:paraId="228C21F4" w14:textId="2D18AA4C" w:rsidR="00EE1CD1" w:rsidRPr="00EE1CD1" w:rsidRDefault="006A714A" w:rsidP="00EE1CD1">
            <w:pPr>
              <w:rPr>
                <w:sz w:val="24"/>
              </w:rPr>
            </w:pPr>
            <w:r>
              <w:rPr>
                <w:sz w:val="24"/>
              </w:rPr>
              <w:tab/>
            </w:r>
            <w:r>
              <w:rPr>
                <w:sz w:val="24"/>
              </w:rPr>
              <w:tab/>
            </w:r>
            <w:r w:rsidR="00EE1CD1" w:rsidRPr="00EE1CD1">
              <w:rPr>
                <w:sz w:val="24"/>
              </w:rPr>
              <w:t>Complainant,</w:t>
            </w:r>
          </w:p>
          <w:p w14:paraId="228C21F5" w14:textId="77777777" w:rsidR="00EE1CD1" w:rsidRPr="00EE1CD1" w:rsidRDefault="00EE1CD1" w:rsidP="00EE1CD1">
            <w:pPr>
              <w:rPr>
                <w:sz w:val="24"/>
              </w:rPr>
            </w:pPr>
          </w:p>
          <w:p w14:paraId="228C21F6" w14:textId="77777777" w:rsidR="00EE1CD1" w:rsidRPr="00EE1CD1" w:rsidRDefault="00EE1CD1" w:rsidP="00EE1CD1">
            <w:pPr>
              <w:rPr>
                <w:sz w:val="24"/>
              </w:rPr>
            </w:pPr>
            <w:r w:rsidRPr="00EE1CD1">
              <w:rPr>
                <w:sz w:val="24"/>
              </w:rPr>
              <w:t>v.</w:t>
            </w:r>
          </w:p>
          <w:p w14:paraId="228C21F7" w14:textId="77777777" w:rsidR="00EE1CD1" w:rsidRPr="00EE1CD1" w:rsidRDefault="00EE1CD1" w:rsidP="00EE1CD1">
            <w:pPr>
              <w:rPr>
                <w:sz w:val="24"/>
              </w:rPr>
            </w:pPr>
          </w:p>
          <w:p w14:paraId="228C21F8" w14:textId="77777777" w:rsidR="00EE1CD1" w:rsidRPr="00EE1CD1" w:rsidRDefault="00EE1CD1" w:rsidP="00EE1CD1">
            <w:pPr>
              <w:rPr>
                <w:sz w:val="24"/>
              </w:rPr>
            </w:pPr>
            <w:r w:rsidRPr="00EE1CD1">
              <w:rPr>
                <w:sz w:val="24"/>
              </w:rPr>
              <w:t>PUGET SOUND ENERGY,</w:t>
            </w:r>
          </w:p>
          <w:p w14:paraId="228C21F9" w14:textId="77777777" w:rsidR="00EE1CD1" w:rsidRPr="00EE1CD1" w:rsidRDefault="00EE1CD1" w:rsidP="00EE1CD1">
            <w:pPr>
              <w:rPr>
                <w:sz w:val="24"/>
              </w:rPr>
            </w:pPr>
          </w:p>
          <w:p w14:paraId="228C21FA" w14:textId="1D2F9959" w:rsidR="00EC5B23" w:rsidRPr="00EE1CD1" w:rsidRDefault="006A714A" w:rsidP="00EE1CD1">
            <w:pPr>
              <w:rPr>
                <w:sz w:val="24"/>
              </w:rPr>
            </w:pPr>
            <w:r>
              <w:rPr>
                <w:sz w:val="24"/>
              </w:rPr>
              <w:tab/>
            </w:r>
            <w:r>
              <w:rPr>
                <w:sz w:val="24"/>
              </w:rPr>
              <w:tab/>
            </w:r>
            <w:r w:rsidR="00EE1CD1" w:rsidRPr="00EE1CD1">
              <w:rPr>
                <w:sz w:val="24"/>
              </w:rPr>
              <w:t>Respondent.</w:t>
            </w:r>
          </w:p>
          <w:p w14:paraId="228C21FB" w14:textId="77777777" w:rsidR="00EC5B23" w:rsidRPr="00EE1CD1" w:rsidRDefault="00EC5B23" w:rsidP="00EE1CD1">
            <w:pPr>
              <w:rPr>
                <w:sz w:val="24"/>
              </w:rPr>
            </w:pPr>
            <w:r w:rsidRPr="00EE1CD1">
              <w:rPr>
                <w:sz w:val="24"/>
              </w:rPr>
              <w:t>____________________________________</w:t>
            </w:r>
          </w:p>
          <w:p w14:paraId="228C21FC" w14:textId="77777777" w:rsidR="00EC5B23" w:rsidRPr="00EE1CD1" w:rsidRDefault="00EC5B23" w:rsidP="00EE1CD1">
            <w:pPr>
              <w:rPr>
                <w:sz w:val="24"/>
              </w:rPr>
            </w:pPr>
          </w:p>
          <w:p w14:paraId="228C21FD" w14:textId="77777777" w:rsidR="00EC5B23" w:rsidRPr="00EE1CD1" w:rsidRDefault="00EC5B23" w:rsidP="00EE1CD1">
            <w:pPr>
              <w:rPr>
                <w:sz w:val="24"/>
              </w:rPr>
            </w:pPr>
            <w:r w:rsidRPr="00EE1CD1">
              <w:rPr>
                <w:sz w:val="24"/>
              </w:rPr>
              <w:t>WASHINGTON UTILITIES AND TRANSPORTATION COMMISSION,</w:t>
            </w:r>
          </w:p>
          <w:p w14:paraId="228C21FE" w14:textId="77777777" w:rsidR="00EC5B23" w:rsidRPr="00EE1CD1" w:rsidRDefault="00EC5B23" w:rsidP="00EE1CD1">
            <w:pPr>
              <w:rPr>
                <w:sz w:val="24"/>
              </w:rPr>
            </w:pPr>
          </w:p>
          <w:p w14:paraId="228C21FF" w14:textId="77777777" w:rsidR="00EC5B23" w:rsidRPr="00EE1CD1" w:rsidRDefault="00EC5B23" w:rsidP="00EE1CD1">
            <w:pPr>
              <w:rPr>
                <w:sz w:val="24"/>
              </w:rPr>
            </w:pPr>
            <w:r w:rsidRPr="00EE1CD1">
              <w:rPr>
                <w:sz w:val="24"/>
              </w:rPr>
              <w:tab/>
            </w:r>
            <w:r w:rsidRPr="00EE1CD1">
              <w:rPr>
                <w:sz w:val="24"/>
              </w:rPr>
              <w:tab/>
              <w:t>Complainant,</w:t>
            </w:r>
          </w:p>
          <w:p w14:paraId="228C2200" w14:textId="77777777" w:rsidR="00EC5B23" w:rsidRPr="00EE1CD1" w:rsidRDefault="00EC5B23" w:rsidP="00EE1CD1">
            <w:pPr>
              <w:rPr>
                <w:sz w:val="24"/>
              </w:rPr>
            </w:pPr>
          </w:p>
          <w:p w14:paraId="228C2201" w14:textId="77777777" w:rsidR="00EC5B23" w:rsidRPr="00EE1CD1" w:rsidRDefault="00EC5B23" w:rsidP="00EE1CD1">
            <w:pPr>
              <w:rPr>
                <w:sz w:val="24"/>
              </w:rPr>
            </w:pPr>
            <w:r w:rsidRPr="00EE1CD1">
              <w:rPr>
                <w:sz w:val="24"/>
              </w:rPr>
              <w:t>v.</w:t>
            </w:r>
          </w:p>
          <w:p w14:paraId="228C2202" w14:textId="77777777" w:rsidR="00EC5B23" w:rsidRPr="00EE1CD1" w:rsidRDefault="00EC5B23" w:rsidP="00EE1CD1">
            <w:pPr>
              <w:rPr>
                <w:sz w:val="24"/>
              </w:rPr>
            </w:pPr>
          </w:p>
          <w:p w14:paraId="228C2203" w14:textId="77777777" w:rsidR="00EC5B23" w:rsidRPr="00EE1CD1" w:rsidRDefault="00EC5B23" w:rsidP="00EE1CD1">
            <w:pPr>
              <w:rPr>
                <w:sz w:val="24"/>
              </w:rPr>
            </w:pPr>
            <w:r w:rsidRPr="00EE1CD1">
              <w:rPr>
                <w:sz w:val="24"/>
              </w:rPr>
              <w:t>PUGET SOUND ENERGY, INC.</w:t>
            </w:r>
          </w:p>
          <w:p w14:paraId="228C2204" w14:textId="77777777" w:rsidR="00EC5B23" w:rsidRPr="00EE1CD1" w:rsidRDefault="00EC5B23" w:rsidP="00EE1CD1">
            <w:pPr>
              <w:rPr>
                <w:sz w:val="24"/>
              </w:rPr>
            </w:pPr>
          </w:p>
          <w:p w14:paraId="228C2205" w14:textId="77777777" w:rsidR="004F69A5" w:rsidRPr="00EE1CD1" w:rsidRDefault="00EC5B23" w:rsidP="00EE1CD1">
            <w:pPr>
              <w:rPr>
                <w:sz w:val="24"/>
              </w:rPr>
            </w:pPr>
            <w:r w:rsidRPr="00EE1CD1">
              <w:rPr>
                <w:sz w:val="24"/>
              </w:rPr>
              <w:tab/>
            </w:r>
            <w:r w:rsidRPr="00EE1CD1">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28C2206" w14:textId="77777777" w:rsidR="00EC5B23" w:rsidRPr="00EE1CD1" w:rsidRDefault="004C3D65" w:rsidP="00EE1CD1">
            <w:pPr>
              <w:ind w:firstLine="720"/>
              <w:rPr>
                <w:sz w:val="24"/>
              </w:rPr>
            </w:pPr>
            <w:r w:rsidRPr="00EE1CD1">
              <w:rPr>
                <w:sz w:val="24"/>
              </w:rPr>
              <w:t>DOCKET</w:t>
            </w:r>
            <w:r w:rsidR="00EC5B23" w:rsidRPr="00EE1CD1">
              <w:rPr>
                <w:sz w:val="24"/>
              </w:rPr>
              <w:t>S UE-121697 and</w:t>
            </w:r>
          </w:p>
          <w:p w14:paraId="228C2207" w14:textId="77777777" w:rsidR="00F748D8" w:rsidRPr="00EE1CD1" w:rsidRDefault="00EC5B23" w:rsidP="00EE1CD1">
            <w:pPr>
              <w:ind w:firstLine="720"/>
              <w:rPr>
                <w:sz w:val="24"/>
              </w:rPr>
            </w:pPr>
            <w:r w:rsidRPr="00EE1CD1">
              <w:rPr>
                <w:sz w:val="24"/>
              </w:rPr>
              <w:t>UG-121705 (</w:t>
            </w:r>
            <w:r w:rsidRPr="00EE1CD1">
              <w:rPr>
                <w:i/>
                <w:sz w:val="24"/>
              </w:rPr>
              <w:t>consolidated</w:t>
            </w:r>
            <w:r w:rsidRPr="00EE1CD1">
              <w:rPr>
                <w:sz w:val="24"/>
              </w:rPr>
              <w:t>)</w:t>
            </w:r>
            <w:r w:rsidR="004C3D65" w:rsidRPr="00EE1CD1">
              <w:rPr>
                <w:sz w:val="24"/>
              </w:rPr>
              <w:t xml:space="preserve"> </w:t>
            </w:r>
          </w:p>
          <w:p w14:paraId="228C2208" w14:textId="77777777" w:rsidR="00F748D8" w:rsidRPr="00EE1CD1" w:rsidRDefault="00F748D8" w:rsidP="00EE1CD1">
            <w:pPr>
              <w:rPr>
                <w:sz w:val="24"/>
              </w:rPr>
            </w:pPr>
          </w:p>
          <w:p w14:paraId="228C2209" w14:textId="77777777" w:rsidR="00F748D8" w:rsidRPr="00EE1CD1" w:rsidRDefault="00F748D8" w:rsidP="00EE1CD1">
            <w:pPr>
              <w:ind w:left="720"/>
              <w:rPr>
                <w:sz w:val="24"/>
              </w:rPr>
            </w:pPr>
          </w:p>
          <w:p w14:paraId="228C220A" w14:textId="77777777" w:rsidR="00EC5B23" w:rsidRPr="00EE1CD1" w:rsidRDefault="00EC5B23" w:rsidP="00EE1CD1">
            <w:pPr>
              <w:ind w:left="720"/>
              <w:rPr>
                <w:sz w:val="24"/>
              </w:rPr>
            </w:pPr>
          </w:p>
          <w:p w14:paraId="228C220B" w14:textId="77777777" w:rsidR="00EC5B23" w:rsidRPr="00EE1CD1" w:rsidRDefault="00EC5B23" w:rsidP="00EE1CD1">
            <w:pPr>
              <w:ind w:left="720"/>
              <w:rPr>
                <w:sz w:val="24"/>
              </w:rPr>
            </w:pPr>
          </w:p>
          <w:p w14:paraId="228C220C" w14:textId="77777777" w:rsidR="00EC5B23" w:rsidRPr="00EE1CD1" w:rsidRDefault="00EC5B23" w:rsidP="00EE1CD1">
            <w:pPr>
              <w:ind w:left="720"/>
              <w:rPr>
                <w:sz w:val="24"/>
              </w:rPr>
            </w:pPr>
          </w:p>
          <w:p w14:paraId="228C220D" w14:textId="77777777" w:rsidR="00EC5B23" w:rsidRPr="00EE1CD1" w:rsidRDefault="00EC5B23" w:rsidP="001C05A3">
            <w:pPr>
              <w:ind w:left="720" w:firstLine="720"/>
              <w:rPr>
                <w:sz w:val="24"/>
              </w:rPr>
            </w:pPr>
          </w:p>
          <w:p w14:paraId="228C220E" w14:textId="77777777" w:rsidR="00EC5B23" w:rsidRPr="00EE1CD1" w:rsidRDefault="00EC5B23" w:rsidP="00EE1CD1">
            <w:pPr>
              <w:ind w:left="720"/>
              <w:rPr>
                <w:sz w:val="24"/>
              </w:rPr>
            </w:pPr>
          </w:p>
          <w:p w14:paraId="228C220F" w14:textId="77777777" w:rsidR="00EC5B23" w:rsidRPr="00EE1CD1" w:rsidRDefault="00EC5B23" w:rsidP="00EE1CD1">
            <w:pPr>
              <w:ind w:left="720"/>
              <w:rPr>
                <w:sz w:val="24"/>
              </w:rPr>
            </w:pPr>
          </w:p>
          <w:p w14:paraId="228C2210" w14:textId="77777777" w:rsidR="00EC5B23" w:rsidRPr="00EE1CD1" w:rsidRDefault="00EC5B23" w:rsidP="00EE1CD1">
            <w:pPr>
              <w:ind w:left="720"/>
              <w:rPr>
                <w:sz w:val="24"/>
              </w:rPr>
            </w:pPr>
          </w:p>
          <w:p w14:paraId="228C2211" w14:textId="77777777" w:rsidR="00EE1CD1" w:rsidRDefault="00EE1CD1" w:rsidP="00EE1CD1">
            <w:pPr>
              <w:ind w:left="720"/>
              <w:rPr>
                <w:sz w:val="24"/>
              </w:rPr>
            </w:pPr>
          </w:p>
          <w:p w14:paraId="228C2212" w14:textId="77777777" w:rsidR="00EC5B23" w:rsidRPr="00EE1CD1" w:rsidRDefault="00EC5B23" w:rsidP="00EE1CD1">
            <w:pPr>
              <w:ind w:left="720"/>
              <w:rPr>
                <w:sz w:val="24"/>
              </w:rPr>
            </w:pPr>
            <w:r w:rsidRPr="00EE1CD1">
              <w:rPr>
                <w:sz w:val="24"/>
              </w:rPr>
              <w:t>DOCKETS UE-130137 and</w:t>
            </w:r>
          </w:p>
          <w:p w14:paraId="228C2213" w14:textId="77777777" w:rsidR="00EC5B23" w:rsidRPr="00EE1CD1" w:rsidRDefault="00EC5B23" w:rsidP="00EE1CD1">
            <w:pPr>
              <w:ind w:left="720"/>
              <w:rPr>
                <w:sz w:val="24"/>
              </w:rPr>
            </w:pPr>
            <w:r w:rsidRPr="00EE1CD1">
              <w:rPr>
                <w:sz w:val="24"/>
              </w:rPr>
              <w:t>UG-130138 (</w:t>
            </w:r>
            <w:r w:rsidRPr="00EE1CD1">
              <w:rPr>
                <w:i/>
                <w:sz w:val="24"/>
              </w:rPr>
              <w:t>consolidated</w:t>
            </w:r>
            <w:r w:rsidRPr="00EE1CD1">
              <w:rPr>
                <w:sz w:val="24"/>
              </w:rPr>
              <w:t>)</w:t>
            </w:r>
          </w:p>
          <w:p w14:paraId="228C2214" w14:textId="77777777" w:rsidR="00EC5B23" w:rsidRPr="00EE1CD1" w:rsidRDefault="00EC5B23" w:rsidP="00EE1CD1">
            <w:pPr>
              <w:ind w:left="720"/>
              <w:rPr>
                <w:sz w:val="24"/>
              </w:rPr>
            </w:pPr>
          </w:p>
          <w:p w14:paraId="228C2215" w14:textId="77777777" w:rsidR="00EC5B23" w:rsidRPr="00EE1CD1" w:rsidRDefault="00EC5B23" w:rsidP="00EE1CD1">
            <w:pPr>
              <w:ind w:left="720"/>
              <w:rPr>
                <w:sz w:val="24"/>
              </w:rPr>
            </w:pPr>
          </w:p>
          <w:p w14:paraId="228C2216" w14:textId="77777777" w:rsidR="00EC5B23" w:rsidRPr="00EE1CD1" w:rsidRDefault="00EC5B23" w:rsidP="00EE1CD1">
            <w:pPr>
              <w:ind w:left="720"/>
              <w:rPr>
                <w:sz w:val="24"/>
              </w:rPr>
            </w:pPr>
          </w:p>
          <w:p w14:paraId="228C2217" w14:textId="2C86D7EF" w:rsidR="00EC5B23" w:rsidRPr="00EE1CD1" w:rsidRDefault="00E13CC1" w:rsidP="005B21F3">
            <w:pPr>
              <w:ind w:left="720"/>
              <w:rPr>
                <w:sz w:val="24"/>
              </w:rPr>
            </w:pPr>
            <w:r>
              <w:rPr>
                <w:sz w:val="24"/>
              </w:rPr>
              <w:t xml:space="preserve">INITIAL </w:t>
            </w:r>
            <w:r w:rsidR="00860D8D">
              <w:rPr>
                <w:sz w:val="24"/>
              </w:rPr>
              <w:t>BRIEF</w:t>
            </w:r>
            <w:r w:rsidR="00EC5B23" w:rsidRPr="00EE1CD1">
              <w:rPr>
                <w:sz w:val="24"/>
              </w:rPr>
              <w:t xml:space="preserve"> OF </w:t>
            </w:r>
            <w:r>
              <w:rPr>
                <w:sz w:val="24"/>
              </w:rPr>
              <w:br/>
            </w:r>
            <w:r w:rsidR="00EC5B23" w:rsidRPr="00EE1CD1">
              <w:rPr>
                <w:sz w:val="24"/>
              </w:rPr>
              <w:t>COMMISSION STAFF</w:t>
            </w:r>
          </w:p>
        </w:tc>
      </w:tr>
      <w:tr w:rsidR="00EC5B23" w:rsidRPr="00EE1CD1" w14:paraId="228C221B" w14:textId="77777777">
        <w:tc>
          <w:tcPr>
            <w:tcW w:w="4590" w:type="dxa"/>
            <w:tcBorders>
              <w:top w:val="single" w:sz="6" w:space="0" w:color="FFFFFF"/>
              <w:left w:val="single" w:sz="6" w:space="0" w:color="FFFFFF"/>
              <w:bottom w:val="single" w:sz="7" w:space="0" w:color="000000"/>
              <w:right w:val="single" w:sz="6" w:space="0" w:color="FFFFFF"/>
            </w:tcBorders>
          </w:tcPr>
          <w:p w14:paraId="228C2219" w14:textId="77777777" w:rsidR="00EC5B23" w:rsidRPr="00EE1CD1" w:rsidRDefault="00EC5B23" w:rsidP="00EE1CD1">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228C221A" w14:textId="77777777" w:rsidR="00EC5B23" w:rsidRPr="00EE1CD1" w:rsidRDefault="00EC5B23" w:rsidP="00EE1CD1">
            <w:pPr>
              <w:ind w:firstLine="720"/>
              <w:rPr>
                <w:sz w:val="24"/>
              </w:rPr>
            </w:pPr>
          </w:p>
        </w:tc>
      </w:tr>
    </w:tbl>
    <w:p w14:paraId="228C221C" w14:textId="77777777" w:rsidR="00F748D8" w:rsidRDefault="00F748D8" w:rsidP="00EE1CD1">
      <w:pPr>
        <w:jc w:val="both"/>
        <w:rPr>
          <w:sz w:val="24"/>
        </w:rPr>
      </w:pPr>
    </w:p>
    <w:p w14:paraId="322B2F63" w14:textId="77777777" w:rsidR="00B36EA3" w:rsidRDefault="00B36EA3" w:rsidP="00B36EA3">
      <w:pPr>
        <w:spacing w:line="240" w:lineRule="exact"/>
        <w:ind w:left="3600" w:firstLine="720"/>
        <w:rPr>
          <w:b/>
          <w:sz w:val="24"/>
        </w:rPr>
      </w:pPr>
    </w:p>
    <w:p w14:paraId="6428C907" w14:textId="77777777" w:rsidR="00B36EA3" w:rsidRDefault="00B36EA3" w:rsidP="00B36EA3">
      <w:pPr>
        <w:spacing w:line="240" w:lineRule="exact"/>
        <w:ind w:left="3600" w:firstLine="720"/>
        <w:rPr>
          <w:b/>
          <w:sz w:val="24"/>
        </w:rPr>
      </w:pPr>
    </w:p>
    <w:p w14:paraId="0BB4F86C" w14:textId="77777777" w:rsidR="00B36EA3" w:rsidRDefault="00B36EA3" w:rsidP="00B36EA3">
      <w:pPr>
        <w:spacing w:line="240" w:lineRule="exact"/>
        <w:ind w:left="3600" w:firstLine="720"/>
        <w:rPr>
          <w:b/>
          <w:sz w:val="24"/>
        </w:rPr>
      </w:pPr>
    </w:p>
    <w:p w14:paraId="38AB09C5" w14:textId="77777777" w:rsidR="00B36EA3" w:rsidRDefault="00B36EA3" w:rsidP="00B36EA3">
      <w:pPr>
        <w:spacing w:line="240" w:lineRule="exact"/>
        <w:ind w:left="3600" w:firstLine="720"/>
        <w:rPr>
          <w:b/>
          <w:sz w:val="24"/>
        </w:rPr>
      </w:pPr>
    </w:p>
    <w:p w14:paraId="14A2AFCC" w14:textId="77777777" w:rsidR="00B36EA3" w:rsidRDefault="00B36EA3" w:rsidP="00B36EA3">
      <w:pPr>
        <w:spacing w:line="240" w:lineRule="exact"/>
        <w:ind w:left="3600" w:firstLine="720"/>
        <w:rPr>
          <w:b/>
          <w:sz w:val="24"/>
        </w:rPr>
      </w:pPr>
    </w:p>
    <w:p w14:paraId="7BB56290" w14:textId="24D35074" w:rsidR="00B36EA3" w:rsidRPr="00B36EA3" w:rsidRDefault="00B36EA3" w:rsidP="00B36EA3">
      <w:pPr>
        <w:spacing w:line="240" w:lineRule="exact"/>
        <w:ind w:left="3600" w:firstLine="720"/>
        <w:rPr>
          <w:bCs/>
          <w:sz w:val="24"/>
        </w:rPr>
      </w:pPr>
      <w:r>
        <w:rPr>
          <w:bCs/>
          <w:sz w:val="24"/>
        </w:rPr>
        <w:t>March 6</w:t>
      </w:r>
      <w:r w:rsidRPr="00B36EA3">
        <w:rPr>
          <w:bCs/>
          <w:sz w:val="24"/>
        </w:rPr>
        <w:t>, 2015</w:t>
      </w:r>
    </w:p>
    <w:p w14:paraId="7893358E" w14:textId="77777777" w:rsidR="00B36EA3" w:rsidRPr="00B36EA3" w:rsidRDefault="00B36EA3" w:rsidP="00B36EA3">
      <w:pPr>
        <w:spacing w:line="240" w:lineRule="exact"/>
        <w:rPr>
          <w:bCs/>
          <w:sz w:val="24"/>
        </w:rPr>
      </w:pPr>
    </w:p>
    <w:p w14:paraId="427A838B" w14:textId="77777777" w:rsidR="00B36EA3" w:rsidRPr="00B36EA3" w:rsidRDefault="00B36EA3" w:rsidP="00B36EA3">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ROBERT W. FERGUSON</w:t>
      </w:r>
    </w:p>
    <w:p w14:paraId="7115482E" w14:textId="77777777" w:rsidR="00B36EA3" w:rsidRPr="00B36EA3" w:rsidRDefault="00B36EA3" w:rsidP="00B36EA3">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 xml:space="preserve">Attorney General </w:t>
      </w:r>
    </w:p>
    <w:p w14:paraId="587F0100" w14:textId="77777777" w:rsidR="00B36EA3" w:rsidRPr="00B36EA3" w:rsidRDefault="00B36EA3" w:rsidP="00B36EA3">
      <w:pPr>
        <w:spacing w:line="240" w:lineRule="exact"/>
        <w:rPr>
          <w:bCs/>
          <w:sz w:val="24"/>
        </w:rPr>
      </w:pPr>
    </w:p>
    <w:p w14:paraId="54F8ADFC" w14:textId="77777777" w:rsidR="00B36EA3" w:rsidRPr="00B36EA3" w:rsidRDefault="00B36EA3" w:rsidP="00B36EA3">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JENNIFER CAMERON-RULKOWSKI</w:t>
      </w:r>
    </w:p>
    <w:p w14:paraId="629A3C11" w14:textId="59C23FB1"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Assistant Attorney General </w:t>
      </w:r>
    </w:p>
    <w:p w14:paraId="51FF3383"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Office of the Attorney General </w:t>
      </w:r>
    </w:p>
    <w:p w14:paraId="4668128A"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Utilities &amp; Transportation Division</w:t>
      </w:r>
    </w:p>
    <w:p w14:paraId="219C0BD4"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1400 S Evergreen Park Drive S.W.</w:t>
      </w:r>
    </w:p>
    <w:p w14:paraId="7A7E99BB"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P.O. Box 40128</w:t>
      </w:r>
    </w:p>
    <w:p w14:paraId="65DC9357"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Olympia, WA  98504-0128 </w:t>
      </w:r>
    </w:p>
    <w:p w14:paraId="5A0D6CE9" w14:textId="33A3ADE1" w:rsidR="00B36EA3" w:rsidRPr="00B36EA3" w:rsidRDefault="00B36EA3" w:rsidP="00B36EA3">
      <w:pPr>
        <w:spacing w:line="240" w:lineRule="exact"/>
        <w:rPr>
          <w:b/>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(360) 664-1186</w:t>
      </w:r>
    </w:p>
    <w:p w14:paraId="096D2D19" w14:textId="77777777" w:rsidR="00B36EA3" w:rsidRPr="00B36EA3" w:rsidRDefault="00B36EA3" w:rsidP="00860D8D">
      <w:pPr>
        <w:jc w:val="center"/>
        <w:rPr>
          <w:b/>
          <w:sz w:val="24"/>
        </w:rPr>
        <w:sectPr w:rsidR="00B36EA3" w:rsidRPr="00B36EA3" w:rsidSect="00F748D8">
          <w:pgSz w:w="12240" w:h="15840" w:code="1"/>
          <w:pgMar w:top="1440" w:right="1440" w:bottom="1440" w:left="1872" w:header="720" w:footer="720" w:gutter="0"/>
          <w:cols w:space="720"/>
          <w:docGrid w:linePitch="360"/>
        </w:sectPr>
      </w:pPr>
    </w:p>
    <w:p w14:paraId="71A44A6C" w14:textId="77777777" w:rsidR="00B36EA3" w:rsidRPr="00B36EA3" w:rsidRDefault="00B36EA3" w:rsidP="00B36EA3">
      <w:pPr>
        <w:spacing w:line="240" w:lineRule="exact"/>
        <w:jc w:val="center"/>
        <w:rPr>
          <w:sz w:val="24"/>
        </w:rPr>
      </w:pPr>
      <w:r w:rsidRPr="00B36EA3">
        <w:rPr>
          <w:b/>
          <w:sz w:val="24"/>
        </w:rPr>
        <w:lastRenderedPageBreak/>
        <w:t>TABLE OF CONTENTS</w:t>
      </w:r>
    </w:p>
    <w:p w14:paraId="46C8169B" w14:textId="77777777" w:rsidR="00B36EA3" w:rsidRPr="00B36EA3" w:rsidRDefault="00B36EA3" w:rsidP="00B36EA3">
      <w:pPr>
        <w:spacing w:line="240" w:lineRule="exact"/>
        <w:rPr>
          <w:sz w:val="24"/>
        </w:rPr>
      </w:pPr>
    </w:p>
    <w:p w14:paraId="32D246A3" w14:textId="77777777" w:rsidR="00B36EA3" w:rsidRPr="00B36EA3" w:rsidRDefault="00B36EA3" w:rsidP="00B36EA3">
      <w:pPr>
        <w:spacing w:line="240" w:lineRule="exact"/>
        <w:rPr>
          <w:sz w:val="24"/>
        </w:rPr>
      </w:pPr>
    </w:p>
    <w:p w14:paraId="025E9585" w14:textId="77777777" w:rsidR="00455352" w:rsidRDefault="00455352" w:rsidP="00B36EA3">
      <w:pPr>
        <w:tabs>
          <w:tab w:val="left" w:pos="720"/>
          <w:tab w:val="left" w:pos="1440"/>
          <w:tab w:val="left" w:pos="2160"/>
          <w:tab w:val="right" w:leader="dot" w:pos="8640"/>
        </w:tabs>
        <w:ind w:right="288"/>
        <w:rPr>
          <w:sz w:val="24"/>
        </w:rPr>
      </w:pPr>
    </w:p>
    <w:p w14:paraId="478C0B48" w14:textId="77777777" w:rsidR="00B36EA3" w:rsidRPr="00B36EA3" w:rsidRDefault="00B36EA3" w:rsidP="00B36EA3">
      <w:pPr>
        <w:tabs>
          <w:tab w:val="left" w:pos="720"/>
          <w:tab w:val="left" w:pos="1440"/>
          <w:tab w:val="left" w:pos="2160"/>
          <w:tab w:val="right" w:leader="dot" w:pos="8640"/>
        </w:tabs>
        <w:ind w:right="288"/>
        <w:rPr>
          <w:sz w:val="24"/>
        </w:rPr>
      </w:pPr>
      <w:r w:rsidRPr="00B36EA3">
        <w:rPr>
          <w:sz w:val="24"/>
        </w:rPr>
        <w:t>I.</w:t>
      </w:r>
      <w:r w:rsidRPr="00B36EA3">
        <w:rPr>
          <w:sz w:val="24"/>
        </w:rPr>
        <w:tab/>
        <w:t xml:space="preserve">INTRODUCTION </w:t>
      </w:r>
      <w:r w:rsidRPr="00B36EA3">
        <w:rPr>
          <w:sz w:val="24"/>
        </w:rPr>
        <w:tab/>
        <w:t>1</w:t>
      </w:r>
    </w:p>
    <w:p w14:paraId="62999CB3" w14:textId="77777777" w:rsidR="00B36EA3" w:rsidRPr="00B36EA3" w:rsidRDefault="00B36EA3" w:rsidP="00B36EA3">
      <w:pPr>
        <w:tabs>
          <w:tab w:val="right" w:leader="dot" w:pos="8640"/>
        </w:tabs>
        <w:ind w:right="288"/>
        <w:rPr>
          <w:sz w:val="24"/>
        </w:rPr>
      </w:pPr>
    </w:p>
    <w:p w14:paraId="3A1D6D2C" w14:textId="0D881CF9" w:rsidR="00B36EA3" w:rsidRDefault="00B36EA3" w:rsidP="00B36EA3">
      <w:pPr>
        <w:tabs>
          <w:tab w:val="left" w:pos="720"/>
          <w:tab w:val="left" w:pos="1440"/>
          <w:tab w:val="left" w:pos="2160"/>
          <w:tab w:val="right" w:leader="dot" w:pos="8640"/>
        </w:tabs>
        <w:ind w:right="288"/>
        <w:rPr>
          <w:sz w:val="24"/>
        </w:rPr>
      </w:pPr>
      <w:r w:rsidRPr="00B36EA3">
        <w:rPr>
          <w:sz w:val="24"/>
        </w:rPr>
        <w:t>II.</w:t>
      </w:r>
      <w:r w:rsidRPr="00B36EA3">
        <w:rPr>
          <w:sz w:val="24"/>
        </w:rPr>
        <w:tab/>
      </w:r>
      <w:r>
        <w:rPr>
          <w:sz w:val="24"/>
        </w:rPr>
        <w:t>BACKGROUND</w:t>
      </w:r>
      <w:r w:rsidRPr="00B36EA3">
        <w:rPr>
          <w:sz w:val="24"/>
        </w:rPr>
        <w:t xml:space="preserve"> </w:t>
      </w:r>
      <w:r w:rsidRPr="00B36EA3">
        <w:rPr>
          <w:sz w:val="24"/>
        </w:rPr>
        <w:tab/>
      </w:r>
      <w:r w:rsidR="00A1687B">
        <w:rPr>
          <w:sz w:val="24"/>
        </w:rPr>
        <w:t>2</w:t>
      </w:r>
    </w:p>
    <w:p w14:paraId="650726A3" w14:textId="77777777" w:rsidR="00B36EA3" w:rsidRDefault="00B36EA3" w:rsidP="00B36EA3">
      <w:pPr>
        <w:tabs>
          <w:tab w:val="left" w:pos="720"/>
          <w:tab w:val="left" w:pos="1440"/>
          <w:tab w:val="left" w:pos="2160"/>
          <w:tab w:val="right" w:leader="dot" w:pos="8640"/>
        </w:tabs>
        <w:ind w:right="288"/>
        <w:rPr>
          <w:sz w:val="24"/>
        </w:rPr>
      </w:pPr>
    </w:p>
    <w:p w14:paraId="5E6235F2" w14:textId="00B494CA" w:rsidR="00B36EA3" w:rsidRPr="00B36EA3" w:rsidRDefault="00B36EA3" w:rsidP="00B36EA3">
      <w:pPr>
        <w:tabs>
          <w:tab w:val="left" w:pos="720"/>
          <w:tab w:val="left" w:pos="1440"/>
          <w:tab w:val="right" w:leader="dot" w:pos="8640"/>
        </w:tabs>
        <w:ind w:right="288"/>
        <w:rPr>
          <w:sz w:val="24"/>
        </w:rPr>
      </w:pPr>
      <w:r>
        <w:rPr>
          <w:sz w:val="24"/>
        </w:rPr>
        <w:t>III.</w:t>
      </w:r>
      <w:r>
        <w:rPr>
          <w:sz w:val="24"/>
        </w:rPr>
        <w:tab/>
        <w:t>ARGUMENT</w:t>
      </w:r>
      <w:r>
        <w:rPr>
          <w:sz w:val="24"/>
        </w:rPr>
        <w:tab/>
      </w:r>
      <w:r w:rsidR="009C2E88">
        <w:rPr>
          <w:sz w:val="24"/>
        </w:rPr>
        <w:t>6</w:t>
      </w:r>
    </w:p>
    <w:p w14:paraId="15F20B47" w14:textId="77777777" w:rsidR="00B36EA3" w:rsidRPr="00B36EA3" w:rsidRDefault="00B36EA3" w:rsidP="00B36EA3">
      <w:pPr>
        <w:tabs>
          <w:tab w:val="left" w:pos="720"/>
          <w:tab w:val="left" w:pos="1440"/>
          <w:tab w:val="left" w:pos="2160"/>
          <w:tab w:val="right" w:leader="dot" w:pos="8640"/>
        </w:tabs>
        <w:ind w:right="288"/>
        <w:rPr>
          <w:sz w:val="24"/>
        </w:rPr>
      </w:pPr>
    </w:p>
    <w:p w14:paraId="6C5F19C1" w14:textId="77777777" w:rsidR="00B36EA3" w:rsidRDefault="00B36EA3" w:rsidP="00B36EA3">
      <w:pPr>
        <w:pStyle w:val="ListParagraph"/>
        <w:ind w:left="1440" w:right="288" w:hanging="720"/>
        <w:rPr>
          <w:sz w:val="24"/>
        </w:rPr>
      </w:pPr>
      <w:r>
        <w:rPr>
          <w:sz w:val="24"/>
        </w:rPr>
        <w:t>A.</w:t>
      </w:r>
      <w:r>
        <w:rPr>
          <w:sz w:val="24"/>
        </w:rPr>
        <w:tab/>
      </w:r>
      <w:r w:rsidRPr="00B36EA3">
        <w:rPr>
          <w:sz w:val="24"/>
        </w:rPr>
        <w:t>The Commission Should Authorize a Cost of Equity That</w:t>
      </w:r>
    </w:p>
    <w:p w14:paraId="440344C4" w14:textId="77777777" w:rsidR="00B36EA3" w:rsidRDefault="00B36EA3" w:rsidP="00B36EA3">
      <w:pPr>
        <w:pStyle w:val="ListParagraph"/>
        <w:ind w:left="1440" w:right="288" w:hanging="720"/>
        <w:rPr>
          <w:sz w:val="24"/>
        </w:rPr>
      </w:pPr>
      <w:r>
        <w:rPr>
          <w:sz w:val="24"/>
        </w:rPr>
        <w:tab/>
      </w:r>
      <w:r w:rsidRPr="00B36EA3">
        <w:rPr>
          <w:sz w:val="24"/>
        </w:rPr>
        <w:t>Would Have Been Applicable in the First Quarter of 2013</w:t>
      </w:r>
    </w:p>
    <w:p w14:paraId="58C2EF1E" w14:textId="77777777" w:rsidR="00B36EA3" w:rsidRDefault="00B36EA3" w:rsidP="00B36EA3">
      <w:pPr>
        <w:pStyle w:val="ListParagraph"/>
        <w:ind w:left="1440" w:right="288" w:hanging="720"/>
        <w:rPr>
          <w:sz w:val="24"/>
        </w:rPr>
      </w:pPr>
      <w:r>
        <w:rPr>
          <w:sz w:val="24"/>
        </w:rPr>
        <w:tab/>
      </w:r>
      <w:r w:rsidRPr="00B36EA3">
        <w:rPr>
          <w:sz w:val="24"/>
        </w:rPr>
        <w:t>Because That Time Period Is Contemporaneous With the</w:t>
      </w:r>
    </w:p>
    <w:p w14:paraId="33AE0DD1" w14:textId="77777777" w:rsidR="00B36EA3" w:rsidRDefault="00B36EA3" w:rsidP="00B36EA3">
      <w:pPr>
        <w:pStyle w:val="ListParagraph"/>
        <w:ind w:left="1440" w:right="288" w:hanging="720"/>
        <w:rPr>
          <w:sz w:val="24"/>
        </w:rPr>
      </w:pPr>
      <w:r>
        <w:rPr>
          <w:sz w:val="24"/>
        </w:rPr>
        <w:tab/>
      </w:r>
      <w:r w:rsidRPr="00B36EA3">
        <w:rPr>
          <w:sz w:val="24"/>
        </w:rPr>
        <w:t>Other Evidence Presented in Support of the Base Rates</w:t>
      </w:r>
    </w:p>
    <w:p w14:paraId="433D73AD" w14:textId="59C52201" w:rsidR="00B36EA3" w:rsidRDefault="00B36EA3" w:rsidP="00B36EA3">
      <w:pPr>
        <w:pStyle w:val="ListParagraph"/>
        <w:tabs>
          <w:tab w:val="left" w:pos="720"/>
          <w:tab w:val="left" w:pos="1440"/>
          <w:tab w:val="left" w:pos="2160"/>
          <w:tab w:val="right" w:leader="dot" w:pos="8640"/>
        </w:tabs>
        <w:ind w:left="1440" w:right="288" w:hanging="720"/>
        <w:rPr>
          <w:sz w:val="24"/>
        </w:rPr>
      </w:pPr>
      <w:r>
        <w:rPr>
          <w:sz w:val="24"/>
        </w:rPr>
        <w:tab/>
        <w:t>Set in the ERF</w:t>
      </w:r>
      <w:r w:rsidR="00950894">
        <w:rPr>
          <w:sz w:val="24"/>
        </w:rPr>
        <w:t>.</w:t>
      </w:r>
      <w:r>
        <w:rPr>
          <w:sz w:val="24"/>
        </w:rPr>
        <w:tab/>
      </w:r>
      <w:r w:rsidR="00A1687B">
        <w:rPr>
          <w:sz w:val="24"/>
        </w:rPr>
        <w:t>6</w:t>
      </w:r>
    </w:p>
    <w:p w14:paraId="1F48CF1D" w14:textId="77777777" w:rsidR="00B36EA3" w:rsidRPr="00B36EA3" w:rsidRDefault="00B36EA3" w:rsidP="00B36EA3">
      <w:pPr>
        <w:pStyle w:val="ListParagraph"/>
        <w:tabs>
          <w:tab w:val="left" w:pos="720"/>
          <w:tab w:val="left" w:pos="1440"/>
          <w:tab w:val="left" w:pos="2160"/>
          <w:tab w:val="right" w:leader="dot" w:pos="8640"/>
          <w:tab w:val="right" w:leader="dot" w:pos="8910"/>
        </w:tabs>
        <w:ind w:left="1440" w:right="288" w:hanging="720"/>
        <w:rPr>
          <w:sz w:val="24"/>
        </w:rPr>
      </w:pPr>
    </w:p>
    <w:p w14:paraId="58CD9486" w14:textId="77777777" w:rsidR="00B36EA3" w:rsidRDefault="00B36EA3" w:rsidP="00B36EA3">
      <w:pPr>
        <w:pStyle w:val="ListParagraph"/>
        <w:tabs>
          <w:tab w:val="right" w:leader="dot" w:pos="8640"/>
        </w:tabs>
        <w:ind w:left="1440" w:hanging="720"/>
        <w:rPr>
          <w:sz w:val="24"/>
        </w:rPr>
      </w:pPr>
      <w:r>
        <w:rPr>
          <w:sz w:val="24"/>
        </w:rPr>
        <w:t>B.</w:t>
      </w:r>
      <w:r>
        <w:rPr>
          <w:sz w:val="24"/>
        </w:rPr>
        <w:tab/>
        <w:t>PS</w:t>
      </w:r>
      <w:r w:rsidRPr="00B36EA3">
        <w:rPr>
          <w:sz w:val="24"/>
        </w:rPr>
        <w:t>E’s Cost of Equity As of the First Quarter of 2013 May</w:t>
      </w:r>
    </w:p>
    <w:p w14:paraId="222AA033" w14:textId="0885D2A0" w:rsidR="00B36EA3" w:rsidRDefault="00B36EA3" w:rsidP="00B36EA3">
      <w:pPr>
        <w:pStyle w:val="ListParagraph"/>
        <w:tabs>
          <w:tab w:val="right" w:leader="dot" w:pos="8640"/>
        </w:tabs>
        <w:ind w:left="1440" w:hanging="720"/>
        <w:rPr>
          <w:sz w:val="24"/>
        </w:rPr>
      </w:pPr>
      <w:r>
        <w:rPr>
          <w:sz w:val="24"/>
        </w:rPr>
        <w:tab/>
      </w:r>
      <w:r w:rsidRPr="00B36EA3">
        <w:rPr>
          <w:sz w:val="24"/>
        </w:rPr>
        <w:t xml:space="preserve">Be Set At 9.5 Percent </w:t>
      </w:r>
      <w:r w:rsidR="00455352">
        <w:rPr>
          <w:sz w:val="24"/>
        </w:rPr>
        <w:t>o</w:t>
      </w:r>
      <w:r w:rsidRPr="00B36EA3">
        <w:rPr>
          <w:sz w:val="24"/>
        </w:rPr>
        <w:t>r At Least Within the Range of</w:t>
      </w:r>
    </w:p>
    <w:p w14:paraId="5021EAA3" w14:textId="1311F712" w:rsidR="00B36EA3" w:rsidRPr="00B36EA3" w:rsidRDefault="00B36EA3" w:rsidP="00B36EA3">
      <w:pPr>
        <w:pStyle w:val="ListParagraph"/>
        <w:tabs>
          <w:tab w:val="left" w:pos="720"/>
          <w:tab w:val="left" w:pos="1440"/>
          <w:tab w:val="left" w:pos="2160"/>
          <w:tab w:val="right" w:leader="dot" w:pos="8640"/>
          <w:tab w:val="right" w:leader="dot" w:pos="8910"/>
        </w:tabs>
        <w:ind w:left="1440" w:hanging="720"/>
        <w:rPr>
          <w:sz w:val="24"/>
        </w:rPr>
      </w:pPr>
      <w:r>
        <w:rPr>
          <w:sz w:val="24"/>
        </w:rPr>
        <w:tab/>
      </w:r>
      <w:r w:rsidRPr="00B36EA3">
        <w:rPr>
          <w:sz w:val="24"/>
        </w:rPr>
        <w:t>9.0 to 10.0 Percent.</w:t>
      </w:r>
      <w:r>
        <w:rPr>
          <w:sz w:val="24"/>
        </w:rPr>
        <w:tab/>
      </w:r>
      <w:r w:rsidR="009C2E88">
        <w:rPr>
          <w:sz w:val="24"/>
        </w:rPr>
        <w:t>7</w:t>
      </w:r>
    </w:p>
    <w:p w14:paraId="40335EC9" w14:textId="77777777" w:rsidR="00B36EA3" w:rsidRPr="00B36EA3" w:rsidRDefault="00B36EA3" w:rsidP="00B36EA3">
      <w:pPr>
        <w:tabs>
          <w:tab w:val="right" w:leader="dot" w:pos="8640"/>
        </w:tabs>
        <w:rPr>
          <w:sz w:val="24"/>
        </w:rPr>
      </w:pPr>
    </w:p>
    <w:p w14:paraId="2C6C4883" w14:textId="77777777" w:rsidR="00A1687B" w:rsidRDefault="00B36EA3" w:rsidP="00A1687B">
      <w:pPr>
        <w:pStyle w:val="ListParagraph"/>
        <w:ind w:left="1440" w:hanging="720"/>
        <w:rPr>
          <w:sz w:val="24"/>
        </w:rPr>
      </w:pPr>
      <w:r>
        <w:rPr>
          <w:sz w:val="24"/>
        </w:rPr>
        <w:t>C.</w:t>
      </w:r>
      <w:r w:rsidRPr="00A1687B">
        <w:rPr>
          <w:sz w:val="24"/>
        </w:rPr>
        <w:tab/>
        <w:t>The Issue of Whether PSE’s ROE Should Be Adjusted</w:t>
      </w:r>
    </w:p>
    <w:p w14:paraId="0C7BE673" w14:textId="77777777" w:rsidR="00A1687B" w:rsidRDefault="00A1687B" w:rsidP="00A1687B">
      <w:pPr>
        <w:pStyle w:val="ListParagraph"/>
        <w:ind w:left="1440" w:hanging="720"/>
        <w:rPr>
          <w:sz w:val="24"/>
        </w:rPr>
      </w:pPr>
      <w:r>
        <w:rPr>
          <w:sz w:val="24"/>
        </w:rPr>
        <w:tab/>
      </w:r>
      <w:r w:rsidR="00B36EA3" w:rsidRPr="00A1687B">
        <w:rPr>
          <w:sz w:val="24"/>
        </w:rPr>
        <w:t>Due to the Effects of Decoupling Is Not Within the</w:t>
      </w:r>
    </w:p>
    <w:p w14:paraId="6082FD69" w14:textId="699F9597" w:rsidR="00B36EA3" w:rsidRPr="00A1687B" w:rsidRDefault="00A1687B" w:rsidP="00A1687B">
      <w:pPr>
        <w:pStyle w:val="ListParagraph"/>
        <w:tabs>
          <w:tab w:val="left" w:pos="720"/>
          <w:tab w:val="left" w:pos="1440"/>
          <w:tab w:val="left" w:pos="2160"/>
          <w:tab w:val="right" w:leader="dot" w:pos="8640"/>
        </w:tabs>
        <w:ind w:left="1440" w:right="108" w:hanging="720"/>
        <w:rPr>
          <w:sz w:val="24"/>
        </w:rPr>
      </w:pPr>
      <w:r>
        <w:rPr>
          <w:sz w:val="24"/>
        </w:rPr>
        <w:tab/>
      </w:r>
      <w:r w:rsidR="00B36EA3" w:rsidRPr="00A1687B">
        <w:rPr>
          <w:sz w:val="24"/>
        </w:rPr>
        <w:t>Scope of the Remand.</w:t>
      </w:r>
      <w:r>
        <w:rPr>
          <w:sz w:val="24"/>
        </w:rPr>
        <w:tab/>
      </w:r>
      <w:r w:rsidR="00D2024D">
        <w:rPr>
          <w:sz w:val="24"/>
        </w:rPr>
        <w:t>9</w:t>
      </w:r>
    </w:p>
    <w:p w14:paraId="01A7518D" w14:textId="27AE3063" w:rsidR="00B36EA3" w:rsidRPr="00A1687B" w:rsidRDefault="00B36EA3" w:rsidP="00B36EA3">
      <w:pPr>
        <w:tabs>
          <w:tab w:val="left" w:pos="720"/>
          <w:tab w:val="left" w:pos="1440"/>
          <w:tab w:val="left" w:pos="2160"/>
          <w:tab w:val="right" w:leader="dot" w:pos="8640"/>
        </w:tabs>
        <w:ind w:firstLine="720"/>
        <w:rPr>
          <w:sz w:val="24"/>
        </w:rPr>
      </w:pPr>
    </w:p>
    <w:p w14:paraId="58B53AEC" w14:textId="2E087D88" w:rsidR="00B36EA3" w:rsidRPr="00B36EA3" w:rsidRDefault="00A1687B" w:rsidP="00A1687B">
      <w:pPr>
        <w:tabs>
          <w:tab w:val="left" w:pos="720"/>
          <w:tab w:val="left" w:pos="1440"/>
          <w:tab w:val="left" w:pos="2160"/>
          <w:tab w:val="right" w:leader="dot" w:pos="8640"/>
        </w:tabs>
        <w:spacing w:line="240" w:lineRule="exact"/>
        <w:rPr>
          <w:sz w:val="24"/>
        </w:rPr>
      </w:pPr>
      <w:r>
        <w:rPr>
          <w:sz w:val="24"/>
        </w:rPr>
        <w:t>IV.</w:t>
      </w:r>
      <w:r>
        <w:rPr>
          <w:sz w:val="24"/>
        </w:rPr>
        <w:tab/>
        <w:t>CONCLUSION</w:t>
      </w:r>
      <w:r>
        <w:rPr>
          <w:sz w:val="24"/>
        </w:rPr>
        <w:tab/>
        <w:t>10</w:t>
      </w:r>
    </w:p>
    <w:p w14:paraId="3BA25AE2" w14:textId="77777777" w:rsidR="00B36EA3" w:rsidRPr="00B36EA3" w:rsidRDefault="00B36EA3" w:rsidP="00B36EA3">
      <w:pPr>
        <w:spacing w:line="240" w:lineRule="exact"/>
        <w:rPr>
          <w:sz w:val="24"/>
        </w:rPr>
      </w:pPr>
    </w:p>
    <w:p w14:paraId="05181E71" w14:textId="77777777" w:rsidR="00B36EA3" w:rsidRPr="00B36EA3" w:rsidRDefault="00B36EA3" w:rsidP="00B36EA3">
      <w:pPr>
        <w:rPr>
          <w:sz w:val="24"/>
        </w:rPr>
      </w:pPr>
    </w:p>
    <w:p w14:paraId="6D019F53" w14:textId="77777777" w:rsidR="00B36EA3" w:rsidRDefault="00B36EA3" w:rsidP="00B36EA3">
      <w:pPr>
        <w:rPr>
          <w:b/>
          <w:sz w:val="24"/>
        </w:rPr>
        <w:sectPr w:rsidR="00B36EA3" w:rsidSect="005E3C36">
          <w:footerReference w:type="default" r:id="rId11"/>
          <w:pgSz w:w="12240" w:h="15840" w:code="1"/>
          <w:pgMar w:top="1440" w:right="1620" w:bottom="1440" w:left="1872" w:header="720" w:footer="720" w:gutter="0"/>
          <w:pgNumType w:fmt="lowerRoman" w:start="1"/>
          <w:cols w:space="720"/>
          <w:docGrid w:linePitch="360"/>
        </w:sectPr>
      </w:pPr>
    </w:p>
    <w:p w14:paraId="700A17C4" w14:textId="77777777" w:rsidR="001D698F" w:rsidRPr="001D698F" w:rsidRDefault="001D698F" w:rsidP="001D698F">
      <w:pPr>
        <w:spacing w:line="240" w:lineRule="exact"/>
        <w:jc w:val="center"/>
        <w:rPr>
          <w:b/>
          <w:sz w:val="24"/>
        </w:rPr>
      </w:pPr>
      <w:r w:rsidRPr="001D698F">
        <w:rPr>
          <w:b/>
          <w:sz w:val="24"/>
        </w:rPr>
        <w:lastRenderedPageBreak/>
        <w:t>TABLE OF AUTHORITIES</w:t>
      </w:r>
    </w:p>
    <w:p w14:paraId="4E3EB3BC" w14:textId="77777777" w:rsidR="001D698F" w:rsidRPr="001D698F" w:rsidRDefault="001D698F" w:rsidP="001D698F">
      <w:pPr>
        <w:spacing w:line="240" w:lineRule="exact"/>
        <w:rPr>
          <w:sz w:val="24"/>
        </w:rPr>
      </w:pPr>
    </w:p>
    <w:p w14:paraId="5682251D" w14:textId="77777777" w:rsidR="001D698F" w:rsidRPr="001D698F" w:rsidRDefault="001D698F" w:rsidP="001D698F">
      <w:pPr>
        <w:jc w:val="center"/>
        <w:rPr>
          <w:sz w:val="24"/>
        </w:rPr>
      </w:pPr>
    </w:p>
    <w:p w14:paraId="59D6A000" w14:textId="39F254E7" w:rsidR="001D698F" w:rsidRPr="001D698F" w:rsidRDefault="001D698F" w:rsidP="001D698F">
      <w:pPr>
        <w:jc w:val="center"/>
        <w:rPr>
          <w:b/>
          <w:sz w:val="24"/>
        </w:rPr>
      </w:pPr>
      <w:r w:rsidRPr="001D698F">
        <w:rPr>
          <w:b/>
          <w:i/>
          <w:sz w:val="24"/>
        </w:rPr>
        <w:t>Cases</w:t>
      </w:r>
    </w:p>
    <w:p w14:paraId="19C5115F" w14:textId="77777777" w:rsidR="001D698F" w:rsidRPr="001D698F" w:rsidRDefault="001D698F" w:rsidP="001D698F">
      <w:pPr>
        <w:rPr>
          <w:sz w:val="24"/>
        </w:rPr>
      </w:pPr>
    </w:p>
    <w:p w14:paraId="3870D1B3" w14:textId="77777777" w:rsidR="001D698F" w:rsidRDefault="001D698F" w:rsidP="001D698F">
      <w:pPr>
        <w:rPr>
          <w:sz w:val="24"/>
        </w:rPr>
      </w:pPr>
      <w:r w:rsidRPr="001D698F">
        <w:rPr>
          <w:i/>
          <w:sz w:val="24"/>
        </w:rPr>
        <w:t>Bluefield Waterworks &amp; Improvement Co. v. Pub. Serv. Comm’n of W. Va.</w:t>
      </w:r>
      <w:r w:rsidRPr="001D698F">
        <w:rPr>
          <w:sz w:val="24"/>
        </w:rPr>
        <w:t>,</w:t>
      </w:r>
    </w:p>
    <w:p w14:paraId="137271EC" w14:textId="41655112" w:rsidR="001D698F" w:rsidRDefault="001D698F" w:rsidP="001D698F">
      <w:pPr>
        <w:tabs>
          <w:tab w:val="left" w:pos="720"/>
          <w:tab w:val="left" w:pos="1440"/>
          <w:tab w:val="left" w:pos="2160"/>
          <w:tab w:val="right" w:leader="dot" w:pos="8820"/>
        </w:tabs>
        <w:ind w:right="108"/>
        <w:rPr>
          <w:color w:val="000000"/>
          <w:sz w:val="24"/>
        </w:rPr>
      </w:pPr>
      <w:r>
        <w:rPr>
          <w:sz w:val="24"/>
        </w:rPr>
        <w:tab/>
      </w:r>
      <w:r w:rsidRPr="001D698F">
        <w:rPr>
          <w:color w:val="000000"/>
          <w:sz w:val="24"/>
        </w:rPr>
        <w:t>262 U.S. 679, 692, 43 S.</w:t>
      </w:r>
      <w:r>
        <w:rPr>
          <w:color w:val="000000"/>
          <w:sz w:val="24"/>
        </w:rPr>
        <w:t xml:space="preserve"> </w:t>
      </w:r>
      <w:r w:rsidRPr="001D698F">
        <w:rPr>
          <w:color w:val="000000"/>
          <w:sz w:val="24"/>
        </w:rPr>
        <w:t>Ct. 675, 67 L.</w:t>
      </w:r>
      <w:r>
        <w:rPr>
          <w:color w:val="000000"/>
          <w:sz w:val="24"/>
        </w:rPr>
        <w:t xml:space="preserve"> </w:t>
      </w:r>
      <w:r w:rsidRPr="001D698F">
        <w:rPr>
          <w:color w:val="000000"/>
          <w:sz w:val="24"/>
        </w:rPr>
        <w:t>Ed. 1176 (1923)</w:t>
      </w:r>
      <w:r>
        <w:rPr>
          <w:color w:val="000000"/>
          <w:sz w:val="24"/>
        </w:rPr>
        <w:tab/>
      </w:r>
      <w:r w:rsidR="009C2E88">
        <w:rPr>
          <w:color w:val="000000"/>
          <w:sz w:val="24"/>
        </w:rPr>
        <w:t>7</w:t>
      </w:r>
    </w:p>
    <w:p w14:paraId="2AC2AA16" w14:textId="77777777" w:rsidR="001F5B81" w:rsidRPr="001D698F" w:rsidRDefault="001F5B81" w:rsidP="001D698F">
      <w:pPr>
        <w:tabs>
          <w:tab w:val="left" w:pos="720"/>
          <w:tab w:val="left" w:pos="1440"/>
          <w:tab w:val="left" w:pos="2160"/>
          <w:tab w:val="right" w:leader="dot" w:pos="8820"/>
        </w:tabs>
        <w:ind w:right="108"/>
        <w:rPr>
          <w:b/>
          <w:sz w:val="24"/>
        </w:rPr>
      </w:pPr>
    </w:p>
    <w:p w14:paraId="4D44F9DC" w14:textId="77777777" w:rsidR="005E3C36" w:rsidRDefault="005E3C36" w:rsidP="005E3C36">
      <w:pPr>
        <w:tabs>
          <w:tab w:val="left" w:pos="720"/>
          <w:tab w:val="left" w:pos="1440"/>
          <w:tab w:val="left" w:pos="2160"/>
          <w:tab w:val="right" w:leader="dot" w:pos="8820"/>
        </w:tabs>
        <w:ind w:right="108"/>
        <w:rPr>
          <w:sz w:val="24"/>
        </w:rPr>
      </w:pPr>
      <w:r w:rsidRPr="009F0080">
        <w:rPr>
          <w:i/>
          <w:sz w:val="24"/>
        </w:rPr>
        <w:t xml:space="preserve">Indus. Customers of Nw. Utils. v. Utils. </w:t>
      </w:r>
      <w:r>
        <w:rPr>
          <w:i/>
          <w:sz w:val="24"/>
        </w:rPr>
        <w:t>&amp;</w:t>
      </w:r>
      <w:r w:rsidRPr="009F0080">
        <w:rPr>
          <w:i/>
          <w:sz w:val="24"/>
        </w:rPr>
        <w:t xml:space="preserve"> Transp. Comm’n and Wash. State Attorney General’s Office, Public Counsel Div. v. Utils. </w:t>
      </w:r>
      <w:r>
        <w:rPr>
          <w:i/>
          <w:sz w:val="24"/>
        </w:rPr>
        <w:t>&amp;</w:t>
      </w:r>
      <w:r w:rsidRPr="009F0080">
        <w:rPr>
          <w:i/>
          <w:sz w:val="24"/>
        </w:rPr>
        <w:t xml:space="preserve"> Transp. Comm’n</w:t>
      </w:r>
      <w:r w:rsidRPr="009F0080">
        <w:rPr>
          <w:sz w:val="24"/>
        </w:rPr>
        <w:t>,</w:t>
      </w:r>
    </w:p>
    <w:p w14:paraId="6A3245A2" w14:textId="77777777" w:rsidR="005E3C36" w:rsidRDefault="005E3C36" w:rsidP="005E3C36">
      <w:pPr>
        <w:tabs>
          <w:tab w:val="left" w:pos="720"/>
          <w:tab w:val="left" w:pos="1440"/>
          <w:tab w:val="left" w:pos="2160"/>
          <w:tab w:val="right" w:leader="dot" w:pos="8820"/>
        </w:tabs>
        <w:ind w:left="720" w:right="108" w:hanging="720"/>
        <w:rPr>
          <w:sz w:val="24"/>
        </w:rPr>
      </w:pPr>
      <w:r>
        <w:rPr>
          <w:sz w:val="24"/>
        </w:rPr>
        <w:tab/>
      </w:r>
      <w:r w:rsidRPr="009F0080">
        <w:rPr>
          <w:sz w:val="24"/>
        </w:rPr>
        <w:t>Thurston County Cause Nos.: 13-2-01576-2, 13-2-01582-7 (Consolidated)</w:t>
      </w:r>
      <w:r>
        <w:rPr>
          <w:sz w:val="24"/>
        </w:rPr>
        <w:t>,</w:t>
      </w:r>
    </w:p>
    <w:p w14:paraId="25A65A74" w14:textId="77777777" w:rsidR="005E3C36" w:rsidRDefault="005E3C36" w:rsidP="005E3C36">
      <w:pPr>
        <w:tabs>
          <w:tab w:val="left" w:pos="720"/>
          <w:tab w:val="left" w:pos="1440"/>
          <w:tab w:val="left" w:pos="2160"/>
          <w:tab w:val="right" w:leader="dot" w:pos="8820"/>
        </w:tabs>
        <w:ind w:left="720" w:right="108" w:hanging="720"/>
        <w:rPr>
          <w:sz w:val="24"/>
        </w:rPr>
      </w:pPr>
      <w:r>
        <w:rPr>
          <w:sz w:val="24"/>
        </w:rPr>
        <w:tab/>
      </w:r>
      <w:r w:rsidRPr="009F0080">
        <w:rPr>
          <w:sz w:val="24"/>
        </w:rPr>
        <w:t>Order Granting in Part and Denying in Part Petitions for Judicial Review</w:t>
      </w:r>
    </w:p>
    <w:p w14:paraId="79E8DE9E" w14:textId="77777777" w:rsidR="005E3C36" w:rsidRPr="009F0080" w:rsidRDefault="005E3C36" w:rsidP="005E3C36">
      <w:pPr>
        <w:tabs>
          <w:tab w:val="left" w:pos="720"/>
          <w:tab w:val="left" w:pos="1440"/>
          <w:tab w:val="left" w:pos="2160"/>
          <w:tab w:val="right" w:leader="dot" w:pos="8820"/>
        </w:tabs>
        <w:ind w:left="720" w:right="108" w:hanging="720"/>
        <w:rPr>
          <w:i/>
          <w:sz w:val="24"/>
        </w:rPr>
      </w:pPr>
      <w:r>
        <w:rPr>
          <w:sz w:val="24"/>
        </w:rPr>
        <w:tab/>
      </w:r>
      <w:r w:rsidRPr="009F0080">
        <w:rPr>
          <w:sz w:val="24"/>
        </w:rPr>
        <w:t>(July 25, 2014)</w:t>
      </w:r>
      <w:r>
        <w:rPr>
          <w:sz w:val="24"/>
        </w:rPr>
        <w:tab/>
        <w:t>3</w:t>
      </w:r>
    </w:p>
    <w:p w14:paraId="75B1425D" w14:textId="77777777" w:rsidR="005E3C36" w:rsidRDefault="005E3C36" w:rsidP="005E3C36">
      <w:pPr>
        <w:rPr>
          <w:i/>
          <w:sz w:val="24"/>
        </w:rPr>
      </w:pPr>
    </w:p>
    <w:p w14:paraId="2C4BEA70" w14:textId="77777777" w:rsidR="005E3C36" w:rsidRDefault="005E3C36" w:rsidP="005E3C36">
      <w:pPr>
        <w:tabs>
          <w:tab w:val="right" w:leader="dot" w:pos="8820"/>
        </w:tabs>
        <w:ind w:right="108"/>
        <w:rPr>
          <w:sz w:val="24"/>
        </w:rPr>
      </w:pPr>
      <w:r w:rsidRPr="00A571DB">
        <w:rPr>
          <w:i/>
          <w:sz w:val="24"/>
        </w:rPr>
        <w:t xml:space="preserve">Indus. Customers of Nw. Utils. v. Utils. </w:t>
      </w:r>
      <w:r>
        <w:rPr>
          <w:i/>
          <w:sz w:val="24"/>
        </w:rPr>
        <w:t>&amp;</w:t>
      </w:r>
      <w:r w:rsidRPr="00A571DB">
        <w:rPr>
          <w:i/>
          <w:sz w:val="24"/>
        </w:rPr>
        <w:t xml:space="preserve"> Transp. Comm’n and Wash. State Attorney General’s Office, Public Counsel Div. v. Utils. </w:t>
      </w:r>
      <w:r>
        <w:rPr>
          <w:i/>
          <w:sz w:val="24"/>
        </w:rPr>
        <w:t>&amp;</w:t>
      </w:r>
      <w:r w:rsidRPr="00A571DB">
        <w:rPr>
          <w:i/>
          <w:sz w:val="24"/>
        </w:rPr>
        <w:t xml:space="preserve"> Transp. Comm’n</w:t>
      </w:r>
      <w:r w:rsidRPr="00A571DB">
        <w:rPr>
          <w:sz w:val="24"/>
        </w:rPr>
        <w:t>,</w:t>
      </w:r>
    </w:p>
    <w:p w14:paraId="776D9FE1" w14:textId="77777777" w:rsidR="005E3C36" w:rsidRDefault="005E3C36" w:rsidP="005E3C36">
      <w:pPr>
        <w:ind w:right="108"/>
        <w:rPr>
          <w:sz w:val="24"/>
        </w:rPr>
      </w:pPr>
      <w:r>
        <w:rPr>
          <w:sz w:val="24"/>
        </w:rPr>
        <w:tab/>
      </w:r>
      <w:r w:rsidRPr="00A571DB">
        <w:rPr>
          <w:sz w:val="24"/>
        </w:rPr>
        <w:t>Thurston County Cause Nos.: 13-2-01576</w:t>
      </w:r>
      <w:r>
        <w:rPr>
          <w:sz w:val="24"/>
        </w:rPr>
        <w:t>-2, 13-2-01582-7 (Consolidated),</w:t>
      </w:r>
    </w:p>
    <w:p w14:paraId="2D93A01E" w14:textId="2BB18429" w:rsidR="001D698F" w:rsidRDefault="005E3C36" w:rsidP="005E3C36">
      <w:pPr>
        <w:tabs>
          <w:tab w:val="left" w:pos="720"/>
          <w:tab w:val="left" w:pos="1440"/>
          <w:tab w:val="left" w:pos="2160"/>
          <w:tab w:val="right" w:leader="dot" w:pos="9187"/>
        </w:tabs>
        <w:ind w:right="108"/>
        <w:rPr>
          <w:sz w:val="24"/>
        </w:rPr>
      </w:pPr>
      <w:r>
        <w:rPr>
          <w:sz w:val="24"/>
        </w:rPr>
        <w:tab/>
        <w:t>Letter Ruling of Judge Murphy (June 4, 2014)</w:t>
      </w:r>
      <w:r>
        <w:rPr>
          <w:sz w:val="24"/>
        </w:rPr>
        <w:tab/>
        <w:t>3</w:t>
      </w:r>
    </w:p>
    <w:p w14:paraId="13D69F7F" w14:textId="77777777" w:rsidR="005E3C36" w:rsidRPr="001D698F" w:rsidRDefault="005E3C36" w:rsidP="005E3C36">
      <w:pPr>
        <w:tabs>
          <w:tab w:val="left" w:pos="720"/>
          <w:tab w:val="left" w:pos="1440"/>
          <w:tab w:val="left" w:pos="2160"/>
          <w:tab w:val="right" w:leader="dot" w:pos="9187"/>
        </w:tabs>
        <w:ind w:right="108"/>
        <w:rPr>
          <w:sz w:val="24"/>
        </w:rPr>
      </w:pPr>
    </w:p>
    <w:p w14:paraId="2946E3C4" w14:textId="3A4DC160" w:rsidR="001D698F" w:rsidRPr="001D698F" w:rsidRDefault="001D698F" w:rsidP="001D698F">
      <w:pPr>
        <w:tabs>
          <w:tab w:val="left" w:pos="720"/>
          <w:tab w:val="left" w:pos="1440"/>
          <w:tab w:val="left" w:pos="2160"/>
          <w:tab w:val="right" w:leader="dot" w:pos="8640"/>
        </w:tabs>
        <w:jc w:val="center"/>
        <w:rPr>
          <w:b/>
          <w:sz w:val="24"/>
        </w:rPr>
      </w:pPr>
      <w:r w:rsidRPr="001D698F">
        <w:rPr>
          <w:b/>
          <w:i/>
          <w:sz w:val="24"/>
        </w:rPr>
        <w:t>Administrative Case</w:t>
      </w:r>
      <w:r w:rsidR="00950894">
        <w:rPr>
          <w:b/>
          <w:i/>
          <w:sz w:val="24"/>
        </w:rPr>
        <w:t>s</w:t>
      </w:r>
    </w:p>
    <w:p w14:paraId="1F9C8C4E" w14:textId="77777777" w:rsidR="001D698F" w:rsidRPr="001D698F" w:rsidRDefault="001D698F" w:rsidP="001D698F">
      <w:pPr>
        <w:tabs>
          <w:tab w:val="left" w:pos="720"/>
          <w:tab w:val="left" w:pos="1440"/>
          <w:tab w:val="left" w:pos="2160"/>
          <w:tab w:val="right" w:leader="dot" w:pos="8640"/>
        </w:tabs>
        <w:rPr>
          <w:sz w:val="24"/>
        </w:rPr>
      </w:pPr>
    </w:p>
    <w:p w14:paraId="566DAFCE" w14:textId="77777777" w:rsidR="001D698F" w:rsidRDefault="001D698F" w:rsidP="001D698F">
      <w:pPr>
        <w:pStyle w:val="FootnoteText"/>
        <w:rPr>
          <w:i/>
          <w:sz w:val="24"/>
          <w:szCs w:val="24"/>
        </w:rPr>
      </w:pPr>
      <w:r w:rsidRPr="001D698F">
        <w:rPr>
          <w:i/>
          <w:sz w:val="24"/>
          <w:szCs w:val="24"/>
        </w:rPr>
        <w:t>In the Matter of the Petition of Puget Sound Energy, Inc.,</w:t>
      </w:r>
      <w:r>
        <w:rPr>
          <w:i/>
          <w:sz w:val="24"/>
          <w:szCs w:val="24"/>
        </w:rPr>
        <w:t xml:space="preserve"> </w:t>
      </w:r>
      <w:r w:rsidRPr="001D698F">
        <w:rPr>
          <w:i/>
          <w:sz w:val="24"/>
          <w:szCs w:val="24"/>
        </w:rPr>
        <w:t>and Northwest</w:t>
      </w:r>
    </w:p>
    <w:p w14:paraId="46C2BC1E" w14:textId="77777777" w:rsidR="001D698F" w:rsidRDefault="001D698F" w:rsidP="001D698F">
      <w:pPr>
        <w:pStyle w:val="FootnoteText"/>
        <w:rPr>
          <w:i/>
          <w:sz w:val="24"/>
          <w:szCs w:val="24"/>
        </w:rPr>
      </w:pPr>
      <w:r w:rsidRPr="001D698F">
        <w:rPr>
          <w:i/>
          <w:sz w:val="24"/>
          <w:szCs w:val="24"/>
        </w:rPr>
        <w:t>Energy Coalition For an Order Authorizing</w:t>
      </w:r>
      <w:r>
        <w:rPr>
          <w:i/>
          <w:sz w:val="24"/>
          <w:szCs w:val="24"/>
        </w:rPr>
        <w:t xml:space="preserve"> </w:t>
      </w:r>
      <w:r w:rsidRPr="001D698F">
        <w:rPr>
          <w:i/>
          <w:sz w:val="24"/>
          <w:szCs w:val="24"/>
        </w:rPr>
        <w:t>PSE to Implement Electric</w:t>
      </w:r>
    </w:p>
    <w:p w14:paraId="5CB213D3" w14:textId="77777777" w:rsidR="001D698F" w:rsidRDefault="001D698F" w:rsidP="001D698F">
      <w:pPr>
        <w:pStyle w:val="FootnoteText"/>
        <w:rPr>
          <w:i/>
          <w:sz w:val="24"/>
          <w:szCs w:val="24"/>
        </w:rPr>
      </w:pPr>
      <w:r w:rsidRPr="001D698F">
        <w:rPr>
          <w:i/>
          <w:sz w:val="24"/>
          <w:szCs w:val="24"/>
        </w:rPr>
        <w:t>and Natural Gas Decoupling</w:t>
      </w:r>
      <w:r>
        <w:rPr>
          <w:i/>
          <w:sz w:val="24"/>
          <w:szCs w:val="24"/>
        </w:rPr>
        <w:t xml:space="preserve"> </w:t>
      </w:r>
      <w:r w:rsidRPr="001D698F">
        <w:rPr>
          <w:i/>
          <w:sz w:val="24"/>
          <w:szCs w:val="24"/>
        </w:rPr>
        <w:t>Mechanisms and to Record Accounting</w:t>
      </w:r>
    </w:p>
    <w:p w14:paraId="2414CCFD" w14:textId="19AEDAF2" w:rsidR="001D698F" w:rsidRDefault="001D698F" w:rsidP="001D698F">
      <w:pPr>
        <w:pStyle w:val="FootnoteText"/>
        <w:rPr>
          <w:sz w:val="24"/>
          <w:szCs w:val="24"/>
        </w:rPr>
      </w:pPr>
      <w:r w:rsidRPr="001D698F">
        <w:rPr>
          <w:i/>
          <w:sz w:val="24"/>
          <w:szCs w:val="24"/>
        </w:rPr>
        <w:t>Entries Associated</w:t>
      </w:r>
      <w:r>
        <w:rPr>
          <w:i/>
          <w:sz w:val="24"/>
          <w:szCs w:val="24"/>
        </w:rPr>
        <w:t xml:space="preserve"> </w:t>
      </w:r>
      <w:r w:rsidRPr="001D698F">
        <w:rPr>
          <w:i/>
          <w:sz w:val="24"/>
          <w:szCs w:val="24"/>
        </w:rPr>
        <w:t>With the Mechanisms</w:t>
      </w:r>
      <w:r w:rsidRPr="001D698F">
        <w:rPr>
          <w:sz w:val="24"/>
          <w:szCs w:val="24"/>
        </w:rPr>
        <w:t>,</w:t>
      </w:r>
    </w:p>
    <w:p w14:paraId="32605D70" w14:textId="77777777" w:rsidR="004A1C2D" w:rsidRDefault="001D698F" w:rsidP="001D698F">
      <w:pPr>
        <w:pStyle w:val="FootnoteText"/>
        <w:tabs>
          <w:tab w:val="left" w:pos="720"/>
          <w:tab w:val="left" w:pos="1440"/>
          <w:tab w:val="left" w:pos="2160"/>
          <w:tab w:val="right" w:leader="dot" w:pos="8820"/>
        </w:tabs>
        <w:ind w:right="108"/>
        <w:rPr>
          <w:sz w:val="24"/>
          <w:szCs w:val="24"/>
        </w:rPr>
      </w:pPr>
      <w:r>
        <w:rPr>
          <w:sz w:val="24"/>
          <w:szCs w:val="24"/>
        </w:rPr>
        <w:tab/>
      </w:r>
      <w:r w:rsidRPr="001D698F">
        <w:rPr>
          <w:sz w:val="24"/>
          <w:szCs w:val="24"/>
        </w:rPr>
        <w:t>Dockets UE-1216</w:t>
      </w:r>
      <w:r>
        <w:rPr>
          <w:sz w:val="24"/>
          <w:szCs w:val="24"/>
        </w:rPr>
        <w:t>97 and UG-121705 (consolidated)</w:t>
      </w:r>
    </w:p>
    <w:p w14:paraId="041228A6" w14:textId="600BA629" w:rsidR="00B447F8" w:rsidRDefault="00B447F8" w:rsidP="00B447F8">
      <w:pPr>
        <w:rPr>
          <w:sz w:val="24"/>
        </w:rPr>
      </w:pPr>
      <w:r w:rsidRPr="001D698F">
        <w:rPr>
          <w:i/>
          <w:sz w:val="24"/>
        </w:rPr>
        <w:t>Utils. &amp; Transp. Comm’n v. Puget Sound Energy, Inc.</w:t>
      </w:r>
      <w:r w:rsidRPr="001D698F">
        <w:rPr>
          <w:sz w:val="24"/>
        </w:rPr>
        <w:t>,</w:t>
      </w:r>
    </w:p>
    <w:p w14:paraId="5E0E9502" w14:textId="77777777" w:rsidR="00C24467" w:rsidRDefault="004A1C2D" w:rsidP="001D698F">
      <w:pPr>
        <w:pStyle w:val="FootnoteText"/>
        <w:tabs>
          <w:tab w:val="left" w:pos="720"/>
          <w:tab w:val="left" w:pos="1440"/>
          <w:tab w:val="left" w:pos="2160"/>
          <w:tab w:val="right" w:leader="dot" w:pos="8820"/>
        </w:tabs>
        <w:ind w:right="108"/>
        <w:rPr>
          <w:sz w:val="24"/>
        </w:rPr>
      </w:pPr>
      <w:r>
        <w:rPr>
          <w:sz w:val="24"/>
          <w:szCs w:val="24"/>
        </w:rPr>
        <w:tab/>
      </w:r>
      <w:r w:rsidRPr="001D698F">
        <w:rPr>
          <w:sz w:val="24"/>
        </w:rPr>
        <w:t>Dockets UE-130137 and UG-130138</w:t>
      </w:r>
      <w:r>
        <w:rPr>
          <w:sz w:val="24"/>
        </w:rPr>
        <w:t xml:space="preserve"> (consolidated)</w:t>
      </w:r>
    </w:p>
    <w:p w14:paraId="29BA162F" w14:textId="0681FE7D" w:rsidR="001D698F" w:rsidRDefault="00C24467" w:rsidP="00C24467">
      <w:pPr>
        <w:pStyle w:val="FootnoteText"/>
        <w:tabs>
          <w:tab w:val="left" w:pos="720"/>
          <w:tab w:val="left" w:pos="1440"/>
          <w:tab w:val="right" w:leader="dot" w:pos="8820"/>
        </w:tabs>
        <w:ind w:right="108"/>
        <w:rPr>
          <w:sz w:val="24"/>
          <w:szCs w:val="24"/>
        </w:rPr>
      </w:pPr>
      <w:r>
        <w:rPr>
          <w:sz w:val="24"/>
        </w:rPr>
        <w:tab/>
        <w:t>Order</w:t>
      </w:r>
      <w:r w:rsidR="001D3250">
        <w:rPr>
          <w:sz w:val="24"/>
        </w:rPr>
        <w:t xml:space="preserve"> </w:t>
      </w:r>
      <w:r>
        <w:rPr>
          <w:sz w:val="24"/>
        </w:rPr>
        <w:t>07</w:t>
      </w:r>
      <w:r w:rsidR="00FE7DC1">
        <w:rPr>
          <w:sz w:val="24"/>
        </w:rPr>
        <w:t xml:space="preserve"> (June 25, 2013)</w:t>
      </w:r>
      <w:r w:rsidR="00C269E2">
        <w:rPr>
          <w:sz w:val="24"/>
        </w:rPr>
        <w:tab/>
      </w:r>
      <w:r w:rsidR="001F5B81">
        <w:rPr>
          <w:sz w:val="24"/>
          <w:szCs w:val="24"/>
        </w:rPr>
        <w:t>2</w:t>
      </w:r>
      <w:r w:rsidR="00B91FCA">
        <w:rPr>
          <w:sz w:val="24"/>
          <w:szCs w:val="24"/>
        </w:rPr>
        <w:t>, 3, 4, 5, 6</w:t>
      </w:r>
      <w:r w:rsidR="009C2E88">
        <w:rPr>
          <w:sz w:val="24"/>
          <w:szCs w:val="24"/>
        </w:rPr>
        <w:t>, 10</w:t>
      </w:r>
    </w:p>
    <w:p w14:paraId="4365382D" w14:textId="77777777" w:rsidR="001D698F" w:rsidRPr="001D698F" w:rsidRDefault="001D698F" w:rsidP="001D698F">
      <w:pPr>
        <w:pStyle w:val="FootnoteText"/>
        <w:tabs>
          <w:tab w:val="left" w:pos="720"/>
          <w:tab w:val="left" w:pos="1440"/>
          <w:tab w:val="left" w:pos="2160"/>
          <w:tab w:val="right" w:leader="dot" w:pos="8910"/>
        </w:tabs>
        <w:rPr>
          <w:sz w:val="24"/>
          <w:szCs w:val="24"/>
        </w:rPr>
      </w:pPr>
    </w:p>
    <w:p w14:paraId="78E0DA06" w14:textId="77777777" w:rsidR="00455352" w:rsidRDefault="00455352" w:rsidP="00455352">
      <w:pPr>
        <w:rPr>
          <w:sz w:val="24"/>
        </w:rPr>
      </w:pPr>
      <w:r w:rsidRPr="001D698F">
        <w:rPr>
          <w:i/>
          <w:sz w:val="24"/>
        </w:rPr>
        <w:t>Utils. &amp; Transp. Comm’n v. Puget Sound Energy, Inc.</w:t>
      </w:r>
      <w:r w:rsidRPr="001D698F">
        <w:rPr>
          <w:sz w:val="24"/>
        </w:rPr>
        <w:t>,</w:t>
      </w:r>
    </w:p>
    <w:p w14:paraId="651904E6" w14:textId="288DCAD7" w:rsidR="00455352" w:rsidRDefault="00455352" w:rsidP="00455352">
      <w:pPr>
        <w:rPr>
          <w:sz w:val="24"/>
        </w:rPr>
      </w:pPr>
      <w:r>
        <w:rPr>
          <w:sz w:val="24"/>
        </w:rPr>
        <w:tab/>
      </w:r>
      <w:r w:rsidRPr="001D698F">
        <w:rPr>
          <w:sz w:val="24"/>
        </w:rPr>
        <w:t>Docket</w:t>
      </w:r>
      <w:r w:rsidR="004A1C2D">
        <w:rPr>
          <w:sz w:val="24"/>
        </w:rPr>
        <w:t>s</w:t>
      </w:r>
      <w:r w:rsidRPr="001D698F">
        <w:rPr>
          <w:sz w:val="24"/>
        </w:rPr>
        <w:t xml:space="preserve"> UE-111048 and UG-111049 (consolidated), Order 08</w:t>
      </w:r>
    </w:p>
    <w:p w14:paraId="0BDDDAFA" w14:textId="77777777" w:rsidR="00455352" w:rsidRDefault="00455352" w:rsidP="00455352">
      <w:pPr>
        <w:rPr>
          <w:sz w:val="24"/>
        </w:rPr>
      </w:pPr>
      <w:r>
        <w:rPr>
          <w:sz w:val="24"/>
        </w:rPr>
        <w:tab/>
      </w:r>
      <w:r w:rsidRPr="001D698F">
        <w:rPr>
          <w:sz w:val="24"/>
        </w:rPr>
        <w:t>Rejecting Tariff Sheets; Authorizing and Requiring Compliance</w:t>
      </w:r>
    </w:p>
    <w:p w14:paraId="5926601E" w14:textId="440CAAFF" w:rsidR="00455352" w:rsidRPr="001D698F" w:rsidRDefault="00455352" w:rsidP="00455352">
      <w:pPr>
        <w:tabs>
          <w:tab w:val="left" w:pos="720"/>
          <w:tab w:val="left" w:pos="1440"/>
          <w:tab w:val="left" w:pos="2160"/>
          <w:tab w:val="right" w:leader="dot" w:pos="8820"/>
        </w:tabs>
        <w:ind w:right="108"/>
        <w:rPr>
          <w:sz w:val="24"/>
        </w:rPr>
      </w:pPr>
      <w:r>
        <w:rPr>
          <w:sz w:val="24"/>
        </w:rPr>
        <w:tab/>
      </w:r>
      <w:r w:rsidRPr="001D698F">
        <w:rPr>
          <w:sz w:val="24"/>
        </w:rPr>
        <w:t>Filing (May 7, 2012)</w:t>
      </w:r>
      <w:r>
        <w:rPr>
          <w:sz w:val="24"/>
        </w:rPr>
        <w:tab/>
        <w:t>7</w:t>
      </w:r>
    </w:p>
    <w:p w14:paraId="30423AB0" w14:textId="77777777" w:rsidR="00455352" w:rsidRDefault="00455352" w:rsidP="00455352">
      <w:pPr>
        <w:rPr>
          <w:i/>
          <w:sz w:val="24"/>
        </w:rPr>
      </w:pPr>
    </w:p>
    <w:p w14:paraId="1CBB4E46" w14:textId="77777777" w:rsidR="001D698F" w:rsidRDefault="001D698F" w:rsidP="001D698F">
      <w:pPr>
        <w:rPr>
          <w:sz w:val="24"/>
        </w:rPr>
      </w:pPr>
      <w:r w:rsidRPr="001D698F">
        <w:rPr>
          <w:i/>
          <w:sz w:val="24"/>
        </w:rPr>
        <w:t>Utils. &amp; Transp. Comm’n v. Puget Sound Energy, Inc.</w:t>
      </w:r>
      <w:r w:rsidRPr="001D698F">
        <w:rPr>
          <w:sz w:val="24"/>
        </w:rPr>
        <w:t>,</w:t>
      </w:r>
    </w:p>
    <w:p w14:paraId="4D78E721" w14:textId="77777777" w:rsidR="001D698F" w:rsidRDefault="001D698F" w:rsidP="001D698F">
      <w:pPr>
        <w:rPr>
          <w:sz w:val="24"/>
        </w:rPr>
      </w:pPr>
      <w:r>
        <w:rPr>
          <w:sz w:val="24"/>
        </w:rPr>
        <w:tab/>
      </w:r>
      <w:r w:rsidRPr="001D698F">
        <w:rPr>
          <w:sz w:val="24"/>
        </w:rPr>
        <w:t>Dockets UE-090704 and UG-090705 (consolidated), Order 11</w:t>
      </w:r>
    </w:p>
    <w:p w14:paraId="7DDD666C" w14:textId="77777777" w:rsidR="001D698F" w:rsidRDefault="001D698F" w:rsidP="001D698F">
      <w:pPr>
        <w:rPr>
          <w:sz w:val="24"/>
        </w:rPr>
      </w:pPr>
      <w:r>
        <w:rPr>
          <w:sz w:val="24"/>
        </w:rPr>
        <w:tab/>
      </w:r>
      <w:r w:rsidRPr="001D698F">
        <w:rPr>
          <w:sz w:val="24"/>
        </w:rPr>
        <w:t>Rejecting Tariff Sheets; Authorizing and Requiring Compliance</w:t>
      </w:r>
    </w:p>
    <w:p w14:paraId="1AA42FE6" w14:textId="42E4BB49" w:rsidR="001D698F" w:rsidRDefault="001D698F" w:rsidP="001F5B81">
      <w:pPr>
        <w:tabs>
          <w:tab w:val="left" w:pos="720"/>
          <w:tab w:val="left" w:pos="1440"/>
          <w:tab w:val="left" w:pos="2160"/>
          <w:tab w:val="right" w:leader="dot" w:pos="9187"/>
        </w:tabs>
        <w:ind w:right="108"/>
        <w:rPr>
          <w:sz w:val="24"/>
        </w:rPr>
      </w:pPr>
      <w:r>
        <w:rPr>
          <w:sz w:val="24"/>
        </w:rPr>
        <w:tab/>
      </w:r>
      <w:r w:rsidRPr="001D698F">
        <w:rPr>
          <w:sz w:val="24"/>
        </w:rPr>
        <w:t>Filing (April 2, 2010)</w:t>
      </w:r>
      <w:r w:rsidR="001F5B81">
        <w:rPr>
          <w:sz w:val="24"/>
        </w:rPr>
        <w:tab/>
        <w:t>7</w:t>
      </w:r>
    </w:p>
    <w:p w14:paraId="30D43E38" w14:textId="77777777" w:rsidR="001D698F" w:rsidRDefault="001D698F" w:rsidP="00B36EA3">
      <w:pPr>
        <w:rPr>
          <w:b/>
          <w:sz w:val="24"/>
        </w:rPr>
      </w:pPr>
    </w:p>
    <w:p w14:paraId="1924B013" w14:textId="1F7F90C7" w:rsidR="005E3C36" w:rsidRDefault="005E3C36" w:rsidP="005E3C36">
      <w:pPr>
        <w:jc w:val="center"/>
        <w:rPr>
          <w:sz w:val="24"/>
        </w:rPr>
      </w:pPr>
      <w:r w:rsidRPr="005E3C36">
        <w:rPr>
          <w:b/>
          <w:i/>
          <w:sz w:val="24"/>
        </w:rPr>
        <w:t>Other Au</w:t>
      </w:r>
      <w:r>
        <w:rPr>
          <w:b/>
          <w:i/>
          <w:sz w:val="24"/>
        </w:rPr>
        <w:t>thorities</w:t>
      </w:r>
    </w:p>
    <w:p w14:paraId="7232BCBD" w14:textId="77777777" w:rsidR="005E3C36" w:rsidRDefault="005E3C36" w:rsidP="005E3C36">
      <w:pPr>
        <w:jc w:val="center"/>
        <w:rPr>
          <w:sz w:val="24"/>
        </w:rPr>
      </w:pPr>
    </w:p>
    <w:p w14:paraId="12E896D5" w14:textId="0E9B1F3B" w:rsidR="005E3C36" w:rsidRPr="005E3C36" w:rsidRDefault="005E3C36" w:rsidP="005E3C36">
      <w:pPr>
        <w:pStyle w:val="FootnoteText"/>
        <w:tabs>
          <w:tab w:val="left" w:pos="720"/>
          <w:tab w:val="left" w:pos="1440"/>
          <w:tab w:val="left" w:pos="2160"/>
          <w:tab w:val="right" w:leader="dot" w:pos="8820"/>
        </w:tabs>
        <w:ind w:right="108"/>
        <w:rPr>
          <w:sz w:val="24"/>
          <w:szCs w:val="24"/>
        </w:rPr>
      </w:pPr>
      <w:r w:rsidRPr="005E3C36">
        <w:rPr>
          <w:color w:val="000000"/>
          <w:sz w:val="24"/>
          <w:szCs w:val="24"/>
        </w:rPr>
        <w:t>4 C.J.S. Appeal and Error § 1131</w:t>
      </w:r>
      <w:r>
        <w:rPr>
          <w:color w:val="000000"/>
          <w:sz w:val="24"/>
          <w:szCs w:val="24"/>
        </w:rPr>
        <w:tab/>
        <w:t>9</w:t>
      </w:r>
    </w:p>
    <w:p w14:paraId="3DFD85AE" w14:textId="66157BD1" w:rsidR="005E3C36" w:rsidRPr="005E3C36" w:rsidRDefault="005E3C36" w:rsidP="005E3C36">
      <w:pPr>
        <w:pStyle w:val="FootnoteText"/>
        <w:tabs>
          <w:tab w:val="left" w:pos="720"/>
          <w:tab w:val="left" w:pos="1440"/>
          <w:tab w:val="left" w:pos="2160"/>
          <w:tab w:val="right" w:leader="dot" w:pos="8820"/>
        </w:tabs>
        <w:ind w:right="108"/>
        <w:rPr>
          <w:sz w:val="24"/>
          <w:szCs w:val="24"/>
        </w:rPr>
      </w:pPr>
      <w:r w:rsidRPr="005E3C36">
        <w:rPr>
          <w:color w:val="000000"/>
          <w:sz w:val="24"/>
          <w:szCs w:val="24"/>
        </w:rPr>
        <w:t>5</w:t>
      </w:r>
      <w:r w:rsidRPr="005E3C36">
        <w:rPr>
          <w:color w:val="000000"/>
          <w:sz w:val="24"/>
          <w:szCs w:val="24"/>
        </w:rPr>
        <w:t xml:space="preserve"> C.J.S. Appeal and Error § </w:t>
      </w:r>
      <w:r>
        <w:rPr>
          <w:color w:val="000000"/>
          <w:sz w:val="24"/>
          <w:szCs w:val="24"/>
        </w:rPr>
        <w:t>113</w:t>
      </w:r>
      <w:r w:rsidR="000451F5">
        <w:rPr>
          <w:color w:val="000000"/>
          <w:sz w:val="24"/>
          <w:szCs w:val="24"/>
        </w:rPr>
        <w:t>6</w:t>
      </w:r>
      <w:r>
        <w:rPr>
          <w:color w:val="000000"/>
          <w:sz w:val="24"/>
          <w:szCs w:val="24"/>
        </w:rPr>
        <w:tab/>
        <w:t>9</w:t>
      </w:r>
    </w:p>
    <w:p w14:paraId="00F5A1D9" w14:textId="569DD004" w:rsidR="005E3C36" w:rsidRPr="005E3C36" w:rsidRDefault="000451F5" w:rsidP="005E3C36">
      <w:pPr>
        <w:tabs>
          <w:tab w:val="left" w:pos="720"/>
          <w:tab w:val="left" w:pos="1440"/>
          <w:tab w:val="left" w:pos="2160"/>
          <w:tab w:val="right" w:leader="dot" w:pos="8820"/>
        </w:tabs>
        <w:ind w:right="108"/>
        <w:rPr>
          <w:color w:val="000000"/>
          <w:sz w:val="24"/>
        </w:rPr>
      </w:pPr>
      <w:r>
        <w:rPr>
          <w:color w:val="000000"/>
          <w:sz w:val="24"/>
        </w:rPr>
        <w:t>5 C.J.S. Appeal and Error § 1137</w:t>
      </w:r>
      <w:bookmarkStart w:id="0" w:name="_GoBack"/>
      <w:bookmarkEnd w:id="0"/>
      <w:r w:rsidR="005E3C36">
        <w:rPr>
          <w:color w:val="000000"/>
          <w:sz w:val="24"/>
        </w:rPr>
        <w:tab/>
        <w:t>9</w:t>
      </w:r>
    </w:p>
    <w:p w14:paraId="1E22578E" w14:textId="77777777" w:rsidR="000451F5" w:rsidRPr="005E3C36" w:rsidRDefault="000451F5" w:rsidP="000451F5">
      <w:pPr>
        <w:pStyle w:val="FootnoteText"/>
        <w:tabs>
          <w:tab w:val="left" w:pos="720"/>
          <w:tab w:val="left" w:pos="1440"/>
          <w:tab w:val="left" w:pos="2160"/>
          <w:tab w:val="right" w:leader="dot" w:pos="8820"/>
        </w:tabs>
        <w:ind w:right="108"/>
        <w:rPr>
          <w:sz w:val="24"/>
          <w:szCs w:val="24"/>
        </w:rPr>
      </w:pPr>
      <w:r w:rsidRPr="005E3C36">
        <w:rPr>
          <w:color w:val="000000"/>
          <w:sz w:val="24"/>
          <w:szCs w:val="24"/>
        </w:rPr>
        <w:t>73A C.J.S. Public Administrative Law and Procedure § 558</w:t>
      </w:r>
      <w:r>
        <w:rPr>
          <w:color w:val="000000"/>
          <w:sz w:val="24"/>
          <w:szCs w:val="24"/>
        </w:rPr>
        <w:tab/>
        <w:t>9</w:t>
      </w:r>
    </w:p>
    <w:p w14:paraId="40277A71" w14:textId="77777777" w:rsidR="000451F5" w:rsidRDefault="000451F5" w:rsidP="00B36EA3">
      <w:pPr>
        <w:rPr>
          <w:b/>
          <w:sz w:val="24"/>
        </w:rPr>
        <w:sectPr w:rsidR="000451F5" w:rsidSect="005E3C36">
          <w:headerReference w:type="default" r:id="rId12"/>
          <w:pgSz w:w="12240" w:h="15840" w:code="1"/>
          <w:pgMar w:top="1440" w:right="1440" w:bottom="1440" w:left="1872" w:header="720" w:footer="720" w:gutter="0"/>
          <w:pgNumType w:fmt="lowerRoman" w:start="2"/>
          <w:cols w:space="720"/>
          <w:docGrid w:linePitch="360"/>
        </w:sectPr>
      </w:pPr>
    </w:p>
    <w:p w14:paraId="228C221E" w14:textId="587C7470" w:rsidR="00860D8D" w:rsidRPr="00860D8D" w:rsidRDefault="00860D8D" w:rsidP="009C2E88">
      <w:pPr>
        <w:spacing w:line="480" w:lineRule="auto"/>
        <w:jc w:val="center"/>
        <w:rPr>
          <w:sz w:val="24"/>
        </w:rPr>
      </w:pPr>
      <w:r>
        <w:rPr>
          <w:b/>
          <w:sz w:val="24"/>
        </w:rPr>
        <w:lastRenderedPageBreak/>
        <w:t>I.</w:t>
      </w:r>
      <w:r>
        <w:rPr>
          <w:b/>
          <w:sz w:val="24"/>
        </w:rPr>
        <w:tab/>
        <w:t>INTRODUCTION</w:t>
      </w:r>
    </w:p>
    <w:p w14:paraId="228C221F" w14:textId="77777777" w:rsidR="00860D8D" w:rsidRPr="00860D8D" w:rsidRDefault="00860D8D" w:rsidP="009C2E88">
      <w:pPr>
        <w:numPr>
          <w:ilvl w:val="0"/>
          <w:numId w:val="2"/>
        </w:numPr>
        <w:spacing w:line="480" w:lineRule="auto"/>
        <w:rPr>
          <w:sz w:val="24"/>
        </w:rPr>
      </w:pPr>
      <w:r>
        <w:rPr>
          <w:sz w:val="24"/>
        </w:rPr>
        <w:tab/>
        <w:t xml:space="preserve">This phase </w:t>
      </w:r>
      <w:r w:rsidRPr="00860D8D">
        <w:rPr>
          <w:sz w:val="24"/>
        </w:rPr>
        <w:t>of the proceeding involves rewriting one issue in the decision of the Washington Utilities and Transportation Commission (Commission) in this docket.  Following judicial review of the final order, the Superior Court upheld the Commission’s decision on the majority of issues but remanded to the Commission the determination of Puget Sound Energy’s (PSE’s) authorized return on equity</w:t>
      </w:r>
      <w:r w:rsidR="00ED14DE">
        <w:rPr>
          <w:sz w:val="24"/>
        </w:rPr>
        <w:t xml:space="preserve"> (ROE)</w:t>
      </w:r>
      <w:r w:rsidRPr="00860D8D">
        <w:rPr>
          <w:sz w:val="24"/>
        </w:rPr>
        <w:t xml:space="preserve">.  In the initial proceeding, the Commission considered (1) whether to set a new cost of equity and (2) whether to adjust PSE’s cost of equity for the effects of decoupling.  The Commission decided not to update PSE’s cost of equity and decided that the evidence did not support an adjustment of PSE’s cost of equity due to decoupling.  </w:t>
      </w:r>
      <w:r w:rsidR="009E51AA">
        <w:rPr>
          <w:sz w:val="24"/>
        </w:rPr>
        <w:t xml:space="preserve">The </w:t>
      </w:r>
      <w:r w:rsidRPr="00860D8D">
        <w:rPr>
          <w:sz w:val="24"/>
        </w:rPr>
        <w:t xml:space="preserve">Public Counsel </w:t>
      </w:r>
      <w:r w:rsidR="009E51AA">
        <w:rPr>
          <w:sz w:val="24"/>
        </w:rPr>
        <w:t xml:space="preserve">Division of the Washington State Attorney General’s Office </w:t>
      </w:r>
      <w:r w:rsidRPr="00860D8D">
        <w:rPr>
          <w:sz w:val="24"/>
        </w:rPr>
        <w:t xml:space="preserve">petitioned for judicial review of both of these decisions (as well as others), whereas </w:t>
      </w:r>
      <w:r w:rsidR="009E51AA">
        <w:rPr>
          <w:sz w:val="24"/>
        </w:rPr>
        <w:t>Industrial Customer of Northwest Utilities’ (</w:t>
      </w:r>
      <w:r w:rsidRPr="00860D8D">
        <w:rPr>
          <w:sz w:val="24"/>
        </w:rPr>
        <w:t>ICNU’s</w:t>
      </w:r>
      <w:r w:rsidR="009E51AA">
        <w:rPr>
          <w:sz w:val="24"/>
        </w:rPr>
        <w:t>)</w:t>
      </w:r>
      <w:r w:rsidRPr="00860D8D">
        <w:rPr>
          <w:sz w:val="24"/>
        </w:rPr>
        <w:t xml:space="preserve"> appeal</w:t>
      </w:r>
      <w:r w:rsidR="00FA4F72">
        <w:rPr>
          <w:sz w:val="24"/>
        </w:rPr>
        <w:t>ed</w:t>
      </w:r>
      <w:r w:rsidRPr="00860D8D">
        <w:rPr>
          <w:sz w:val="24"/>
        </w:rPr>
        <w:t xml:space="preserve"> </w:t>
      </w:r>
      <w:r w:rsidR="00FA4F72">
        <w:rPr>
          <w:sz w:val="24"/>
        </w:rPr>
        <w:t xml:space="preserve">the </w:t>
      </w:r>
      <w:r w:rsidR="00FA4F72" w:rsidRPr="00860D8D">
        <w:rPr>
          <w:sz w:val="24"/>
        </w:rPr>
        <w:t xml:space="preserve">cost of equity </w:t>
      </w:r>
      <w:r w:rsidR="00FA4F72">
        <w:rPr>
          <w:sz w:val="24"/>
        </w:rPr>
        <w:t xml:space="preserve">but </w:t>
      </w:r>
      <w:r w:rsidRPr="00860D8D">
        <w:rPr>
          <w:sz w:val="24"/>
        </w:rPr>
        <w:t>did not address the issue of whether PSE’s cost of equity should be reduced for the effects of decoupling.  Judge Murphy does not discuss the decoupling effects issue in her letter ruling.  Accordingly, the Commission’s decision that the evidence did not support an adjustment of PSE’s cost of equity due to decoupling was not disturbed on appeal.  It follows that the issue was not remanded.  In the event that the Commission wishes to consider this issue, Commission Staff (Staff) relies on its position and testimony in the initial proceeding.</w:t>
      </w:r>
    </w:p>
    <w:p w14:paraId="228C2220" w14:textId="77777777" w:rsidR="00860D8D" w:rsidRDefault="00860D8D" w:rsidP="009C2E88">
      <w:pPr>
        <w:numPr>
          <w:ilvl w:val="0"/>
          <w:numId w:val="2"/>
        </w:numPr>
        <w:spacing w:line="480" w:lineRule="auto"/>
        <w:rPr>
          <w:sz w:val="24"/>
        </w:rPr>
      </w:pPr>
      <w:r>
        <w:rPr>
          <w:sz w:val="24"/>
        </w:rPr>
        <w:tab/>
      </w:r>
      <w:r w:rsidRPr="00860D8D">
        <w:rPr>
          <w:sz w:val="24"/>
        </w:rPr>
        <w:t xml:space="preserve">It is </w:t>
      </w:r>
      <w:r w:rsidR="00EC313B">
        <w:rPr>
          <w:sz w:val="24"/>
        </w:rPr>
        <w:t>awkward</w:t>
      </w:r>
      <w:r w:rsidRPr="00860D8D">
        <w:rPr>
          <w:sz w:val="24"/>
        </w:rPr>
        <w:t xml:space="preserve"> and of limited usefulness to go back in time, and yet, that is what we must do given that the </w:t>
      </w:r>
      <w:r w:rsidR="005306C5">
        <w:rPr>
          <w:sz w:val="24"/>
        </w:rPr>
        <w:t>rate plan will continue for at least another year</w:t>
      </w:r>
      <w:r w:rsidRPr="00860D8D">
        <w:rPr>
          <w:sz w:val="24"/>
        </w:rPr>
        <w:t>.  Staff has evaluated market conditions at the ti</w:t>
      </w:r>
      <w:r w:rsidR="00EC313B">
        <w:rPr>
          <w:sz w:val="24"/>
        </w:rPr>
        <w:t>me of the initial proceeding.  Had Staff made a cost of equity recommendation at that time, in early 2013, Staff would have recommended</w:t>
      </w:r>
      <w:r w:rsidRPr="00860D8D">
        <w:rPr>
          <w:sz w:val="24"/>
        </w:rPr>
        <w:t xml:space="preserve"> authorizing </w:t>
      </w:r>
      <w:r w:rsidRPr="00860D8D">
        <w:rPr>
          <w:sz w:val="24"/>
        </w:rPr>
        <w:lastRenderedPageBreak/>
        <w:t xml:space="preserve">PSE’s cost of equity at 9.50 percent.  </w:t>
      </w:r>
      <w:r w:rsidR="00EC313B">
        <w:rPr>
          <w:sz w:val="24"/>
        </w:rPr>
        <w:t>It is important to note, however,</w:t>
      </w:r>
      <w:r w:rsidRPr="00860D8D">
        <w:rPr>
          <w:sz w:val="24"/>
        </w:rPr>
        <w:t xml:space="preserve"> that the range of reasonable </w:t>
      </w:r>
      <w:r w:rsidR="00FA4F72">
        <w:rPr>
          <w:sz w:val="24"/>
        </w:rPr>
        <w:t xml:space="preserve">equity </w:t>
      </w:r>
      <w:r w:rsidRPr="00860D8D">
        <w:rPr>
          <w:sz w:val="24"/>
        </w:rPr>
        <w:t>returns from this time period includes the 9.80 percent return that the Commission approved in its final order.</w:t>
      </w:r>
    </w:p>
    <w:p w14:paraId="228C2221" w14:textId="77777777" w:rsidR="00860D8D" w:rsidRPr="00860D8D" w:rsidRDefault="00860D8D" w:rsidP="009C2E88">
      <w:pPr>
        <w:spacing w:line="480" w:lineRule="auto"/>
        <w:jc w:val="center"/>
        <w:rPr>
          <w:b/>
          <w:sz w:val="24"/>
        </w:rPr>
      </w:pPr>
      <w:r>
        <w:rPr>
          <w:b/>
          <w:sz w:val="24"/>
        </w:rPr>
        <w:t>II.</w:t>
      </w:r>
      <w:r>
        <w:rPr>
          <w:b/>
          <w:sz w:val="24"/>
        </w:rPr>
        <w:tab/>
        <w:t>BACKGROUND</w:t>
      </w:r>
    </w:p>
    <w:p w14:paraId="228C2222" w14:textId="77777777" w:rsidR="003050D4" w:rsidRDefault="00860D8D" w:rsidP="009C2E88">
      <w:pPr>
        <w:numPr>
          <w:ilvl w:val="0"/>
          <w:numId w:val="2"/>
        </w:numPr>
        <w:spacing w:line="480" w:lineRule="auto"/>
        <w:rPr>
          <w:sz w:val="24"/>
        </w:rPr>
      </w:pPr>
      <w:r>
        <w:rPr>
          <w:sz w:val="24"/>
        </w:rPr>
        <w:tab/>
      </w:r>
      <w:r w:rsidR="009E45A9">
        <w:rPr>
          <w:sz w:val="24"/>
        </w:rPr>
        <w:t xml:space="preserve">On </w:t>
      </w:r>
      <w:r w:rsidR="003012AF">
        <w:rPr>
          <w:sz w:val="24"/>
        </w:rPr>
        <w:t xml:space="preserve">June </w:t>
      </w:r>
      <w:r w:rsidR="009E45A9">
        <w:rPr>
          <w:sz w:val="24"/>
        </w:rPr>
        <w:t>25, 2013, the Commission entered its final order in the initial proceeding (“Order 07”).  Order 07 granted the decoupling petition</w:t>
      </w:r>
      <w:r w:rsidR="00E94DA6">
        <w:rPr>
          <w:sz w:val="24"/>
        </w:rPr>
        <w:t xml:space="preserve"> of PSE and Northwest Energy Coalition (NWEC)</w:t>
      </w:r>
      <w:r w:rsidR="009E45A9">
        <w:rPr>
          <w:sz w:val="24"/>
        </w:rPr>
        <w:t xml:space="preserve"> in two sets of dockets</w:t>
      </w:r>
      <w:r w:rsidR="009E45A9">
        <w:rPr>
          <w:rStyle w:val="FootnoteReference"/>
          <w:sz w:val="24"/>
        </w:rPr>
        <w:footnoteReference w:id="2"/>
      </w:r>
      <w:r w:rsidR="009E45A9">
        <w:rPr>
          <w:sz w:val="24"/>
        </w:rPr>
        <w:t xml:space="preserve"> and authorized rates in the expedited rate filing (ERF) dockets.</w:t>
      </w:r>
      <w:r w:rsidR="009E45A9">
        <w:rPr>
          <w:rStyle w:val="FootnoteReference"/>
          <w:sz w:val="24"/>
        </w:rPr>
        <w:footnoteReference w:id="3"/>
      </w:r>
      <w:r w:rsidR="009E45A9">
        <w:rPr>
          <w:sz w:val="24"/>
        </w:rPr>
        <w:t xml:space="preserve">  </w:t>
      </w:r>
      <w:r w:rsidR="000E21FC">
        <w:rPr>
          <w:sz w:val="24"/>
        </w:rPr>
        <w:t xml:space="preserve">The decision implementing decoupling for PSE also approved a multi-year rate plan, which </w:t>
      </w:r>
      <w:r w:rsidR="003050D4">
        <w:rPr>
          <w:sz w:val="24"/>
        </w:rPr>
        <w:t>is to</w:t>
      </w:r>
      <w:r w:rsidR="000E21FC">
        <w:rPr>
          <w:sz w:val="24"/>
        </w:rPr>
        <w:t xml:space="preserve"> remain in effect through March 2016 and possibly through March 2017.</w:t>
      </w:r>
      <w:r w:rsidR="000E21FC">
        <w:rPr>
          <w:rStyle w:val="FootnoteReference"/>
          <w:sz w:val="24"/>
        </w:rPr>
        <w:footnoteReference w:id="4"/>
      </w:r>
      <w:r w:rsidR="000E21FC">
        <w:rPr>
          <w:sz w:val="24"/>
        </w:rPr>
        <w:t xml:space="preserve">  </w:t>
      </w:r>
      <w:r w:rsidR="003050D4">
        <w:rPr>
          <w:sz w:val="24"/>
        </w:rPr>
        <w:t>T</w:t>
      </w:r>
      <w:r w:rsidR="000E21FC">
        <w:rPr>
          <w:sz w:val="24"/>
        </w:rPr>
        <w:t xml:space="preserve">he Commission accepted PSE’s commitment to </w:t>
      </w:r>
      <w:r w:rsidR="003050D4">
        <w:rPr>
          <w:sz w:val="24"/>
        </w:rPr>
        <w:t>refrain from filing a</w:t>
      </w:r>
      <w:r w:rsidR="000E21FC">
        <w:rPr>
          <w:sz w:val="24"/>
        </w:rPr>
        <w:t xml:space="preserve"> general rate case until April 1, 2015, and to file a general rate case no later than April 1, 2016.</w:t>
      </w:r>
      <w:r w:rsidR="000E21FC">
        <w:rPr>
          <w:rStyle w:val="FootnoteReference"/>
          <w:sz w:val="24"/>
        </w:rPr>
        <w:footnoteReference w:id="5"/>
      </w:r>
      <w:r w:rsidR="00DC4508">
        <w:rPr>
          <w:sz w:val="24"/>
        </w:rPr>
        <w:t xml:space="preserve">  The ERF proceeding set updated “base” rates that served as the starting point for the rate plan.</w:t>
      </w:r>
    </w:p>
    <w:p w14:paraId="228C2223" w14:textId="6A956A84" w:rsidR="00DC7AB0" w:rsidRDefault="003050D4" w:rsidP="009C2E88">
      <w:pPr>
        <w:numPr>
          <w:ilvl w:val="0"/>
          <w:numId w:val="2"/>
        </w:numPr>
        <w:spacing w:line="480" w:lineRule="auto"/>
        <w:rPr>
          <w:sz w:val="24"/>
        </w:rPr>
      </w:pPr>
      <w:r>
        <w:rPr>
          <w:sz w:val="24"/>
        </w:rPr>
        <w:tab/>
      </w:r>
      <w:r w:rsidR="00E94DA6">
        <w:rPr>
          <w:sz w:val="24"/>
        </w:rPr>
        <w:t>In Order 07, t</w:t>
      </w:r>
      <w:r w:rsidR="009E45A9">
        <w:rPr>
          <w:sz w:val="24"/>
        </w:rPr>
        <w:t xml:space="preserve">he Commission decided not </w:t>
      </w:r>
      <w:r w:rsidR="00DC7AB0">
        <w:rPr>
          <w:sz w:val="24"/>
        </w:rPr>
        <w:t xml:space="preserve">to </w:t>
      </w:r>
      <w:r w:rsidR="009E45A9">
        <w:rPr>
          <w:sz w:val="24"/>
        </w:rPr>
        <w:t>set a new return on equity for PSE and decided not to adjust the ROE for effects of decoupling.  These two decisions regarding ROE were made, however, on very different bases</w:t>
      </w:r>
      <w:r w:rsidR="00DC7AB0">
        <w:rPr>
          <w:sz w:val="24"/>
        </w:rPr>
        <w:t>.</w:t>
      </w:r>
      <w:r w:rsidR="00C91857">
        <w:rPr>
          <w:sz w:val="24"/>
        </w:rPr>
        <w:t xml:space="preserve">  This is reflected in the </w:t>
      </w:r>
      <w:r w:rsidR="00500F56">
        <w:rPr>
          <w:sz w:val="24"/>
        </w:rPr>
        <w:t>location</w:t>
      </w:r>
      <w:r w:rsidR="00C91857">
        <w:rPr>
          <w:sz w:val="24"/>
        </w:rPr>
        <w:t xml:space="preserve"> in </w:t>
      </w:r>
      <w:r w:rsidR="0025090D">
        <w:rPr>
          <w:sz w:val="24"/>
        </w:rPr>
        <w:t xml:space="preserve">Order 07 </w:t>
      </w:r>
      <w:r w:rsidR="00C91857">
        <w:rPr>
          <w:sz w:val="24"/>
        </w:rPr>
        <w:t xml:space="preserve">of the Commission’s discussions of each issue; ROE </w:t>
      </w:r>
      <w:r w:rsidR="00DC4508">
        <w:rPr>
          <w:sz w:val="24"/>
        </w:rPr>
        <w:t>with respect to</w:t>
      </w:r>
      <w:r w:rsidR="00C91857">
        <w:rPr>
          <w:sz w:val="24"/>
        </w:rPr>
        <w:t xml:space="preserve"> capital market conditions is discussed in conjunction with the ERF issues,</w:t>
      </w:r>
      <w:r w:rsidR="00C91857">
        <w:rPr>
          <w:rStyle w:val="FootnoteReference"/>
          <w:sz w:val="24"/>
        </w:rPr>
        <w:footnoteReference w:id="6"/>
      </w:r>
      <w:r w:rsidR="00C91857">
        <w:rPr>
          <w:sz w:val="24"/>
        </w:rPr>
        <w:t xml:space="preserve"> while the effect of decoupling on ROE is discussed in the portion of the order that addresses decoupling issues.</w:t>
      </w:r>
      <w:r w:rsidR="00C91857">
        <w:rPr>
          <w:rStyle w:val="FootnoteReference"/>
          <w:sz w:val="24"/>
        </w:rPr>
        <w:footnoteReference w:id="7"/>
      </w:r>
    </w:p>
    <w:p w14:paraId="228C2224" w14:textId="6665372D" w:rsidR="00860D8D" w:rsidRDefault="00DC7AB0" w:rsidP="009C2E88">
      <w:pPr>
        <w:widowControl/>
        <w:numPr>
          <w:ilvl w:val="0"/>
          <w:numId w:val="2"/>
        </w:numPr>
        <w:spacing w:line="480" w:lineRule="auto"/>
        <w:rPr>
          <w:sz w:val="24"/>
        </w:rPr>
      </w:pPr>
      <w:r>
        <w:rPr>
          <w:sz w:val="24"/>
        </w:rPr>
        <w:lastRenderedPageBreak/>
        <w:tab/>
      </w:r>
      <w:r w:rsidR="00177381">
        <w:rPr>
          <w:sz w:val="24"/>
        </w:rPr>
        <w:t>In t</w:t>
      </w:r>
      <w:r w:rsidR="009E45A9" w:rsidRPr="00040CB6">
        <w:rPr>
          <w:sz w:val="24"/>
        </w:rPr>
        <w:t>he decision not to set a new ROE</w:t>
      </w:r>
      <w:r w:rsidR="00177381">
        <w:rPr>
          <w:sz w:val="24"/>
        </w:rPr>
        <w:t>, the Commission</w:t>
      </w:r>
      <w:r w:rsidR="009E45A9" w:rsidRPr="00040CB6">
        <w:rPr>
          <w:sz w:val="24"/>
        </w:rPr>
        <w:t xml:space="preserve"> </w:t>
      </w:r>
      <w:r w:rsidR="00040CB6">
        <w:rPr>
          <w:sz w:val="24"/>
        </w:rPr>
        <w:t>acknowledged that</w:t>
      </w:r>
      <w:r w:rsidR="009919DF">
        <w:rPr>
          <w:sz w:val="24"/>
        </w:rPr>
        <w:t>, consistent with the concept of the ERF,</w:t>
      </w:r>
      <w:r w:rsidR="00040CB6">
        <w:rPr>
          <w:sz w:val="24"/>
        </w:rPr>
        <w:t xml:space="preserve"> PSE had not put on a cost of capital case</w:t>
      </w:r>
      <w:r w:rsidR="00A02097">
        <w:rPr>
          <w:sz w:val="24"/>
        </w:rPr>
        <w:t>,</w:t>
      </w:r>
      <w:r w:rsidR="00040CB6">
        <w:rPr>
          <w:rStyle w:val="FootnoteReference"/>
          <w:sz w:val="24"/>
        </w:rPr>
        <w:footnoteReference w:id="8"/>
      </w:r>
      <w:r w:rsidR="00040CB6">
        <w:rPr>
          <w:sz w:val="24"/>
        </w:rPr>
        <w:t xml:space="preserve"> and </w:t>
      </w:r>
      <w:r w:rsidR="00A02097">
        <w:rPr>
          <w:sz w:val="24"/>
        </w:rPr>
        <w:t xml:space="preserve">it </w:t>
      </w:r>
      <w:r w:rsidR="00BF21EA">
        <w:rPr>
          <w:sz w:val="24"/>
        </w:rPr>
        <w:t>observed</w:t>
      </w:r>
      <w:r w:rsidR="00BF21EA" w:rsidRPr="00040CB6">
        <w:rPr>
          <w:sz w:val="24"/>
        </w:rPr>
        <w:t xml:space="preserve"> </w:t>
      </w:r>
      <w:r w:rsidR="009E45A9" w:rsidRPr="00040CB6">
        <w:rPr>
          <w:sz w:val="24"/>
        </w:rPr>
        <w:t>that “the evidence in this case is simply too spare to support a reduction in PSE’s current authorized ROE to reflect current financial market conditions.”</w:t>
      </w:r>
      <w:r w:rsidR="00040CB6">
        <w:rPr>
          <w:rStyle w:val="FootnoteReference"/>
          <w:sz w:val="24"/>
        </w:rPr>
        <w:footnoteReference w:id="9"/>
      </w:r>
      <w:r w:rsidR="00E94DA6" w:rsidRPr="00040CB6">
        <w:rPr>
          <w:sz w:val="24"/>
        </w:rPr>
        <w:t xml:space="preserve">  In contrast, </w:t>
      </w:r>
      <w:r w:rsidR="00040CB6" w:rsidRPr="00040CB6">
        <w:rPr>
          <w:sz w:val="24"/>
        </w:rPr>
        <w:t xml:space="preserve">based on testimony from some half dozen witnesses, the Commission decided that the </w:t>
      </w:r>
      <w:r>
        <w:rPr>
          <w:sz w:val="24"/>
        </w:rPr>
        <w:t>record did not support an adjustment to ROE for the effect of decoupling on risk.</w:t>
      </w:r>
      <w:r w:rsidR="0057585F">
        <w:rPr>
          <w:rStyle w:val="FootnoteReference"/>
          <w:sz w:val="24"/>
        </w:rPr>
        <w:footnoteReference w:id="10"/>
      </w:r>
      <w:r>
        <w:rPr>
          <w:sz w:val="24"/>
        </w:rPr>
        <w:t xml:space="preserve"> </w:t>
      </w:r>
      <w:r w:rsidR="0057585F">
        <w:rPr>
          <w:sz w:val="24"/>
        </w:rPr>
        <w:t xml:space="preserve"> </w:t>
      </w:r>
      <w:r>
        <w:rPr>
          <w:sz w:val="24"/>
        </w:rPr>
        <w:t>In other words, the parties that advocated for reducing PSE’s ROE due to the implementation of decoupling provided a sufficient record for a decision; they simply w</w:t>
      </w:r>
      <w:r w:rsidR="005E5E57">
        <w:rPr>
          <w:sz w:val="24"/>
        </w:rPr>
        <w:t>ere un</w:t>
      </w:r>
      <w:r>
        <w:rPr>
          <w:sz w:val="24"/>
        </w:rPr>
        <w:t>successful in making their case</w:t>
      </w:r>
      <w:r w:rsidR="00D002B8">
        <w:rPr>
          <w:sz w:val="24"/>
        </w:rPr>
        <w:t>s</w:t>
      </w:r>
      <w:r>
        <w:rPr>
          <w:sz w:val="24"/>
        </w:rPr>
        <w:t>.</w:t>
      </w:r>
      <w:r w:rsidR="00FF45B2">
        <w:rPr>
          <w:sz w:val="24"/>
        </w:rPr>
        <w:t xml:space="preserve">  The Commission did note, however, that its decision did not “necessarily lay the matter to rest” and that the Commission “may yet, on an adequate record in a future proceeding, find that such an adjustment is warranted.”</w:t>
      </w:r>
      <w:r w:rsidR="00FF45B2">
        <w:rPr>
          <w:rStyle w:val="FootnoteReference"/>
          <w:sz w:val="24"/>
        </w:rPr>
        <w:footnoteReference w:id="11"/>
      </w:r>
      <w:r w:rsidR="00FF45B2">
        <w:rPr>
          <w:sz w:val="24"/>
        </w:rPr>
        <w:t xml:space="preserve"> </w:t>
      </w:r>
    </w:p>
    <w:p w14:paraId="228C2225" w14:textId="6CA79002" w:rsidR="007B27FA" w:rsidRDefault="00283FD0" w:rsidP="009C2E88">
      <w:pPr>
        <w:numPr>
          <w:ilvl w:val="0"/>
          <w:numId w:val="2"/>
        </w:numPr>
        <w:spacing w:line="480" w:lineRule="auto"/>
        <w:rPr>
          <w:sz w:val="24"/>
        </w:rPr>
      </w:pPr>
      <w:r>
        <w:rPr>
          <w:sz w:val="24"/>
        </w:rPr>
        <w:tab/>
      </w:r>
      <w:r w:rsidR="003E3427">
        <w:rPr>
          <w:sz w:val="24"/>
        </w:rPr>
        <w:t xml:space="preserve">Public Counsel and ICNU each petitioned for judicial review of Order 07.  While both </w:t>
      </w:r>
      <w:r w:rsidR="00752339">
        <w:rPr>
          <w:sz w:val="24"/>
        </w:rPr>
        <w:t>challenged the Commission’s decision to leave PSE’s ROE at 9.80 percent, only Public Counsel challenged the Commission’s decision not to reduce the ROE for the effects of decoupling.</w:t>
      </w:r>
      <w:r w:rsidR="005E5E57">
        <w:rPr>
          <w:sz w:val="24"/>
        </w:rPr>
        <w:t xml:space="preserve">  The Commission as well as Public Counsel briefed and presented oral argument on the Commission’s decision regarding the effect of decoupling on the cost of capital.</w:t>
      </w:r>
      <w:r w:rsidR="009E51AA">
        <w:rPr>
          <w:sz w:val="24"/>
        </w:rPr>
        <w:t xml:space="preserve">  Judge Murphy of Thurston County Superior Court</w:t>
      </w:r>
      <w:r w:rsidR="00671BBF">
        <w:rPr>
          <w:sz w:val="24"/>
        </w:rPr>
        <w:t xml:space="preserve"> filed a letter ruling dated June 4, 2014</w:t>
      </w:r>
      <w:r w:rsidR="00EB003D">
        <w:rPr>
          <w:sz w:val="24"/>
        </w:rPr>
        <w:t xml:space="preserve"> (Letter Ruling)</w:t>
      </w:r>
      <w:r w:rsidR="00671BBF">
        <w:rPr>
          <w:sz w:val="24"/>
        </w:rPr>
        <w:t>.</w:t>
      </w:r>
      <w:r w:rsidR="003D6B45">
        <w:rPr>
          <w:rStyle w:val="FootnoteReference"/>
          <w:sz w:val="24"/>
        </w:rPr>
        <w:footnoteReference w:id="12"/>
      </w:r>
      <w:r w:rsidR="00671BBF">
        <w:rPr>
          <w:sz w:val="24"/>
        </w:rPr>
        <w:t xml:space="preserve">  On July 25, 2014, Judge Murphy signed an order reflecting her </w:t>
      </w:r>
      <w:r w:rsidR="00EB003D">
        <w:rPr>
          <w:sz w:val="24"/>
        </w:rPr>
        <w:t>Letter R</w:t>
      </w:r>
      <w:r w:rsidR="00671BBF">
        <w:rPr>
          <w:sz w:val="24"/>
        </w:rPr>
        <w:t>uling</w:t>
      </w:r>
      <w:r w:rsidR="00F151F8">
        <w:rPr>
          <w:sz w:val="24"/>
        </w:rPr>
        <w:t>.</w:t>
      </w:r>
      <w:r w:rsidR="009F0080">
        <w:rPr>
          <w:rStyle w:val="FootnoteReference"/>
          <w:sz w:val="24"/>
        </w:rPr>
        <w:footnoteReference w:id="13"/>
      </w:r>
      <w:r w:rsidR="00F151F8">
        <w:rPr>
          <w:sz w:val="24"/>
        </w:rPr>
        <w:t xml:space="preserve">  In the order, Judge Murphy reversed and remanded the </w:t>
      </w:r>
      <w:r w:rsidR="001F6E1E">
        <w:rPr>
          <w:sz w:val="24"/>
        </w:rPr>
        <w:t xml:space="preserve">rates to be charged </w:t>
      </w:r>
      <w:r w:rsidR="001F6E1E">
        <w:rPr>
          <w:sz w:val="24"/>
        </w:rPr>
        <w:lastRenderedPageBreak/>
        <w:t>during the rate plan</w:t>
      </w:r>
      <w:r w:rsidR="00F151F8">
        <w:rPr>
          <w:sz w:val="24"/>
        </w:rPr>
        <w:t xml:space="preserve"> because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w:t>
      </w:r>
    </w:p>
    <w:p w14:paraId="228C2226" w14:textId="77777777" w:rsidR="00283FD0" w:rsidRDefault="007B27FA" w:rsidP="009C2E88">
      <w:pPr>
        <w:numPr>
          <w:ilvl w:val="0"/>
          <w:numId w:val="2"/>
        </w:numPr>
        <w:spacing w:line="480" w:lineRule="auto"/>
        <w:rPr>
          <w:sz w:val="24"/>
        </w:rPr>
      </w:pPr>
      <w:r>
        <w:rPr>
          <w:sz w:val="24"/>
        </w:rPr>
        <w:tab/>
      </w:r>
      <w:r w:rsidR="00607D78">
        <w:rPr>
          <w:sz w:val="24"/>
        </w:rPr>
        <w:t>Neither the order nor the letter ruling contain any explicit or implicit discussion of the issue of the effect of decoupling on ROE.</w:t>
      </w:r>
      <w:r w:rsidRPr="00CE3555">
        <w:rPr>
          <w:sz w:val="24"/>
        </w:rPr>
        <w:t xml:space="preserve">  Judge Murphy </w:t>
      </w:r>
      <w:r w:rsidR="00606B18">
        <w:rPr>
          <w:sz w:val="24"/>
        </w:rPr>
        <w:t>discussed the Commission’s decision on ROE in Section 2 of her letter ruling.  She found error with the</w:t>
      </w:r>
      <w:r w:rsidRPr="00CE3555">
        <w:rPr>
          <w:sz w:val="24"/>
        </w:rPr>
        <w:t xml:space="preserve"> decision </w:t>
      </w:r>
      <w:r w:rsidR="003C4F34">
        <w:rPr>
          <w:sz w:val="24"/>
        </w:rPr>
        <w:t xml:space="preserve">on ROE </w:t>
      </w:r>
      <w:r w:rsidRPr="00CE3555">
        <w:rPr>
          <w:sz w:val="24"/>
        </w:rPr>
        <w:t xml:space="preserve">in the </w:t>
      </w:r>
      <w:r w:rsidR="003C4F34">
        <w:rPr>
          <w:sz w:val="24"/>
        </w:rPr>
        <w:t xml:space="preserve">market conditions </w:t>
      </w:r>
      <w:r w:rsidRPr="00CE3555">
        <w:rPr>
          <w:sz w:val="24"/>
        </w:rPr>
        <w:t>context only; that is, that the Commission did not put PSE to its burden of making its case for the appropriate return on equity reflecting current market conditions.  The citations</w:t>
      </w:r>
      <w:r>
        <w:rPr>
          <w:sz w:val="24"/>
        </w:rPr>
        <w:t xml:space="preserve"> in Judge Murphy’s letter ruling</w:t>
      </w:r>
      <w:r w:rsidRPr="00CE3555">
        <w:rPr>
          <w:sz w:val="24"/>
        </w:rPr>
        <w:t xml:space="preserve"> to the administrative record that are relevant to return on equity are to the Commission’s discussion of </w:t>
      </w:r>
      <w:r>
        <w:rPr>
          <w:sz w:val="24"/>
        </w:rPr>
        <w:t xml:space="preserve">the effect of market conditions on </w:t>
      </w:r>
      <w:r w:rsidRPr="00CE3555">
        <w:rPr>
          <w:sz w:val="24"/>
        </w:rPr>
        <w:t>return on equity.</w:t>
      </w:r>
      <w:r w:rsidR="001B3982">
        <w:rPr>
          <w:rStyle w:val="FootnoteReference"/>
          <w:sz w:val="24"/>
        </w:rPr>
        <w:footnoteReference w:id="14"/>
      </w:r>
      <w:r w:rsidRPr="00CE3555">
        <w:rPr>
          <w:sz w:val="24"/>
        </w:rPr>
        <w:t xml:space="preserve">  </w:t>
      </w:r>
      <w:r>
        <w:rPr>
          <w:sz w:val="24"/>
        </w:rPr>
        <w:t>There are no citations to the portion of the Commission’s decision discussing the effect of decoupling on return on equity</w:t>
      </w:r>
      <w:r w:rsidR="00363920">
        <w:rPr>
          <w:sz w:val="24"/>
        </w:rPr>
        <w:t>.</w:t>
      </w:r>
      <w:r w:rsidR="00363920">
        <w:rPr>
          <w:rStyle w:val="FootnoteReference"/>
          <w:sz w:val="24"/>
        </w:rPr>
        <w:footnoteReference w:id="15"/>
      </w:r>
      <w:r w:rsidR="00363920">
        <w:rPr>
          <w:sz w:val="24"/>
        </w:rPr>
        <w:t xml:space="preserve">  </w:t>
      </w:r>
      <w:r>
        <w:rPr>
          <w:sz w:val="24"/>
        </w:rPr>
        <w:t xml:space="preserve">After citing to the market conditions discussion in the ERF portion of Order 07, </w:t>
      </w:r>
      <w:r w:rsidRPr="00CE3555">
        <w:rPr>
          <w:sz w:val="24"/>
        </w:rPr>
        <w:t xml:space="preserve">Judge Murphy notes, without opining on, the “dissenting opinion on this issue” of Commissioner Jones.  </w:t>
      </w:r>
      <w:r w:rsidR="003C4F34">
        <w:rPr>
          <w:sz w:val="24"/>
        </w:rPr>
        <w:t>S</w:t>
      </w:r>
      <w:r>
        <w:rPr>
          <w:sz w:val="24"/>
        </w:rPr>
        <w:t>he cites</w:t>
      </w:r>
      <w:r w:rsidRPr="00CE3555">
        <w:rPr>
          <w:sz w:val="24"/>
        </w:rPr>
        <w:t xml:space="preserve"> to the whole of Commissioner Jones’</w:t>
      </w:r>
      <w:r>
        <w:rPr>
          <w:sz w:val="24"/>
        </w:rPr>
        <w:t>s</w:t>
      </w:r>
      <w:r w:rsidRPr="00CE3555">
        <w:rPr>
          <w:sz w:val="24"/>
        </w:rPr>
        <w:t xml:space="preserve"> separate statement, </w:t>
      </w:r>
      <w:r w:rsidR="003C4F34">
        <w:rPr>
          <w:sz w:val="24"/>
        </w:rPr>
        <w:t xml:space="preserve">but </w:t>
      </w:r>
      <w:r>
        <w:rPr>
          <w:sz w:val="24"/>
        </w:rPr>
        <w:t xml:space="preserve">the words </w:t>
      </w:r>
      <w:r w:rsidRPr="00CE3555">
        <w:rPr>
          <w:sz w:val="24"/>
        </w:rPr>
        <w:t>“on this issue” in</w:t>
      </w:r>
      <w:r>
        <w:rPr>
          <w:sz w:val="24"/>
        </w:rPr>
        <w:t>dicate</w:t>
      </w:r>
      <w:r w:rsidRPr="00CE3555">
        <w:rPr>
          <w:sz w:val="24"/>
        </w:rPr>
        <w:t xml:space="preserve"> that the Judge is </w:t>
      </w:r>
      <w:r>
        <w:rPr>
          <w:sz w:val="24"/>
        </w:rPr>
        <w:t>referring to</w:t>
      </w:r>
      <w:r w:rsidRPr="00CE3555">
        <w:rPr>
          <w:sz w:val="24"/>
        </w:rPr>
        <w:t xml:space="preserve"> Commissioner Jones’ discussion of his opinion that “current market </w:t>
      </w:r>
      <w:r w:rsidRPr="00CE3555">
        <w:rPr>
          <w:sz w:val="24"/>
        </w:rPr>
        <w:lastRenderedPageBreak/>
        <w:t>conditions warrant an adjust</w:t>
      </w:r>
      <w:r>
        <w:rPr>
          <w:sz w:val="24"/>
        </w:rPr>
        <w:t>ment of PSE’s return on equity”</w:t>
      </w:r>
      <w:r w:rsidR="003C4F34">
        <w:rPr>
          <w:rStyle w:val="FootnoteReference"/>
          <w:sz w:val="24"/>
        </w:rPr>
        <w:footnoteReference w:id="16"/>
      </w:r>
      <w:r w:rsidRPr="00CE3555">
        <w:rPr>
          <w:sz w:val="24"/>
        </w:rPr>
        <w:t xml:space="preserve"> rather than any effects of decoupling.  Judge Murphy’s ruling does not contain any apparent discussion o</w:t>
      </w:r>
      <w:r>
        <w:rPr>
          <w:sz w:val="24"/>
        </w:rPr>
        <w:t>n</w:t>
      </w:r>
      <w:r w:rsidRPr="00CE3555">
        <w:rPr>
          <w:sz w:val="24"/>
        </w:rPr>
        <w:t xml:space="preserve"> the issue of the effects of decoupling on return on equity</w:t>
      </w:r>
      <w:r w:rsidR="00E42EC0">
        <w:rPr>
          <w:sz w:val="24"/>
        </w:rPr>
        <w:t>.</w:t>
      </w:r>
    </w:p>
    <w:p w14:paraId="228C2227" w14:textId="6DE52ADE" w:rsidR="00E924A8" w:rsidRDefault="00E53989" w:rsidP="009C2E88">
      <w:pPr>
        <w:widowControl/>
        <w:numPr>
          <w:ilvl w:val="0"/>
          <w:numId w:val="2"/>
        </w:numPr>
        <w:spacing w:line="480" w:lineRule="auto"/>
        <w:rPr>
          <w:sz w:val="24"/>
        </w:rPr>
      </w:pPr>
      <w:r>
        <w:rPr>
          <w:sz w:val="24"/>
        </w:rPr>
        <w:tab/>
      </w:r>
      <w:r w:rsidR="004B612C">
        <w:rPr>
          <w:sz w:val="24"/>
        </w:rPr>
        <w:t>Mr. Schooley</w:t>
      </w:r>
      <w:r>
        <w:rPr>
          <w:sz w:val="24"/>
        </w:rPr>
        <w:t xml:space="preserve"> </w:t>
      </w:r>
      <w:r w:rsidR="004B612C">
        <w:rPr>
          <w:sz w:val="24"/>
        </w:rPr>
        <w:t xml:space="preserve">of Commission Staff </w:t>
      </w:r>
      <w:r>
        <w:rPr>
          <w:sz w:val="24"/>
        </w:rPr>
        <w:t>filed testimony in the initial proceeding recommending that the Commission consider the effect of decoupling in PSE’s next general rate case, at which time direct empirical evidence of decoupling’s effects on PSE can be developed and the analysis can encompass a broader range of factors that add to or reduce PSE’s risk</w:t>
      </w:r>
      <w:r w:rsidR="00DE6238">
        <w:rPr>
          <w:sz w:val="24"/>
        </w:rPr>
        <w:t>.</w:t>
      </w:r>
      <w:r w:rsidR="00CD06DE">
        <w:rPr>
          <w:rStyle w:val="FootnoteReference"/>
          <w:sz w:val="24"/>
        </w:rPr>
        <w:footnoteReference w:id="17"/>
      </w:r>
      <w:r w:rsidR="00DE6238">
        <w:rPr>
          <w:sz w:val="24"/>
        </w:rPr>
        <w:t xml:space="preserve">  </w:t>
      </w:r>
      <w:r w:rsidR="004B612C">
        <w:rPr>
          <w:sz w:val="24"/>
        </w:rPr>
        <w:t xml:space="preserve">Staff’s position has not changed.  </w:t>
      </w:r>
      <w:r w:rsidR="006D485B">
        <w:rPr>
          <w:sz w:val="24"/>
        </w:rPr>
        <w:t>Mr. Schooley testified in the remand phase, “I still believe the best course of action is the one we are on.”</w:t>
      </w:r>
      <w:r w:rsidR="006D485B">
        <w:rPr>
          <w:rStyle w:val="FootnoteReference"/>
          <w:sz w:val="24"/>
        </w:rPr>
        <w:footnoteReference w:id="18"/>
      </w:r>
      <w:r w:rsidR="006D485B">
        <w:rPr>
          <w:sz w:val="24"/>
        </w:rPr>
        <w:t xml:space="preserve">  </w:t>
      </w:r>
      <w:r w:rsidR="00E23E0D">
        <w:rPr>
          <w:sz w:val="24"/>
        </w:rPr>
        <w:t>T</w:t>
      </w:r>
      <w:r w:rsidR="00AB5576">
        <w:rPr>
          <w:sz w:val="24"/>
        </w:rPr>
        <w:t>he decision in Order 07 will “allow objective data on the effects of decoupling on earnings to accumulate</w:t>
      </w:r>
      <w:r w:rsidR="00E23E0D">
        <w:rPr>
          <w:sz w:val="24"/>
        </w:rPr>
        <w:t>.</w:t>
      </w:r>
      <w:r w:rsidR="00AB5576">
        <w:rPr>
          <w:sz w:val="24"/>
        </w:rPr>
        <w:t>”</w:t>
      </w:r>
      <w:r w:rsidR="006D485B">
        <w:rPr>
          <w:rStyle w:val="FootnoteReference"/>
          <w:sz w:val="24"/>
        </w:rPr>
        <w:footnoteReference w:id="19"/>
      </w:r>
      <w:r w:rsidR="00AB5576">
        <w:rPr>
          <w:sz w:val="24"/>
        </w:rPr>
        <w:t xml:space="preserve"> </w:t>
      </w:r>
      <w:r w:rsidR="00A02097">
        <w:rPr>
          <w:sz w:val="24"/>
        </w:rPr>
        <w:t xml:space="preserve"> When Staff reviews the effect</w:t>
      </w:r>
      <w:r w:rsidR="00E23E0D">
        <w:rPr>
          <w:sz w:val="24"/>
        </w:rPr>
        <w:t xml:space="preserve"> of decoupling in PSE’s next general rate case, Staff </w:t>
      </w:r>
      <w:r w:rsidR="006D485B">
        <w:rPr>
          <w:sz w:val="24"/>
        </w:rPr>
        <w:t>expects to</w:t>
      </w:r>
      <w:r w:rsidR="00E23E0D">
        <w:rPr>
          <w:sz w:val="24"/>
        </w:rPr>
        <w:t xml:space="preserve"> </w:t>
      </w:r>
      <w:r w:rsidR="006D485B">
        <w:rPr>
          <w:sz w:val="24"/>
        </w:rPr>
        <w:t>look at</w:t>
      </w:r>
      <w:r w:rsidR="00E23E0D">
        <w:rPr>
          <w:sz w:val="24"/>
        </w:rPr>
        <w:t xml:space="preserve"> “</w:t>
      </w:r>
      <w:r w:rsidR="006D485B">
        <w:rPr>
          <w:sz w:val="24"/>
        </w:rPr>
        <w:t>not just</w:t>
      </w:r>
      <w:r w:rsidR="00E23E0D">
        <w:rPr>
          <w:sz w:val="24"/>
        </w:rPr>
        <w:t xml:space="preserve"> decoupling as a mitigating factor to </w:t>
      </w:r>
      <w:r w:rsidR="006D485B">
        <w:rPr>
          <w:sz w:val="24"/>
        </w:rPr>
        <w:t>revenue stabilization, but also all the</w:t>
      </w:r>
      <w:r w:rsidR="00E23E0D">
        <w:rPr>
          <w:sz w:val="24"/>
        </w:rPr>
        <w:t xml:space="preserve"> other types of regulatory risk mitigation and risk-inducing elements in the Company’s rates.”</w:t>
      </w:r>
      <w:r w:rsidR="00EC0F33">
        <w:rPr>
          <w:rStyle w:val="FootnoteReference"/>
          <w:sz w:val="24"/>
        </w:rPr>
        <w:footnoteReference w:id="20"/>
      </w:r>
    </w:p>
    <w:p w14:paraId="228C2228" w14:textId="41A2E8E6" w:rsidR="0050638B" w:rsidRDefault="0050638B" w:rsidP="009C2E88">
      <w:pPr>
        <w:numPr>
          <w:ilvl w:val="0"/>
          <w:numId w:val="2"/>
        </w:numPr>
        <w:spacing w:line="480" w:lineRule="auto"/>
        <w:rPr>
          <w:sz w:val="24"/>
        </w:rPr>
      </w:pPr>
      <w:r>
        <w:rPr>
          <w:sz w:val="24"/>
        </w:rPr>
        <w:tab/>
      </w:r>
      <w:r w:rsidR="00C4638C">
        <w:rPr>
          <w:sz w:val="24"/>
        </w:rPr>
        <w:t>Mr. David Parcell, on behalf of Staff, testifies to a reasonable</w:t>
      </w:r>
      <w:r w:rsidR="00C4638C" w:rsidRPr="00C4638C">
        <w:rPr>
          <w:sz w:val="24"/>
        </w:rPr>
        <w:t xml:space="preserve"> </w:t>
      </w:r>
      <w:r w:rsidR="00C4638C">
        <w:rPr>
          <w:sz w:val="24"/>
        </w:rPr>
        <w:t xml:space="preserve">range for PSE’s cost of equity of 9.0 to 10.0 percent in </w:t>
      </w:r>
      <w:r w:rsidR="003E7A5F">
        <w:rPr>
          <w:sz w:val="24"/>
        </w:rPr>
        <w:t>t</w:t>
      </w:r>
      <w:r w:rsidR="0022399D">
        <w:rPr>
          <w:sz w:val="24"/>
        </w:rPr>
        <w:t>he first quarter of</w:t>
      </w:r>
      <w:r w:rsidR="00C4638C">
        <w:rPr>
          <w:sz w:val="24"/>
        </w:rPr>
        <w:t xml:space="preserve"> 2013,</w:t>
      </w:r>
      <w:r w:rsidR="00C570BA">
        <w:rPr>
          <w:rStyle w:val="FootnoteReference"/>
          <w:sz w:val="24"/>
        </w:rPr>
        <w:footnoteReference w:id="21"/>
      </w:r>
      <w:r>
        <w:rPr>
          <w:sz w:val="24"/>
        </w:rPr>
        <w:t xml:space="preserve"> the time </w:t>
      </w:r>
      <w:r w:rsidR="00C4638C">
        <w:rPr>
          <w:sz w:val="24"/>
        </w:rPr>
        <w:t xml:space="preserve">when </w:t>
      </w:r>
      <w:r>
        <w:rPr>
          <w:sz w:val="24"/>
        </w:rPr>
        <w:t xml:space="preserve">Staff was scheduled to </w:t>
      </w:r>
      <w:r w:rsidR="00A02097">
        <w:rPr>
          <w:sz w:val="24"/>
        </w:rPr>
        <w:t xml:space="preserve">prepare and </w:t>
      </w:r>
      <w:r>
        <w:rPr>
          <w:sz w:val="24"/>
        </w:rPr>
        <w:t>file testimony in the ERF proceeding</w:t>
      </w:r>
      <w:r w:rsidR="00B126A2">
        <w:rPr>
          <w:sz w:val="24"/>
        </w:rPr>
        <w:t>.</w:t>
      </w:r>
      <w:r w:rsidR="00C570BA">
        <w:rPr>
          <w:rStyle w:val="FootnoteReference"/>
          <w:sz w:val="24"/>
        </w:rPr>
        <w:footnoteReference w:id="22"/>
      </w:r>
      <w:r w:rsidR="00B126A2">
        <w:rPr>
          <w:sz w:val="24"/>
        </w:rPr>
        <w:t xml:space="preserve">  </w:t>
      </w:r>
      <w:r w:rsidR="003B621E">
        <w:rPr>
          <w:sz w:val="24"/>
        </w:rPr>
        <w:t xml:space="preserve">Mr. Parcell </w:t>
      </w:r>
      <w:r w:rsidR="00C4638C">
        <w:rPr>
          <w:sz w:val="24"/>
        </w:rPr>
        <w:t xml:space="preserve">advocates </w:t>
      </w:r>
      <w:r w:rsidR="00B126A2">
        <w:rPr>
          <w:sz w:val="24"/>
        </w:rPr>
        <w:t>the midpoint of this range, 9.50 percent</w:t>
      </w:r>
      <w:r w:rsidR="00C4638C">
        <w:rPr>
          <w:sz w:val="24"/>
        </w:rPr>
        <w:t xml:space="preserve">, as a specific </w:t>
      </w:r>
      <w:r w:rsidR="00B522AF">
        <w:rPr>
          <w:sz w:val="24"/>
        </w:rPr>
        <w:t xml:space="preserve">cost of </w:t>
      </w:r>
      <w:r w:rsidR="00C4638C">
        <w:rPr>
          <w:sz w:val="24"/>
        </w:rPr>
        <w:t>equity recommendation</w:t>
      </w:r>
      <w:r w:rsidR="00B126A2">
        <w:rPr>
          <w:sz w:val="24"/>
        </w:rPr>
        <w:t>.</w:t>
      </w:r>
      <w:r w:rsidR="00161BA7">
        <w:rPr>
          <w:rStyle w:val="FootnoteReference"/>
          <w:sz w:val="24"/>
        </w:rPr>
        <w:footnoteReference w:id="23"/>
      </w:r>
    </w:p>
    <w:p w14:paraId="228C2229" w14:textId="77777777" w:rsidR="00860D8D" w:rsidRPr="00860D8D" w:rsidRDefault="00860D8D" w:rsidP="009C2E88">
      <w:pPr>
        <w:keepNext/>
        <w:widowControl/>
        <w:spacing w:line="480" w:lineRule="auto"/>
        <w:jc w:val="center"/>
        <w:rPr>
          <w:sz w:val="24"/>
        </w:rPr>
      </w:pPr>
      <w:r>
        <w:rPr>
          <w:b/>
          <w:sz w:val="24"/>
        </w:rPr>
        <w:lastRenderedPageBreak/>
        <w:t>III.</w:t>
      </w:r>
      <w:r>
        <w:rPr>
          <w:b/>
          <w:sz w:val="24"/>
        </w:rPr>
        <w:tab/>
      </w:r>
      <w:r w:rsidRPr="00860D8D">
        <w:rPr>
          <w:b/>
          <w:sz w:val="24"/>
        </w:rPr>
        <w:t>ARGUMENT</w:t>
      </w:r>
    </w:p>
    <w:p w14:paraId="228C222A" w14:textId="77777777" w:rsidR="00C1293F" w:rsidRDefault="000E79F3" w:rsidP="009C2E88">
      <w:pPr>
        <w:keepNext/>
        <w:widowControl/>
        <w:numPr>
          <w:ilvl w:val="0"/>
          <w:numId w:val="2"/>
        </w:numPr>
        <w:spacing w:line="480" w:lineRule="auto"/>
        <w:rPr>
          <w:sz w:val="24"/>
        </w:rPr>
      </w:pPr>
      <w:r>
        <w:rPr>
          <w:sz w:val="24"/>
        </w:rPr>
        <w:tab/>
      </w:r>
      <w:r w:rsidR="00C1293F">
        <w:rPr>
          <w:sz w:val="24"/>
        </w:rPr>
        <w:t xml:space="preserve">To correct the error identified by Judge Murphy, the Commission must gather and consider sufficient evidence to support a decision setting PSE’s </w:t>
      </w:r>
      <w:r w:rsidR="000A0F92">
        <w:rPr>
          <w:sz w:val="24"/>
        </w:rPr>
        <w:t>cost of equity</w:t>
      </w:r>
      <w:r w:rsidR="00C1293F">
        <w:rPr>
          <w:sz w:val="24"/>
        </w:rPr>
        <w:t xml:space="preserve"> as of </w:t>
      </w:r>
      <w:r w:rsidR="000A0F92">
        <w:rPr>
          <w:sz w:val="24"/>
        </w:rPr>
        <w:t xml:space="preserve">early </w:t>
      </w:r>
      <w:r w:rsidR="00C1293F">
        <w:rPr>
          <w:sz w:val="24"/>
        </w:rPr>
        <w:t>2013.</w:t>
      </w:r>
      <w:r w:rsidR="008F421F">
        <w:rPr>
          <w:sz w:val="24"/>
        </w:rPr>
        <w:t xml:space="preserve">  </w:t>
      </w:r>
      <w:r w:rsidR="0072637F">
        <w:rPr>
          <w:sz w:val="24"/>
        </w:rPr>
        <w:t xml:space="preserve">Staff’s evidence shows that, as of </w:t>
      </w:r>
      <w:r w:rsidR="003E7A5F">
        <w:rPr>
          <w:sz w:val="24"/>
        </w:rPr>
        <w:t>t</w:t>
      </w:r>
      <w:r w:rsidR="0022399D">
        <w:rPr>
          <w:sz w:val="24"/>
        </w:rPr>
        <w:t>he first quarter of</w:t>
      </w:r>
      <w:r w:rsidR="0072637F">
        <w:rPr>
          <w:sz w:val="24"/>
        </w:rPr>
        <w:t xml:space="preserve"> 2013,</w:t>
      </w:r>
      <w:r w:rsidR="00700107" w:rsidRPr="00700107">
        <w:rPr>
          <w:sz w:val="24"/>
        </w:rPr>
        <w:t xml:space="preserve"> </w:t>
      </w:r>
      <w:r w:rsidR="00700107">
        <w:rPr>
          <w:sz w:val="24"/>
        </w:rPr>
        <w:t xml:space="preserve">a range of 9.0 to 10.0 percent is reasonable for </w:t>
      </w:r>
      <w:r w:rsidR="0072637F">
        <w:rPr>
          <w:sz w:val="24"/>
        </w:rPr>
        <w:t xml:space="preserve">PSE’s </w:t>
      </w:r>
      <w:r w:rsidR="000A0F92">
        <w:rPr>
          <w:sz w:val="24"/>
        </w:rPr>
        <w:t>equity return</w:t>
      </w:r>
      <w:r w:rsidR="00B522AF">
        <w:rPr>
          <w:sz w:val="24"/>
        </w:rPr>
        <w:t>,</w:t>
      </w:r>
      <w:r w:rsidR="0072637F">
        <w:rPr>
          <w:sz w:val="24"/>
        </w:rPr>
        <w:t xml:space="preserve"> </w:t>
      </w:r>
      <w:r w:rsidR="00700107">
        <w:rPr>
          <w:sz w:val="24"/>
        </w:rPr>
        <w:t>with</w:t>
      </w:r>
      <w:r w:rsidR="0072637F">
        <w:rPr>
          <w:sz w:val="24"/>
        </w:rPr>
        <w:t xml:space="preserve"> </w:t>
      </w:r>
      <w:r w:rsidR="00700107">
        <w:rPr>
          <w:sz w:val="24"/>
        </w:rPr>
        <w:t xml:space="preserve">the midpoint of </w:t>
      </w:r>
      <w:r w:rsidR="0072637F">
        <w:rPr>
          <w:sz w:val="24"/>
        </w:rPr>
        <w:t>9.5 percent</w:t>
      </w:r>
      <w:r w:rsidR="00700107">
        <w:rPr>
          <w:sz w:val="24"/>
        </w:rPr>
        <w:t xml:space="preserve"> as a specific recommended target return</w:t>
      </w:r>
      <w:r w:rsidR="0072637F">
        <w:rPr>
          <w:sz w:val="24"/>
        </w:rPr>
        <w:t xml:space="preserve">.  </w:t>
      </w:r>
      <w:r w:rsidR="008F421F">
        <w:rPr>
          <w:sz w:val="24"/>
        </w:rPr>
        <w:t>The Commission need not consider the effect of decoupling on risk, as Judge Murphy did not find error with the Commission’s decision on this issue</w:t>
      </w:r>
      <w:r w:rsidR="0072637F">
        <w:rPr>
          <w:sz w:val="24"/>
        </w:rPr>
        <w:t>.</w:t>
      </w:r>
    </w:p>
    <w:p w14:paraId="228C222B" w14:textId="77777777" w:rsidR="00860D8D" w:rsidRPr="00D2024D" w:rsidRDefault="00454341" w:rsidP="009C2E88">
      <w:pPr>
        <w:pStyle w:val="ListParagraph"/>
        <w:numPr>
          <w:ilvl w:val="0"/>
          <w:numId w:val="3"/>
        </w:numPr>
        <w:ind w:left="720"/>
        <w:rPr>
          <w:sz w:val="24"/>
        </w:rPr>
      </w:pPr>
      <w:r w:rsidRPr="00F7380F">
        <w:rPr>
          <w:b/>
          <w:sz w:val="24"/>
        </w:rPr>
        <w:t>The Commission Should Authorize a Cost of Equity That Would Have Been Applicable</w:t>
      </w:r>
      <w:r w:rsidRPr="003E7A5F">
        <w:rPr>
          <w:b/>
          <w:sz w:val="24"/>
        </w:rPr>
        <w:t xml:space="preserve"> in </w:t>
      </w:r>
      <w:r w:rsidR="003E7A5F" w:rsidRPr="00B522AF">
        <w:rPr>
          <w:b/>
          <w:sz w:val="24"/>
        </w:rPr>
        <w:t xml:space="preserve">the </w:t>
      </w:r>
      <w:r w:rsidR="003E7A5F">
        <w:rPr>
          <w:b/>
          <w:sz w:val="24"/>
        </w:rPr>
        <w:t>F</w:t>
      </w:r>
      <w:r w:rsidR="003E7A5F" w:rsidRPr="00B522AF">
        <w:rPr>
          <w:b/>
          <w:sz w:val="24"/>
        </w:rPr>
        <w:t xml:space="preserve">irst </w:t>
      </w:r>
      <w:r w:rsidR="003E7A5F">
        <w:rPr>
          <w:b/>
          <w:sz w:val="24"/>
        </w:rPr>
        <w:t>Q</w:t>
      </w:r>
      <w:r w:rsidR="003E7A5F" w:rsidRPr="00B522AF">
        <w:rPr>
          <w:b/>
          <w:sz w:val="24"/>
        </w:rPr>
        <w:t xml:space="preserve">uarter of </w:t>
      </w:r>
      <w:r w:rsidRPr="00F7380F">
        <w:rPr>
          <w:b/>
          <w:sz w:val="24"/>
        </w:rPr>
        <w:t xml:space="preserve">2013 Because That Time Period Is Contemporaneous With the </w:t>
      </w:r>
      <w:r w:rsidR="00996019" w:rsidRPr="00F7380F">
        <w:rPr>
          <w:b/>
          <w:sz w:val="24"/>
        </w:rPr>
        <w:t>Other Evidence Presented in Support of the</w:t>
      </w:r>
      <w:r w:rsidRPr="00F7380F">
        <w:rPr>
          <w:b/>
          <w:sz w:val="24"/>
        </w:rPr>
        <w:t xml:space="preserve"> Base Rate</w:t>
      </w:r>
      <w:r w:rsidR="00996019" w:rsidRPr="00F7380F">
        <w:rPr>
          <w:b/>
          <w:sz w:val="24"/>
        </w:rPr>
        <w:t>s</w:t>
      </w:r>
      <w:r w:rsidRPr="00F7380F">
        <w:rPr>
          <w:b/>
          <w:sz w:val="24"/>
        </w:rPr>
        <w:t xml:space="preserve"> Set in the ERF.</w:t>
      </w:r>
    </w:p>
    <w:p w14:paraId="38F9DCD2" w14:textId="77777777" w:rsidR="00D2024D" w:rsidRPr="00F7380F" w:rsidRDefault="00D2024D" w:rsidP="00D2024D">
      <w:pPr>
        <w:pStyle w:val="ListParagraph"/>
        <w:rPr>
          <w:sz w:val="24"/>
        </w:rPr>
      </w:pPr>
    </w:p>
    <w:p w14:paraId="228C222D" w14:textId="21CD9D11" w:rsidR="003000EF" w:rsidRDefault="003000EF" w:rsidP="009C2E88">
      <w:pPr>
        <w:numPr>
          <w:ilvl w:val="0"/>
          <w:numId w:val="2"/>
        </w:numPr>
        <w:spacing w:line="480" w:lineRule="auto"/>
        <w:rPr>
          <w:sz w:val="24"/>
        </w:rPr>
      </w:pPr>
      <w:r>
        <w:rPr>
          <w:sz w:val="24"/>
        </w:rPr>
        <w:tab/>
        <w:t xml:space="preserve">PSE’s multiyear rate plan went into effect </w:t>
      </w:r>
      <w:r w:rsidR="003E7A5F">
        <w:rPr>
          <w:sz w:val="24"/>
        </w:rPr>
        <w:t xml:space="preserve">July 1, </w:t>
      </w:r>
      <w:r>
        <w:rPr>
          <w:sz w:val="24"/>
        </w:rPr>
        <w:t>2013</w:t>
      </w:r>
      <w:r w:rsidR="00A02097">
        <w:rPr>
          <w:sz w:val="24"/>
        </w:rPr>
        <w:t>,</w:t>
      </w:r>
      <w:r>
        <w:rPr>
          <w:sz w:val="24"/>
        </w:rPr>
        <w:t xml:space="preserve"> and will remain in effect for at least another year from now.</w:t>
      </w:r>
      <w:r w:rsidR="009D3937">
        <w:rPr>
          <w:sz w:val="24"/>
        </w:rPr>
        <w:t xml:space="preserve">  The foundational rates of the rate plan are the rates that resulted from the ERF portion of the Commission’s decision in Order 07.  </w:t>
      </w:r>
      <w:r w:rsidR="00276661">
        <w:rPr>
          <w:sz w:val="24"/>
        </w:rPr>
        <w:t>Judge Murphy’</w:t>
      </w:r>
      <w:r w:rsidR="00B36F91">
        <w:rPr>
          <w:sz w:val="24"/>
        </w:rPr>
        <w:t>s order explicitly reverses the Commission’s determination of</w:t>
      </w:r>
      <w:r w:rsidR="00276661">
        <w:rPr>
          <w:sz w:val="24"/>
        </w:rPr>
        <w:t xml:space="preserve"> the rates in the rate plan.  In order to correct the error, it is necessary to correct the base rates that flow through </w:t>
      </w:r>
      <w:r w:rsidR="001F6E1E">
        <w:rPr>
          <w:sz w:val="24"/>
        </w:rPr>
        <w:t xml:space="preserve">into </w:t>
      </w:r>
      <w:r w:rsidR="00B36F91">
        <w:rPr>
          <w:sz w:val="24"/>
        </w:rPr>
        <w:t>the rate plan.</w:t>
      </w:r>
      <w:r w:rsidR="00276661">
        <w:rPr>
          <w:sz w:val="24"/>
        </w:rPr>
        <w:t xml:space="preserve"> </w:t>
      </w:r>
      <w:r w:rsidR="00996019">
        <w:rPr>
          <w:sz w:val="24"/>
        </w:rPr>
        <w:t xml:space="preserve">The base rates went into effect in 2013 based on updated material and testimony as of </w:t>
      </w:r>
      <w:r w:rsidR="003E7A5F">
        <w:rPr>
          <w:sz w:val="24"/>
        </w:rPr>
        <w:t>the first quarter of</w:t>
      </w:r>
      <w:r w:rsidR="00996019">
        <w:rPr>
          <w:sz w:val="24"/>
        </w:rPr>
        <w:t xml:space="preserve"> 2013 at the latest.  All evidence that the Commission considers to re-set the base rates that flow through into the rate plan should be contemporaneous with the other testimony and evidence presented in support of the ERF rates.  The time period in which this evidence was presented or would have been presented </w:t>
      </w:r>
      <w:r w:rsidR="00FE79E3">
        <w:rPr>
          <w:sz w:val="24"/>
        </w:rPr>
        <w:t>is</w:t>
      </w:r>
      <w:r w:rsidR="005A6141">
        <w:rPr>
          <w:sz w:val="24"/>
        </w:rPr>
        <w:t xml:space="preserve"> </w:t>
      </w:r>
      <w:r w:rsidR="00996019">
        <w:rPr>
          <w:sz w:val="24"/>
        </w:rPr>
        <w:t>early 2013.</w:t>
      </w:r>
      <w:r w:rsidR="00FD367C">
        <w:rPr>
          <w:sz w:val="24"/>
        </w:rPr>
        <w:t xml:space="preserve">  Accordingly, i</w:t>
      </w:r>
      <w:r w:rsidR="00FE79E3">
        <w:rPr>
          <w:sz w:val="24"/>
        </w:rPr>
        <w:t>t is appropriate to authorize a</w:t>
      </w:r>
      <w:r w:rsidR="00FD367C">
        <w:rPr>
          <w:sz w:val="24"/>
        </w:rPr>
        <w:t xml:space="preserve"> </w:t>
      </w:r>
      <w:r w:rsidR="00FE79E3">
        <w:rPr>
          <w:sz w:val="24"/>
        </w:rPr>
        <w:t>return on equity</w:t>
      </w:r>
      <w:r w:rsidR="00FD367C">
        <w:rPr>
          <w:sz w:val="24"/>
        </w:rPr>
        <w:t xml:space="preserve"> that would have been applicable in </w:t>
      </w:r>
      <w:r w:rsidR="003E7A5F">
        <w:rPr>
          <w:sz w:val="24"/>
        </w:rPr>
        <w:t>the first quarter of</w:t>
      </w:r>
      <w:r w:rsidR="00FD367C">
        <w:rPr>
          <w:sz w:val="24"/>
        </w:rPr>
        <w:t xml:space="preserve"> 2013.</w:t>
      </w:r>
    </w:p>
    <w:p w14:paraId="228C222E" w14:textId="77777777" w:rsidR="00DA599E" w:rsidRDefault="005E388D" w:rsidP="00D2024D">
      <w:pPr>
        <w:pStyle w:val="ListParagraph"/>
        <w:keepNext/>
        <w:widowControl/>
        <w:numPr>
          <w:ilvl w:val="0"/>
          <w:numId w:val="3"/>
        </w:numPr>
        <w:ind w:left="720"/>
        <w:rPr>
          <w:b/>
          <w:sz w:val="24"/>
        </w:rPr>
      </w:pPr>
      <w:r w:rsidRPr="00BC1661">
        <w:rPr>
          <w:b/>
          <w:sz w:val="24"/>
        </w:rPr>
        <w:lastRenderedPageBreak/>
        <w:t xml:space="preserve">PSE’s Cost of Equity As of </w:t>
      </w:r>
      <w:r w:rsidR="003E7A5F">
        <w:rPr>
          <w:b/>
          <w:sz w:val="24"/>
        </w:rPr>
        <w:t>t</w:t>
      </w:r>
      <w:r w:rsidR="0022399D">
        <w:rPr>
          <w:b/>
          <w:sz w:val="24"/>
        </w:rPr>
        <w:t xml:space="preserve">he </w:t>
      </w:r>
      <w:r w:rsidR="003E7A5F">
        <w:rPr>
          <w:b/>
          <w:sz w:val="24"/>
        </w:rPr>
        <w:t>F</w:t>
      </w:r>
      <w:r w:rsidR="0022399D">
        <w:rPr>
          <w:b/>
          <w:sz w:val="24"/>
        </w:rPr>
        <w:t xml:space="preserve">irst </w:t>
      </w:r>
      <w:r w:rsidR="003E7A5F">
        <w:rPr>
          <w:b/>
          <w:sz w:val="24"/>
        </w:rPr>
        <w:t>Q</w:t>
      </w:r>
      <w:r w:rsidR="0022399D">
        <w:rPr>
          <w:b/>
          <w:sz w:val="24"/>
        </w:rPr>
        <w:t>uarter of</w:t>
      </w:r>
      <w:r w:rsidRPr="00BC1661">
        <w:rPr>
          <w:b/>
          <w:sz w:val="24"/>
        </w:rPr>
        <w:t xml:space="preserve"> 2013 </w:t>
      </w:r>
      <w:r w:rsidR="003E7A5F">
        <w:rPr>
          <w:b/>
          <w:sz w:val="24"/>
        </w:rPr>
        <w:t>May</w:t>
      </w:r>
      <w:r w:rsidR="003E7A5F" w:rsidRPr="00BC1661">
        <w:rPr>
          <w:b/>
          <w:sz w:val="24"/>
        </w:rPr>
        <w:t xml:space="preserve"> </w:t>
      </w:r>
      <w:r w:rsidRPr="00BC1661">
        <w:rPr>
          <w:b/>
          <w:sz w:val="24"/>
        </w:rPr>
        <w:t xml:space="preserve">Be Set At 9.5 Percent Or At Least Within the Range of </w:t>
      </w:r>
      <w:r w:rsidR="00BC1661">
        <w:rPr>
          <w:b/>
          <w:sz w:val="24"/>
        </w:rPr>
        <w:t>9.0 to 10.0 P</w:t>
      </w:r>
      <w:r w:rsidRPr="00BC1661">
        <w:rPr>
          <w:b/>
          <w:sz w:val="24"/>
        </w:rPr>
        <w:t>ercent.</w:t>
      </w:r>
    </w:p>
    <w:p w14:paraId="3B034C1F" w14:textId="77777777" w:rsidR="00D2024D" w:rsidRPr="00F7380F" w:rsidRDefault="00D2024D" w:rsidP="00D2024D">
      <w:pPr>
        <w:pStyle w:val="ListParagraph"/>
        <w:keepNext/>
        <w:widowControl/>
        <w:rPr>
          <w:b/>
          <w:sz w:val="24"/>
        </w:rPr>
      </w:pPr>
    </w:p>
    <w:p w14:paraId="228C2230" w14:textId="77777777" w:rsidR="005E388D" w:rsidRDefault="00FC1FF8" w:rsidP="009C2E88">
      <w:pPr>
        <w:keepNext/>
        <w:widowControl/>
        <w:numPr>
          <w:ilvl w:val="0"/>
          <w:numId w:val="2"/>
        </w:numPr>
        <w:spacing w:line="480" w:lineRule="auto"/>
        <w:rPr>
          <w:sz w:val="24"/>
        </w:rPr>
      </w:pPr>
      <w:r>
        <w:rPr>
          <w:sz w:val="24"/>
        </w:rPr>
        <w:tab/>
        <w:t xml:space="preserve">In order to determine the appropriate cost of equity, the Commission considers the parties’ evidence and, on that basis, establishes a reasonable range for </w:t>
      </w:r>
      <w:r w:rsidR="00676B45">
        <w:rPr>
          <w:sz w:val="24"/>
        </w:rPr>
        <w:t xml:space="preserve">the </w:t>
      </w:r>
      <w:r>
        <w:rPr>
          <w:sz w:val="24"/>
        </w:rPr>
        <w:t>allowed equity return vis-à-vis what would be expected for businesses of comparable risk.</w:t>
      </w:r>
      <w:r w:rsidR="00290028">
        <w:rPr>
          <w:rStyle w:val="FootnoteReference"/>
          <w:sz w:val="24"/>
        </w:rPr>
        <w:footnoteReference w:id="24"/>
      </w:r>
      <w:r w:rsidR="00E71DDB">
        <w:rPr>
          <w:sz w:val="24"/>
        </w:rPr>
        <w:t xml:space="preserve">  To establish this “zone of reasonableness,” the Commission weighs the evidence presented and, considering the highest and lowest data points, may narrow that range to a </w:t>
      </w:r>
      <w:r w:rsidR="00676B45">
        <w:rPr>
          <w:sz w:val="24"/>
        </w:rPr>
        <w:t>zone</w:t>
      </w:r>
      <w:r w:rsidR="00E71DDB">
        <w:rPr>
          <w:sz w:val="24"/>
        </w:rPr>
        <w:t xml:space="preserve"> of results best supported by the evidence.</w:t>
      </w:r>
      <w:r w:rsidR="00E71DDB">
        <w:rPr>
          <w:rStyle w:val="FootnoteReference"/>
          <w:sz w:val="24"/>
        </w:rPr>
        <w:footnoteReference w:id="25"/>
      </w:r>
      <w:r w:rsidR="005556ED">
        <w:rPr>
          <w:sz w:val="24"/>
        </w:rPr>
        <w:t xml:space="preserve">  Typically, the Commission considers the results from a variety of methods and has reiterated “in more than one order that it appreciates and values a variety of perspectives and analytic results because these serve to better inform the judgment it must exercise than would a single model, or a single expert’s opinion.”</w:t>
      </w:r>
      <w:r w:rsidR="005556ED">
        <w:rPr>
          <w:rStyle w:val="FootnoteReference"/>
          <w:sz w:val="24"/>
        </w:rPr>
        <w:footnoteReference w:id="26"/>
      </w:r>
    </w:p>
    <w:p w14:paraId="228C2231" w14:textId="77777777" w:rsidR="00C76852" w:rsidRDefault="0072637F" w:rsidP="009C2E88">
      <w:pPr>
        <w:numPr>
          <w:ilvl w:val="0"/>
          <w:numId w:val="2"/>
        </w:numPr>
        <w:spacing w:line="480" w:lineRule="auto"/>
        <w:rPr>
          <w:sz w:val="24"/>
        </w:rPr>
      </w:pPr>
      <w:r>
        <w:rPr>
          <w:sz w:val="24"/>
        </w:rPr>
        <w:tab/>
      </w:r>
      <w:r w:rsidR="00502AB8">
        <w:rPr>
          <w:sz w:val="24"/>
        </w:rPr>
        <w:t>Staff’s cost of equity witness, Mr. Parcell, used three different methodologies to determine PSE’s cost of equity as of “early 2013.”  Mr. Parcell specifically defines “early 2013” as “the three-month period January–March 2013”; that is, the first quarter of 2013.</w:t>
      </w:r>
      <w:r w:rsidR="00502AB8">
        <w:rPr>
          <w:rStyle w:val="FootnoteReference"/>
          <w:sz w:val="24"/>
        </w:rPr>
        <w:footnoteReference w:id="27"/>
      </w:r>
      <w:r w:rsidR="00502AB8">
        <w:rPr>
          <w:sz w:val="24"/>
        </w:rPr>
        <w:t xml:space="preserve">  This period is appropriate because Staff was scheduled to file testimony during this time period</w:t>
      </w:r>
      <w:r w:rsidR="00C570BA">
        <w:rPr>
          <w:sz w:val="24"/>
        </w:rPr>
        <w:t xml:space="preserve"> in the ERF proceeding, in which </w:t>
      </w:r>
      <w:r w:rsidR="002F25E9">
        <w:rPr>
          <w:sz w:val="24"/>
        </w:rPr>
        <w:t>the Commission set PSE’s base rates</w:t>
      </w:r>
      <w:r w:rsidR="00502AB8">
        <w:rPr>
          <w:sz w:val="24"/>
        </w:rPr>
        <w:t>.</w:t>
      </w:r>
    </w:p>
    <w:p w14:paraId="228C2232" w14:textId="4FA406EC" w:rsidR="00502AB8" w:rsidRDefault="00C76852" w:rsidP="009C2E88">
      <w:pPr>
        <w:numPr>
          <w:ilvl w:val="0"/>
          <w:numId w:val="2"/>
        </w:numPr>
        <w:spacing w:line="480" w:lineRule="auto"/>
        <w:rPr>
          <w:sz w:val="24"/>
        </w:rPr>
      </w:pPr>
      <w:r>
        <w:rPr>
          <w:sz w:val="24"/>
        </w:rPr>
        <w:tab/>
        <w:t xml:space="preserve">Mr. Parcell applied the Discounted Cash Flow (DCF), Capital Asset Pricing Model (CAPM), and the Comparable Earnings (CE) </w:t>
      </w:r>
      <w:r w:rsidR="000615DC">
        <w:rPr>
          <w:sz w:val="24"/>
        </w:rPr>
        <w:t xml:space="preserve">methodologies in </w:t>
      </w:r>
      <w:r>
        <w:rPr>
          <w:sz w:val="24"/>
        </w:rPr>
        <w:t xml:space="preserve">his cost of </w:t>
      </w:r>
      <w:r w:rsidR="000615DC">
        <w:rPr>
          <w:sz w:val="24"/>
        </w:rPr>
        <w:t>equity</w:t>
      </w:r>
      <w:r>
        <w:rPr>
          <w:sz w:val="24"/>
        </w:rPr>
        <w:t xml:space="preserve"> study.  </w:t>
      </w:r>
      <w:r w:rsidR="004D03C6">
        <w:rPr>
          <w:sz w:val="24"/>
        </w:rPr>
        <w:t xml:space="preserve">In </w:t>
      </w:r>
      <w:r w:rsidR="004D03C6">
        <w:rPr>
          <w:sz w:val="24"/>
        </w:rPr>
        <w:lastRenderedPageBreak/>
        <w:t>carrying out his study, Mr. Parcell applied each methodology to three groups of proxy utilities: (1) the proxy group that he selected</w:t>
      </w:r>
      <w:r w:rsidR="009141FA">
        <w:rPr>
          <w:sz w:val="24"/>
        </w:rPr>
        <w:t>,</w:t>
      </w:r>
      <w:r w:rsidR="004D03C6">
        <w:rPr>
          <w:sz w:val="24"/>
        </w:rPr>
        <w:t xml:space="preserve"> comprised of publicly traded electric utilities (or holding companies) with operating and risk characteristics that were similar to PSE as of early 2013; (2) ICNU witness Mr. Gorman’s proxy group from his April 26, 2013, prefiled testimony; and (3) PSE witness </w:t>
      </w:r>
      <w:r w:rsidR="00AB295B">
        <w:rPr>
          <w:sz w:val="24"/>
        </w:rPr>
        <w:t>D</w:t>
      </w:r>
      <w:r w:rsidR="004D03C6">
        <w:rPr>
          <w:sz w:val="24"/>
        </w:rPr>
        <w:t>r. Morin’s sample group.</w:t>
      </w:r>
      <w:r w:rsidR="004D03C6">
        <w:rPr>
          <w:rStyle w:val="FootnoteReference"/>
          <w:sz w:val="24"/>
        </w:rPr>
        <w:footnoteReference w:id="28"/>
      </w:r>
    </w:p>
    <w:p w14:paraId="228C2233" w14:textId="0FF210AE" w:rsidR="0072637F" w:rsidRDefault="00C76852" w:rsidP="009C2E88">
      <w:pPr>
        <w:widowControl/>
        <w:numPr>
          <w:ilvl w:val="0"/>
          <w:numId w:val="2"/>
        </w:numPr>
        <w:spacing w:line="480" w:lineRule="auto"/>
        <w:rPr>
          <w:sz w:val="24"/>
        </w:rPr>
      </w:pPr>
      <w:r>
        <w:rPr>
          <w:sz w:val="24"/>
        </w:rPr>
        <w:tab/>
        <w:t>Mr. Parcell</w:t>
      </w:r>
      <w:r w:rsidR="00E0725A">
        <w:rPr>
          <w:sz w:val="24"/>
        </w:rPr>
        <w:t>’s DCF results are 9.1 percent to 9.7 percent.</w:t>
      </w:r>
      <w:r w:rsidR="00E0725A">
        <w:rPr>
          <w:rStyle w:val="FootnoteReference"/>
          <w:sz w:val="24"/>
        </w:rPr>
        <w:footnoteReference w:id="29"/>
      </w:r>
      <w:r w:rsidR="00C85F0F">
        <w:rPr>
          <w:sz w:val="24"/>
        </w:rPr>
        <w:t xml:space="preserve">  His analysis applying the CAPM methodology results in a CAPM cost of equity of 6.8 percent.</w:t>
      </w:r>
      <w:r w:rsidR="00C85F0F">
        <w:rPr>
          <w:rStyle w:val="FootnoteReference"/>
          <w:sz w:val="24"/>
        </w:rPr>
        <w:footnoteReference w:id="30"/>
      </w:r>
      <w:r w:rsidR="00C85F0F">
        <w:rPr>
          <w:sz w:val="24"/>
        </w:rPr>
        <w:t xml:space="preserve">  </w:t>
      </w:r>
      <w:r w:rsidR="00353669">
        <w:rPr>
          <w:sz w:val="24"/>
        </w:rPr>
        <w:t xml:space="preserve">Mr. Parcell’s CE analysis considers historic returns on equity over the past two business cycles as well </w:t>
      </w:r>
      <w:r w:rsidR="00BF21EA">
        <w:rPr>
          <w:sz w:val="24"/>
        </w:rPr>
        <w:t>as projected</w:t>
      </w:r>
      <w:r w:rsidR="00353669">
        <w:rPr>
          <w:sz w:val="24"/>
        </w:rPr>
        <w:t xml:space="preserve"> returns on equity for 2013, 2014, and 2016 to 2018 and concludes that returns were in a range of 8.7 to 10.4 percent</w:t>
      </w:r>
      <w:r w:rsidR="00C85F0F">
        <w:rPr>
          <w:sz w:val="24"/>
        </w:rPr>
        <w:t>.</w:t>
      </w:r>
      <w:r w:rsidR="00996C7B">
        <w:rPr>
          <w:rStyle w:val="FootnoteReference"/>
          <w:sz w:val="24"/>
        </w:rPr>
        <w:footnoteReference w:id="31"/>
      </w:r>
      <w:r w:rsidR="00C85F0F">
        <w:rPr>
          <w:sz w:val="24"/>
        </w:rPr>
        <w:t xml:space="preserve">  </w:t>
      </w:r>
      <w:r w:rsidR="003D1FFE">
        <w:rPr>
          <w:sz w:val="24"/>
        </w:rPr>
        <w:t xml:space="preserve">Given </w:t>
      </w:r>
      <w:r w:rsidR="00E14798">
        <w:rPr>
          <w:sz w:val="24"/>
        </w:rPr>
        <w:t xml:space="preserve">recent earnings and market-to-book ratios of the proxy group firms, as well as the S&amp;P 500 Composite Group, </w:t>
      </w:r>
      <w:r w:rsidR="003D1FFE">
        <w:rPr>
          <w:sz w:val="24"/>
        </w:rPr>
        <w:t>Mr. Parcell finds that the CE</w:t>
      </w:r>
      <w:r w:rsidR="00E14798">
        <w:rPr>
          <w:sz w:val="24"/>
        </w:rPr>
        <w:t xml:space="preserve"> cost of equity for the proxy utilities as of early 2013 falls within the </w:t>
      </w:r>
      <w:r w:rsidR="003D1FFE">
        <w:rPr>
          <w:sz w:val="24"/>
        </w:rPr>
        <w:t xml:space="preserve">narrower range of </w:t>
      </w:r>
      <w:r w:rsidR="00E14798">
        <w:rPr>
          <w:sz w:val="24"/>
        </w:rPr>
        <w:t xml:space="preserve">9.0 to 10.0 </w:t>
      </w:r>
      <w:r w:rsidR="003D1FFE">
        <w:rPr>
          <w:sz w:val="24"/>
        </w:rPr>
        <w:t>percent</w:t>
      </w:r>
      <w:r w:rsidR="00E14798">
        <w:rPr>
          <w:sz w:val="24"/>
        </w:rPr>
        <w:t>.</w:t>
      </w:r>
      <w:r w:rsidR="00996C7B">
        <w:rPr>
          <w:rStyle w:val="FootnoteReference"/>
          <w:sz w:val="24"/>
        </w:rPr>
        <w:footnoteReference w:id="32"/>
      </w:r>
      <w:r w:rsidR="00441971">
        <w:rPr>
          <w:sz w:val="24"/>
        </w:rPr>
        <w:t xml:space="preserve">  Finally, Mr. Parcell notes that average authorized equity awards were generally in the 9.5 to 10 percent range in 2012 and 2013.</w:t>
      </w:r>
      <w:r w:rsidR="00441971">
        <w:rPr>
          <w:rStyle w:val="FootnoteReference"/>
          <w:sz w:val="24"/>
        </w:rPr>
        <w:footnoteReference w:id="33"/>
      </w:r>
      <w:r w:rsidR="003D1FFE">
        <w:rPr>
          <w:sz w:val="24"/>
        </w:rPr>
        <w:t xml:space="preserve">  In Mr. Parcell’s judgment, taking into account his analysis using the various methodologies, 9.0 to 10.0 percent is a reasonable range as of early 2013 for PSE’s cost of equity.</w:t>
      </w:r>
      <w:r w:rsidR="003D1FFE">
        <w:rPr>
          <w:rStyle w:val="FootnoteReference"/>
          <w:sz w:val="24"/>
        </w:rPr>
        <w:footnoteReference w:id="34"/>
      </w:r>
    </w:p>
    <w:p w14:paraId="228C2234" w14:textId="77777777" w:rsidR="00860D8D" w:rsidRDefault="005E0B50" w:rsidP="00D2024D">
      <w:pPr>
        <w:pStyle w:val="ListParagraph"/>
        <w:keepNext/>
        <w:keepLines/>
        <w:widowControl/>
        <w:numPr>
          <w:ilvl w:val="0"/>
          <w:numId w:val="3"/>
        </w:numPr>
        <w:ind w:left="720"/>
        <w:contextualSpacing w:val="0"/>
        <w:rPr>
          <w:b/>
          <w:sz w:val="24"/>
        </w:rPr>
      </w:pPr>
      <w:r w:rsidRPr="005E0B50">
        <w:rPr>
          <w:b/>
          <w:sz w:val="24"/>
        </w:rPr>
        <w:lastRenderedPageBreak/>
        <w:t>The Issue of Whether PSE’s ROE Should Be Adjusted Due to the Effects of Decoupling Is Not Within the Scope of the Remand.</w:t>
      </w:r>
    </w:p>
    <w:p w14:paraId="111F476C" w14:textId="77777777" w:rsidR="00D2024D" w:rsidRPr="00F7380F" w:rsidRDefault="00D2024D" w:rsidP="00D2024D">
      <w:pPr>
        <w:pStyle w:val="ListParagraph"/>
        <w:keepNext/>
        <w:keepLines/>
        <w:widowControl/>
        <w:contextualSpacing w:val="0"/>
        <w:rPr>
          <w:b/>
          <w:sz w:val="24"/>
        </w:rPr>
      </w:pPr>
    </w:p>
    <w:p w14:paraId="228C2236" w14:textId="77777777" w:rsidR="005E0B50" w:rsidRDefault="005E0B50" w:rsidP="00D2024D">
      <w:pPr>
        <w:keepNext/>
        <w:keepLines/>
        <w:widowControl/>
        <w:numPr>
          <w:ilvl w:val="0"/>
          <w:numId w:val="2"/>
        </w:numPr>
        <w:spacing w:line="480" w:lineRule="auto"/>
        <w:rPr>
          <w:sz w:val="24"/>
        </w:rPr>
      </w:pPr>
      <w:r>
        <w:rPr>
          <w:sz w:val="24"/>
        </w:rPr>
        <w:tab/>
        <w:t>Once a decision on an issue has been appealed, the appellate body’s decision on that issue is the settled law of the case and the parties may not continue to litigate that issue in the case.</w:t>
      </w:r>
      <w:r w:rsidR="006B438C">
        <w:rPr>
          <w:rStyle w:val="FootnoteReference"/>
          <w:sz w:val="24"/>
        </w:rPr>
        <w:footnoteReference w:id="35"/>
      </w:r>
      <w:r w:rsidR="008D7F20">
        <w:rPr>
          <w:sz w:val="24"/>
        </w:rPr>
        <w:t xml:space="preserve">  This law of the case affects not only those issues that are settled on appeal but also those issues that could have been put to rest on appeal.</w:t>
      </w:r>
      <w:r w:rsidR="006B438C">
        <w:rPr>
          <w:rStyle w:val="FootnoteReference"/>
          <w:sz w:val="24"/>
        </w:rPr>
        <w:footnoteReference w:id="36"/>
      </w:r>
      <w:r w:rsidR="008D7F20">
        <w:rPr>
          <w:sz w:val="24"/>
        </w:rPr>
        <w:t xml:space="preserve">  The purpose of this rule is judicial economy.  That is, an issue that has been appealed already should not be relitigated and made eligible for another appeal.</w:t>
      </w:r>
      <w:r w:rsidR="006B438C">
        <w:rPr>
          <w:rStyle w:val="FootnoteReference"/>
          <w:sz w:val="24"/>
        </w:rPr>
        <w:footnoteReference w:id="37"/>
      </w:r>
      <w:r w:rsidR="00727C97">
        <w:rPr>
          <w:sz w:val="24"/>
        </w:rPr>
        <w:t xml:space="preserve">  In addition, the findings of an administrative body that are left undisturbed following judicial review are final and binding.</w:t>
      </w:r>
      <w:r w:rsidR="00727C97">
        <w:rPr>
          <w:rStyle w:val="FootnoteReference"/>
          <w:sz w:val="24"/>
        </w:rPr>
        <w:footnoteReference w:id="38"/>
      </w:r>
      <w:r w:rsidR="00727C97">
        <w:rPr>
          <w:sz w:val="24"/>
        </w:rPr>
        <w:t xml:space="preserve">  In a case where a court remands a matter to an administrative agency for the taking of additional evidence, the agency’s original decision stands but the agency can consider new evidence and modify its decision as necessary.</w:t>
      </w:r>
      <w:r w:rsidR="00727C97">
        <w:rPr>
          <w:rStyle w:val="FootnoteReference"/>
          <w:sz w:val="24"/>
        </w:rPr>
        <w:footnoteReference w:id="39"/>
      </w:r>
      <w:r w:rsidR="00727C97">
        <w:rPr>
          <w:sz w:val="24"/>
        </w:rPr>
        <w:t xml:space="preserve">  The remand, however, does not allow the parties to relitigate the case; rather the remand represents a continuation of the original agency proceeding.</w:t>
      </w:r>
      <w:r w:rsidR="00727C97">
        <w:rPr>
          <w:rStyle w:val="FootnoteReference"/>
          <w:sz w:val="24"/>
        </w:rPr>
        <w:footnoteReference w:id="40"/>
      </w:r>
      <w:r w:rsidR="00727C97">
        <w:rPr>
          <w:sz w:val="24"/>
        </w:rPr>
        <w:t xml:space="preserve"> </w:t>
      </w:r>
      <w:r w:rsidR="00A26B10">
        <w:rPr>
          <w:sz w:val="24"/>
        </w:rPr>
        <w:t xml:space="preserve"> In carrying out a remand, it is incumbent upon the body carrying out the remand to examine the appellate opinion and to proceed in conformity with the opinion.</w:t>
      </w:r>
      <w:r w:rsidR="00A26B10">
        <w:rPr>
          <w:rStyle w:val="FootnoteReference"/>
          <w:sz w:val="24"/>
        </w:rPr>
        <w:footnoteReference w:id="41"/>
      </w:r>
      <w:r w:rsidR="00A26B10">
        <w:rPr>
          <w:sz w:val="24"/>
        </w:rPr>
        <w:t xml:space="preserve"> As a practical matter, the Commission has a great degree of latitude in carrying out the remand so long as the proceedings are not inconsistent with the Court’s decision.</w:t>
      </w:r>
      <w:r w:rsidR="00A26B10">
        <w:rPr>
          <w:rStyle w:val="FootnoteReference"/>
          <w:sz w:val="24"/>
        </w:rPr>
        <w:footnoteReference w:id="42"/>
      </w:r>
      <w:r w:rsidR="00A26B10">
        <w:rPr>
          <w:sz w:val="24"/>
        </w:rPr>
        <w:t xml:space="preserve"> </w:t>
      </w:r>
    </w:p>
    <w:p w14:paraId="228C2237" w14:textId="77777777" w:rsidR="00727C97" w:rsidRDefault="0083181B" w:rsidP="00D2024D">
      <w:pPr>
        <w:numPr>
          <w:ilvl w:val="0"/>
          <w:numId w:val="2"/>
        </w:numPr>
        <w:spacing w:line="480" w:lineRule="auto"/>
        <w:rPr>
          <w:sz w:val="24"/>
        </w:rPr>
      </w:pPr>
      <w:r>
        <w:rPr>
          <w:sz w:val="24"/>
        </w:rPr>
        <w:tab/>
      </w:r>
      <w:r w:rsidR="00E353DD">
        <w:rPr>
          <w:sz w:val="24"/>
        </w:rPr>
        <w:t xml:space="preserve">In support of its petition for judicial review, </w:t>
      </w:r>
      <w:r>
        <w:rPr>
          <w:sz w:val="24"/>
        </w:rPr>
        <w:t xml:space="preserve">Public Counsel </w:t>
      </w:r>
      <w:r w:rsidR="00E353DD">
        <w:rPr>
          <w:sz w:val="24"/>
        </w:rPr>
        <w:t>specifically addressed</w:t>
      </w:r>
      <w:r>
        <w:rPr>
          <w:sz w:val="24"/>
        </w:rPr>
        <w:t xml:space="preserve"> the Commission’</w:t>
      </w:r>
      <w:r w:rsidR="00E353DD">
        <w:rPr>
          <w:sz w:val="24"/>
        </w:rPr>
        <w:t>s decision not to reduce PSE’s cost of equity due to decoupling.  This issue</w:t>
      </w:r>
      <w:r w:rsidR="005A7FE1">
        <w:rPr>
          <w:sz w:val="24"/>
        </w:rPr>
        <w:t>, therefore,</w:t>
      </w:r>
      <w:r w:rsidR="00E353DD">
        <w:rPr>
          <w:sz w:val="24"/>
        </w:rPr>
        <w:t xml:space="preserve"> was before Judge Murphy</w:t>
      </w:r>
      <w:r w:rsidR="005A7FE1">
        <w:rPr>
          <w:sz w:val="24"/>
        </w:rPr>
        <w:t xml:space="preserve"> and should not be relitigated. Out of respect for judicial </w:t>
      </w:r>
      <w:r w:rsidR="005A7FE1">
        <w:rPr>
          <w:sz w:val="24"/>
        </w:rPr>
        <w:lastRenderedPageBreak/>
        <w:t>economy, the Commission should not take up this issue in the remand proceeding in a way that would allow the same issue to be appealed again</w:t>
      </w:r>
      <w:r w:rsidR="00E353DD">
        <w:rPr>
          <w:sz w:val="24"/>
        </w:rPr>
        <w:t>.</w:t>
      </w:r>
      <w:r w:rsidR="005A7FE1">
        <w:rPr>
          <w:sz w:val="24"/>
        </w:rPr>
        <w:t xml:space="preserve">  Judge Murphy’s letter ruling makes no mention of any error in the Commission’s decision to not reduce PSE’s ROE for the effects of decoupling and to wait until </w:t>
      </w:r>
      <w:r w:rsidR="000E581F">
        <w:rPr>
          <w:sz w:val="24"/>
        </w:rPr>
        <w:t>PSE’s</w:t>
      </w:r>
      <w:r w:rsidR="005A7FE1">
        <w:rPr>
          <w:sz w:val="24"/>
        </w:rPr>
        <w:t xml:space="preserve"> next general rate case to evaluate this issue on a more robust record.</w:t>
      </w:r>
      <w:r w:rsidR="000E581F">
        <w:rPr>
          <w:sz w:val="24"/>
        </w:rPr>
        <w:t xml:space="preserve">  This portion of the Commission’s decision still stands and need not be revisited.</w:t>
      </w:r>
    </w:p>
    <w:p w14:paraId="228C2238" w14:textId="77777777" w:rsidR="000E581F" w:rsidRDefault="00D66922" w:rsidP="00D2024D">
      <w:pPr>
        <w:numPr>
          <w:ilvl w:val="0"/>
          <w:numId w:val="2"/>
        </w:numPr>
        <w:spacing w:line="480" w:lineRule="auto"/>
        <w:rPr>
          <w:sz w:val="24"/>
        </w:rPr>
      </w:pPr>
      <w:r>
        <w:rPr>
          <w:sz w:val="24"/>
        </w:rPr>
        <w:tab/>
      </w:r>
      <w:r w:rsidR="000E581F">
        <w:rPr>
          <w:sz w:val="24"/>
        </w:rPr>
        <w:t xml:space="preserve">In the </w:t>
      </w:r>
      <w:r w:rsidR="003A772F">
        <w:rPr>
          <w:sz w:val="24"/>
        </w:rPr>
        <w:t>e</w:t>
      </w:r>
      <w:r w:rsidR="000E581F">
        <w:rPr>
          <w:sz w:val="24"/>
        </w:rPr>
        <w:t xml:space="preserve">vent </w:t>
      </w:r>
      <w:r w:rsidR="003A772F">
        <w:rPr>
          <w:sz w:val="24"/>
        </w:rPr>
        <w:t>the Commission decides to discuss</w:t>
      </w:r>
      <w:r w:rsidR="000E581F">
        <w:rPr>
          <w:sz w:val="24"/>
        </w:rPr>
        <w:t xml:space="preserve"> </w:t>
      </w:r>
      <w:r w:rsidR="003A772F">
        <w:rPr>
          <w:sz w:val="24"/>
        </w:rPr>
        <w:t>the issue of the effect of d</w:t>
      </w:r>
      <w:r w:rsidR="000E581F">
        <w:rPr>
          <w:sz w:val="24"/>
        </w:rPr>
        <w:t xml:space="preserve">ecoupling </w:t>
      </w:r>
      <w:r>
        <w:rPr>
          <w:sz w:val="24"/>
        </w:rPr>
        <w:t>on risk in this</w:t>
      </w:r>
      <w:r w:rsidR="003A772F">
        <w:rPr>
          <w:sz w:val="24"/>
        </w:rPr>
        <w:t xml:space="preserve"> remand</w:t>
      </w:r>
      <w:r>
        <w:rPr>
          <w:sz w:val="24"/>
        </w:rPr>
        <w:t xml:space="preserve"> phase</w:t>
      </w:r>
      <w:r w:rsidR="003A772F">
        <w:rPr>
          <w:sz w:val="24"/>
        </w:rPr>
        <w:t xml:space="preserve">, Staff recommends that the Commission </w:t>
      </w:r>
      <w:r>
        <w:rPr>
          <w:sz w:val="24"/>
        </w:rPr>
        <w:t>confirm its prior decision and wait</w:t>
      </w:r>
      <w:r w:rsidR="003A772F">
        <w:rPr>
          <w:sz w:val="24"/>
        </w:rPr>
        <w:t xml:space="preserve"> until PSE’s next general rate case to conduct a full review of this issue.  At that time, </w:t>
      </w:r>
      <w:r>
        <w:rPr>
          <w:sz w:val="24"/>
        </w:rPr>
        <w:t>the Commission</w:t>
      </w:r>
      <w:r w:rsidR="003A772F">
        <w:rPr>
          <w:sz w:val="24"/>
        </w:rPr>
        <w:t xml:space="preserve"> will have two to three years of earnings evidence and will be able to concurrently evaluate other mechanisms that may reduce or add to PSE’s risk.</w:t>
      </w:r>
      <w:r>
        <w:rPr>
          <w:sz w:val="24"/>
        </w:rPr>
        <w:t xml:space="preserve">  This empirical evidence and </w:t>
      </w:r>
      <w:r w:rsidR="006127D2">
        <w:rPr>
          <w:sz w:val="24"/>
        </w:rPr>
        <w:t xml:space="preserve">this </w:t>
      </w:r>
      <w:r>
        <w:rPr>
          <w:sz w:val="24"/>
        </w:rPr>
        <w:t xml:space="preserve">breadth of evidence </w:t>
      </w:r>
      <w:r w:rsidR="006127D2">
        <w:rPr>
          <w:sz w:val="24"/>
        </w:rPr>
        <w:t>can provide greater confidence in identifying the need for and quantifying any adjustment that the Commission may decide to make to PSE’s rate of return.</w:t>
      </w:r>
    </w:p>
    <w:p w14:paraId="228C2239" w14:textId="77777777" w:rsidR="00F748D8" w:rsidRDefault="00860D8D" w:rsidP="00D2024D">
      <w:pPr>
        <w:spacing w:line="240" w:lineRule="exact"/>
        <w:jc w:val="center"/>
        <w:rPr>
          <w:b/>
          <w:sz w:val="24"/>
        </w:rPr>
      </w:pPr>
      <w:r>
        <w:rPr>
          <w:b/>
          <w:sz w:val="24"/>
        </w:rPr>
        <w:t>IV.</w:t>
      </w:r>
      <w:r>
        <w:rPr>
          <w:b/>
          <w:sz w:val="24"/>
        </w:rPr>
        <w:tab/>
      </w:r>
      <w:r w:rsidRPr="00860D8D">
        <w:rPr>
          <w:b/>
          <w:sz w:val="24"/>
        </w:rPr>
        <w:t>CONCLUSION</w:t>
      </w:r>
    </w:p>
    <w:p w14:paraId="1D460440" w14:textId="77777777" w:rsidR="00D2024D" w:rsidRPr="00860D8D" w:rsidRDefault="00D2024D" w:rsidP="00D2024D">
      <w:pPr>
        <w:spacing w:line="240" w:lineRule="exact"/>
        <w:jc w:val="center"/>
        <w:rPr>
          <w:b/>
          <w:sz w:val="24"/>
        </w:rPr>
      </w:pPr>
    </w:p>
    <w:p w14:paraId="56725AB5" w14:textId="77777777" w:rsidR="00D2024D" w:rsidRDefault="00BB3843" w:rsidP="00D2024D">
      <w:pPr>
        <w:numPr>
          <w:ilvl w:val="0"/>
          <w:numId w:val="2"/>
        </w:numPr>
        <w:spacing w:line="480" w:lineRule="auto"/>
        <w:rPr>
          <w:sz w:val="24"/>
        </w:rPr>
      </w:pPr>
      <w:r>
        <w:rPr>
          <w:sz w:val="24"/>
        </w:rPr>
        <w:tab/>
      </w:r>
      <w:r w:rsidR="009C1BB1">
        <w:rPr>
          <w:sz w:val="24"/>
        </w:rPr>
        <w:t xml:space="preserve">In this phase of the proceeding, Staff </w:t>
      </w:r>
      <w:r w:rsidR="00BE2394">
        <w:rPr>
          <w:sz w:val="24"/>
        </w:rPr>
        <w:t xml:space="preserve">views </w:t>
      </w:r>
      <w:r w:rsidR="00936DD0">
        <w:rPr>
          <w:sz w:val="24"/>
        </w:rPr>
        <w:t xml:space="preserve">its main task as contributing to the creation of a record containing the </w:t>
      </w:r>
      <w:r w:rsidR="00AB0256">
        <w:rPr>
          <w:sz w:val="24"/>
        </w:rPr>
        <w:t>“depth and breadth of data analysis, and the diversity of expert evaluation and opinion on which the Commission customarily relies in setting return on equity.”</w:t>
      </w:r>
      <w:r w:rsidR="00AB0256">
        <w:rPr>
          <w:rStyle w:val="FootnoteReference"/>
          <w:sz w:val="24"/>
        </w:rPr>
        <w:footnoteReference w:id="43"/>
      </w:r>
      <w:r w:rsidR="00936DD0">
        <w:rPr>
          <w:sz w:val="24"/>
        </w:rPr>
        <w:t xml:space="preserve">  </w:t>
      </w:r>
      <w:r w:rsidR="009C1BB1">
        <w:rPr>
          <w:sz w:val="24"/>
        </w:rPr>
        <w:t xml:space="preserve">For this purpose, Staff </w:t>
      </w:r>
      <w:r w:rsidR="009411C1">
        <w:rPr>
          <w:sz w:val="24"/>
        </w:rPr>
        <w:t xml:space="preserve">conducted the </w:t>
      </w:r>
      <w:r w:rsidR="009C1BB1">
        <w:rPr>
          <w:sz w:val="24"/>
        </w:rPr>
        <w:t xml:space="preserve">analysis it could have </w:t>
      </w:r>
      <w:r w:rsidR="00500F56">
        <w:rPr>
          <w:sz w:val="24"/>
        </w:rPr>
        <w:t>carried out</w:t>
      </w:r>
      <w:r w:rsidR="00AF5986">
        <w:rPr>
          <w:sz w:val="24"/>
        </w:rPr>
        <w:t xml:space="preserve"> </w:t>
      </w:r>
      <w:r w:rsidR="009C1BB1">
        <w:rPr>
          <w:sz w:val="24"/>
        </w:rPr>
        <w:t>in early 2013 had it believed cost of equity to be part of the case</w:t>
      </w:r>
      <w:r>
        <w:rPr>
          <w:sz w:val="24"/>
        </w:rPr>
        <w:t>.</w:t>
      </w:r>
      <w:r w:rsidR="009C1BB1">
        <w:rPr>
          <w:sz w:val="24"/>
        </w:rPr>
        <w:t xml:space="preserve">  Staff’s analysis</w:t>
      </w:r>
      <w:r w:rsidR="001B34D7">
        <w:rPr>
          <w:sz w:val="24"/>
        </w:rPr>
        <w:t xml:space="preserve">, which </w:t>
      </w:r>
      <w:r w:rsidR="009411C1">
        <w:rPr>
          <w:sz w:val="24"/>
        </w:rPr>
        <w:t>results in</w:t>
      </w:r>
      <w:r w:rsidR="001B34D7">
        <w:rPr>
          <w:sz w:val="24"/>
        </w:rPr>
        <w:t xml:space="preserve"> a </w:t>
      </w:r>
      <w:r w:rsidR="009411C1">
        <w:rPr>
          <w:sz w:val="24"/>
        </w:rPr>
        <w:t>recommended cost of equity</w:t>
      </w:r>
      <w:r w:rsidR="001B34D7">
        <w:rPr>
          <w:sz w:val="24"/>
        </w:rPr>
        <w:t xml:space="preserve"> of 9.5 percent </w:t>
      </w:r>
      <w:r w:rsidR="00515423">
        <w:rPr>
          <w:sz w:val="24"/>
        </w:rPr>
        <w:t xml:space="preserve">with </w:t>
      </w:r>
      <w:r w:rsidR="001B34D7">
        <w:rPr>
          <w:sz w:val="24"/>
        </w:rPr>
        <w:t xml:space="preserve">a range of reasonable equity returns from </w:t>
      </w:r>
    </w:p>
    <w:p w14:paraId="5DE76934" w14:textId="77777777" w:rsidR="00D2024D" w:rsidRDefault="00D2024D" w:rsidP="00D2024D">
      <w:pPr>
        <w:widowControl/>
        <w:autoSpaceDE/>
        <w:autoSpaceDN/>
        <w:adjustRightInd/>
        <w:spacing w:line="240" w:lineRule="exact"/>
        <w:rPr>
          <w:sz w:val="24"/>
        </w:rPr>
      </w:pPr>
      <w:r>
        <w:rPr>
          <w:sz w:val="24"/>
        </w:rPr>
        <w:br w:type="page"/>
      </w:r>
    </w:p>
    <w:p w14:paraId="228C223A" w14:textId="7C0EC6A4" w:rsidR="00BB3843" w:rsidRDefault="001B34D7" w:rsidP="00D2024D">
      <w:pPr>
        <w:spacing w:line="480" w:lineRule="auto"/>
        <w:rPr>
          <w:sz w:val="24"/>
        </w:rPr>
      </w:pPr>
      <w:r>
        <w:rPr>
          <w:sz w:val="24"/>
        </w:rPr>
        <w:lastRenderedPageBreak/>
        <w:t>9.0 to 10.0 percent,</w:t>
      </w:r>
      <w:r w:rsidR="009C1BB1">
        <w:rPr>
          <w:sz w:val="24"/>
        </w:rPr>
        <w:t xml:space="preserve"> </w:t>
      </w:r>
      <w:r>
        <w:rPr>
          <w:sz w:val="24"/>
        </w:rPr>
        <w:t>indicates</w:t>
      </w:r>
      <w:r w:rsidR="009C1BB1">
        <w:rPr>
          <w:sz w:val="24"/>
        </w:rPr>
        <w:t xml:space="preserve"> that the Commission could </w:t>
      </w:r>
      <w:r>
        <w:rPr>
          <w:sz w:val="24"/>
        </w:rPr>
        <w:t xml:space="preserve">reduce PSE’s authorized </w:t>
      </w:r>
      <w:r w:rsidR="009411C1">
        <w:rPr>
          <w:sz w:val="24"/>
        </w:rPr>
        <w:t xml:space="preserve">cost of </w:t>
      </w:r>
      <w:r>
        <w:rPr>
          <w:sz w:val="24"/>
        </w:rPr>
        <w:t xml:space="preserve">equity, raise it, or maintain the Company’s </w:t>
      </w:r>
      <w:r w:rsidR="00D663F6">
        <w:rPr>
          <w:sz w:val="24"/>
        </w:rPr>
        <w:t xml:space="preserve">existing </w:t>
      </w:r>
      <w:r w:rsidR="009411C1">
        <w:rPr>
          <w:sz w:val="24"/>
        </w:rPr>
        <w:t>equity return</w:t>
      </w:r>
      <w:r w:rsidR="00D663F6">
        <w:rPr>
          <w:sz w:val="24"/>
        </w:rPr>
        <w:t xml:space="preserve"> </w:t>
      </w:r>
      <w:r w:rsidR="009411C1">
        <w:rPr>
          <w:sz w:val="24"/>
        </w:rPr>
        <w:t>at</w:t>
      </w:r>
      <w:r>
        <w:rPr>
          <w:sz w:val="24"/>
        </w:rPr>
        <w:t xml:space="preserve"> 9.80 percent.</w:t>
      </w:r>
    </w:p>
    <w:p w14:paraId="228C223C" w14:textId="6DA777F6" w:rsidR="00F748D8" w:rsidRPr="00EE1CD1" w:rsidRDefault="00F748D8" w:rsidP="009C2E88">
      <w:pPr>
        <w:spacing w:line="480" w:lineRule="auto"/>
        <w:ind w:left="720"/>
        <w:rPr>
          <w:sz w:val="24"/>
        </w:rPr>
      </w:pPr>
      <w:r w:rsidRPr="00EE1CD1">
        <w:rPr>
          <w:sz w:val="24"/>
        </w:rPr>
        <w:t xml:space="preserve">DATED this </w:t>
      </w:r>
      <w:r w:rsidR="00174D20">
        <w:rPr>
          <w:sz w:val="24"/>
        </w:rPr>
        <w:t>6</w:t>
      </w:r>
      <w:r w:rsidR="00D7253F">
        <w:rPr>
          <w:sz w:val="24"/>
        </w:rPr>
        <w:t>th</w:t>
      </w:r>
      <w:r w:rsidRPr="00EE1CD1">
        <w:rPr>
          <w:sz w:val="24"/>
        </w:rPr>
        <w:t xml:space="preserve"> day of </w:t>
      </w:r>
      <w:r w:rsidR="00D7253F">
        <w:rPr>
          <w:sz w:val="24"/>
        </w:rPr>
        <w:t>March</w:t>
      </w:r>
      <w:r w:rsidR="00EC5B23" w:rsidRPr="00EE1CD1">
        <w:rPr>
          <w:sz w:val="24"/>
        </w:rPr>
        <w:t>,</w:t>
      </w:r>
      <w:r w:rsidRPr="00EE1CD1">
        <w:rPr>
          <w:sz w:val="24"/>
        </w:rPr>
        <w:t xml:space="preserve"> 20</w:t>
      </w:r>
      <w:r w:rsidR="004A26FF" w:rsidRPr="00EE1CD1">
        <w:rPr>
          <w:sz w:val="24"/>
        </w:rPr>
        <w:t>1</w:t>
      </w:r>
      <w:r w:rsidR="00D7253F">
        <w:rPr>
          <w:sz w:val="24"/>
        </w:rPr>
        <w:t>5</w:t>
      </w:r>
      <w:r w:rsidRPr="00EE1CD1">
        <w:rPr>
          <w:sz w:val="24"/>
        </w:rPr>
        <w:t>.</w:t>
      </w:r>
    </w:p>
    <w:p w14:paraId="228C223D" w14:textId="77777777" w:rsidR="00F748D8" w:rsidRPr="00EE1CD1" w:rsidRDefault="00F748D8" w:rsidP="00D2024D">
      <w:pPr>
        <w:ind w:left="720"/>
        <w:rPr>
          <w:sz w:val="24"/>
        </w:rPr>
      </w:pPr>
      <w:r w:rsidRPr="00EE1CD1">
        <w:rPr>
          <w:sz w:val="24"/>
        </w:rPr>
        <w:tab/>
      </w:r>
      <w:r w:rsidRPr="00EE1CD1">
        <w:rPr>
          <w:sz w:val="24"/>
        </w:rPr>
        <w:tab/>
      </w:r>
      <w:r w:rsidRPr="00EE1CD1">
        <w:rPr>
          <w:sz w:val="24"/>
        </w:rPr>
        <w:tab/>
      </w:r>
      <w:r w:rsidRPr="00EE1CD1">
        <w:rPr>
          <w:sz w:val="24"/>
        </w:rPr>
        <w:tab/>
      </w:r>
      <w:r w:rsidRPr="00EE1CD1">
        <w:rPr>
          <w:sz w:val="24"/>
        </w:rPr>
        <w:tab/>
      </w:r>
      <w:r w:rsidRPr="00EE1CD1">
        <w:rPr>
          <w:sz w:val="24"/>
        </w:rPr>
        <w:tab/>
        <w:t xml:space="preserve">Respectfully submitted, </w:t>
      </w:r>
    </w:p>
    <w:p w14:paraId="228C223E" w14:textId="77777777" w:rsidR="00F748D8" w:rsidRPr="00EE1CD1" w:rsidRDefault="00F748D8" w:rsidP="00D2024D">
      <w:pPr>
        <w:pStyle w:val="BodyTextIndent2"/>
        <w:rPr>
          <w:rFonts w:ascii="Times New Roman" w:hAnsi="Times New Roman"/>
        </w:rPr>
      </w:pPr>
    </w:p>
    <w:p w14:paraId="228C223F" w14:textId="77777777" w:rsidR="00F748D8" w:rsidRPr="00EE1CD1" w:rsidRDefault="00F748D8" w:rsidP="00D2024D">
      <w:pPr>
        <w:ind w:left="5040"/>
        <w:jc w:val="both"/>
        <w:rPr>
          <w:sz w:val="24"/>
        </w:rPr>
      </w:pPr>
      <w:r w:rsidRPr="00EE1CD1">
        <w:rPr>
          <w:sz w:val="24"/>
        </w:rPr>
        <w:t>ROB</w:t>
      </w:r>
      <w:r w:rsidR="00BF3CD1" w:rsidRPr="00EE1CD1">
        <w:rPr>
          <w:sz w:val="24"/>
        </w:rPr>
        <w:t xml:space="preserve">ERT </w:t>
      </w:r>
      <w:r w:rsidR="009D3E3D" w:rsidRPr="00EE1CD1">
        <w:rPr>
          <w:sz w:val="24"/>
        </w:rPr>
        <w:t>W. FERGUSON</w:t>
      </w:r>
      <w:r w:rsidRPr="00EE1CD1">
        <w:rPr>
          <w:sz w:val="24"/>
        </w:rPr>
        <w:t xml:space="preserve"> </w:t>
      </w:r>
    </w:p>
    <w:p w14:paraId="228C2240" w14:textId="77777777" w:rsidR="00F748D8" w:rsidRDefault="00F748D8" w:rsidP="00D2024D">
      <w:pPr>
        <w:ind w:firstLine="5040"/>
        <w:jc w:val="both"/>
        <w:rPr>
          <w:sz w:val="24"/>
        </w:rPr>
      </w:pPr>
      <w:r w:rsidRPr="00EE1CD1">
        <w:rPr>
          <w:sz w:val="24"/>
        </w:rPr>
        <w:t>Attorney General</w:t>
      </w:r>
    </w:p>
    <w:p w14:paraId="156EABE5" w14:textId="77777777" w:rsidR="00D2024D" w:rsidRPr="00EE1CD1" w:rsidRDefault="00D2024D" w:rsidP="00D2024D">
      <w:pPr>
        <w:ind w:firstLine="5040"/>
        <w:jc w:val="both"/>
        <w:rPr>
          <w:sz w:val="24"/>
        </w:rPr>
      </w:pPr>
    </w:p>
    <w:p w14:paraId="228C2241" w14:textId="77777777" w:rsidR="00F748D8" w:rsidRDefault="00F748D8" w:rsidP="00D2024D">
      <w:pPr>
        <w:jc w:val="both"/>
        <w:rPr>
          <w:sz w:val="24"/>
        </w:rPr>
      </w:pPr>
    </w:p>
    <w:p w14:paraId="228C2243" w14:textId="77777777" w:rsidR="00F748D8" w:rsidRPr="00EE1CD1" w:rsidRDefault="00F748D8" w:rsidP="00D2024D">
      <w:pPr>
        <w:ind w:left="1440" w:firstLine="3600"/>
        <w:jc w:val="both"/>
        <w:rPr>
          <w:sz w:val="24"/>
        </w:rPr>
      </w:pPr>
      <w:r w:rsidRPr="00EE1CD1">
        <w:rPr>
          <w:sz w:val="24"/>
        </w:rPr>
        <w:t>______________________________</w:t>
      </w:r>
      <w:r w:rsidR="00EC5B23" w:rsidRPr="00EE1CD1">
        <w:rPr>
          <w:sz w:val="24"/>
        </w:rPr>
        <w:t>__</w:t>
      </w:r>
    </w:p>
    <w:p w14:paraId="228C2244" w14:textId="77777777" w:rsidR="00F748D8" w:rsidRPr="00EE1CD1" w:rsidRDefault="00EC5B23" w:rsidP="00D2024D">
      <w:pPr>
        <w:ind w:firstLine="5040"/>
        <w:jc w:val="both"/>
        <w:rPr>
          <w:sz w:val="24"/>
        </w:rPr>
      </w:pPr>
      <w:r w:rsidRPr="00EE1CD1">
        <w:rPr>
          <w:sz w:val="24"/>
        </w:rPr>
        <w:t>JENNIFER CAMERON-RULKOWSKI</w:t>
      </w:r>
    </w:p>
    <w:p w14:paraId="228C2245" w14:textId="77777777" w:rsidR="00F748D8" w:rsidRPr="00EE1CD1" w:rsidRDefault="00F748D8" w:rsidP="00D2024D">
      <w:pPr>
        <w:ind w:left="1440" w:firstLine="3600"/>
        <w:jc w:val="both"/>
        <w:rPr>
          <w:sz w:val="24"/>
        </w:rPr>
      </w:pPr>
      <w:r w:rsidRPr="00EE1CD1">
        <w:rPr>
          <w:sz w:val="24"/>
        </w:rPr>
        <w:t>Assistant Attorney General</w:t>
      </w:r>
    </w:p>
    <w:p w14:paraId="228C2246" w14:textId="77777777" w:rsidR="00F748D8" w:rsidRPr="00EE1CD1" w:rsidRDefault="00F748D8" w:rsidP="00D2024D">
      <w:pPr>
        <w:ind w:left="2160" w:firstLine="2880"/>
        <w:jc w:val="both"/>
        <w:rPr>
          <w:sz w:val="24"/>
        </w:rPr>
      </w:pPr>
      <w:r w:rsidRPr="00EE1CD1">
        <w:rPr>
          <w:sz w:val="24"/>
        </w:rPr>
        <w:t>Counsel for Washington Utilities and</w:t>
      </w:r>
    </w:p>
    <w:p w14:paraId="228C2247" w14:textId="77777777" w:rsidR="00F748D8" w:rsidRPr="00EE1CD1" w:rsidRDefault="004F69A5" w:rsidP="00D2024D">
      <w:pPr>
        <w:ind w:left="2880" w:firstLine="2160"/>
        <w:jc w:val="both"/>
        <w:rPr>
          <w:sz w:val="24"/>
        </w:rPr>
      </w:pPr>
      <w:r w:rsidRPr="00EE1CD1">
        <w:rPr>
          <w:sz w:val="24"/>
        </w:rPr>
        <w:t>Transportation Commission</w:t>
      </w:r>
      <w:r w:rsidR="005E07C2" w:rsidRPr="00EE1CD1">
        <w:rPr>
          <w:sz w:val="24"/>
        </w:rPr>
        <w:t xml:space="preserve"> Staff</w:t>
      </w:r>
    </w:p>
    <w:sectPr w:rsidR="00F748D8" w:rsidRPr="00EE1CD1" w:rsidSect="00B36EA3">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61D6D" w14:textId="77777777" w:rsidR="004A1C2D" w:rsidRDefault="004A1C2D">
      <w:r>
        <w:separator/>
      </w:r>
    </w:p>
  </w:endnote>
  <w:endnote w:type="continuationSeparator" w:id="0">
    <w:p w14:paraId="6B859165" w14:textId="77777777" w:rsidR="004A1C2D" w:rsidRDefault="004A1C2D">
      <w:r>
        <w:continuationSeparator/>
      </w:r>
    </w:p>
  </w:endnote>
  <w:endnote w:type="continuationNotice" w:id="1">
    <w:p w14:paraId="10655A95" w14:textId="77777777" w:rsidR="00C074BF" w:rsidRDefault="00C07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D05" w14:textId="4E409084" w:rsidR="004A1C2D" w:rsidRPr="00B36EA3" w:rsidRDefault="004A1C2D" w:rsidP="00B36EA3">
    <w:pPr>
      <w:pStyle w:val="Footer"/>
    </w:pPr>
    <w:r>
      <w:t xml:space="preserve">INITIAL BRIEF OF COMMISSION STAFF - </w:t>
    </w:r>
    <w:r>
      <w:fldChar w:fldCharType="begin"/>
    </w:r>
    <w:r>
      <w:instrText xml:space="preserve"> PAGE   \* MERGEFORMAT </w:instrText>
    </w:r>
    <w:r>
      <w:fldChar w:fldCharType="separate"/>
    </w:r>
    <w:r w:rsidR="000451F5">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28D10" w14:textId="77777777" w:rsidR="004A1C2D" w:rsidRDefault="004A1C2D">
      <w:r>
        <w:separator/>
      </w:r>
    </w:p>
  </w:footnote>
  <w:footnote w:type="continuationSeparator" w:id="0">
    <w:p w14:paraId="2A7C3B77" w14:textId="77777777" w:rsidR="004A1C2D" w:rsidRDefault="004A1C2D">
      <w:r>
        <w:continuationSeparator/>
      </w:r>
    </w:p>
  </w:footnote>
  <w:footnote w:type="continuationNotice" w:id="1">
    <w:p w14:paraId="7E86457B" w14:textId="77777777" w:rsidR="00C074BF" w:rsidRDefault="00C074BF"/>
  </w:footnote>
  <w:footnote w:id="2">
    <w:p w14:paraId="228C224E" w14:textId="68099608" w:rsidR="004A1C2D" w:rsidRDefault="004A1C2D">
      <w:pPr>
        <w:pStyle w:val="FootnoteText"/>
      </w:pPr>
      <w:r>
        <w:rPr>
          <w:rStyle w:val="FootnoteReference"/>
        </w:rPr>
        <w:footnoteRef/>
      </w:r>
      <w:r>
        <w:t xml:space="preserve"> </w:t>
      </w:r>
      <w:r w:rsidRPr="009E45A9">
        <w:rPr>
          <w:i/>
        </w:rPr>
        <w:t xml:space="preserve">In the Matter of the Petition of Puget Sound Energy, Inc., and Northwest Energy Coalition </w:t>
      </w:r>
      <w:r>
        <w:rPr>
          <w:i/>
        </w:rPr>
        <w:t>f</w:t>
      </w:r>
      <w:r w:rsidRPr="009E45A9">
        <w:rPr>
          <w:i/>
        </w:rPr>
        <w:t>or an Order Authorizing PSE to Implement Electric and Natural Gas Decoupling Mechanisms and to Record Accounting Entries Associated With the Mechanisms,</w:t>
      </w:r>
      <w:r>
        <w:t xml:space="preserve"> Dockets UE-121697 and UG-121705 (consolidated)</w:t>
      </w:r>
      <w:r w:rsidR="00BF3C16">
        <w:t xml:space="preserve"> (“Decoupling Dockets”)</w:t>
      </w:r>
      <w:r>
        <w:t>.</w:t>
      </w:r>
    </w:p>
  </w:footnote>
  <w:footnote w:id="3">
    <w:p w14:paraId="228C224F" w14:textId="0E64F4F4" w:rsidR="004A1C2D" w:rsidRDefault="004A1C2D">
      <w:pPr>
        <w:pStyle w:val="FootnoteText"/>
      </w:pPr>
      <w:r>
        <w:rPr>
          <w:rStyle w:val="FootnoteReference"/>
        </w:rPr>
        <w:footnoteRef/>
      </w:r>
      <w:r>
        <w:rPr>
          <w:i/>
        </w:rPr>
        <w:t xml:space="preserve"> Util</w:t>
      </w:r>
      <w:r w:rsidRPr="00E94DA6">
        <w:rPr>
          <w:i/>
        </w:rPr>
        <w:t>s</w:t>
      </w:r>
      <w:r>
        <w:rPr>
          <w:i/>
        </w:rPr>
        <w:t>. &amp; Transp. Comm’</w:t>
      </w:r>
      <w:r w:rsidRPr="00E94DA6">
        <w:rPr>
          <w:i/>
        </w:rPr>
        <w:t>n v. Puget Sound Energy, Inc.</w:t>
      </w:r>
      <w:r>
        <w:t>, Dockets UE-130137 and UG-130138.</w:t>
      </w:r>
    </w:p>
  </w:footnote>
  <w:footnote w:id="4">
    <w:p w14:paraId="228C2250" w14:textId="77777777" w:rsidR="004A1C2D" w:rsidRDefault="004A1C2D">
      <w:pPr>
        <w:pStyle w:val="FootnoteText"/>
      </w:pPr>
      <w:r>
        <w:rPr>
          <w:rStyle w:val="FootnoteReference"/>
        </w:rPr>
        <w:footnoteRef/>
      </w:r>
      <w:r>
        <w:t xml:space="preserve"> Order 07 at ¶ 137, ¶ 173.</w:t>
      </w:r>
    </w:p>
  </w:footnote>
  <w:footnote w:id="5">
    <w:p w14:paraId="228C2251" w14:textId="77777777" w:rsidR="004A1C2D" w:rsidRDefault="004A1C2D">
      <w:pPr>
        <w:pStyle w:val="FootnoteText"/>
      </w:pPr>
      <w:r>
        <w:rPr>
          <w:rStyle w:val="FootnoteReference"/>
        </w:rPr>
        <w:footnoteRef/>
      </w:r>
      <w:r>
        <w:t xml:space="preserve"> ¶ 137.</w:t>
      </w:r>
    </w:p>
  </w:footnote>
  <w:footnote w:id="6">
    <w:p w14:paraId="228C2252" w14:textId="77777777" w:rsidR="004A1C2D" w:rsidRDefault="004A1C2D">
      <w:pPr>
        <w:pStyle w:val="FootnoteText"/>
      </w:pPr>
      <w:r>
        <w:rPr>
          <w:rStyle w:val="FootnoteReference"/>
        </w:rPr>
        <w:footnoteRef/>
      </w:r>
      <w:r>
        <w:t xml:space="preserve"> ¶¶ 21–25.</w:t>
      </w:r>
    </w:p>
  </w:footnote>
  <w:footnote w:id="7">
    <w:p w14:paraId="228C2253" w14:textId="77777777" w:rsidR="004A1C2D" w:rsidRDefault="004A1C2D">
      <w:pPr>
        <w:pStyle w:val="FootnoteText"/>
      </w:pPr>
      <w:r>
        <w:rPr>
          <w:rStyle w:val="FootnoteReference"/>
        </w:rPr>
        <w:footnoteRef/>
      </w:r>
      <w:r>
        <w:t xml:space="preserve"> ¶¶44–49.</w:t>
      </w:r>
    </w:p>
  </w:footnote>
  <w:footnote w:id="8">
    <w:p w14:paraId="228C2254" w14:textId="77777777" w:rsidR="004A1C2D" w:rsidRDefault="004A1C2D">
      <w:pPr>
        <w:pStyle w:val="FootnoteText"/>
      </w:pPr>
      <w:r>
        <w:rPr>
          <w:rStyle w:val="FootnoteReference"/>
        </w:rPr>
        <w:footnoteRef/>
      </w:r>
      <w:r>
        <w:t xml:space="preserve"> Note 72.</w:t>
      </w:r>
    </w:p>
  </w:footnote>
  <w:footnote w:id="9">
    <w:p w14:paraId="228C2255" w14:textId="77777777" w:rsidR="004A1C2D" w:rsidRDefault="004A1C2D">
      <w:pPr>
        <w:pStyle w:val="FootnoteText"/>
      </w:pPr>
      <w:r>
        <w:rPr>
          <w:rStyle w:val="FootnoteReference"/>
        </w:rPr>
        <w:footnoteRef/>
      </w:r>
      <w:r>
        <w:t xml:space="preserve"> Order 07 at ¶ 58.</w:t>
      </w:r>
    </w:p>
  </w:footnote>
  <w:footnote w:id="10">
    <w:p w14:paraId="228C2256" w14:textId="77777777" w:rsidR="004A1C2D" w:rsidRDefault="004A1C2D">
      <w:pPr>
        <w:pStyle w:val="FootnoteText"/>
      </w:pPr>
      <w:r>
        <w:rPr>
          <w:rStyle w:val="FootnoteReference"/>
        </w:rPr>
        <w:footnoteRef/>
      </w:r>
      <w:r>
        <w:t xml:space="preserve"> Order 07 at ¶ 107.</w:t>
      </w:r>
    </w:p>
  </w:footnote>
  <w:footnote w:id="11">
    <w:p w14:paraId="228C2257" w14:textId="77777777" w:rsidR="004A1C2D" w:rsidRDefault="004A1C2D">
      <w:pPr>
        <w:pStyle w:val="FootnoteText"/>
      </w:pPr>
      <w:r>
        <w:rPr>
          <w:rStyle w:val="FootnoteReference"/>
        </w:rPr>
        <w:footnoteRef/>
      </w:r>
      <w:r>
        <w:t xml:space="preserve"> Order 07 at ¶ 107.</w:t>
      </w:r>
    </w:p>
  </w:footnote>
  <w:footnote w:id="12">
    <w:p w14:paraId="7DF019B3" w14:textId="42528F26" w:rsidR="003D6B45" w:rsidRDefault="003D6B45">
      <w:pPr>
        <w:pStyle w:val="FootnoteText"/>
      </w:pPr>
      <w:r>
        <w:rPr>
          <w:rStyle w:val="FootnoteReference"/>
        </w:rPr>
        <w:footnoteRef/>
      </w:r>
      <w:r>
        <w:t xml:space="preserve"> </w:t>
      </w:r>
      <w:r w:rsidRPr="003D6B45">
        <w:rPr>
          <w:i/>
        </w:rPr>
        <w:t>Ind</w:t>
      </w:r>
      <w:r w:rsidR="00A571DB">
        <w:rPr>
          <w:i/>
        </w:rPr>
        <w:t>us. Customers of Nw.</w:t>
      </w:r>
      <w:r>
        <w:rPr>
          <w:i/>
        </w:rPr>
        <w:t xml:space="preserve"> Util</w:t>
      </w:r>
      <w:r w:rsidRPr="003D6B45">
        <w:rPr>
          <w:i/>
        </w:rPr>
        <w:t>s</w:t>
      </w:r>
      <w:r>
        <w:rPr>
          <w:i/>
        </w:rPr>
        <w:t>. v. 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 xml:space="preserve">n and </w:t>
      </w:r>
      <w:r>
        <w:rPr>
          <w:i/>
        </w:rPr>
        <w:t>Wash.</w:t>
      </w:r>
      <w:r w:rsidRPr="003D6B45">
        <w:rPr>
          <w:i/>
        </w:rPr>
        <w:t xml:space="preserve"> State At</w:t>
      </w:r>
      <w:r>
        <w:rPr>
          <w:i/>
        </w:rPr>
        <w:t>torney G</w:t>
      </w:r>
      <w:r w:rsidRPr="003D6B45">
        <w:rPr>
          <w:i/>
        </w:rPr>
        <w:t>eneral’s</w:t>
      </w:r>
      <w:r w:rsidR="00A571DB">
        <w:rPr>
          <w:i/>
        </w:rPr>
        <w:t xml:space="preserve"> Office, Public Counsel Div.</w:t>
      </w:r>
      <w:r w:rsidRPr="003D6B45">
        <w:rPr>
          <w:i/>
        </w:rPr>
        <w:t xml:space="preserve"> v. </w:t>
      </w:r>
      <w:r>
        <w:rPr>
          <w:i/>
        </w:rPr>
        <w:t>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n</w:t>
      </w:r>
      <w:r>
        <w:t>, Thurston County Cause Nos.: 13-2-01576-</w:t>
      </w:r>
      <w:r w:rsidR="00A571DB">
        <w:t>2, 13-2-01582-7 (Consolidated)</w:t>
      </w:r>
      <w:r w:rsidR="00FD4AE7">
        <w:t>, on file in the ERF and Decoupling dockets</w:t>
      </w:r>
      <w:r>
        <w:t>.</w:t>
      </w:r>
    </w:p>
  </w:footnote>
  <w:footnote w:id="13">
    <w:p w14:paraId="734C991B" w14:textId="654253C0" w:rsidR="009F0080" w:rsidRDefault="009F0080">
      <w:pPr>
        <w:pStyle w:val="FootnoteText"/>
      </w:pPr>
      <w:r>
        <w:rPr>
          <w:rStyle w:val="FootnoteReference"/>
        </w:rPr>
        <w:footnoteRef/>
      </w:r>
      <w:r>
        <w:t xml:space="preserve"> </w:t>
      </w:r>
      <w:r w:rsidRPr="003D6B45">
        <w:rPr>
          <w:i/>
        </w:rPr>
        <w:t>Ind</w:t>
      </w:r>
      <w:r>
        <w:rPr>
          <w:i/>
        </w:rPr>
        <w:t>us. Customers of Nw. Util</w:t>
      </w:r>
      <w:r w:rsidRPr="003D6B45">
        <w:rPr>
          <w:i/>
        </w:rPr>
        <w:t>s</w:t>
      </w:r>
      <w:r>
        <w:rPr>
          <w:i/>
        </w:rPr>
        <w:t>. v. 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 xml:space="preserve">n and </w:t>
      </w:r>
      <w:r>
        <w:rPr>
          <w:i/>
        </w:rPr>
        <w:t>Wash.</w:t>
      </w:r>
      <w:r w:rsidRPr="003D6B45">
        <w:rPr>
          <w:i/>
        </w:rPr>
        <w:t xml:space="preserve"> State At</w:t>
      </w:r>
      <w:r>
        <w:rPr>
          <w:i/>
        </w:rPr>
        <w:t>torney G</w:t>
      </w:r>
      <w:r w:rsidRPr="003D6B45">
        <w:rPr>
          <w:i/>
        </w:rPr>
        <w:t>eneral’s</w:t>
      </w:r>
      <w:r>
        <w:rPr>
          <w:i/>
        </w:rPr>
        <w:t xml:space="preserve"> Office, Public Counsel Div.</w:t>
      </w:r>
      <w:r w:rsidRPr="003D6B45">
        <w:rPr>
          <w:i/>
        </w:rPr>
        <w:t xml:space="preserve"> v. </w:t>
      </w:r>
      <w:r>
        <w:rPr>
          <w:i/>
        </w:rPr>
        <w:t>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n</w:t>
      </w:r>
      <w:r>
        <w:t>, Thurston County Cause Nos.: 13-2-01576-2, 13-2-01582-7 (Consolidated), Order Granting in Part and Denying in Part Petitions for Judicial Review, on file in the ERF and Decoupling dockets.</w:t>
      </w:r>
    </w:p>
  </w:footnote>
  <w:footnote w:id="14">
    <w:p w14:paraId="228C2258" w14:textId="2907E584" w:rsidR="004A1C2D" w:rsidRDefault="004A1C2D">
      <w:pPr>
        <w:pStyle w:val="FootnoteText"/>
      </w:pPr>
      <w:r>
        <w:rPr>
          <w:rStyle w:val="FootnoteReference"/>
        </w:rPr>
        <w:footnoteRef/>
      </w:r>
      <w:r>
        <w:t xml:space="preserve"> Order 07 begins at Administrative Record (AR) page 944 and concludes at AR page 1059.  Commissioner Jones’ Separate Statement begins on AR 1060 and concludes on AR page 1063.  Section 2 of the Letter Ruling includes a citation to Commissioner Jones’ Separate Statement; to AR 989, which corresponds to page 25 of Order 07; and to AR 987, which corresponds to page 23 of Order 07.</w:t>
      </w:r>
    </w:p>
  </w:footnote>
  <w:footnote w:id="15">
    <w:p w14:paraId="228C2259" w14:textId="77777777" w:rsidR="004A1C2D" w:rsidRDefault="004A1C2D">
      <w:pPr>
        <w:pStyle w:val="FootnoteText"/>
      </w:pPr>
      <w:r>
        <w:rPr>
          <w:rStyle w:val="FootnoteReference"/>
        </w:rPr>
        <w:footnoteRef/>
      </w:r>
      <w:r>
        <w:t xml:space="preserve"> The discussion of the effects of decoupling on risk are contained in pages 42 to 49 of Order 07.  This portion of the order corresponds with pages AR 1008 to 1013.</w:t>
      </w:r>
    </w:p>
  </w:footnote>
  <w:footnote w:id="16">
    <w:p w14:paraId="228C225A" w14:textId="77777777" w:rsidR="004A1C2D" w:rsidRDefault="004A1C2D">
      <w:pPr>
        <w:pStyle w:val="FootnoteText"/>
      </w:pPr>
      <w:r>
        <w:rPr>
          <w:rStyle w:val="FootnoteReference"/>
        </w:rPr>
        <w:footnoteRef/>
      </w:r>
      <w:r>
        <w:t xml:space="preserve"> Order 07 at p. 97 (Separate Statement of Commissioner Jones).</w:t>
      </w:r>
    </w:p>
  </w:footnote>
  <w:footnote w:id="17">
    <w:p w14:paraId="228C225B" w14:textId="77777777" w:rsidR="004A1C2D" w:rsidRDefault="004A1C2D">
      <w:pPr>
        <w:pStyle w:val="FootnoteText"/>
      </w:pPr>
      <w:r>
        <w:rPr>
          <w:rStyle w:val="FootnoteReference"/>
        </w:rPr>
        <w:footnoteRef/>
      </w:r>
      <w:r>
        <w:t xml:space="preserve"> Schooley, Exh. No. TES-4T.</w:t>
      </w:r>
    </w:p>
  </w:footnote>
  <w:footnote w:id="18">
    <w:p w14:paraId="228C225C" w14:textId="77777777" w:rsidR="004A1C2D" w:rsidRDefault="004A1C2D">
      <w:pPr>
        <w:pStyle w:val="FootnoteText"/>
      </w:pPr>
      <w:r>
        <w:rPr>
          <w:rStyle w:val="FootnoteReference"/>
        </w:rPr>
        <w:footnoteRef/>
      </w:r>
      <w:r>
        <w:t xml:space="preserve"> Schooley, Exh. No. TES-6T 5:18–19.</w:t>
      </w:r>
    </w:p>
  </w:footnote>
  <w:footnote w:id="19">
    <w:p w14:paraId="228C225D" w14:textId="6161784E" w:rsidR="004A1C2D" w:rsidRDefault="004A1C2D">
      <w:pPr>
        <w:pStyle w:val="FootnoteText"/>
      </w:pPr>
      <w:r>
        <w:rPr>
          <w:rStyle w:val="FootnoteReference"/>
        </w:rPr>
        <w:footnoteRef/>
      </w:r>
      <w:r>
        <w:t xml:space="preserve"> </w:t>
      </w:r>
      <w:r>
        <w:rPr>
          <w:i/>
        </w:rPr>
        <w:t>Id.</w:t>
      </w:r>
      <w:r>
        <w:t xml:space="preserve"> at 5:21–22.</w:t>
      </w:r>
    </w:p>
  </w:footnote>
  <w:footnote w:id="20">
    <w:p w14:paraId="228C225E" w14:textId="77777777" w:rsidR="004A1C2D" w:rsidRDefault="004A1C2D">
      <w:pPr>
        <w:pStyle w:val="FootnoteText"/>
      </w:pPr>
      <w:r>
        <w:rPr>
          <w:rStyle w:val="FootnoteReference"/>
        </w:rPr>
        <w:footnoteRef/>
      </w:r>
      <w:r>
        <w:t xml:space="preserve"> Schooley, TR. 763:23–764:7.</w:t>
      </w:r>
    </w:p>
  </w:footnote>
  <w:footnote w:id="21">
    <w:p w14:paraId="228C225F" w14:textId="77777777" w:rsidR="004A1C2D" w:rsidRDefault="004A1C2D" w:rsidP="00C570BA">
      <w:pPr>
        <w:pStyle w:val="FootnoteText"/>
      </w:pPr>
      <w:r>
        <w:rPr>
          <w:rStyle w:val="FootnoteReference"/>
        </w:rPr>
        <w:footnoteRef/>
      </w:r>
      <w:r>
        <w:t xml:space="preserve"> Parcell, Exh. No. DCP-1T 4:1–2.</w:t>
      </w:r>
    </w:p>
  </w:footnote>
  <w:footnote w:id="22">
    <w:p w14:paraId="228C2260" w14:textId="77777777" w:rsidR="004A1C2D" w:rsidRDefault="004A1C2D" w:rsidP="00C570BA">
      <w:pPr>
        <w:spacing w:line="264" w:lineRule="auto"/>
      </w:pPr>
      <w:r>
        <w:rPr>
          <w:rStyle w:val="FootnoteReference"/>
        </w:rPr>
        <w:footnoteRef/>
      </w:r>
      <w:r>
        <w:t xml:space="preserve"> Staff was scheduled to file testimony March 27, 2013, in the ERF.  Dockets UE-130137 and UG-130138 </w:t>
      </w:r>
      <w:r>
        <w:rPr>
          <w:i/>
        </w:rPr>
        <w:t>(consolidated)</w:t>
      </w:r>
      <w:r>
        <w:t xml:space="preserve">, Order 02, Consolidation Order, Prehearing Conference Order; Notice of Hearing (March 22, 2013).  </w:t>
      </w:r>
    </w:p>
  </w:footnote>
  <w:footnote w:id="23">
    <w:p w14:paraId="228C2261" w14:textId="0A487C08" w:rsidR="004A1C2D" w:rsidRPr="00161BA7" w:rsidRDefault="004A1C2D">
      <w:pPr>
        <w:pStyle w:val="FootnoteText"/>
        <w:rPr>
          <w:i/>
        </w:rPr>
      </w:pPr>
      <w:r>
        <w:rPr>
          <w:rStyle w:val="FootnoteReference"/>
        </w:rPr>
        <w:footnoteRef/>
      </w:r>
      <w:r>
        <w:rPr>
          <w:i/>
        </w:rPr>
        <w:t xml:space="preserve"> </w:t>
      </w:r>
      <w:r>
        <w:t xml:space="preserve">Parcell, Exh. No. DCP-1T </w:t>
      </w:r>
      <w:r w:rsidRPr="00161BA7">
        <w:t>4:3</w:t>
      </w:r>
      <w:r>
        <w:t>–</w:t>
      </w:r>
      <w:r w:rsidRPr="00161BA7">
        <w:t>4.</w:t>
      </w:r>
    </w:p>
  </w:footnote>
  <w:footnote w:id="24">
    <w:p w14:paraId="228C2262" w14:textId="41805B93" w:rsidR="004A1C2D" w:rsidRDefault="004A1C2D">
      <w:pPr>
        <w:pStyle w:val="FootnoteText"/>
      </w:pPr>
      <w:r>
        <w:rPr>
          <w:rStyle w:val="FootnoteReference"/>
        </w:rPr>
        <w:footnoteRef/>
      </w:r>
      <w:r>
        <w:t xml:space="preserve"> </w:t>
      </w:r>
      <w:r w:rsidRPr="00954218">
        <w:rPr>
          <w:i/>
        </w:rPr>
        <w:t xml:space="preserve">Utils. </w:t>
      </w:r>
      <w:r>
        <w:rPr>
          <w:i/>
        </w:rPr>
        <w:t>&amp;</w:t>
      </w:r>
      <w:r w:rsidRPr="00954218">
        <w:rPr>
          <w:i/>
        </w:rPr>
        <w:t xml:space="preserve"> Transp. Comm’n v. Puget Sound Energy, Inc.</w:t>
      </w:r>
      <w:r>
        <w:t xml:space="preserve">, Docket UE-111048 and UG-111049 (consolidated), Order 08 Rejecting Tariff Sheets; Authorizing and Requiring Compliance Filing, ¶ 37 (May 7, 2012).  This is consistent with the long-standing precedent established in </w:t>
      </w:r>
      <w:r w:rsidRPr="00602B55">
        <w:rPr>
          <w:i/>
        </w:rPr>
        <w:t xml:space="preserve">Bluefield Waterworks </w:t>
      </w:r>
      <w:r>
        <w:rPr>
          <w:i/>
        </w:rPr>
        <w:t>&amp;</w:t>
      </w:r>
      <w:r w:rsidRPr="00602B55">
        <w:rPr>
          <w:i/>
        </w:rPr>
        <w:t xml:space="preserve"> Improvement Co. v. </w:t>
      </w:r>
      <w:r w:rsidRPr="00602B55">
        <w:rPr>
          <w:i/>
          <w:szCs w:val="24"/>
        </w:rPr>
        <w:t>Pub</w:t>
      </w:r>
      <w:r w:rsidRPr="00DE3409">
        <w:rPr>
          <w:i/>
          <w:szCs w:val="24"/>
        </w:rPr>
        <w:t>. Serv. Comm’n of W. Va.</w:t>
      </w:r>
      <w:r>
        <w:t xml:space="preserve">, </w:t>
      </w:r>
      <w:r>
        <w:rPr>
          <w:color w:val="000000"/>
        </w:rPr>
        <w:t>262 U.S. 679, 692, 43 S. Ct. 675, 67 L. Ed. 1176 (1923)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w:t>
      </w:r>
    </w:p>
  </w:footnote>
  <w:footnote w:id="25">
    <w:p w14:paraId="228C2263" w14:textId="77777777" w:rsidR="004A1C2D" w:rsidRPr="00E71DDB" w:rsidRDefault="004A1C2D">
      <w:pPr>
        <w:pStyle w:val="FootnoteText"/>
      </w:pPr>
      <w:r>
        <w:rPr>
          <w:rStyle w:val="FootnoteReference"/>
        </w:rPr>
        <w:footnoteRef/>
      </w:r>
      <w:r>
        <w:t xml:space="preserve"> </w:t>
      </w:r>
      <w:r>
        <w:rPr>
          <w:i/>
        </w:rPr>
        <w:t xml:space="preserve"> See </w:t>
      </w:r>
      <w:r>
        <w:t>Docket UE-111048, Order 08 at ¶ 87.</w:t>
      </w:r>
    </w:p>
  </w:footnote>
  <w:footnote w:id="26">
    <w:p w14:paraId="228C2264" w14:textId="5CD02D06" w:rsidR="004A1C2D" w:rsidRDefault="004A1C2D">
      <w:pPr>
        <w:pStyle w:val="FootnoteText"/>
      </w:pPr>
      <w:r>
        <w:rPr>
          <w:rStyle w:val="FootnoteReference"/>
        </w:rPr>
        <w:footnoteRef/>
      </w:r>
      <w:r>
        <w:t xml:space="preserve"> </w:t>
      </w:r>
      <w:r w:rsidRPr="00954218">
        <w:rPr>
          <w:i/>
        </w:rPr>
        <w:t xml:space="preserve">Utils. </w:t>
      </w:r>
      <w:r>
        <w:rPr>
          <w:i/>
        </w:rPr>
        <w:t>&amp;</w:t>
      </w:r>
      <w:r w:rsidRPr="00954218">
        <w:rPr>
          <w:i/>
        </w:rPr>
        <w:t xml:space="preserve"> Transp. Comm’n v. Puget Sound Energy, Inc.</w:t>
      </w:r>
      <w:r>
        <w:t>, Dockets UE-090704 and UG-090705 (consolidated), Order 11 Rejecting Tariff Sheets; Authorizing and Requiring Compliance Filing, ¶ 292 (April 2, 2010).</w:t>
      </w:r>
    </w:p>
  </w:footnote>
  <w:footnote w:id="27">
    <w:p w14:paraId="228C2265" w14:textId="77777777" w:rsidR="004A1C2D" w:rsidRDefault="004A1C2D" w:rsidP="00502AB8">
      <w:pPr>
        <w:pStyle w:val="FootnoteText"/>
      </w:pPr>
      <w:r>
        <w:rPr>
          <w:rStyle w:val="FootnoteReference"/>
        </w:rPr>
        <w:footnoteRef/>
      </w:r>
      <w:r>
        <w:t xml:space="preserve"> Parcell, DCP-1T 2:11–12.</w:t>
      </w:r>
    </w:p>
  </w:footnote>
  <w:footnote w:id="28">
    <w:p w14:paraId="228C2266" w14:textId="3522D73B" w:rsidR="004A1C2D" w:rsidRDefault="004A1C2D">
      <w:pPr>
        <w:pStyle w:val="FootnoteText"/>
      </w:pPr>
      <w:r>
        <w:rPr>
          <w:rStyle w:val="FootnoteReference"/>
        </w:rPr>
        <w:footnoteRef/>
      </w:r>
      <w:r>
        <w:t xml:space="preserve"> </w:t>
      </w:r>
      <w:r>
        <w:rPr>
          <w:i/>
        </w:rPr>
        <w:t>Id.</w:t>
      </w:r>
      <w:r>
        <w:t xml:space="preserve"> at 3:4–21.</w:t>
      </w:r>
    </w:p>
  </w:footnote>
  <w:footnote w:id="29">
    <w:p w14:paraId="228C2267" w14:textId="7901153B" w:rsidR="004A1C2D" w:rsidRDefault="004A1C2D">
      <w:pPr>
        <w:pStyle w:val="FootnoteText"/>
      </w:pPr>
      <w:r>
        <w:rPr>
          <w:rStyle w:val="FootnoteReference"/>
        </w:rPr>
        <w:footnoteRef/>
      </w:r>
      <w:r>
        <w:t xml:space="preserve"> </w:t>
      </w:r>
      <w:r>
        <w:rPr>
          <w:i/>
        </w:rPr>
        <w:t>Id.</w:t>
      </w:r>
      <w:r>
        <w:t xml:space="preserve"> at 18:6–10.</w:t>
      </w:r>
    </w:p>
  </w:footnote>
  <w:footnote w:id="30">
    <w:p w14:paraId="228C2268" w14:textId="353009BA" w:rsidR="004A1C2D" w:rsidRDefault="004A1C2D">
      <w:pPr>
        <w:pStyle w:val="FootnoteText"/>
      </w:pPr>
      <w:r>
        <w:rPr>
          <w:rStyle w:val="FootnoteReference"/>
        </w:rPr>
        <w:footnoteRef/>
      </w:r>
      <w:r>
        <w:t xml:space="preserve"> </w:t>
      </w:r>
      <w:r>
        <w:rPr>
          <w:i/>
        </w:rPr>
        <w:t>Id.</w:t>
      </w:r>
      <w:r>
        <w:t xml:space="preserve"> at 22:12–14.</w:t>
      </w:r>
    </w:p>
  </w:footnote>
  <w:footnote w:id="31">
    <w:p w14:paraId="228C2269" w14:textId="5F5DE4F5" w:rsidR="004A1C2D" w:rsidRDefault="004A1C2D">
      <w:pPr>
        <w:pStyle w:val="FootnoteText"/>
      </w:pPr>
      <w:r>
        <w:rPr>
          <w:rStyle w:val="FootnoteReference"/>
        </w:rPr>
        <w:footnoteRef/>
      </w:r>
      <w:r>
        <w:t xml:space="preserve"> </w:t>
      </w:r>
      <w:r>
        <w:rPr>
          <w:i/>
        </w:rPr>
        <w:t>Id.</w:t>
      </w:r>
      <w:r>
        <w:t xml:space="preserve"> at 25:17–18.</w:t>
      </w:r>
    </w:p>
  </w:footnote>
  <w:footnote w:id="32">
    <w:p w14:paraId="228C226A" w14:textId="745AF815" w:rsidR="004A1C2D" w:rsidRDefault="004A1C2D">
      <w:pPr>
        <w:pStyle w:val="FootnoteText"/>
      </w:pPr>
      <w:r>
        <w:rPr>
          <w:rStyle w:val="FootnoteReference"/>
        </w:rPr>
        <w:footnoteRef/>
      </w:r>
      <w:r>
        <w:t xml:space="preserve"> </w:t>
      </w:r>
      <w:r>
        <w:rPr>
          <w:i/>
        </w:rPr>
        <w:t>Id.</w:t>
      </w:r>
      <w:r>
        <w:t xml:space="preserve"> at 25:21–27:9.</w:t>
      </w:r>
    </w:p>
  </w:footnote>
  <w:footnote w:id="33">
    <w:p w14:paraId="228C226B" w14:textId="2CEC6563" w:rsidR="004A1C2D" w:rsidRDefault="004A1C2D">
      <w:pPr>
        <w:pStyle w:val="FootnoteText"/>
      </w:pPr>
      <w:r>
        <w:rPr>
          <w:rStyle w:val="FootnoteReference"/>
        </w:rPr>
        <w:footnoteRef/>
      </w:r>
      <w:r>
        <w:t xml:space="preserve"> </w:t>
      </w:r>
      <w:r>
        <w:rPr>
          <w:i/>
        </w:rPr>
        <w:t>Id.</w:t>
      </w:r>
      <w:r>
        <w:t xml:space="preserve"> at 28:16–20.</w:t>
      </w:r>
    </w:p>
  </w:footnote>
  <w:footnote w:id="34">
    <w:p w14:paraId="228C226C" w14:textId="77777777" w:rsidR="004A1C2D" w:rsidRDefault="004A1C2D">
      <w:pPr>
        <w:pStyle w:val="FootnoteText"/>
      </w:pPr>
      <w:r>
        <w:rPr>
          <w:rStyle w:val="FootnoteReference"/>
        </w:rPr>
        <w:footnoteRef/>
      </w:r>
      <w:r>
        <w:t xml:space="preserve"> Parcell, DCP-1T 27:21–22.</w:t>
      </w:r>
    </w:p>
  </w:footnote>
  <w:footnote w:id="35">
    <w:p w14:paraId="228C226D" w14:textId="77777777" w:rsidR="004A1C2D" w:rsidRDefault="004A1C2D">
      <w:pPr>
        <w:pStyle w:val="FootnoteText"/>
      </w:pPr>
      <w:r>
        <w:rPr>
          <w:rStyle w:val="FootnoteReference"/>
        </w:rPr>
        <w:footnoteRef/>
      </w:r>
      <w:r>
        <w:t xml:space="preserve"> </w:t>
      </w:r>
      <w:r>
        <w:rPr>
          <w:color w:val="000000"/>
        </w:rPr>
        <w:t>4 C.J.S. Appeal and Error § 1131.</w:t>
      </w:r>
    </w:p>
  </w:footnote>
  <w:footnote w:id="36">
    <w:p w14:paraId="228C226E" w14:textId="77777777" w:rsidR="004A1C2D" w:rsidRPr="006B438C" w:rsidRDefault="004A1C2D">
      <w:pPr>
        <w:pStyle w:val="FootnoteText"/>
        <w:rPr>
          <w:i/>
        </w:rPr>
      </w:pPr>
      <w:r>
        <w:rPr>
          <w:rStyle w:val="FootnoteReference"/>
        </w:rPr>
        <w:footnoteRef/>
      </w:r>
      <w:r>
        <w:t xml:space="preserve"> </w:t>
      </w:r>
      <w:r>
        <w:rPr>
          <w:i/>
        </w:rPr>
        <w:t>Id.</w:t>
      </w:r>
    </w:p>
  </w:footnote>
  <w:footnote w:id="37">
    <w:p w14:paraId="228C226F" w14:textId="77777777" w:rsidR="004A1C2D" w:rsidRPr="006B438C" w:rsidRDefault="004A1C2D">
      <w:pPr>
        <w:pStyle w:val="FootnoteText"/>
        <w:rPr>
          <w:i/>
        </w:rPr>
      </w:pPr>
      <w:r>
        <w:rPr>
          <w:rStyle w:val="FootnoteReference"/>
        </w:rPr>
        <w:footnoteRef/>
      </w:r>
      <w:r>
        <w:t xml:space="preserve"> </w:t>
      </w:r>
      <w:r>
        <w:rPr>
          <w:i/>
        </w:rPr>
        <w:t>Id.</w:t>
      </w:r>
    </w:p>
  </w:footnote>
  <w:footnote w:id="38">
    <w:p w14:paraId="228C2270" w14:textId="77777777" w:rsidR="004A1C2D" w:rsidRDefault="004A1C2D">
      <w:pPr>
        <w:pStyle w:val="FootnoteText"/>
      </w:pPr>
      <w:r>
        <w:rPr>
          <w:rStyle w:val="FootnoteReference"/>
        </w:rPr>
        <w:footnoteRef/>
      </w:r>
      <w:r>
        <w:t xml:space="preserve"> </w:t>
      </w:r>
      <w:r w:rsidRPr="00727C97">
        <w:rPr>
          <w:color w:val="000000"/>
        </w:rPr>
        <w:t>73A C.J.S. Public Administrative Law and Procedure § 558</w:t>
      </w:r>
      <w:r>
        <w:rPr>
          <w:color w:val="000000"/>
        </w:rPr>
        <w:t>.</w:t>
      </w:r>
    </w:p>
  </w:footnote>
  <w:footnote w:id="39">
    <w:p w14:paraId="228C2271" w14:textId="77777777" w:rsidR="004A1C2D" w:rsidRDefault="004A1C2D">
      <w:pPr>
        <w:pStyle w:val="FootnoteText"/>
      </w:pPr>
      <w:r>
        <w:rPr>
          <w:rStyle w:val="FootnoteReference"/>
        </w:rPr>
        <w:footnoteRef/>
      </w:r>
      <w:r>
        <w:t xml:space="preserve"> </w:t>
      </w:r>
      <w:r>
        <w:rPr>
          <w:i/>
          <w:color w:val="000000"/>
        </w:rPr>
        <w:t>Id.</w:t>
      </w:r>
    </w:p>
  </w:footnote>
  <w:footnote w:id="40">
    <w:p w14:paraId="228C2272" w14:textId="77777777" w:rsidR="004A1C2D" w:rsidRDefault="004A1C2D">
      <w:pPr>
        <w:pStyle w:val="FootnoteText"/>
      </w:pPr>
      <w:r>
        <w:rPr>
          <w:rStyle w:val="FootnoteReference"/>
        </w:rPr>
        <w:footnoteRef/>
      </w:r>
      <w:r>
        <w:t xml:space="preserve"> </w:t>
      </w:r>
      <w:r>
        <w:rPr>
          <w:i/>
          <w:color w:val="000000"/>
        </w:rPr>
        <w:t>Id</w:t>
      </w:r>
      <w:r>
        <w:rPr>
          <w:color w:val="000000"/>
        </w:rPr>
        <w:t>.</w:t>
      </w:r>
    </w:p>
  </w:footnote>
  <w:footnote w:id="41">
    <w:p w14:paraId="228C2273" w14:textId="77777777" w:rsidR="004A1C2D" w:rsidRDefault="004A1C2D">
      <w:pPr>
        <w:pStyle w:val="FootnoteText"/>
      </w:pPr>
      <w:r>
        <w:rPr>
          <w:rStyle w:val="FootnoteReference"/>
        </w:rPr>
        <w:footnoteRef/>
      </w:r>
      <w:r>
        <w:t xml:space="preserve"> </w:t>
      </w:r>
      <w:r>
        <w:rPr>
          <w:color w:val="000000"/>
        </w:rPr>
        <w:t>5 C.J.S. Appeal and Error § 1137.</w:t>
      </w:r>
    </w:p>
  </w:footnote>
  <w:footnote w:id="42">
    <w:p w14:paraId="228C2274" w14:textId="77777777" w:rsidR="004A1C2D" w:rsidRPr="00A26B10" w:rsidRDefault="004A1C2D">
      <w:pPr>
        <w:pStyle w:val="FootnoteText"/>
      </w:pPr>
      <w:r>
        <w:rPr>
          <w:rStyle w:val="FootnoteReference"/>
        </w:rPr>
        <w:footnoteRef/>
      </w:r>
      <w:r>
        <w:t xml:space="preserve"> </w:t>
      </w:r>
      <w:r>
        <w:rPr>
          <w:i/>
        </w:rPr>
        <w:t xml:space="preserve">See </w:t>
      </w:r>
      <w:r>
        <w:rPr>
          <w:color w:val="000000"/>
        </w:rPr>
        <w:t>5 C.J.S. Appeal and Error § 1136.</w:t>
      </w:r>
    </w:p>
  </w:footnote>
  <w:footnote w:id="43">
    <w:p w14:paraId="6787CE14" w14:textId="20E09E85" w:rsidR="004A1C2D" w:rsidRDefault="004A1C2D">
      <w:pPr>
        <w:pStyle w:val="FootnoteText"/>
      </w:pPr>
      <w:r>
        <w:rPr>
          <w:rStyle w:val="FootnoteReference"/>
        </w:rPr>
        <w:footnoteRef/>
      </w:r>
      <w:r>
        <w:t xml:space="preserve"> Letter Ruling at Section 2, </w:t>
      </w:r>
      <w:r>
        <w:rPr>
          <w:i/>
        </w:rPr>
        <w:t>quoting</w:t>
      </w:r>
      <w:r>
        <w:t xml:space="preserve"> Order 07, at ¶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34C1" w14:textId="77777777" w:rsidR="004A1C2D" w:rsidRDefault="004A1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4629CE"/>
    <w:multiLevelType w:val="hybridMultilevel"/>
    <w:tmpl w:val="FE70B42E"/>
    <w:lvl w:ilvl="0" w:tplc="E850E24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4BDC"/>
    <w:rsid w:val="00025DB8"/>
    <w:rsid w:val="0003562E"/>
    <w:rsid w:val="00040CB6"/>
    <w:rsid w:val="000451F5"/>
    <w:rsid w:val="000615DC"/>
    <w:rsid w:val="00084ECC"/>
    <w:rsid w:val="00097540"/>
    <w:rsid w:val="000A0F92"/>
    <w:rsid w:val="000C6CB5"/>
    <w:rsid w:val="000E21FC"/>
    <w:rsid w:val="000E581F"/>
    <w:rsid w:val="000E79F3"/>
    <w:rsid w:val="00161BA7"/>
    <w:rsid w:val="00174D20"/>
    <w:rsid w:val="00177381"/>
    <w:rsid w:val="001867C1"/>
    <w:rsid w:val="001A3E51"/>
    <w:rsid w:val="001B34D7"/>
    <w:rsid w:val="001B3982"/>
    <w:rsid w:val="001C05A3"/>
    <w:rsid w:val="001D3250"/>
    <w:rsid w:val="001D698F"/>
    <w:rsid w:val="001E020E"/>
    <w:rsid w:val="001F5B81"/>
    <w:rsid w:val="001F6E1E"/>
    <w:rsid w:val="0022399D"/>
    <w:rsid w:val="0025090D"/>
    <w:rsid w:val="00254C8C"/>
    <w:rsid w:val="00255923"/>
    <w:rsid w:val="00276661"/>
    <w:rsid w:val="00283FD0"/>
    <w:rsid w:val="00290028"/>
    <w:rsid w:val="002C4E0A"/>
    <w:rsid w:val="002F25E9"/>
    <w:rsid w:val="003000EF"/>
    <w:rsid w:val="00301085"/>
    <w:rsid w:val="003012AF"/>
    <w:rsid w:val="003050D4"/>
    <w:rsid w:val="0033090D"/>
    <w:rsid w:val="00333573"/>
    <w:rsid w:val="00353669"/>
    <w:rsid w:val="00363920"/>
    <w:rsid w:val="003878F7"/>
    <w:rsid w:val="003A772F"/>
    <w:rsid w:val="003B621E"/>
    <w:rsid w:val="003C4F34"/>
    <w:rsid w:val="003C5390"/>
    <w:rsid w:val="003C6F64"/>
    <w:rsid w:val="003D1FFE"/>
    <w:rsid w:val="003D6B45"/>
    <w:rsid w:val="003E3427"/>
    <w:rsid w:val="003E3B7E"/>
    <w:rsid w:val="003E7A5F"/>
    <w:rsid w:val="003F1945"/>
    <w:rsid w:val="00420F5F"/>
    <w:rsid w:val="00441971"/>
    <w:rsid w:val="00454341"/>
    <w:rsid w:val="00455352"/>
    <w:rsid w:val="004A1C2D"/>
    <w:rsid w:val="004A26FF"/>
    <w:rsid w:val="004A4F64"/>
    <w:rsid w:val="004B612C"/>
    <w:rsid w:val="004C3D65"/>
    <w:rsid w:val="004D03C6"/>
    <w:rsid w:val="004F69A5"/>
    <w:rsid w:val="00500F56"/>
    <w:rsid w:val="00501FFC"/>
    <w:rsid w:val="00502AB8"/>
    <w:rsid w:val="00504A09"/>
    <w:rsid w:val="0050638B"/>
    <w:rsid w:val="00515423"/>
    <w:rsid w:val="00522F0E"/>
    <w:rsid w:val="005306C5"/>
    <w:rsid w:val="00542393"/>
    <w:rsid w:val="005556ED"/>
    <w:rsid w:val="0057585F"/>
    <w:rsid w:val="00582597"/>
    <w:rsid w:val="00595D41"/>
    <w:rsid w:val="005A6141"/>
    <w:rsid w:val="005A7FE1"/>
    <w:rsid w:val="005B21F3"/>
    <w:rsid w:val="005B3456"/>
    <w:rsid w:val="005E07C2"/>
    <w:rsid w:val="005E0B50"/>
    <w:rsid w:val="005E388D"/>
    <w:rsid w:val="005E3C36"/>
    <w:rsid w:val="005E5E57"/>
    <w:rsid w:val="00602B55"/>
    <w:rsid w:val="00606B18"/>
    <w:rsid w:val="00607D78"/>
    <w:rsid w:val="006127D2"/>
    <w:rsid w:val="00641F98"/>
    <w:rsid w:val="0065561B"/>
    <w:rsid w:val="00671BBF"/>
    <w:rsid w:val="00676B45"/>
    <w:rsid w:val="00677F13"/>
    <w:rsid w:val="006867A2"/>
    <w:rsid w:val="006A714A"/>
    <w:rsid w:val="006A747B"/>
    <w:rsid w:val="006B1FA3"/>
    <w:rsid w:val="006B438C"/>
    <w:rsid w:val="006C7AEE"/>
    <w:rsid w:val="006D485B"/>
    <w:rsid w:val="00700107"/>
    <w:rsid w:val="0072637F"/>
    <w:rsid w:val="00727C97"/>
    <w:rsid w:val="00737B08"/>
    <w:rsid w:val="00744A02"/>
    <w:rsid w:val="007464F1"/>
    <w:rsid w:val="00752339"/>
    <w:rsid w:val="0076699B"/>
    <w:rsid w:val="007B27FA"/>
    <w:rsid w:val="007C1BA6"/>
    <w:rsid w:val="007D7891"/>
    <w:rsid w:val="008025C0"/>
    <w:rsid w:val="00820EAE"/>
    <w:rsid w:val="0083181B"/>
    <w:rsid w:val="00835284"/>
    <w:rsid w:val="00860D8D"/>
    <w:rsid w:val="0089062F"/>
    <w:rsid w:val="008C3F46"/>
    <w:rsid w:val="008D7F20"/>
    <w:rsid w:val="008E0C45"/>
    <w:rsid w:val="008E7997"/>
    <w:rsid w:val="008F421F"/>
    <w:rsid w:val="009141FA"/>
    <w:rsid w:val="00936DD0"/>
    <w:rsid w:val="009411C1"/>
    <w:rsid w:val="009447EA"/>
    <w:rsid w:val="00950894"/>
    <w:rsid w:val="00954218"/>
    <w:rsid w:val="009919DF"/>
    <w:rsid w:val="00996019"/>
    <w:rsid w:val="00996C7B"/>
    <w:rsid w:val="009C1BB1"/>
    <w:rsid w:val="009C2DB0"/>
    <w:rsid w:val="009C2E88"/>
    <w:rsid w:val="009D1214"/>
    <w:rsid w:val="009D1E69"/>
    <w:rsid w:val="009D3937"/>
    <w:rsid w:val="009D3E3D"/>
    <w:rsid w:val="009D6057"/>
    <w:rsid w:val="009E45A9"/>
    <w:rsid w:val="009E51AA"/>
    <w:rsid w:val="009F0080"/>
    <w:rsid w:val="009F2B8B"/>
    <w:rsid w:val="00A02097"/>
    <w:rsid w:val="00A1687B"/>
    <w:rsid w:val="00A26B10"/>
    <w:rsid w:val="00A30C52"/>
    <w:rsid w:val="00A571DB"/>
    <w:rsid w:val="00A80028"/>
    <w:rsid w:val="00A80A2C"/>
    <w:rsid w:val="00A918DE"/>
    <w:rsid w:val="00AB0256"/>
    <w:rsid w:val="00AB295B"/>
    <w:rsid w:val="00AB5576"/>
    <w:rsid w:val="00AE146E"/>
    <w:rsid w:val="00AF5986"/>
    <w:rsid w:val="00B126A2"/>
    <w:rsid w:val="00B36EA3"/>
    <w:rsid w:val="00B36F91"/>
    <w:rsid w:val="00B447F8"/>
    <w:rsid w:val="00B522AF"/>
    <w:rsid w:val="00B73973"/>
    <w:rsid w:val="00B841B4"/>
    <w:rsid w:val="00B91FCA"/>
    <w:rsid w:val="00BA3913"/>
    <w:rsid w:val="00BB3843"/>
    <w:rsid w:val="00BC1661"/>
    <w:rsid w:val="00BD04B3"/>
    <w:rsid w:val="00BE2394"/>
    <w:rsid w:val="00BF21EA"/>
    <w:rsid w:val="00BF2F67"/>
    <w:rsid w:val="00BF3C16"/>
    <w:rsid w:val="00BF3CD1"/>
    <w:rsid w:val="00C074BF"/>
    <w:rsid w:val="00C1293F"/>
    <w:rsid w:val="00C24467"/>
    <w:rsid w:val="00C269E2"/>
    <w:rsid w:val="00C360A4"/>
    <w:rsid w:val="00C4638C"/>
    <w:rsid w:val="00C5478B"/>
    <w:rsid w:val="00C570BA"/>
    <w:rsid w:val="00C76852"/>
    <w:rsid w:val="00C85F0F"/>
    <w:rsid w:val="00C91857"/>
    <w:rsid w:val="00CA10B7"/>
    <w:rsid w:val="00CD06DE"/>
    <w:rsid w:val="00CE576C"/>
    <w:rsid w:val="00CF655A"/>
    <w:rsid w:val="00D002B8"/>
    <w:rsid w:val="00D2024D"/>
    <w:rsid w:val="00D22816"/>
    <w:rsid w:val="00D5456C"/>
    <w:rsid w:val="00D663F6"/>
    <w:rsid w:val="00D66922"/>
    <w:rsid w:val="00D717F9"/>
    <w:rsid w:val="00D7253F"/>
    <w:rsid w:val="00D76E89"/>
    <w:rsid w:val="00D80B04"/>
    <w:rsid w:val="00DA492F"/>
    <w:rsid w:val="00DA599E"/>
    <w:rsid w:val="00DC1805"/>
    <w:rsid w:val="00DC4508"/>
    <w:rsid w:val="00DC7AB0"/>
    <w:rsid w:val="00DD7597"/>
    <w:rsid w:val="00DE6238"/>
    <w:rsid w:val="00E0725A"/>
    <w:rsid w:val="00E12B0E"/>
    <w:rsid w:val="00E13CC1"/>
    <w:rsid w:val="00E14798"/>
    <w:rsid w:val="00E23E0D"/>
    <w:rsid w:val="00E353DD"/>
    <w:rsid w:val="00E42EC0"/>
    <w:rsid w:val="00E53989"/>
    <w:rsid w:val="00E576DC"/>
    <w:rsid w:val="00E71DDB"/>
    <w:rsid w:val="00E720BA"/>
    <w:rsid w:val="00E924A8"/>
    <w:rsid w:val="00E94DA6"/>
    <w:rsid w:val="00EB003D"/>
    <w:rsid w:val="00EC0F33"/>
    <w:rsid w:val="00EC313B"/>
    <w:rsid w:val="00EC5B23"/>
    <w:rsid w:val="00ED14DE"/>
    <w:rsid w:val="00EE1CD1"/>
    <w:rsid w:val="00EF10CA"/>
    <w:rsid w:val="00F151F8"/>
    <w:rsid w:val="00F2093A"/>
    <w:rsid w:val="00F25FFF"/>
    <w:rsid w:val="00F2754F"/>
    <w:rsid w:val="00F3377E"/>
    <w:rsid w:val="00F62CEB"/>
    <w:rsid w:val="00F6436F"/>
    <w:rsid w:val="00F7380F"/>
    <w:rsid w:val="00F748D8"/>
    <w:rsid w:val="00F77C60"/>
    <w:rsid w:val="00FA4F72"/>
    <w:rsid w:val="00FC1FF8"/>
    <w:rsid w:val="00FD367C"/>
    <w:rsid w:val="00FD4AE7"/>
    <w:rsid w:val="00FE097F"/>
    <w:rsid w:val="00FE1DDB"/>
    <w:rsid w:val="00FE79E3"/>
    <w:rsid w:val="00FE7DC1"/>
    <w:rsid w:val="00FF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8C21F0"/>
  <w15:docId w15:val="{B4BD5D0B-BB40-4299-BC95-B6BAE3B0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3000EF"/>
    <w:pPr>
      <w:ind w:left="720"/>
      <w:contextualSpacing/>
    </w:pPr>
  </w:style>
  <w:style w:type="character" w:styleId="Hyperlink">
    <w:name w:val="Hyperlink"/>
    <w:basedOn w:val="DefaultParagraphFont"/>
    <w:uiPriority w:val="99"/>
    <w:semiHidden/>
    <w:unhideWhenUsed/>
    <w:rsid w:val="005E0B50"/>
    <w:rPr>
      <w:color w:val="0000FF" w:themeColor="hyperlink"/>
      <w:u w:val="single"/>
    </w:rPr>
  </w:style>
  <w:style w:type="character" w:styleId="CommentReference">
    <w:name w:val="annotation reference"/>
    <w:basedOn w:val="DefaultParagraphFont"/>
    <w:semiHidden/>
    <w:unhideWhenUsed/>
    <w:rsid w:val="00C4638C"/>
    <w:rPr>
      <w:sz w:val="16"/>
      <w:szCs w:val="16"/>
    </w:rPr>
  </w:style>
  <w:style w:type="paragraph" w:styleId="CommentText">
    <w:name w:val="annotation text"/>
    <w:basedOn w:val="Normal"/>
    <w:link w:val="CommentTextChar"/>
    <w:semiHidden/>
    <w:unhideWhenUsed/>
    <w:rsid w:val="00C4638C"/>
    <w:rPr>
      <w:szCs w:val="20"/>
    </w:rPr>
  </w:style>
  <w:style w:type="character" w:customStyle="1" w:styleId="CommentTextChar">
    <w:name w:val="Comment Text Char"/>
    <w:basedOn w:val="DefaultParagraphFont"/>
    <w:link w:val="CommentText"/>
    <w:semiHidden/>
    <w:rsid w:val="00C4638C"/>
  </w:style>
  <w:style w:type="paragraph" w:styleId="CommentSubject">
    <w:name w:val="annotation subject"/>
    <w:basedOn w:val="CommentText"/>
    <w:next w:val="CommentText"/>
    <w:link w:val="CommentSubjectChar"/>
    <w:semiHidden/>
    <w:unhideWhenUsed/>
    <w:rsid w:val="00C4638C"/>
    <w:rPr>
      <w:b/>
      <w:bCs/>
    </w:rPr>
  </w:style>
  <w:style w:type="character" w:customStyle="1" w:styleId="CommentSubjectChar">
    <w:name w:val="Comment Subject Char"/>
    <w:basedOn w:val="CommentTextChar"/>
    <w:link w:val="CommentSubject"/>
    <w:semiHidden/>
    <w:rsid w:val="00C4638C"/>
    <w:rPr>
      <w:b/>
      <w:bCs/>
    </w:rPr>
  </w:style>
  <w:style w:type="paragraph" w:styleId="BalloonText">
    <w:name w:val="Balloon Text"/>
    <w:basedOn w:val="Normal"/>
    <w:link w:val="BalloonTextChar"/>
    <w:semiHidden/>
    <w:unhideWhenUsed/>
    <w:rsid w:val="00C4638C"/>
    <w:rPr>
      <w:rFonts w:ascii="Segoe UI" w:hAnsi="Segoe UI" w:cs="Segoe UI"/>
      <w:sz w:val="18"/>
      <w:szCs w:val="18"/>
    </w:rPr>
  </w:style>
  <w:style w:type="character" w:customStyle="1" w:styleId="BalloonTextChar">
    <w:name w:val="Balloon Text Char"/>
    <w:basedOn w:val="DefaultParagraphFont"/>
    <w:link w:val="BalloonText"/>
    <w:semiHidden/>
    <w:rsid w:val="00C46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2015-03-06T21:37:35+00:00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82DFF-4725-42CC-B236-3F4B1B3D38D6}"/>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8384ACFC-5CEE-48AC-BD3E-E886493CF1AA}"/>
</file>

<file path=customXml/itemProps5.xml><?xml version="1.0" encoding="utf-8"?>
<ds:datastoreItem xmlns:ds="http://schemas.openxmlformats.org/officeDocument/2006/customXml" ds:itemID="{959ECCD4-43C8-4DA8-87B3-DF038161F96E}"/>
</file>

<file path=docProps/app.xml><?xml version="1.0" encoding="utf-8"?>
<Properties xmlns="http://schemas.openxmlformats.org/officeDocument/2006/extended-properties" xmlns:vt="http://schemas.openxmlformats.org/officeDocument/2006/docPropsVTypes">
  <Template>Normal.dotm</Template>
  <TotalTime>171</TotalTime>
  <Pages>14</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Brief</vt:lpstr>
    </vt:vector>
  </TitlesOfParts>
  <Company>WUTC</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Krista Linley</dc:creator>
  <cp:lastModifiedBy>DeMarco, Betsy (UTC)</cp:lastModifiedBy>
  <cp:revision>42</cp:revision>
  <cp:lastPrinted>2015-03-06T18:07:00Z</cp:lastPrinted>
  <dcterms:created xsi:type="dcterms:W3CDTF">2015-03-06T00:17:00Z</dcterms:created>
  <dcterms:modified xsi:type="dcterms:W3CDTF">2015-03-06T20:03:00Z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