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30" w:rsidRPr="006A743A" w:rsidRDefault="00D4799D" w:rsidP="004C6054">
      <w:pPr>
        <w:spacing w:line="480" w:lineRule="auto"/>
        <w:jc w:val="center"/>
        <w:rPr>
          <w:b/>
          <w:u w:val="single"/>
        </w:rPr>
      </w:pPr>
      <w:r>
        <w:rPr>
          <w:b/>
          <w:u w:val="single"/>
        </w:rPr>
        <w:t xml:space="preserve">Explanation of Electric </w:t>
      </w:r>
      <w:r w:rsidR="00E27DEB">
        <w:rPr>
          <w:b/>
          <w:u w:val="single"/>
        </w:rPr>
        <w:t>and</w:t>
      </w:r>
      <w:r>
        <w:rPr>
          <w:b/>
          <w:u w:val="single"/>
        </w:rPr>
        <w:t xml:space="preserve"> Natural Gas Attrition Models</w:t>
      </w:r>
    </w:p>
    <w:p w:rsidR="008A67DB" w:rsidRPr="00845D16" w:rsidRDefault="008A67DB" w:rsidP="004C6054">
      <w:pPr>
        <w:pStyle w:val="BodyText"/>
        <w:spacing w:line="480" w:lineRule="auto"/>
        <w:jc w:val="both"/>
        <w:rPr>
          <w:bCs w:val="0"/>
        </w:rPr>
      </w:pPr>
      <w:r w:rsidRPr="00845D16">
        <w:rPr>
          <w:bCs w:val="0"/>
        </w:rPr>
        <w:tab/>
        <w:t>Q.</w:t>
      </w:r>
      <w:r w:rsidRPr="00845D16">
        <w:rPr>
          <w:bCs w:val="0"/>
        </w:rPr>
        <w:tab/>
        <w:t xml:space="preserve">Please describe the </w:t>
      </w:r>
      <w:r w:rsidR="00845D16" w:rsidRPr="00845D16">
        <w:rPr>
          <w:bCs w:val="0"/>
        </w:rPr>
        <w:t>Company’s proposed electric and natural gas Attrition models</w:t>
      </w:r>
      <w:r w:rsidR="00845D16">
        <w:rPr>
          <w:bCs w:val="0"/>
        </w:rPr>
        <w:t xml:space="preserve"> as provided in Exhibit Nos</w:t>
      </w:r>
      <w:r w:rsidR="00845D16" w:rsidRPr="00845D16">
        <w:rPr>
          <w:bCs w:val="0"/>
        </w:rPr>
        <w:t>.</w:t>
      </w:r>
      <w:r w:rsidR="00845D16">
        <w:rPr>
          <w:bCs w:val="0"/>
        </w:rPr>
        <w:t xml:space="preserve"> __(EMA-6) and __(EMA-7).</w:t>
      </w:r>
    </w:p>
    <w:p w:rsidR="00845D16" w:rsidRPr="008A67DB" w:rsidRDefault="00845D16" w:rsidP="004C6054">
      <w:pPr>
        <w:pStyle w:val="BodyText"/>
        <w:spacing w:line="480" w:lineRule="auto"/>
        <w:jc w:val="both"/>
        <w:rPr>
          <w:b w:val="0"/>
          <w:bCs w:val="0"/>
        </w:rPr>
      </w:pPr>
      <w:r>
        <w:rPr>
          <w:b w:val="0"/>
          <w:bCs w:val="0"/>
        </w:rPr>
        <w:tab/>
        <w:t>A.</w:t>
      </w:r>
      <w:r>
        <w:rPr>
          <w:b w:val="0"/>
          <w:bCs w:val="0"/>
        </w:rPr>
        <w:tab/>
        <w:t>As discussed in my rebuttal testimony, Avista began with Washington UTC Staff’s electric and natural gas Attrition Studies provided as Exhibit Nos. __(CRM-2) and __(CRM-3).  The results of Avista’s Attrition Studies, after correcting staff errors, including updated information and adjustments, as well as adjusting for certain modifications to Staff proposed attrition methodology (i.e. using 2007-2014 data versus Staff’s use of 2009-2014 data, including total Project Compass transfer to plant costs, rather than Staff’s reduced balances</w:t>
      </w:r>
      <w:r w:rsidR="00C840D2">
        <w:rPr>
          <w:b w:val="0"/>
          <w:bCs w:val="0"/>
        </w:rPr>
        <w:t>, as well as using an alternate average for the O&amp;M escalation</w:t>
      </w:r>
      <w:r w:rsidR="008F5388">
        <w:rPr>
          <w:b w:val="0"/>
          <w:bCs w:val="0"/>
        </w:rPr>
        <w:t xml:space="preserve"> factor</w:t>
      </w:r>
      <w:r>
        <w:rPr>
          <w:b w:val="0"/>
          <w:bCs w:val="0"/>
        </w:rPr>
        <w:t>) produces the electric and natural gas Attrition Study results as described below:</w:t>
      </w:r>
    </w:p>
    <w:p w:rsidR="0087366B" w:rsidRPr="006A743A" w:rsidRDefault="0087366B" w:rsidP="004C6054">
      <w:pPr>
        <w:pStyle w:val="BodyText"/>
        <w:spacing w:line="480" w:lineRule="auto"/>
        <w:jc w:val="both"/>
      </w:pPr>
      <w:r w:rsidRPr="006A743A">
        <w:rPr>
          <w:bCs w:val="0"/>
          <w:u w:val="single"/>
        </w:rPr>
        <w:t>Electric Attrition Study</w:t>
      </w:r>
      <w:r w:rsidRPr="006A743A">
        <w:tab/>
      </w:r>
    </w:p>
    <w:p w:rsidR="0087366B" w:rsidRPr="006A743A" w:rsidRDefault="0087366B" w:rsidP="004C6054">
      <w:pPr>
        <w:suppressAutoHyphens/>
        <w:spacing w:line="480" w:lineRule="auto"/>
        <w:jc w:val="both"/>
        <w:rPr>
          <w:b/>
          <w:bCs/>
        </w:rPr>
      </w:pPr>
      <w:r w:rsidRPr="006A743A">
        <w:rPr>
          <w:b/>
          <w:bCs/>
        </w:rPr>
        <w:tab/>
        <w:t>Q.</w:t>
      </w:r>
      <w:r w:rsidRPr="006A743A">
        <w:rPr>
          <w:b/>
          <w:bCs/>
        </w:rPr>
        <w:tab/>
      </w:r>
      <w:r w:rsidR="006E4E7F" w:rsidRPr="006A743A">
        <w:rPr>
          <w:b/>
          <w:bCs/>
        </w:rPr>
        <w:t xml:space="preserve">Please </w:t>
      </w:r>
      <w:r w:rsidRPr="006A743A">
        <w:rPr>
          <w:b/>
          <w:bCs/>
        </w:rPr>
        <w:t xml:space="preserve">explain what is shown on page 1 </w:t>
      </w:r>
      <w:r w:rsidR="006E4E7F" w:rsidRPr="006A743A">
        <w:rPr>
          <w:b/>
          <w:bCs/>
        </w:rPr>
        <w:t xml:space="preserve">of the Electric Attrition Study provided as </w:t>
      </w:r>
      <w:r w:rsidR="00B373E3" w:rsidRPr="006A743A">
        <w:rPr>
          <w:b/>
          <w:bCs/>
        </w:rPr>
        <w:t>Exhibit No._____(</w:t>
      </w:r>
      <w:r w:rsidR="00E27DEB">
        <w:rPr>
          <w:b/>
          <w:bCs/>
        </w:rPr>
        <w:t>EMA-6</w:t>
      </w:r>
      <w:r w:rsidR="00B373E3" w:rsidRPr="006A743A">
        <w:rPr>
          <w:b/>
          <w:bCs/>
        </w:rPr>
        <w:t>).</w:t>
      </w:r>
      <w:r w:rsidRPr="006A743A">
        <w:rPr>
          <w:b/>
          <w:bCs/>
        </w:rPr>
        <w:t xml:space="preserve"> </w:t>
      </w:r>
    </w:p>
    <w:p w:rsidR="007301B5" w:rsidRPr="006A743A" w:rsidRDefault="0087366B" w:rsidP="004C6054">
      <w:pPr>
        <w:suppressAutoHyphens/>
        <w:spacing w:line="480" w:lineRule="auto"/>
        <w:jc w:val="both"/>
      </w:pPr>
      <w:r w:rsidRPr="006A743A">
        <w:tab/>
        <w:t>A.</w:t>
      </w:r>
      <w:r w:rsidRPr="006A743A">
        <w:tab/>
        <w:t>Exhibit No._____(</w:t>
      </w:r>
      <w:r w:rsidR="00E27DEB">
        <w:t>EMA-6</w:t>
      </w:r>
      <w:r w:rsidRPr="006A743A">
        <w:t>)</w:t>
      </w:r>
      <w:r w:rsidR="00F87509" w:rsidRPr="006A743A">
        <w:t xml:space="preserve">, page 1, </w:t>
      </w:r>
      <w:r w:rsidR="0068785C" w:rsidRPr="006A743A">
        <w:t>shows the calculation of the electric</w:t>
      </w:r>
      <w:r w:rsidR="000C3FAC">
        <w:t xml:space="preserve"> </w:t>
      </w:r>
      <w:r w:rsidR="0068785C" w:rsidRPr="006A743A">
        <w:t>general revenue requirement</w:t>
      </w:r>
      <w:r w:rsidR="00924827" w:rsidRPr="006A743A">
        <w:t>,</w:t>
      </w:r>
      <w:r w:rsidR="0068785C" w:rsidRPr="006A743A">
        <w:t xml:space="preserve"> based on the Company’s </w:t>
      </w:r>
      <w:r w:rsidR="000703DB">
        <w:t xml:space="preserve">Washington </w:t>
      </w:r>
      <w:r w:rsidR="0068785C" w:rsidRPr="006A743A">
        <w:t xml:space="preserve">electric </w:t>
      </w:r>
      <w:r w:rsidR="00B373E3" w:rsidRPr="006A743A">
        <w:t>A</w:t>
      </w:r>
      <w:r w:rsidR="0068785C" w:rsidRPr="006A743A">
        <w:t xml:space="preserve">ttrition </w:t>
      </w:r>
      <w:r w:rsidR="00B373E3" w:rsidRPr="006A743A">
        <w:t>S</w:t>
      </w:r>
      <w:r w:rsidR="0068785C" w:rsidRPr="006A743A">
        <w:t>tudy analysis</w:t>
      </w:r>
      <w:r w:rsidR="00924827" w:rsidRPr="006A743A">
        <w:t>,</w:t>
      </w:r>
      <w:r w:rsidR="0068785C" w:rsidRPr="006A743A">
        <w:t xml:space="preserve"> to earn the 7.</w:t>
      </w:r>
      <w:r w:rsidR="008D0143">
        <w:t>29</w:t>
      </w:r>
      <w:r w:rsidR="0068785C" w:rsidRPr="006A743A">
        <w:t xml:space="preserve">% rate of return </w:t>
      </w:r>
      <w:r w:rsidR="008D0143">
        <w:t>agreed-to by the Parties in the Partial Settlement filed with the Washington UTC on May 1, 2015.</w:t>
      </w:r>
      <w:r w:rsidR="000703DB">
        <w:t xml:space="preserve"> </w:t>
      </w:r>
      <w:r w:rsidR="008D0143">
        <w:t xml:space="preserve"> </w:t>
      </w:r>
      <w:r w:rsidR="003C311F" w:rsidRPr="006A743A">
        <w:t xml:space="preserve">Page 1 shows </w:t>
      </w:r>
      <w:r w:rsidR="00F87509" w:rsidRPr="006A743A">
        <w:t>the 201</w:t>
      </w:r>
      <w:r w:rsidR="00F84141">
        <w:t>6</w:t>
      </w:r>
      <w:r w:rsidR="00F87509" w:rsidRPr="006A743A">
        <w:t xml:space="preserve"> electric rev</w:t>
      </w:r>
      <w:r w:rsidR="007301B5" w:rsidRPr="006A743A">
        <w:t>e</w:t>
      </w:r>
      <w:r w:rsidR="00F87509" w:rsidRPr="006A743A">
        <w:t>nue re</w:t>
      </w:r>
      <w:r w:rsidR="007301B5" w:rsidRPr="006A743A">
        <w:t xml:space="preserve">quirement </w:t>
      </w:r>
      <w:r w:rsidR="001F0937" w:rsidRPr="006A743A">
        <w:t>of $</w:t>
      </w:r>
      <w:r w:rsidR="000703DB">
        <w:t>3,639,000</w:t>
      </w:r>
      <w:r w:rsidR="001F0937" w:rsidRPr="006A743A">
        <w:t xml:space="preserve"> </w:t>
      </w:r>
      <w:r w:rsidR="00F87509" w:rsidRPr="006A743A">
        <w:t>(</w:t>
      </w:r>
      <w:r w:rsidR="0095435D" w:rsidRPr="006A743A">
        <w:t>column (</w:t>
      </w:r>
      <w:r w:rsidR="00112965" w:rsidRPr="009C086F">
        <w:t>c</w:t>
      </w:r>
      <w:r w:rsidR="0095435D" w:rsidRPr="009C086F">
        <w:t>)</w:t>
      </w:r>
      <w:r w:rsidR="00F87509" w:rsidRPr="009C086F">
        <w:t>)</w:t>
      </w:r>
      <w:r w:rsidR="00E91EFE" w:rsidRPr="009C086F">
        <w:rPr>
          <w:rStyle w:val="FootnoteReference"/>
        </w:rPr>
        <w:footnoteReference w:id="1"/>
      </w:r>
      <w:r w:rsidR="0068785C" w:rsidRPr="009C086F">
        <w:t>.</w:t>
      </w:r>
      <w:r w:rsidR="0068785C" w:rsidRPr="006A743A">
        <w:t xml:space="preserve"> </w:t>
      </w:r>
      <w:r w:rsidR="003C311F" w:rsidRPr="006A743A">
        <w:t xml:space="preserve"> </w:t>
      </w:r>
    </w:p>
    <w:p w:rsidR="00870ED9" w:rsidRPr="006A743A" w:rsidRDefault="0095435D" w:rsidP="004C6054">
      <w:pPr>
        <w:suppressAutoHyphens/>
        <w:spacing w:line="480" w:lineRule="auto"/>
        <w:jc w:val="both"/>
      </w:pPr>
      <w:r w:rsidRPr="006A743A">
        <w:lastRenderedPageBreak/>
        <w:tab/>
      </w:r>
      <w:r w:rsidR="0068785C" w:rsidRPr="006A743A">
        <w:t>C</w:t>
      </w:r>
      <w:r w:rsidR="0087366B" w:rsidRPr="006A743A">
        <w:t xml:space="preserve">olumn </w:t>
      </w:r>
      <w:r w:rsidR="0087366B" w:rsidRPr="006A743A">
        <w:rPr>
          <w:b/>
        </w:rPr>
        <w:t>(a)</w:t>
      </w:r>
      <w:r w:rsidR="0068785C" w:rsidRPr="006A743A">
        <w:t xml:space="preserve"> of page 1</w:t>
      </w:r>
      <w:r w:rsidR="003265E8">
        <w:t>,</w:t>
      </w:r>
      <w:r w:rsidR="0087366B" w:rsidRPr="006A743A">
        <w:t xml:space="preserve"> </w:t>
      </w:r>
      <w:r w:rsidR="00643D9E" w:rsidRPr="006A743A">
        <w:t xml:space="preserve">labeled </w:t>
      </w:r>
      <w:r w:rsidR="009B4D7C" w:rsidRPr="006A743A">
        <w:rPr>
          <w:b/>
        </w:rPr>
        <w:t>Attrition Balances</w:t>
      </w:r>
      <w:r w:rsidR="003265E8">
        <w:rPr>
          <w:b/>
        </w:rPr>
        <w:t>,</w:t>
      </w:r>
      <w:r w:rsidR="009B4D7C" w:rsidRPr="006A743A">
        <w:t xml:space="preserve"> </w:t>
      </w:r>
      <w:r w:rsidR="0087366B" w:rsidRPr="006A743A">
        <w:t xml:space="preserve">shows the electric </w:t>
      </w:r>
      <w:r w:rsidR="00112965" w:rsidRPr="006A743A">
        <w:t xml:space="preserve">Attrition Net Operating Income </w:t>
      </w:r>
      <w:r w:rsidR="00112965">
        <w:t xml:space="preserve">and </w:t>
      </w:r>
      <w:r w:rsidR="0087366B" w:rsidRPr="006A743A">
        <w:t>Attrition Rate Base balances</w:t>
      </w:r>
      <w:r w:rsidR="001F0937" w:rsidRPr="006A743A">
        <w:t xml:space="preserve">, </w:t>
      </w:r>
      <w:r w:rsidR="00563F2B" w:rsidRPr="006A743A">
        <w:t xml:space="preserve">from </w:t>
      </w:r>
      <w:r w:rsidR="001F0937" w:rsidRPr="006A743A">
        <w:t>page 5 of Exhibit No.____(</w:t>
      </w:r>
      <w:r w:rsidR="00E27DEB">
        <w:t>EMA-6</w:t>
      </w:r>
      <w:r w:rsidR="001F0937" w:rsidRPr="006A743A">
        <w:t xml:space="preserve">), </w:t>
      </w:r>
      <w:r w:rsidR="008173DC" w:rsidRPr="006A743A">
        <w:t>column</w:t>
      </w:r>
      <w:r w:rsidR="001F0937" w:rsidRPr="006A743A">
        <w:t xml:space="preserve"> [K], lines 31 and 49.</w:t>
      </w:r>
      <w:r w:rsidR="0087366B" w:rsidRPr="006A743A">
        <w:t xml:space="preserve">  </w:t>
      </w:r>
    </w:p>
    <w:p w:rsidR="001F0937" w:rsidRPr="006A743A" w:rsidRDefault="0087366B" w:rsidP="004C6054">
      <w:pPr>
        <w:suppressAutoHyphens/>
        <w:spacing w:line="480" w:lineRule="auto"/>
        <w:ind w:firstLine="720"/>
        <w:jc w:val="both"/>
      </w:pPr>
      <w:r w:rsidRPr="006A743A">
        <w:t xml:space="preserve">Column </w:t>
      </w:r>
      <w:r w:rsidRPr="006A743A">
        <w:rPr>
          <w:b/>
        </w:rPr>
        <w:t>(b)</w:t>
      </w:r>
      <w:r w:rsidRPr="006A743A">
        <w:t xml:space="preserve"> of page 1</w:t>
      </w:r>
      <w:r w:rsidR="003265E8">
        <w:t>,</w:t>
      </w:r>
      <w:r w:rsidRPr="006A743A">
        <w:t xml:space="preserve"> </w:t>
      </w:r>
      <w:r w:rsidR="009B4D7C" w:rsidRPr="006A743A">
        <w:t xml:space="preserve">labeled </w:t>
      </w:r>
      <w:r w:rsidR="009B4D7C" w:rsidRPr="006A743A">
        <w:rPr>
          <w:b/>
        </w:rPr>
        <w:t>Revenue Growth Factor</w:t>
      </w:r>
      <w:r w:rsidR="003265E8">
        <w:rPr>
          <w:b/>
        </w:rPr>
        <w:t>,</w:t>
      </w:r>
      <w:r w:rsidR="009B4D7C" w:rsidRPr="006A743A">
        <w:t xml:space="preserve"> </w:t>
      </w:r>
      <w:r w:rsidR="0068785C" w:rsidRPr="006A743A">
        <w:t xml:space="preserve">shows the </w:t>
      </w:r>
      <w:r w:rsidR="009B4D7C" w:rsidRPr="006A743A">
        <w:t>r</w:t>
      </w:r>
      <w:r w:rsidR="0068785C" w:rsidRPr="006A743A">
        <w:t xml:space="preserve">evenue </w:t>
      </w:r>
      <w:r w:rsidR="009B4D7C" w:rsidRPr="006A743A">
        <w:t>g</w:t>
      </w:r>
      <w:r w:rsidR="0068785C" w:rsidRPr="006A743A">
        <w:t xml:space="preserve">rowth </w:t>
      </w:r>
      <w:r w:rsidR="009B4D7C" w:rsidRPr="006A743A">
        <w:t>f</w:t>
      </w:r>
      <w:r w:rsidR="0068785C" w:rsidRPr="006A743A">
        <w:t>actor of 1.</w:t>
      </w:r>
      <w:r w:rsidR="00112965">
        <w:t>013115</w:t>
      </w:r>
      <w:r w:rsidR="0068785C" w:rsidRPr="006A743A">
        <w:t xml:space="preserve">, </w:t>
      </w:r>
      <w:r w:rsidR="001F0937" w:rsidRPr="006A743A">
        <w:t>a</w:t>
      </w:r>
      <w:r w:rsidR="009B4D7C" w:rsidRPr="006A743A">
        <w:t>s</w:t>
      </w:r>
      <w:r w:rsidR="001F0937" w:rsidRPr="006A743A">
        <w:t xml:space="preserve"> reflected </w:t>
      </w:r>
      <w:r w:rsidR="00563F2B" w:rsidRPr="006A743A">
        <w:t xml:space="preserve">from </w:t>
      </w:r>
      <w:r w:rsidR="00236579">
        <w:t xml:space="preserve">page </w:t>
      </w:r>
      <w:r w:rsidR="001F0937" w:rsidRPr="006A743A">
        <w:t>5 of Exhibit No.____(</w:t>
      </w:r>
      <w:r w:rsidR="00E27DEB">
        <w:t>EMA-6</w:t>
      </w:r>
      <w:r w:rsidR="001F0937" w:rsidRPr="006A743A">
        <w:t xml:space="preserve">), </w:t>
      </w:r>
      <w:r w:rsidR="00504498" w:rsidRPr="006A743A">
        <w:t>column</w:t>
      </w:r>
      <w:r w:rsidR="001F0937" w:rsidRPr="006A743A">
        <w:t xml:space="preserve"> [K], line 55.  </w:t>
      </w:r>
      <w:r w:rsidR="00870ED9" w:rsidRPr="006A743A">
        <w:rPr>
          <w:rStyle w:val="LineNumber"/>
        </w:rPr>
        <w:t xml:space="preserve">In the case of retail revenue, my </w:t>
      </w:r>
      <w:r w:rsidR="00B373E3" w:rsidRPr="006A743A">
        <w:rPr>
          <w:rStyle w:val="LineNumber"/>
        </w:rPr>
        <w:t>A</w:t>
      </w:r>
      <w:r w:rsidR="00870ED9" w:rsidRPr="006A743A">
        <w:rPr>
          <w:rStyle w:val="LineNumber"/>
        </w:rPr>
        <w:t xml:space="preserve">ttrition </w:t>
      </w:r>
      <w:r w:rsidR="00B373E3" w:rsidRPr="006A743A">
        <w:rPr>
          <w:rStyle w:val="LineNumber"/>
        </w:rPr>
        <w:t>S</w:t>
      </w:r>
      <w:r w:rsidR="00870ED9" w:rsidRPr="006A743A">
        <w:rPr>
          <w:rStyle w:val="LineNumber"/>
        </w:rPr>
        <w:t xml:space="preserve">tudy </w:t>
      </w:r>
      <w:r w:rsidR="00870ED9" w:rsidRPr="009C086F">
        <w:rPr>
          <w:rStyle w:val="LineNumber"/>
        </w:rPr>
        <w:t xml:space="preserve">uses the Company’s forecast of loads </w:t>
      </w:r>
      <w:r w:rsidR="00786D35" w:rsidRPr="009C086F">
        <w:rPr>
          <w:rStyle w:val="LineNumber"/>
        </w:rPr>
        <w:t xml:space="preserve">and customers </w:t>
      </w:r>
      <w:r w:rsidR="00870ED9" w:rsidRPr="009C086F">
        <w:rPr>
          <w:rStyle w:val="LineNumber"/>
        </w:rPr>
        <w:t>for 201</w:t>
      </w:r>
      <w:r w:rsidR="00112965" w:rsidRPr="009C086F">
        <w:rPr>
          <w:rStyle w:val="LineNumber"/>
        </w:rPr>
        <w:t>6</w:t>
      </w:r>
      <w:r w:rsidR="00870ED9" w:rsidRPr="009C086F">
        <w:rPr>
          <w:rStyle w:val="LineNumber"/>
        </w:rPr>
        <w:t xml:space="preserve"> </w:t>
      </w:r>
      <w:r w:rsidR="00786D35" w:rsidRPr="009C086F">
        <w:rPr>
          <w:rStyle w:val="LineNumber"/>
        </w:rPr>
        <w:t xml:space="preserve">to </w:t>
      </w:r>
      <w:r w:rsidR="00B25672" w:rsidRPr="009C086F">
        <w:rPr>
          <w:rStyle w:val="LineNumber"/>
        </w:rPr>
        <w:t>determine</w:t>
      </w:r>
      <w:r w:rsidR="00786D35" w:rsidRPr="009C086F">
        <w:rPr>
          <w:rStyle w:val="LineNumber"/>
        </w:rPr>
        <w:t xml:space="preserve"> revenue in 201</w:t>
      </w:r>
      <w:r w:rsidR="00112965" w:rsidRPr="009C086F">
        <w:rPr>
          <w:rStyle w:val="LineNumber"/>
        </w:rPr>
        <w:t>6</w:t>
      </w:r>
      <w:r w:rsidR="00716762" w:rsidRPr="009C086F">
        <w:rPr>
          <w:rStyle w:val="LineNumber"/>
        </w:rPr>
        <w:t>.</w:t>
      </w:r>
      <w:r w:rsidR="00870ED9" w:rsidRPr="009C086F">
        <w:rPr>
          <w:rStyle w:val="LineNumber"/>
        </w:rPr>
        <w:t xml:space="preserve">  Since the rate increase in this proceeding will be appl</w:t>
      </w:r>
      <w:r w:rsidR="00112965" w:rsidRPr="009C086F">
        <w:rPr>
          <w:rStyle w:val="LineNumber"/>
        </w:rPr>
        <w:t xml:space="preserve">ied to the twelve-months-ending September </w:t>
      </w:r>
      <w:r w:rsidR="00870ED9" w:rsidRPr="009C086F">
        <w:rPr>
          <w:rStyle w:val="LineNumber"/>
        </w:rPr>
        <w:t>30, 201</w:t>
      </w:r>
      <w:r w:rsidR="00112965" w:rsidRPr="009C086F">
        <w:rPr>
          <w:rStyle w:val="LineNumber"/>
        </w:rPr>
        <w:t>4</w:t>
      </w:r>
      <w:r w:rsidR="00870ED9" w:rsidRPr="009C086F">
        <w:rPr>
          <w:rStyle w:val="LineNumber"/>
        </w:rPr>
        <w:t xml:space="preserve"> test period billing determinants</w:t>
      </w:r>
      <w:r w:rsidR="000703DB" w:rsidRPr="009C086F">
        <w:rPr>
          <w:rStyle w:val="FootnoteReference"/>
        </w:rPr>
        <w:footnoteReference w:id="2"/>
      </w:r>
      <w:r w:rsidR="00870ED9" w:rsidRPr="009C086F">
        <w:rPr>
          <w:rStyle w:val="LineNumber"/>
        </w:rPr>
        <w:t xml:space="preserve">, I have divided </w:t>
      </w:r>
      <w:r w:rsidR="009B4D7C" w:rsidRPr="009C086F">
        <w:rPr>
          <w:rStyle w:val="LineNumber"/>
        </w:rPr>
        <w:t>my</w:t>
      </w:r>
      <w:r w:rsidR="00870ED9" w:rsidRPr="009C086F">
        <w:rPr>
          <w:rStyle w:val="LineNumber"/>
        </w:rPr>
        <w:t xml:space="preserve"> rate year attrition-adjusted revenue requirement by</w:t>
      </w:r>
      <w:r w:rsidR="00845D16" w:rsidRPr="009C086F">
        <w:rPr>
          <w:rStyle w:val="LineNumber"/>
        </w:rPr>
        <w:t xml:space="preserve"> </w:t>
      </w:r>
      <w:r w:rsidR="00870ED9" w:rsidRPr="009C086F">
        <w:rPr>
          <w:rStyle w:val="LineNumber"/>
        </w:rPr>
        <w:t xml:space="preserve">the revenue growth factor to </w:t>
      </w:r>
      <w:r w:rsidR="00504498" w:rsidRPr="009C086F">
        <w:rPr>
          <w:rStyle w:val="LineNumber"/>
        </w:rPr>
        <w:t>reflect the amount</w:t>
      </w:r>
      <w:r w:rsidR="00BC366C" w:rsidRPr="009C086F">
        <w:rPr>
          <w:rStyle w:val="LineNumber"/>
        </w:rPr>
        <w:t xml:space="preserve"> </w:t>
      </w:r>
      <w:r w:rsidR="00504498" w:rsidRPr="009C086F">
        <w:rPr>
          <w:rStyle w:val="LineNumber"/>
        </w:rPr>
        <w:t>needed to be recovered from</w:t>
      </w:r>
      <w:r w:rsidR="00870ED9" w:rsidRPr="009C086F">
        <w:rPr>
          <w:rStyle w:val="LineNumber"/>
        </w:rPr>
        <w:t xml:space="preserve"> the test period level of retail loads</w:t>
      </w:r>
      <w:r w:rsidR="00786D35" w:rsidRPr="009C086F">
        <w:rPr>
          <w:rStyle w:val="LineNumber"/>
        </w:rPr>
        <w:t xml:space="preserve"> and customers</w:t>
      </w:r>
      <w:r w:rsidR="00870ED9" w:rsidRPr="009C086F">
        <w:rPr>
          <w:rStyle w:val="LineNumber"/>
        </w:rPr>
        <w:t xml:space="preserve">.  </w:t>
      </w:r>
      <w:r w:rsidR="00870ED9" w:rsidRPr="009C086F">
        <w:t xml:space="preserve"> </w:t>
      </w:r>
      <w:r w:rsidR="00236579" w:rsidRPr="009C086F">
        <w:t>This is shown on page</w:t>
      </w:r>
      <w:r w:rsidR="00236579">
        <w:t xml:space="preserve"> 5, line 54 to 56 of Exhibit No. __(</w:t>
      </w:r>
      <w:r w:rsidR="00E27DEB">
        <w:t>EMA-6</w:t>
      </w:r>
      <w:r w:rsidR="00236579">
        <w:t xml:space="preserve">). </w:t>
      </w:r>
    </w:p>
    <w:p w:rsidR="009928D5" w:rsidRPr="006A743A" w:rsidRDefault="001F0937" w:rsidP="004C6054">
      <w:pPr>
        <w:suppressAutoHyphens/>
        <w:spacing w:line="480" w:lineRule="auto"/>
        <w:ind w:firstLine="720"/>
        <w:jc w:val="both"/>
      </w:pPr>
      <w:r w:rsidRPr="006A743A">
        <w:t>C</w:t>
      </w:r>
      <w:r w:rsidR="0087366B" w:rsidRPr="006A743A">
        <w:t xml:space="preserve">olumn </w:t>
      </w:r>
      <w:r w:rsidR="0087366B" w:rsidRPr="006A743A">
        <w:rPr>
          <w:b/>
        </w:rPr>
        <w:t>(c)</w:t>
      </w:r>
      <w:r w:rsidR="00643D9E" w:rsidRPr="006A743A">
        <w:t xml:space="preserve">, labeled </w:t>
      </w:r>
      <w:r w:rsidR="00202255" w:rsidRPr="006A743A">
        <w:rPr>
          <w:b/>
        </w:rPr>
        <w:t>Attrition Adjusted Balances</w:t>
      </w:r>
      <w:r w:rsidR="00112965">
        <w:rPr>
          <w:b/>
        </w:rPr>
        <w:t xml:space="preserve"> and 2016 Revenue Requirement</w:t>
      </w:r>
      <w:r w:rsidR="003265E8">
        <w:rPr>
          <w:b/>
        </w:rPr>
        <w:t>,</w:t>
      </w:r>
      <w:r w:rsidR="00112965">
        <w:rPr>
          <w:b/>
        </w:rPr>
        <w:t xml:space="preserve"> </w:t>
      </w:r>
      <w:r w:rsidR="00202255" w:rsidRPr="006A743A">
        <w:t xml:space="preserve">shows the calculation </w:t>
      </w:r>
      <w:r w:rsidR="00112965">
        <w:t xml:space="preserve">and final result </w:t>
      </w:r>
      <w:r w:rsidR="00202255" w:rsidRPr="006A743A">
        <w:t>of the $3</w:t>
      </w:r>
      <w:r w:rsidR="00112965">
        <w:t>,</w:t>
      </w:r>
      <w:r w:rsidR="005B1167">
        <w:t>639</w:t>
      </w:r>
      <w:r w:rsidR="00202255" w:rsidRPr="006A743A">
        <w:t xml:space="preserve">,000 revenue requirement at the </w:t>
      </w:r>
      <w:r w:rsidR="005B1167">
        <w:t>agreed-to</w:t>
      </w:r>
      <w:r w:rsidR="00202255" w:rsidRPr="006A743A">
        <w:t xml:space="preserve"> 7.</w:t>
      </w:r>
      <w:r w:rsidR="005B1167">
        <w:t>29</w:t>
      </w:r>
      <w:r w:rsidR="00202255" w:rsidRPr="006A743A">
        <w:t>% rate of return</w:t>
      </w:r>
      <w:r w:rsidR="00B25672">
        <w:t>.  The revenue requirement is</w:t>
      </w:r>
      <w:r w:rsidR="00202255" w:rsidRPr="006A743A">
        <w:t xml:space="preserve"> based on the electric Attrition Study</w:t>
      </w:r>
      <w:r w:rsidR="009B4D7C" w:rsidRPr="006A743A">
        <w:t xml:space="preserve"> “</w:t>
      </w:r>
      <w:r w:rsidR="00202255" w:rsidRPr="006A743A">
        <w:t>Attrition Rate Base</w:t>
      </w:r>
      <w:r w:rsidR="009B4D7C" w:rsidRPr="006A743A">
        <w:t>”</w:t>
      </w:r>
      <w:r w:rsidR="00202255" w:rsidRPr="006A743A">
        <w:t xml:space="preserve"> and </w:t>
      </w:r>
      <w:r w:rsidR="009B4D7C" w:rsidRPr="006A743A">
        <w:t>“</w:t>
      </w:r>
      <w:r w:rsidR="00202255" w:rsidRPr="006A743A">
        <w:t>Attrition Net Operating Income</w:t>
      </w:r>
      <w:r w:rsidR="009B4D7C" w:rsidRPr="006A743A">
        <w:t>”</w:t>
      </w:r>
      <w:r w:rsidR="00202255" w:rsidRPr="006A743A">
        <w:t xml:space="preserve"> </w:t>
      </w:r>
      <w:r w:rsidR="009B4D7C" w:rsidRPr="006A743A">
        <w:t xml:space="preserve">balances in column (a) </w:t>
      </w:r>
      <w:r w:rsidR="00870ED9" w:rsidRPr="006A743A">
        <w:t>adjusted for the revenue growth factor from column (b)</w:t>
      </w:r>
      <w:r w:rsidR="00202255" w:rsidRPr="006A743A">
        <w:t>.</w:t>
      </w:r>
      <w:r w:rsidR="00112965">
        <w:t xml:space="preserve">  T</w:t>
      </w:r>
      <w:r w:rsidR="009928D5" w:rsidRPr="006A743A">
        <w:t xml:space="preserve">he resulting percentage revenue increase above </w:t>
      </w:r>
      <w:r w:rsidR="009928D5" w:rsidRPr="007F3AD3">
        <w:rPr>
          <w:u w:val="single"/>
        </w:rPr>
        <w:t>201</w:t>
      </w:r>
      <w:r w:rsidR="003531F0">
        <w:rPr>
          <w:u w:val="single"/>
        </w:rPr>
        <w:t>5</w:t>
      </w:r>
      <w:r w:rsidR="009928D5" w:rsidRPr="006A743A">
        <w:t xml:space="preserve"> total revenues is </w:t>
      </w:r>
      <w:r w:rsidR="005B1167">
        <w:t>0</w:t>
      </w:r>
      <w:r w:rsidR="00112965">
        <w:t>.</w:t>
      </w:r>
      <w:r w:rsidR="005B1167">
        <w:t>73</w:t>
      </w:r>
      <w:r w:rsidR="009928D5" w:rsidRPr="006A743A">
        <w:t xml:space="preserve">%.   </w:t>
      </w:r>
    </w:p>
    <w:p w:rsidR="0087366B" w:rsidRPr="006A743A" w:rsidRDefault="0087366B" w:rsidP="004C6054">
      <w:pPr>
        <w:suppressAutoHyphens/>
        <w:spacing w:line="480" w:lineRule="auto"/>
        <w:jc w:val="both"/>
        <w:rPr>
          <w:b/>
          <w:bCs/>
        </w:rPr>
      </w:pPr>
      <w:r w:rsidRPr="006A743A">
        <w:rPr>
          <w:b/>
          <w:bCs/>
        </w:rPr>
        <w:tab/>
        <w:t>Q.</w:t>
      </w:r>
      <w:r w:rsidRPr="006A743A">
        <w:rPr>
          <w:b/>
          <w:bCs/>
        </w:rPr>
        <w:tab/>
        <w:t>Would you please explain page 2 of Exhibit No._____(</w:t>
      </w:r>
      <w:r w:rsidR="00E27DEB">
        <w:rPr>
          <w:b/>
          <w:bCs/>
        </w:rPr>
        <w:t>EMA-6</w:t>
      </w:r>
      <w:r w:rsidRPr="006A743A">
        <w:rPr>
          <w:b/>
          <w:bCs/>
        </w:rPr>
        <w:t>)?</w:t>
      </w:r>
    </w:p>
    <w:p w:rsidR="0087366B" w:rsidRPr="006A743A" w:rsidRDefault="0087366B" w:rsidP="004C6054">
      <w:pPr>
        <w:suppressAutoHyphens/>
        <w:spacing w:line="480" w:lineRule="auto"/>
        <w:jc w:val="both"/>
        <w:rPr>
          <w:b/>
          <w:bCs/>
        </w:rPr>
      </w:pPr>
      <w:r w:rsidRPr="006A743A">
        <w:lastRenderedPageBreak/>
        <w:tab/>
        <w:t>A.</w:t>
      </w:r>
      <w:r w:rsidRPr="006A743A">
        <w:tab/>
        <w:t>Yes.  Page 2</w:t>
      </w:r>
      <w:r w:rsidR="0068785C" w:rsidRPr="006A743A">
        <w:t xml:space="preserve"> shows t</w:t>
      </w:r>
      <w:r w:rsidRPr="006A743A">
        <w:t xml:space="preserve">he </w:t>
      </w:r>
      <w:r w:rsidR="005B1167">
        <w:t xml:space="preserve">agreed-to </w:t>
      </w:r>
      <w:r w:rsidRPr="006A743A">
        <w:t xml:space="preserve">Cost of Capital and Capital Structure </w:t>
      </w:r>
      <w:r w:rsidR="005B1167">
        <w:t xml:space="preserve">per the Partial Settlement agreement </w:t>
      </w:r>
      <w:r w:rsidR="007A0402" w:rsidRPr="006A743A">
        <w:t>resulting in</w:t>
      </w:r>
      <w:r w:rsidRPr="006A743A">
        <w:t xml:space="preserve"> the weighted average cost of capital</w:t>
      </w:r>
      <w:r w:rsidR="007A0402" w:rsidRPr="006A743A">
        <w:t xml:space="preserve"> of</w:t>
      </w:r>
      <w:r w:rsidRPr="006A743A">
        <w:t xml:space="preserve"> 7.</w:t>
      </w:r>
      <w:r w:rsidR="005B1167">
        <w:t>29</w:t>
      </w:r>
      <w:r w:rsidRPr="006A743A">
        <w:t xml:space="preserve">%.  </w:t>
      </w:r>
    </w:p>
    <w:p w:rsidR="0068785C" w:rsidRPr="006A743A" w:rsidRDefault="0068785C" w:rsidP="004C6054">
      <w:pPr>
        <w:suppressAutoHyphens/>
        <w:spacing w:line="480" w:lineRule="auto"/>
        <w:ind w:firstLine="720"/>
        <w:jc w:val="both"/>
        <w:rPr>
          <w:b/>
          <w:bCs/>
        </w:rPr>
      </w:pPr>
      <w:r w:rsidRPr="006A743A">
        <w:rPr>
          <w:b/>
          <w:bCs/>
        </w:rPr>
        <w:t>Q.</w:t>
      </w:r>
      <w:r w:rsidRPr="006A743A">
        <w:rPr>
          <w:b/>
          <w:bCs/>
        </w:rPr>
        <w:tab/>
        <w:t>What does page 3 of Exhibit No._____(</w:t>
      </w:r>
      <w:r w:rsidR="00E27DEB">
        <w:rPr>
          <w:b/>
          <w:bCs/>
        </w:rPr>
        <w:t>EMA-6</w:t>
      </w:r>
      <w:r w:rsidRPr="006A743A">
        <w:rPr>
          <w:b/>
          <w:bCs/>
        </w:rPr>
        <w:t>) show?</w:t>
      </w:r>
    </w:p>
    <w:p w:rsidR="0087366B" w:rsidRPr="006A743A" w:rsidRDefault="0068785C" w:rsidP="004C6054">
      <w:pPr>
        <w:suppressAutoHyphens/>
        <w:spacing w:line="480" w:lineRule="auto"/>
        <w:ind w:firstLine="720"/>
        <w:jc w:val="both"/>
      </w:pPr>
      <w:r w:rsidRPr="006A743A">
        <w:t>A.</w:t>
      </w:r>
      <w:r w:rsidRPr="006A743A">
        <w:tab/>
        <w:t xml:space="preserve">Page 3 shows </w:t>
      </w:r>
      <w:r w:rsidR="0087366B" w:rsidRPr="006A743A">
        <w:t xml:space="preserve">the derivation of the </w:t>
      </w:r>
      <w:r w:rsidR="007A7C76" w:rsidRPr="006A743A">
        <w:t xml:space="preserve">electric </w:t>
      </w:r>
      <w:r w:rsidR="0087366B" w:rsidRPr="006A743A">
        <w:t>net</w:t>
      </w:r>
      <w:r w:rsidR="00E95AD1" w:rsidRPr="006A743A">
        <w:t>-</w:t>
      </w:r>
      <w:r w:rsidR="0087366B" w:rsidRPr="006A743A">
        <w:t>operating</w:t>
      </w:r>
      <w:r w:rsidR="00E95AD1" w:rsidRPr="006A743A">
        <w:t>-</w:t>
      </w:r>
      <w:r w:rsidR="0087366B" w:rsidRPr="006A743A">
        <w:t>income</w:t>
      </w:r>
      <w:r w:rsidR="00E95AD1" w:rsidRPr="006A743A">
        <w:t>-</w:t>
      </w:r>
      <w:r w:rsidR="0087366B" w:rsidRPr="006A743A">
        <w:t>to</w:t>
      </w:r>
      <w:r w:rsidR="00E95AD1" w:rsidRPr="006A743A">
        <w:t>-</w:t>
      </w:r>
      <w:r w:rsidR="0087366B" w:rsidRPr="006A743A">
        <w:t>gross</w:t>
      </w:r>
      <w:r w:rsidR="00E95AD1" w:rsidRPr="006A743A">
        <w:t>-</w:t>
      </w:r>
      <w:r w:rsidR="00120E2C">
        <w:t>r</w:t>
      </w:r>
      <w:r w:rsidR="0087366B" w:rsidRPr="006A743A">
        <w:t>evenue</w:t>
      </w:r>
      <w:r w:rsidR="00E95AD1" w:rsidRPr="006A743A">
        <w:t xml:space="preserve"> c</w:t>
      </w:r>
      <w:r w:rsidR="0087366B" w:rsidRPr="006A743A">
        <w:t xml:space="preserve">onversion factor.  The conversion factor takes into account uncollectible accounts receivable, Commission fees and </w:t>
      </w:r>
      <w:smartTag w:uri="urn:schemas-microsoft-com:office:smarttags" w:element="place">
        <w:smartTag w:uri="urn:schemas-microsoft-com:office:smarttags" w:element="PlaceName">
          <w:r w:rsidR="0087366B" w:rsidRPr="006A743A">
            <w:t>Washington</w:t>
          </w:r>
        </w:smartTag>
        <w:r w:rsidR="0087366B" w:rsidRPr="006A743A">
          <w:t xml:space="preserve"> </w:t>
        </w:r>
        <w:smartTag w:uri="urn:schemas-microsoft-com:office:smarttags" w:element="PlaceType">
          <w:r w:rsidR="0087366B" w:rsidRPr="006A743A">
            <w:t>State</w:t>
          </w:r>
        </w:smartTag>
      </w:smartTag>
      <w:r w:rsidR="0087366B" w:rsidRPr="006A743A">
        <w:t xml:space="preserve"> excise taxes.  Federal income taxes are reflected at 35%.</w:t>
      </w:r>
    </w:p>
    <w:p w:rsidR="0068785C" w:rsidRPr="006A743A" w:rsidRDefault="0068785C" w:rsidP="004C6054">
      <w:pPr>
        <w:suppressAutoHyphens/>
        <w:spacing w:line="480" w:lineRule="auto"/>
        <w:ind w:firstLine="720"/>
        <w:jc w:val="both"/>
        <w:rPr>
          <w:b/>
          <w:bCs/>
        </w:rPr>
      </w:pPr>
      <w:r w:rsidRPr="006A743A">
        <w:rPr>
          <w:b/>
          <w:bCs/>
        </w:rPr>
        <w:t>Q.</w:t>
      </w:r>
      <w:r w:rsidRPr="006A743A">
        <w:rPr>
          <w:b/>
          <w:bCs/>
        </w:rPr>
        <w:tab/>
      </w:r>
      <w:r w:rsidR="0051070E">
        <w:rPr>
          <w:b/>
          <w:bCs/>
        </w:rPr>
        <w:t>P</w:t>
      </w:r>
      <w:r w:rsidRPr="006A743A">
        <w:rPr>
          <w:b/>
          <w:bCs/>
        </w:rPr>
        <w:t xml:space="preserve">lease </w:t>
      </w:r>
      <w:r w:rsidR="0051070E">
        <w:rPr>
          <w:b/>
          <w:bCs/>
        </w:rPr>
        <w:t xml:space="preserve">summarize </w:t>
      </w:r>
      <w:r w:rsidRPr="006A743A">
        <w:rPr>
          <w:b/>
          <w:bCs/>
        </w:rPr>
        <w:t xml:space="preserve">pages 4 </w:t>
      </w:r>
      <w:r w:rsidR="009801FF" w:rsidRPr="006A743A">
        <w:rPr>
          <w:b/>
          <w:bCs/>
        </w:rPr>
        <w:t>through 1</w:t>
      </w:r>
      <w:r w:rsidR="005B1167">
        <w:rPr>
          <w:b/>
          <w:bCs/>
        </w:rPr>
        <w:t>3</w:t>
      </w:r>
      <w:r w:rsidRPr="006A743A">
        <w:rPr>
          <w:b/>
          <w:bCs/>
        </w:rPr>
        <w:t xml:space="preserve"> of Exhibit No.____(</w:t>
      </w:r>
      <w:r w:rsidR="00E27DEB">
        <w:rPr>
          <w:b/>
          <w:bCs/>
        </w:rPr>
        <w:t>EMA-6</w:t>
      </w:r>
      <w:r w:rsidRPr="006A743A">
        <w:rPr>
          <w:b/>
          <w:bCs/>
        </w:rPr>
        <w:t>)?</w:t>
      </w:r>
    </w:p>
    <w:p w:rsidR="002C4D5E" w:rsidRPr="006A743A" w:rsidRDefault="0068785C" w:rsidP="004C6054">
      <w:pPr>
        <w:suppressAutoHyphens/>
        <w:spacing w:line="480" w:lineRule="auto"/>
        <w:jc w:val="both"/>
      </w:pPr>
      <w:r w:rsidRPr="006A743A">
        <w:tab/>
        <w:t>A.</w:t>
      </w:r>
      <w:r w:rsidRPr="006A743A">
        <w:tab/>
        <w:t xml:space="preserve">Yes.  </w:t>
      </w:r>
      <w:r w:rsidR="00BF3015">
        <w:t>P</w:t>
      </w:r>
      <w:r w:rsidRPr="006A743A">
        <w:t>age</w:t>
      </w:r>
      <w:r w:rsidR="009801FF" w:rsidRPr="006A743A">
        <w:t>s</w:t>
      </w:r>
      <w:r w:rsidRPr="006A743A">
        <w:t xml:space="preserve"> 4 </w:t>
      </w:r>
      <w:r w:rsidR="009801FF" w:rsidRPr="006A743A">
        <w:t>and 5 provide Avista’s 201</w:t>
      </w:r>
      <w:r w:rsidR="00112965">
        <w:t>6</w:t>
      </w:r>
      <w:r w:rsidR="009801FF" w:rsidRPr="006A743A">
        <w:t xml:space="preserve"> electric attrition revenue requirement calculation; pages 6 and 7 provide electric cost and revenue trend </w:t>
      </w:r>
      <w:r w:rsidR="007A0402" w:rsidRPr="006A743A">
        <w:t>data</w:t>
      </w:r>
      <w:r w:rsidR="009801FF" w:rsidRPr="006A743A">
        <w:t xml:space="preserve"> </w:t>
      </w:r>
      <w:r w:rsidR="00C7191F">
        <w:t xml:space="preserve">used </w:t>
      </w:r>
      <w:r w:rsidR="009801FF" w:rsidRPr="006A743A">
        <w:t>for the period 200</w:t>
      </w:r>
      <w:r w:rsidR="005B1167">
        <w:t>1</w:t>
      </w:r>
      <w:r w:rsidR="009801FF" w:rsidRPr="006A743A">
        <w:t>-201</w:t>
      </w:r>
      <w:r w:rsidR="00C7191F">
        <w:t>4</w:t>
      </w:r>
      <w:r w:rsidR="009801FF" w:rsidRPr="006A743A">
        <w:t xml:space="preserve"> </w:t>
      </w:r>
      <w:r w:rsidR="00950D85" w:rsidRPr="006A743A">
        <w:t xml:space="preserve">per </w:t>
      </w:r>
      <w:r w:rsidR="009801FF" w:rsidRPr="006A743A">
        <w:t>historical Commission Basis results of operations</w:t>
      </w:r>
      <w:r w:rsidR="00950D85" w:rsidRPr="006A743A">
        <w:t xml:space="preserve">; page 8 provides </w:t>
      </w:r>
      <w:r w:rsidR="00F91545" w:rsidRPr="006A743A">
        <w:t>summary data</w:t>
      </w:r>
      <w:r w:rsidR="007A0402" w:rsidRPr="006A743A">
        <w:t xml:space="preserve"> and </w:t>
      </w:r>
      <w:r w:rsidR="007A0402" w:rsidRPr="005B1167">
        <w:t>adjustments to the</w:t>
      </w:r>
      <w:r w:rsidR="005D1E67" w:rsidRPr="005B1167">
        <w:t xml:space="preserve"> historical</w:t>
      </w:r>
      <w:r w:rsidR="00950D85" w:rsidRPr="005B1167">
        <w:t xml:space="preserve"> data</w:t>
      </w:r>
      <w:r w:rsidR="005B1167">
        <w:t>;</w:t>
      </w:r>
      <w:r w:rsidR="00950D85" w:rsidRPr="005B1167">
        <w:t xml:space="preserve"> </w:t>
      </w:r>
      <w:r w:rsidR="005B1167">
        <w:t xml:space="preserve">2007 through 2014 </w:t>
      </w:r>
      <w:r w:rsidR="00950D85" w:rsidRPr="005B1167">
        <w:t xml:space="preserve">balances </w:t>
      </w:r>
      <w:r w:rsidR="00BF3015">
        <w:t xml:space="preserve">for each </w:t>
      </w:r>
      <w:r w:rsidR="005B1167">
        <w:t xml:space="preserve">trend category </w:t>
      </w:r>
      <w:r w:rsidR="00B25672" w:rsidRPr="005B1167">
        <w:t>used in the development of</w:t>
      </w:r>
      <w:r w:rsidR="00950D85" w:rsidRPr="005B1167">
        <w:t xml:space="preserve"> the escalat</w:t>
      </w:r>
      <w:r w:rsidR="005D1E67" w:rsidRPr="005B1167">
        <w:t>ion fact</w:t>
      </w:r>
      <w:r w:rsidR="00950D85" w:rsidRPr="005B1167">
        <w:t xml:space="preserve">ors </w:t>
      </w:r>
      <w:r w:rsidR="00BF3015">
        <w:t xml:space="preserve">are </w:t>
      </w:r>
      <w:r w:rsidR="00950D85" w:rsidRPr="005B1167">
        <w:t>shown on page</w:t>
      </w:r>
      <w:r w:rsidR="005B1167" w:rsidRPr="005B1167">
        <w:t>s</w:t>
      </w:r>
      <w:r w:rsidR="00950D85" w:rsidRPr="005B1167">
        <w:t xml:space="preserve"> 9</w:t>
      </w:r>
      <w:r w:rsidR="005B1167" w:rsidRPr="005B1167">
        <w:t xml:space="preserve"> through 12</w:t>
      </w:r>
      <w:r w:rsidR="00950D85" w:rsidRPr="005B1167">
        <w:t>;</w:t>
      </w:r>
      <w:r w:rsidR="002C4D5E" w:rsidRPr="006A743A">
        <w:t xml:space="preserve"> and the final page, page 1</w:t>
      </w:r>
      <w:r w:rsidR="00BF3015">
        <w:t>3</w:t>
      </w:r>
      <w:r w:rsidR="002C4D5E" w:rsidRPr="006A743A">
        <w:t xml:space="preserve">, shows the </w:t>
      </w:r>
      <w:r w:rsidR="00A27E28" w:rsidRPr="006A743A">
        <w:t xml:space="preserve">development of the </w:t>
      </w:r>
      <w:r w:rsidR="00B026F2" w:rsidRPr="006A743A">
        <w:t xml:space="preserve">electric </w:t>
      </w:r>
      <w:r w:rsidR="00A27E28" w:rsidRPr="006A743A">
        <w:t xml:space="preserve">weighted revenue growth rate from the </w:t>
      </w:r>
      <w:r w:rsidR="00646FBD">
        <w:t xml:space="preserve">September </w:t>
      </w:r>
      <w:r w:rsidR="00A27E28" w:rsidRPr="006A743A">
        <w:t>201</w:t>
      </w:r>
      <w:r w:rsidR="00646FBD">
        <w:t>4</w:t>
      </w:r>
      <w:r w:rsidR="00A27E28" w:rsidRPr="006A743A">
        <w:t xml:space="preserve"> </w:t>
      </w:r>
      <w:r w:rsidR="00BF3015">
        <w:t xml:space="preserve">original </w:t>
      </w:r>
      <w:r w:rsidR="00A27E28" w:rsidRPr="006A743A">
        <w:t>test period to the 201</w:t>
      </w:r>
      <w:r w:rsidR="00646FBD">
        <w:t>6</w:t>
      </w:r>
      <w:r w:rsidR="00A27E28" w:rsidRPr="006A743A">
        <w:t xml:space="preserve"> rate period.</w:t>
      </w:r>
      <w:r w:rsidR="002C4D5E" w:rsidRPr="006A743A">
        <w:t xml:space="preserve"> </w:t>
      </w:r>
    </w:p>
    <w:p w:rsidR="007A7C76" w:rsidRPr="006A743A" w:rsidRDefault="002C4D5E" w:rsidP="004C6054">
      <w:pPr>
        <w:suppressAutoHyphens/>
        <w:spacing w:line="480" w:lineRule="auto"/>
        <w:ind w:firstLine="720"/>
        <w:rPr>
          <w:b/>
        </w:rPr>
      </w:pPr>
      <w:r w:rsidRPr="006A743A">
        <w:rPr>
          <w:b/>
        </w:rPr>
        <w:t>Q.</w:t>
      </w:r>
      <w:r w:rsidR="00566ACC" w:rsidRPr="006A743A">
        <w:rPr>
          <w:b/>
        </w:rPr>
        <w:tab/>
      </w:r>
      <w:r w:rsidRPr="006A743A">
        <w:rPr>
          <w:b/>
        </w:rPr>
        <w:t xml:space="preserve">Please describe in more detail what can be found on pages 4 and 5 of </w:t>
      </w:r>
      <w:r w:rsidR="003E3E49" w:rsidRPr="006A743A">
        <w:rPr>
          <w:b/>
          <w:bCs/>
        </w:rPr>
        <w:t>Exhibit No. __(</w:t>
      </w:r>
      <w:r w:rsidR="00E27DEB">
        <w:rPr>
          <w:b/>
          <w:bCs/>
        </w:rPr>
        <w:t>EMA-6</w:t>
      </w:r>
      <w:r w:rsidR="003E3E49" w:rsidRPr="006A743A">
        <w:rPr>
          <w:b/>
          <w:bCs/>
        </w:rPr>
        <w:t>).</w:t>
      </w:r>
    </w:p>
    <w:p w:rsidR="008275F3" w:rsidRPr="006A743A" w:rsidRDefault="00566ACC" w:rsidP="004C6054">
      <w:pPr>
        <w:pStyle w:val="BodyTextIndent"/>
        <w:tabs>
          <w:tab w:val="left" w:pos="1440"/>
        </w:tabs>
        <w:ind w:firstLine="720"/>
      </w:pPr>
      <w:r w:rsidRPr="006A743A">
        <w:t>A.</w:t>
      </w:r>
      <w:r w:rsidRPr="006A743A">
        <w:tab/>
      </w:r>
      <w:r w:rsidR="00215AE7" w:rsidRPr="006A743A">
        <w:t xml:space="preserve">Pages 4 and </w:t>
      </w:r>
      <w:r w:rsidR="008275F3" w:rsidRPr="006A743A">
        <w:t>5</w:t>
      </w:r>
      <w:r w:rsidR="00215AE7" w:rsidRPr="006A743A">
        <w:t xml:space="preserve"> </w:t>
      </w:r>
      <w:r w:rsidR="00A60B94" w:rsidRPr="006A743A">
        <w:t xml:space="preserve">present the normalized income statement and rate base for Washington electric operations, with the full cost, revenue and rate base detail that is found in Avista’s </w:t>
      </w:r>
      <w:r w:rsidR="00676CF3">
        <w:t>December</w:t>
      </w:r>
      <w:r w:rsidR="00646FBD">
        <w:t xml:space="preserve"> </w:t>
      </w:r>
      <w:r w:rsidR="0086706F" w:rsidRPr="006A743A">
        <w:t>201</w:t>
      </w:r>
      <w:r w:rsidR="00646FBD">
        <w:t>4</w:t>
      </w:r>
      <w:r w:rsidR="00A60B94" w:rsidRPr="006A743A">
        <w:t xml:space="preserve"> CBR.  This report also</w:t>
      </w:r>
      <w:r w:rsidR="00F637D6" w:rsidRPr="006A743A">
        <w:t xml:space="preserve"> provides</w:t>
      </w:r>
      <w:r w:rsidR="00215AE7" w:rsidRPr="006A743A">
        <w:t xml:space="preserve"> the final result of the Company’s electric attrition adjusted revenue requirement proposed in this filing.</w:t>
      </w:r>
      <w:r w:rsidR="008275F3" w:rsidRPr="006A743A">
        <w:t xml:space="preserve"> </w:t>
      </w:r>
    </w:p>
    <w:p w:rsidR="00566ACC" w:rsidRPr="006A743A" w:rsidRDefault="00107C31" w:rsidP="004C6054">
      <w:pPr>
        <w:pStyle w:val="BodyTextIndent"/>
        <w:tabs>
          <w:tab w:val="left" w:pos="1440"/>
        </w:tabs>
        <w:ind w:firstLine="720"/>
        <w:rPr>
          <w:rStyle w:val="LineNumber"/>
          <w:b/>
          <w:bCs/>
        </w:rPr>
      </w:pPr>
      <w:r w:rsidRPr="006A743A">
        <w:rPr>
          <w:b/>
        </w:rPr>
        <w:t>Q.</w:t>
      </w:r>
      <w:r w:rsidRPr="006A743A">
        <w:rPr>
          <w:b/>
        </w:rPr>
        <w:tab/>
      </w:r>
      <w:r w:rsidR="00F91545" w:rsidRPr="006A743A">
        <w:rPr>
          <w:b/>
        </w:rPr>
        <w:t>What is shown in column [A] on pages 4 and 5?</w:t>
      </w:r>
      <w:r w:rsidR="00074C03" w:rsidRPr="006A743A">
        <w:rPr>
          <w:b/>
        </w:rPr>
        <w:t xml:space="preserve">   </w:t>
      </w:r>
      <w:r w:rsidR="003F6E48" w:rsidRPr="006A743A">
        <w:rPr>
          <w:b/>
        </w:rPr>
        <w:t xml:space="preserve">  </w:t>
      </w:r>
    </w:p>
    <w:p w:rsidR="00107C31" w:rsidRPr="006A743A" w:rsidRDefault="00107C31" w:rsidP="004C6054">
      <w:pPr>
        <w:suppressAutoHyphens/>
        <w:spacing w:line="480" w:lineRule="auto"/>
        <w:ind w:firstLine="720"/>
        <w:jc w:val="both"/>
      </w:pPr>
      <w:r w:rsidRPr="006A743A">
        <w:t>A.</w:t>
      </w:r>
      <w:r w:rsidRPr="006A743A">
        <w:tab/>
        <w:t>The first column</w:t>
      </w:r>
      <w:r w:rsidR="003265E8">
        <w:t>,</w:t>
      </w:r>
      <w:r w:rsidRPr="006A743A">
        <w:t xml:space="preserve"> labeled </w:t>
      </w:r>
      <w:r w:rsidRPr="006A743A">
        <w:rPr>
          <w:b/>
        </w:rPr>
        <w:t xml:space="preserve">[A] </w:t>
      </w:r>
      <w:r w:rsidR="00F06F31">
        <w:rPr>
          <w:b/>
        </w:rPr>
        <w:t>12</w:t>
      </w:r>
      <w:r w:rsidR="00646FBD">
        <w:rPr>
          <w:b/>
        </w:rPr>
        <w:t>.2014</w:t>
      </w:r>
      <w:r w:rsidR="00293E29" w:rsidRPr="006A743A">
        <w:rPr>
          <w:b/>
        </w:rPr>
        <w:t xml:space="preserve"> </w:t>
      </w:r>
      <w:r w:rsidRPr="006A743A">
        <w:rPr>
          <w:b/>
        </w:rPr>
        <w:t>Commission Basis Report Restated Totals</w:t>
      </w:r>
      <w:r w:rsidRPr="006A743A">
        <w:t xml:space="preserve">, provides the results of </w:t>
      </w:r>
      <w:r w:rsidR="00F91545" w:rsidRPr="006A743A">
        <w:t xml:space="preserve">the </w:t>
      </w:r>
      <w:r w:rsidR="00F06F31">
        <w:t>December</w:t>
      </w:r>
      <w:r w:rsidR="00646FBD">
        <w:t xml:space="preserve"> 3</w:t>
      </w:r>
      <w:r w:rsidR="00F06F31">
        <w:t>1</w:t>
      </w:r>
      <w:r w:rsidR="00646FBD">
        <w:t xml:space="preserve">, </w:t>
      </w:r>
      <w:r w:rsidR="00090D50" w:rsidRPr="006A743A">
        <w:t>201</w:t>
      </w:r>
      <w:r w:rsidR="00646FBD">
        <w:t>4</w:t>
      </w:r>
      <w:r w:rsidR="00090D50" w:rsidRPr="006A743A">
        <w:t xml:space="preserve"> </w:t>
      </w:r>
      <w:r w:rsidRPr="006A743A">
        <w:t>Commission Basis Report (CBR) that include</w:t>
      </w:r>
      <w:r w:rsidR="00F91545" w:rsidRPr="006A743A">
        <w:t>s</w:t>
      </w:r>
      <w:r w:rsidRPr="006A743A">
        <w:t xml:space="preserve"> normalized cost and revenue data for Avista’s Washington electric operations for the period twelve-months-ended </w:t>
      </w:r>
      <w:r w:rsidR="00F06F31">
        <w:t>December</w:t>
      </w:r>
      <w:r w:rsidR="00646FBD">
        <w:t xml:space="preserve"> </w:t>
      </w:r>
      <w:r w:rsidRPr="006A743A">
        <w:t>3</w:t>
      </w:r>
      <w:r w:rsidR="00F06F31">
        <w:t>1</w:t>
      </w:r>
      <w:r w:rsidRPr="006A743A">
        <w:t>, 201</w:t>
      </w:r>
      <w:r w:rsidR="00646FBD">
        <w:t>4</w:t>
      </w:r>
      <w:r w:rsidRPr="006A743A">
        <w:t xml:space="preserve">. This column shows that on a CBR, normalized basis for this historical test period, the Company’s earned </w:t>
      </w:r>
      <w:r w:rsidR="000F5EFA" w:rsidRPr="006A743A">
        <w:t>ROR</w:t>
      </w:r>
      <w:r w:rsidRPr="006A743A">
        <w:t xml:space="preserve"> for its</w:t>
      </w:r>
      <w:r w:rsidR="00B67953" w:rsidRPr="006A743A">
        <w:t xml:space="preserve"> </w:t>
      </w:r>
      <w:r w:rsidRPr="006A743A">
        <w:t>Washington electric operations was 7.</w:t>
      </w:r>
      <w:r w:rsidR="00F06F31">
        <w:t>96</w:t>
      </w:r>
      <w:r w:rsidRPr="006A743A">
        <w:t>%.</w:t>
      </w:r>
    </w:p>
    <w:p w:rsidR="007A7C76" w:rsidRPr="006A743A" w:rsidRDefault="00107C31" w:rsidP="004C6054">
      <w:pPr>
        <w:suppressAutoHyphens/>
        <w:spacing w:line="480" w:lineRule="auto"/>
        <w:ind w:firstLine="720"/>
        <w:jc w:val="both"/>
      </w:pPr>
      <w:r w:rsidRPr="006A743A">
        <w:t>The next column</w:t>
      </w:r>
      <w:r w:rsidR="003265E8">
        <w:t>,</w:t>
      </w:r>
      <w:r w:rsidRPr="006A743A">
        <w:t xml:space="preserve"> labeled </w:t>
      </w:r>
      <w:r w:rsidRPr="006A743A">
        <w:rPr>
          <w:b/>
        </w:rPr>
        <w:t xml:space="preserve">[B] </w:t>
      </w:r>
      <w:r w:rsidR="00F06F31">
        <w:rPr>
          <w:b/>
        </w:rPr>
        <w:t>12</w:t>
      </w:r>
      <w:r w:rsidR="00646FBD">
        <w:rPr>
          <w:b/>
        </w:rPr>
        <w:t>.2014</w:t>
      </w:r>
      <w:r w:rsidRPr="006A743A">
        <w:rPr>
          <w:b/>
        </w:rPr>
        <w:t xml:space="preserve"> Normalized Net Power Supply</w:t>
      </w:r>
      <w:r w:rsidRPr="006A743A">
        <w:t xml:space="preserve">, is subtracted from </w:t>
      </w:r>
      <w:r w:rsidR="000F5EFA" w:rsidRPr="006A743A">
        <w:t xml:space="preserve">column </w:t>
      </w:r>
      <w:r w:rsidRPr="006A743A">
        <w:t>[A], removing</w:t>
      </w:r>
      <w:r w:rsidR="000F5EFA" w:rsidRPr="006A743A">
        <w:t xml:space="preserve"> all CBR normalized energy related cost</w:t>
      </w:r>
      <w:r w:rsidR="008307E1">
        <w:t>s</w:t>
      </w:r>
      <w:r w:rsidR="000F5EFA" w:rsidRPr="006A743A">
        <w:t xml:space="preserve"> and revenues (</w:t>
      </w:r>
      <w:r w:rsidR="000F5EFA" w:rsidRPr="006A743A">
        <w:rPr>
          <w:i/>
        </w:rPr>
        <w:t>e.g.</w:t>
      </w:r>
      <w:r w:rsidR="000F5EFA" w:rsidRPr="006A743A">
        <w:t xml:space="preserve"> fuel, purchased power, sales for resale revenues</w:t>
      </w:r>
      <w:r w:rsidR="00E45DBD">
        <w:t>)</w:t>
      </w:r>
      <w:r w:rsidR="00646FBD">
        <w:t xml:space="preserve"> </w:t>
      </w:r>
      <w:r w:rsidR="000F5EFA" w:rsidRPr="006A743A">
        <w:t xml:space="preserve">from the </w:t>
      </w:r>
      <w:r w:rsidR="00F06F31">
        <w:t>December 31</w:t>
      </w:r>
      <w:r w:rsidR="00966483">
        <w:t xml:space="preserve">, </w:t>
      </w:r>
      <w:r w:rsidR="000F5EFA" w:rsidRPr="006A743A">
        <w:t>201</w:t>
      </w:r>
      <w:r w:rsidR="00646FBD">
        <w:t>4</w:t>
      </w:r>
      <w:r w:rsidR="000F5EFA" w:rsidRPr="006A743A">
        <w:t xml:space="preserve"> CBR </w:t>
      </w:r>
      <w:r w:rsidR="00966483">
        <w:t>totals</w:t>
      </w:r>
      <w:r w:rsidR="000F5EFA" w:rsidRPr="006A743A">
        <w:t>.  Pro forma level net power supply costs are added back later, as discussed further below.</w:t>
      </w:r>
      <w:r w:rsidR="00293E29" w:rsidRPr="006A743A">
        <w:t xml:space="preserve"> </w:t>
      </w:r>
      <w:r w:rsidR="000F5EFA" w:rsidRPr="006A743A">
        <w:t xml:space="preserve"> This removal ensures </w:t>
      </w:r>
      <w:r w:rsidR="00966483">
        <w:t xml:space="preserve">that </w:t>
      </w:r>
      <w:r w:rsidR="000F5EFA" w:rsidRPr="006A743A">
        <w:t>only non-energy costs are trended to the 201</w:t>
      </w:r>
      <w:r w:rsidR="00646FBD">
        <w:t>6</w:t>
      </w:r>
      <w:r w:rsidR="000F5EFA" w:rsidRPr="006A743A">
        <w:t xml:space="preserve"> rate period. </w:t>
      </w:r>
    </w:p>
    <w:p w:rsidR="00D23215" w:rsidRDefault="000F5EFA" w:rsidP="00DF1C7D">
      <w:pPr>
        <w:suppressAutoHyphens/>
        <w:spacing w:line="480" w:lineRule="auto"/>
        <w:ind w:firstLine="720"/>
        <w:jc w:val="both"/>
        <w:rPr>
          <w:bCs/>
        </w:rPr>
      </w:pPr>
      <w:r w:rsidRPr="006A743A">
        <w:t>The next column</w:t>
      </w:r>
      <w:r w:rsidR="003265E8">
        <w:t>,</w:t>
      </w:r>
      <w:r w:rsidRPr="006A743A">
        <w:t xml:space="preserve"> labeled </w:t>
      </w:r>
      <w:r w:rsidRPr="006A743A">
        <w:rPr>
          <w:b/>
        </w:rPr>
        <w:t xml:space="preserve">[C] </w:t>
      </w:r>
      <w:r w:rsidR="00DF1C7D">
        <w:rPr>
          <w:b/>
        </w:rPr>
        <w:t>12.</w:t>
      </w:r>
      <w:r w:rsidR="00646FBD">
        <w:rPr>
          <w:b/>
        </w:rPr>
        <w:t>2014</w:t>
      </w:r>
      <w:r w:rsidRPr="006A743A">
        <w:rPr>
          <w:b/>
        </w:rPr>
        <w:t xml:space="preserve"> </w:t>
      </w:r>
      <w:r w:rsidR="00DF1C7D">
        <w:rPr>
          <w:b/>
        </w:rPr>
        <w:t>Deferred Debit/Credit &amp;</w:t>
      </w:r>
      <w:r w:rsidR="00646FBD">
        <w:rPr>
          <w:b/>
        </w:rPr>
        <w:t xml:space="preserve"> Regulatory Amortization</w:t>
      </w:r>
      <w:r w:rsidR="00DF1C7D">
        <w:rPr>
          <w:b/>
        </w:rPr>
        <w:t>s</w:t>
      </w:r>
      <w:r w:rsidR="00646FBD">
        <w:rPr>
          <w:b/>
        </w:rPr>
        <w:t xml:space="preserve"> </w:t>
      </w:r>
      <w:r w:rsidRPr="006A743A">
        <w:rPr>
          <w:b/>
        </w:rPr>
        <w:t xml:space="preserve">Adjustment, </w:t>
      </w:r>
      <w:r w:rsidR="00403299" w:rsidRPr="006A743A">
        <w:t xml:space="preserve">is an addition to column [A] </w:t>
      </w:r>
      <w:r w:rsidR="00966483">
        <w:t xml:space="preserve">and includes </w:t>
      </w:r>
      <w:r w:rsidR="00D23215" w:rsidRPr="00B85E08">
        <w:rPr>
          <w:bCs/>
        </w:rPr>
        <w:t xml:space="preserve">various </w:t>
      </w:r>
      <w:r w:rsidR="00E014C4" w:rsidRPr="00B85E08">
        <w:rPr>
          <w:bCs/>
        </w:rPr>
        <w:t xml:space="preserve">adjustments to regulatory deferred debit and credit rate base </w:t>
      </w:r>
      <w:r w:rsidR="005A05C3" w:rsidRPr="00B85E08">
        <w:rPr>
          <w:bCs/>
        </w:rPr>
        <w:t>balances</w:t>
      </w:r>
      <w:r w:rsidR="00D23215" w:rsidRPr="00B85E08">
        <w:rPr>
          <w:bCs/>
        </w:rPr>
        <w:t xml:space="preserve"> and regulatory amortizations</w:t>
      </w:r>
      <w:r w:rsidR="00637729">
        <w:rPr>
          <w:bCs/>
        </w:rPr>
        <w:t xml:space="preserve"> as follows:</w:t>
      </w:r>
      <w:r w:rsidR="00D23215" w:rsidRPr="00B85E08">
        <w:rPr>
          <w:bCs/>
        </w:rPr>
        <w:t xml:space="preserve"> </w:t>
      </w:r>
    </w:p>
    <w:p w:rsidR="00637729" w:rsidRPr="006B3D70" w:rsidRDefault="00C922E2" w:rsidP="00C922E2">
      <w:pPr>
        <w:numPr>
          <w:ilvl w:val="0"/>
          <w:numId w:val="23"/>
        </w:numPr>
        <w:suppressAutoHyphens/>
        <w:spacing w:line="480" w:lineRule="auto"/>
        <w:jc w:val="both"/>
        <w:rPr>
          <w:bCs/>
        </w:rPr>
      </w:pPr>
      <w:r w:rsidRPr="006B3D70">
        <w:rPr>
          <w:bCs/>
        </w:rPr>
        <w:t xml:space="preserve">The </w:t>
      </w:r>
      <w:r w:rsidR="00561844" w:rsidRPr="006B3D70">
        <w:rPr>
          <w:bCs/>
        </w:rPr>
        <w:t>r</w:t>
      </w:r>
      <w:r w:rsidR="00637729" w:rsidRPr="006B3D70">
        <w:rPr>
          <w:bCs/>
        </w:rPr>
        <w:t xml:space="preserve">egulatory </w:t>
      </w:r>
      <w:r w:rsidR="00D23215" w:rsidRPr="006B3D70">
        <w:rPr>
          <w:bCs/>
        </w:rPr>
        <w:t>deferred debit</w:t>
      </w:r>
      <w:r w:rsidRPr="006B3D70">
        <w:rPr>
          <w:bCs/>
        </w:rPr>
        <w:t>s</w:t>
      </w:r>
      <w:r w:rsidR="00D23215" w:rsidRPr="006B3D70">
        <w:rPr>
          <w:bCs/>
        </w:rPr>
        <w:t xml:space="preserve"> and credit</w:t>
      </w:r>
      <w:r w:rsidRPr="006B3D70">
        <w:rPr>
          <w:bCs/>
        </w:rPr>
        <w:t>s</w:t>
      </w:r>
      <w:r w:rsidR="00D23215" w:rsidRPr="006B3D70">
        <w:rPr>
          <w:bCs/>
        </w:rPr>
        <w:t xml:space="preserve"> rate base balance </w:t>
      </w:r>
      <w:r w:rsidRPr="006B3D70">
        <w:rPr>
          <w:bCs/>
        </w:rPr>
        <w:t>was</w:t>
      </w:r>
      <w:r w:rsidR="00637729" w:rsidRPr="006B3D70">
        <w:rPr>
          <w:bCs/>
        </w:rPr>
        <w:t xml:space="preserve"> reduced </w:t>
      </w:r>
      <w:r w:rsidR="005A05C3" w:rsidRPr="006B3D70">
        <w:rPr>
          <w:bCs/>
        </w:rPr>
        <w:t xml:space="preserve">to </w:t>
      </w:r>
      <w:r w:rsidR="00D23215" w:rsidRPr="006B3D70">
        <w:rPr>
          <w:bCs/>
        </w:rPr>
        <w:t xml:space="preserve">reflect the asset </w:t>
      </w:r>
      <w:r w:rsidR="005A05C3" w:rsidRPr="006B3D70">
        <w:rPr>
          <w:bCs/>
        </w:rPr>
        <w:t>balance</w:t>
      </w:r>
      <w:r w:rsidR="00D23215" w:rsidRPr="006B3D70">
        <w:rPr>
          <w:bCs/>
        </w:rPr>
        <w:t xml:space="preserve"> </w:t>
      </w:r>
      <w:r w:rsidR="005A05C3" w:rsidRPr="006B3D70">
        <w:rPr>
          <w:bCs/>
        </w:rPr>
        <w:t xml:space="preserve">expected in 2016, resulting in a reduction to </w:t>
      </w:r>
      <w:r w:rsidR="0001372F" w:rsidRPr="006B3D70">
        <w:rPr>
          <w:bCs/>
        </w:rPr>
        <w:t>rate base</w:t>
      </w:r>
      <w:r w:rsidR="00561844" w:rsidRPr="006B3D70">
        <w:rPr>
          <w:bCs/>
        </w:rPr>
        <w:t xml:space="preserve"> </w:t>
      </w:r>
      <w:r w:rsidR="0001372F" w:rsidRPr="006B3D70">
        <w:rPr>
          <w:bCs/>
        </w:rPr>
        <w:t>of $</w:t>
      </w:r>
      <w:r w:rsidR="006B3D70" w:rsidRPr="006B3D70">
        <w:rPr>
          <w:bCs/>
        </w:rPr>
        <w:t>6.25</w:t>
      </w:r>
      <w:r w:rsidR="0001372F" w:rsidRPr="006B3D70">
        <w:rPr>
          <w:bCs/>
        </w:rPr>
        <w:t xml:space="preserve"> million</w:t>
      </w:r>
      <w:r w:rsidR="00D23215" w:rsidRPr="006B3D70">
        <w:rPr>
          <w:rStyle w:val="FootnoteReference"/>
          <w:bCs/>
        </w:rPr>
        <w:footnoteReference w:id="3"/>
      </w:r>
      <w:r w:rsidR="005A05C3" w:rsidRPr="006B3D70">
        <w:rPr>
          <w:bCs/>
        </w:rPr>
        <w:t xml:space="preserve">. </w:t>
      </w:r>
    </w:p>
    <w:p w:rsidR="008E1ADB" w:rsidRPr="006B3D70" w:rsidRDefault="00C922E2" w:rsidP="008E1ADB">
      <w:pPr>
        <w:numPr>
          <w:ilvl w:val="0"/>
          <w:numId w:val="23"/>
        </w:numPr>
        <w:suppressAutoHyphens/>
        <w:spacing w:line="480" w:lineRule="auto"/>
        <w:jc w:val="both"/>
        <w:rPr>
          <w:bCs/>
        </w:rPr>
      </w:pPr>
      <w:r w:rsidRPr="006B3D70">
        <w:rPr>
          <w:bCs/>
        </w:rPr>
        <w:t>Regulatory amortization expense was reduced by $</w:t>
      </w:r>
      <w:r w:rsidR="006B3D70" w:rsidRPr="006B3D70">
        <w:rPr>
          <w:bCs/>
        </w:rPr>
        <w:t>3.7</w:t>
      </w:r>
      <w:r w:rsidRPr="006B3D70">
        <w:rPr>
          <w:bCs/>
        </w:rPr>
        <w:t xml:space="preserve"> million to remove e</w:t>
      </w:r>
      <w:r w:rsidR="005A05C3" w:rsidRPr="006B3D70">
        <w:rPr>
          <w:bCs/>
        </w:rPr>
        <w:t>xpiring regulatory amortization expense</w:t>
      </w:r>
      <w:r w:rsidRPr="006B3D70">
        <w:rPr>
          <w:bCs/>
        </w:rPr>
        <w:t>s</w:t>
      </w:r>
      <w:r w:rsidR="005A05C3" w:rsidRPr="006B3D70">
        <w:rPr>
          <w:bCs/>
        </w:rPr>
        <w:t xml:space="preserve"> relating to various deferral amortizations</w:t>
      </w:r>
      <w:r w:rsidR="00933436" w:rsidRPr="006B3D70">
        <w:rPr>
          <w:rStyle w:val="FootnoteReference"/>
          <w:bCs/>
        </w:rPr>
        <w:footnoteReference w:id="4"/>
      </w:r>
      <w:r w:rsidR="0001372F" w:rsidRPr="006B3D70">
        <w:rPr>
          <w:bCs/>
        </w:rPr>
        <w:t xml:space="preserve">.  </w:t>
      </w:r>
    </w:p>
    <w:p w:rsidR="004F0B72" w:rsidRPr="008E1ADB" w:rsidRDefault="008E1ADB" w:rsidP="008E1ADB">
      <w:pPr>
        <w:numPr>
          <w:ilvl w:val="0"/>
          <w:numId w:val="23"/>
        </w:numPr>
        <w:suppressAutoHyphens/>
        <w:spacing w:line="480" w:lineRule="auto"/>
        <w:jc w:val="both"/>
        <w:rPr>
          <w:bCs/>
        </w:rPr>
      </w:pPr>
      <w:r w:rsidRPr="006B3D70">
        <w:rPr>
          <w:bCs/>
        </w:rPr>
        <w:t>A</w:t>
      </w:r>
      <w:r w:rsidR="0001372F" w:rsidRPr="006B3D70">
        <w:rPr>
          <w:bCs/>
        </w:rPr>
        <w:t xml:space="preserve">dding </w:t>
      </w:r>
      <w:r w:rsidR="00F04116" w:rsidRPr="006B3D70">
        <w:rPr>
          <w:bCs/>
        </w:rPr>
        <w:t xml:space="preserve">to </w:t>
      </w:r>
      <w:r w:rsidR="00855C57" w:rsidRPr="006B3D70">
        <w:rPr>
          <w:bCs/>
        </w:rPr>
        <w:t xml:space="preserve">regulatory amortization expense </w:t>
      </w:r>
      <w:r w:rsidRPr="006B3D70">
        <w:rPr>
          <w:bCs/>
        </w:rPr>
        <w:t>is an</w:t>
      </w:r>
      <w:r w:rsidR="00F04116" w:rsidRPr="006B3D70">
        <w:rPr>
          <w:bCs/>
        </w:rPr>
        <w:t xml:space="preserve"> adjustment to</w:t>
      </w:r>
      <w:r w:rsidR="00315786" w:rsidRPr="006B3D70">
        <w:rPr>
          <w:bCs/>
        </w:rPr>
        <w:t xml:space="preserve"> </w:t>
      </w:r>
      <w:r w:rsidR="00F04116" w:rsidRPr="006B3D70">
        <w:rPr>
          <w:bCs/>
        </w:rPr>
        <w:t xml:space="preserve">reflect the Lake Spokane Deferral </w:t>
      </w:r>
      <w:r w:rsidR="00855C57" w:rsidRPr="006B3D70">
        <w:rPr>
          <w:bCs/>
        </w:rPr>
        <w:t xml:space="preserve">amortization </w:t>
      </w:r>
      <w:r w:rsidR="00F04116" w:rsidRPr="006B3D70">
        <w:rPr>
          <w:bCs/>
        </w:rPr>
        <w:t>(reflecting the three-year amortization</w:t>
      </w:r>
      <w:r w:rsidR="00F04116" w:rsidRPr="008E1ADB">
        <w:rPr>
          <w:bCs/>
        </w:rPr>
        <w:t xml:space="preserve"> expense</w:t>
      </w:r>
      <w:r w:rsidR="00933436" w:rsidRPr="008E1ADB">
        <w:rPr>
          <w:bCs/>
        </w:rPr>
        <w:t>, or an increase of $291,000,</w:t>
      </w:r>
      <w:r w:rsidR="00F04116" w:rsidRPr="008E1ADB">
        <w:rPr>
          <w:bCs/>
        </w:rPr>
        <w:t xml:space="preserve"> of the deferred costs related to improving dissolved oxygen levels in Lake Spokane, approved in Docket No. UE-140188</w:t>
      </w:r>
      <w:r w:rsidR="00F04116">
        <w:rPr>
          <w:rStyle w:val="FootnoteReference"/>
          <w:bCs/>
        </w:rPr>
        <w:footnoteReference w:id="5"/>
      </w:r>
      <w:r w:rsidR="00F04116" w:rsidRPr="008E1ADB">
        <w:rPr>
          <w:bCs/>
        </w:rPr>
        <w:t>)</w:t>
      </w:r>
      <w:r>
        <w:rPr>
          <w:bCs/>
        </w:rPr>
        <w:t>.</w:t>
      </w:r>
      <w:r w:rsidR="00933436">
        <w:t xml:space="preserve"> </w:t>
      </w:r>
      <w:r w:rsidR="004F0B72">
        <w:t xml:space="preserve"> </w:t>
      </w:r>
    </w:p>
    <w:p w:rsidR="00E014C4" w:rsidRPr="00A171CA" w:rsidRDefault="00933436" w:rsidP="004C6054">
      <w:pPr>
        <w:suppressAutoHyphens/>
        <w:spacing w:line="480" w:lineRule="auto"/>
        <w:ind w:firstLine="720"/>
        <w:jc w:val="both"/>
        <w:rPr>
          <w:bCs/>
        </w:rPr>
      </w:pPr>
      <w:r>
        <w:t xml:space="preserve">The net impact of these regulatory adjustments is a net </w:t>
      </w:r>
      <w:r>
        <w:rPr>
          <w:bCs/>
        </w:rPr>
        <w:t>reduction of $</w:t>
      </w:r>
      <w:r w:rsidR="00723068">
        <w:rPr>
          <w:bCs/>
        </w:rPr>
        <w:t>3.4</w:t>
      </w:r>
      <w:r>
        <w:rPr>
          <w:bCs/>
        </w:rPr>
        <w:t xml:space="preserve"> million</w:t>
      </w:r>
      <w:r w:rsidR="004F0B72">
        <w:rPr>
          <w:bCs/>
        </w:rPr>
        <w:t xml:space="preserve"> in amortization expense and a net</w:t>
      </w:r>
      <w:r>
        <w:rPr>
          <w:bCs/>
        </w:rPr>
        <w:t xml:space="preserve"> </w:t>
      </w:r>
      <w:r w:rsidR="00723068">
        <w:rPr>
          <w:bCs/>
        </w:rPr>
        <w:t xml:space="preserve">reduction </w:t>
      </w:r>
      <w:r>
        <w:rPr>
          <w:bCs/>
        </w:rPr>
        <w:t>in</w:t>
      </w:r>
      <w:r w:rsidRPr="00933436">
        <w:rPr>
          <w:bCs/>
        </w:rPr>
        <w:t xml:space="preserve"> </w:t>
      </w:r>
      <w:r w:rsidRPr="00A171CA">
        <w:rPr>
          <w:bCs/>
        </w:rPr>
        <w:t>regulatory rate base</w:t>
      </w:r>
      <w:r>
        <w:rPr>
          <w:bCs/>
        </w:rPr>
        <w:t xml:space="preserve"> balances </w:t>
      </w:r>
      <w:r w:rsidR="00561844" w:rsidRPr="00A171CA">
        <w:rPr>
          <w:bCs/>
        </w:rPr>
        <w:t xml:space="preserve">(or deferred debits and credits) </w:t>
      </w:r>
      <w:r>
        <w:rPr>
          <w:bCs/>
        </w:rPr>
        <w:t>of $</w:t>
      </w:r>
      <w:r w:rsidR="00723068">
        <w:rPr>
          <w:bCs/>
        </w:rPr>
        <w:t>6.</w:t>
      </w:r>
      <w:r w:rsidR="006B3D70">
        <w:rPr>
          <w:bCs/>
        </w:rPr>
        <w:t>25</w:t>
      </w:r>
      <w:r>
        <w:rPr>
          <w:bCs/>
        </w:rPr>
        <w:t xml:space="preserve"> million</w:t>
      </w:r>
      <w:r w:rsidR="004F0B72">
        <w:rPr>
          <w:bCs/>
        </w:rPr>
        <w:t xml:space="preserve">.  </w:t>
      </w:r>
      <w:r w:rsidR="00A171CA">
        <w:rPr>
          <w:bCs/>
        </w:rPr>
        <w:t xml:space="preserve">The resulting </w:t>
      </w:r>
      <w:r w:rsidR="00A171CA" w:rsidRPr="00A171CA">
        <w:rPr>
          <w:bCs/>
        </w:rPr>
        <w:t>regulatory amortization and regulatory rate base</w:t>
      </w:r>
      <w:r w:rsidR="00A171CA">
        <w:rPr>
          <w:bCs/>
        </w:rPr>
        <w:t xml:space="preserve"> </w:t>
      </w:r>
      <w:r>
        <w:rPr>
          <w:bCs/>
        </w:rPr>
        <w:t xml:space="preserve">balances </w:t>
      </w:r>
      <w:r w:rsidR="00A171CA">
        <w:rPr>
          <w:bCs/>
        </w:rPr>
        <w:t>as adjusted</w:t>
      </w:r>
      <w:r>
        <w:rPr>
          <w:bCs/>
        </w:rPr>
        <w:t>,</w:t>
      </w:r>
      <w:r w:rsidR="00A171CA">
        <w:rPr>
          <w:bCs/>
        </w:rPr>
        <w:t xml:space="preserve"> represent the balances expected during the 2016 rate year, therefore, no escalation occurs for these balances as can be seen in column [C], </w:t>
      </w:r>
      <w:r w:rsidR="00A567B5">
        <w:rPr>
          <w:bCs/>
        </w:rPr>
        <w:t xml:space="preserve">page 4, </w:t>
      </w:r>
      <w:r w:rsidR="00A171CA">
        <w:rPr>
          <w:bCs/>
        </w:rPr>
        <w:t>row 10</w:t>
      </w:r>
      <w:r w:rsidR="00A567B5">
        <w:rPr>
          <w:bCs/>
        </w:rPr>
        <w:t>,</w:t>
      </w:r>
      <w:r w:rsidR="00A171CA">
        <w:rPr>
          <w:bCs/>
        </w:rPr>
        <w:t xml:space="preserve"> and </w:t>
      </w:r>
      <w:r w:rsidR="00A567B5">
        <w:rPr>
          <w:bCs/>
        </w:rPr>
        <w:t>page</w:t>
      </w:r>
      <w:r w:rsidR="005842DE">
        <w:rPr>
          <w:bCs/>
        </w:rPr>
        <w:t xml:space="preserve"> </w:t>
      </w:r>
      <w:r w:rsidR="00A567B5">
        <w:rPr>
          <w:bCs/>
        </w:rPr>
        <w:t xml:space="preserve">5, </w:t>
      </w:r>
      <w:r w:rsidR="00A171CA">
        <w:rPr>
          <w:bCs/>
        </w:rPr>
        <w:t xml:space="preserve">row 47. </w:t>
      </w:r>
    </w:p>
    <w:p w:rsidR="00E014C4" w:rsidRPr="00E014C4" w:rsidRDefault="00E014C4" w:rsidP="004C6054">
      <w:pPr>
        <w:suppressAutoHyphens/>
        <w:spacing w:line="480" w:lineRule="auto"/>
        <w:ind w:firstLine="720"/>
        <w:rPr>
          <w:b/>
        </w:rPr>
      </w:pPr>
      <w:r w:rsidRPr="00E014C4">
        <w:rPr>
          <w:b/>
        </w:rPr>
        <w:t>Q.</w:t>
      </w:r>
      <w:r w:rsidRPr="00E014C4">
        <w:rPr>
          <w:b/>
        </w:rPr>
        <w:tab/>
        <w:t xml:space="preserve">Please continue with your explanation of pages 4 and 5 of </w:t>
      </w:r>
      <w:r w:rsidRPr="00E014C4">
        <w:rPr>
          <w:b/>
          <w:bCs/>
        </w:rPr>
        <w:t>Exhibit No. __(</w:t>
      </w:r>
      <w:r w:rsidR="00E27DEB">
        <w:rPr>
          <w:b/>
          <w:bCs/>
        </w:rPr>
        <w:t>EMA-6</w:t>
      </w:r>
      <w:r w:rsidRPr="00E014C4">
        <w:rPr>
          <w:b/>
          <w:bCs/>
        </w:rPr>
        <w:t>).</w:t>
      </w:r>
    </w:p>
    <w:p w:rsidR="00C4702B" w:rsidRDefault="00E014C4" w:rsidP="004C6054">
      <w:pPr>
        <w:suppressAutoHyphens/>
        <w:spacing w:line="480" w:lineRule="auto"/>
        <w:ind w:firstLine="720"/>
        <w:jc w:val="both"/>
      </w:pPr>
      <w:r>
        <w:t>A.</w:t>
      </w:r>
      <w:r>
        <w:tab/>
      </w:r>
      <w:r w:rsidR="000F5EFA" w:rsidRPr="006A743A">
        <w:t>The next column</w:t>
      </w:r>
      <w:r w:rsidR="003265E8">
        <w:t>,</w:t>
      </w:r>
      <w:r w:rsidR="000F5EFA" w:rsidRPr="006A743A">
        <w:t xml:space="preserve"> labeled </w:t>
      </w:r>
      <w:r w:rsidR="000F5EFA" w:rsidRPr="006A743A">
        <w:rPr>
          <w:b/>
        </w:rPr>
        <w:t xml:space="preserve">[D] </w:t>
      </w:r>
      <w:r w:rsidR="004F0B72">
        <w:rPr>
          <w:b/>
        </w:rPr>
        <w:t>Pro Forma</w:t>
      </w:r>
      <w:r w:rsidR="000F5EFA" w:rsidRPr="006A743A">
        <w:rPr>
          <w:b/>
        </w:rPr>
        <w:t xml:space="preserve"> Revenue Normalization Adjustment</w:t>
      </w:r>
      <w:r w:rsidR="000F5EFA" w:rsidRPr="006A743A">
        <w:t>,</w:t>
      </w:r>
      <w:r w:rsidR="0057627A" w:rsidRPr="006A743A">
        <w:t xml:space="preserve"> </w:t>
      </w:r>
      <w:r w:rsidR="00403299" w:rsidRPr="006A743A">
        <w:t xml:space="preserve">is an addition to column [A], </w:t>
      </w:r>
      <w:r w:rsidR="00551E00">
        <w:t>adjusting December 2014 Commission Basis normalized retail revenue to the revenue produced by the twelve months ended September 2014 billing determinants including</w:t>
      </w:r>
      <w:r w:rsidR="00A60B94" w:rsidRPr="006A743A">
        <w:t xml:space="preserve"> Avista’s 201</w:t>
      </w:r>
      <w:r w:rsidR="004F0B72">
        <w:t>5</w:t>
      </w:r>
      <w:r w:rsidR="00A60B94" w:rsidRPr="006A743A">
        <w:t xml:space="preserve"> electric revenue increase</w:t>
      </w:r>
      <w:r w:rsidR="00F04116">
        <w:t xml:space="preserve"> </w:t>
      </w:r>
      <w:r w:rsidR="00A60B94" w:rsidRPr="006A743A">
        <w:t xml:space="preserve">granted in its last general rate case, </w:t>
      </w:r>
      <w:r w:rsidR="0057627A" w:rsidRPr="006A743A">
        <w:t>Docket No. UE-1</w:t>
      </w:r>
      <w:r w:rsidR="004F0B72">
        <w:t xml:space="preserve">40188 </w:t>
      </w:r>
      <w:r w:rsidR="00D46064" w:rsidRPr="006A743A">
        <w:t>as if it had been in place for the whole 12</w:t>
      </w:r>
      <w:r w:rsidR="00090D50" w:rsidRPr="006A743A">
        <w:t>-m</w:t>
      </w:r>
      <w:r w:rsidR="00D46064" w:rsidRPr="006A743A">
        <w:t>onth period</w:t>
      </w:r>
      <w:r w:rsidR="0057627A" w:rsidRPr="006A743A">
        <w:t xml:space="preserve">.  </w:t>
      </w:r>
      <w:r w:rsidR="00403299" w:rsidRPr="006A743A">
        <w:rPr>
          <w:bCs/>
        </w:rPr>
        <w:t xml:space="preserve">This adjustment, discussed further by </w:t>
      </w:r>
      <w:r w:rsidR="00293E29" w:rsidRPr="006A743A">
        <w:rPr>
          <w:bCs/>
        </w:rPr>
        <w:t xml:space="preserve">Company witness </w:t>
      </w:r>
      <w:r w:rsidR="00403299" w:rsidRPr="006A743A">
        <w:rPr>
          <w:bCs/>
        </w:rPr>
        <w:t>Ms. Knox</w:t>
      </w:r>
      <w:r w:rsidR="00874A94">
        <w:rPr>
          <w:bCs/>
        </w:rPr>
        <w:t xml:space="preserve"> in the Company’s direct filing</w:t>
      </w:r>
      <w:r w:rsidR="00403299" w:rsidRPr="006A743A">
        <w:rPr>
          <w:bCs/>
        </w:rPr>
        <w:t>,</w:t>
      </w:r>
      <w:r w:rsidR="00C80602">
        <w:rPr>
          <w:bCs/>
        </w:rPr>
        <w:t xml:space="preserve"> </w:t>
      </w:r>
      <w:r w:rsidR="00403299" w:rsidRPr="006A743A">
        <w:rPr>
          <w:bCs/>
        </w:rPr>
        <w:t>is necessary to include revenues at the 201</w:t>
      </w:r>
      <w:r w:rsidR="004F0B72">
        <w:rPr>
          <w:bCs/>
        </w:rPr>
        <w:t>5</w:t>
      </w:r>
      <w:r w:rsidR="00403299" w:rsidRPr="006A743A">
        <w:rPr>
          <w:bCs/>
        </w:rPr>
        <w:t xml:space="preserve"> approved base rate level</w:t>
      </w:r>
      <w:r w:rsidR="0057627A" w:rsidRPr="006A743A">
        <w:t>.</w:t>
      </w:r>
      <w:r w:rsidR="00561844">
        <w:t xml:space="preserve"> </w:t>
      </w:r>
      <w:r w:rsidR="00874A94">
        <w:t xml:space="preserve"> This adjustment allows the same rate design model from the Company’s direct filing and the Partial Settlement to be used as the starting place for the revenue growth factor analysis.</w:t>
      </w:r>
    </w:p>
    <w:p w:rsidR="00A5621F" w:rsidRPr="006A743A" w:rsidRDefault="00403299" w:rsidP="00C4702B">
      <w:pPr>
        <w:suppressAutoHyphens/>
        <w:spacing w:line="480" w:lineRule="auto"/>
        <w:ind w:firstLine="720"/>
        <w:jc w:val="both"/>
      </w:pPr>
      <w:r w:rsidRPr="006A743A">
        <w:t xml:space="preserve">The next column, </w:t>
      </w:r>
      <w:r w:rsidRPr="006A743A">
        <w:rPr>
          <w:b/>
        </w:rPr>
        <w:t xml:space="preserve">[E] </w:t>
      </w:r>
      <w:r w:rsidR="004F0B72">
        <w:rPr>
          <w:b/>
        </w:rPr>
        <w:t xml:space="preserve">December 2014 </w:t>
      </w:r>
      <w:r w:rsidRPr="006A743A">
        <w:rPr>
          <w:b/>
        </w:rPr>
        <w:t xml:space="preserve">Escalation Base, </w:t>
      </w:r>
      <w:r w:rsidRPr="006A743A">
        <w:t>is the sum of the</w:t>
      </w:r>
      <w:r w:rsidR="00C4702B">
        <w:t xml:space="preserve"> </w:t>
      </w:r>
      <w:r w:rsidRPr="006A743A">
        <w:t xml:space="preserve">previous columns [A] through [D], providing the </w:t>
      </w:r>
      <w:r w:rsidR="004F0B72">
        <w:rPr>
          <w:u w:val="single"/>
        </w:rPr>
        <w:t xml:space="preserve">December 2014 </w:t>
      </w:r>
      <w:r w:rsidR="00723068">
        <w:rPr>
          <w:u w:val="single"/>
        </w:rPr>
        <w:t>e</w:t>
      </w:r>
      <w:r w:rsidR="00A5621F" w:rsidRPr="006A743A">
        <w:rPr>
          <w:u w:val="single"/>
        </w:rPr>
        <w:t xml:space="preserve">scalation </w:t>
      </w:r>
      <w:r w:rsidRPr="009E712B">
        <w:rPr>
          <w:u w:val="single"/>
        </w:rPr>
        <w:t>base cost</w:t>
      </w:r>
      <w:r w:rsidR="009A581F" w:rsidRPr="009E712B">
        <w:rPr>
          <w:u w:val="single"/>
        </w:rPr>
        <w:t>s</w:t>
      </w:r>
      <w:r w:rsidRPr="009E712B">
        <w:rPr>
          <w:u w:val="single"/>
        </w:rPr>
        <w:t xml:space="preserve"> </w:t>
      </w:r>
      <w:r w:rsidR="00C20071" w:rsidRPr="009E712B">
        <w:rPr>
          <w:u w:val="single"/>
        </w:rPr>
        <w:t>and rate base</w:t>
      </w:r>
      <w:r w:rsidR="00C20071" w:rsidRPr="006A743A">
        <w:t xml:space="preserve"> </w:t>
      </w:r>
      <w:r w:rsidR="00A0666F" w:rsidRPr="006A743A">
        <w:t>excluding net energy costs</w:t>
      </w:r>
      <w:r w:rsidR="00A5621F" w:rsidRPr="006A743A">
        <w:t>.</w:t>
      </w:r>
      <w:r w:rsidR="00A0666F" w:rsidRPr="006A743A">
        <w:t xml:space="preserve"> </w:t>
      </w:r>
      <w:r w:rsidR="00A5621F" w:rsidRPr="006A743A">
        <w:t xml:space="preserve"> This escalation base provides the balances from which</w:t>
      </w:r>
      <w:r w:rsidRPr="006A743A">
        <w:t xml:space="preserve"> the escalation</w:t>
      </w:r>
      <w:r w:rsidR="00A5621F" w:rsidRPr="006A743A">
        <w:t xml:space="preserve"> factors, discussed </w:t>
      </w:r>
      <w:r w:rsidRPr="006A743A">
        <w:t>below</w:t>
      </w:r>
      <w:r w:rsidR="00A5621F" w:rsidRPr="006A743A">
        <w:t>,</w:t>
      </w:r>
      <w:r w:rsidRPr="006A743A">
        <w:t xml:space="preserve"> </w:t>
      </w:r>
      <w:r w:rsidR="00A5621F" w:rsidRPr="006A743A">
        <w:t>are</w:t>
      </w:r>
      <w:r w:rsidRPr="006A743A">
        <w:t xml:space="preserve"> applied</w:t>
      </w:r>
      <w:r w:rsidR="00A5621F" w:rsidRPr="006A743A">
        <w:t xml:space="preserve"> to </w:t>
      </w:r>
      <w:r w:rsidR="00C20071" w:rsidRPr="006A743A">
        <w:t>determine</w:t>
      </w:r>
      <w:r w:rsidR="00A5621F" w:rsidRPr="006A743A">
        <w:t xml:space="preserve"> the 201</w:t>
      </w:r>
      <w:r w:rsidR="000A6516">
        <w:t>6</w:t>
      </w:r>
      <w:r w:rsidR="00C20071" w:rsidRPr="006A743A">
        <w:t xml:space="preserve"> </w:t>
      </w:r>
      <w:r w:rsidR="00A5621F" w:rsidRPr="006A743A">
        <w:t>final attrition revenue requirement</w:t>
      </w:r>
      <w:r w:rsidRPr="006A743A">
        <w:t>.</w:t>
      </w:r>
      <w:r w:rsidR="000A6516">
        <w:t xml:space="preserve">  </w:t>
      </w:r>
    </w:p>
    <w:p w:rsidR="002C4D5E" w:rsidRPr="006A743A" w:rsidRDefault="00A5621F" w:rsidP="004C6054">
      <w:pPr>
        <w:suppressAutoHyphens/>
        <w:spacing w:line="480" w:lineRule="auto"/>
        <w:ind w:firstLine="720"/>
        <w:jc w:val="both"/>
        <w:rPr>
          <w:b/>
        </w:rPr>
      </w:pPr>
      <w:r w:rsidRPr="006A743A">
        <w:rPr>
          <w:b/>
        </w:rPr>
        <w:t>Q.</w:t>
      </w:r>
      <w:r w:rsidRPr="006A743A">
        <w:rPr>
          <w:b/>
        </w:rPr>
        <w:tab/>
        <w:t xml:space="preserve">Please now </w:t>
      </w:r>
      <w:r w:rsidR="005C5C49" w:rsidRPr="006A743A">
        <w:rPr>
          <w:b/>
        </w:rPr>
        <w:t>explain</w:t>
      </w:r>
      <w:r w:rsidRPr="006A743A">
        <w:rPr>
          <w:b/>
        </w:rPr>
        <w:t xml:space="preserve"> columns [F] through [H].</w:t>
      </w:r>
    </w:p>
    <w:p w:rsidR="00C20071" w:rsidRPr="006A743A" w:rsidRDefault="00A5621F" w:rsidP="00723068">
      <w:pPr>
        <w:suppressAutoHyphens/>
        <w:spacing w:line="480" w:lineRule="auto"/>
        <w:ind w:firstLine="720"/>
        <w:jc w:val="both"/>
      </w:pPr>
      <w:r w:rsidRPr="006A743A">
        <w:t>A.</w:t>
      </w:r>
      <w:r w:rsidRPr="006A743A">
        <w:tab/>
      </w:r>
      <w:r w:rsidR="00AA1749" w:rsidRPr="006A743A">
        <w:t xml:space="preserve">The </w:t>
      </w:r>
      <w:r w:rsidR="000A6516">
        <w:t>2014</w:t>
      </w:r>
      <w:r w:rsidR="00AA1749" w:rsidRPr="006A743A">
        <w:t xml:space="preserve"> </w:t>
      </w:r>
      <w:r w:rsidR="00723068">
        <w:t xml:space="preserve">average-monthly-average (AMA) </w:t>
      </w:r>
      <w:r w:rsidR="00AA1749" w:rsidRPr="006A743A">
        <w:t xml:space="preserve">plant </w:t>
      </w:r>
      <w:r w:rsidR="00723068">
        <w:t xml:space="preserve">balances </w:t>
      </w:r>
      <w:r w:rsidR="00AA1749" w:rsidRPr="006A743A">
        <w:t xml:space="preserve">and related items such as depreciation and property taxes need to be escalated </w:t>
      </w:r>
      <w:r w:rsidR="00723068">
        <w:t>two</w:t>
      </w:r>
      <w:r w:rsidR="00AA1749" w:rsidRPr="006A743A">
        <w:t xml:space="preserve"> years to determine the expected costs for AMA 201</w:t>
      </w:r>
      <w:r w:rsidR="000A6516">
        <w:t>6</w:t>
      </w:r>
      <w:r w:rsidR="00C20071" w:rsidRPr="006A743A">
        <w:t xml:space="preserve"> (i.e., from 201</w:t>
      </w:r>
      <w:r w:rsidR="000A6516">
        <w:t>4</w:t>
      </w:r>
      <w:r w:rsidR="00C20071" w:rsidRPr="006A743A">
        <w:t xml:space="preserve"> </w:t>
      </w:r>
      <w:r w:rsidR="00723068">
        <w:t xml:space="preserve">AMA </w:t>
      </w:r>
      <w:r w:rsidR="00C20071" w:rsidRPr="006A743A">
        <w:t>to 201</w:t>
      </w:r>
      <w:r w:rsidR="000A6516">
        <w:t>6</w:t>
      </w:r>
      <w:r w:rsidR="00723068">
        <w:t xml:space="preserve"> AMA</w:t>
      </w:r>
      <w:r w:rsidR="00C20071" w:rsidRPr="006A743A">
        <w:t>)</w:t>
      </w:r>
      <w:r w:rsidR="00AA1749" w:rsidRPr="006A743A">
        <w:t xml:space="preserve">.  O&amp;M </w:t>
      </w:r>
      <w:r w:rsidR="00723068">
        <w:t>also</w:t>
      </w:r>
      <w:r w:rsidR="00AA1749" w:rsidRPr="006A743A">
        <w:t xml:space="preserve"> </w:t>
      </w:r>
      <w:r w:rsidR="00723068">
        <w:t xml:space="preserve">is </w:t>
      </w:r>
      <w:r w:rsidR="00AA1749" w:rsidRPr="006A743A">
        <w:t>escalated two</w:t>
      </w:r>
      <w:r w:rsidR="00723068">
        <w:t xml:space="preserve"> years</w:t>
      </w:r>
      <w:r w:rsidR="000A6516">
        <w:t xml:space="preserve"> </w:t>
      </w:r>
      <w:r w:rsidR="00AA1749" w:rsidRPr="006A743A">
        <w:t xml:space="preserve">to determine the expected costs for </w:t>
      </w:r>
      <w:r w:rsidR="000A6516">
        <w:t xml:space="preserve">calendar year </w:t>
      </w:r>
      <w:r w:rsidR="00AA1749" w:rsidRPr="006A743A">
        <w:t>201</w:t>
      </w:r>
      <w:r w:rsidR="000A6516">
        <w:t>6</w:t>
      </w:r>
      <w:r w:rsidR="00AA1749" w:rsidRPr="006A743A">
        <w:t xml:space="preserve">.  </w:t>
      </w:r>
      <w:r w:rsidR="00EB0E26" w:rsidRPr="006A743A">
        <w:t xml:space="preserve">  </w:t>
      </w:r>
      <w:r w:rsidRPr="006A743A">
        <w:t xml:space="preserve">Column </w:t>
      </w:r>
      <w:r w:rsidRPr="006A743A">
        <w:rPr>
          <w:b/>
        </w:rPr>
        <w:t>[F] Escalation Factor</w:t>
      </w:r>
      <w:r w:rsidRPr="006A743A">
        <w:t xml:space="preserve"> </w:t>
      </w:r>
      <w:r w:rsidR="00EB0E26" w:rsidRPr="006A743A">
        <w:t>shows t</w:t>
      </w:r>
      <w:r w:rsidR="000A6516">
        <w:t xml:space="preserve">he </w:t>
      </w:r>
      <w:r w:rsidR="00723068">
        <w:t xml:space="preserve">2-year </w:t>
      </w:r>
      <w:r w:rsidR="00C20071" w:rsidRPr="006A743A">
        <w:t xml:space="preserve">escalation rates </w:t>
      </w:r>
      <w:r w:rsidR="00723068">
        <w:t xml:space="preserve">for all categories </w:t>
      </w:r>
      <w:r w:rsidR="00EB0E26" w:rsidRPr="006A743A">
        <w:t>(</w:t>
      </w:r>
      <w:r w:rsidR="00723068">
        <w:t>N</w:t>
      </w:r>
      <w:r w:rsidR="00EB0E26" w:rsidRPr="006A743A">
        <w:t xml:space="preserve">et </w:t>
      </w:r>
      <w:r w:rsidR="00723068">
        <w:t>P</w:t>
      </w:r>
      <w:r w:rsidR="00EB0E26" w:rsidRPr="006A743A">
        <w:t xml:space="preserve">lant </w:t>
      </w:r>
      <w:r w:rsidR="00723068">
        <w:t>A</w:t>
      </w:r>
      <w:r w:rsidR="00EB0E26" w:rsidRPr="006A743A">
        <w:t>fter DFIT</w:t>
      </w:r>
      <w:r w:rsidR="00723068">
        <w:t>, D</w:t>
      </w:r>
      <w:r w:rsidR="00EB0E26" w:rsidRPr="006A743A">
        <w:t>epreciation/</w:t>
      </w:r>
      <w:r w:rsidR="00723068">
        <w:t>A</w:t>
      </w:r>
      <w:r w:rsidR="00EB0E26" w:rsidRPr="006A743A">
        <w:t>mortization</w:t>
      </w:r>
      <w:r w:rsidR="00723068">
        <w:t xml:space="preserve">, </w:t>
      </w:r>
      <w:r w:rsidR="000A6516" w:rsidRPr="006A743A">
        <w:t>taxes other than income</w:t>
      </w:r>
      <w:r w:rsidR="000A6516">
        <w:t xml:space="preserve">, </w:t>
      </w:r>
      <w:r w:rsidR="00EB0E26" w:rsidRPr="006A743A">
        <w:t xml:space="preserve">O&amp;M and other revenues).  </w:t>
      </w:r>
      <w:r w:rsidRPr="006A743A">
        <w:t xml:space="preserve">The determination of each of these factors is </w:t>
      </w:r>
      <w:r w:rsidR="005C5C49" w:rsidRPr="006A743A">
        <w:t>explained</w:t>
      </w:r>
      <w:r w:rsidRPr="006A743A">
        <w:t xml:space="preserve"> below. </w:t>
      </w:r>
    </w:p>
    <w:p w:rsidR="00803A5B" w:rsidRPr="006A743A" w:rsidRDefault="00135998" w:rsidP="004C6054">
      <w:pPr>
        <w:suppressAutoHyphens/>
        <w:spacing w:line="480" w:lineRule="auto"/>
        <w:ind w:firstLine="720"/>
        <w:jc w:val="both"/>
      </w:pPr>
      <w:r w:rsidRPr="006A743A">
        <w:t xml:space="preserve">The escalation factors are </w:t>
      </w:r>
      <w:r w:rsidR="005247FA" w:rsidRPr="006A743A">
        <w:t>multiplied by</w:t>
      </w:r>
      <w:r w:rsidRPr="006A743A">
        <w:t xml:space="preserve"> the </w:t>
      </w:r>
      <w:r w:rsidR="000A6516">
        <w:t>2014</w:t>
      </w:r>
      <w:r w:rsidRPr="006A743A">
        <w:t xml:space="preserve"> base amounts from column [E], producing column </w:t>
      </w:r>
      <w:r w:rsidRPr="006A743A">
        <w:rPr>
          <w:b/>
        </w:rPr>
        <w:t>[G] Non-Energy Cost Escalation Amount</w:t>
      </w:r>
      <w:r w:rsidRPr="006A743A">
        <w:t xml:space="preserve">. </w:t>
      </w:r>
    </w:p>
    <w:p w:rsidR="00A5621F" w:rsidRPr="006A743A" w:rsidRDefault="00135998" w:rsidP="004C6054">
      <w:pPr>
        <w:suppressAutoHyphens/>
        <w:spacing w:line="480" w:lineRule="auto"/>
        <w:ind w:firstLine="720"/>
        <w:jc w:val="both"/>
      </w:pPr>
      <w:r w:rsidRPr="006A743A">
        <w:t>Adding column [G], the non-energy cost escalati</w:t>
      </w:r>
      <w:r w:rsidR="0086706F" w:rsidRPr="006A743A">
        <w:t xml:space="preserve">on amount to column [E], the </w:t>
      </w:r>
      <w:r w:rsidR="000A6516">
        <w:t>2014</w:t>
      </w:r>
      <w:r w:rsidRPr="006A743A">
        <w:t xml:space="preserve"> base amount</w:t>
      </w:r>
      <w:r w:rsidR="002144CC" w:rsidRPr="006A743A">
        <w:t>s</w:t>
      </w:r>
      <w:r w:rsidRPr="006A743A">
        <w:t xml:space="preserve">, produces column </w:t>
      </w:r>
      <w:r w:rsidRPr="006A743A">
        <w:rPr>
          <w:b/>
        </w:rPr>
        <w:t xml:space="preserve">[H] </w:t>
      </w:r>
      <w:r w:rsidR="002144CC" w:rsidRPr="006A743A">
        <w:rPr>
          <w:b/>
        </w:rPr>
        <w:t>Trended 201</w:t>
      </w:r>
      <w:r w:rsidR="000A6516">
        <w:rPr>
          <w:b/>
        </w:rPr>
        <w:t>6</w:t>
      </w:r>
      <w:r w:rsidR="002144CC" w:rsidRPr="006A743A">
        <w:rPr>
          <w:b/>
        </w:rPr>
        <w:t xml:space="preserve"> Non-Energy Cost</w:t>
      </w:r>
      <w:r w:rsidR="002144CC" w:rsidRPr="006A743A">
        <w:t xml:space="preserve">, which provides the </w:t>
      </w:r>
      <w:r w:rsidR="00803A5B" w:rsidRPr="006A743A">
        <w:t>201</w:t>
      </w:r>
      <w:r w:rsidR="000A6516">
        <w:t>6</w:t>
      </w:r>
      <w:r w:rsidR="00803A5B" w:rsidRPr="006A743A">
        <w:t xml:space="preserve"> trended amounts, prior to including the impact of 201</w:t>
      </w:r>
      <w:r w:rsidR="000A6516">
        <w:t>6</w:t>
      </w:r>
      <w:r w:rsidR="00803A5B" w:rsidRPr="006A743A">
        <w:t xml:space="preserve"> pro formed net power supply</w:t>
      </w:r>
      <w:r w:rsidR="001C7FD6">
        <w:t xml:space="preserve">, </w:t>
      </w:r>
      <w:r w:rsidR="0048390A" w:rsidRPr="006A743A">
        <w:t>201</w:t>
      </w:r>
      <w:r w:rsidR="000A6516">
        <w:t>6</w:t>
      </w:r>
      <w:r w:rsidR="0048390A" w:rsidRPr="006A743A">
        <w:t xml:space="preserve"> </w:t>
      </w:r>
      <w:r w:rsidR="00803A5B" w:rsidRPr="006A743A">
        <w:t>revenue growth</w:t>
      </w:r>
      <w:r w:rsidR="001C7FD6">
        <w:t xml:space="preserve"> and the proposed After Attrition Adjustments for the Colstrip Refund Correction and Project Compass</w:t>
      </w:r>
      <w:r w:rsidR="00803A5B" w:rsidRPr="006A743A">
        <w:t>.</w:t>
      </w:r>
      <w:r w:rsidR="002144CC" w:rsidRPr="006A743A">
        <w:t xml:space="preserve"> </w:t>
      </w:r>
    </w:p>
    <w:p w:rsidR="00803A5B" w:rsidRPr="006A743A" w:rsidRDefault="00803A5B" w:rsidP="004C6054">
      <w:pPr>
        <w:suppressAutoHyphens/>
        <w:spacing w:line="480" w:lineRule="auto"/>
        <w:ind w:firstLine="720"/>
        <w:jc w:val="both"/>
        <w:rPr>
          <w:b/>
        </w:rPr>
      </w:pPr>
      <w:r w:rsidRPr="006A743A">
        <w:rPr>
          <w:b/>
        </w:rPr>
        <w:t>Q.</w:t>
      </w:r>
      <w:r w:rsidRPr="006A743A">
        <w:rPr>
          <w:b/>
        </w:rPr>
        <w:tab/>
        <w:t>Please continue your discussion, describing the final columns [I] through [</w:t>
      </w:r>
      <w:r w:rsidR="001C7FD6">
        <w:rPr>
          <w:b/>
        </w:rPr>
        <w:t>M</w:t>
      </w:r>
      <w:r w:rsidRPr="006A743A">
        <w:rPr>
          <w:b/>
        </w:rPr>
        <w:t>].</w:t>
      </w:r>
    </w:p>
    <w:p w:rsidR="005247FA" w:rsidRPr="006A743A" w:rsidRDefault="0048390A" w:rsidP="004C6054">
      <w:pPr>
        <w:suppressAutoHyphens/>
        <w:spacing w:line="480" w:lineRule="auto"/>
        <w:ind w:firstLine="720"/>
        <w:jc w:val="both"/>
      </w:pPr>
      <w:r w:rsidRPr="006A743A">
        <w:t>A.</w:t>
      </w:r>
      <w:r w:rsidRPr="006A743A">
        <w:tab/>
      </w:r>
      <w:r w:rsidR="00C20071" w:rsidRPr="006A743A">
        <w:t>C</w:t>
      </w:r>
      <w:r w:rsidRPr="006A743A">
        <w:t xml:space="preserve">olumn </w:t>
      </w:r>
      <w:r w:rsidRPr="006A743A">
        <w:rPr>
          <w:b/>
        </w:rPr>
        <w:t>[I]</w:t>
      </w:r>
      <w:r w:rsidR="003265E8">
        <w:rPr>
          <w:b/>
        </w:rPr>
        <w:t>,</w:t>
      </w:r>
      <w:r w:rsidRPr="006A743A">
        <w:t xml:space="preserve"> </w:t>
      </w:r>
      <w:r w:rsidR="001C7FD6" w:rsidRPr="001C7FD6">
        <w:rPr>
          <w:b/>
        </w:rPr>
        <w:t>12</w:t>
      </w:r>
      <w:r w:rsidR="000A6516">
        <w:rPr>
          <w:b/>
        </w:rPr>
        <w:t>.2014</w:t>
      </w:r>
      <w:r w:rsidR="008C3CF0" w:rsidRPr="006A743A">
        <w:rPr>
          <w:b/>
        </w:rPr>
        <w:t xml:space="preserve"> Pro-Formed Net Energy Cost</w:t>
      </w:r>
      <w:r w:rsidR="008C3CF0" w:rsidRPr="006A743A">
        <w:t>, adds the energy costs and sales for resale revenue</w:t>
      </w:r>
      <w:r w:rsidR="009E712B">
        <w:t>,</w:t>
      </w:r>
      <w:r w:rsidR="008C3CF0" w:rsidRPr="006A743A">
        <w:t xml:space="preserve"> </w:t>
      </w:r>
      <w:r w:rsidR="00662340">
        <w:t>per the Partial Settlement filed with the Washington UTC on May 1, 2015</w:t>
      </w:r>
      <w:r w:rsidR="008C3CF0" w:rsidRPr="006A743A">
        <w:t>.  These values reflect fuel prices and market conditions</w:t>
      </w:r>
      <w:r w:rsidR="00205C7E" w:rsidRPr="006A743A">
        <w:t xml:space="preserve"> for the 201</w:t>
      </w:r>
      <w:r w:rsidR="000A6516">
        <w:t>6</w:t>
      </w:r>
      <w:r w:rsidR="00205C7E" w:rsidRPr="006A743A">
        <w:t xml:space="preserve"> rate year</w:t>
      </w:r>
      <w:r w:rsidR="008C3CF0" w:rsidRPr="006A743A">
        <w:t>, but do not include the cost</w:t>
      </w:r>
      <w:r w:rsidR="00205C7E" w:rsidRPr="006A743A">
        <w:t>s</w:t>
      </w:r>
      <w:r w:rsidR="008C3CF0" w:rsidRPr="006A743A">
        <w:t xml:space="preserve"> associated with incremental load growth from </w:t>
      </w:r>
      <w:r w:rsidR="00205C7E" w:rsidRPr="006A743A">
        <w:t xml:space="preserve">the </w:t>
      </w:r>
      <w:r w:rsidR="00015D15">
        <w:t xml:space="preserve">twelve months ended September 2014 </w:t>
      </w:r>
      <w:r w:rsidR="000A6516">
        <w:t>historical test year to the 2016</w:t>
      </w:r>
      <w:r w:rsidR="00205C7E" w:rsidRPr="006A743A">
        <w:t xml:space="preserve"> rate year</w:t>
      </w:r>
      <w:r w:rsidR="008C3CF0" w:rsidRPr="006A743A">
        <w:t>.</w:t>
      </w:r>
      <w:r w:rsidR="005247FA" w:rsidRPr="006A743A">
        <w:t xml:space="preserve">  </w:t>
      </w:r>
      <w:r w:rsidR="00015D15">
        <w:t>The December 2014 production/transmission ratio is used</w:t>
      </w:r>
      <w:r w:rsidR="00EA6840">
        <w:t xml:space="preserve"> to determine the Washington share of these electric system costs. </w:t>
      </w:r>
    </w:p>
    <w:p w:rsidR="006B1D26" w:rsidRDefault="00533CF4" w:rsidP="006B1D26">
      <w:pPr>
        <w:suppressAutoHyphens/>
        <w:spacing w:line="480" w:lineRule="auto"/>
        <w:ind w:firstLine="720"/>
        <w:jc w:val="both"/>
      </w:pPr>
      <w:r w:rsidRPr="006A743A">
        <w:t xml:space="preserve">The next column, </w:t>
      </w:r>
      <w:r w:rsidRPr="006A743A">
        <w:rPr>
          <w:b/>
        </w:rPr>
        <w:t xml:space="preserve">[J] Revenue Growth, </w:t>
      </w:r>
      <w:r w:rsidR="00205C7E" w:rsidRPr="006A743A">
        <w:t>reflects</w:t>
      </w:r>
      <w:r w:rsidRPr="006A743A">
        <w:t xml:space="preserve"> Avista’s revenue growth between</w:t>
      </w:r>
      <w:r w:rsidR="00205C7E" w:rsidRPr="006A743A">
        <w:t xml:space="preserve"> the </w:t>
      </w:r>
      <w:r w:rsidR="00EA6840">
        <w:t xml:space="preserve">twelve months ended September 2014 </w:t>
      </w:r>
      <w:r w:rsidR="00205C7E" w:rsidRPr="006A743A">
        <w:t xml:space="preserve">test year </w:t>
      </w:r>
      <w:r w:rsidRPr="006A743A">
        <w:t xml:space="preserve">and </w:t>
      </w:r>
      <w:r w:rsidR="00205C7E" w:rsidRPr="006A743A">
        <w:t xml:space="preserve">the </w:t>
      </w:r>
      <w:r w:rsidRPr="006A743A">
        <w:t>201</w:t>
      </w:r>
      <w:r w:rsidR="000A6516">
        <w:t>6</w:t>
      </w:r>
      <w:r w:rsidR="00205C7E" w:rsidRPr="006A743A">
        <w:t xml:space="preserve"> rate year,</w:t>
      </w:r>
      <w:r w:rsidRPr="006A743A">
        <w:t xml:space="preserve"> </w:t>
      </w:r>
      <w:r w:rsidR="00275FE4" w:rsidRPr="006A743A">
        <w:t xml:space="preserve">by multiplying the retail revenue in column [E] times the weighted revenue growth </w:t>
      </w:r>
      <w:r w:rsidR="002100E1" w:rsidRPr="006A743A">
        <w:rPr>
          <w:b/>
        </w:rPr>
        <w:t>Escalation F</w:t>
      </w:r>
      <w:r w:rsidR="00275FE4" w:rsidRPr="006A743A">
        <w:rPr>
          <w:b/>
        </w:rPr>
        <w:t>actor</w:t>
      </w:r>
      <w:r w:rsidR="00275FE4" w:rsidRPr="006A743A">
        <w:t xml:space="preserve"> in column [F].  The weighted revenue growth </w:t>
      </w:r>
      <w:r w:rsidR="003C4561" w:rsidRPr="006A743A">
        <w:t xml:space="preserve">escalation </w:t>
      </w:r>
      <w:r w:rsidR="00275FE4" w:rsidRPr="006A743A">
        <w:t>factor is determined on page 1</w:t>
      </w:r>
      <w:r w:rsidR="001C7FD6">
        <w:t>3</w:t>
      </w:r>
      <w:r w:rsidR="00293E29" w:rsidRPr="006A743A">
        <w:t xml:space="preserve"> of Exhibit No. __(</w:t>
      </w:r>
      <w:r w:rsidR="00E27DEB">
        <w:t>EMA-6</w:t>
      </w:r>
      <w:r w:rsidR="00275FE4" w:rsidRPr="006A743A">
        <w:t xml:space="preserve">). </w:t>
      </w:r>
      <w:r w:rsidR="006B1D26">
        <w:tab/>
      </w:r>
    </w:p>
    <w:p w:rsidR="00533CF4" w:rsidRDefault="006B1D26" w:rsidP="006B1D26">
      <w:pPr>
        <w:suppressAutoHyphens/>
        <w:spacing w:line="480" w:lineRule="auto"/>
        <w:ind w:firstLine="720"/>
        <w:jc w:val="both"/>
      </w:pPr>
      <w:r>
        <w:t xml:space="preserve">The incremental </w:t>
      </w:r>
      <w:r w:rsidR="001462EE">
        <w:t xml:space="preserve">cost of </w:t>
      </w:r>
      <w:r>
        <w:t xml:space="preserve">power </w:t>
      </w:r>
      <w:r w:rsidR="001462EE">
        <w:t>for</w:t>
      </w:r>
      <w:r>
        <w:t xml:space="preserve"> the load change </w:t>
      </w:r>
      <w:r w:rsidR="001462EE">
        <w:t>from the</w:t>
      </w:r>
      <w:r>
        <w:t xml:space="preserve"> test year to 2016 was determined by re-running the pro forma power supply modeling process </w:t>
      </w:r>
      <w:r w:rsidR="001462EE">
        <w:t>using</w:t>
      </w:r>
      <w:r>
        <w:t xml:space="preserve"> 2016 loads.  The Washington share of this result was compared to the Washington share of the pro forma power supply with normalized test year loads.  </w:t>
      </w:r>
      <w:r w:rsidR="001462EE">
        <w:t>C</w:t>
      </w:r>
      <w:r>
        <w:t xml:space="preserve">olumn [J] includes </w:t>
      </w:r>
      <w:r w:rsidR="001462EE">
        <w:t xml:space="preserve">the revenue growth as well as </w:t>
      </w:r>
      <w:r>
        <w:t xml:space="preserve">the resulting change </w:t>
      </w:r>
      <w:r w:rsidR="001462EE">
        <w:t>to net power supply costs.</w:t>
      </w:r>
      <w:r w:rsidR="00983594" w:rsidRPr="006A743A">
        <w:t xml:space="preserve">  Incremental revenue related expenses are computed on the incremental revenue using the components of the revenue conversion factor </w:t>
      </w:r>
      <w:r w:rsidR="00293E29" w:rsidRPr="006A743A">
        <w:t xml:space="preserve">provided </w:t>
      </w:r>
      <w:r w:rsidR="00983594" w:rsidRPr="006A743A">
        <w:t>on page 3</w:t>
      </w:r>
      <w:r w:rsidR="00293E29" w:rsidRPr="006A743A">
        <w:t xml:space="preserve"> of Exhibit No. __(</w:t>
      </w:r>
      <w:r w:rsidR="00E27DEB">
        <w:t>EMA-6</w:t>
      </w:r>
      <w:r w:rsidR="00293E29" w:rsidRPr="006A743A">
        <w:t>)</w:t>
      </w:r>
      <w:r w:rsidR="00983594" w:rsidRPr="006A743A">
        <w:t>.</w:t>
      </w:r>
    </w:p>
    <w:p w:rsidR="001C7FD6" w:rsidRDefault="001C7FD6" w:rsidP="006B1D26">
      <w:pPr>
        <w:suppressAutoHyphens/>
        <w:spacing w:line="480" w:lineRule="auto"/>
        <w:ind w:firstLine="720"/>
        <w:jc w:val="both"/>
      </w:pPr>
      <w:r w:rsidRPr="006A743A">
        <w:t xml:space="preserve">The next column, </w:t>
      </w:r>
      <w:r w:rsidRPr="006A743A">
        <w:rPr>
          <w:b/>
        </w:rPr>
        <w:t>[</w:t>
      </w:r>
      <w:r>
        <w:rPr>
          <w:b/>
        </w:rPr>
        <w:t>K</w:t>
      </w:r>
      <w:r w:rsidRPr="006A743A">
        <w:rPr>
          <w:b/>
        </w:rPr>
        <w:t xml:space="preserve">] </w:t>
      </w:r>
      <w:r>
        <w:rPr>
          <w:b/>
        </w:rPr>
        <w:t>Colstrip Refund Non-Reoccurring Correction</w:t>
      </w:r>
      <w:r w:rsidRPr="006A743A">
        <w:rPr>
          <w:b/>
        </w:rPr>
        <w:t xml:space="preserve">, </w:t>
      </w:r>
      <w:r w:rsidRPr="006A743A">
        <w:t>reflects</w:t>
      </w:r>
      <w:r>
        <w:t xml:space="preserve"> the removal of the one-time, non-reoccurring Colstrip lawsuit refund received in 2014 and  credited to FERC account 506, </w:t>
      </w:r>
      <w:r w:rsidR="006B3D70">
        <w:t>(miscellaneous generating expenses)</w:t>
      </w:r>
      <w:r>
        <w:t xml:space="preserve">.  The refund was </w:t>
      </w:r>
      <w:r w:rsidR="009C3EAC">
        <w:t>credited</w:t>
      </w:r>
      <w:r>
        <w:t xml:space="preserve"> to FERC account 506 consistent with recording of the original expense </w:t>
      </w:r>
      <w:r w:rsidR="009C3EAC">
        <w:t xml:space="preserve">(debit) </w:t>
      </w:r>
      <w:r>
        <w:t>for Washington</w:t>
      </w:r>
      <w:r w:rsidR="009C3EAC">
        <w:t>’</w:t>
      </w:r>
      <w:r>
        <w:t>s share</w:t>
      </w:r>
      <w:r w:rsidR="009C3EAC">
        <w:t xml:space="preserve"> of the cost</w:t>
      </w:r>
      <w:r>
        <w:t xml:space="preserve">. In </w:t>
      </w:r>
      <w:r w:rsidR="009C3EAC">
        <w:t>order to reflect the proper amount of Colstrip O&amp;M expense in the 2016 attrition rate year</w:t>
      </w:r>
      <w:r>
        <w:t xml:space="preserve">, </w:t>
      </w:r>
      <w:r w:rsidR="009C3EAC">
        <w:t>the refund must be removed, increasing O&amp;M above that shown in the 2014 “escalation base.”  This adjustment adds $1.089 million to row 7 “Operating Expenses” on page 4.</w:t>
      </w:r>
    </w:p>
    <w:p w:rsidR="009C3EAC" w:rsidRPr="006A743A" w:rsidRDefault="009C3EAC" w:rsidP="006B1D26">
      <w:pPr>
        <w:suppressAutoHyphens/>
        <w:spacing w:line="480" w:lineRule="auto"/>
        <w:ind w:firstLine="720"/>
        <w:jc w:val="both"/>
      </w:pPr>
      <w:r w:rsidRPr="006A743A">
        <w:t xml:space="preserve">The next column, </w:t>
      </w:r>
      <w:r w:rsidRPr="006A743A">
        <w:rPr>
          <w:b/>
        </w:rPr>
        <w:t>[</w:t>
      </w:r>
      <w:r>
        <w:rPr>
          <w:b/>
        </w:rPr>
        <w:t>L</w:t>
      </w:r>
      <w:r w:rsidRPr="006A743A">
        <w:rPr>
          <w:b/>
        </w:rPr>
        <w:t xml:space="preserve">] </w:t>
      </w:r>
      <w:r>
        <w:rPr>
          <w:b/>
        </w:rPr>
        <w:t>After Attrition Adjustment – Project Compass</w:t>
      </w:r>
      <w:r w:rsidRPr="006A743A">
        <w:rPr>
          <w:b/>
        </w:rPr>
        <w:t xml:space="preserve">, </w:t>
      </w:r>
      <w:r w:rsidRPr="006A743A">
        <w:t>reflects</w:t>
      </w:r>
      <w:r>
        <w:t xml:space="preserve"> Washington’s electric share of the Company’s Customer Information System (Project Compass) capital project costs placed into service on February 2, 2015</w:t>
      </w:r>
      <w:r w:rsidR="00575E9E">
        <w:t>, as proposed by Staff</w:t>
      </w:r>
      <w:r>
        <w:t xml:space="preserve">.  </w:t>
      </w:r>
      <w:r w:rsidR="00575E9E">
        <w:t>A</w:t>
      </w:r>
      <w:r w:rsidRPr="009C3EAC">
        <w:t xml:space="preserve">s explained by Mr. McGuire at Exhibit No. __(CRM-1T), starting at page 54, line 17, </w:t>
      </w:r>
      <w:r w:rsidR="00575E9E">
        <w:t xml:space="preserve">Staff </w:t>
      </w:r>
      <w:r w:rsidRPr="009C3EAC">
        <w:t>recommend</w:t>
      </w:r>
      <w:r w:rsidR="00575E9E">
        <w:t>s</w:t>
      </w:r>
      <w:r w:rsidRPr="009C3EAC">
        <w:t xml:space="preserve"> that Project Compass be accounted for outside of Staff’s trending analysis.   In particular, Mr. McGuire noted “I determined that this was appropriate because Project Compass appears to be an abnormality with respect to the Company’s ongoing capital growth pattern.”</w:t>
      </w:r>
      <w:r>
        <w:t xml:space="preserve"> </w:t>
      </w:r>
      <w:r w:rsidR="00575E9E">
        <w:t xml:space="preserve"> Avista agrees with this determination and thus includes this adjustment in its electric Attrition model; however, at the total </w:t>
      </w:r>
      <w:r w:rsidR="00E45DBD">
        <w:t xml:space="preserve">(100%) </w:t>
      </w:r>
      <w:r w:rsidR="00575E9E">
        <w:t xml:space="preserve">Washington electric share amount rather than the reduced amount as proposed by Staff.  </w:t>
      </w:r>
    </w:p>
    <w:p w:rsidR="005D1871" w:rsidRPr="006A743A" w:rsidRDefault="003E0BA2" w:rsidP="004C6054">
      <w:pPr>
        <w:suppressAutoHyphens/>
        <w:spacing w:line="480" w:lineRule="auto"/>
        <w:ind w:firstLine="720"/>
        <w:jc w:val="both"/>
      </w:pPr>
      <w:r w:rsidRPr="006A743A">
        <w:t>Adding column</w:t>
      </w:r>
      <w:r w:rsidR="00E94568" w:rsidRPr="006A743A">
        <w:t>s</w:t>
      </w:r>
      <w:r w:rsidRPr="006A743A">
        <w:t xml:space="preserve"> [I]</w:t>
      </w:r>
      <w:r w:rsidR="003265E8">
        <w:t>,</w:t>
      </w:r>
      <w:r w:rsidRPr="006A743A">
        <w:t xml:space="preserve"> </w:t>
      </w:r>
      <w:r w:rsidR="00E94568" w:rsidRPr="006A743A">
        <w:t>Pro-Formed Net Energy Cost</w:t>
      </w:r>
      <w:r w:rsidR="00575E9E">
        <w:t>,</w:t>
      </w:r>
      <w:r w:rsidRPr="006A743A">
        <w:t xml:space="preserve"> </w:t>
      </w:r>
      <w:r w:rsidR="00575E9E">
        <w:t xml:space="preserve">through </w:t>
      </w:r>
      <w:r w:rsidRPr="006A743A">
        <w:t>[</w:t>
      </w:r>
      <w:r w:rsidR="00575E9E">
        <w:t>L</w:t>
      </w:r>
      <w:r w:rsidRPr="006A743A">
        <w:t xml:space="preserve">], </w:t>
      </w:r>
      <w:r w:rsidR="00575E9E" w:rsidRPr="00575E9E">
        <w:t>After Attrition Adjustment – Project Compass</w:t>
      </w:r>
      <w:r w:rsidRPr="00575E9E">
        <w:t>,</w:t>
      </w:r>
      <w:r w:rsidR="000A6516" w:rsidRPr="00575E9E">
        <w:t xml:space="preserve"> to column [H]</w:t>
      </w:r>
      <w:r w:rsidR="003265E8" w:rsidRPr="00575E9E">
        <w:t>,</w:t>
      </w:r>
      <w:r w:rsidR="000A6516" w:rsidRPr="00575E9E">
        <w:t xml:space="preserve"> Trended 2016</w:t>
      </w:r>
      <w:r w:rsidR="00E94568" w:rsidRPr="00575E9E">
        <w:t xml:space="preserve"> Non-Energy Cost,</w:t>
      </w:r>
      <w:r w:rsidRPr="00575E9E">
        <w:t xml:space="preserve"> produces </w:t>
      </w:r>
      <w:r w:rsidR="00E94568" w:rsidRPr="00575E9E">
        <w:t xml:space="preserve">the final </w:t>
      </w:r>
      <w:r w:rsidRPr="00575E9E">
        <w:t>column [</w:t>
      </w:r>
      <w:r w:rsidR="001C7FD6" w:rsidRPr="00575E9E">
        <w:t>M</w:t>
      </w:r>
      <w:r w:rsidRPr="00575E9E">
        <w:t>]</w:t>
      </w:r>
      <w:r w:rsidR="003265E8" w:rsidRPr="00575E9E">
        <w:t>,</w:t>
      </w:r>
      <w:r w:rsidRPr="00575E9E">
        <w:t xml:space="preserve"> </w:t>
      </w:r>
      <w:r w:rsidR="00E94568" w:rsidRPr="00575E9E">
        <w:t>201</w:t>
      </w:r>
      <w:r w:rsidR="000A6516" w:rsidRPr="00575E9E">
        <w:t>6</w:t>
      </w:r>
      <w:r w:rsidR="00E94568" w:rsidRPr="00575E9E">
        <w:t xml:space="preserve"> Revenue and Cost.</w:t>
      </w:r>
      <w:r w:rsidR="00E94568" w:rsidRPr="00575E9E">
        <w:rPr>
          <w:sz w:val="22"/>
        </w:rPr>
        <w:t xml:space="preserve"> </w:t>
      </w:r>
      <w:r w:rsidR="00E94568" w:rsidRPr="00575E9E">
        <w:t>This column is the final column of</w:t>
      </w:r>
      <w:r w:rsidR="00E94568" w:rsidRPr="006A743A">
        <w:t xml:space="preserve"> the </w:t>
      </w:r>
      <w:r w:rsidRPr="006A743A">
        <w:t>201</w:t>
      </w:r>
      <w:r w:rsidR="000A6516">
        <w:t>6</w:t>
      </w:r>
      <w:r w:rsidRPr="006A743A">
        <w:t xml:space="preserve"> </w:t>
      </w:r>
      <w:r w:rsidR="00C80115" w:rsidRPr="006A743A">
        <w:t>e</w:t>
      </w:r>
      <w:r w:rsidR="00E94568" w:rsidRPr="006A743A">
        <w:t xml:space="preserve">lectric </w:t>
      </w:r>
      <w:r w:rsidR="00293E29" w:rsidRPr="006A743A">
        <w:t>A</w:t>
      </w:r>
      <w:r w:rsidR="00E94568" w:rsidRPr="006A743A">
        <w:t xml:space="preserve">ttrition </w:t>
      </w:r>
      <w:r w:rsidR="00293E29" w:rsidRPr="006A743A">
        <w:t>S</w:t>
      </w:r>
      <w:r w:rsidR="00C80115" w:rsidRPr="006A743A">
        <w:t xml:space="preserve">tudy </w:t>
      </w:r>
      <w:r w:rsidR="00E94568" w:rsidRPr="006A743A">
        <w:t xml:space="preserve">calculation, </w:t>
      </w:r>
      <w:r w:rsidR="005D1871" w:rsidRPr="006A743A">
        <w:t>providing the 201</w:t>
      </w:r>
      <w:r w:rsidR="000A6516">
        <w:t>6</w:t>
      </w:r>
      <w:r w:rsidR="005D1871" w:rsidRPr="006A743A">
        <w:t xml:space="preserve"> </w:t>
      </w:r>
      <w:r w:rsidR="00F4032B" w:rsidRPr="006A743A">
        <w:t xml:space="preserve">attrition </w:t>
      </w:r>
      <w:r w:rsidR="005D1871" w:rsidRPr="006A743A">
        <w:t xml:space="preserve">net operating income </w:t>
      </w:r>
      <w:r w:rsidR="00F4032B" w:rsidRPr="006A743A">
        <w:t>($</w:t>
      </w:r>
      <w:r w:rsidR="00575E9E">
        <w:t>100</w:t>
      </w:r>
      <w:r w:rsidR="000A6516">
        <w:t>,</w:t>
      </w:r>
      <w:r w:rsidR="00575E9E">
        <w:t>585,</w:t>
      </w:r>
      <w:r w:rsidR="00F4032B" w:rsidRPr="006A743A">
        <w:t xml:space="preserve">000) </w:t>
      </w:r>
      <w:r w:rsidR="005D1871" w:rsidRPr="006A743A">
        <w:t xml:space="preserve">and </w:t>
      </w:r>
      <w:r w:rsidR="00F4032B" w:rsidRPr="006A743A">
        <w:t xml:space="preserve">attrition </w:t>
      </w:r>
      <w:r w:rsidR="005D1871" w:rsidRPr="006A743A">
        <w:t xml:space="preserve">total rate base </w:t>
      </w:r>
      <w:r w:rsidR="00F4032B" w:rsidRPr="006A743A">
        <w:t>($1,</w:t>
      </w:r>
      <w:r w:rsidR="000A6516">
        <w:t>4</w:t>
      </w:r>
      <w:r w:rsidR="00575E9E">
        <w:t>11</w:t>
      </w:r>
      <w:r w:rsidR="000A6516">
        <w:t>,</w:t>
      </w:r>
      <w:r w:rsidR="00575E9E">
        <w:t>125</w:t>
      </w:r>
      <w:r w:rsidR="00F4032B" w:rsidRPr="006A743A">
        <w:t>,000)</w:t>
      </w:r>
      <w:r w:rsidR="005D1871" w:rsidRPr="006A743A">
        <w:t xml:space="preserve">, at lines 31 and 49, respectively. These </w:t>
      </w:r>
      <w:r w:rsidR="00205C7E" w:rsidRPr="006A743A">
        <w:t>totals</w:t>
      </w:r>
      <w:r w:rsidR="005D1871" w:rsidRPr="006A743A">
        <w:t xml:space="preserve"> are brought forward to page 1, column (a)</w:t>
      </w:r>
      <w:r w:rsidR="00205C7E" w:rsidRPr="006A743A">
        <w:t>, of Exhibit No. __(</w:t>
      </w:r>
      <w:r w:rsidR="00E27DEB">
        <w:t>EMA-6</w:t>
      </w:r>
      <w:r w:rsidR="00205C7E" w:rsidRPr="006A743A">
        <w:t>).</w:t>
      </w:r>
      <w:r w:rsidR="005D1871" w:rsidRPr="006A743A">
        <w:t xml:space="preserve"> </w:t>
      </w:r>
    </w:p>
    <w:p w:rsidR="005D1871" w:rsidRPr="006A743A" w:rsidRDefault="005D1871" w:rsidP="004C6054">
      <w:pPr>
        <w:suppressAutoHyphens/>
        <w:spacing w:line="480" w:lineRule="auto"/>
        <w:ind w:firstLine="720"/>
        <w:jc w:val="both"/>
        <w:rPr>
          <w:b/>
        </w:rPr>
      </w:pPr>
      <w:r w:rsidRPr="006A743A">
        <w:rPr>
          <w:b/>
        </w:rPr>
        <w:t>Q.</w:t>
      </w:r>
      <w:r w:rsidRPr="006A743A">
        <w:rPr>
          <w:b/>
        </w:rPr>
        <w:tab/>
        <w:t xml:space="preserve">Would you please </w:t>
      </w:r>
      <w:r w:rsidR="003B192B" w:rsidRPr="006A743A">
        <w:rPr>
          <w:b/>
        </w:rPr>
        <w:t>explain what is shown on</w:t>
      </w:r>
      <w:r w:rsidRPr="006A743A">
        <w:rPr>
          <w:b/>
        </w:rPr>
        <w:t xml:space="preserve"> lines 54 to 56 of page 5 of Exhibit No. __(</w:t>
      </w:r>
      <w:r w:rsidR="00E27DEB">
        <w:rPr>
          <w:b/>
        </w:rPr>
        <w:t>EMA-6</w:t>
      </w:r>
      <w:r w:rsidRPr="006A743A">
        <w:rPr>
          <w:b/>
        </w:rPr>
        <w:t>)?</w:t>
      </w:r>
    </w:p>
    <w:p w:rsidR="0008422E" w:rsidRPr="006A743A" w:rsidRDefault="005D1871" w:rsidP="004C6054">
      <w:pPr>
        <w:suppressAutoHyphens/>
        <w:spacing w:line="480" w:lineRule="auto"/>
        <w:ind w:firstLine="720"/>
        <w:jc w:val="both"/>
      </w:pPr>
      <w:r w:rsidRPr="006A743A">
        <w:t>A.</w:t>
      </w:r>
      <w:r w:rsidRPr="006A743A">
        <w:tab/>
      </w:r>
      <w:r w:rsidR="00C80115" w:rsidRPr="006A743A">
        <w:t xml:space="preserve"> </w:t>
      </w:r>
      <w:r w:rsidRPr="006A743A">
        <w:t xml:space="preserve">Yes. </w:t>
      </w:r>
      <w:r w:rsidRPr="006A743A">
        <w:rPr>
          <w:b/>
        </w:rPr>
        <w:t>Line 54</w:t>
      </w:r>
      <w:r w:rsidRPr="006A743A">
        <w:t xml:space="preserve"> on page 5 of Exhibit No. __(</w:t>
      </w:r>
      <w:r w:rsidR="00E27DEB">
        <w:t>EMA-6</w:t>
      </w:r>
      <w:r w:rsidRPr="006A743A">
        <w:t xml:space="preserve">), shows the </w:t>
      </w:r>
      <w:r w:rsidR="0008422E" w:rsidRPr="006A743A">
        <w:rPr>
          <w:b/>
        </w:rPr>
        <w:t>R</w:t>
      </w:r>
      <w:r w:rsidRPr="006A743A">
        <w:rPr>
          <w:b/>
        </w:rPr>
        <w:t xml:space="preserve">evenue </w:t>
      </w:r>
      <w:r w:rsidR="0008422E" w:rsidRPr="006A743A">
        <w:rPr>
          <w:b/>
        </w:rPr>
        <w:t>R</w:t>
      </w:r>
      <w:r w:rsidRPr="006A743A">
        <w:rPr>
          <w:b/>
        </w:rPr>
        <w:t>equirement</w:t>
      </w:r>
      <w:r w:rsidRPr="006A743A">
        <w:t xml:space="preserve"> of $</w:t>
      </w:r>
      <w:r w:rsidR="000A6516">
        <w:t>3,</w:t>
      </w:r>
      <w:r w:rsidR="00575E9E">
        <w:t>687</w:t>
      </w:r>
      <w:r w:rsidRPr="006A743A">
        <w:t xml:space="preserve">,000 necessary for the Company to earn </w:t>
      </w:r>
      <w:r w:rsidR="00575E9E">
        <w:t>the agreed-to</w:t>
      </w:r>
      <w:r w:rsidRPr="006A743A">
        <w:t xml:space="preserve"> 7.</w:t>
      </w:r>
      <w:r w:rsidR="00575E9E">
        <w:t>29</w:t>
      </w:r>
      <w:r w:rsidRPr="006A743A">
        <w:t>% rate of return (ROR)</w:t>
      </w:r>
      <w:r w:rsidR="000A6516">
        <w:t xml:space="preserve"> in 2016</w:t>
      </w:r>
      <w:r w:rsidRPr="006A743A">
        <w:t xml:space="preserve">, prior to the application of the growth </w:t>
      </w:r>
      <w:r w:rsidR="0008422E" w:rsidRPr="006A743A">
        <w:t>factor.</w:t>
      </w:r>
    </w:p>
    <w:p w:rsidR="00626358" w:rsidRDefault="0008422E" w:rsidP="004C6054">
      <w:pPr>
        <w:suppressAutoHyphens/>
        <w:spacing w:line="480" w:lineRule="auto"/>
        <w:ind w:firstLine="720"/>
        <w:jc w:val="both"/>
        <w:rPr>
          <w:rStyle w:val="LineNumber"/>
        </w:rPr>
      </w:pPr>
      <w:r w:rsidRPr="006A743A">
        <w:rPr>
          <w:b/>
        </w:rPr>
        <w:t xml:space="preserve">Line 55 </w:t>
      </w:r>
      <w:r w:rsidRPr="006A743A">
        <w:t xml:space="preserve">on page 5, provides the </w:t>
      </w:r>
      <w:r w:rsidRPr="006A743A">
        <w:rPr>
          <w:b/>
        </w:rPr>
        <w:t>Revenue Growth Factor</w:t>
      </w:r>
      <w:r w:rsidRPr="006A743A">
        <w:t xml:space="preserve"> of 1.</w:t>
      </w:r>
      <w:r w:rsidR="000A6516">
        <w:t>013115</w:t>
      </w:r>
      <w:r w:rsidRPr="006A743A">
        <w:t xml:space="preserve">. Since the </w:t>
      </w:r>
      <w:r w:rsidRPr="006A743A">
        <w:rPr>
          <w:rStyle w:val="LineNumber"/>
        </w:rPr>
        <w:t xml:space="preserve">rate increase in this proceeding will be applied to the twelve-months-ended </w:t>
      </w:r>
      <w:r w:rsidR="000A6516">
        <w:rPr>
          <w:rStyle w:val="LineNumber"/>
        </w:rPr>
        <w:t>September 30, 2014</w:t>
      </w:r>
      <w:r w:rsidRPr="006A743A">
        <w:rPr>
          <w:rStyle w:val="LineNumber"/>
        </w:rPr>
        <w:t xml:space="preserve"> test period billing determinants, it is necessary to divide </w:t>
      </w:r>
      <w:r w:rsidR="009E712B">
        <w:rPr>
          <w:rStyle w:val="LineNumber"/>
        </w:rPr>
        <w:t xml:space="preserve">the </w:t>
      </w:r>
      <w:r w:rsidRPr="006A743A">
        <w:rPr>
          <w:rStyle w:val="LineNumber"/>
        </w:rPr>
        <w:t>201</w:t>
      </w:r>
      <w:r w:rsidR="000A6516">
        <w:rPr>
          <w:rStyle w:val="LineNumber"/>
        </w:rPr>
        <w:t>6</w:t>
      </w:r>
      <w:r w:rsidRPr="006A743A">
        <w:rPr>
          <w:rStyle w:val="LineNumber"/>
        </w:rPr>
        <w:t xml:space="preserve"> rate year, attrition-adjusted revenue requirement by the revenue growth factor to reduce the revenue requirement to be applied to the test period level of retail loads</w:t>
      </w:r>
      <w:r w:rsidR="00EA6840">
        <w:rPr>
          <w:rStyle w:val="LineNumber"/>
        </w:rPr>
        <w:t xml:space="preserve"> and customers</w:t>
      </w:r>
      <w:r w:rsidRPr="006A743A">
        <w:rPr>
          <w:rStyle w:val="LineNumber"/>
        </w:rPr>
        <w:t>.  The 1.</w:t>
      </w:r>
      <w:r w:rsidR="000A6516">
        <w:rPr>
          <w:rStyle w:val="LineNumber"/>
        </w:rPr>
        <w:t>013115</w:t>
      </w:r>
      <w:r w:rsidRPr="006A743A">
        <w:rPr>
          <w:rStyle w:val="LineNumber"/>
        </w:rPr>
        <w:t xml:space="preserve"> is produced </w:t>
      </w:r>
      <w:r w:rsidR="00293E29" w:rsidRPr="006A743A">
        <w:rPr>
          <w:rStyle w:val="LineNumber"/>
        </w:rPr>
        <w:t xml:space="preserve">by </w:t>
      </w:r>
      <w:r w:rsidR="00983594" w:rsidRPr="006A743A">
        <w:rPr>
          <w:rStyle w:val="LineNumber"/>
        </w:rPr>
        <w:t>dividing the sum of the retail revenues on lines 1 and 2 in column [</w:t>
      </w:r>
      <w:r w:rsidR="00575E9E">
        <w:rPr>
          <w:rStyle w:val="LineNumber"/>
        </w:rPr>
        <w:t>M</w:t>
      </w:r>
      <w:r w:rsidR="00983594" w:rsidRPr="006A743A">
        <w:rPr>
          <w:rStyle w:val="LineNumber"/>
        </w:rPr>
        <w:t>] by the sum of the retail revenues on lines 1 and 2 in column [</w:t>
      </w:r>
      <w:r w:rsidR="0096201F" w:rsidRPr="006A743A">
        <w:rPr>
          <w:rStyle w:val="LineNumber"/>
        </w:rPr>
        <w:t xml:space="preserve">E]. </w:t>
      </w:r>
      <w:r w:rsidR="00626358">
        <w:rPr>
          <w:rStyle w:val="LineNumber"/>
        </w:rPr>
        <w:t xml:space="preserve"> </w:t>
      </w:r>
    </w:p>
    <w:p w:rsidR="0008422E" w:rsidRPr="006A743A" w:rsidRDefault="00B51718" w:rsidP="004C6054">
      <w:pPr>
        <w:suppressAutoHyphens/>
        <w:spacing w:line="480" w:lineRule="auto"/>
        <w:ind w:firstLine="720"/>
        <w:jc w:val="both"/>
      </w:pPr>
      <w:r w:rsidRPr="006A743A">
        <w:rPr>
          <w:rStyle w:val="LineNumber"/>
        </w:rPr>
        <w:t>Divi</w:t>
      </w:r>
      <w:r w:rsidR="0096201F" w:rsidRPr="006A743A">
        <w:rPr>
          <w:rStyle w:val="LineNumber"/>
        </w:rPr>
        <w:t>ding</w:t>
      </w:r>
      <w:r w:rsidR="000A6516">
        <w:rPr>
          <w:rStyle w:val="LineNumber"/>
        </w:rPr>
        <w:t xml:space="preserve"> line 54 (2016</w:t>
      </w:r>
      <w:r w:rsidR="0008422E" w:rsidRPr="006A743A">
        <w:rPr>
          <w:rStyle w:val="LineNumber"/>
        </w:rPr>
        <w:t xml:space="preserve"> revenue requirement) by the electric</w:t>
      </w:r>
      <w:r w:rsidR="003C4561" w:rsidRPr="006A743A">
        <w:rPr>
          <w:rStyle w:val="LineNumber"/>
        </w:rPr>
        <w:t xml:space="preserve"> revenue </w:t>
      </w:r>
      <w:r w:rsidR="0008422E" w:rsidRPr="006A743A">
        <w:rPr>
          <w:rStyle w:val="LineNumber"/>
        </w:rPr>
        <w:t>growth factor of 1.</w:t>
      </w:r>
      <w:r w:rsidR="000A6516">
        <w:rPr>
          <w:rStyle w:val="LineNumber"/>
        </w:rPr>
        <w:t>013115</w:t>
      </w:r>
      <w:r w:rsidR="0008422E" w:rsidRPr="006A743A">
        <w:rPr>
          <w:rStyle w:val="LineNumber"/>
        </w:rPr>
        <w:t xml:space="preserve">, produces the amount shown on </w:t>
      </w:r>
      <w:r w:rsidR="0008422E" w:rsidRPr="006A743A">
        <w:rPr>
          <w:rStyle w:val="LineNumber"/>
          <w:b/>
        </w:rPr>
        <w:t>line 56</w:t>
      </w:r>
      <w:r w:rsidR="0008422E" w:rsidRPr="006A743A">
        <w:rPr>
          <w:rStyle w:val="LineNumber"/>
        </w:rPr>
        <w:t xml:space="preserve">, </w:t>
      </w:r>
      <w:r w:rsidR="0008422E" w:rsidRPr="006A743A">
        <w:rPr>
          <w:rStyle w:val="LineNumber"/>
          <w:b/>
        </w:rPr>
        <w:t xml:space="preserve">Attrition Adjusted Revenue </w:t>
      </w:r>
      <w:r w:rsidR="000B5BD8" w:rsidRPr="006A743A">
        <w:rPr>
          <w:rStyle w:val="LineNumber"/>
          <w:b/>
        </w:rPr>
        <w:t>Requirement</w:t>
      </w:r>
      <w:r w:rsidR="003265E8">
        <w:rPr>
          <w:rStyle w:val="LineNumber"/>
          <w:b/>
        </w:rPr>
        <w:t>,</w:t>
      </w:r>
      <w:r w:rsidR="0008422E" w:rsidRPr="006A743A">
        <w:rPr>
          <w:rStyle w:val="LineNumber"/>
        </w:rPr>
        <w:t xml:space="preserve"> of $</w:t>
      </w:r>
      <w:r w:rsidR="000A6516">
        <w:rPr>
          <w:rStyle w:val="LineNumber"/>
        </w:rPr>
        <w:t>3,</w:t>
      </w:r>
      <w:r w:rsidR="00575E9E">
        <w:rPr>
          <w:rStyle w:val="LineNumber"/>
        </w:rPr>
        <w:t>639</w:t>
      </w:r>
      <w:r w:rsidR="000A6516">
        <w:rPr>
          <w:rStyle w:val="LineNumber"/>
        </w:rPr>
        <w:t>,000</w:t>
      </w:r>
      <w:r w:rsidR="00970DFA" w:rsidRPr="006A743A">
        <w:rPr>
          <w:rStyle w:val="LineNumber"/>
        </w:rPr>
        <w:t xml:space="preserve">, used by the Company in this proceeding. </w:t>
      </w:r>
    </w:p>
    <w:p w:rsidR="007C78F2" w:rsidRPr="006A743A" w:rsidRDefault="007C78F2" w:rsidP="004C6054">
      <w:pPr>
        <w:suppressAutoHyphens/>
        <w:spacing w:line="480" w:lineRule="auto"/>
        <w:ind w:firstLine="720"/>
        <w:jc w:val="both"/>
        <w:rPr>
          <w:b/>
          <w:bCs/>
        </w:rPr>
      </w:pPr>
      <w:r w:rsidRPr="006A743A">
        <w:rPr>
          <w:b/>
        </w:rPr>
        <w:t>Q.</w:t>
      </w:r>
      <w:r w:rsidRPr="006A743A">
        <w:rPr>
          <w:b/>
        </w:rPr>
        <w:tab/>
        <w:t xml:space="preserve">Please </w:t>
      </w:r>
      <w:r w:rsidR="003B192B" w:rsidRPr="006A743A">
        <w:rPr>
          <w:b/>
        </w:rPr>
        <w:t>explain</w:t>
      </w:r>
      <w:r w:rsidRPr="006A743A">
        <w:rPr>
          <w:b/>
        </w:rPr>
        <w:t xml:space="preserve"> pages 6 and 7 of </w:t>
      </w:r>
      <w:r w:rsidRPr="006A743A">
        <w:rPr>
          <w:b/>
          <w:bCs/>
        </w:rPr>
        <w:t>Exhibit No. __(</w:t>
      </w:r>
      <w:r w:rsidR="00E27DEB">
        <w:rPr>
          <w:b/>
          <w:bCs/>
        </w:rPr>
        <w:t>EMA-6</w:t>
      </w:r>
      <w:r w:rsidRPr="006A743A">
        <w:rPr>
          <w:b/>
          <w:bCs/>
        </w:rPr>
        <w:t>)</w:t>
      </w:r>
      <w:r w:rsidR="003E3E49" w:rsidRPr="006A743A">
        <w:rPr>
          <w:b/>
          <w:bCs/>
        </w:rPr>
        <w:t>.</w:t>
      </w:r>
    </w:p>
    <w:p w:rsidR="007C78F2" w:rsidRPr="006A743A" w:rsidRDefault="007C78F2" w:rsidP="004C6054">
      <w:pPr>
        <w:suppressAutoHyphens/>
        <w:spacing w:line="480" w:lineRule="auto"/>
        <w:ind w:firstLine="720"/>
        <w:jc w:val="both"/>
      </w:pPr>
      <w:r w:rsidRPr="006A743A">
        <w:rPr>
          <w:bCs/>
        </w:rPr>
        <w:t>A.</w:t>
      </w:r>
      <w:r w:rsidRPr="006A743A">
        <w:rPr>
          <w:bCs/>
        </w:rPr>
        <w:tab/>
        <w:t xml:space="preserve">Pages 6 and 7 provide </w:t>
      </w:r>
      <w:r w:rsidR="001462EE">
        <w:rPr>
          <w:bCs/>
        </w:rPr>
        <w:t xml:space="preserve">data from </w:t>
      </w:r>
      <w:r w:rsidRPr="006A743A">
        <w:rPr>
          <w:bCs/>
        </w:rPr>
        <w:t xml:space="preserve">the annual </w:t>
      </w:r>
      <w:r w:rsidR="006E7B9F" w:rsidRPr="006A743A">
        <w:rPr>
          <w:bCs/>
        </w:rPr>
        <w:t xml:space="preserve">normalized </w:t>
      </w:r>
      <w:r w:rsidRPr="006A743A">
        <w:rPr>
          <w:bCs/>
        </w:rPr>
        <w:t>Commission Basis Reports</w:t>
      </w:r>
      <w:r w:rsidR="006E7B9F" w:rsidRPr="006A743A">
        <w:rPr>
          <w:bCs/>
        </w:rPr>
        <w:t>,</w:t>
      </w:r>
      <w:r w:rsidRPr="006A743A">
        <w:rPr>
          <w:bCs/>
        </w:rPr>
        <w:t xml:space="preserve"> </w:t>
      </w:r>
      <w:r w:rsidR="006E7B9F" w:rsidRPr="006A743A">
        <w:rPr>
          <w:bCs/>
        </w:rPr>
        <w:t xml:space="preserve">showing </w:t>
      </w:r>
      <w:r w:rsidR="006E7B9F" w:rsidRPr="006A743A">
        <w:t>Washington electric expenses and rate base</w:t>
      </w:r>
      <w:r w:rsidR="006E7B9F" w:rsidRPr="006A743A">
        <w:rPr>
          <w:bCs/>
        </w:rPr>
        <w:t xml:space="preserve"> </w:t>
      </w:r>
      <w:r w:rsidRPr="006A743A">
        <w:rPr>
          <w:bCs/>
        </w:rPr>
        <w:t>for the periods 200</w:t>
      </w:r>
      <w:r w:rsidR="000A6516">
        <w:rPr>
          <w:bCs/>
        </w:rPr>
        <w:t>1</w:t>
      </w:r>
      <w:r w:rsidRPr="006A743A">
        <w:rPr>
          <w:bCs/>
        </w:rPr>
        <w:t xml:space="preserve"> through 201</w:t>
      </w:r>
      <w:r w:rsidR="00575E9E">
        <w:rPr>
          <w:bCs/>
        </w:rPr>
        <w:t>4</w:t>
      </w:r>
      <w:r w:rsidR="003B192B" w:rsidRPr="006A743A">
        <w:rPr>
          <w:bCs/>
        </w:rPr>
        <w:t>.</w:t>
      </w:r>
      <w:r w:rsidRPr="006A743A">
        <w:rPr>
          <w:bCs/>
        </w:rPr>
        <w:t xml:space="preserve"> </w:t>
      </w:r>
      <w:r w:rsidR="00575E9E">
        <w:rPr>
          <w:bCs/>
        </w:rPr>
        <w:t xml:space="preserve"> </w:t>
      </w:r>
      <w:r w:rsidR="00E45DBD">
        <w:rPr>
          <w:bCs/>
        </w:rPr>
        <w:t xml:space="preserve">The </w:t>
      </w:r>
      <w:r w:rsidR="00575E9E">
        <w:rPr>
          <w:bCs/>
        </w:rPr>
        <w:t xml:space="preserve">2007 through 2014 </w:t>
      </w:r>
      <w:r w:rsidR="003B192B" w:rsidRPr="006A743A">
        <w:rPr>
          <w:bCs/>
        </w:rPr>
        <w:t xml:space="preserve">data are used to </w:t>
      </w:r>
      <w:r w:rsidR="000A6516">
        <w:rPr>
          <w:bCs/>
        </w:rPr>
        <w:t xml:space="preserve">analyze </w:t>
      </w:r>
      <w:r w:rsidR="00D320AB">
        <w:rPr>
          <w:bCs/>
        </w:rPr>
        <w:t>the annual growth rates</w:t>
      </w:r>
      <w:r w:rsidR="003B192B" w:rsidRPr="006A743A">
        <w:rPr>
          <w:bCs/>
        </w:rPr>
        <w:t xml:space="preserve"> in rate base and expenses</w:t>
      </w:r>
      <w:r w:rsidR="00D320AB">
        <w:rPr>
          <w:bCs/>
        </w:rPr>
        <w:t xml:space="preserve">, and were used as the </w:t>
      </w:r>
      <w:r w:rsidR="009E712B">
        <w:rPr>
          <w:bCs/>
        </w:rPr>
        <w:t>starting point</w:t>
      </w:r>
      <w:r w:rsidR="00D320AB">
        <w:rPr>
          <w:bCs/>
        </w:rPr>
        <w:t xml:space="preserve"> for the growth rates used in the Attrition Adjustment.</w:t>
      </w:r>
    </w:p>
    <w:p w:rsidR="006E7B9F" w:rsidRPr="006A743A" w:rsidRDefault="006E7B9F" w:rsidP="004C6054">
      <w:pPr>
        <w:suppressAutoHyphens/>
        <w:spacing w:line="480" w:lineRule="auto"/>
        <w:ind w:firstLine="720"/>
        <w:jc w:val="both"/>
        <w:rPr>
          <w:b/>
          <w:bCs/>
        </w:rPr>
      </w:pPr>
      <w:r w:rsidRPr="006A743A">
        <w:rPr>
          <w:b/>
        </w:rPr>
        <w:t>Q.</w:t>
      </w:r>
      <w:r w:rsidRPr="006A743A">
        <w:rPr>
          <w:b/>
        </w:rPr>
        <w:tab/>
      </w:r>
      <w:r w:rsidR="003B192B" w:rsidRPr="006A743A">
        <w:rPr>
          <w:b/>
        </w:rPr>
        <w:t>What is included on</w:t>
      </w:r>
      <w:r w:rsidRPr="006A743A">
        <w:rPr>
          <w:b/>
        </w:rPr>
        <w:t xml:space="preserve"> page 8 of </w:t>
      </w:r>
      <w:r w:rsidRPr="006A743A">
        <w:rPr>
          <w:b/>
          <w:bCs/>
        </w:rPr>
        <w:t>Exhibit No. __(</w:t>
      </w:r>
      <w:r w:rsidR="00E27DEB">
        <w:rPr>
          <w:b/>
          <w:bCs/>
        </w:rPr>
        <w:t>EMA-6</w:t>
      </w:r>
      <w:r w:rsidRPr="006A743A">
        <w:rPr>
          <w:b/>
          <w:bCs/>
        </w:rPr>
        <w:t>)</w:t>
      </w:r>
      <w:r w:rsidR="00AF501C" w:rsidRPr="006A743A">
        <w:rPr>
          <w:b/>
          <w:bCs/>
        </w:rPr>
        <w:t>?</w:t>
      </w:r>
    </w:p>
    <w:p w:rsidR="00532C0E" w:rsidRPr="006A743A" w:rsidRDefault="006E7B9F" w:rsidP="004C6054">
      <w:pPr>
        <w:suppressAutoHyphens/>
        <w:spacing w:line="480" w:lineRule="auto"/>
        <w:ind w:firstLine="720"/>
        <w:jc w:val="both"/>
      </w:pPr>
      <w:r w:rsidRPr="006A743A">
        <w:rPr>
          <w:bCs/>
        </w:rPr>
        <w:t>A.</w:t>
      </w:r>
      <w:r w:rsidRPr="006A743A">
        <w:rPr>
          <w:bCs/>
        </w:rPr>
        <w:tab/>
        <w:t xml:space="preserve">Page 8 </w:t>
      </w:r>
      <w:r w:rsidR="00C753F2" w:rsidRPr="006A743A">
        <w:rPr>
          <w:bCs/>
        </w:rPr>
        <w:t>shows the development of</w:t>
      </w:r>
      <w:r w:rsidRPr="006A743A">
        <w:rPr>
          <w:bCs/>
        </w:rPr>
        <w:t xml:space="preserve"> electric </w:t>
      </w:r>
      <w:r w:rsidRPr="006A743A">
        <w:t xml:space="preserve">adjusted data </w:t>
      </w:r>
      <w:r w:rsidR="0092775B">
        <w:t>and balances for the period 2001</w:t>
      </w:r>
      <w:r w:rsidRPr="006A743A">
        <w:t>-201</w:t>
      </w:r>
      <w:r w:rsidR="00B77572">
        <w:t>4</w:t>
      </w:r>
      <w:r w:rsidRPr="006A743A">
        <w:t xml:space="preserve"> used </w:t>
      </w:r>
      <w:r w:rsidR="00C753F2" w:rsidRPr="006A743A">
        <w:t>to calculate</w:t>
      </w:r>
      <w:r w:rsidR="00532C0E" w:rsidRPr="006A743A">
        <w:t xml:space="preserve"> the </w:t>
      </w:r>
      <w:r w:rsidR="00C753F2" w:rsidRPr="006A743A">
        <w:t>growth rates and escalation factors</w:t>
      </w:r>
      <w:r w:rsidR="00532C0E" w:rsidRPr="006A743A">
        <w:t xml:space="preserve"> on page 9</w:t>
      </w:r>
      <w:r w:rsidR="00B77572">
        <w:t xml:space="preserve"> through 12</w:t>
      </w:r>
      <w:r w:rsidR="00532C0E" w:rsidRPr="006A743A">
        <w:t>.</w:t>
      </w:r>
      <w:r w:rsidRPr="006A743A">
        <w:t xml:space="preserve"> </w:t>
      </w:r>
      <w:r w:rsidR="00E45DBD">
        <w:t xml:space="preserve"> </w:t>
      </w:r>
      <w:r w:rsidR="00C753F2" w:rsidRPr="006A743A">
        <w:t xml:space="preserve">The escalation factors are intended to be used only on non-energy costs.  Therefore it is necessary to remove the energy-related costs and revenues from the historical data. </w:t>
      </w:r>
      <w:r w:rsidR="009A330C" w:rsidRPr="006A743A">
        <w:t>The Washington share of the normalized power supply costs and revenues from each year’s Commission Basis Report (CBR) filing are deducted from the O&amp;M and Other Operating Revenue in the historical reports.  Similarly, adder schedule revenues and related expenses such as the DSM Tariff Rider and the Residential Exchange Credit that were included in the CBRs are also deducted from the historical results to create equivalent values</w:t>
      </w:r>
      <w:r w:rsidR="00415857" w:rsidRPr="006A743A">
        <w:t xml:space="preserve"> for our trend analysis.</w:t>
      </w:r>
      <w:r w:rsidR="009A330C" w:rsidRPr="006A743A">
        <w:t xml:space="preserve">  </w:t>
      </w:r>
      <w:r w:rsidR="00532C0E" w:rsidRPr="006A743A">
        <w:t xml:space="preserve">(For the years 2004 and 2006, </w:t>
      </w:r>
      <w:r w:rsidR="0092775B">
        <w:t xml:space="preserve">and beginning in 2013, </w:t>
      </w:r>
      <w:r w:rsidR="00532C0E" w:rsidRPr="006A743A">
        <w:t xml:space="preserve">the CBR data already </w:t>
      </w:r>
      <w:r w:rsidR="00C753F2" w:rsidRPr="006A743A">
        <w:t>ex</w:t>
      </w:r>
      <w:r w:rsidR="00532C0E" w:rsidRPr="006A743A">
        <w:t>cluded DSM</w:t>
      </w:r>
      <w:r w:rsidR="0092775B">
        <w:t>,</w:t>
      </w:r>
      <w:r w:rsidR="00532C0E" w:rsidRPr="006A743A">
        <w:t xml:space="preserve"> residential exchange </w:t>
      </w:r>
      <w:r w:rsidR="0092775B">
        <w:t xml:space="preserve">and other adder schedule revenue and expense </w:t>
      </w:r>
      <w:r w:rsidR="00532C0E" w:rsidRPr="006A743A">
        <w:t xml:space="preserve">adjustments, so additional adjustments were not required.) </w:t>
      </w:r>
    </w:p>
    <w:p w:rsidR="006E7B9F" w:rsidRPr="006A743A" w:rsidRDefault="00532C0E" w:rsidP="004C6054">
      <w:pPr>
        <w:suppressAutoHyphens/>
        <w:spacing w:line="480" w:lineRule="auto"/>
        <w:ind w:firstLine="720"/>
        <w:jc w:val="both"/>
      </w:pPr>
      <w:r w:rsidRPr="006A743A">
        <w:t>Results are presented for the following aggregated subtotals: Adjusted Operating Expenses; Total Depreciation/Amortization; Adjusted Regulatory Amortization; Adjusted Taxes Other Than Income Taxes; Net Plant After Deferred Income tax; Total Rate Base; and Adjusted Other Revenues</w:t>
      </w:r>
      <w:r w:rsidR="009E712B">
        <w:t xml:space="preserve">.  These </w:t>
      </w:r>
      <w:r w:rsidR="00293E29" w:rsidRPr="006A743A">
        <w:t>are</w:t>
      </w:r>
      <w:r w:rsidRPr="006A743A">
        <w:t xml:space="preserve"> use</w:t>
      </w:r>
      <w:r w:rsidR="0092775B">
        <w:t>d</w:t>
      </w:r>
      <w:r w:rsidRPr="006A743A">
        <w:t xml:space="preserve"> </w:t>
      </w:r>
      <w:r w:rsidR="0092775B">
        <w:t>in</w:t>
      </w:r>
      <w:r w:rsidRPr="006A743A">
        <w:t xml:space="preserve"> </w:t>
      </w:r>
      <w:r w:rsidR="0092775B">
        <w:t xml:space="preserve">the </w:t>
      </w:r>
      <w:r w:rsidRPr="006A743A">
        <w:t>trend calculations</w:t>
      </w:r>
      <w:r w:rsidR="0092775B">
        <w:t xml:space="preserve"> shown on page</w:t>
      </w:r>
      <w:r w:rsidR="00B77572">
        <w:t>s</w:t>
      </w:r>
      <w:r w:rsidR="0092775B">
        <w:t xml:space="preserve"> 9</w:t>
      </w:r>
      <w:r w:rsidR="00B77572">
        <w:t>-12</w:t>
      </w:r>
      <w:r w:rsidRPr="006A743A">
        <w:t xml:space="preserve">.  </w:t>
      </w:r>
      <w:r w:rsidR="006E7B9F" w:rsidRPr="006A743A">
        <w:t xml:space="preserve"> </w:t>
      </w:r>
      <w:r w:rsidRPr="006A743A">
        <w:t xml:space="preserve"> </w:t>
      </w:r>
    </w:p>
    <w:p w:rsidR="006E7B9F" w:rsidRPr="006A743A" w:rsidRDefault="006E7B9F" w:rsidP="004C6054">
      <w:pPr>
        <w:suppressAutoHyphens/>
        <w:spacing w:line="480" w:lineRule="auto"/>
        <w:ind w:firstLine="720"/>
        <w:jc w:val="both"/>
        <w:rPr>
          <w:b/>
          <w:bCs/>
        </w:rPr>
      </w:pPr>
      <w:r w:rsidRPr="006A743A">
        <w:rPr>
          <w:b/>
        </w:rPr>
        <w:t>Q.</w:t>
      </w:r>
      <w:r w:rsidRPr="006A743A">
        <w:rPr>
          <w:b/>
        </w:rPr>
        <w:tab/>
        <w:t xml:space="preserve">Please </w:t>
      </w:r>
      <w:r w:rsidR="003B192B" w:rsidRPr="006A743A">
        <w:rPr>
          <w:b/>
        </w:rPr>
        <w:t>explain</w:t>
      </w:r>
      <w:r w:rsidRPr="006A743A">
        <w:rPr>
          <w:b/>
        </w:rPr>
        <w:t xml:space="preserve"> page</w:t>
      </w:r>
      <w:r w:rsidR="00B77572">
        <w:rPr>
          <w:b/>
        </w:rPr>
        <w:t>s</w:t>
      </w:r>
      <w:r w:rsidRPr="006A743A">
        <w:rPr>
          <w:b/>
        </w:rPr>
        <w:t xml:space="preserve"> 9 </w:t>
      </w:r>
      <w:r w:rsidR="00B77572">
        <w:rPr>
          <w:b/>
        </w:rPr>
        <w:t xml:space="preserve">through 12 </w:t>
      </w:r>
      <w:r w:rsidRPr="006A743A">
        <w:rPr>
          <w:b/>
        </w:rPr>
        <w:t xml:space="preserve">of </w:t>
      </w:r>
      <w:r w:rsidRPr="006A743A">
        <w:rPr>
          <w:b/>
          <w:bCs/>
        </w:rPr>
        <w:t>Exhibit No. __(</w:t>
      </w:r>
      <w:r w:rsidR="00E27DEB">
        <w:rPr>
          <w:b/>
          <w:bCs/>
        </w:rPr>
        <w:t>EMA-6</w:t>
      </w:r>
      <w:r w:rsidRPr="006A743A">
        <w:rPr>
          <w:b/>
          <w:bCs/>
        </w:rPr>
        <w:t>)</w:t>
      </w:r>
      <w:r w:rsidR="003E3E49" w:rsidRPr="006A743A">
        <w:rPr>
          <w:b/>
          <w:bCs/>
        </w:rPr>
        <w:t>.</w:t>
      </w:r>
    </w:p>
    <w:p w:rsidR="00B77572" w:rsidRDefault="003B192B" w:rsidP="004C6054">
      <w:pPr>
        <w:suppressAutoHyphens/>
        <w:spacing w:line="480" w:lineRule="auto"/>
        <w:ind w:firstLine="720"/>
        <w:jc w:val="both"/>
      </w:pPr>
      <w:r w:rsidRPr="006A743A">
        <w:t>A.</w:t>
      </w:r>
      <w:r w:rsidRPr="006A743A">
        <w:tab/>
      </w:r>
      <w:r w:rsidR="006E7B9F" w:rsidRPr="006A743A">
        <w:t xml:space="preserve">Page 9 </w:t>
      </w:r>
      <w:r w:rsidR="00B77572">
        <w:t xml:space="preserve">through 12 shows </w:t>
      </w:r>
      <w:r w:rsidR="006E7B9F" w:rsidRPr="006A743A">
        <w:t xml:space="preserve">the </w:t>
      </w:r>
      <w:r w:rsidR="00B77572">
        <w:t>calculation of the growth rate and 2-year escalation growth factors for each escalation category</w:t>
      </w:r>
      <w:r w:rsidR="00557DF8">
        <w:t xml:space="preserve">, using </w:t>
      </w:r>
      <w:r w:rsidR="00E3658B">
        <w:t>2007 – 2014 data provided on page 8</w:t>
      </w:r>
      <w:r w:rsidR="00D07F6D">
        <w:t>,</w:t>
      </w:r>
      <w:r w:rsidR="008A67DB">
        <w:t xml:space="preserve"> based on </w:t>
      </w:r>
      <w:r w:rsidR="00D07F6D" w:rsidRPr="00FA366E">
        <w:t>rates of growth</w:t>
      </w:r>
      <w:r w:rsidR="00D07F6D">
        <w:t xml:space="preserve"> for certain cost categories </w:t>
      </w:r>
      <w:r w:rsidR="00D07F6D" w:rsidRPr="00FA366E">
        <w:t xml:space="preserve">using a </w:t>
      </w:r>
      <w:r w:rsidR="00D07F6D">
        <w:t>“</w:t>
      </w:r>
      <w:r w:rsidR="00D07F6D" w:rsidRPr="00FA366E">
        <w:t>simple least-squares linear regression</w:t>
      </w:r>
      <w:r w:rsidR="00D07F6D">
        <w:t>”</w:t>
      </w:r>
      <w:r w:rsidR="00D07F6D" w:rsidRPr="00FA366E">
        <w:t xml:space="preserve"> across th</w:t>
      </w:r>
      <w:r w:rsidR="00D07F6D">
        <w:t xml:space="preserve">e years </w:t>
      </w:r>
      <w:r w:rsidR="00D07F6D" w:rsidRPr="00FA366E">
        <w:t>of data</w:t>
      </w:r>
      <w:r w:rsidR="00D07F6D">
        <w:t xml:space="preserve"> (2007-2014). </w:t>
      </w:r>
      <w:r w:rsidR="008A67DB">
        <w:t xml:space="preserve"> </w:t>
      </w:r>
      <w:r w:rsidR="00557DF8">
        <w:t xml:space="preserve">(Staff used 2009-2014 data for its trended data.) </w:t>
      </w:r>
      <w:r w:rsidR="00E3658B">
        <w:t xml:space="preserve">The categories used and corresponding page </w:t>
      </w:r>
      <w:r w:rsidR="00557DF8">
        <w:t xml:space="preserve">showing the escalation calculations are </w:t>
      </w:r>
      <w:r w:rsidR="00E3658B">
        <w:t>as f</w:t>
      </w:r>
      <w:r w:rsidR="00B77572">
        <w:t>ollows:</w:t>
      </w:r>
    </w:p>
    <w:p w:rsidR="00415857" w:rsidRDefault="00B77572" w:rsidP="00B77572">
      <w:pPr>
        <w:suppressAutoHyphens/>
        <w:ind w:firstLine="720"/>
        <w:jc w:val="both"/>
      </w:pPr>
      <w:r>
        <w:t xml:space="preserve">Page 9 – Net Plant after DFIT </w:t>
      </w:r>
    </w:p>
    <w:p w:rsidR="00B77572" w:rsidRDefault="00B77572" w:rsidP="00B77572">
      <w:pPr>
        <w:suppressAutoHyphens/>
        <w:ind w:firstLine="720"/>
        <w:jc w:val="both"/>
      </w:pPr>
      <w:r>
        <w:t>Page 10 – Depreciation/amortization</w:t>
      </w:r>
    </w:p>
    <w:p w:rsidR="00B77572" w:rsidRDefault="00B77572" w:rsidP="00B77572">
      <w:pPr>
        <w:suppressAutoHyphens/>
        <w:ind w:firstLine="720"/>
        <w:jc w:val="both"/>
      </w:pPr>
      <w:r>
        <w:t>Page 11 – Taxes Other than Income</w:t>
      </w:r>
    </w:p>
    <w:p w:rsidR="00B77572" w:rsidRDefault="00B77572" w:rsidP="00B77572">
      <w:pPr>
        <w:suppressAutoHyphens/>
        <w:ind w:firstLine="720"/>
        <w:jc w:val="both"/>
      </w:pPr>
      <w:r>
        <w:t xml:space="preserve">Page 12 – </w:t>
      </w:r>
      <w:r w:rsidR="008A67DB">
        <w:t xml:space="preserve">Adjusted Operating Expenses </w:t>
      </w:r>
    </w:p>
    <w:p w:rsidR="00B77572" w:rsidRPr="006A743A" w:rsidRDefault="00B77572" w:rsidP="004C6054">
      <w:pPr>
        <w:suppressAutoHyphens/>
        <w:spacing w:line="480" w:lineRule="auto"/>
        <w:ind w:firstLine="720"/>
        <w:jc w:val="both"/>
      </w:pPr>
    </w:p>
    <w:p w:rsidR="00D07F6D" w:rsidRDefault="00557DF8" w:rsidP="004C6054">
      <w:pPr>
        <w:suppressAutoHyphens/>
        <w:spacing w:line="480" w:lineRule="auto"/>
        <w:ind w:firstLine="720"/>
        <w:jc w:val="both"/>
      </w:pPr>
      <w:r>
        <w:t>Each page 9 – 1</w:t>
      </w:r>
      <w:r w:rsidR="008A67DB">
        <w:t>2</w:t>
      </w:r>
      <w:r>
        <w:t>, shows Avista’s calculation using 2007-2014 data. The bottom half of each page shows Staff’s original calculation proposed using 2009-2014 data</w:t>
      </w:r>
      <w:r w:rsidR="0068405B">
        <w:t xml:space="preserve"> for comparison purposes</w:t>
      </w:r>
      <w:r>
        <w:t xml:space="preserve">.  </w:t>
      </w:r>
    </w:p>
    <w:p w:rsidR="00E3658B" w:rsidRPr="00E3658B" w:rsidRDefault="008A67DB" w:rsidP="004C6054">
      <w:pPr>
        <w:suppressAutoHyphens/>
        <w:spacing w:line="480" w:lineRule="auto"/>
        <w:ind w:firstLine="720"/>
        <w:jc w:val="both"/>
      </w:pPr>
      <w:r>
        <w:t>Page 12, Adjusted Operating Expenses, shows Avista’s calculated average escalation factor, which includes the average of 1) 2007-2014 data (excluding benefits) annual growth rate and two-year escalation</w:t>
      </w:r>
      <w:r w:rsidR="00E45DBD">
        <w:t>,</w:t>
      </w:r>
      <w:r>
        <w:t xml:space="preserve"> and 2) 2013-2014 data (excluding benefits) annual growth rate and two-year escalation.  Page 12 also shows Staff’s calculated average escalation factor, which includes the average of 1) 2009-2014 data annual growth rate and 2) 3%, Avista’s original annual growth </w:t>
      </w:r>
      <w:r w:rsidRPr="00662340">
        <w:t xml:space="preserve">rate, </w:t>
      </w:r>
      <w:r w:rsidR="00662340" w:rsidRPr="00662340">
        <w:t xml:space="preserve">escalated </w:t>
      </w:r>
      <w:r w:rsidR="00BD420E" w:rsidRPr="00662340">
        <w:t>two-year</w:t>
      </w:r>
      <w:r w:rsidR="00662340" w:rsidRPr="00662340">
        <w:t>s</w:t>
      </w:r>
      <w:r w:rsidRPr="00662340">
        <w:t>.</w:t>
      </w:r>
    </w:p>
    <w:p w:rsidR="00CC77AB" w:rsidRPr="006A743A" w:rsidRDefault="00CC77AB" w:rsidP="007E3D5C">
      <w:pPr>
        <w:suppressAutoHyphens/>
        <w:spacing w:line="480" w:lineRule="auto"/>
        <w:ind w:firstLine="720"/>
        <w:jc w:val="both"/>
        <w:rPr>
          <w:b/>
          <w:bCs/>
        </w:rPr>
      </w:pPr>
      <w:r w:rsidRPr="006A743A">
        <w:rPr>
          <w:b/>
        </w:rPr>
        <w:t>Q.</w:t>
      </w:r>
      <w:r w:rsidRPr="006A743A">
        <w:rPr>
          <w:b/>
        </w:rPr>
        <w:tab/>
        <w:t xml:space="preserve">Please </w:t>
      </w:r>
      <w:r w:rsidR="00133ECC" w:rsidRPr="006A743A">
        <w:rPr>
          <w:b/>
        </w:rPr>
        <w:t>explain</w:t>
      </w:r>
      <w:r w:rsidRPr="006A743A">
        <w:rPr>
          <w:b/>
        </w:rPr>
        <w:t xml:space="preserve"> the final page of </w:t>
      </w:r>
      <w:r w:rsidRPr="006A743A">
        <w:rPr>
          <w:b/>
          <w:bCs/>
        </w:rPr>
        <w:t>Exhibit No. __(</w:t>
      </w:r>
      <w:r w:rsidR="00E27DEB">
        <w:rPr>
          <w:b/>
          <w:bCs/>
        </w:rPr>
        <w:t>EMA-6</w:t>
      </w:r>
      <w:r w:rsidRPr="006A743A">
        <w:rPr>
          <w:b/>
          <w:bCs/>
        </w:rPr>
        <w:t xml:space="preserve">), </w:t>
      </w:r>
      <w:r w:rsidR="003E3E49" w:rsidRPr="006A743A">
        <w:rPr>
          <w:b/>
          <w:bCs/>
        </w:rPr>
        <w:t>page 1</w:t>
      </w:r>
      <w:r w:rsidR="008A67DB">
        <w:rPr>
          <w:b/>
          <w:bCs/>
        </w:rPr>
        <w:t>3</w:t>
      </w:r>
      <w:r w:rsidR="003E3E49" w:rsidRPr="006A743A">
        <w:rPr>
          <w:b/>
          <w:bCs/>
        </w:rPr>
        <w:t>.</w:t>
      </w:r>
    </w:p>
    <w:p w:rsidR="002C4D5E" w:rsidRPr="006A743A" w:rsidRDefault="00CC77AB" w:rsidP="00CF704A">
      <w:pPr>
        <w:suppressAutoHyphens/>
        <w:spacing w:line="480" w:lineRule="auto"/>
        <w:ind w:firstLine="720"/>
        <w:jc w:val="both"/>
      </w:pPr>
      <w:r w:rsidRPr="006A743A">
        <w:t>A.</w:t>
      </w:r>
      <w:r w:rsidRPr="006A743A">
        <w:tab/>
        <w:t xml:space="preserve">The </w:t>
      </w:r>
      <w:r w:rsidR="006E7B9F" w:rsidRPr="006A743A">
        <w:t>final page</w:t>
      </w:r>
      <w:r w:rsidRPr="006A743A">
        <w:t xml:space="preserve"> of Exhibit No. __(</w:t>
      </w:r>
      <w:r w:rsidR="00E27DEB">
        <w:t>EMA-6</w:t>
      </w:r>
      <w:r w:rsidRPr="006A743A">
        <w:t>)</w:t>
      </w:r>
      <w:r w:rsidR="006E7B9F" w:rsidRPr="006A743A">
        <w:t>, page 1</w:t>
      </w:r>
      <w:r w:rsidR="00D07F6D">
        <w:t>3</w:t>
      </w:r>
      <w:r w:rsidR="006E7B9F" w:rsidRPr="006A743A">
        <w:t xml:space="preserve">, shows the </w:t>
      </w:r>
      <w:r w:rsidR="004E47E9" w:rsidRPr="006A743A">
        <w:t xml:space="preserve">calculation of the growth in Avista’s electric billing determinant index from </w:t>
      </w:r>
      <w:r w:rsidR="005B370D">
        <w:t>September 2014</w:t>
      </w:r>
      <w:r w:rsidR="004E47E9" w:rsidRPr="006A743A">
        <w:t xml:space="preserve"> to 201</w:t>
      </w:r>
      <w:r w:rsidR="005B370D">
        <w:t>6</w:t>
      </w:r>
      <w:r w:rsidR="004E47E9" w:rsidRPr="006A743A">
        <w:t xml:space="preserve">.  </w:t>
      </w:r>
      <w:r w:rsidR="00C63795" w:rsidRPr="006A743A">
        <w:t xml:space="preserve">Column </w:t>
      </w:r>
      <w:r w:rsidR="00C63795" w:rsidRPr="006A743A">
        <w:rPr>
          <w:b/>
        </w:rPr>
        <w:t>[A]</w:t>
      </w:r>
      <w:r w:rsidR="003C0794" w:rsidRPr="006A743A">
        <w:t xml:space="preserve"> </w:t>
      </w:r>
      <w:r w:rsidR="00C63795" w:rsidRPr="006A743A">
        <w:t>shows</w:t>
      </w:r>
      <w:r w:rsidR="003C0794" w:rsidRPr="006A743A">
        <w:t xml:space="preserve"> the b</w:t>
      </w:r>
      <w:r w:rsidR="00C63795" w:rsidRPr="006A743A">
        <w:t>illing determinants</w:t>
      </w:r>
      <w:r w:rsidR="003C0794" w:rsidRPr="006A743A">
        <w:t xml:space="preserve"> from the </w:t>
      </w:r>
      <w:r w:rsidR="005B370D">
        <w:t>September 2014</w:t>
      </w:r>
      <w:r w:rsidR="003C0794" w:rsidRPr="006A743A">
        <w:t xml:space="preserve"> revenue</w:t>
      </w:r>
      <w:r w:rsidR="003C4561" w:rsidRPr="006A743A">
        <w:t xml:space="preserve"> </w:t>
      </w:r>
      <w:r w:rsidR="003C0794" w:rsidRPr="006A743A">
        <w:t>model supporting the Incremental Revenue Normalization Adjustment on pages 4 and 5, column</w:t>
      </w:r>
      <w:r w:rsidR="00CF704A">
        <w:t xml:space="preserve"> </w:t>
      </w:r>
      <w:r w:rsidR="003C0794" w:rsidRPr="006A743A">
        <w:t>[D]</w:t>
      </w:r>
      <w:r w:rsidR="003265E8">
        <w:t>,</w:t>
      </w:r>
      <w:r w:rsidR="00C63795" w:rsidRPr="006A743A">
        <w:t xml:space="preserve"> discussed previously</w:t>
      </w:r>
      <w:r w:rsidR="003C0794" w:rsidRPr="006A743A">
        <w:t xml:space="preserve">.  </w:t>
      </w:r>
      <w:r w:rsidR="00C63795" w:rsidRPr="006A743A">
        <w:t>These same billing determinants from the 201</w:t>
      </w:r>
      <w:r w:rsidR="005B370D">
        <w:t>6</w:t>
      </w:r>
      <w:r w:rsidR="00C63795" w:rsidRPr="006A743A">
        <w:t xml:space="preserve"> revenue forecast are shown in column </w:t>
      </w:r>
      <w:r w:rsidR="00C63795" w:rsidRPr="006A743A">
        <w:rPr>
          <w:b/>
        </w:rPr>
        <w:t>[</w:t>
      </w:r>
      <w:r w:rsidR="00EA14D5" w:rsidRPr="006A743A">
        <w:rPr>
          <w:b/>
        </w:rPr>
        <w:t>B]</w:t>
      </w:r>
      <w:r w:rsidR="00EA14D5" w:rsidRPr="006A743A">
        <w:t xml:space="preserve">, then the percentage growth in the billing determinants from </w:t>
      </w:r>
      <w:r w:rsidR="005B370D">
        <w:t>September 2014</w:t>
      </w:r>
      <w:r w:rsidR="00EA14D5" w:rsidRPr="006A743A">
        <w:t xml:space="preserve"> to 201</w:t>
      </w:r>
      <w:r w:rsidR="005B370D">
        <w:t>6</w:t>
      </w:r>
      <w:r w:rsidR="00EA14D5" w:rsidRPr="006A743A">
        <w:t xml:space="preserve"> is calculated in column </w:t>
      </w:r>
      <w:r w:rsidR="00EA14D5" w:rsidRPr="006A743A">
        <w:rPr>
          <w:b/>
        </w:rPr>
        <w:t>[C]</w:t>
      </w:r>
      <w:r w:rsidR="00EA14D5" w:rsidRPr="006A743A">
        <w:t>.</w:t>
      </w:r>
      <w:r w:rsidR="00C63795" w:rsidRPr="006A743A">
        <w:t xml:space="preserve"> </w:t>
      </w:r>
      <w:r w:rsidR="005837FC" w:rsidRPr="006A743A">
        <w:t xml:space="preserve"> </w:t>
      </w:r>
      <w:r w:rsidR="00EA14D5" w:rsidRPr="006A743A">
        <w:t xml:space="preserve">Column </w:t>
      </w:r>
      <w:r w:rsidR="00EA14D5" w:rsidRPr="006A743A">
        <w:rPr>
          <w:b/>
        </w:rPr>
        <w:t>[D]</w:t>
      </w:r>
      <w:r w:rsidR="00EA14D5" w:rsidRPr="006A743A">
        <w:t xml:space="preserve"> shows t</w:t>
      </w:r>
      <w:r w:rsidR="004E47E9" w:rsidRPr="006A743A">
        <w:t xml:space="preserve">he associated revenues </w:t>
      </w:r>
      <w:r w:rsidR="003C4561" w:rsidRPr="006A743A">
        <w:t xml:space="preserve">from the </w:t>
      </w:r>
      <w:r w:rsidR="005B370D">
        <w:t>September 2014</w:t>
      </w:r>
      <w:r w:rsidR="005B370D" w:rsidRPr="006A743A">
        <w:t xml:space="preserve"> </w:t>
      </w:r>
      <w:r w:rsidR="003C4561" w:rsidRPr="006A743A">
        <w:t>revenue model</w:t>
      </w:r>
      <w:r w:rsidR="004E47E9" w:rsidRPr="006A743A">
        <w:t xml:space="preserve"> </w:t>
      </w:r>
      <w:r w:rsidR="00EA14D5" w:rsidRPr="006A743A">
        <w:t xml:space="preserve">that </w:t>
      </w:r>
      <w:r w:rsidR="004E47E9" w:rsidRPr="006A743A">
        <w:t xml:space="preserve">were used to determine the </w:t>
      </w:r>
      <w:r w:rsidR="00114294" w:rsidRPr="006A743A">
        <w:t>weighting</w:t>
      </w:r>
      <w:r w:rsidR="00EA14D5" w:rsidRPr="006A743A">
        <w:t xml:space="preserve"> in column </w:t>
      </w:r>
      <w:r w:rsidR="00EA14D5" w:rsidRPr="006A743A">
        <w:rPr>
          <w:b/>
        </w:rPr>
        <w:t>[E]</w:t>
      </w:r>
      <w:r w:rsidR="004E47E9" w:rsidRPr="006A743A">
        <w:t xml:space="preserve">.  </w:t>
      </w:r>
      <w:r w:rsidR="00EA14D5" w:rsidRPr="006A743A">
        <w:t xml:space="preserve">Finally, the weighted growth for each billing determinant is calculated in column </w:t>
      </w:r>
      <w:r w:rsidR="00EA14D5" w:rsidRPr="006A743A">
        <w:rPr>
          <w:b/>
        </w:rPr>
        <w:t>[F]</w:t>
      </w:r>
      <w:r w:rsidR="004E47E9" w:rsidRPr="006A743A">
        <w:t xml:space="preserve"> </w:t>
      </w:r>
      <w:r w:rsidR="005837FC" w:rsidRPr="006A743A">
        <w:t>and the sum on line 19 is the 201</w:t>
      </w:r>
      <w:r w:rsidR="005B370D">
        <w:t>6</w:t>
      </w:r>
      <w:r w:rsidR="005837FC" w:rsidRPr="006A743A">
        <w:t xml:space="preserve"> escalation factor for retail revenue growth</w:t>
      </w:r>
      <w:r w:rsidR="00CF704A">
        <w:t>, showing 1.31%</w:t>
      </w:r>
      <w:r w:rsidR="005837FC" w:rsidRPr="006A743A">
        <w:t xml:space="preserve">. </w:t>
      </w:r>
    </w:p>
    <w:p w:rsidR="00FD2E66" w:rsidRPr="006A743A" w:rsidRDefault="00FD2E66" w:rsidP="007E3D5C">
      <w:pPr>
        <w:suppressAutoHyphens/>
        <w:spacing w:line="480" w:lineRule="auto"/>
        <w:jc w:val="both"/>
        <w:rPr>
          <w:b/>
          <w:u w:val="single"/>
        </w:rPr>
      </w:pPr>
      <w:r w:rsidRPr="006A743A">
        <w:rPr>
          <w:b/>
          <w:u w:val="single"/>
        </w:rPr>
        <w:t>Natural Gas Attrition Study</w:t>
      </w:r>
    </w:p>
    <w:p w:rsidR="00CC77AB" w:rsidRPr="006A743A" w:rsidRDefault="00CC77AB" w:rsidP="007E3D5C">
      <w:pPr>
        <w:suppressAutoHyphens/>
        <w:spacing w:line="480" w:lineRule="auto"/>
        <w:ind w:firstLine="720"/>
        <w:jc w:val="both"/>
        <w:rPr>
          <w:b/>
          <w:bCs/>
        </w:rPr>
      </w:pPr>
      <w:r w:rsidRPr="006A743A">
        <w:rPr>
          <w:b/>
          <w:bCs/>
        </w:rPr>
        <w:t>Q.</w:t>
      </w:r>
      <w:r w:rsidRPr="006A743A">
        <w:rPr>
          <w:b/>
          <w:bCs/>
        </w:rPr>
        <w:tab/>
      </w:r>
      <w:r w:rsidR="00293CBD" w:rsidRPr="006A743A">
        <w:rPr>
          <w:b/>
          <w:bCs/>
        </w:rPr>
        <w:t>Before m</w:t>
      </w:r>
      <w:r w:rsidRPr="006A743A">
        <w:rPr>
          <w:b/>
          <w:bCs/>
        </w:rPr>
        <w:t xml:space="preserve">oving </w:t>
      </w:r>
      <w:r w:rsidR="005C5C49" w:rsidRPr="006A743A">
        <w:rPr>
          <w:b/>
          <w:bCs/>
        </w:rPr>
        <w:t>on to</w:t>
      </w:r>
      <w:r w:rsidR="00293CBD" w:rsidRPr="006A743A">
        <w:rPr>
          <w:b/>
          <w:bCs/>
        </w:rPr>
        <w:t xml:space="preserve"> </w:t>
      </w:r>
      <w:r w:rsidRPr="006A743A">
        <w:rPr>
          <w:b/>
          <w:bCs/>
        </w:rPr>
        <w:t>the Company’s Natural Gas Attrition Study as provided in Exhibit No. __(</w:t>
      </w:r>
      <w:r w:rsidR="00E27DEB">
        <w:rPr>
          <w:b/>
          <w:bCs/>
        </w:rPr>
        <w:t>EMA-7</w:t>
      </w:r>
      <w:r w:rsidRPr="006A743A">
        <w:rPr>
          <w:b/>
          <w:bCs/>
        </w:rPr>
        <w:t>), are there similarities between the electric and natural gas studies?</w:t>
      </w:r>
    </w:p>
    <w:p w:rsidR="00CC77AB" w:rsidRPr="006A743A" w:rsidRDefault="00CC77AB" w:rsidP="007E3D5C">
      <w:pPr>
        <w:suppressAutoHyphens/>
        <w:spacing w:line="480" w:lineRule="auto"/>
        <w:ind w:firstLine="720"/>
        <w:jc w:val="both"/>
        <w:rPr>
          <w:bCs/>
        </w:rPr>
      </w:pPr>
      <w:r w:rsidRPr="006A743A">
        <w:rPr>
          <w:bCs/>
        </w:rPr>
        <w:t>A.</w:t>
      </w:r>
      <w:r w:rsidRPr="006A743A">
        <w:rPr>
          <w:bCs/>
        </w:rPr>
        <w:tab/>
        <w:t xml:space="preserve">Yes. The previous </w:t>
      </w:r>
      <w:r w:rsidR="005C5C49" w:rsidRPr="006A743A">
        <w:rPr>
          <w:bCs/>
        </w:rPr>
        <w:t>explanation of</w:t>
      </w:r>
      <w:r w:rsidRPr="006A743A">
        <w:rPr>
          <w:bCs/>
        </w:rPr>
        <w:t xml:space="preserve"> the exhibit pages and analysis for the electric </w:t>
      </w:r>
      <w:r w:rsidR="00B373E3" w:rsidRPr="006A743A">
        <w:rPr>
          <w:bCs/>
        </w:rPr>
        <w:t>A</w:t>
      </w:r>
      <w:r w:rsidRPr="006A743A">
        <w:rPr>
          <w:bCs/>
        </w:rPr>
        <w:t xml:space="preserve">ttrition </w:t>
      </w:r>
      <w:r w:rsidR="00B373E3" w:rsidRPr="006A743A">
        <w:rPr>
          <w:bCs/>
        </w:rPr>
        <w:t>S</w:t>
      </w:r>
      <w:r w:rsidRPr="006A743A">
        <w:rPr>
          <w:bCs/>
        </w:rPr>
        <w:t xml:space="preserve">tudy are similar for the natural gas </w:t>
      </w:r>
      <w:r w:rsidR="00B373E3" w:rsidRPr="006A743A">
        <w:rPr>
          <w:bCs/>
        </w:rPr>
        <w:t>A</w:t>
      </w:r>
      <w:r w:rsidRPr="006A743A">
        <w:rPr>
          <w:bCs/>
        </w:rPr>
        <w:t xml:space="preserve">ttrition </w:t>
      </w:r>
      <w:r w:rsidR="00B373E3" w:rsidRPr="006A743A">
        <w:rPr>
          <w:bCs/>
        </w:rPr>
        <w:t>S</w:t>
      </w:r>
      <w:r w:rsidRPr="006A743A">
        <w:rPr>
          <w:bCs/>
        </w:rPr>
        <w:t>tudy. I will describe briefly what can be found within Exhibit No. __(</w:t>
      </w:r>
      <w:r w:rsidR="00E27DEB">
        <w:rPr>
          <w:bCs/>
        </w:rPr>
        <w:t>EMA-7</w:t>
      </w:r>
      <w:r w:rsidRPr="006A743A">
        <w:rPr>
          <w:bCs/>
        </w:rPr>
        <w:t>), and any differences between various exhibit pages and analysis.</w:t>
      </w:r>
    </w:p>
    <w:p w:rsidR="00293CBD" w:rsidRPr="006A743A" w:rsidRDefault="00293CBD" w:rsidP="004C6054">
      <w:pPr>
        <w:suppressAutoHyphens/>
        <w:spacing w:line="480" w:lineRule="auto"/>
        <w:jc w:val="both"/>
        <w:rPr>
          <w:b/>
          <w:bCs/>
        </w:rPr>
      </w:pPr>
      <w:r w:rsidRPr="006A743A">
        <w:rPr>
          <w:b/>
          <w:bCs/>
        </w:rPr>
        <w:tab/>
        <w:t>Q.</w:t>
      </w:r>
      <w:r w:rsidRPr="006A743A">
        <w:rPr>
          <w:b/>
          <w:bCs/>
        </w:rPr>
        <w:tab/>
        <w:t xml:space="preserve">Please explain what is shown on page 1 of the </w:t>
      </w:r>
      <w:r w:rsidR="005837FC" w:rsidRPr="006A743A">
        <w:rPr>
          <w:b/>
          <w:bCs/>
        </w:rPr>
        <w:t>Natural Gas</w:t>
      </w:r>
      <w:r w:rsidRPr="006A743A">
        <w:rPr>
          <w:b/>
          <w:bCs/>
        </w:rPr>
        <w:t xml:space="preserve"> Attrition Study provided as Exhibit No._____(</w:t>
      </w:r>
      <w:r w:rsidR="00E27DEB">
        <w:rPr>
          <w:b/>
          <w:bCs/>
        </w:rPr>
        <w:t>EMA-7</w:t>
      </w:r>
      <w:r w:rsidRPr="006A743A">
        <w:rPr>
          <w:b/>
          <w:bCs/>
        </w:rPr>
        <w:t>)</w:t>
      </w:r>
      <w:r w:rsidR="003E3E49" w:rsidRPr="006A743A">
        <w:rPr>
          <w:b/>
          <w:bCs/>
        </w:rPr>
        <w:t>.</w:t>
      </w:r>
      <w:r w:rsidRPr="006A743A">
        <w:rPr>
          <w:b/>
          <w:bCs/>
        </w:rPr>
        <w:t xml:space="preserve"> </w:t>
      </w:r>
    </w:p>
    <w:p w:rsidR="00293CBD" w:rsidRPr="006A743A" w:rsidRDefault="00293CBD" w:rsidP="004C6054">
      <w:pPr>
        <w:suppressAutoHyphens/>
        <w:spacing w:line="480" w:lineRule="auto"/>
        <w:jc w:val="both"/>
      </w:pPr>
      <w:r w:rsidRPr="006A743A">
        <w:tab/>
        <w:t>A.</w:t>
      </w:r>
      <w:r w:rsidRPr="006A743A">
        <w:tab/>
        <w:t>Exhibit No._____(</w:t>
      </w:r>
      <w:r w:rsidR="00E27DEB">
        <w:t>EMA-7</w:t>
      </w:r>
      <w:r w:rsidRPr="006A743A">
        <w:t>), page 1, shows the calculation of the natural gas general revenue requirement</w:t>
      </w:r>
      <w:r w:rsidR="003265E8">
        <w:t>,</w:t>
      </w:r>
      <w:r w:rsidRPr="006A743A">
        <w:t xml:space="preserve"> based on the Company’s natural gas </w:t>
      </w:r>
      <w:r w:rsidR="00B373E3" w:rsidRPr="006A743A">
        <w:t>A</w:t>
      </w:r>
      <w:r w:rsidRPr="006A743A">
        <w:t xml:space="preserve">ttrition </w:t>
      </w:r>
      <w:r w:rsidR="00B373E3" w:rsidRPr="006A743A">
        <w:t>S</w:t>
      </w:r>
      <w:r w:rsidRPr="006A743A">
        <w:t>tudy analysis</w:t>
      </w:r>
      <w:r w:rsidR="003265E8">
        <w:t>,</w:t>
      </w:r>
      <w:r w:rsidRPr="006A743A">
        <w:t xml:space="preserve"> required to earn the </w:t>
      </w:r>
      <w:r w:rsidR="00D07F6D">
        <w:t xml:space="preserve">agreed-to </w:t>
      </w:r>
      <w:r w:rsidRPr="006A743A">
        <w:t>7.</w:t>
      </w:r>
      <w:r w:rsidR="00D07F6D">
        <w:t>29</w:t>
      </w:r>
      <w:r w:rsidRPr="006A743A">
        <w:t xml:space="preserve">% ROR proposed by the Company for its State of Washington natural gas operations.  </w:t>
      </w:r>
      <w:r w:rsidR="00114294" w:rsidRPr="006A743A">
        <w:t>Page 1 shows the 201</w:t>
      </w:r>
      <w:r w:rsidR="005B370D">
        <w:t>6</w:t>
      </w:r>
      <w:r w:rsidR="00114294" w:rsidRPr="006A743A">
        <w:t xml:space="preserve"> natural gas revenue requirement of $</w:t>
      </w:r>
      <w:r w:rsidR="00137934">
        <w:t>1</w:t>
      </w:r>
      <w:r w:rsidR="00D07F6D">
        <w:t>0</w:t>
      </w:r>
      <w:r w:rsidR="00137934">
        <w:t>,0</w:t>
      </w:r>
      <w:r w:rsidR="00D07F6D">
        <w:t>09</w:t>
      </w:r>
      <w:r w:rsidR="00114294" w:rsidRPr="006A743A">
        <w:t>,000 (column (</w:t>
      </w:r>
      <w:r w:rsidR="00D07F6D">
        <w:t>c</w:t>
      </w:r>
      <w:r w:rsidR="00114294" w:rsidRPr="006A743A">
        <w:t>)).</w:t>
      </w:r>
      <w:r w:rsidRPr="006A743A">
        <w:t xml:space="preserve">  </w:t>
      </w:r>
    </w:p>
    <w:p w:rsidR="00374519" w:rsidRPr="006A743A" w:rsidRDefault="00374519" w:rsidP="004C6054">
      <w:pPr>
        <w:suppressAutoHyphens/>
        <w:spacing w:line="480" w:lineRule="auto"/>
        <w:ind w:firstLine="720"/>
        <w:jc w:val="both"/>
      </w:pPr>
      <w:r w:rsidRPr="006A743A">
        <w:t xml:space="preserve">Column </w:t>
      </w:r>
      <w:r w:rsidRPr="006A743A">
        <w:rPr>
          <w:b/>
        </w:rPr>
        <w:t>(a)</w:t>
      </w:r>
      <w:r w:rsidR="00293E29" w:rsidRPr="006A743A">
        <w:t xml:space="preserve"> of page 1</w:t>
      </w:r>
      <w:r w:rsidR="003265E8">
        <w:t>,</w:t>
      </w:r>
      <w:r w:rsidR="00293E29" w:rsidRPr="006A743A">
        <w:t xml:space="preserve"> labeled </w:t>
      </w:r>
      <w:r w:rsidRPr="006A743A">
        <w:rPr>
          <w:b/>
        </w:rPr>
        <w:t>Attrition Balances</w:t>
      </w:r>
      <w:r w:rsidR="003265E8">
        <w:rPr>
          <w:b/>
        </w:rPr>
        <w:t>,</w:t>
      </w:r>
      <w:r w:rsidRPr="006A743A">
        <w:t xml:space="preserve"> shows the natural gas </w:t>
      </w:r>
      <w:r w:rsidR="00137934" w:rsidRPr="006A743A">
        <w:t xml:space="preserve">Attrition Net Operating Income </w:t>
      </w:r>
      <w:r w:rsidR="00137934">
        <w:t xml:space="preserve">and </w:t>
      </w:r>
      <w:r w:rsidRPr="006A743A">
        <w:t>Attrition Rate Base</w:t>
      </w:r>
      <w:r w:rsidR="00137934">
        <w:t xml:space="preserve"> </w:t>
      </w:r>
      <w:r w:rsidRPr="006A743A">
        <w:t>balances</w:t>
      </w:r>
      <w:r w:rsidR="00114294" w:rsidRPr="006A743A">
        <w:t>, from</w:t>
      </w:r>
      <w:r w:rsidRPr="006A743A">
        <w:t xml:space="preserve"> page 5 of Exhibit No.____(</w:t>
      </w:r>
      <w:r w:rsidR="00E27DEB">
        <w:t>EMA-7</w:t>
      </w:r>
      <w:r w:rsidRPr="006A743A">
        <w:t xml:space="preserve">), </w:t>
      </w:r>
      <w:r w:rsidR="00114294" w:rsidRPr="006A743A">
        <w:t>column</w:t>
      </w:r>
      <w:r w:rsidRPr="006A743A">
        <w:t xml:space="preserve"> [</w:t>
      </w:r>
      <w:r w:rsidR="00D07F6D">
        <w:t>M</w:t>
      </w:r>
      <w:r w:rsidRPr="006A743A">
        <w:t xml:space="preserve">], lines 31 and 47.  </w:t>
      </w:r>
    </w:p>
    <w:p w:rsidR="00374519" w:rsidRPr="006A743A" w:rsidRDefault="00374519" w:rsidP="004C6054">
      <w:pPr>
        <w:suppressAutoHyphens/>
        <w:spacing w:line="480" w:lineRule="auto"/>
        <w:ind w:firstLine="720"/>
        <w:jc w:val="both"/>
      </w:pPr>
      <w:r w:rsidRPr="006A743A">
        <w:t xml:space="preserve">Column </w:t>
      </w:r>
      <w:r w:rsidRPr="006A743A">
        <w:rPr>
          <w:b/>
        </w:rPr>
        <w:t>(b)</w:t>
      </w:r>
      <w:r w:rsidRPr="006A743A">
        <w:t xml:space="preserve"> of page 1</w:t>
      </w:r>
      <w:r w:rsidR="0061120A">
        <w:t>,</w:t>
      </w:r>
      <w:r w:rsidRPr="006A743A">
        <w:t xml:space="preserve"> labeled </w:t>
      </w:r>
      <w:r w:rsidRPr="006A743A">
        <w:rPr>
          <w:b/>
        </w:rPr>
        <w:t>Revenue Growth Factor</w:t>
      </w:r>
      <w:r w:rsidR="0061120A">
        <w:rPr>
          <w:b/>
        </w:rPr>
        <w:t>,</w:t>
      </w:r>
      <w:r w:rsidRPr="006A743A">
        <w:t xml:space="preserve"> shows the revenue growth factor of </w:t>
      </w:r>
      <w:r w:rsidR="00D07F6D">
        <w:t>1.011566</w:t>
      </w:r>
      <w:r w:rsidRPr="006A743A">
        <w:t xml:space="preserve">, </w:t>
      </w:r>
      <w:r w:rsidR="00114294" w:rsidRPr="006A743A">
        <w:t>from</w:t>
      </w:r>
      <w:r w:rsidRPr="006A743A">
        <w:t xml:space="preserve"> page 5 of Exhibit No.____(</w:t>
      </w:r>
      <w:r w:rsidR="00E27DEB">
        <w:t>EMA-7</w:t>
      </w:r>
      <w:r w:rsidRPr="006A743A">
        <w:t xml:space="preserve">), </w:t>
      </w:r>
      <w:r w:rsidR="00114294" w:rsidRPr="006A743A">
        <w:t>column</w:t>
      </w:r>
      <w:r w:rsidRPr="006A743A">
        <w:t xml:space="preserve"> [</w:t>
      </w:r>
      <w:r w:rsidR="00D07F6D">
        <w:t>M</w:t>
      </w:r>
      <w:r w:rsidRPr="006A743A">
        <w:t xml:space="preserve">], line 55. </w:t>
      </w:r>
      <w:r w:rsidR="00114294" w:rsidRPr="006A743A">
        <w:t xml:space="preserve"> </w:t>
      </w:r>
      <w:r w:rsidR="00AC0C85" w:rsidRPr="006A743A">
        <w:t xml:space="preserve">As explained in the electric Attrition Study discussion above, </w:t>
      </w:r>
      <w:r w:rsidR="00B373E3" w:rsidRPr="006A743A">
        <w:rPr>
          <w:rStyle w:val="LineNumber"/>
        </w:rPr>
        <w:t>my A</w:t>
      </w:r>
      <w:r w:rsidRPr="006A743A">
        <w:rPr>
          <w:rStyle w:val="LineNumber"/>
        </w:rPr>
        <w:t xml:space="preserve">ttrition </w:t>
      </w:r>
      <w:r w:rsidR="00B373E3" w:rsidRPr="006A743A">
        <w:rPr>
          <w:rStyle w:val="LineNumber"/>
        </w:rPr>
        <w:t>S</w:t>
      </w:r>
      <w:r w:rsidRPr="006A743A">
        <w:rPr>
          <w:rStyle w:val="LineNumber"/>
        </w:rPr>
        <w:t>tudy uses the forecast of loads</w:t>
      </w:r>
      <w:r w:rsidR="008828C8" w:rsidRPr="006A743A">
        <w:rPr>
          <w:rStyle w:val="LineNumber"/>
        </w:rPr>
        <w:t xml:space="preserve"> and customers</w:t>
      </w:r>
      <w:r w:rsidRPr="006A743A">
        <w:rPr>
          <w:rStyle w:val="LineNumber"/>
        </w:rPr>
        <w:t xml:space="preserve"> for 201</w:t>
      </w:r>
      <w:r w:rsidR="00137934">
        <w:rPr>
          <w:rStyle w:val="LineNumber"/>
        </w:rPr>
        <w:t>6</w:t>
      </w:r>
      <w:r w:rsidR="00853121">
        <w:rPr>
          <w:rStyle w:val="LineNumber"/>
        </w:rPr>
        <w:t xml:space="preserve"> as adjusted </w:t>
      </w:r>
      <w:r w:rsidR="00E45DBD">
        <w:rPr>
          <w:rStyle w:val="LineNumber"/>
        </w:rPr>
        <w:t xml:space="preserve">by </w:t>
      </w:r>
      <w:r w:rsidR="00853121">
        <w:rPr>
          <w:rStyle w:val="LineNumber"/>
        </w:rPr>
        <w:t>Staff</w:t>
      </w:r>
      <w:r w:rsidR="00853121">
        <w:rPr>
          <w:rStyle w:val="FootnoteReference"/>
        </w:rPr>
        <w:footnoteReference w:id="6"/>
      </w:r>
      <w:r w:rsidRPr="006A743A">
        <w:rPr>
          <w:rStyle w:val="LineNumber"/>
        </w:rPr>
        <w:t xml:space="preserve"> </w:t>
      </w:r>
      <w:r w:rsidR="008828C8" w:rsidRPr="006A743A">
        <w:rPr>
          <w:rStyle w:val="LineNumber"/>
        </w:rPr>
        <w:t xml:space="preserve">to </w:t>
      </w:r>
      <w:r w:rsidR="00114294" w:rsidRPr="006A743A">
        <w:rPr>
          <w:rStyle w:val="LineNumber"/>
        </w:rPr>
        <w:t>determine the</w:t>
      </w:r>
      <w:r w:rsidR="008828C8" w:rsidRPr="006A743A">
        <w:rPr>
          <w:rStyle w:val="LineNumber"/>
        </w:rPr>
        <w:t xml:space="preserve"> revenue in 201</w:t>
      </w:r>
      <w:r w:rsidR="00137934">
        <w:rPr>
          <w:rStyle w:val="LineNumber"/>
        </w:rPr>
        <w:t>6</w:t>
      </w:r>
      <w:r w:rsidR="00114294" w:rsidRPr="006A743A">
        <w:rPr>
          <w:rStyle w:val="LineNumber"/>
        </w:rPr>
        <w:t>.</w:t>
      </w:r>
      <w:r w:rsidRPr="006A743A">
        <w:rPr>
          <w:rStyle w:val="LineNumber"/>
        </w:rPr>
        <w:t xml:space="preserve">  I</w:t>
      </w:r>
      <w:r w:rsidR="00AC0C85" w:rsidRPr="006A743A">
        <w:rPr>
          <w:rStyle w:val="LineNumber"/>
        </w:rPr>
        <w:t xml:space="preserve"> </w:t>
      </w:r>
      <w:r w:rsidRPr="006A743A">
        <w:rPr>
          <w:rStyle w:val="LineNumber"/>
        </w:rPr>
        <w:t xml:space="preserve">have divided my rate year, attrition-adjusted revenue requirement by the revenue growth factor to </w:t>
      </w:r>
      <w:r w:rsidR="001462EE">
        <w:rPr>
          <w:rStyle w:val="LineNumber"/>
        </w:rPr>
        <w:t>adjust</w:t>
      </w:r>
      <w:r w:rsidRPr="006A743A">
        <w:rPr>
          <w:rStyle w:val="LineNumber"/>
        </w:rPr>
        <w:t xml:space="preserve"> the revenue requirement to be applied to the test period level of retail loads</w:t>
      </w:r>
      <w:r w:rsidR="008828C8" w:rsidRPr="006A743A">
        <w:rPr>
          <w:rStyle w:val="LineNumber"/>
        </w:rPr>
        <w:t xml:space="preserve"> and customers</w:t>
      </w:r>
      <w:r w:rsidRPr="006A743A">
        <w:rPr>
          <w:rStyle w:val="LineNumber"/>
        </w:rPr>
        <w:t xml:space="preserve">.  </w:t>
      </w:r>
      <w:r w:rsidRPr="006A743A">
        <w:t xml:space="preserve"> </w:t>
      </w:r>
    </w:p>
    <w:p w:rsidR="00F55970" w:rsidRDefault="00374519" w:rsidP="00434CF3">
      <w:pPr>
        <w:suppressAutoHyphens/>
        <w:spacing w:line="480" w:lineRule="auto"/>
        <w:ind w:firstLine="720"/>
        <w:jc w:val="both"/>
      </w:pPr>
      <w:r w:rsidRPr="006A743A">
        <w:t xml:space="preserve">Column </w:t>
      </w:r>
      <w:r w:rsidRPr="006A743A">
        <w:rPr>
          <w:b/>
        </w:rPr>
        <w:t>(c)</w:t>
      </w:r>
      <w:r w:rsidRPr="006A743A">
        <w:t xml:space="preserve">, labeled </w:t>
      </w:r>
      <w:r w:rsidRPr="006A743A">
        <w:rPr>
          <w:b/>
        </w:rPr>
        <w:t xml:space="preserve">Attrition </w:t>
      </w:r>
      <w:r w:rsidR="00434CF3">
        <w:rPr>
          <w:b/>
        </w:rPr>
        <w:t>Study Results</w:t>
      </w:r>
      <w:r w:rsidR="0061120A">
        <w:rPr>
          <w:b/>
        </w:rPr>
        <w:t>,</w:t>
      </w:r>
      <w:r w:rsidRPr="006A743A">
        <w:t xml:space="preserve"> shows the calculation of the $</w:t>
      </w:r>
      <w:r w:rsidR="00D07F6D">
        <w:t>10,009</w:t>
      </w:r>
      <w:r w:rsidRPr="006A743A">
        <w:t xml:space="preserve">,000 revenue requirement at the </w:t>
      </w:r>
      <w:r w:rsidR="00D07F6D">
        <w:t>agreed-to</w:t>
      </w:r>
      <w:r w:rsidRPr="006A743A">
        <w:t xml:space="preserve"> 7.</w:t>
      </w:r>
      <w:r w:rsidR="00D07F6D">
        <w:t>29</w:t>
      </w:r>
      <w:r w:rsidRPr="006A743A">
        <w:t xml:space="preserve">% rate of return based on the natural gas Attrition Study “Attrition Rate Base” and “Attrition Net Operating Income” balances in column (a) adjusted for the revenue growth factor from column (b). </w:t>
      </w:r>
      <w:r w:rsidR="00AF501C" w:rsidRPr="006A743A">
        <w:t xml:space="preserve"> </w:t>
      </w:r>
      <w:r w:rsidRPr="006A743A">
        <w:t xml:space="preserve">The resulting percentage revenue increase above </w:t>
      </w:r>
      <w:r w:rsidRPr="006A743A">
        <w:rPr>
          <w:u w:val="single"/>
        </w:rPr>
        <w:t>201</w:t>
      </w:r>
      <w:r w:rsidR="00137934">
        <w:rPr>
          <w:u w:val="single"/>
        </w:rPr>
        <w:t>5</w:t>
      </w:r>
      <w:r w:rsidRPr="006A743A">
        <w:t xml:space="preserve"> total general business revenues is </w:t>
      </w:r>
      <w:r w:rsidR="00434CF3">
        <w:t>5</w:t>
      </w:r>
      <w:r w:rsidR="00137934">
        <w:t>.</w:t>
      </w:r>
      <w:r w:rsidR="00434CF3">
        <w:t>86</w:t>
      </w:r>
      <w:r w:rsidRPr="006A743A">
        <w:t xml:space="preserve">%.   </w:t>
      </w:r>
    </w:p>
    <w:p w:rsidR="00374519" w:rsidRPr="006A743A" w:rsidRDefault="00F55970" w:rsidP="00662340">
      <w:pPr>
        <w:suppressAutoHyphens/>
        <w:spacing w:line="480" w:lineRule="auto"/>
        <w:ind w:firstLine="720"/>
        <w:jc w:val="both"/>
        <w:rPr>
          <w:b/>
          <w:bCs/>
        </w:rPr>
      </w:pPr>
      <w:r>
        <w:br w:type="page"/>
      </w:r>
      <w:r w:rsidR="00374519" w:rsidRPr="006A743A">
        <w:rPr>
          <w:b/>
          <w:bCs/>
        </w:rPr>
        <w:t>Q.</w:t>
      </w:r>
      <w:r w:rsidR="00374519" w:rsidRPr="006A743A">
        <w:rPr>
          <w:b/>
          <w:bCs/>
        </w:rPr>
        <w:tab/>
        <w:t>Would you please explain page 2 of Exhibit No._____(</w:t>
      </w:r>
      <w:r w:rsidR="00E27DEB">
        <w:rPr>
          <w:b/>
          <w:bCs/>
        </w:rPr>
        <w:t>EMA-7</w:t>
      </w:r>
      <w:r w:rsidR="00374519" w:rsidRPr="006A743A">
        <w:rPr>
          <w:b/>
          <w:bCs/>
        </w:rPr>
        <w:t>)?</w:t>
      </w:r>
    </w:p>
    <w:p w:rsidR="004D5D80" w:rsidRPr="006A743A" w:rsidRDefault="00374519" w:rsidP="004C6054">
      <w:pPr>
        <w:suppressAutoHyphens/>
        <w:spacing w:line="480" w:lineRule="auto"/>
        <w:jc w:val="both"/>
      </w:pPr>
      <w:r w:rsidRPr="006A743A">
        <w:tab/>
        <w:t>A.</w:t>
      </w:r>
      <w:r w:rsidRPr="006A743A">
        <w:tab/>
        <w:t xml:space="preserve">Yes.  Page 2 shows the proposed Cost of Capital and Capital Structure </w:t>
      </w:r>
      <w:r w:rsidR="00434CF3">
        <w:t xml:space="preserve">agreed-to by the Parties per the Partial Settlement, providing a </w:t>
      </w:r>
      <w:r w:rsidRPr="006A743A">
        <w:t xml:space="preserve">weighted average cost of capital </w:t>
      </w:r>
      <w:r w:rsidR="00434CF3">
        <w:t xml:space="preserve">of </w:t>
      </w:r>
      <w:r w:rsidRPr="006A743A">
        <w:t>7.</w:t>
      </w:r>
      <w:r w:rsidR="00434CF3">
        <w:t>29</w:t>
      </w:r>
      <w:r w:rsidRPr="006A743A">
        <w:t xml:space="preserve">%. </w:t>
      </w:r>
    </w:p>
    <w:p w:rsidR="00374519" w:rsidRPr="006A743A" w:rsidRDefault="00374519" w:rsidP="004C6054">
      <w:pPr>
        <w:suppressAutoHyphens/>
        <w:spacing w:line="480" w:lineRule="auto"/>
        <w:ind w:firstLine="720"/>
        <w:jc w:val="both"/>
        <w:rPr>
          <w:b/>
          <w:bCs/>
        </w:rPr>
      </w:pPr>
      <w:r w:rsidRPr="006A743A">
        <w:rPr>
          <w:b/>
          <w:bCs/>
        </w:rPr>
        <w:t>Q.</w:t>
      </w:r>
      <w:r w:rsidRPr="006A743A">
        <w:rPr>
          <w:b/>
          <w:bCs/>
        </w:rPr>
        <w:tab/>
        <w:t>What does page 3 of Exhibit No._____(</w:t>
      </w:r>
      <w:r w:rsidR="00E27DEB">
        <w:rPr>
          <w:b/>
          <w:bCs/>
        </w:rPr>
        <w:t>EMA-7</w:t>
      </w:r>
      <w:r w:rsidRPr="006A743A">
        <w:rPr>
          <w:b/>
          <w:bCs/>
        </w:rPr>
        <w:t>) show?</w:t>
      </w:r>
    </w:p>
    <w:p w:rsidR="00374519" w:rsidRPr="006A743A" w:rsidRDefault="00374519" w:rsidP="004C6054">
      <w:pPr>
        <w:suppressAutoHyphens/>
        <w:spacing w:line="480" w:lineRule="auto"/>
        <w:ind w:firstLine="720"/>
        <w:jc w:val="both"/>
      </w:pPr>
      <w:r w:rsidRPr="006A743A">
        <w:t>A.</w:t>
      </w:r>
      <w:r w:rsidRPr="006A743A">
        <w:tab/>
        <w:t xml:space="preserve">Page 3 shows the derivation of the natural gas </w:t>
      </w:r>
      <w:r w:rsidR="00E95AD1" w:rsidRPr="006A743A">
        <w:t>net-operating-income-to-</w:t>
      </w:r>
      <w:r w:rsidR="00626358">
        <w:t>g</w:t>
      </w:r>
      <w:r w:rsidR="00E95AD1" w:rsidRPr="006A743A">
        <w:t>ross-revenue conversion factor</w:t>
      </w:r>
      <w:r w:rsidRPr="006A743A">
        <w:t xml:space="preserve">.  The conversion factor takes into account uncollectible accounts receivable, Commission fees and </w:t>
      </w:r>
      <w:smartTag w:uri="urn:schemas-microsoft-com:office:smarttags" w:element="place">
        <w:smartTag w:uri="urn:schemas-microsoft-com:office:smarttags" w:element="PlaceName">
          <w:r w:rsidRPr="006A743A">
            <w:t>Washington</w:t>
          </w:r>
        </w:smartTag>
        <w:r w:rsidRPr="006A743A">
          <w:t xml:space="preserve"> </w:t>
        </w:r>
        <w:smartTag w:uri="urn:schemas-microsoft-com:office:smarttags" w:element="PlaceType">
          <w:r w:rsidRPr="006A743A">
            <w:t>State</w:t>
          </w:r>
        </w:smartTag>
      </w:smartTag>
      <w:r w:rsidRPr="006A743A">
        <w:t xml:space="preserve"> excise taxes.  Federal income taxes are reflected at 35%.</w:t>
      </w:r>
    </w:p>
    <w:p w:rsidR="00374519" w:rsidRPr="006A743A" w:rsidRDefault="00374519" w:rsidP="004C6054">
      <w:pPr>
        <w:suppressAutoHyphens/>
        <w:spacing w:line="480" w:lineRule="auto"/>
        <w:ind w:firstLine="720"/>
        <w:jc w:val="both"/>
        <w:rPr>
          <w:b/>
          <w:bCs/>
        </w:rPr>
      </w:pPr>
      <w:r w:rsidRPr="006A743A">
        <w:rPr>
          <w:b/>
          <w:bCs/>
        </w:rPr>
        <w:t>Q.</w:t>
      </w:r>
      <w:r w:rsidRPr="006A743A">
        <w:rPr>
          <w:b/>
          <w:bCs/>
        </w:rPr>
        <w:tab/>
        <w:t>Would you now please explain pages 4 through 1</w:t>
      </w:r>
      <w:r w:rsidR="00434CF3">
        <w:rPr>
          <w:b/>
          <w:bCs/>
        </w:rPr>
        <w:t>3</w:t>
      </w:r>
      <w:r w:rsidRPr="006A743A">
        <w:rPr>
          <w:b/>
          <w:bCs/>
        </w:rPr>
        <w:t xml:space="preserve"> of Exhibit No.____(</w:t>
      </w:r>
      <w:r w:rsidR="00E27DEB">
        <w:rPr>
          <w:b/>
          <w:bCs/>
        </w:rPr>
        <w:t>EMA-7</w:t>
      </w:r>
      <w:r w:rsidRPr="006A743A">
        <w:rPr>
          <w:b/>
          <w:bCs/>
        </w:rPr>
        <w:t>)?</w:t>
      </w:r>
    </w:p>
    <w:p w:rsidR="00374519" w:rsidRDefault="00374519" w:rsidP="004C6054">
      <w:pPr>
        <w:suppressAutoHyphens/>
        <w:spacing w:line="480" w:lineRule="auto"/>
        <w:jc w:val="both"/>
      </w:pPr>
      <w:r w:rsidRPr="006A743A">
        <w:tab/>
        <w:t>A.</w:t>
      </w:r>
      <w:r w:rsidRPr="006A743A">
        <w:tab/>
        <w:t xml:space="preserve">Yes.  </w:t>
      </w:r>
      <w:r w:rsidR="003A4761" w:rsidRPr="006A743A">
        <w:t>P</w:t>
      </w:r>
      <w:r w:rsidRPr="006A743A">
        <w:t>ages 4 and 5 provide Avista’s 201</w:t>
      </w:r>
      <w:r w:rsidR="00137934">
        <w:t>6</w:t>
      </w:r>
      <w:r w:rsidRPr="006A743A">
        <w:t xml:space="preserve"> natural gas attrition revenue requirement calculation; pages 6 and 7 provide natural gas cost and revenue trend </w:t>
      </w:r>
      <w:r w:rsidR="008828C8" w:rsidRPr="006A743A">
        <w:t>data</w:t>
      </w:r>
      <w:r w:rsidRPr="006A743A">
        <w:t xml:space="preserve"> for the period 200</w:t>
      </w:r>
      <w:r w:rsidR="00137934">
        <w:t>1</w:t>
      </w:r>
      <w:r w:rsidRPr="006A743A">
        <w:t>-201</w:t>
      </w:r>
      <w:r w:rsidR="00A01BC8">
        <w:t>4</w:t>
      </w:r>
      <w:r w:rsidRPr="006A743A">
        <w:t xml:space="preserve"> per historical Commission Basis results of operations; page 8 provides </w:t>
      </w:r>
      <w:r w:rsidR="003A4761" w:rsidRPr="006A743A">
        <w:t>summary data</w:t>
      </w:r>
      <w:r w:rsidR="008828C8" w:rsidRPr="006A743A">
        <w:t xml:space="preserve"> </w:t>
      </w:r>
      <w:r w:rsidR="00A01BC8">
        <w:t xml:space="preserve">used for </w:t>
      </w:r>
      <w:r w:rsidR="003A4761" w:rsidRPr="006A743A">
        <w:t xml:space="preserve">the development of the </w:t>
      </w:r>
      <w:r w:rsidR="008828C8" w:rsidRPr="006A743A">
        <w:t xml:space="preserve">escalation factors shown on </w:t>
      </w:r>
      <w:r w:rsidRPr="006A743A">
        <w:t>page 9</w:t>
      </w:r>
      <w:r w:rsidR="00A01BC8">
        <w:t xml:space="preserve"> through 12</w:t>
      </w:r>
      <w:r w:rsidRPr="006A743A">
        <w:t>; page</w:t>
      </w:r>
      <w:r w:rsidR="00A01BC8">
        <w:t>s</w:t>
      </w:r>
      <w:r w:rsidRPr="006A743A">
        <w:t xml:space="preserve"> 9</w:t>
      </w:r>
      <w:r w:rsidR="00A01BC8">
        <w:t xml:space="preserve"> through 12</w:t>
      </w:r>
      <w:r w:rsidRPr="006A743A">
        <w:t xml:space="preserve"> </w:t>
      </w:r>
      <w:r w:rsidR="008828C8" w:rsidRPr="006A743A">
        <w:t>presents</w:t>
      </w:r>
      <w:r w:rsidRPr="006A743A">
        <w:t xml:space="preserve"> the annual natural gas growth rate analysis, </w:t>
      </w:r>
      <w:r w:rsidR="003A4761" w:rsidRPr="006A743A">
        <w:t xml:space="preserve">and includes the </w:t>
      </w:r>
      <w:r w:rsidRPr="006A743A">
        <w:t>escalation factors use</w:t>
      </w:r>
      <w:r w:rsidR="003A4761" w:rsidRPr="006A743A">
        <w:t xml:space="preserve">d </w:t>
      </w:r>
      <w:r w:rsidRPr="006A743A">
        <w:t xml:space="preserve">in the </w:t>
      </w:r>
      <w:r w:rsidR="00B373E3" w:rsidRPr="006A743A">
        <w:t>A</w:t>
      </w:r>
      <w:r w:rsidRPr="006A743A">
        <w:t xml:space="preserve">ttrition </w:t>
      </w:r>
      <w:r w:rsidR="00B373E3" w:rsidRPr="006A743A">
        <w:t>S</w:t>
      </w:r>
      <w:r w:rsidRPr="006A743A">
        <w:t>tudy on pages 4 and 5; and the final page, page 1</w:t>
      </w:r>
      <w:r w:rsidR="00A01BC8">
        <w:t>3</w:t>
      </w:r>
      <w:r w:rsidRPr="006A743A">
        <w:t xml:space="preserve">, shows </w:t>
      </w:r>
      <w:r w:rsidR="00B026F2" w:rsidRPr="006A743A">
        <w:t xml:space="preserve">development of </w:t>
      </w:r>
      <w:r w:rsidRPr="006A743A">
        <w:t xml:space="preserve">the natural gas </w:t>
      </w:r>
      <w:r w:rsidR="00B026F2" w:rsidRPr="006A743A">
        <w:t xml:space="preserve">weighted growth rate </w:t>
      </w:r>
      <w:r w:rsidR="003A4761" w:rsidRPr="006A743A">
        <w:t xml:space="preserve">for the retail revenue </w:t>
      </w:r>
      <w:r w:rsidR="0051070E">
        <w:t>proposed</w:t>
      </w:r>
      <w:r w:rsidR="00662340">
        <w:t xml:space="preserve"> </w:t>
      </w:r>
      <w:r w:rsidR="0051070E">
        <w:t xml:space="preserve"> by UTC Staff per Exhibit No. __(CRM-3) </w:t>
      </w:r>
      <w:r w:rsidR="00B026F2" w:rsidRPr="006A743A">
        <w:t xml:space="preserve">from the </w:t>
      </w:r>
      <w:r w:rsidR="00137934">
        <w:t xml:space="preserve">September </w:t>
      </w:r>
      <w:r w:rsidR="00B026F2" w:rsidRPr="006A743A">
        <w:t>201</w:t>
      </w:r>
      <w:r w:rsidR="00137934">
        <w:t>4</w:t>
      </w:r>
      <w:r w:rsidR="00B026F2" w:rsidRPr="006A743A">
        <w:t xml:space="preserve"> to the 201</w:t>
      </w:r>
      <w:r w:rsidR="00137934">
        <w:t>6</w:t>
      </w:r>
      <w:r w:rsidR="00B026F2" w:rsidRPr="006A743A">
        <w:t xml:space="preserve"> rate</w:t>
      </w:r>
      <w:r w:rsidR="00E45DBD">
        <w:t xml:space="preserve"> </w:t>
      </w:r>
      <w:r w:rsidR="00662340">
        <w:br w:type="page"/>
      </w:r>
      <w:r w:rsidR="00B026F2" w:rsidRPr="006A743A">
        <w:t>period</w:t>
      </w:r>
      <w:r w:rsidR="00F45626">
        <w:t>.</w:t>
      </w:r>
      <w:r w:rsidR="00A2474E">
        <w:rPr>
          <w:rStyle w:val="FootnoteReference"/>
        </w:rPr>
        <w:footnoteReference w:id="7"/>
      </w:r>
      <w:r w:rsidRPr="006A743A">
        <w:t xml:space="preserve"> </w:t>
      </w:r>
    </w:p>
    <w:p w:rsidR="00374519" w:rsidRPr="006A743A" w:rsidRDefault="00374519" w:rsidP="004C6054">
      <w:pPr>
        <w:suppressAutoHyphens/>
        <w:spacing w:line="480" w:lineRule="auto"/>
        <w:ind w:firstLine="720"/>
        <w:jc w:val="both"/>
        <w:rPr>
          <w:b/>
        </w:rPr>
      </w:pPr>
      <w:r w:rsidRPr="006A743A">
        <w:rPr>
          <w:b/>
        </w:rPr>
        <w:t>Q.</w:t>
      </w:r>
      <w:r w:rsidR="001E70C5" w:rsidRPr="006A743A">
        <w:rPr>
          <w:b/>
        </w:rPr>
        <w:tab/>
      </w:r>
      <w:r w:rsidR="00B026F2" w:rsidRPr="006A743A">
        <w:rPr>
          <w:b/>
        </w:rPr>
        <w:t xml:space="preserve">You stated before that the natural gas </w:t>
      </w:r>
      <w:r w:rsidR="00E43676" w:rsidRPr="006A743A">
        <w:rPr>
          <w:b/>
        </w:rPr>
        <w:t>A</w:t>
      </w:r>
      <w:r w:rsidR="00B026F2" w:rsidRPr="006A743A">
        <w:rPr>
          <w:b/>
        </w:rPr>
        <w:t xml:space="preserve">ttrition </w:t>
      </w:r>
      <w:r w:rsidR="00E43676" w:rsidRPr="006A743A">
        <w:rPr>
          <w:b/>
        </w:rPr>
        <w:t>S</w:t>
      </w:r>
      <w:r w:rsidR="00B026F2" w:rsidRPr="006A743A">
        <w:rPr>
          <w:b/>
        </w:rPr>
        <w:t xml:space="preserve">tudy is very similar to the electric </w:t>
      </w:r>
      <w:r w:rsidR="00E43676" w:rsidRPr="006A743A">
        <w:rPr>
          <w:b/>
        </w:rPr>
        <w:t>A</w:t>
      </w:r>
      <w:r w:rsidR="00B026F2" w:rsidRPr="006A743A">
        <w:rPr>
          <w:b/>
        </w:rPr>
        <w:t xml:space="preserve">ttrition </w:t>
      </w:r>
      <w:r w:rsidR="00E43676" w:rsidRPr="006A743A">
        <w:rPr>
          <w:b/>
        </w:rPr>
        <w:t>S</w:t>
      </w:r>
      <w:r w:rsidR="00B026F2" w:rsidRPr="006A743A">
        <w:rPr>
          <w:b/>
        </w:rPr>
        <w:t xml:space="preserve">tudy.  </w:t>
      </w:r>
      <w:r w:rsidRPr="006A743A">
        <w:rPr>
          <w:b/>
        </w:rPr>
        <w:t xml:space="preserve">Please </w:t>
      </w:r>
      <w:r w:rsidR="00B026F2" w:rsidRPr="006A743A">
        <w:rPr>
          <w:b/>
        </w:rPr>
        <w:t xml:space="preserve">point out any </w:t>
      </w:r>
      <w:r w:rsidR="003A4761" w:rsidRPr="006A743A">
        <w:rPr>
          <w:b/>
        </w:rPr>
        <w:t xml:space="preserve">conceptual </w:t>
      </w:r>
      <w:r w:rsidR="00B026F2" w:rsidRPr="006A743A">
        <w:rPr>
          <w:b/>
        </w:rPr>
        <w:t>differences on</w:t>
      </w:r>
      <w:r w:rsidRPr="006A743A">
        <w:rPr>
          <w:b/>
        </w:rPr>
        <w:t xml:space="preserve"> pages 4 </w:t>
      </w:r>
      <w:r w:rsidR="00137934">
        <w:rPr>
          <w:b/>
        </w:rPr>
        <w:t>through 1</w:t>
      </w:r>
      <w:r w:rsidR="00F45626">
        <w:rPr>
          <w:b/>
        </w:rPr>
        <w:t>3</w:t>
      </w:r>
      <w:r w:rsidRPr="006A743A">
        <w:rPr>
          <w:b/>
        </w:rPr>
        <w:t xml:space="preserve"> of </w:t>
      </w:r>
      <w:r w:rsidRPr="006A743A">
        <w:rPr>
          <w:b/>
          <w:bCs/>
        </w:rPr>
        <w:t>Exhibit No. __(</w:t>
      </w:r>
      <w:r w:rsidR="00E27DEB">
        <w:rPr>
          <w:b/>
          <w:bCs/>
        </w:rPr>
        <w:t>EMA-7</w:t>
      </w:r>
      <w:r w:rsidRPr="006A743A">
        <w:rPr>
          <w:b/>
          <w:bCs/>
        </w:rPr>
        <w:t>)</w:t>
      </w:r>
      <w:r w:rsidR="00B026F2" w:rsidRPr="006A743A">
        <w:rPr>
          <w:b/>
          <w:bCs/>
        </w:rPr>
        <w:t xml:space="preserve"> compared to the same pages of Exhibit No.___(</w:t>
      </w:r>
      <w:r w:rsidR="00E27DEB">
        <w:rPr>
          <w:b/>
          <w:bCs/>
        </w:rPr>
        <w:t>EMA-6</w:t>
      </w:r>
      <w:r w:rsidR="00B026F2" w:rsidRPr="006A743A">
        <w:rPr>
          <w:b/>
          <w:bCs/>
        </w:rPr>
        <w:t>)</w:t>
      </w:r>
      <w:r w:rsidR="003E3E49" w:rsidRPr="006A743A">
        <w:rPr>
          <w:b/>
          <w:bCs/>
        </w:rPr>
        <w:t>.</w:t>
      </w:r>
    </w:p>
    <w:p w:rsidR="0068785C" w:rsidRPr="006A743A" w:rsidRDefault="00374519" w:rsidP="004C6054">
      <w:pPr>
        <w:suppressAutoHyphens/>
        <w:spacing w:line="480" w:lineRule="auto"/>
        <w:ind w:firstLine="720"/>
        <w:jc w:val="both"/>
      </w:pPr>
      <w:r w:rsidRPr="006A743A">
        <w:t>A.</w:t>
      </w:r>
      <w:r w:rsidR="00DB1E8E" w:rsidRPr="006A743A">
        <w:tab/>
        <w:t>Gas costs are treated somewhat differently in the Company’s natural gas rates compared to electric rates because of the Purchased Gas Adjustment (PGA) process.</w:t>
      </w:r>
      <w:r w:rsidR="006939DB" w:rsidRPr="006A743A">
        <w:t xml:space="preserve">  The cost of gas provided to natural gas customers is tracked through a deferral process</w:t>
      </w:r>
      <w:r w:rsidR="0061120A">
        <w:t>,</w:t>
      </w:r>
      <w:r w:rsidR="006939DB" w:rsidRPr="006A743A">
        <w:t xml:space="preserve"> which means that</w:t>
      </w:r>
      <w:r w:rsidR="0061120A">
        <w:t>,</w:t>
      </w:r>
      <w:r w:rsidR="006939DB" w:rsidRPr="006A743A">
        <w:t xml:space="preserve"> to the extent actual costs of gas are higher or lower than the amount included in customer revenue, the difference </w:t>
      </w:r>
      <w:r w:rsidR="003A4761" w:rsidRPr="006A743A">
        <w:t>is</w:t>
      </w:r>
      <w:r w:rsidR="006939DB" w:rsidRPr="006A743A">
        <w:t xml:space="preserve"> set aside to be examined in the annual PGA filings</w:t>
      </w:r>
      <w:r w:rsidR="003A4761" w:rsidRPr="006A743A">
        <w:t>,</w:t>
      </w:r>
      <w:r w:rsidR="006939DB" w:rsidRPr="006A743A">
        <w:t xml:space="preserve"> where </w:t>
      </w:r>
      <w:r w:rsidR="00512CD5" w:rsidRPr="006A743A">
        <w:t xml:space="preserve">updated gas costs </w:t>
      </w:r>
      <w:r w:rsidR="003A4761" w:rsidRPr="006A743A">
        <w:t>are</w:t>
      </w:r>
      <w:r w:rsidR="00512CD5" w:rsidRPr="006A743A">
        <w:t xml:space="preserve"> determined.  The gas cost portion of rates is now entirely included in Schedule 150</w:t>
      </w:r>
      <w:r w:rsidR="0061120A">
        <w:t>, which</w:t>
      </w:r>
      <w:r w:rsidR="00512CD5" w:rsidRPr="006A743A">
        <w:t xml:space="preserve"> will not be changed as part of this general rate case</w:t>
      </w:r>
      <w:r w:rsidR="003A4761" w:rsidRPr="006A743A">
        <w:t>, and there is no proposed change to gas costs through the Attrition Study.</w:t>
      </w:r>
      <w:r w:rsidR="00512CD5" w:rsidRPr="006A743A">
        <w:t xml:space="preserve">  </w:t>
      </w:r>
    </w:p>
    <w:p w:rsidR="00512CD5" w:rsidRDefault="00512CD5" w:rsidP="004C6054">
      <w:pPr>
        <w:suppressAutoHyphens/>
        <w:spacing w:line="480" w:lineRule="auto"/>
        <w:ind w:firstLine="720"/>
        <w:jc w:val="both"/>
      </w:pPr>
      <w:r w:rsidRPr="006A743A">
        <w:t xml:space="preserve">Pages 4 and 5 </w:t>
      </w:r>
      <w:r w:rsidR="003A4761" w:rsidRPr="006A743A">
        <w:t>include</w:t>
      </w:r>
      <w:r w:rsidRPr="006A743A">
        <w:t xml:space="preserve"> the </w:t>
      </w:r>
      <w:r w:rsidR="00137934">
        <w:rPr>
          <w:b/>
        </w:rPr>
        <w:t>Regulatory Amortization</w:t>
      </w:r>
      <w:r w:rsidRPr="006A743A">
        <w:rPr>
          <w:b/>
        </w:rPr>
        <w:t xml:space="preserve"> Adjustment</w:t>
      </w:r>
      <w:r w:rsidRPr="006A743A">
        <w:t xml:space="preserve"> in column </w:t>
      </w:r>
      <w:r w:rsidRPr="006A743A">
        <w:rPr>
          <w:b/>
        </w:rPr>
        <w:t xml:space="preserve">[B], </w:t>
      </w:r>
      <w:r w:rsidR="00D3270B">
        <w:rPr>
          <w:b/>
        </w:rPr>
        <w:t xml:space="preserve">Pro Forma </w:t>
      </w:r>
      <w:r w:rsidR="00686352" w:rsidRPr="006A743A">
        <w:rPr>
          <w:b/>
        </w:rPr>
        <w:t>Revenue Normalization Adjustment</w:t>
      </w:r>
      <w:r w:rsidR="00686352" w:rsidRPr="006A743A">
        <w:t xml:space="preserve"> in column</w:t>
      </w:r>
      <w:r w:rsidR="00023718">
        <w:t xml:space="preserve"> </w:t>
      </w:r>
      <w:r w:rsidR="00686352" w:rsidRPr="006A743A">
        <w:rPr>
          <w:b/>
        </w:rPr>
        <w:t>[C],</w:t>
      </w:r>
      <w:r w:rsidR="00686352" w:rsidRPr="006A743A">
        <w:t xml:space="preserve"> and the exclusion of </w:t>
      </w:r>
      <w:r w:rsidR="00686352" w:rsidRPr="006A743A">
        <w:rPr>
          <w:b/>
        </w:rPr>
        <w:t>Normalized Gas Costs and Revenues</w:t>
      </w:r>
      <w:r w:rsidR="00686352" w:rsidRPr="006A743A">
        <w:t xml:space="preserve"> is in column </w:t>
      </w:r>
      <w:r w:rsidR="00686352" w:rsidRPr="006A743A">
        <w:rPr>
          <w:b/>
        </w:rPr>
        <w:t>[D]</w:t>
      </w:r>
      <w:r w:rsidR="00686352" w:rsidRPr="006A743A">
        <w:t xml:space="preserve">.  The weighted revenue growth </w:t>
      </w:r>
      <w:r w:rsidR="00B15DAA" w:rsidRPr="006A743A">
        <w:t xml:space="preserve">escalation </w:t>
      </w:r>
      <w:r w:rsidR="00686352" w:rsidRPr="006A743A">
        <w:t>factors on page 1</w:t>
      </w:r>
      <w:r w:rsidR="00F45626">
        <w:t>3</w:t>
      </w:r>
      <w:r w:rsidR="00686352" w:rsidRPr="006A743A">
        <w:t xml:space="preserve"> include PGA revenue, therefore in order to determine the</w:t>
      </w:r>
      <w:r w:rsidR="00662340">
        <w:br w:type="page"/>
        <w:t xml:space="preserve"> correct </w:t>
      </w:r>
      <w:r w:rsidR="00686352" w:rsidRPr="006A743A">
        <w:t xml:space="preserve">Revenue Growth in column [J] (pages 4 and 5), the gas cost related retail revenue was added back to the base before multiplying it by the </w:t>
      </w:r>
      <w:r w:rsidR="00AC0C85" w:rsidRPr="006A743A">
        <w:rPr>
          <w:b/>
        </w:rPr>
        <w:t>E</w:t>
      </w:r>
      <w:r w:rsidR="00686352" w:rsidRPr="006A743A">
        <w:rPr>
          <w:b/>
        </w:rPr>
        <w:t xml:space="preserve">scalation </w:t>
      </w:r>
      <w:r w:rsidR="00AC0C85" w:rsidRPr="006A743A">
        <w:rPr>
          <w:b/>
        </w:rPr>
        <w:t>F</w:t>
      </w:r>
      <w:r w:rsidR="00686352" w:rsidRPr="006A743A">
        <w:rPr>
          <w:b/>
        </w:rPr>
        <w:t>actor</w:t>
      </w:r>
      <w:r w:rsidR="00686352" w:rsidRPr="006A743A">
        <w:t xml:space="preserve"> in column </w:t>
      </w:r>
      <w:r w:rsidR="00686352" w:rsidRPr="006A743A">
        <w:rPr>
          <w:b/>
        </w:rPr>
        <w:t>[F]</w:t>
      </w:r>
      <w:r w:rsidR="00422C84">
        <w:rPr>
          <w:rStyle w:val="FootnoteReference"/>
          <w:b/>
        </w:rPr>
        <w:footnoteReference w:id="8"/>
      </w:r>
      <w:r w:rsidR="00686352" w:rsidRPr="006A743A">
        <w:t xml:space="preserve">.  </w:t>
      </w:r>
      <w:r w:rsidR="00B15DAA" w:rsidRPr="006A743A">
        <w:t>Transportation revenue growth was treated as a separate category, resulting in two revenue growth escalation factors</w:t>
      </w:r>
      <w:r w:rsidR="00A74B84">
        <w:t>:</w:t>
      </w:r>
      <w:r w:rsidR="00B15DAA" w:rsidRPr="006A743A">
        <w:t xml:space="preserve"> one for sales and one for transportation.  </w:t>
      </w:r>
      <w:r w:rsidR="00686352" w:rsidRPr="006A743A">
        <w:t>Otherwise</w:t>
      </w:r>
      <w:r w:rsidR="0061120A">
        <w:t>,</w:t>
      </w:r>
      <w:r w:rsidR="00686352" w:rsidRPr="006A743A">
        <w:t xml:space="preserve"> in all material respects</w:t>
      </w:r>
      <w:r w:rsidR="00A74B84">
        <w:t>,</w:t>
      </w:r>
      <w:r w:rsidR="00686352" w:rsidRPr="006A743A">
        <w:t xml:space="preserve"> the process is the same as </w:t>
      </w:r>
      <w:r w:rsidR="00A74B84">
        <w:t xml:space="preserve">in </w:t>
      </w:r>
      <w:r w:rsidR="00686352" w:rsidRPr="006A743A">
        <w:t xml:space="preserve">the </w:t>
      </w:r>
      <w:r w:rsidR="00DB51FA" w:rsidRPr="006A743A">
        <w:t xml:space="preserve">electric </w:t>
      </w:r>
      <w:r w:rsidR="00E43676" w:rsidRPr="006A743A">
        <w:t>A</w:t>
      </w:r>
      <w:r w:rsidR="00DB51FA" w:rsidRPr="006A743A">
        <w:t xml:space="preserve">ttrition </w:t>
      </w:r>
      <w:r w:rsidR="00E43676" w:rsidRPr="006A743A">
        <w:t>S</w:t>
      </w:r>
      <w:r w:rsidR="00DB51FA" w:rsidRPr="006A743A">
        <w:t>tudy.</w:t>
      </w:r>
    </w:p>
    <w:p w:rsidR="00404F29" w:rsidRDefault="00404F29" w:rsidP="00F45626">
      <w:pPr>
        <w:suppressAutoHyphens/>
        <w:spacing w:line="480" w:lineRule="auto"/>
        <w:ind w:firstLine="720"/>
        <w:jc w:val="both"/>
        <w:rPr>
          <w:b/>
          <w:bCs/>
        </w:rPr>
      </w:pPr>
      <w:r w:rsidRPr="00E014C4">
        <w:rPr>
          <w:b/>
          <w:bCs/>
        </w:rPr>
        <w:t>Q.</w:t>
      </w:r>
      <w:r w:rsidRPr="00E014C4">
        <w:rPr>
          <w:b/>
          <w:bCs/>
        </w:rPr>
        <w:tab/>
        <w:t xml:space="preserve">Please explain the </w:t>
      </w:r>
      <w:r w:rsidR="00F45626">
        <w:rPr>
          <w:b/>
          <w:bCs/>
        </w:rPr>
        <w:t>R</w:t>
      </w:r>
      <w:r w:rsidRPr="00E014C4">
        <w:rPr>
          <w:b/>
          <w:bCs/>
        </w:rPr>
        <w:t xml:space="preserve">egulatory </w:t>
      </w:r>
      <w:r w:rsidR="00F45626">
        <w:rPr>
          <w:b/>
          <w:bCs/>
        </w:rPr>
        <w:t>A</w:t>
      </w:r>
      <w:r w:rsidRPr="00E014C4">
        <w:rPr>
          <w:b/>
          <w:bCs/>
        </w:rPr>
        <w:t xml:space="preserve">mortization </w:t>
      </w:r>
      <w:r w:rsidR="00F45626">
        <w:rPr>
          <w:b/>
          <w:bCs/>
        </w:rPr>
        <w:t>A</w:t>
      </w:r>
      <w:r w:rsidRPr="00E014C4">
        <w:rPr>
          <w:b/>
          <w:bCs/>
        </w:rPr>
        <w:t>djustment inc</w:t>
      </w:r>
      <w:r w:rsidR="00B074FE">
        <w:rPr>
          <w:b/>
          <w:bCs/>
        </w:rPr>
        <w:t>luded in column [B</w:t>
      </w:r>
      <w:r w:rsidRPr="00E014C4">
        <w:rPr>
          <w:b/>
          <w:bCs/>
        </w:rPr>
        <w:t xml:space="preserve">].     </w:t>
      </w:r>
    </w:p>
    <w:p w:rsidR="005F7320" w:rsidRDefault="00404F29" w:rsidP="00A74B84">
      <w:pPr>
        <w:suppressAutoHyphens/>
        <w:spacing w:line="480" w:lineRule="auto"/>
        <w:ind w:firstLine="720"/>
        <w:jc w:val="both"/>
        <w:rPr>
          <w:bCs/>
        </w:rPr>
      </w:pPr>
      <w:r w:rsidRPr="00404F29">
        <w:rPr>
          <w:bCs/>
        </w:rPr>
        <w:t>A.</w:t>
      </w:r>
      <w:r w:rsidRPr="00404F29">
        <w:rPr>
          <w:bCs/>
        </w:rPr>
        <w:tab/>
      </w:r>
      <w:r w:rsidR="00F45626">
        <w:rPr>
          <w:bCs/>
        </w:rPr>
        <w:t>C</w:t>
      </w:r>
      <w:r>
        <w:rPr>
          <w:bCs/>
        </w:rPr>
        <w:t xml:space="preserve">olumn </w:t>
      </w:r>
      <w:r w:rsidRPr="00C87093">
        <w:rPr>
          <w:b/>
          <w:bCs/>
        </w:rPr>
        <w:t>[</w:t>
      </w:r>
      <w:r w:rsidR="00E45DBD">
        <w:rPr>
          <w:b/>
          <w:bCs/>
        </w:rPr>
        <w:t>B</w:t>
      </w:r>
      <w:r w:rsidRPr="00C87093">
        <w:rPr>
          <w:b/>
          <w:bCs/>
        </w:rPr>
        <w:t>]</w:t>
      </w:r>
      <w:r>
        <w:rPr>
          <w:bCs/>
        </w:rPr>
        <w:t xml:space="preserve"> </w:t>
      </w:r>
      <w:r w:rsidR="00F45626">
        <w:rPr>
          <w:bCs/>
        </w:rPr>
        <w:t>includes t</w:t>
      </w:r>
      <w:r>
        <w:rPr>
          <w:bCs/>
        </w:rPr>
        <w:t xml:space="preserve">he regulatory amortization </w:t>
      </w:r>
      <w:r w:rsidR="00C87093">
        <w:t xml:space="preserve">expense associated with </w:t>
      </w:r>
      <w:r w:rsidR="00F45626">
        <w:t xml:space="preserve">the </w:t>
      </w:r>
      <w:r w:rsidR="00C87093">
        <w:t xml:space="preserve">proposed two-year amortization of the </w:t>
      </w:r>
      <w:r w:rsidR="00C87093" w:rsidRPr="00AC7241">
        <w:t>deferr</w:t>
      </w:r>
      <w:r w:rsidR="00C87093">
        <w:t xml:space="preserve">ed </w:t>
      </w:r>
      <w:r w:rsidR="00C87093" w:rsidRPr="00AC7241">
        <w:t>natural gas revenue requirement associated with the Company’s Pro</w:t>
      </w:r>
      <w:r w:rsidR="00C87093">
        <w:t xml:space="preserve">ject Compass Customer Information System (CIS) </w:t>
      </w:r>
      <w:r w:rsidR="00C87093" w:rsidRPr="00AC7241">
        <w:t>for calendar year 2015</w:t>
      </w:r>
      <w:r w:rsidR="00C87093">
        <w:t xml:space="preserve">.  </w:t>
      </w:r>
      <w:r w:rsidR="00C87093" w:rsidRPr="002E714B">
        <w:t xml:space="preserve">The effect of this adjustment </w:t>
      </w:r>
      <w:r w:rsidR="00C87093">
        <w:t>increases regulatory amortization expense</w:t>
      </w:r>
      <w:r w:rsidR="00A74B84">
        <w:t xml:space="preserve"> </w:t>
      </w:r>
      <w:r w:rsidR="00AF2102">
        <w:t>b</w:t>
      </w:r>
      <w:r w:rsidR="00C87093">
        <w:t>y $1.14 million.</w:t>
      </w:r>
      <w:r w:rsidR="00C87093">
        <w:rPr>
          <w:rStyle w:val="FootnoteReference"/>
        </w:rPr>
        <w:footnoteReference w:id="9"/>
      </w:r>
      <w:r w:rsidR="005F7320">
        <w:t xml:space="preserve">  </w:t>
      </w:r>
      <w:r w:rsidR="005F7320">
        <w:rPr>
          <w:bCs/>
        </w:rPr>
        <w:t xml:space="preserve">The resulting </w:t>
      </w:r>
      <w:r w:rsidR="005F7320" w:rsidRPr="00A171CA">
        <w:rPr>
          <w:bCs/>
        </w:rPr>
        <w:t xml:space="preserve">regulatory amortization </w:t>
      </w:r>
      <w:r w:rsidR="005F7320">
        <w:rPr>
          <w:bCs/>
        </w:rPr>
        <w:t>represent</w:t>
      </w:r>
      <w:r w:rsidR="00D62BFF">
        <w:rPr>
          <w:bCs/>
        </w:rPr>
        <w:t>s</w:t>
      </w:r>
      <w:r w:rsidR="005F7320">
        <w:rPr>
          <w:bCs/>
        </w:rPr>
        <w:t xml:space="preserve"> the balance expected during the 2016 rate </w:t>
      </w:r>
      <w:r w:rsidR="00B074FE">
        <w:rPr>
          <w:bCs/>
        </w:rPr>
        <w:t>year;</w:t>
      </w:r>
      <w:r w:rsidR="005F7320">
        <w:rPr>
          <w:bCs/>
        </w:rPr>
        <w:t xml:space="preserve"> therefore, no escalation occurs for th</w:t>
      </w:r>
      <w:r w:rsidR="00475E52">
        <w:rPr>
          <w:bCs/>
        </w:rPr>
        <w:t>is balance</w:t>
      </w:r>
      <w:r w:rsidR="005F7320">
        <w:rPr>
          <w:bCs/>
        </w:rPr>
        <w:t xml:space="preserve"> as can be seen in column [C], page 4, row </w:t>
      </w:r>
      <w:r w:rsidR="00475E52">
        <w:rPr>
          <w:bCs/>
        </w:rPr>
        <w:t>22</w:t>
      </w:r>
      <w:r w:rsidR="005F7320">
        <w:rPr>
          <w:bCs/>
        </w:rPr>
        <w:t>.</w:t>
      </w:r>
    </w:p>
    <w:p w:rsidR="00FC527F" w:rsidRDefault="00B074FE" w:rsidP="00F45626">
      <w:pPr>
        <w:suppressAutoHyphens/>
        <w:spacing w:line="480" w:lineRule="auto"/>
        <w:ind w:firstLine="720"/>
        <w:jc w:val="both"/>
      </w:pPr>
      <w:r>
        <w:t>After the Trended 2016 Non-energy Cost in column [H], are columns (similar to the electric Attrition Study), for Pro Formed Gas Costs and Revenues [I] and Revenue Growth [J]</w:t>
      </w:r>
      <w:r w:rsidR="00310623">
        <w:t xml:space="preserve">.  </w:t>
      </w:r>
      <w:r>
        <w:t xml:space="preserve">Prior to the final </w:t>
      </w:r>
      <w:r w:rsidR="00310623">
        <w:t xml:space="preserve">2016 </w:t>
      </w:r>
      <w:r>
        <w:t>Revenues</w:t>
      </w:r>
      <w:r w:rsidR="00310623">
        <w:t xml:space="preserve"> </w:t>
      </w:r>
      <w:r>
        <w:t xml:space="preserve">and Cost column </w:t>
      </w:r>
      <w:r w:rsidR="00310623">
        <w:t>[M],</w:t>
      </w:r>
      <w:r>
        <w:t xml:space="preserve"> are </w:t>
      </w:r>
      <w:r w:rsidR="00310623">
        <w:t>two additional, “After Attrition” columns: column [K] After Attrition Adjustment Project Compass (similar to the</w:t>
      </w:r>
      <w:r w:rsidR="00C82447">
        <w:br w:type="page"/>
      </w:r>
      <w:r w:rsidR="00310623">
        <w:t xml:space="preserve">electric Attrition Study), which includes the total Washington gas share of Project Compass; and column [L] After Attrition Adjustment Atmospheric Testing, which </w:t>
      </w:r>
      <w:r w:rsidR="00F45626">
        <w:t>includes</w:t>
      </w:r>
      <w:r w:rsidR="00F45626" w:rsidRPr="006A743A">
        <w:t xml:space="preserve"> $</w:t>
      </w:r>
      <w:r w:rsidR="00F45626">
        <w:t>7</w:t>
      </w:r>
      <w:r w:rsidR="00310623">
        <w:t>07</w:t>
      </w:r>
      <w:r w:rsidR="00F45626" w:rsidRPr="006A743A">
        <w:t>,000</w:t>
      </w:r>
      <w:r w:rsidR="00310623">
        <w:t xml:space="preserve"> of operating expenses</w:t>
      </w:r>
      <w:r w:rsidR="00F45626" w:rsidRPr="006A743A">
        <w:t xml:space="preserve"> to reflect</w:t>
      </w:r>
      <w:r w:rsidR="00F45626">
        <w:t xml:space="preserve"> atmospheric testing expenses not reflected in the </w:t>
      </w:r>
      <w:r w:rsidR="00310623">
        <w:t xml:space="preserve">December </w:t>
      </w:r>
      <w:r w:rsidR="00F45626">
        <w:t>3</w:t>
      </w:r>
      <w:r w:rsidR="00310623">
        <w:t>1</w:t>
      </w:r>
      <w:r w:rsidR="00F45626">
        <w:t>, 2014, normalized Commission Basis results used as the starting point of the Company’s Attrition Analysis.</w:t>
      </w:r>
      <w:r w:rsidR="00F45626">
        <w:rPr>
          <w:rStyle w:val="FootnoteReference"/>
        </w:rPr>
        <w:footnoteReference w:id="10"/>
      </w:r>
      <w:r w:rsidR="00F45626">
        <w:t xml:space="preserve"> </w:t>
      </w:r>
      <w:r w:rsidR="00FC527F">
        <w:t xml:space="preserve"> </w:t>
      </w:r>
    </w:p>
    <w:p w:rsidR="00FC527F" w:rsidRPr="006A743A" w:rsidRDefault="00FC527F" w:rsidP="00F45626">
      <w:pPr>
        <w:suppressAutoHyphens/>
        <w:spacing w:line="480" w:lineRule="auto"/>
        <w:ind w:firstLine="720"/>
        <w:jc w:val="both"/>
      </w:pPr>
      <w:r>
        <w:t xml:space="preserve">The final column, column [M] shows the 2016 natural gas Attrition Study </w:t>
      </w:r>
      <w:r w:rsidR="00D4489C">
        <w:t>calculation, providing the attrition n</w:t>
      </w:r>
      <w:r>
        <w:t xml:space="preserve">et </w:t>
      </w:r>
      <w:r w:rsidR="00D4489C">
        <w:t>o</w:t>
      </w:r>
      <w:r>
        <w:t xml:space="preserve">perating </w:t>
      </w:r>
      <w:r w:rsidR="00D4489C">
        <w:t>i</w:t>
      </w:r>
      <w:r>
        <w:t xml:space="preserve">ncome </w:t>
      </w:r>
      <w:r w:rsidR="00D4489C">
        <w:t>($14,696</w:t>
      </w:r>
      <w:r w:rsidR="00422C84">
        <w:t>,000</w:t>
      </w:r>
      <w:r w:rsidR="00D4489C">
        <w:t>) and attrition rate base ($287,745</w:t>
      </w:r>
      <w:r w:rsidR="00422C84">
        <w:t>,000</w:t>
      </w:r>
      <w:r w:rsidR="00D4489C">
        <w:t xml:space="preserve">), at lines 31 and </w:t>
      </w:r>
      <w:r>
        <w:t>4</w:t>
      </w:r>
      <w:r w:rsidR="00D4489C">
        <w:t>7, respectively</w:t>
      </w:r>
      <w:r>
        <w:t>.</w:t>
      </w:r>
      <w:r w:rsidR="00D4489C">
        <w:t xml:space="preserve">  </w:t>
      </w:r>
      <w:r w:rsidRPr="006A743A">
        <w:t>These totals are brought forward to page 1, column (a), of Exhibit No. __(</w:t>
      </w:r>
      <w:r>
        <w:t>EMA-</w:t>
      </w:r>
      <w:r w:rsidR="00D4489C">
        <w:t>7</w:t>
      </w:r>
      <w:r w:rsidRPr="006A743A">
        <w:t>).</w:t>
      </w:r>
    </w:p>
    <w:sectPr w:rsidR="00FC527F" w:rsidRPr="006A743A" w:rsidSect="004C6054">
      <w:headerReference w:type="default" r:id="rId8"/>
      <w:footerReference w:type="default" r:id="rId9"/>
      <w:headerReference w:type="first" r:id="rId10"/>
      <w:footerReference w:type="first" r:id="rId11"/>
      <w:pgSz w:w="12240" w:h="15840" w:code="1"/>
      <w:pgMar w:top="1440" w:right="1440" w:bottom="1800" w:left="1872" w:header="720" w:footer="576" w:gutter="0"/>
      <w:lnNumType w:countBy="1" w:distance="432"/>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BD" w:rsidRDefault="00E45DBD">
      <w:r>
        <w:separator/>
      </w:r>
    </w:p>
  </w:endnote>
  <w:endnote w:type="continuationSeparator" w:id="0">
    <w:p w:rsidR="00E45DBD" w:rsidRDefault="00E45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BD" w:rsidRPr="00E43676" w:rsidRDefault="00E45DBD">
    <w:pPr>
      <w:pStyle w:val="Footer"/>
      <w:tabs>
        <w:tab w:val="clear" w:pos="4320"/>
        <w:tab w:val="clear" w:pos="8640"/>
        <w:tab w:val="left" w:pos="180"/>
        <w:tab w:val="right" w:pos="9360"/>
      </w:tabs>
      <w:rPr>
        <w:rStyle w:val="PageNumber"/>
      </w:rPr>
    </w:pPr>
    <w:r>
      <w:t xml:space="preserve"> </w:t>
    </w:r>
    <w:r>
      <w:tab/>
    </w:r>
    <w:r w:rsidRPr="00E43676">
      <w:tab/>
      <w:t xml:space="preserve">Page </w:t>
    </w:r>
    <w:r w:rsidR="003A2A19" w:rsidRPr="00E43676">
      <w:rPr>
        <w:rStyle w:val="PageNumber"/>
      </w:rPr>
      <w:fldChar w:fldCharType="begin"/>
    </w:r>
    <w:r w:rsidRPr="00E43676">
      <w:rPr>
        <w:rStyle w:val="PageNumber"/>
      </w:rPr>
      <w:instrText xml:space="preserve"> PAGE </w:instrText>
    </w:r>
    <w:r w:rsidR="003A2A19" w:rsidRPr="00E43676">
      <w:rPr>
        <w:rStyle w:val="PageNumber"/>
      </w:rPr>
      <w:fldChar w:fldCharType="separate"/>
    </w:r>
    <w:r w:rsidR="00C82447">
      <w:rPr>
        <w:rStyle w:val="PageNumber"/>
        <w:noProof/>
      </w:rPr>
      <w:t>17</w:t>
    </w:r>
    <w:r w:rsidR="003A2A19" w:rsidRPr="00E4367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BD" w:rsidRDefault="00E45DB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BD" w:rsidRDefault="00E45DBD">
      <w:r>
        <w:separator/>
      </w:r>
    </w:p>
  </w:footnote>
  <w:footnote w:type="continuationSeparator" w:id="0">
    <w:p w:rsidR="00E45DBD" w:rsidRDefault="00E45DBD">
      <w:r>
        <w:continuationSeparator/>
      </w:r>
    </w:p>
  </w:footnote>
  <w:footnote w:id="1">
    <w:p w:rsidR="00E45DBD" w:rsidRDefault="00E45DBD" w:rsidP="00A8263F">
      <w:pPr>
        <w:pStyle w:val="FootnoteText"/>
        <w:jc w:val="both"/>
      </w:pPr>
      <w:r w:rsidRPr="009C086F">
        <w:rPr>
          <w:rStyle w:val="FootnoteReference"/>
        </w:rPr>
        <w:footnoteRef/>
      </w:r>
      <w:r w:rsidRPr="009C086F">
        <w:t xml:space="preserve"> The Company provided Avista’s twelve-months-ended December 31, 2014 electric and natural gas Commission Basis results and associated workpapers</w:t>
      </w:r>
      <w:r>
        <w:t xml:space="preserve"> to the parties </w:t>
      </w:r>
      <w:r w:rsidRPr="009C086F">
        <w:t>in response to Staff Data Request 130</w:t>
      </w:r>
      <w:r>
        <w:t>.</w:t>
      </w:r>
    </w:p>
  </w:footnote>
  <w:footnote w:id="2">
    <w:p w:rsidR="00E45DBD" w:rsidRDefault="00E45DBD">
      <w:pPr>
        <w:pStyle w:val="FootnoteText"/>
      </w:pPr>
      <w:r w:rsidRPr="009C086F">
        <w:rPr>
          <w:rStyle w:val="FootnoteReference"/>
        </w:rPr>
        <w:footnoteRef/>
      </w:r>
      <w:r w:rsidRPr="009C086F">
        <w:t xml:space="preserve"> This is true even though the Attrition Study is based on results using December 31, 2014 Commission Basis Reports. The rate spread and rate design agreed to by the Parties in the Partial Settlement was based on the twelve months ended September 2014 Billing Determinants included with the Company’s direct filing.  Similarly, the pro forma power supply agreed to by the Parties in the Partial Settlement, subject to update, was based on twelve months ended September 2014 normalized loads.</w:t>
      </w:r>
      <w:r>
        <w:t xml:space="preserve"> </w:t>
      </w:r>
    </w:p>
  </w:footnote>
  <w:footnote w:id="3">
    <w:p w:rsidR="00E45DBD" w:rsidRDefault="00E45DBD" w:rsidP="00A8263F">
      <w:pPr>
        <w:pStyle w:val="FootnoteText"/>
        <w:jc w:val="both"/>
      </w:pPr>
      <w:r>
        <w:rPr>
          <w:rStyle w:val="FootnoteReference"/>
        </w:rPr>
        <w:footnoteRef/>
      </w:r>
      <w:r>
        <w:t xml:space="preserve"> Ms. Smith discusses further in her testimony this reduction in rate base at Exhibit No.__(JSS-1T), pages 8-11, which reduces the following deferred debit asset balances to their appropriate 2016 level: Settlement Exchange Power; Restating CDA Settlement Deferral; Restating CDA/SRR (Spokane River Relicensing) CDR Deferral; Restating Spokane River Deferral; Restating Spokane River PM&amp;E Deferral; Restating Montana Riverbed Lease; and Restating Lancaster Amortization.</w:t>
      </w:r>
    </w:p>
  </w:footnote>
  <w:footnote w:id="4">
    <w:p w:rsidR="00E45DBD" w:rsidRDefault="00E45DBD" w:rsidP="00A8263F">
      <w:pPr>
        <w:pStyle w:val="FootnoteText"/>
        <w:jc w:val="both"/>
      </w:pPr>
      <w:r>
        <w:rPr>
          <w:rStyle w:val="FootnoteReference"/>
        </w:rPr>
        <w:footnoteRef/>
      </w:r>
      <w:r>
        <w:t xml:space="preserve"> Regulatory Amortizations expiring prior to the 2016 rate year include: Lancaster Deferral, </w:t>
      </w:r>
      <w:r w:rsidRPr="0001372F">
        <w:t>2011 Colstrip and Coyote Springs 2 Thermal Maintenance Expense Deferral, BPA Settlement Deferral, Canada to Northern California (CNC) Transmission Project Deferral, LiDAR O&amp;M Expense Deferral and the Wartsila Generator (Small Gen) Expense Deferral.</w:t>
      </w:r>
      <w:r>
        <w:t xml:space="preserve">  Ms. Smith discusses further in her testimony these amortizations at Exhibit No.__(JSS-1T), pages 10, 22 and 23.</w:t>
      </w:r>
    </w:p>
  </w:footnote>
  <w:footnote w:id="5">
    <w:p w:rsidR="00E45DBD" w:rsidRDefault="00E45DBD" w:rsidP="00A8263F">
      <w:pPr>
        <w:pStyle w:val="FootnoteText"/>
        <w:jc w:val="both"/>
      </w:pPr>
      <w:r>
        <w:rPr>
          <w:rStyle w:val="FootnoteReference"/>
        </w:rPr>
        <w:footnoteRef/>
      </w:r>
      <w:r>
        <w:t xml:space="preserve"> Settlement Stipulation, Docket No. UE-140188, Section III. 8, page 5.</w:t>
      </w:r>
    </w:p>
  </w:footnote>
  <w:footnote w:id="6">
    <w:p w:rsidR="00E45DBD" w:rsidRDefault="00E45DBD">
      <w:pPr>
        <w:pStyle w:val="FootnoteText"/>
      </w:pPr>
      <w:r>
        <w:rPr>
          <w:rStyle w:val="FootnoteReference"/>
        </w:rPr>
        <w:footnoteRef/>
      </w:r>
      <w:r>
        <w:t xml:space="preserve"> Commission Staff imputed higher loads for Schedule’s 101, 111/112, and 121/122 than the Company’s forecast.  See natural gas revenue growth discussion.</w:t>
      </w:r>
    </w:p>
  </w:footnote>
  <w:footnote w:id="7">
    <w:p w:rsidR="00E45DBD" w:rsidRDefault="00E45DBD" w:rsidP="00A8263F">
      <w:pPr>
        <w:pStyle w:val="FootnoteText"/>
        <w:jc w:val="both"/>
      </w:pPr>
      <w:r>
        <w:rPr>
          <w:rStyle w:val="FootnoteReference"/>
        </w:rPr>
        <w:footnoteRef/>
      </w:r>
      <w:r>
        <w:t xml:space="preserve"> Avista’s original filed weighted revenue growth percentages used for general business and transportation revenues on page 4 of Exhibit No. __(EMA-3) was -0.24% and -.014%, respectively.  The negative growth rates were mainly due to a reduction in sales volumes expected for Schedule 101 (General Services); and Schedules 146 (Transportation Services) and 148 (Special contracts).  Staff has proposed an increase of 1.19% general business revenues.  In its rebuttal natural gas Attrition Study Avista accepts the general business revenues.  However, Avista included in its natural gas Attrition Study a correction to Staff’s proposed revenue adjustment by including gas costs on the imputed load increase associated with the increased revenues excluded by Staff in error.  The value of this correction was an increase to the natural gas Attrition Study revenue requirement of approximately $1.4 million.   </w:t>
      </w:r>
    </w:p>
  </w:footnote>
  <w:footnote w:id="8">
    <w:p w:rsidR="00422C84" w:rsidRDefault="00422C84">
      <w:pPr>
        <w:pStyle w:val="FootnoteText"/>
      </w:pPr>
      <w:r>
        <w:rPr>
          <w:rStyle w:val="FootnoteReference"/>
        </w:rPr>
        <w:footnoteRef/>
      </w:r>
      <w:r>
        <w:t xml:space="preserve"> Therefore, the revenue growth shown in column [J] includes the revenue associated with the cost of gas.</w:t>
      </w:r>
    </w:p>
  </w:footnote>
  <w:footnote w:id="9">
    <w:p w:rsidR="00E45DBD" w:rsidRPr="004A34A1" w:rsidRDefault="00E45DBD" w:rsidP="00C87093">
      <w:pPr>
        <w:pStyle w:val="FootnoteText"/>
        <w:jc w:val="both"/>
      </w:pPr>
      <w:r w:rsidRPr="004A34A1">
        <w:rPr>
          <w:rStyle w:val="FootnoteReference"/>
        </w:rPr>
        <w:footnoteRef/>
      </w:r>
      <w:r w:rsidRPr="004A34A1">
        <w:t xml:space="preserve"> </w:t>
      </w:r>
      <w:r>
        <w:t>As discussed by Ms. Smith in her direct testimony, Exhibit No. __(JSS-1T), p</w:t>
      </w:r>
      <w:r w:rsidRPr="004A34A1">
        <w:t xml:space="preserve">er </w:t>
      </w:r>
      <w:r>
        <w:t xml:space="preserve">the </w:t>
      </w:r>
      <w:r w:rsidRPr="004A34A1">
        <w:t>Settlement Stipulation</w:t>
      </w:r>
      <w:r>
        <w:t xml:space="preserve"> in </w:t>
      </w:r>
      <w:r w:rsidRPr="004A34A1">
        <w:t>Docket No</w:t>
      </w:r>
      <w:r>
        <w:t xml:space="preserve">. </w:t>
      </w:r>
      <w:r w:rsidRPr="004A34A1">
        <w:t xml:space="preserve">UG-140189, Section III, paragraph 7, page 4-5, the Company </w:t>
      </w:r>
      <w:r>
        <w:t>was</w:t>
      </w:r>
      <w:r w:rsidRPr="004A34A1">
        <w:t xml:space="preserve"> allowed to defer for recovery in a future proceeding the natural gas revenue requirement amount </w:t>
      </w:r>
      <w:r w:rsidRPr="004A34A1">
        <w:rPr>
          <w:rFonts w:eastAsia="Calibri"/>
          <w:bCs/>
        </w:rPr>
        <w:t>associated with the Project Compass Customer Information System for the calendar year 2015, based on the actual costs of the Project at the time the Project goes into service</w:t>
      </w:r>
      <w:r>
        <w:rPr>
          <w:rFonts w:eastAsia="Calibri"/>
          <w:bCs/>
        </w:rPr>
        <w:t xml:space="preserve">.  </w:t>
      </w:r>
      <w:r w:rsidRPr="004A34A1">
        <w:rPr>
          <w:rFonts w:eastAsia="Calibri"/>
          <w:bCs/>
        </w:rPr>
        <w:t xml:space="preserve">The carrying charge on the deferral balance </w:t>
      </w:r>
      <w:r>
        <w:rPr>
          <w:rFonts w:eastAsia="Calibri"/>
          <w:bCs/>
        </w:rPr>
        <w:t>was set at</w:t>
      </w:r>
      <w:r w:rsidRPr="004A34A1">
        <w:rPr>
          <w:rFonts w:eastAsia="Calibri"/>
          <w:bCs/>
        </w:rPr>
        <w:t xml:space="preserve"> 3.25%</w:t>
      </w:r>
      <w:r>
        <w:rPr>
          <w:rFonts w:eastAsia="Calibri"/>
          <w:bCs/>
        </w:rPr>
        <w:t xml:space="preserve">.  </w:t>
      </w:r>
      <w:r>
        <w:t xml:space="preserve">As discussed further by Company witness Mr. Kensok, this project was moved into service in February of 2015.  </w:t>
      </w:r>
    </w:p>
  </w:footnote>
  <w:footnote w:id="10">
    <w:p w:rsidR="00E45DBD" w:rsidRDefault="00E45DBD" w:rsidP="00F45626">
      <w:pPr>
        <w:pStyle w:val="FootnoteText"/>
        <w:jc w:val="both"/>
      </w:pPr>
      <w:r>
        <w:rPr>
          <w:rStyle w:val="FootnoteReference"/>
        </w:rPr>
        <w:footnoteRef/>
      </w:r>
      <w:r>
        <w:t xml:space="preserve"> As discussed by Ms. Smith in Exhibit No. __(JSS-1T), Atmospheric testing is an inspection program which tests for conditions in the Company’s system that could lead to corrosion issues on customer meter sets.  This program is a federally-mandated program that requires the Company to inspect all above ground steel pipe at a frequency not to exceed three-years.  This expense includes the cost of transitioning the Atmospheric Corrosion (AC) inspection cycle from a </w:t>
      </w:r>
      <w:r w:rsidRPr="00D10F13">
        <w:rPr>
          <w:u w:val="single"/>
        </w:rPr>
        <w:t>three-year rotation</w:t>
      </w:r>
      <w:r>
        <w:t xml:space="preserve"> between the Company’s jurisdictions (Washington, Idaho, and Oregon) to an inspection cycle that will be completed one third of each jurisdiction per year. The last inspection cycle in the Washington jurisdiction occurred in 2012.  This adjustment includes $707,000 of additional expense.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BD" w:rsidRPr="00086E7C" w:rsidRDefault="00E45DBD">
    <w:pPr>
      <w:pStyle w:val="Header"/>
      <w:jc w:val="right"/>
    </w:pPr>
    <w:r w:rsidRPr="00086E7C">
      <w:t>Exhibit No. ___(EMA-</w:t>
    </w:r>
    <w:r>
      <w:t>8</w:t>
    </w:r>
    <w:r w:rsidRPr="00086E7C">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BD" w:rsidRDefault="00E45DBD">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C26"/>
    <w:multiLevelType w:val="hybridMultilevel"/>
    <w:tmpl w:val="92647946"/>
    <w:lvl w:ilvl="0" w:tplc="FABA3FD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D5F60"/>
    <w:multiLevelType w:val="hybridMultilevel"/>
    <w:tmpl w:val="6D20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nsid w:val="08B658F6"/>
    <w:multiLevelType w:val="hybridMultilevel"/>
    <w:tmpl w:val="2C1ECDAC"/>
    <w:lvl w:ilvl="0" w:tplc="8F2270E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87E7A"/>
    <w:multiLevelType w:val="hybridMultilevel"/>
    <w:tmpl w:val="17E87E2A"/>
    <w:lvl w:ilvl="0" w:tplc="B9A0C6F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2AD2540"/>
    <w:multiLevelType w:val="hybridMultilevel"/>
    <w:tmpl w:val="8CB2F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AB0FE0"/>
    <w:multiLevelType w:val="hybridMultilevel"/>
    <w:tmpl w:val="778A6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677CEE"/>
    <w:multiLevelType w:val="hybridMultilevel"/>
    <w:tmpl w:val="0A1E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2F784C"/>
    <w:multiLevelType w:val="multilevel"/>
    <w:tmpl w:val="7C401A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4959B0"/>
    <w:multiLevelType w:val="hybridMultilevel"/>
    <w:tmpl w:val="E3DC045A"/>
    <w:lvl w:ilvl="0" w:tplc="6C708A72">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B09FF"/>
    <w:multiLevelType w:val="hybridMultilevel"/>
    <w:tmpl w:val="E9868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5C772D4"/>
    <w:multiLevelType w:val="hybridMultilevel"/>
    <w:tmpl w:val="FCACD694"/>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3">
    <w:nsid w:val="2BEC3623"/>
    <w:multiLevelType w:val="hybridMultilevel"/>
    <w:tmpl w:val="15302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B04645"/>
    <w:multiLevelType w:val="hybridMultilevel"/>
    <w:tmpl w:val="1B0E5B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3B4796"/>
    <w:multiLevelType w:val="hybridMultilevel"/>
    <w:tmpl w:val="998C246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B1004F1"/>
    <w:multiLevelType w:val="hybridMultilevel"/>
    <w:tmpl w:val="9D0A2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8">
    <w:nsid w:val="423D6DE1"/>
    <w:multiLevelType w:val="hybridMultilevel"/>
    <w:tmpl w:val="6358C6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D51FFE"/>
    <w:multiLevelType w:val="hybridMultilevel"/>
    <w:tmpl w:val="0B8C6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A53911"/>
    <w:multiLevelType w:val="hybridMultilevel"/>
    <w:tmpl w:val="0D6E77D0"/>
    <w:lvl w:ilvl="0" w:tplc="94062AA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28A436E"/>
    <w:multiLevelType w:val="hybridMultilevel"/>
    <w:tmpl w:val="40C2A1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8E2174"/>
    <w:multiLevelType w:val="hybridMultilevel"/>
    <w:tmpl w:val="84E4A760"/>
    <w:lvl w:ilvl="0" w:tplc="AEFA44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665DA6"/>
    <w:multiLevelType w:val="hybridMultilevel"/>
    <w:tmpl w:val="242E3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1AD7F8E"/>
    <w:multiLevelType w:val="hybridMultilevel"/>
    <w:tmpl w:val="2E827B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52808B8"/>
    <w:multiLevelType w:val="hybridMultilevel"/>
    <w:tmpl w:val="6B562A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F806BA"/>
    <w:multiLevelType w:val="hybridMultilevel"/>
    <w:tmpl w:val="2C8A0A80"/>
    <w:lvl w:ilvl="0" w:tplc="F19EEE7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F2161B"/>
    <w:multiLevelType w:val="hybridMultilevel"/>
    <w:tmpl w:val="A2F29A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B0154BA"/>
    <w:multiLevelType w:val="hybridMultilevel"/>
    <w:tmpl w:val="5BCC209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236C26"/>
    <w:multiLevelType w:val="hybridMultilevel"/>
    <w:tmpl w:val="707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31A04"/>
    <w:multiLevelType w:val="hybridMultilevel"/>
    <w:tmpl w:val="EDC41612"/>
    <w:lvl w:ilvl="0" w:tplc="AF502B7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ECE1143"/>
    <w:multiLevelType w:val="hybridMultilevel"/>
    <w:tmpl w:val="BD6A1A36"/>
    <w:lvl w:ilvl="0" w:tplc="0409000F">
      <w:start w:val="1"/>
      <w:numFmt w:val="decimal"/>
      <w:lvlText w:val="%1."/>
      <w:lvlJc w:val="left"/>
      <w:pPr>
        <w:ind w:left="908" w:hanging="360"/>
      </w:p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33">
    <w:nsid w:val="7435675E"/>
    <w:multiLevelType w:val="hybridMultilevel"/>
    <w:tmpl w:val="9E70BFE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C0417B"/>
    <w:multiLevelType w:val="hybridMultilevel"/>
    <w:tmpl w:val="7C401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34"/>
  </w:num>
  <w:num w:numId="4">
    <w:abstractNumId w:val="8"/>
  </w:num>
  <w:num w:numId="5">
    <w:abstractNumId w:val="0"/>
  </w:num>
  <w:num w:numId="6">
    <w:abstractNumId w:val="27"/>
  </w:num>
  <w:num w:numId="7">
    <w:abstractNumId w:val="2"/>
  </w:num>
  <w:num w:numId="8">
    <w:abstractNumId w:val="11"/>
  </w:num>
  <w:num w:numId="9">
    <w:abstractNumId w:val="22"/>
  </w:num>
  <w:num w:numId="10">
    <w:abstractNumId w:val="6"/>
  </w:num>
  <w:num w:numId="11">
    <w:abstractNumId w:val="12"/>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4"/>
  </w:num>
  <w:num w:numId="16">
    <w:abstractNumId w:val="1"/>
  </w:num>
  <w:num w:numId="17">
    <w:abstractNumId w:val="16"/>
  </w:num>
  <w:num w:numId="18">
    <w:abstractNumId w:val="26"/>
  </w:num>
  <w:num w:numId="19">
    <w:abstractNumId w:val="28"/>
  </w:num>
  <w:num w:numId="20">
    <w:abstractNumId w:val="21"/>
  </w:num>
  <w:num w:numId="21">
    <w:abstractNumId w:val="19"/>
  </w:num>
  <w:num w:numId="22">
    <w:abstractNumId w:val="15"/>
  </w:num>
  <w:num w:numId="23">
    <w:abstractNumId w:val="18"/>
  </w:num>
  <w:num w:numId="24">
    <w:abstractNumId w:val="32"/>
  </w:num>
  <w:num w:numId="25">
    <w:abstractNumId w:val="13"/>
  </w:num>
  <w:num w:numId="26">
    <w:abstractNumId w:val="10"/>
  </w:num>
  <w:num w:numId="27">
    <w:abstractNumId w:val="5"/>
  </w:num>
  <w:num w:numId="28">
    <w:abstractNumId w:val="7"/>
  </w:num>
  <w:num w:numId="29">
    <w:abstractNumId w:val="4"/>
  </w:num>
  <w:num w:numId="30">
    <w:abstractNumId w:val="9"/>
  </w:num>
  <w:num w:numId="31">
    <w:abstractNumId w:val="14"/>
  </w:num>
  <w:num w:numId="32">
    <w:abstractNumId w:val="33"/>
  </w:num>
  <w:num w:numId="33">
    <w:abstractNumId w:val="29"/>
  </w:num>
  <w:num w:numId="34">
    <w:abstractNumId w:val="20"/>
  </w:num>
  <w:num w:numId="35">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3313"/>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412C"/>
    <w:rsid w:val="000026CD"/>
    <w:rsid w:val="000033D2"/>
    <w:rsid w:val="000054B3"/>
    <w:rsid w:val="00006C74"/>
    <w:rsid w:val="00007346"/>
    <w:rsid w:val="00007C6D"/>
    <w:rsid w:val="00010803"/>
    <w:rsid w:val="00010D2E"/>
    <w:rsid w:val="000113EB"/>
    <w:rsid w:val="0001372F"/>
    <w:rsid w:val="00013BDA"/>
    <w:rsid w:val="000140A0"/>
    <w:rsid w:val="000151CE"/>
    <w:rsid w:val="00015D15"/>
    <w:rsid w:val="0001776A"/>
    <w:rsid w:val="00020255"/>
    <w:rsid w:val="00020CA0"/>
    <w:rsid w:val="00021A96"/>
    <w:rsid w:val="00022022"/>
    <w:rsid w:val="00023291"/>
    <w:rsid w:val="00023718"/>
    <w:rsid w:val="00023B6A"/>
    <w:rsid w:val="000240AF"/>
    <w:rsid w:val="00024AD1"/>
    <w:rsid w:val="00024D3E"/>
    <w:rsid w:val="000250EE"/>
    <w:rsid w:val="000259EE"/>
    <w:rsid w:val="00025BE4"/>
    <w:rsid w:val="0002652D"/>
    <w:rsid w:val="000272AA"/>
    <w:rsid w:val="0002736D"/>
    <w:rsid w:val="00027D97"/>
    <w:rsid w:val="00030329"/>
    <w:rsid w:val="00030AD3"/>
    <w:rsid w:val="00031C08"/>
    <w:rsid w:val="000320B0"/>
    <w:rsid w:val="000327EC"/>
    <w:rsid w:val="000329FA"/>
    <w:rsid w:val="00033DDB"/>
    <w:rsid w:val="000340B3"/>
    <w:rsid w:val="00034160"/>
    <w:rsid w:val="000341ED"/>
    <w:rsid w:val="00034CD2"/>
    <w:rsid w:val="000357FA"/>
    <w:rsid w:val="00036497"/>
    <w:rsid w:val="00037E84"/>
    <w:rsid w:val="00040116"/>
    <w:rsid w:val="000407F6"/>
    <w:rsid w:val="00040BD7"/>
    <w:rsid w:val="000419AF"/>
    <w:rsid w:val="00044ABC"/>
    <w:rsid w:val="00050D50"/>
    <w:rsid w:val="00054078"/>
    <w:rsid w:val="00055506"/>
    <w:rsid w:val="00055D6B"/>
    <w:rsid w:val="00056E98"/>
    <w:rsid w:val="000574A8"/>
    <w:rsid w:val="0006187C"/>
    <w:rsid w:val="00061BB6"/>
    <w:rsid w:val="00063959"/>
    <w:rsid w:val="0006431D"/>
    <w:rsid w:val="00064A1C"/>
    <w:rsid w:val="0006541E"/>
    <w:rsid w:val="00065DD7"/>
    <w:rsid w:val="00067F32"/>
    <w:rsid w:val="000703DB"/>
    <w:rsid w:val="00070970"/>
    <w:rsid w:val="00071B6F"/>
    <w:rsid w:val="00072838"/>
    <w:rsid w:val="00072F42"/>
    <w:rsid w:val="0007485A"/>
    <w:rsid w:val="00074C03"/>
    <w:rsid w:val="00074F78"/>
    <w:rsid w:val="00076487"/>
    <w:rsid w:val="00076592"/>
    <w:rsid w:val="00081553"/>
    <w:rsid w:val="000815AE"/>
    <w:rsid w:val="00081890"/>
    <w:rsid w:val="00083020"/>
    <w:rsid w:val="00083879"/>
    <w:rsid w:val="0008422E"/>
    <w:rsid w:val="0008445E"/>
    <w:rsid w:val="000844E9"/>
    <w:rsid w:val="00084B49"/>
    <w:rsid w:val="00085996"/>
    <w:rsid w:val="00085A4F"/>
    <w:rsid w:val="000864EF"/>
    <w:rsid w:val="0008655E"/>
    <w:rsid w:val="00086E7C"/>
    <w:rsid w:val="00087D19"/>
    <w:rsid w:val="000906AC"/>
    <w:rsid w:val="00090D50"/>
    <w:rsid w:val="00090D71"/>
    <w:rsid w:val="00091105"/>
    <w:rsid w:val="00091280"/>
    <w:rsid w:val="00092148"/>
    <w:rsid w:val="000947CB"/>
    <w:rsid w:val="00096CA7"/>
    <w:rsid w:val="000A02AD"/>
    <w:rsid w:val="000A06AE"/>
    <w:rsid w:val="000A110D"/>
    <w:rsid w:val="000A1137"/>
    <w:rsid w:val="000A38C4"/>
    <w:rsid w:val="000A3928"/>
    <w:rsid w:val="000A4AF9"/>
    <w:rsid w:val="000A53D5"/>
    <w:rsid w:val="000A58D8"/>
    <w:rsid w:val="000A6516"/>
    <w:rsid w:val="000A73B3"/>
    <w:rsid w:val="000B1E7A"/>
    <w:rsid w:val="000B5062"/>
    <w:rsid w:val="000B5BD8"/>
    <w:rsid w:val="000B6313"/>
    <w:rsid w:val="000B6663"/>
    <w:rsid w:val="000B6C5B"/>
    <w:rsid w:val="000B6CA7"/>
    <w:rsid w:val="000C2CD9"/>
    <w:rsid w:val="000C3237"/>
    <w:rsid w:val="000C3BD3"/>
    <w:rsid w:val="000C3FAC"/>
    <w:rsid w:val="000C4EB6"/>
    <w:rsid w:val="000C5217"/>
    <w:rsid w:val="000C532A"/>
    <w:rsid w:val="000C6626"/>
    <w:rsid w:val="000C6704"/>
    <w:rsid w:val="000C6A35"/>
    <w:rsid w:val="000C6CFA"/>
    <w:rsid w:val="000D1048"/>
    <w:rsid w:val="000D120E"/>
    <w:rsid w:val="000D1B48"/>
    <w:rsid w:val="000D20C3"/>
    <w:rsid w:val="000D3BBE"/>
    <w:rsid w:val="000D4B7C"/>
    <w:rsid w:val="000D4DD4"/>
    <w:rsid w:val="000D5331"/>
    <w:rsid w:val="000D6569"/>
    <w:rsid w:val="000D71D8"/>
    <w:rsid w:val="000E0B04"/>
    <w:rsid w:val="000E0DC6"/>
    <w:rsid w:val="000E1FBA"/>
    <w:rsid w:val="000E23B0"/>
    <w:rsid w:val="000E3293"/>
    <w:rsid w:val="000E5262"/>
    <w:rsid w:val="000E5E01"/>
    <w:rsid w:val="000E60A2"/>
    <w:rsid w:val="000E7DA4"/>
    <w:rsid w:val="000F1E0C"/>
    <w:rsid w:val="000F3E68"/>
    <w:rsid w:val="000F4B4F"/>
    <w:rsid w:val="000F50F1"/>
    <w:rsid w:val="000F5479"/>
    <w:rsid w:val="000F5DA2"/>
    <w:rsid w:val="000F5EFA"/>
    <w:rsid w:val="000F64E9"/>
    <w:rsid w:val="000F6DB7"/>
    <w:rsid w:val="00103037"/>
    <w:rsid w:val="00107C31"/>
    <w:rsid w:val="001101A5"/>
    <w:rsid w:val="00110B86"/>
    <w:rsid w:val="00112017"/>
    <w:rsid w:val="00112531"/>
    <w:rsid w:val="00112965"/>
    <w:rsid w:val="00114294"/>
    <w:rsid w:val="00115608"/>
    <w:rsid w:val="00116F00"/>
    <w:rsid w:val="00117BB3"/>
    <w:rsid w:val="00120E2C"/>
    <w:rsid w:val="0012186F"/>
    <w:rsid w:val="00122376"/>
    <w:rsid w:val="001256E1"/>
    <w:rsid w:val="00126A0A"/>
    <w:rsid w:val="00126FBE"/>
    <w:rsid w:val="001273DB"/>
    <w:rsid w:val="00127CE4"/>
    <w:rsid w:val="0013065F"/>
    <w:rsid w:val="00131B4D"/>
    <w:rsid w:val="00132041"/>
    <w:rsid w:val="00132615"/>
    <w:rsid w:val="00132905"/>
    <w:rsid w:val="00133B9C"/>
    <w:rsid w:val="00133ECC"/>
    <w:rsid w:val="001340FC"/>
    <w:rsid w:val="00135998"/>
    <w:rsid w:val="001361B4"/>
    <w:rsid w:val="00136E51"/>
    <w:rsid w:val="00136E75"/>
    <w:rsid w:val="00137934"/>
    <w:rsid w:val="0014045A"/>
    <w:rsid w:val="00141492"/>
    <w:rsid w:val="00141E20"/>
    <w:rsid w:val="00144705"/>
    <w:rsid w:val="00144FDD"/>
    <w:rsid w:val="001462EE"/>
    <w:rsid w:val="00146A73"/>
    <w:rsid w:val="00146F84"/>
    <w:rsid w:val="00147B3E"/>
    <w:rsid w:val="001528E0"/>
    <w:rsid w:val="0015381E"/>
    <w:rsid w:val="00153964"/>
    <w:rsid w:val="001542EE"/>
    <w:rsid w:val="0015471E"/>
    <w:rsid w:val="00154D08"/>
    <w:rsid w:val="00154D5E"/>
    <w:rsid w:val="00155B76"/>
    <w:rsid w:val="001570C4"/>
    <w:rsid w:val="00160CB1"/>
    <w:rsid w:val="00161100"/>
    <w:rsid w:val="001616BC"/>
    <w:rsid w:val="001652DD"/>
    <w:rsid w:val="00166393"/>
    <w:rsid w:val="00166CCE"/>
    <w:rsid w:val="00170EF1"/>
    <w:rsid w:val="00171D55"/>
    <w:rsid w:val="0017240A"/>
    <w:rsid w:val="00172511"/>
    <w:rsid w:val="00172D52"/>
    <w:rsid w:val="00172F73"/>
    <w:rsid w:val="00173F7B"/>
    <w:rsid w:val="00174BB2"/>
    <w:rsid w:val="00175BE3"/>
    <w:rsid w:val="00175E95"/>
    <w:rsid w:val="00176B27"/>
    <w:rsid w:val="001802E9"/>
    <w:rsid w:val="00180392"/>
    <w:rsid w:val="00180D13"/>
    <w:rsid w:val="0018399E"/>
    <w:rsid w:val="0018464B"/>
    <w:rsid w:val="00185054"/>
    <w:rsid w:val="00186284"/>
    <w:rsid w:val="001865A9"/>
    <w:rsid w:val="0018756D"/>
    <w:rsid w:val="001877A0"/>
    <w:rsid w:val="00190D6B"/>
    <w:rsid w:val="00191075"/>
    <w:rsid w:val="00191247"/>
    <w:rsid w:val="001932F0"/>
    <w:rsid w:val="00193945"/>
    <w:rsid w:val="001939C8"/>
    <w:rsid w:val="00193C78"/>
    <w:rsid w:val="00194065"/>
    <w:rsid w:val="001947FA"/>
    <w:rsid w:val="001948DB"/>
    <w:rsid w:val="001A06F6"/>
    <w:rsid w:val="001A1DD1"/>
    <w:rsid w:val="001A3E4D"/>
    <w:rsid w:val="001A3F75"/>
    <w:rsid w:val="001A40EA"/>
    <w:rsid w:val="001A4374"/>
    <w:rsid w:val="001A53B4"/>
    <w:rsid w:val="001A57EE"/>
    <w:rsid w:val="001A63E7"/>
    <w:rsid w:val="001B03E5"/>
    <w:rsid w:val="001B111C"/>
    <w:rsid w:val="001B1126"/>
    <w:rsid w:val="001B4014"/>
    <w:rsid w:val="001B464C"/>
    <w:rsid w:val="001B46F4"/>
    <w:rsid w:val="001B4959"/>
    <w:rsid w:val="001B699F"/>
    <w:rsid w:val="001B760A"/>
    <w:rsid w:val="001C021B"/>
    <w:rsid w:val="001C05A9"/>
    <w:rsid w:val="001C0A38"/>
    <w:rsid w:val="001C0EB9"/>
    <w:rsid w:val="001C16AC"/>
    <w:rsid w:val="001C2382"/>
    <w:rsid w:val="001C38CF"/>
    <w:rsid w:val="001C46BE"/>
    <w:rsid w:val="001C4BBB"/>
    <w:rsid w:val="001C4E48"/>
    <w:rsid w:val="001C6478"/>
    <w:rsid w:val="001C697D"/>
    <w:rsid w:val="001C697F"/>
    <w:rsid w:val="001C784D"/>
    <w:rsid w:val="001C7FD6"/>
    <w:rsid w:val="001D1621"/>
    <w:rsid w:val="001D2021"/>
    <w:rsid w:val="001D27A7"/>
    <w:rsid w:val="001D3178"/>
    <w:rsid w:val="001D31D8"/>
    <w:rsid w:val="001D4304"/>
    <w:rsid w:val="001D4890"/>
    <w:rsid w:val="001D587F"/>
    <w:rsid w:val="001D6518"/>
    <w:rsid w:val="001D6CF3"/>
    <w:rsid w:val="001D6F7C"/>
    <w:rsid w:val="001E0C70"/>
    <w:rsid w:val="001E21FD"/>
    <w:rsid w:val="001E3406"/>
    <w:rsid w:val="001E4AD3"/>
    <w:rsid w:val="001E54DB"/>
    <w:rsid w:val="001E70C5"/>
    <w:rsid w:val="001E7C1E"/>
    <w:rsid w:val="001F002F"/>
    <w:rsid w:val="001F0937"/>
    <w:rsid w:val="001F11B8"/>
    <w:rsid w:val="001F25CE"/>
    <w:rsid w:val="001F3C68"/>
    <w:rsid w:val="001F7188"/>
    <w:rsid w:val="002002FA"/>
    <w:rsid w:val="00200A8A"/>
    <w:rsid w:val="00201304"/>
    <w:rsid w:val="0020194A"/>
    <w:rsid w:val="00202255"/>
    <w:rsid w:val="00203E9B"/>
    <w:rsid w:val="00204851"/>
    <w:rsid w:val="00204E14"/>
    <w:rsid w:val="00205A51"/>
    <w:rsid w:val="00205B3A"/>
    <w:rsid w:val="00205C7E"/>
    <w:rsid w:val="00206316"/>
    <w:rsid w:val="002100E1"/>
    <w:rsid w:val="00211762"/>
    <w:rsid w:val="00211D03"/>
    <w:rsid w:val="00212030"/>
    <w:rsid w:val="00214048"/>
    <w:rsid w:val="002140F2"/>
    <w:rsid w:val="002144CC"/>
    <w:rsid w:val="00214BC5"/>
    <w:rsid w:val="00215AE7"/>
    <w:rsid w:val="0021681D"/>
    <w:rsid w:val="00217425"/>
    <w:rsid w:val="00217D6C"/>
    <w:rsid w:val="002200D0"/>
    <w:rsid w:val="00220354"/>
    <w:rsid w:val="0022101D"/>
    <w:rsid w:val="00221FAA"/>
    <w:rsid w:val="00222AB3"/>
    <w:rsid w:val="00224C61"/>
    <w:rsid w:val="00226B1B"/>
    <w:rsid w:val="00227A7A"/>
    <w:rsid w:val="00233D9F"/>
    <w:rsid w:val="0023402A"/>
    <w:rsid w:val="002345D7"/>
    <w:rsid w:val="002346FB"/>
    <w:rsid w:val="00235AD7"/>
    <w:rsid w:val="00236118"/>
    <w:rsid w:val="00236579"/>
    <w:rsid w:val="0023678C"/>
    <w:rsid w:val="002372AB"/>
    <w:rsid w:val="0024216F"/>
    <w:rsid w:val="00244737"/>
    <w:rsid w:val="002458E3"/>
    <w:rsid w:val="00246396"/>
    <w:rsid w:val="00246AFB"/>
    <w:rsid w:val="00246F59"/>
    <w:rsid w:val="00250276"/>
    <w:rsid w:val="0025047C"/>
    <w:rsid w:val="00251F4F"/>
    <w:rsid w:val="00253417"/>
    <w:rsid w:val="002537DA"/>
    <w:rsid w:val="002563D2"/>
    <w:rsid w:val="0026147E"/>
    <w:rsid w:val="00263EE7"/>
    <w:rsid w:val="00264D5B"/>
    <w:rsid w:val="00265405"/>
    <w:rsid w:val="00266A0C"/>
    <w:rsid w:val="00267021"/>
    <w:rsid w:val="002673EA"/>
    <w:rsid w:val="0027009D"/>
    <w:rsid w:val="00270B76"/>
    <w:rsid w:val="002711B8"/>
    <w:rsid w:val="00271278"/>
    <w:rsid w:val="00271808"/>
    <w:rsid w:val="0027192C"/>
    <w:rsid w:val="002725BE"/>
    <w:rsid w:val="00272BE9"/>
    <w:rsid w:val="00274C07"/>
    <w:rsid w:val="00274D1D"/>
    <w:rsid w:val="00274F75"/>
    <w:rsid w:val="00275FE4"/>
    <w:rsid w:val="002763E6"/>
    <w:rsid w:val="00276487"/>
    <w:rsid w:val="002764F3"/>
    <w:rsid w:val="00276C5D"/>
    <w:rsid w:val="00277729"/>
    <w:rsid w:val="00280E2F"/>
    <w:rsid w:val="00281104"/>
    <w:rsid w:val="00281B67"/>
    <w:rsid w:val="00284B28"/>
    <w:rsid w:val="00284C4A"/>
    <w:rsid w:val="00284E4B"/>
    <w:rsid w:val="00286153"/>
    <w:rsid w:val="00286CAC"/>
    <w:rsid w:val="0028708E"/>
    <w:rsid w:val="00290BCC"/>
    <w:rsid w:val="00290D96"/>
    <w:rsid w:val="002917D5"/>
    <w:rsid w:val="002918F7"/>
    <w:rsid w:val="00292B83"/>
    <w:rsid w:val="00293CBD"/>
    <w:rsid w:val="00293E29"/>
    <w:rsid w:val="00294595"/>
    <w:rsid w:val="00294EEC"/>
    <w:rsid w:val="0029555D"/>
    <w:rsid w:val="00295929"/>
    <w:rsid w:val="0029612C"/>
    <w:rsid w:val="002A0A0C"/>
    <w:rsid w:val="002A1982"/>
    <w:rsid w:val="002A2028"/>
    <w:rsid w:val="002A2597"/>
    <w:rsid w:val="002A514B"/>
    <w:rsid w:val="002A68FF"/>
    <w:rsid w:val="002B08C4"/>
    <w:rsid w:val="002B0B42"/>
    <w:rsid w:val="002B106A"/>
    <w:rsid w:val="002B1A07"/>
    <w:rsid w:val="002B2FCB"/>
    <w:rsid w:val="002B4272"/>
    <w:rsid w:val="002B4FB7"/>
    <w:rsid w:val="002B4FF1"/>
    <w:rsid w:val="002B66F6"/>
    <w:rsid w:val="002B6AFE"/>
    <w:rsid w:val="002C06BC"/>
    <w:rsid w:val="002C1A57"/>
    <w:rsid w:val="002C1EE8"/>
    <w:rsid w:val="002C2149"/>
    <w:rsid w:val="002C2958"/>
    <w:rsid w:val="002C369A"/>
    <w:rsid w:val="002C42B4"/>
    <w:rsid w:val="002C4D5E"/>
    <w:rsid w:val="002C6E78"/>
    <w:rsid w:val="002C6F67"/>
    <w:rsid w:val="002C7423"/>
    <w:rsid w:val="002D002A"/>
    <w:rsid w:val="002D31A1"/>
    <w:rsid w:val="002D453C"/>
    <w:rsid w:val="002D4726"/>
    <w:rsid w:val="002D5222"/>
    <w:rsid w:val="002D5291"/>
    <w:rsid w:val="002D52C1"/>
    <w:rsid w:val="002D6769"/>
    <w:rsid w:val="002D7B00"/>
    <w:rsid w:val="002E104F"/>
    <w:rsid w:val="002E149C"/>
    <w:rsid w:val="002E24EA"/>
    <w:rsid w:val="002E375E"/>
    <w:rsid w:val="002E385D"/>
    <w:rsid w:val="002E4DE9"/>
    <w:rsid w:val="002E4E16"/>
    <w:rsid w:val="002E5281"/>
    <w:rsid w:val="002E5C39"/>
    <w:rsid w:val="002E60CC"/>
    <w:rsid w:val="002E6A9F"/>
    <w:rsid w:val="002E7213"/>
    <w:rsid w:val="002E7237"/>
    <w:rsid w:val="002E72BB"/>
    <w:rsid w:val="002F03E5"/>
    <w:rsid w:val="002F21D4"/>
    <w:rsid w:val="002F22AF"/>
    <w:rsid w:val="002F22E4"/>
    <w:rsid w:val="002F27C6"/>
    <w:rsid w:val="002F4E03"/>
    <w:rsid w:val="002F564E"/>
    <w:rsid w:val="002F5DDE"/>
    <w:rsid w:val="002F7C72"/>
    <w:rsid w:val="002F7CAF"/>
    <w:rsid w:val="002F7CDA"/>
    <w:rsid w:val="002F7D96"/>
    <w:rsid w:val="003002C4"/>
    <w:rsid w:val="00302861"/>
    <w:rsid w:val="00302F86"/>
    <w:rsid w:val="00303FE0"/>
    <w:rsid w:val="003040D7"/>
    <w:rsid w:val="00304971"/>
    <w:rsid w:val="00304A30"/>
    <w:rsid w:val="00304E0C"/>
    <w:rsid w:val="00304E33"/>
    <w:rsid w:val="003060C8"/>
    <w:rsid w:val="00306C7F"/>
    <w:rsid w:val="00307B2A"/>
    <w:rsid w:val="0031003A"/>
    <w:rsid w:val="00310623"/>
    <w:rsid w:val="0031076E"/>
    <w:rsid w:val="0031170C"/>
    <w:rsid w:val="00311AF7"/>
    <w:rsid w:val="00312D2F"/>
    <w:rsid w:val="00315786"/>
    <w:rsid w:val="0031587E"/>
    <w:rsid w:val="003160CA"/>
    <w:rsid w:val="00316334"/>
    <w:rsid w:val="00317718"/>
    <w:rsid w:val="00317A50"/>
    <w:rsid w:val="00317F90"/>
    <w:rsid w:val="0032015B"/>
    <w:rsid w:val="00320B83"/>
    <w:rsid w:val="00320CCD"/>
    <w:rsid w:val="00321271"/>
    <w:rsid w:val="003233E9"/>
    <w:rsid w:val="003241FC"/>
    <w:rsid w:val="00324973"/>
    <w:rsid w:val="0032627D"/>
    <w:rsid w:val="003262EF"/>
    <w:rsid w:val="003265E8"/>
    <w:rsid w:val="00327C0D"/>
    <w:rsid w:val="003305DF"/>
    <w:rsid w:val="00330991"/>
    <w:rsid w:val="00333F78"/>
    <w:rsid w:val="003347DF"/>
    <w:rsid w:val="00334A1C"/>
    <w:rsid w:val="003351F2"/>
    <w:rsid w:val="0033699B"/>
    <w:rsid w:val="0034121C"/>
    <w:rsid w:val="00341C61"/>
    <w:rsid w:val="003423FB"/>
    <w:rsid w:val="00342553"/>
    <w:rsid w:val="00343DAC"/>
    <w:rsid w:val="00343FFB"/>
    <w:rsid w:val="00346AC4"/>
    <w:rsid w:val="00350652"/>
    <w:rsid w:val="00350C52"/>
    <w:rsid w:val="003531F0"/>
    <w:rsid w:val="00353A90"/>
    <w:rsid w:val="0035529D"/>
    <w:rsid w:val="003553F3"/>
    <w:rsid w:val="00355629"/>
    <w:rsid w:val="00360335"/>
    <w:rsid w:val="0036141C"/>
    <w:rsid w:val="0036203C"/>
    <w:rsid w:val="0036241C"/>
    <w:rsid w:val="00362676"/>
    <w:rsid w:val="00363451"/>
    <w:rsid w:val="0036488C"/>
    <w:rsid w:val="003669E0"/>
    <w:rsid w:val="00370261"/>
    <w:rsid w:val="00370B7D"/>
    <w:rsid w:val="00370D02"/>
    <w:rsid w:val="00371053"/>
    <w:rsid w:val="0037119D"/>
    <w:rsid w:val="00372D52"/>
    <w:rsid w:val="00374519"/>
    <w:rsid w:val="0037775B"/>
    <w:rsid w:val="00377A3E"/>
    <w:rsid w:val="003800C4"/>
    <w:rsid w:val="00382815"/>
    <w:rsid w:val="00382EB1"/>
    <w:rsid w:val="00383EB8"/>
    <w:rsid w:val="00384955"/>
    <w:rsid w:val="00384E53"/>
    <w:rsid w:val="00387B6C"/>
    <w:rsid w:val="0039172A"/>
    <w:rsid w:val="003928E6"/>
    <w:rsid w:val="00392A4B"/>
    <w:rsid w:val="0039342C"/>
    <w:rsid w:val="00393946"/>
    <w:rsid w:val="00393C92"/>
    <w:rsid w:val="00393E3D"/>
    <w:rsid w:val="0039484A"/>
    <w:rsid w:val="00397125"/>
    <w:rsid w:val="003A0867"/>
    <w:rsid w:val="003A1DDC"/>
    <w:rsid w:val="003A2A19"/>
    <w:rsid w:val="003A474B"/>
    <w:rsid w:val="003A4761"/>
    <w:rsid w:val="003A4B8E"/>
    <w:rsid w:val="003A51D6"/>
    <w:rsid w:val="003A6022"/>
    <w:rsid w:val="003A61D6"/>
    <w:rsid w:val="003B0A96"/>
    <w:rsid w:val="003B1749"/>
    <w:rsid w:val="003B192B"/>
    <w:rsid w:val="003B1CDA"/>
    <w:rsid w:val="003B205E"/>
    <w:rsid w:val="003B2686"/>
    <w:rsid w:val="003B274F"/>
    <w:rsid w:val="003B45BC"/>
    <w:rsid w:val="003B48D9"/>
    <w:rsid w:val="003B49F2"/>
    <w:rsid w:val="003B5A52"/>
    <w:rsid w:val="003B693E"/>
    <w:rsid w:val="003B7777"/>
    <w:rsid w:val="003C0794"/>
    <w:rsid w:val="003C2C7D"/>
    <w:rsid w:val="003C3027"/>
    <w:rsid w:val="003C311F"/>
    <w:rsid w:val="003C3487"/>
    <w:rsid w:val="003C3E53"/>
    <w:rsid w:val="003C4561"/>
    <w:rsid w:val="003C5664"/>
    <w:rsid w:val="003C56FD"/>
    <w:rsid w:val="003C6174"/>
    <w:rsid w:val="003C6562"/>
    <w:rsid w:val="003C775F"/>
    <w:rsid w:val="003D0058"/>
    <w:rsid w:val="003D15C6"/>
    <w:rsid w:val="003D229C"/>
    <w:rsid w:val="003D306B"/>
    <w:rsid w:val="003D30F1"/>
    <w:rsid w:val="003D3DC2"/>
    <w:rsid w:val="003D6927"/>
    <w:rsid w:val="003D7238"/>
    <w:rsid w:val="003D76D3"/>
    <w:rsid w:val="003D7B3A"/>
    <w:rsid w:val="003D7ECB"/>
    <w:rsid w:val="003E05F0"/>
    <w:rsid w:val="003E0BA2"/>
    <w:rsid w:val="003E20A9"/>
    <w:rsid w:val="003E3563"/>
    <w:rsid w:val="003E37F7"/>
    <w:rsid w:val="003E3E49"/>
    <w:rsid w:val="003E4934"/>
    <w:rsid w:val="003E51F7"/>
    <w:rsid w:val="003E5B2C"/>
    <w:rsid w:val="003E6484"/>
    <w:rsid w:val="003E67CA"/>
    <w:rsid w:val="003E6812"/>
    <w:rsid w:val="003E6CC6"/>
    <w:rsid w:val="003E6EE4"/>
    <w:rsid w:val="003E6F1C"/>
    <w:rsid w:val="003E742A"/>
    <w:rsid w:val="003F14D7"/>
    <w:rsid w:val="003F20A5"/>
    <w:rsid w:val="003F5BCD"/>
    <w:rsid w:val="003F6E48"/>
    <w:rsid w:val="003F796D"/>
    <w:rsid w:val="003F7B32"/>
    <w:rsid w:val="00401AA8"/>
    <w:rsid w:val="0040228B"/>
    <w:rsid w:val="00402767"/>
    <w:rsid w:val="00403299"/>
    <w:rsid w:val="00403DC8"/>
    <w:rsid w:val="00404278"/>
    <w:rsid w:val="00404F29"/>
    <w:rsid w:val="00406089"/>
    <w:rsid w:val="00406216"/>
    <w:rsid w:val="004062CA"/>
    <w:rsid w:val="0040782E"/>
    <w:rsid w:val="00407C43"/>
    <w:rsid w:val="00411081"/>
    <w:rsid w:val="0041340F"/>
    <w:rsid w:val="0041402A"/>
    <w:rsid w:val="00414076"/>
    <w:rsid w:val="0041419D"/>
    <w:rsid w:val="00415857"/>
    <w:rsid w:val="004176CD"/>
    <w:rsid w:val="00421B45"/>
    <w:rsid w:val="00422A95"/>
    <w:rsid w:val="00422C84"/>
    <w:rsid w:val="00423BA6"/>
    <w:rsid w:val="004240C5"/>
    <w:rsid w:val="00424597"/>
    <w:rsid w:val="0042488F"/>
    <w:rsid w:val="00425E26"/>
    <w:rsid w:val="004260EF"/>
    <w:rsid w:val="004271B4"/>
    <w:rsid w:val="00427779"/>
    <w:rsid w:val="004302D4"/>
    <w:rsid w:val="00430F2D"/>
    <w:rsid w:val="004316E5"/>
    <w:rsid w:val="004330A9"/>
    <w:rsid w:val="00433AF6"/>
    <w:rsid w:val="00433C1D"/>
    <w:rsid w:val="0043476B"/>
    <w:rsid w:val="00434CF3"/>
    <w:rsid w:val="00435587"/>
    <w:rsid w:val="0043607D"/>
    <w:rsid w:val="00436437"/>
    <w:rsid w:val="004413C1"/>
    <w:rsid w:val="00441AB2"/>
    <w:rsid w:val="00442920"/>
    <w:rsid w:val="00442938"/>
    <w:rsid w:val="00442AF6"/>
    <w:rsid w:val="004436DE"/>
    <w:rsid w:val="004439F9"/>
    <w:rsid w:val="00443BA3"/>
    <w:rsid w:val="004453E8"/>
    <w:rsid w:val="00445920"/>
    <w:rsid w:val="0044690C"/>
    <w:rsid w:val="004521AD"/>
    <w:rsid w:val="004525DC"/>
    <w:rsid w:val="00452C11"/>
    <w:rsid w:val="00452CE1"/>
    <w:rsid w:val="00452D19"/>
    <w:rsid w:val="00453EF3"/>
    <w:rsid w:val="00454B15"/>
    <w:rsid w:val="00454BDD"/>
    <w:rsid w:val="00455410"/>
    <w:rsid w:val="004566BC"/>
    <w:rsid w:val="004608E3"/>
    <w:rsid w:val="00461001"/>
    <w:rsid w:val="00462787"/>
    <w:rsid w:val="00462986"/>
    <w:rsid w:val="00462C72"/>
    <w:rsid w:val="004631B5"/>
    <w:rsid w:val="00463DCB"/>
    <w:rsid w:val="00463DE2"/>
    <w:rsid w:val="00463FBE"/>
    <w:rsid w:val="00464018"/>
    <w:rsid w:val="00464B24"/>
    <w:rsid w:val="0046607B"/>
    <w:rsid w:val="004664D6"/>
    <w:rsid w:val="0046686C"/>
    <w:rsid w:val="00466FE9"/>
    <w:rsid w:val="00467641"/>
    <w:rsid w:val="00467935"/>
    <w:rsid w:val="004704B2"/>
    <w:rsid w:val="004713B3"/>
    <w:rsid w:val="00472E82"/>
    <w:rsid w:val="00474D2A"/>
    <w:rsid w:val="00475E52"/>
    <w:rsid w:val="004761AB"/>
    <w:rsid w:val="004763ED"/>
    <w:rsid w:val="00476D13"/>
    <w:rsid w:val="00481671"/>
    <w:rsid w:val="00482159"/>
    <w:rsid w:val="0048390A"/>
    <w:rsid w:val="00483B5E"/>
    <w:rsid w:val="00485171"/>
    <w:rsid w:val="00487955"/>
    <w:rsid w:val="004907B3"/>
    <w:rsid w:val="00491217"/>
    <w:rsid w:val="00491A3C"/>
    <w:rsid w:val="00491F2C"/>
    <w:rsid w:val="004927D7"/>
    <w:rsid w:val="00493099"/>
    <w:rsid w:val="00494458"/>
    <w:rsid w:val="00494FFF"/>
    <w:rsid w:val="0049631E"/>
    <w:rsid w:val="00497E92"/>
    <w:rsid w:val="004A3392"/>
    <w:rsid w:val="004A3ABD"/>
    <w:rsid w:val="004A3AC1"/>
    <w:rsid w:val="004A3DF2"/>
    <w:rsid w:val="004A49B2"/>
    <w:rsid w:val="004A54D4"/>
    <w:rsid w:val="004A67C1"/>
    <w:rsid w:val="004B0C35"/>
    <w:rsid w:val="004B367A"/>
    <w:rsid w:val="004B3FC7"/>
    <w:rsid w:val="004B47E4"/>
    <w:rsid w:val="004B5048"/>
    <w:rsid w:val="004B63F7"/>
    <w:rsid w:val="004C1647"/>
    <w:rsid w:val="004C2446"/>
    <w:rsid w:val="004C3DA8"/>
    <w:rsid w:val="004C50E7"/>
    <w:rsid w:val="004C6054"/>
    <w:rsid w:val="004C6B8C"/>
    <w:rsid w:val="004C76AE"/>
    <w:rsid w:val="004C7F55"/>
    <w:rsid w:val="004D02AC"/>
    <w:rsid w:val="004D1845"/>
    <w:rsid w:val="004D2532"/>
    <w:rsid w:val="004D25FE"/>
    <w:rsid w:val="004D3621"/>
    <w:rsid w:val="004D3F1D"/>
    <w:rsid w:val="004D400C"/>
    <w:rsid w:val="004D41F0"/>
    <w:rsid w:val="004D49C4"/>
    <w:rsid w:val="004D57A9"/>
    <w:rsid w:val="004D5804"/>
    <w:rsid w:val="004D5D6C"/>
    <w:rsid w:val="004D5D6E"/>
    <w:rsid w:val="004D5D80"/>
    <w:rsid w:val="004E0244"/>
    <w:rsid w:val="004E0A5A"/>
    <w:rsid w:val="004E2FED"/>
    <w:rsid w:val="004E38CB"/>
    <w:rsid w:val="004E47E9"/>
    <w:rsid w:val="004E5FC2"/>
    <w:rsid w:val="004E61D8"/>
    <w:rsid w:val="004E6BE9"/>
    <w:rsid w:val="004E7649"/>
    <w:rsid w:val="004E7C63"/>
    <w:rsid w:val="004E7DA2"/>
    <w:rsid w:val="004F0793"/>
    <w:rsid w:val="004F0B72"/>
    <w:rsid w:val="004F1185"/>
    <w:rsid w:val="004F1852"/>
    <w:rsid w:val="004F42D9"/>
    <w:rsid w:val="004F4639"/>
    <w:rsid w:val="004F4CE2"/>
    <w:rsid w:val="004F4DA1"/>
    <w:rsid w:val="0050057F"/>
    <w:rsid w:val="005022CD"/>
    <w:rsid w:val="005034DA"/>
    <w:rsid w:val="00504498"/>
    <w:rsid w:val="00504F81"/>
    <w:rsid w:val="0050555C"/>
    <w:rsid w:val="005055C5"/>
    <w:rsid w:val="00505F5C"/>
    <w:rsid w:val="005064B5"/>
    <w:rsid w:val="0050745B"/>
    <w:rsid w:val="005074E0"/>
    <w:rsid w:val="005078C3"/>
    <w:rsid w:val="00507B69"/>
    <w:rsid w:val="00507C2F"/>
    <w:rsid w:val="0051070E"/>
    <w:rsid w:val="005107E5"/>
    <w:rsid w:val="00512836"/>
    <w:rsid w:val="00512CD5"/>
    <w:rsid w:val="0051332B"/>
    <w:rsid w:val="00513726"/>
    <w:rsid w:val="005151F1"/>
    <w:rsid w:val="00515530"/>
    <w:rsid w:val="00516AAA"/>
    <w:rsid w:val="0051701F"/>
    <w:rsid w:val="00522963"/>
    <w:rsid w:val="00522F3C"/>
    <w:rsid w:val="00523215"/>
    <w:rsid w:val="00523224"/>
    <w:rsid w:val="005247FA"/>
    <w:rsid w:val="00524D55"/>
    <w:rsid w:val="0052557B"/>
    <w:rsid w:val="00525A66"/>
    <w:rsid w:val="00527423"/>
    <w:rsid w:val="0052754C"/>
    <w:rsid w:val="00531DB8"/>
    <w:rsid w:val="0053239D"/>
    <w:rsid w:val="00532A9A"/>
    <w:rsid w:val="00532C0E"/>
    <w:rsid w:val="00533CF4"/>
    <w:rsid w:val="0053404B"/>
    <w:rsid w:val="0053548A"/>
    <w:rsid w:val="005358D3"/>
    <w:rsid w:val="00535C74"/>
    <w:rsid w:val="005403BD"/>
    <w:rsid w:val="0054210F"/>
    <w:rsid w:val="0054231A"/>
    <w:rsid w:val="005431FE"/>
    <w:rsid w:val="00543CA4"/>
    <w:rsid w:val="00545416"/>
    <w:rsid w:val="0054613A"/>
    <w:rsid w:val="00546EA7"/>
    <w:rsid w:val="00547160"/>
    <w:rsid w:val="00547E5C"/>
    <w:rsid w:val="00551A6B"/>
    <w:rsid w:val="00551E00"/>
    <w:rsid w:val="00553BED"/>
    <w:rsid w:val="0055518C"/>
    <w:rsid w:val="005567AF"/>
    <w:rsid w:val="00557924"/>
    <w:rsid w:val="00557DF8"/>
    <w:rsid w:val="00560293"/>
    <w:rsid w:val="005604A2"/>
    <w:rsid w:val="005610B9"/>
    <w:rsid w:val="00561844"/>
    <w:rsid w:val="00563F2B"/>
    <w:rsid w:val="00564F16"/>
    <w:rsid w:val="00565087"/>
    <w:rsid w:val="00565316"/>
    <w:rsid w:val="00566ACC"/>
    <w:rsid w:val="00567639"/>
    <w:rsid w:val="005712BE"/>
    <w:rsid w:val="00573D0D"/>
    <w:rsid w:val="005758E5"/>
    <w:rsid w:val="00575972"/>
    <w:rsid w:val="00575E9E"/>
    <w:rsid w:val="0057627A"/>
    <w:rsid w:val="005768DF"/>
    <w:rsid w:val="0057694F"/>
    <w:rsid w:val="00577DC9"/>
    <w:rsid w:val="00580312"/>
    <w:rsid w:val="005809CB"/>
    <w:rsid w:val="00580DFB"/>
    <w:rsid w:val="00581696"/>
    <w:rsid w:val="005817C0"/>
    <w:rsid w:val="005819D0"/>
    <w:rsid w:val="005820D2"/>
    <w:rsid w:val="005827D8"/>
    <w:rsid w:val="005837FC"/>
    <w:rsid w:val="00583F0F"/>
    <w:rsid w:val="00584210"/>
    <w:rsid w:val="005842DE"/>
    <w:rsid w:val="00584FB2"/>
    <w:rsid w:val="00586250"/>
    <w:rsid w:val="00586E82"/>
    <w:rsid w:val="00590044"/>
    <w:rsid w:val="005900C3"/>
    <w:rsid w:val="00590289"/>
    <w:rsid w:val="005924A0"/>
    <w:rsid w:val="005928BB"/>
    <w:rsid w:val="00592947"/>
    <w:rsid w:val="00593429"/>
    <w:rsid w:val="00594621"/>
    <w:rsid w:val="00594642"/>
    <w:rsid w:val="0059539F"/>
    <w:rsid w:val="0059551C"/>
    <w:rsid w:val="00595A2B"/>
    <w:rsid w:val="00595B1F"/>
    <w:rsid w:val="00595B7C"/>
    <w:rsid w:val="00597DFE"/>
    <w:rsid w:val="005A05C3"/>
    <w:rsid w:val="005A08AD"/>
    <w:rsid w:val="005A4134"/>
    <w:rsid w:val="005A69DC"/>
    <w:rsid w:val="005A7222"/>
    <w:rsid w:val="005B1167"/>
    <w:rsid w:val="005B173D"/>
    <w:rsid w:val="005B1F2E"/>
    <w:rsid w:val="005B2053"/>
    <w:rsid w:val="005B2B8C"/>
    <w:rsid w:val="005B370D"/>
    <w:rsid w:val="005B44F7"/>
    <w:rsid w:val="005B45CA"/>
    <w:rsid w:val="005B67E3"/>
    <w:rsid w:val="005B6FD5"/>
    <w:rsid w:val="005B7297"/>
    <w:rsid w:val="005B737A"/>
    <w:rsid w:val="005C06DC"/>
    <w:rsid w:val="005C0C90"/>
    <w:rsid w:val="005C3E27"/>
    <w:rsid w:val="005C40A5"/>
    <w:rsid w:val="005C487E"/>
    <w:rsid w:val="005C5173"/>
    <w:rsid w:val="005C59B6"/>
    <w:rsid w:val="005C5C49"/>
    <w:rsid w:val="005C652E"/>
    <w:rsid w:val="005C6683"/>
    <w:rsid w:val="005D0765"/>
    <w:rsid w:val="005D0A43"/>
    <w:rsid w:val="005D1301"/>
    <w:rsid w:val="005D1871"/>
    <w:rsid w:val="005D1E67"/>
    <w:rsid w:val="005D238C"/>
    <w:rsid w:val="005D29A9"/>
    <w:rsid w:val="005D55A5"/>
    <w:rsid w:val="005E0063"/>
    <w:rsid w:val="005E01CF"/>
    <w:rsid w:val="005E043B"/>
    <w:rsid w:val="005E0876"/>
    <w:rsid w:val="005E16FF"/>
    <w:rsid w:val="005E2039"/>
    <w:rsid w:val="005E25CE"/>
    <w:rsid w:val="005E4799"/>
    <w:rsid w:val="005E6388"/>
    <w:rsid w:val="005F0135"/>
    <w:rsid w:val="005F0524"/>
    <w:rsid w:val="005F2380"/>
    <w:rsid w:val="005F36F8"/>
    <w:rsid w:val="005F51A4"/>
    <w:rsid w:val="005F5D41"/>
    <w:rsid w:val="005F6C13"/>
    <w:rsid w:val="005F7320"/>
    <w:rsid w:val="00601315"/>
    <w:rsid w:val="0060325C"/>
    <w:rsid w:val="00606296"/>
    <w:rsid w:val="00607BFF"/>
    <w:rsid w:val="006101F3"/>
    <w:rsid w:val="0061045D"/>
    <w:rsid w:val="0061120A"/>
    <w:rsid w:val="006118C9"/>
    <w:rsid w:val="006124CF"/>
    <w:rsid w:val="00612EB3"/>
    <w:rsid w:val="00613608"/>
    <w:rsid w:val="00613EFC"/>
    <w:rsid w:val="00614624"/>
    <w:rsid w:val="006150A6"/>
    <w:rsid w:val="00615C69"/>
    <w:rsid w:val="00616873"/>
    <w:rsid w:val="00617C4E"/>
    <w:rsid w:val="00617F30"/>
    <w:rsid w:val="00621564"/>
    <w:rsid w:val="0062190F"/>
    <w:rsid w:val="00623029"/>
    <w:rsid w:val="006237B3"/>
    <w:rsid w:val="006237D7"/>
    <w:rsid w:val="006238ED"/>
    <w:rsid w:val="0062409D"/>
    <w:rsid w:val="00625CE0"/>
    <w:rsid w:val="00625FD0"/>
    <w:rsid w:val="0062618C"/>
    <w:rsid w:val="00626358"/>
    <w:rsid w:val="00627D41"/>
    <w:rsid w:val="00630233"/>
    <w:rsid w:val="006312FB"/>
    <w:rsid w:val="0063172A"/>
    <w:rsid w:val="00632035"/>
    <w:rsid w:val="006332E4"/>
    <w:rsid w:val="0063504F"/>
    <w:rsid w:val="00636249"/>
    <w:rsid w:val="00636945"/>
    <w:rsid w:val="00637729"/>
    <w:rsid w:val="00637E4F"/>
    <w:rsid w:val="006405BE"/>
    <w:rsid w:val="0064235D"/>
    <w:rsid w:val="00642E86"/>
    <w:rsid w:val="00643D9E"/>
    <w:rsid w:val="00644336"/>
    <w:rsid w:val="0064581B"/>
    <w:rsid w:val="0064663E"/>
    <w:rsid w:val="006469B5"/>
    <w:rsid w:val="00646FBD"/>
    <w:rsid w:val="00647421"/>
    <w:rsid w:val="00647C90"/>
    <w:rsid w:val="0065114C"/>
    <w:rsid w:val="00651902"/>
    <w:rsid w:val="00651BBA"/>
    <w:rsid w:val="00652176"/>
    <w:rsid w:val="00652E43"/>
    <w:rsid w:val="00655D0E"/>
    <w:rsid w:val="00655FA6"/>
    <w:rsid w:val="00656D07"/>
    <w:rsid w:val="00657B41"/>
    <w:rsid w:val="0066185E"/>
    <w:rsid w:val="00661D4C"/>
    <w:rsid w:val="00662340"/>
    <w:rsid w:val="00665DD5"/>
    <w:rsid w:val="00666055"/>
    <w:rsid w:val="00666B62"/>
    <w:rsid w:val="0066755B"/>
    <w:rsid w:val="006704CB"/>
    <w:rsid w:val="0067103E"/>
    <w:rsid w:val="00671174"/>
    <w:rsid w:val="006714C4"/>
    <w:rsid w:val="006716E6"/>
    <w:rsid w:val="00671DB4"/>
    <w:rsid w:val="00671DD9"/>
    <w:rsid w:val="00671F9F"/>
    <w:rsid w:val="00673C26"/>
    <w:rsid w:val="00674D47"/>
    <w:rsid w:val="0067679F"/>
    <w:rsid w:val="00676CF3"/>
    <w:rsid w:val="00677D30"/>
    <w:rsid w:val="00681118"/>
    <w:rsid w:val="006833B2"/>
    <w:rsid w:val="00683627"/>
    <w:rsid w:val="00683635"/>
    <w:rsid w:val="00683D9A"/>
    <w:rsid w:val="0068405B"/>
    <w:rsid w:val="00686352"/>
    <w:rsid w:val="0068785C"/>
    <w:rsid w:val="00691BD4"/>
    <w:rsid w:val="0069201F"/>
    <w:rsid w:val="00693293"/>
    <w:rsid w:val="006939DB"/>
    <w:rsid w:val="00694F6B"/>
    <w:rsid w:val="00695FFA"/>
    <w:rsid w:val="0069639E"/>
    <w:rsid w:val="00696EB0"/>
    <w:rsid w:val="0069716F"/>
    <w:rsid w:val="006A2DA8"/>
    <w:rsid w:val="006A3CE7"/>
    <w:rsid w:val="006A3DD7"/>
    <w:rsid w:val="006A486D"/>
    <w:rsid w:val="006A49F2"/>
    <w:rsid w:val="006A743A"/>
    <w:rsid w:val="006A7896"/>
    <w:rsid w:val="006B0175"/>
    <w:rsid w:val="006B0C01"/>
    <w:rsid w:val="006B1075"/>
    <w:rsid w:val="006B15FD"/>
    <w:rsid w:val="006B1889"/>
    <w:rsid w:val="006B1D26"/>
    <w:rsid w:val="006B23E0"/>
    <w:rsid w:val="006B3D70"/>
    <w:rsid w:val="006B5126"/>
    <w:rsid w:val="006B7DD6"/>
    <w:rsid w:val="006C03BC"/>
    <w:rsid w:val="006C0A89"/>
    <w:rsid w:val="006C14D8"/>
    <w:rsid w:val="006C2FB6"/>
    <w:rsid w:val="006C313A"/>
    <w:rsid w:val="006C3271"/>
    <w:rsid w:val="006C486F"/>
    <w:rsid w:val="006C7F69"/>
    <w:rsid w:val="006D0739"/>
    <w:rsid w:val="006D090D"/>
    <w:rsid w:val="006D12FC"/>
    <w:rsid w:val="006D1A3B"/>
    <w:rsid w:val="006D472D"/>
    <w:rsid w:val="006D4921"/>
    <w:rsid w:val="006D4C86"/>
    <w:rsid w:val="006D6227"/>
    <w:rsid w:val="006D6623"/>
    <w:rsid w:val="006D77C7"/>
    <w:rsid w:val="006E126F"/>
    <w:rsid w:val="006E1335"/>
    <w:rsid w:val="006E2B71"/>
    <w:rsid w:val="006E382C"/>
    <w:rsid w:val="006E463A"/>
    <w:rsid w:val="006E49A5"/>
    <w:rsid w:val="006E4E7F"/>
    <w:rsid w:val="006E5185"/>
    <w:rsid w:val="006E54E7"/>
    <w:rsid w:val="006E59F3"/>
    <w:rsid w:val="006E7B9F"/>
    <w:rsid w:val="006E7FF0"/>
    <w:rsid w:val="006F32C9"/>
    <w:rsid w:val="006F3DD4"/>
    <w:rsid w:val="006F42D8"/>
    <w:rsid w:val="006F58FE"/>
    <w:rsid w:val="006F65E7"/>
    <w:rsid w:val="006F6FAF"/>
    <w:rsid w:val="006F710F"/>
    <w:rsid w:val="006F7BA5"/>
    <w:rsid w:val="007000F2"/>
    <w:rsid w:val="007011F5"/>
    <w:rsid w:val="00701D08"/>
    <w:rsid w:val="00702276"/>
    <w:rsid w:val="00702372"/>
    <w:rsid w:val="007029DD"/>
    <w:rsid w:val="00703320"/>
    <w:rsid w:val="00705E23"/>
    <w:rsid w:val="00706A39"/>
    <w:rsid w:val="00707155"/>
    <w:rsid w:val="00707514"/>
    <w:rsid w:val="00707FF9"/>
    <w:rsid w:val="007122D2"/>
    <w:rsid w:val="00712AAE"/>
    <w:rsid w:val="007136C2"/>
    <w:rsid w:val="0071574A"/>
    <w:rsid w:val="00715D17"/>
    <w:rsid w:val="00716762"/>
    <w:rsid w:val="0072063E"/>
    <w:rsid w:val="00721006"/>
    <w:rsid w:val="007215FD"/>
    <w:rsid w:val="00722AAE"/>
    <w:rsid w:val="00722ED2"/>
    <w:rsid w:val="00723068"/>
    <w:rsid w:val="007237A0"/>
    <w:rsid w:val="00724389"/>
    <w:rsid w:val="00724734"/>
    <w:rsid w:val="007260F6"/>
    <w:rsid w:val="0072619A"/>
    <w:rsid w:val="007262C9"/>
    <w:rsid w:val="007301B5"/>
    <w:rsid w:val="00730731"/>
    <w:rsid w:val="0073121F"/>
    <w:rsid w:val="00731EA7"/>
    <w:rsid w:val="00733243"/>
    <w:rsid w:val="007338A0"/>
    <w:rsid w:val="00733923"/>
    <w:rsid w:val="00733A02"/>
    <w:rsid w:val="00735258"/>
    <w:rsid w:val="00735356"/>
    <w:rsid w:val="007360FA"/>
    <w:rsid w:val="007367A7"/>
    <w:rsid w:val="00737E40"/>
    <w:rsid w:val="00737E5F"/>
    <w:rsid w:val="00737EA4"/>
    <w:rsid w:val="0074083D"/>
    <w:rsid w:val="00740B61"/>
    <w:rsid w:val="00742BD9"/>
    <w:rsid w:val="007441F7"/>
    <w:rsid w:val="00745B7A"/>
    <w:rsid w:val="00747441"/>
    <w:rsid w:val="00750AFC"/>
    <w:rsid w:val="00750BC5"/>
    <w:rsid w:val="007514EB"/>
    <w:rsid w:val="00752085"/>
    <w:rsid w:val="00752B7B"/>
    <w:rsid w:val="0075340A"/>
    <w:rsid w:val="00754892"/>
    <w:rsid w:val="007550EB"/>
    <w:rsid w:val="00756421"/>
    <w:rsid w:val="007568B6"/>
    <w:rsid w:val="00756F5A"/>
    <w:rsid w:val="0075723F"/>
    <w:rsid w:val="0076026E"/>
    <w:rsid w:val="00760504"/>
    <w:rsid w:val="00763F89"/>
    <w:rsid w:val="00765C5D"/>
    <w:rsid w:val="007662FF"/>
    <w:rsid w:val="00766797"/>
    <w:rsid w:val="007668FD"/>
    <w:rsid w:val="00766CF4"/>
    <w:rsid w:val="00766EA7"/>
    <w:rsid w:val="00767198"/>
    <w:rsid w:val="007703F7"/>
    <w:rsid w:val="007706DA"/>
    <w:rsid w:val="00770AB3"/>
    <w:rsid w:val="00771134"/>
    <w:rsid w:val="0077239C"/>
    <w:rsid w:val="0077579B"/>
    <w:rsid w:val="007764F9"/>
    <w:rsid w:val="007773E3"/>
    <w:rsid w:val="00777CCA"/>
    <w:rsid w:val="00780B7A"/>
    <w:rsid w:val="007821FF"/>
    <w:rsid w:val="007849DD"/>
    <w:rsid w:val="007849EF"/>
    <w:rsid w:val="00784C7A"/>
    <w:rsid w:val="00785C45"/>
    <w:rsid w:val="00785D27"/>
    <w:rsid w:val="00786D35"/>
    <w:rsid w:val="007870F5"/>
    <w:rsid w:val="00787B90"/>
    <w:rsid w:val="0079006F"/>
    <w:rsid w:val="007909AC"/>
    <w:rsid w:val="0079116D"/>
    <w:rsid w:val="00791761"/>
    <w:rsid w:val="00792675"/>
    <w:rsid w:val="007928CC"/>
    <w:rsid w:val="00792A80"/>
    <w:rsid w:val="007931AD"/>
    <w:rsid w:val="00795139"/>
    <w:rsid w:val="00795D84"/>
    <w:rsid w:val="00796D0D"/>
    <w:rsid w:val="007976CA"/>
    <w:rsid w:val="007A0402"/>
    <w:rsid w:val="007A495E"/>
    <w:rsid w:val="007A4D41"/>
    <w:rsid w:val="007A5091"/>
    <w:rsid w:val="007A5FFA"/>
    <w:rsid w:val="007A62A1"/>
    <w:rsid w:val="007A6423"/>
    <w:rsid w:val="007A6DFD"/>
    <w:rsid w:val="007A710C"/>
    <w:rsid w:val="007A75C3"/>
    <w:rsid w:val="007A7C76"/>
    <w:rsid w:val="007A7D40"/>
    <w:rsid w:val="007B14E0"/>
    <w:rsid w:val="007B2F67"/>
    <w:rsid w:val="007B31BE"/>
    <w:rsid w:val="007B3ED0"/>
    <w:rsid w:val="007B499D"/>
    <w:rsid w:val="007C12FC"/>
    <w:rsid w:val="007C2422"/>
    <w:rsid w:val="007C2DAD"/>
    <w:rsid w:val="007C2F65"/>
    <w:rsid w:val="007C3EF3"/>
    <w:rsid w:val="007C4831"/>
    <w:rsid w:val="007C52DB"/>
    <w:rsid w:val="007C5A8B"/>
    <w:rsid w:val="007C78F2"/>
    <w:rsid w:val="007C7DD5"/>
    <w:rsid w:val="007D05FB"/>
    <w:rsid w:val="007D11C6"/>
    <w:rsid w:val="007D2883"/>
    <w:rsid w:val="007D29AF"/>
    <w:rsid w:val="007D3681"/>
    <w:rsid w:val="007D419D"/>
    <w:rsid w:val="007D6006"/>
    <w:rsid w:val="007D6FEF"/>
    <w:rsid w:val="007E0578"/>
    <w:rsid w:val="007E137A"/>
    <w:rsid w:val="007E1593"/>
    <w:rsid w:val="007E1E89"/>
    <w:rsid w:val="007E3D5C"/>
    <w:rsid w:val="007F0624"/>
    <w:rsid w:val="007F2DCC"/>
    <w:rsid w:val="007F3AD3"/>
    <w:rsid w:val="007F6069"/>
    <w:rsid w:val="007F60D6"/>
    <w:rsid w:val="008029EE"/>
    <w:rsid w:val="00803A5B"/>
    <w:rsid w:val="008043BB"/>
    <w:rsid w:val="00804D1C"/>
    <w:rsid w:val="00805339"/>
    <w:rsid w:val="00805B97"/>
    <w:rsid w:val="00805DDF"/>
    <w:rsid w:val="00806B64"/>
    <w:rsid w:val="008078A1"/>
    <w:rsid w:val="00807A02"/>
    <w:rsid w:val="00807FC4"/>
    <w:rsid w:val="00810E24"/>
    <w:rsid w:val="0081119F"/>
    <w:rsid w:val="00813E5A"/>
    <w:rsid w:val="00814AD3"/>
    <w:rsid w:val="00814D3D"/>
    <w:rsid w:val="00815D2B"/>
    <w:rsid w:val="008163F1"/>
    <w:rsid w:val="00816689"/>
    <w:rsid w:val="0081698A"/>
    <w:rsid w:val="00816C84"/>
    <w:rsid w:val="008172B2"/>
    <w:rsid w:val="008173DC"/>
    <w:rsid w:val="008179AA"/>
    <w:rsid w:val="00817C98"/>
    <w:rsid w:val="0082077D"/>
    <w:rsid w:val="00821C74"/>
    <w:rsid w:val="008229EB"/>
    <w:rsid w:val="008247EB"/>
    <w:rsid w:val="00824937"/>
    <w:rsid w:val="00825176"/>
    <w:rsid w:val="008261B4"/>
    <w:rsid w:val="008275F3"/>
    <w:rsid w:val="0082795E"/>
    <w:rsid w:val="00827DC2"/>
    <w:rsid w:val="00830744"/>
    <w:rsid w:val="008307E1"/>
    <w:rsid w:val="00834F17"/>
    <w:rsid w:val="008350CC"/>
    <w:rsid w:val="00835B03"/>
    <w:rsid w:val="00840D5D"/>
    <w:rsid w:val="00844027"/>
    <w:rsid w:val="00844D31"/>
    <w:rsid w:val="00844F10"/>
    <w:rsid w:val="00845D16"/>
    <w:rsid w:val="00850675"/>
    <w:rsid w:val="008518D1"/>
    <w:rsid w:val="00853121"/>
    <w:rsid w:val="00853939"/>
    <w:rsid w:val="008550BA"/>
    <w:rsid w:val="00855C57"/>
    <w:rsid w:val="00856106"/>
    <w:rsid w:val="00856E12"/>
    <w:rsid w:val="00864094"/>
    <w:rsid w:val="008646A1"/>
    <w:rsid w:val="00865245"/>
    <w:rsid w:val="00866218"/>
    <w:rsid w:val="00866F2A"/>
    <w:rsid w:val="0086706F"/>
    <w:rsid w:val="00867FD8"/>
    <w:rsid w:val="008702CB"/>
    <w:rsid w:val="00870330"/>
    <w:rsid w:val="00870B53"/>
    <w:rsid w:val="00870C60"/>
    <w:rsid w:val="00870ED9"/>
    <w:rsid w:val="00871DA1"/>
    <w:rsid w:val="008728CD"/>
    <w:rsid w:val="00872B15"/>
    <w:rsid w:val="0087366B"/>
    <w:rsid w:val="00873D9C"/>
    <w:rsid w:val="00874A94"/>
    <w:rsid w:val="00875123"/>
    <w:rsid w:val="008752DE"/>
    <w:rsid w:val="00875DB3"/>
    <w:rsid w:val="008774A6"/>
    <w:rsid w:val="00881ADC"/>
    <w:rsid w:val="008828C8"/>
    <w:rsid w:val="00882A10"/>
    <w:rsid w:val="00882A54"/>
    <w:rsid w:val="00883976"/>
    <w:rsid w:val="008843F3"/>
    <w:rsid w:val="00884721"/>
    <w:rsid w:val="00884D93"/>
    <w:rsid w:val="00885947"/>
    <w:rsid w:val="00886B0E"/>
    <w:rsid w:val="008870ED"/>
    <w:rsid w:val="008900FE"/>
    <w:rsid w:val="0089019E"/>
    <w:rsid w:val="0089251B"/>
    <w:rsid w:val="008925BF"/>
    <w:rsid w:val="008941CA"/>
    <w:rsid w:val="008944A9"/>
    <w:rsid w:val="00895495"/>
    <w:rsid w:val="00895552"/>
    <w:rsid w:val="008A04C5"/>
    <w:rsid w:val="008A161E"/>
    <w:rsid w:val="008A25FD"/>
    <w:rsid w:val="008A33FC"/>
    <w:rsid w:val="008A3F0D"/>
    <w:rsid w:val="008A4443"/>
    <w:rsid w:val="008A6244"/>
    <w:rsid w:val="008A643B"/>
    <w:rsid w:val="008A67DB"/>
    <w:rsid w:val="008A70BD"/>
    <w:rsid w:val="008A7663"/>
    <w:rsid w:val="008B09C0"/>
    <w:rsid w:val="008B1070"/>
    <w:rsid w:val="008B1118"/>
    <w:rsid w:val="008B12D3"/>
    <w:rsid w:val="008B2D83"/>
    <w:rsid w:val="008B3478"/>
    <w:rsid w:val="008B3658"/>
    <w:rsid w:val="008B3DFF"/>
    <w:rsid w:val="008B5BEB"/>
    <w:rsid w:val="008B63FB"/>
    <w:rsid w:val="008B673D"/>
    <w:rsid w:val="008B6827"/>
    <w:rsid w:val="008B7D0B"/>
    <w:rsid w:val="008C0237"/>
    <w:rsid w:val="008C051F"/>
    <w:rsid w:val="008C09A0"/>
    <w:rsid w:val="008C1287"/>
    <w:rsid w:val="008C14C8"/>
    <w:rsid w:val="008C3469"/>
    <w:rsid w:val="008C3A27"/>
    <w:rsid w:val="008C3CF0"/>
    <w:rsid w:val="008C4219"/>
    <w:rsid w:val="008C498D"/>
    <w:rsid w:val="008C5007"/>
    <w:rsid w:val="008C57E8"/>
    <w:rsid w:val="008D0143"/>
    <w:rsid w:val="008D0D4B"/>
    <w:rsid w:val="008D251C"/>
    <w:rsid w:val="008D27E8"/>
    <w:rsid w:val="008D5B84"/>
    <w:rsid w:val="008D5D71"/>
    <w:rsid w:val="008D7B0E"/>
    <w:rsid w:val="008D7DDB"/>
    <w:rsid w:val="008D7FB3"/>
    <w:rsid w:val="008E06E3"/>
    <w:rsid w:val="008E1286"/>
    <w:rsid w:val="008E1ADB"/>
    <w:rsid w:val="008E1C73"/>
    <w:rsid w:val="008E23E4"/>
    <w:rsid w:val="008E259E"/>
    <w:rsid w:val="008E2662"/>
    <w:rsid w:val="008E3957"/>
    <w:rsid w:val="008E4E6D"/>
    <w:rsid w:val="008F0767"/>
    <w:rsid w:val="008F10C0"/>
    <w:rsid w:val="008F1B32"/>
    <w:rsid w:val="008F20EF"/>
    <w:rsid w:val="008F29F9"/>
    <w:rsid w:val="008F2D2F"/>
    <w:rsid w:val="008F4480"/>
    <w:rsid w:val="008F4EDF"/>
    <w:rsid w:val="008F5388"/>
    <w:rsid w:val="008F54D3"/>
    <w:rsid w:val="008F5A4B"/>
    <w:rsid w:val="008F6401"/>
    <w:rsid w:val="008F6D8D"/>
    <w:rsid w:val="008F70E6"/>
    <w:rsid w:val="0090010F"/>
    <w:rsid w:val="00901D2E"/>
    <w:rsid w:val="00903291"/>
    <w:rsid w:val="00903A46"/>
    <w:rsid w:val="0090408F"/>
    <w:rsid w:val="00904216"/>
    <w:rsid w:val="00904A1A"/>
    <w:rsid w:val="00904F6C"/>
    <w:rsid w:val="00904FE7"/>
    <w:rsid w:val="0090514B"/>
    <w:rsid w:val="0090555F"/>
    <w:rsid w:val="00906739"/>
    <w:rsid w:val="009069A6"/>
    <w:rsid w:val="009103F0"/>
    <w:rsid w:val="00910731"/>
    <w:rsid w:val="00910EA9"/>
    <w:rsid w:val="00912383"/>
    <w:rsid w:val="0091359D"/>
    <w:rsid w:val="00913646"/>
    <w:rsid w:val="00913FCB"/>
    <w:rsid w:val="00915D98"/>
    <w:rsid w:val="009160E4"/>
    <w:rsid w:val="00917F85"/>
    <w:rsid w:val="00922782"/>
    <w:rsid w:val="00923BF7"/>
    <w:rsid w:val="00924827"/>
    <w:rsid w:val="0092540B"/>
    <w:rsid w:val="0092667E"/>
    <w:rsid w:val="009270E2"/>
    <w:rsid w:val="00927339"/>
    <w:rsid w:val="0092775B"/>
    <w:rsid w:val="00930206"/>
    <w:rsid w:val="00930F7F"/>
    <w:rsid w:val="00931492"/>
    <w:rsid w:val="00932985"/>
    <w:rsid w:val="00932F9D"/>
    <w:rsid w:val="00933436"/>
    <w:rsid w:val="00933673"/>
    <w:rsid w:val="00933BED"/>
    <w:rsid w:val="00934BB4"/>
    <w:rsid w:val="00934EBA"/>
    <w:rsid w:val="00935D30"/>
    <w:rsid w:val="009367A0"/>
    <w:rsid w:val="009407EA"/>
    <w:rsid w:val="00941BEC"/>
    <w:rsid w:val="0094237D"/>
    <w:rsid w:val="00942A76"/>
    <w:rsid w:val="00943737"/>
    <w:rsid w:val="00943DCD"/>
    <w:rsid w:val="00944805"/>
    <w:rsid w:val="00944CA7"/>
    <w:rsid w:val="00944E1E"/>
    <w:rsid w:val="0094666C"/>
    <w:rsid w:val="00946823"/>
    <w:rsid w:val="0094756C"/>
    <w:rsid w:val="00947C85"/>
    <w:rsid w:val="00950582"/>
    <w:rsid w:val="00950A46"/>
    <w:rsid w:val="00950D85"/>
    <w:rsid w:val="0095191D"/>
    <w:rsid w:val="009524B0"/>
    <w:rsid w:val="0095254D"/>
    <w:rsid w:val="00952A8E"/>
    <w:rsid w:val="0095435D"/>
    <w:rsid w:val="009546D0"/>
    <w:rsid w:val="00954862"/>
    <w:rsid w:val="00954F39"/>
    <w:rsid w:val="0095556B"/>
    <w:rsid w:val="009570E1"/>
    <w:rsid w:val="009574BE"/>
    <w:rsid w:val="00961D71"/>
    <w:rsid w:val="0096201F"/>
    <w:rsid w:val="00962DCE"/>
    <w:rsid w:val="009646C6"/>
    <w:rsid w:val="00965DC4"/>
    <w:rsid w:val="00965EF8"/>
    <w:rsid w:val="00966483"/>
    <w:rsid w:val="00967543"/>
    <w:rsid w:val="00967F5C"/>
    <w:rsid w:val="00970C9C"/>
    <w:rsid w:val="00970DFA"/>
    <w:rsid w:val="0097214E"/>
    <w:rsid w:val="009724F6"/>
    <w:rsid w:val="00972697"/>
    <w:rsid w:val="00973E67"/>
    <w:rsid w:val="00974D0D"/>
    <w:rsid w:val="00975732"/>
    <w:rsid w:val="00975A05"/>
    <w:rsid w:val="0097624E"/>
    <w:rsid w:val="009773B2"/>
    <w:rsid w:val="00977514"/>
    <w:rsid w:val="009801FF"/>
    <w:rsid w:val="009806FF"/>
    <w:rsid w:val="00980BCB"/>
    <w:rsid w:val="00983594"/>
    <w:rsid w:val="009842E4"/>
    <w:rsid w:val="00986F23"/>
    <w:rsid w:val="009901AA"/>
    <w:rsid w:val="009910DD"/>
    <w:rsid w:val="009914C0"/>
    <w:rsid w:val="0099198B"/>
    <w:rsid w:val="00991E48"/>
    <w:rsid w:val="009928D5"/>
    <w:rsid w:val="0099295D"/>
    <w:rsid w:val="009941F0"/>
    <w:rsid w:val="0099559F"/>
    <w:rsid w:val="00995984"/>
    <w:rsid w:val="00997882"/>
    <w:rsid w:val="00997CEF"/>
    <w:rsid w:val="009A0098"/>
    <w:rsid w:val="009A0268"/>
    <w:rsid w:val="009A330C"/>
    <w:rsid w:val="009A495A"/>
    <w:rsid w:val="009A5410"/>
    <w:rsid w:val="009A581F"/>
    <w:rsid w:val="009A6CB1"/>
    <w:rsid w:val="009A7C0A"/>
    <w:rsid w:val="009B092E"/>
    <w:rsid w:val="009B1B52"/>
    <w:rsid w:val="009B26E0"/>
    <w:rsid w:val="009B3B78"/>
    <w:rsid w:val="009B4D7C"/>
    <w:rsid w:val="009B4DB5"/>
    <w:rsid w:val="009B652A"/>
    <w:rsid w:val="009B6F83"/>
    <w:rsid w:val="009C086F"/>
    <w:rsid w:val="009C0A14"/>
    <w:rsid w:val="009C2676"/>
    <w:rsid w:val="009C2E92"/>
    <w:rsid w:val="009C339E"/>
    <w:rsid w:val="009C3818"/>
    <w:rsid w:val="009C3912"/>
    <w:rsid w:val="009C3EAC"/>
    <w:rsid w:val="009C40B8"/>
    <w:rsid w:val="009C43B7"/>
    <w:rsid w:val="009C4D69"/>
    <w:rsid w:val="009C5C51"/>
    <w:rsid w:val="009C62A5"/>
    <w:rsid w:val="009C66B5"/>
    <w:rsid w:val="009C6706"/>
    <w:rsid w:val="009C7447"/>
    <w:rsid w:val="009C79CF"/>
    <w:rsid w:val="009C7BBC"/>
    <w:rsid w:val="009D05A0"/>
    <w:rsid w:val="009D4956"/>
    <w:rsid w:val="009D5D10"/>
    <w:rsid w:val="009D61AA"/>
    <w:rsid w:val="009D7D1A"/>
    <w:rsid w:val="009E051F"/>
    <w:rsid w:val="009E1B31"/>
    <w:rsid w:val="009E2410"/>
    <w:rsid w:val="009E2884"/>
    <w:rsid w:val="009E2901"/>
    <w:rsid w:val="009E4DA4"/>
    <w:rsid w:val="009E61F6"/>
    <w:rsid w:val="009E712B"/>
    <w:rsid w:val="009F03AA"/>
    <w:rsid w:val="009F10AE"/>
    <w:rsid w:val="009F4F1C"/>
    <w:rsid w:val="009F6E6D"/>
    <w:rsid w:val="009F71DF"/>
    <w:rsid w:val="00A01141"/>
    <w:rsid w:val="00A01BC8"/>
    <w:rsid w:val="00A01D9B"/>
    <w:rsid w:val="00A01FDE"/>
    <w:rsid w:val="00A02EAB"/>
    <w:rsid w:val="00A037A3"/>
    <w:rsid w:val="00A0412C"/>
    <w:rsid w:val="00A05777"/>
    <w:rsid w:val="00A0666F"/>
    <w:rsid w:val="00A1062B"/>
    <w:rsid w:val="00A107B7"/>
    <w:rsid w:val="00A10911"/>
    <w:rsid w:val="00A11685"/>
    <w:rsid w:val="00A11D71"/>
    <w:rsid w:val="00A120A5"/>
    <w:rsid w:val="00A13844"/>
    <w:rsid w:val="00A13BBB"/>
    <w:rsid w:val="00A140A5"/>
    <w:rsid w:val="00A140CD"/>
    <w:rsid w:val="00A1511E"/>
    <w:rsid w:val="00A157B4"/>
    <w:rsid w:val="00A16F1F"/>
    <w:rsid w:val="00A171CA"/>
    <w:rsid w:val="00A1733C"/>
    <w:rsid w:val="00A17543"/>
    <w:rsid w:val="00A17641"/>
    <w:rsid w:val="00A20749"/>
    <w:rsid w:val="00A228F6"/>
    <w:rsid w:val="00A2382A"/>
    <w:rsid w:val="00A2464B"/>
    <w:rsid w:val="00A2474E"/>
    <w:rsid w:val="00A275D8"/>
    <w:rsid w:val="00A27E28"/>
    <w:rsid w:val="00A3102B"/>
    <w:rsid w:val="00A317C8"/>
    <w:rsid w:val="00A31EEB"/>
    <w:rsid w:val="00A32297"/>
    <w:rsid w:val="00A326B2"/>
    <w:rsid w:val="00A33566"/>
    <w:rsid w:val="00A3631C"/>
    <w:rsid w:val="00A36E96"/>
    <w:rsid w:val="00A414F4"/>
    <w:rsid w:val="00A415CD"/>
    <w:rsid w:val="00A42046"/>
    <w:rsid w:val="00A4279F"/>
    <w:rsid w:val="00A42B96"/>
    <w:rsid w:val="00A43098"/>
    <w:rsid w:val="00A436EE"/>
    <w:rsid w:val="00A437D1"/>
    <w:rsid w:val="00A44C1D"/>
    <w:rsid w:val="00A45348"/>
    <w:rsid w:val="00A4537D"/>
    <w:rsid w:val="00A45990"/>
    <w:rsid w:val="00A45DEA"/>
    <w:rsid w:val="00A467C6"/>
    <w:rsid w:val="00A46A39"/>
    <w:rsid w:val="00A47E13"/>
    <w:rsid w:val="00A50C52"/>
    <w:rsid w:val="00A50C70"/>
    <w:rsid w:val="00A52297"/>
    <w:rsid w:val="00A52943"/>
    <w:rsid w:val="00A52B7E"/>
    <w:rsid w:val="00A52E3B"/>
    <w:rsid w:val="00A53871"/>
    <w:rsid w:val="00A53C35"/>
    <w:rsid w:val="00A55B8C"/>
    <w:rsid w:val="00A5621F"/>
    <w:rsid w:val="00A56747"/>
    <w:rsid w:val="00A567B5"/>
    <w:rsid w:val="00A56A09"/>
    <w:rsid w:val="00A56C52"/>
    <w:rsid w:val="00A60B94"/>
    <w:rsid w:val="00A60CC9"/>
    <w:rsid w:val="00A63CFC"/>
    <w:rsid w:val="00A643BE"/>
    <w:rsid w:val="00A71E63"/>
    <w:rsid w:val="00A734B2"/>
    <w:rsid w:val="00A73F8C"/>
    <w:rsid w:val="00A745FF"/>
    <w:rsid w:val="00A74B84"/>
    <w:rsid w:val="00A753D3"/>
    <w:rsid w:val="00A75CA4"/>
    <w:rsid w:val="00A7624D"/>
    <w:rsid w:val="00A77C00"/>
    <w:rsid w:val="00A77FDA"/>
    <w:rsid w:val="00A8110E"/>
    <w:rsid w:val="00A81DDD"/>
    <w:rsid w:val="00A8263F"/>
    <w:rsid w:val="00A829E7"/>
    <w:rsid w:val="00A82D0C"/>
    <w:rsid w:val="00A8351A"/>
    <w:rsid w:val="00A86299"/>
    <w:rsid w:val="00A87E8C"/>
    <w:rsid w:val="00A903F5"/>
    <w:rsid w:val="00A91934"/>
    <w:rsid w:val="00A92049"/>
    <w:rsid w:val="00A9525C"/>
    <w:rsid w:val="00A95BB2"/>
    <w:rsid w:val="00A96EC2"/>
    <w:rsid w:val="00A97CE3"/>
    <w:rsid w:val="00AA00EA"/>
    <w:rsid w:val="00AA0223"/>
    <w:rsid w:val="00AA0C40"/>
    <w:rsid w:val="00AA104C"/>
    <w:rsid w:val="00AA1749"/>
    <w:rsid w:val="00AA3073"/>
    <w:rsid w:val="00AA3A14"/>
    <w:rsid w:val="00AA44E2"/>
    <w:rsid w:val="00AA4F93"/>
    <w:rsid w:val="00AA64B9"/>
    <w:rsid w:val="00AA6701"/>
    <w:rsid w:val="00AA6FB1"/>
    <w:rsid w:val="00AA713C"/>
    <w:rsid w:val="00AA7679"/>
    <w:rsid w:val="00AB1011"/>
    <w:rsid w:val="00AB3F9C"/>
    <w:rsid w:val="00AB43CB"/>
    <w:rsid w:val="00AB49FB"/>
    <w:rsid w:val="00AB5588"/>
    <w:rsid w:val="00AB5FDD"/>
    <w:rsid w:val="00AB6E9E"/>
    <w:rsid w:val="00AB6EED"/>
    <w:rsid w:val="00AB73A1"/>
    <w:rsid w:val="00AB778A"/>
    <w:rsid w:val="00AB7E24"/>
    <w:rsid w:val="00AC087B"/>
    <w:rsid w:val="00AC0AB6"/>
    <w:rsid w:val="00AC0C85"/>
    <w:rsid w:val="00AC1675"/>
    <w:rsid w:val="00AC17A1"/>
    <w:rsid w:val="00AC2E3B"/>
    <w:rsid w:val="00AC2E7C"/>
    <w:rsid w:val="00AC3E98"/>
    <w:rsid w:val="00AC4210"/>
    <w:rsid w:val="00AC4ACD"/>
    <w:rsid w:val="00AC69D6"/>
    <w:rsid w:val="00AC729B"/>
    <w:rsid w:val="00AC7B84"/>
    <w:rsid w:val="00AD1F98"/>
    <w:rsid w:val="00AD2730"/>
    <w:rsid w:val="00AD2CF5"/>
    <w:rsid w:val="00AD38DC"/>
    <w:rsid w:val="00AD4490"/>
    <w:rsid w:val="00AD5BE2"/>
    <w:rsid w:val="00AD7940"/>
    <w:rsid w:val="00AE145D"/>
    <w:rsid w:val="00AE1892"/>
    <w:rsid w:val="00AE1DC5"/>
    <w:rsid w:val="00AE1F5C"/>
    <w:rsid w:val="00AE2C9F"/>
    <w:rsid w:val="00AE5370"/>
    <w:rsid w:val="00AE5A74"/>
    <w:rsid w:val="00AE5F7E"/>
    <w:rsid w:val="00AE68B3"/>
    <w:rsid w:val="00AF0B1A"/>
    <w:rsid w:val="00AF2102"/>
    <w:rsid w:val="00AF2534"/>
    <w:rsid w:val="00AF501C"/>
    <w:rsid w:val="00AF5CA0"/>
    <w:rsid w:val="00AF746C"/>
    <w:rsid w:val="00B00F7A"/>
    <w:rsid w:val="00B026F2"/>
    <w:rsid w:val="00B02A5F"/>
    <w:rsid w:val="00B03834"/>
    <w:rsid w:val="00B045E5"/>
    <w:rsid w:val="00B04C48"/>
    <w:rsid w:val="00B074FE"/>
    <w:rsid w:val="00B102BE"/>
    <w:rsid w:val="00B155F4"/>
    <w:rsid w:val="00B15DAA"/>
    <w:rsid w:val="00B16AC1"/>
    <w:rsid w:val="00B1767C"/>
    <w:rsid w:val="00B17BA8"/>
    <w:rsid w:val="00B204D6"/>
    <w:rsid w:val="00B2244B"/>
    <w:rsid w:val="00B24A83"/>
    <w:rsid w:val="00B2521F"/>
    <w:rsid w:val="00B25672"/>
    <w:rsid w:val="00B257D6"/>
    <w:rsid w:val="00B30C11"/>
    <w:rsid w:val="00B3196F"/>
    <w:rsid w:val="00B33688"/>
    <w:rsid w:val="00B33A4D"/>
    <w:rsid w:val="00B34DC3"/>
    <w:rsid w:val="00B350AB"/>
    <w:rsid w:val="00B35AC8"/>
    <w:rsid w:val="00B35FA2"/>
    <w:rsid w:val="00B3640F"/>
    <w:rsid w:val="00B368E4"/>
    <w:rsid w:val="00B36F49"/>
    <w:rsid w:val="00B36FE7"/>
    <w:rsid w:val="00B373E3"/>
    <w:rsid w:val="00B3743E"/>
    <w:rsid w:val="00B43122"/>
    <w:rsid w:val="00B44B73"/>
    <w:rsid w:val="00B45203"/>
    <w:rsid w:val="00B45AB3"/>
    <w:rsid w:val="00B4661B"/>
    <w:rsid w:val="00B469C8"/>
    <w:rsid w:val="00B473E1"/>
    <w:rsid w:val="00B47533"/>
    <w:rsid w:val="00B508E9"/>
    <w:rsid w:val="00B5094A"/>
    <w:rsid w:val="00B50AA2"/>
    <w:rsid w:val="00B50C28"/>
    <w:rsid w:val="00B50EBA"/>
    <w:rsid w:val="00B50F9C"/>
    <w:rsid w:val="00B51718"/>
    <w:rsid w:val="00B5204A"/>
    <w:rsid w:val="00B5245B"/>
    <w:rsid w:val="00B52E29"/>
    <w:rsid w:val="00B54182"/>
    <w:rsid w:val="00B54499"/>
    <w:rsid w:val="00B553B0"/>
    <w:rsid w:val="00B555CF"/>
    <w:rsid w:val="00B57507"/>
    <w:rsid w:val="00B5754A"/>
    <w:rsid w:val="00B60477"/>
    <w:rsid w:val="00B607F2"/>
    <w:rsid w:val="00B62F55"/>
    <w:rsid w:val="00B64238"/>
    <w:rsid w:val="00B6449F"/>
    <w:rsid w:val="00B644D6"/>
    <w:rsid w:val="00B645CC"/>
    <w:rsid w:val="00B66E09"/>
    <w:rsid w:val="00B66E1D"/>
    <w:rsid w:val="00B6785B"/>
    <w:rsid w:val="00B678AA"/>
    <w:rsid w:val="00B67953"/>
    <w:rsid w:val="00B70ACE"/>
    <w:rsid w:val="00B70BD3"/>
    <w:rsid w:val="00B71461"/>
    <w:rsid w:val="00B71468"/>
    <w:rsid w:val="00B72336"/>
    <w:rsid w:val="00B727BB"/>
    <w:rsid w:val="00B72904"/>
    <w:rsid w:val="00B738DA"/>
    <w:rsid w:val="00B742A0"/>
    <w:rsid w:val="00B742E7"/>
    <w:rsid w:val="00B74B39"/>
    <w:rsid w:val="00B74CA8"/>
    <w:rsid w:val="00B766E0"/>
    <w:rsid w:val="00B773AA"/>
    <w:rsid w:val="00B77572"/>
    <w:rsid w:val="00B7779A"/>
    <w:rsid w:val="00B80BBC"/>
    <w:rsid w:val="00B81667"/>
    <w:rsid w:val="00B82007"/>
    <w:rsid w:val="00B82B59"/>
    <w:rsid w:val="00B83E37"/>
    <w:rsid w:val="00B8405B"/>
    <w:rsid w:val="00B848E6"/>
    <w:rsid w:val="00B85E08"/>
    <w:rsid w:val="00B860B1"/>
    <w:rsid w:val="00B9043A"/>
    <w:rsid w:val="00B926A5"/>
    <w:rsid w:val="00B933E5"/>
    <w:rsid w:val="00B933F6"/>
    <w:rsid w:val="00B9347F"/>
    <w:rsid w:val="00B944D2"/>
    <w:rsid w:val="00B96E49"/>
    <w:rsid w:val="00B977C3"/>
    <w:rsid w:val="00B978C7"/>
    <w:rsid w:val="00BA028E"/>
    <w:rsid w:val="00BA1679"/>
    <w:rsid w:val="00BA1716"/>
    <w:rsid w:val="00BA1D2F"/>
    <w:rsid w:val="00BA3A07"/>
    <w:rsid w:val="00BA3D3C"/>
    <w:rsid w:val="00BA4FEE"/>
    <w:rsid w:val="00BA615B"/>
    <w:rsid w:val="00BA693E"/>
    <w:rsid w:val="00BA69A4"/>
    <w:rsid w:val="00BA794C"/>
    <w:rsid w:val="00BB0B5F"/>
    <w:rsid w:val="00BB19C3"/>
    <w:rsid w:val="00BB1BCC"/>
    <w:rsid w:val="00BB4DE4"/>
    <w:rsid w:val="00BB4ECA"/>
    <w:rsid w:val="00BB5841"/>
    <w:rsid w:val="00BB6103"/>
    <w:rsid w:val="00BB7EC1"/>
    <w:rsid w:val="00BC021C"/>
    <w:rsid w:val="00BC0ADA"/>
    <w:rsid w:val="00BC1621"/>
    <w:rsid w:val="00BC1E22"/>
    <w:rsid w:val="00BC230D"/>
    <w:rsid w:val="00BC366C"/>
    <w:rsid w:val="00BC5039"/>
    <w:rsid w:val="00BC5C0A"/>
    <w:rsid w:val="00BC652F"/>
    <w:rsid w:val="00BC69DE"/>
    <w:rsid w:val="00BC6E12"/>
    <w:rsid w:val="00BD0E17"/>
    <w:rsid w:val="00BD203D"/>
    <w:rsid w:val="00BD2112"/>
    <w:rsid w:val="00BD3224"/>
    <w:rsid w:val="00BD40AE"/>
    <w:rsid w:val="00BD420E"/>
    <w:rsid w:val="00BD43E6"/>
    <w:rsid w:val="00BD44ED"/>
    <w:rsid w:val="00BD5AAF"/>
    <w:rsid w:val="00BD6A02"/>
    <w:rsid w:val="00BD6A7B"/>
    <w:rsid w:val="00BE0B3E"/>
    <w:rsid w:val="00BE1027"/>
    <w:rsid w:val="00BE28DD"/>
    <w:rsid w:val="00BE310D"/>
    <w:rsid w:val="00BE460F"/>
    <w:rsid w:val="00BE68A8"/>
    <w:rsid w:val="00BF1DE7"/>
    <w:rsid w:val="00BF1F23"/>
    <w:rsid w:val="00BF2906"/>
    <w:rsid w:val="00BF2CC5"/>
    <w:rsid w:val="00BF3015"/>
    <w:rsid w:val="00BF5ECA"/>
    <w:rsid w:val="00BF60A9"/>
    <w:rsid w:val="00BF679C"/>
    <w:rsid w:val="00BF7259"/>
    <w:rsid w:val="00C00D15"/>
    <w:rsid w:val="00C01193"/>
    <w:rsid w:val="00C011A9"/>
    <w:rsid w:val="00C03514"/>
    <w:rsid w:val="00C03674"/>
    <w:rsid w:val="00C04F0F"/>
    <w:rsid w:val="00C062FC"/>
    <w:rsid w:val="00C066C7"/>
    <w:rsid w:val="00C06979"/>
    <w:rsid w:val="00C06E0D"/>
    <w:rsid w:val="00C06E5B"/>
    <w:rsid w:val="00C0799B"/>
    <w:rsid w:val="00C07ACF"/>
    <w:rsid w:val="00C100EA"/>
    <w:rsid w:val="00C11304"/>
    <w:rsid w:val="00C1171C"/>
    <w:rsid w:val="00C12F97"/>
    <w:rsid w:val="00C14688"/>
    <w:rsid w:val="00C14D3F"/>
    <w:rsid w:val="00C15256"/>
    <w:rsid w:val="00C15B73"/>
    <w:rsid w:val="00C20071"/>
    <w:rsid w:val="00C20C13"/>
    <w:rsid w:val="00C21B24"/>
    <w:rsid w:val="00C22B9C"/>
    <w:rsid w:val="00C24ACD"/>
    <w:rsid w:val="00C255FA"/>
    <w:rsid w:val="00C268F1"/>
    <w:rsid w:val="00C272DB"/>
    <w:rsid w:val="00C27CA1"/>
    <w:rsid w:val="00C30C6D"/>
    <w:rsid w:val="00C31CE2"/>
    <w:rsid w:val="00C32902"/>
    <w:rsid w:val="00C34A92"/>
    <w:rsid w:val="00C34FC7"/>
    <w:rsid w:val="00C366B5"/>
    <w:rsid w:val="00C37A6C"/>
    <w:rsid w:val="00C406A3"/>
    <w:rsid w:val="00C40B14"/>
    <w:rsid w:val="00C41C49"/>
    <w:rsid w:val="00C43CEA"/>
    <w:rsid w:val="00C45464"/>
    <w:rsid w:val="00C46AB2"/>
    <w:rsid w:val="00C4702B"/>
    <w:rsid w:val="00C47064"/>
    <w:rsid w:val="00C47BDB"/>
    <w:rsid w:val="00C50219"/>
    <w:rsid w:val="00C505A3"/>
    <w:rsid w:val="00C5138C"/>
    <w:rsid w:val="00C51694"/>
    <w:rsid w:val="00C520D7"/>
    <w:rsid w:val="00C533C7"/>
    <w:rsid w:val="00C536BF"/>
    <w:rsid w:val="00C554AB"/>
    <w:rsid w:val="00C5770D"/>
    <w:rsid w:val="00C6083B"/>
    <w:rsid w:val="00C63795"/>
    <w:rsid w:val="00C640DD"/>
    <w:rsid w:val="00C64754"/>
    <w:rsid w:val="00C70980"/>
    <w:rsid w:val="00C70F07"/>
    <w:rsid w:val="00C71030"/>
    <w:rsid w:val="00C7185A"/>
    <w:rsid w:val="00C7191F"/>
    <w:rsid w:val="00C7210D"/>
    <w:rsid w:val="00C7380B"/>
    <w:rsid w:val="00C73CB5"/>
    <w:rsid w:val="00C74D8C"/>
    <w:rsid w:val="00C753F2"/>
    <w:rsid w:val="00C76821"/>
    <w:rsid w:val="00C76F6E"/>
    <w:rsid w:val="00C80115"/>
    <w:rsid w:val="00C80602"/>
    <w:rsid w:val="00C808B4"/>
    <w:rsid w:val="00C81439"/>
    <w:rsid w:val="00C8151E"/>
    <w:rsid w:val="00C81AA8"/>
    <w:rsid w:val="00C81BEC"/>
    <w:rsid w:val="00C82447"/>
    <w:rsid w:val="00C82921"/>
    <w:rsid w:val="00C83068"/>
    <w:rsid w:val="00C840D2"/>
    <w:rsid w:val="00C85824"/>
    <w:rsid w:val="00C85EA4"/>
    <w:rsid w:val="00C86377"/>
    <w:rsid w:val="00C87093"/>
    <w:rsid w:val="00C87542"/>
    <w:rsid w:val="00C902AA"/>
    <w:rsid w:val="00C91110"/>
    <w:rsid w:val="00C9159D"/>
    <w:rsid w:val="00C91A45"/>
    <w:rsid w:val="00C922E2"/>
    <w:rsid w:val="00C92382"/>
    <w:rsid w:val="00C92A98"/>
    <w:rsid w:val="00C969C0"/>
    <w:rsid w:val="00C96CC0"/>
    <w:rsid w:val="00C9727F"/>
    <w:rsid w:val="00C97289"/>
    <w:rsid w:val="00C9792C"/>
    <w:rsid w:val="00C97EF7"/>
    <w:rsid w:val="00CA0D87"/>
    <w:rsid w:val="00CA0E4E"/>
    <w:rsid w:val="00CA2501"/>
    <w:rsid w:val="00CA2BDB"/>
    <w:rsid w:val="00CA2F34"/>
    <w:rsid w:val="00CA3CC3"/>
    <w:rsid w:val="00CA5774"/>
    <w:rsid w:val="00CA57B8"/>
    <w:rsid w:val="00CA639A"/>
    <w:rsid w:val="00CA6A2C"/>
    <w:rsid w:val="00CA6B4F"/>
    <w:rsid w:val="00CB04FD"/>
    <w:rsid w:val="00CB0F08"/>
    <w:rsid w:val="00CB10C8"/>
    <w:rsid w:val="00CB2DA1"/>
    <w:rsid w:val="00CB319A"/>
    <w:rsid w:val="00CB33EB"/>
    <w:rsid w:val="00CB3451"/>
    <w:rsid w:val="00CB4B92"/>
    <w:rsid w:val="00CB4D53"/>
    <w:rsid w:val="00CB5768"/>
    <w:rsid w:val="00CB64A5"/>
    <w:rsid w:val="00CB7A15"/>
    <w:rsid w:val="00CC048F"/>
    <w:rsid w:val="00CC0713"/>
    <w:rsid w:val="00CC1468"/>
    <w:rsid w:val="00CC1535"/>
    <w:rsid w:val="00CC5B9A"/>
    <w:rsid w:val="00CC66E1"/>
    <w:rsid w:val="00CC67CE"/>
    <w:rsid w:val="00CC77AB"/>
    <w:rsid w:val="00CC7CDF"/>
    <w:rsid w:val="00CC7DA7"/>
    <w:rsid w:val="00CD033C"/>
    <w:rsid w:val="00CD03A0"/>
    <w:rsid w:val="00CD1885"/>
    <w:rsid w:val="00CD24A0"/>
    <w:rsid w:val="00CD33E9"/>
    <w:rsid w:val="00CD60DF"/>
    <w:rsid w:val="00CD628E"/>
    <w:rsid w:val="00CD63CC"/>
    <w:rsid w:val="00CD6E84"/>
    <w:rsid w:val="00CD7FAB"/>
    <w:rsid w:val="00CE0E8D"/>
    <w:rsid w:val="00CE1458"/>
    <w:rsid w:val="00CE1B79"/>
    <w:rsid w:val="00CE2447"/>
    <w:rsid w:val="00CE36ED"/>
    <w:rsid w:val="00CE3718"/>
    <w:rsid w:val="00CE3C7C"/>
    <w:rsid w:val="00CE578F"/>
    <w:rsid w:val="00CE7656"/>
    <w:rsid w:val="00CE7B0C"/>
    <w:rsid w:val="00CE7D96"/>
    <w:rsid w:val="00CF001D"/>
    <w:rsid w:val="00CF3B1C"/>
    <w:rsid w:val="00CF4FB4"/>
    <w:rsid w:val="00CF5D45"/>
    <w:rsid w:val="00CF704A"/>
    <w:rsid w:val="00CF746F"/>
    <w:rsid w:val="00CF7535"/>
    <w:rsid w:val="00D000F9"/>
    <w:rsid w:val="00D01937"/>
    <w:rsid w:val="00D026BD"/>
    <w:rsid w:val="00D03571"/>
    <w:rsid w:val="00D03792"/>
    <w:rsid w:val="00D041DB"/>
    <w:rsid w:val="00D055A6"/>
    <w:rsid w:val="00D07E7C"/>
    <w:rsid w:val="00D07F6D"/>
    <w:rsid w:val="00D101D4"/>
    <w:rsid w:val="00D10705"/>
    <w:rsid w:val="00D10807"/>
    <w:rsid w:val="00D10F13"/>
    <w:rsid w:val="00D121E8"/>
    <w:rsid w:val="00D144F7"/>
    <w:rsid w:val="00D14B5D"/>
    <w:rsid w:val="00D155FC"/>
    <w:rsid w:val="00D17172"/>
    <w:rsid w:val="00D1738F"/>
    <w:rsid w:val="00D202C7"/>
    <w:rsid w:val="00D20AA1"/>
    <w:rsid w:val="00D20C49"/>
    <w:rsid w:val="00D20CE0"/>
    <w:rsid w:val="00D214D6"/>
    <w:rsid w:val="00D22522"/>
    <w:rsid w:val="00D2268C"/>
    <w:rsid w:val="00D227A4"/>
    <w:rsid w:val="00D23215"/>
    <w:rsid w:val="00D24317"/>
    <w:rsid w:val="00D2649B"/>
    <w:rsid w:val="00D269E5"/>
    <w:rsid w:val="00D31D5E"/>
    <w:rsid w:val="00D320AB"/>
    <w:rsid w:val="00D32115"/>
    <w:rsid w:val="00D324B4"/>
    <w:rsid w:val="00D3270B"/>
    <w:rsid w:val="00D3290F"/>
    <w:rsid w:val="00D32C2F"/>
    <w:rsid w:val="00D33322"/>
    <w:rsid w:val="00D347CC"/>
    <w:rsid w:val="00D35682"/>
    <w:rsid w:val="00D411CF"/>
    <w:rsid w:val="00D42731"/>
    <w:rsid w:val="00D436E9"/>
    <w:rsid w:val="00D44220"/>
    <w:rsid w:val="00D4489C"/>
    <w:rsid w:val="00D4525B"/>
    <w:rsid w:val="00D46064"/>
    <w:rsid w:val="00D469B8"/>
    <w:rsid w:val="00D4799D"/>
    <w:rsid w:val="00D47CF9"/>
    <w:rsid w:val="00D502A5"/>
    <w:rsid w:val="00D509F9"/>
    <w:rsid w:val="00D50A07"/>
    <w:rsid w:val="00D50C1A"/>
    <w:rsid w:val="00D51D84"/>
    <w:rsid w:val="00D51F6A"/>
    <w:rsid w:val="00D528C5"/>
    <w:rsid w:val="00D55340"/>
    <w:rsid w:val="00D573A6"/>
    <w:rsid w:val="00D57511"/>
    <w:rsid w:val="00D60488"/>
    <w:rsid w:val="00D6201A"/>
    <w:rsid w:val="00D62A5C"/>
    <w:rsid w:val="00D62BFF"/>
    <w:rsid w:val="00D65071"/>
    <w:rsid w:val="00D65D98"/>
    <w:rsid w:val="00D66F84"/>
    <w:rsid w:val="00D6746F"/>
    <w:rsid w:val="00D67A90"/>
    <w:rsid w:val="00D7100D"/>
    <w:rsid w:val="00D71D54"/>
    <w:rsid w:val="00D72256"/>
    <w:rsid w:val="00D72454"/>
    <w:rsid w:val="00D7366A"/>
    <w:rsid w:val="00D741E1"/>
    <w:rsid w:val="00D74617"/>
    <w:rsid w:val="00D75337"/>
    <w:rsid w:val="00D7665B"/>
    <w:rsid w:val="00D774CD"/>
    <w:rsid w:val="00D77D4A"/>
    <w:rsid w:val="00D81435"/>
    <w:rsid w:val="00D814F9"/>
    <w:rsid w:val="00D818D0"/>
    <w:rsid w:val="00D826F4"/>
    <w:rsid w:val="00D841E7"/>
    <w:rsid w:val="00D848E3"/>
    <w:rsid w:val="00D84EEB"/>
    <w:rsid w:val="00D85DEE"/>
    <w:rsid w:val="00D90EBC"/>
    <w:rsid w:val="00D91FF6"/>
    <w:rsid w:val="00D93331"/>
    <w:rsid w:val="00D93E9F"/>
    <w:rsid w:val="00D958D1"/>
    <w:rsid w:val="00D96659"/>
    <w:rsid w:val="00D968FD"/>
    <w:rsid w:val="00D97B83"/>
    <w:rsid w:val="00DA0F66"/>
    <w:rsid w:val="00DA19F6"/>
    <w:rsid w:val="00DA357B"/>
    <w:rsid w:val="00DA3E66"/>
    <w:rsid w:val="00DA3F7B"/>
    <w:rsid w:val="00DB02C3"/>
    <w:rsid w:val="00DB0998"/>
    <w:rsid w:val="00DB1E8E"/>
    <w:rsid w:val="00DB2BBB"/>
    <w:rsid w:val="00DB2DE2"/>
    <w:rsid w:val="00DB37D6"/>
    <w:rsid w:val="00DB3D09"/>
    <w:rsid w:val="00DB3F51"/>
    <w:rsid w:val="00DB51FA"/>
    <w:rsid w:val="00DB5A13"/>
    <w:rsid w:val="00DB65D0"/>
    <w:rsid w:val="00DB6BDC"/>
    <w:rsid w:val="00DB7560"/>
    <w:rsid w:val="00DB789D"/>
    <w:rsid w:val="00DC0AE5"/>
    <w:rsid w:val="00DC230C"/>
    <w:rsid w:val="00DC5BE9"/>
    <w:rsid w:val="00DC5F25"/>
    <w:rsid w:val="00DC6268"/>
    <w:rsid w:val="00DC6B00"/>
    <w:rsid w:val="00DC7710"/>
    <w:rsid w:val="00DC7F4C"/>
    <w:rsid w:val="00DD0740"/>
    <w:rsid w:val="00DD145B"/>
    <w:rsid w:val="00DD1675"/>
    <w:rsid w:val="00DD1F3D"/>
    <w:rsid w:val="00DD254E"/>
    <w:rsid w:val="00DD416F"/>
    <w:rsid w:val="00DD5AED"/>
    <w:rsid w:val="00DE23DF"/>
    <w:rsid w:val="00DE2D90"/>
    <w:rsid w:val="00DE2FA0"/>
    <w:rsid w:val="00DE3A05"/>
    <w:rsid w:val="00DE6DBA"/>
    <w:rsid w:val="00DE7AB9"/>
    <w:rsid w:val="00DF134E"/>
    <w:rsid w:val="00DF1C7D"/>
    <w:rsid w:val="00DF278F"/>
    <w:rsid w:val="00DF2792"/>
    <w:rsid w:val="00DF28AE"/>
    <w:rsid w:val="00DF36AD"/>
    <w:rsid w:val="00DF5777"/>
    <w:rsid w:val="00DF65F8"/>
    <w:rsid w:val="00DF6B14"/>
    <w:rsid w:val="00DF7401"/>
    <w:rsid w:val="00E0134B"/>
    <w:rsid w:val="00E014C4"/>
    <w:rsid w:val="00E01BD0"/>
    <w:rsid w:val="00E0228D"/>
    <w:rsid w:val="00E03D69"/>
    <w:rsid w:val="00E04CFB"/>
    <w:rsid w:val="00E06817"/>
    <w:rsid w:val="00E071D2"/>
    <w:rsid w:val="00E07A1F"/>
    <w:rsid w:val="00E07CCB"/>
    <w:rsid w:val="00E107D2"/>
    <w:rsid w:val="00E10BE7"/>
    <w:rsid w:val="00E12A7D"/>
    <w:rsid w:val="00E134CC"/>
    <w:rsid w:val="00E13676"/>
    <w:rsid w:val="00E141FF"/>
    <w:rsid w:val="00E14F42"/>
    <w:rsid w:val="00E156E9"/>
    <w:rsid w:val="00E17C1B"/>
    <w:rsid w:val="00E21DD1"/>
    <w:rsid w:val="00E245F9"/>
    <w:rsid w:val="00E2632B"/>
    <w:rsid w:val="00E26ACE"/>
    <w:rsid w:val="00E26D8A"/>
    <w:rsid w:val="00E27967"/>
    <w:rsid w:val="00E27DEB"/>
    <w:rsid w:val="00E30359"/>
    <w:rsid w:val="00E31774"/>
    <w:rsid w:val="00E31B5C"/>
    <w:rsid w:val="00E325B3"/>
    <w:rsid w:val="00E35C5C"/>
    <w:rsid w:val="00E35E3B"/>
    <w:rsid w:val="00E3658B"/>
    <w:rsid w:val="00E37642"/>
    <w:rsid w:val="00E4020C"/>
    <w:rsid w:val="00E40BDB"/>
    <w:rsid w:val="00E42072"/>
    <w:rsid w:val="00E43676"/>
    <w:rsid w:val="00E442D1"/>
    <w:rsid w:val="00E4469D"/>
    <w:rsid w:val="00E45DBD"/>
    <w:rsid w:val="00E4759A"/>
    <w:rsid w:val="00E47601"/>
    <w:rsid w:val="00E47B29"/>
    <w:rsid w:val="00E505A3"/>
    <w:rsid w:val="00E54776"/>
    <w:rsid w:val="00E552AA"/>
    <w:rsid w:val="00E558B0"/>
    <w:rsid w:val="00E55D39"/>
    <w:rsid w:val="00E560F1"/>
    <w:rsid w:val="00E562E2"/>
    <w:rsid w:val="00E56442"/>
    <w:rsid w:val="00E61157"/>
    <w:rsid w:val="00E61412"/>
    <w:rsid w:val="00E62552"/>
    <w:rsid w:val="00E632EB"/>
    <w:rsid w:val="00E63F28"/>
    <w:rsid w:val="00E64187"/>
    <w:rsid w:val="00E66078"/>
    <w:rsid w:val="00E660AC"/>
    <w:rsid w:val="00E67471"/>
    <w:rsid w:val="00E6775B"/>
    <w:rsid w:val="00E67F39"/>
    <w:rsid w:val="00E71448"/>
    <w:rsid w:val="00E71ABF"/>
    <w:rsid w:val="00E71FBA"/>
    <w:rsid w:val="00E723BE"/>
    <w:rsid w:val="00E7579C"/>
    <w:rsid w:val="00E75E9C"/>
    <w:rsid w:val="00E76D08"/>
    <w:rsid w:val="00E76F2B"/>
    <w:rsid w:val="00E77D4B"/>
    <w:rsid w:val="00E80334"/>
    <w:rsid w:val="00E80CE8"/>
    <w:rsid w:val="00E81066"/>
    <w:rsid w:val="00E8155E"/>
    <w:rsid w:val="00E81D79"/>
    <w:rsid w:val="00E82C24"/>
    <w:rsid w:val="00E83AB7"/>
    <w:rsid w:val="00E83EE7"/>
    <w:rsid w:val="00E84724"/>
    <w:rsid w:val="00E85E7D"/>
    <w:rsid w:val="00E87F20"/>
    <w:rsid w:val="00E91EFE"/>
    <w:rsid w:val="00E9264A"/>
    <w:rsid w:val="00E9341F"/>
    <w:rsid w:val="00E94568"/>
    <w:rsid w:val="00E94F94"/>
    <w:rsid w:val="00E9550B"/>
    <w:rsid w:val="00E95AD1"/>
    <w:rsid w:val="00E97725"/>
    <w:rsid w:val="00EA14D5"/>
    <w:rsid w:val="00EA1F5F"/>
    <w:rsid w:val="00EA2A64"/>
    <w:rsid w:val="00EA2B33"/>
    <w:rsid w:val="00EA2BE5"/>
    <w:rsid w:val="00EA3898"/>
    <w:rsid w:val="00EA515A"/>
    <w:rsid w:val="00EA60E2"/>
    <w:rsid w:val="00EA6840"/>
    <w:rsid w:val="00EB03A6"/>
    <w:rsid w:val="00EB0ACC"/>
    <w:rsid w:val="00EB0E26"/>
    <w:rsid w:val="00EB1C18"/>
    <w:rsid w:val="00EB2317"/>
    <w:rsid w:val="00EB2500"/>
    <w:rsid w:val="00EB5FDB"/>
    <w:rsid w:val="00EB60D4"/>
    <w:rsid w:val="00EB6B14"/>
    <w:rsid w:val="00EB785F"/>
    <w:rsid w:val="00EB7F7B"/>
    <w:rsid w:val="00EC0AD1"/>
    <w:rsid w:val="00EC25FF"/>
    <w:rsid w:val="00EC2E42"/>
    <w:rsid w:val="00EC2EB8"/>
    <w:rsid w:val="00EC39D2"/>
    <w:rsid w:val="00EC3E99"/>
    <w:rsid w:val="00EC4307"/>
    <w:rsid w:val="00EC436B"/>
    <w:rsid w:val="00EC48DF"/>
    <w:rsid w:val="00EC528C"/>
    <w:rsid w:val="00ED2D15"/>
    <w:rsid w:val="00EE02F8"/>
    <w:rsid w:val="00EE12F1"/>
    <w:rsid w:val="00EE19CF"/>
    <w:rsid w:val="00EE1A8A"/>
    <w:rsid w:val="00EE1AA3"/>
    <w:rsid w:val="00EE236F"/>
    <w:rsid w:val="00EE2505"/>
    <w:rsid w:val="00EE38DC"/>
    <w:rsid w:val="00EE3F72"/>
    <w:rsid w:val="00EE57BD"/>
    <w:rsid w:val="00EE58C6"/>
    <w:rsid w:val="00EE5B2E"/>
    <w:rsid w:val="00EE6688"/>
    <w:rsid w:val="00EE6C0C"/>
    <w:rsid w:val="00EF0A11"/>
    <w:rsid w:val="00EF10D5"/>
    <w:rsid w:val="00EF1109"/>
    <w:rsid w:val="00EF1C3E"/>
    <w:rsid w:val="00EF2244"/>
    <w:rsid w:val="00EF26C1"/>
    <w:rsid w:val="00EF354D"/>
    <w:rsid w:val="00EF48CB"/>
    <w:rsid w:val="00EF4A02"/>
    <w:rsid w:val="00F02858"/>
    <w:rsid w:val="00F031F9"/>
    <w:rsid w:val="00F0339B"/>
    <w:rsid w:val="00F03BA2"/>
    <w:rsid w:val="00F04116"/>
    <w:rsid w:val="00F04361"/>
    <w:rsid w:val="00F05694"/>
    <w:rsid w:val="00F05D55"/>
    <w:rsid w:val="00F06F02"/>
    <w:rsid w:val="00F06F31"/>
    <w:rsid w:val="00F10319"/>
    <w:rsid w:val="00F10F41"/>
    <w:rsid w:val="00F12A41"/>
    <w:rsid w:val="00F1372F"/>
    <w:rsid w:val="00F13CA1"/>
    <w:rsid w:val="00F14AF8"/>
    <w:rsid w:val="00F14C50"/>
    <w:rsid w:val="00F15509"/>
    <w:rsid w:val="00F16201"/>
    <w:rsid w:val="00F16282"/>
    <w:rsid w:val="00F16EE2"/>
    <w:rsid w:val="00F175B7"/>
    <w:rsid w:val="00F20BC7"/>
    <w:rsid w:val="00F216EE"/>
    <w:rsid w:val="00F22A95"/>
    <w:rsid w:val="00F23437"/>
    <w:rsid w:val="00F253AE"/>
    <w:rsid w:val="00F25D4B"/>
    <w:rsid w:val="00F264E3"/>
    <w:rsid w:val="00F2773A"/>
    <w:rsid w:val="00F30278"/>
    <w:rsid w:val="00F3235A"/>
    <w:rsid w:val="00F32ED2"/>
    <w:rsid w:val="00F34309"/>
    <w:rsid w:val="00F344DC"/>
    <w:rsid w:val="00F36873"/>
    <w:rsid w:val="00F3693E"/>
    <w:rsid w:val="00F370D7"/>
    <w:rsid w:val="00F4032B"/>
    <w:rsid w:val="00F404B3"/>
    <w:rsid w:val="00F40CF9"/>
    <w:rsid w:val="00F41126"/>
    <w:rsid w:val="00F4152F"/>
    <w:rsid w:val="00F41F9B"/>
    <w:rsid w:val="00F4242C"/>
    <w:rsid w:val="00F427CC"/>
    <w:rsid w:val="00F4293D"/>
    <w:rsid w:val="00F42954"/>
    <w:rsid w:val="00F42B49"/>
    <w:rsid w:val="00F42E08"/>
    <w:rsid w:val="00F445D0"/>
    <w:rsid w:val="00F451E0"/>
    <w:rsid w:val="00F45626"/>
    <w:rsid w:val="00F47E72"/>
    <w:rsid w:val="00F511B1"/>
    <w:rsid w:val="00F51B4A"/>
    <w:rsid w:val="00F52D73"/>
    <w:rsid w:val="00F53A72"/>
    <w:rsid w:val="00F54B4A"/>
    <w:rsid w:val="00F55970"/>
    <w:rsid w:val="00F56D5A"/>
    <w:rsid w:val="00F56E28"/>
    <w:rsid w:val="00F56F10"/>
    <w:rsid w:val="00F60092"/>
    <w:rsid w:val="00F60B38"/>
    <w:rsid w:val="00F61888"/>
    <w:rsid w:val="00F620D4"/>
    <w:rsid w:val="00F637D6"/>
    <w:rsid w:val="00F63983"/>
    <w:rsid w:val="00F64AEE"/>
    <w:rsid w:val="00F65217"/>
    <w:rsid w:val="00F67E0E"/>
    <w:rsid w:val="00F70077"/>
    <w:rsid w:val="00F70575"/>
    <w:rsid w:val="00F710E6"/>
    <w:rsid w:val="00F71F36"/>
    <w:rsid w:val="00F7277B"/>
    <w:rsid w:val="00F74420"/>
    <w:rsid w:val="00F74A09"/>
    <w:rsid w:val="00F76126"/>
    <w:rsid w:val="00F767A6"/>
    <w:rsid w:val="00F76F51"/>
    <w:rsid w:val="00F774E6"/>
    <w:rsid w:val="00F777F9"/>
    <w:rsid w:val="00F80016"/>
    <w:rsid w:val="00F806BC"/>
    <w:rsid w:val="00F816AE"/>
    <w:rsid w:val="00F82B39"/>
    <w:rsid w:val="00F8346E"/>
    <w:rsid w:val="00F84141"/>
    <w:rsid w:val="00F87509"/>
    <w:rsid w:val="00F8784B"/>
    <w:rsid w:val="00F87D6A"/>
    <w:rsid w:val="00F90EBB"/>
    <w:rsid w:val="00F9105B"/>
    <w:rsid w:val="00F91545"/>
    <w:rsid w:val="00F92EF7"/>
    <w:rsid w:val="00F9310C"/>
    <w:rsid w:val="00F9425A"/>
    <w:rsid w:val="00F952C8"/>
    <w:rsid w:val="00F957FB"/>
    <w:rsid w:val="00F9595B"/>
    <w:rsid w:val="00F977C4"/>
    <w:rsid w:val="00F97AEF"/>
    <w:rsid w:val="00FA0FAE"/>
    <w:rsid w:val="00FA1FEC"/>
    <w:rsid w:val="00FA3186"/>
    <w:rsid w:val="00FA32A2"/>
    <w:rsid w:val="00FA366E"/>
    <w:rsid w:val="00FA3E3C"/>
    <w:rsid w:val="00FA49A1"/>
    <w:rsid w:val="00FA5118"/>
    <w:rsid w:val="00FA5584"/>
    <w:rsid w:val="00FA562C"/>
    <w:rsid w:val="00FA6EBA"/>
    <w:rsid w:val="00FA78BF"/>
    <w:rsid w:val="00FA7EE7"/>
    <w:rsid w:val="00FB0346"/>
    <w:rsid w:val="00FB0423"/>
    <w:rsid w:val="00FB1B23"/>
    <w:rsid w:val="00FB1B44"/>
    <w:rsid w:val="00FB2314"/>
    <w:rsid w:val="00FB2F01"/>
    <w:rsid w:val="00FB4948"/>
    <w:rsid w:val="00FB4BD5"/>
    <w:rsid w:val="00FB7440"/>
    <w:rsid w:val="00FB7CDC"/>
    <w:rsid w:val="00FC04EB"/>
    <w:rsid w:val="00FC0D60"/>
    <w:rsid w:val="00FC1798"/>
    <w:rsid w:val="00FC1CD3"/>
    <w:rsid w:val="00FC2FCA"/>
    <w:rsid w:val="00FC31E9"/>
    <w:rsid w:val="00FC48F0"/>
    <w:rsid w:val="00FC4B58"/>
    <w:rsid w:val="00FC4E8A"/>
    <w:rsid w:val="00FC527F"/>
    <w:rsid w:val="00FC6C8A"/>
    <w:rsid w:val="00FC6F8E"/>
    <w:rsid w:val="00FC700F"/>
    <w:rsid w:val="00FD2AD2"/>
    <w:rsid w:val="00FD2E66"/>
    <w:rsid w:val="00FD3444"/>
    <w:rsid w:val="00FD36EC"/>
    <w:rsid w:val="00FD38F7"/>
    <w:rsid w:val="00FD3F23"/>
    <w:rsid w:val="00FD4EAA"/>
    <w:rsid w:val="00FD5480"/>
    <w:rsid w:val="00FD62F2"/>
    <w:rsid w:val="00FD77E5"/>
    <w:rsid w:val="00FD78B6"/>
    <w:rsid w:val="00FE0294"/>
    <w:rsid w:val="00FE02DF"/>
    <w:rsid w:val="00FE0721"/>
    <w:rsid w:val="00FE1B89"/>
    <w:rsid w:val="00FE1E28"/>
    <w:rsid w:val="00FE4225"/>
    <w:rsid w:val="00FE44CE"/>
    <w:rsid w:val="00FE6B4E"/>
    <w:rsid w:val="00FF07B2"/>
    <w:rsid w:val="00FF0FCE"/>
    <w:rsid w:val="00FF0FEA"/>
    <w:rsid w:val="00FF1786"/>
    <w:rsid w:val="00FF20E8"/>
    <w:rsid w:val="00FF27F4"/>
    <w:rsid w:val="00FF2A9A"/>
    <w:rsid w:val="00FF4302"/>
    <w:rsid w:val="00FF4FB7"/>
    <w:rsid w:val="00FF6017"/>
    <w:rsid w:val="00FF6E6B"/>
    <w:rsid w:val="00FF6F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line number"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681"/>
    <w:pPr>
      <w:autoSpaceDE w:val="0"/>
      <w:autoSpaceDN w:val="0"/>
    </w:pPr>
    <w:rPr>
      <w:sz w:val="24"/>
      <w:szCs w:val="24"/>
    </w:rPr>
  </w:style>
  <w:style w:type="paragraph" w:styleId="Heading1">
    <w:name w:val="heading 1"/>
    <w:basedOn w:val="Normal"/>
    <w:next w:val="Normal"/>
    <w:link w:val="Heading1Char"/>
    <w:qFormat/>
    <w:rsid w:val="007D3681"/>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7D3681"/>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7D3681"/>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7D3681"/>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7D3681"/>
    <w:pPr>
      <w:keepNext/>
      <w:spacing w:line="480" w:lineRule="auto"/>
      <w:jc w:val="center"/>
      <w:outlineLvl w:val="4"/>
    </w:pPr>
    <w:rPr>
      <w:b/>
      <w:bCs/>
    </w:rPr>
  </w:style>
  <w:style w:type="paragraph" w:styleId="Heading6">
    <w:name w:val="heading 6"/>
    <w:basedOn w:val="Normal"/>
    <w:next w:val="Normal"/>
    <w:qFormat/>
    <w:rsid w:val="007D3681"/>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7D3681"/>
    <w:pPr>
      <w:keepNext/>
      <w:tabs>
        <w:tab w:val="left" w:pos="1260"/>
      </w:tabs>
      <w:jc w:val="right"/>
      <w:outlineLvl w:val="6"/>
    </w:pPr>
    <w:rPr>
      <w:sz w:val="20"/>
      <w:szCs w:val="20"/>
    </w:rPr>
  </w:style>
  <w:style w:type="paragraph" w:styleId="Heading8">
    <w:name w:val="heading 8"/>
    <w:basedOn w:val="Normal"/>
    <w:next w:val="Normal"/>
    <w:link w:val="Heading8Char"/>
    <w:qFormat/>
    <w:rsid w:val="007D3681"/>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7D3681"/>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3681"/>
    <w:pPr>
      <w:tabs>
        <w:tab w:val="center" w:pos="4320"/>
        <w:tab w:val="right" w:pos="8640"/>
      </w:tabs>
    </w:pPr>
  </w:style>
  <w:style w:type="paragraph" w:styleId="Footer">
    <w:name w:val="footer"/>
    <w:basedOn w:val="Normal"/>
    <w:rsid w:val="007D3681"/>
    <w:pPr>
      <w:tabs>
        <w:tab w:val="center" w:pos="4320"/>
        <w:tab w:val="right" w:pos="8640"/>
      </w:tabs>
    </w:pPr>
  </w:style>
  <w:style w:type="character" w:styleId="PageNumber">
    <w:name w:val="page number"/>
    <w:rsid w:val="007D3681"/>
    <w:rPr>
      <w:rFonts w:ascii="Times New Roman" w:hAnsi="Times New Roman" w:cs="Times New Roman"/>
      <w:sz w:val="24"/>
      <w:szCs w:val="24"/>
    </w:rPr>
  </w:style>
  <w:style w:type="character" w:styleId="LineNumber">
    <w:name w:val="line number"/>
    <w:uiPriority w:val="99"/>
    <w:rsid w:val="007D3681"/>
    <w:rPr>
      <w:rFonts w:ascii="Times New Roman" w:hAnsi="Times New Roman" w:cs="Times New Roman"/>
      <w:sz w:val="24"/>
      <w:szCs w:val="24"/>
    </w:rPr>
  </w:style>
  <w:style w:type="paragraph" w:styleId="BodyTextIndent">
    <w:name w:val="Body Text Indent"/>
    <w:basedOn w:val="Normal"/>
    <w:link w:val="BodyTextIndentChar"/>
    <w:rsid w:val="007D3681"/>
    <w:pPr>
      <w:spacing w:line="480" w:lineRule="auto"/>
      <w:jc w:val="both"/>
    </w:pPr>
  </w:style>
  <w:style w:type="paragraph" w:styleId="BodyTextIndent2">
    <w:name w:val="Body Text Indent 2"/>
    <w:basedOn w:val="Normal"/>
    <w:rsid w:val="007D3681"/>
    <w:pPr>
      <w:tabs>
        <w:tab w:val="left" w:pos="1260"/>
      </w:tabs>
      <w:spacing w:line="480" w:lineRule="auto"/>
      <w:ind w:left="540" w:hanging="540"/>
      <w:jc w:val="both"/>
    </w:pPr>
  </w:style>
  <w:style w:type="paragraph" w:styleId="BodyTextIndent3">
    <w:name w:val="Body Text Indent 3"/>
    <w:basedOn w:val="Normal"/>
    <w:rsid w:val="007D3681"/>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sid w:val="007D368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
    <w:uiPriority w:val="99"/>
    <w:qFormat/>
    <w:rsid w:val="007D3681"/>
    <w:rPr>
      <w:vertAlign w:val="superscript"/>
    </w:rPr>
  </w:style>
  <w:style w:type="paragraph" w:styleId="BodyText">
    <w:name w:val="Body Text"/>
    <w:basedOn w:val="Normal"/>
    <w:link w:val="BodyTextChar"/>
    <w:uiPriority w:val="99"/>
    <w:rsid w:val="007D3681"/>
    <w:pPr>
      <w:spacing w:line="360" w:lineRule="auto"/>
      <w:jc w:val="center"/>
    </w:pPr>
    <w:rPr>
      <w:b/>
      <w:bCs/>
    </w:rPr>
  </w:style>
  <w:style w:type="paragraph" w:styleId="DocumentMap">
    <w:name w:val="Document Map"/>
    <w:basedOn w:val="Normal"/>
    <w:semiHidden/>
    <w:rsid w:val="007D3681"/>
    <w:pPr>
      <w:shd w:val="clear" w:color="auto" w:fill="000080"/>
    </w:pPr>
    <w:rPr>
      <w:rFonts w:ascii="Tahoma" w:hAnsi="Tahoma" w:cs="Tahoma"/>
    </w:rPr>
  </w:style>
  <w:style w:type="paragraph" w:customStyle="1" w:styleId="TestBody">
    <w:name w:val="Test Body"/>
    <w:rsid w:val="007D3681"/>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7D3681"/>
    <w:pPr>
      <w:numPr>
        <w:numId w:val="1"/>
      </w:numPr>
    </w:pPr>
  </w:style>
  <w:style w:type="paragraph" w:styleId="BodyText3">
    <w:name w:val="Body Text 3"/>
    <w:basedOn w:val="Normal"/>
    <w:rsid w:val="007D3681"/>
    <w:pPr>
      <w:suppressAutoHyphens/>
      <w:spacing w:line="480" w:lineRule="auto"/>
      <w:jc w:val="both"/>
    </w:pPr>
  </w:style>
  <w:style w:type="paragraph" w:styleId="BlockText">
    <w:name w:val="Block Text"/>
    <w:basedOn w:val="Normal"/>
    <w:rsid w:val="007D3681"/>
    <w:pPr>
      <w:widowControl w:val="0"/>
      <w:suppressAutoHyphens/>
      <w:autoSpaceDE/>
      <w:autoSpaceDN/>
      <w:spacing w:line="480" w:lineRule="auto"/>
      <w:ind w:left="720" w:right="1296"/>
    </w:pPr>
    <w:rPr>
      <w:szCs w:val="20"/>
    </w:rPr>
  </w:style>
  <w:style w:type="paragraph" w:styleId="BodyText2">
    <w:name w:val="Body Text 2"/>
    <w:basedOn w:val="Normal"/>
    <w:link w:val="BodyText2Char"/>
    <w:rsid w:val="007D3681"/>
    <w:pPr>
      <w:suppressAutoHyphens/>
      <w:spacing w:line="480" w:lineRule="auto"/>
    </w:pPr>
    <w:rPr>
      <w:rFonts w:ascii="Palatino Linotype" w:hAnsi="Palatino Linotype"/>
      <w:b/>
      <w:bCs/>
    </w:rPr>
  </w:style>
  <w:style w:type="paragraph" w:styleId="BalloonText">
    <w:name w:val="Balloon Text"/>
    <w:basedOn w:val="Normal"/>
    <w:semiHidden/>
    <w:rsid w:val="004E61D8"/>
    <w:rPr>
      <w:rFonts w:ascii="Tahoma" w:hAnsi="Tahoma" w:cs="Tahoma"/>
      <w:sz w:val="16"/>
      <w:szCs w:val="16"/>
    </w:rPr>
  </w:style>
  <w:style w:type="character" w:customStyle="1" w:styleId="BodyTextIndentChar">
    <w:name w:val="Body Text Indent Char"/>
    <w:link w:val="BodyTextIndent"/>
    <w:rsid w:val="00701D08"/>
    <w:rPr>
      <w:sz w:val="24"/>
      <w:szCs w:val="24"/>
    </w:rPr>
  </w:style>
  <w:style w:type="character" w:customStyle="1" w:styleId="BodyText2Char">
    <w:name w:val="Body Text 2 Char"/>
    <w:link w:val="BodyText2"/>
    <w:rsid w:val="0067103E"/>
    <w:rPr>
      <w:rFonts w:ascii="Palatino Linotype" w:hAnsi="Palatino Linotype"/>
      <w:b/>
      <w:bCs/>
      <w:sz w:val="24"/>
      <w:szCs w:val="24"/>
    </w:rPr>
  </w:style>
  <w:style w:type="paragraph" w:styleId="ListParagraph">
    <w:name w:val="List Paragraph"/>
    <w:basedOn w:val="Normal"/>
    <w:uiPriority w:val="34"/>
    <w:qFormat/>
    <w:rsid w:val="00436437"/>
    <w:pPr>
      <w:autoSpaceDE/>
      <w:autoSpaceDN/>
      <w:ind w:left="720"/>
    </w:pPr>
    <w:rPr>
      <w:rFonts w:ascii="Calibri" w:hAnsi="Calibri"/>
      <w:sz w:val="22"/>
      <w:szCs w:val="2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rsid w:val="003C6562"/>
  </w:style>
  <w:style w:type="character" w:customStyle="1" w:styleId="HeaderChar">
    <w:name w:val="Header Char"/>
    <w:link w:val="Header"/>
    <w:uiPriority w:val="99"/>
    <w:rsid w:val="00BB6103"/>
    <w:rPr>
      <w:sz w:val="24"/>
      <w:szCs w:val="24"/>
    </w:rPr>
  </w:style>
  <w:style w:type="paragraph" w:customStyle="1" w:styleId="question">
    <w:name w:val="question"/>
    <w:basedOn w:val="Normal"/>
    <w:next w:val="answer"/>
    <w:link w:val="questionChar"/>
    <w:rsid w:val="00227A7A"/>
    <w:pPr>
      <w:keepNext/>
      <w:autoSpaceDE/>
      <w:autoSpaceDN/>
      <w:spacing w:before="240" w:after="120" w:line="480" w:lineRule="auto"/>
      <w:ind w:left="720" w:hanging="720"/>
    </w:pPr>
    <w:rPr>
      <w:b/>
      <w:szCs w:val="20"/>
      <w:lang w:eastAsia="zh-CN"/>
    </w:rPr>
  </w:style>
  <w:style w:type="paragraph" w:customStyle="1" w:styleId="answer">
    <w:name w:val="answer"/>
    <w:basedOn w:val="Normal"/>
    <w:link w:val="answerChar"/>
    <w:rsid w:val="00227A7A"/>
    <w:pPr>
      <w:autoSpaceDE/>
      <w:autoSpaceDN/>
      <w:spacing w:before="120" w:after="120" w:line="480" w:lineRule="auto"/>
      <w:ind w:left="720" w:hanging="720"/>
    </w:pPr>
    <w:rPr>
      <w:szCs w:val="20"/>
      <w:lang w:eastAsia="zh-CN"/>
    </w:rPr>
  </w:style>
  <w:style w:type="character" w:customStyle="1" w:styleId="questionChar">
    <w:name w:val="question Char"/>
    <w:link w:val="question"/>
    <w:rsid w:val="00227A7A"/>
    <w:rPr>
      <w:b/>
      <w:sz w:val="24"/>
      <w:lang w:eastAsia="zh-CN"/>
    </w:rPr>
  </w:style>
  <w:style w:type="character" w:customStyle="1" w:styleId="answerChar">
    <w:name w:val="answer Char"/>
    <w:link w:val="answer"/>
    <w:rsid w:val="00227A7A"/>
    <w:rPr>
      <w:sz w:val="24"/>
      <w:lang w:eastAsia="zh-CN"/>
    </w:rPr>
  </w:style>
  <w:style w:type="character" w:customStyle="1" w:styleId="BodyTextChar">
    <w:name w:val="Body Text Char"/>
    <w:link w:val="BodyText"/>
    <w:uiPriority w:val="99"/>
    <w:rsid w:val="00CE1B79"/>
    <w:rPr>
      <w:b/>
      <w:bCs/>
      <w:sz w:val="24"/>
      <w:szCs w:val="24"/>
    </w:rPr>
  </w:style>
  <w:style w:type="paragraph" w:customStyle="1" w:styleId="Default">
    <w:name w:val="Default"/>
    <w:rsid w:val="0039342C"/>
    <w:pPr>
      <w:autoSpaceDE w:val="0"/>
      <w:autoSpaceDN w:val="0"/>
      <w:adjustRightInd w:val="0"/>
    </w:pPr>
    <w:rPr>
      <w:color w:val="000000"/>
      <w:sz w:val="24"/>
      <w:szCs w:val="24"/>
    </w:rPr>
  </w:style>
  <w:style w:type="paragraph" w:styleId="EndnoteText">
    <w:name w:val="endnote text"/>
    <w:basedOn w:val="Normal"/>
    <w:link w:val="EndnoteTextChar"/>
    <w:rsid w:val="00946823"/>
    <w:rPr>
      <w:sz w:val="20"/>
      <w:szCs w:val="20"/>
    </w:rPr>
  </w:style>
  <w:style w:type="character" w:customStyle="1" w:styleId="EndnoteTextChar">
    <w:name w:val="Endnote Text Char"/>
    <w:basedOn w:val="DefaultParagraphFont"/>
    <w:link w:val="EndnoteText"/>
    <w:rsid w:val="00946823"/>
  </w:style>
  <w:style w:type="character" w:styleId="EndnoteReference">
    <w:name w:val="endnote reference"/>
    <w:rsid w:val="00946823"/>
    <w:rPr>
      <w:vertAlign w:val="superscript"/>
    </w:rPr>
  </w:style>
  <w:style w:type="character" w:customStyle="1" w:styleId="TBGStyleChar">
    <w:name w:val="TBG Style Char"/>
    <w:aliases w:val="Style 40 Char"/>
    <w:basedOn w:val="DefaultParagraphFont"/>
    <w:uiPriority w:val="99"/>
    <w:semiHidden/>
    <w:rsid w:val="008F5A4B"/>
    <w:rPr>
      <w:rFonts w:ascii="Times New Roman" w:eastAsia="Times New Roman" w:hAnsi="Times New Roman" w:cs="Times New Roman"/>
      <w:sz w:val="20"/>
      <w:szCs w:val="20"/>
    </w:rPr>
  </w:style>
  <w:style w:type="character" w:styleId="Hyperlink">
    <w:name w:val="Hyperlink"/>
    <w:basedOn w:val="DefaultParagraphFont"/>
    <w:rsid w:val="007237A0"/>
    <w:rPr>
      <w:color w:val="0000FF"/>
      <w:u w:val="single"/>
    </w:rPr>
  </w:style>
  <w:style w:type="character" w:customStyle="1" w:styleId="Heading8Char">
    <w:name w:val="Heading 8 Char"/>
    <w:basedOn w:val="DefaultParagraphFont"/>
    <w:link w:val="Heading8"/>
    <w:rsid w:val="002B106A"/>
    <w:rPr>
      <w:b/>
      <w:bCs/>
      <w:sz w:val="24"/>
      <w:szCs w:val="24"/>
      <w:u w:val="single"/>
      <w:lang w:val="fr-FR"/>
    </w:rPr>
  </w:style>
  <w:style w:type="character" w:customStyle="1" w:styleId="Heading1Char">
    <w:name w:val="Heading 1 Char"/>
    <w:basedOn w:val="DefaultParagraphFont"/>
    <w:link w:val="Heading1"/>
    <w:rsid w:val="00F40CF9"/>
    <w:rPr>
      <w:b/>
      <w:bCs/>
      <w:sz w:val="24"/>
      <w:szCs w:val="24"/>
    </w:rPr>
  </w:style>
  <w:style w:type="character" w:styleId="CommentReference">
    <w:name w:val="annotation reference"/>
    <w:basedOn w:val="DefaultParagraphFont"/>
    <w:rsid w:val="00281104"/>
    <w:rPr>
      <w:sz w:val="16"/>
      <w:szCs w:val="16"/>
    </w:rPr>
  </w:style>
  <w:style w:type="paragraph" w:styleId="CommentText">
    <w:name w:val="annotation text"/>
    <w:basedOn w:val="Normal"/>
    <w:link w:val="CommentTextChar"/>
    <w:rsid w:val="00281104"/>
    <w:rPr>
      <w:sz w:val="20"/>
      <w:szCs w:val="20"/>
    </w:rPr>
  </w:style>
  <w:style w:type="character" w:customStyle="1" w:styleId="CommentTextChar">
    <w:name w:val="Comment Text Char"/>
    <w:basedOn w:val="DefaultParagraphFont"/>
    <w:link w:val="CommentText"/>
    <w:rsid w:val="00281104"/>
  </w:style>
  <w:style w:type="paragraph" w:styleId="CommentSubject">
    <w:name w:val="annotation subject"/>
    <w:basedOn w:val="CommentText"/>
    <w:next w:val="CommentText"/>
    <w:link w:val="CommentSubjectChar"/>
    <w:rsid w:val="00281104"/>
    <w:rPr>
      <w:b/>
      <w:bCs/>
    </w:rPr>
  </w:style>
  <w:style w:type="character" w:customStyle="1" w:styleId="CommentSubjectChar">
    <w:name w:val="Comment Subject Char"/>
    <w:basedOn w:val="CommentTextChar"/>
    <w:link w:val="CommentSubject"/>
    <w:rsid w:val="00281104"/>
    <w:rPr>
      <w:b/>
      <w:bCs/>
    </w:rPr>
  </w:style>
</w:styles>
</file>

<file path=word/webSettings.xml><?xml version="1.0" encoding="utf-8"?>
<w:webSettings xmlns:r="http://schemas.openxmlformats.org/officeDocument/2006/relationships" xmlns:w="http://schemas.openxmlformats.org/wordprocessingml/2006/main">
  <w:divs>
    <w:div w:id="122116045">
      <w:bodyDiv w:val="1"/>
      <w:marLeft w:val="0"/>
      <w:marRight w:val="0"/>
      <w:marTop w:val="0"/>
      <w:marBottom w:val="0"/>
      <w:divBdr>
        <w:top w:val="none" w:sz="0" w:space="0" w:color="auto"/>
        <w:left w:val="none" w:sz="0" w:space="0" w:color="auto"/>
        <w:bottom w:val="none" w:sz="0" w:space="0" w:color="auto"/>
        <w:right w:val="none" w:sz="0" w:space="0" w:color="auto"/>
      </w:divBdr>
    </w:div>
    <w:div w:id="346567323">
      <w:bodyDiv w:val="1"/>
      <w:marLeft w:val="0"/>
      <w:marRight w:val="0"/>
      <w:marTop w:val="0"/>
      <w:marBottom w:val="0"/>
      <w:divBdr>
        <w:top w:val="none" w:sz="0" w:space="0" w:color="auto"/>
        <w:left w:val="none" w:sz="0" w:space="0" w:color="auto"/>
        <w:bottom w:val="none" w:sz="0" w:space="0" w:color="auto"/>
        <w:right w:val="none" w:sz="0" w:space="0" w:color="auto"/>
      </w:divBdr>
    </w:div>
    <w:div w:id="614867373">
      <w:bodyDiv w:val="1"/>
      <w:marLeft w:val="0"/>
      <w:marRight w:val="0"/>
      <w:marTop w:val="0"/>
      <w:marBottom w:val="0"/>
      <w:divBdr>
        <w:top w:val="none" w:sz="0" w:space="0" w:color="auto"/>
        <w:left w:val="none" w:sz="0" w:space="0" w:color="auto"/>
        <w:bottom w:val="none" w:sz="0" w:space="0" w:color="auto"/>
        <w:right w:val="none" w:sz="0" w:space="0" w:color="auto"/>
      </w:divBdr>
    </w:div>
    <w:div w:id="677854439">
      <w:bodyDiv w:val="1"/>
      <w:marLeft w:val="0"/>
      <w:marRight w:val="0"/>
      <w:marTop w:val="0"/>
      <w:marBottom w:val="0"/>
      <w:divBdr>
        <w:top w:val="none" w:sz="0" w:space="0" w:color="auto"/>
        <w:left w:val="none" w:sz="0" w:space="0" w:color="auto"/>
        <w:bottom w:val="none" w:sz="0" w:space="0" w:color="auto"/>
        <w:right w:val="none" w:sz="0" w:space="0" w:color="auto"/>
      </w:divBdr>
    </w:div>
    <w:div w:id="1376781059">
      <w:bodyDiv w:val="1"/>
      <w:marLeft w:val="0"/>
      <w:marRight w:val="0"/>
      <w:marTop w:val="0"/>
      <w:marBottom w:val="0"/>
      <w:divBdr>
        <w:top w:val="none" w:sz="0" w:space="0" w:color="auto"/>
        <w:left w:val="none" w:sz="0" w:space="0" w:color="auto"/>
        <w:bottom w:val="none" w:sz="0" w:space="0" w:color="auto"/>
        <w:right w:val="none" w:sz="0" w:space="0" w:color="auto"/>
      </w:divBdr>
    </w:div>
    <w:div w:id="17743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A5EBEA-1FDD-46CA-A314-2F936C8DFBEC}"/>
</file>

<file path=customXml/itemProps2.xml><?xml version="1.0" encoding="utf-8"?>
<ds:datastoreItem xmlns:ds="http://schemas.openxmlformats.org/officeDocument/2006/customXml" ds:itemID="{F67CEBF4-4BA8-47E6-B8DD-A5FA399F6E5B}"/>
</file>

<file path=customXml/itemProps3.xml><?xml version="1.0" encoding="utf-8"?>
<ds:datastoreItem xmlns:ds="http://schemas.openxmlformats.org/officeDocument/2006/customXml" ds:itemID="{CD1B3917-EA19-45E6-9E15-52F1F1B1C4CB}"/>
</file>

<file path=customXml/itemProps4.xml><?xml version="1.0" encoding="utf-8"?>
<ds:datastoreItem xmlns:ds="http://schemas.openxmlformats.org/officeDocument/2006/customXml" ds:itemID="{2FE012E7-7619-49D2-8A01-BA7DB405F27C}"/>
</file>

<file path=customXml/itemProps5.xml><?xml version="1.0" encoding="utf-8"?>
<ds:datastoreItem xmlns:ds="http://schemas.openxmlformats.org/officeDocument/2006/customXml" ds:itemID="{515BBC7F-E1B4-45E0-B2FB-800FFC1336A1}"/>
</file>

<file path=docProps/app.xml><?xml version="1.0" encoding="utf-8"?>
<Properties xmlns="http://schemas.openxmlformats.org/officeDocument/2006/extended-properties" xmlns:vt="http://schemas.openxmlformats.org/officeDocument/2006/docPropsVTypes">
  <Template>Normal.dotm</Template>
  <TotalTime>148</TotalTime>
  <Pages>17</Pages>
  <Words>3873</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Liz Andrews</cp:lastModifiedBy>
  <cp:revision>7</cp:revision>
  <cp:lastPrinted>2015-09-03T18:51:00Z</cp:lastPrinted>
  <dcterms:created xsi:type="dcterms:W3CDTF">2015-08-24T20:08:00Z</dcterms:created>
  <dcterms:modified xsi:type="dcterms:W3CDTF">2015-09-03T18:51:00Z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