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202837">
            <w:pPr>
              <w:pStyle w:val="DocumentTitle"/>
              <w:rPr>
                <w:b/>
              </w:rPr>
            </w:pPr>
            <w:r w:rsidRPr="00C350F8">
              <w:rPr>
                <w:b/>
              </w:rPr>
              <w:t xml:space="preserve">PUGET SOUND ENERGY’S </w:t>
            </w:r>
            <w:r w:rsidR="00C11CED">
              <w:rPr>
                <w:b/>
              </w:rPr>
              <w:t>REPLY</w:t>
            </w:r>
            <w:r w:rsidR="00630CBD">
              <w:rPr>
                <w:b/>
              </w:rPr>
              <w:t xml:space="preserve"> TO </w:t>
            </w:r>
            <w:r w:rsidR="007A21A0">
              <w:rPr>
                <w:b/>
              </w:rPr>
              <w:t>THE SHEET METAL AND AIR CONDITIONING CONTRACTORS NATIONAL ASSOCIATION, WESTERN WASHINGTON’S</w:t>
            </w:r>
            <w:r w:rsidR="00630CBD">
              <w:rPr>
                <w:b/>
              </w:rPr>
              <w:t xml:space="preserve"> RESPONSE IN SUPPORT OF</w:t>
            </w:r>
            <w:r w:rsidR="00853CC0">
              <w:rPr>
                <w:b/>
              </w:rPr>
              <w:t xml:space="preserve"> COMMISSION </w:t>
            </w:r>
            <w:r w:rsidR="006277A2">
              <w:rPr>
                <w:b/>
              </w:rPr>
              <w:t xml:space="preserve">STAFF’S MOTION </w:t>
            </w:r>
            <w:r w:rsidR="00853CC0">
              <w:rPr>
                <w:b/>
              </w:rPr>
              <w:t>FOR SUMMARY DETERMINATION</w:t>
            </w:r>
          </w:p>
        </w:tc>
      </w:tr>
      <w:bookmarkEnd w:id="0"/>
    </w:tbl>
    <w:p w:rsidR="00A368E9" w:rsidRPr="00A368E9" w:rsidRDefault="00A368E9" w:rsidP="00A368E9"/>
    <w:p w:rsidR="003D2170" w:rsidRPr="000204B9" w:rsidRDefault="00D31533" w:rsidP="000546ED">
      <w:pPr>
        <w:pStyle w:val="PleadingsL1"/>
      </w:pPr>
      <w:r w:rsidRPr="000204B9">
        <w:t>INTRODUCTION</w:t>
      </w:r>
    </w:p>
    <w:p w:rsidR="009072A4" w:rsidRPr="00E60488" w:rsidRDefault="003D6177" w:rsidP="00C43384">
      <w:pPr>
        <w:pStyle w:val="Header"/>
        <w:numPr>
          <w:ilvl w:val="0"/>
          <w:numId w:val="41"/>
        </w:numPr>
        <w:tabs>
          <w:tab w:val="left" w:pos="720"/>
        </w:tabs>
        <w:autoSpaceDE w:val="0"/>
        <w:autoSpaceDN w:val="0"/>
        <w:adjustRightInd w:val="0"/>
        <w:spacing w:line="480" w:lineRule="auto"/>
        <w:jc w:val="both"/>
        <w:rPr>
          <w:bCs/>
        </w:rPr>
      </w:pPr>
      <w:r>
        <w:tab/>
      </w:r>
      <w:r w:rsidR="00C43384">
        <w:t>Puget Sound Energy (“PSE”) responds to Intervenor Sheet Metal and Air Conditioning Contractors National Association</w:t>
      </w:r>
      <w:r w:rsidR="007A21A0">
        <w:t>, Western Washington</w:t>
      </w:r>
      <w:r w:rsidR="00C43384">
        <w:t>’s (“</w:t>
      </w:r>
      <w:proofErr w:type="spellStart"/>
      <w:r w:rsidR="00C43384">
        <w:t>SMACNA</w:t>
      </w:r>
      <w:proofErr w:type="spellEnd"/>
      <w:r w:rsidR="00C43384">
        <w:t xml:space="preserve">”) response in support of </w:t>
      </w:r>
      <w:r w:rsidR="00630CBD">
        <w:t>Commission Staff’s (“Staff”) Motion for Summary Determination</w:t>
      </w:r>
      <w:r w:rsidR="00C43384">
        <w:t xml:space="preserve"> (“Motion”)</w:t>
      </w:r>
      <w:r w:rsidR="00B57B53">
        <w:t>, which in effect, also seeks summary determination of PSE’s tariff schedules filed in the above-referenced dockets</w:t>
      </w:r>
      <w:r w:rsidR="00C43384">
        <w:t xml:space="preserve">.  Because </w:t>
      </w:r>
      <w:proofErr w:type="spellStart"/>
      <w:r w:rsidR="00C43384">
        <w:t>SMACNA’s</w:t>
      </w:r>
      <w:proofErr w:type="spellEnd"/>
      <w:r w:rsidR="00C43384">
        <w:t xml:space="preserve"> response misstates the law and misrepresents </w:t>
      </w:r>
      <w:r w:rsidR="00395864">
        <w:t xml:space="preserve">the terms of </w:t>
      </w:r>
      <w:r w:rsidR="00C43384">
        <w:t>PSE’s proposed lease service, PSE</w:t>
      </w:r>
      <w:r w:rsidR="00630CBD">
        <w:t xml:space="preserve"> </w:t>
      </w:r>
      <w:r w:rsidR="00C43384">
        <w:t>responds accordingly.</w:t>
      </w:r>
      <w:r w:rsidR="00395864">
        <w:t xml:space="preserve">  </w:t>
      </w:r>
      <w:proofErr w:type="spellStart"/>
      <w:r w:rsidR="00395864">
        <w:t>SMACNA’s</w:t>
      </w:r>
      <w:proofErr w:type="spellEnd"/>
      <w:r w:rsidR="00C11CED">
        <w:t xml:space="preserve"> response provides no </w:t>
      </w:r>
      <w:r w:rsidR="00D21F05">
        <w:t>additional</w:t>
      </w:r>
      <w:r w:rsidR="00395864">
        <w:t xml:space="preserve"> </w:t>
      </w:r>
      <w:r w:rsidR="00D21F05">
        <w:t xml:space="preserve">support </w:t>
      </w:r>
      <w:r w:rsidR="00395864">
        <w:t>for Staff’s Motion and Staff’s Motion should be denied.</w:t>
      </w:r>
    </w:p>
    <w:p w:rsidR="00564FED" w:rsidRDefault="00E60488" w:rsidP="005669B5">
      <w:pPr>
        <w:pStyle w:val="PleadingsL1"/>
      </w:pPr>
      <w:r>
        <w:t>ARGUMENT</w:t>
      </w:r>
    </w:p>
    <w:p w:rsidR="006277A2" w:rsidRPr="006277A2" w:rsidRDefault="00774A3E" w:rsidP="006277A2">
      <w:pPr>
        <w:pStyle w:val="PleadingsL2"/>
      </w:pPr>
      <w:r>
        <w:t xml:space="preserve">The Commission And The </w:t>
      </w:r>
      <w:r w:rsidR="00B66AB9">
        <w:t>Washington Supreme Court Have</w:t>
      </w:r>
      <w:r>
        <w:t xml:space="preserve"> Already Determined That Leasing Is A Public Service</w:t>
      </w:r>
      <w:r w:rsidR="00B66AB9">
        <w:t xml:space="preserve"> Within The Jurisdiction Of A Public Utility</w:t>
      </w:r>
    </w:p>
    <w:p w:rsidR="0005247A" w:rsidRPr="0019481B" w:rsidRDefault="00564FED" w:rsidP="0019481B">
      <w:pPr>
        <w:pStyle w:val="Header"/>
        <w:numPr>
          <w:ilvl w:val="0"/>
          <w:numId w:val="41"/>
        </w:numPr>
        <w:tabs>
          <w:tab w:val="left" w:pos="720"/>
        </w:tabs>
        <w:spacing w:line="480" w:lineRule="auto"/>
        <w:jc w:val="both"/>
      </w:pPr>
      <w:r w:rsidRPr="005669B5">
        <w:rPr>
          <w:bCs/>
        </w:rPr>
        <w:tab/>
      </w:r>
      <w:proofErr w:type="spellStart"/>
      <w:r w:rsidR="0019481B">
        <w:rPr>
          <w:bCs/>
        </w:rPr>
        <w:t>SMACNA’s</w:t>
      </w:r>
      <w:proofErr w:type="spellEnd"/>
      <w:r w:rsidR="0019481B">
        <w:rPr>
          <w:bCs/>
        </w:rPr>
        <w:t xml:space="preserve"> argument that leasing water heaters and furnaces is not a utility service suffers from similar flaws as Staff’s Motion.  </w:t>
      </w:r>
      <w:proofErr w:type="spellStart"/>
      <w:r w:rsidR="0019481B">
        <w:rPr>
          <w:bCs/>
        </w:rPr>
        <w:t>SMACNA</w:t>
      </w:r>
      <w:proofErr w:type="spellEnd"/>
      <w:r w:rsidR="0019481B">
        <w:rPr>
          <w:bCs/>
        </w:rPr>
        <w:t xml:space="preserve"> misinterprets RCW 80.04.010, particularly in light of the Commission and Washington Supreme Court decision in </w:t>
      </w:r>
      <w:r w:rsidR="0019481B" w:rsidRPr="0019481B">
        <w:rPr>
          <w:bCs/>
          <w:i/>
        </w:rPr>
        <w:t xml:space="preserve">Cole v. </w:t>
      </w:r>
      <w:r w:rsidR="0019481B" w:rsidRPr="0019481B">
        <w:rPr>
          <w:bCs/>
          <w:i/>
        </w:rPr>
        <w:lastRenderedPageBreak/>
        <w:t>Washington Utilities &amp; Transportation Commission</w:t>
      </w:r>
      <w:r w:rsidR="00395864">
        <w:rPr>
          <w:rStyle w:val="FootnoteReference"/>
          <w:bCs/>
        </w:rPr>
        <w:footnoteReference w:id="2"/>
      </w:r>
      <w:r w:rsidR="00395864">
        <w:rPr>
          <w:bCs/>
          <w:i/>
        </w:rPr>
        <w:t xml:space="preserve"> </w:t>
      </w:r>
      <w:r w:rsidR="00395864">
        <w:rPr>
          <w:bCs/>
        </w:rPr>
        <w:t>and</w:t>
      </w:r>
      <w:r w:rsidR="00C11CED">
        <w:rPr>
          <w:bCs/>
        </w:rPr>
        <w:t xml:space="preserve"> other controlling statutes</w:t>
      </w:r>
      <w:r w:rsidR="00D21F05">
        <w:rPr>
          <w:bCs/>
        </w:rPr>
        <w:t xml:space="preserve">, </w:t>
      </w:r>
      <w:r w:rsidR="007A4435">
        <w:rPr>
          <w:bCs/>
        </w:rPr>
        <w:t>and</w:t>
      </w:r>
      <w:r w:rsidR="00C11CED">
        <w:rPr>
          <w:bCs/>
        </w:rPr>
        <w:t xml:space="preserve"> its reliance on</w:t>
      </w:r>
      <w:r w:rsidR="007A4435">
        <w:rPr>
          <w:bCs/>
        </w:rPr>
        <w:t xml:space="preserve"> WAC 480-100-223</w:t>
      </w:r>
      <w:r w:rsidR="00C11CED">
        <w:rPr>
          <w:bCs/>
        </w:rPr>
        <w:t xml:space="preserve"> is misplaced</w:t>
      </w:r>
      <w:r w:rsidR="007A4435">
        <w:rPr>
          <w:bCs/>
        </w:rPr>
        <w:t>.</w:t>
      </w:r>
    </w:p>
    <w:p w:rsidR="00AA623B" w:rsidRPr="00AA623B" w:rsidRDefault="0019481B" w:rsidP="0019481B">
      <w:pPr>
        <w:pStyle w:val="Header"/>
        <w:numPr>
          <w:ilvl w:val="0"/>
          <w:numId w:val="41"/>
        </w:numPr>
        <w:tabs>
          <w:tab w:val="left" w:pos="720"/>
        </w:tabs>
        <w:spacing w:line="480" w:lineRule="auto"/>
        <w:jc w:val="both"/>
      </w:pPr>
      <w:r>
        <w:rPr>
          <w:bCs/>
        </w:rPr>
        <w:tab/>
      </w:r>
      <w:r w:rsidR="00A82D5E">
        <w:rPr>
          <w:bCs/>
        </w:rPr>
        <w:t>Fir</w:t>
      </w:r>
      <w:r w:rsidR="006D02B4">
        <w:rPr>
          <w:bCs/>
        </w:rPr>
        <w:t xml:space="preserve">st, </w:t>
      </w:r>
      <w:r w:rsidR="00945AD5">
        <w:rPr>
          <w:bCs/>
        </w:rPr>
        <w:t xml:space="preserve">contrary to </w:t>
      </w:r>
      <w:proofErr w:type="spellStart"/>
      <w:r w:rsidR="00945AD5">
        <w:rPr>
          <w:bCs/>
        </w:rPr>
        <w:t>SMACNA’s</w:t>
      </w:r>
      <w:proofErr w:type="spellEnd"/>
      <w:r w:rsidR="00945AD5">
        <w:rPr>
          <w:bCs/>
        </w:rPr>
        <w:t xml:space="preserve"> suggestion, </w:t>
      </w:r>
      <w:r w:rsidR="00A82D5E">
        <w:rPr>
          <w:bCs/>
        </w:rPr>
        <w:t>RCW 80.04.010</w:t>
      </w:r>
      <w:r w:rsidR="00395864">
        <w:rPr>
          <w:bCs/>
        </w:rPr>
        <w:t xml:space="preserve"> actually</w:t>
      </w:r>
      <w:r w:rsidR="006D02B4">
        <w:rPr>
          <w:bCs/>
        </w:rPr>
        <w:t xml:space="preserve"> </w:t>
      </w:r>
      <w:r w:rsidR="006D02B4" w:rsidRPr="00395864">
        <w:rPr>
          <w:bCs/>
          <w:i/>
        </w:rPr>
        <w:t>provide</w:t>
      </w:r>
      <w:r w:rsidR="00395864" w:rsidRPr="00395864">
        <w:rPr>
          <w:bCs/>
          <w:i/>
        </w:rPr>
        <w:t>s</w:t>
      </w:r>
      <w:r w:rsidR="006D02B4">
        <w:rPr>
          <w:bCs/>
        </w:rPr>
        <w:t xml:space="preserve"> that g</w:t>
      </w:r>
      <w:r w:rsidR="00004C5D">
        <w:rPr>
          <w:bCs/>
        </w:rPr>
        <w:t>as and/or electric plant</w:t>
      </w:r>
      <w:r w:rsidR="006D02B4">
        <w:rPr>
          <w:bCs/>
        </w:rPr>
        <w:t xml:space="preserve"> “fixtures and personal property . . . owned, leased, controlled, used or to be used for or </w:t>
      </w:r>
      <w:r w:rsidR="006D02B4" w:rsidRPr="00945AD5">
        <w:rPr>
          <w:b/>
          <w:bCs/>
          <w:i/>
        </w:rPr>
        <w:t>in connection</w:t>
      </w:r>
      <w:r w:rsidR="006D02B4">
        <w:rPr>
          <w:bCs/>
        </w:rPr>
        <w:t xml:space="preserve"> with . . . the sale or furnishing of electricity </w:t>
      </w:r>
      <w:r w:rsidR="00AA623B">
        <w:rPr>
          <w:bCs/>
        </w:rPr>
        <w:t>for light, heat, or power,</w:t>
      </w:r>
      <w:r w:rsidR="006D02B4">
        <w:rPr>
          <w:bCs/>
        </w:rPr>
        <w:t>”</w:t>
      </w:r>
      <w:r w:rsidR="006D02B4">
        <w:rPr>
          <w:rStyle w:val="FootnoteReference"/>
          <w:bCs/>
        </w:rPr>
        <w:footnoteReference w:id="3"/>
      </w:r>
      <w:r w:rsidR="00AA623B">
        <w:rPr>
          <w:bCs/>
        </w:rPr>
        <w:t xml:space="preserve"> include water heaters and HVAC equipment.</w:t>
      </w:r>
      <w:r w:rsidR="006D02B4">
        <w:rPr>
          <w:bCs/>
        </w:rPr>
        <w:t xml:space="preserve">  As </w:t>
      </w:r>
      <w:r w:rsidR="00C304BB">
        <w:rPr>
          <w:bCs/>
        </w:rPr>
        <w:t>discussed</w:t>
      </w:r>
      <w:r w:rsidR="006D02B4">
        <w:rPr>
          <w:bCs/>
        </w:rPr>
        <w:t xml:space="preserve"> in PSE’s response to Staff’s Motion, </w:t>
      </w:r>
      <w:r w:rsidR="00395864">
        <w:rPr>
          <w:bCs/>
        </w:rPr>
        <w:t xml:space="preserve">in </w:t>
      </w:r>
      <w:r w:rsidR="00395864" w:rsidRPr="00395864">
        <w:rPr>
          <w:bCs/>
          <w:i/>
        </w:rPr>
        <w:t>Cole</w:t>
      </w:r>
      <w:r w:rsidR="00395864">
        <w:rPr>
          <w:bCs/>
        </w:rPr>
        <w:t xml:space="preserve">, </w:t>
      </w:r>
      <w:r w:rsidR="00C304BB">
        <w:rPr>
          <w:bCs/>
        </w:rPr>
        <w:t>the Commission interpreted nearly identical</w:t>
      </w:r>
      <w:r w:rsidR="00783E37" w:rsidRPr="00783E37">
        <w:rPr>
          <w:bCs/>
        </w:rPr>
        <w:t xml:space="preserve"> </w:t>
      </w:r>
      <w:r w:rsidR="00783E37">
        <w:rPr>
          <w:bCs/>
        </w:rPr>
        <w:t>language</w:t>
      </w:r>
      <w:r w:rsidR="006D02B4">
        <w:rPr>
          <w:bCs/>
        </w:rPr>
        <w:t xml:space="preserve"> </w:t>
      </w:r>
      <w:r w:rsidR="00D21F05">
        <w:rPr>
          <w:bCs/>
        </w:rPr>
        <w:t xml:space="preserve">in the context of RCW 80.28.010, .020, .100, </w:t>
      </w:r>
      <w:r w:rsidR="006D02B4">
        <w:rPr>
          <w:bCs/>
        </w:rPr>
        <w:t>and determined that it includes water heating and HVAC equipment.</w:t>
      </w:r>
      <w:r w:rsidR="00395864">
        <w:rPr>
          <w:rStyle w:val="FootnoteReference"/>
          <w:bCs/>
        </w:rPr>
        <w:footnoteReference w:id="4"/>
      </w:r>
      <w:r w:rsidR="006D02B4">
        <w:rPr>
          <w:bCs/>
        </w:rPr>
        <w:t xml:space="preserve">  </w:t>
      </w:r>
      <w:r w:rsidR="00395864">
        <w:rPr>
          <w:bCs/>
        </w:rPr>
        <w:t>T</w:t>
      </w:r>
      <w:r w:rsidR="006D02B4">
        <w:rPr>
          <w:bCs/>
        </w:rPr>
        <w:t>he Commission stated that it has jurisdiction over “[a]</w:t>
      </w:r>
      <w:proofErr w:type="spellStart"/>
      <w:r w:rsidR="006D02B4">
        <w:rPr>
          <w:bCs/>
        </w:rPr>
        <w:t>ll</w:t>
      </w:r>
      <w:proofErr w:type="spellEnd"/>
      <w:r w:rsidR="006D02B4">
        <w:rPr>
          <w:bCs/>
        </w:rPr>
        <w:t xml:space="preserve"> charges . . . by any gas company, electrical company . . . for gas, electricity . . . or for any service rendered or to be r</w:t>
      </w:r>
      <w:r w:rsidR="00AA623B">
        <w:rPr>
          <w:bCs/>
        </w:rPr>
        <w:t xml:space="preserve">endered </w:t>
      </w:r>
      <w:r w:rsidR="00AA623B" w:rsidRPr="00AA623B">
        <w:rPr>
          <w:b/>
          <w:bCs/>
          <w:i/>
        </w:rPr>
        <w:t>in connection therewith</w:t>
      </w:r>
      <w:r w:rsidR="00AA623B">
        <w:rPr>
          <w:bCs/>
        </w:rPr>
        <w:t>.</w:t>
      </w:r>
      <w:r w:rsidR="006D02B4">
        <w:rPr>
          <w:bCs/>
        </w:rPr>
        <w:t>”</w:t>
      </w:r>
      <w:r w:rsidR="006D02B4">
        <w:rPr>
          <w:rStyle w:val="FootnoteReference"/>
          <w:bCs/>
        </w:rPr>
        <w:footnoteReference w:id="5"/>
      </w:r>
      <w:r w:rsidR="00AA623B">
        <w:rPr>
          <w:bCs/>
        </w:rPr>
        <w:t xml:space="preserve">  The Commission explained further that it “has, by statute, been given jurisdiction and power to regulate rates, charges, rentals for the sale of gas, </w:t>
      </w:r>
      <w:r w:rsidR="00AA623B" w:rsidRPr="00AA623B">
        <w:rPr>
          <w:b/>
          <w:bCs/>
          <w:i/>
        </w:rPr>
        <w:t>or any service connected therewith</w:t>
      </w:r>
      <w:r w:rsidR="00AA623B">
        <w:rPr>
          <w:bCs/>
        </w:rPr>
        <w:t xml:space="preserve">.  Certainly, the furnishing of rented conversion burners or other appliances using gas </w:t>
      </w:r>
      <w:r w:rsidR="00AA623B" w:rsidRPr="00D21F05">
        <w:rPr>
          <w:b/>
          <w:bCs/>
          <w:i/>
        </w:rPr>
        <w:t>is a service directly connected with the sale of gas</w:t>
      </w:r>
      <w:r w:rsidR="00AA623B">
        <w:rPr>
          <w:bCs/>
        </w:rPr>
        <w:t>.”</w:t>
      </w:r>
      <w:r w:rsidR="00AA623B">
        <w:rPr>
          <w:rStyle w:val="FootnoteReference"/>
          <w:bCs/>
        </w:rPr>
        <w:footnoteReference w:id="6"/>
      </w:r>
      <w:r w:rsidR="00AA623B">
        <w:rPr>
          <w:bCs/>
        </w:rPr>
        <w:t xml:space="preserve">  </w:t>
      </w:r>
      <w:r w:rsidR="00945AD5">
        <w:rPr>
          <w:bCs/>
        </w:rPr>
        <w:t>Thus,</w:t>
      </w:r>
      <w:r w:rsidR="00AA623B">
        <w:rPr>
          <w:bCs/>
        </w:rPr>
        <w:t xml:space="preserve"> the Commission </w:t>
      </w:r>
      <w:r w:rsidR="00945AD5">
        <w:rPr>
          <w:bCs/>
        </w:rPr>
        <w:t xml:space="preserve">has already </w:t>
      </w:r>
      <w:r w:rsidR="00AA623B">
        <w:rPr>
          <w:bCs/>
        </w:rPr>
        <w:t>det</w:t>
      </w:r>
      <w:r w:rsidR="00945AD5">
        <w:rPr>
          <w:bCs/>
        </w:rPr>
        <w:t xml:space="preserve">ermined that it </w:t>
      </w:r>
      <w:r w:rsidR="00AA623B">
        <w:rPr>
          <w:bCs/>
        </w:rPr>
        <w:t>has jurisdiction over appliances connected to gas and electric service,</w:t>
      </w:r>
      <w:r w:rsidR="00945AD5">
        <w:rPr>
          <w:bCs/>
        </w:rPr>
        <w:t xml:space="preserve"> which expressly include</w:t>
      </w:r>
      <w:r w:rsidR="00AA623B">
        <w:rPr>
          <w:bCs/>
        </w:rPr>
        <w:t xml:space="preserve"> water heaters and HVAC equipment.  The </w:t>
      </w:r>
      <w:r w:rsidR="00AA623B">
        <w:rPr>
          <w:bCs/>
        </w:rPr>
        <w:lastRenderedPageBreak/>
        <w:t>Washington Sup</w:t>
      </w:r>
      <w:r w:rsidR="004A6212">
        <w:rPr>
          <w:bCs/>
        </w:rPr>
        <w:t>reme Court upheld this ruling, including the Commission’s determination that it has authority over “leasing of appliances.”</w:t>
      </w:r>
      <w:r w:rsidR="004A6212">
        <w:rPr>
          <w:rStyle w:val="FootnoteReference"/>
          <w:bCs/>
        </w:rPr>
        <w:footnoteReference w:id="7"/>
      </w:r>
      <w:r w:rsidR="004A6212">
        <w:rPr>
          <w:bCs/>
        </w:rPr>
        <w:t xml:space="preserve"> </w:t>
      </w:r>
    </w:p>
    <w:p w:rsidR="00A82D5E" w:rsidRPr="00A82D5E" w:rsidRDefault="00945AD5" w:rsidP="0019481B">
      <w:pPr>
        <w:pStyle w:val="Header"/>
        <w:numPr>
          <w:ilvl w:val="0"/>
          <w:numId w:val="41"/>
        </w:numPr>
        <w:tabs>
          <w:tab w:val="left" w:pos="720"/>
        </w:tabs>
        <w:spacing w:line="480" w:lineRule="auto"/>
        <w:jc w:val="both"/>
      </w:pPr>
      <w:r>
        <w:rPr>
          <w:bCs/>
        </w:rPr>
        <w:tab/>
      </w:r>
      <w:r w:rsidR="007B01F4">
        <w:rPr>
          <w:bCs/>
        </w:rPr>
        <w:t xml:space="preserve">Second, </w:t>
      </w:r>
      <w:r w:rsidR="000908A3">
        <w:rPr>
          <w:bCs/>
        </w:rPr>
        <w:t xml:space="preserve">in its response to Staff’s Motion, </w:t>
      </w:r>
      <w:r w:rsidR="007B01F4">
        <w:rPr>
          <w:bCs/>
        </w:rPr>
        <w:t>PSE has already sufficiently addressed the argument that unless a utility engages in load building, leasing is impermissible.</w:t>
      </w:r>
      <w:r w:rsidR="000908A3">
        <w:rPr>
          <w:rStyle w:val="FootnoteReference"/>
          <w:bCs/>
        </w:rPr>
        <w:footnoteReference w:id="8"/>
      </w:r>
      <w:r w:rsidR="007B01F4">
        <w:rPr>
          <w:bCs/>
        </w:rPr>
        <w:t xml:space="preserve">  </w:t>
      </w:r>
      <w:r w:rsidR="000908A3">
        <w:rPr>
          <w:bCs/>
        </w:rPr>
        <w:t>In short, load building has never been cited as a prerequisite to leasing by any Commission decision, court, or statute, and leasing has been upheld in a variety of contexts where load building was not the motivation.</w:t>
      </w:r>
      <w:r w:rsidR="000908A3">
        <w:rPr>
          <w:rStyle w:val="FootnoteReference"/>
          <w:bCs/>
        </w:rPr>
        <w:footnoteReference w:id="9"/>
      </w:r>
      <w:r w:rsidR="000908A3">
        <w:rPr>
          <w:bCs/>
        </w:rPr>
        <w:t xml:space="preserve">  </w:t>
      </w:r>
      <w:r w:rsidR="00783E37">
        <w:rPr>
          <w:bCs/>
        </w:rPr>
        <w:t xml:space="preserve">The Supreme Court in </w:t>
      </w:r>
      <w:r w:rsidR="00783E37" w:rsidRPr="00783E37">
        <w:rPr>
          <w:bCs/>
          <w:i/>
        </w:rPr>
        <w:t>Cole</w:t>
      </w:r>
      <w:r w:rsidR="009C189A">
        <w:rPr>
          <w:bCs/>
        </w:rPr>
        <w:t xml:space="preserve"> </w:t>
      </w:r>
      <w:r w:rsidR="00783E37">
        <w:rPr>
          <w:bCs/>
        </w:rPr>
        <w:t>upheld leasing as an appropriate activity by a</w:t>
      </w:r>
      <w:r w:rsidR="005004B9">
        <w:rPr>
          <w:bCs/>
        </w:rPr>
        <w:t xml:space="preserve"> regulated</w:t>
      </w:r>
      <w:r w:rsidR="00783E37">
        <w:rPr>
          <w:bCs/>
        </w:rPr>
        <w:t xml:space="preserve"> utility and certainly did not hold that load-building is a requirement for a utility to engage in leasing</w:t>
      </w:r>
      <w:r w:rsidR="00004C5D">
        <w:rPr>
          <w:bCs/>
        </w:rPr>
        <w:t xml:space="preserve"> as </w:t>
      </w:r>
      <w:proofErr w:type="spellStart"/>
      <w:r w:rsidR="00004C5D">
        <w:rPr>
          <w:bCs/>
        </w:rPr>
        <w:t>SMACNA</w:t>
      </w:r>
      <w:proofErr w:type="spellEnd"/>
      <w:r w:rsidR="00004C5D">
        <w:rPr>
          <w:bCs/>
        </w:rPr>
        <w:t xml:space="preserve"> suggests</w:t>
      </w:r>
      <w:r w:rsidR="00783E37">
        <w:rPr>
          <w:bCs/>
        </w:rPr>
        <w:t>.</w:t>
      </w:r>
      <w:r w:rsidR="00783E37">
        <w:rPr>
          <w:rStyle w:val="FootnoteReference"/>
          <w:bCs/>
        </w:rPr>
        <w:footnoteReference w:id="10"/>
      </w:r>
    </w:p>
    <w:p w:rsidR="0019481B" w:rsidRDefault="000908A3" w:rsidP="00FA20FA">
      <w:pPr>
        <w:pStyle w:val="Header"/>
        <w:numPr>
          <w:ilvl w:val="0"/>
          <w:numId w:val="41"/>
        </w:numPr>
        <w:tabs>
          <w:tab w:val="left" w:pos="720"/>
        </w:tabs>
        <w:spacing w:line="480" w:lineRule="auto"/>
        <w:jc w:val="both"/>
      </w:pPr>
      <w:r>
        <w:tab/>
      </w:r>
      <w:r w:rsidR="00FA20FA">
        <w:t>Third</w:t>
      </w:r>
      <w:r>
        <w:t xml:space="preserve">, </w:t>
      </w:r>
      <w:proofErr w:type="spellStart"/>
      <w:r>
        <w:t>SMACNA</w:t>
      </w:r>
      <w:proofErr w:type="spellEnd"/>
      <w:r>
        <w:t xml:space="preserve"> seems to be arguing that WAC 480-100-223, which concerns </w:t>
      </w:r>
      <w:r w:rsidRPr="000908A3">
        <w:rPr>
          <w:i/>
        </w:rPr>
        <w:t>expenses</w:t>
      </w:r>
      <w:r>
        <w:t xml:space="preserve"> for promotional activities, somehow bears on whether a public utility can offer a leasing service.  </w:t>
      </w:r>
      <w:r w:rsidR="00AD05CD">
        <w:t xml:space="preserve">Importantly, </w:t>
      </w:r>
      <w:r w:rsidR="00783E37" w:rsidRPr="00783E37">
        <w:t>WAC 480-100-223</w:t>
      </w:r>
      <w:r w:rsidR="00AD05CD">
        <w:t xml:space="preserve"> does not restrict</w:t>
      </w:r>
      <w:r w:rsidR="00004C5D">
        <w:t xml:space="preserve"> or prohibit</w:t>
      </w:r>
      <w:r w:rsidR="00AD05CD">
        <w:t xml:space="preserve"> promotional activities, but rather</w:t>
      </w:r>
      <w:r w:rsidR="00783E37">
        <w:t xml:space="preserve"> simply </w:t>
      </w:r>
      <w:r w:rsidR="00004C5D">
        <w:t>limits the expenses a utility can recover</w:t>
      </w:r>
      <w:r w:rsidR="00783E37">
        <w:t xml:space="preserve"> associated with </w:t>
      </w:r>
      <w:r w:rsidR="00AD05CD">
        <w:t>various “promotional or political advertising.”</w:t>
      </w:r>
      <w:r w:rsidR="00AD05CD">
        <w:rPr>
          <w:rStyle w:val="FootnoteReference"/>
        </w:rPr>
        <w:footnoteReference w:id="11"/>
      </w:r>
      <w:r w:rsidR="00783E37">
        <w:t xml:space="preserve">  </w:t>
      </w:r>
      <w:r>
        <w:t xml:space="preserve">To the extent </w:t>
      </w:r>
      <w:proofErr w:type="spellStart"/>
      <w:r>
        <w:t>SMACNA</w:t>
      </w:r>
      <w:proofErr w:type="spellEnd"/>
      <w:r>
        <w:t xml:space="preserve"> is suggesting that this regulation prohibits leasing</w:t>
      </w:r>
      <w:r w:rsidR="00004C5D">
        <w:t xml:space="preserve"> or somehow bears on the Supreme Court’s decision in </w:t>
      </w:r>
      <w:r w:rsidR="00004C5D" w:rsidRPr="00004C5D">
        <w:rPr>
          <w:i/>
        </w:rPr>
        <w:t>Cole</w:t>
      </w:r>
      <w:r>
        <w:t xml:space="preserve">, </w:t>
      </w:r>
      <w:proofErr w:type="spellStart"/>
      <w:r>
        <w:t>SMACNA</w:t>
      </w:r>
      <w:proofErr w:type="spellEnd"/>
      <w:r>
        <w:t xml:space="preserve"> grossly overstates </w:t>
      </w:r>
      <w:r w:rsidR="00FA20FA">
        <w:t xml:space="preserve">the regulation as it contains no such prohibition.  </w:t>
      </w:r>
      <w:r w:rsidR="00004C5D">
        <w:t>And notably</w:t>
      </w:r>
      <w:r>
        <w:t xml:space="preserve">, the provision does not </w:t>
      </w:r>
      <w:r w:rsidR="00FA20FA">
        <w:t>exclude a</w:t>
      </w:r>
      <w:r w:rsidR="00FA20FA" w:rsidRPr="00FA20FA">
        <w:t xml:space="preserve">dvertising </w:t>
      </w:r>
      <w:r w:rsidR="00FA20FA">
        <w:t>“</w:t>
      </w:r>
      <w:r w:rsidR="00FA20FA" w:rsidRPr="00FA20FA">
        <w:t>which informs customers how to conserve energy or how t</w:t>
      </w:r>
      <w:r w:rsidR="00FA20FA">
        <w:t>o reduce peak demand for energy</w:t>
      </w:r>
      <w:r w:rsidR="009C189A">
        <w:t>,</w:t>
      </w:r>
      <w:r w:rsidR="00FA20FA">
        <w:t>”</w:t>
      </w:r>
      <w:r w:rsidR="00FA20FA">
        <w:rPr>
          <w:rStyle w:val="FootnoteReference"/>
        </w:rPr>
        <w:footnoteReference w:id="12"/>
      </w:r>
      <w:r w:rsidR="00FA20FA">
        <w:t xml:space="preserve"> “</w:t>
      </w:r>
      <w:r w:rsidR="00FA20FA" w:rsidRPr="00FA20FA">
        <w:t>which promotes the use of energy efficient app</w:t>
      </w:r>
      <w:r w:rsidR="00FA20FA">
        <w:t>liances, equipment, or services,”</w:t>
      </w:r>
      <w:r w:rsidR="00FA20FA">
        <w:rPr>
          <w:rStyle w:val="FootnoteReference"/>
        </w:rPr>
        <w:footnoteReference w:id="13"/>
      </w:r>
      <w:r w:rsidR="00FA20FA">
        <w:t xml:space="preserve"> or “[a]</w:t>
      </w:r>
      <w:proofErr w:type="spellStart"/>
      <w:r w:rsidR="00FA20FA" w:rsidRPr="00FA20FA">
        <w:t>nnouncements</w:t>
      </w:r>
      <w:proofErr w:type="spellEnd"/>
      <w:r w:rsidR="00FA20FA" w:rsidRPr="00FA20FA">
        <w:t xml:space="preserve"> or explanations of existing or </w:t>
      </w:r>
      <w:r w:rsidR="00FA20FA" w:rsidRPr="00FA20FA">
        <w:lastRenderedPageBreak/>
        <w:t>propose</w:t>
      </w:r>
      <w:r w:rsidR="00FA20FA">
        <w:t>d tariffs or rate schedules.”</w:t>
      </w:r>
      <w:r w:rsidR="00FA20FA">
        <w:rPr>
          <w:rStyle w:val="FootnoteReference"/>
        </w:rPr>
        <w:footnoteReference w:id="14"/>
      </w:r>
      <w:r w:rsidR="00FA20FA">
        <w:t xml:space="preserve">  Thus, </w:t>
      </w:r>
      <w:proofErr w:type="spellStart"/>
      <w:r w:rsidR="00FA20FA">
        <w:t>SMACNA</w:t>
      </w:r>
      <w:proofErr w:type="spellEnd"/>
      <w:r w:rsidR="00FA20FA">
        <w:t xml:space="preserve"> </w:t>
      </w:r>
      <w:r w:rsidR="005004B9">
        <w:t>impermissibly s</w:t>
      </w:r>
      <w:r w:rsidR="00004C5D">
        <w:t>tretches</w:t>
      </w:r>
      <w:r w:rsidR="00FA20FA">
        <w:t xml:space="preserve"> both the purpose and bounds of what WAC 480-100-223 is intended to proscribe.</w:t>
      </w:r>
    </w:p>
    <w:p w:rsidR="0005247A" w:rsidRDefault="00FA20FA" w:rsidP="00AB2E48">
      <w:pPr>
        <w:pStyle w:val="Header"/>
        <w:numPr>
          <w:ilvl w:val="0"/>
          <w:numId w:val="41"/>
        </w:numPr>
        <w:tabs>
          <w:tab w:val="left" w:pos="720"/>
        </w:tabs>
        <w:autoSpaceDE w:val="0"/>
        <w:autoSpaceDN w:val="0"/>
        <w:adjustRightInd w:val="0"/>
        <w:spacing w:line="480" w:lineRule="auto"/>
        <w:jc w:val="both"/>
      </w:pPr>
      <w:r>
        <w:tab/>
        <w:t xml:space="preserve">Finally, </w:t>
      </w:r>
      <w:proofErr w:type="spellStart"/>
      <w:r>
        <w:t>SMACNA</w:t>
      </w:r>
      <w:proofErr w:type="spellEnd"/>
      <w:r>
        <w:t xml:space="preserve"> argues that </w:t>
      </w:r>
      <w:r w:rsidR="007D5989">
        <w:t xml:space="preserve">the Commission must articulate a specific policy before a public utility may engage in leasing (and presumably any other activity).  </w:t>
      </w:r>
      <w:r w:rsidR="005C5BE5">
        <w:t xml:space="preserve">Neither the statutes that </w:t>
      </w:r>
      <w:r w:rsidR="00BF2E85">
        <w:t xml:space="preserve">list </w:t>
      </w:r>
      <w:r w:rsidR="005C5BE5">
        <w:t xml:space="preserve">leasing as a utility activity regulated by the Commission, nor the Washington Supreme Court’s decision in </w:t>
      </w:r>
      <w:r w:rsidR="005C5BE5" w:rsidRPr="005C5BE5">
        <w:rPr>
          <w:i/>
        </w:rPr>
        <w:t>Cole</w:t>
      </w:r>
      <w:r w:rsidR="00AD05CD">
        <w:t>,</w:t>
      </w:r>
      <w:r w:rsidR="005C5BE5">
        <w:rPr>
          <w:i/>
        </w:rPr>
        <w:t xml:space="preserve"> </w:t>
      </w:r>
      <w:r w:rsidR="005C5BE5">
        <w:t>require</w:t>
      </w:r>
      <w:r w:rsidR="00BF2E85">
        <w:t>s</w:t>
      </w:r>
      <w:r w:rsidR="005C5BE5">
        <w:t xml:space="preserve"> the Commission to articulate a specific policy before a public utility engages in leasing.  But </w:t>
      </w:r>
      <w:r w:rsidR="00AF5A11">
        <w:t xml:space="preserve">even </w:t>
      </w:r>
      <w:r w:rsidR="005C5BE5">
        <w:t xml:space="preserve">if </w:t>
      </w:r>
      <w:r w:rsidR="00AF5A11">
        <w:t xml:space="preserve">the leasing service must support </w:t>
      </w:r>
      <w:r w:rsidR="005C5BE5">
        <w:t>a</w:t>
      </w:r>
      <w:r w:rsidR="00AF5A11">
        <w:t xml:space="preserve">n articulated </w:t>
      </w:r>
      <w:r w:rsidR="005C5BE5">
        <w:t>policy</w:t>
      </w:r>
      <w:r w:rsidR="00AF5A11">
        <w:t xml:space="preserve">, </w:t>
      </w:r>
      <w:r w:rsidR="0041119A">
        <w:t xml:space="preserve">both the Legislature and the Commission have </w:t>
      </w:r>
      <w:r w:rsidR="00932724">
        <w:t>stated</w:t>
      </w:r>
      <w:r w:rsidR="00BF2E85">
        <w:t xml:space="preserve"> the important </w:t>
      </w:r>
      <w:r w:rsidR="00AF5A11">
        <w:t>policy of encouraging</w:t>
      </w:r>
      <w:r w:rsidR="00BF2E85">
        <w:t xml:space="preserve"> the efficient use of natural gas and electricity, which the leasing program will do. </w:t>
      </w:r>
      <w:r w:rsidR="00C910F5">
        <w:t xml:space="preserve">Specifically, the Legislature has authorized the Commission to </w:t>
      </w:r>
      <w:r w:rsidR="00555767">
        <w:t xml:space="preserve">adopt policies to encourage utility investment in programs that improve the </w:t>
      </w:r>
      <w:r w:rsidR="00AD05CD">
        <w:t xml:space="preserve">energy </w:t>
      </w:r>
      <w:r w:rsidR="00004C5D">
        <w:t>efficiency of end-</w:t>
      </w:r>
      <w:r w:rsidR="00555767">
        <w:t>use</w:t>
      </w:r>
      <w:r w:rsidR="00AD05CD">
        <w:t xml:space="preserve"> equipment</w:t>
      </w:r>
      <w:r w:rsidR="00555767">
        <w:t>.</w:t>
      </w:r>
      <w:r w:rsidR="00555767" w:rsidRPr="00555767">
        <w:rPr>
          <w:rStyle w:val="FootnoteReference"/>
        </w:rPr>
        <w:t xml:space="preserve"> </w:t>
      </w:r>
      <w:r w:rsidR="00555767">
        <w:rPr>
          <w:rStyle w:val="FootnoteReference"/>
        </w:rPr>
        <w:footnoteReference w:id="15"/>
      </w:r>
      <w:r w:rsidR="00AD05CD">
        <w:t xml:space="preserve">  Further, the Commission recently encouraged “incumbent utilities to develop a strategy and business plan to compete more fully in the distributed energy resources market.”</w:t>
      </w:r>
      <w:r w:rsidR="00AD05CD">
        <w:rPr>
          <w:rStyle w:val="FootnoteReference"/>
        </w:rPr>
        <w:footnoteReference w:id="16"/>
      </w:r>
      <w:r w:rsidR="00AD05CD">
        <w:t xml:space="preserve">  PSE’s leasing proposal is a direct response to the Commission’s directive</w:t>
      </w:r>
      <w:r w:rsidR="00932724">
        <w:t xml:space="preserve">.  Given that </w:t>
      </w:r>
      <w:r w:rsidR="009C189A">
        <w:t>PSE’s proposed service</w:t>
      </w:r>
      <w:r w:rsidR="00932724">
        <w:t xml:space="preserve"> is designed to address a significant market gap of too many inefficient appliances currently in use, provide an affordable way for customers to transition to energy efficient equipment, provide a platform for PSE to offer and test additional energy efficient </w:t>
      </w:r>
      <w:r w:rsidR="00932724">
        <w:lastRenderedPageBreak/>
        <w:t>products and services in the future, while further diversifying PSE’s revenue streams,</w:t>
      </w:r>
      <w:r w:rsidR="00932724">
        <w:rPr>
          <w:rStyle w:val="FootnoteReference"/>
        </w:rPr>
        <w:footnoteReference w:id="17"/>
      </w:r>
      <w:r w:rsidR="00932724">
        <w:t xml:space="preserve"> the proposed service contains numerous indisputably valid policy justifications and purposes.  </w:t>
      </w:r>
      <w:r w:rsidR="005004B9">
        <w:t>To suggest that</w:t>
      </w:r>
      <w:r w:rsidR="00004C5D">
        <w:t xml:space="preserve"> PSE needs a </w:t>
      </w:r>
      <w:r w:rsidR="00D67884">
        <w:t xml:space="preserve">new </w:t>
      </w:r>
      <w:r w:rsidR="00004C5D">
        <w:t>express legislative or Commission directiv</w:t>
      </w:r>
      <w:r w:rsidR="00D67884">
        <w:t xml:space="preserve">e before it can engage in a </w:t>
      </w:r>
      <w:r w:rsidR="008470DA">
        <w:t>service</w:t>
      </w:r>
      <w:r w:rsidR="00D67884">
        <w:t xml:space="preserve"> requested by customers</w:t>
      </w:r>
      <w:r w:rsidR="00004C5D">
        <w:t>, much less a</w:t>
      </w:r>
      <w:r w:rsidR="005004B9">
        <w:t>n already</w:t>
      </w:r>
      <w:r w:rsidR="00004C5D">
        <w:t xml:space="preserve"> statutorily-approved utility </w:t>
      </w:r>
      <w:r w:rsidR="00D67884">
        <w:t>service</w:t>
      </w:r>
      <w:r w:rsidR="00004C5D">
        <w:t xml:space="preserve"> </w:t>
      </w:r>
      <w:r w:rsidR="005004B9">
        <w:t>(w</w:t>
      </w:r>
      <w:r w:rsidR="00004C5D">
        <w:t xml:space="preserve">here PSE has leased </w:t>
      </w:r>
      <w:r w:rsidR="00C304BB">
        <w:t>similar</w:t>
      </w:r>
      <w:bookmarkStart w:id="3" w:name="_GoBack"/>
      <w:bookmarkEnd w:id="3"/>
      <w:r w:rsidR="00004C5D">
        <w:t xml:space="preserve"> equipment</w:t>
      </w:r>
      <w:r w:rsidR="00D67884">
        <w:t xml:space="preserve"> to</w:t>
      </w:r>
      <w:r w:rsidR="00004C5D">
        <w:t xml:space="preserve"> </w:t>
      </w:r>
      <w:r w:rsidR="008470DA">
        <w:t xml:space="preserve">customers </w:t>
      </w:r>
      <w:r w:rsidR="00004C5D">
        <w:t>for over fifty years)</w:t>
      </w:r>
      <w:r w:rsidR="005004B9">
        <w:t>, is inconsistent with utility practice and finds no support in the law.</w:t>
      </w:r>
    </w:p>
    <w:p w:rsidR="008C0EA6" w:rsidRPr="008C0EA6" w:rsidRDefault="00517316" w:rsidP="008C0EA6">
      <w:pPr>
        <w:pStyle w:val="PleadingsL2"/>
      </w:pPr>
      <w:r w:rsidRPr="00517316">
        <w:t>PSE Has Demonstrated That The Proposed Rates Are Fair, Just, Reasonable, and</w:t>
      </w:r>
      <w:r w:rsidR="005004B9">
        <w:t>,</w:t>
      </w:r>
      <w:r w:rsidRPr="00517316">
        <w:t xml:space="preserve"> Sufficient</w:t>
      </w:r>
    </w:p>
    <w:p w:rsidR="004A024A" w:rsidRDefault="00C84D27" w:rsidP="00AB2E48">
      <w:pPr>
        <w:pStyle w:val="Header"/>
        <w:numPr>
          <w:ilvl w:val="0"/>
          <w:numId w:val="41"/>
        </w:numPr>
        <w:tabs>
          <w:tab w:val="left" w:pos="720"/>
        </w:tabs>
        <w:spacing w:line="480" w:lineRule="auto"/>
        <w:jc w:val="both"/>
      </w:pPr>
      <w:r>
        <w:tab/>
      </w:r>
      <w:r w:rsidR="00AB2E48">
        <w:t>As stated in its response to Staff’s Motion, PSE’s rates were prepared using actual costs for the services offered in PSE’s tariff by actual licensed Washington contractors.</w:t>
      </w:r>
      <w:r w:rsidR="00AB2E48">
        <w:rPr>
          <w:rStyle w:val="FootnoteReference"/>
        </w:rPr>
        <w:footnoteReference w:id="18"/>
      </w:r>
      <w:r w:rsidR="00AB2E48">
        <w:t xml:space="preserve">  Further, PSE’s methodology and proce</w:t>
      </w:r>
      <w:r w:rsidR="005004B9">
        <w:t>ss for preparing and setting</w:t>
      </w:r>
      <w:r w:rsidR="00AB2E48">
        <w:t xml:space="preserve"> rates have been fully set forth and have been available for review by all parties</w:t>
      </w:r>
      <w:r w:rsidR="008470DA">
        <w:t xml:space="preserve"> for months</w:t>
      </w:r>
      <w:r w:rsidR="00AB2E48">
        <w:t xml:space="preserve">.  Contrary to </w:t>
      </w:r>
      <w:proofErr w:type="spellStart"/>
      <w:r w:rsidR="00AB2E48">
        <w:t>SMACNA’s</w:t>
      </w:r>
      <w:proofErr w:type="spellEnd"/>
      <w:r w:rsidR="00AB2E48">
        <w:t xml:space="preserve"> suggestion, PSE is not attempting to meet its burden of proof after the proceeding is over.  Rather, the terms and provisions of the proposed service are contained in PSE’s tariff and PSE fully stands by those terms.</w:t>
      </w:r>
      <w:r w:rsidR="005004B9">
        <w:t xml:space="preserve">  Any additional commitments would simply go above and beyond </w:t>
      </w:r>
      <w:r w:rsidR="00202837">
        <w:t>what is required for the rates and terms of the tariff to be just, fair, reasonable and sufficient</w:t>
      </w:r>
      <w:r w:rsidR="005004B9">
        <w:t>.</w:t>
      </w:r>
    </w:p>
    <w:p w:rsidR="00695439" w:rsidRDefault="00695439" w:rsidP="00695439">
      <w:pPr>
        <w:pStyle w:val="PleadingsL1"/>
      </w:pPr>
      <w:r>
        <w:t>CONCLUSION</w:t>
      </w:r>
    </w:p>
    <w:p w:rsidR="00695439" w:rsidRDefault="00955512" w:rsidP="00DD4DEE">
      <w:pPr>
        <w:pStyle w:val="Header"/>
        <w:numPr>
          <w:ilvl w:val="0"/>
          <w:numId w:val="41"/>
        </w:numPr>
        <w:tabs>
          <w:tab w:val="left" w:pos="720"/>
        </w:tabs>
        <w:spacing w:line="480" w:lineRule="auto"/>
        <w:jc w:val="both"/>
      </w:pPr>
      <w:r>
        <w:tab/>
      </w:r>
      <w:proofErr w:type="spellStart"/>
      <w:r w:rsidR="00AB2E48">
        <w:t>SMACNA’s</w:t>
      </w:r>
      <w:proofErr w:type="spellEnd"/>
      <w:r w:rsidR="00AB2E48">
        <w:t xml:space="preserve"> response to Staff’</w:t>
      </w:r>
      <w:r w:rsidR="00395864">
        <w:t>s Motion for Summary Determination</w:t>
      </w:r>
      <w:r w:rsidR="00AB2E48">
        <w:t xml:space="preserve"> provides no added authority </w:t>
      </w:r>
      <w:r w:rsidR="00395864">
        <w:t>in support of Staff’s Motion</w:t>
      </w:r>
      <w:r w:rsidR="00932724">
        <w:t xml:space="preserve"> and suffers from several of the same flaws</w:t>
      </w:r>
      <w:r w:rsidR="00395864">
        <w:t xml:space="preserve">.  </w:t>
      </w:r>
      <w:r w:rsidR="0054015E">
        <w:t>PSE respectfully requests that the Commission deny Staff’s Motion for Summary Determination.</w:t>
      </w:r>
    </w:p>
    <w:p w:rsidR="00325E05" w:rsidRDefault="00325E05">
      <w:pPr>
        <w:spacing w:after="200" w:line="276" w:lineRule="auto"/>
      </w:pPr>
      <w:r>
        <w:br w:type="page"/>
      </w:r>
    </w:p>
    <w:p w:rsidR="007E490E" w:rsidRPr="00366771" w:rsidRDefault="007E490E" w:rsidP="007E490E">
      <w:pPr>
        <w:pStyle w:val="BodyText"/>
      </w:pPr>
      <w:r w:rsidRPr="00366771">
        <w:lastRenderedPageBreak/>
        <w:t>Respectfully submitte</w:t>
      </w:r>
      <w:r w:rsidR="00BA1F07">
        <w:t xml:space="preserve">d this </w:t>
      </w:r>
      <w:r w:rsidR="00C11CED">
        <w:t>27</w:t>
      </w:r>
      <w:r w:rsidR="00517316">
        <w:t>th</w:t>
      </w:r>
      <w:r>
        <w:t xml:space="preserve">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 xml:space="preserve">Sheree S. Carson, </w:t>
            </w:r>
            <w:proofErr w:type="spellStart"/>
            <w:r w:rsidRPr="000A006E">
              <w:t>WSBA</w:t>
            </w:r>
            <w:proofErr w:type="spellEnd"/>
            <w:r w:rsidRPr="000A006E">
              <w:t xml:space="preserve"> No. 25349</w:t>
            </w:r>
          </w:p>
          <w:p w:rsidR="007E490E" w:rsidRDefault="007E490E" w:rsidP="0084488A">
            <w:pPr>
              <w:pStyle w:val="PleadingSignature"/>
              <w:ind w:left="432"/>
            </w:pPr>
            <w:r>
              <w:t xml:space="preserve">David S. Steele, </w:t>
            </w:r>
            <w:proofErr w:type="spellStart"/>
            <w:r>
              <w:t>WSBA</w:t>
            </w:r>
            <w:proofErr w:type="spellEnd"/>
            <w:r>
              <w:t xml:space="preserve">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1"/>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BD" w:rsidRDefault="00BB0FBD" w:rsidP="003D2170">
      <w:r>
        <w:separator/>
      </w:r>
    </w:p>
  </w:endnote>
  <w:endnote w:type="continuationSeparator" w:id="0">
    <w:p w:rsidR="00BB0FBD" w:rsidRDefault="00BB0FBD" w:rsidP="003D2170">
      <w:r>
        <w:continuationSeparator/>
      </w:r>
    </w:p>
  </w:endnote>
  <w:endnote w:type="continuationNotice" w:id="1">
    <w:p w:rsidR="00BB0FBD" w:rsidRDefault="00BB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4F6F04">
    <w:pPr>
      <w:pStyle w:val="Footer"/>
      <w:rPr>
        <w:caps/>
        <w:sz w:val="20"/>
        <w:szCs w:val="20"/>
      </w:rPr>
    </w:pPr>
    <w:r w:rsidRPr="00674F8B">
      <w:rPr>
        <w:b/>
        <w:caps/>
        <w:sz w:val="20"/>
        <w:szCs w:val="20"/>
      </w:rPr>
      <w:t xml:space="preserve">PUGET SOUND ENERGY’S </w:t>
    </w:r>
    <w:r w:rsidR="00C11CED">
      <w:rPr>
        <w:b/>
        <w:caps/>
        <w:sz w:val="20"/>
        <w:szCs w:val="20"/>
      </w:rPr>
      <w:t>REPLY</w:t>
    </w:r>
    <w:r>
      <w:rPr>
        <w:b/>
        <w:caps/>
        <w:sz w:val="20"/>
        <w:szCs w:val="20"/>
      </w:rPr>
      <w:t xml:space="preserve"> TO </w:t>
    </w:r>
    <w:proofErr w:type="spellStart"/>
    <w:r w:rsidR="00395864">
      <w:rPr>
        <w:b/>
        <w:caps/>
        <w:sz w:val="20"/>
        <w:szCs w:val="20"/>
      </w:rPr>
      <w:t>SMACNA</w:t>
    </w:r>
    <w:r>
      <w:rPr>
        <w:b/>
        <w:caps/>
        <w:sz w:val="20"/>
        <w:szCs w:val="20"/>
      </w:rPr>
      <w:t>’S</w:t>
    </w:r>
    <w:proofErr w:type="spellEnd"/>
    <w:r>
      <w:rPr>
        <w:b/>
        <w:caps/>
        <w:sz w:val="20"/>
        <w:szCs w:val="20"/>
      </w:rPr>
      <w:t xml:space="preserve"> RESPONSE IN SUPPORT OF</w:t>
    </w:r>
    <w:r w:rsidRPr="00674F8B">
      <w:rPr>
        <w:b/>
        <w:caps/>
        <w:sz w:val="20"/>
        <w:szCs w:val="20"/>
      </w:rPr>
      <w:t xml:space="preserve"> COMMISSION STAFF’S MOTION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C304BB">
      <w:rPr>
        <w:caps/>
        <w:noProof/>
        <w:sz w:val="20"/>
        <w:szCs w:val="20"/>
      </w:rPr>
      <w:t>1</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BD" w:rsidRDefault="00BB0FBD" w:rsidP="003D2170">
      <w:r>
        <w:separator/>
      </w:r>
    </w:p>
  </w:footnote>
  <w:footnote w:type="continuationSeparator" w:id="0">
    <w:p w:rsidR="00BB0FBD" w:rsidRDefault="00BB0FBD" w:rsidP="003D2170">
      <w:r>
        <w:continuationSeparator/>
      </w:r>
    </w:p>
  </w:footnote>
  <w:footnote w:type="continuationNotice" w:id="1">
    <w:p w:rsidR="00BB0FBD" w:rsidRDefault="00BB0FBD"/>
  </w:footnote>
  <w:footnote w:id="2">
    <w:p w:rsidR="00395864" w:rsidRDefault="00395864">
      <w:pPr>
        <w:pStyle w:val="FootnoteText"/>
      </w:pPr>
      <w:r>
        <w:rPr>
          <w:rStyle w:val="FootnoteReference"/>
        </w:rPr>
        <w:footnoteRef/>
      </w:r>
      <w:r>
        <w:t xml:space="preserve"> </w:t>
      </w:r>
      <w:r w:rsidRPr="00395864">
        <w:rPr>
          <w:i/>
          <w:iCs/>
        </w:rPr>
        <w:t>Cole v. Wash. Utilities &amp; Transp. Commission</w:t>
      </w:r>
      <w:r>
        <w:t>, 79 Wn.2d 302, 485 P.2d 71 (1971) (</w:t>
      </w:r>
      <w:proofErr w:type="spellStart"/>
      <w:r>
        <w:t>en</w:t>
      </w:r>
      <w:proofErr w:type="spellEnd"/>
      <w:r>
        <w:t xml:space="preserve"> banc); </w:t>
      </w:r>
      <w:r w:rsidRPr="00395864">
        <w:rPr>
          <w:i/>
          <w:iCs/>
        </w:rPr>
        <w:t>Cole v. Wash. Natural Gas Co.</w:t>
      </w:r>
      <w:r>
        <w:t>, No. U-9621</w:t>
      </w:r>
      <w:r w:rsidRPr="00395864">
        <w:t xml:space="preserve"> (1968) (“Commission Proposed Order”).</w:t>
      </w:r>
    </w:p>
  </w:footnote>
  <w:footnote w:id="3">
    <w:p w:rsidR="006D02B4" w:rsidRDefault="006D02B4">
      <w:pPr>
        <w:pStyle w:val="FootnoteText"/>
      </w:pPr>
      <w:r>
        <w:rPr>
          <w:rStyle w:val="FootnoteReference"/>
        </w:rPr>
        <w:footnoteRef/>
      </w:r>
      <w:r>
        <w:t xml:space="preserve"> RCW 80.04.010(11)</w:t>
      </w:r>
      <w:r w:rsidR="00945AD5">
        <w:t xml:space="preserve"> (emphasis added)</w:t>
      </w:r>
      <w:r>
        <w:t>.  The gas equivalent is RCW 80.04.010(15).</w:t>
      </w:r>
    </w:p>
  </w:footnote>
  <w:footnote w:id="4">
    <w:p w:rsidR="00395864" w:rsidRDefault="00395864">
      <w:pPr>
        <w:pStyle w:val="FootnoteText"/>
      </w:pPr>
      <w:r>
        <w:rPr>
          <w:rStyle w:val="FootnoteReference"/>
        </w:rPr>
        <w:footnoteRef/>
      </w:r>
      <w:r>
        <w:t xml:space="preserve"> </w:t>
      </w:r>
      <w:r w:rsidR="004A6212">
        <w:t>Puget Sound Energy’s Response to Staff’s Motion for Summary Determination, ¶¶ 44-50 (“PSE Response”).</w:t>
      </w:r>
    </w:p>
  </w:footnote>
  <w:footnote w:id="5">
    <w:p w:rsidR="006D02B4" w:rsidRDefault="006D02B4">
      <w:pPr>
        <w:pStyle w:val="FootnoteText"/>
      </w:pPr>
      <w:r>
        <w:rPr>
          <w:rStyle w:val="FootnoteReference"/>
        </w:rPr>
        <w:footnoteRef/>
      </w:r>
      <w:r>
        <w:t xml:space="preserve"> </w:t>
      </w:r>
      <w:r w:rsidR="004A6212">
        <w:t>PSE Response, ¶</w:t>
      </w:r>
      <w:r>
        <w:t xml:space="preserve"> </w:t>
      </w:r>
      <w:r w:rsidR="004A6212">
        <w:t>45</w:t>
      </w:r>
      <w:r>
        <w:t>; Commission Proposed Order at 15</w:t>
      </w:r>
      <w:r w:rsidR="00C304BB">
        <w:t xml:space="preserve"> (emphasis added)</w:t>
      </w:r>
      <w:r>
        <w:t>; RCW 80.28.010(1).</w:t>
      </w:r>
    </w:p>
  </w:footnote>
  <w:footnote w:id="6">
    <w:p w:rsidR="00AA623B" w:rsidRDefault="00AA623B" w:rsidP="00AA623B">
      <w:pPr>
        <w:pStyle w:val="FootnoteText"/>
      </w:pPr>
      <w:r>
        <w:rPr>
          <w:rStyle w:val="FootnoteReference"/>
        </w:rPr>
        <w:footnoteRef/>
      </w:r>
      <w:r>
        <w:t xml:space="preserve"> </w:t>
      </w:r>
      <w:r w:rsidR="004A6212">
        <w:t xml:space="preserve">PSE Response, ¶ 45; </w:t>
      </w:r>
      <w:r>
        <w:t>Commission Propose</w:t>
      </w:r>
      <w:r w:rsidR="004A6212">
        <w:t>d</w:t>
      </w:r>
      <w:r>
        <w:t xml:space="preserve"> Order at 15</w:t>
      </w:r>
      <w:r w:rsidR="00C304BB">
        <w:t xml:space="preserve"> (emphasis added)</w:t>
      </w:r>
      <w:r w:rsidR="004A6212">
        <w:t>; RCW 80.28.020, .100</w:t>
      </w:r>
      <w:r>
        <w:t xml:space="preserve">.  As stated </w:t>
      </w:r>
      <w:r w:rsidR="009C189A">
        <w:t xml:space="preserve">further </w:t>
      </w:r>
      <w:r w:rsidR="004A6212">
        <w:t xml:space="preserve">by the Commission: </w:t>
      </w:r>
      <w:r>
        <w:t xml:space="preserve"> “The Commission has statutory jurisdiction and general powers and the duty to regulate utility practices including and specifically rental charges and any service</w:t>
      </w:r>
      <w:r w:rsidR="004A6212">
        <w:t xml:space="preserve"> </w:t>
      </w:r>
      <w:r>
        <w:t>rendered in connection with gas sales.</w:t>
      </w:r>
      <w:r w:rsidR="004A6212">
        <w:t xml:space="preserve"> . . .  </w:t>
      </w:r>
      <w:r>
        <w:t>The Commission is given jurisdiction to regulate rates and charges for supply gas or for any service in connection therewith, including the service of renting gas appliances and rates and charges therefore.  Therefore, the terms of the rental contract would fall within the Commission jurisdiction and responsibilities</w:t>
      </w:r>
      <w:r w:rsidR="004A6212">
        <w:t xml:space="preserve">.”  PSE Response, ¶ 45; Commission Proposed Order at 15, 20; </w:t>
      </w:r>
      <w:r w:rsidR="004A6212" w:rsidRPr="004A6212">
        <w:t>RCW 80.28.020, .100.</w:t>
      </w:r>
    </w:p>
  </w:footnote>
  <w:footnote w:id="7">
    <w:p w:rsidR="004A6212" w:rsidRDefault="004A6212">
      <w:pPr>
        <w:pStyle w:val="FootnoteText"/>
      </w:pPr>
      <w:r>
        <w:rPr>
          <w:rStyle w:val="FootnoteReference"/>
        </w:rPr>
        <w:footnoteRef/>
      </w:r>
      <w:r>
        <w:t xml:space="preserve"> </w:t>
      </w:r>
      <w:r w:rsidRPr="004A6212">
        <w:rPr>
          <w:i/>
        </w:rPr>
        <w:t>Cole</w:t>
      </w:r>
      <w:r>
        <w:t>, 79 Wn.2d at 309.</w:t>
      </w:r>
    </w:p>
  </w:footnote>
  <w:footnote w:id="8">
    <w:p w:rsidR="000908A3" w:rsidRDefault="000908A3">
      <w:pPr>
        <w:pStyle w:val="FootnoteText"/>
      </w:pPr>
      <w:r>
        <w:rPr>
          <w:rStyle w:val="FootnoteReference"/>
        </w:rPr>
        <w:footnoteRef/>
      </w:r>
      <w:r>
        <w:t xml:space="preserve"> </w:t>
      </w:r>
      <w:r w:rsidR="004A6212">
        <w:t>PSE Response, ¶¶ 39, 42, 49.</w:t>
      </w:r>
      <w:r>
        <w:t xml:space="preserve"> </w:t>
      </w:r>
    </w:p>
  </w:footnote>
  <w:footnote w:id="9">
    <w:p w:rsidR="000908A3" w:rsidRDefault="000908A3">
      <w:pPr>
        <w:pStyle w:val="FootnoteText"/>
      </w:pPr>
      <w:r>
        <w:rPr>
          <w:rStyle w:val="FootnoteReference"/>
        </w:rPr>
        <w:footnoteRef/>
      </w:r>
      <w:r>
        <w:t xml:space="preserve"> </w:t>
      </w:r>
      <w:r w:rsidR="004A6212" w:rsidRPr="004A6212">
        <w:rPr>
          <w:i/>
        </w:rPr>
        <w:t>Id.</w:t>
      </w:r>
    </w:p>
  </w:footnote>
  <w:footnote w:id="10">
    <w:p w:rsidR="00783E37" w:rsidRDefault="00783E37">
      <w:pPr>
        <w:pStyle w:val="FootnoteText"/>
      </w:pPr>
      <w:r>
        <w:rPr>
          <w:rStyle w:val="FootnoteReference"/>
        </w:rPr>
        <w:footnoteRef/>
      </w:r>
      <w:r>
        <w:t xml:space="preserve"> </w:t>
      </w:r>
      <w:r w:rsidRPr="00783E37">
        <w:rPr>
          <w:i/>
        </w:rPr>
        <w:t>Cole</w:t>
      </w:r>
      <w:r w:rsidRPr="00783E37">
        <w:t>, 79 Wn.2d at 3</w:t>
      </w:r>
      <w:r>
        <w:t>08-</w:t>
      </w:r>
      <w:r w:rsidRPr="00783E37">
        <w:t>09.</w:t>
      </w:r>
    </w:p>
  </w:footnote>
  <w:footnote w:id="11">
    <w:p w:rsidR="00AD05CD" w:rsidRDefault="00AD05CD">
      <w:pPr>
        <w:pStyle w:val="FootnoteText"/>
      </w:pPr>
      <w:r>
        <w:rPr>
          <w:rStyle w:val="FootnoteReference"/>
        </w:rPr>
        <w:footnoteRef/>
      </w:r>
      <w:r>
        <w:t xml:space="preserve"> WAC 480-100-223(1).</w:t>
      </w:r>
    </w:p>
  </w:footnote>
  <w:footnote w:id="12">
    <w:p w:rsidR="00FA20FA" w:rsidRDefault="00FA20FA">
      <w:pPr>
        <w:pStyle w:val="FootnoteText"/>
      </w:pPr>
      <w:r>
        <w:rPr>
          <w:rStyle w:val="FootnoteReference"/>
        </w:rPr>
        <w:footnoteRef/>
      </w:r>
      <w:r>
        <w:t xml:space="preserve"> WAC 480-100-223(2)(a).</w:t>
      </w:r>
    </w:p>
  </w:footnote>
  <w:footnote w:id="13">
    <w:p w:rsidR="00FA20FA" w:rsidRDefault="00FA20FA" w:rsidP="00FA20FA">
      <w:pPr>
        <w:pStyle w:val="FootnoteText"/>
      </w:pPr>
      <w:r>
        <w:rPr>
          <w:rStyle w:val="FootnoteReference"/>
        </w:rPr>
        <w:footnoteRef/>
      </w:r>
      <w:r>
        <w:t xml:space="preserve"> WAC 480-100-223(2)(e</w:t>
      </w:r>
      <w:r w:rsidRPr="00FA20FA">
        <w:t>).</w:t>
      </w:r>
    </w:p>
  </w:footnote>
  <w:footnote w:id="14">
    <w:p w:rsidR="00FA20FA" w:rsidRDefault="00FA20FA">
      <w:pPr>
        <w:pStyle w:val="FootnoteText"/>
      </w:pPr>
      <w:r>
        <w:rPr>
          <w:rStyle w:val="FootnoteReference"/>
        </w:rPr>
        <w:footnoteRef/>
      </w:r>
      <w:r>
        <w:t xml:space="preserve"> WAC 480-100-223(2)(f</w:t>
      </w:r>
      <w:r w:rsidRPr="00FA20FA">
        <w:t>).</w:t>
      </w:r>
    </w:p>
  </w:footnote>
  <w:footnote w:id="15">
    <w:p w:rsidR="00555767" w:rsidRPr="0041119A" w:rsidRDefault="00555767" w:rsidP="00555767">
      <w:pPr>
        <w:pStyle w:val="FootnoteText"/>
      </w:pPr>
      <w:r>
        <w:rPr>
          <w:rStyle w:val="FootnoteReference"/>
        </w:rPr>
        <w:footnoteRef/>
      </w:r>
      <w:r>
        <w:t xml:space="preserve"> RCW 80.28.260(2)</w:t>
      </w:r>
      <w:r w:rsidR="00AD05CD">
        <w:t xml:space="preserve"> </w:t>
      </w:r>
      <w:r>
        <w:t xml:space="preserve">(“The Commission shall consider and may adopt a policy allowing an incentive rate of return on investment in additional programs </w:t>
      </w:r>
      <w:r w:rsidRPr="00090BF3">
        <w:rPr>
          <w:i/>
        </w:rPr>
        <w:t>to improve the efficiency of energy end use or</w:t>
      </w:r>
      <w:r>
        <w:rPr>
          <w:i/>
        </w:rPr>
        <w:t xml:space="preserve"> other incentive policies to encourage utility investment in such programs.</w:t>
      </w:r>
      <w:r>
        <w:t>”)</w:t>
      </w:r>
      <w:r w:rsidR="009C189A">
        <w:t xml:space="preserve"> (emphasis added)</w:t>
      </w:r>
      <w:r>
        <w:t xml:space="preserve">; </w:t>
      </w:r>
      <w:r>
        <w:rPr>
          <w:i/>
        </w:rPr>
        <w:t xml:space="preserve">see also </w:t>
      </w:r>
      <w:proofErr w:type="spellStart"/>
      <w:r>
        <w:rPr>
          <w:i/>
        </w:rPr>
        <w:t>WUTC</w:t>
      </w:r>
      <w:proofErr w:type="spellEnd"/>
      <w:r>
        <w:rPr>
          <w:i/>
        </w:rPr>
        <w:t xml:space="preserve"> v. PSE,</w:t>
      </w:r>
      <w:r w:rsidR="00AD05CD">
        <w:t xml:space="preserve"> </w:t>
      </w:r>
      <w:r w:rsidR="00D67884">
        <w:t>Docket</w:t>
      </w:r>
      <w:r w:rsidR="00AD05CD">
        <w:t xml:space="preserve"> UE-060266</w:t>
      </w:r>
      <w:r w:rsidRPr="00784552">
        <w:rPr>
          <w:szCs w:val="22"/>
        </w:rPr>
        <w:t xml:space="preserve"> &amp; UG-060267, Order </w:t>
      </w:r>
      <w:r w:rsidR="008470DA">
        <w:rPr>
          <w:szCs w:val="22"/>
        </w:rPr>
        <w:t>08, ¶¶ 53-69 (Jan.</w:t>
      </w:r>
      <w:r>
        <w:rPr>
          <w:szCs w:val="22"/>
        </w:rPr>
        <w:t xml:space="preserve"> 5, 2007) </w:t>
      </w:r>
      <w:r>
        <w:t>(recognizing the important policy of conservation and noting that decoupling is just one regulatory tool in a larger toolbox of devices the Commission mi</w:t>
      </w:r>
      <w:r w:rsidR="009C189A">
        <w:t>ght use to promote conservation</w:t>
      </w:r>
      <w:r>
        <w:t>)</w:t>
      </w:r>
      <w:r w:rsidR="009C189A">
        <w:t>.</w:t>
      </w:r>
    </w:p>
  </w:footnote>
  <w:footnote w:id="16">
    <w:p w:rsidR="00AD05CD" w:rsidRPr="00AD05CD" w:rsidRDefault="00AD05CD" w:rsidP="00AD05CD">
      <w:pPr>
        <w:pStyle w:val="FootnoteText"/>
        <w:rPr>
          <w:i/>
          <w:iCs/>
        </w:rPr>
      </w:pPr>
      <w:r>
        <w:rPr>
          <w:rStyle w:val="FootnoteReference"/>
        </w:rPr>
        <w:footnoteRef/>
      </w:r>
      <w:r>
        <w:t xml:space="preserve"> </w:t>
      </w:r>
      <w:r w:rsidRPr="00AD05CD">
        <w:rPr>
          <w:i/>
          <w:iCs/>
        </w:rPr>
        <w:t xml:space="preserve">In re Amending and Repealing Rules in WAC 480-108 </w:t>
      </w:r>
      <w:r>
        <w:rPr>
          <w:i/>
          <w:iCs/>
        </w:rPr>
        <w:t>Relating to Electric Companies-</w:t>
      </w:r>
      <w:r w:rsidRPr="00AD05CD">
        <w:rPr>
          <w:i/>
          <w:iCs/>
        </w:rPr>
        <w:t>Interconnection With Electric Generators</w:t>
      </w:r>
      <w:r w:rsidRPr="00AD05CD">
        <w:t>, Docket UE-112133, Interpretive Statement</w:t>
      </w:r>
      <w:r>
        <w:rPr>
          <w:i/>
          <w:iCs/>
        </w:rPr>
        <w:t xml:space="preserve"> </w:t>
      </w:r>
      <w:r w:rsidRPr="00AD05CD">
        <w:t>Concerning Commission Jurisdiction and Regulation of Third-Party Owners of Net Metering</w:t>
      </w:r>
      <w:r>
        <w:rPr>
          <w:i/>
          <w:iCs/>
        </w:rPr>
        <w:t xml:space="preserve"> </w:t>
      </w:r>
      <w:r w:rsidRPr="00AD05CD">
        <w:t>Facilities, p. 33-34 n. 100 (July 30, 2014)</w:t>
      </w:r>
      <w:r>
        <w:t>.</w:t>
      </w:r>
    </w:p>
  </w:footnote>
  <w:footnote w:id="17">
    <w:p w:rsidR="00932724" w:rsidRDefault="00932724">
      <w:pPr>
        <w:pStyle w:val="FootnoteText"/>
      </w:pPr>
      <w:r>
        <w:rPr>
          <w:rStyle w:val="FootnoteReference"/>
        </w:rPr>
        <w:footnoteRef/>
      </w:r>
      <w:r>
        <w:t xml:space="preserve"> PSE Response, ¶¶ 11, 42.</w:t>
      </w:r>
    </w:p>
  </w:footnote>
  <w:footnote w:id="18">
    <w:p w:rsidR="00AB2E48" w:rsidRDefault="00AB2E48">
      <w:pPr>
        <w:pStyle w:val="FootnoteText"/>
      </w:pPr>
      <w:r>
        <w:rPr>
          <w:rStyle w:val="FootnoteReference"/>
        </w:rPr>
        <w:footnoteRef/>
      </w:r>
      <w:r>
        <w:t xml:space="preserve"> </w:t>
      </w:r>
      <w:r w:rsidR="00932724" w:rsidRPr="00932724">
        <w:rPr>
          <w:i/>
        </w:rPr>
        <w:t>Id.</w:t>
      </w:r>
      <w:r w:rsidR="00C8259B">
        <w:t xml:space="preserve"> ¶¶ 15, 58, 61,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79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2010176.1"/>
    <w:docVar w:name="MPDocIDTemplate" w:val="%c-|%m/|%n|.%v"/>
    <w:docVar w:name="MPDocIDTemplateDefault" w:val="%c-|%m/|%n|.%v"/>
    <w:docVar w:name="NewDocStampType" w:val="1"/>
    <w:docVar w:name="zzmpFixedCurScheme" w:val="Pleadings"/>
    <w:docVar w:name="zzmpFixedCurScheme_9.0" w:val="1zzmpPleadings"/>
    <w:docVar w:name="zzmpnSession" w:val="0.3907892"/>
    <w:docVar w:name="zzmpPleadings" w:val="||Pleadings|2|1|1|1|10|33||1|12|33||1|12|33||1|12|33||1|12|33||1|12|33||1|12|33||1|12|33||1|12|33||"/>
  </w:docVars>
  <w:rsids>
    <w:rsidRoot w:val="003D453C"/>
    <w:rsid w:val="00000730"/>
    <w:rsid w:val="000017BA"/>
    <w:rsid w:val="000019B2"/>
    <w:rsid w:val="00004C5D"/>
    <w:rsid w:val="0000611A"/>
    <w:rsid w:val="000062F0"/>
    <w:rsid w:val="00006885"/>
    <w:rsid w:val="00010DB6"/>
    <w:rsid w:val="00011864"/>
    <w:rsid w:val="00013E10"/>
    <w:rsid w:val="000149D1"/>
    <w:rsid w:val="00014A45"/>
    <w:rsid w:val="00016F0D"/>
    <w:rsid w:val="000204B9"/>
    <w:rsid w:val="0002222D"/>
    <w:rsid w:val="00023C78"/>
    <w:rsid w:val="00023EC7"/>
    <w:rsid w:val="000259FF"/>
    <w:rsid w:val="000267D0"/>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47A"/>
    <w:rsid w:val="00052EC5"/>
    <w:rsid w:val="000546ED"/>
    <w:rsid w:val="000573ED"/>
    <w:rsid w:val="00057E32"/>
    <w:rsid w:val="00057EA9"/>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691E"/>
    <w:rsid w:val="00087466"/>
    <w:rsid w:val="000908A3"/>
    <w:rsid w:val="000912E9"/>
    <w:rsid w:val="00091716"/>
    <w:rsid w:val="00092E15"/>
    <w:rsid w:val="00093905"/>
    <w:rsid w:val="00094C1E"/>
    <w:rsid w:val="0009542A"/>
    <w:rsid w:val="000969D7"/>
    <w:rsid w:val="000971CC"/>
    <w:rsid w:val="00097954"/>
    <w:rsid w:val="00097EF9"/>
    <w:rsid w:val="000A195C"/>
    <w:rsid w:val="000A3989"/>
    <w:rsid w:val="000A70A2"/>
    <w:rsid w:val="000B51D3"/>
    <w:rsid w:val="000B53B7"/>
    <w:rsid w:val="000C0376"/>
    <w:rsid w:val="000C0E34"/>
    <w:rsid w:val="000C112D"/>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3611"/>
    <w:rsid w:val="00143897"/>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D6B"/>
    <w:rsid w:val="001849C3"/>
    <w:rsid w:val="00187562"/>
    <w:rsid w:val="00187AA5"/>
    <w:rsid w:val="00191012"/>
    <w:rsid w:val="0019481B"/>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2837"/>
    <w:rsid w:val="0020310D"/>
    <w:rsid w:val="00203CE1"/>
    <w:rsid w:val="002050B8"/>
    <w:rsid w:val="002066AB"/>
    <w:rsid w:val="002073D8"/>
    <w:rsid w:val="00207E31"/>
    <w:rsid w:val="00214167"/>
    <w:rsid w:val="002158F0"/>
    <w:rsid w:val="00216AAA"/>
    <w:rsid w:val="0021701D"/>
    <w:rsid w:val="002219E4"/>
    <w:rsid w:val="00224167"/>
    <w:rsid w:val="00225473"/>
    <w:rsid w:val="00227511"/>
    <w:rsid w:val="00230DB8"/>
    <w:rsid w:val="002327B7"/>
    <w:rsid w:val="00232D89"/>
    <w:rsid w:val="00233BFF"/>
    <w:rsid w:val="00236705"/>
    <w:rsid w:val="002374FC"/>
    <w:rsid w:val="0024416C"/>
    <w:rsid w:val="00245637"/>
    <w:rsid w:val="0024590C"/>
    <w:rsid w:val="0025032A"/>
    <w:rsid w:val="002509C7"/>
    <w:rsid w:val="00250F13"/>
    <w:rsid w:val="002517C3"/>
    <w:rsid w:val="00252DF4"/>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205FD"/>
    <w:rsid w:val="003231FA"/>
    <w:rsid w:val="00325E05"/>
    <w:rsid w:val="00326A0D"/>
    <w:rsid w:val="00330AD1"/>
    <w:rsid w:val="0033221F"/>
    <w:rsid w:val="003324C4"/>
    <w:rsid w:val="00336D43"/>
    <w:rsid w:val="00337594"/>
    <w:rsid w:val="00337B1C"/>
    <w:rsid w:val="003409E3"/>
    <w:rsid w:val="0034137A"/>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95864"/>
    <w:rsid w:val="003A014E"/>
    <w:rsid w:val="003A0674"/>
    <w:rsid w:val="003A2BE1"/>
    <w:rsid w:val="003A3126"/>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7A8A"/>
    <w:rsid w:val="003F0AEA"/>
    <w:rsid w:val="003F0E35"/>
    <w:rsid w:val="003F1C9D"/>
    <w:rsid w:val="003F4976"/>
    <w:rsid w:val="003F50AC"/>
    <w:rsid w:val="003F579E"/>
    <w:rsid w:val="003F6800"/>
    <w:rsid w:val="003F79B6"/>
    <w:rsid w:val="00400120"/>
    <w:rsid w:val="00400493"/>
    <w:rsid w:val="00407049"/>
    <w:rsid w:val="00407EBA"/>
    <w:rsid w:val="0041023B"/>
    <w:rsid w:val="0041119A"/>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56C8A"/>
    <w:rsid w:val="004629F3"/>
    <w:rsid w:val="00462A3F"/>
    <w:rsid w:val="00462E83"/>
    <w:rsid w:val="00467C91"/>
    <w:rsid w:val="00467CC5"/>
    <w:rsid w:val="00470A11"/>
    <w:rsid w:val="00472002"/>
    <w:rsid w:val="004739F8"/>
    <w:rsid w:val="00477307"/>
    <w:rsid w:val="00480006"/>
    <w:rsid w:val="00480CF0"/>
    <w:rsid w:val="004811DB"/>
    <w:rsid w:val="00481F84"/>
    <w:rsid w:val="00483791"/>
    <w:rsid w:val="004837FC"/>
    <w:rsid w:val="00483FF8"/>
    <w:rsid w:val="004850A5"/>
    <w:rsid w:val="004915A0"/>
    <w:rsid w:val="0049735F"/>
    <w:rsid w:val="004A00C8"/>
    <w:rsid w:val="004A024A"/>
    <w:rsid w:val="004A1C3A"/>
    <w:rsid w:val="004A1D07"/>
    <w:rsid w:val="004A1E7A"/>
    <w:rsid w:val="004A2D06"/>
    <w:rsid w:val="004A35C0"/>
    <w:rsid w:val="004A3E18"/>
    <w:rsid w:val="004A405F"/>
    <w:rsid w:val="004A4A78"/>
    <w:rsid w:val="004A4C6B"/>
    <w:rsid w:val="004A6212"/>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F04"/>
    <w:rsid w:val="004F70CE"/>
    <w:rsid w:val="0050020C"/>
    <w:rsid w:val="005004B9"/>
    <w:rsid w:val="005023A5"/>
    <w:rsid w:val="005023F6"/>
    <w:rsid w:val="00502AF9"/>
    <w:rsid w:val="00504A2D"/>
    <w:rsid w:val="005057FB"/>
    <w:rsid w:val="00505BF1"/>
    <w:rsid w:val="00510908"/>
    <w:rsid w:val="00511B6A"/>
    <w:rsid w:val="00512410"/>
    <w:rsid w:val="00517316"/>
    <w:rsid w:val="0051737E"/>
    <w:rsid w:val="00517F19"/>
    <w:rsid w:val="0052118D"/>
    <w:rsid w:val="00522D49"/>
    <w:rsid w:val="00523424"/>
    <w:rsid w:val="00524BA0"/>
    <w:rsid w:val="00525371"/>
    <w:rsid w:val="00525B11"/>
    <w:rsid w:val="00525D0D"/>
    <w:rsid w:val="0052684A"/>
    <w:rsid w:val="00530971"/>
    <w:rsid w:val="005327B2"/>
    <w:rsid w:val="00536D15"/>
    <w:rsid w:val="0054015E"/>
    <w:rsid w:val="0054102B"/>
    <w:rsid w:val="00545CB0"/>
    <w:rsid w:val="00545D79"/>
    <w:rsid w:val="00546DC5"/>
    <w:rsid w:val="00553EDB"/>
    <w:rsid w:val="00555767"/>
    <w:rsid w:val="0055717E"/>
    <w:rsid w:val="00557AED"/>
    <w:rsid w:val="005608DD"/>
    <w:rsid w:val="005615C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927A1"/>
    <w:rsid w:val="005941F8"/>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51D4"/>
    <w:rsid w:val="005B730A"/>
    <w:rsid w:val="005B7DDF"/>
    <w:rsid w:val="005C3D15"/>
    <w:rsid w:val="005C3E40"/>
    <w:rsid w:val="005C5A65"/>
    <w:rsid w:val="005C5BE5"/>
    <w:rsid w:val="005C7F1A"/>
    <w:rsid w:val="005D1CC6"/>
    <w:rsid w:val="005D4004"/>
    <w:rsid w:val="005D5AE1"/>
    <w:rsid w:val="005D5DCE"/>
    <w:rsid w:val="005D6E09"/>
    <w:rsid w:val="005D7888"/>
    <w:rsid w:val="005D7EE3"/>
    <w:rsid w:val="005E11E5"/>
    <w:rsid w:val="005E5E10"/>
    <w:rsid w:val="00600F54"/>
    <w:rsid w:val="006011CB"/>
    <w:rsid w:val="006029B6"/>
    <w:rsid w:val="006032B2"/>
    <w:rsid w:val="00603E59"/>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0CBD"/>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02B4"/>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1984"/>
    <w:rsid w:val="007225B8"/>
    <w:rsid w:val="00724826"/>
    <w:rsid w:val="0072560E"/>
    <w:rsid w:val="0072632C"/>
    <w:rsid w:val="00726C5C"/>
    <w:rsid w:val="00726F4F"/>
    <w:rsid w:val="00727895"/>
    <w:rsid w:val="007317EA"/>
    <w:rsid w:val="00733B9C"/>
    <w:rsid w:val="00734774"/>
    <w:rsid w:val="007359BC"/>
    <w:rsid w:val="007400A5"/>
    <w:rsid w:val="00740588"/>
    <w:rsid w:val="00741F6C"/>
    <w:rsid w:val="007435AF"/>
    <w:rsid w:val="00744154"/>
    <w:rsid w:val="00744740"/>
    <w:rsid w:val="007467FB"/>
    <w:rsid w:val="00747F35"/>
    <w:rsid w:val="00750DE8"/>
    <w:rsid w:val="007512A5"/>
    <w:rsid w:val="007541A7"/>
    <w:rsid w:val="00756B59"/>
    <w:rsid w:val="007646DC"/>
    <w:rsid w:val="00764872"/>
    <w:rsid w:val="00765EA1"/>
    <w:rsid w:val="00766E84"/>
    <w:rsid w:val="00771DFD"/>
    <w:rsid w:val="00773629"/>
    <w:rsid w:val="00774A3E"/>
    <w:rsid w:val="007770F6"/>
    <w:rsid w:val="00777114"/>
    <w:rsid w:val="0077789B"/>
    <w:rsid w:val="00783AC0"/>
    <w:rsid w:val="00783E37"/>
    <w:rsid w:val="00784B58"/>
    <w:rsid w:val="0078580E"/>
    <w:rsid w:val="00790C75"/>
    <w:rsid w:val="007938DD"/>
    <w:rsid w:val="00794CE1"/>
    <w:rsid w:val="00796BA8"/>
    <w:rsid w:val="00797EAE"/>
    <w:rsid w:val="007A07EA"/>
    <w:rsid w:val="007A21A0"/>
    <w:rsid w:val="007A2EB6"/>
    <w:rsid w:val="007A4435"/>
    <w:rsid w:val="007A5001"/>
    <w:rsid w:val="007A71AE"/>
    <w:rsid w:val="007A7A34"/>
    <w:rsid w:val="007A7C79"/>
    <w:rsid w:val="007B01F4"/>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5989"/>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0F68"/>
    <w:rsid w:val="00841F89"/>
    <w:rsid w:val="008441EB"/>
    <w:rsid w:val="0084488A"/>
    <w:rsid w:val="008449BC"/>
    <w:rsid w:val="00846970"/>
    <w:rsid w:val="00846A72"/>
    <w:rsid w:val="00846F55"/>
    <w:rsid w:val="008470DA"/>
    <w:rsid w:val="008473EA"/>
    <w:rsid w:val="0084758C"/>
    <w:rsid w:val="00850841"/>
    <w:rsid w:val="0085180E"/>
    <w:rsid w:val="00851A91"/>
    <w:rsid w:val="00853CC0"/>
    <w:rsid w:val="00855F54"/>
    <w:rsid w:val="00856AD8"/>
    <w:rsid w:val="0085794E"/>
    <w:rsid w:val="00860BFE"/>
    <w:rsid w:val="00862F4F"/>
    <w:rsid w:val="0086300D"/>
    <w:rsid w:val="008631BE"/>
    <w:rsid w:val="0086390F"/>
    <w:rsid w:val="00863AF0"/>
    <w:rsid w:val="0086479D"/>
    <w:rsid w:val="00865BB1"/>
    <w:rsid w:val="0087046F"/>
    <w:rsid w:val="008706EA"/>
    <w:rsid w:val="0087220B"/>
    <w:rsid w:val="0087460B"/>
    <w:rsid w:val="008827FD"/>
    <w:rsid w:val="00882DC6"/>
    <w:rsid w:val="008842BC"/>
    <w:rsid w:val="00886103"/>
    <w:rsid w:val="0088713F"/>
    <w:rsid w:val="00890F05"/>
    <w:rsid w:val="008928E2"/>
    <w:rsid w:val="008936DE"/>
    <w:rsid w:val="00894B41"/>
    <w:rsid w:val="008A1D58"/>
    <w:rsid w:val="008A2B1B"/>
    <w:rsid w:val="008A6420"/>
    <w:rsid w:val="008B124F"/>
    <w:rsid w:val="008B3895"/>
    <w:rsid w:val="008B39FA"/>
    <w:rsid w:val="008B422A"/>
    <w:rsid w:val="008B5562"/>
    <w:rsid w:val="008B667D"/>
    <w:rsid w:val="008C09EB"/>
    <w:rsid w:val="008C0EA6"/>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2724"/>
    <w:rsid w:val="00933776"/>
    <w:rsid w:val="00940845"/>
    <w:rsid w:val="00940A43"/>
    <w:rsid w:val="00941AAB"/>
    <w:rsid w:val="00942257"/>
    <w:rsid w:val="009432E1"/>
    <w:rsid w:val="00943660"/>
    <w:rsid w:val="009438EE"/>
    <w:rsid w:val="00943F15"/>
    <w:rsid w:val="00945138"/>
    <w:rsid w:val="00945AD5"/>
    <w:rsid w:val="0094644B"/>
    <w:rsid w:val="00952A18"/>
    <w:rsid w:val="00953782"/>
    <w:rsid w:val="00953A07"/>
    <w:rsid w:val="00955512"/>
    <w:rsid w:val="009559BC"/>
    <w:rsid w:val="0096037A"/>
    <w:rsid w:val="00960DE3"/>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B02AD"/>
    <w:rsid w:val="009B0E02"/>
    <w:rsid w:val="009B0EE6"/>
    <w:rsid w:val="009B1CA4"/>
    <w:rsid w:val="009B6A16"/>
    <w:rsid w:val="009C0505"/>
    <w:rsid w:val="009C189A"/>
    <w:rsid w:val="009C1B5C"/>
    <w:rsid w:val="009C4F3D"/>
    <w:rsid w:val="009C6017"/>
    <w:rsid w:val="009D359B"/>
    <w:rsid w:val="009D4E33"/>
    <w:rsid w:val="009E10D3"/>
    <w:rsid w:val="009E1C05"/>
    <w:rsid w:val="009E2302"/>
    <w:rsid w:val="009E303F"/>
    <w:rsid w:val="009E3184"/>
    <w:rsid w:val="009E3A6F"/>
    <w:rsid w:val="009E4940"/>
    <w:rsid w:val="009E64F5"/>
    <w:rsid w:val="009E6EF3"/>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206D"/>
    <w:rsid w:val="00A72120"/>
    <w:rsid w:val="00A72938"/>
    <w:rsid w:val="00A75C1C"/>
    <w:rsid w:val="00A80E7C"/>
    <w:rsid w:val="00A81DD0"/>
    <w:rsid w:val="00A829AB"/>
    <w:rsid w:val="00A82D5E"/>
    <w:rsid w:val="00A83BBF"/>
    <w:rsid w:val="00A83E30"/>
    <w:rsid w:val="00A86614"/>
    <w:rsid w:val="00A90F81"/>
    <w:rsid w:val="00A914F5"/>
    <w:rsid w:val="00A93EF4"/>
    <w:rsid w:val="00A949F8"/>
    <w:rsid w:val="00A9659D"/>
    <w:rsid w:val="00A97739"/>
    <w:rsid w:val="00AA16C7"/>
    <w:rsid w:val="00AA623B"/>
    <w:rsid w:val="00AA732F"/>
    <w:rsid w:val="00AA783B"/>
    <w:rsid w:val="00AB0554"/>
    <w:rsid w:val="00AB0DBC"/>
    <w:rsid w:val="00AB2E48"/>
    <w:rsid w:val="00AB2FAD"/>
    <w:rsid w:val="00AB356F"/>
    <w:rsid w:val="00AB6CE0"/>
    <w:rsid w:val="00AB7748"/>
    <w:rsid w:val="00AC09FC"/>
    <w:rsid w:val="00AC18DD"/>
    <w:rsid w:val="00AC38D8"/>
    <w:rsid w:val="00AC4978"/>
    <w:rsid w:val="00AC6595"/>
    <w:rsid w:val="00AC6977"/>
    <w:rsid w:val="00AD05CD"/>
    <w:rsid w:val="00AD1CDE"/>
    <w:rsid w:val="00AD351E"/>
    <w:rsid w:val="00AD4491"/>
    <w:rsid w:val="00AD4A1C"/>
    <w:rsid w:val="00AD6B0D"/>
    <w:rsid w:val="00AD6E97"/>
    <w:rsid w:val="00AE01CA"/>
    <w:rsid w:val="00AE3F8C"/>
    <w:rsid w:val="00AE6909"/>
    <w:rsid w:val="00AE6D92"/>
    <w:rsid w:val="00AE6FB8"/>
    <w:rsid w:val="00AE7126"/>
    <w:rsid w:val="00AF062F"/>
    <w:rsid w:val="00AF1A2D"/>
    <w:rsid w:val="00AF34FD"/>
    <w:rsid w:val="00AF3C91"/>
    <w:rsid w:val="00AF4710"/>
    <w:rsid w:val="00AF54FF"/>
    <w:rsid w:val="00AF5A11"/>
    <w:rsid w:val="00AF5CE3"/>
    <w:rsid w:val="00AF63BD"/>
    <w:rsid w:val="00AF64F2"/>
    <w:rsid w:val="00B00D5B"/>
    <w:rsid w:val="00B02E02"/>
    <w:rsid w:val="00B05E43"/>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4087"/>
    <w:rsid w:val="00B44308"/>
    <w:rsid w:val="00B475EA"/>
    <w:rsid w:val="00B4798B"/>
    <w:rsid w:val="00B51F8A"/>
    <w:rsid w:val="00B52D48"/>
    <w:rsid w:val="00B53DC7"/>
    <w:rsid w:val="00B54043"/>
    <w:rsid w:val="00B57B53"/>
    <w:rsid w:val="00B60545"/>
    <w:rsid w:val="00B625F6"/>
    <w:rsid w:val="00B63548"/>
    <w:rsid w:val="00B63695"/>
    <w:rsid w:val="00B6409B"/>
    <w:rsid w:val="00B6496D"/>
    <w:rsid w:val="00B667B7"/>
    <w:rsid w:val="00B66AB9"/>
    <w:rsid w:val="00B67154"/>
    <w:rsid w:val="00B6776D"/>
    <w:rsid w:val="00B71E2B"/>
    <w:rsid w:val="00B72D55"/>
    <w:rsid w:val="00B8055C"/>
    <w:rsid w:val="00B808DA"/>
    <w:rsid w:val="00B80920"/>
    <w:rsid w:val="00B83EA6"/>
    <w:rsid w:val="00B84055"/>
    <w:rsid w:val="00B849F0"/>
    <w:rsid w:val="00B857FE"/>
    <w:rsid w:val="00B86A03"/>
    <w:rsid w:val="00B9002D"/>
    <w:rsid w:val="00B93E3B"/>
    <w:rsid w:val="00BA1031"/>
    <w:rsid w:val="00BA1DA6"/>
    <w:rsid w:val="00BA1F07"/>
    <w:rsid w:val="00BA45A8"/>
    <w:rsid w:val="00BA6A72"/>
    <w:rsid w:val="00BB0045"/>
    <w:rsid w:val="00BB0FBD"/>
    <w:rsid w:val="00BB1F9A"/>
    <w:rsid w:val="00BB2E5D"/>
    <w:rsid w:val="00BB5C1B"/>
    <w:rsid w:val="00BB6D04"/>
    <w:rsid w:val="00BC09D0"/>
    <w:rsid w:val="00BC31BD"/>
    <w:rsid w:val="00BC3276"/>
    <w:rsid w:val="00BC5AB9"/>
    <w:rsid w:val="00BC72D4"/>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2E85"/>
    <w:rsid w:val="00BF30A9"/>
    <w:rsid w:val="00BF49B9"/>
    <w:rsid w:val="00C0294C"/>
    <w:rsid w:val="00C03FDB"/>
    <w:rsid w:val="00C069B0"/>
    <w:rsid w:val="00C06BBF"/>
    <w:rsid w:val="00C11CED"/>
    <w:rsid w:val="00C1312B"/>
    <w:rsid w:val="00C13F8E"/>
    <w:rsid w:val="00C17AD1"/>
    <w:rsid w:val="00C20101"/>
    <w:rsid w:val="00C20896"/>
    <w:rsid w:val="00C2196E"/>
    <w:rsid w:val="00C24D73"/>
    <w:rsid w:val="00C24F00"/>
    <w:rsid w:val="00C24F30"/>
    <w:rsid w:val="00C304BB"/>
    <w:rsid w:val="00C322A9"/>
    <w:rsid w:val="00C35F78"/>
    <w:rsid w:val="00C43384"/>
    <w:rsid w:val="00C44A25"/>
    <w:rsid w:val="00C461E0"/>
    <w:rsid w:val="00C472EE"/>
    <w:rsid w:val="00C51513"/>
    <w:rsid w:val="00C5464A"/>
    <w:rsid w:val="00C57131"/>
    <w:rsid w:val="00C6157F"/>
    <w:rsid w:val="00C6172D"/>
    <w:rsid w:val="00C61992"/>
    <w:rsid w:val="00C624EB"/>
    <w:rsid w:val="00C6625D"/>
    <w:rsid w:val="00C662D8"/>
    <w:rsid w:val="00C67B14"/>
    <w:rsid w:val="00C73AE8"/>
    <w:rsid w:val="00C74DA7"/>
    <w:rsid w:val="00C76617"/>
    <w:rsid w:val="00C81F4C"/>
    <w:rsid w:val="00C82257"/>
    <w:rsid w:val="00C8259B"/>
    <w:rsid w:val="00C82AAD"/>
    <w:rsid w:val="00C83225"/>
    <w:rsid w:val="00C83B1C"/>
    <w:rsid w:val="00C841D4"/>
    <w:rsid w:val="00C84D27"/>
    <w:rsid w:val="00C8569B"/>
    <w:rsid w:val="00C85AFA"/>
    <w:rsid w:val="00C85D02"/>
    <w:rsid w:val="00C910F5"/>
    <w:rsid w:val="00C92908"/>
    <w:rsid w:val="00C9544A"/>
    <w:rsid w:val="00CA0DF2"/>
    <w:rsid w:val="00CA12F6"/>
    <w:rsid w:val="00CA2CDC"/>
    <w:rsid w:val="00CA3349"/>
    <w:rsid w:val="00CA5B52"/>
    <w:rsid w:val="00CA5E68"/>
    <w:rsid w:val="00CA5FE3"/>
    <w:rsid w:val="00CA6EEE"/>
    <w:rsid w:val="00CA7149"/>
    <w:rsid w:val="00CB3879"/>
    <w:rsid w:val="00CB47E2"/>
    <w:rsid w:val="00CB7FC0"/>
    <w:rsid w:val="00CC0431"/>
    <w:rsid w:val="00CC0CBA"/>
    <w:rsid w:val="00CC0DB0"/>
    <w:rsid w:val="00CC24DA"/>
    <w:rsid w:val="00CC3E46"/>
    <w:rsid w:val="00CC4B1D"/>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76D3"/>
    <w:rsid w:val="00D17CEA"/>
    <w:rsid w:val="00D21DC3"/>
    <w:rsid w:val="00D21F05"/>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4B77"/>
    <w:rsid w:val="00D555FC"/>
    <w:rsid w:val="00D556FF"/>
    <w:rsid w:val="00D55A78"/>
    <w:rsid w:val="00D614B3"/>
    <w:rsid w:val="00D62982"/>
    <w:rsid w:val="00D6392C"/>
    <w:rsid w:val="00D643FC"/>
    <w:rsid w:val="00D64EA0"/>
    <w:rsid w:val="00D67321"/>
    <w:rsid w:val="00D673C3"/>
    <w:rsid w:val="00D67884"/>
    <w:rsid w:val="00D72B55"/>
    <w:rsid w:val="00D776C8"/>
    <w:rsid w:val="00D81C58"/>
    <w:rsid w:val="00D849BB"/>
    <w:rsid w:val="00D870BC"/>
    <w:rsid w:val="00D90101"/>
    <w:rsid w:val="00D901DD"/>
    <w:rsid w:val="00D93266"/>
    <w:rsid w:val="00D948E2"/>
    <w:rsid w:val="00D979F4"/>
    <w:rsid w:val="00DA1690"/>
    <w:rsid w:val="00DA5809"/>
    <w:rsid w:val="00DA6D27"/>
    <w:rsid w:val="00DB1A40"/>
    <w:rsid w:val="00DB3672"/>
    <w:rsid w:val="00DB3CAE"/>
    <w:rsid w:val="00DB415A"/>
    <w:rsid w:val="00DB5651"/>
    <w:rsid w:val="00DB57E6"/>
    <w:rsid w:val="00DB63C3"/>
    <w:rsid w:val="00DB75D3"/>
    <w:rsid w:val="00DC05D2"/>
    <w:rsid w:val="00DC1328"/>
    <w:rsid w:val="00DC16B7"/>
    <w:rsid w:val="00DC173A"/>
    <w:rsid w:val="00DC1976"/>
    <w:rsid w:val="00DC40DA"/>
    <w:rsid w:val="00DC5ED0"/>
    <w:rsid w:val="00DC620F"/>
    <w:rsid w:val="00DC75B5"/>
    <w:rsid w:val="00DD217C"/>
    <w:rsid w:val="00DD4DEE"/>
    <w:rsid w:val="00DD5757"/>
    <w:rsid w:val="00DD623D"/>
    <w:rsid w:val="00DD6311"/>
    <w:rsid w:val="00DD669A"/>
    <w:rsid w:val="00DD6BAD"/>
    <w:rsid w:val="00DE032E"/>
    <w:rsid w:val="00DE0D98"/>
    <w:rsid w:val="00DE14E7"/>
    <w:rsid w:val="00DE291F"/>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49A5"/>
    <w:rsid w:val="00E24BBB"/>
    <w:rsid w:val="00E27D8D"/>
    <w:rsid w:val="00E31878"/>
    <w:rsid w:val="00E34F46"/>
    <w:rsid w:val="00E36590"/>
    <w:rsid w:val="00E37FC1"/>
    <w:rsid w:val="00E41264"/>
    <w:rsid w:val="00E42AAC"/>
    <w:rsid w:val="00E43A76"/>
    <w:rsid w:val="00E46327"/>
    <w:rsid w:val="00E46FAD"/>
    <w:rsid w:val="00E504F0"/>
    <w:rsid w:val="00E52952"/>
    <w:rsid w:val="00E52AF0"/>
    <w:rsid w:val="00E57213"/>
    <w:rsid w:val="00E60488"/>
    <w:rsid w:val="00E60710"/>
    <w:rsid w:val="00E61FEE"/>
    <w:rsid w:val="00E6244B"/>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A52E4"/>
    <w:rsid w:val="00EA79AD"/>
    <w:rsid w:val="00EB2359"/>
    <w:rsid w:val="00EB2BF5"/>
    <w:rsid w:val="00EB2F7B"/>
    <w:rsid w:val="00EB3C03"/>
    <w:rsid w:val="00EB4888"/>
    <w:rsid w:val="00EB7508"/>
    <w:rsid w:val="00EC1877"/>
    <w:rsid w:val="00EC5127"/>
    <w:rsid w:val="00ED03B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1753"/>
    <w:rsid w:val="00F632CB"/>
    <w:rsid w:val="00F63627"/>
    <w:rsid w:val="00F63776"/>
    <w:rsid w:val="00F64BA5"/>
    <w:rsid w:val="00F65DC1"/>
    <w:rsid w:val="00F7450E"/>
    <w:rsid w:val="00F75F8F"/>
    <w:rsid w:val="00F76D7F"/>
    <w:rsid w:val="00F770B4"/>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0FA"/>
    <w:rsid w:val="00FA22E2"/>
    <w:rsid w:val="00FA2F78"/>
    <w:rsid w:val="00FA6DA6"/>
    <w:rsid w:val="00FB08E1"/>
    <w:rsid w:val="00FB0D86"/>
    <w:rsid w:val="00FB1CDE"/>
    <w:rsid w:val="00FB311F"/>
    <w:rsid w:val="00FB664B"/>
    <w:rsid w:val="00FB72FF"/>
    <w:rsid w:val="00FB76FA"/>
    <w:rsid w:val="00FB7AF0"/>
    <w:rsid w:val="00FC1F8E"/>
    <w:rsid w:val="00FC2809"/>
    <w:rsid w:val="00FC28A8"/>
    <w:rsid w:val="00FC2D1D"/>
    <w:rsid w:val="00FD1DFA"/>
    <w:rsid w:val="00FD3838"/>
    <w:rsid w:val="00FD3D4F"/>
    <w:rsid w:val="00FD486C"/>
    <w:rsid w:val="00FE2892"/>
    <w:rsid w:val="00FE2D3F"/>
    <w:rsid w:val="00FE52C1"/>
    <w:rsid w:val="00FE52F3"/>
    <w:rsid w:val="00FE5B57"/>
    <w:rsid w:val="00FE65E3"/>
    <w:rsid w:val="00FE7176"/>
    <w:rsid w:val="00FE74C4"/>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173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173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908879918">
      <w:bodyDiv w:val="1"/>
      <w:marLeft w:val="0"/>
      <w:marRight w:val="0"/>
      <w:marTop w:val="0"/>
      <w:marBottom w:val="0"/>
      <w:divBdr>
        <w:top w:val="none" w:sz="0" w:space="0" w:color="auto"/>
        <w:left w:val="none" w:sz="0" w:space="0" w:color="auto"/>
        <w:bottom w:val="none" w:sz="0" w:space="0" w:color="auto"/>
        <w:right w:val="none" w:sz="0" w:space="0" w:color="auto"/>
      </w:divBdr>
      <w:divsChild>
        <w:div w:id="1801996885">
          <w:marLeft w:val="0"/>
          <w:marRight w:val="0"/>
          <w:marTop w:val="240"/>
          <w:marBottom w:val="0"/>
          <w:divBdr>
            <w:top w:val="none" w:sz="0" w:space="0" w:color="auto"/>
            <w:left w:val="none" w:sz="0" w:space="0" w:color="auto"/>
            <w:bottom w:val="none" w:sz="0" w:space="0" w:color="auto"/>
            <w:right w:val="none" w:sz="0" w:space="0" w:color="auto"/>
          </w:divBdr>
          <w:divsChild>
            <w:div w:id="1581914517">
              <w:marLeft w:val="0"/>
              <w:marRight w:val="0"/>
              <w:marTop w:val="240"/>
              <w:marBottom w:val="0"/>
              <w:divBdr>
                <w:top w:val="none" w:sz="0" w:space="0" w:color="auto"/>
                <w:left w:val="none" w:sz="0" w:space="0" w:color="auto"/>
                <w:bottom w:val="none" w:sz="0" w:space="0" w:color="auto"/>
                <w:right w:val="none" w:sz="0" w:space="0" w:color="auto"/>
              </w:divBdr>
              <w:divsChild>
                <w:div w:id="1715881431">
                  <w:marLeft w:val="0"/>
                  <w:marRight w:val="0"/>
                  <w:marTop w:val="0"/>
                  <w:marBottom w:val="0"/>
                  <w:divBdr>
                    <w:top w:val="none" w:sz="0" w:space="0" w:color="auto"/>
                    <w:left w:val="none" w:sz="0" w:space="0" w:color="auto"/>
                    <w:bottom w:val="none" w:sz="0" w:space="0" w:color="auto"/>
                    <w:right w:val="none" w:sz="0" w:space="0" w:color="auto"/>
                  </w:divBdr>
                  <w:divsChild>
                    <w:div w:id="196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7065">
          <w:marLeft w:val="0"/>
          <w:marRight w:val="0"/>
          <w:marTop w:val="240"/>
          <w:marBottom w:val="0"/>
          <w:divBdr>
            <w:top w:val="none" w:sz="0" w:space="0" w:color="auto"/>
            <w:left w:val="none" w:sz="0" w:space="0" w:color="auto"/>
            <w:bottom w:val="none" w:sz="0" w:space="0" w:color="auto"/>
            <w:right w:val="none" w:sz="0" w:space="0" w:color="auto"/>
          </w:divBdr>
          <w:divsChild>
            <w:div w:id="1595819335">
              <w:marLeft w:val="0"/>
              <w:marRight w:val="0"/>
              <w:marTop w:val="240"/>
              <w:marBottom w:val="0"/>
              <w:divBdr>
                <w:top w:val="none" w:sz="0" w:space="0" w:color="auto"/>
                <w:left w:val="none" w:sz="0" w:space="0" w:color="auto"/>
                <w:bottom w:val="none" w:sz="0" w:space="0" w:color="auto"/>
                <w:right w:val="none" w:sz="0" w:space="0" w:color="auto"/>
              </w:divBdr>
              <w:divsChild>
                <w:div w:id="124465922">
                  <w:marLeft w:val="0"/>
                  <w:marRight w:val="0"/>
                  <w:marTop w:val="0"/>
                  <w:marBottom w:val="0"/>
                  <w:divBdr>
                    <w:top w:val="none" w:sz="0" w:space="0" w:color="auto"/>
                    <w:left w:val="none" w:sz="0" w:space="0" w:color="auto"/>
                    <w:bottom w:val="none" w:sz="0" w:space="0" w:color="auto"/>
                    <w:right w:val="none" w:sz="0" w:space="0" w:color="auto"/>
                  </w:divBdr>
                  <w:divsChild>
                    <w:div w:id="1128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4882">
          <w:marLeft w:val="0"/>
          <w:marRight w:val="0"/>
          <w:marTop w:val="240"/>
          <w:marBottom w:val="0"/>
          <w:divBdr>
            <w:top w:val="none" w:sz="0" w:space="0" w:color="auto"/>
            <w:left w:val="none" w:sz="0" w:space="0" w:color="auto"/>
            <w:bottom w:val="none" w:sz="0" w:space="0" w:color="auto"/>
            <w:right w:val="none" w:sz="0" w:space="0" w:color="auto"/>
          </w:divBdr>
          <w:divsChild>
            <w:div w:id="1006447031">
              <w:marLeft w:val="0"/>
              <w:marRight w:val="0"/>
              <w:marTop w:val="240"/>
              <w:marBottom w:val="0"/>
              <w:divBdr>
                <w:top w:val="none" w:sz="0" w:space="0" w:color="auto"/>
                <w:left w:val="none" w:sz="0" w:space="0" w:color="auto"/>
                <w:bottom w:val="none" w:sz="0" w:space="0" w:color="auto"/>
                <w:right w:val="none" w:sz="0" w:space="0" w:color="auto"/>
              </w:divBdr>
              <w:divsChild>
                <w:div w:id="1388720226">
                  <w:marLeft w:val="0"/>
                  <w:marRight w:val="0"/>
                  <w:marTop w:val="0"/>
                  <w:marBottom w:val="0"/>
                  <w:divBdr>
                    <w:top w:val="none" w:sz="0" w:space="0" w:color="auto"/>
                    <w:left w:val="none" w:sz="0" w:space="0" w:color="auto"/>
                    <w:bottom w:val="none" w:sz="0" w:space="0" w:color="auto"/>
                    <w:right w:val="none" w:sz="0" w:space="0" w:color="auto"/>
                  </w:divBdr>
                  <w:divsChild>
                    <w:div w:id="19022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5775">
          <w:marLeft w:val="0"/>
          <w:marRight w:val="0"/>
          <w:marTop w:val="240"/>
          <w:marBottom w:val="0"/>
          <w:divBdr>
            <w:top w:val="none" w:sz="0" w:space="0" w:color="auto"/>
            <w:left w:val="none" w:sz="0" w:space="0" w:color="auto"/>
            <w:bottom w:val="none" w:sz="0" w:space="0" w:color="auto"/>
            <w:right w:val="none" w:sz="0" w:space="0" w:color="auto"/>
          </w:divBdr>
          <w:divsChild>
            <w:div w:id="123012439">
              <w:marLeft w:val="0"/>
              <w:marRight w:val="0"/>
              <w:marTop w:val="240"/>
              <w:marBottom w:val="0"/>
              <w:divBdr>
                <w:top w:val="none" w:sz="0" w:space="0" w:color="auto"/>
                <w:left w:val="none" w:sz="0" w:space="0" w:color="auto"/>
                <w:bottom w:val="none" w:sz="0" w:space="0" w:color="auto"/>
                <w:right w:val="none" w:sz="0" w:space="0" w:color="auto"/>
              </w:divBdr>
              <w:divsChild>
                <w:div w:id="1484278416">
                  <w:marLeft w:val="0"/>
                  <w:marRight w:val="0"/>
                  <w:marTop w:val="0"/>
                  <w:marBottom w:val="0"/>
                  <w:divBdr>
                    <w:top w:val="none" w:sz="0" w:space="0" w:color="auto"/>
                    <w:left w:val="none" w:sz="0" w:space="0" w:color="auto"/>
                    <w:bottom w:val="none" w:sz="0" w:space="0" w:color="auto"/>
                    <w:right w:val="none" w:sz="0" w:space="0" w:color="auto"/>
                  </w:divBdr>
                  <w:divsChild>
                    <w:div w:id="11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149">
          <w:marLeft w:val="0"/>
          <w:marRight w:val="0"/>
          <w:marTop w:val="240"/>
          <w:marBottom w:val="0"/>
          <w:divBdr>
            <w:top w:val="none" w:sz="0" w:space="0" w:color="auto"/>
            <w:left w:val="none" w:sz="0" w:space="0" w:color="auto"/>
            <w:bottom w:val="none" w:sz="0" w:space="0" w:color="auto"/>
            <w:right w:val="none" w:sz="0" w:space="0" w:color="auto"/>
          </w:divBdr>
          <w:divsChild>
            <w:div w:id="316881597">
              <w:marLeft w:val="0"/>
              <w:marRight w:val="0"/>
              <w:marTop w:val="240"/>
              <w:marBottom w:val="0"/>
              <w:divBdr>
                <w:top w:val="none" w:sz="0" w:space="0" w:color="auto"/>
                <w:left w:val="none" w:sz="0" w:space="0" w:color="auto"/>
                <w:bottom w:val="none" w:sz="0" w:space="0" w:color="auto"/>
                <w:right w:val="none" w:sz="0" w:space="0" w:color="auto"/>
              </w:divBdr>
              <w:divsChild>
                <w:div w:id="1955404012">
                  <w:marLeft w:val="0"/>
                  <w:marRight w:val="0"/>
                  <w:marTop w:val="0"/>
                  <w:marBottom w:val="0"/>
                  <w:divBdr>
                    <w:top w:val="none" w:sz="0" w:space="0" w:color="auto"/>
                    <w:left w:val="none" w:sz="0" w:space="0" w:color="auto"/>
                    <w:bottom w:val="none" w:sz="0" w:space="0" w:color="auto"/>
                    <w:right w:val="none" w:sz="0" w:space="0" w:color="auto"/>
                  </w:divBdr>
                  <w:divsChild>
                    <w:div w:id="10691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564">
          <w:marLeft w:val="0"/>
          <w:marRight w:val="0"/>
          <w:marTop w:val="240"/>
          <w:marBottom w:val="0"/>
          <w:divBdr>
            <w:top w:val="none" w:sz="0" w:space="0" w:color="auto"/>
            <w:left w:val="none" w:sz="0" w:space="0" w:color="auto"/>
            <w:bottom w:val="none" w:sz="0" w:space="0" w:color="auto"/>
            <w:right w:val="none" w:sz="0" w:space="0" w:color="auto"/>
          </w:divBdr>
          <w:divsChild>
            <w:div w:id="1234200899">
              <w:marLeft w:val="0"/>
              <w:marRight w:val="0"/>
              <w:marTop w:val="240"/>
              <w:marBottom w:val="0"/>
              <w:divBdr>
                <w:top w:val="none" w:sz="0" w:space="0" w:color="auto"/>
                <w:left w:val="none" w:sz="0" w:space="0" w:color="auto"/>
                <w:bottom w:val="none" w:sz="0" w:space="0" w:color="auto"/>
                <w:right w:val="none" w:sz="0" w:space="0" w:color="auto"/>
              </w:divBdr>
              <w:divsChild>
                <w:div w:id="1603953409">
                  <w:marLeft w:val="0"/>
                  <w:marRight w:val="0"/>
                  <w:marTop w:val="0"/>
                  <w:marBottom w:val="0"/>
                  <w:divBdr>
                    <w:top w:val="none" w:sz="0" w:space="0" w:color="auto"/>
                    <w:left w:val="none" w:sz="0" w:space="0" w:color="auto"/>
                    <w:bottom w:val="none" w:sz="0" w:space="0" w:color="auto"/>
                    <w:right w:val="none" w:sz="0" w:space="0" w:color="auto"/>
                  </w:divBdr>
                  <w:divsChild>
                    <w:div w:id="1374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9953">
          <w:marLeft w:val="0"/>
          <w:marRight w:val="0"/>
          <w:marTop w:val="240"/>
          <w:marBottom w:val="0"/>
          <w:divBdr>
            <w:top w:val="none" w:sz="0" w:space="0" w:color="auto"/>
            <w:left w:val="none" w:sz="0" w:space="0" w:color="auto"/>
            <w:bottom w:val="none" w:sz="0" w:space="0" w:color="auto"/>
            <w:right w:val="none" w:sz="0" w:space="0" w:color="auto"/>
          </w:divBdr>
          <w:divsChild>
            <w:div w:id="1227298043">
              <w:marLeft w:val="0"/>
              <w:marRight w:val="0"/>
              <w:marTop w:val="240"/>
              <w:marBottom w:val="0"/>
              <w:divBdr>
                <w:top w:val="none" w:sz="0" w:space="0" w:color="auto"/>
                <w:left w:val="none" w:sz="0" w:space="0" w:color="auto"/>
                <w:bottom w:val="none" w:sz="0" w:space="0" w:color="auto"/>
                <w:right w:val="none" w:sz="0" w:space="0" w:color="auto"/>
              </w:divBdr>
              <w:divsChild>
                <w:div w:id="730272020">
                  <w:marLeft w:val="0"/>
                  <w:marRight w:val="0"/>
                  <w:marTop w:val="0"/>
                  <w:marBottom w:val="0"/>
                  <w:divBdr>
                    <w:top w:val="none" w:sz="0" w:space="0" w:color="auto"/>
                    <w:left w:val="none" w:sz="0" w:space="0" w:color="auto"/>
                    <w:bottom w:val="none" w:sz="0" w:space="0" w:color="auto"/>
                    <w:right w:val="none" w:sz="0" w:space="0" w:color="auto"/>
                  </w:divBdr>
                  <w:divsChild>
                    <w:div w:id="119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360593-8797-4994-9430-0A5FAAB13F9D}"/>
</file>

<file path=customXml/itemProps2.xml><?xml version="1.0" encoding="utf-8"?>
<ds:datastoreItem xmlns:ds="http://schemas.openxmlformats.org/officeDocument/2006/customXml" ds:itemID="{99049F63-37DC-41BD-A753-03FD1374BB10}"/>
</file>

<file path=customXml/itemProps3.xml><?xml version="1.0" encoding="utf-8"?>
<ds:datastoreItem xmlns:ds="http://schemas.openxmlformats.org/officeDocument/2006/customXml" ds:itemID="{809EA6DA-8E40-480C-A887-1E333E2E2246}"/>
</file>

<file path=customXml/itemProps4.xml><?xml version="1.0" encoding="utf-8"?>
<ds:datastoreItem xmlns:ds="http://schemas.openxmlformats.org/officeDocument/2006/customXml" ds:itemID="{D4F38C55-8FD5-4F08-A2DE-33AC2CE81C50}"/>
</file>

<file path=customXml/itemProps5.xml><?xml version="1.0" encoding="utf-8"?>
<ds:datastoreItem xmlns:ds="http://schemas.openxmlformats.org/officeDocument/2006/customXml" ds:itemID="{3CB6894E-5DE9-4426-BD9D-DEE1CDCD00FE}"/>
</file>

<file path=customXml/itemProps6.xml><?xml version="1.0" encoding="utf-8"?>
<ds:datastoreItem xmlns:ds="http://schemas.openxmlformats.org/officeDocument/2006/customXml" ds:itemID="{F4ABB7B8-41D4-4134-9AF5-60523DC2C0E4}"/>
</file>

<file path=customXml/itemProps7.xml><?xml version="1.0" encoding="utf-8"?>
<ds:datastoreItem xmlns:ds="http://schemas.openxmlformats.org/officeDocument/2006/customXml" ds:itemID="{AFE655E7-8AC6-4E2E-BD36-C46D5B990DE2}"/>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2016-07-25T05:43:00Z</dcterms:created>
  <dcterms:modified xsi:type="dcterms:W3CDTF">2016-07-27T20:24:00Z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