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72485" w14:textId="596E618E" w:rsidR="00941847" w:rsidRDefault="00971DD3" w:rsidP="00941847">
      <w:pPr>
        <w:pStyle w:val="Text"/>
      </w:pPr>
      <w:bookmarkStart w:id="0" w:name="_Toc458169163"/>
      <w:bookmarkStart w:id="1" w:name="_Ref251758771"/>
      <w:bookmarkStart w:id="2" w:name="_Toc345532899"/>
      <w:bookmarkStart w:id="3" w:name="_Toc445914279"/>
      <w:bookmarkStart w:id="4" w:name="_Ref448485922"/>
      <w:bookmarkStart w:id="5" w:name="_Ref448485932"/>
      <w:bookmarkStart w:id="6" w:name="_Ref448485984"/>
      <w:bookmarkStart w:id="7" w:name="_Ref448485993"/>
      <w:bookmarkStart w:id="8" w:name="OLE_LINK1"/>
      <w:bookmarkStart w:id="9" w:name="_GoBack"/>
      <w:bookmarkEnd w:id="9"/>
      <w:r>
        <w:rPr>
          <w:rFonts w:asciiTheme="minorHAnsi" w:hAnsiTheme="minorHAnsi" w:cs="Times New Roman"/>
          <w:noProof/>
          <w:color w:val="auto"/>
          <w:szCs w:val="20"/>
        </w:rPr>
        <w:drawing>
          <wp:anchor distT="0" distB="0" distL="114300" distR="114300" simplePos="0" relativeHeight="251658240" behindDoc="0" locked="0" layoutInCell="1" allowOverlap="1" wp14:anchorId="7AA1635E" wp14:editId="169CE91D">
            <wp:simplePos x="0" y="0"/>
            <wp:positionH relativeFrom="column">
              <wp:posOffset>4345139</wp:posOffset>
            </wp:positionH>
            <wp:positionV relativeFrom="paragraph">
              <wp:posOffset>12341</wp:posOffset>
            </wp:positionV>
            <wp:extent cx="2190750" cy="363855"/>
            <wp:effectExtent l="0" t="0" r="0" b="0"/>
            <wp:wrapNone/>
            <wp:docPr id="1" name="Picture 1" descr="C:\Users\lroy\AppData\Local\Microsoft\Windows\Temporary Internet Files\Content.Outlook\UGDSJWN9\Research Into A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roy\AppData\Local\Microsoft\Windows\Temporary Internet Files\Content.Outlook\UGDSJWN9\Research Into Actio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41847">
        <w:rPr>
          <w:noProof/>
        </w:rPr>
        <w:drawing>
          <wp:anchor distT="0" distB="0" distL="114300" distR="114300" simplePos="0" relativeHeight="251654144" behindDoc="0" locked="0" layoutInCell="1" allowOverlap="1" wp14:anchorId="2F27A63A" wp14:editId="0210303C">
            <wp:simplePos x="0" y="0"/>
            <wp:positionH relativeFrom="page">
              <wp:posOffset>5024755</wp:posOffset>
            </wp:positionH>
            <wp:positionV relativeFrom="page">
              <wp:posOffset>166425</wp:posOffset>
            </wp:positionV>
            <wp:extent cx="2313830" cy="738802"/>
            <wp:effectExtent l="0" t="0" r="0" b="0"/>
            <wp:wrapNone/>
            <wp:docPr id="9" name="Picture 9" descr="Mos Eisley:Users:Jonny1:Dropbox:Nexant Master Assets:02 Logos:Nexant Logos:Tagline:PNG:Large:Nexant_Tagline_Logo_L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 Eisley:Users:Jonny1:Dropbox:Nexant Master Assets:02 Logos:Nexant Logos:Tagline:PNG:Large:Nexant_Tagline_Logo_LG_color.png"/>
                    <pic:cNvPicPr>
                      <a:picLocks noChangeAspect="1" noChangeArrowheads="1"/>
                    </pic:cNvPicPr>
                  </pic:nvPicPr>
                  <pic:blipFill>
                    <a:blip r:embed="rId10" cstate="print">
                      <a:extLst>
                        <a:ext uri="{28A0092B-C50C-407E-A947-70E740481C1C}">
                          <a14:useLocalDpi xmlns:a14="http://schemas.microsoft.com/office/drawing/2010/main" val="0"/>
                        </a:ext>
                      </a:extLst>
                    </a:blip>
                    <a:srcRect l="8985" t="26087" r="8406" b="7971"/>
                    <a:stretch>
                      <a:fillRect/>
                    </a:stretch>
                  </pic:blipFill>
                  <pic:spPr bwMode="auto">
                    <a:xfrm>
                      <a:off x="0" y="0"/>
                      <a:ext cx="2313830" cy="738802"/>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inorHAnsi" w:eastAsia="Times New Roman" w:hAnsiTheme="minorHAnsi" w:cs="Arial"/>
          <w:color w:val="auto"/>
          <w:spacing w:val="0"/>
          <w:kern w:val="0"/>
          <w:sz w:val="22"/>
          <w:szCs w:val="20"/>
        </w:rPr>
        <w:id w:val="-797382120"/>
        <w:docPartObj>
          <w:docPartGallery w:val="Cover Pages"/>
          <w:docPartUnique/>
        </w:docPartObj>
      </w:sdtPr>
      <w:sdtEndPr>
        <w:rPr>
          <w:rFonts w:ascii="Arial" w:hAnsi="Arial"/>
          <w:color w:val="7F7F7F" w:themeColor="text1" w:themeTint="80"/>
          <w:sz w:val="40"/>
        </w:rPr>
      </w:sdtEndPr>
      <w:sdtContent>
        <w:bookmarkEnd w:id="8" w:displacedByCustomXml="prev"/>
        <w:bookmarkStart w:id="10" w:name="Title_of_Proposal" w:displacedByCustomXml="prev"/>
        <w:bookmarkStart w:id="11" w:name="RFPNo" w:displacedByCustomXml="prev"/>
        <w:p w14:paraId="21C0BDD0" w14:textId="706E2A4E" w:rsidR="00941847" w:rsidRPr="00BF537C" w:rsidRDefault="00941847" w:rsidP="00BF537C">
          <w:pPr>
            <w:pStyle w:val="Title"/>
            <w:spacing w:before="7680" w:after="0"/>
            <w:rPr>
              <w:sz w:val="48"/>
              <w:szCs w:val="48"/>
            </w:rPr>
          </w:pPr>
          <w:r w:rsidRPr="00473ADA">
            <w:rPr>
              <w:rFonts w:cs="Arial"/>
              <w:i/>
              <w:noProof/>
              <w:color w:val="0070C0"/>
              <w:sz w:val="48"/>
              <w:szCs w:val="48"/>
            </w:rPr>
            <w:drawing>
              <wp:anchor distT="0" distB="0" distL="114300" distR="114300" simplePos="0" relativeHeight="251656192" behindDoc="0" locked="0" layoutInCell="1" allowOverlap="1" wp14:anchorId="463D41B6" wp14:editId="370EB131">
                <wp:simplePos x="0" y="0"/>
                <wp:positionH relativeFrom="column">
                  <wp:posOffset>-1104900</wp:posOffset>
                </wp:positionH>
                <wp:positionV relativeFrom="paragraph">
                  <wp:posOffset>100330</wp:posOffset>
                </wp:positionV>
                <wp:extent cx="8210550" cy="4572000"/>
                <wp:effectExtent l="0" t="0" r="0" b="0"/>
                <wp:wrapNone/>
                <wp:docPr id="30" name="Picture 30" descr="cid:image001.jpg@01D19C27.D9609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cid:image001.jpg@01D19C27.D9609C6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t="1858" b="23833"/>
                        <a:stretch/>
                      </pic:blipFill>
                      <pic:spPr bwMode="auto">
                        <a:xfrm>
                          <a:off x="0" y="0"/>
                          <a:ext cx="8210550" cy="457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3ADA" w:rsidRPr="00473ADA">
            <w:rPr>
              <w:color w:val="0070C0"/>
              <w:sz w:val="48"/>
              <w:szCs w:val="48"/>
            </w:rPr>
            <w:t>Supplemental</w:t>
          </w:r>
          <w:r w:rsidR="00473ADA">
            <w:rPr>
              <w:sz w:val="48"/>
              <w:szCs w:val="48"/>
            </w:rPr>
            <w:t xml:space="preserve"> Report: </w:t>
          </w:r>
          <w:r w:rsidR="00BF537C" w:rsidRPr="00BF537C">
            <w:rPr>
              <w:sz w:val="48"/>
              <w:szCs w:val="48"/>
            </w:rPr>
            <w:t>Process</w:t>
          </w:r>
          <w:r w:rsidRPr="00BF537C">
            <w:rPr>
              <w:sz w:val="48"/>
              <w:szCs w:val="48"/>
            </w:rPr>
            <w:t xml:space="preserve"> Evaluation of 2014-2015 Energy Efficiency Programs</w:t>
          </w:r>
          <w:bookmarkEnd w:id="10"/>
        </w:p>
        <w:p w14:paraId="779227AE" w14:textId="77777777" w:rsidR="00473ADA" w:rsidRDefault="00473ADA" w:rsidP="00473ADA">
          <w:pPr>
            <w:pStyle w:val="Titlepage-clientandsubctr"/>
          </w:pPr>
        </w:p>
        <w:p w14:paraId="5E744FD6" w14:textId="16A52378" w:rsidR="00941847" w:rsidRPr="00C67E9A" w:rsidRDefault="00941847" w:rsidP="00473ADA">
          <w:pPr>
            <w:pStyle w:val="Titlepage-clientandsubctr"/>
          </w:pPr>
          <w:r w:rsidRPr="00B76D64">
            <w:t xml:space="preserve">Submitted to </w:t>
          </w:r>
          <w:r>
            <w:t xml:space="preserve">Avista Utilities </w:t>
          </w:r>
          <w:r w:rsidRPr="00B76D64">
            <w:br/>
          </w:r>
          <w:bookmarkEnd w:id="11"/>
          <w:r w:rsidR="00BF537C">
            <w:rPr>
              <w:sz w:val="36"/>
              <w:szCs w:val="36"/>
            </w:rPr>
            <w:t xml:space="preserve">August </w:t>
          </w:r>
          <w:r w:rsidR="006D2949">
            <w:rPr>
              <w:sz w:val="36"/>
              <w:szCs w:val="36"/>
            </w:rPr>
            <w:t>19</w:t>
          </w:r>
          <w:r w:rsidRPr="00874454">
            <w:rPr>
              <w:sz w:val="36"/>
              <w:szCs w:val="36"/>
            </w:rPr>
            <w:t>, 2016</w:t>
          </w:r>
          <w:r>
            <w:br/>
          </w:r>
        </w:p>
      </w:sdtContent>
    </w:sdt>
    <w:p w14:paraId="01A11A35" w14:textId="5D9C9051" w:rsidR="00941847" w:rsidRDefault="00941847" w:rsidP="00E614EA">
      <w:pPr>
        <w:tabs>
          <w:tab w:val="clear" w:pos="-1440"/>
          <w:tab w:val="clear" w:pos="-720"/>
        </w:tabs>
        <w:spacing w:after="200" w:line="276" w:lineRule="auto"/>
        <w:ind w:left="0"/>
        <w:jc w:val="center"/>
        <w:rPr>
          <w:rFonts w:ascii="Calibri" w:eastAsia="Calibri" w:hAnsi="Calibri"/>
          <w:b/>
          <w:sz w:val="28"/>
          <w:szCs w:val="28"/>
        </w:rPr>
        <w:sectPr w:rsidR="00941847" w:rsidSect="00222B22">
          <w:footerReference w:type="default" r:id="rId13"/>
          <w:headerReference w:type="first" r:id="rId14"/>
          <w:endnotePr>
            <w:numFmt w:val="decimal"/>
          </w:endnotePr>
          <w:pgSz w:w="12240" w:h="15840" w:code="1"/>
          <w:pgMar w:top="1440" w:right="1440" w:bottom="720" w:left="1440" w:header="720" w:footer="720" w:gutter="0"/>
          <w:pgNumType w:start="1" w:chapStyle="7"/>
          <w:cols w:space="360"/>
          <w:titlePg/>
          <w:docGrid w:linePitch="299"/>
        </w:sectPr>
      </w:pPr>
    </w:p>
    <w:p w14:paraId="082BFFA3" w14:textId="77777777" w:rsidR="00A36E20" w:rsidRPr="001F2A51" w:rsidRDefault="00A36E20" w:rsidP="00A36E20">
      <w:pPr>
        <w:pStyle w:val="Intropages-tableofcontentstitle"/>
      </w:pPr>
      <w:r>
        <w:lastRenderedPageBreak/>
        <mc:AlternateContent>
          <mc:Choice Requires="wps">
            <w:drawing>
              <wp:anchor distT="4294967295" distB="4294967295" distL="114300" distR="114300" simplePos="0" relativeHeight="251664384" behindDoc="0" locked="0" layoutInCell="1" allowOverlap="1" wp14:anchorId="1AFAB54F" wp14:editId="1F0A47CE">
                <wp:simplePos x="0" y="0"/>
                <wp:positionH relativeFrom="column">
                  <wp:posOffset>2480945</wp:posOffset>
                </wp:positionH>
                <wp:positionV relativeFrom="paragraph">
                  <wp:posOffset>3809999</wp:posOffset>
                </wp:positionV>
                <wp:extent cx="7772400" cy="0"/>
                <wp:effectExtent l="0" t="57150" r="0" b="571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E4B3" id="Rectangle 15" o:spid="_x0000_s1026" style="position:absolute;margin-left:195.35pt;margin-top:300pt;width:61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2sqQIAAKEFAAAOAAAAZHJzL2Uyb0RvYy54bWysVFFv0zAQfkfiP1h+z5IUt2mipdNoGoQ0&#10;YGLwA9zEaSwcO9hu04H475ydtmu3FwTkIbJ957v7vvt81zf7TqAd04YrmeP4KsKIyUrVXG5y/PVL&#10;GcwxMpbKmgolWY4fmcE3i9evroc+YxPVKlEzjSCINNnQ57i1ts/C0FQt66i5Uj2TYGyU7qiFrd6E&#10;taYDRO9EOImiWTgoXfdaVcwYOC1GI174+E3DKvupaQyzSOQYarP+r/1/7f7h4ppmG037lleHMuhf&#10;VNFRLiHpKVRBLUVbzV+E6nillVGNvapUF6qm4RXzGABNHD1D89DSnnksQI7pTzSZ/xe2+ri714jX&#10;OZ5hJGkHLfoMpFG5EQzFU8fP0JsM3B76e+0Qmv5OVd8MkmrZghu71VoNLaM1VBU7//DigtsYuIrW&#10;wwdVQ3i6tcpTtW905wICCWjvO/J46gjbW1TBYZIkExJB46qjLaTZ8WKvjX3HVIfcIsca6vaB6e7O&#10;WFcIzY4uLo9UJRfCN1zIiwNwHE8gLVx1NleA79/PNEpX89WcBGQyWwUkKorgtlySYFbGybR4UyyX&#10;RfzL5Y1J1vK6ZtKlOWopJn/Wq4OqRxWc1GSU4LUL50oyerNeCo12FLRc+s/TDZYnt/CyDE8CYHkG&#10;KQZS307SoJzNk4CUZBqkSTQPojh9m84ikpKivIR0xyX7d0hoyHE6nUx9l86KfoYt8t9LbDTruIVp&#10;IXiX4/nJiWZOfStZ+9ZaysW4PqPClf9EBbT72GivVSfPUeZrVT+CVLUCOYHoYK7BolX6B0YDzIgc&#10;m+9bqhlG4r0EuacxIW6o+A2ZJhPY6HPL+txCZQWhcmwxGpdLOw6iba/5poVMsSdGqlt4Ig33EnbP&#10;Z6zq8LBgDngkh5nlBs353ns9TdbFbwAAAP//AwBQSwMEFAAGAAgAAAAhABDoxIHfAAAADAEAAA8A&#10;AABkcnMvZG93bnJldi54bWxMj91Kw0AQhe8F32EZwRuxu1WJGrMpUhCLCMVUe73NjkkwO5tmt0l8&#10;e6cg6OWc+Tg/2WJyrRiwD40nDfOZAoFUettQpeF983R5ByJEQ9a0nlDDNwZY5KcnmUmtH+kNhyJW&#10;gk0opEZDHWOXShnKGp0JM98h8e/T985EPvtK2t6MbO5aeaVUIp1piBNq0+GyxvKrODgNY7ketpvX&#10;Z7m+2K487Vf7ZfHxovX52fT4ACLiFP9gONbn6pBzp50/kA2i1XB9r24Z1ZAoxaOORDK/YWn3K8k8&#10;k/9H5D8AAAD//wMAUEsBAi0AFAAGAAgAAAAhALaDOJL+AAAA4QEAABMAAAAAAAAAAAAAAAAAAAAA&#10;AFtDb250ZW50X1R5cGVzXS54bWxQSwECLQAUAAYACAAAACEAOP0h/9YAAACUAQAACwAAAAAAAAAA&#10;AAAAAAAvAQAAX3JlbHMvLnJlbHNQSwECLQAUAAYACAAAACEAPcYdrKkCAAChBQAADgAAAAAAAAAA&#10;AAAAAAAuAgAAZHJzL2Uyb0RvYy54bWxQSwECLQAUAAYACAAAACEAEOjEgd8AAAAMAQAADwAAAAAA&#10;AAAAAAAAAAADBQAAZHJzL2Rvd25yZXYueG1sUEsFBgAAAAAEAAQA8wAAAA8GAAAAAA==&#10;" filled="f" stroked="f"/>
            </w:pict>
          </mc:Fallback>
        </mc:AlternateContent>
      </w:r>
      <w:bookmarkStart w:id="12" w:name="_Ref251750205"/>
      <w:r w:rsidRPr="001F2A51">
        <w:t>Contents</w:t>
      </w:r>
      <w:bookmarkEnd w:id="12"/>
    </w:p>
    <w:p w14:paraId="6BF57AF3" w14:textId="77777777" w:rsidR="00E33CF7" w:rsidRDefault="00E33CF7">
      <w:pPr>
        <w:pStyle w:val="TOC1"/>
        <w:rPr>
          <w:rFonts w:asciiTheme="minorHAnsi" w:eastAsiaTheme="minorEastAsia" w:hAnsiTheme="minorHAnsi" w:cstheme="minorBidi"/>
          <w:b w:val="0"/>
          <w:bCs w:val="0"/>
          <w:snapToGrid/>
          <w:color w:val="auto"/>
          <w:w w:val="100"/>
          <w:sz w:val="22"/>
        </w:rPr>
      </w:pPr>
      <w:r>
        <w:rPr>
          <w:b w:val="0"/>
          <w:bCs w:val="0"/>
        </w:rPr>
        <w:fldChar w:fldCharType="begin"/>
      </w:r>
      <w:r>
        <w:rPr>
          <w:b w:val="0"/>
          <w:bCs w:val="0"/>
        </w:rPr>
        <w:instrText xml:space="preserve"> TOC \o "1-7" \h \z \u </w:instrText>
      </w:r>
      <w:r>
        <w:rPr>
          <w:b w:val="0"/>
          <w:bCs w:val="0"/>
        </w:rPr>
        <w:fldChar w:fldCharType="separate"/>
      </w:r>
      <w:hyperlink w:anchor="_Toc459380135" w:history="1">
        <w:r w:rsidRPr="00D2586D">
          <w:rPr>
            <w:rStyle w:val="Hyperlink"/>
          </w:rPr>
          <w:t>1</w:t>
        </w:r>
        <w:r>
          <w:rPr>
            <w:rFonts w:asciiTheme="minorHAnsi" w:eastAsiaTheme="minorEastAsia" w:hAnsiTheme="minorHAnsi" w:cstheme="minorBidi"/>
            <w:b w:val="0"/>
            <w:bCs w:val="0"/>
            <w:snapToGrid/>
            <w:color w:val="auto"/>
            <w:w w:val="100"/>
            <w:sz w:val="22"/>
          </w:rPr>
          <w:tab/>
        </w:r>
        <w:r w:rsidRPr="00D2586D">
          <w:rPr>
            <w:rStyle w:val="Hyperlink"/>
          </w:rPr>
          <w:t>Introduction and Objectives</w:t>
        </w:r>
        <w:r>
          <w:rPr>
            <w:webHidden/>
          </w:rPr>
          <w:tab/>
        </w:r>
        <w:r>
          <w:rPr>
            <w:webHidden/>
          </w:rPr>
          <w:fldChar w:fldCharType="begin"/>
        </w:r>
        <w:r>
          <w:rPr>
            <w:webHidden/>
          </w:rPr>
          <w:instrText xml:space="preserve"> PAGEREF _Toc459380135 \h </w:instrText>
        </w:r>
        <w:r>
          <w:rPr>
            <w:webHidden/>
          </w:rPr>
        </w:r>
        <w:r>
          <w:rPr>
            <w:webHidden/>
          </w:rPr>
          <w:fldChar w:fldCharType="separate"/>
        </w:r>
        <w:r w:rsidR="00EA4C14">
          <w:rPr>
            <w:webHidden/>
          </w:rPr>
          <w:t>1</w:t>
        </w:r>
        <w:r>
          <w:rPr>
            <w:webHidden/>
          </w:rPr>
          <w:fldChar w:fldCharType="end"/>
        </w:r>
      </w:hyperlink>
    </w:p>
    <w:p w14:paraId="437AA1F5" w14:textId="77777777" w:rsidR="00E33CF7" w:rsidRDefault="00060B94">
      <w:pPr>
        <w:pStyle w:val="TOC1"/>
        <w:rPr>
          <w:rFonts w:asciiTheme="minorHAnsi" w:eastAsiaTheme="minorEastAsia" w:hAnsiTheme="minorHAnsi" w:cstheme="minorBidi"/>
          <w:b w:val="0"/>
          <w:bCs w:val="0"/>
          <w:snapToGrid/>
          <w:color w:val="auto"/>
          <w:w w:val="100"/>
          <w:sz w:val="22"/>
        </w:rPr>
      </w:pPr>
      <w:hyperlink w:anchor="_Toc459380136" w:history="1">
        <w:r w:rsidR="00E33CF7" w:rsidRPr="00D2586D">
          <w:rPr>
            <w:rStyle w:val="Hyperlink"/>
          </w:rPr>
          <w:t>2</w:t>
        </w:r>
        <w:r w:rsidR="00E33CF7">
          <w:rPr>
            <w:rFonts w:asciiTheme="minorHAnsi" w:eastAsiaTheme="minorEastAsia" w:hAnsiTheme="minorHAnsi" w:cstheme="minorBidi"/>
            <w:b w:val="0"/>
            <w:bCs w:val="0"/>
            <w:snapToGrid/>
            <w:color w:val="auto"/>
            <w:w w:val="100"/>
            <w:sz w:val="22"/>
          </w:rPr>
          <w:tab/>
        </w:r>
        <w:r w:rsidR="00E33CF7" w:rsidRPr="00D2586D">
          <w:rPr>
            <w:rStyle w:val="Hyperlink"/>
          </w:rPr>
          <w:t>Evaluation Methods</w:t>
        </w:r>
        <w:r w:rsidR="00E33CF7">
          <w:rPr>
            <w:webHidden/>
          </w:rPr>
          <w:tab/>
        </w:r>
        <w:r w:rsidR="00E33CF7">
          <w:rPr>
            <w:webHidden/>
          </w:rPr>
          <w:fldChar w:fldCharType="begin"/>
        </w:r>
        <w:r w:rsidR="00E33CF7">
          <w:rPr>
            <w:webHidden/>
          </w:rPr>
          <w:instrText xml:space="preserve"> PAGEREF _Toc459380136 \h </w:instrText>
        </w:r>
        <w:r w:rsidR="00E33CF7">
          <w:rPr>
            <w:webHidden/>
          </w:rPr>
        </w:r>
        <w:r w:rsidR="00E33CF7">
          <w:rPr>
            <w:webHidden/>
          </w:rPr>
          <w:fldChar w:fldCharType="separate"/>
        </w:r>
        <w:r w:rsidR="00EA4C14">
          <w:rPr>
            <w:webHidden/>
          </w:rPr>
          <w:t>2</w:t>
        </w:r>
        <w:r w:rsidR="00E33CF7">
          <w:rPr>
            <w:webHidden/>
          </w:rPr>
          <w:fldChar w:fldCharType="end"/>
        </w:r>
      </w:hyperlink>
    </w:p>
    <w:p w14:paraId="52A3FA36" w14:textId="77777777" w:rsidR="00E33CF7" w:rsidRDefault="00060B94">
      <w:pPr>
        <w:pStyle w:val="TOC2"/>
        <w:rPr>
          <w:rFonts w:asciiTheme="minorHAnsi" w:eastAsiaTheme="minorEastAsia" w:hAnsiTheme="minorHAnsi" w:cstheme="minorBidi"/>
          <w:b w:val="0"/>
          <w:color w:val="auto"/>
          <w:sz w:val="22"/>
          <w:szCs w:val="22"/>
        </w:rPr>
      </w:pPr>
      <w:hyperlink w:anchor="_Toc459380137" w:history="1">
        <w:r w:rsidR="00E33CF7" w:rsidRPr="00D2586D">
          <w:rPr>
            <w:rStyle w:val="Hyperlink"/>
            <w:rFonts w:eastAsia="Calibri" w:cs="Microsoft Sans Serif"/>
            <w:spacing w:val="-8"/>
          </w:rPr>
          <w:t>2.1</w:t>
        </w:r>
        <w:r w:rsidR="00E33CF7">
          <w:rPr>
            <w:rFonts w:asciiTheme="minorHAnsi" w:eastAsiaTheme="minorEastAsia" w:hAnsiTheme="minorHAnsi" w:cstheme="minorBidi"/>
            <w:b w:val="0"/>
            <w:color w:val="auto"/>
            <w:sz w:val="22"/>
            <w:szCs w:val="22"/>
          </w:rPr>
          <w:tab/>
        </w:r>
        <w:r w:rsidR="00E33CF7" w:rsidRPr="00D2586D">
          <w:rPr>
            <w:rStyle w:val="Hyperlink"/>
            <w:rFonts w:eastAsia="Calibri" w:cs="Microsoft Sans Serif"/>
            <w:spacing w:val="-8"/>
          </w:rPr>
          <w:t>Interviews with DSM Group Staff Members</w:t>
        </w:r>
        <w:r w:rsidR="00E33CF7">
          <w:rPr>
            <w:webHidden/>
          </w:rPr>
          <w:tab/>
        </w:r>
        <w:r w:rsidR="00E33CF7">
          <w:rPr>
            <w:webHidden/>
          </w:rPr>
          <w:fldChar w:fldCharType="begin"/>
        </w:r>
        <w:r w:rsidR="00E33CF7">
          <w:rPr>
            <w:webHidden/>
          </w:rPr>
          <w:instrText xml:space="preserve"> PAGEREF _Toc459380137 \h </w:instrText>
        </w:r>
        <w:r w:rsidR="00E33CF7">
          <w:rPr>
            <w:webHidden/>
          </w:rPr>
        </w:r>
        <w:r w:rsidR="00E33CF7">
          <w:rPr>
            <w:webHidden/>
          </w:rPr>
          <w:fldChar w:fldCharType="separate"/>
        </w:r>
        <w:r w:rsidR="00EA4C14">
          <w:rPr>
            <w:webHidden/>
          </w:rPr>
          <w:t>2</w:t>
        </w:r>
        <w:r w:rsidR="00E33CF7">
          <w:rPr>
            <w:webHidden/>
          </w:rPr>
          <w:fldChar w:fldCharType="end"/>
        </w:r>
      </w:hyperlink>
    </w:p>
    <w:p w14:paraId="77C2CB05" w14:textId="77777777" w:rsidR="00E33CF7" w:rsidRDefault="00060B94">
      <w:pPr>
        <w:pStyle w:val="TOC2"/>
        <w:rPr>
          <w:rFonts w:asciiTheme="minorHAnsi" w:eastAsiaTheme="minorEastAsia" w:hAnsiTheme="minorHAnsi" w:cstheme="minorBidi"/>
          <w:b w:val="0"/>
          <w:color w:val="auto"/>
          <w:sz w:val="22"/>
          <w:szCs w:val="22"/>
        </w:rPr>
      </w:pPr>
      <w:hyperlink w:anchor="_Toc459380138" w:history="1">
        <w:r w:rsidR="00E33CF7" w:rsidRPr="00D2586D">
          <w:rPr>
            <w:rStyle w:val="Hyperlink"/>
            <w:rFonts w:eastAsia="Calibri"/>
          </w:rPr>
          <w:t>2.2</w:t>
        </w:r>
        <w:r w:rsidR="00E33CF7">
          <w:rPr>
            <w:rFonts w:asciiTheme="minorHAnsi" w:eastAsiaTheme="minorEastAsia" w:hAnsiTheme="minorHAnsi" w:cstheme="minorBidi"/>
            <w:b w:val="0"/>
            <w:color w:val="auto"/>
            <w:sz w:val="22"/>
            <w:szCs w:val="22"/>
          </w:rPr>
          <w:tab/>
        </w:r>
        <w:r w:rsidR="00E33CF7" w:rsidRPr="00D2586D">
          <w:rPr>
            <w:rStyle w:val="Hyperlink"/>
            <w:rFonts w:eastAsia="Calibri"/>
          </w:rPr>
          <w:t>Document Review</w:t>
        </w:r>
        <w:r w:rsidR="00E33CF7">
          <w:rPr>
            <w:webHidden/>
          </w:rPr>
          <w:tab/>
        </w:r>
        <w:r w:rsidR="00E33CF7">
          <w:rPr>
            <w:webHidden/>
          </w:rPr>
          <w:fldChar w:fldCharType="begin"/>
        </w:r>
        <w:r w:rsidR="00E33CF7">
          <w:rPr>
            <w:webHidden/>
          </w:rPr>
          <w:instrText xml:space="preserve"> PAGEREF _Toc459380138 \h </w:instrText>
        </w:r>
        <w:r w:rsidR="00E33CF7">
          <w:rPr>
            <w:webHidden/>
          </w:rPr>
        </w:r>
        <w:r w:rsidR="00E33CF7">
          <w:rPr>
            <w:webHidden/>
          </w:rPr>
          <w:fldChar w:fldCharType="separate"/>
        </w:r>
        <w:r w:rsidR="00EA4C14">
          <w:rPr>
            <w:webHidden/>
          </w:rPr>
          <w:t>4</w:t>
        </w:r>
        <w:r w:rsidR="00E33CF7">
          <w:rPr>
            <w:webHidden/>
          </w:rPr>
          <w:fldChar w:fldCharType="end"/>
        </w:r>
      </w:hyperlink>
    </w:p>
    <w:p w14:paraId="06F3841E" w14:textId="77777777" w:rsidR="00E33CF7" w:rsidRDefault="00060B94">
      <w:pPr>
        <w:pStyle w:val="TOC2"/>
        <w:rPr>
          <w:rFonts w:asciiTheme="minorHAnsi" w:eastAsiaTheme="minorEastAsia" w:hAnsiTheme="minorHAnsi" w:cstheme="minorBidi"/>
          <w:b w:val="0"/>
          <w:color w:val="auto"/>
          <w:sz w:val="22"/>
          <w:szCs w:val="22"/>
        </w:rPr>
      </w:pPr>
      <w:hyperlink w:anchor="_Toc459380139" w:history="1">
        <w:r w:rsidR="00E33CF7" w:rsidRPr="00D2586D">
          <w:rPr>
            <w:rStyle w:val="Hyperlink"/>
            <w:rFonts w:eastAsia="Calibri"/>
          </w:rPr>
          <w:t>2.3</w:t>
        </w:r>
        <w:r w:rsidR="00E33CF7">
          <w:rPr>
            <w:rFonts w:asciiTheme="minorHAnsi" w:eastAsiaTheme="minorEastAsia" w:hAnsiTheme="minorHAnsi" w:cstheme="minorBidi"/>
            <w:b w:val="0"/>
            <w:color w:val="auto"/>
            <w:sz w:val="22"/>
            <w:szCs w:val="22"/>
          </w:rPr>
          <w:tab/>
        </w:r>
        <w:r w:rsidR="00E33CF7" w:rsidRPr="00D2586D">
          <w:rPr>
            <w:rStyle w:val="Hyperlink"/>
            <w:rFonts w:eastAsia="Calibri"/>
          </w:rPr>
          <w:t>Onsite Verification</w:t>
        </w:r>
        <w:r w:rsidR="00E33CF7">
          <w:rPr>
            <w:webHidden/>
          </w:rPr>
          <w:tab/>
        </w:r>
        <w:r w:rsidR="00E33CF7">
          <w:rPr>
            <w:webHidden/>
          </w:rPr>
          <w:fldChar w:fldCharType="begin"/>
        </w:r>
        <w:r w:rsidR="00E33CF7">
          <w:rPr>
            <w:webHidden/>
          </w:rPr>
          <w:instrText xml:space="preserve"> PAGEREF _Toc459380139 \h </w:instrText>
        </w:r>
        <w:r w:rsidR="00E33CF7">
          <w:rPr>
            <w:webHidden/>
          </w:rPr>
        </w:r>
        <w:r w:rsidR="00E33CF7">
          <w:rPr>
            <w:webHidden/>
          </w:rPr>
          <w:fldChar w:fldCharType="separate"/>
        </w:r>
        <w:r w:rsidR="00EA4C14">
          <w:rPr>
            <w:webHidden/>
          </w:rPr>
          <w:t>6</w:t>
        </w:r>
        <w:r w:rsidR="00E33CF7">
          <w:rPr>
            <w:webHidden/>
          </w:rPr>
          <w:fldChar w:fldCharType="end"/>
        </w:r>
      </w:hyperlink>
    </w:p>
    <w:p w14:paraId="47202BC5" w14:textId="77777777" w:rsidR="00E33CF7" w:rsidRDefault="00060B94">
      <w:pPr>
        <w:pStyle w:val="TOC1"/>
        <w:rPr>
          <w:rFonts w:asciiTheme="minorHAnsi" w:eastAsiaTheme="minorEastAsia" w:hAnsiTheme="minorHAnsi" w:cstheme="minorBidi"/>
          <w:b w:val="0"/>
          <w:bCs w:val="0"/>
          <w:snapToGrid/>
          <w:color w:val="auto"/>
          <w:w w:val="100"/>
          <w:sz w:val="22"/>
        </w:rPr>
      </w:pPr>
      <w:hyperlink w:anchor="_Toc459380140" w:history="1">
        <w:r w:rsidR="00E33CF7" w:rsidRPr="00D2586D">
          <w:rPr>
            <w:rStyle w:val="Hyperlink"/>
          </w:rPr>
          <w:t>3</w:t>
        </w:r>
        <w:r w:rsidR="00E33CF7">
          <w:rPr>
            <w:rFonts w:asciiTheme="minorHAnsi" w:eastAsiaTheme="minorEastAsia" w:hAnsiTheme="minorHAnsi" w:cstheme="minorBidi"/>
            <w:b w:val="0"/>
            <w:bCs w:val="0"/>
            <w:snapToGrid/>
            <w:color w:val="auto"/>
            <w:w w:val="100"/>
            <w:sz w:val="22"/>
          </w:rPr>
          <w:tab/>
        </w:r>
        <w:r w:rsidR="00E33CF7" w:rsidRPr="00D2586D">
          <w:rPr>
            <w:rStyle w:val="Hyperlink"/>
          </w:rPr>
          <w:t>Evaluation Results</w:t>
        </w:r>
        <w:r w:rsidR="00E33CF7">
          <w:rPr>
            <w:webHidden/>
          </w:rPr>
          <w:tab/>
        </w:r>
        <w:r w:rsidR="00E33CF7">
          <w:rPr>
            <w:webHidden/>
          </w:rPr>
          <w:fldChar w:fldCharType="begin"/>
        </w:r>
        <w:r w:rsidR="00E33CF7">
          <w:rPr>
            <w:webHidden/>
          </w:rPr>
          <w:instrText xml:space="preserve"> PAGEREF _Toc459380140 \h </w:instrText>
        </w:r>
        <w:r w:rsidR="00E33CF7">
          <w:rPr>
            <w:webHidden/>
          </w:rPr>
        </w:r>
        <w:r w:rsidR="00E33CF7">
          <w:rPr>
            <w:webHidden/>
          </w:rPr>
          <w:fldChar w:fldCharType="separate"/>
        </w:r>
        <w:r w:rsidR="00EA4C14">
          <w:rPr>
            <w:webHidden/>
          </w:rPr>
          <w:t>9</w:t>
        </w:r>
        <w:r w:rsidR="00E33CF7">
          <w:rPr>
            <w:webHidden/>
          </w:rPr>
          <w:fldChar w:fldCharType="end"/>
        </w:r>
      </w:hyperlink>
    </w:p>
    <w:p w14:paraId="383BF93C" w14:textId="77777777" w:rsidR="00E33CF7" w:rsidRDefault="00060B94">
      <w:pPr>
        <w:pStyle w:val="TOC2"/>
        <w:rPr>
          <w:rFonts w:asciiTheme="minorHAnsi" w:eastAsiaTheme="minorEastAsia" w:hAnsiTheme="minorHAnsi" w:cstheme="minorBidi"/>
          <w:b w:val="0"/>
          <w:color w:val="auto"/>
          <w:sz w:val="22"/>
          <w:szCs w:val="22"/>
        </w:rPr>
      </w:pPr>
      <w:hyperlink w:anchor="_Toc459380141" w:history="1">
        <w:r w:rsidR="00E33CF7" w:rsidRPr="00D2586D">
          <w:rPr>
            <w:rStyle w:val="Hyperlink"/>
          </w:rPr>
          <w:t>3.1</w:t>
        </w:r>
        <w:r w:rsidR="00E33CF7">
          <w:rPr>
            <w:rFonts w:asciiTheme="minorHAnsi" w:eastAsiaTheme="minorEastAsia" w:hAnsiTheme="minorHAnsi" w:cstheme="minorBidi"/>
            <w:b w:val="0"/>
            <w:color w:val="auto"/>
            <w:sz w:val="22"/>
            <w:szCs w:val="22"/>
          </w:rPr>
          <w:tab/>
        </w:r>
        <w:r w:rsidR="00E33CF7" w:rsidRPr="00D2586D">
          <w:rPr>
            <w:rStyle w:val="Hyperlink"/>
          </w:rPr>
          <w:t>Organization of the DSM Group: Effectiveness and Staff Perceptions</w:t>
        </w:r>
        <w:r w:rsidR="00E33CF7">
          <w:rPr>
            <w:webHidden/>
          </w:rPr>
          <w:tab/>
        </w:r>
        <w:r w:rsidR="00E33CF7">
          <w:rPr>
            <w:webHidden/>
          </w:rPr>
          <w:fldChar w:fldCharType="begin"/>
        </w:r>
        <w:r w:rsidR="00E33CF7">
          <w:rPr>
            <w:webHidden/>
          </w:rPr>
          <w:instrText xml:space="preserve"> PAGEREF _Toc459380141 \h </w:instrText>
        </w:r>
        <w:r w:rsidR="00E33CF7">
          <w:rPr>
            <w:webHidden/>
          </w:rPr>
        </w:r>
        <w:r w:rsidR="00E33CF7">
          <w:rPr>
            <w:webHidden/>
          </w:rPr>
          <w:fldChar w:fldCharType="separate"/>
        </w:r>
        <w:r w:rsidR="00EA4C14">
          <w:rPr>
            <w:webHidden/>
          </w:rPr>
          <w:t>9</w:t>
        </w:r>
        <w:r w:rsidR="00E33CF7">
          <w:rPr>
            <w:webHidden/>
          </w:rPr>
          <w:fldChar w:fldCharType="end"/>
        </w:r>
      </w:hyperlink>
    </w:p>
    <w:p w14:paraId="6FD55660" w14:textId="77777777" w:rsidR="00E33CF7" w:rsidRDefault="00060B94">
      <w:pPr>
        <w:pStyle w:val="TOC3"/>
        <w:rPr>
          <w:rFonts w:asciiTheme="minorHAnsi" w:eastAsiaTheme="minorEastAsia" w:hAnsiTheme="minorHAnsi" w:cstheme="minorBidi"/>
          <w:iCs w:val="0"/>
          <w:color w:val="auto"/>
          <w:sz w:val="22"/>
          <w:szCs w:val="22"/>
        </w:rPr>
      </w:pPr>
      <w:hyperlink w:anchor="_Toc459380142" w:history="1">
        <w:r w:rsidR="00E33CF7" w:rsidRPr="00D2586D">
          <w:rPr>
            <w:rStyle w:val="Hyperlink"/>
          </w:rPr>
          <w:t>3.1.1</w:t>
        </w:r>
        <w:r w:rsidR="00E33CF7">
          <w:rPr>
            <w:rFonts w:asciiTheme="minorHAnsi" w:eastAsiaTheme="minorEastAsia" w:hAnsiTheme="minorHAnsi" w:cstheme="minorBidi"/>
            <w:iCs w:val="0"/>
            <w:color w:val="auto"/>
            <w:sz w:val="22"/>
            <w:szCs w:val="22"/>
          </w:rPr>
          <w:tab/>
        </w:r>
        <w:r w:rsidR="00E33CF7" w:rsidRPr="00D2586D">
          <w:rPr>
            <w:rStyle w:val="Hyperlink"/>
          </w:rPr>
          <w:t>The DSM Organization Structure Pre July, 2014</w:t>
        </w:r>
        <w:r w:rsidR="00E33CF7">
          <w:rPr>
            <w:webHidden/>
          </w:rPr>
          <w:tab/>
        </w:r>
        <w:r w:rsidR="00E33CF7">
          <w:rPr>
            <w:webHidden/>
          </w:rPr>
          <w:fldChar w:fldCharType="begin"/>
        </w:r>
        <w:r w:rsidR="00E33CF7">
          <w:rPr>
            <w:webHidden/>
          </w:rPr>
          <w:instrText xml:space="preserve"> PAGEREF _Toc459380142 \h </w:instrText>
        </w:r>
        <w:r w:rsidR="00E33CF7">
          <w:rPr>
            <w:webHidden/>
          </w:rPr>
        </w:r>
        <w:r w:rsidR="00E33CF7">
          <w:rPr>
            <w:webHidden/>
          </w:rPr>
          <w:fldChar w:fldCharType="separate"/>
        </w:r>
        <w:r w:rsidR="00EA4C14">
          <w:rPr>
            <w:webHidden/>
          </w:rPr>
          <w:t>9</w:t>
        </w:r>
        <w:r w:rsidR="00E33CF7">
          <w:rPr>
            <w:webHidden/>
          </w:rPr>
          <w:fldChar w:fldCharType="end"/>
        </w:r>
      </w:hyperlink>
    </w:p>
    <w:p w14:paraId="665F8A13" w14:textId="77777777" w:rsidR="00E33CF7" w:rsidRDefault="00060B94">
      <w:pPr>
        <w:pStyle w:val="TOC3"/>
        <w:rPr>
          <w:rFonts w:asciiTheme="minorHAnsi" w:eastAsiaTheme="minorEastAsia" w:hAnsiTheme="minorHAnsi" w:cstheme="minorBidi"/>
          <w:iCs w:val="0"/>
          <w:color w:val="auto"/>
          <w:sz w:val="22"/>
          <w:szCs w:val="22"/>
        </w:rPr>
      </w:pPr>
      <w:hyperlink w:anchor="_Toc459380143" w:history="1">
        <w:r w:rsidR="00E33CF7" w:rsidRPr="00D2586D">
          <w:rPr>
            <w:rStyle w:val="Hyperlink"/>
          </w:rPr>
          <w:t>3.1.2</w:t>
        </w:r>
        <w:r w:rsidR="00E33CF7">
          <w:rPr>
            <w:rFonts w:asciiTheme="minorHAnsi" w:eastAsiaTheme="minorEastAsia" w:hAnsiTheme="minorHAnsi" w:cstheme="minorBidi"/>
            <w:iCs w:val="0"/>
            <w:color w:val="auto"/>
            <w:sz w:val="22"/>
            <w:szCs w:val="22"/>
          </w:rPr>
          <w:tab/>
        </w:r>
        <w:r w:rsidR="00E33CF7" w:rsidRPr="00D2586D">
          <w:rPr>
            <w:rStyle w:val="Hyperlink"/>
          </w:rPr>
          <w:t>The DSM Organization Structure Post July, 2014</w:t>
        </w:r>
        <w:r w:rsidR="00E33CF7">
          <w:rPr>
            <w:webHidden/>
          </w:rPr>
          <w:tab/>
        </w:r>
        <w:r w:rsidR="00E33CF7">
          <w:rPr>
            <w:webHidden/>
          </w:rPr>
          <w:fldChar w:fldCharType="begin"/>
        </w:r>
        <w:r w:rsidR="00E33CF7">
          <w:rPr>
            <w:webHidden/>
          </w:rPr>
          <w:instrText xml:space="preserve"> PAGEREF _Toc459380143 \h </w:instrText>
        </w:r>
        <w:r w:rsidR="00E33CF7">
          <w:rPr>
            <w:webHidden/>
          </w:rPr>
        </w:r>
        <w:r w:rsidR="00E33CF7">
          <w:rPr>
            <w:webHidden/>
          </w:rPr>
          <w:fldChar w:fldCharType="separate"/>
        </w:r>
        <w:r w:rsidR="00EA4C14">
          <w:rPr>
            <w:webHidden/>
          </w:rPr>
          <w:t>10</w:t>
        </w:r>
        <w:r w:rsidR="00E33CF7">
          <w:rPr>
            <w:webHidden/>
          </w:rPr>
          <w:fldChar w:fldCharType="end"/>
        </w:r>
      </w:hyperlink>
    </w:p>
    <w:p w14:paraId="7A40D5A3" w14:textId="77777777" w:rsidR="00E33CF7" w:rsidRDefault="00060B94">
      <w:pPr>
        <w:pStyle w:val="TOC3"/>
        <w:rPr>
          <w:rFonts w:asciiTheme="minorHAnsi" w:eastAsiaTheme="minorEastAsia" w:hAnsiTheme="minorHAnsi" w:cstheme="minorBidi"/>
          <w:iCs w:val="0"/>
          <w:color w:val="auto"/>
          <w:sz w:val="22"/>
          <w:szCs w:val="22"/>
        </w:rPr>
      </w:pPr>
      <w:hyperlink w:anchor="_Toc459380144" w:history="1">
        <w:r w:rsidR="00E33CF7" w:rsidRPr="00D2586D">
          <w:rPr>
            <w:rStyle w:val="Hyperlink"/>
          </w:rPr>
          <w:t>3.1.3</w:t>
        </w:r>
        <w:r w:rsidR="00E33CF7">
          <w:rPr>
            <w:rFonts w:asciiTheme="minorHAnsi" w:eastAsiaTheme="minorEastAsia" w:hAnsiTheme="minorHAnsi" w:cstheme="minorBidi"/>
            <w:iCs w:val="0"/>
            <w:color w:val="auto"/>
            <w:sz w:val="22"/>
            <w:szCs w:val="22"/>
          </w:rPr>
          <w:tab/>
        </w:r>
        <w:r w:rsidR="00E33CF7" w:rsidRPr="00D2586D">
          <w:rPr>
            <w:rStyle w:val="Hyperlink"/>
          </w:rPr>
          <w:t>Staff Perceptions of Reorganization</w:t>
        </w:r>
        <w:r w:rsidR="00E33CF7">
          <w:rPr>
            <w:webHidden/>
          </w:rPr>
          <w:tab/>
        </w:r>
        <w:r w:rsidR="00E33CF7">
          <w:rPr>
            <w:webHidden/>
          </w:rPr>
          <w:fldChar w:fldCharType="begin"/>
        </w:r>
        <w:r w:rsidR="00E33CF7">
          <w:rPr>
            <w:webHidden/>
          </w:rPr>
          <w:instrText xml:space="preserve"> PAGEREF _Toc459380144 \h </w:instrText>
        </w:r>
        <w:r w:rsidR="00E33CF7">
          <w:rPr>
            <w:webHidden/>
          </w:rPr>
        </w:r>
        <w:r w:rsidR="00E33CF7">
          <w:rPr>
            <w:webHidden/>
          </w:rPr>
          <w:fldChar w:fldCharType="separate"/>
        </w:r>
        <w:r w:rsidR="00EA4C14">
          <w:rPr>
            <w:webHidden/>
          </w:rPr>
          <w:t>11</w:t>
        </w:r>
        <w:r w:rsidR="00E33CF7">
          <w:rPr>
            <w:webHidden/>
          </w:rPr>
          <w:fldChar w:fldCharType="end"/>
        </w:r>
      </w:hyperlink>
    </w:p>
    <w:p w14:paraId="2450CD25" w14:textId="77777777" w:rsidR="00E33CF7" w:rsidRDefault="00060B94">
      <w:pPr>
        <w:pStyle w:val="TOC3"/>
        <w:rPr>
          <w:rFonts w:asciiTheme="minorHAnsi" w:eastAsiaTheme="minorEastAsia" w:hAnsiTheme="minorHAnsi" w:cstheme="minorBidi"/>
          <w:iCs w:val="0"/>
          <w:color w:val="auto"/>
          <w:sz w:val="22"/>
          <w:szCs w:val="22"/>
        </w:rPr>
      </w:pPr>
      <w:hyperlink w:anchor="_Toc459380145" w:history="1">
        <w:r w:rsidR="00E33CF7" w:rsidRPr="00D2586D">
          <w:rPr>
            <w:rStyle w:val="Hyperlink"/>
          </w:rPr>
          <w:t>3.1.4</w:t>
        </w:r>
        <w:r w:rsidR="00E33CF7">
          <w:rPr>
            <w:rFonts w:asciiTheme="minorHAnsi" w:eastAsiaTheme="minorEastAsia" w:hAnsiTheme="minorHAnsi" w:cstheme="minorBidi"/>
            <w:iCs w:val="0"/>
            <w:color w:val="auto"/>
            <w:sz w:val="22"/>
            <w:szCs w:val="22"/>
          </w:rPr>
          <w:tab/>
        </w:r>
        <w:r w:rsidR="00E33CF7" w:rsidRPr="00D2586D">
          <w:rPr>
            <w:rStyle w:val="Hyperlink"/>
          </w:rPr>
          <w:t>Standardized Processes</w:t>
        </w:r>
        <w:r w:rsidR="00E33CF7">
          <w:rPr>
            <w:webHidden/>
          </w:rPr>
          <w:tab/>
        </w:r>
        <w:r w:rsidR="00E33CF7">
          <w:rPr>
            <w:webHidden/>
          </w:rPr>
          <w:fldChar w:fldCharType="begin"/>
        </w:r>
        <w:r w:rsidR="00E33CF7">
          <w:rPr>
            <w:webHidden/>
          </w:rPr>
          <w:instrText xml:space="preserve"> PAGEREF _Toc459380145 \h </w:instrText>
        </w:r>
        <w:r w:rsidR="00E33CF7">
          <w:rPr>
            <w:webHidden/>
          </w:rPr>
        </w:r>
        <w:r w:rsidR="00E33CF7">
          <w:rPr>
            <w:webHidden/>
          </w:rPr>
          <w:fldChar w:fldCharType="separate"/>
        </w:r>
        <w:r w:rsidR="00EA4C14">
          <w:rPr>
            <w:webHidden/>
          </w:rPr>
          <w:t>13</w:t>
        </w:r>
        <w:r w:rsidR="00E33CF7">
          <w:rPr>
            <w:webHidden/>
          </w:rPr>
          <w:fldChar w:fldCharType="end"/>
        </w:r>
      </w:hyperlink>
    </w:p>
    <w:p w14:paraId="4ADAD2BE" w14:textId="77777777" w:rsidR="00E33CF7" w:rsidRDefault="00060B94">
      <w:pPr>
        <w:pStyle w:val="TOC2"/>
        <w:rPr>
          <w:rFonts w:asciiTheme="minorHAnsi" w:eastAsiaTheme="minorEastAsia" w:hAnsiTheme="minorHAnsi" w:cstheme="minorBidi"/>
          <w:b w:val="0"/>
          <w:color w:val="auto"/>
          <w:sz w:val="22"/>
          <w:szCs w:val="22"/>
        </w:rPr>
      </w:pPr>
      <w:hyperlink w:anchor="_Toc459380146" w:history="1">
        <w:r w:rsidR="00E33CF7" w:rsidRPr="00D2586D">
          <w:rPr>
            <w:rStyle w:val="Hyperlink"/>
          </w:rPr>
          <w:t>3.2</w:t>
        </w:r>
        <w:r w:rsidR="00E33CF7">
          <w:rPr>
            <w:rFonts w:asciiTheme="minorHAnsi" w:eastAsiaTheme="minorEastAsia" w:hAnsiTheme="minorHAnsi" w:cstheme="minorBidi"/>
            <w:b w:val="0"/>
            <w:color w:val="auto"/>
            <w:sz w:val="22"/>
            <w:szCs w:val="22"/>
          </w:rPr>
          <w:tab/>
        </w:r>
        <w:r w:rsidR="00E33CF7" w:rsidRPr="00D2586D">
          <w:rPr>
            <w:rStyle w:val="Hyperlink"/>
          </w:rPr>
          <w:t>Quality Assurance Processes</w:t>
        </w:r>
        <w:r w:rsidR="00E33CF7">
          <w:rPr>
            <w:webHidden/>
          </w:rPr>
          <w:tab/>
        </w:r>
        <w:r w:rsidR="00E33CF7">
          <w:rPr>
            <w:webHidden/>
          </w:rPr>
          <w:fldChar w:fldCharType="begin"/>
        </w:r>
        <w:r w:rsidR="00E33CF7">
          <w:rPr>
            <w:webHidden/>
          </w:rPr>
          <w:instrText xml:space="preserve"> PAGEREF _Toc459380146 \h </w:instrText>
        </w:r>
        <w:r w:rsidR="00E33CF7">
          <w:rPr>
            <w:webHidden/>
          </w:rPr>
        </w:r>
        <w:r w:rsidR="00E33CF7">
          <w:rPr>
            <w:webHidden/>
          </w:rPr>
          <w:fldChar w:fldCharType="separate"/>
        </w:r>
        <w:r w:rsidR="00EA4C14">
          <w:rPr>
            <w:webHidden/>
          </w:rPr>
          <w:t>13</w:t>
        </w:r>
        <w:r w:rsidR="00E33CF7">
          <w:rPr>
            <w:webHidden/>
          </w:rPr>
          <w:fldChar w:fldCharType="end"/>
        </w:r>
      </w:hyperlink>
    </w:p>
    <w:p w14:paraId="47D395BE" w14:textId="77777777" w:rsidR="00E33CF7" w:rsidRDefault="00060B94">
      <w:pPr>
        <w:pStyle w:val="TOC1"/>
        <w:rPr>
          <w:rFonts w:asciiTheme="minorHAnsi" w:eastAsiaTheme="minorEastAsia" w:hAnsiTheme="minorHAnsi" w:cstheme="minorBidi"/>
          <w:b w:val="0"/>
          <w:bCs w:val="0"/>
          <w:snapToGrid/>
          <w:color w:val="auto"/>
          <w:w w:val="100"/>
          <w:sz w:val="22"/>
        </w:rPr>
      </w:pPr>
      <w:hyperlink w:anchor="_Toc459380147" w:history="1">
        <w:r w:rsidR="00E33CF7" w:rsidRPr="00D2586D">
          <w:rPr>
            <w:rStyle w:val="Hyperlink"/>
          </w:rPr>
          <w:t>4</w:t>
        </w:r>
        <w:r w:rsidR="00E33CF7">
          <w:rPr>
            <w:rFonts w:asciiTheme="minorHAnsi" w:eastAsiaTheme="minorEastAsia" w:hAnsiTheme="minorHAnsi" w:cstheme="minorBidi"/>
            <w:b w:val="0"/>
            <w:bCs w:val="0"/>
            <w:snapToGrid/>
            <w:color w:val="auto"/>
            <w:w w:val="100"/>
            <w:sz w:val="22"/>
          </w:rPr>
          <w:tab/>
        </w:r>
        <w:r w:rsidR="00E33CF7" w:rsidRPr="00D2586D">
          <w:rPr>
            <w:rStyle w:val="Hyperlink"/>
          </w:rPr>
          <w:t>Summary</w:t>
        </w:r>
        <w:r w:rsidR="00E33CF7">
          <w:rPr>
            <w:webHidden/>
          </w:rPr>
          <w:tab/>
        </w:r>
        <w:r w:rsidR="00E33CF7">
          <w:rPr>
            <w:webHidden/>
          </w:rPr>
          <w:fldChar w:fldCharType="begin"/>
        </w:r>
        <w:r w:rsidR="00E33CF7">
          <w:rPr>
            <w:webHidden/>
          </w:rPr>
          <w:instrText xml:space="preserve"> PAGEREF _Toc459380147 \h </w:instrText>
        </w:r>
        <w:r w:rsidR="00E33CF7">
          <w:rPr>
            <w:webHidden/>
          </w:rPr>
        </w:r>
        <w:r w:rsidR="00E33CF7">
          <w:rPr>
            <w:webHidden/>
          </w:rPr>
          <w:fldChar w:fldCharType="separate"/>
        </w:r>
        <w:r w:rsidR="00EA4C14">
          <w:rPr>
            <w:webHidden/>
          </w:rPr>
          <w:t>15</w:t>
        </w:r>
        <w:r w:rsidR="00E33CF7">
          <w:rPr>
            <w:webHidden/>
          </w:rPr>
          <w:fldChar w:fldCharType="end"/>
        </w:r>
      </w:hyperlink>
    </w:p>
    <w:p w14:paraId="1B24883F" w14:textId="77777777" w:rsidR="00E33CF7" w:rsidRDefault="00060B94" w:rsidP="00E33CF7">
      <w:pPr>
        <w:pStyle w:val="TOC1"/>
      </w:pPr>
      <w:hyperlink w:anchor="_Toc459380148" w:history="1">
        <w:r w:rsidR="00E33CF7" w:rsidRPr="00D2586D">
          <w:rPr>
            <w:rStyle w:val="Hyperlink"/>
            <w:rFonts w:cs="Times New Roman"/>
          </w:rPr>
          <w:t>Appendix A</w:t>
        </w:r>
        <w:r w:rsidR="00E33CF7">
          <w:rPr>
            <w:webHidden/>
          </w:rPr>
          <w:tab/>
        </w:r>
        <w:r w:rsidR="00E33CF7">
          <w:rPr>
            <w:webHidden/>
          </w:rPr>
          <w:fldChar w:fldCharType="begin"/>
        </w:r>
        <w:r w:rsidR="00E33CF7">
          <w:rPr>
            <w:webHidden/>
          </w:rPr>
          <w:instrText xml:space="preserve"> PAGEREF _Toc459380148 \h </w:instrText>
        </w:r>
        <w:r w:rsidR="00E33CF7">
          <w:rPr>
            <w:webHidden/>
          </w:rPr>
        </w:r>
        <w:r w:rsidR="00E33CF7">
          <w:rPr>
            <w:webHidden/>
          </w:rPr>
          <w:fldChar w:fldCharType="separate"/>
        </w:r>
        <w:r w:rsidR="00EA4C14">
          <w:rPr>
            <w:webHidden/>
          </w:rPr>
          <w:t>A-1</w:t>
        </w:r>
        <w:r w:rsidR="00E33CF7">
          <w:rPr>
            <w:webHidden/>
          </w:rPr>
          <w:fldChar w:fldCharType="end"/>
        </w:r>
      </w:hyperlink>
    </w:p>
    <w:p w14:paraId="638B93C7" w14:textId="77777777" w:rsidR="00E33CF7" w:rsidRDefault="00060B94" w:rsidP="00E33CF7">
      <w:pPr>
        <w:pStyle w:val="TOC1"/>
      </w:pPr>
      <w:hyperlink w:anchor="_Toc459380149" w:history="1">
        <w:r w:rsidR="00E33CF7" w:rsidRPr="00D2586D">
          <w:rPr>
            <w:rStyle w:val="Hyperlink"/>
            <w:rFonts w:cs="Times New Roman"/>
          </w:rPr>
          <w:t>Appendix B</w:t>
        </w:r>
        <w:r w:rsidR="00E33CF7">
          <w:tab/>
        </w:r>
        <w:r w:rsidR="00E33CF7" w:rsidRPr="00D2586D">
          <w:rPr>
            <w:rStyle w:val="Hyperlink"/>
          </w:rPr>
          <w:t>Avista Utilities Demand Side Management Organizational Structure Pre-January 1 to June 30, 2014</w:t>
        </w:r>
        <w:r w:rsidR="00E33CF7">
          <w:rPr>
            <w:webHidden/>
          </w:rPr>
          <w:tab/>
        </w:r>
        <w:r w:rsidR="00E33CF7">
          <w:rPr>
            <w:webHidden/>
          </w:rPr>
          <w:fldChar w:fldCharType="begin"/>
        </w:r>
        <w:r w:rsidR="00E33CF7">
          <w:rPr>
            <w:webHidden/>
          </w:rPr>
          <w:instrText xml:space="preserve"> PAGEREF _Toc459380149 \h </w:instrText>
        </w:r>
        <w:r w:rsidR="00E33CF7">
          <w:rPr>
            <w:webHidden/>
          </w:rPr>
        </w:r>
        <w:r w:rsidR="00E33CF7">
          <w:rPr>
            <w:webHidden/>
          </w:rPr>
          <w:fldChar w:fldCharType="separate"/>
        </w:r>
        <w:r w:rsidR="00EA4C14">
          <w:rPr>
            <w:webHidden/>
          </w:rPr>
          <w:t>B-1</w:t>
        </w:r>
        <w:r w:rsidR="00E33CF7">
          <w:rPr>
            <w:webHidden/>
          </w:rPr>
          <w:fldChar w:fldCharType="end"/>
        </w:r>
      </w:hyperlink>
    </w:p>
    <w:p w14:paraId="7CB130A6" w14:textId="77777777" w:rsidR="00E33CF7" w:rsidRDefault="00060B94" w:rsidP="00E33CF7">
      <w:pPr>
        <w:pStyle w:val="TOC1"/>
      </w:pPr>
      <w:hyperlink w:anchor="_Toc459380150" w:history="1">
        <w:r w:rsidR="00E33CF7" w:rsidRPr="00D2586D">
          <w:rPr>
            <w:rStyle w:val="Hyperlink"/>
            <w:rFonts w:cs="Times New Roman"/>
          </w:rPr>
          <w:t>Appendix C</w:t>
        </w:r>
        <w:r w:rsidR="00E33CF7">
          <w:tab/>
        </w:r>
        <w:r w:rsidR="00E33CF7" w:rsidRPr="00D2586D">
          <w:rPr>
            <w:rStyle w:val="Hyperlink"/>
          </w:rPr>
          <w:t>Avista Utilities Demand Side Management Organizational Structure July 1, 2014 to Present (dated 12/1/2014)</w:t>
        </w:r>
        <w:r w:rsidR="00E33CF7">
          <w:rPr>
            <w:webHidden/>
          </w:rPr>
          <w:tab/>
        </w:r>
        <w:r w:rsidR="00E33CF7">
          <w:rPr>
            <w:webHidden/>
          </w:rPr>
          <w:fldChar w:fldCharType="begin"/>
        </w:r>
        <w:r w:rsidR="00E33CF7">
          <w:rPr>
            <w:webHidden/>
          </w:rPr>
          <w:instrText xml:space="preserve"> PAGEREF _Toc459380150 \h </w:instrText>
        </w:r>
        <w:r w:rsidR="00E33CF7">
          <w:rPr>
            <w:webHidden/>
          </w:rPr>
        </w:r>
        <w:r w:rsidR="00E33CF7">
          <w:rPr>
            <w:webHidden/>
          </w:rPr>
          <w:fldChar w:fldCharType="separate"/>
        </w:r>
        <w:r w:rsidR="00EA4C14">
          <w:rPr>
            <w:webHidden/>
          </w:rPr>
          <w:t>C-1</w:t>
        </w:r>
        <w:r w:rsidR="00E33CF7">
          <w:rPr>
            <w:webHidden/>
          </w:rPr>
          <w:fldChar w:fldCharType="end"/>
        </w:r>
      </w:hyperlink>
    </w:p>
    <w:p w14:paraId="276BD37F" w14:textId="20B9A57E" w:rsidR="00E33CF7" w:rsidRPr="00E33CF7" w:rsidRDefault="00E33CF7" w:rsidP="00E33CF7">
      <w:pPr>
        <w:pStyle w:val="Text"/>
      </w:pPr>
      <w:r>
        <w:rPr>
          <w:noProof/>
          <w:snapToGrid w:val="0"/>
          <w:w w:val="0"/>
        </w:rPr>
        <w:fldChar w:fldCharType="end"/>
      </w:r>
    </w:p>
    <w:p w14:paraId="0D0E9B28" w14:textId="77777777" w:rsidR="00E33CF7" w:rsidRPr="00E33CF7" w:rsidRDefault="00E33CF7" w:rsidP="00E33CF7">
      <w:pPr>
        <w:pStyle w:val="Text"/>
      </w:pPr>
    </w:p>
    <w:p w14:paraId="046312D8" w14:textId="77777777" w:rsidR="00E33CF7" w:rsidRDefault="00E33CF7" w:rsidP="00E33CF7">
      <w:pPr>
        <w:pStyle w:val="Text"/>
      </w:pPr>
    </w:p>
    <w:p w14:paraId="042F854E" w14:textId="5B170588" w:rsidR="00225356" w:rsidRDefault="00225356" w:rsidP="00225356">
      <w:pPr>
        <w:pStyle w:val="IntroPages-Listoffiguresheadings"/>
      </w:pPr>
      <w:r w:rsidRPr="00266EB9">
        <w:lastRenderedPageBreak/>
        <w:t>List of Tables</w:t>
      </w:r>
    </w:p>
    <w:p w14:paraId="525ABA32" w14:textId="77777777" w:rsidR="00E33CF7" w:rsidRDefault="00225356">
      <w:pPr>
        <w:pStyle w:val="TableofFigures"/>
        <w:tabs>
          <w:tab w:val="right" w:leader="dot" w:pos="9350"/>
        </w:tabs>
        <w:rPr>
          <w:rFonts w:eastAsiaTheme="minorEastAsia" w:cstheme="minorBidi"/>
          <w:noProof/>
          <w:szCs w:val="22"/>
        </w:rPr>
      </w:pPr>
      <w:r>
        <w:fldChar w:fldCharType="begin"/>
      </w:r>
      <w:r>
        <w:instrText xml:space="preserve"> TOC \h \z \c "Table" </w:instrText>
      </w:r>
      <w:r>
        <w:fldChar w:fldCharType="separate"/>
      </w:r>
      <w:hyperlink w:anchor="_Toc459380028" w:history="1">
        <w:r w:rsidR="00E33CF7" w:rsidRPr="00044017">
          <w:rPr>
            <w:rStyle w:val="Hyperlink"/>
            <w:noProof/>
          </w:rPr>
          <w:t>Table 2</w:t>
        </w:r>
        <w:r w:rsidR="00E33CF7" w:rsidRPr="00044017">
          <w:rPr>
            <w:rStyle w:val="Hyperlink"/>
            <w:noProof/>
          </w:rPr>
          <w:noBreakHyphen/>
          <w:t>1: Interviews Conducted as Part of 2014-2015 Evaluation</w:t>
        </w:r>
        <w:r w:rsidR="00E33CF7">
          <w:rPr>
            <w:noProof/>
            <w:webHidden/>
          </w:rPr>
          <w:tab/>
        </w:r>
        <w:r w:rsidR="00E33CF7">
          <w:rPr>
            <w:noProof/>
            <w:webHidden/>
          </w:rPr>
          <w:fldChar w:fldCharType="begin"/>
        </w:r>
        <w:r w:rsidR="00E33CF7">
          <w:rPr>
            <w:noProof/>
            <w:webHidden/>
          </w:rPr>
          <w:instrText xml:space="preserve"> PAGEREF _Toc459380028 \h </w:instrText>
        </w:r>
        <w:r w:rsidR="00E33CF7">
          <w:rPr>
            <w:noProof/>
            <w:webHidden/>
          </w:rPr>
        </w:r>
        <w:r w:rsidR="00E33CF7">
          <w:rPr>
            <w:noProof/>
            <w:webHidden/>
          </w:rPr>
          <w:fldChar w:fldCharType="separate"/>
        </w:r>
        <w:r w:rsidR="00EA4C14">
          <w:rPr>
            <w:noProof/>
            <w:webHidden/>
          </w:rPr>
          <w:t>3</w:t>
        </w:r>
        <w:r w:rsidR="00E33CF7">
          <w:rPr>
            <w:noProof/>
            <w:webHidden/>
          </w:rPr>
          <w:fldChar w:fldCharType="end"/>
        </w:r>
      </w:hyperlink>
    </w:p>
    <w:p w14:paraId="7DA5F504" w14:textId="77777777" w:rsidR="00E33CF7" w:rsidRDefault="00060B94">
      <w:pPr>
        <w:pStyle w:val="TableofFigures"/>
        <w:tabs>
          <w:tab w:val="right" w:leader="dot" w:pos="9350"/>
        </w:tabs>
        <w:rPr>
          <w:rFonts w:eastAsiaTheme="minorEastAsia" w:cstheme="minorBidi"/>
          <w:noProof/>
          <w:szCs w:val="22"/>
        </w:rPr>
      </w:pPr>
      <w:hyperlink w:anchor="_Toc459380029" w:history="1">
        <w:r w:rsidR="00E33CF7" w:rsidRPr="00044017">
          <w:rPr>
            <w:rStyle w:val="Hyperlink"/>
            <w:noProof/>
          </w:rPr>
          <w:t>Table 2</w:t>
        </w:r>
        <w:r w:rsidR="00E33CF7" w:rsidRPr="00044017">
          <w:rPr>
            <w:rStyle w:val="Hyperlink"/>
            <w:noProof/>
          </w:rPr>
          <w:noBreakHyphen/>
          <w:t>2: Summary of Document Review Sample Sizes – Electric Programs</w:t>
        </w:r>
        <w:r w:rsidR="00E33CF7">
          <w:rPr>
            <w:noProof/>
            <w:webHidden/>
          </w:rPr>
          <w:tab/>
        </w:r>
        <w:r w:rsidR="00E33CF7">
          <w:rPr>
            <w:noProof/>
            <w:webHidden/>
          </w:rPr>
          <w:fldChar w:fldCharType="begin"/>
        </w:r>
        <w:r w:rsidR="00E33CF7">
          <w:rPr>
            <w:noProof/>
            <w:webHidden/>
          </w:rPr>
          <w:instrText xml:space="preserve"> PAGEREF _Toc459380029 \h </w:instrText>
        </w:r>
        <w:r w:rsidR="00E33CF7">
          <w:rPr>
            <w:noProof/>
            <w:webHidden/>
          </w:rPr>
        </w:r>
        <w:r w:rsidR="00E33CF7">
          <w:rPr>
            <w:noProof/>
            <w:webHidden/>
          </w:rPr>
          <w:fldChar w:fldCharType="separate"/>
        </w:r>
        <w:r w:rsidR="00EA4C14">
          <w:rPr>
            <w:noProof/>
            <w:webHidden/>
          </w:rPr>
          <w:t>5</w:t>
        </w:r>
        <w:r w:rsidR="00E33CF7">
          <w:rPr>
            <w:noProof/>
            <w:webHidden/>
          </w:rPr>
          <w:fldChar w:fldCharType="end"/>
        </w:r>
      </w:hyperlink>
    </w:p>
    <w:p w14:paraId="62B59E07" w14:textId="77777777" w:rsidR="00E33CF7" w:rsidRDefault="00060B94">
      <w:pPr>
        <w:pStyle w:val="TableofFigures"/>
        <w:tabs>
          <w:tab w:val="right" w:leader="dot" w:pos="9350"/>
        </w:tabs>
        <w:rPr>
          <w:rFonts w:eastAsiaTheme="minorEastAsia" w:cstheme="minorBidi"/>
          <w:noProof/>
          <w:szCs w:val="22"/>
        </w:rPr>
      </w:pPr>
      <w:hyperlink w:anchor="_Toc459380030" w:history="1">
        <w:r w:rsidR="00E33CF7" w:rsidRPr="00044017">
          <w:rPr>
            <w:rStyle w:val="Hyperlink"/>
            <w:noProof/>
          </w:rPr>
          <w:t>Table 2</w:t>
        </w:r>
        <w:r w:rsidR="00E33CF7" w:rsidRPr="00044017">
          <w:rPr>
            <w:rStyle w:val="Hyperlink"/>
            <w:noProof/>
          </w:rPr>
          <w:noBreakHyphen/>
          <w:t>3: Summary of Document Reviews Sample Sizes – Natural Gas Programs</w:t>
        </w:r>
        <w:r w:rsidR="00E33CF7">
          <w:rPr>
            <w:noProof/>
            <w:webHidden/>
          </w:rPr>
          <w:tab/>
        </w:r>
        <w:r w:rsidR="00E33CF7">
          <w:rPr>
            <w:noProof/>
            <w:webHidden/>
          </w:rPr>
          <w:fldChar w:fldCharType="begin"/>
        </w:r>
        <w:r w:rsidR="00E33CF7">
          <w:rPr>
            <w:noProof/>
            <w:webHidden/>
          </w:rPr>
          <w:instrText xml:space="preserve"> PAGEREF _Toc459380030 \h </w:instrText>
        </w:r>
        <w:r w:rsidR="00E33CF7">
          <w:rPr>
            <w:noProof/>
            <w:webHidden/>
          </w:rPr>
        </w:r>
        <w:r w:rsidR="00E33CF7">
          <w:rPr>
            <w:noProof/>
            <w:webHidden/>
          </w:rPr>
          <w:fldChar w:fldCharType="separate"/>
        </w:r>
        <w:r w:rsidR="00EA4C14">
          <w:rPr>
            <w:noProof/>
            <w:webHidden/>
          </w:rPr>
          <w:t>6</w:t>
        </w:r>
        <w:r w:rsidR="00E33CF7">
          <w:rPr>
            <w:noProof/>
            <w:webHidden/>
          </w:rPr>
          <w:fldChar w:fldCharType="end"/>
        </w:r>
      </w:hyperlink>
    </w:p>
    <w:p w14:paraId="6C7C4AE2" w14:textId="77777777" w:rsidR="00E33CF7" w:rsidRDefault="00060B94">
      <w:pPr>
        <w:pStyle w:val="TableofFigures"/>
        <w:tabs>
          <w:tab w:val="right" w:leader="dot" w:pos="9350"/>
        </w:tabs>
        <w:rPr>
          <w:rFonts w:eastAsiaTheme="minorEastAsia" w:cstheme="minorBidi"/>
          <w:noProof/>
          <w:szCs w:val="22"/>
        </w:rPr>
      </w:pPr>
      <w:hyperlink w:anchor="_Toc459380031" w:history="1">
        <w:r w:rsidR="00E33CF7" w:rsidRPr="00044017">
          <w:rPr>
            <w:rStyle w:val="Hyperlink"/>
            <w:noProof/>
          </w:rPr>
          <w:t>Table 2</w:t>
        </w:r>
        <w:r w:rsidR="00E33CF7" w:rsidRPr="00044017">
          <w:rPr>
            <w:rStyle w:val="Hyperlink"/>
            <w:noProof/>
          </w:rPr>
          <w:noBreakHyphen/>
          <w:t>4: Summary of Onsite M&amp;V Activities – Electric Programs</w:t>
        </w:r>
        <w:r w:rsidR="00E33CF7">
          <w:rPr>
            <w:noProof/>
            <w:webHidden/>
          </w:rPr>
          <w:tab/>
        </w:r>
        <w:r w:rsidR="00E33CF7">
          <w:rPr>
            <w:noProof/>
            <w:webHidden/>
          </w:rPr>
          <w:fldChar w:fldCharType="begin"/>
        </w:r>
        <w:r w:rsidR="00E33CF7">
          <w:rPr>
            <w:noProof/>
            <w:webHidden/>
          </w:rPr>
          <w:instrText xml:space="preserve"> PAGEREF _Toc459380031 \h </w:instrText>
        </w:r>
        <w:r w:rsidR="00E33CF7">
          <w:rPr>
            <w:noProof/>
            <w:webHidden/>
          </w:rPr>
        </w:r>
        <w:r w:rsidR="00E33CF7">
          <w:rPr>
            <w:noProof/>
            <w:webHidden/>
          </w:rPr>
          <w:fldChar w:fldCharType="separate"/>
        </w:r>
        <w:r w:rsidR="00EA4C14">
          <w:rPr>
            <w:noProof/>
            <w:webHidden/>
          </w:rPr>
          <w:t>7</w:t>
        </w:r>
        <w:r w:rsidR="00E33CF7">
          <w:rPr>
            <w:noProof/>
            <w:webHidden/>
          </w:rPr>
          <w:fldChar w:fldCharType="end"/>
        </w:r>
      </w:hyperlink>
    </w:p>
    <w:p w14:paraId="77519FDB" w14:textId="77777777" w:rsidR="00E33CF7" w:rsidRDefault="00060B94">
      <w:pPr>
        <w:pStyle w:val="TableofFigures"/>
        <w:tabs>
          <w:tab w:val="right" w:leader="dot" w:pos="9350"/>
        </w:tabs>
        <w:rPr>
          <w:rFonts w:eastAsiaTheme="minorEastAsia" w:cstheme="minorBidi"/>
          <w:noProof/>
          <w:szCs w:val="22"/>
        </w:rPr>
      </w:pPr>
      <w:hyperlink w:anchor="_Toc459380032" w:history="1">
        <w:r w:rsidR="00E33CF7" w:rsidRPr="00044017">
          <w:rPr>
            <w:rStyle w:val="Hyperlink"/>
            <w:noProof/>
          </w:rPr>
          <w:t>Table 2</w:t>
        </w:r>
        <w:r w:rsidR="00E33CF7" w:rsidRPr="00044017">
          <w:rPr>
            <w:rStyle w:val="Hyperlink"/>
            <w:noProof/>
          </w:rPr>
          <w:noBreakHyphen/>
          <w:t>5: Summary of Onsite M&amp;V Activities – Natural Gas Programs</w:t>
        </w:r>
        <w:r w:rsidR="00E33CF7">
          <w:rPr>
            <w:noProof/>
            <w:webHidden/>
          </w:rPr>
          <w:tab/>
        </w:r>
        <w:r w:rsidR="00E33CF7">
          <w:rPr>
            <w:noProof/>
            <w:webHidden/>
          </w:rPr>
          <w:fldChar w:fldCharType="begin"/>
        </w:r>
        <w:r w:rsidR="00E33CF7">
          <w:rPr>
            <w:noProof/>
            <w:webHidden/>
          </w:rPr>
          <w:instrText xml:space="preserve"> PAGEREF _Toc459380032 \h </w:instrText>
        </w:r>
        <w:r w:rsidR="00E33CF7">
          <w:rPr>
            <w:noProof/>
            <w:webHidden/>
          </w:rPr>
        </w:r>
        <w:r w:rsidR="00E33CF7">
          <w:rPr>
            <w:noProof/>
            <w:webHidden/>
          </w:rPr>
          <w:fldChar w:fldCharType="separate"/>
        </w:r>
        <w:r w:rsidR="00EA4C14">
          <w:rPr>
            <w:noProof/>
            <w:webHidden/>
          </w:rPr>
          <w:t>8</w:t>
        </w:r>
        <w:r w:rsidR="00E33CF7">
          <w:rPr>
            <w:noProof/>
            <w:webHidden/>
          </w:rPr>
          <w:fldChar w:fldCharType="end"/>
        </w:r>
      </w:hyperlink>
    </w:p>
    <w:p w14:paraId="2E19C60C" w14:textId="4B760E02" w:rsidR="00225356" w:rsidRDefault="00225356" w:rsidP="00225356">
      <w:pPr>
        <w:pStyle w:val="IntroPages-Listoffiguresbody"/>
      </w:pPr>
      <w:r>
        <w:fldChar w:fldCharType="end"/>
      </w:r>
    </w:p>
    <w:p w14:paraId="27E1F470" w14:textId="3F3D67D4" w:rsidR="00440A2C" w:rsidRDefault="00440A2C" w:rsidP="00A36E20">
      <w:pPr>
        <w:pStyle w:val="Heading1"/>
        <w:numPr>
          <w:ilvl w:val="0"/>
          <w:numId w:val="0"/>
        </w:numPr>
        <w:tabs>
          <w:tab w:val="num" w:pos="1620"/>
        </w:tabs>
        <w:spacing w:after="240"/>
        <w:ind w:left="360" w:hanging="360"/>
        <w:sectPr w:rsidR="00440A2C" w:rsidSect="00222B22">
          <w:headerReference w:type="default" r:id="rId15"/>
          <w:footerReference w:type="default" r:id="rId16"/>
          <w:endnotePr>
            <w:numFmt w:val="decimal"/>
          </w:endnotePr>
          <w:pgSz w:w="12240" w:h="15840" w:code="1"/>
          <w:pgMar w:top="1440" w:right="1440" w:bottom="720" w:left="1440" w:header="720" w:footer="720" w:gutter="0"/>
          <w:pgNumType w:fmt="lowerRoman" w:start="1"/>
          <w:cols w:space="360"/>
          <w:docGrid w:linePitch="299"/>
        </w:sectPr>
      </w:pPr>
    </w:p>
    <w:p w14:paraId="221ADF58" w14:textId="4B5CF014" w:rsidR="00633DAF" w:rsidRDefault="009A5822" w:rsidP="00F23057">
      <w:pPr>
        <w:pStyle w:val="Heading1"/>
        <w:tabs>
          <w:tab w:val="num" w:pos="720"/>
          <w:tab w:val="num" w:pos="1620"/>
        </w:tabs>
        <w:spacing w:after="240"/>
        <w:ind w:left="720" w:hanging="720"/>
      </w:pPr>
      <w:bookmarkStart w:id="13" w:name="_Toc459380011"/>
      <w:bookmarkStart w:id="14" w:name="_Toc459380135"/>
      <w:r>
        <w:lastRenderedPageBreak/>
        <w:t xml:space="preserve">Introduction and </w:t>
      </w:r>
      <w:r w:rsidR="00633DAF">
        <w:t>Objectives</w:t>
      </w:r>
      <w:bookmarkEnd w:id="0"/>
      <w:bookmarkEnd w:id="13"/>
      <w:bookmarkEnd w:id="14"/>
    </w:p>
    <w:p w14:paraId="3B2A8A24" w14:textId="3DF227C7" w:rsidR="002B4E8B" w:rsidRPr="002B4E8B" w:rsidRDefault="002B4E8B" w:rsidP="002B4E8B">
      <w:pPr>
        <w:tabs>
          <w:tab w:val="clear" w:pos="-1440"/>
          <w:tab w:val="clear" w:pos="-720"/>
        </w:tabs>
        <w:spacing w:line="288" w:lineRule="auto"/>
        <w:ind w:left="0"/>
        <w:rPr>
          <w:rFonts w:ascii="Arial" w:hAnsi="Arial" w:cs="Arial"/>
          <w:color w:val="333333"/>
          <w:szCs w:val="22"/>
        </w:rPr>
      </w:pPr>
      <w:r w:rsidRPr="002B4E8B">
        <w:rPr>
          <w:rFonts w:ascii="Arial" w:hAnsi="Arial" w:cs="Arial"/>
          <w:color w:val="333333"/>
          <w:szCs w:val="22"/>
        </w:rPr>
        <w:t xml:space="preserve">At the request of the Washington Utilities and Transportation Commission (WUTC), the evaluation team of Nexant, Inc., and Research Into Action, Inc., submit this supplemental report to augment its reporting on Avista’s 2014-2015 Washington demand-side management (DSM) program portfolio. Specifically, the evaluation team </w:t>
      </w:r>
      <w:r w:rsidR="00AC4966">
        <w:rPr>
          <w:rFonts w:ascii="Arial" w:hAnsi="Arial" w:cs="Arial"/>
          <w:color w:val="333333"/>
          <w:szCs w:val="22"/>
        </w:rPr>
        <w:t xml:space="preserve">authored </w:t>
      </w:r>
      <w:r w:rsidRPr="002B4E8B">
        <w:rPr>
          <w:rFonts w:ascii="Arial" w:hAnsi="Arial" w:cs="Arial"/>
          <w:color w:val="333333"/>
          <w:szCs w:val="22"/>
        </w:rPr>
        <w:t>the following reports.</w:t>
      </w:r>
    </w:p>
    <w:p w14:paraId="179A8E6E" w14:textId="3E80B6CD" w:rsidR="00831C0C" w:rsidRPr="002B4E8B" w:rsidRDefault="002B4E8B" w:rsidP="00CF38BD">
      <w:pPr>
        <w:pStyle w:val="Mainbody-Bullets"/>
      </w:pPr>
      <w:r w:rsidRPr="002B4E8B">
        <w:rPr>
          <w:i/>
        </w:rPr>
        <w:t xml:space="preserve">Process Evaluation of Avista’s 2014-2015 Energy Efficiency Programs, </w:t>
      </w:r>
      <w:r w:rsidRPr="002B4E8B">
        <w:t xml:space="preserve">prepared by Nexant, Inc. and Research Into Action, Inc. </w:t>
      </w:r>
      <w:r w:rsidR="00831C0C" w:rsidRPr="002B4E8B">
        <w:t xml:space="preserve">and submitted to Avista Utilities </w:t>
      </w:r>
      <w:r w:rsidR="00831C0C">
        <w:t>May 26, 2016</w:t>
      </w:r>
    </w:p>
    <w:p w14:paraId="776CB321" w14:textId="536830A3" w:rsidR="002B4E8B" w:rsidRDefault="002B4E8B" w:rsidP="00CF38BD">
      <w:pPr>
        <w:pStyle w:val="Mainbody-Bullets"/>
      </w:pPr>
      <w:r w:rsidRPr="002B4E8B">
        <w:rPr>
          <w:i/>
        </w:rPr>
        <w:t xml:space="preserve">Impact Evaluation of </w:t>
      </w:r>
      <w:r w:rsidR="00C32FB9">
        <w:rPr>
          <w:i/>
        </w:rPr>
        <w:t xml:space="preserve">Washington Electric </w:t>
      </w:r>
      <w:r w:rsidRPr="002B4E8B">
        <w:rPr>
          <w:i/>
        </w:rPr>
        <w:t xml:space="preserve">2014-2015 Energy Efficiency Programs, </w:t>
      </w:r>
      <w:r w:rsidRPr="00831C0C">
        <w:t>prepared by Nexant, Inc.</w:t>
      </w:r>
      <w:r w:rsidRPr="002B4E8B">
        <w:rPr>
          <w:i/>
        </w:rPr>
        <w:t xml:space="preserve"> </w:t>
      </w:r>
      <w:r w:rsidRPr="002B4E8B">
        <w:t xml:space="preserve">and submitted to Avista Utilities </w:t>
      </w:r>
      <w:r w:rsidR="00831C0C">
        <w:t>May 26, 2016</w:t>
      </w:r>
    </w:p>
    <w:p w14:paraId="33A1A82C" w14:textId="0D848698" w:rsidR="00831C0C" w:rsidRPr="00831C0C" w:rsidRDefault="00831C0C" w:rsidP="00E33CF7">
      <w:pPr>
        <w:pStyle w:val="Mainbody-BulletsOut"/>
      </w:pPr>
      <w:r w:rsidRPr="002B4E8B">
        <w:t xml:space="preserve">Impact Evaluation of </w:t>
      </w:r>
      <w:r>
        <w:t xml:space="preserve">Washington Natural Gas </w:t>
      </w:r>
      <w:r w:rsidRPr="002B4E8B">
        <w:t xml:space="preserve">2014-2015 Energy Efficiency Programs, </w:t>
      </w:r>
      <w:r w:rsidRPr="00831C0C">
        <w:t>prepared by Nexant, Inc.</w:t>
      </w:r>
      <w:r w:rsidRPr="002B4E8B">
        <w:t xml:space="preserve"> and submitted to Avista Utilities </w:t>
      </w:r>
      <w:r>
        <w:t>May 26, 2016</w:t>
      </w:r>
    </w:p>
    <w:p w14:paraId="2020E0EB" w14:textId="02B29B26" w:rsidR="002B4E8B" w:rsidRPr="002B4E8B" w:rsidRDefault="002B4E8B" w:rsidP="002B4E8B">
      <w:pPr>
        <w:tabs>
          <w:tab w:val="clear" w:pos="-1440"/>
          <w:tab w:val="clear" w:pos="-720"/>
        </w:tabs>
        <w:spacing w:line="288" w:lineRule="auto"/>
        <w:ind w:left="0"/>
        <w:rPr>
          <w:rFonts w:ascii="Arial" w:hAnsi="Arial" w:cs="Arial"/>
          <w:color w:val="333333"/>
          <w:szCs w:val="22"/>
        </w:rPr>
      </w:pPr>
      <w:r w:rsidRPr="002B4E8B">
        <w:rPr>
          <w:rFonts w:ascii="Arial" w:hAnsi="Arial" w:cs="Arial"/>
          <w:color w:val="333333"/>
          <w:szCs w:val="22"/>
        </w:rPr>
        <w:t xml:space="preserve">This supplemental report addresses two topics, both related to </w:t>
      </w:r>
      <w:r w:rsidR="00AC1C6A">
        <w:rPr>
          <w:rFonts w:ascii="Arial" w:hAnsi="Arial" w:cs="Arial"/>
          <w:color w:val="333333"/>
          <w:szCs w:val="22"/>
        </w:rPr>
        <w:t>statements</w:t>
      </w:r>
      <w:r w:rsidR="00AC1C6A" w:rsidRPr="002B4E8B">
        <w:rPr>
          <w:rFonts w:ascii="Arial" w:hAnsi="Arial" w:cs="Arial"/>
          <w:color w:val="333333"/>
          <w:szCs w:val="22"/>
        </w:rPr>
        <w:t xml:space="preserve"> </w:t>
      </w:r>
      <w:r w:rsidRPr="002B4E8B">
        <w:rPr>
          <w:rFonts w:ascii="Arial" w:hAnsi="Arial" w:cs="Arial"/>
          <w:color w:val="333333"/>
          <w:szCs w:val="22"/>
        </w:rPr>
        <w:t xml:space="preserve">made in the </w:t>
      </w:r>
      <w:r w:rsidRPr="002B4E8B">
        <w:rPr>
          <w:rFonts w:ascii="Arial" w:hAnsi="Arial" w:cs="Arial"/>
          <w:i/>
          <w:color w:val="333333"/>
          <w:szCs w:val="22"/>
        </w:rPr>
        <w:t>Avista 2012-2013 Process Evaluation Report</w:t>
      </w:r>
      <w:r w:rsidRPr="002B4E8B">
        <w:rPr>
          <w:rFonts w:ascii="Arial" w:hAnsi="Arial" w:cs="Arial"/>
          <w:color w:val="333333"/>
          <w:szCs w:val="22"/>
        </w:rPr>
        <w:t>.</w:t>
      </w:r>
      <w:r w:rsidRPr="002B4E8B">
        <w:rPr>
          <w:rFonts w:ascii="Arial" w:hAnsi="Arial" w:cs="Arial"/>
          <w:color w:val="333333"/>
          <w:szCs w:val="22"/>
          <w:vertAlign w:val="superscript"/>
        </w:rPr>
        <w:footnoteReference w:id="2"/>
      </w:r>
    </w:p>
    <w:p w14:paraId="28614873" w14:textId="3D8440B3" w:rsidR="002B4E8B" w:rsidRPr="002B4E8B" w:rsidRDefault="002B4E8B" w:rsidP="00CF38BD">
      <w:pPr>
        <w:pStyle w:val="Mainbody-Outline"/>
      </w:pPr>
      <w:r>
        <w:t xml:space="preserve">Assessment of the extent to which Avista’s </w:t>
      </w:r>
      <w:r w:rsidR="00AC1C6A">
        <w:t>organization</w:t>
      </w:r>
      <w:r w:rsidR="00AC1C6A" w:rsidRPr="002B4E8B">
        <w:t xml:space="preserve"> </w:t>
      </w:r>
      <w:r w:rsidRPr="002B4E8B">
        <w:t xml:space="preserve">of the DSM Group </w:t>
      </w:r>
      <w:r w:rsidR="00AC1C6A">
        <w:t>during the 2014-2015 biennium</w:t>
      </w:r>
      <w:r w:rsidRPr="002B4E8B">
        <w:t xml:space="preserve"> effectively addressed </w:t>
      </w:r>
      <w:r>
        <w:t xml:space="preserve">the </w:t>
      </w:r>
      <w:r w:rsidR="00080FB3">
        <w:t xml:space="preserve">statements in the </w:t>
      </w:r>
      <w:r w:rsidR="00080FB3" w:rsidRPr="00080FB3">
        <w:rPr>
          <w:i/>
        </w:rPr>
        <w:t>2012-2013 Process Evaluation Report</w:t>
      </w:r>
      <w:r w:rsidR="00080FB3">
        <w:t>.</w:t>
      </w:r>
    </w:p>
    <w:p w14:paraId="2785DF21" w14:textId="1244E9EE" w:rsidR="002B4E8B" w:rsidRDefault="002B4E8B" w:rsidP="00CF38BD">
      <w:pPr>
        <w:pStyle w:val="Mainbody-Outline"/>
      </w:pPr>
      <w:r>
        <w:t xml:space="preserve">Assessment of the extent to which </w:t>
      </w:r>
      <w:r w:rsidRPr="002B4E8B">
        <w:t>the Quality Assurance processes of the Site</w:t>
      </w:r>
      <w:r w:rsidR="00080FB3">
        <w:t xml:space="preserve"> </w:t>
      </w:r>
      <w:r w:rsidRPr="002B4E8B">
        <w:t xml:space="preserve">Specific program effectively addressed </w:t>
      </w:r>
      <w:r>
        <w:t>the recommendation.</w:t>
      </w:r>
    </w:p>
    <w:p w14:paraId="37253CA5" w14:textId="40CCF7A2" w:rsidR="002B4E8B" w:rsidRPr="002B4E8B" w:rsidRDefault="00F568B5" w:rsidP="002B4E8B">
      <w:pPr>
        <w:tabs>
          <w:tab w:val="clear" w:pos="-1440"/>
          <w:tab w:val="clear" w:pos="-720"/>
        </w:tabs>
        <w:spacing w:line="288" w:lineRule="auto"/>
        <w:ind w:left="0"/>
        <w:rPr>
          <w:rFonts w:ascii="Arial" w:hAnsi="Arial" w:cs="Arial"/>
          <w:color w:val="333333"/>
          <w:szCs w:val="22"/>
        </w:rPr>
      </w:pPr>
      <w:r>
        <w:rPr>
          <w:rFonts w:ascii="Arial" w:hAnsi="Arial" w:cs="Arial"/>
          <w:color w:val="333333"/>
          <w:szCs w:val="22"/>
        </w:rPr>
        <w:t xml:space="preserve">The </w:t>
      </w:r>
      <w:r w:rsidR="002B4E8B" w:rsidRPr="002B4E8B">
        <w:rPr>
          <w:rFonts w:ascii="Arial" w:hAnsi="Arial" w:cs="Arial"/>
          <w:color w:val="333333"/>
          <w:szCs w:val="22"/>
        </w:rPr>
        <w:t xml:space="preserve">Appendix </w:t>
      </w:r>
      <w:r w:rsidR="002B4E8B">
        <w:rPr>
          <w:rFonts w:ascii="Arial" w:hAnsi="Arial" w:cs="Arial"/>
          <w:color w:val="333333"/>
          <w:szCs w:val="22"/>
        </w:rPr>
        <w:t xml:space="preserve">provides the </w:t>
      </w:r>
      <w:r w:rsidR="00DE584D">
        <w:rPr>
          <w:rFonts w:ascii="Arial" w:hAnsi="Arial" w:cs="Arial"/>
          <w:color w:val="333333"/>
          <w:szCs w:val="22"/>
        </w:rPr>
        <w:t xml:space="preserve">statements </w:t>
      </w:r>
      <w:r w:rsidR="00080FB3">
        <w:rPr>
          <w:rFonts w:ascii="Arial" w:hAnsi="Arial" w:cs="Arial"/>
          <w:color w:val="333333"/>
          <w:szCs w:val="22"/>
        </w:rPr>
        <w:t xml:space="preserve">from the </w:t>
      </w:r>
      <w:r w:rsidR="00080FB3" w:rsidRPr="00080FB3">
        <w:rPr>
          <w:rFonts w:ascii="Arial" w:hAnsi="Arial" w:cs="Arial"/>
          <w:i/>
          <w:color w:val="333333"/>
          <w:szCs w:val="22"/>
        </w:rPr>
        <w:t>2012-2013 Process Evaluation Report</w:t>
      </w:r>
      <w:r w:rsidR="00080FB3">
        <w:rPr>
          <w:rFonts w:ascii="Arial" w:hAnsi="Arial" w:cs="Arial"/>
          <w:color w:val="333333"/>
          <w:szCs w:val="22"/>
        </w:rPr>
        <w:t xml:space="preserve"> </w:t>
      </w:r>
      <w:r w:rsidR="002B4E8B">
        <w:rPr>
          <w:rFonts w:ascii="Arial" w:hAnsi="Arial" w:cs="Arial"/>
          <w:color w:val="333333"/>
          <w:szCs w:val="22"/>
        </w:rPr>
        <w:t>in their entirety.</w:t>
      </w:r>
    </w:p>
    <w:p w14:paraId="2856A8E4" w14:textId="02A06D17" w:rsidR="00342BEE" w:rsidRDefault="002B4E8B" w:rsidP="000E006D">
      <w:pPr>
        <w:tabs>
          <w:tab w:val="clear" w:pos="-1440"/>
          <w:tab w:val="clear" w:pos="-720"/>
        </w:tabs>
        <w:spacing w:line="288" w:lineRule="auto"/>
        <w:ind w:left="0"/>
        <w:rPr>
          <w:rFonts w:ascii="Arial" w:hAnsi="Arial" w:cs="Arial"/>
          <w:color w:val="333333"/>
          <w:szCs w:val="22"/>
        </w:rPr>
      </w:pPr>
      <w:r w:rsidRPr="002B4E8B">
        <w:rPr>
          <w:rFonts w:ascii="Arial" w:hAnsi="Arial" w:cs="Arial"/>
          <w:color w:val="333333"/>
          <w:szCs w:val="22"/>
        </w:rPr>
        <w:t xml:space="preserve">The next section of this report provides an overview of the methods and data used to address the two key topics. Section </w:t>
      </w:r>
      <w:r w:rsidR="00EA4C14">
        <w:rPr>
          <w:rFonts w:ascii="Arial" w:hAnsi="Arial" w:cs="Arial"/>
          <w:color w:val="333333"/>
          <w:szCs w:val="22"/>
        </w:rPr>
        <w:fldChar w:fldCharType="begin"/>
      </w:r>
      <w:r w:rsidR="00EA4C14">
        <w:rPr>
          <w:rFonts w:ascii="Arial" w:hAnsi="Arial" w:cs="Arial"/>
          <w:color w:val="333333"/>
          <w:szCs w:val="22"/>
        </w:rPr>
        <w:instrText xml:space="preserve"> REF _Ref459380808 \r \h </w:instrText>
      </w:r>
      <w:r w:rsidR="00EA4C14">
        <w:rPr>
          <w:rFonts w:ascii="Arial" w:hAnsi="Arial" w:cs="Arial"/>
          <w:color w:val="333333"/>
          <w:szCs w:val="22"/>
        </w:rPr>
      </w:r>
      <w:r w:rsidR="00EA4C14">
        <w:rPr>
          <w:rFonts w:ascii="Arial" w:hAnsi="Arial" w:cs="Arial"/>
          <w:color w:val="333333"/>
          <w:szCs w:val="22"/>
        </w:rPr>
        <w:fldChar w:fldCharType="separate"/>
      </w:r>
      <w:r w:rsidR="00EA4C14">
        <w:rPr>
          <w:rFonts w:ascii="Arial" w:hAnsi="Arial" w:cs="Arial"/>
          <w:color w:val="333333"/>
          <w:szCs w:val="22"/>
        </w:rPr>
        <w:t>3</w:t>
      </w:r>
      <w:r w:rsidR="00EA4C14">
        <w:rPr>
          <w:rFonts w:ascii="Arial" w:hAnsi="Arial" w:cs="Arial"/>
          <w:color w:val="333333"/>
          <w:szCs w:val="22"/>
        </w:rPr>
        <w:fldChar w:fldCharType="end"/>
      </w:r>
      <w:r w:rsidR="00EA4C14">
        <w:rPr>
          <w:rFonts w:ascii="Arial" w:hAnsi="Arial" w:cs="Arial"/>
          <w:color w:val="333333"/>
          <w:szCs w:val="22"/>
        </w:rPr>
        <w:t xml:space="preserve"> </w:t>
      </w:r>
      <w:r w:rsidRPr="002B4E8B">
        <w:rPr>
          <w:rFonts w:ascii="Arial" w:hAnsi="Arial" w:cs="Arial"/>
          <w:color w:val="333333"/>
          <w:szCs w:val="22"/>
        </w:rPr>
        <w:t xml:space="preserve">provides the detailed results of this analysis by topic and </w:t>
      </w:r>
      <w:r w:rsidR="00EA4C14">
        <w:rPr>
          <w:rFonts w:ascii="Arial" w:hAnsi="Arial" w:cs="Arial"/>
          <w:color w:val="333333"/>
          <w:szCs w:val="22"/>
        </w:rPr>
        <w:t>S</w:t>
      </w:r>
      <w:r w:rsidRPr="002B4E8B">
        <w:rPr>
          <w:rFonts w:ascii="Arial" w:hAnsi="Arial" w:cs="Arial"/>
          <w:color w:val="333333"/>
          <w:szCs w:val="22"/>
        </w:rPr>
        <w:t xml:space="preserve">ection </w:t>
      </w:r>
      <w:r w:rsidR="00EA4C14">
        <w:rPr>
          <w:rFonts w:ascii="Arial" w:hAnsi="Arial" w:cs="Arial"/>
          <w:color w:val="333333"/>
          <w:szCs w:val="22"/>
        </w:rPr>
        <w:fldChar w:fldCharType="begin"/>
      </w:r>
      <w:r w:rsidR="00EA4C14">
        <w:rPr>
          <w:rFonts w:ascii="Arial" w:hAnsi="Arial" w:cs="Arial"/>
          <w:color w:val="333333"/>
          <w:szCs w:val="22"/>
        </w:rPr>
        <w:instrText xml:space="preserve"> REF _Ref459381009 \n \h </w:instrText>
      </w:r>
      <w:r w:rsidR="00EA4C14">
        <w:rPr>
          <w:rFonts w:ascii="Arial" w:hAnsi="Arial" w:cs="Arial"/>
          <w:color w:val="333333"/>
          <w:szCs w:val="22"/>
        </w:rPr>
      </w:r>
      <w:r w:rsidR="00EA4C14">
        <w:rPr>
          <w:rFonts w:ascii="Arial" w:hAnsi="Arial" w:cs="Arial"/>
          <w:color w:val="333333"/>
          <w:szCs w:val="22"/>
        </w:rPr>
        <w:fldChar w:fldCharType="separate"/>
      </w:r>
      <w:r w:rsidR="00EA4C14">
        <w:rPr>
          <w:rFonts w:ascii="Arial" w:hAnsi="Arial" w:cs="Arial"/>
          <w:color w:val="333333"/>
          <w:szCs w:val="22"/>
        </w:rPr>
        <w:t>4</w:t>
      </w:r>
      <w:r w:rsidR="00EA4C14">
        <w:rPr>
          <w:rFonts w:ascii="Arial" w:hAnsi="Arial" w:cs="Arial"/>
          <w:color w:val="333333"/>
          <w:szCs w:val="22"/>
        </w:rPr>
        <w:fldChar w:fldCharType="end"/>
      </w:r>
      <w:r w:rsidRPr="002B4E8B">
        <w:rPr>
          <w:rFonts w:ascii="Arial" w:hAnsi="Arial" w:cs="Arial"/>
          <w:color w:val="333333"/>
          <w:szCs w:val="22"/>
        </w:rPr>
        <w:t xml:space="preserve"> concludes the report with a brief summary of the results.</w:t>
      </w:r>
    </w:p>
    <w:p w14:paraId="67D69C9E" w14:textId="77777777" w:rsidR="00E33CF7" w:rsidRDefault="00E33CF7" w:rsidP="000E006D">
      <w:pPr>
        <w:tabs>
          <w:tab w:val="clear" w:pos="-1440"/>
          <w:tab w:val="clear" w:pos="-720"/>
        </w:tabs>
        <w:spacing w:line="288" w:lineRule="auto"/>
        <w:ind w:left="0"/>
        <w:rPr>
          <w:rFonts w:ascii="Arial" w:hAnsi="Arial" w:cs="Arial"/>
          <w:color w:val="333333"/>
          <w:szCs w:val="22"/>
        </w:rPr>
      </w:pPr>
    </w:p>
    <w:p w14:paraId="2F43436C" w14:textId="77777777" w:rsidR="00E33CF7" w:rsidRDefault="00E33CF7" w:rsidP="000E006D">
      <w:pPr>
        <w:tabs>
          <w:tab w:val="clear" w:pos="-1440"/>
          <w:tab w:val="clear" w:pos="-720"/>
        </w:tabs>
        <w:spacing w:line="288" w:lineRule="auto"/>
        <w:ind w:left="0"/>
        <w:rPr>
          <w:rFonts w:ascii="Arial" w:hAnsi="Arial" w:cs="Arial"/>
          <w:color w:val="333333"/>
          <w:szCs w:val="22"/>
        </w:rPr>
        <w:sectPr w:rsidR="00E33CF7" w:rsidSect="00E33CF7">
          <w:headerReference w:type="first" r:id="rId17"/>
          <w:footerReference w:type="first" r:id="rId18"/>
          <w:endnotePr>
            <w:numFmt w:val="decimal"/>
          </w:endnotePr>
          <w:pgSz w:w="12240" w:h="15840" w:code="1"/>
          <w:pgMar w:top="1440" w:right="1440" w:bottom="720" w:left="1440" w:header="720" w:footer="720" w:gutter="0"/>
          <w:pgNumType w:start="1"/>
          <w:cols w:space="360"/>
          <w:titlePg/>
          <w:docGrid w:linePitch="299"/>
        </w:sectPr>
      </w:pPr>
    </w:p>
    <w:p w14:paraId="2D53961C" w14:textId="3C333207" w:rsidR="00A658FD" w:rsidRDefault="00D300DA" w:rsidP="00F23057">
      <w:pPr>
        <w:pStyle w:val="Heading1"/>
        <w:tabs>
          <w:tab w:val="clear" w:pos="1440"/>
          <w:tab w:val="num" w:pos="720"/>
          <w:tab w:val="num" w:pos="1620"/>
        </w:tabs>
        <w:spacing w:after="240"/>
        <w:ind w:left="720" w:hanging="720"/>
      </w:pPr>
      <w:bookmarkStart w:id="15" w:name="_Toc459380012"/>
      <w:bookmarkStart w:id="16" w:name="_Toc459380136"/>
      <w:bookmarkStart w:id="17" w:name="_Ref459380860"/>
      <w:r>
        <w:t xml:space="preserve">Evaluation </w:t>
      </w:r>
      <w:r w:rsidR="00633DAF">
        <w:t>Methods</w:t>
      </w:r>
      <w:bookmarkEnd w:id="15"/>
      <w:bookmarkEnd w:id="16"/>
      <w:bookmarkEnd w:id="17"/>
    </w:p>
    <w:p w14:paraId="3FF60863" w14:textId="25B9DCA4" w:rsidR="001A0254" w:rsidRDefault="00342BEE" w:rsidP="00342BEE">
      <w:pPr>
        <w:pStyle w:val="Text"/>
      </w:pPr>
      <w:r>
        <w:t xml:space="preserve">The </w:t>
      </w:r>
      <w:r w:rsidR="00DE584D">
        <w:t xml:space="preserve">evaluation </w:t>
      </w:r>
      <w:r>
        <w:t xml:space="preserve">team conducted a comprehensive evaluation of Avista’s 2014-2015 DSM portfolio that comprised numerous types of data collection and analysis. These comprehensive methods are fully documented in the </w:t>
      </w:r>
      <w:r w:rsidR="00AC4966">
        <w:t xml:space="preserve">authored </w:t>
      </w:r>
      <w:r>
        <w:t xml:space="preserve">process and impact evaluation reports. This section describes the </w:t>
      </w:r>
      <w:r w:rsidR="001A0254">
        <w:t xml:space="preserve">three pertinent </w:t>
      </w:r>
      <w:r>
        <w:t xml:space="preserve">methods we </w:t>
      </w:r>
      <w:r w:rsidR="001A0254">
        <w:t xml:space="preserve">utilized in </w:t>
      </w:r>
      <w:r>
        <w:t>the results presented in this supplemental report</w:t>
      </w:r>
      <w:r w:rsidR="001A0254">
        <w:t>:</w:t>
      </w:r>
    </w:p>
    <w:p w14:paraId="08EDA2B4" w14:textId="019486BB" w:rsidR="001A0254" w:rsidRDefault="001A0254" w:rsidP="001A0254">
      <w:pPr>
        <w:pStyle w:val="Mainbody-Bullets"/>
      </w:pPr>
      <w:r>
        <w:t>Interviews with DSM Group Staff M</w:t>
      </w:r>
      <w:r w:rsidR="00AC4966">
        <w:t>em</w:t>
      </w:r>
      <w:r>
        <w:t>bers</w:t>
      </w:r>
    </w:p>
    <w:p w14:paraId="7A1F94BE" w14:textId="77777777" w:rsidR="001A0254" w:rsidRDefault="001A0254" w:rsidP="001A0254">
      <w:pPr>
        <w:pStyle w:val="Mainbody-Bullets"/>
      </w:pPr>
      <w:r>
        <w:t>Document Review</w:t>
      </w:r>
    </w:p>
    <w:p w14:paraId="7C391E2B" w14:textId="3A016084" w:rsidR="00342BEE" w:rsidRPr="00342BEE" w:rsidRDefault="001A0254" w:rsidP="00E33CF7">
      <w:pPr>
        <w:pStyle w:val="Mainbody-BulletsOut"/>
      </w:pPr>
      <w:r>
        <w:t>Onsite Verification</w:t>
      </w:r>
    </w:p>
    <w:p w14:paraId="50B57EFB" w14:textId="2C806BEC" w:rsidR="00342BEE" w:rsidRPr="00342BEE" w:rsidRDefault="00342BEE" w:rsidP="00342BEE">
      <w:pPr>
        <w:keepNext/>
        <w:numPr>
          <w:ilvl w:val="1"/>
          <w:numId w:val="2"/>
        </w:numPr>
        <w:tabs>
          <w:tab w:val="clear" w:pos="-1440"/>
          <w:tab w:val="clear" w:pos="-720"/>
        </w:tabs>
        <w:spacing w:after="0" w:line="288" w:lineRule="auto"/>
        <w:ind w:left="720" w:hanging="720"/>
        <w:outlineLvl w:val="1"/>
        <w:rPr>
          <w:rFonts w:ascii="Arial" w:eastAsia="Calibri" w:hAnsi="Arial" w:cs="Microsoft Sans Serif"/>
          <w:b/>
          <w:color w:val="77BC1F"/>
          <w:spacing w:val="-8"/>
          <w:sz w:val="36"/>
        </w:rPr>
      </w:pPr>
      <w:bookmarkStart w:id="18" w:name="_Toc459380013"/>
      <w:bookmarkStart w:id="19" w:name="_Toc459380137"/>
      <w:r w:rsidRPr="00342BEE">
        <w:rPr>
          <w:rFonts w:ascii="Arial" w:eastAsia="Calibri" w:hAnsi="Arial" w:cs="Microsoft Sans Serif"/>
          <w:b/>
          <w:color w:val="77BC1F"/>
          <w:spacing w:val="-8"/>
          <w:sz w:val="36"/>
        </w:rPr>
        <w:t>Interviews with DSM Group Staff Members</w:t>
      </w:r>
      <w:bookmarkEnd w:id="18"/>
      <w:bookmarkEnd w:id="19"/>
    </w:p>
    <w:p w14:paraId="5DD53993" w14:textId="21CF9C55" w:rsidR="00342BEE" w:rsidRPr="00342BEE" w:rsidRDefault="00342BEE" w:rsidP="00EA4C14">
      <w:pPr>
        <w:pStyle w:val="Text"/>
        <w:rPr>
          <w:rFonts w:eastAsia="Calibri"/>
        </w:rPr>
      </w:pPr>
      <w:r>
        <w:rPr>
          <w:rFonts w:eastAsia="Calibri"/>
        </w:rPr>
        <w:t>T</w:t>
      </w:r>
      <w:r w:rsidRPr="00342BEE">
        <w:rPr>
          <w:rFonts w:eastAsia="Calibri"/>
        </w:rPr>
        <w:t>he</w:t>
      </w:r>
      <w:r w:rsidR="009842E3">
        <w:rPr>
          <w:rFonts w:eastAsia="Calibri"/>
        </w:rPr>
        <w:t xml:space="preserve"> evaluation</w:t>
      </w:r>
      <w:r w:rsidRPr="00342BEE">
        <w:rPr>
          <w:rFonts w:eastAsia="Calibri"/>
        </w:rPr>
        <w:t xml:space="preserve"> team conducted interviews with Avista staff at the outset of the evaluation in February 2015 and </w:t>
      </w:r>
      <w:r w:rsidR="001A0254">
        <w:rPr>
          <w:rFonts w:eastAsia="Calibri"/>
        </w:rPr>
        <w:t xml:space="preserve">repeated </w:t>
      </w:r>
      <w:r w:rsidRPr="00342BEE">
        <w:rPr>
          <w:rFonts w:eastAsia="Calibri"/>
        </w:rPr>
        <w:t xml:space="preserve">again in late 2015. </w:t>
      </w:r>
      <w:r w:rsidR="003A35DE">
        <w:rPr>
          <w:rFonts w:eastAsia="Calibri"/>
        </w:rPr>
        <w:t xml:space="preserve">We conducted the </w:t>
      </w:r>
      <w:r w:rsidRPr="00342BEE">
        <w:rPr>
          <w:rFonts w:eastAsia="Calibri"/>
        </w:rPr>
        <w:t>February 2015 interviews on-site at Avista</w:t>
      </w:r>
      <w:r w:rsidR="001A0254">
        <w:rPr>
          <w:rFonts w:eastAsia="Calibri"/>
        </w:rPr>
        <w:t>’s facilities</w:t>
      </w:r>
      <w:r w:rsidR="003A35DE">
        <w:rPr>
          <w:rFonts w:eastAsia="Calibri"/>
        </w:rPr>
        <w:t xml:space="preserve">. In </w:t>
      </w:r>
      <w:r w:rsidRPr="00342BEE">
        <w:rPr>
          <w:rFonts w:eastAsia="Calibri"/>
        </w:rPr>
        <w:t>late 2015</w:t>
      </w:r>
      <w:r w:rsidR="003A35DE">
        <w:rPr>
          <w:rFonts w:eastAsia="Calibri"/>
        </w:rPr>
        <w:t xml:space="preserve">, </w:t>
      </w:r>
      <w:r w:rsidR="0083675F">
        <w:rPr>
          <w:rFonts w:eastAsia="Calibri"/>
        </w:rPr>
        <w:t>the evaluation team</w:t>
      </w:r>
      <w:r w:rsidR="003A35DE">
        <w:rPr>
          <w:rFonts w:eastAsia="Calibri"/>
        </w:rPr>
        <w:t xml:space="preserve"> conducted </w:t>
      </w:r>
      <w:r w:rsidRPr="00342BEE">
        <w:rPr>
          <w:rFonts w:eastAsia="Calibri"/>
        </w:rPr>
        <w:t>one-on-one phone interviews with program managers</w:t>
      </w:r>
      <w:r w:rsidR="003A35DE">
        <w:rPr>
          <w:rFonts w:eastAsia="Calibri"/>
        </w:rPr>
        <w:t xml:space="preserve">, similar interviews with </w:t>
      </w:r>
      <w:r w:rsidRPr="00342BEE">
        <w:rPr>
          <w:rFonts w:eastAsia="Calibri"/>
        </w:rPr>
        <w:t>the DSM Analytical Manager and the Utility Resource Analyst</w:t>
      </w:r>
      <w:r w:rsidR="003A35DE">
        <w:rPr>
          <w:rFonts w:eastAsia="Calibri"/>
        </w:rPr>
        <w:t xml:space="preserve">, and a small group interview with </w:t>
      </w:r>
      <w:r w:rsidR="003A35DE" w:rsidRPr="00342BEE">
        <w:rPr>
          <w:rFonts w:eastAsia="Calibri"/>
        </w:rPr>
        <w:t>key marketing staff</w:t>
      </w:r>
      <w:r w:rsidRPr="00342BEE">
        <w:rPr>
          <w:rFonts w:eastAsia="Calibri"/>
        </w:rPr>
        <w:t xml:space="preserve">. </w:t>
      </w:r>
      <w:r w:rsidRPr="00342BEE">
        <w:rPr>
          <w:rFonts w:eastAsia="Calibri"/>
        </w:rPr>
        <w:fldChar w:fldCharType="begin"/>
      </w:r>
      <w:r w:rsidRPr="00342BEE">
        <w:rPr>
          <w:rFonts w:eastAsia="Calibri"/>
        </w:rPr>
        <w:instrText xml:space="preserve"> REF _Ref459129499 \h </w:instrText>
      </w:r>
      <w:r w:rsidR="00EA4C14">
        <w:rPr>
          <w:rFonts w:eastAsia="Calibri"/>
        </w:rPr>
        <w:instrText xml:space="preserve"> \* MERGEFORMAT </w:instrText>
      </w:r>
      <w:r w:rsidRPr="00342BEE">
        <w:rPr>
          <w:rFonts w:eastAsia="Calibri"/>
        </w:rPr>
      </w:r>
      <w:r w:rsidRPr="00342BEE">
        <w:rPr>
          <w:rFonts w:eastAsia="Calibri"/>
        </w:rPr>
        <w:fldChar w:fldCharType="separate"/>
      </w:r>
      <w:r w:rsidR="00EA4C14" w:rsidRPr="00342BEE">
        <w:t xml:space="preserve">Table </w:t>
      </w:r>
      <w:r w:rsidR="00EA4C14">
        <w:rPr>
          <w:noProof/>
        </w:rPr>
        <w:t>2</w:t>
      </w:r>
      <w:r w:rsidR="00EA4C14" w:rsidRPr="00342BEE">
        <w:rPr>
          <w:noProof/>
        </w:rPr>
        <w:noBreakHyphen/>
      </w:r>
      <w:r w:rsidR="00EA4C14">
        <w:rPr>
          <w:noProof/>
        </w:rPr>
        <w:t>1</w:t>
      </w:r>
      <w:r w:rsidRPr="00342BEE">
        <w:rPr>
          <w:rFonts w:eastAsia="Calibri"/>
        </w:rPr>
        <w:fldChar w:fldCharType="end"/>
      </w:r>
      <w:r w:rsidRPr="00342BEE">
        <w:rPr>
          <w:rFonts w:eastAsia="Calibri"/>
        </w:rPr>
        <w:t xml:space="preserve"> provides an overview of the topics covered, the dates, the duration, and a count of the </w:t>
      </w:r>
      <w:r w:rsidR="0023536F">
        <w:rPr>
          <w:rFonts w:eastAsia="Calibri"/>
        </w:rPr>
        <w:t xml:space="preserve">interviews with staff in the given </w:t>
      </w:r>
      <w:r w:rsidRPr="00342BEE">
        <w:rPr>
          <w:rFonts w:eastAsia="Calibri"/>
        </w:rPr>
        <w:t>role</w:t>
      </w:r>
      <w:r w:rsidR="0023536F">
        <w:rPr>
          <w:rFonts w:eastAsia="Calibri"/>
        </w:rPr>
        <w:t xml:space="preserve"> (such as program manager). </w:t>
      </w:r>
    </w:p>
    <w:p w14:paraId="580EA6CD" w14:textId="77777777" w:rsidR="00342BEE" w:rsidRPr="00342BEE" w:rsidRDefault="00342BEE" w:rsidP="00342BEE">
      <w:pPr>
        <w:tabs>
          <w:tab w:val="clear" w:pos="-1440"/>
          <w:tab w:val="clear" w:pos="-720"/>
        </w:tabs>
        <w:spacing w:after="0" w:line="240" w:lineRule="auto"/>
        <w:ind w:left="0"/>
        <w:rPr>
          <w:rFonts w:ascii="Arial" w:eastAsia="Calibri" w:hAnsi="Arial" w:cs="Arial"/>
          <w:color w:val="333333"/>
          <w:szCs w:val="22"/>
        </w:rPr>
      </w:pPr>
      <w:r w:rsidRPr="00342BEE">
        <w:rPr>
          <w:rFonts w:eastAsia="Calibri"/>
        </w:rPr>
        <w:br w:type="page"/>
      </w:r>
    </w:p>
    <w:p w14:paraId="4521DD9D" w14:textId="1F62FFD7" w:rsidR="00342BEE" w:rsidRPr="00342BEE" w:rsidRDefault="00342BEE" w:rsidP="00E33CF7">
      <w:pPr>
        <w:pStyle w:val="Mainbody-Captiontable"/>
        <w:rPr>
          <w:rFonts w:eastAsia="Calibri"/>
        </w:rPr>
      </w:pPr>
      <w:bookmarkStart w:id="20" w:name="_Ref459129499"/>
      <w:bookmarkStart w:id="21" w:name="_Toc459380028"/>
      <w:r w:rsidRPr="00342BEE">
        <w:t xml:space="preserve">Table </w:t>
      </w:r>
      <w:fldSimple w:instr=" STYLEREF 1 \s ">
        <w:r w:rsidR="00EA4C14">
          <w:rPr>
            <w:noProof/>
          </w:rPr>
          <w:t>2</w:t>
        </w:r>
      </w:fldSimple>
      <w:r w:rsidRPr="00342BEE">
        <w:noBreakHyphen/>
      </w:r>
      <w:fldSimple w:instr=" SEQ Table \* ARABIC \s 1 ">
        <w:r w:rsidR="00EA4C14">
          <w:rPr>
            <w:noProof/>
          </w:rPr>
          <w:t>1</w:t>
        </w:r>
      </w:fldSimple>
      <w:bookmarkEnd w:id="20"/>
      <w:r w:rsidRPr="00342BEE">
        <w:t xml:space="preserve">: Interviews Conducted </w:t>
      </w:r>
      <w:r w:rsidR="003A35DE">
        <w:t>a</w:t>
      </w:r>
      <w:r w:rsidRPr="00342BEE">
        <w:t>s Part of 2014-2015 Evaluation</w:t>
      </w:r>
      <w:bookmarkEnd w:id="21"/>
    </w:p>
    <w:tbl>
      <w:tblPr>
        <w:tblW w:w="10062" w:type="dxa"/>
        <w:tblBorders>
          <w:bottom w:val="single" w:sz="4" w:space="0" w:color="0070CD"/>
          <w:insideH w:val="single" w:sz="4" w:space="0" w:color="0070CD"/>
          <w:insideV w:val="dotted" w:sz="4" w:space="0" w:color="0070CD"/>
        </w:tblBorders>
        <w:tblLayout w:type="fixed"/>
        <w:tblLook w:val="04A0" w:firstRow="1" w:lastRow="0" w:firstColumn="1" w:lastColumn="0" w:noHBand="0" w:noVBand="1"/>
      </w:tblPr>
      <w:tblGrid>
        <w:gridCol w:w="2790"/>
        <w:gridCol w:w="990"/>
        <w:gridCol w:w="1080"/>
        <w:gridCol w:w="486"/>
        <w:gridCol w:w="486"/>
        <w:gridCol w:w="486"/>
        <w:gridCol w:w="486"/>
        <w:gridCol w:w="486"/>
        <w:gridCol w:w="486"/>
        <w:gridCol w:w="486"/>
        <w:gridCol w:w="450"/>
        <w:gridCol w:w="450"/>
        <w:gridCol w:w="450"/>
        <w:gridCol w:w="450"/>
      </w:tblGrid>
      <w:tr w:rsidR="00342BEE" w:rsidRPr="00342BEE" w14:paraId="6D07EAA5" w14:textId="77777777" w:rsidTr="00342BEE">
        <w:trPr>
          <w:cantSplit/>
          <w:trHeight w:val="278"/>
        </w:trPr>
        <w:tc>
          <w:tcPr>
            <w:tcW w:w="2790" w:type="dxa"/>
            <w:vMerge w:val="restart"/>
            <w:tcBorders>
              <w:top w:val="dotted" w:sz="4" w:space="0" w:color="0070CD"/>
              <w:left w:val="dotted" w:sz="4" w:space="0" w:color="0070CD"/>
            </w:tcBorders>
            <w:shd w:val="clear" w:color="auto" w:fill="0070CD"/>
            <w:noWrap/>
            <w:vAlign w:val="center"/>
          </w:tcPr>
          <w:p w14:paraId="3F3FB364" w14:textId="77777777" w:rsidR="00342BEE" w:rsidRPr="00342BEE" w:rsidRDefault="00342BEE" w:rsidP="00342BEE">
            <w:pPr>
              <w:keepNext/>
              <w:spacing w:after="0" w:line="240" w:lineRule="auto"/>
              <w:ind w:left="0"/>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Topic</w:t>
            </w:r>
          </w:p>
        </w:tc>
        <w:tc>
          <w:tcPr>
            <w:tcW w:w="990" w:type="dxa"/>
            <w:vMerge w:val="restart"/>
            <w:tcBorders>
              <w:top w:val="dotted" w:sz="4" w:space="0" w:color="0070CD"/>
            </w:tcBorders>
            <w:shd w:val="clear" w:color="auto" w:fill="0070CD"/>
            <w:noWrap/>
            <w:vAlign w:val="center"/>
          </w:tcPr>
          <w:p w14:paraId="09D1D7A0" w14:textId="77777777" w:rsidR="00342BEE" w:rsidRPr="00342BEE" w:rsidRDefault="00342BEE" w:rsidP="00342BEE">
            <w:pPr>
              <w:keepNext/>
              <w:spacing w:after="0" w:line="240" w:lineRule="auto"/>
              <w:ind w:left="0"/>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Date</w:t>
            </w:r>
          </w:p>
        </w:tc>
        <w:tc>
          <w:tcPr>
            <w:tcW w:w="1080" w:type="dxa"/>
            <w:vMerge w:val="restart"/>
            <w:tcBorders>
              <w:top w:val="dotted" w:sz="4" w:space="0" w:color="0070CD"/>
            </w:tcBorders>
            <w:shd w:val="clear" w:color="auto" w:fill="0070CD"/>
            <w:noWrap/>
            <w:vAlign w:val="center"/>
          </w:tcPr>
          <w:p w14:paraId="5249D5DD" w14:textId="77777777" w:rsidR="00342BEE" w:rsidRPr="00342BEE" w:rsidRDefault="00342BEE" w:rsidP="00342BEE">
            <w:pPr>
              <w:keepNext/>
              <w:spacing w:after="0" w:line="240" w:lineRule="auto"/>
              <w:ind w:left="0"/>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Duration</w:t>
            </w:r>
          </w:p>
        </w:tc>
        <w:tc>
          <w:tcPr>
            <w:tcW w:w="4752" w:type="dxa"/>
            <w:gridSpan w:val="10"/>
            <w:tcBorders>
              <w:top w:val="dotted" w:sz="4" w:space="0" w:color="0070CD"/>
              <w:bottom w:val="nil"/>
              <w:right w:val="dotted" w:sz="4" w:space="0" w:color="0070CD"/>
            </w:tcBorders>
            <w:shd w:val="clear" w:color="auto" w:fill="0070CD"/>
          </w:tcPr>
          <w:p w14:paraId="759E56B9" w14:textId="40CEF496" w:rsidR="00342BEE" w:rsidRPr="00342BEE" w:rsidRDefault="00342BEE" w:rsidP="000117BE">
            <w:pPr>
              <w:keepNext/>
              <w:tabs>
                <w:tab w:val="clear" w:pos="-1440"/>
                <w:tab w:val="clear" w:pos="-720"/>
              </w:tabs>
              <w:spacing w:after="0" w:line="240" w:lineRule="auto"/>
              <w:ind w:left="0"/>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Roles of Respondents</w:t>
            </w:r>
            <w:r w:rsidR="00984FAC">
              <w:rPr>
                <w:rFonts w:ascii="Arial" w:hAnsi="Arial" w:cs="Arial"/>
                <w:b/>
                <w:bCs/>
                <w:color w:val="FFFFFF" w:themeColor="background1"/>
                <w:sz w:val="18"/>
                <w:szCs w:val="18"/>
              </w:rPr>
              <w:t xml:space="preserve"> </w:t>
            </w:r>
          </w:p>
        </w:tc>
        <w:tc>
          <w:tcPr>
            <w:tcW w:w="450" w:type="dxa"/>
            <w:vMerge w:val="restart"/>
            <w:tcBorders>
              <w:top w:val="dotted" w:sz="4" w:space="0" w:color="0070CD"/>
              <w:right w:val="dotted" w:sz="4" w:space="0" w:color="0070CD"/>
            </w:tcBorders>
            <w:shd w:val="clear" w:color="auto" w:fill="0070CD"/>
            <w:textDirection w:val="btLr"/>
          </w:tcPr>
          <w:p w14:paraId="5671F66F" w14:textId="083A2C62" w:rsidR="00342BEE" w:rsidRPr="00342BEE" w:rsidRDefault="00342BEE" w:rsidP="00342BEE">
            <w:pPr>
              <w:keepNext/>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TOTAL</w:t>
            </w:r>
            <w:r w:rsidR="000117BE">
              <w:rPr>
                <w:rFonts w:ascii="Arial" w:hAnsi="Arial" w:cs="Arial"/>
                <w:b/>
                <w:bCs/>
                <w:color w:val="FFFFFF" w:themeColor="background1"/>
                <w:sz w:val="18"/>
                <w:szCs w:val="18"/>
              </w:rPr>
              <w:t xml:space="preserve"> (n=22)</w:t>
            </w:r>
          </w:p>
        </w:tc>
      </w:tr>
      <w:tr w:rsidR="00342BEE" w:rsidRPr="00342BEE" w14:paraId="369B85F5" w14:textId="77777777" w:rsidTr="00CC58EE">
        <w:trPr>
          <w:cantSplit/>
          <w:trHeight w:val="2942"/>
        </w:trPr>
        <w:tc>
          <w:tcPr>
            <w:tcW w:w="2790" w:type="dxa"/>
            <w:vMerge/>
            <w:tcBorders>
              <w:left w:val="dotted" w:sz="4" w:space="0" w:color="0070CD"/>
              <w:bottom w:val="nil"/>
            </w:tcBorders>
            <w:shd w:val="clear" w:color="auto" w:fill="0070CD"/>
            <w:noWrap/>
            <w:vAlign w:val="bottom"/>
            <w:hideMark/>
          </w:tcPr>
          <w:p w14:paraId="63C1B27A" w14:textId="77777777" w:rsidR="00342BEE" w:rsidRPr="00342BEE" w:rsidRDefault="00342BEE" w:rsidP="00342BEE">
            <w:pPr>
              <w:keepNext/>
              <w:tabs>
                <w:tab w:val="clear" w:pos="-1440"/>
                <w:tab w:val="clear" w:pos="-720"/>
              </w:tabs>
              <w:spacing w:after="0" w:line="240" w:lineRule="auto"/>
              <w:ind w:left="0"/>
              <w:jc w:val="center"/>
              <w:rPr>
                <w:rFonts w:ascii="Arial" w:hAnsi="Arial" w:cs="Arial"/>
                <w:b/>
                <w:bCs/>
                <w:color w:val="FFFFFF" w:themeColor="background1"/>
                <w:sz w:val="18"/>
                <w:szCs w:val="18"/>
              </w:rPr>
            </w:pPr>
          </w:p>
        </w:tc>
        <w:tc>
          <w:tcPr>
            <w:tcW w:w="990" w:type="dxa"/>
            <w:vMerge/>
            <w:tcBorders>
              <w:bottom w:val="nil"/>
            </w:tcBorders>
            <w:shd w:val="clear" w:color="auto" w:fill="0070CD"/>
            <w:noWrap/>
            <w:vAlign w:val="bottom"/>
          </w:tcPr>
          <w:p w14:paraId="18E8D9F3" w14:textId="77777777" w:rsidR="00342BEE" w:rsidRPr="00342BEE" w:rsidRDefault="00342BEE" w:rsidP="00342BEE">
            <w:pPr>
              <w:keepNext/>
              <w:tabs>
                <w:tab w:val="clear" w:pos="-1440"/>
                <w:tab w:val="clear" w:pos="-720"/>
              </w:tabs>
              <w:spacing w:after="0" w:line="240" w:lineRule="auto"/>
              <w:ind w:left="0"/>
              <w:jc w:val="center"/>
              <w:rPr>
                <w:rFonts w:ascii="Arial" w:hAnsi="Arial" w:cs="Arial"/>
                <w:b/>
                <w:bCs/>
                <w:color w:val="FFFFFF" w:themeColor="background1"/>
                <w:sz w:val="18"/>
                <w:szCs w:val="18"/>
              </w:rPr>
            </w:pPr>
          </w:p>
        </w:tc>
        <w:tc>
          <w:tcPr>
            <w:tcW w:w="1080" w:type="dxa"/>
            <w:vMerge/>
            <w:tcBorders>
              <w:bottom w:val="nil"/>
            </w:tcBorders>
            <w:shd w:val="clear" w:color="auto" w:fill="0070CD"/>
            <w:noWrap/>
            <w:vAlign w:val="bottom"/>
          </w:tcPr>
          <w:p w14:paraId="37FDFAC5" w14:textId="77777777" w:rsidR="00342BEE" w:rsidRPr="00342BEE" w:rsidRDefault="00342BEE" w:rsidP="00342BEE">
            <w:pPr>
              <w:keepNext/>
              <w:tabs>
                <w:tab w:val="clear" w:pos="-1440"/>
                <w:tab w:val="clear" w:pos="-720"/>
              </w:tabs>
              <w:spacing w:after="0" w:line="240" w:lineRule="auto"/>
              <w:ind w:left="0"/>
              <w:jc w:val="center"/>
              <w:rPr>
                <w:rFonts w:ascii="Arial" w:hAnsi="Arial" w:cs="Arial"/>
                <w:b/>
                <w:bCs/>
                <w:color w:val="FFFFFF" w:themeColor="background1"/>
                <w:sz w:val="18"/>
                <w:szCs w:val="18"/>
              </w:rPr>
            </w:pPr>
          </w:p>
        </w:tc>
        <w:tc>
          <w:tcPr>
            <w:tcW w:w="486" w:type="dxa"/>
            <w:tcBorders>
              <w:top w:val="dotted" w:sz="4" w:space="0" w:color="0070CD"/>
              <w:bottom w:val="nil"/>
            </w:tcBorders>
            <w:shd w:val="clear" w:color="auto" w:fill="0070CD"/>
            <w:textDirection w:val="btLr"/>
          </w:tcPr>
          <w:p w14:paraId="258A39F3" w14:textId="4EFA0E32"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Sr. Manager of EE</w:t>
            </w:r>
            <w:r w:rsidR="00CC58EE">
              <w:rPr>
                <w:rFonts w:ascii="Arial" w:hAnsi="Arial" w:cs="Arial"/>
                <w:b/>
                <w:bCs/>
                <w:color w:val="FFFFFF" w:themeColor="background1"/>
                <w:sz w:val="18"/>
                <w:szCs w:val="18"/>
              </w:rPr>
              <w:t xml:space="preserve"> (1)</w:t>
            </w:r>
          </w:p>
        </w:tc>
        <w:tc>
          <w:tcPr>
            <w:tcW w:w="486" w:type="dxa"/>
            <w:tcBorders>
              <w:top w:val="dotted" w:sz="4" w:space="0" w:color="0070CD"/>
              <w:bottom w:val="nil"/>
            </w:tcBorders>
            <w:shd w:val="clear" w:color="auto" w:fill="0070CD"/>
            <w:textDirection w:val="btLr"/>
          </w:tcPr>
          <w:p w14:paraId="42DDE5B6" w14:textId="4DE036E9"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Mgr.  of Energy Solutions</w:t>
            </w:r>
            <w:r w:rsidR="00CC58EE">
              <w:rPr>
                <w:rFonts w:ascii="Arial" w:hAnsi="Arial" w:cs="Arial"/>
                <w:b/>
                <w:bCs/>
                <w:color w:val="FFFFFF" w:themeColor="background1"/>
                <w:sz w:val="18"/>
                <w:szCs w:val="18"/>
              </w:rPr>
              <w:t xml:space="preserve"> (1)</w:t>
            </w:r>
          </w:p>
        </w:tc>
        <w:tc>
          <w:tcPr>
            <w:tcW w:w="486" w:type="dxa"/>
            <w:tcBorders>
              <w:top w:val="dotted" w:sz="4" w:space="0" w:color="0070CD"/>
              <w:bottom w:val="nil"/>
              <w:right w:val="dotted" w:sz="4" w:space="0" w:color="0070CD"/>
            </w:tcBorders>
            <w:shd w:val="clear" w:color="auto" w:fill="0070CD"/>
            <w:textDirection w:val="btLr"/>
          </w:tcPr>
          <w:p w14:paraId="55C24711" w14:textId="0FD4ECEB"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Chief Engr. Of EE</w:t>
            </w:r>
            <w:r w:rsidR="00CC58EE">
              <w:rPr>
                <w:rFonts w:ascii="Arial" w:hAnsi="Arial" w:cs="Arial"/>
                <w:b/>
                <w:bCs/>
                <w:color w:val="FFFFFF" w:themeColor="background1"/>
                <w:sz w:val="18"/>
                <w:szCs w:val="18"/>
              </w:rPr>
              <w:t xml:space="preserve"> (1)</w:t>
            </w:r>
          </w:p>
        </w:tc>
        <w:tc>
          <w:tcPr>
            <w:tcW w:w="486" w:type="dxa"/>
            <w:tcBorders>
              <w:top w:val="dotted" w:sz="4" w:space="0" w:color="0070CD"/>
              <w:left w:val="dotted" w:sz="4" w:space="0" w:color="0070CD"/>
              <w:bottom w:val="nil"/>
            </w:tcBorders>
            <w:shd w:val="clear" w:color="auto" w:fill="0070CD"/>
            <w:noWrap/>
            <w:textDirection w:val="btLr"/>
            <w:vAlign w:val="bottom"/>
          </w:tcPr>
          <w:p w14:paraId="192D29C0" w14:textId="40B4483C"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DSM Manager</w:t>
            </w:r>
            <w:r w:rsidR="00CC58EE">
              <w:rPr>
                <w:rFonts w:ascii="Arial" w:hAnsi="Arial" w:cs="Arial"/>
                <w:b/>
                <w:bCs/>
                <w:color w:val="FFFFFF" w:themeColor="background1"/>
                <w:sz w:val="18"/>
                <w:szCs w:val="18"/>
              </w:rPr>
              <w:t xml:space="preserve"> (1)</w:t>
            </w:r>
          </w:p>
        </w:tc>
        <w:tc>
          <w:tcPr>
            <w:tcW w:w="486" w:type="dxa"/>
            <w:tcBorders>
              <w:top w:val="dotted" w:sz="4" w:space="0" w:color="0070CD"/>
              <w:bottom w:val="nil"/>
            </w:tcBorders>
            <w:shd w:val="clear" w:color="auto" w:fill="0070CD"/>
            <w:noWrap/>
            <w:textDirection w:val="btLr"/>
            <w:vAlign w:val="bottom"/>
          </w:tcPr>
          <w:p w14:paraId="74A764AB" w14:textId="00840CE4"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 xml:space="preserve">DSM Analytical Mgr. </w:t>
            </w:r>
            <w:r w:rsidR="00CC58EE">
              <w:rPr>
                <w:rFonts w:ascii="Arial" w:hAnsi="Arial" w:cs="Arial"/>
                <w:b/>
                <w:bCs/>
                <w:color w:val="FFFFFF" w:themeColor="background1"/>
                <w:sz w:val="18"/>
                <w:szCs w:val="18"/>
              </w:rPr>
              <w:t>(2)</w:t>
            </w:r>
          </w:p>
        </w:tc>
        <w:tc>
          <w:tcPr>
            <w:tcW w:w="486" w:type="dxa"/>
            <w:tcBorders>
              <w:top w:val="dotted" w:sz="4" w:space="0" w:color="0070CD"/>
              <w:bottom w:val="nil"/>
            </w:tcBorders>
            <w:shd w:val="clear" w:color="auto" w:fill="0070CD"/>
            <w:textDirection w:val="btLr"/>
          </w:tcPr>
          <w:p w14:paraId="54CDDD9F" w14:textId="1607BE29"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Engineers (Jr and Sr)</w:t>
            </w:r>
            <w:r w:rsidR="00CC58EE">
              <w:rPr>
                <w:rFonts w:ascii="Arial" w:hAnsi="Arial" w:cs="Arial"/>
                <w:b/>
                <w:bCs/>
                <w:color w:val="FFFFFF" w:themeColor="background1"/>
                <w:sz w:val="18"/>
                <w:szCs w:val="18"/>
              </w:rPr>
              <w:t xml:space="preserve"> (6)</w:t>
            </w:r>
          </w:p>
        </w:tc>
        <w:tc>
          <w:tcPr>
            <w:tcW w:w="486" w:type="dxa"/>
            <w:tcBorders>
              <w:top w:val="dotted" w:sz="4" w:space="0" w:color="0070CD"/>
              <w:bottom w:val="nil"/>
            </w:tcBorders>
            <w:shd w:val="clear" w:color="auto" w:fill="0070CD"/>
            <w:textDirection w:val="btLr"/>
          </w:tcPr>
          <w:p w14:paraId="78BBED02" w14:textId="4FB11C7D"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Program Manager</w:t>
            </w:r>
            <w:r w:rsidR="00CC58EE">
              <w:rPr>
                <w:rFonts w:ascii="Arial" w:hAnsi="Arial" w:cs="Arial"/>
                <w:b/>
                <w:bCs/>
                <w:color w:val="FFFFFF" w:themeColor="background1"/>
                <w:sz w:val="18"/>
                <w:szCs w:val="18"/>
              </w:rPr>
              <w:t xml:space="preserve"> (6)</w:t>
            </w:r>
          </w:p>
        </w:tc>
        <w:tc>
          <w:tcPr>
            <w:tcW w:w="450" w:type="dxa"/>
            <w:tcBorders>
              <w:top w:val="dotted" w:sz="4" w:space="0" w:color="0070CD"/>
              <w:bottom w:val="nil"/>
            </w:tcBorders>
            <w:shd w:val="clear" w:color="auto" w:fill="0070CD"/>
            <w:textDirection w:val="btLr"/>
          </w:tcPr>
          <w:p w14:paraId="5C80542B" w14:textId="5098A7FD"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Dir. Of Policy</w:t>
            </w:r>
            <w:r w:rsidR="00CC58EE">
              <w:rPr>
                <w:rFonts w:ascii="Arial" w:hAnsi="Arial" w:cs="Arial"/>
                <w:b/>
                <w:bCs/>
                <w:color w:val="FFFFFF" w:themeColor="background1"/>
                <w:sz w:val="18"/>
                <w:szCs w:val="18"/>
              </w:rPr>
              <w:t xml:space="preserve"> (1)</w:t>
            </w:r>
          </w:p>
        </w:tc>
        <w:tc>
          <w:tcPr>
            <w:tcW w:w="450" w:type="dxa"/>
            <w:tcBorders>
              <w:top w:val="dotted" w:sz="4" w:space="0" w:color="0070CD"/>
              <w:bottom w:val="nil"/>
            </w:tcBorders>
            <w:shd w:val="clear" w:color="auto" w:fill="0070CD"/>
            <w:textDirection w:val="btLr"/>
          </w:tcPr>
          <w:p w14:paraId="4229EBEF" w14:textId="45F22220"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Marketing</w:t>
            </w:r>
            <w:r w:rsidR="00CC58EE">
              <w:rPr>
                <w:rFonts w:ascii="Arial" w:hAnsi="Arial" w:cs="Arial"/>
                <w:b/>
                <w:bCs/>
                <w:color w:val="FFFFFF" w:themeColor="background1"/>
                <w:sz w:val="18"/>
                <w:szCs w:val="18"/>
              </w:rPr>
              <w:t xml:space="preserve"> (2)</w:t>
            </w:r>
          </w:p>
        </w:tc>
        <w:tc>
          <w:tcPr>
            <w:tcW w:w="450" w:type="dxa"/>
            <w:tcBorders>
              <w:top w:val="dotted" w:sz="4" w:space="0" w:color="0070CD"/>
              <w:bottom w:val="nil"/>
              <w:right w:val="dotted" w:sz="4" w:space="0" w:color="0070CD"/>
            </w:tcBorders>
            <w:shd w:val="clear" w:color="auto" w:fill="0070CD"/>
            <w:textDirection w:val="btLr"/>
          </w:tcPr>
          <w:p w14:paraId="5D4D0265" w14:textId="6449F12E"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r w:rsidRPr="00342BEE">
              <w:rPr>
                <w:rFonts w:ascii="Arial" w:hAnsi="Arial" w:cs="Arial"/>
                <w:b/>
                <w:bCs/>
                <w:color w:val="FFFFFF" w:themeColor="background1"/>
                <w:sz w:val="18"/>
                <w:szCs w:val="18"/>
              </w:rPr>
              <w:t>Utility Resource Analyst</w:t>
            </w:r>
            <w:r w:rsidR="00CC58EE">
              <w:rPr>
                <w:rFonts w:ascii="Arial" w:hAnsi="Arial" w:cs="Arial"/>
                <w:b/>
                <w:bCs/>
                <w:color w:val="FFFFFF" w:themeColor="background1"/>
                <w:sz w:val="18"/>
                <w:szCs w:val="18"/>
              </w:rPr>
              <w:t xml:space="preserve"> (1)</w:t>
            </w:r>
          </w:p>
        </w:tc>
        <w:tc>
          <w:tcPr>
            <w:tcW w:w="450" w:type="dxa"/>
            <w:vMerge/>
            <w:tcBorders>
              <w:bottom w:val="nil"/>
              <w:right w:val="dotted" w:sz="4" w:space="0" w:color="0070CD"/>
            </w:tcBorders>
            <w:shd w:val="clear" w:color="auto" w:fill="0070CD"/>
            <w:textDirection w:val="btLr"/>
          </w:tcPr>
          <w:p w14:paraId="6E61BCF9" w14:textId="77777777" w:rsidR="00342BEE" w:rsidRPr="00342BEE" w:rsidRDefault="00342BEE" w:rsidP="00342BEE">
            <w:pPr>
              <w:keepNext/>
              <w:tabs>
                <w:tab w:val="clear" w:pos="-1440"/>
                <w:tab w:val="clear" w:pos="-720"/>
              </w:tabs>
              <w:spacing w:after="0" w:line="240" w:lineRule="auto"/>
              <w:ind w:left="113" w:right="113"/>
              <w:jc w:val="center"/>
              <w:rPr>
                <w:rFonts w:ascii="Arial" w:hAnsi="Arial" w:cs="Arial"/>
                <w:b/>
                <w:bCs/>
                <w:color w:val="FFFFFF" w:themeColor="background1"/>
                <w:sz w:val="18"/>
                <w:szCs w:val="18"/>
              </w:rPr>
            </w:pPr>
          </w:p>
        </w:tc>
      </w:tr>
      <w:tr w:rsidR="00342BEE" w:rsidRPr="00342BEE" w14:paraId="4285472A" w14:textId="77777777" w:rsidTr="00342BEE">
        <w:trPr>
          <w:trHeight w:val="300"/>
        </w:trPr>
        <w:tc>
          <w:tcPr>
            <w:tcW w:w="2790" w:type="dxa"/>
            <w:tcBorders>
              <w:top w:val="nil"/>
            </w:tcBorders>
            <w:shd w:val="clear" w:color="auto" w:fill="auto"/>
            <w:noWrap/>
            <w:vAlign w:val="center"/>
          </w:tcPr>
          <w:p w14:paraId="076ED842"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eastAsia="Calibri" w:hAnsi="Arial" w:cs="Arial"/>
                <w:sz w:val="18"/>
                <w:szCs w:val="18"/>
              </w:rPr>
              <w:t>General Manager Overview</w:t>
            </w:r>
          </w:p>
        </w:tc>
        <w:tc>
          <w:tcPr>
            <w:tcW w:w="990" w:type="dxa"/>
            <w:tcBorders>
              <w:top w:val="nil"/>
            </w:tcBorders>
            <w:shd w:val="clear" w:color="auto" w:fill="auto"/>
            <w:noWrap/>
            <w:vAlign w:val="center"/>
          </w:tcPr>
          <w:p w14:paraId="426AFDB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eastAsia="Calibri" w:hAnsi="Arial" w:cs="Arial"/>
                <w:sz w:val="18"/>
                <w:szCs w:val="18"/>
              </w:rPr>
              <w:t>2/3/15</w:t>
            </w:r>
          </w:p>
        </w:tc>
        <w:tc>
          <w:tcPr>
            <w:tcW w:w="1080" w:type="dxa"/>
            <w:tcBorders>
              <w:top w:val="nil"/>
            </w:tcBorders>
            <w:shd w:val="clear" w:color="auto" w:fill="auto"/>
            <w:noWrap/>
            <w:vAlign w:val="center"/>
          </w:tcPr>
          <w:p w14:paraId="1D93657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45 m.</w:t>
            </w:r>
          </w:p>
        </w:tc>
        <w:tc>
          <w:tcPr>
            <w:tcW w:w="486" w:type="dxa"/>
            <w:tcBorders>
              <w:top w:val="nil"/>
            </w:tcBorders>
            <w:vAlign w:val="center"/>
          </w:tcPr>
          <w:p w14:paraId="3AA84AD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nil"/>
            </w:tcBorders>
            <w:vAlign w:val="center"/>
          </w:tcPr>
          <w:p w14:paraId="654CE8C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nil"/>
            </w:tcBorders>
            <w:vAlign w:val="center"/>
          </w:tcPr>
          <w:p w14:paraId="528C35F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nil"/>
            </w:tcBorders>
            <w:shd w:val="clear" w:color="auto" w:fill="auto"/>
            <w:noWrap/>
            <w:vAlign w:val="center"/>
          </w:tcPr>
          <w:p w14:paraId="67FE829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nil"/>
            </w:tcBorders>
            <w:shd w:val="clear" w:color="auto" w:fill="auto"/>
            <w:noWrap/>
            <w:vAlign w:val="center"/>
          </w:tcPr>
          <w:p w14:paraId="29E3E5F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nil"/>
            </w:tcBorders>
            <w:vAlign w:val="center"/>
          </w:tcPr>
          <w:p w14:paraId="26FA272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nil"/>
            </w:tcBorders>
            <w:vAlign w:val="center"/>
          </w:tcPr>
          <w:p w14:paraId="65BC9E4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nil"/>
            </w:tcBorders>
            <w:vAlign w:val="center"/>
          </w:tcPr>
          <w:p w14:paraId="101173A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nil"/>
            </w:tcBorders>
            <w:vAlign w:val="center"/>
          </w:tcPr>
          <w:p w14:paraId="088E56F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nil"/>
            </w:tcBorders>
            <w:vAlign w:val="center"/>
          </w:tcPr>
          <w:p w14:paraId="57AAE2E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nil"/>
            </w:tcBorders>
            <w:vAlign w:val="center"/>
          </w:tcPr>
          <w:p w14:paraId="51D0637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5</w:t>
            </w:r>
          </w:p>
        </w:tc>
      </w:tr>
      <w:tr w:rsidR="00342BEE" w:rsidRPr="00342BEE" w14:paraId="5E78E8BB" w14:textId="77777777" w:rsidTr="00342BEE">
        <w:trPr>
          <w:trHeight w:val="300"/>
        </w:trPr>
        <w:tc>
          <w:tcPr>
            <w:tcW w:w="2790" w:type="dxa"/>
            <w:tcBorders>
              <w:top w:val="single" w:sz="4" w:space="0" w:color="0070CD"/>
            </w:tcBorders>
            <w:shd w:val="clear" w:color="auto" w:fill="auto"/>
            <w:noWrap/>
            <w:vAlign w:val="center"/>
          </w:tcPr>
          <w:p w14:paraId="0E07FC2A"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eastAsia="Calibri" w:hAnsi="Arial" w:cs="Arial"/>
                <w:sz w:val="18"/>
                <w:szCs w:val="18"/>
              </w:rPr>
              <w:t>Energy Solutions</w:t>
            </w:r>
          </w:p>
        </w:tc>
        <w:tc>
          <w:tcPr>
            <w:tcW w:w="990" w:type="dxa"/>
            <w:tcBorders>
              <w:top w:val="single" w:sz="4" w:space="0" w:color="0070CD"/>
            </w:tcBorders>
            <w:shd w:val="clear" w:color="auto" w:fill="auto"/>
            <w:noWrap/>
            <w:vAlign w:val="center"/>
          </w:tcPr>
          <w:p w14:paraId="63618BE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eastAsia="Calibri" w:hAnsi="Arial" w:cs="Arial"/>
                <w:sz w:val="18"/>
                <w:szCs w:val="18"/>
              </w:rPr>
              <w:t>2/3/15</w:t>
            </w:r>
          </w:p>
        </w:tc>
        <w:tc>
          <w:tcPr>
            <w:tcW w:w="1080" w:type="dxa"/>
            <w:tcBorders>
              <w:top w:val="single" w:sz="4" w:space="0" w:color="0070CD"/>
            </w:tcBorders>
            <w:shd w:val="clear" w:color="auto" w:fill="auto"/>
            <w:noWrap/>
            <w:vAlign w:val="center"/>
          </w:tcPr>
          <w:p w14:paraId="30421DE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45 m.</w:t>
            </w:r>
          </w:p>
        </w:tc>
        <w:tc>
          <w:tcPr>
            <w:tcW w:w="486" w:type="dxa"/>
            <w:tcBorders>
              <w:top w:val="single" w:sz="4" w:space="0" w:color="0070CD"/>
            </w:tcBorders>
            <w:vAlign w:val="center"/>
          </w:tcPr>
          <w:p w14:paraId="7381E4B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930D48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tcBorders>
            <w:vAlign w:val="center"/>
          </w:tcPr>
          <w:p w14:paraId="4155AC1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0EB7A38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360A571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45BB619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409C016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3BEF7A1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6D2B360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2DC5299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FD9B81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5DB4AA51" w14:textId="77777777" w:rsidTr="00342BEE">
        <w:trPr>
          <w:trHeight w:val="300"/>
        </w:trPr>
        <w:tc>
          <w:tcPr>
            <w:tcW w:w="2790" w:type="dxa"/>
            <w:tcBorders>
              <w:top w:val="single" w:sz="4" w:space="0" w:color="0070CD"/>
            </w:tcBorders>
            <w:shd w:val="clear" w:color="auto" w:fill="auto"/>
            <w:noWrap/>
            <w:vAlign w:val="center"/>
          </w:tcPr>
          <w:p w14:paraId="5F8530C3"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eastAsia="Calibri" w:hAnsi="Arial" w:cs="Arial"/>
                <w:sz w:val="18"/>
                <w:szCs w:val="18"/>
              </w:rPr>
              <w:t>Residential, Low Income</w:t>
            </w:r>
          </w:p>
        </w:tc>
        <w:tc>
          <w:tcPr>
            <w:tcW w:w="990" w:type="dxa"/>
            <w:tcBorders>
              <w:top w:val="single" w:sz="4" w:space="0" w:color="0070CD"/>
            </w:tcBorders>
            <w:shd w:val="clear" w:color="auto" w:fill="auto"/>
            <w:noWrap/>
            <w:vAlign w:val="center"/>
          </w:tcPr>
          <w:p w14:paraId="13AC991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eastAsia="Calibri" w:hAnsi="Arial" w:cs="Arial"/>
                <w:sz w:val="18"/>
                <w:szCs w:val="18"/>
              </w:rPr>
              <w:t>2/3/15</w:t>
            </w:r>
          </w:p>
        </w:tc>
        <w:tc>
          <w:tcPr>
            <w:tcW w:w="1080" w:type="dxa"/>
            <w:tcBorders>
              <w:top w:val="single" w:sz="4" w:space="0" w:color="0070CD"/>
            </w:tcBorders>
            <w:shd w:val="clear" w:color="auto" w:fill="auto"/>
            <w:noWrap/>
            <w:vAlign w:val="center"/>
          </w:tcPr>
          <w:p w14:paraId="5F79983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 h. 45 m.</w:t>
            </w:r>
          </w:p>
        </w:tc>
        <w:tc>
          <w:tcPr>
            <w:tcW w:w="486" w:type="dxa"/>
            <w:tcBorders>
              <w:top w:val="single" w:sz="4" w:space="0" w:color="0070CD"/>
            </w:tcBorders>
            <w:vAlign w:val="center"/>
          </w:tcPr>
          <w:p w14:paraId="56D14AC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362F65A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35A8C1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53BCDD1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0F7B996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3B98FB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0CA296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w:t>
            </w:r>
          </w:p>
        </w:tc>
        <w:tc>
          <w:tcPr>
            <w:tcW w:w="450" w:type="dxa"/>
            <w:tcBorders>
              <w:top w:val="single" w:sz="4" w:space="0" w:color="0070CD"/>
            </w:tcBorders>
            <w:vAlign w:val="center"/>
          </w:tcPr>
          <w:p w14:paraId="76A345C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0B9030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04B67A5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678112A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w:t>
            </w:r>
          </w:p>
        </w:tc>
      </w:tr>
      <w:tr w:rsidR="00342BEE" w:rsidRPr="00342BEE" w14:paraId="569E0FDD" w14:textId="77777777" w:rsidTr="00342BEE">
        <w:trPr>
          <w:trHeight w:val="300"/>
        </w:trPr>
        <w:tc>
          <w:tcPr>
            <w:tcW w:w="2790" w:type="dxa"/>
            <w:tcBorders>
              <w:top w:val="single" w:sz="4" w:space="0" w:color="0070CD"/>
            </w:tcBorders>
            <w:shd w:val="clear" w:color="auto" w:fill="auto"/>
            <w:noWrap/>
            <w:vAlign w:val="center"/>
          </w:tcPr>
          <w:p w14:paraId="76F6BA9E" w14:textId="11F1A6D6" w:rsidR="00342BEE" w:rsidRPr="00342BEE" w:rsidRDefault="00342BEE" w:rsidP="003A35DE">
            <w:pPr>
              <w:keepNext/>
              <w:tabs>
                <w:tab w:val="clear" w:pos="-1440"/>
                <w:tab w:val="clear" w:pos="-720"/>
              </w:tabs>
              <w:spacing w:after="0" w:line="240" w:lineRule="auto"/>
              <w:ind w:left="0"/>
              <w:rPr>
                <w:rFonts w:ascii="Arial" w:hAnsi="Arial" w:cs="Arial"/>
                <w:color w:val="000000"/>
                <w:sz w:val="18"/>
                <w:szCs w:val="18"/>
              </w:rPr>
            </w:pPr>
            <w:r w:rsidRPr="00342BEE">
              <w:rPr>
                <w:rFonts w:ascii="Arial" w:eastAsia="Calibri" w:hAnsi="Arial" w:cs="Arial"/>
                <w:sz w:val="18"/>
                <w:szCs w:val="18"/>
              </w:rPr>
              <w:t>Prior Eval</w:t>
            </w:r>
            <w:r w:rsidR="003A35DE">
              <w:rPr>
                <w:rFonts w:ascii="Arial" w:eastAsia="Calibri" w:hAnsi="Arial" w:cs="Arial"/>
                <w:sz w:val="18"/>
                <w:szCs w:val="18"/>
              </w:rPr>
              <w:t>/ Program Planning</w:t>
            </w:r>
          </w:p>
        </w:tc>
        <w:tc>
          <w:tcPr>
            <w:tcW w:w="990" w:type="dxa"/>
            <w:tcBorders>
              <w:top w:val="single" w:sz="4" w:space="0" w:color="0070CD"/>
            </w:tcBorders>
            <w:shd w:val="clear" w:color="auto" w:fill="auto"/>
            <w:noWrap/>
            <w:vAlign w:val="center"/>
          </w:tcPr>
          <w:p w14:paraId="72622D6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eastAsia="Calibri" w:hAnsi="Arial" w:cs="Arial"/>
                <w:sz w:val="18"/>
                <w:szCs w:val="18"/>
              </w:rPr>
              <w:t>2/3/15</w:t>
            </w:r>
          </w:p>
        </w:tc>
        <w:tc>
          <w:tcPr>
            <w:tcW w:w="1080" w:type="dxa"/>
            <w:tcBorders>
              <w:top w:val="single" w:sz="4" w:space="0" w:color="0070CD"/>
            </w:tcBorders>
            <w:shd w:val="clear" w:color="auto" w:fill="auto"/>
            <w:noWrap/>
            <w:vAlign w:val="center"/>
          </w:tcPr>
          <w:p w14:paraId="3B74480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30 m.</w:t>
            </w:r>
          </w:p>
        </w:tc>
        <w:tc>
          <w:tcPr>
            <w:tcW w:w="486" w:type="dxa"/>
            <w:tcBorders>
              <w:top w:val="single" w:sz="4" w:space="0" w:color="0070CD"/>
            </w:tcBorders>
            <w:vAlign w:val="center"/>
          </w:tcPr>
          <w:p w14:paraId="76FCAB6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tcBorders>
            <w:vAlign w:val="center"/>
          </w:tcPr>
          <w:p w14:paraId="5649883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DFB2CC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07F27C4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tcBorders>
            <w:shd w:val="clear" w:color="auto" w:fill="auto"/>
            <w:noWrap/>
            <w:vAlign w:val="center"/>
          </w:tcPr>
          <w:p w14:paraId="7C95A3E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3BDAA0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6E31024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6931EE1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3B8778C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5730C89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058B934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w:t>
            </w:r>
          </w:p>
        </w:tc>
      </w:tr>
      <w:tr w:rsidR="00342BEE" w:rsidRPr="00342BEE" w14:paraId="5E1C963F" w14:textId="77777777" w:rsidTr="00342BEE">
        <w:trPr>
          <w:trHeight w:val="300"/>
        </w:trPr>
        <w:tc>
          <w:tcPr>
            <w:tcW w:w="2790" w:type="dxa"/>
            <w:tcBorders>
              <w:top w:val="single" w:sz="4" w:space="0" w:color="0070CD"/>
            </w:tcBorders>
            <w:shd w:val="clear" w:color="auto" w:fill="auto"/>
            <w:noWrap/>
            <w:vAlign w:val="center"/>
          </w:tcPr>
          <w:p w14:paraId="08D381E8"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eastAsia="Calibri" w:hAnsi="Arial" w:cs="Arial"/>
                <w:sz w:val="18"/>
                <w:szCs w:val="18"/>
              </w:rPr>
              <w:t>Site Specific</w:t>
            </w:r>
          </w:p>
        </w:tc>
        <w:tc>
          <w:tcPr>
            <w:tcW w:w="990" w:type="dxa"/>
            <w:tcBorders>
              <w:top w:val="single" w:sz="4" w:space="0" w:color="0070CD"/>
            </w:tcBorders>
            <w:shd w:val="clear" w:color="auto" w:fill="auto"/>
            <w:noWrap/>
            <w:vAlign w:val="center"/>
          </w:tcPr>
          <w:p w14:paraId="352B54F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eastAsia="Calibri" w:hAnsi="Arial" w:cs="Arial"/>
                <w:sz w:val="18"/>
                <w:szCs w:val="18"/>
              </w:rPr>
              <w:t>2/3/15</w:t>
            </w:r>
          </w:p>
        </w:tc>
        <w:tc>
          <w:tcPr>
            <w:tcW w:w="1080" w:type="dxa"/>
            <w:tcBorders>
              <w:top w:val="single" w:sz="4" w:space="0" w:color="0070CD"/>
            </w:tcBorders>
            <w:shd w:val="clear" w:color="auto" w:fill="auto"/>
            <w:noWrap/>
            <w:vAlign w:val="center"/>
          </w:tcPr>
          <w:p w14:paraId="5A6807C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 h.</w:t>
            </w:r>
          </w:p>
        </w:tc>
        <w:tc>
          <w:tcPr>
            <w:tcW w:w="486" w:type="dxa"/>
            <w:tcBorders>
              <w:top w:val="single" w:sz="4" w:space="0" w:color="0070CD"/>
            </w:tcBorders>
            <w:vAlign w:val="center"/>
          </w:tcPr>
          <w:p w14:paraId="63FE90D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tcBorders>
            <w:vAlign w:val="center"/>
          </w:tcPr>
          <w:p w14:paraId="3808640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tcBorders>
            <w:vAlign w:val="center"/>
          </w:tcPr>
          <w:p w14:paraId="34F1153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tcBorders>
            <w:shd w:val="clear" w:color="auto" w:fill="auto"/>
            <w:noWrap/>
            <w:vAlign w:val="center"/>
          </w:tcPr>
          <w:p w14:paraId="1FC6AD5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23F42FA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69D5061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2C5773D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0070CD"/>
            </w:tcBorders>
            <w:vAlign w:val="center"/>
          </w:tcPr>
          <w:p w14:paraId="32034CD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43A73F6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02390D5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61C1AD2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w:t>
            </w:r>
          </w:p>
        </w:tc>
      </w:tr>
      <w:tr w:rsidR="00342BEE" w:rsidRPr="00342BEE" w14:paraId="3F2A0404" w14:textId="77777777" w:rsidTr="00342BEE">
        <w:trPr>
          <w:trHeight w:val="300"/>
        </w:trPr>
        <w:tc>
          <w:tcPr>
            <w:tcW w:w="2790" w:type="dxa"/>
            <w:tcBorders>
              <w:top w:val="single" w:sz="4" w:space="0" w:color="0070CD"/>
            </w:tcBorders>
            <w:shd w:val="clear" w:color="auto" w:fill="auto"/>
            <w:noWrap/>
            <w:vAlign w:val="center"/>
          </w:tcPr>
          <w:p w14:paraId="09BCE102"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eastAsia="Calibri" w:hAnsi="Arial" w:cs="Arial"/>
                <w:sz w:val="18"/>
                <w:szCs w:val="18"/>
              </w:rPr>
              <w:t>Cost Effectiveness</w:t>
            </w:r>
          </w:p>
        </w:tc>
        <w:tc>
          <w:tcPr>
            <w:tcW w:w="990" w:type="dxa"/>
            <w:tcBorders>
              <w:top w:val="single" w:sz="4" w:space="0" w:color="0070CD"/>
            </w:tcBorders>
            <w:shd w:val="clear" w:color="auto" w:fill="auto"/>
            <w:noWrap/>
            <w:vAlign w:val="center"/>
          </w:tcPr>
          <w:p w14:paraId="2E10AF5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eastAsia="Calibri" w:hAnsi="Arial" w:cs="Arial"/>
                <w:sz w:val="18"/>
                <w:szCs w:val="18"/>
              </w:rPr>
              <w:t>2/3/15</w:t>
            </w:r>
          </w:p>
        </w:tc>
        <w:tc>
          <w:tcPr>
            <w:tcW w:w="1080" w:type="dxa"/>
            <w:tcBorders>
              <w:top w:val="single" w:sz="4" w:space="0" w:color="0070CD"/>
            </w:tcBorders>
            <w:shd w:val="clear" w:color="auto" w:fill="auto"/>
            <w:noWrap/>
            <w:vAlign w:val="center"/>
          </w:tcPr>
          <w:p w14:paraId="51237D7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 h. 15 m.</w:t>
            </w:r>
          </w:p>
        </w:tc>
        <w:tc>
          <w:tcPr>
            <w:tcW w:w="486" w:type="dxa"/>
            <w:tcBorders>
              <w:top w:val="single" w:sz="4" w:space="0" w:color="0070CD"/>
            </w:tcBorders>
            <w:vAlign w:val="center"/>
          </w:tcPr>
          <w:p w14:paraId="5991F8E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007981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4E630EE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493EF47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0F34E5C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tcBorders>
            <w:vAlign w:val="center"/>
          </w:tcPr>
          <w:p w14:paraId="7B5EC7E5" w14:textId="77777777" w:rsidR="00342BEE" w:rsidRPr="00342BEE" w:rsidRDefault="00342BEE" w:rsidP="00342BEE">
            <w:pPr>
              <w:keepNext/>
              <w:tabs>
                <w:tab w:val="clear" w:pos="-1440"/>
                <w:tab w:val="clear" w:pos="-720"/>
              </w:tabs>
              <w:spacing w:after="0" w:line="240" w:lineRule="auto"/>
              <w:ind w:left="-86" w:firstLine="36"/>
              <w:jc w:val="center"/>
              <w:rPr>
                <w:rFonts w:ascii="Arial" w:hAnsi="Arial" w:cs="Arial"/>
                <w:color w:val="000000"/>
                <w:sz w:val="18"/>
                <w:szCs w:val="18"/>
              </w:rPr>
            </w:pPr>
          </w:p>
        </w:tc>
        <w:tc>
          <w:tcPr>
            <w:tcW w:w="486" w:type="dxa"/>
            <w:tcBorders>
              <w:top w:val="single" w:sz="4" w:space="0" w:color="0070CD"/>
            </w:tcBorders>
            <w:vAlign w:val="center"/>
          </w:tcPr>
          <w:p w14:paraId="7E27918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4F06D34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53E3AED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60B777D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97CADF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669DB750" w14:textId="77777777" w:rsidTr="00342BEE">
        <w:trPr>
          <w:trHeight w:val="300"/>
        </w:trPr>
        <w:tc>
          <w:tcPr>
            <w:tcW w:w="2790" w:type="dxa"/>
            <w:tcBorders>
              <w:top w:val="single" w:sz="4" w:space="0" w:color="0070CD"/>
            </w:tcBorders>
            <w:shd w:val="clear" w:color="auto" w:fill="auto"/>
            <w:noWrap/>
            <w:vAlign w:val="center"/>
          </w:tcPr>
          <w:p w14:paraId="49E8E4E5"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eastAsia="Calibri" w:hAnsi="Arial" w:cs="Arial"/>
                <w:sz w:val="18"/>
                <w:szCs w:val="18"/>
              </w:rPr>
              <w:t>SalesLogix</w:t>
            </w:r>
          </w:p>
        </w:tc>
        <w:tc>
          <w:tcPr>
            <w:tcW w:w="990" w:type="dxa"/>
            <w:tcBorders>
              <w:top w:val="single" w:sz="4" w:space="0" w:color="0070CD"/>
            </w:tcBorders>
            <w:shd w:val="clear" w:color="auto" w:fill="auto"/>
            <w:noWrap/>
            <w:vAlign w:val="center"/>
          </w:tcPr>
          <w:p w14:paraId="06A1FE0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eastAsia="Calibri" w:hAnsi="Arial" w:cs="Arial"/>
                <w:sz w:val="18"/>
                <w:szCs w:val="18"/>
              </w:rPr>
              <w:t>2/4/15</w:t>
            </w:r>
          </w:p>
        </w:tc>
        <w:tc>
          <w:tcPr>
            <w:tcW w:w="1080" w:type="dxa"/>
            <w:tcBorders>
              <w:top w:val="single" w:sz="4" w:space="0" w:color="0070CD"/>
            </w:tcBorders>
            <w:shd w:val="clear" w:color="auto" w:fill="auto"/>
            <w:noWrap/>
            <w:vAlign w:val="center"/>
          </w:tcPr>
          <w:p w14:paraId="0F9C494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 h.</w:t>
            </w:r>
          </w:p>
        </w:tc>
        <w:tc>
          <w:tcPr>
            <w:tcW w:w="486" w:type="dxa"/>
            <w:tcBorders>
              <w:top w:val="single" w:sz="4" w:space="0" w:color="0070CD"/>
            </w:tcBorders>
            <w:vAlign w:val="center"/>
          </w:tcPr>
          <w:p w14:paraId="79B3519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6F4D641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0706CC8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2AE0699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7E3EF7C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0B4832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381864B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w:t>
            </w:r>
          </w:p>
        </w:tc>
        <w:tc>
          <w:tcPr>
            <w:tcW w:w="450" w:type="dxa"/>
            <w:tcBorders>
              <w:top w:val="single" w:sz="4" w:space="0" w:color="0070CD"/>
            </w:tcBorders>
            <w:vAlign w:val="center"/>
          </w:tcPr>
          <w:p w14:paraId="1ADD338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330F64F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0A223A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0070CD"/>
            </w:tcBorders>
            <w:vAlign w:val="center"/>
          </w:tcPr>
          <w:p w14:paraId="173EFDD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w:t>
            </w:r>
          </w:p>
        </w:tc>
      </w:tr>
      <w:tr w:rsidR="00342BEE" w:rsidRPr="00342BEE" w14:paraId="02192478" w14:textId="77777777" w:rsidTr="003A35DE">
        <w:trPr>
          <w:trHeight w:val="300"/>
        </w:trPr>
        <w:tc>
          <w:tcPr>
            <w:tcW w:w="2790" w:type="dxa"/>
            <w:tcBorders>
              <w:top w:val="single" w:sz="4" w:space="0" w:color="0070CD"/>
              <w:bottom w:val="single" w:sz="4" w:space="0" w:color="0070CD"/>
            </w:tcBorders>
            <w:shd w:val="clear" w:color="auto" w:fill="auto"/>
            <w:noWrap/>
            <w:vAlign w:val="center"/>
          </w:tcPr>
          <w:p w14:paraId="4B8E6276"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eastAsia="Calibri" w:hAnsi="Arial" w:cs="Arial"/>
                <w:sz w:val="18"/>
                <w:szCs w:val="18"/>
              </w:rPr>
              <w:t>Engineering</w:t>
            </w:r>
          </w:p>
        </w:tc>
        <w:tc>
          <w:tcPr>
            <w:tcW w:w="990" w:type="dxa"/>
            <w:tcBorders>
              <w:top w:val="single" w:sz="4" w:space="0" w:color="0070CD"/>
              <w:bottom w:val="single" w:sz="4" w:space="0" w:color="0070CD"/>
            </w:tcBorders>
            <w:shd w:val="clear" w:color="auto" w:fill="auto"/>
            <w:noWrap/>
            <w:vAlign w:val="center"/>
          </w:tcPr>
          <w:p w14:paraId="3064200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eastAsia="Calibri" w:hAnsi="Arial" w:cs="Arial"/>
                <w:sz w:val="18"/>
                <w:szCs w:val="18"/>
              </w:rPr>
              <w:t>2/4/15</w:t>
            </w:r>
          </w:p>
        </w:tc>
        <w:tc>
          <w:tcPr>
            <w:tcW w:w="1080" w:type="dxa"/>
            <w:tcBorders>
              <w:top w:val="single" w:sz="4" w:space="0" w:color="0070CD"/>
              <w:bottom w:val="single" w:sz="4" w:space="0" w:color="0070CD"/>
            </w:tcBorders>
            <w:shd w:val="clear" w:color="auto" w:fill="auto"/>
            <w:noWrap/>
            <w:vAlign w:val="center"/>
          </w:tcPr>
          <w:p w14:paraId="0C2CD01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 h. 15 m.</w:t>
            </w:r>
          </w:p>
        </w:tc>
        <w:tc>
          <w:tcPr>
            <w:tcW w:w="486" w:type="dxa"/>
            <w:tcBorders>
              <w:top w:val="single" w:sz="4" w:space="0" w:color="0070CD"/>
              <w:bottom w:val="single" w:sz="4" w:space="0" w:color="0070CD"/>
            </w:tcBorders>
            <w:vAlign w:val="center"/>
          </w:tcPr>
          <w:p w14:paraId="2E3789E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0070CD"/>
            </w:tcBorders>
            <w:vAlign w:val="center"/>
          </w:tcPr>
          <w:p w14:paraId="23B309D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0070CD"/>
            </w:tcBorders>
            <w:vAlign w:val="center"/>
          </w:tcPr>
          <w:p w14:paraId="268D2E2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bottom w:val="single" w:sz="4" w:space="0" w:color="0070CD"/>
            </w:tcBorders>
            <w:shd w:val="clear" w:color="auto" w:fill="auto"/>
            <w:noWrap/>
            <w:vAlign w:val="center"/>
          </w:tcPr>
          <w:p w14:paraId="113199F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0070CD"/>
            </w:tcBorders>
            <w:shd w:val="clear" w:color="auto" w:fill="auto"/>
            <w:noWrap/>
            <w:vAlign w:val="center"/>
          </w:tcPr>
          <w:p w14:paraId="36EB765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0070CD"/>
            </w:tcBorders>
            <w:vAlign w:val="center"/>
          </w:tcPr>
          <w:p w14:paraId="0228900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6</w:t>
            </w:r>
          </w:p>
        </w:tc>
        <w:tc>
          <w:tcPr>
            <w:tcW w:w="486" w:type="dxa"/>
            <w:tcBorders>
              <w:top w:val="single" w:sz="4" w:space="0" w:color="0070CD"/>
              <w:bottom w:val="single" w:sz="4" w:space="0" w:color="0070CD"/>
            </w:tcBorders>
            <w:vAlign w:val="center"/>
          </w:tcPr>
          <w:p w14:paraId="6929FF8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0070CD"/>
            </w:tcBorders>
            <w:vAlign w:val="center"/>
          </w:tcPr>
          <w:p w14:paraId="0B3CFDF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0070CD"/>
            </w:tcBorders>
            <w:vAlign w:val="center"/>
          </w:tcPr>
          <w:p w14:paraId="3DE6E8D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0070CD"/>
            </w:tcBorders>
            <w:vAlign w:val="center"/>
          </w:tcPr>
          <w:p w14:paraId="5E7FFF6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0070CD"/>
            </w:tcBorders>
            <w:vAlign w:val="center"/>
          </w:tcPr>
          <w:p w14:paraId="6F754D0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7</w:t>
            </w:r>
          </w:p>
        </w:tc>
      </w:tr>
      <w:tr w:rsidR="00342BEE" w:rsidRPr="00342BEE" w14:paraId="20D87DAC" w14:textId="77777777" w:rsidTr="003A35DE">
        <w:trPr>
          <w:trHeight w:val="300"/>
        </w:trPr>
        <w:tc>
          <w:tcPr>
            <w:tcW w:w="2790" w:type="dxa"/>
            <w:tcBorders>
              <w:top w:val="single" w:sz="4" w:space="0" w:color="0070CD"/>
              <w:bottom w:val="single" w:sz="4" w:space="0" w:color="auto"/>
            </w:tcBorders>
            <w:shd w:val="clear" w:color="auto" w:fill="auto"/>
            <w:noWrap/>
            <w:vAlign w:val="center"/>
          </w:tcPr>
          <w:p w14:paraId="1998CD1D" w14:textId="4F42130F" w:rsidR="00342BEE" w:rsidRPr="00342BEE" w:rsidRDefault="00342BEE" w:rsidP="003A35DE">
            <w:pPr>
              <w:keepNext/>
              <w:tabs>
                <w:tab w:val="clear" w:pos="-1440"/>
                <w:tab w:val="clear" w:pos="-720"/>
              </w:tabs>
              <w:spacing w:after="0" w:line="240" w:lineRule="auto"/>
              <w:ind w:left="0"/>
              <w:rPr>
                <w:rFonts w:ascii="Arial" w:hAnsi="Arial" w:cs="Arial"/>
                <w:color w:val="000000"/>
                <w:sz w:val="18"/>
                <w:szCs w:val="18"/>
              </w:rPr>
            </w:pPr>
            <w:r w:rsidRPr="00342BEE">
              <w:rPr>
                <w:rFonts w:ascii="Arial" w:eastAsia="Calibri" w:hAnsi="Arial" w:cs="Arial"/>
                <w:sz w:val="18"/>
                <w:szCs w:val="18"/>
              </w:rPr>
              <w:t>Commercial Prescriptive</w:t>
            </w:r>
          </w:p>
        </w:tc>
        <w:tc>
          <w:tcPr>
            <w:tcW w:w="990" w:type="dxa"/>
            <w:tcBorders>
              <w:top w:val="single" w:sz="4" w:space="0" w:color="0070CD"/>
              <w:bottom w:val="single" w:sz="4" w:space="0" w:color="auto"/>
            </w:tcBorders>
            <w:shd w:val="clear" w:color="auto" w:fill="auto"/>
            <w:noWrap/>
            <w:vAlign w:val="center"/>
          </w:tcPr>
          <w:p w14:paraId="160189E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eastAsia="Calibri" w:hAnsi="Arial" w:cs="Arial"/>
                <w:sz w:val="18"/>
                <w:szCs w:val="18"/>
              </w:rPr>
              <w:t>2/4/15</w:t>
            </w:r>
          </w:p>
        </w:tc>
        <w:tc>
          <w:tcPr>
            <w:tcW w:w="1080" w:type="dxa"/>
            <w:tcBorders>
              <w:top w:val="single" w:sz="4" w:space="0" w:color="0070CD"/>
              <w:bottom w:val="single" w:sz="4" w:space="0" w:color="auto"/>
            </w:tcBorders>
            <w:shd w:val="clear" w:color="auto" w:fill="auto"/>
            <w:noWrap/>
            <w:vAlign w:val="center"/>
          </w:tcPr>
          <w:p w14:paraId="5413845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 h.</w:t>
            </w:r>
          </w:p>
        </w:tc>
        <w:tc>
          <w:tcPr>
            <w:tcW w:w="486" w:type="dxa"/>
            <w:tcBorders>
              <w:top w:val="single" w:sz="4" w:space="0" w:color="0070CD"/>
              <w:bottom w:val="single" w:sz="4" w:space="0" w:color="auto"/>
            </w:tcBorders>
            <w:vAlign w:val="center"/>
          </w:tcPr>
          <w:p w14:paraId="0BC98E6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vAlign w:val="center"/>
          </w:tcPr>
          <w:p w14:paraId="4E69864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vAlign w:val="center"/>
          </w:tcPr>
          <w:p w14:paraId="4150F86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shd w:val="clear" w:color="auto" w:fill="auto"/>
            <w:noWrap/>
            <w:vAlign w:val="center"/>
          </w:tcPr>
          <w:p w14:paraId="5A558FF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shd w:val="clear" w:color="auto" w:fill="auto"/>
            <w:noWrap/>
            <w:vAlign w:val="center"/>
          </w:tcPr>
          <w:p w14:paraId="1F817BD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vAlign w:val="center"/>
          </w:tcPr>
          <w:p w14:paraId="45795B1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vAlign w:val="center"/>
          </w:tcPr>
          <w:p w14:paraId="5BA7AB9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w:t>
            </w:r>
          </w:p>
        </w:tc>
        <w:tc>
          <w:tcPr>
            <w:tcW w:w="450" w:type="dxa"/>
            <w:tcBorders>
              <w:top w:val="single" w:sz="4" w:space="0" w:color="0070CD"/>
              <w:bottom w:val="single" w:sz="4" w:space="0" w:color="auto"/>
            </w:tcBorders>
            <w:vAlign w:val="center"/>
          </w:tcPr>
          <w:p w14:paraId="4A6D8DF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auto"/>
            </w:tcBorders>
            <w:vAlign w:val="center"/>
          </w:tcPr>
          <w:p w14:paraId="67EC816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auto"/>
            </w:tcBorders>
            <w:vAlign w:val="center"/>
          </w:tcPr>
          <w:p w14:paraId="772DB84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auto"/>
            </w:tcBorders>
            <w:vAlign w:val="center"/>
          </w:tcPr>
          <w:p w14:paraId="3003E79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w:t>
            </w:r>
          </w:p>
        </w:tc>
      </w:tr>
      <w:tr w:rsidR="00342BEE" w:rsidRPr="00342BEE" w14:paraId="23A6C92B" w14:textId="77777777" w:rsidTr="003A35DE">
        <w:trPr>
          <w:trHeight w:val="300"/>
        </w:trPr>
        <w:tc>
          <w:tcPr>
            <w:tcW w:w="2790" w:type="dxa"/>
            <w:tcBorders>
              <w:top w:val="single" w:sz="4" w:space="0" w:color="auto"/>
            </w:tcBorders>
            <w:shd w:val="clear" w:color="auto" w:fill="auto"/>
            <w:noWrap/>
            <w:vAlign w:val="center"/>
          </w:tcPr>
          <w:p w14:paraId="2C5A05F4"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Commercial Lighting</w:t>
            </w:r>
          </w:p>
        </w:tc>
        <w:tc>
          <w:tcPr>
            <w:tcW w:w="990" w:type="dxa"/>
            <w:tcBorders>
              <w:top w:val="single" w:sz="4" w:space="0" w:color="auto"/>
            </w:tcBorders>
            <w:shd w:val="clear" w:color="auto" w:fill="auto"/>
            <w:noWrap/>
            <w:vAlign w:val="center"/>
          </w:tcPr>
          <w:p w14:paraId="14A32CA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10/1/15</w:t>
            </w:r>
          </w:p>
        </w:tc>
        <w:tc>
          <w:tcPr>
            <w:tcW w:w="1080" w:type="dxa"/>
            <w:tcBorders>
              <w:top w:val="single" w:sz="4" w:space="0" w:color="auto"/>
            </w:tcBorders>
            <w:shd w:val="clear" w:color="auto" w:fill="auto"/>
            <w:noWrap/>
            <w:vAlign w:val="center"/>
          </w:tcPr>
          <w:p w14:paraId="52F488F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45 m.</w:t>
            </w:r>
          </w:p>
        </w:tc>
        <w:tc>
          <w:tcPr>
            <w:tcW w:w="486" w:type="dxa"/>
            <w:tcBorders>
              <w:top w:val="single" w:sz="4" w:space="0" w:color="auto"/>
            </w:tcBorders>
            <w:vAlign w:val="center"/>
          </w:tcPr>
          <w:p w14:paraId="0A37291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auto"/>
            </w:tcBorders>
            <w:vAlign w:val="center"/>
          </w:tcPr>
          <w:p w14:paraId="013074D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auto"/>
            </w:tcBorders>
            <w:vAlign w:val="center"/>
          </w:tcPr>
          <w:p w14:paraId="3AFFC80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auto"/>
            </w:tcBorders>
            <w:shd w:val="clear" w:color="auto" w:fill="auto"/>
            <w:noWrap/>
            <w:vAlign w:val="center"/>
          </w:tcPr>
          <w:p w14:paraId="01AA9A6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auto"/>
            </w:tcBorders>
            <w:shd w:val="clear" w:color="auto" w:fill="auto"/>
            <w:noWrap/>
            <w:vAlign w:val="center"/>
          </w:tcPr>
          <w:p w14:paraId="08F2342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auto"/>
            </w:tcBorders>
            <w:vAlign w:val="center"/>
          </w:tcPr>
          <w:p w14:paraId="4EC710F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auto"/>
            </w:tcBorders>
            <w:vAlign w:val="center"/>
          </w:tcPr>
          <w:p w14:paraId="45E1991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auto"/>
            </w:tcBorders>
            <w:vAlign w:val="center"/>
          </w:tcPr>
          <w:p w14:paraId="7ABA4CE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auto"/>
            </w:tcBorders>
            <w:vAlign w:val="center"/>
          </w:tcPr>
          <w:p w14:paraId="58256CC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auto"/>
            </w:tcBorders>
            <w:vAlign w:val="center"/>
          </w:tcPr>
          <w:p w14:paraId="2ECAB19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auto"/>
            </w:tcBorders>
            <w:vAlign w:val="center"/>
          </w:tcPr>
          <w:p w14:paraId="310B902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3ACCF878" w14:textId="77777777" w:rsidTr="00342BEE">
        <w:trPr>
          <w:trHeight w:val="300"/>
        </w:trPr>
        <w:tc>
          <w:tcPr>
            <w:tcW w:w="2790" w:type="dxa"/>
            <w:tcBorders>
              <w:top w:val="single" w:sz="4" w:space="0" w:color="0070CD"/>
            </w:tcBorders>
            <w:shd w:val="clear" w:color="auto" w:fill="auto"/>
            <w:noWrap/>
            <w:vAlign w:val="center"/>
          </w:tcPr>
          <w:p w14:paraId="508040A6"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Commercial Nonlighting Prescr.</w:t>
            </w:r>
          </w:p>
        </w:tc>
        <w:tc>
          <w:tcPr>
            <w:tcW w:w="990" w:type="dxa"/>
            <w:tcBorders>
              <w:top w:val="single" w:sz="4" w:space="0" w:color="0070CD"/>
            </w:tcBorders>
            <w:shd w:val="clear" w:color="auto" w:fill="auto"/>
            <w:noWrap/>
            <w:vAlign w:val="center"/>
          </w:tcPr>
          <w:p w14:paraId="633D0BD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10/2/15</w:t>
            </w:r>
          </w:p>
        </w:tc>
        <w:tc>
          <w:tcPr>
            <w:tcW w:w="1080" w:type="dxa"/>
            <w:tcBorders>
              <w:top w:val="single" w:sz="4" w:space="0" w:color="0070CD"/>
            </w:tcBorders>
            <w:shd w:val="clear" w:color="auto" w:fill="auto"/>
            <w:noWrap/>
            <w:vAlign w:val="center"/>
          </w:tcPr>
          <w:p w14:paraId="37FB909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45 m.</w:t>
            </w:r>
          </w:p>
        </w:tc>
        <w:tc>
          <w:tcPr>
            <w:tcW w:w="486" w:type="dxa"/>
            <w:tcBorders>
              <w:top w:val="single" w:sz="4" w:space="0" w:color="0070CD"/>
            </w:tcBorders>
            <w:vAlign w:val="center"/>
          </w:tcPr>
          <w:p w14:paraId="48E6E31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CA3F62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927F4F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2CEE632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505FAA4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0115874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31F425F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0070CD"/>
            </w:tcBorders>
            <w:vAlign w:val="center"/>
          </w:tcPr>
          <w:p w14:paraId="7E61F0F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0E651BF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57EE9CD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80389D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09DEDF65" w14:textId="77777777" w:rsidTr="00342BEE">
        <w:trPr>
          <w:trHeight w:val="300"/>
        </w:trPr>
        <w:tc>
          <w:tcPr>
            <w:tcW w:w="2790" w:type="dxa"/>
            <w:tcBorders>
              <w:top w:val="single" w:sz="4" w:space="0" w:color="0070CD"/>
            </w:tcBorders>
            <w:shd w:val="clear" w:color="auto" w:fill="auto"/>
            <w:noWrap/>
            <w:vAlign w:val="center"/>
          </w:tcPr>
          <w:p w14:paraId="6464DFF2"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Site Specific</w:t>
            </w:r>
          </w:p>
        </w:tc>
        <w:tc>
          <w:tcPr>
            <w:tcW w:w="990" w:type="dxa"/>
            <w:tcBorders>
              <w:top w:val="single" w:sz="4" w:space="0" w:color="0070CD"/>
            </w:tcBorders>
            <w:shd w:val="clear" w:color="auto" w:fill="auto"/>
            <w:noWrap/>
            <w:vAlign w:val="center"/>
          </w:tcPr>
          <w:p w14:paraId="0CF0244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10/1/15</w:t>
            </w:r>
          </w:p>
        </w:tc>
        <w:tc>
          <w:tcPr>
            <w:tcW w:w="1080" w:type="dxa"/>
            <w:tcBorders>
              <w:top w:val="single" w:sz="4" w:space="0" w:color="0070CD"/>
            </w:tcBorders>
            <w:shd w:val="clear" w:color="auto" w:fill="auto"/>
            <w:noWrap/>
            <w:vAlign w:val="center"/>
          </w:tcPr>
          <w:p w14:paraId="73AC77B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45 m.</w:t>
            </w:r>
          </w:p>
        </w:tc>
        <w:tc>
          <w:tcPr>
            <w:tcW w:w="486" w:type="dxa"/>
            <w:tcBorders>
              <w:top w:val="single" w:sz="4" w:space="0" w:color="0070CD"/>
            </w:tcBorders>
            <w:vAlign w:val="center"/>
          </w:tcPr>
          <w:p w14:paraId="3A79324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68A60E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5B43D9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3EAC4C4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72F7525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51F2BA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67D9666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0070CD"/>
            </w:tcBorders>
            <w:vAlign w:val="center"/>
          </w:tcPr>
          <w:p w14:paraId="1A39552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2483AE2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6ABDD05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0EEF355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3512CCAA" w14:textId="77777777" w:rsidTr="00342BEE">
        <w:trPr>
          <w:trHeight w:val="300"/>
        </w:trPr>
        <w:tc>
          <w:tcPr>
            <w:tcW w:w="2790" w:type="dxa"/>
            <w:tcBorders>
              <w:top w:val="single" w:sz="4" w:space="0" w:color="0070CD"/>
            </w:tcBorders>
            <w:shd w:val="clear" w:color="auto" w:fill="auto"/>
            <w:noWrap/>
            <w:vAlign w:val="center"/>
          </w:tcPr>
          <w:p w14:paraId="462CD86B"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Residential Prescriptive</w:t>
            </w:r>
          </w:p>
        </w:tc>
        <w:tc>
          <w:tcPr>
            <w:tcW w:w="990" w:type="dxa"/>
            <w:tcBorders>
              <w:top w:val="single" w:sz="4" w:space="0" w:color="0070CD"/>
            </w:tcBorders>
            <w:shd w:val="clear" w:color="auto" w:fill="auto"/>
            <w:noWrap/>
            <w:vAlign w:val="center"/>
          </w:tcPr>
          <w:p w14:paraId="4177599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10/5/15</w:t>
            </w:r>
          </w:p>
        </w:tc>
        <w:tc>
          <w:tcPr>
            <w:tcW w:w="1080" w:type="dxa"/>
            <w:tcBorders>
              <w:top w:val="single" w:sz="4" w:space="0" w:color="0070CD"/>
            </w:tcBorders>
            <w:shd w:val="clear" w:color="auto" w:fill="auto"/>
            <w:noWrap/>
            <w:vAlign w:val="center"/>
          </w:tcPr>
          <w:p w14:paraId="1AB4ABB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 h.</w:t>
            </w:r>
          </w:p>
        </w:tc>
        <w:tc>
          <w:tcPr>
            <w:tcW w:w="486" w:type="dxa"/>
            <w:tcBorders>
              <w:top w:val="single" w:sz="4" w:space="0" w:color="0070CD"/>
            </w:tcBorders>
            <w:vAlign w:val="center"/>
          </w:tcPr>
          <w:p w14:paraId="202CEF6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76E97E1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7697F8B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3F2EABE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7C8581C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28D0865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62BF53F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0070CD"/>
            </w:tcBorders>
            <w:vAlign w:val="center"/>
          </w:tcPr>
          <w:p w14:paraId="6104C45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0EEDB58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505A713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38B5E4A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4CD41CD3" w14:textId="77777777" w:rsidTr="00342BEE">
        <w:trPr>
          <w:trHeight w:val="300"/>
        </w:trPr>
        <w:tc>
          <w:tcPr>
            <w:tcW w:w="2790" w:type="dxa"/>
            <w:tcBorders>
              <w:top w:val="single" w:sz="4" w:space="0" w:color="0070CD"/>
            </w:tcBorders>
            <w:shd w:val="clear" w:color="auto" w:fill="auto"/>
            <w:noWrap/>
            <w:vAlign w:val="center"/>
          </w:tcPr>
          <w:p w14:paraId="2D426D5A"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Low Income</w:t>
            </w:r>
          </w:p>
        </w:tc>
        <w:tc>
          <w:tcPr>
            <w:tcW w:w="990" w:type="dxa"/>
            <w:tcBorders>
              <w:top w:val="single" w:sz="4" w:space="0" w:color="0070CD"/>
            </w:tcBorders>
            <w:shd w:val="clear" w:color="auto" w:fill="auto"/>
            <w:noWrap/>
            <w:vAlign w:val="center"/>
          </w:tcPr>
          <w:p w14:paraId="6869D62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10/7/15</w:t>
            </w:r>
          </w:p>
        </w:tc>
        <w:tc>
          <w:tcPr>
            <w:tcW w:w="1080" w:type="dxa"/>
            <w:tcBorders>
              <w:top w:val="single" w:sz="4" w:space="0" w:color="0070CD"/>
            </w:tcBorders>
            <w:shd w:val="clear" w:color="auto" w:fill="auto"/>
            <w:noWrap/>
            <w:vAlign w:val="center"/>
          </w:tcPr>
          <w:p w14:paraId="3F48B84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 h.</w:t>
            </w:r>
          </w:p>
        </w:tc>
        <w:tc>
          <w:tcPr>
            <w:tcW w:w="486" w:type="dxa"/>
            <w:tcBorders>
              <w:top w:val="single" w:sz="4" w:space="0" w:color="0070CD"/>
            </w:tcBorders>
            <w:vAlign w:val="center"/>
          </w:tcPr>
          <w:p w14:paraId="63D28B8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F3EBC8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44D3CA7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0C0AB98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127D484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6B4A1DB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562B42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0070CD"/>
            </w:tcBorders>
            <w:vAlign w:val="center"/>
          </w:tcPr>
          <w:p w14:paraId="06A4DD6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DCEB7F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E739E9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34982BC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5928894D" w14:textId="77777777" w:rsidTr="00342BEE">
        <w:trPr>
          <w:trHeight w:val="300"/>
        </w:trPr>
        <w:tc>
          <w:tcPr>
            <w:tcW w:w="2790" w:type="dxa"/>
            <w:tcBorders>
              <w:top w:val="single" w:sz="4" w:space="0" w:color="0070CD"/>
            </w:tcBorders>
            <w:shd w:val="clear" w:color="auto" w:fill="auto"/>
            <w:noWrap/>
            <w:vAlign w:val="center"/>
          </w:tcPr>
          <w:p w14:paraId="0062B8F3"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Opower</w:t>
            </w:r>
          </w:p>
        </w:tc>
        <w:tc>
          <w:tcPr>
            <w:tcW w:w="990" w:type="dxa"/>
            <w:tcBorders>
              <w:top w:val="single" w:sz="4" w:space="0" w:color="0070CD"/>
            </w:tcBorders>
            <w:shd w:val="clear" w:color="auto" w:fill="auto"/>
            <w:noWrap/>
            <w:vAlign w:val="center"/>
          </w:tcPr>
          <w:p w14:paraId="665E042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10/8/15</w:t>
            </w:r>
          </w:p>
        </w:tc>
        <w:tc>
          <w:tcPr>
            <w:tcW w:w="1080" w:type="dxa"/>
            <w:tcBorders>
              <w:top w:val="single" w:sz="4" w:space="0" w:color="0070CD"/>
            </w:tcBorders>
            <w:shd w:val="clear" w:color="auto" w:fill="auto"/>
            <w:noWrap/>
            <w:vAlign w:val="center"/>
          </w:tcPr>
          <w:p w14:paraId="3FD1A5F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 h.</w:t>
            </w:r>
          </w:p>
        </w:tc>
        <w:tc>
          <w:tcPr>
            <w:tcW w:w="486" w:type="dxa"/>
            <w:tcBorders>
              <w:top w:val="single" w:sz="4" w:space="0" w:color="0070CD"/>
            </w:tcBorders>
            <w:vAlign w:val="center"/>
          </w:tcPr>
          <w:p w14:paraId="68D877C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378DE7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EFB8A1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72EE89A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44237C9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206FC49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7AD5818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0070CD"/>
            </w:tcBorders>
            <w:vAlign w:val="center"/>
          </w:tcPr>
          <w:p w14:paraId="6BD6625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1A86B4A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3CCCAAC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12BF8A4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095265E3" w14:textId="77777777" w:rsidTr="00342BEE">
        <w:trPr>
          <w:trHeight w:val="300"/>
        </w:trPr>
        <w:tc>
          <w:tcPr>
            <w:tcW w:w="2790" w:type="dxa"/>
            <w:tcBorders>
              <w:top w:val="single" w:sz="4" w:space="0" w:color="0070CD"/>
            </w:tcBorders>
            <w:shd w:val="clear" w:color="auto" w:fill="auto"/>
            <w:noWrap/>
            <w:vAlign w:val="center"/>
          </w:tcPr>
          <w:p w14:paraId="03284211"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Simple Steps</w:t>
            </w:r>
          </w:p>
        </w:tc>
        <w:tc>
          <w:tcPr>
            <w:tcW w:w="990" w:type="dxa"/>
            <w:tcBorders>
              <w:top w:val="single" w:sz="4" w:space="0" w:color="0070CD"/>
            </w:tcBorders>
            <w:shd w:val="clear" w:color="auto" w:fill="auto"/>
            <w:noWrap/>
            <w:vAlign w:val="center"/>
          </w:tcPr>
          <w:p w14:paraId="3A7B39A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10/9/15</w:t>
            </w:r>
          </w:p>
        </w:tc>
        <w:tc>
          <w:tcPr>
            <w:tcW w:w="1080" w:type="dxa"/>
            <w:tcBorders>
              <w:top w:val="single" w:sz="4" w:space="0" w:color="0070CD"/>
            </w:tcBorders>
            <w:shd w:val="clear" w:color="auto" w:fill="auto"/>
            <w:noWrap/>
            <w:vAlign w:val="center"/>
          </w:tcPr>
          <w:p w14:paraId="245F8D5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45 m.</w:t>
            </w:r>
          </w:p>
        </w:tc>
        <w:tc>
          <w:tcPr>
            <w:tcW w:w="486" w:type="dxa"/>
            <w:tcBorders>
              <w:top w:val="single" w:sz="4" w:space="0" w:color="0070CD"/>
            </w:tcBorders>
            <w:vAlign w:val="center"/>
          </w:tcPr>
          <w:p w14:paraId="00BE330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BB74C2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61F18D7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0ACD325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7D11DC0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31329B8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7D85AA0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0070CD"/>
            </w:tcBorders>
            <w:vAlign w:val="center"/>
          </w:tcPr>
          <w:p w14:paraId="0BD82DB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F5EFD2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A21BC8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B4B0D8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6960D484" w14:textId="77777777" w:rsidTr="00342BEE">
        <w:trPr>
          <w:trHeight w:val="300"/>
        </w:trPr>
        <w:tc>
          <w:tcPr>
            <w:tcW w:w="2790" w:type="dxa"/>
            <w:tcBorders>
              <w:top w:val="single" w:sz="4" w:space="0" w:color="0070CD"/>
            </w:tcBorders>
            <w:shd w:val="clear" w:color="auto" w:fill="auto"/>
            <w:noWrap/>
            <w:vAlign w:val="center"/>
          </w:tcPr>
          <w:p w14:paraId="391B5C5A"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Program Goals and Planning</w:t>
            </w:r>
          </w:p>
        </w:tc>
        <w:tc>
          <w:tcPr>
            <w:tcW w:w="990" w:type="dxa"/>
            <w:tcBorders>
              <w:top w:val="single" w:sz="4" w:space="0" w:color="0070CD"/>
            </w:tcBorders>
            <w:shd w:val="clear" w:color="auto" w:fill="auto"/>
            <w:noWrap/>
            <w:vAlign w:val="center"/>
          </w:tcPr>
          <w:p w14:paraId="69B2CCF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10/15/15</w:t>
            </w:r>
          </w:p>
        </w:tc>
        <w:tc>
          <w:tcPr>
            <w:tcW w:w="1080" w:type="dxa"/>
            <w:tcBorders>
              <w:top w:val="single" w:sz="4" w:space="0" w:color="0070CD"/>
            </w:tcBorders>
            <w:shd w:val="clear" w:color="auto" w:fill="auto"/>
            <w:noWrap/>
            <w:vAlign w:val="center"/>
          </w:tcPr>
          <w:p w14:paraId="0B6D617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30 m.</w:t>
            </w:r>
          </w:p>
        </w:tc>
        <w:tc>
          <w:tcPr>
            <w:tcW w:w="486" w:type="dxa"/>
            <w:tcBorders>
              <w:top w:val="single" w:sz="4" w:space="0" w:color="0070CD"/>
            </w:tcBorders>
            <w:vAlign w:val="center"/>
          </w:tcPr>
          <w:p w14:paraId="7E40EE3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C009C7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5E7F2FE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505DDDB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3C0F16F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tcBorders>
            <w:vAlign w:val="center"/>
          </w:tcPr>
          <w:p w14:paraId="29F19E2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354D51D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7249F28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19EB340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6F38203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573A0F1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39279F40" w14:textId="77777777" w:rsidTr="00342BEE">
        <w:trPr>
          <w:trHeight w:val="300"/>
        </w:trPr>
        <w:tc>
          <w:tcPr>
            <w:tcW w:w="2790" w:type="dxa"/>
            <w:tcBorders>
              <w:top w:val="single" w:sz="4" w:space="0" w:color="0070CD"/>
            </w:tcBorders>
            <w:shd w:val="clear" w:color="auto" w:fill="auto"/>
            <w:noWrap/>
            <w:vAlign w:val="center"/>
          </w:tcPr>
          <w:p w14:paraId="42C5C7E2"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Marketing</w:t>
            </w:r>
          </w:p>
        </w:tc>
        <w:tc>
          <w:tcPr>
            <w:tcW w:w="990" w:type="dxa"/>
            <w:tcBorders>
              <w:top w:val="single" w:sz="4" w:space="0" w:color="0070CD"/>
            </w:tcBorders>
            <w:shd w:val="clear" w:color="auto" w:fill="auto"/>
            <w:noWrap/>
            <w:vAlign w:val="center"/>
          </w:tcPr>
          <w:p w14:paraId="3892139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10/20/15</w:t>
            </w:r>
          </w:p>
        </w:tc>
        <w:tc>
          <w:tcPr>
            <w:tcW w:w="1080" w:type="dxa"/>
            <w:tcBorders>
              <w:top w:val="single" w:sz="4" w:space="0" w:color="0070CD"/>
            </w:tcBorders>
            <w:shd w:val="clear" w:color="auto" w:fill="auto"/>
            <w:noWrap/>
            <w:vAlign w:val="center"/>
          </w:tcPr>
          <w:p w14:paraId="5705CC8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45 m.</w:t>
            </w:r>
          </w:p>
        </w:tc>
        <w:tc>
          <w:tcPr>
            <w:tcW w:w="486" w:type="dxa"/>
            <w:tcBorders>
              <w:top w:val="single" w:sz="4" w:space="0" w:color="0070CD"/>
            </w:tcBorders>
            <w:vAlign w:val="center"/>
          </w:tcPr>
          <w:p w14:paraId="14839CD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18241F5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3CD2705F"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702DAF5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shd w:val="clear" w:color="auto" w:fill="auto"/>
            <w:noWrap/>
            <w:vAlign w:val="center"/>
          </w:tcPr>
          <w:p w14:paraId="23ACC41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35EABF2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tcBorders>
            <w:vAlign w:val="center"/>
          </w:tcPr>
          <w:p w14:paraId="09B51CF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042597C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313CC24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w:t>
            </w:r>
          </w:p>
        </w:tc>
        <w:tc>
          <w:tcPr>
            <w:tcW w:w="450" w:type="dxa"/>
            <w:tcBorders>
              <w:top w:val="single" w:sz="4" w:space="0" w:color="0070CD"/>
            </w:tcBorders>
            <w:vAlign w:val="center"/>
          </w:tcPr>
          <w:p w14:paraId="02F4EEF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tcBorders>
            <w:vAlign w:val="center"/>
          </w:tcPr>
          <w:p w14:paraId="09811C4E"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w:t>
            </w:r>
          </w:p>
        </w:tc>
      </w:tr>
      <w:tr w:rsidR="00342BEE" w:rsidRPr="00342BEE" w14:paraId="0A135A32" w14:textId="77777777" w:rsidTr="003A35DE">
        <w:trPr>
          <w:trHeight w:val="300"/>
        </w:trPr>
        <w:tc>
          <w:tcPr>
            <w:tcW w:w="2790" w:type="dxa"/>
            <w:tcBorders>
              <w:top w:val="single" w:sz="4" w:space="0" w:color="0070CD"/>
              <w:bottom w:val="single" w:sz="4" w:space="0" w:color="0070CD"/>
            </w:tcBorders>
            <w:shd w:val="clear" w:color="auto" w:fill="auto"/>
            <w:noWrap/>
            <w:vAlign w:val="center"/>
          </w:tcPr>
          <w:p w14:paraId="40152C96"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Opower Follow-up</w:t>
            </w:r>
          </w:p>
        </w:tc>
        <w:tc>
          <w:tcPr>
            <w:tcW w:w="990" w:type="dxa"/>
            <w:tcBorders>
              <w:top w:val="single" w:sz="4" w:space="0" w:color="0070CD"/>
              <w:bottom w:val="single" w:sz="4" w:space="0" w:color="0070CD"/>
            </w:tcBorders>
            <w:shd w:val="clear" w:color="auto" w:fill="auto"/>
            <w:noWrap/>
            <w:vAlign w:val="center"/>
          </w:tcPr>
          <w:p w14:paraId="075C58F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10/27/15</w:t>
            </w:r>
          </w:p>
        </w:tc>
        <w:tc>
          <w:tcPr>
            <w:tcW w:w="1080" w:type="dxa"/>
            <w:tcBorders>
              <w:top w:val="single" w:sz="4" w:space="0" w:color="0070CD"/>
              <w:bottom w:val="single" w:sz="4" w:space="0" w:color="0070CD"/>
            </w:tcBorders>
            <w:shd w:val="clear" w:color="auto" w:fill="auto"/>
            <w:noWrap/>
            <w:vAlign w:val="center"/>
          </w:tcPr>
          <w:p w14:paraId="7CCD2FA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30 m.</w:t>
            </w:r>
          </w:p>
        </w:tc>
        <w:tc>
          <w:tcPr>
            <w:tcW w:w="486" w:type="dxa"/>
            <w:tcBorders>
              <w:top w:val="single" w:sz="4" w:space="0" w:color="0070CD"/>
              <w:bottom w:val="single" w:sz="4" w:space="0" w:color="0070CD"/>
            </w:tcBorders>
            <w:vAlign w:val="center"/>
          </w:tcPr>
          <w:p w14:paraId="66AAF20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0070CD"/>
            </w:tcBorders>
            <w:vAlign w:val="center"/>
          </w:tcPr>
          <w:p w14:paraId="47143C9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0070CD"/>
            </w:tcBorders>
            <w:vAlign w:val="center"/>
          </w:tcPr>
          <w:p w14:paraId="6E64D68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0070CD"/>
            </w:tcBorders>
            <w:shd w:val="clear" w:color="auto" w:fill="auto"/>
            <w:noWrap/>
            <w:vAlign w:val="center"/>
          </w:tcPr>
          <w:p w14:paraId="2D86CDF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0070CD"/>
            </w:tcBorders>
            <w:shd w:val="clear" w:color="auto" w:fill="auto"/>
            <w:noWrap/>
            <w:vAlign w:val="center"/>
          </w:tcPr>
          <w:p w14:paraId="27974263"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86" w:type="dxa"/>
            <w:tcBorders>
              <w:top w:val="single" w:sz="4" w:space="0" w:color="0070CD"/>
              <w:bottom w:val="single" w:sz="4" w:space="0" w:color="0070CD"/>
            </w:tcBorders>
            <w:vAlign w:val="center"/>
          </w:tcPr>
          <w:p w14:paraId="70DA8D6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0070CD"/>
            </w:tcBorders>
            <w:vAlign w:val="center"/>
          </w:tcPr>
          <w:p w14:paraId="0B6FA687"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0070CD"/>
            </w:tcBorders>
            <w:vAlign w:val="center"/>
          </w:tcPr>
          <w:p w14:paraId="5554312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0070CD"/>
            </w:tcBorders>
            <w:vAlign w:val="center"/>
          </w:tcPr>
          <w:p w14:paraId="19ED9FA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0070CD"/>
            </w:tcBorders>
            <w:vAlign w:val="center"/>
          </w:tcPr>
          <w:p w14:paraId="4C1262E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0070CD"/>
            </w:tcBorders>
            <w:vAlign w:val="center"/>
          </w:tcPr>
          <w:p w14:paraId="7869B36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r>
      <w:tr w:rsidR="00342BEE" w:rsidRPr="00342BEE" w14:paraId="4BA96552" w14:textId="77777777" w:rsidTr="003A35DE">
        <w:trPr>
          <w:trHeight w:val="300"/>
        </w:trPr>
        <w:tc>
          <w:tcPr>
            <w:tcW w:w="2790" w:type="dxa"/>
            <w:tcBorders>
              <w:top w:val="single" w:sz="4" w:space="0" w:color="0070CD"/>
              <w:bottom w:val="single" w:sz="4" w:space="0" w:color="auto"/>
            </w:tcBorders>
            <w:shd w:val="clear" w:color="auto" w:fill="auto"/>
            <w:noWrap/>
            <w:vAlign w:val="center"/>
          </w:tcPr>
          <w:p w14:paraId="2377EE6E"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Database Transition</w:t>
            </w:r>
          </w:p>
        </w:tc>
        <w:tc>
          <w:tcPr>
            <w:tcW w:w="990" w:type="dxa"/>
            <w:tcBorders>
              <w:top w:val="single" w:sz="4" w:space="0" w:color="0070CD"/>
              <w:bottom w:val="single" w:sz="4" w:space="0" w:color="auto"/>
            </w:tcBorders>
            <w:shd w:val="clear" w:color="auto" w:fill="auto"/>
            <w:noWrap/>
            <w:vAlign w:val="center"/>
          </w:tcPr>
          <w:p w14:paraId="4B02C9A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12/16/15</w:t>
            </w:r>
          </w:p>
        </w:tc>
        <w:tc>
          <w:tcPr>
            <w:tcW w:w="1080" w:type="dxa"/>
            <w:tcBorders>
              <w:top w:val="single" w:sz="4" w:space="0" w:color="0070CD"/>
              <w:bottom w:val="single" w:sz="4" w:space="0" w:color="auto"/>
            </w:tcBorders>
            <w:shd w:val="clear" w:color="auto" w:fill="auto"/>
            <w:noWrap/>
            <w:vAlign w:val="center"/>
          </w:tcPr>
          <w:p w14:paraId="44FDECE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 h.</w:t>
            </w:r>
          </w:p>
        </w:tc>
        <w:tc>
          <w:tcPr>
            <w:tcW w:w="486" w:type="dxa"/>
            <w:tcBorders>
              <w:top w:val="single" w:sz="4" w:space="0" w:color="0070CD"/>
              <w:bottom w:val="single" w:sz="4" w:space="0" w:color="auto"/>
            </w:tcBorders>
            <w:vAlign w:val="center"/>
          </w:tcPr>
          <w:p w14:paraId="5C75EB00"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vAlign w:val="center"/>
          </w:tcPr>
          <w:p w14:paraId="32C548B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vAlign w:val="center"/>
          </w:tcPr>
          <w:p w14:paraId="5583C65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shd w:val="clear" w:color="auto" w:fill="auto"/>
            <w:noWrap/>
            <w:vAlign w:val="center"/>
          </w:tcPr>
          <w:p w14:paraId="3B5D998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shd w:val="clear" w:color="auto" w:fill="auto"/>
            <w:noWrap/>
            <w:vAlign w:val="center"/>
          </w:tcPr>
          <w:p w14:paraId="10D6BACA"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vAlign w:val="center"/>
          </w:tcPr>
          <w:p w14:paraId="18C89174"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0070CD"/>
              <w:bottom w:val="single" w:sz="4" w:space="0" w:color="auto"/>
            </w:tcBorders>
            <w:vAlign w:val="center"/>
          </w:tcPr>
          <w:p w14:paraId="6180E036"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w:t>
            </w:r>
          </w:p>
        </w:tc>
        <w:tc>
          <w:tcPr>
            <w:tcW w:w="450" w:type="dxa"/>
            <w:tcBorders>
              <w:top w:val="single" w:sz="4" w:space="0" w:color="0070CD"/>
              <w:bottom w:val="single" w:sz="4" w:space="0" w:color="auto"/>
            </w:tcBorders>
            <w:vAlign w:val="center"/>
          </w:tcPr>
          <w:p w14:paraId="282665F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auto"/>
            </w:tcBorders>
            <w:vAlign w:val="center"/>
          </w:tcPr>
          <w:p w14:paraId="642363B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50" w:type="dxa"/>
            <w:tcBorders>
              <w:top w:val="single" w:sz="4" w:space="0" w:color="0070CD"/>
              <w:bottom w:val="single" w:sz="4" w:space="0" w:color="auto"/>
            </w:tcBorders>
            <w:vAlign w:val="center"/>
          </w:tcPr>
          <w:p w14:paraId="3CB638C8"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0070CD"/>
              <w:bottom w:val="single" w:sz="4" w:space="0" w:color="auto"/>
            </w:tcBorders>
            <w:vAlign w:val="center"/>
          </w:tcPr>
          <w:p w14:paraId="35AD127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w:t>
            </w:r>
          </w:p>
        </w:tc>
      </w:tr>
      <w:tr w:rsidR="00342BEE" w:rsidRPr="00342BEE" w14:paraId="53DAB993" w14:textId="77777777" w:rsidTr="003A35DE">
        <w:trPr>
          <w:trHeight w:val="300"/>
        </w:trPr>
        <w:tc>
          <w:tcPr>
            <w:tcW w:w="2790" w:type="dxa"/>
            <w:tcBorders>
              <w:top w:val="single" w:sz="4" w:space="0" w:color="auto"/>
            </w:tcBorders>
            <w:shd w:val="clear" w:color="auto" w:fill="auto"/>
            <w:noWrap/>
            <w:vAlign w:val="center"/>
          </w:tcPr>
          <w:p w14:paraId="3CA0E6B0" w14:textId="77777777" w:rsidR="00342BEE" w:rsidRPr="00342BEE" w:rsidRDefault="00342BEE" w:rsidP="00342BEE">
            <w:pPr>
              <w:keepNext/>
              <w:tabs>
                <w:tab w:val="clear" w:pos="-1440"/>
                <w:tab w:val="clear" w:pos="-720"/>
              </w:tabs>
              <w:spacing w:after="0" w:line="240" w:lineRule="auto"/>
              <w:ind w:left="0"/>
              <w:rPr>
                <w:rFonts w:ascii="Arial" w:hAnsi="Arial" w:cs="Arial"/>
                <w:color w:val="000000"/>
                <w:sz w:val="18"/>
                <w:szCs w:val="18"/>
              </w:rPr>
            </w:pPr>
            <w:r w:rsidRPr="00342BEE">
              <w:rPr>
                <w:rFonts w:ascii="Arial" w:hAnsi="Arial" w:cs="Arial"/>
                <w:color w:val="000000"/>
                <w:sz w:val="18"/>
                <w:szCs w:val="18"/>
              </w:rPr>
              <w:t>TOTAL</w:t>
            </w:r>
          </w:p>
        </w:tc>
        <w:tc>
          <w:tcPr>
            <w:tcW w:w="990" w:type="dxa"/>
            <w:tcBorders>
              <w:top w:val="single" w:sz="4" w:space="0" w:color="auto"/>
            </w:tcBorders>
            <w:shd w:val="clear" w:color="auto" w:fill="auto"/>
            <w:noWrap/>
            <w:vAlign w:val="center"/>
          </w:tcPr>
          <w:p w14:paraId="03BEB6FF" w14:textId="47B57D79"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1080" w:type="dxa"/>
            <w:tcBorders>
              <w:top w:val="single" w:sz="4" w:space="0" w:color="auto"/>
            </w:tcBorders>
            <w:shd w:val="clear" w:color="auto" w:fill="auto"/>
            <w:noWrap/>
            <w:vAlign w:val="center"/>
          </w:tcPr>
          <w:p w14:paraId="467F0BEF" w14:textId="189B682C"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p>
        </w:tc>
        <w:tc>
          <w:tcPr>
            <w:tcW w:w="486" w:type="dxa"/>
            <w:tcBorders>
              <w:top w:val="single" w:sz="4" w:space="0" w:color="auto"/>
            </w:tcBorders>
            <w:vAlign w:val="center"/>
          </w:tcPr>
          <w:p w14:paraId="12F9AB9D"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w:t>
            </w:r>
          </w:p>
        </w:tc>
        <w:tc>
          <w:tcPr>
            <w:tcW w:w="486" w:type="dxa"/>
            <w:tcBorders>
              <w:top w:val="single" w:sz="4" w:space="0" w:color="auto"/>
            </w:tcBorders>
            <w:vAlign w:val="center"/>
          </w:tcPr>
          <w:p w14:paraId="0F396D1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w:t>
            </w:r>
          </w:p>
        </w:tc>
        <w:tc>
          <w:tcPr>
            <w:tcW w:w="486" w:type="dxa"/>
            <w:tcBorders>
              <w:top w:val="single" w:sz="4" w:space="0" w:color="auto"/>
            </w:tcBorders>
            <w:vAlign w:val="center"/>
          </w:tcPr>
          <w:p w14:paraId="291A0682"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w:t>
            </w:r>
          </w:p>
        </w:tc>
        <w:tc>
          <w:tcPr>
            <w:tcW w:w="486" w:type="dxa"/>
            <w:tcBorders>
              <w:top w:val="single" w:sz="4" w:space="0" w:color="auto"/>
            </w:tcBorders>
            <w:shd w:val="clear" w:color="auto" w:fill="auto"/>
            <w:noWrap/>
            <w:vAlign w:val="center"/>
          </w:tcPr>
          <w:p w14:paraId="6678813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w:t>
            </w:r>
          </w:p>
        </w:tc>
        <w:tc>
          <w:tcPr>
            <w:tcW w:w="486" w:type="dxa"/>
            <w:tcBorders>
              <w:top w:val="single" w:sz="4" w:space="0" w:color="auto"/>
            </w:tcBorders>
            <w:shd w:val="clear" w:color="auto" w:fill="auto"/>
            <w:noWrap/>
            <w:vAlign w:val="center"/>
          </w:tcPr>
          <w:p w14:paraId="3801181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3</w:t>
            </w:r>
          </w:p>
        </w:tc>
        <w:tc>
          <w:tcPr>
            <w:tcW w:w="486" w:type="dxa"/>
            <w:tcBorders>
              <w:top w:val="single" w:sz="4" w:space="0" w:color="auto"/>
            </w:tcBorders>
            <w:vAlign w:val="center"/>
          </w:tcPr>
          <w:p w14:paraId="1D05AAF5"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6</w:t>
            </w:r>
          </w:p>
        </w:tc>
        <w:tc>
          <w:tcPr>
            <w:tcW w:w="486" w:type="dxa"/>
            <w:tcBorders>
              <w:top w:val="single" w:sz="4" w:space="0" w:color="auto"/>
            </w:tcBorders>
            <w:vAlign w:val="center"/>
          </w:tcPr>
          <w:p w14:paraId="7D7C3DD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18</w:t>
            </w:r>
          </w:p>
        </w:tc>
        <w:tc>
          <w:tcPr>
            <w:tcW w:w="450" w:type="dxa"/>
            <w:tcBorders>
              <w:top w:val="single" w:sz="4" w:space="0" w:color="auto"/>
            </w:tcBorders>
            <w:vAlign w:val="center"/>
          </w:tcPr>
          <w:p w14:paraId="225E1E5B"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1</w:t>
            </w:r>
          </w:p>
        </w:tc>
        <w:tc>
          <w:tcPr>
            <w:tcW w:w="450" w:type="dxa"/>
            <w:tcBorders>
              <w:top w:val="single" w:sz="4" w:space="0" w:color="auto"/>
            </w:tcBorders>
            <w:vAlign w:val="center"/>
          </w:tcPr>
          <w:p w14:paraId="0FBF3F3C"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w:t>
            </w:r>
          </w:p>
        </w:tc>
        <w:tc>
          <w:tcPr>
            <w:tcW w:w="450" w:type="dxa"/>
            <w:tcBorders>
              <w:top w:val="single" w:sz="4" w:space="0" w:color="auto"/>
            </w:tcBorders>
            <w:vAlign w:val="center"/>
          </w:tcPr>
          <w:p w14:paraId="36E9A0C9"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2</w:t>
            </w:r>
          </w:p>
        </w:tc>
        <w:tc>
          <w:tcPr>
            <w:tcW w:w="450" w:type="dxa"/>
            <w:tcBorders>
              <w:top w:val="single" w:sz="4" w:space="0" w:color="auto"/>
            </w:tcBorders>
            <w:vAlign w:val="center"/>
          </w:tcPr>
          <w:p w14:paraId="3BCA1D81" w14:textId="77777777" w:rsidR="00342BEE" w:rsidRPr="00342BEE" w:rsidRDefault="00342BEE" w:rsidP="00342BEE">
            <w:pPr>
              <w:keepNext/>
              <w:tabs>
                <w:tab w:val="clear" w:pos="-1440"/>
                <w:tab w:val="clear" w:pos="-720"/>
              </w:tabs>
              <w:spacing w:after="0" w:line="240" w:lineRule="auto"/>
              <w:ind w:left="0"/>
              <w:jc w:val="center"/>
              <w:rPr>
                <w:rFonts w:ascii="Arial" w:hAnsi="Arial" w:cs="Arial"/>
                <w:color w:val="000000"/>
                <w:sz w:val="18"/>
                <w:szCs w:val="18"/>
              </w:rPr>
            </w:pPr>
            <w:r w:rsidRPr="00342BEE">
              <w:rPr>
                <w:rFonts w:ascii="Arial" w:hAnsi="Arial" w:cs="Arial"/>
                <w:color w:val="000000"/>
                <w:sz w:val="18"/>
                <w:szCs w:val="18"/>
              </w:rPr>
              <w:t>43</w:t>
            </w:r>
          </w:p>
        </w:tc>
      </w:tr>
    </w:tbl>
    <w:p w14:paraId="090E22D5" w14:textId="77777777" w:rsidR="00342BEE" w:rsidRPr="00342BEE" w:rsidRDefault="00342BEE" w:rsidP="00342BEE">
      <w:pPr>
        <w:tabs>
          <w:tab w:val="clear" w:pos="-1440"/>
          <w:tab w:val="clear" w:pos="-720"/>
        </w:tabs>
        <w:spacing w:line="288" w:lineRule="auto"/>
        <w:ind w:left="0"/>
        <w:rPr>
          <w:rFonts w:ascii="Arial" w:eastAsia="Calibri" w:hAnsi="Arial" w:cs="Arial"/>
          <w:color w:val="333333"/>
          <w:szCs w:val="22"/>
        </w:rPr>
      </w:pPr>
    </w:p>
    <w:p w14:paraId="7E5B0477" w14:textId="77777777" w:rsidR="00342BEE" w:rsidRPr="00342BEE" w:rsidRDefault="00342BEE" w:rsidP="00342BEE">
      <w:pPr>
        <w:tabs>
          <w:tab w:val="clear" w:pos="-1440"/>
          <w:tab w:val="clear" w:pos="-720"/>
        </w:tabs>
        <w:spacing w:line="288" w:lineRule="auto"/>
        <w:ind w:left="0"/>
        <w:rPr>
          <w:rFonts w:ascii="Arial" w:eastAsia="Calibri" w:hAnsi="Arial" w:cs="Arial"/>
          <w:color w:val="333333"/>
          <w:szCs w:val="22"/>
        </w:rPr>
      </w:pPr>
      <w:r w:rsidRPr="00342BEE">
        <w:rPr>
          <w:rFonts w:ascii="Arial" w:eastAsia="Calibri" w:hAnsi="Arial" w:cs="Arial"/>
          <w:color w:val="333333"/>
          <w:szCs w:val="22"/>
        </w:rPr>
        <w:t>The February 2015 interviews covered the following topics:</w:t>
      </w:r>
    </w:p>
    <w:p w14:paraId="04C74730" w14:textId="0ED91D7B" w:rsidR="00342BEE" w:rsidRPr="00342BEE" w:rsidRDefault="0023536F" w:rsidP="001A0254">
      <w:pPr>
        <w:pStyle w:val="Mainbody-Bullets"/>
        <w:rPr>
          <w:rFonts w:eastAsia="Calibri"/>
        </w:rPr>
      </w:pPr>
      <w:r w:rsidRPr="00342BEE">
        <w:rPr>
          <w:rFonts w:eastAsia="Calibri"/>
        </w:rPr>
        <w:t>Roles and responsibilities of staff</w:t>
      </w:r>
    </w:p>
    <w:p w14:paraId="6C02BCF3" w14:textId="2BF8826D" w:rsidR="00342BEE" w:rsidRPr="00342BEE" w:rsidRDefault="0023536F" w:rsidP="001A0254">
      <w:pPr>
        <w:pStyle w:val="Mainbody-Bullets"/>
      </w:pPr>
      <w:r w:rsidRPr="00342BEE">
        <w:t>Objectives, activities, and expected outcomes for each program,</w:t>
      </w:r>
    </w:p>
    <w:p w14:paraId="40179F2D" w14:textId="464DF969" w:rsidR="00342BEE" w:rsidRPr="00342BEE" w:rsidRDefault="0023536F" w:rsidP="001A0254">
      <w:pPr>
        <w:pStyle w:val="Mainbody-Bullets"/>
      </w:pPr>
      <w:r w:rsidRPr="00342BEE">
        <w:t>Program- and market-related barriers,</w:t>
      </w:r>
    </w:p>
    <w:p w14:paraId="65426693" w14:textId="3E05341E" w:rsidR="00342BEE" w:rsidRPr="00342BEE" w:rsidRDefault="0023536F" w:rsidP="001A0254">
      <w:pPr>
        <w:pStyle w:val="Mainbody-Bullets"/>
      </w:pPr>
      <w:r w:rsidRPr="00342BEE">
        <w:t>Staff organization and reorganization,</w:t>
      </w:r>
    </w:p>
    <w:p w14:paraId="3F65FE74" w14:textId="59A8464A" w:rsidR="00342BEE" w:rsidRPr="00342BEE" w:rsidRDefault="0023536F" w:rsidP="001A0254">
      <w:pPr>
        <w:pStyle w:val="Mainbody-Bullets"/>
      </w:pPr>
      <w:r w:rsidRPr="00342BEE">
        <w:t xml:space="preserve">Perceptions regarding the mid-year 2014 </w:t>
      </w:r>
      <w:r>
        <w:t>A</w:t>
      </w:r>
      <w:r w:rsidRPr="00342BEE">
        <w:t>vista organizational changes,</w:t>
      </w:r>
    </w:p>
    <w:p w14:paraId="46DF74F1" w14:textId="5B2B0E3B" w:rsidR="00342BEE" w:rsidRPr="00342BEE" w:rsidRDefault="0023536F" w:rsidP="001A0254">
      <w:pPr>
        <w:pStyle w:val="Mainbody-Bullets"/>
      </w:pPr>
      <w:r w:rsidRPr="00342BEE">
        <w:t>Program support such as marketing and outreach,</w:t>
      </w:r>
    </w:p>
    <w:p w14:paraId="0596225D" w14:textId="7CE67D21" w:rsidR="00342BEE" w:rsidRPr="00342BEE" w:rsidRDefault="0023536F" w:rsidP="001A0254">
      <w:pPr>
        <w:pStyle w:val="Mainbody-Bullets"/>
      </w:pPr>
      <w:r w:rsidRPr="00342BEE">
        <w:t>Program tracking databases (including changes since the 2012-2013 evaluation),</w:t>
      </w:r>
    </w:p>
    <w:p w14:paraId="6BB0F0F8" w14:textId="77777777" w:rsidR="00342BEE" w:rsidRPr="00342BEE" w:rsidRDefault="00342BEE" w:rsidP="001A0254">
      <w:pPr>
        <w:pStyle w:val="Mainbody-Bullets"/>
      </w:pPr>
      <w:r w:rsidRPr="00342BEE">
        <w:t>Avista’s responses to previous evaluation recommendations,</w:t>
      </w:r>
    </w:p>
    <w:p w14:paraId="7E195A38" w14:textId="1858FD77" w:rsidR="00342BEE" w:rsidRPr="00342BEE" w:rsidRDefault="0023536F" w:rsidP="001A0254">
      <w:pPr>
        <w:pStyle w:val="Mainbody-Bullets"/>
      </w:pPr>
      <w:r w:rsidRPr="00342BEE">
        <w:t>Issues of concern relevant to th</w:t>
      </w:r>
      <w:r w:rsidR="00342BEE" w:rsidRPr="00342BEE">
        <w:t>e 2014-2015 evaluation, and</w:t>
      </w:r>
    </w:p>
    <w:p w14:paraId="2DA70790" w14:textId="1289CDBF" w:rsidR="00342BEE" w:rsidRPr="00342BEE" w:rsidRDefault="0023536F" w:rsidP="00E33CF7">
      <w:pPr>
        <w:pStyle w:val="Mainbody-BulletsOut"/>
        <w:rPr>
          <w:rFonts w:eastAsia="Calibri"/>
        </w:rPr>
      </w:pPr>
      <w:r w:rsidRPr="00342BEE">
        <w:t>Additional research issues to address through the current evaluation.</w:t>
      </w:r>
    </w:p>
    <w:p w14:paraId="7BD9E478" w14:textId="77777777" w:rsidR="00342BEE" w:rsidRPr="00342BEE" w:rsidRDefault="00342BEE" w:rsidP="00342BEE">
      <w:pPr>
        <w:tabs>
          <w:tab w:val="clear" w:pos="-1440"/>
          <w:tab w:val="clear" w:pos="-720"/>
        </w:tabs>
        <w:spacing w:after="120"/>
        <w:ind w:left="0"/>
        <w:rPr>
          <w:rFonts w:ascii="Arial" w:hAnsi="Arial" w:cs="Microsoft Sans Serif"/>
          <w:color w:val="333333"/>
          <w:szCs w:val="22"/>
        </w:rPr>
      </w:pPr>
      <w:r w:rsidRPr="00342BEE">
        <w:rPr>
          <w:rFonts w:ascii="Arial" w:hAnsi="Arial" w:cs="Microsoft Sans Serif"/>
          <w:color w:val="333333"/>
          <w:szCs w:val="22"/>
        </w:rPr>
        <w:t>The late 2015 interviews largely covered topics such as the following:</w:t>
      </w:r>
    </w:p>
    <w:p w14:paraId="711EC288" w14:textId="5FD3DC80" w:rsidR="00342BEE" w:rsidRPr="00342BEE" w:rsidRDefault="0023536F" w:rsidP="001A0254">
      <w:pPr>
        <w:pStyle w:val="Mainbody-Bullets"/>
      </w:pPr>
      <w:r w:rsidRPr="00342BEE">
        <w:t>Program goals</w:t>
      </w:r>
    </w:p>
    <w:p w14:paraId="4419CDD2" w14:textId="04767F56" w:rsidR="00342BEE" w:rsidRPr="00342BEE" w:rsidRDefault="0023536F" w:rsidP="001A0254">
      <w:pPr>
        <w:pStyle w:val="Mainbody-Bullets"/>
      </w:pPr>
      <w:r w:rsidRPr="00342BEE">
        <w:t>Program processes</w:t>
      </w:r>
    </w:p>
    <w:p w14:paraId="2CF9D937" w14:textId="00225B63" w:rsidR="00342BEE" w:rsidRPr="00342BEE" w:rsidRDefault="0023536F" w:rsidP="001A0254">
      <w:pPr>
        <w:pStyle w:val="Mainbody-Bullets"/>
      </w:pPr>
      <w:r w:rsidRPr="00342BEE">
        <w:t>Participation processes and data tracking</w:t>
      </w:r>
    </w:p>
    <w:p w14:paraId="080EEA5A" w14:textId="02976BC5" w:rsidR="00342BEE" w:rsidRPr="00342BEE" w:rsidRDefault="0023536F" w:rsidP="001A0254">
      <w:pPr>
        <w:pStyle w:val="Mainbody-Bullets"/>
      </w:pPr>
      <w:r w:rsidRPr="00342BEE">
        <w:t>Q</w:t>
      </w:r>
      <w:r>
        <w:t>A</w:t>
      </w:r>
      <w:r w:rsidRPr="00342BEE">
        <w:t>/</w:t>
      </w:r>
      <w:r>
        <w:t>QC</w:t>
      </w:r>
      <w:r w:rsidRPr="00342BEE">
        <w:t xml:space="preserve"> proced</w:t>
      </w:r>
      <w:r w:rsidR="00342BEE" w:rsidRPr="00342BEE">
        <w:t>ures</w:t>
      </w:r>
    </w:p>
    <w:p w14:paraId="3F412A3B" w14:textId="00C8D0B9" w:rsidR="00342BEE" w:rsidRPr="00342BEE" w:rsidRDefault="0023536F" w:rsidP="001A0254">
      <w:pPr>
        <w:pStyle w:val="Mainbody-Bullets"/>
      </w:pPr>
      <w:r w:rsidRPr="00342BEE">
        <w:t>Role of contractors and implementers</w:t>
      </w:r>
    </w:p>
    <w:p w14:paraId="41FDE15D" w14:textId="07BAC9E4" w:rsidR="00342BEE" w:rsidRPr="00342BEE" w:rsidRDefault="0023536F" w:rsidP="001A0254">
      <w:pPr>
        <w:pStyle w:val="Mainbody-Bullets"/>
      </w:pPr>
      <w:r w:rsidRPr="00342BEE">
        <w:t>Program changes</w:t>
      </w:r>
    </w:p>
    <w:p w14:paraId="43BB9503" w14:textId="5FC3D1A2" w:rsidR="00342BEE" w:rsidRPr="00342BEE" w:rsidRDefault="0023536F" w:rsidP="001A0254">
      <w:pPr>
        <w:pStyle w:val="Mainbody-Bullets"/>
      </w:pPr>
      <w:r w:rsidRPr="00342BEE">
        <w:t>Outreach</w:t>
      </w:r>
    </w:p>
    <w:p w14:paraId="0E5060F8" w14:textId="306977AF" w:rsidR="00342BEE" w:rsidRPr="00342BEE" w:rsidRDefault="0023536F" w:rsidP="00E33CF7">
      <w:pPr>
        <w:pStyle w:val="Mainbody-BulletsOut"/>
      </w:pPr>
      <w:r w:rsidRPr="00342BEE">
        <w:t>Future program opportunities</w:t>
      </w:r>
    </w:p>
    <w:p w14:paraId="68AC3DAF" w14:textId="00281700" w:rsidR="00F23057" w:rsidRDefault="006534A3" w:rsidP="00F23057">
      <w:pPr>
        <w:pStyle w:val="Heading2"/>
        <w:rPr>
          <w:rFonts w:eastAsia="Calibri"/>
        </w:rPr>
      </w:pPr>
      <w:bookmarkStart w:id="22" w:name="_Ref459302690"/>
      <w:bookmarkStart w:id="23" w:name="_Toc459380014"/>
      <w:bookmarkStart w:id="24" w:name="_Toc459380138"/>
      <w:r>
        <w:rPr>
          <w:rFonts w:eastAsia="Calibri"/>
        </w:rPr>
        <w:t>Document</w:t>
      </w:r>
      <w:r w:rsidR="00F23057" w:rsidRPr="00F23057">
        <w:rPr>
          <w:rFonts w:eastAsia="Calibri"/>
        </w:rPr>
        <w:t xml:space="preserve"> </w:t>
      </w:r>
      <w:r w:rsidR="004031EF">
        <w:rPr>
          <w:rFonts w:eastAsia="Calibri"/>
        </w:rPr>
        <w:t>R</w:t>
      </w:r>
      <w:r w:rsidR="00F23057" w:rsidRPr="00F23057">
        <w:rPr>
          <w:rFonts w:eastAsia="Calibri"/>
        </w:rPr>
        <w:t>eview</w:t>
      </w:r>
      <w:bookmarkEnd w:id="22"/>
      <w:bookmarkEnd w:id="23"/>
      <w:bookmarkEnd w:id="24"/>
    </w:p>
    <w:p w14:paraId="211562F6" w14:textId="77777777" w:rsidR="00D023AC" w:rsidRDefault="00D023AC" w:rsidP="00D023AC">
      <w:pPr>
        <w:pStyle w:val="Text"/>
      </w:pPr>
      <w:r>
        <w:t>The evaluation team reviewed the following documents as part of the 2014-2015 evaluation activities:</w:t>
      </w:r>
    </w:p>
    <w:p w14:paraId="4C822DFD" w14:textId="77777777" w:rsidR="00D023AC" w:rsidRDefault="00D023AC" w:rsidP="001A0254">
      <w:pPr>
        <w:pStyle w:val="Mainbody-Bullets"/>
      </w:pPr>
      <w:r>
        <w:t>Avista’s annual DSM Business Plans from 2010 to 2015</w:t>
      </w:r>
    </w:p>
    <w:p w14:paraId="392B2CB6" w14:textId="5913E524" w:rsidR="00D023AC" w:rsidRDefault="00D023AC" w:rsidP="001A0254">
      <w:pPr>
        <w:pStyle w:val="Mainbody-Bullets"/>
      </w:pPr>
      <w:r>
        <w:t xml:space="preserve">Prior evaluations and customer studies, </w:t>
      </w:r>
    </w:p>
    <w:p w14:paraId="485F07E0" w14:textId="24ED56EE" w:rsidR="00D023AC" w:rsidRDefault="00D023AC" w:rsidP="001A0254">
      <w:pPr>
        <w:pStyle w:val="Mainbody-Bullets"/>
      </w:pPr>
      <w:r>
        <w:t xml:space="preserve">Program websites, </w:t>
      </w:r>
    </w:p>
    <w:p w14:paraId="00BDFA57" w14:textId="0B52CD42" w:rsidR="00D023AC" w:rsidRDefault="00D023AC" w:rsidP="001A0254">
      <w:pPr>
        <w:pStyle w:val="Mainbody-Bullets"/>
      </w:pPr>
      <w:r>
        <w:t xml:space="preserve">Program participation databases and data dictionaries, </w:t>
      </w:r>
    </w:p>
    <w:p w14:paraId="1339868B" w14:textId="462177EA" w:rsidR="00D023AC" w:rsidRDefault="00D023AC" w:rsidP="001A0254">
      <w:pPr>
        <w:pStyle w:val="Mainbody-Bullets"/>
      </w:pPr>
      <w:r>
        <w:t xml:space="preserve">Program tools (such as the Simple Steps retail sales allocation tools), </w:t>
      </w:r>
    </w:p>
    <w:p w14:paraId="20EB390C" w14:textId="270E1786" w:rsidR="00D023AC" w:rsidRDefault="00D023AC" w:rsidP="001A0254">
      <w:pPr>
        <w:pStyle w:val="Mainbody-Bullets"/>
      </w:pPr>
      <w:r>
        <w:t xml:space="preserve">Measure offerings, </w:t>
      </w:r>
    </w:p>
    <w:p w14:paraId="7AF84953" w14:textId="132E6839" w:rsidR="00D023AC" w:rsidRDefault="00D023AC" w:rsidP="001A0254">
      <w:pPr>
        <w:pStyle w:val="Mainbody-Bullets"/>
      </w:pPr>
      <w:r>
        <w:t xml:space="preserve">Customer-facing materials, </w:t>
      </w:r>
    </w:p>
    <w:p w14:paraId="2221F40C" w14:textId="0716BE22" w:rsidR="00D023AC" w:rsidRDefault="00D023AC" w:rsidP="001A0254">
      <w:pPr>
        <w:pStyle w:val="Mainbody-Bullets"/>
      </w:pPr>
      <w:r>
        <w:t xml:space="preserve">Descriptions of marketing activities and campaigns, </w:t>
      </w:r>
    </w:p>
    <w:p w14:paraId="0B9C2809" w14:textId="317F0858" w:rsidR="00D023AC" w:rsidRDefault="00D023AC" w:rsidP="001A0254">
      <w:pPr>
        <w:pStyle w:val="Mainbody-Bullets"/>
      </w:pPr>
      <w:r>
        <w:t xml:space="preserve">Low income invoices the community action agencies submitted to Avista, </w:t>
      </w:r>
    </w:p>
    <w:p w14:paraId="00B8932D" w14:textId="50C4B918" w:rsidR="00D023AC" w:rsidRDefault="00D023AC" w:rsidP="001A0254">
      <w:pPr>
        <w:pStyle w:val="Mainbody-Bullets"/>
      </w:pPr>
      <w:r>
        <w:t>Trade ally lists,</w:t>
      </w:r>
    </w:p>
    <w:p w14:paraId="43F2D7C6" w14:textId="6C45B7F4" w:rsidR="00D023AC" w:rsidRDefault="00D023AC" w:rsidP="00E33CF7">
      <w:pPr>
        <w:pStyle w:val="Mainbody-Bulletsoutforlastbullet"/>
      </w:pPr>
      <w:r w:rsidRPr="00D023AC">
        <w:t>Avista Energy Efficiency Process Guide</w:t>
      </w:r>
      <w:r>
        <w:t xml:space="preserve"> (version 1.0 2015)</w:t>
      </w:r>
      <w:r w:rsidR="00AC4966">
        <w:t>.</w:t>
      </w:r>
      <w:r>
        <w:t xml:space="preserve"> </w:t>
      </w:r>
    </w:p>
    <w:p w14:paraId="7C53A2E4" w14:textId="6B4DA10D" w:rsidR="009842E3" w:rsidRDefault="00E12EAF" w:rsidP="009842E3">
      <w:pPr>
        <w:pStyle w:val="Text"/>
      </w:pPr>
      <w:r>
        <w:t>In addition, the evaluation team reviewed application materials, project documentation, invoices and top sheets for all sampled projects.</w:t>
      </w:r>
      <w:r w:rsidR="009842E3">
        <w:t xml:space="preserve"> </w:t>
      </w:r>
      <w:r>
        <w:t>This</w:t>
      </w:r>
      <w:r w:rsidR="009842E3">
        <w:t xml:space="preserve"> document </w:t>
      </w:r>
      <w:r w:rsidR="00AC4966">
        <w:t xml:space="preserve">review </w:t>
      </w:r>
      <w:r w:rsidR="009842E3">
        <w:t xml:space="preserve">for each sampled project sought to answer the following questions: </w:t>
      </w:r>
    </w:p>
    <w:p w14:paraId="2F9CF632" w14:textId="77777777" w:rsidR="009842E3" w:rsidRPr="001A0254" w:rsidRDefault="009842E3" w:rsidP="001A0254">
      <w:pPr>
        <w:pStyle w:val="Mainbody-Bullets"/>
      </w:pPr>
      <w:r w:rsidRPr="001A0254">
        <w:t>Were the data files of the sampled projects complete, well documented, and adequate for calculating and reporting the savings?</w:t>
      </w:r>
    </w:p>
    <w:p w14:paraId="339DAF43" w14:textId="77777777" w:rsidR="009842E3" w:rsidRPr="001A0254" w:rsidRDefault="009842E3" w:rsidP="001A0254">
      <w:pPr>
        <w:pStyle w:val="Mainbody-Bullets"/>
      </w:pPr>
      <w:r w:rsidRPr="001A0254">
        <w:t>Were the calculation methods correctly applied, appropriate, and accurate?</w:t>
      </w:r>
    </w:p>
    <w:p w14:paraId="435961AD" w14:textId="77777777" w:rsidR="009842E3" w:rsidRPr="001A0254" w:rsidRDefault="009842E3" w:rsidP="00E33CF7">
      <w:pPr>
        <w:pStyle w:val="Mainbody-Bulletsoutforlastbullet"/>
      </w:pPr>
      <w:r w:rsidRPr="001A0254">
        <w:t>Were all the necessary fields properly populated?</w:t>
      </w:r>
    </w:p>
    <w:p w14:paraId="7897FA95" w14:textId="12D0E817" w:rsidR="009842E3" w:rsidRPr="009842E3" w:rsidRDefault="009842E3" w:rsidP="009842E3">
      <w:pPr>
        <w:pStyle w:val="Text"/>
      </w:pPr>
      <w:r>
        <w:t xml:space="preserve">Across the electric and natural gas programs and Avista’s Washington and Idaho service territories, the evaluation team conducted 830 document </w:t>
      </w:r>
      <w:r w:rsidR="001A0254">
        <w:t xml:space="preserve">reviews </w:t>
      </w:r>
      <w:r>
        <w:t>(</w:t>
      </w:r>
      <w:r>
        <w:fldChar w:fldCharType="begin"/>
      </w:r>
      <w:r>
        <w:instrText xml:space="preserve"> REF _Ref419804200 \h </w:instrText>
      </w:r>
      <w:r>
        <w:fldChar w:fldCharType="separate"/>
      </w:r>
      <w:r w:rsidR="00EA4C14">
        <w:t xml:space="preserve">Table </w:t>
      </w:r>
      <w:r w:rsidR="00EA4C14">
        <w:rPr>
          <w:noProof/>
        </w:rPr>
        <w:t>2</w:t>
      </w:r>
      <w:r w:rsidR="00EA4C14">
        <w:noBreakHyphen/>
      </w:r>
      <w:r w:rsidR="00EA4C14">
        <w:rPr>
          <w:noProof/>
        </w:rPr>
        <w:t>2</w:t>
      </w:r>
      <w:r>
        <w:fldChar w:fldCharType="end"/>
      </w:r>
      <w:r>
        <w:t xml:space="preserve"> and </w:t>
      </w:r>
      <w:r>
        <w:fldChar w:fldCharType="begin"/>
      </w:r>
      <w:r>
        <w:instrText xml:space="preserve"> REF _Ref459302211 \h </w:instrText>
      </w:r>
      <w:r>
        <w:fldChar w:fldCharType="separate"/>
      </w:r>
      <w:r w:rsidR="00EA4C14">
        <w:t xml:space="preserve">Table </w:t>
      </w:r>
      <w:r w:rsidR="00EA4C14">
        <w:rPr>
          <w:noProof/>
        </w:rPr>
        <w:t>2</w:t>
      </w:r>
      <w:r w:rsidR="00EA4C14">
        <w:noBreakHyphen/>
      </w:r>
      <w:r w:rsidR="00EA4C14">
        <w:rPr>
          <w:noProof/>
        </w:rPr>
        <w:t>3</w:t>
      </w:r>
      <w:r>
        <w:fldChar w:fldCharType="end"/>
      </w:r>
      <w:r w:rsidR="00EA4C14">
        <w:t>)</w:t>
      </w:r>
      <w:r w:rsidR="00E12EAF">
        <w:t xml:space="preserve">.  </w:t>
      </w:r>
      <w:r w:rsidRPr="009842E3">
        <w:t xml:space="preserve">As part of these activities, the evaluation team reviewed </w:t>
      </w:r>
      <w:r w:rsidR="00E12EAF">
        <w:t>all of the Top Sheets submitted for the Site Specific program (</w:t>
      </w:r>
      <w:r w:rsidRPr="009842E3">
        <w:t>92</w:t>
      </w:r>
      <w:r w:rsidR="00E12EAF">
        <w:t xml:space="preserve"> total Top Sheets encompassing 146 measures).</w:t>
      </w:r>
      <w:r w:rsidRPr="009842E3">
        <w:t xml:space="preserve"> </w:t>
      </w:r>
    </w:p>
    <w:p w14:paraId="7975279A" w14:textId="5488FDCB" w:rsidR="009842E3" w:rsidRDefault="009842E3" w:rsidP="00E33CF7">
      <w:pPr>
        <w:pStyle w:val="Mainbody-Captiontable"/>
      </w:pPr>
      <w:bookmarkStart w:id="25" w:name="_Ref419804200"/>
      <w:bookmarkStart w:id="26" w:name="_Toc420575500"/>
      <w:bookmarkStart w:id="27" w:name="_Toc425499086"/>
      <w:bookmarkStart w:id="28" w:name="_Toc449094477"/>
      <w:bookmarkStart w:id="29" w:name="_Toc459380029"/>
      <w:r>
        <w:t xml:space="preserve">Table </w:t>
      </w:r>
      <w:fldSimple w:instr=" STYLEREF 1 \s ">
        <w:r w:rsidR="00EA4C14">
          <w:rPr>
            <w:noProof/>
          </w:rPr>
          <w:t>2</w:t>
        </w:r>
      </w:fldSimple>
      <w:r>
        <w:noBreakHyphen/>
      </w:r>
      <w:fldSimple w:instr=" SEQ Table \* ARABIC \s 1 ">
        <w:r w:rsidR="00EA4C14">
          <w:rPr>
            <w:noProof/>
          </w:rPr>
          <w:t>2</w:t>
        </w:r>
      </w:fldSimple>
      <w:bookmarkEnd w:id="25"/>
      <w:r>
        <w:t xml:space="preserve">: </w:t>
      </w:r>
      <w:r w:rsidRPr="005C37A9">
        <w:t xml:space="preserve">Summary of </w:t>
      </w:r>
      <w:bookmarkEnd w:id="26"/>
      <w:bookmarkEnd w:id="27"/>
      <w:bookmarkEnd w:id="28"/>
      <w:r w:rsidR="00E12EAF">
        <w:t xml:space="preserve">Document </w:t>
      </w:r>
      <w:r w:rsidR="001A0254">
        <w:t xml:space="preserve">Review </w:t>
      </w:r>
      <w:r w:rsidR="00E12EAF" w:rsidRPr="00E33CF7">
        <w:t>Sample</w:t>
      </w:r>
      <w:r w:rsidR="00E12EAF">
        <w:t xml:space="preserve"> Sizes </w:t>
      </w:r>
      <w:r>
        <w:t>– Electric Programs</w:t>
      </w:r>
      <w:bookmarkEnd w:id="29"/>
    </w:p>
    <w:tbl>
      <w:tblPr>
        <w:tblStyle w:val="NEXANTNEWTABLESTYLE"/>
        <w:tblW w:w="5553" w:type="dxa"/>
        <w:jc w:val="center"/>
        <w:tblLayout w:type="fixed"/>
        <w:tblLook w:val="04A0" w:firstRow="1" w:lastRow="0" w:firstColumn="1" w:lastColumn="0" w:noHBand="0" w:noVBand="1"/>
      </w:tblPr>
      <w:tblGrid>
        <w:gridCol w:w="4240"/>
        <w:gridCol w:w="1313"/>
      </w:tblGrid>
      <w:tr w:rsidR="00E12EAF" w:rsidRPr="007D0296" w14:paraId="1093708B" w14:textId="77777777" w:rsidTr="00E12EAF">
        <w:trPr>
          <w:cnfStyle w:val="100000000000" w:firstRow="1" w:lastRow="0" w:firstColumn="0" w:lastColumn="0" w:oddVBand="0" w:evenVBand="0" w:oddHBand="0" w:evenHBand="0" w:firstRowFirstColumn="0" w:firstRowLastColumn="0" w:lastRowFirstColumn="0" w:lastRowLastColumn="0"/>
          <w:trHeight w:val="495"/>
          <w:jc w:val="center"/>
        </w:trPr>
        <w:tc>
          <w:tcPr>
            <w:tcW w:w="4240" w:type="dxa"/>
            <w:tcBorders>
              <w:bottom w:val="single" w:sz="4" w:space="0" w:color="1673CA"/>
            </w:tcBorders>
            <w:vAlign w:val="center"/>
            <w:hideMark/>
          </w:tcPr>
          <w:p w14:paraId="1E7D3A5B" w14:textId="4BE94B4B" w:rsidR="00E12EAF" w:rsidRPr="007D0296" w:rsidRDefault="00E12EAF" w:rsidP="009842E3">
            <w:pPr>
              <w:pStyle w:val="Tables-Bodycells"/>
              <w:rPr>
                <w:color w:val="FFFFFF"/>
              </w:rPr>
            </w:pPr>
            <w:r>
              <w:t xml:space="preserve">Electric </w:t>
            </w:r>
            <w:r w:rsidRPr="007D0296">
              <w:t>Program</w:t>
            </w:r>
          </w:p>
        </w:tc>
        <w:tc>
          <w:tcPr>
            <w:tcW w:w="1313" w:type="dxa"/>
            <w:tcBorders>
              <w:bottom w:val="single" w:sz="4" w:space="0" w:color="1673CA"/>
            </w:tcBorders>
            <w:vAlign w:val="center"/>
            <w:hideMark/>
          </w:tcPr>
          <w:p w14:paraId="45346ED4" w14:textId="77777777" w:rsidR="00E12EAF" w:rsidRPr="007D0296" w:rsidRDefault="00E12EAF" w:rsidP="009842E3">
            <w:pPr>
              <w:pStyle w:val="Tables-Bodycells"/>
              <w:rPr>
                <w:color w:val="FFFFFF"/>
              </w:rPr>
            </w:pPr>
            <w:r w:rsidRPr="007D0296">
              <w:t>Document Audit</w:t>
            </w:r>
          </w:p>
        </w:tc>
      </w:tr>
      <w:tr w:rsidR="00E12EAF" w:rsidRPr="007D0296" w14:paraId="499B3C95" w14:textId="77777777" w:rsidTr="00E12EAF">
        <w:trPr>
          <w:trHeight w:val="315"/>
          <w:jc w:val="center"/>
        </w:trPr>
        <w:tc>
          <w:tcPr>
            <w:tcW w:w="4240" w:type="dxa"/>
            <w:noWrap/>
            <w:vAlign w:val="center"/>
            <w:hideMark/>
          </w:tcPr>
          <w:p w14:paraId="0A23C531" w14:textId="77777777" w:rsidR="00E12EAF" w:rsidRPr="007D0296" w:rsidRDefault="00E12EAF" w:rsidP="009842E3">
            <w:pPr>
              <w:pStyle w:val="Tables-Bodycells"/>
              <w:rPr>
                <w:color w:val="000000"/>
                <w:szCs w:val="22"/>
              </w:rPr>
            </w:pPr>
            <w:r w:rsidRPr="007D0296">
              <w:rPr>
                <w:color w:val="000000"/>
                <w:szCs w:val="22"/>
              </w:rPr>
              <w:t>Residential Appliance Recycling</w:t>
            </w:r>
          </w:p>
        </w:tc>
        <w:tc>
          <w:tcPr>
            <w:tcW w:w="1313" w:type="dxa"/>
            <w:noWrap/>
            <w:vAlign w:val="center"/>
            <w:hideMark/>
          </w:tcPr>
          <w:p w14:paraId="1950989C" w14:textId="77777777" w:rsidR="00E12EAF" w:rsidRPr="007D0296" w:rsidRDefault="00E12EAF" w:rsidP="009842E3">
            <w:pPr>
              <w:pStyle w:val="Tables-Bodycells"/>
              <w:jc w:val="center"/>
              <w:rPr>
                <w:color w:val="000000"/>
                <w:szCs w:val="22"/>
              </w:rPr>
            </w:pPr>
            <w:r w:rsidRPr="007D0296">
              <w:rPr>
                <w:color w:val="000000"/>
                <w:szCs w:val="22"/>
              </w:rPr>
              <w:t>70</w:t>
            </w:r>
          </w:p>
        </w:tc>
      </w:tr>
      <w:tr w:rsidR="00E12EAF" w:rsidRPr="007D0296" w14:paraId="4D5EBFA8" w14:textId="77777777" w:rsidTr="00E12EAF">
        <w:trPr>
          <w:trHeight w:val="315"/>
          <w:jc w:val="center"/>
        </w:trPr>
        <w:tc>
          <w:tcPr>
            <w:tcW w:w="4240" w:type="dxa"/>
            <w:noWrap/>
            <w:vAlign w:val="center"/>
            <w:hideMark/>
          </w:tcPr>
          <w:p w14:paraId="636FF851" w14:textId="1651C62F" w:rsidR="00E12EAF" w:rsidRPr="007D0296" w:rsidRDefault="00E12EAF" w:rsidP="009842E3">
            <w:pPr>
              <w:pStyle w:val="Tables-Bodycells"/>
              <w:rPr>
                <w:color w:val="000000"/>
                <w:szCs w:val="22"/>
              </w:rPr>
            </w:pPr>
            <w:r>
              <w:rPr>
                <w:color w:val="000000"/>
                <w:szCs w:val="22"/>
              </w:rPr>
              <w:t xml:space="preserve">Residential </w:t>
            </w:r>
            <w:r w:rsidRPr="007D0296">
              <w:rPr>
                <w:color w:val="000000"/>
                <w:szCs w:val="22"/>
              </w:rPr>
              <w:t>HVAC Program</w:t>
            </w:r>
          </w:p>
        </w:tc>
        <w:tc>
          <w:tcPr>
            <w:tcW w:w="1313" w:type="dxa"/>
            <w:noWrap/>
            <w:vAlign w:val="center"/>
            <w:hideMark/>
          </w:tcPr>
          <w:p w14:paraId="5996339C" w14:textId="77777777" w:rsidR="00E12EAF" w:rsidRPr="007D0296" w:rsidRDefault="00E12EAF" w:rsidP="009842E3">
            <w:pPr>
              <w:pStyle w:val="Tables-Bodycells"/>
              <w:jc w:val="center"/>
              <w:rPr>
                <w:color w:val="000000"/>
                <w:szCs w:val="22"/>
              </w:rPr>
            </w:pPr>
            <w:r w:rsidRPr="007D0296">
              <w:rPr>
                <w:color w:val="000000"/>
                <w:szCs w:val="22"/>
              </w:rPr>
              <w:t>68</w:t>
            </w:r>
          </w:p>
        </w:tc>
      </w:tr>
      <w:tr w:rsidR="00E12EAF" w:rsidRPr="007D0296" w14:paraId="51FD5F37" w14:textId="77777777" w:rsidTr="00E12EAF">
        <w:trPr>
          <w:trHeight w:val="315"/>
          <w:jc w:val="center"/>
        </w:trPr>
        <w:tc>
          <w:tcPr>
            <w:tcW w:w="4240" w:type="dxa"/>
            <w:noWrap/>
            <w:vAlign w:val="center"/>
            <w:hideMark/>
          </w:tcPr>
          <w:p w14:paraId="46EB6E11" w14:textId="7F1DEC4E" w:rsidR="00E12EAF" w:rsidRPr="007D0296" w:rsidRDefault="00E12EAF" w:rsidP="009842E3">
            <w:pPr>
              <w:pStyle w:val="Tables-Bodycells"/>
              <w:rPr>
                <w:color w:val="000000"/>
                <w:szCs w:val="22"/>
              </w:rPr>
            </w:pPr>
            <w:r>
              <w:rPr>
                <w:color w:val="000000"/>
                <w:szCs w:val="22"/>
              </w:rPr>
              <w:t xml:space="preserve">Residential </w:t>
            </w:r>
            <w:r w:rsidRPr="007D0296">
              <w:rPr>
                <w:color w:val="000000"/>
                <w:szCs w:val="22"/>
              </w:rPr>
              <w:t>Water Heat Program</w:t>
            </w:r>
          </w:p>
        </w:tc>
        <w:tc>
          <w:tcPr>
            <w:tcW w:w="1313" w:type="dxa"/>
            <w:noWrap/>
            <w:vAlign w:val="center"/>
            <w:hideMark/>
          </w:tcPr>
          <w:p w14:paraId="50EA5A71" w14:textId="77777777" w:rsidR="00E12EAF" w:rsidRPr="007D0296" w:rsidRDefault="00E12EAF" w:rsidP="009842E3">
            <w:pPr>
              <w:pStyle w:val="Tables-Bodycells"/>
              <w:jc w:val="center"/>
              <w:rPr>
                <w:color w:val="000000"/>
                <w:szCs w:val="22"/>
              </w:rPr>
            </w:pPr>
            <w:r w:rsidRPr="007D0296">
              <w:rPr>
                <w:color w:val="000000"/>
                <w:szCs w:val="22"/>
              </w:rPr>
              <w:t>24</w:t>
            </w:r>
          </w:p>
        </w:tc>
      </w:tr>
      <w:tr w:rsidR="00E12EAF" w:rsidRPr="007D0296" w14:paraId="7E13F25A" w14:textId="77777777" w:rsidTr="00E12EAF">
        <w:trPr>
          <w:trHeight w:val="315"/>
          <w:jc w:val="center"/>
        </w:trPr>
        <w:tc>
          <w:tcPr>
            <w:tcW w:w="4240" w:type="dxa"/>
            <w:noWrap/>
            <w:vAlign w:val="center"/>
            <w:hideMark/>
          </w:tcPr>
          <w:p w14:paraId="003A97AD" w14:textId="39FF6665" w:rsidR="00E12EAF" w:rsidRPr="007D0296" w:rsidRDefault="00E12EAF" w:rsidP="009842E3">
            <w:pPr>
              <w:pStyle w:val="Tables-Bodycells"/>
              <w:rPr>
                <w:color w:val="000000"/>
                <w:szCs w:val="22"/>
              </w:rPr>
            </w:pPr>
            <w:r>
              <w:rPr>
                <w:color w:val="000000"/>
                <w:szCs w:val="22"/>
              </w:rPr>
              <w:t xml:space="preserve">Residential </w:t>
            </w:r>
            <w:r w:rsidRPr="007D0296">
              <w:rPr>
                <w:color w:val="000000"/>
                <w:szCs w:val="22"/>
              </w:rPr>
              <w:t>ENERGY STAR Homes</w:t>
            </w:r>
          </w:p>
        </w:tc>
        <w:tc>
          <w:tcPr>
            <w:tcW w:w="1313" w:type="dxa"/>
            <w:noWrap/>
            <w:vAlign w:val="center"/>
            <w:hideMark/>
          </w:tcPr>
          <w:p w14:paraId="62D98164" w14:textId="77777777" w:rsidR="00E12EAF" w:rsidRPr="007D0296" w:rsidRDefault="00E12EAF" w:rsidP="009842E3">
            <w:pPr>
              <w:pStyle w:val="Tables-Bodycells"/>
              <w:jc w:val="center"/>
              <w:rPr>
                <w:color w:val="000000"/>
                <w:szCs w:val="22"/>
              </w:rPr>
            </w:pPr>
            <w:r w:rsidRPr="007D0296">
              <w:rPr>
                <w:color w:val="000000"/>
                <w:szCs w:val="22"/>
              </w:rPr>
              <w:t>19</w:t>
            </w:r>
          </w:p>
        </w:tc>
      </w:tr>
      <w:tr w:rsidR="00E12EAF" w:rsidRPr="007D0296" w14:paraId="19BB02EF" w14:textId="77777777" w:rsidTr="00E12EAF">
        <w:trPr>
          <w:trHeight w:val="315"/>
          <w:jc w:val="center"/>
        </w:trPr>
        <w:tc>
          <w:tcPr>
            <w:tcW w:w="4240" w:type="dxa"/>
            <w:noWrap/>
            <w:vAlign w:val="center"/>
            <w:hideMark/>
          </w:tcPr>
          <w:p w14:paraId="5E456732" w14:textId="4CED9C10" w:rsidR="00E12EAF" w:rsidRPr="007D0296" w:rsidRDefault="00E12EAF" w:rsidP="009842E3">
            <w:pPr>
              <w:pStyle w:val="Tables-Bodycells"/>
              <w:rPr>
                <w:color w:val="000000"/>
                <w:szCs w:val="22"/>
              </w:rPr>
            </w:pPr>
            <w:r>
              <w:rPr>
                <w:color w:val="000000"/>
                <w:szCs w:val="22"/>
              </w:rPr>
              <w:t xml:space="preserve">Residential  </w:t>
            </w:r>
            <w:r w:rsidRPr="007D0296">
              <w:rPr>
                <w:color w:val="000000"/>
                <w:szCs w:val="22"/>
              </w:rPr>
              <w:t>Fuel Efficiency</w:t>
            </w:r>
          </w:p>
        </w:tc>
        <w:tc>
          <w:tcPr>
            <w:tcW w:w="1313" w:type="dxa"/>
            <w:noWrap/>
            <w:vAlign w:val="center"/>
            <w:hideMark/>
          </w:tcPr>
          <w:p w14:paraId="2794D6C9" w14:textId="77777777" w:rsidR="00E12EAF" w:rsidRPr="007D0296" w:rsidRDefault="00E12EAF" w:rsidP="009842E3">
            <w:pPr>
              <w:pStyle w:val="Tables-Bodycells"/>
              <w:jc w:val="center"/>
              <w:rPr>
                <w:color w:val="000000"/>
                <w:szCs w:val="22"/>
              </w:rPr>
            </w:pPr>
            <w:r w:rsidRPr="007D0296">
              <w:rPr>
                <w:color w:val="000000"/>
                <w:szCs w:val="22"/>
              </w:rPr>
              <w:t>26</w:t>
            </w:r>
          </w:p>
        </w:tc>
      </w:tr>
      <w:tr w:rsidR="00E12EAF" w:rsidRPr="007D0296" w14:paraId="7F230F48" w14:textId="77777777" w:rsidTr="00E12EAF">
        <w:trPr>
          <w:trHeight w:val="315"/>
          <w:jc w:val="center"/>
        </w:trPr>
        <w:tc>
          <w:tcPr>
            <w:tcW w:w="4240" w:type="dxa"/>
            <w:noWrap/>
            <w:vAlign w:val="center"/>
            <w:hideMark/>
          </w:tcPr>
          <w:p w14:paraId="24157695" w14:textId="5288E38F" w:rsidR="00E12EAF" w:rsidRPr="007D0296" w:rsidRDefault="00E12EAF" w:rsidP="009842E3">
            <w:pPr>
              <w:pStyle w:val="Tables-Bodycells"/>
              <w:rPr>
                <w:color w:val="000000"/>
                <w:szCs w:val="22"/>
              </w:rPr>
            </w:pPr>
            <w:r>
              <w:rPr>
                <w:color w:val="000000"/>
                <w:szCs w:val="22"/>
              </w:rPr>
              <w:t xml:space="preserve">Residential </w:t>
            </w:r>
            <w:r w:rsidRPr="007D0296">
              <w:rPr>
                <w:color w:val="000000"/>
                <w:szCs w:val="22"/>
              </w:rPr>
              <w:t>Shell Program</w:t>
            </w:r>
          </w:p>
        </w:tc>
        <w:tc>
          <w:tcPr>
            <w:tcW w:w="1313" w:type="dxa"/>
            <w:noWrap/>
            <w:vAlign w:val="center"/>
            <w:hideMark/>
          </w:tcPr>
          <w:p w14:paraId="6672EB4C" w14:textId="77777777" w:rsidR="00E12EAF" w:rsidRPr="007D0296" w:rsidRDefault="00E12EAF" w:rsidP="009842E3">
            <w:pPr>
              <w:pStyle w:val="Tables-Bodycells"/>
              <w:jc w:val="center"/>
              <w:rPr>
                <w:color w:val="000000"/>
                <w:szCs w:val="22"/>
              </w:rPr>
            </w:pPr>
            <w:r w:rsidRPr="007D0296">
              <w:rPr>
                <w:color w:val="000000"/>
                <w:szCs w:val="22"/>
              </w:rPr>
              <w:t>28</w:t>
            </w:r>
          </w:p>
        </w:tc>
      </w:tr>
      <w:tr w:rsidR="00E12EAF" w:rsidRPr="007D0296" w14:paraId="4097C79E" w14:textId="77777777" w:rsidTr="00E12EAF">
        <w:trPr>
          <w:trHeight w:val="315"/>
          <w:jc w:val="center"/>
        </w:trPr>
        <w:tc>
          <w:tcPr>
            <w:tcW w:w="4240" w:type="dxa"/>
            <w:tcBorders>
              <w:bottom w:val="single" w:sz="4" w:space="0" w:color="1673CA"/>
            </w:tcBorders>
            <w:noWrap/>
            <w:vAlign w:val="center"/>
            <w:hideMark/>
          </w:tcPr>
          <w:p w14:paraId="26F4CF3C" w14:textId="77777777" w:rsidR="00E12EAF" w:rsidRPr="007D0296" w:rsidRDefault="00E12EAF" w:rsidP="009842E3">
            <w:pPr>
              <w:pStyle w:val="Tables-Bodycells"/>
              <w:rPr>
                <w:color w:val="000000"/>
                <w:szCs w:val="22"/>
              </w:rPr>
            </w:pPr>
            <w:r w:rsidRPr="007D0296">
              <w:rPr>
                <w:color w:val="000000"/>
                <w:szCs w:val="22"/>
              </w:rPr>
              <w:t>Low Income</w:t>
            </w:r>
          </w:p>
        </w:tc>
        <w:tc>
          <w:tcPr>
            <w:tcW w:w="1313" w:type="dxa"/>
            <w:tcBorders>
              <w:bottom w:val="single" w:sz="4" w:space="0" w:color="1673CA"/>
            </w:tcBorders>
            <w:noWrap/>
            <w:vAlign w:val="center"/>
            <w:hideMark/>
          </w:tcPr>
          <w:p w14:paraId="18BF0B03" w14:textId="77777777" w:rsidR="00E12EAF" w:rsidRPr="007D0296" w:rsidRDefault="00E12EAF" w:rsidP="009842E3">
            <w:pPr>
              <w:pStyle w:val="Tables-Bodycells"/>
              <w:jc w:val="center"/>
              <w:rPr>
                <w:color w:val="000000"/>
                <w:szCs w:val="22"/>
              </w:rPr>
            </w:pPr>
            <w:r w:rsidRPr="007D0296">
              <w:rPr>
                <w:color w:val="000000"/>
                <w:szCs w:val="22"/>
              </w:rPr>
              <w:t>24</w:t>
            </w:r>
          </w:p>
        </w:tc>
      </w:tr>
      <w:tr w:rsidR="00E12EAF" w:rsidRPr="007D0296" w14:paraId="120F0955" w14:textId="77777777" w:rsidTr="00E12EAF">
        <w:trPr>
          <w:trHeight w:val="315"/>
          <w:jc w:val="center"/>
        </w:trPr>
        <w:tc>
          <w:tcPr>
            <w:tcW w:w="4240" w:type="dxa"/>
            <w:noWrap/>
            <w:vAlign w:val="center"/>
            <w:hideMark/>
          </w:tcPr>
          <w:p w14:paraId="39B2BA65" w14:textId="6BFFB5AB" w:rsidR="00E12EAF" w:rsidRPr="007D0296" w:rsidRDefault="00E12EAF" w:rsidP="00E12EAF">
            <w:pPr>
              <w:pStyle w:val="Tables-Bodycells"/>
              <w:rPr>
                <w:color w:val="000000"/>
              </w:rPr>
            </w:pPr>
            <w:r>
              <w:rPr>
                <w:color w:val="000000"/>
              </w:rPr>
              <w:t xml:space="preserve">Nonresidential </w:t>
            </w:r>
            <w:r w:rsidRPr="007D0296">
              <w:rPr>
                <w:color w:val="000000"/>
              </w:rPr>
              <w:t>Prescriptive Lighting</w:t>
            </w:r>
          </w:p>
        </w:tc>
        <w:tc>
          <w:tcPr>
            <w:tcW w:w="1313" w:type="dxa"/>
            <w:noWrap/>
            <w:vAlign w:val="center"/>
            <w:hideMark/>
          </w:tcPr>
          <w:p w14:paraId="18A579EE" w14:textId="77777777" w:rsidR="00E12EAF" w:rsidRPr="007D0296" w:rsidRDefault="00E12EAF" w:rsidP="009842E3">
            <w:pPr>
              <w:pStyle w:val="Tables-Bodycells"/>
              <w:jc w:val="center"/>
              <w:rPr>
                <w:color w:val="000000"/>
              </w:rPr>
            </w:pPr>
            <w:r w:rsidRPr="007D0296">
              <w:rPr>
                <w:color w:val="000000"/>
              </w:rPr>
              <w:t>68</w:t>
            </w:r>
          </w:p>
        </w:tc>
      </w:tr>
      <w:tr w:rsidR="00E12EAF" w:rsidRPr="007D0296" w14:paraId="1EE83EFF" w14:textId="77777777" w:rsidTr="00E12EAF">
        <w:trPr>
          <w:trHeight w:val="315"/>
          <w:jc w:val="center"/>
        </w:trPr>
        <w:tc>
          <w:tcPr>
            <w:tcW w:w="4240" w:type="dxa"/>
            <w:noWrap/>
            <w:vAlign w:val="center"/>
            <w:hideMark/>
          </w:tcPr>
          <w:p w14:paraId="65E5C995" w14:textId="7C192725" w:rsidR="00E12EAF" w:rsidRPr="007D0296" w:rsidRDefault="00E12EAF" w:rsidP="009842E3">
            <w:pPr>
              <w:pStyle w:val="Tables-Bodycells"/>
              <w:rPr>
                <w:color w:val="000000"/>
              </w:rPr>
            </w:pPr>
            <w:r>
              <w:rPr>
                <w:color w:val="000000"/>
              </w:rPr>
              <w:t xml:space="preserve">Nonresidential </w:t>
            </w:r>
            <w:r w:rsidRPr="007D0296">
              <w:rPr>
                <w:color w:val="000000"/>
              </w:rPr>
              <w:t>Prescriptive EnergySmart Grocer</w:t>
            </w:r>
          </w:p>
        </w:tc>
        <w:tc>
          <w:tcPr>
            <w:tcW w:w="1313" w:type="dxa"/>
            <w:noWrap/>
            <w:vAlign w:val="center"/>
            <w:hideMark/>
          </w:tcPr>
          <w:p w14:paraId="3B7352D0" w14:textId="77777777" w:rsidR="00E12EAF" w:rsidRPr="007D0296" w:rsidRDefault="00E12EAF" w:rsidP="009842E3">
            <w:pPr>
              <w:pStyle w:val="Tables-Bodycells"/>
              <w:jc w:val="center"/>
              <w:rPr>
                <w:color w:val="000000"/>
              </w:rPr>
            </w:pPr>
            <w:r w:rsidRPr="007D0296">
              <w:rPr>
                <w:color w:val="000000"/>
              </w:rPr>
              <w:t>44</w:t>
            </w:r>
          </w:p>
        </w:tc>
      </w:tr>
      <w:tr w:rsidR="00E12EAF" w:rsidRPr="007D0296" w14:paraId="0A659A72" w14:textId="77777777" w:rsidTr="00E12EAF">
        <w:trPr>
          <w:trHeight w:val="368"/>
          <w:jc w:val="center"/>
        </w:trPr>
        <w:tc>
          <w:tcPr>
            <w:tcW w:w="4240" w:type="dxa"/>
            <w:noWrap/>
            <w:vAlign w:val="center"/>
            <w:hideMark/>
          </w:tcPr>
          <w:p w14:paraId="4EC56ED7" w14:textId="47C71769" w:rsidR="00E12EAF" w:rsidRPr="007D0296" w:rsidRDefault="00E12EAF" w:rsidP="009842E3">
            <w:pPr>
              <w:pStyle w:val="Tables-Bodycells"/>
              <w:rPr>
                <w:color w:val="000000"/>
              </w:rPr>
            </w:pPr>
            <w:r>
              <w:rPr>
                <w:color w:val="000000"/>
              </w:rPr>
              <w:t xml:space="preserve">Nonresidential </w:t>
            </w:r>
            <w:r w:rsidRPr="007D0296">
              <w:rPr>
                <w:color w:val="000000"/>
              </w:rPr>
              <w:t>Prescriptive Non-Lighting Other</w:t>
            </w:r>
          </w:p>
        </w:tc>
        <w:tc>
          <w:tcPr>
            <w:tcW w:w="1313" w:type="dxa"/>
            <w:noWrap/>
            <w:vAlign w:val="center"/>
            <w:hideMark/>
          </w:tcPr>
          <w:p w14:paraId="0739FC69" w14:textId="77777777" w:rsidR="00E12EAF" w:rsidRPr="007D0296" w:rsidRDefault="00E12EAF" w:rsidP="009842E3">
            <w:pPr>
              <w:pStyle w:val="Tables-Bodycells"/>
              <w:jc w:val="center"/>
              <w:rPr>
                <w:color w:val="000000"/>
              </w:rPr>
            </w:pPr>
            <w:r w:rsidRPr="007D0296">
              <w:rPr>
                <w:color w:val="000000"/>
              </w:rPr>
              <w:t>24</w:t>
            </w:r>
          </w:p>
        </w:tc>
      </w:tr>
      <w:tr w:rsidR="00E12EAF" w:rsidRPr="007D0296" w14:paraId="7B5D521C" w14:textId="77777777" w:rsidTr="00E12EAF">
        <w:trPr>
          <w:trHeight w:val="315"/>
          <w:jc w:val="center"/>
        </w:trPr>
        <w:tc>
          <w:tcPr>
            <w:tcW w:w="4240" w:type="dxa"/>
            <w:noWrap/>
            <w:vAlign w:val="center"/>
            <w:hideMark/>
          </w:tcPr>
          <w:p w14:paraId="76E2C873" w14:textId="3BD9EE49" w:rsidR="00E12EAF" w:rsidRPr="007D0296" w:rsidRDefault="00E12EAF" w:rsidP="009842E3">
            <w:pPr>
              <w:pStyle w:val="Tables-Bodycells"/>
              <w:rPr>
                <w:color w:val="000000"/>
              </w:rPr>
            </w:pPr>
            <w:r>
              <w:rPr>
                <w:color w:val="000000"/>
              </w:rPr>
              <w:t xml:space="preserve">Nonresidential </w:t>
            </w:r>
            <w:r w:rsidRPr="007D0296">
              <w:rPr>
                <w:color w:val="000000"/>
              </w:rPr>
              <w:t>Site Specific</w:t>
            </w:r>
          </w:p>
        </w:tc>
        <w:tc>
          <w:tcPr>
            <w:tcW w:w="1313" w:type="dxa"/>
            <w:noWrap/>
            <w:vAlign w:val="center"/>
            <w:hideMark/>
          </w:tcPr>
          <w:p w14:paraId="7530D717" w14:textId="77777777" w:rsidR="00E12EAF" w:rsidRPr="007D0296" w:rsidRDefault="00E12EAF" w:rsidP="009842E3">
            <w:pPr>
              <w:pStyle w:val="Tables-Bodycells"/>
              <w:jc w:val="center"/>
              <w:rPr>
                <w:color w:val="000000"/>
              </w:rPr>
            </w:pPr>
            <w:r w:rsidRPr="007D0296">
              <w:rPr>
                <w:color w:val="000000"/>
              </w:rPr>
              <w:t>101</w:t>
            </w:r>
          </w:p>
        </w:tc>
      </w:tr>
      <w:tr w:rsidR="00E12EAF" w:rsidRPr="007D0296" w14:paraId="5789774B" w14:textId="77777777" w:rsidTr="00E12EAF">
        <w:trPr>
          <w:trHeight w:val="315"/>
          <w:jc w:val="center"/>
        </w:trPr>
        <w:tc>
          <w:tcPr>
            <w:tcW w:w="4240" w:type="dxa"/>
            <w:noWrap/>
            <w:vAlign w:val="center"/>
            <w:hideMark/>
          </w:tcPr>
          <w:p w14:paraId="4623F5EE" w14:textId="77777777" w:rsidR="00E12EAF" w:rsidRPr="007D0296" w:rsidRDefault="00E12EAF" w:rsidP="009842E3">
            <w:pPr>
              <w:pStyle w:val="Tables-Bodycells"/>
              <w:rPr>
                <w:color w:val="000000"/>
              </w:rPr>
            </w:pPr>
            <w:r w:rsidRPr="007D0296">
              <w:rPr>
                <w:color w:val="000000"/>
              </w:rPr>
              <w:t>Small Business</w:t>
            </w:r>
          </w:p>
        </w:tc>
        <w:tc>
          <w:tcPr>
            <w:tcW w:w="1313" w:type="dxa"/>
            <w:noWrap/>
            <w:vAlign w:val="center"/>
            <w:hideMark/>
          </w:tcPr>
          <w:p w14:paraId="6C9E8BBE" w14:textId="77777777" w:rsidR="00E12EAF" w:rsidRPr="007D0296" w:rsidRDefault="00E12EAF" w:rsidP="009842E3">
            <w:pPr>
              <w:pStyle w:val="Tables-Bodycells"/>
              <w:jc w:val="center"/>
              <w:rPr>
                <w:color w:val="000000"/>
              </w:rPr>
            </w:pPr>
            <w:r w:rsidRPr="007D0296">
              <w:rPr>
                <w:color w:val="000000"/>
              </w:rPr>
              <w:t>31</w:t>
            </w:r>
          </w:p>
        </w:tc>
      </w:tr>
      <w:tr w:rsidR="00E12EAF" w:rsidRPr="007D0296" w14:paraId="3E27F4F2" w14:textId="77777777" w:rsidTr="00E12EAF">
        <w:trPr>
          <w:trHeight w:val="315"/>
          <w:jc w:val="center"/>
        </w:trPr>
        <w:tc>
          <w:tcPr>
            <w:tcW w:w="4240" w:type="dxa"/>
            <w:noWrap/>
            <w:vAlign w:val="center"/>
            <w:hideMark/>
          </w:tcPr>
          <w:p w14:paraId="4FB2633E" w14:textId="77777777" w:rsidR="00E12EAF" w:rsidRPr="00475E6A" w:rsidRDefault="00E12EAF" w:rsidP="009842E3">
            <w:pPr>
              <w:pStyle w:val="Tables-Bodycells"/>
              <w:rPr>
                <w:b/>
                <w:color w:val="000000"/>
              </w:rPr>
            </w:pPr>
            <w:r w:rsidRPr="00475E6A">
              <w:rPr>
                <w:b/>
                <w:color w:val="000000"/>
              </w:rPr>
              <w:t>TOTAL</w:t>
            </w:r>
          </w:p>
        </w:tc>
        <w:tc>
          <w:tcPr>
            <w:tcW w:w="1313" w:type="dxa"/>
            <w:noWrap/>
            <w:vAlign w:val="center"/>
            <w:hideMark/>
          </w:tcPr>
          <w:p w14:paraId="09962A0D" w14:textId="77777777" w:rsidR="00E12EAF" w:rsidRPr="00475E6A" w:rsidRDefault="00E12EAF" w:rsidP="009842E3">
            <w:pPr>
              <w:pStyle w:val="Tables-Bodycells"/>
              <w:jc w:val="center"/>
              <w:rPr>
                <w:b/>
                <w:color w:val="000000"/>
                <w:szCs w:val="22"/>
              </w:rPr>
            </w:pPr>
            <w:r w:rsidRPr="00475E6A">
              <w:rPr>
                <w:b/>
                <w:color w:val="000000"/>
                <w:szCs w:val="22"/>
              </w:rPr>
              <w:t>527</w:t>
            </w:r>
          </w:p>
        </w:tc>
      </w:tr>
    </w:tbl>
    <w:p w14:paraId="1DECCFC4" w14:textId="77777777" w:rsidR="009842E3" w:rsidRDefault="009842E3" w:rsidP="009842E3">
      <w:pPr>
        <w:pStyle w:val="Text"/>
        <w:ind w:left="720"/>
      </w:pPr>
    </w:p>
    <w:p w14:paraId="09FD624A" w14:textId="267D448A" w:rsidR="009842E3" w:rsidRDefault="009842E3" w:rsidP="009842E3">
      <w:pPr>
        <w:pStyle w:val="Mainbody-Captiontable"/>
      </w:pPr>
      <w:bookmarkStart w:id="30" w:name="_Ref459302211"/>
      <w:bookmarkStart w:id="31" w:name="_Toc450909601"/>
      <w:bookmarkStart w:id="32" w:name="_Toc459380030"/>
      <w:r>
        <w:t xml:space="preserve">Table </w:t>
      </w:r>
      <w:fldSimple w:instr=" STYLEREF 1 \s ">
        <w:r w:rsidR="00EA4C14">
          <w:rPr>
            <w:noProof/>
          </w:rPr>
          <w:t>2</w:t>
        </w:r>
      </w:fldSimple>
      <w:r>
        <w:noBreakHyphen/>
      </w:r>
      <w:fldSimple w:instr=" SEQ Table \* ARABIC \s 1 ">
        <w:r w:rsidR="00EA4C14">
          <w:rPr>
            <w:noProof/>
          </w:rPr>
          <w:t>3</w:t>
        </w:r>
      </w:fldSimple>
      <w:bookmarkEnd w:id="30"/>
      <w:r>
        <w:t xml:space="preserve">: </w:t>
      </w:r>
      <w:r w:rsidRPr="005C37A9">
        <w:t xml:space="preserve">Summary of </w:t>
      </w:r>
      <w:r w:rsidR="00E12EAF">
        <w:t xml:space="preserve">Document </w:t>
      </w:r>
      <w:r w:rsidR="001A0254">
        <w:t xml:space="preserve">Reviews </w:t>
      </w:r>
      <w:r w:rsidR="00E12EAF">
        <w:t>Sample Sizes</w:t>
      </w:r>
      <w:bookmarkEnd w:id="31"/>
      <w:r w:rsidR="00E12EAF">
        <w:t xml:space="preserve"> </w:t>
      </w:r>
      <w:r>
        <w:t>– Natural Gas Programs</w:t>
      </w:r>
      <w:bookmarkEnd w:id="32"/>
    </w:p>
    <w:tbl>
      <w:tblPr>
        <w:tblStyle w:val="NEXANTNEWTABLESTYLE"/>
        <w:tblW w:w="5373" w:type="dxa"/>
        <w:jc w:val="center"/>
        <w:tblLayout w:type="fixed"/>
        <w:tblLook w:val="04A0" w:firstRow="1" w:lastRow="0" w:firstColumn="1" w:lastColumn="0" w:noHBand="0" w:noVBand="1"/>
      </w:tblPr>
      <w:tblGrid>
        <w:gridCol w:w="4060"/>
        <w:gridCol w:w="1313"/>
      </w:tblGrid>
      <w:tr w:rsidR="00E12EAF" w:rsidRPr="007D0296" w14:paraId="6774300E" w14:textId="77777777" w:rsidTr="00E12EAF">
        <w:trPr>
          <w:cnfStyle w:val="100000000000" w:firstRow="1" w:lastRow="0" w:firstColumn="0" w:lastColumn="0" w:oddVBand="0" w:evenVBand="0" w:oddHBand="0" w:evenHBand="0" w:firstRowFirstColumn="0" w:firstRowLastColumn="0" w:lastRowFirstColumn="0" w:lastRowLastColumn="0"/>
          <w:trHeight w:val="495"/>
          <w:jc w:val="center"/>
        </w:trPr>
        <w:tc>
          <w:tcPr>
            <w:tcW w:w="4060" w:type="dxa"/>
            <w:tcBorders>
              <w:bottom w:val="single" w:sz="4" w:space="0" w:color="1673CA"/>
            </w:tcBorders>
            <w:vAlign w:val="center"/>
            <w:hideMark/>
          </w:tcPr>
          <w:p w14:paraId="58B07644" w14:textId="227E03B9" w:rsidR="00E12EAF" w:rsidRPr="007D0296" w:rsidRDefault="00E12EAF" w:rsidP="009842E3">
            <w:pPr>
              <w:pStyle w:val="Tables-Bodycells"/>
              <w:rPr>
                <w:color w:val="FFFFFF"/>
              </w:rPr>
            </w:pPr>
            <w:r>
              <w:t xml:space="preserve">Natural Gas </w:t>
            </w:r>
            <w:r w:rsidRPr="007D0296">
              <w:t>Program</w:t>
            </w:r>
          </w:p>
        </w:tc>
        <w:tc>
          <w:tcPr>
            <w:tcW w:w="1313" w:type="dxa"/>
            <w:tcBorders>
              <w:bottom w:val="single" w:sz="4" w:space="0" w:color="1673CA"/>
            </w:tcBorders>
            <w:vAlign w:val="center"/>
            <w:hideMark/>
          </w:tcPr>
          <w:p w14:paraId="04B5FBB1" w14:textId="77777777" w:rsidR="00E12EAF" w:rsidRPr="007D0296" w:rsidRDefault="00E12EAF" w:rsidP="009842E3">
            <w:pPr>
              <w:pStyle w:val="Tables-Bodycells"/>
              <w:rPr>
                <w:color w:val="FFFFFF"/>
              </w:rPr>
            </w:pPr>
            <w:r w:rsidRPr="007D0296">
              <w:t>Document Audit</w:t>
            </w:r>
          </w:p>
        </w:tc>
      </w:tr>
      <w:tr w:rsidR="00E12EAF" w:rsidRPr="007D0296" w14:paraId="02E7B51A" w14:textId="77777777" w:rsidTr="00E12EAF">
        <w:trPr>
          <w:trHeight w:val="315"/>
          <w:jc w:val="center"/>
        </w:trPr>
        <w:tc>
          <w:tcPr>
            <w:tcW w:w="4060" w:type="dxa"/>
            <w:noWrap/>
            <w:vAlign w:val="center"/>
            <w:hideMark/>
          </w:tcPr>
          <w:p w14:paraId="3E1505A1" w14:textId="4C9C3E48" w:rsidR="00E12EAF" w:rsidRPr="007D0296" w:rsidRDefault="00E12EAF" w:rsidP="009842E3">
            <w:pPr>
              <w:pStyle w:val="Tables-Bodycells"/>
              <w:rPr>
                <w:color w:val="000000"/>
                <w:szCs w:val="22"/>
              </w:rPr>
            </w:pPr>
            <w:r w:rsidRPr="007D0296">
              <w:rPr>
                <w:color w:val="000000"/>
                <w:szCs w:val="22"/>
              </w:rPr>
              <w:t>Residential HVAC Program</w:t>
            </w:r>
          </w:p>
        </w:tc>
        <w:tc>
          <w:tcPr>
            <w:tcW w:w="1313" w:type="dxa"/>
            <w:noWrap/>
            <w:vAlign w:val="center"/>
            <w:hideMark/>
          </w:tcPr>
          <w:p w14:paraId="4785CBED" w14:textId="77777777" w:rsidR="00E12EAF" w:rsidRPr="007D0296" w:rsidRDefault="00E12EAF" w:rsidP="009842E3">
            <w:pPr>
              <w:pStyle w:val="Tables-Bodycells"/>
              <w:jc w:val="center"/>
              <w:rPr>
                <w:color w:val="000000"/>
                <w:szCs w:val="22"/>
              </w:rPr>
            </w:pPr>
            <w:r>
              <w:rPr>
                <w:color w:val="000000"/>
                <w:szCs w:val="22"/>
              </w:rPr>
              <w:t>46</w:t>
            </w:r>
          </w:p>
        </w:tc>
      </w:tr>
      <w:tr w:rsidR="00E12EAF" w:rsidRPr="007D0296" w14:paraId="7195EF61" w14:textId="77777777" w:rsidTr="00E12EAF">
        <w:trPr>
          <w:trHeight w:val="315"/>
          <w:jc w:val="center"/>
        </w:trPr>
        <w:tc>
          <w:tcPr>
            <w:tcW w:w="4060" w:type="dxa"/>
            <w:noWrap/>
            <w:vAlign w:val="center"/>
            <w:hideMark/>
          </w:tcPr>
          <w:p w14:paraId="0E1B62EA" w14:textId="210E30AB" w:rsidR="00E12EAF" w:rsidRPr="007D0296" w:rsidRDefault="00E12EAF" w:rsidP="009842E3">
            <w:pPr>
              <w:pStyle w:val="Tables-Bodycells"/>
              <w:rPr>
                <w:color w:val="000000"/>
                <w:szCs w:val="22"/>
              </w:rPr>
            </w:pPr>
            <w:r w:rsidRPr="007D0296">
              <w:rPr>
                <w:color w:val="000000"/>
                <w:szCs w:val="22"/>
              </w:rPr>
              <w:t>Residential Water Heat Program</w:t>
            </w:r>
          </w:p>
        </w:tc>
        <w:tc>
          <w:tcPr>
            <w:tcW w:w="1313" w:type="dxa"/>
            <w:noWrap/>
            <w:vAlign w:val="center"/>
            <w:hideMark/>
          </w:tcPr>
          <w:p w14:paraId="4BAE74E4" w14:textId="77777777" w:rsidR="00E12EAF" w:rsidRPr="007D0296" w:rsidRDefault="00E12EAF" w:rsidP="009842E3">
            <w:pPr>
              <w:pStyle w:val="Tables-Bodycells"/>
              <w:jc w:val="center"/>
              <w:rPr>
                <w:color w:val="000000"/>
                <w:szCs w:val="22"/>
              </w:rPr>
            </w:pPr>
            <w:r>
              <w:rPr>
                <w:color w:val="000000"/>
                <w:szCs w:val="22"/>
              </w:rPr>
              <w:t>12</w:t>
            </w:r>
          </w:p>
        </w:tc>
      </w:tr>
      <w:tr w:rsidR="00E12EAF" w:rsidRPr="007D0296" w14:paraId="43B76EC7" w14:textId="77777777" w:rsidTr="00E12EAF">
        <w:trPr>
          <w:trHeight w:val="315"/>
          <w:jc w:val="center"/>
        </w:trPr>
        <w:tc>
          <w:tcPr>
            <w:tcW w:w="4060" w:type="dxa"/>
            <w:noWrap/>
            <w:vAlign w:val="center"/>
            <w:hideMark/>
          </w:tcPr>
          <w:p w14:paraId="200D5300" w14:textId="386DC1CD" w:rsidR="00E12EAF" w:rsidRPr="007D0296" w:rsidRDefault="00E12EAF" w:rsidP="009842E3">
            <w:pPr>
              <w:pStyle w:val="Tables-Bodycells"/>
              <w:rPr>
                <w:color w:val="000000"/>
                <w:szCs w:val="22"/>
              </w:rPr>
            </w:pPr>
            <w:r w:rsidRPr="007D0296">
              <w:rPr>
                <w:color w:val="000000"/>
                <w:szCs w:val="22"/>
              </w:rPr>
              <w:t>Residential ENERGY STAR Homes</w:t>
            </w:r>
          </w:p>
        </w:tc>
        <w:tc>
          <w:tcPr>
            <w:tcW w:w="1313" w:type="dxa"/>
            <w:noWrap/>
            <w:vAlign w:val="center"/>
            <w:hideMark/>
          </w:tcPr>
          <w:p w14:paraId="3A35FD18" w14:textId="77777777" w:rsidR="00E12EAF" w:rsidRPr="007D0296" w:rsidRDefault="00E12EAF" w:rsidP="009842E3">
            <w:pPr>
              <w:pStyle w:val="Tables-Bodycells"/>
              <w:jc w:val="center"/>
              <w:rPr>
                <w:color w:val="000000"/>
                <w:szCs w:val="22"/>
              </w:rPr>
            </w:pPr>
            <w:r>
              <w:rPr>
                <w:color w:val="000000"/>
                <w:szCs w:val="22"/>
              </w:rPr>
              <w:t>11</w:t>
            </w:r>
          </w:p>
        </w:tc>
      </w:tr>
      <w:tr w:rsidR="00E12EAF" w:rsidRPr="007D0296" w14:paraId="79CBEFAD" w14:textId="77777777" w:rsidTr="00E12EAF">
        <w:trPr>
          <w:trHeight w:val="315"/>
          <w:jc w:val="center"/>
        </w:trPr>
        <w:tc>
          <w:tcPr>
            <w:tcW w:w="4060" w:type="dxa"/>
            <w:noWrap/>
            <w:vAlign w:val="center"/>
          </w:tcPr>
          <w:p w14:paraId="6F218EB9" w14:textId="65B0995B" w:rsidR="00E12EAF" w:rsidRPr="007D0296" w:rsidRDefault="00E12EAF" w:rsidP="009842E3">
            <w:pPr>
              <w:pStyle w:val="Tables-Bodycells"/>
              <w:rPr>
                <w:color w:val="000000"/>
                <w:szCs w:val="22"/>
              </w:rPr>
            </w:pPr>
            <w:r w:rsidRPr="007D0296">
              <w:rPr>
                <w:color w:val="000000"/>
                <w:szCs w:val="22"/>
              </w:rPr>
              <w:t xml:space="preserve">Residential </w:t>
            </w:r>
            <w:r>
              <w:rPr>
                <w:color w:val="000000"/>
                <w:szCs w:val="22"/>
              </w:rPr>
              <w:t>Fuel Efficiency</w:t>
            </w:r>
          </w:p>
        </w:tc>
        <w:tc>
          <w:tcPr>
            <w:tcW w:w="1313" w:type="dxa"/>
            <w:noWrap/>
            <w:vAlign w:val="center"/>
          </w:tcPr>
          <w:p w14:paraId="756D4584" w14:textId="77777777" w:rsidR="00E12EAF" w:rsidRDefault="00E12EAF" w:rsidP="009842E3">
            <w:pPr>
              <w:pStyle w:val="Tables-Bodycells"/>
              <w:jc w:val="center"/>
              <w:rPr>
                <w:color w:val="000000"/>
                <w:szCs w:val="22"/>
              </w:rPr>
            </w:pPr>
            <w:r>
              <w:rPr>
                <w:color w:val="000000"/>
                <w:szCs w:val="22"/>
              </w:rPr>
              <w:t>26</w:t>
            </w:r>
          </w:p>
        </w:tc>
      </w:tr>
      <w:tr w:rsidR="00E12EAF" w:rsidRPr="007D0296" w14:paraId="55A0D9A8" w14:textId="77777777" w:rsidTr="00E12EAF">
        <w:trPr>
          <w:trHeight w:val="315"/>
          <w:jc w:val="center"/>
        </w:trPr>
        <w:tc>
          <w:tcPr>
            <w:tcW w:w="4060" w:type="dxa"/>
            <w:noWrap/>
            <w:vAlign w:val="center"/>
            <w:hideMark/>
          </w:tcPr>
          <w:p w14:paraId="1FB6A707" w14:textId="42F827A1" w:rsidR="00E12EAF" w:rsidRPr="007D0296" w:rsidRDefault="00E12EAF" w:rsidP="009842E3">
            <w:pPr>
              <w:pStyle w:val="Tables-Bodycells"/>
              <w:rPr>
                <w:color w:val="000000"/>
                <w:szCs w:val="22"/>
              </w:rPr>
            </w:pPr>
            <w:r w:rsidRPr="007D0296">
              <w:rPr>
                <w:color w:val="000000"/>
                <w:szCs w:val="22"/>
              </w:rPr>
              <w:t>Residential Shell Program</w:t>
            </w:r>
          </w:p>
        </w:tc>
        <w:tc>
          <w:tcPr>
            <w:tcW w:w="1313" w:type="dxa"/>
            <w:noWrap/>
            <w:vAlign w:val="center"/>
            <w:hideMark/>
          </w:tcPr>
          <w:p w14:paraId="3D326FAA" w14:textId="77777777" w:rsidR="00E12EAF" w:rsidRPr="007D0296" w:rsidRDefault="00E12EAF" w:rsidP="009842E3">
            <w:pPr>
              <w:pStyle w:val="Tables-Bodycells"/>
              <w:jc w:val="center"/>
              <w:rPr>
                <w:color w:val="000000"/>
                <w:szCs w:val="22"/>
              </w:rPr>
            </w:pPr>
            <w:r>
              <w:rPr>
                <w:color w:val="000000"/>
                <w:szCs w:val="22"/>
              </w:rPr>
              <w:t>47</w:t>
            </w:r>
          </w:p>
        </w:tc>
      </w:tr>
      <w:tr w:rsidR="00E12EAF" w:rsidRPr="007D0296" w14:paraId="7006497B" w14:textId="77777777" w:rsidTr="00E12EAF">
        <w:trPr>
          <w:trHeight w:val="315"/>
          <w:jc w:val="center"/>
        </w:trPr>
        <w:tc>
          <w:tcPr>
            <w:tcW w:w="4060" w:type="dxa"/>
            <w:tcBorders>
              <w:bottom w:val="single" w:sz="4" w:space="0" w:color="1673CA"/>
            </w:tcBorders>
            <w:noWrap/>
            <w:vAlign w:val="center"/>
            <w:hideMark/>
          </w:tcPr>
          <w:p w14:paraId="16CAE8D6" w14:textId="77777777" w:rsidR="00E12EAF" w:rsidRPr="007D0296" w:rsidRDefault="00E12EAF" w:rsidP="009842E3">
            <w:pPr>
              <w:pStyle w:val="Tables-Bodycells"/>
              <w:rPr>
                <w:color w:val="000000"/>
                <w:szCs w:val="22"/>
              </w:rPr>
            </w:pPr>
            <w:r w:rsidRPr="007D0296">
              <w:rPr>
                <w:color w:val="000000"/>
                <w:szCs w:val="22"/>
              </w:rPr>
              <w:t>Low Income</w:t>
            </w:r>
          </w:p>
        </w:tc>
        <w:tc>
          <w:tcPr>
            <w:tcW w:w="1313" w:type="dxa"/>
            <w:tcBorders>
              <w:bottom w:val="single" w:sz="4" w:space="0" w:color="1673CA"/>
            </w:tcBorders>
            <w:noWrap/>
            <w:vAlign w:val="center"/>
            <w:hideMark/>
          </w:tcPr>
          <w:p w14:paraId="01531550" w14:textId="77777777" w:rsidR="00E12EAF" w:rsidRPr="007D0296" w:rsidRDefault="00E12EAF" w:rsidP="009842E3">
            <w:pPr>
              <w:pStyle w:val="Tables-Bodycells"/>
              <w:jc w:val="center"/>
              <w:rPr>
                <w:color w:val="000000"/>
                <w:szCs w:val="22"/>
              </w:rPr>
            </w:pPr>
            <w:r w:rsidRPr="007D0296">
              <w:rPr>
                <w:color w:val="000000"/>
                <w:szCs w:val="22"/>
              </w:rPr>
              <w:t>24</w:t>
            </w:r>
          </w:p>
        </w:tc>
      </w:tr>
      <w:tr w:rsidR="00E12EAF" w:rsidRPr="007D0296" w14:paraId="63A2AFDC" w14:textId="77777777" w:rsidTr="00E12EAF">
        <w:trPr>
          <w:trHeight w:val="315"/>
          <w:jc w:val="center"/>
        </w:trPr>
        <w:tc>
          <w:tcPr>
            <w:tcW w:w="4060" w:type="dxa"/>
            <w:noWrap/>
            <w:vAlign w:val="center"/>
            <w:hideMark/>
          </w:tcPr>
          <w:p w14:paraId="4B951605" w14:textId="1E5539CE" w:rsidR="00E12EAF" w:rsidRPr="00EC7F77" w:rsidRDefault="00E12EAF" w:rsidP="009842E3">
            <w:pPr>
              <w:pStyle w:val="Tables-Bodycells"/>
              <w:rPr>
                <w:color w:val="000000"/>
              </w:rPr>
            </w:pPr>
            <w:r>
              <w:rPr>
                <w:color w:val="000000"/>
              </w:rPr>
              <w:t>Nonresidential Water Heaters</w:t>
            </w:r>
          </w:p>
        </w:tc>
        <w:tc>
          <w:tcPr>
            <w:tcW w:w="1313" w:type="dxa"/>
            <w:noWrap/>
            <w:vAlign w:val="center"/>
            <w:hideMark/>
          </w:tcPr>
          <w:p w14:paraId="317AAD63" w14:textId="77777777" w:rsidR="00E12EAF" w:rsidRPr="007D0296" w:rsidRDefault="00E12EAF" w:rsidP="009842E3">
            <w:pPr>
              <w:pStyle w:val="Tables-Bodycells"/>
              <w:jc w:val="center"/>
              <w:rPr>
                <w:color w:val="000000"/>
              </w:rPr>
            </w:pPr>
            <w:r>
              <w:rPr>
                <w:color w:val="000000"/>
              </w:rPr>
              <w:t>2</w:t>
            </w:r>
          </w:p>
        </w:tc>
      </w:tr>
      <w:tr w:rsidR="00E12EAF" w:rsidRPr="007D0296" w14:paraId="1517263B" w14:textId="77777777" w:rsidTr="00E12EAF">
        <w:trPr>
          <w:trHeight w:val="315"/>
          <w:jc w:val="center"/>
        </w:trPr>
        <w:tc>
          <w:tcPr>
            <w:tcW w:w="4060" w:type="dxa"/>
            <w:noWrap/>
            <w:vAlign w:val="center"/>
            <w:hideMark/>
          </w:tcPr>
          <w:p w14:paraId="73418667" w14:textId="075A6772" w:rsidR="00E12EAF" w:rsidRPr="00EC7F77" w:rsidRDefault="00E12EAF" w:rsidP="009842E3">
            <w:pPr>
              <w:pStyle w:val="Tables-Bodycells"/>
              <w:rPr>
                <w:color w:val="000000"/>
              </w:rPr>
            </w:pPr>
            <w:r>
              <w:rPr>
                <w:color w:val="000000"/>
              </w:rPr>
              <w:t>Nonresidential Windows &amp; Insulation</w:t>
            </w:r>
          </w:p>
        </w:tc>
        <w:tc>
          <w:tcPr>
            <w:tcW w:w="1313" w:type="dxa"/>
            <w:noWrap/>
            <w:vAlign w:val="center"/>
            <w:hideMark/>
          </w:tcPr>
          <w:p w14:paraId="33CE0472" w14:textId="77777777" w:rsidR="00E12EAF" w:rsidRPr="007D0296" w:rsidRDefault="00E12EAF" w:rsidP="009842E3">
            <w:pPr>
              <w:pStyle w:val="Tables-Bodycells"/>
              <w:jc w:val="center"/>
              <w:rPr>
                <w:color w:val="000000"/>
              </w:rPr>
            </w:pPr>
            <w:r>
              <w:rPr>
                <w:color w:val="000000"/>
              </w:rPr>
              <w:t>24</w:t>
            </w:r>
          </w:p>
        </w:tc>
      </w:tr>
      <w:tr w:rsidR="00E12EAF" w:rsidRPr="007D0296" w14:paraId="234EB1A1" w14:textId="77777777" w:rsidTr="00E12EAF">
        <w:trPr>
          <w:trHeight w:val="368"/>
          <w:jc w:val="center"/>
        </w:trPr>
        <w:tc>
          <w:tcPr>
            <w:tcW w:w="4060" w:type="dxa"/>
            <w:noWrap/>
            <w:vAlign w:val="center"/>
            <w:hideMark/>
          </w:tcPr>
          <w:p w14:paraId="34226832" w14:textId="401AC7F4" w:rsidR="00E12EAF" w:rsidRPr="00EC7F77" w:rsidRDefault="00E12EAF" w:rsidP="009842E3">
            <w:pPr>
              <w:pStyle w:val="Tables-Bodycells"/>
              <w:rPr>
                <w:color w:val="000000"/>
              </w:rPr>
            </w:pPr>
            <w:r>
              <w:rPr>
                <w:color w:val="000000"/>
              </w:rPr>
              <w:t>Nonresidential Natural Gas HVAC</w:t>
            </w:r>
          </w:p>
        </w:tc>
        <w:tc>
          <w:tcPr>
            <w:tcW w:w="1313" w:type="dxa"/>
            <w:noWrap/>
            <w:vAlign w:val="center"/>
            <w:hideMark/>
          </w:tcPr>
          <w:p w14:paraId="270419F0" w14:textId="77777777" w:rsidR="00E12EAF" w:rsidRPr="007D0296" w:rsidRDefault="00E12EAF" w:rsidP="009842E3">
            <w:pPr>
              <w:pStyle w:val="Tables-Bodycells"/>
              <w:jc w:val="center"/>
              <w:rPr>
                <w:color w:val="000000"/>
              </w:rPr>
            </w:pPr>
            <w:r>
              <w:rPr>
                <w:color w:val="000000"/>
              </w:rPr>
              <w:t>24</w:t>
            </w:r>
          </w:p>
        </w:tc>
      </w:tr>
      <w:tr w:rsidR="00E12EAF" w:rsidRPr="007D0296" w14:paraId="180E34D4" w14:textId="77777777" w:rsidTr="00E12EAF">
        <w:trPr>
          <w:trHeight w:val="368"/>
          <w:jc w:val="center"/>
        </w:trPr>
        <w:tc>
          <w:tcPr>
            <w:tcW w:w="4060" w:type="dxa"/>
            <w:noWrap/>
            <w:vAlign w:val="center"/>
          </w:tcPr>
          <w:p w14:paraId="1D012683" w14:textId="655E1A3E" w:rsidR="00E12EAF" w:rsidRPr="00EC7F77" w:rsidRDefault="00E12EAF" w:rsidP="009842E3">
            <w:pPr>
              <w:pStyle w:val="Tables-Bodycells"/>
              <w:rPr>
                <w:color w:val="000000"/>
              </w:rPr>
            </w:pPr>
            <w:r>
              <w:rPr>
                <w:color w:val="000000"/>
              </w:rPr>
              <w:t>Nonresidential Food Service Equipment</w:t>
            </w:r>
          </w:p>
        </w:tc>
        <w:tc>
          <w:tcPr>
            <w:tcW w:w="1313" w:type="dxa"/>
            <w:noWrap/>
            <w:vAlign w:val="center"/>
          </w:tcPr>
          <w:p w14:paraId="502F2BD5" w14:textId="77777777" w:rsidR="00E12EAF" w:rsidRPr="007D0296" w:rsidRDefault="00E12EAF" w:rsidP="009842E3">
            <w:pPr>
              <w:pStyle w:val="Tables-Bodycells"/>
              <w:jc w:val="center"/>
              <w:rPr>
                <w:color w:val="000000"/>
              </w:rPr>
            </w:pPr>
            <w:r>
              <w:rPr>
                <w:color w:val="000000"/>
              </w:rPr>
              <w:t>11</w:t>
            </w:r>
          </w:p>
        </w:tc>
      </w:tr>
      <w:tr w:rsidR="00E12EAF" w:rsidRPr="007D0296" w14:paraId="254C8097" w14:textId="77777777" w:rsidTr="00E12EAF">
        <w:trPr>
          <w:trHeight w:val="315"/>
          <w:jc w:val="center"/>
        </w:trPr>
        <w:tc>
          <w:tcPr>
            <w:tcW w:w="4060" w:type="dxa"/>
            <w:noWrap/>
            <w:vAlign w:val="center"/>
            <w:hideMark/>
          </w:tcPr>
          <w:p w14:paraId="740D5BBD" w14:textId="32081A28" w:rsidR="00E12EAF" w:rsidRPr="00EC7F77" w:rsidRDefault="00E12EAF" w:rsidP="009842E3">
            <w:pPr>
              <w:pStyle w:val="Tables-Bodycells"/>
              <w:rPr>
                <w:color w:val="000000"/>
              </w:rPr>
            </w:pPr>
            <w:r>
              <w:rPr>
                <w:color w:val="000000"/>
              </w:rPr>
              <w:t>Nonresidential</w:t>
            </w:r>
            <w:r w:rsidRPr="00EC7F77">
              <w:rPr>
                <w:color w:val="000000"/>
              </w:rPr>
              <w:t xml:space="preserve"> Site Specific</w:t>
            </w:r>
          </w:p>
        </w:tc>
        <w:tc>
          <w:tcPr>
            <w:tcW w:w="1313" w:type="dxa"/>
            <w:noWrap/>
            <w:vAlign w:val="center"/>
            <w:hideMark/>
          </w:tcPr>
          <w:p w14:paraId="3F8560BD" w14:textId="77777777" w:rsidR="00E12EAF" w:rsidRPr="007D0296" w:rsidRDefault="00E12EAF" w:rsidP="009842E3">
            <w:pPr>
              <w:pStyle w:val="Tables-Bodycells"/>
              <w:jc w:val="center"/>
              <w:rPr>
                <w:color w:val="000000"/>
              </w:rPr>
            </w:pPr>
            <w:r>
              <w:rPr>
                <w:color w:val="000000"/>
              </w:rPr>
              <w:t>45</w:t>
            </w:r>
          </w:p>
        </w:tc>
      </w:tr>
      <w:tr w:rsidR="00E12EAF" w:rsidRPr="007D0296" w14:paraId="0EE3FAD3" w14:textId="77777777" w:rsidTr="00E12EAF">
        <w:trPr>
          <w:trHeight w:val="315"/>
          <w:jc w:val="center"/>
        </w:trPr>
        <w:tc>
          <w:tcPr>
            <w:tcW w:w="4060" w:type="dxa"/>
            <w:noWrap/>
            <w:vAlign w:val="center"/>
            <w:hideMark/>
          </w:tcPr>
          <w:p w14:paraId="02EDEF02" w14:textId="77777777" w:rsidR="00E12EAF" w:rsidRPr="00F62528" w:rsidRDefault="00E12EAF" w:rsidP="009842E3">
            <w:pPr>
              <w:pStyle w:val="Tables-Bodycells"/>
              <w:rPr>
                <w:color w:val="000000"/>
              </w:rPr>
            </w:pPr>
            <w:r w:rsidRPr="00F62528">
              <w:rPr>
                <w:color w:val="000000"/>
              </w:rPr>
              <w:t>Small Business</w:t>
            </w:r>
          </w:p>
        </w:tc>
        <w:tc>
          <w:tcPr>
            <w:tcW w:w="1313" w:type="dxa"/>
            <w:noWrap/>
            <w:vAlign w:val="center"/>
            <w:hideMark/>
          </w:tcPr>
          <w:p w14:paraId="7CF6E482" w14:textId="77777777" w:rsidR="00E12EAF" w:rsidRPr="00A91488" w:rsidRDefault="00E12EAF" w:rsidP="009842E3">
            <w:pPr>
              <w:pStyle w:val="Tables-Bodycells"/>
              <w:jc w:val="center"/>
              <w:rPr>
                <w:color w:val="000000"/>
              </w:rPr>
            </w:pPr>
            <w:r w:rsidRPr="00A91488">
              <w:rPr>
                <w:color w:val="000000"/>
              </w:rPr>
              <w:t>31</w:t>
            </w:r>
          </w:p>
        </w:tc>
      </w:tr>
      <w:tr w:rsidR="00E12EAF" w:rsidRPr="007D0296" w14:paraId="11F72B85" w14:textId="77777777" w:rsidTr="00E12EAF">
        <w:trPr>
          <w:trHeight w:val="315"/>
          <w:jc w:val="center"/>
        </w:trPr>
        <w:tc>
          <w:tcPr>
            <w:tcW w:w="4060" w:type="dxa"/>
            <w:noWrap/>
            <w:vAlign w:val="center"/>
            <w:hideMark/>
          </w:tcPr>
          <w:p w14:paraId="5B1A39C8" w14:textId="77777777" w:rsidR="00E12EAF" w:rsidRPr="00475E6A" w:rsidRDefault="00E12EAF" w:rsidP="009842E3">
            <w:pPr>
              <w:pStyle w:val="Tables-Bodycells"/>
              <w:rPr>
                <w:b/>
                <w:color w:val="000000"/>
              </w:rPr>
            </w:pPr>
            <w:r w:rsidRPr="00475E6A">
              <w:rPr>
                <w:b/>
                <w:color w:val="000000"/>
              </w:rPr>
              <w:t>TOTAL</w:t>
            </w:r>
          </w:p>
        </w:tc>
        <w:tc>
          <w:tcPr>
            <w:tcW w:w="1313" w:type="dxa"/>
            <w:noWrap/>
            <w:vAlign w:val="center"/>
          </w:tcPr>
          <w:p w14:paraId="1827924A" w14:textId="77777777" w:rsidR="00E12EAF" w:rsidRPr="00A91488" w:rsidRDefault="00E12EAF" w:rsidP="009842E3">
            <w:pPr>
              <w:pStyle w:val="Tables-Bodycells"/>
              <w:jc w:val="center"/>
              <w:rPr>
                <w:b/>
                <w:color w:val="000000"/>
                <w:szCs w:val="22"/>
              </w:rPr>
            </w:pPr>
            <w:r>
              <w:rPr>
                <w:b/>
                <w:color w:val="000000"/>
                <w:szCs w:val="22"/>
              </w:rPr>
              <w:t>303</w:t>
            </w:r>
          </w:p>
        </w:tc>
      </w:tr>
    </w:tbl>
    <w:p w14:paraId="23CF58DE" w14:textId="79F8990B" w:rsidR="00026B71" w:rsidRDefault="00D300DA" w:rsidP="00F23057">
      <w:pPr>
        <w:pStyle w:val="Heading2"/>
        <w:rPr>
          <w:rFonts w:eastAsia="Calibri"/>
        </w:rPr>
      </w:pPr>
      <w:bookmarkStart w:id="33" w:name="_Ref459304597"/>
      <w:bookmarkStart w:id="34" w:name="_Toc459380015"/>
      <w:bookmarkStart w:id="35" w:name="_Toc459380139"/>
      <w:r>
        <w:rPr>
          <w:rFonts w:eastAsia="Calibri"/>
        </w:rPr>
        <w:t>Onsite Verification</w:t>
      </w:r>
      <w:bookmarkEnd w:id="33"/>
      <w:bookmarkEnd w:id="34"/>
      <w:bookmarkEnd w:id="35"/>
    </w:p>
    <w:p w14:paraId="6A713B50" w14:textId="2EBB3C46" w:rsidR="009842E3" w:rsidRPr="00E8594E" w:rsidRDefault="009842E3" w:rsidP="009842E3">
      <w:pPr>
        <w:pStyle w:val="Text"/>
      </w:pPr>
      <w:r>
        <w:t>A sample of projects in the nonresidential sector was selected for onsite measurement and verification activities. Before conducting site inspections, it was important for field engineers to understand the project that they were verifying. This understanding</w:t>
      </w:r>
      <w:r w:rsidR="00E12EAF">
        <w:t xml:space="preserve"> was built from the document </w:t>
      </w:r>
      <w:r w:rsidR="001A0254">
        <w:t xml:space="preserve">review </w:t>
      </w:r>
      <w:r>
        <w:t xml:space="preserve">task discussed </w:t>
      </w:r>
      <w:r w:rsidR="00E12EAF">
        <w:t xml:space="preserve">in Section </w:t>
      </w:r>
      <w:r w:rsidR="00E12EAF">
        <w:fldChar w:fldCharType="begin"/>
      </w:r>
      <w:r w:rsidR="00E12EAF">
        <w:instrText xml:space="preserve"> REF _Ref459302690 \r \h </w:instrText>
      </w:r>
      <w:r w:rsidR="00E12EAF">
        <w:fldChar w:fldCharType="separate"/>
      </w:r>
      <w:r w:rsidR="00EA4C14">
        <w:t>2.2</w:t>
      </w:r>
      <w:r w:rsidR="00E12EAF">
        <w:fldChar w:fldCharType="end"/>
      </w:r>
      <w:r>
        <w:t xml:space="preserve">. For all onsite inspections, a telephone survey served as an introduction to the evaluation activities and was used to confirm that the customer participated in the program, to confirm the appropriate contact, and to verify basic information such as building type and building size. </w:t>
      </w:r>
      <w:r w:rsidRPr="00E8594E">
        <w:t xml:space="preserve">The </w:t>
      </w:r>
      <w:r>
        <w:t>evaluation</w:t>
      </w:r>
      <w:r w:rsidRPr="00E8594E">
        <w:t xml:space="preserve"> </w:t>
      </w:r>
      <w:r>
        <w:t>t</w:t>
      </w:r>
      <w:r w:rsidRPr="00E8594E">
        <w:t xml:space="preserve">eam </w:t>
      </w:r>
      <w:r>
        <w:t>conducted</w:t>
      </w:r>
      <w:r w:rsidRPr="00E8594E">
        <w:t xml:space="preserve"> two levels of rigor associated with the onsite inspections – measurement </w:t>
      </w:r>
      <w:r>
        <w:t>and</w:t>
      </w:r>
      <w:r w:rsidRPr="00E8594E">
        <w:t xml:space="preserve"> verification (M&amp;V) and verification-only (V). Upon review of the project documents, the </w:t>
      </w:r>
      <w:r>
        <w:t>evaluation team</w:t>
      </w:r>
      <w:r w:rsidRPr="00E8594E">
        <w:t xml:space="preserve"> decide</w:t>
      </w:r>
      <w:r>
        <w:t>d</w:t>
      </w:r>
      <w:r w:rsidRPr="00E8594E">
        <w:t xml:space="preserve"> which level of rigor </w:t>
      </w:r>
      <w:r>
        <w:t>was</w:t>
      </w:r>
      <w:r w:rsidRPr="00E8594E">
        <w:t xml:space="preserve"> appropriate for each sampled project/measure. In cases where the measure ha</w:t>
      </w:r>
      <w:r>
        <w:t>d</w:t>
      </w:r>
      <w:r w:rsidRPr="00E8594E">
        <w:t xml:space="preserve"> an approved RTF UES value, the </w:t>
      </w:r>
      <w:r>
        <w:t>evaluation team’s</w:t>
      </w:r>
      <w:r w:rsidRPr="00E8594E">
        <w:t xml:space="preserve"> effort focus</w:t>
      </w:r>
      <w:r>
        <w:t>ed</w:t>
      </w:r>
      <w:r w:rsidRPr="00E8594E">
        <w:t xml:space="preserve"> on verifying</w:t>
      </w:r>
      <w:r>
        <w:t xml:space="preserve"> the</w:t>
      </w:r>
      <w:r w:rsidRPr="00E8594E">
        <w:t xml:space="preserve"> quality and quantity of installation to apply the RTF UES values to. </w:t>
      </w:r>
    </w:p>
    <w:p w14:paraId="14FD4DB2" w14:textId="47CDEA68" w:rsidR="009842E3" w:rsidRDefault="009842E3" w:rsidP="009842E3">
      <w:pPr>
        <w:pStyle w:val="Text"/>
      </w:pPr>
      <w:r>
        <w:t xml:space="preserve">An M&amp;V plan was developed for each M&amp;V-designated project. The </w:t>
      </w:r>
      <w:r w:rsidR="00753CC6">
        <w:t xml:space="preserve">evaluation </w:t>
      </w:r>
      <w:r>
        <w:t xml:space="preserve">team based these plans on a review of the available calculation methods and assumptions used for determining measure-level energy savings. These plans aided in understanding what data to collect during onsite visits and telephone surveys to calculate gross verified savings for each sampled project. </w:t>
      </w:r>
    </w:p>
    <w:p w14:paraId="33F1CFAA" w14:textId="4903CA36" w:rsidR="009842E3" w:rsidRDefault="009842E3" w:rsidP="00713778">
      <w:pPr>
        <w:pStyle w:val="Text"/>
      </w:pPr>
      <w:r>
        <w:t>M&amp;V methods were developed with adherence to the IPMVP</w:t>
      </w:r>
      <w:r w:rsidR="00E12EAF">
        <w:t>.</w:t>
      </w:r>
      <w:r>
        <w:rPr>
          <w:rStyle w:val="FootnoteReference"/>
        </w:rPr>
        <w:t xml:space="preserve"> </w:t>
      </w:r>
      <w:r>
        <w:rPr>
          <w:rStyle w:val="FootnoteReference"/>
        </w:rPr>
        <w:footnoteReference w:id="3"/>
      </w:r>
      <w:r w:rsidR="00E12EAF">
        <w:t xml:space="preserve"> </w:t>
      </w:r>
      <w:r>
        <w:t>The broad categories of the IPMVP are as follows:</w:t>
      </w:r>
    </w:p>
    <w:p w14:paraId="5EB87E21" w14:textId="77777777" w:rsidR="009842E3" w:rsidRDefault="009842E3" w:rsidP="00713778">
      <w:pPr>
        <w:pStyle w:val="Mainbody-Bullets"/>
      </w:pPr>
      <w:r>
        <w:t>Option A, Retrofit Isolation: Key Parameter Measurement – This method uses engineering calculations, along with partial site measurements, to verify the savings resulting from specific measures.</w:t>
      </w:r>
    </w:p>
    <w:p w14:paraId="66CB9BDE" w14:textId="77777777" w:rsidR="009842E3" w:rsidRDefault="009842E3" w:rsidP="00713778">
      <w:pPr>
        <w:pStyle w:val="Mainbody-Bullets"/>
      </w:pPr>
      <w:r>
        <w:t>Option B, Retrofit Isolation: All Parameter Measurement – This method uses engineering calculations, along with ongoing site measurements, to verify the savings resulting from specific measures.</w:t>
      </w:r>
    </w:p>
    <w:p w14:paraId="2C27725C" w14:textId="77777777" w:rsidR="009842E3" w:rsidRDefault="009842E3" w:rsidP="00713778">
      <w:pPr>
        <w:pStyle w:val="Mainbody-Bullets"/>
      </w:pPr>
      <w:r>
        <w:t>Option C, Whole Facility: This method uses whole-facility energy usage information, most often focusing on a utility bill analysis, to evaluate savings.</w:t>
      </w:r>
    </w:p>
    <w:p w14:paraId="005AFDAE" w14:textId="77777777" w:rsidR="009842E3" w:rsidRDefault="009842E3" w:rsidP="00E33CF7">
      <w:pPr>
        <w:pStyle w:val="Mainbody-BulletsOut"/>
      </w:pPr>
      <w:r>
        <w:t>Option D, Calibrated Simulation: Computer energy models are employed to calculate savings as a function of the important independent variables. The models must include verified inputs that accurately characterize the project and must be calibrated to match actual energy usage.</w:t>
      </w:r>
    </w:p>
    <w:p w14:paraId="3DC2AFE9" w14:textId="77777777" w:rsidR="009842E3" w:rsidRDefault="009842E3" w:rsidP="009842E3">
      <w:pPr>
        <w:pStyle w:val="Text"/>
      </w:pPr>
      <w:r>
        <w:t xml:space="preserve">In addition, the evaluation team conducted metering tasks on a subset of the onsite inspection sample chosen for the M&amp;V level of rigor. Projects were selected for metering activities based on the measure type, project complexity, and the level of information needed to estimate gross savings for the project. </w:t>
      </w:r>
    </w:p>
    <w:p w14:paraId="74728273" w14:textId="0C96586F" w:rsidR="00E12EAF" w:rsidRDefault="00E12EAF" w:rsidP="00E12EAF">
      <w:pPr>
        <w:pStyle w:val="Text"/>
      </w:pPr>
      <w:r>
        <w:t xml:space="preserve">Across the electric and natural gas programs and Avista’s Washington and Idaho service territories, the evaluation team conducted </w:t>
      </w:r>
      <w:r w:rsidR="00F24C61">
        <w:t>241</w:t>
      </w:r>
      <w:r>
        <w:t xml:space="preserve"> onsite measurement and verification</w:t>
      </w:r>
      <w:r w:rsidR="00F24C61">
        <w:t xml:space="preserve"> activities</w:t>
      </w:r>
      <w:r>
        <w:t xml:space="preserve"> (</w:t>
      </w:r>
      <w:r w:rsidR="00F24C61">
        <w:fldChar w:fldCharType="begin"/>
      </w:r>
      <w:r w:rsidR="00F24C61">
        <w:instrText xml:space="preserve"> REF _Ref459303127 \h </w:instrText>
      </w:r>
      <w:r w:rsidR="00F24C61">
        <w:fldChar w:fldCharType="separate"/>
      </w:r>
      <w:r w:rsidR="00EA4C14">
        <w:t xml:space="preserve">Table </w:t>
      </w:r>
      <w:r w:rsidR="00EA4C14">
        <w:rPr>
          <w:noProof/>
        </w:rPr>
        <w:t>2</w:t>
      </w:r>
      <w:r w:rsidR="00EA4C14">
        <w:noBreakHyphen/>
      </w:r>
      <w:r w:rsidR="00EA4C14">
        <w:rPr>
          <w:noProof/>
        </w:rPr>
        <w:t>4</w:t>
      </w:r>
      <w:r w:rsidR="00F24C61">
        <w:fldChar w:fldCharType="end"/>
      </w:r>
      <w:r>
        <w:t xml:space="preserve"> and </w:t>
      </w:r>
      <w:r w:rsidR="00EA4C14">
        <w:fldChar w:fldCharType="begin"/>
      </w:r>
      <w:r w:rsidR="00EA4C14">
        <w:instrText xml:space="preserve"> REF _Ref459303133 \h </w:instrText>
      </w:r>
      <w:r w:rsidR="00EA4C14">
        <w:fldChar w:fldCharType="separate"/>
      </w:r>
      <w:r w:rsidR="00EA4C14">
        <w:t xml:space="preserve">Table </w:t>
      </w:r>
      <w:r w:rsidR="00EA4C14">
        <w:rPr>
          <w:noProof/>
        </w:rPr>
        <w:t>2</w:t>
      </w:r>
      <w:r w:rsidR="00EA4C14">
        <w:noBreakHyphen/>
      </w:r>
      <w:r w:rsidR="00EA4C14">
        <w:rPr>
          <w:noProof/>
        </w:rPr>
        <w:t>5</w:t>
      </w:r>
      <w:r w:rsidR="00EA4C14">
        <w:fldChar w:fldCharType="end"/>
      </w:r>
      <w:r w:rsidR="00EA4C14">
        <w:t>)</w:t>
      </w:r>
      <w:r>
        <w:t xml:space="preserve">.  </w:t>
      </w:r>
      <w:r w:rsidRPr="009842E3">
        <w:t xml:space="preserve">As part of these activities, the evaluation team </w:t>
      </w:r>
      <w:r>
        <w:t xml:space="preserve">compared the data provided on the Top Sheets with data verified during the onsite activities.  </w:t>
      </w:r>
    </w:p>
    <w:p w14:paraId="0EA482D2" w14:textId="6BD53146" w:rsidR="00E12EAF" w:rsidRDefault="00E12EAF" w:rsidP="00E12EAF">
      <w:pPr>
        <w:pStyle w:val="Mainbody-Captiontable"/>
      </w:pPr>
      <w:bookmarkStart w:id="36" w:name="_Ref459303127"/>
      <w:bookmarkStart w:id="37" w:name="_Toc459380031"/>
      <w:r>
        <w:t xml:space="preserve">Table </w:t>
      </w:r>
      <w:fldSimple w:instr=" STYLEREF 1 \s ">
        <w:r w:rsidR="00EA4C14">
          <w:rPr>
            <w:noProof/>
          </w:rPr>
          <w:t>2</w:t>
        </w:r>
      </w:fldSimple>
      <w:r>
        <w:noBreakHyphen/>
      </w:r>
      <w:fldSimple w:instr=" SEQ Table \* ARABIC \s 1 ">
        <w:r w:rsidR="00EA4C14">
          <w:rPr>
            <w:noProof/>
          </w:rPr>
          <w:t>4</w:t>
        </w:r>
      </w:fldSimple>
      <w:bookmarkEnd w:id="36"/>
      <w:r>
        <w:t xml:space="preserve">: </w:t>
      </w:r>
      <w:r w:rsidRPr="005C37A9">
        <w:t xml:space="preserve">Summary of </w:t>
      </w:r>
      <w:r>
        <w:t>Onsite M&amp;V</w:t>
      </w:r>
      <w:r w:rsidRPr="005C37A9">
        <w:t xml:space="preserve"> Activities</w:t>
      </w:r>
      <w:r>
        <w:t xml:space="preserve"> – Electric Programs</w:t>
      </w:r>
      <w:bookmarkEnd w:id="37"/>
    </w:p>
    <w:tbl>
      <w:tblPr>
        <w:tblStyle w:val="NEXANTNEWTABLESTYLE"/>
        <w:tblW w:w="5746" w:type="dxa"/>
        <w:jc w:val="center"/>
        <w:tblLayout w:type="fixed"/>
        <w:tblLook w:val="04A0" w:firstRow="1" w:lastRow="0" w:firstColumn="1" w:lastColumn="0" w:noHBand="0" w:noVBand="1"/>
      </w:tblPr>
      <w:tblGrid>
        <w:gridCol w:w="4433"/>
        <w:gridCol w:w="1313"/>
      </w:tblGrid>
      <w:tr w:rsidR="00E12EAF" w:rsidRPr="007D0296" w14:paraId="18613607" w14:textId="77777777" w:rsidTr="00F24C61">
        <w:trPr>
          <w:cnfStyle w:val="100000000000" w:firstRow="1" w:lastRow="0" w:firstColumn="0" w:lastColumn="0" w:oddVBand="0" w:evenVBand="0" w:oddHBand="0" w:evenHBand="0" w:firstRowFirstColumn="0" w:firstRowLastColumn="0" w:lastRowFirstColumn="0" w:lastRowLastColumn="0"/>
          <w:trHeight w:val="495"/>
          <w:jc w:val="center"/>
        </w:trPr>
        <w:tc>
          <w:tcPr>
            <w:tcW w:w="4433" w:type="dxa"/>
            <w:tcBorders>
              <w:bottom w:val="single" w:sz="4" w:space="0" w:color="1673CA"/>
            </w:tcBorders>
            <w:vAlign w:val="center"/>
            <w:hideMark/>
          </w:tcPr>
          <w:p w14:paraId="583B5AE6" w14:textId="0B1C057C" w:rsidR="00E12EAF" w:rsidRPr="007D0296" w:rsidRDefault="00E12EAF" w:rsidP="00C02BEF">
            <w:pPr>
              <w:pStyle w:val="Tables-Bodycells"/>
              <w:rPr>
                <w:color w:val="FFFFFF"/>
              </w:rPr>
            </w:pPr>
            <w:r>
              <w:t xml:space="preserve">Nonresidential Electric </w:t>
            </w:r>
            <w:r w:rsidRPr="007D0296">
              <w:t>Program</w:t>
            </w:r>
          </w:p>
        </w:tc>
        <w:tc>
          <w:tcPr>
            <w:tcW w:w="1313" w:type="dxa"/>
            <w:tcBorders>
              <w:bottom w:val="single" w:sz="4" w:space="0" w:color="1673CA"/>
            </w:tcBorders>
            <w:vAlign w:val="center"/>
            <w:hideMark/>
          </w:tcPr>
          <w:p w14:paraId="2929EB07" w14:textId="77777777" w:rsidR="00E12EAF" w:rsidRPr="007D0296" w:rsidRDefault="00E12EAF" w:rsidP="00C02BEF">
            <w:pPr>
              <w:pStyle w:val="Tables-Bodycells"/>
              <w:rPr>
                <w:color w:val="FFFFFF"/>
              </w:rPr>
            </w:pPr>
            <w:r w:rsidRPr="007D0296">
              <w:t xml:space="preserve">Onsite </w:t>
            </w:r>
            <w:r>
              <w:t>M&amp;V</w:t>
            </w:r>
          </w:p>
        </w:tc>
      </w:tr>
      <w:tr w:rsidR="00E12EAF" w:rsidRPr="007D0296" w14:paraId="21F4F3D0" w14:textId="77777777" w:rsidTr="00F24C61">
        <w:trPr>
          <w:trHeight w:val="315"/>
          <w:jc w:val="center"/>
        </w:trPr>
        <w:tc>
          <w:tcPr>
            <w:tcW w:w="4433" w:type="dxa"/>
            <w:noWrap/>
            <w:vAlign w:val="center"/>
            <w:hideMark/>
          </w:tcPr>
          <w:p w14:paraId="12279447" w14:textId="3DF96CF1" w:rsidR="00E12EAF" w:rsidRPr="007D0296" w:rsidRDefault="00F24C61" w:rsidP="00C02BEF">
            <w:pPr>
              <w:pStyle w:val="Tables-Bodycells"/>
              <w:rPr>
                <w:color w:val="000000"/>
              </w:rPr>
            </w:pPr>
            <w:r>
              <w:t xml:space="preserve">Nonresidential  </w:t>
            </w:r>
            <w:r w:rsidR="00E12EAF" w:rsidRPr="007D0296">
              <w:rPr>
                <w:color w:val="000000"/>
              </w:rPr>
              <w:t>Prescriptive Lighting</w:t>
            </w:r>
          </w:p>
        </w:tc>
        <w:tc>
          <w:tcPr>
            <w:tcW w:w="1313" w:type="dxa"/>
            <w:noWrap/>
            <w:vAlign w:val="center"/>
            <w:hideMark/>
          </w:tcPr>
          <w:p w14:paraId="27EB2A86" w14:textId="77777777" w:rsidR="00E12EAF" w:rsidRPr="007D0296" w:rsidRDefault="00E12EAF" w:rsidP="00C02BEF">
            <w:pPr>
              <w:pStyle w:val="Tables-Bodycells"/>
              <w:jc w:val="center"/>
              <w:rPr>
                <w:color w:val="000000"/>
                <w:szCs w:val="22"/>
              </w:rPr>
            </w:pPr>
            <w:r w:rsidRPr="007D0296">
              <w:rPr>
                <w:color w:val="000000"/>
                <w:szCs w:val="22"/>
              </w:rPr>
              <w:t>22</w:t>
            </w:r>
          </w:p>
        </w:tc>
      </w:tr>
      <w:tr w:rsidR="00E12EAF" w:rsidRPr="007D0296" w14:paraId="351E179E" w14:textId="77777777" w:rsidTr="00F24C61">
        <w:trPr>
          <w:trHeight w:val="315"/>
          <w:jc w:val="center"/>
        </w:trPr>
        <w:tc>
          <w:tcPr>
            <w:tcW w:w="4433" w:type="dxa"/>
            <w:noWrap/>
            <w:vAlign w:val="center"/>
            <w:hideMark/>
          </w:tcPr>
          <w:p w14:paraId="4D3A4296" w14:textId="1FA051D8" w:rsidR="00E12EAF" w:rsidRPr="007D0296" w:rsidRDefault="00F24C61" w:rsidP="00C02BEF">
            <w:pPr>
              <w:pStyle w:val="Tables-Bodycells"/>
              <w:rPr>
                <w:color w:val="000000"/>
              </w:rPr>
            </w:pPr>
            <w:r>
              <w:t xml:space="preserve">Nonresidential  </w:t>
            </w:r>
            <w:r w:rsidR="00E12EAF" w:rsidRPr="007D0296">
              <w:rPr>
                <w:color w:val="000000"/>
              </w:rPr>
              <w:t>Prescriptive EnergySmart Grocer</w:t>
            </w:r>
          </w:p>
        </w:tc>
        <w:tc>
          <w:tcPr>
            <w:tcW w:w="1313" w:type="dxa"/>
            <w:noWrap/>
            <w:vAlign w:val="center"/>
            <w:hideMark/>
          </w:tcPr>
          <w:p w14:paraId="00D9270E" w14:textId="77777777" w:rsidR="00E12EAF" w:rsidRPr="007D0296" w:rsidRDefault="00E12EAF" w:rsidP="00C02BEF">
            <w:pPr>
              <w:pStyle w:val="Tables-Bodycells"/>
              <w:jc w:val="center"/>
              <w:rPr>
                <w:color w:val="000000"/>
                <w:szCs w:val="22"/>
              </w:rPr>
            </w:pPr>
            <w:r w:rsidRPr="007D0296">
              <w:rPr>
                <w:color w:val="000000"/>
                <w:szCs w:val="22"/>
              </w:rPr>
              <w:t>20</w:t>
            </w:r>
          </w:p>
        </w:tc>
      </w:tr>
      <w:tr w:rsidR="00E12EAF" w:rsidRPr="007D0296" w14:paraId="2700FCEB" w14:textId="77777777" w:rsidTr="00F24C61">
        <w:trPr>
          <w:trHeight w:val="368"/>
          <w:jc w:val="center"/>
        </w:trPr>
        <w:tc>
          <w:tcPr>
            <w:tcW w:w="4433" w:type="dxa"/>
            <w:noWrap/>
            <w:vAlign w:val="center"/>
            <w:hideMark/>
          </w:tcPr>
          <w:p w14:paraId="5E7CE592" w14:textId="4A6F7F56" w:rsidR="00E12EAF" w:rsidRPr="007D0296" w:rsidRDefault="00F24C61" w:rsidP="00C02BEF">
            <w:pPr>
              <w:pStyle w:val="Tables-Bodycells"/>
              <w:rPr>
                <w:color w:val="000000"/>
              </w:rPr>
            </w:pPr>
            <w:r>
              <w:t xml:space="preserve">Nonresidential  </w:t>
            </w:r>
            <w:r w:rsidR="00E12EAF" w:rsidRPr="007D0296">
              <w:rPr>
                <w:color w:val="000000"/>
              </w:rPr>
              <w:t>Prescriptive Non-Lighting Other</w:t>
            </w:r>
          </w:p>
        </w:tc>
        <w:tc>
          <w:tcPr>
            <w:tcW w:w="1313" w:type="dxa"/>
            <w:noWrap/>
            <w:vAlign w:val="center"/>
            <w:hideMark/>
          </w:tcPr>
          <w:p w14:paraId="6669AFBF" w14:textId="77777777" w:rsidR="00E12EAF" w:rsidRPr="007D0296" w:rsidRDefault="00E12EAF" w:rsidP="00C02BEF">
            <w:pPr>
              <w:pStyle w:val="Tables-Bodycells"/>
              <w:jc w:val="center"/>
              <w:rPr>
                <w:color w:val="000000"/>
                <w:szCs w:val="22"/>
              </w:rPr>
            </w:pPr>
            <w:r w:rsidRPr="007D0296">
              <w:rPr>
                <w:color w:val="000000"/>
                <w:szCs w:val="22"/>
              </w:rPr>
              <w:t>15</w:t>
            </w:r>
          </w:p>
        </w:tc>
      </w:tr>
      <w:tr w:rsidR="00E12EAF" w:rsidRPr="007D0296" w14:paraId="27B692D2" w14:textId="77777777" w:rsidTr="00F24C61">
        <w:trPr>
          <w:trHeight w:val="315"/>
          <w:jc w:val="center"/>
        </w:trPr>
        <w:tc>
          <w:tcPr>
            <w:tcW w:w="4433" w:type="dxa"/>
            <w:noWrap/>
            <w:vAlign w:val="center"/>
            <w:hideMark/>
          </w:tcPr>
          <w:p w14:paraId="6BF382D5" w14:textId="3274E40E" w:rsidR="00E12EAF" w:rsidRPr="007D0296" w:rsidRDefault="00F24C61" w:rsidP="00C02BEF">
            <w:pPr>
              <w:pStyle w:val="Tables-Bodycells"/>
              <w:rPr>
                <w:color w:val="000000"/>
              </w:rPr>
            </w:pPr>
            <w:r>
              <w:t xml:space="preserve">Nonresidential </w:t>
            </w:r>
            <w:r w:rsidR="00E12EAF" w:rsidRPr="007D0296">
              <w:rPr>
                <w:color w:val="000000"/>
              </w:rPr>
              <w:t>Site Specific</w:t>
            </w:r>
          </w:p>
        </w:tc>
        <w:tc>
          <w:tcPr>
            <w:tcW w:w="1313" w:type="dxa"/>
            <w:noWrap/>
            <w:vAlign w:val="center"/>
            <w:hideMark/>
          </w:tcPr>
          <w:p w14:paraId="5755365B" w14:textId="77777777" w:rsidR="00E12EAF" w:rsidRPr="007D0296" w:rsidRDefault="00E12EAF" w:rsidP="00C02BEF">
            <w:pPr>
              <w:pStyle w:val="Tables-Bodycells"/>
              <w:jc w:val="center"/>
              <w:rPr>
                <w:color w:val="000000"/>
                <w:szCs w:val="22"/>
              </w:rPr>
            </w:pPr>
            <w:r w:rsidRPr="007D0296">
              <w:rPr>
                <w:color w:val="000000"/>
                <w:szCs w:val="22"/>
              </w:rPr>
              <w:t>84</w:t>
            </w:r>
          </w:p>
        </w:tc>
      </w:tr>
      <w:tr w:rsidR="00E12EAF" w:rsidRPr="007D0296" w14:paraId="6675F112" w14:textId="77777777" w:rsidTr="00F24C61">
        <w:trPr>
          <w:trHeight w:val="315"/>
          <w:jc w:val="center"/>
        </w:trPr>
        <w:tc>
          <w:tcPr>
            <w:tcW w:w="4433" w:type="dxa"/>
            <w:noWrap/>
            <w:vAlign w:val="center"/>
            <w:hideMark/>
          </w:tcPr>
          <w:p w14:paraId="222B5C6E" w14:textId="77777777" w:rsidR="00E12EAF" w:rsidRPr="007D0296" w:rsidRDefault="00E12EAF" w:rsidP="00C02BEF">
            <w:pPr>
              <w:pStyle w:val="Tables-Bodycells"/>
              <w:rPr>
                <w:color w:val="000000"/>
              </w:rPr>
            </w:pPr>
            <w:r w:rsidRPr="007D0296">
              <w:rPr>
                <w:color w:val="000000"/>
              </w:rPr>
              <w:t>Small Business</w:t>
            </w:r>
          </w:p>
        </w:tc>
        <w:tc>
          <w:tcPr>
            <w:tcW w:w="1313" w:type="dxa"/>
            <w:noWrap/>
            <w:vAlign w:val="center"/>
            <w:hideMark/>
          </w:tcPr>
          <w:p w14:paraId="69641121" w14:textId="77777777" w:rsidR="00E12EAF" w:rsidRPr="007D0296" w:rsidRDefault="00E12EAF" w:rsidP="00C02BEF">
            <w:pPr>
              <w:pStyle w:val="Tables-Bodycells"/>
              <w:jc w:val="center"/>
              <w:rPr>
                <w:color w:val="000000"/>
                <w:szCs w:val="22"/>
              </w:rPr>
            </w:pPr>
            <w:r w:rsidRPr="007D0296">
              <w:rPr>
                <w:color w:val="000000"/>
                <w:szCs w:val="22"/>
              </w:rPr>
              <w:t>31</w:t>
            </w:r>
          </w:p>
        </w:tc>
      </w:tr>
      <w:tr w:rsidR="00E12EAF" w:rsidRPr="007D0296" w14:paraId="3298B230" w14:textId="77777777" w:rsidTr="00F24C61">
        <w:trPr>
          <w:trHeight w:val="315"/>
          <w:jc w:val="center"/>
        </w:trPr>
        <w:tc>
          <w:tcPr>
            <w:tcW w:w="4433" w:type="dxa"/>
            <w:noWrap/>
            <w:vAlign w:val="center"/>
            <w:hideMark/>
          </w:tcPr>
          <w:p w14:paraId="55AE284A" w14:textId="77777777" w:rsidR="00E12EAF" w:rsidRPr="00475E6A" w:rsidRDefault="00E12EAF" w:rsidP="00C02BEF">
            <w:pPr>
              <w:pStyle w:val="Tables-Bodycells"/>
              <w:rPr>
                <w:b/>
                <w:color w:val="000000"/>
              </w:rPr>
            </w:pPr>
            <w:r w:rsidRPr="00475E6A">
              <w:rPr>
                <w:b/>
                <w:color w:val="000000"/>
              </w:rPr>
              <w:t>TOTAL</w:t>
            </w:r>
          </w:p>
        </w:tc>
        <w:tc>
          <w:tcPr>
            <w:tcW w:w="1313" w:type="dxa"/>
            <w:noWrap/>
            <w:vAlign w:val="center"/>
            <w:hideMark/>
          </w:tcPr>
          <w:p w14:paraId="0DACDAD9" w14:textId="12C96AD3" w:rsidR="00E12EAF" w:rsidRPr="00475E6A" w:rsidRDefault="00F24C61" w:rsidP="00C02BEF">
            <w:pPr>
              <w:pStyle w:val="Tables-Bodycells"/>
              <w:jc w:val="center"/>
              <w:rPr>
                <w:b/>
                <w:color w:val="000000"/>
                <w:szCs w:val="22"/>
              </w:rPr>
            </w:pPr>
            <w:r>
              <w:rPr>
                <w:b/>
                <w:color w:val="000000"/>
                <w:szCs w:val="22"/>
              </w:rPr>
              <w:t>172</w:t>
            </w:r>
          </w:p>
        </w:tc>
      </w:tr>
    </w:tbl>
    <w:p w14:paraId="495DB072" w14:textId="77777777" w:rsidR="00F24C61" w:rsidRDefault="00F24C61" w:rsidP="00E33CF7">
      <w:pPr>
        <w:pStyle w:val="Text"/>
      </w:pPr>
    </w:p>
    <w:p w14:paraId="7BF943A4" w14:textId="1449F667" w:rsidR="00E12EAF" w:rsidRDefault="00E12EAF" w:rsidP="00E12EAF">
      <w:pPr>
        <w:pStyle w:val="Mainbody-Captiontable"/>
      </w:pPr>
      <w:bookmarkStart w:id="38" w:name="_Ref459303133"/>
      <w:bookmarkStart w:id="39" w:name="_Toc459380032"/>
      <w:r>
        <w:t xml:space="preserve">Table </w:t>
      </w:r>
      <w:fldSimple w:instr=" STYLEREF 1 \s ">
        <w:r w:rsidR="00EA4C14">
          <w:rPr>
            <w:noProof/>
          </w:rPr>
          <w:t>2</w:t>
        </w:r>
      </w:fldSimple>
      <w:r>
        <w:noBreakHyphen/>
      </w:r>
      <w:fldSimple w:instr=" SEQ Table \* ARABIC \s 1 ">
        <w:r w:rsidR="00EA4C14">
          <w:rPr>
            <w:noProof/>
          </w:rPr>
          <w:t>5</w:t>
        </w:r>
      </w:fldSimple>
      <w:bookmarkEnd w:id="38"/>
      <w:r>
        <w:t xml:space="preserve">: </w:t>
      </w:r>
      <w:r w:rsidRPr="005C37A9">
        <w:t xml:space="preserve">Summary of </w:t>
      </w:r>
      <w:r w:rsidR="00F24C61">
        <w:t>Onsite M&amp;V</w:t>
      </w:r>
      <w:r w:rsidR="00F24C61" w:rsidRPr="005C37A9">
        <w:t xml:space="preserve"> Activities</w:t>
      </w:r>
      <w:r w:rsidR="00F24C61">
        <w:t xml:space="preserve"> </w:t>
      </w:r>
      <w:r>
        <w:t>– Natural Gas Programs</w:t>
      </w:r>
      <w:bookmarkEnd w:id="39"/>
    </w:p>
    <w:tbl>
      <w:tblPr>
        <w:tblStyle w:val="NEXANTNEWTABLESTYLE"/>
        <w:tblW w:w="5103" w:type="dxa"/>
        <w:jc w:val="center"/>
        <w:tblLayout w:type="fixed"/>
        <w:tblLook w:val="04A0" w:firstRow="1" w:lastRow="0" w:firstColumn="1" w:lastColumn="0" w:noHBand="0" w:noVBand="1"/>
      </w:tblPr>
      <w:tblGrid>
        <w:gridCol w:w="3790"/>
        <w:gridCol w:w="1313"/>
      </w:tblGrid>
      <w:tr w:rsidR="00E12EAF" w:rsidRPr="007D0296" w14:paraId="4AB44419" w14:textId="77777777" w:rsidTr="00F24C61">
        <w:trPr>
          <w:cnfStyle w:val="100000000000" w:firstRow="1" w:lastRow="0" w:firstColumn="0" w:lastColumn="0" w:oddVBand="0" w:evenVBand="0" w:oddHBand="0" w:evenHBand="0" w:firstRowFirstColumn="0" w:firstRowLastColumn="0" w:lastRowFirstColumn="0" w:lastRowLastColumn="0"/>
          <w:trHeight w:val="495"/>
          <w:jc w:val="center"/>
        </w:trPr>
        <w:tc>
          <w:tcPr>
            <w:tcW w:w="3790" w:type="dxa"/>
            <w:tcBorders>
              <w:bottom w:val="single" w:sz="4" w:space="0" w:color="1673CA"/>
            </w:tcBorders>
            <w:vAlign w:val="center"/>
            <w:hideMark/>
          </w:tcPr>
          <w:p w14:paraId="24A4F6D9" w14:textId="571F210A" w:rsidR="00E12EAF" w:rsidRPr="007D0296" w:rsidRDefault="00F24C61" w:rsidP="00C02BEF">
            <w:pPr>
              <w:pStyle w:val="Tables-Bodycells"/>
              <w:rPr>
                <w:color w:val="FFFFFF"/>
              </w:rPr>
            </w:pPr>
            <w:r>
              <w:t xml:space="preserve">Nonresidential Gas </w:t>
            </w:r>
            <w:r w:rsidR="00E12EAF" w:rsidRPr="007D0296">
              <w:t>Program</w:t>
            </w:r>
          </w:p>
        </w:tc>
        <w:tc>
          <w:tcPr>
            <w:tcW w:w="1313" w:type="dxa"/>
            <w:tcBorders>
              <w:bottom w:val="single" w:sz="4" w:space="0" w:color="1673CA"/>
            </w:tcBorders>
            <w:vAlign w:val="center"/>
            <w:hideMark/>
          </w:tcPr>
          <w:p w14:paraId="5AA88227" w14:textId="77777777" w:rsidR="00E12EAF" w:rsidRPr="007D0296" w:rsidRDefault="00E12EAF" w:rsidP="00C02BEF">
            <w:pPr>
              <w:pStyle w:val="Tables-Bodycells"/>
              <w:rPr>
                <w:color w:val="FFFFFF"/>
              </w:rPr>
            </w:pPr>
            <w:r w:rsidRPr="007D0296">
              <w:t xml:space="preserve">Onsite </w:t>
            </w:r>
            <w:r>
              <w:t>M&amp;V</w:t>
            </w:r>
          </w:p>
        </w:tc>
      </w:tr>
      <w:tr w:rsidR="00E12EAF" w:rsidRPr="007D0296" w14:paraId="30010DCC" w14:textId="77777777" w:rsidTr="00F24C61">
        <w:trPr>
          <w:trHeight w:val="315"/>
          <w:jc w:val="center"/>
        </w:trPr>
        <w:tc>
          <w:tcPr>
            <w:tcW w:w="3790" w:type="dxa"/>
            <w:noWrap/>
            <w:vAlign w:val="center"/>
            <w:hideMark/>
          </w:tcPr>
          <w:p w14:paraId="377E7376" w14:textId="5002A1E1" w:rsidR="00E12EAF" w:rsidRPr="00EC7F77" w:rsidRDefault="00F24C61" w:rsidP="00C02BEF">
            <w:pPr>
              <w:pStyle w:val="Tables-Bodycells"/>
              <w:rPr>
                <w:color w:val="000000"/>
              </w:rPr>
            </w:pPr>
            <w:r>
              <w:rPr>
                <w:color w:val="000000"/>
              </w:rPr>
              <w:t>Nonresidential</w:t>
            </w:r>
            <w:r w:rsidR="00E12EAF">
              <w:rPr>
                <w:color w:val="000000"/>
              </w:rPr>
              <w:t xml:space="preserve"> Water Heaters</w:t>
            </w:r>
          </w:p>
        </w:tc>
        <w:tc>
          <w:tcPr>
            <w:tcW w:w="1313" w:type="dxa"/>
            <w:noWrap/>
            <w:vAlign w:val="center"/>
            <w:hideMark/>
          </w:tcPr>
          <w:p w14:paraId="67B036F7" w14:textId="77777777" w:rsidR="00E12EAF" w:rsidRPr="007D0296" w:rsidRDefault="00E12EAF" w:rsidP="00C02BEF">
            <w:pPr>
              <w:pStyle w:val="Tables-Bodycells"/>
              <w:jc w:val="center"/>
              <w:rPr>
                <w:color w:val="000000"/>
                <w:szCs w:val="22"/>
              </w:rPr>
            </w:pPr>
            <w:r>
              <w:rPr>
                <w:color w:val="000000"/>
                <w:szCs w:val="22"/>
              </w:rPr>
              <w:t>1</w:t>
            </w:r>
          </w:p>
        </w:tc>
      </w:tr>
      <w:tr w:rsidR="00E12EAF" w:rsidRPr="007D0296" w14:paraId="7437648A" w14:textId="77777777" w:rsidTr="00F24C61">
        <w:trPr>
          <w:trHeight w:val="315"/>
          <w:jc w:val="center"/>
        </w:trPr>
        <w:tc>
          <w:tcPr>
            <w:tcW w:w="3790" w:type="dxa"/>
            <w:noWrap/>
            <w:vAlign w:val="center"/>
            <w:hideMark/>
          </w:tcPr>
          <w:p w14:paraId="337B0FAB" w14:textId="28069B84" w:rsidR="00E12EAF" w:rsidRPr="00EC7F77" w:rsidRDefault="00F24C61" w:rsidP="00C02BEF">
            <w:pPr>
              <w:pStyle w:val="Tables-Bodycells"/>
              <w:rPr>
                <w:color w:val="000000"/>
              </w:rPr>
            </w:pPr>
            <w:r>
              <w:rPr>
                <w:color w:val="000000"/>
              </w:rPr>
              <w:t>Nonresidential</w:t>
            </w:r>
            <w:r w:rsidR="00E12EAF">
              <w:rPr>
                <w:color w:val="000000"/>
              </w:rPr>
              <w:t xml:space="preserve"> Windows &amp; Insulation</w:t>
            </w:r>
          </w:p>
        </w:tc>
        <w:tc>
          <w:tcPr>
            <w:tcW w:w="1313" w:type="dxa"/>
            <w:noWrap/>
            <w:vAlign w:val="center"/>
            <w:hideMark/>
          </w:tcPr>
          <w:p w14:paraId="3C12D2C3" w14:textId="77777777" w:rsidR="00E12EAF" w:rsidRPr="007D0296" w:rsidRDefault="00E12EAF" w:rsidP="00C02BEF">
            <w:pPr>
              <w:pStyle w:val="Tables-Bodycells"/>
              <w:jc w:val="center"/>
              <w:rPr>
                <w:color w:val="000000"/>
                <w:szCs w:val="22"/>
              </w:rPr>
            </w:pPr>
            <w:r>
              <w:rPr>
                <w:color w:val="000000"/>
                <w:szCs w:val="22"/>
              </w:rPr>
              <w:t>11</w:t>
            </w:r>
          </w:p>
        </w:tc>
      </w:tr>
      <w:tr w:rsidR="00E12EAF" w:rsidRPr="007D0296" w14:paraId="658284AE" w14:textId="77777777" w:rsidTr="00F24C61">
        <w:trPr>
          <w:trHeight w:val="368"/>
          <w:jc w:val="center"/>
        </w:trPr>
        <w:tc>
          <w:tcPr>
            <w:tcW w:w="3790" w:type="dxa"/>
            <w:noWrap/>
            <w:vAlign w:val="center"/>
            <w:hideMark/>
          </w:tcPr>
          <w:p w14:paraId="0C18E81D" w14:textId="37721865" w:rsidR="00E12EAF" w:rsidRPr="00EC7F77" w:rsidRDefault="00F24C61" w:rsidP="00C02BEF">
            <w:pPr>
              <w:pStyle w:val="Tables-Bodycells"/>
              <w:rPr>
                <w:color w:val="000000"/>
              </w:rPr>
            </w:pPr>
            <w:r>
              <w:rPr>
                <w:color w:val="000000"/>
              </w:rPr>
              <w:t xml:space="preserve">Nonresidential  </w:t>
            </w:r>
            <w:r w:rsidR="00E12EAF">
              <w:rPr>
                <w:color w:val="000000"/>
              </w:rPr>
              <w:t>Natural Gas HVAC</w:t>
            </w:r>
          </w:p>
        </w:tc>
        <w:tc>
          <w:tcPr>
            <w:tcW w:w="1313" w:type="dxa"/>
            <w:noWrap/>
            <w:vAlign w:val="center"/>
            <w:hideMark/>
          </w:tcPr>
          <w:p w14:paraId="7D503A33" w14:textId="77777777" w:rsidR="00E12EAF" w:rsidRPr="007D0296" w:rsidRDefault="00E12EAF" w:rsidP="00C02BEF">
            <w:pPr>
              <w:pStyle w:val="Tables-Bodycells"/>
              <w:jc w:val="center"/>
              <w:rPr>
                <w:color w:val="000000"/>
                <w:szCs w:val="22"/>
              </w:rPr>
            </w:pPr>
            <w:r>
              <w:rPr>
                <w:color w:val="000000"/>
                <w:szCs w:val="22"/>
              </w:rPr>
              <w:t>0</w:t>
            </w:r>
          </w:p>
        </w:tc>
      </w:tr>
      <w:tr w:rsidR="00E12EAF" w:rsidRPr="007D0296" w14:paraId="645644D1" w14:textId="77777777" w:rsidTr="00F24C61">
        <w:trPr>
          <w:trHeight w:val="368"/>
          <w:jc w:val="center"/>
        </w:trPr>
        <w:tc>
          <w:tcPr>
            <w:tcW w:w="3790" w:type="dxa"/>
            <w:noWrap/>
            <w:vAlign w:val="center"/>
          </w:tcPr>
          <w:p w14:paraId="5B28F940" w14:textId="2F1EB415" w:rsidR="00E12EAF" w:rsidRPr="00EC7F77" w:rsidRDefault="00F24C61" w:rsidP="00C02BEF">
            <w:pPr>
              <w:pStyle w:val="Tables-Bodycells"/>
              <w:rPr>
                <w:color w:val="000000"/>
              </w:rPr>
            </w:pPr>
            <w:r>
              <w:rPr>
                <w:color w:val="000000"/>
              </w:rPr>
              <w:t xml:space="preserve">Nonresidential </w:t>
            </w:r>
            <w:r w:rsidR="00E12EAF">
              <w:rPr>
                <w:color w:val="000000"/>
              </w:rPr>
              <w:t>Food Service Equipment</w:t>
            </w:r>
          </w:p>
        </w:tc>
        <w:tc>
          <w:tcPr>
            <w:tcW w:w="1313" w:type="dxa"/>
            <w:noWrap/>
            <w:vAlign w:val="center"/>
          </w:tcPr>
          <w:p w14:paraId="50CBFA59" w14:textId="77777777" w:rsidR="00E12EAF" w:rsidRPr="007D0296" w:rsidRDefault="00E12EAF" w:rsidP="00C02BEF">
            <w:pPr>
              <w:pStyle w:val="Tables-Bodycells"/>
              <w:jc w:val="center"/>
              <w:rPr>
                <w:color w:val="000000"/>
                <w:szCs w:val="22"/>
              </w:rPr>
            </w:pPr>
            <w:r>
              <w:rPr>
                <w:color w:val="000000"/>
                <w:szCs w:val="22"/>
              </w:rPr>
              <w:t>0</w:t>
            </w:r>
          </w:p>
        </w:tc>
      </w:tr>
      <w:tr w:rsidR="00E12EAF" w:rsidRPr="007D0296" w14:paraId="7B9EDAB4" w14:textId="77777777" w:rsidTr="00F24C61">
        <w:trPr>
          <w:trHeight w:val="315"/>
          <w:jc w:val="center"/>
        </w:trPr>
        <w:tc>
          <w:tcPr>
            <w:tcW w:w="3790" w:type="dxa"/>
            <w:noWrap/>
            <w:vAlign w:val="center"/>
            <w:hideMark/>
          </w:tcPr>
          <w:p w14:paraId="5C9B0467" w14:textId="440A3850" w:rsidR="00E12EAF" w:rsidRPr="00EC7F77" w:rsidRDefault="00F24C61" w:rsidP="00C02BEF">
            <w:pPr>
              <w:pStyle w:val="Tables-Bodycells"/>
              <w:rPr>
                <w:color w:val="000000"/>
              </w:rPr>
            </w:pPr>
            <w:r>
              <w:rPr>
                <w:color w:val="000000"/>
              </w:rPr>
              <w:t xml:space="preserve">Nonresidential  </w:t>
            </w:r>
            <w:r w:rsidR="00E12EAF" w:rsidRPr="00EC7F77">
              <w:rPr>
                <w:color w:val="000000"/>
              </w:rPr>
              <w:t>Site Specific</w:t>
            </w:r>
          </w:p>
        </w:tc>
        <w:tc>
          <w:tcPr>
            <w:tcW w:w="1313" w:type="dxa"/>
            <w:noWrap/>
            <w:vAlign w:val="center"/>
            <w:hideMark/>
          </w:tcPr>
          <w:p w14:paraId="0F55ED96" w14:textId="77777777" w:rsidR="00E12EAF" w:rsidRPr="007D0296" w:rsidRDefault="00E12EAF" w:rsidP="00C02BEF">
            <w:pPr>
              <w:pStyle w:val="Tables-Bodycells"/>
              <w:jc w:val="center"/>
              <w:rPr>
                <w:color w:val="000000"/>
                <w:szCs w:val="22"/>
              </w:rPr>
            </w:pPr>
            <w:r>
              <w:rPr>
                <w:color w:val="000000"/>
                <w:szCs w:val="22"/>
              </w:rPr>
              <w:t>26</w:t>
            </w:r>
          </w:p>
        </w:tc>
      </w:tr>
      <w:tr w:rsidR="00E12EAF" w:rsidRPr="007D0296" w14:paraId="1306251A" w14:textId="77777777" w:rsidTr="00F24C61">
        <w:trPr>
          <w:trHeight w:val="315"/>
          <w:jc w:val="center"/>
        </w:trPr>
        <w:tc>
          <w:tcPr>
            <w:tcW w:w="3790" w:type="dxa"/>
            <w:noWrap/>
            <w:vAlign w:val="center"/>
            <w:hideMark/>
          </w:tcPr>
          <w:p w14:paraId="18392DFE" w14:textId="77777777" w:rsidR="00E12EAF" w:rsidRPr="00F62528" w:rsidRDefault="00E12EAF" w:rsidP="00C02BEF">
            <w:pPr>
              <w:pStyle w:val="Tables-Bodycells"/>
              <w:rPr>
                <w:color w:val="000000"/>
              </w:rPr>
            </w:pPr>
            <w:r w:rsidRPr="00F62528">
              <w:rPr>
                <w:color w:val="000000"/>
              </w:rPr>
              <w:t>Small Business</w:t>
            </w:r>
          </w:p>
        </w:tc>
        <w:tc>
          <w:tcPr>
            <w:tcW w:w="1313" w:type="dxa"/>
            <w:noWrap/>
            <w:vAlign w:val="center"/>
            <w:hideMark/>
          </w:tcPr>
          <w:p w14:paraId="5F7245F2" w14:textId="77777777" w:rsidR="00E12EAF" w:rsidRPr="00A91488" w:rsidRDefault="00E12EAF" w:rsidP="00C02BEF">
            <w:pPr>
              <w:pStyle w:val="Tables-Bodycells"/>
              <w:jc w:val="center"/>
              <w:rPr>
                <w:color w:val="000000"/>
                <w:szCs w:val="22"/>
              </w:rPr>
            </w:pPr>
            <w:r w:rsidRPr="00A91488">
              <w:rPr>
                <w:color w:val="000000"/>
                <w:szCs w:val="22"/>
              </w:rPr>
              <w:t>31</w:t>
            </w:r>
          </w:p>
        </w:tc>
      </w:tr>
      <w:tr w:rsidR="00E12EAF" w:rsidRPr="007D0296" w14:paraId="3F692592" w14:textId="77777777" w:rsidTr="00F24C61">
        <w:trPr>
          <w:trHeight w:val="315"/>
          <w:jc w:val="center"/>
        </w:trPr>
        <w:tc>
          <w:tcPr>
            <w:tcW w:w="3790" w:type="dxa"/>
            <w:noWrap/>
            <w:vAlign w:val="center"/>
            <w:hideMark/>
          </w:tcPr>
          <w:p w14:paraId="6DCA11F0" w14:textId="77777777" w:rsidR="00E12EAF" w:rsidRPr="00475E6A" w:rsidRDefault="00E12EAF" w:rsidP="00C02BEF">
            <w:pPr>
              <w:pStyle w:val="Tables-Bodycells"/>
              <w:rPr>
                <w:b/>
                <w:color w:val="000000"/>
              </w:rPr>
            </w:pPr>
            <w:r w:rsidRPr="00475E6A">
              <w:rPr>
                <w:b/>
                <w:color w:val="000000"/>
              </w:rPr>
              <w:t>TOTAL</w:t>
            </w:r>
          </w:p>
        </w:tc>
        <w:tc>
          <w:tcPr>
            <w:tcW w:w="1313" w:type="dxa"/>
            <w:noWrap/>
            <w:vAlign w:val="center"/>
          </w:tcPr>
          <w:p w14:paraId="714C32D9" w14:textId="77777777" w:rsidR="00E12EAF" w:rsidRPr="00A91488" w:rsidRDefault="00E12EAF" w:rsidP="00C02BEF">
            <w:pPr>
              <w:pStyle w:val="Tables-Bodycells"/>
              <w:jc w:val="center"/>
              <w:rPr>
                <w:b/>
                <w:color w:val="000000"/>
                <w:szCs w:val="22"/>
              </w:rPr>
            </w:pPr>
            <w:r>
              <w:rPr>
                <w:b/>
                <w:color w:val="000000"/>
                <w:szCs w:val="22"/>
              </w:rPr>
              <w:t>69</w:t>
            </w:r>
          </w:p>
        </w:tc>
      </w:tr>
    </w:tbl>
    <w:p w14:paraId="2CD8A7A7" w14:textId="77777777" w:rsidR="00E12EAF" w:rsidRPr="009842E3" w:rsidRDefault="00E12EAF" w:rsidP="00E12EAF">
      <w:pPr>
        <w:pStyle w:val="Text"/>
      </w:pPr>
    </w:p>
    <w:p w14:paraId="3DE74099" w14:textId="77777777" w:rsidR="001A0254" w:rsidRDefault="001A0254" w:rsidP="00F23057">
      <w:pPr>
        <w:pStyle w:val="Heading1"/>
        <w:tabs>
          <w:tab w:val="clear" w:pos="1440"/>
          <w:tab w:val="num" w:pos="720"/>
          <w:tab w:val="num" w:pos="1620"/>
        </w:tabs>
        <w:spacing w:after="240"/>
        <w:ind w:left="720" w:hanging="720"/>
        <w:sectPr w:rsidR="001A0254" w:rsidSect="00E33CF7">
          <w:headerReference w:type="default" r:id="rId19"/>
          <w:footerReference w:type="default" r:id="rId20"/>
          <w:headerReference w:type="first" r:id="rId21"/>
          <w:footerReference w:type="first" r:id="rId22"/>
          <w:endnotePr>
            <w:numFmt w:val="decimal"/>
          </w:endnotePr>
          <w:pgSz w:w="12240" w:h="15840" w:code="1"/>
          <w:pgMar w:top="1440" w:right="1440" w:bottom="720" w:left="1440" w:header="720" w:footer="720" w:gutter="0"/>
          <w:cols w:space="360"/>
          <w:titlePg/>
          <w:docGrid w:linePitch="299"/>
        </w:sectPr>
      </w:pPr>
    </w:p>
    <w:p w14:paraId="7D1C5917" w14:textId="2E86BBD7" w:rsidR="00F23057" w:rsidRDefault="00D300DA" w:rsidP="00F23057">
      <w:pPr>
        <w:pStyle w:val="Heading1"/>
        <w:tabs>
          <w:tab w:val="clear" w:pos="1440"/>
          <w:tab w:val="num" w:pos="720"/>
          <w:tab w:val="num" w:pos="1620"/>
        </w:tabs>
        <w:spacing w:after="240"/>
        <w:ind w:left="720" w:hanging="720"/>
      </w:pPr>
      <w:bookmarkStart w:id="40" w:name="_Toc459380016"/>
      <w:bookmarkStart w:id="41" w:name="_Toc459380140"/>
      <w:bookmarkStart w:id="42" w:name="_Ref459380808"/>
      <w:r>
        <w:t>Evaluation Results</w:t>
      </w:r>
      <w:bookmarkEnd w:id="40"/>
      <w:bookmarkEnd w:id="41"/>
      <w:bookmarkEnd w:id="42"/>
    </w:p>
    <w:p w14:paraId="4AA1D098" w14:textId="38378D6D" w:rsidR="00034231" w:rsidRDefault="00034231" w:rsidP="00034231">
      <w:pPr>
        <w:pStyle w:val="Text"/>
      </w:pPr>
      <w:r>
        <w:t>The following subsections outline the evaluation results related to the assessment of the extent to which Avista’s organization</w:t>
      </w:r>
      <w:r w:rsidRPr="002B4E8B">
        <w:t xml:space="preserve"> of the DSM Group </w:t>
      </w:r>
      <w:r>
        <w:t>during the 2014-2015 biennium</w:t>
      </w:r>
      <w:r w:rsidRPr="002B4E8B">
        <w:t xml:space="preserve"> </w:t>
      </w:r>
      <w:r>
        <w:t xml:space="preserve">is effective and the assessment of the extent to which </w:t>
      </w:r>
      <w:r w:rsidRPr="002B4E8B">
        <w:t>the Quality Assurance processes of the Site</w:t>
      </w:r>
      <w:r w:rsidR="00080FB3">
        <w:t xml:space="preserve"> </w:t>
      </w:r>
      <w:r w:rsidRPr="002B4E8B">
        <w:t xml:space="preserve">Specific program </w:t>
      </w:r>
      <w:r>
        <w:t>are producing accurate and consistent energy savings.</w:t>
      </w:r>
    </w:p>
    <w:p w14:paraId="0015D355" w14:textId="4222ED4E" w:rsidR="00F23057" w:rsidRDefault="009652CB" w:rsidP="00F23057">
      <w:pPr>
        <w:pStyle w:val="Heading2"/>
      </w:pPr>
      <w:bookmarkStart w:id="43" w:name="_Toc459380017"/>
      <w:bookmarkStart w:id="44" w:name="_Toc459380141"/>
      <w:r>
        <w:t>O</w:t>
      </w:r>
      <w:r w:rsidR="00F23057">
        <w:t>rganization of the DSM Group</w:t>
      </w:r>
      <w:r w:rsidR="00933243">
        <w:t>: Effectiveness and Staff Perceptions</w:t>
      </w:r>
      <w:bookmarkEnd w:id="43"/>
      <w:bookmarkEnd w:id="44"/>
    </w:p>
    <w:p w14:paraId="414B42B3" w14:textId="77777777" w:rsidR="00034231" w:rsidRPr="00034231" w:rsidRDefault="00034231" w:rsidP="00034231">
      <w:pPr>
        <w:pStyle w:val="Text"/>
        <w:rPr>
          <w:rFonts w:cs="Microsoft Sans Serif"/>
        </w:rPr>
      </w:pPr>
      <w:r>
        <w:t xml:space="preserve">During the Avista staff interviews conducted in February 2015, staff were asked their </w:t>
      </w:r>
      <w:r>
        <w:rPr>
          <w:rFonts w:cs="Microsoft Sans Serif"/>
        </w:rPr>
        <w:t>p</w:t>
      </w:r>
      <w:r w:rsidRPr="00342BEE">
        <w:rPr>
          <w:rFonts w:cs="Microsoft Sans Serif"/>
        </w:rPr>
        <w:t xml:space="preserve">erceptions regarding the mid-year 2014 </w:t>
      </w:r>
      <w:r>
        <w:rPr>
          <w:rFonts w:cs="Microsoft Sans Serif"/>
        </w:rPr>
        <w:t xml:space="preserve">Avista organizational changes and the related DSM activities.  </w:t>
      </w:r>
      <w:r w:rsidRPr="00F34FC8">
        <w:t xml:space="preserve">Avista staff described: </w:t>
      </w:r>
    </w:p>
    <w:p w14:paraId="5BDBACE2" w14:textId="4B3E94DF" w:rsidR="00F34FC8" w:rsidRPr="009C0D82" w:rsidRDefault="00F34FC8" w:rsidP="009C0D82">
      <w:pPr>
        <w:pStyle w:val="Mainbody-Bullets"/>
      </w:pPr>
      <w:r w:rsidRPr="009C0D82">
        <w:t xml:space="preserve">The DSM organization structure at the time of the 2013 evaluation, </w:t>
      </w:r>
      <w:r w:rsidR="001A5CED" w:rsidRPr="009C0D82">
        <w:t>including a brief history of the factors that led to that organization and challenges of the organization,</w:t>
      </w:r>
    </w:p>
    <w:p w14:paraId="29E60F6B" w14:textId="69B2113E" w:rsidR="00F34FC8" w:rsidRPr="009C0D82" w:rsidRDefault="00F34FC8" w:rsidP="009C0D82">
      <w:pPr>
        <w:pStyle w:val="Mainbody-Bullets"/>
      </w:pPr>
      <w:r w:rsidRPr="009C0D82">
        <w:t>The new organizational structure as of July 1, 2014 – including delineation of roles, assignment of processes and responsibilities, and the structure’s remedy to identified challenges, and</w:t>
      </w:r>
      <w:r w:rsidR="006D13DB" w:rsidRPr="009C0D82">
        <w:t xml:space="preserve"> </w:t>
      </w:r>
      <w:r w:rsidR="000811D1" w:rsidRPr="009C0D82">
        <w:t>s</w:t>
      </w:r>
      <w:r w:rsidRPr="009C0D82">
        <w:t xml:space="preserve">mall changes to the structure </w:t>
      </w:r>
      <w:r w:rsidR="006D13DB" w:rsidRPr="009C0D82">
        <w:t>made over the next year.</w:t>
      </w:r>
    </w:p>
    <w:p w14:paraId="6F4C7181" w14:textId="5656F50E" w:rsidR="00AF3C7A" w:rsidRPr="009C0D82" w:rsidRDefault="00AF3C7A" w:rsidP="009C0D82">
      <w:pPr>
        <w:pStyle w:val="Mainbody-Bullets"/>
      </w:pPr>
      <w:r w:rsidRPr="009C0D82">
        <w:t>Their perceptions of the new organization’s effectiveness.</w:t>
      </w:r>
    </w:p>
    <w:p w14:paraId="610403CF" w14:textId="351B9B21" w:rsidR="00033E08" w:rsidRPr="009C0D82" w:rsidRDefault="00033E08" w:rsidP="00E33CF7">
      <w:pPr>
        <w:pStyle w:val="Mainbody-BulletsOut"/>
      </w:pPr>
      <w:r w:rsidRPr="009C0D82">
        <w:t>Their standardized processes (a component of the 2012-2013 Process Evaluation organizational recommendation).</w:t>
      </w:r>
    </w:p>
    <w:p w14:paraId="68CFE234" w14:textId="70650699" w:rsidR="001A5CED" w:rsidRDefault="0083675F" w:rsidP="001A5CED">
      <w:pPr>
        <w:pStyle w:val="Mainbody-Bullets"/>
        <w:numPr>
          <w:ilvl w:val="0"/>
          <w:numId w:val="0"/>
        </w:numPr>
      </w:pPr>
      <w:r>
        <w:t xml:space="preserve">The following sections present the evaluation results for </w:t>
      </w:r>
      <w:r w:rsidR="001A5CED">
        <w:t>each of these topics.</w:t>
      </w:r>
    </w:p>
    <w:p w14:paraId="5C9ACAE2" w14:textId="3BA04761" w:rsidR="001A5CED" w:rsidRDefault="001A5CED" w:rsidP="00AF3C7A">
      <w:pPr>
        <w:pStyle w:val="Heading3"/>
        <w:ind w:left="720"/>
      </w:pPr>
      <w:bookmarkStart w:id="45" w:name="_Toc459380142"/>
      <w:r>
        <w:t>The DSM Organization Structure Pre July, 2014</w:t>
      </w:r>
      <w:bookmarkEnd w:id="45"/>
    </w:p>
    <w:p w14:paraId="79EA5435" w14:textId="5856BCE4" w:rsidR="00F34FC8" w:rsidRPr="00F34FC8" w:rsidRDefault="00F34FC8" w:rsidP="00026B71">
      <w:pPr>
        <w:pStyle w:val="Text"/>
      </w:pPr>
      <w:r w:rsidRPr="00F34FC8">
        <w:t xml:space="preserve">At the time of the </w:t>
      </w:r>
      <w:r w:rsidR="00871CF4" w:rsidRPr="00F34FC8">
        <w:t>2013 evaluation</w:t>
      </w:r>
      <w:r w:rsidR="00871CF4">
        <w:t>, Avista’s DSM-rela</w:t>
      </w:r>
      <w:r w:rsidRPr="00F34FC8">
        <w:t>ted activities were organized into two teams that had different degre</w:t>
      </w:r>
      <w:r w:rsidR="00117BA7">
        <w:t xml:space="preserve">es of separation from </w:t>
      </w:r>
      <w:r w:rsidR="0009417E">
        <w:t xml:space="preserve">the </w:t>
      </w:r>
      <w:r w:rsidR="00117BA7">
        <w:t>P</w:t>
      </w:r>
      <w:r w:rsidRPr="00F34FC8">
        <w:t>resident.</w:t>
      </w:r>
      <w:r w:rsidR="0009417E">
        <w:t xml:space="preserve"> (See Appendix B for an organization chart.)</w:t>
      </w:r>
      <w:r w:rsidRPr="00F34FC8">
        <w:t xml:space="preserve"> The Planning, Policy, and Analysis (PPA) Team was led by a Director of Energy Efficiency (EE) Policy who reported to the Senior Vice President Energy Resources. The </w:t>
      </w:r>
      <w:r w:rsidR="009C0D82">
        <w:t xml:space="preserve">program </w:t>
      </w:r>
      <w:r w:rsidRPr="00F34FC8">
        <w:t>Implementation Team was led by a Director of Energy Solutions who reported to the President.</w:t>
      </w:r>
      <w:r w:rsidR="0009417E">
        <w:t xml:space="preserve"> </w:t>
      </w:r>
      <w:r w:rsidRPr="00F34FC8">
        <w:t xml:space="preserve"> </w:t>
      </w:r>
    </w:p>
    <w:p w14:paraId="2DAD7B61" w14:textId="0DE2B266" w:rsidR="00F34FC8" w:rsidRPr="00F34FC8" w:rsidRDefault="00F34FC8" w:rsidP="00026B71">
      <w:pPr>
        <w:pStyle w:val="Text"/>
      </w:pPr>
      <w:r w:rsidRPr="00F34FC8">
        <w:t xml:space="preserve">According to Avista staff recollection, Avista formed the PPA Team </w:t>
      </w:r>
      <w:r w:rsidR="009C0D82">
        <w:t xml:space="preserve">during </w:t>
      </w:r>
      <w:r w:rsidR="00870D2A">
        <w:t xml:space="preserve">the 2008-2010 period </w:t>
      </w:r>
      <w:r w:rsidRPr="00F34FC8">
        <w:t>when Washington enacted Initiative 937 (I-937). Staff reported the statute require</w:t>
      </w:r>
      <w:r w:rsidR="009C0D82">
        <w:t>d</w:t>
      </w:r>
      <w:r w:rsidRPr="00F34FC8">
        <w:t xml:space="preserve"> verification of accomplishments toward goals, but </w:t>
      </w:r>
      <w:r w:rsidR="009C0D82">
        <w:t>did</w:t>
      </w:r>
      <w:r w:rsidR="009C0D82" w:rsidRPr="00F34FC8">
        <w:t xml:space="preserve"> </w:t>
      </w:r>
      <w:r w:rsidRPr="00F34FC8">
        <w:t xml:space="preserve">not require a third-party evaluation. Avista nonetheless recognized the need for an independent assessment of accomplishments and concluded the evaluation function – to be performed by Avista staff – should be independent of the Implementation Team. </w:t>
      </w:r>
      <w:r w:rsidR="00870D2A">
        <w:t xml:space="preserve">Consequently, “that was when the two teams divided,” </w:t>
      </w:r>
      <w:r w:rsidR="0009417E">
        <w:t xml:space="preserve">as one manager phrased it, </w:t>
      </w:r>
      <w:r w:rsidR="00870D2A">
        <w:t xml:space="preserve">and </w:t>
      </w:r>
      <w:r w:rsidRPr="00F34FC8">
        <w:t xml:space="preserve">Avista formed the PPA team to conduct the technical analyses in support of DSM policy and planning, including evaluation as well as conservation potential assessment, measure and program cost-effectiveness assessment, conservation business plan development, and DSM reporting, led by a </w:t>
      </w:r>
      <w:r w:rsidR="00117BA7">
        <w:t>D</w:t>
      </w:r>
      <w:r w:rsidRPr="00F34FC8">
        <w:t xml:space="preserve">irector and </w:t>
      </w:r>
      <w:r w:rsidR="009C0D82">
        <w:t>reported</w:t>
      </w:r>
      <w:r w:rsidR="009C0D82" w:rsidRPr="00F34FC8">
        <w:t xml:space="preserve"> </w:t>
      </w:r>
      <w:r w:rsidRPr="00F34FC8">
        <w:t>u</w:t>
      </w:r>
      <w:r w:rsidR="00117BA7">
        <w:t>nder the VP of Energy R</w:t>
      </w:r>
      <w:r w:rsidRPr="00F34FC8">
        <w:t>esources.</w:t>
      </w:r>
    </w:p>
    <w:p w14:paraId="7362F11B" w14:textId="3F95E36C" w:rsidR="00F34FC8" w:rsidRPr="00F34FC8" w:rsidRDefault="00F34FC8" w:rsidP="00026B71">
      <w:pPr>
        <w:pStyle w:val="Text"/>
      </w:pPr>
      <w:r w:rsidRPr="00F34FC8">
        <w:t xml:space="preserve">Within a few years of the PPA Team formation, again according to staff recollection, the Washington Utilities and Transportation Commission (“Commission”) required a biennial conservation achievement report and engagement of an independent third-party evaluator. From that point forward until the re-organization mid-2014, according to </w:t>
      </w:r>
      <w:r w:rsidR="009C0D82">
        <w:t xml:space="preserve">the interviewed Avista </w:t>
      </w:r>
      <w:r w:rsidRPr="00F34FC8">
        <w:t xml:space="preserve">staff there was redundancy in the evaluation function. Both Avista’s internal evaluator and its third-party evaluator </w:t>
      </w:r>
      <w:r w:rsidR="009C0D82">
        <w:t xml:space="preserve">both </w:t>
      </w:r>
      <w:r w:rsidRPr="00F34FC8">
        <w:t>assessed the performance of the DSM portfolio and its component projects.</w:t>
      </w:r>
    </w:p>
    <w:p w14:paraId="35C893D8" w14:textId="2E6A2B37" w:rsidR="00F34FC8" w:rsidRPr="00F34FC8" w:rsidRDefault="009C0D82" w:rsidP="00026B71">
      <w:pPr>
        <w:pStyle w:val="Text"/>
      </w:pPr>
      <w:r>
        <w:t>P</w:t>
      </w:r>
      <w:r w:rsidR="00F34FC8" w:rsidRPr="00F34FC8">
        <w:t xml:space="preserve">rior to mid-2014, Avista’s organization chart shows that the Implementation Team comprised three groups </w:t>
      </w:r>
      <w:r>
        <w:t>led</w:t>
      </w:r>
      <w:r w:rsidRPr="00F34FC8">
        <w:t xml:space="preserve"> </w:t>
      </w:r>
      <w:r w:rsidR="00F34FC8" w:rsidRPr="00F34FC8">
        <w:t>by three managers. The ten-person DSM group consisted of program managers, program coordinators, and an executive assistant, and reported to the Manager of DSM. The seven-person Energy Solutions group consisted of</w:t>
      </w:r>
      <w:r w:rsidR="00DF0BC7">
        <w:t xml:space="preserve"> a</w:t>
      </w:r>
      <w:r w:rsidR="00F34FC8" w:rsidRPr="00F34FC8">
        <w:t xml:space="preserve">ccount </w:t>
      </w:r>
      <w:r w:rsidR="00DF0BC7">
        <w:t>e</w:t>
      </w:r>
      <w:r w:rsidR="00F34FC8" w:rsidRPr="00F34FC8">
        <w:t xml:space="preserve">xecutives reporting to the Manager of Energy Solutions. The six-person EE Engineering group consisted of engineers of various degrees of seniority, reporting to the Chief EE Engineer. This group has principal responsibility for Site Specific projects and additionally supports the DSM group program managers. (The Manager of Oregon DSM was also a member of the Implementation Team, but is not pertinent to this discussion.) The three group managers reported to the Director of Energy Solutions, who reported to the President. This location of the Implementation Team </w:t>
      </w:r>
      <w:r w:rsidR="006D13DB">
        <w:t xml:space="preserve">under “Energy Solutions” </w:t>
      </w:r>
      <w:r w:rsidR="00F34FC8" w:rsidRPr="00F34FC8">
        <w:t>suggests Avista’s commitment to making energy efficiency a first choice for its customers.</w:t>
      </w:r>
    </w:p>
    <w:p w14:paraId="6ADC82D5" w14:textId="56FC2886" w:rsidR="00F34FC8" w:rsidRPr="00F34FC8" w:rsidRDefault="00F34FC8" w:rsidP="00026B71">
      <w:pPr>
        <w:pStyle w:val="Text"/>
      </w:pPr>
      <w:r w:rsidRPr="00F34FC8">
        <w:t>While the logic that initially placed the PPA and Implem</w:t>
      </w:r>
      <w:r w:rsidR="00AF58F2">
        <w:t>entation teams under different D</w:t>
      </w:r>
      <w:r w:rsidRPr="00F34FC8">
        <w:t xml:space="preserve">irectors made sense from multiple vantage points, in practice the structure resulted in unresolvable conflicts, according to both Avista staff and the </w:t>
      </w:r>
      <w:r w:rsidR="00871CF4">
        <w:rPr>
          <w:i/>
        </w:rPr>
        <w:t xml:space="preserve">2012-2013 </w:t>
      </w:r>
      <w:r w:rsidR="00654A70" w:rsidRPr="002B4E8B">
        <w:rPr>
          <w:i/>
        </w:rPr>
        <w:t>Process Evaluation Report</w:t>
      </w:r>
      <w:r w:rsidRPr="00F34FC8">
        <w:t xml:space="preserve">. The activities and work products of the two teams needed to align, and yet as </w:t>
      </w:r>
      <w:r w:rsidR="00AF58F2">
        <w:t>issues arose that required D</w:t>
      </w:r>
      <w:r w:rsidRPr="00F34FC8">
        <w:t xml:space="preserve">irector-level </w:t>
      </w:r>
      <w:r w:rsidR="00871CF4" w:rsidRPr="00F34FC8">
        <w:t>arbitration</w:t>
      </w:r>
      <w:r w:rsidRPr="00F34FC8">
        <w:t xml:space="preserve">, the two </w:t>
      </w:r>
      <w:r w:rsidR="00AF58F2">
        <w:t>D</w:t>
      </w:r>
      <w:r w:rsidRPr="00F34FC8">
        <w:t>irectors at times made decisions consistent with their respective missions of Energy Solutions and EE Policy, yet inconsistent with each other. Avista staff described that the lack of a single chain of authority impeded DSM effectiveness.</w:t>
      </w:r>
      <w:r w:rsidR="00617D8B">
        <w:t xml:space="preserve"> </w:t>
      </w:r>
    </w:p>
    <w:p w14:paraId="0BD31383" w14:textId="17E307AB" w:rsidR="006D13DB" w:rsidRDefault="006D13DB" w:rsidP="00AF3C7A">
      <w:pPr>
        <w:pStyle w:val="Heading3"/>
        <w:ind w:left="720"/>
      </w:pPr>
      <w:bookmarkStart w:id="46" w:name="_Ref459216525"/>
      <w:bookmarkStart w:id="47" w:name="_Toc459380143"/>
      <w:r>
        <w:t>The DSM Organization Structure Post July, 2014</w:t>
      </w:r>
      <w:bookmarkEnd w:id="46"/>
      <w:bookmarkEnd w:id="47"/>
    </w:p>
    <w:p w14:paraId="28941C84" w14:textId="6F0E0810" w:rsidR="00F34FC8" w:rsidRPr="00F34FC8" w:rsidRDefault="00F34FC8" w:rsidP="00026B71">
      <w:pPr>
        <w:pStyle w:val="Text"/>
      </w:pPr>
      <w:r w:rsidRPr="00F34FC8">
        <w:t xml:space="preserve">July 1, 2014, Avista re-organized. It </w:t>
      </w:r>
      <w:r w:rsidR="009C0D82">
        <w:t>separated</w:t>
      </w:r>
      <w:r w:rsidR="009C0D82" w:rsidRPr="00F34FC8">
        <w:t xml:space="preserve"> </w:t>
      </w:r>
      <w:r w:rsidRPr="00F34FC8">
        <w:t xml:space="preserve">Energy Solutions (with its staff of </w:t>
      </w:r>
      <w:r w:rsidR="00DF0BC7">
        <w:t>a</w:t>
      </w:r>
      <w:r w:rsidRPr="00F34FC8">
        <w:t xml:space="preserve">ccount </w:t>
      </w:r>
      <w:r w:rsidR="00DF0BC7">
        <w:t>e</w:t>
      </w:r>
      <w:r w:rsidRPr="00F34FC8">
        <w:t xml:space="preserve">xecutives) from the Implementation Team umbrella into a new stand-alone group. </w:t>
      </w:r>
      <w:r w:rsidR="0009417E">
        <w:t xml:space="preserve">(See Appendix C for an organization chart.) </w:t>
      </w:r>
      <w:r w:rsidRPr="00F34FC8">
        <w:t xml:space="preserve">The groups continue under the same </w:t>
      </w:r>
      <w:r w:rsidR="00AF58F2">
        <w:t>m</w:t>
      </w:r>
      <w:r w:rsidRPr="00F34FC8">
        <w:t xml:space="preserve">anager and same director, but the director (Director of Energy Solutions) no longer has the DSM groups </w:t>
      </w:r>
      <w:r w:rsidR="009C0D82">
        <w:t>reporting to</w:t>
      </w:r>
      <w:r w:rsidR="009C0D82" w:rsidRPr="00F34FC8">
        <w:t xml:space="preserve"> </w:t>
      </w:r>
      <w:r w:rsidR="009C0D82">
        <w:t>the position</w:t>
      </w:r>
      <w:r w:rsidRPr="00F34FC8">
        <w:t xml:space="preserve">. As depicted in the organization chart, the DSM groups are under a Senior Manager, Energy Efficiency. Both the Director of Energy </w:t>
      </w:r>
      <w:r w:rsidR="00871CF4" w:rsidRPr="00F34FC8">
        <w:t>Solutions</w:t>
      </w:r>
      <w:r w:rsidRPr="00F34FC8">
        <w:t xml:space="preserve"> and the Senior Manager, Energy Efficiency report to the Senior Director, Customer Solutions. This structure</w:t>
      </w:r>
      <w:r w:rsidR="006D13DB">
        <w:t xml:space="preserve"> where all groups come together under “Customer Solutions” </w:t>
      </w:r>
      <w:r w:rsidRPr="00F34FC8">
        <w:t>again emphasizes Avista’s commitment to energy efficiency that works for its customers, yet this structure has a single chain of responsibility and authority for DSM decisions.</w:t>
      </w:r>
    </w:p>
    <w:p w14:paraId="5516C699" w14:textId="2D73087E" w:rsidR="00F34FC8" w:rsidRPr="00F34FC8" w:rsidRDefault="00F34FC8" w:rsidP="00026B71">
      <w:pPr>
        <w:pStyle w:val="Text"/>
      </w:pPr>
      <w:r w:rsidRPr="00F34FC8">
        <w:t>The Senior Manager, Energy Efficiency directs three groups/functions (four including Oregon DSM activities). These are program management (still led by the Manager of DSM, supported by the same team of program managers and coordinators), EE engineering (still led by the</w:t>
      </w:r>
      <w:r w:rsidR="00871CF4">
        <w:t xml:space="preserve"> </w:t>
      </w:r>
      <w:r w:rsidRPr="00F34FC8">
        <w:t>Chief EE Engineer, supported the same engineering team), and DSM analysis (formerly the PPA team; now conducting cost-effectiveness analysis, EM&amp;V planning, and related contract management).</w:t>
      </w:r>
      <w:r w:rsidRPr="00F34FC8">
        <w:rPr>
          <w:sz w:val="20"/>
          <w:vertAlign w:val="superscript"/>
        </w:rPr>
        <w:footnoteReference w:id="4"/>
      </w:r>
      <w:r w:rsidRPr="00F34FC8">
        <w:t xml:space="preserve"> Under the new organization, the DSM analysis group included three of the staff from the prior organizational structure – the DSM analytical manager, the EM&amp;V engineer, and one of previously three utility resource analysts.</w:t>
      </w:r>
      <w:r w:rsidR="00DF0BC7">
        <w:t xml:space="preserve"> The responsibilities of the DSM analytical manager were modified to eliminate program evaluation, with continued responsibility for the analytics associated with program planning and reporting.</w:t>
      </w:r>
    </w:p>
    <w:p w14:paraId="65CDC2D5" w14:textId="4A354ABD" w:rsidR="00F34FC8" w:rsidRDefault="006D13DB" w:rsidP="00026B71">
      <w:pPr>
        <w:pStyle w:val="Text"/>
      </w:pPr>
      <w:r>
        <w:t xml:space="preserve">During the latter half of 2014, </w:t>
      </w:r>
      <w:r w:rsidR="00F34FC8" w:rsidRPr="00F34FC8">
        <w:t xml:space="preserve">the EM&amp;V engineer </w:t>
      </w:r>
      <w:r>
        <w:t xml:space="preserve">took a job in another department and left the DSM group. </w:t>
      </w:r>
      <w:r w:rsidR="00F34FC8" w:rsidRPr="00F34FC8">
        <w:t>Avista moved the utility resource analyst to report to the Manager, DSM</w:t>
      </w:r>
      <w:r w:rsidR="00DF0BC7">
        <w:t xml:space="preserve"> (the July 2014 organization chart showed that position reporting to the Senior Manager EE</w:t>
      </w:r>
      <w:r w:rsidR="00F34FC8" w:rsidRPr="00F34FC8">
        <w:t xml:space="preserve">. Shortly after our </w:t>
      </w:r>
      <w:r w:rsidR="007F71E2">
        <w:t>February 2015</w:t>
      </w:r>
      <w:r w:rsidR="007F71E2" w:rsidRPr="00F34FC8">
        <w:t xml:space="preserve"> </w:t>
      </w:r>
      <w:r w:rsidR="00F34FC8" w:rsidRPr="00F34FC8">
        <w:t xml:space="preserve">staff interviews, Avista severed its relationship with </w:t>
      </w:r>
      <w:r w:rsidR="007F71E2">
        <w:t xml:space="preserve">the </w:t>
      </w:r>
      <w:r w:rsidR="00F34FC8" w:rsidRPr="00F34FC8">
        <w:t>person who had served as DSM analytical manager and assigned a new staff member to the position.</w:t>
      </w:r>
    </w:p>
    <w:p w14:paraId="01FBE876" w14:textId="32061937" w:rsidR="00D023AC" w:rsidRDefault="00D023AC" w:rsidP="00026B71">
      <w:pPr>
        <w:pStyle w:val="Text"/>
      </w:pPr>
      <w:r>
        <w:t xml:space="preserve">To </w:t>
      </w:r>
      <w:r w:rsidR="009C0D82">
        <w:t>summarize</w:t>
      </w:r>
      <w:r>
        <w:t xml:space="preserve">, the reorganization aligned DSM-specific functions into a single group under the Senior Manager, Energy Efficiency and placed the account executive team into a single group, under the Manager of Energy Solutions, who reports to the group’s Director. These two groups report to the Senior Director, Customer Solutions. These changes created a single point of authority for DSM (the Senior Manager), and a single point of authority to resolve, as necessary, any </w:t>
      </w:r>
      <w:r w:rsidR="00AF58F2">
        <w:t>issues</w:t>
      </w:r>
      <w:r>
        <w:t xml:space="preserve"> between DSM and Energy Solutions (account executives).</w:t>
      </w:r>
    </w:p>
    <w:p w14:paraId="08475054" w14:textId="1A79E1C5" w:rsidR="00DF0BC7" w:rsidRDefault="00DF0BC7" w:rsidP="00AF3C7A">
      <w:pPr>
        <w:pStyle w:val="Heading3"/>
        <w:ind w:left="720"/>
      </w:pPr>
      <w:bookmarkStart w:id="48" w:name="_Toc459380144"/>
      <w:r>
        <w:t>Staff Perceptions of Reorganization</w:t>
      </w:r>
      <w:bookmarkEnd w:id="48"/>
    </w:p>
    <w:p w14:paraId="5FC0E7FA" w14:textId="21A3E02C" w:rsidR="00C8220D" w:rsidRDefault="004301FA" w:rsidP="00026B71">
      <w:pPr>
        <w:pStyle w:val="Text"/>
      </w:pPr>
      <w:r>
        <w:t xml:space="preserve">The </w:t>
      </w:r>
      <w:r w:rsidR="00F52161">
        <w:t>staff most affected by the July 2014 reorganization were</w:t>
      </w:r>
      <w:r>
        <w:t xml:space="preserve"> the managers (those of the three teams within the DSM group, and that of Energy Solutions) and the senior managers</w:t>
      </w:r>
      <w:r w:rsidR="00CC58EE">
        <w:t xml:space="preserve"> and directors. </w:t>
      </w:r>
      <w:r w:rsidR="00C8220D">
        <w:t xml:space="preserve">The staff under these managers experienced </w:t>
      </w:r>
      <w:r w:rsidR="0009417E">
        <w:t xml:space="preserve">what they described as little to no </w:t>
      </w:r>
      <w:r w:rsidR="00C8220D">
        <w:t xml:space="preserve">change with the reorganization. </w:t>
      </w:r>
      <w:r w:rsidR="00033E08" w:rsidRPr="00033E08">
        <w:t xml:space="preserve">With the exception of the analysts formerly in the PPA Team, all of the previous teams (DSM program staff, efficiency engineers, account executives) are intact, comprise the same staff, are led by the same managers, and are responsible for the same activities. </w:t>
      </w:r>
      <w:r w:rsidR="00C8220D">
        <w:t xml:space="preserve"> The organization</w:t>
      </w:r>
      <w:r w:rsidR="00F52161">
        <w:t xml:space="preserve"> structure difference, as stated</w:t>
      </w:r>
      <w:r w:rsidR="00C8220D">
        <w:t>, is the single line of authority for DSM specifically and for DSM/Customer Solutions interrelated issues.</w:t>
      </w:r>
    </w:p>
    <w:p w14:paraId="7150D6B5" w14:textId="74798F0D" w:rsidR="004301FA" w:rsidRDefault="004301FA" w:rsidP="00026B71">
      <w:pPr>
        <w:pStyle w:val="Text"/>
      </w:pPr>
      <w:r>
        <w:t xml:space="preserve">Because most staff continue to do the same work for the same managers, </w:t>
      </w:r>
      <w:r w:rsidR="00E365BA">
        <w:t xml:space="preserve">when asked to share their experiences and perceptions of the organization change, </w:t>
      </w:r>
      <w:r w:rsidR="00024F24">
        <w:t xml:space="preserve">all but two </w:t>
      </w:r>
      <w:r w:rsidR="00E365BA">
        <w:t xml:space="preserve">interviewed staff had little to say. </w:t>
      </w:r>
      <w:r w:rsidR="009F5F98">
        <w:t>Of the two, t</w:t>
      </w:r>
      <w:r w:rsidR="007F71E2">
        <w:t xml:space="preserve">he DSM Analytical Manager </w:t>
      </w:r>
      <w:r w:rsidR="00DE27D5">
        <w:t>as of</w:t>
      </w:r>
      <w:r w:rsidR="007F71E2">
        <w:t xml:space="preserve"> February 2015</w:t>
      </w:r>
      <w:r w:rsidR="00024F24">
        <w:t xml:space="preserve"> </w:t>
      </w:r>
      <w:r w:rsidR="008D713B">
        <w:t xml:space="preserve">noted he was no longer involved in evaluation activities as a result of the reorganization, </w:t>
      </w:r>
      <w:r w:rsidR="007F71E2">
        <w:t xml:space="preserve">and the Chief of Energy Efficiency Engineering suggested </w:t>
      </w:r>
      <w:r w:rsidR="00024F24">
        <w:t xml:space="preserve">the reorganization allowed his </w:t>
      </w:r>
      <w:r w:rsidR="0083675F">
        <w:t xml:space="preserve">engineering </w:t>
      </w:r>
      <w:r w:rsidR="00024F24">
        <w:t xml:space="preserve">team to be more proactive in </w:t>
      </w:r>
      <w:r w:rsidR="00C8220D">
        <w:t>identifying facility solutions that would deliver better performance for Avista customers while saving energy.</w:t>
      </w:r>
      <w:r w:rsidR="00024F24">
        <w:t xml:space="preserve"> According to t</w:t>
      </w:r>
      <w:r w:rsidR="007F71E2">
        <w:t>he Chief of Energy Efficiency Engineering</w:t>
      </w:r>
      <w:r w:rsidR="00024F24">
        <w:t xml:space="preserve">, </w:t>
      </w:r>
      <w:r w:rsidR="00CE7EA0">
        <w:t xml:space="preserve">the prior organization led to engineering staff spending excess time </w:t>
      </w:r>
      <w:r w:rsidR="009F5F98">
        <w:t>reporting to the Policy, Planning, and Analysis group</w:t>
      </w:r>
      <w:r w:rsidR="00FC0AEF">
        <w:t xml:space="preserve"> and stakeholders</w:t>
      </w:r>
      <w:r w:rsidR="009F5F98">
        <w:t>,</w:t>
      </w:r>
      <w:r w:rsidR="00CE7EA0">
        <w:t xml:space="preserve"> at the expense of garnering savings and effectively working with customers.</w:t>
      </w:r>
      <w:r w:rsidR="009F5F98">
        <w:t xml:space="preserve"> </w:t>
      </w:r>
    </w:p>
    <w:p w14:paraId="2A61F482" w14:textId="790E4906" w:rsidR="00971D58" w:rsidRDefault="00971D58" w:rsidP="00E33CF7">
      <w:pPr>
        <w:pStyle w:val="Quote"/>
      </w:pPr>
      <w:r>
        <w:t xml:space="preserve">Previously, it felt like someone was always looking over our shoulders. There were people talking about what we were doing without ever having done [that type of engineering work] in their lives, [and talking] to outside stakeholders. So we had to answer [to stakeholders] questions about things that, if they [the other Avista staff] had asked us, it would not have been a question [to paraphrase: the question would have been satisfactorily answered.] </w:t>
      </w:r>
    </w:p>
    <w:p w14:paraId="3FB7EE02" w14:textId="77777777" w:rsidR="009C0DA4" w:rsidRDefault="00971D58" w:rsidP="00E33CF7">
      <w:pPr>
        <w:pStyle w:val="Quote"/>
      </w:pPr>
      <w:r>
        <w:t>If we are doing it wrong, we want to know. We want to be reviewed. We want to fix what we are doing wrong. But to [trails off; apparent reference to previous comments about going first to outside stakeholders]. At that particular time</w:t>
      </w:r>
      <w:r w:rsidR="00A65500">
        <w:t>,</w:t>
      </w:r>
      <w:r>
        <w:t xml:space="preserve"> </w:t>
      </w:r>
      <w:r w:rsidR="00A65500">
        <w:t xml:space="preserve">it was simply not a good working kind of relationship. The reason I say this is not to pound on the fact that we had a bad relationship. The reason I said that was [as a result] we tended to be more retrospective – when we are in that kind of a mode, trying to fix things that are coming in [apparent reference to questions from stakeholders] rather than be prospective and say [ask], “What can I do more than I am right now to satisfy customers, to get more savings, to pull in new types of things?” </w:t>
      </w:r>
    </w:p>
    <w:p w14:paraId="34147486" w14:textId="41AA5CD3" w:rsidR="00971D58" w:rsidRDefault="00A65500" w:rsidP="00E33CF7">
      <w:pPr>
        <w:pStyle w:val="Quote"/>
      </w:pPr>
      <w:r>
        <w:t xml:space="preserve">We feel right now [February 2015] that we are moving into a more prospective mode where we are saying, </w:t>
      </w:r>
      <w:r w:rsidR="009C0DA4">
        <w:t>“Let’s get out and get some of this stuff and do this.”</w:t>
      </w:r>
    </w:p>
    <w:p w14:paraId="2651F559" w14:textId="77777777" w:rsidR="00971D58" w:rsidRDefault="00971D58" w:rsidP="00E33CF7">
      <w:pPr>
        <w:pStyle w:val="Quote"/>
      </w:pPr>
    </w:p>
    <w:p w14:paraId="7C101120" w14:textId="77777777" w:rsidR="00DF0BC7" w:rsidRDefault="00DF0BC7" w:rsidP="00DF0BC7">
      <w:pPr>
        <w:pStyle w:val="Text"/>
      </w:pPr>
      <w:r>
        <w:t xml:space="preserve">The Manager of Energy Solutions, the Chief Energy Efficiency Engineer, and the DSM Manager all explicitly reported that their roles had not changed much with the reorganization. In contrast to their assessment of the DSM organization prior July 2014, they did not describe any communication challenges. Instead of conflicts, staff described close working relationships between the three groups most involved in delivering energy efficiency to customers – the program managers, the energy efficiency engineers, and the account executives. </w:t>
      </w:r>
    </w:p>
    <w:p w14:paraId="68139A2E" w14:textId="39E7733E" w:rsidR="00C02BEF" w:rsidRDefault="00034231" w:rsidP="00DF0BC7">
      <w:pPr>
        <w:pStyle w:val="Text"/>
      </w:pPr>
      <w:r>
        <w:t xml:space="preserve">According to </w:t>
      </w:r>
      <w:r w:rsidR="00C02BEF">
        <w:t xml:space="preserve">interviewed </w:t>
      </w:r>
      <w:r>
        <w:t xml:space="preserve">staff, </w:t>
      </w:r>
      <w:r w:rsidR="00FC66ED">
        <w:t>Site S</w:t>
      </w:r>
      <w:r w:rsidR="00DF0BC7">
        <w:t>pecific projects require the coordination and collaboration of all three groups</w:t>
      </w:r>
      <w:r w:rsidR="00C02BEF">
        <w:t xml:space="preserve"> </w:t>
      </w:r>
      <w:r w:rsidR="00C02BEF" w:rsidRPr="00C02BEF">
        <w:t>(DSM program staff, efficiency engineers, account executives)</w:t>
      </w:r>
      <w:r w:rsidR="00C02BEF">
        <w:t xml:space="preserve">. The engineers take the lead for project development, working with the customer and its contractors to specify a project with sufficient detail to support an incentive upgrade contract between Avista and the customer. The efficiency engineers estimate the project costs and energy savings and assure its functionality (that is, that the </w:t>
      </w:r>
      <w:r w:rsidR="00A61684">
        <w:t xml:space="preserve">proposed </w:t>
      </w:r>
      <w:r w:rsidR="00C02BEF">
        <w:t xml:space="preserve">energy-efficient solution is the right solution for the specific application). This project development occurs iteratively as a project moves from identified opportunity to scoping to </w:t>
      </w:r>
      <w:r w:rsidR="00A61684">
        <w:t xml:space="preserve">design. Avista staff do not engage in design but rather work with the customers’ contractors to understand the project costs and savings. </w:t>
      </w:r>
    </w:p>
    <w:p w14:paraId="693A7504" w14:textId="59F57DC9" w:rsidR="00A61684" w:rsidRDefault="00C02BEF" w:rsidP="00DF0BC7">
      <w:pPr>
        <w:pStyle w:val="Text"/>
      </w:pPr>
      <w:r>
        <w:t xml:space="preserve">The account executives </w:t>
      </w:r>
      <w:r w:rsidR="00DF0BC7">
        <w:t>frequently initiat</w:t>
      </w:r>
      <w:r>
        <w:t>e</w:t>
      </w:r>
      <w:r w:rsidR="00DF0BC7">
        <w:t xml:space="preserve"> efficiency conversations with their customers</w:t>
      </w:r>
      <w:r>
        <w:t xml:space="preserve"> and thereby bring opportunities to the engineering group for consideration. Sometimes customers or their contractors contact Avista directly to explore an efficiency opportunity. Regardless of how the project originates, </w:t>
      </w:r>
      <w:r w:rsidR="00DF0BC7">
        <w:t xml:space="preserve">the account executives coordinate with their customers through the typically many iterations necessary to move a project through </w:t>
      </w:r>
      <w:r w:rsidR="00A61684">
        <w:t xml:space="preserve">to completion. </w:t>
      </w:r>
    </w:p>
    <w:p w14:paraId="0865B4F9" w14:textId="27DC14CB" w:rsidR="00FC127D" w:rsidRDefault="00DF0BC7" w:rsidP="00DF0BC7">
      <w:pPr>
        <w:pStyle w:val="Text"/>
      </w:pPr>
      <w:r>
        <w:t>A DSM program manager provides contract administration</w:t>
      </w:r>
      <w:r w:rsidR="00A61684">
        <w:t xml:space="preserve"> for Site Specific projects.</w:t>
      </w:r>
      <w:r w:rsidR="00C02BEF">
        <w:t xml:space="preserve"> </w:t>
      </w:r>
      <w:r>
        <w:t>For all other efficiency projects, the DSM program managers take the lead, with the engineering team providing support. The account executives continue to support their customers to the extent their customers</w:t>
      </w:r>
      <w:r w:rsidR="00FC66ED">
        <w:t xml:space="preserve"> wish</w:t>
      </w:r>
      <w:r>
        <w:t xml:space="preserve"> to involve them in these projects. </w:t>
      </w:r>
    </w:p>
    <w:p w14:paraId="73CAFF62" w14:textId="2F022C5F" w:rsidR="00E365BA" w:rsidRDefault="00045245" w:rsidP="00026B71">
      <w:pPr>
        <w:pStyle w:val="Text"/>
      </w:pPr>
      <w:r>
        <w:t xml:space="preserve">The </w:t>
      </w:r>
      <w:r w:rsidR="009C0D82">
        <w:t xml:space="preserve">complex </w:t>
      </w:r>
      <w:r>
        <w:t>nature of Site</w:t>
      </w:r>
      <w:r w:rsidR="00FC66ED">
        <w:t xml:space="preserve"> </w:t>
      </w:r>
      <w:r>
        <w:t xml:space="preserve">Specific projects and the number of people involved in calculating savings and incentives results in a need for good communication across all involved parties. </w:t>
      </w:r>
      <w:r w:rsidR="00226F82">
        <w:t xml:space="preserve">The interviewed staff describe improved </w:t>
      </w:r>
      <w:r>
        <w:t>communication across these</w:t>
      </w:r>
      <w:r w:rsidR="0083675F">
        <w:t xml:space="preserve"> Avista</w:t>
      </w:r>
      <w:r>
        <w:t xml:space="preserve"> teams since the reorganization. </w:t>
      </w:r>
    </w:p>
    <w:p w14:paraId="19BFF585" w14:textId="77777777" w:rsidR="002C5343" w:rsidRDefault="00CA5077" w:rsidP="00026B71">
      <w:pPr>
        <w:pStyle w:val="Text"/>
      </w:pPr>
      <w:r>
        <w:t xml:space="preserve">One group manager that </w:t>
      </w:r>
      <w:r w:rsidR="002C5343">
        <w:t xml:space="preserve">had been </w:t>
      </w:r>
      <w:r>
        <w:t xml:space="preserve">an observer of, but had not been party to, the organizational conflict prior to July 2104 emphatically agreed with the change in organizational structure: </w:t>
      </w:r>
    </w:p>
    <w:p w14:paraId="7A9E3CBB" w14:textId="06DF5F1F" w:rsidR="00F34FC8" w:rsidRDefault="00CA5077" w:rsidP="00E33CF7">
      <w:pPr>
        <w:pStyle w:val="Quote"/>
      </w:pPr>
      <w:r w:rsidRPr="00E33CF7">
        <w:t xml:space="preserve">I am </w:t>
      </w:r>
      <w:r w:rsidR="002C5343" w:rsidRPr="00E33CF7">
        <w:t>a firm supporter of the idea that we are an integrated team. To be separated and to not have that flow of information, and to be “independent,” but not really – does not work. Being separated was not taking into account the customer, the [realities of] implementation. This [current] organization does seem to be working well</w:t>
      </w:r>
      <w:r w:rsidR="002C5343">
        <w:t>.</w:t>
      </w:r>
    </w:p>
    <w:p w14:paraId="05E8A68E" w14:textId="77777777" w:rsidR="00033E08" w:rsidRDefault="00033E08" w:rsidP="00226F82">
      <w:pPr>
        <w:pStyle w:val="Heading3"/>
        <w:spacing w:before="240"/>
        <w:ind w:left="720"/>
      </w:pPr>
      <w:bookmarkStart w:id="49" w:name="_Toc459380145"/>
      <w:r>
        <w:t>Standardized Processes</w:t>
      </w:r>
      <w:bookmarkEnd w:id="49"/>
    </w:p>
    <w:p w14:paraId="494A3C53" w14:textId="77777777" w:rsidR="00033E08" w:rsidRDefault="00033E08" w:rsidP="00033E08">
      <w:pPr>
        <w:pStyle w:val="Text"/>
      </w:pPr>
      <w:r>
        <w:t xml:space="preserve">In addition to describing clear roles and responsibilities, staff described clear, standardized processes. </w:t>
      </w:r>
    </w:p>
    <w:p w14:paraId="4250D345" w14:textId="1537E672" w:rsidR="00033E08" w:rsidRPr="00033E08" w:rsidRDefault="00033E08" w:rsidP="00033E08">
      <w:pPr>
        <w:pStyle w:val="Text"/>
      </w:pPr>
      <w:r>
        <w:t xml:space="preserve">The processes for Site Specific projects depends on the total project cost. The structure of the tiered review process is outlined in Section 2.2.1.1 of the </w:t>
      </w:r>
      <w:r w:rsidRPr="002B4E8B">
        <w:rPr>
          <w:i/>
        </w:rPr>
        <w:t xml:space="preserve">Impact Evaluation of </w:t>
      </w:r>
      <w:r>
        <w:rPr>
          <w:i/>
        </w:rPr>
        <w:t xml:space="preserve">Washington Electric </w:t>
      </w:r>
      <w:r w:rsidRPr="002B4E8B">
        <w:rPr>
          <w:i/>
        </w:rPr>
        <w:t>2014-2015 Energy Efficiency Programs</w:t>
      </w:r>
      <w:r>
        <w:t xml:space="preserve">. The largest projects – which Avista defines as those over $40,000 – have three reviews subsequent to project specification. These projects are reviewed by a PE-credentialed engineer, the Chief EE Engineer, and the Senior Manager, Energy Efficiency. All of these largest projects have a post-installation inspection, which the staff track in Saleslogix. Weekly, staff review Saleslogix data for accuracy. Section 2.2 of the </w:t>
      </w:r>
      <w:r w:rsidRPr="002B4E8B">
        <w:rPr>
          <w:i/>
        </w:rPr>
        <w:t xml:space="preserve">Impact Evaluation of </w:t>
      </w:r>
      <w:r>
        <w:rPr>
          <w:i/>
        </w:rPr>
        <w:t xml:space="preserve">Washington Electric </w:t>
      </w:r>
      <w:r w:rsidRPr="002B4E8B">
        <w:rPr>
          <w:i/>
        </w:rPr>
        <w:t>2014-2015 Energy Efficiency Programs</w:t>
      </w:r>
      <w:r>
        <w:t xml:space="preserve"> describes the processes Avista staff follow for the remaining DSM programs. </w:t>
      </w:r>
    </w:p>
    <w:p w14:paraId="7D0E04F4" w14:textId="6777A494" w:rsidR="00A34B30" w:rsidRDefault="00F23057" w:rsidP="00F23057">
      <w:pPr>
        <w:pStyle w:val="Heading2"/>
      </w:pPr>
      <w:bookmarkStart w:id="50" w:name="_Toc459380018"/>
      <w:bookmarkStart w:id="51" w:name="_Toc459380146"/>
      <w:r>
        <w:t>Quality Assurance Processes</w:t>
      </w:r>
      <w:bookmarkEnd w:id="50"/>
      <w:bookmarkEnd w:id="51"/>
    </w:p>
    <w:p w14:paraId="0FEAA631" w14:textId="5427C5D2" w:rsidR="0028526D" w:rsidRDefault="00FC66ED" w:rsidP="0028526D">
      <w:pPr>
        <w:pStyle w:val="Text"/>
      </w:pPr>
      <w:r>
        <w:t xml:space="preserve">As part of the document audit and onsite measurement and verification activities noted in Sections </w:t>
      </w:r>
      <w:r>
        <w:fldChar w:fldCharType="begin"/>
      </w:r>
      <w:r>
        <w:instrText xml:space="preserve"> REF _Ref459302690 \r \h </w:instrText>
      </w:r>
      <w:r>
        <w:fldChar w:fldCharType="separate"/>
      </w:r>
      <w:r w:rsidR="00EA4C14">
        <w:t>2.2</w:t>
      </w:r>
      <w:r>
        <w:fldChar w:fldCharType="end"/>
      </w:r>
      <w:r>
        <w:t xml:space="preserve"> and </w:t>
      </w:r>
      <w:r>
        <w:fldChar w:fldCharType="begin"/>
      </w:r>
      <w:r>
        <w:instrText xml:space="preserve"> REF _Ref459304597 \r \h </w:instrText>
      </w:r>
      <w:r>
        <w:fldChar w:fldCharType="separate"/>
      </w:r>
      <w:r w:rsidR="00EA4C14">
        <w:t>2.3</w:t>
      </w:r>
      <w:r>
        <w:fldChar w:fldCharType="end"/>
      </w:r>
      <w:r>
        <w:t>, the evaluation team</w:t>
      </w:r>
      <w:r w:rsidR="0028526D">
        <w:t xml:space="preserve"> reviewed Avista’s </w:t>
      </w:r>
      <w:r w:rsidR="00A249E0">
        <w:t>Quality Assurance (QA)</w:t>
      </w:r>
      <w:r w:rsidR="0028526D">
        <w:t xml:space="preserve"> processes for the Site Specific program and determined that Avista has implemented the recommendations outlined in the </w:t>
      </w:r>
      <w:r w:rsidR="0028526D" w:rsidRPr="00654A70">
        <w:rPr>
          <w:i/>
        </w:rPr>
        <w:t>2012-2013</w:t>
      </w:r>
      <w:r w:rsidR="0028526D">
        <w:t xml:space="preserve"> </w:t>
      </w:r>
      <w:r w:rsidR="00654A70" w:rsidRPr="002B4E8B">
        <w:rPr>
          <w:i/>
        </w:rPr>
        <w:t>Process Evaluation Report</w:t>
      </w:r>
      <w:r w:rsidR="0028526D">
        <w:t>.</w:t>
      </w:r>
    </w:p>
    <w:p w14:paraId="37F66FD5" w14:textId="282D5AAB" w:rsidR="0028526D" w:rsidRDefault="0028526D" w:rsidP="0028526D">
      <w:pPr>
        <w:pStyle w:val="Text"/>
      </w:pPr>
      <w:r>
        <w:t xml:space="preserve">Avista’s tiered review process for the Site Specific program exceeds the level of scrutiny recommended in the </w:t>
      </w:r>
      <w:r w:rsidR="00FC66ED" w:rsidRPr="00FC66ED">
        <w:rPr>
          <w:i/>
        </w:rPr>
        <w:t>2012-2013</w:t>
      </w:r>
      <w:r w:rsidR="00FC66ED">
        <w:t xml:space="preserve"> </w:t>
      </w:r>
      <w:r w:rsidR="00654A70" w:rsidRPr="002B4E8B">
        <w:rPr>
          <w:i/>
        </w:rPr>
        <w:t>Process Evaluation Report</w:t>
      </w:r>
      <w:r>
        <w:t xml:space="preserve">. Avista has designated increasing levels of scrutiny and internal review based on the estimated incentive value. The structure of the tiered review process is outlined in Section 2.2.1.1 of the </w:t>
      </w:r>
      <w:r w:rsidR="00831C0C" w:rsidRPr="002B4E8B">
        <w:rPr>
          <w:i/>
        </w:rPr>
        <w:t xml:space="preserve">Impact Evaluation of </w:t>
      </w:r>
      <w:r w:rsidR="00831C0C">
        <w:rPr>
          <w:i/>
        </w:rPr>
        <w:t xml:space="preserve">Washington Electric </w:t>
      </w:r>
      <w:r w:rsidR="00831C0C" w:rsidRPr="002B4E8B">
        <w:rPr>
          <w:i/>
        </w:rPr>
        <w:t>2014-2015 Energy Efficiency Programs</w:t>
      </w:r>
      <w:r w:rsidR="00FC66ED">
        <w:t xml:space="preserve"> report. The evaluation team</w:t>
      </w:r>
      <w:r>
        <w:t xml:space="preserve"> found that the review process was effective in improving initial project savings estimates</w:t>
      </w:r>
      <w:r w:rsidR="0069132D">
        <w:t xml:space="preserve"> and</w:t>
      </w:r>
      <w:r>
        <w:t xml:space="preserve"> concluded that the Site Specific program’s QA process was a key contributor towards the program level realization rate of 99% for electricity savings (</w:t>
      </w:r>
      <w:r w:rsidR="00831C0C" w:rsidRPr="002B4E8B">
        <w:rPr>
          <w:i/>
        </w:rPr>
        <w:t xml:space="preserve">Impact Evaluation of </w:t>
      </w:r>
      <w:r w:rsidR="00831C0C">
        <w:rPr>
          <w:i/>
        </w:rPr>
        <w:t xml:space="preserve">Washington Electric </w:t>
      </w:r>
      <w:r w:rsidR="00831C0C" w:rsidRPr="002B4E8B">
        <w:rPr>
          <w:i/>
        </w:rPr>
        <w:t>2014-2015 Energy Efficiency Programs</w:t>
      </w:r>
      <w:r w:rsidR="00831C0C">
        <w:rPr>
          <w:i/>
        </w:rPr>
        <w:t>,</w:t>
      </w:r>
      <w:r w:rsidR="00831C0C">
        <w:t xml:space="preserve"> </w:t>
      </w:r>
      <w:r>
        <w:t>Section 4.5.4).</w:t>
      </w:r>
    </w:p>
    <w:p w14:paraId="6FF3D72C" w14:textId="1DDAF73C" w:rsidR="0069132D" w:rsidRDefault="0069132D" w:rsidP="0069132D">
      <w:pPr>
        <w:pStyle w:val="Text"/>
      </w:pPr>
      <w:r>
        <w:t>The evaluation team’s desk reviews of 146 projects across Avista’s nonresidential electric and natural gas programs included review of the Top Sheet documentation (92 Top Sheets were reviewed that encompassed 146 unique projects). For many projects, the evaluation team reviewed multiple iterations of annotated Top Sheets as the projects worked through the tiered QA process. The evaluation team found that the Top Sheets provided a quality review process, were consistently and accurately completed, and that the recommendations from the prior evaluation were followed</w:t>
      </w:r>
      <w:r w:rsidRPr="0069132D">
        <w:t>, including the inclusion of installation labor costs on the Technical Review Top Sheet.</w:t>
      </w:r>
      <w:r>
        <w:t xml:space="preserve">  </w:t>
      </w:r>
    </w:p>
    <w:p w14:paraId="5551E772" w14:textId="6C1120BB" w:rsidR="0028526D" w:rsidRPr="00416A41" w:rsidRDefault="0069132D" w:rsidP="0028526D">
      <w:pPr>
        <w:pStyle w:val="Text"/>
      </w:pPr>
      <w:r>
        <w:t>The evaluation team</w:t>
      </w:r>
      <w:r w:rsidR="0028526D">
        <w:t xml:space="preserve"> also found that Avista was conducting post-project installation verification for almost all Site Specific projects</w:t>
      </w:r>
      <w:r>
        <w:t xml:space="preserve"> during the 2014-2015 biennium</w:t>
      </w:r>
      <w:r w:rsidR="0028526D">
        <w:t xml:space="preserve">. The tracking database indicates that installation verification was completed for 98% of Site Specific projects. </w:t>
      </w:r>
      <w:r>
        <w:t>The evaluation team’s document audit</w:t>
      </w:r>
      <w:r w:rsidR="0028526D">
        <w:t xml:space="preserve"> process also included </w:t>
      </w:r>
      <w:r>
        <w:t xml:space="preserve">reviewing </w:t>
      </w:r>
      <w:r w:rsidR="0028526D">
        <w:t xml:space="preserve">documentation of these installation verification visits.   </w:t>
      </w:r>
    </w:p>
    <w:bookmarkEnd w:id="1"/>
    <w:bookmarkEnd w:id="2"/>
    <w:bookmarkEnd w:id="3"/>
    <w:bookmarkEnd w:id="4"/>
    <w:bookmarkEnd w:id="5"/>
    <w:bookmarkEnd w:id="6"/>
    <w:bookmarkEnd w:id="7"/>
    <w:p w14:paraId="78F89DC3" w14:textId="77777777" w:rsidR="006A196F" w:rsidRDefault="006A196F" w:rsidP="009652CB">
      <w:pPr>
        <w:pStyle w:val="Heading1"/>
        <w:tabs>
          <w:tab w:val="clear" w:pos="1440"/>
          <w:tab w:val="num" w:pos="720"/>
          <w:tab w:val="num" w:pos="1620"/>
        </w:tabs>
        <w:spacing w:after="240"/>
        <w:ind w:left="720" w:hanging="720"/>
        <w:sectPr w:rsidR="006A196F" w:rsidSect="00E33CF7">
          <w:headerReference w:type="default" r:id="rId23"/>
          <w:footerReference w:type="default" r:id="rId24"/>
          <w:headerReference w:type="first" r:id="rId25"/>
          <w:footerReference w:type="first" r:id="rId26"/>
          <w:endnotePr>
            <w:numFmt w:val="decimal"/>
          </w:endnotePr>
          <w:pgSz w:w="12240" w:h="15840" w:code="1"/>
          <w:pgMar w:top="1440" w:right="1440" w:bottom="720" w:left="1440" w:header="720" w:footer="720" w:gutter="0"/>
          <w:cols w:space="360"/>
          <w:titlePg/>
          <w:docGrid w:linePitch="299"/>
        </w:sectPr>
      </w:pPr>
    </w:p>
    <w:p w14:paraId="1E7661F3" w14:textId="7FF52832" w:rsidR="00A37767" w:rsidRDefault="009652CB" w:rsidP="009652CB">
      <w:pPr>
        <w:pStyle w:val="Heading1"/>
        <w:tabs>
          <w:tab w:val="clear" w:pos="1440"/>
          <w:tab w:val="num" w:pos="720"/>
          <w:tab w:val="num" w:pos="1620"/>
        </w:tabs>
        <w:spacing w:after="240"/>
        <w:ind w:left="720" w:hanging="720"/>
      </w:pPr>
      <w:bookmarkStart w:id="52" w:name="_Toc459380019"/>
      <w:bookmarkStart w:id="53" w:name="_Toc459380147"/>
      <w:bookmarkStart w:id="54" w:name="_Ref459380817"/>
      <w:bookmarkStart w:id="55" w:name="_Ref459381009"/>
      <w:r>
        <w:t>Summary</w:t>
      </w:r>
      <w:bookmarkEnd w:id="52"/>
      <w:bookmarkEnd w:id="53"/>
      <w:bookmarkEnd w:id="54"/>
      <w:bookmarkEnd w:id="55"/>
    </w:p>
    <w:p w14:paraId="66BECD63" w14:textId="418110C9" w:rsidR="00844138" w:rsidRDefault="00844138" w:rsidP="00844138">
      <w:pPr>
        <w:pStyle w:val="Text"/>
      </w:pPr>
      <w:r>
        <w:t xml:space="preserve">The WUTC has </w:t>
      </w:r>
      <w:r w:rsidR="0058018A">
        <w:t xml:space="preserve">requested </w:t>
      </w:r>
      <w:r>
        <w:t>the evaluation team</w:t>
      </w:r>
      <w:r w:rsidR="007D5072">
        <w:t>’s</w:t>
      </w:r>
      <w:r>
        <w:t xml:space="preserve"> </w:t>
      </w:r>
      <w:r w:rsidR="0058018A">
        <w:t xml:space="preserve">opinion </w:t>
      </w:r>
      <w:r>
        <w:t>on the appropriateness and effectiveness o</w:t>
      </w:r>
      <w:r w:rsidR="00910BC4">
        <w:t xml:space="preserve">f Avista’s current organization and on the accuracy of Avista’s Quality Assurance </w:t>
      </w:r>
      <w:r w:rsidR="00EA4AB8">
        <w:t xml:space="preserve">(QA) </w:t>
      </w:r>
      <w:r w:rsidR="00910BC4">
        <w:t xml:space="preserve">process as specifically related to the nonresidential Site Specific program.  </w:t>
      </w:r>
    </w:p>
    <w:p w14:paraId="2C9B3582" w14:textId="4C05446C" w:rsidR="00DF7355" w:rsidRDefault="00DF7355" w:rsidP="00DF7355">
      <w:pPr>
        <w:pStyle w:val="Text"/>
      </w:pPr>
      <w:r>
        <w:t>Our exploration through interviews with Avista staff indicate satisfaction with the current organization, clear understanding of roles and responsibilities, confidence in the quality of work, necessary collaboration, a desire to continually improve processes, and progress in standardizing and improving processes.</w:t>
      </w:r>
      <w:r w:rsidR="007D5072">
        <w:t xml:space="preserve"> </w:t>
      </w:r>
    </w:p>
    <w:p w14:paraId="5A74C062" w14:textId="011EAE64" w:rsidR="007D5072" w:rsidRDefault="007D5072" w:rsidP="00DF7355">
      <w:pPr>
        <w:pStyle w:val="Text"/>
      </w:pPr>
      <w:r>
        <w:t xml:space="preserve">The evaluation team concludes that Avista’s current organizational structure aligns with what it has observed as common organizational practice among smaller program administrators such as Avista.  In our collective experience, prior to working with Avista, we were unaware of any program administrator that had both an internal evaluator and a third-party evaluator examining the </w:t>
      </w:r>
      <w:r>
        <w:rPr>
          <w:i/>
        </w:rPr>
        <w:t xml:space="preserve">same </w:t>
      </w:r>
      <w:r>
        <w:t xml:space="preserve">programs, that is, which had redundancy in evaluation efforts.  </w:t>
      </w:r>
    </w:p>
    <w:p w14:paraId="65D409E1" w14:textId="0B3D03C7" w:rsidR="007D5072" w:rsidRDefault="007D5072" w:rsidP="007D5072">
      <w:pPr>
        <w:pStyle w:val="Text"/>
      </w:pPr>
      <w:r>
        <w:t xml:space="preserve">The programs are operating smoothly and the evaluated program savings exceed Avista’s 2014-2015 biennium savings goals in Washington.  </w:t>
      </w:r>
    </w:p>
    <w:p w14:paraId="4846B5FD" w14:textId="6B0532F7" w:rsidR="00DF7355" w:rsidRDefault="00DF7355" w:rsidP="00DF7355">
      <w:pPr>
        <w:pStyle w:val="Text"/>
      </w:pPr>
      <w:r>
        <w:t xml:space="preserve">The evaluation team provided an independent third-party review of Avista’s Quality Assurance processes.  We carefully examined the accuracy and consistency of the tiered review model and reviewed a random sample of Top Sheets for accuracy and completeness. </w:t>
      </w:r>
      <w:r w:rsidR="007D5072">
        <w:t>We</w:t>
      </w:r>
      <w:r>
        <w:t xml:space="preserve"> found that Avista is adhering to their outlined review model process and that they are correctly completing the Top Sheets. As noted above and in the </w:t>
      </w:r>
      <w:r w:rsidRPr="002B4E8B">
        <w:rPr>
          <w:i/>
        </w:rPr>
        <w:t xml:space="preserve">Impact Evaluation of </w:t>
      </w:r>
      <w:r>
        <w:rPr>
          <w:i/>
        </w:rPr>
        <w:t xml:space="preserve">Washington Electric </w:t>
      </w:r>
      <w:r w:rsidRPr="002B4E8B">
        <w:rPr>
          <w:i/>
        </w:rPr>
        <w:t>2014-2015 Energy Efficiency Programs</w:t>
      </w:r>
      <w:r>
        <w:t xml:space="preserve"> report, the evaluation team found that Avista’s review process was effective in improving initial project savings estimates and concluded that the Site Specific program’s Q</w:t>
      </w:r>
      <w:r w:rsidR="00EA4AB8">
        <w:t>A</w:t>
      </w:r>
      <w:r>
        <w:t xml:space="preserve"> process was a key contributor towards the program level realization rate of 99% for electricity savings.</w:t>
      </w:r>
    </w:p>
    <w:p w14:paraId="3B7DA594" w14:textId="77777777" w:rsidR="007D5072" w:rsidRDefault="007D5072" w:rsidP="00DF7355">
      <w:pPr>
        <w:pStyle w:val="Text"/>
      </w:pPr>
    </w:p>
    <w:p w14:paraId="7F15FE3D" w14:textId="77777777" w:rsidR="006A196F" w:rsidRDefault="006A196F" w:rsidP="00160634">
      <w:pPr>
        <w:pStyle w:val="Heading1"/>
        <w:numPr>
          <w:ilvl w:val="0"/>
          <w:numId w:val="0"/>
        </w:numPr>
        <w:tabs>
          <w:tab w:val="num" w:pos="1620"/>
        </w:tabs>
        <w:spacing w:after="240"/>
        <w:ind w:left="360" w:hanging="360"/>
        <w:sectPr w:rsidR="006A196F" w:rsidSect="00E33CF7">
          <w:headerReference w:type="default" r:id="rId27"/>
          <w:headerReference w:type="first" r:id="rId28"/>
          <w:footerReference w:type="first" r:id="rId29"/>
          <w:endnotePr>
            <w:numFmt w:val="decimal"/>
          </w:endnotePr>
          <w:pgSz w:w="12240" w:h="15840" w:code="1"/>
          <w:pgMar w:top="1440" w:right="1440" w:bottom="720" w:left="1440" w:header="720" w:footer="720" w:gutter="0"/>
          <w:cols w:space="360"/>
          <w:titlePg/>
          <w:docGrid w:linePitch="299"/>
        </w:sectPr>
      </w:pPr>
    </w:p>
    <w:p w14:paraId="603D364F" w14:textId="77777777" w:rsidR="00222B22" w:rsidRDefault="00222B22" w:rsidP="00222B22">
      <w:pPr>
        <w:pStyle w:val="Heading7"/>
      </w:pPr>
      <w:bookmarkStart w:id="56" w:name="_Toc459380148"/>
      <w:bookmarkStart w:id="57" w:name="_Ref459379745"/>
      <w:bookmarkEnd w:id="56"/>
    </w:p>
    <w:bookmarkEnd w:id="57"/>
    <w:p w14:paraId="13DB29DA" w14:textId="1E88A082" w:rsidR="00F568B5" w:rsidRPr="00F568B5" w:rsidRDefault="00F568B5" w:rsidP="00FE2969">
      <w:pPr>
        <w:pStyle w:val="Text"/>
        <w:rPr>
          <w:b/>
          <w:bCs/>
        </w:rPr>
      </w:pPr>
      <w:r w:rsidRPr="00F568B5">
        <w:rPr>
          <w:b/>
          <w:bCs/>
        </w:rPr>
        <w:t xml:space="preserve">Recommendations from Avista 2012-13 Process Evaluation Report </w:t>
      </w:r>
      <w:r w:rsidR="00A249E0">
        <w:rPr>
          <w:b/>
          <w:bCs/>
        </w:rPr>
        <w:t>a</w:t>
      </w:r>
      <w:r w:rsidRPr="00F568B5">
        <w:rPr>
          <w:b/>
          <w:bCs/>
        </w:rPr>
        <w:t>ddressed in th</w:t>
      </w:r>
      <w:r>
        <w:rPr>
          <w:b/>
          <w:bCs/>
        </w:rPr>
        <w:t xml:space="preserve">is Supplemental </w:t>
      </w:r>
      <w:r w:rsidRPr="00F568B5">
        <w:rPr>
          <w:b/>
          <w:bCs/>
        </w:rPr>
        <w:t>Report</w:t>
      </w:r>
    </w:p>
    <w:p w14:paraId="59E15EA5" w14:textId="77777777" w:rsidR="00F568B5" w:rsidRPr="00F568B5" w:rsidRDefault="00F568B5" w:rsidP="00F568B5">
      <w:pPr>
        <w:pStyle w:val="Text"/>
        <w:rPr>
          <w:b/>
        </w:rPr>
      </w:pPr>
      <w:r w:rsidRPr="00F568B5">
        <w:rPr>
          <w:b/>
        </w:rPr>
        <w:t>Organization of the DSM Group</w:t>
      </w:r>
    </w:p>
    <w:p w14:paraId="35F8C09A" w14:textId="77777777" w:rsidR="00F568B5" w:rsidRPr="00F568B5" w:rsidRDefault="00F568B5" w:rsidP="00F568B5">
      <w:pPr>
        <w:pStyle w:val="Text"/>
      </w:pPr>
      <w:r w:rsidRPr="00F568B5">
        <w:t>Avista should continue efforts to improve program processes. Cadmus understands that a reorganization of the DSM group has occurred concurrent to the delivery of this report. This change may be an opportunity for fresh perspectives, clarified responsibilities, and improved coordination within and between teams. We believe unifying the organizational structure under central leadership is a step in the right direction and may help alleviate some previously documented issues with internal communications. In addition to the reorganization, Cadmus recommends that Avista develop standardized processes within the DSM group, including clear delineation of roles and precise description and assignment of all processes and responsibilities for both residential and nonresidential programs. All affected parties should be included in formalizing and standardizing the DSM group’s processes, roles, and responsibilities. Further, all parties must formally agree to clearly delineated responsibilities under the new organizational structure. While these activities need to be prescriptive and precise, we caution that the resulting structure should still allow some flexibility: increased clarity, transparency, and accountability should serve to enhance program delivery and customer satisfaction.</w:t>
      </w:r>
    </w:p>
    <w:p w14:paraId="23019390" w14:textId="77777777" w:rsidR="00F568B5" w:rsidRPr="00F568B5" w:rsidRDefault="00F568B5" w:rsidP="00F568B5">
      <w:pPr>
        <w:pStyle w:val="Text"/>
        <w:rPr>
          <w:b/>
          <w:i/>
        </w:rPr>
      </w:pPr>
      <w:r w:rsidRPr="00F568B5">
        <w:rPr>
          <w:b/>
        </w:rPr>
        <w:t>Quality Assurance Processes</w:t>
      </w:r>
    </w:p>
    <w:p w14:paraId="0E86B6F5" w14:textId="77777777" w:rsidR="00F568B5" w:rsidRPr="00F568B5" w:rsidRDefault="00F568B5" w:rsidP="00F568B5">
      <w:pPr>
        <w:pStyle w:val="Text"/>
      </w:pPr>
      <w:r w:rsidRPr="00F568B5">
        <w:t>Continue to monitor the effectiveness of the site-specific project review process and refine as needed. Cadmus recommends implementing the following to ensure continued improvement:</w:t>
      </w:r>
    </w:p>
    <w:p w14:paraId="61259EF5" w14:textId="77777777" w:rsidR="00F568B5" w:rsidRPr="00F568B5" w:rsidRDefault="00F568B5" w:rsidP="00F568B5">
      <w:pPr>
        <w:pStyle w:val="Text"/>
        <w:numPr>
          <w:ilvl w:val="0"/>
          <w:numId w:val="27"/>
        </w:numPr>
      </w:pPr>
      <w:r w:rsidRPr="00F568B5">
        <w:t>All large prescriptive or site-specific projects reporting savings over a threshold of 300,000 kWh or 10,000 therms should undergo a complete QA/QC review prior to incentive payment in addition to the standard Top Sheet review process. Typically, a QA/QC process reviews engineering calculations, verifies inputs, checks payback period and incentive payments for reasonableness, and ensures compliance with program requirements and tariff rules. In order to align with the above recommendation regarding program management and implementation, Cadmus recommends that Avista determine and document the specific requirements and steps in the QA/QC process through a collaborative process that will ensure accountability and balance needs for efficiency and customer satisfaction.</w:t>
      </w:r>
    </w:p>
    <w:p w14:paraId="7B50018E" w14:textId="77777777" w:rsidR="00F568B5" w:rsidRPr="00F568B5" w:rsidRDefault="00F568B5" w:rsidP="00F568B5">
      <w:pPr>
        <w:pStyle w:val="Text"/>
        <w:numPr>
          <w:ilvl w:val="0"/>
          <w:numId w:val="27"/>
        </w:numPr>
      </w:pPr>
      <w:r w:rsidRPr="00F568B5">
        <w:t>Conduct an external third-party review of Top Sheets, including reviewing a random sample of completed Top Sheets for completeness and accuracy. These were not reviewed as part of the current process evaluation, but should be included in the next process evaluation. Review should not only verify the presence of the Top Sheets, but also the quality and accuracy of the information provided.</w:t>
      </w:r>
    </w:p>
    <w:p w14:paraId="47589BA6" w14:textId="77777777" w:rsidR="00F568B5" w:rsidRPr="00F568B5" w:rsidRDefault="00F568B5" w:rsidP="00F568B5">
      <w:pPr>
        <w:pStyle w:val="Text"/>
      </w:pPr>
      <w:r w:rsidRPr="00F568B5">
        <w:t>Avista should continue to perform follow-up measure confirmation and/or site visits on a random sample of projects (at least 10%).</w:t>
      </w:r>
    </w:p>
    <w:p w14:paraId="320E8DA9" w14:textId="584B2FE8" w:rsidR="00941847" w:rsidRDefault="00F568B5" w:rsidP="00F568B5">
      <w:pPr>
        <w:pStyle w:val="Text"/>
      </w:pPr>
      <w:r w:rsidRPr="00F568B5">
        <w:t>Avista should consider flagging sites for additional scrutiny where the paid invoice does not list installation labor.</w:t>
      </w:r>
    </w:p>
    <w:p w14:paraId="2E4D2E5B" w14:textId="77777777" w:rsidR="00160634" w:rsidRDefault="00160634">
      <w:pPr>
        <w:tabs>
          <w:tab w:val="clear" w:pos="-1440"/>
          <w:tab w:val="clear" w:pos="-720"/>
        </w:tabs>
        <w:spacing w:after="0" w:line="240" w:lineRule="auto"/>
        <w:ind w:left="0"/>
        <w:rPr>
          <w:rFonts w:ascii="Arial" w:hAnsi="Arial" w:cs="Microsoft Sans Serif"/>
          <w:b/>
          <w:color w:val="0070CD"/>
          <w:spacing w:val="-12"/>
          <w:kern w:val="16"/>
          <w:sz w:val="48"/>
          <w:szCs w:val="56"/>
        </w:rPr>
        <w:sectPr w:rsidR="00160634" w:rsidSect="00E33CF7">
          <w:headerReference w:type="default" r:id="rId30"/>
          <w:footerReference w:type="default" r:id="rId31"/>
          <w:headerReference w:type="first" r:id="rId32"/>
          <w:footerReference w:type="first" r:id="rId33"/>
          <w:endnotePr>
            <w:numFmt w:val="decimal"/>
          </w:endnotePr>
          <w:pgSz w:w="12240" w:h="15840" w:code="1"/>
          <w:pgMar w:top="1440" w:right="1440" w:bottom="720" w:left="1440" w:header="720" w:footer="720" w:gutter="0"/>
          <w:pgNumType w:start="1" w:chapStyle="7"/>
          <w:cols w:space="360"/>
          <w:titlePg/>
          <w:docGrid w:linePitch="299"/>
        </w:sectPr>
      </w:pPr>
    </w:p>
    <w:p w14:paraId="2FC86918" w14:textId="27596E29" w:rsidR="0009417E" w:rsidRDefault="0009417E" w:rsidP="00222B22">
      <w:pPr>
        <w:pStyle w:val="Heading7"/>
      </w:pPr>
      <w:bookmarkStart w:id="58" w:name="_Toc459380149"/>
      <w:r>
        <w:t>Avista Utilities Demand Side Management Organizational Structure Pre-January 1 to June 30, 2014</w:t>
      </w:r>
      <w:bookmarkEnd w:id="58"/>
    </w:p>
    <w:p w14:paraId="7ACFE520" w14:textId="03409E11" w:rsidR="006A196F" w:rsidRDefault="00FC127D">
      <w:pPr>
        <w:tabs>
          <w:tab w:val="clear" w:pos="-1440"/>
          <w:tab w:val="clear" w:pos="-720"/>
        </w:tabs>
        <w:spacing w:after="0" w:line="240" w:lineRule="auto"/>
        <w:ind w:left="0"/>
        <w:rPr>
          <w:rFonts w:ascii="Arial" w:hAnsi="Arial" w:cs="Microsoft Sans Serif"/>
          <w:b/>
          <w:color w:val="0070CD"/>
          <w:spacing w:val="-12"/>
          <w:kern w:val="16"/>
          <w:sz w:val="48"/>
          <w:szCs w:val="56"/>
        </w:rPr>
      </w:pPr>
      <w:r>
        <w:rPr>
          <w:noProof/>
        </w:rPr>
        <w:drawing>
          <wp:anchor distT="0" distB="0" distL="114300" distR="114300" simplePos="0" relativeHeight="251661312" behindDoc="1" locked="0" layoutInCell="1" allowOverlap="1" wp14:anchorId="2E3F5C1F" wp14:editId="08B87CF7">
            <wp:simplePos x="0" y="0"/>
            <wp:positionH relativeFrom="margin">
              <wp:posOffset>1400175</wp:posOffset>
            </wp:positionH>
            <wp:positionV relativeFrom="paragraph">
              <wp:posOffset>80010</wp:posOffset>
            </wp:positionV>
            <wp:extent cx="5931060" cy="4572000"/>
            <wp:effectExtent l="0" t="0" r="0" b="0"/>
            <wp:wrapTight wrapText="bothSides">
              <wp:wrapPolygon edited="0">
                <wp:start x="0" y="0"/>
                <wp:lineTo x="0" y="21510"/>
                <wp:lineTo x="21507" y="21510"/>
                <wp:lineTo x="21507" y="0"/>
                <wp:lineTo x="0" y="0"/>
              </wp:wrapPolygon>
            </wp:wrapTight>
            <wp:docPr id="2" name="Picture 2" descr="C:\Users\sara\AppData\Local\Microsoft\Windows\INetCacheContent.Word\Avista DSM Org Chart-2014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AppData\Local\Microsoft\Windows\INetCacheContent.Word\Avista DSM Org Chart-2014_Page_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1060" cy="457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6E37E" w14:textId="77777777" w:rsidR="006A196F" w:rsidRPr="006A196F" w:rsidRDefault="006A196F" w:rsidP="006A196F">
      <w:pPr>
        <w:rPr>
          <w:rFonts w:ascii="Arial" w:hAnsi="Arial" w:cs="Microsoft Sans Serif"/>
          <w:sz w:val="48"/>
          <w:szCs w:val="56"/>
        </w:rPr>
      </w:pPr>
    </w:p>
    <w:p w14:paraId="233CBEC6" w14:textId="77777777" w:rsidR="006A196F" w:rsidRPr="006A196F" w:rsidRDefault="006A196F" w:rsidP="006A196F">
      <w:pPr>
        <w:rPr>
          <w:rFonts w:ascii="Arial" w:hAnsi="Arial" w:cs="Microsoft Sans Serif"/>
          <w:sz w:val="48"/>
          <w:szCs w:val="56"/>
        </w:rPr>
      </w:pPr>
    </w:p>
    <w:p w14:paraId="0A49E4AB" w14:textId="77777777" w:rsidR="006A196F" w:rsidRPr="006A196F" w:rsidRDefault="006A196F" w:rsidP="006A196F">
      <w:pPr>
        <w:rPr>
          <w:rFonts w:ascii="Arial" w:hAnsi="Arial" w:cs="Microsoft Sans Serif"/>
          <w:sz w:val="48"/>
          <w:szCs w:val="56"/>
        </w:rPr>
      </w:pPr>
    </w:p>
    <w:p w14:paraId="68EA4586" w14:textId="77777777" w:rsidR="006A196F" w:rsidRPr="006A196F" w:rsidRDefault="006A196F" w:rsidP="006A196F">
      <w:pPr>
        <w:rPr>
          <w:rFonts w:ascii="Arial" w:hAnsi="Arial" w:cs="Microsoft Sans Serif"/>
          <w:sz w:val="48"/>
          <w:szCs w:val="56"/>
        </w:rPr>
      </w:pPr>
    </w:p>
    <w:p w14:paraId="2C0F832D" w14:textId="77777777" w:rsidR="006A196F" w:rsidRPr="006A196F" w:rsidRDefault="006A196F" w:rsidP="006A196F">
      <w:pPr>
        <w:rPr>
          <w:rFonts w:ascii="Arial" w:hAnsi="Arial" w:cs="Microsoft Sans Serif"/>
          <w:sz w:val="48"/>
          <w:szCs w:val="56"/>
        </w:rPr>
      </w:pPr>
    </w:p>
    <w:p w14:paraId="20233315" w14:textId="77777777" w:rsidR="006A196F" w:rsidRPr="006A196F" w:rsidRDefault="006A196F" w:rsidP="006A196F">
      <w:pPr>
        <w:rPr>
          <w:rFonts w:ascii="Arial" w:hAnsi="Arial" w:cs="Microsoft Sans Serif"/>
          <w:sz w:val="48"/>
          <w:szCs w:val="56"/>
        </w:rPr>
      </w:pPr>
    </w:p>
    <w:p w14:paraId="60FCA187" w14:textId="4397BD7C" w:rsidR="006A196F" w:rsidRDefault="006A196F" w:rsidP="006A196F">
      <w:pPr>
        <w:rPr>
          <w:rFonts w:ascii="Arial" w:hAnsi="Arial" w:cs="Microsoft Sans Serif"/>
          <w:sz w:val="48"/>
          <w:szCs w:val="56"/>
        </w:rPr>
      </w:pPr>
    </w:p>
    <w:p w14:paraId="70E77303" w14:textId="598FA861" w:rsidR="006A196F" w:rsidRDefault="006A196F" w:rsidP="006A196F">
      <w:pPr>
        <w:rPr>
          <w:rFonts w:ascii="Arial" w:hAnsi="Arial" w:cs="Microsoft Sans Serif"/>
          <w:sz w:val="48"/>
          <w:szCs w:val="56"/>
        </w:rPr>
      </w:pPr>
    </w:p>
    <w:p w14:paraId="773B73B1" w14:textId="77777777" w:rsidR="006A196F" w:rsidRPr="006A196F" w:rsidRDefault="006A196F" w:rsidP="006A196F">
      <w:pPr>
        <w:rPr>
          <w:rFonts w:ascii="Arial" w:hAnsi="Arial" w:cs="Microsoft Sans Serif"/>
          <w:sz w:val="48"/>
          <w:szCs w:val="56"/>
        </w:rPr>
        <w:sectPr w:rsidR="006A196F" w:rsidRPr="006A196F" w:rsidSect="00E33CF7">
          <w:headerReference w:type="default" r:id="rId35"/>
          <w:footerReference w:type="default" r:id="rId36"/>
          <w:endnotePr>
            <w:numFmt w:val="decimal"/>
          </w:endnotePr>
          <w:pgSz w:w="15840" w:h="12240" w:orient="landscape" w:code="1"/>
          <w:pgMar w:top="1440" w:right="1170" w:bottom="1440" w:left="720" w:header="720" w:footer="720" w:gutter="0"/>
          <w:pgNumType w:start="1" w:chapStyle="7"/>
          <w:cols w:space="360"/>
          <w:docGrid w:linePitch="299"/>
        </w:sectPr>
      </w:pPr>
    </w:p>
    <w:p w14:paraId="33AB9486" w14:textId="2239F915" w:rsidR="0009417E" w:rsidRDefault="00160634" w:rsidP="00E33CF7">
      <w:pPr>
        <w:pStyle w:val="Heading7"/>
      </w:pPr>
      <w:bookmarkStart w:id="59" w:name="_Toc459380150"/>
      <w:r>
        <w:rPr>
          <w:noProof/>
        </w:rPr>
        <w:drawing>
          <wp:anchor distT="0" distB="0" distL="114300" distR="114300" simplePos="0" relativeHeight="251662336" behindDoc="1" locked="0" layoutInCell="1" allowOverlap="1" wp14:anchorId="1DF6105B" wp14:editId="02213161">
            <wp:simplePos x="0" y="0"/>
            <wp:positionH relativeFrom="column">
              <wp:posOffset>1485900</wp:posOffset>
            </wp:positionH>
            <wp:positionV relativeFrom="paragraph">
              <wp:posOffset>1228725</wp:posOffset>
            </wp:positionV>
            <wp:extent cx="5931880" cy="4572000"/>
            <wp:effectExtent l="0" t="0" r="0" b="0"/>
            <wp:wrapTight wrapText="bothSides">
              <wp:wrapPolygon edited="0">
                <wp:start x="0" y="0"/>
                <wp:lineTo x="0" y="21510"/>
                <wp:lineTo x="21505" y="21510"/>
                <wp:lineTo x="21505" y="0"/>
                <wp:lineTo x="0" y="0"/>
              </wp:wrapPolygon>
            </wp:wrapTight>
            <wp:docPr id="3" name="Picture 4" descr="C:\Users\sara\AppData\Local\Microsoft\Windows\INetCacheContent.Word\Avista DSM Org Chart-2014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ra\AppData\Local\Microsoft\Windows\INetCacheContent.Word\Avista DSM Org Chart-2014_Page_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188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355">
        <w:t>Avista Utilities Demand Side Management Organizational Structure July 1, 2014 to Present (dated 12/1/2014)</w:t>
      </w:r>
      <w:bookmarkEnd w:id="59"/>
    </w:p>
    <w:p w14:paraId="6511E629" w14:textId="40961493" w:rsidR="00DF7355" w:rsidRPr="00DF7355" w:rsidRDefault="00DF7355" w:rsidP="00DF7355">
      <w:pPr>
        <w:pStyle w:val="Text"/>
      </w:pPr>
    </w:p>
    <w:sectPr w:rsidR="00DF7355" w:rsidRPr="00DF7355" w:rsidSect="00E33CF7">
      <w:headerReference w:type="default" r:id="rId38"/>
      <w:footerReference w:type="first" r:id="rId39"/>
      <w:endnotePr>
        <w:numFmt w:val="decimal"/>
      </w:endnotePr>
      <w:pgSz w:w="15840" w:h="12240" w:orient="landscape" w:code="1"/>
      <w:pgMar w:top="1440" w:right="1170" w:bottom="1440" w:left="720" w:header="720" w:footer="720" w:gutter="0"/>
      <w:pgNumType w:start="1" w:chapStyle="7"/>
      <w:cols w:space="36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4169A" w14:textId="77777777" w:rsidR="00222B22" w:rsidRDefault="00222B22" w:rsidP="00E45947">
      <w:pPr>
        <w:spacing w:after="120"/>
      </w:pPr>
      <w:r>
        <w:separator/>
      </w:r>
    </w:p>
    <w:p w14:paraId="5053D35B" w14:textId="77777777" w:rsidR="00222B22" w:rsidRDefault="00222B22"/>
    <w:p w14:paraId="3AE039DA" w14:textId="77777777" w:rsidR="00222B22" w:rsidRDefault="00222B22"/>
  </w:endnote>
  <w:endnote w:type="continuationSeparator" w:id="0">
    <w:p w14:paraId="0782BC6E" w14:textId="77777777" w:rsidR="00222B22" w:rsidRDefault="00222B22">
      <w:r>
        <w:continuationSeparator/>
      </w:r>
    </w:p>
    <w:p w14:paraId="3D836A81" w14:textId="77777777" w:rsidR="00222B22" w:rsidRDefault="00222B22"/>
    <w:p w14:paraId="7599A696" w14:textId="77777777" w:rsidR="00222B22" w:rsidRDefault="00222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Heiti Std R">
    <w:panose1 w:val="00000000000000000000"/>
    <w:charset w:val="80"/>
    <w:family w:val="swiss"/>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OpenSans-Italic">
    <w:altName w:val="Open San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1BAC" w14:textId="4EEF5375" w:rsidR="00222B22" w:rsidRPr="00450ABC" w:rsidRDefault="00222B22"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63360" behindDoc="0" locked="0" layoutInCell="1" allowOverlap="1" wp14:anchorId="4A275F97" wp14:editId="27FA2130">
          <wp:simplePos x="0" y="0"/>
          <wp:positionH relativeFrom="page">
            <wp:posOffset>833755</wp:posOffset>
          </wp:positionH>
          <wp:positionV relativeFrom="page">
            <wp:posOffset>9290050</wp:posOffset>
          </wp:positionV>
          <wp:extent cx="819150" cy="219075"/>
          <wp:effectExtent l="0" t="0" r="0" b="0"/>
          <wp:wrapSquare wrapText="bothSides"/>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Pr>
        <w:rStyle w:val="PageNumber"/>
        <w:rFonts w:cs="Arial"/>
        <w:bCs/>
        <w:noProof/>
      </w:rPr>
      <w:t>1</w:t>
    </w:r>
    <w:r>
      <w:rPr>
        <w:rStyle w:val="PageNumber"/>
        <w:rFonts w:cs="Arial"/>
        <w:bCs/>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585F" w14:textId="77777777" w:rsidR="00222B22" w:rsidRPr="00450ABC" w:rsidRDefault="00222B22"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79744" behindDoc="0" locked="0" layoutInCell="1" allowOverlap="1" wp14:anchorId="7223D973" wp14:editId="6459FFAC">
          <wp:simplePos x="0" y="0"/>
          <wp:positionH relativeFrom="page">
            <wp:posOffset>833755</wp:posOffset>
          </wp:positionH>
          <wp:positionV relativeFrom="page">
            <wp:posOffset>9290050</wp:posOffset>
          </wp:positionV>
          <wp:extent cx="819150" cy="219075"/>
          <wp:effectExtent l="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A-1</w:t>
    </w:r>
    <w:r>
      <w:rPr>
        <w:rStyle w:val="PageNumber"/>
        <w:rFonts w:cs="Arial"/>
        <w:bC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07DE6" w14:textId="4A031F0E" w:rsidR="00222B22" w:rsidRPr="00450ABC" w:rsidRDefault="00222B22" w:rsidP="00222B22">
    <w:pPr>
      <w:pStyle w:val="Footer"/>
      <w:tabs>
        <w:tab w:val="clear" w:pos="4680"/>
        <w:tab w:val="clear" w:pos="9360"/>
        <w:tab w:val="left" w:pos="6480"/>
        <w:tab w:val="right" w:pos="13950"/>
      </w:tabs>
      <w:ind w:left="0" w:firstLine="3780"/>
      <w:rPr>
        <w:rFonts w:cs="Arial"/>
        <w:bCs/>
      </w:rPr>
    </w:pPr>
    <w:r>
      <w:rPr>
        <w:rFonts w:cs="Arial"/>
        <w:noProof/>
      </w:rPr>
      <w:drawing>
        <wp:anchor distT="0" distB="0" distL="114300" distR="114300" simplePos="0" relativeHeight="251671552" behindDoc="0" locked="0" layoutInCell="1" allowOverlap="1" wp14:anchorId="404BD991" wp14:editId="2AA0883A">
          <wp:simplePos x="0" y="0"/>
          <wp:positionH relativeFrom="page">
            <wp:posOffset>762000</wp:posOffset>
          </wp:positionH>
          <wp:positionV relativeFrom="page">
            <wp:posOffset>6992620</wp:posOffset>
          </wp:positionV>
          <wp:extent cx="819150" cy="219075"/>
          <wp:effectExtent l="0" t="0" r="0" b="0"/>
          <wp:wrapSquare wrapText="bothSides"/>
          <wp:docPr id="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Pr>
        <w:rFonts w:cs="Arial"/>
        <w:noProof/>
      </w:rPr>
      <w:drawing>
        <wp:anchor distT="0" distB="0" distL="114300" distR="114300" simplePos="0" relativeHeight="251669504" behindDoc="0" locked="0" layoutInCell="1" allowOverlap="1" wp14:anchorId="6E5AD212" wp14:editId="2D39DD7F">
          <wp:simplePos x="0" y="0"/>
          <wp:positionH relativeFrom="page">
            <wp:posOffset>833755</wp:posOffset>
          </wp:positionH>
          <wp:positionV relativeFrom="page">
            <wp:posOffset>9290050</wp:posOffset>
          </wp:positionV>
          <wp:extent cx="819150" cy="219075"/>
          <wp:effectExtent l="0" t="0" r="0" b="0"/>
          <wp:wrapSquare wrapText="bothSides"/>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B-1</w:t>
    </w:r>
    <w:r>
      <w:rPr>
        <w:rStyle w:val="PageNumber"/>
        <w:rFonts w:cs="Arial"/>
        <w:bCs/>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434C" w14:textId="77777777" w:rsidR="00E33CF7" w:rsidRPr="00450ABC" w:rsidRDefault="00E33CF7" w:rsidP="00E33CF7">
    <w:pPr>
      <w:pStyle w:val="Footer"/>
      <w:tabs>
        <w:tab w:val="clear" w:pos="4680"/>
        <w:tab w:val="clear" w:pos="9360"/>
        <w:tab w:val="left" w:pos="6480"/>
        <w:tab w:val="right" w:pos="13950"/>
      </w:tabs>
      <w:ind w:left="0" w:firstLine="3780"/>
      <w:rPr>
        <w:rFonts w:cs="Arial"/>
        <w:bCs/>
      </w:rPr>
    </w:pPr>
    <w:r>
      <w:rPr>
        <w:rFonts w:cs="Arial"/>
        <w:noProof/>
      </w:rPr>
      <w:drawing>
        <wp:anchor distT="0" distB="0" distL="114300" distR="114300" simplePos="0" relativeHeight="251695104" behindDoc="0" locked="0" layoutInCell="1" allowOverlap="1" wp14:anchorId="55D57E58" wp14:editId="7A5CD799">
          <wp:simplePos x="0" y="0"/>
          <wp:positionH relativeFrom="page">
            <wp:posOffset>762000</wp:posOffset>
          </wp:positionH>
          <wp:positionV relativeFrom="page">
            <wp:posOffset>6992620</wp:posOffset>
          </wp:positionV>
          <wp:extent cx="819150" cy="219075"/>
          <wp:effectExtent l="0" t="0" r="0" b="0"/>
          <wp:wrapSquare wrapText="bothSides"/>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Pr>
        <w:rFonts w:cs="Arial"/>
        <w:noProof/>
      </w:rPr>
      <w:drawing>
        <wp:anchor distT="0" distB="0" distL="114300" distR="114300" simplePos="0" relativeHeight="251694080" behindDoc="0" locked="0" layoutInCell="1" allowOverlap="1" wp14:anchorId="56C7FC6C" wp14:editId="512B8E08">
          <wp:simplePos x="0" y="0"/>
          <wp:positionH relativeFrom="page">
            <wp:posOffset>833755</wp:posOffset>
          </wp:positionH>
          <wp:positionV relativeFrom="page">
            <wp:posOffset>9290050</wp:posOffset>
          </wp:positionV>
          <wp:extent cx="819150" cy="219075"/>
          <wp:effectExtent l="0" t="0" r="0" b="0"/>
          <wp:wrapSquare wrapText="bothSides"/>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C-1</w:t>
    </w:r>
    <w:r>
      <w:rPr>
        <w:rStyle w:val="PageNumbe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44606" w14:textId="77777777" w:rsidR="00222B22" w:rsidRPr="00450ABC" w:rsidRDefault="00222B22"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77696" behindDoc="0" locked="0" layoutInCell="1" allowOverlap="1" wp14:anchorId="742F4AF0" wp14:editId="555AD591">
          <wp:simplePos x="0" y="0"/>
          <wp:positionH relativeFrom="page">
            <wp:posOffset>833755</wp:posOffset>
          </wp:positionH>
          <wp:positionV relativeFrom="page">
            <wp:posOffset>9290050</wp:posOffset>
          </wp:positionV>
          <wp:extent cx="819150" cy="219075"/>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ii</w:t>
    </w:r>
    <w:r>
      <w:rPr>
        <w:rStyle w:val="PageNumber"/>
        <w:rFonts w:cs="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E9FEE" w14:textId="77777777" w:rsidR="00222B22" w:rsidRPr="00450ABC" w:rsidRDefault="00222B22"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75648" behindDoc="0" locked="0" layoutInCell="1" allowOverlap="1" wp14:anchorId="5B6A3D42" wp14:editId="15BCF7FA">
          <wp:simplePos x="0" y="0"/>
          <wp:positionH relativeFrom="page">
            <wp:posOffset>833755</wp:posOffset>
          </wp:positionH>
          <wp:positionV relativeFrom="page">
            <wp:posOffset>9290050</wp:posOffset>
          </wp:positionV>
          <wp:extent cx="819150" cy="219075"/>
          <wp:effectExtent l="0" t="0" r="0" b="0"/>
          <wp:wrapSquare wrapText="bothSides"/>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1</w:t>
    </w:r>
    <w:r>
      <w:rPr>
        <w:rStyle w:val="PageNumber"/>
        <w:rFonts w:cs="Arial"/>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49962" w14:textId="77777777" w:rsidR="00E33CF7" w:rsidRPr="00450ABC" w:rsidRDefault="00E33CF7"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87936" behindDoc="0" locked="0" layoutInCell="1" allowOverlap="1" wp14:anchorId="00FD14EE" wp14:editId="08189727">
          <wp:simplePos x="0" y="0"/>
          <wp:positionH relativeFrom="page">
            <wp:posOffset>833755</wp:posOffset>
          </wp:positionH>
          <wp:positionV relativeFrom="page">
            <wp:posOffset>9290050</wp:posOffset>
          </wp:positionV>
          <wp:extent cx="819150" cy="219075"/>
          <wp:effectExtent l="0" t="0" r="0" b="0"/>
          <wp:wrapSquare wrapText="bothSides"/>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6</w:t>
    </w:r>
    <w:r>
      <w:rPr>
        <w:rStyle w:val="PageNumber"/>
        <w:rFonts w:cs="Arial"/>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404B9" w14:textId="77777777" w:rsidR="00E33CF7" w:rsidRPr="00450ABC" w:rsidRDefault="00E33CF7"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89984" behindDoc="0" locked="0" layoutInCell="1" allowOverlap="1" wp14:anchorId="50661A87" wp14:editId="7814877A">
          <wp:simplePos x="0" y="0"/>
          <wp:positionH relativeFrom="page">
            <wp:posOffset>833755</wp:posOffset>
          </wp:positionH>
          <wp:positionV relativeFrom="page">
            <wp:posOffset>9290050</wp:posOffset>
          </wp:positionV>
          <wp:extent cx="819150" cy="219075"/>
          <wp:effectExtent l="0" t="0" r="0" b="0"/>
          <wp:wrapSquare wrapText="bothSides"/>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2</w:t>
    </w:r>
    <w:r>
      <w:rPr>
        <w:rStyle w:val="PageNumber"/>
        <w:rFonts w:cs="Arial"/>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732F1" w14:textId="77777777" w:rsidR="00E33CF7" w:rsidRPr="00450ABC" w:rsidRDefault="00E33CF7"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83840" behindDoc="0" locked="0" layoutInCell="1" allowOverlap="1" wp14:anchorId="6FFA1EFD" wp14:editId="6983CF23">
          <wp:simplePos x="0" y="0"/>
          <wp:positionH relativeFrom="page">
            <wp:posOffset>833755</wp:posOffset>
          </wp:positionH>
          <wp:positionV relativeFrom="page">
            <wp:posOffset>9290050</wp:posOffset>
          </wp:positionV>
          <wp:extent cx="819150" cy="219075"/>
          <wp:effectExtent l="0" t="0" r="0" b="0"/>
          <wp:wrapSquare wrapText="bothSides"/>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14</w:t>
    </w:r>
    <w:r>
      <w:rPr>
        <w:rStyle w:val="PageNumber"/>
        <w:rFonts w:cs="Arial"/>
        <w:bC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55247" w14:textId="77777777" w:rsidR="00E33CF7" w:rsidRPr="00450ABC" w:rsidRDefault="00E33CF7"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85888" behindDoc="0" locked="0" layoutInCell="1" allowOverlap="1" wp14:anchorId="75E27257" wp14:editId="0B4959E3">
          <wp:simplePos x="0" y="0"/>
          <wp:positionH relativeFrom="page">
            <wp:posOffset>833755</wp:posOffset>
          </wp:positionH>
          <wp:positionV relativeFrom="page">
            <wp:posOffset>9290050</wp:posOffset>
          </wp:positionV>
          <wp:extent cx="819150" cy="219075"/>
          <wp:effectExtent l="0" t="0" r="0" b="0"/>
          <wp:wrapSquare wrapText="bothSides"/>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9</w:t>
    </w:r>
    <w:r>
      <w:rPr>
        <w:rStyle w:val="PageNumber"/>
        <w:rFonts w:cs="Arial"/>
        <w:bC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10E7" w14:textId="77777777" w:rsidR="00222B22" w:rsidRPr="00450ABC" w:rsidRDefault="00222B22"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81792" behindDoc="0" locked="0" layoutInCell="1" allowOverlap="1" wp14:anchorId="77543672" wp14:editId="74B9AD05">
          <wp:simplePos x="0" y="0"/>
          <wp:positionH relativeFrom="page">
            <wp:posOffset>833755</wp:posOffset>
          </wp:positionH>
          <wp:positionV relativeFrom="page">
            <wp:posOffset>9290050</wp:posOffset>
          </wp:positionV>
          <wp:extent cx="819150" cy="219075"/>
          <wp:effectExtent l="0" t="0" r="0" b="0"/>
          <wp:wrapSquare wrapText="bothSides"/>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15</w:t>
    </w:r>
    <w:r>
      <w:rPr>
        <w:rStyle w:val="PageNumber"/>
        <w:rFonts w:cs="Arial"/>
        <w:bC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8E37B" w14:textId="77777777" w:rsidR="00E33CF7" w:rsidRPr="00450ABC" w:rsidRDefault="00E33CF7" w:rsidP="00A36E20">
    <w:pPr>
      <w:pStyle w:val="Footer"/>
      <w:tabs>
        <w:tab w:val="clear" w:pos="4680"/>
        <w:tab w:val="center" w:pos="5040"/>
      </w:tabs>
      <w:spacing w:before="240"/>
      <w:ind w:left="0"/>
      <w:jc w:val="right"/>
      <w:rPr>
        <w:rFonts w:cs="Arial"/>
        <w:bCs/>
      </w:rPr>
    </w:pPr>
    <w:r>
      <w:rPr>
        <w:rFonts w:cs="Arial"/>
        <w:noProof/>
      </w:rPr>
      <w:drawing>
        <wp:anchor distT="0" distB="0" distL="114300" distR="114300" simplePos="0" relativeHeight="251692032" behindDoc="0" locked="0" layoutInCell="1" allowOverlap="1" wp14:anchorId="177BD58E" wp14:editId="04BC6369">
          <wp:simplePos x="0" y="0"/>
          <wp:positionH relativeFrom="page">
            <wp:posOffset>833755</wp:posOffset>
          </wp:positionH>
          <wp:positionV relativeFrom="page">
            <wp:posOffset>9290050</wp:posOffset>
          </wp:positionV>
          <wp:extent cx="819150" cy="2190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ant_rev (blue 3-4in)"/>
                  <pic:cNvPicPr>
                    <a:picLocks noChangeAspect="1" noChangeArrowheads="1"/>
                  </pic:cNvPicPr>
                </pic:nvPicPr>
                <pic:blipFill>
                  <a:blip r:embed="rId1">
                    <a:extLst>
                      <a:ext uri="{28A0092B-C50C-407E-A947-70E740481C1C}">
                        <a14:useLocalDpi xmlns:a14="http://schemas.microsoft.com/office/drawing/2010/main" val="0"/>
                      </a:ext>
                    </a:extLst>
                  </a:blip>
                  <a:srcRect t="26829"/>
                  <a:stretch>
                    <a:fillRect/>
                  </a:stretch>
                </pic:blipFill>
                <pic:spPr bwMode="auto">
                  <a:xfrm>
                    <a:off x="0" y="0"/>
                    <a:ext cx="819150" cy="219075"/>
                  </a:xfrm>
                  <a:prstGeom prst="rect">
                    <a:avLst/>
                  </a:prstGeom>
                  <a:noFill/>
                  <a:ln w="9525">
                    <a:noFill/>
                    <a:miter lim="800000"/>
                    <a:headEnd/>
                    <a:tailEnd/>
                  </a:ln>
                </pic:spPr>
              </pic:pic>
            </a:graphicData>
          </a:graphic>
        </wp:anchor>
      </w:drawing>
    </w:r>
    <w:r w:rsidRPr="002D5D6A">
      <w:rPr>
        <w:rFonts w:cs="Arial"/>
      </w:rPr>
      <w:tab/>
    </w:r>
    <w:r>
      <w:rPr>
        <w:rFonts w:cs="Arial"/>
      </w:rPr>
      <w:t>Supplemental Report: Process Evaluation of 2014-2015 Energy Efficiency Programs</w:t>
    </w:r>
    <w:r w:rsidRPr="002D5D6A">
      <w:rPr>
        <w:rFonts w:cs="Arial"/>
      </w:rPr>
      <w:tab/>
    </w: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060B94">
      <w:rPr>
        <w:rStyle w:val="PageNumber"/>
        <w:rFonts w:cs="Arial"/>
        <w:bCs/>
        <w:noProof/>
      </w:rPr>
      <w:t>A-2</w:t>
    </w:r>
    <w:r>
      <w:rPr>
        <w:rStyle w:val="PageNumber"/>
        <w:rFonts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E7CC5" w14:textId="77777777" w:rsidR="00222B22" w:rsidRPr="009A2149" w:rsidRDefault="00222B22" w:rsidP="009A2149">
      <w:pPr>
        <w:pStyle w:val="Footer"/>
        <w:ind w:left="0"/>
        <w:rPr>
          <w:color w:val="auto"/>
        </w:rPr>
      </w:pPr>
      <w:r w:rsidRPr="009A2149">
        <w:rPr>
          <w:color w:val="auto"/>
        </w:rPr>
        <w:separator/>
      </w:r>
    </w:p>
  </w:footnote>
  <w:footnote w:type="continuationSeparator" w:id="0">
    <w:p w14:paraId="4702F05B" w14:textId="77777777" w:rsidR="00222B22" w:rsidRDefault="00222B22" w:rsidP="009A2149">
      <w:pPr>
        <w:ind w:left="0"/>
      </w:pPr>
      <w:r>
        <w:continuationSeparator/>
      </w:r>
    </w:p>
  </w:footnote>
  <w:footnote w:type="continuationNotice" w:id="1">
    <w:p w14:paraId="5D8412EF" w14:textId="77777777" w:rsidR="00222B22" w:rsidRPr="00F57E6D" w:rsidRDefault="00222B22" w:rsidP="00F57E6D">
      <w:pPr>
        <w:pStyle w:val="Footer"/>
        <w:ind w:left="0"/>
      </w:pPr>
    </w:p>
  </w:footnote>
  <w:footnote w:id="2">
    <w:p w14:paraId="0864CD0E" w14:textId="77777777" w:rsidR="00222B22" w:rsidRDefault="00222B22" w:rsidP="002B4E8B">
      <w:pPr>
        <w:pStyle w:val="FootnoteText"/>
      </w:pPr>
      <w:r>
        <w:rPr>
          <w:rStyle w:val="FootnoteReference"/>
        </w:rPr>
        <w:footnoteRef/>
      </w:r>
      <w:r>
        <w:t xml:space="preserve"> Avista 2012-2013 Process Evaluation Report, May 15, 2014. Prepared by Cadmus.</w:t>
      </w:r>
    </w:p>
  </w:footnote>
  <w:footnote w:id="3">
    <w:p w14:paraId="70E36438" w14:textId="77777777" w:rsidR="00222B22" w:rsidRDefault="00222B22" w:rsidP="009842E3">
      <w:pPr>
        <w:pStyle w:val="FootnoteText"/>
      </w:pPr>
      <w:r>
        <w:rPr>
          <w:rStyle w:val="FootnoteReference"/>
        </w:rPr>
        <w:footnoteRef/>
      </w:r>
      <w:r>
        <w:t xml:space="preserve"> Efficiency Valuation Organization (EVO) “International Performance Measurement and Verification Protocol (IMPVP) Concepts and Options for Determining Energy and Water Savings Volume 1”, April 2007, page 19. </w:t>
      </w:r>
    </w:p>
  </w:footnote>
  <w:footnote w:id="4">
    <w:p w14:paraId="681291A1" w14:textId="6FAAD650" w:rsidR="00222B22" w:rsidRDefault="00222B22" w:rsidP="00F34FC8">
      <w:pPr>
        <w:pStyle w:val="FootnoteText"/>
      </w:pPr>
      <w:r>
        <w:rPr>
          <w:rStyle w:val="FootnoteReference"/>
        </w:rPr>
        <w:footnoteRef/>
      </w:r>
      <w:r>
        <w:t xml:space="preserve"> This position managed the evaluation team’s contract with Avista. It also manages the conservation potential assessment contract, which Avista conducts through a third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791A" w14:textId="77777777" w:rsidR="00222B22" w:rsidRDefault="00222B22" w:rsidP="009B66D0">
    <w:pPr>
      <w:spacing w:after="0" w:line="240" w:lineRule="auto"/>
      <w:ind w:left="-144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8BDE" w14:textId="177D1138" w:rsidR="00222B22" w:rsidRPr="00A90145" w:rsidRDefault="00E33CF7" w:rsidP="00222B22">
    <w:pPr>
      <w:pStyle w:val="Header"/>
      <w:tabs>
        <w:tab w:val="left" w:pos="720"/>
      </w:tabs>
      <w:rPr>
        <w:b/>
        <w:color w:val="0070CD"/>
        <w:sz w:val="22"/>
      </w:rPr>
    </w:pPr>
    <w:r>
      <w:fldChar w:fldCharType="begin"/>
    </w:r>
    <w:r>
      <w:instrText xml:space="preserve"> REF _Ref459379745 \w \h </w:instrText>
    </w:r>
    <w:r>
      <w:fldChar w:fldCharType="separate"/>
    </w:r>
    <w:r w:rsidR="00EA4C14">
      <w:t>Appendix A</w:t>
    </w:r>
    <w:r>
      <w:fldChar w:fldCharType="end"/>
    </w:r>
    <w:r w:rsidR="00222B22">
      <w:tab/>
    </w:r>
    <w:r w:rsidR="00222B22">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E59A" w14:textId="77777777" w:rsidR="00222B22" w:rsidRDefault="00222B22" w:rsidP="009B66D0">
    <w:pPr>
      <w:spacing w:after="0" w:line="240" w:lineRule="auto"/>
      <w:ind w:left="-144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0F26" w14:textId="2E7C9917" w:rsidR="00222B22" w:rsidRPr="00222B22" w:rsidRDefault="00222B22" w:rsidP="00222B22">
    <w:pPr>
      <w:pStyle w:val="Header"/>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19A0" w14:textId="70EE9A62" w:rsidR="00222B22" w:rsidRPr="00A90145" w:rsidRDefault="00222B22" w:rsidP="006A196F">
    <w:pPr>
      <w:pStyle w:val="Header"/>
      <w:tabs>
        <w:tab w:val="clear" w:pos="9360"/>
        <w:tab w:val="left" w:pos="720"/>
        <w:tab w:val="right" w:pos="13950"/>
      </w:tabs>
      <w:rPr>
        <w:b/>
        <w:color w:val="0070CD"/>
        <w:sz w:val="22"/>
      </w:rPr>
    </w:pPr>
    <w:r>
      <w:tab/>
    </w:r>
    <w:r>
      <w:tab/>
    </w:r>
    <w:r>
      <w:tab/>
      <w:t>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4ABB1" w14:textId="2B0FE400" w:rsidR="00222B22" w:rsidRPr="00A36E20" w:rsidRDefault="00222B22" w:rsidP="00222B22">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EAB9" w14:textId="77777777" w:rsidR="00222B22" w:rsidRPr="00222B22" w:rsidRDefault="00222B22" w:rsidP="00222B22">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2F05D" w14:textId="01876F9D" w:rsidR="00222B22" w:rsidRPr="00A90145" w:rsidRDefault="00EA4C14" w:rsidP="006A196F">
    <w:pPr>
      <w:pStyle w:val="Header"/>
      <w:tabs>
        <w:tab w:val="left" w:pos="720"/>
      </w:tabs>
      <w:rPr>
        <w:b/>
        <w:color w:val="0070CD"/>
        <w:sz w:val="22"/>
      </w:rPr>
    </w:pPr>
    <w:r>
      <w:fldChar w:fldCharType="begin"/>
    </w:r>
    <w:r>
      <w:instrText xml:space="preserve"> REF _Ref459380860 \r \h </w:instrText>
    </w:r>
    <w:r>
      <w:fldChar w:fldCharType="separate"/>
    </w:r>
    <w:r>
      <w:t>2</w:t>
    </w:r>
    <w:r>
      <w:fldChar w:fldCharType="end"/>
    </w:r>
    <w:r w:rsidR="00222B22">
      <w:tab/>
    </w:r>
    <w:r w:rsidR="00222B22">
      <w:tab/>
    </w:r>
    <w:r w:rsidR="00222B22">
      <w:tab/>
      <w:t>EVALUATION METHODS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4FED" w14:textId="77777777" w:rsidR="00222B22" w:rsidRPr="00222B22" w:rsidRDefault="00222B22" w:rsidP="00222B22">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6121" w14:textId="1B7506A2" w:rsidR="00222B22" w:rsidRPr="00A90145" w:rsidRDefault="00222B22" w:rsidP="006A196F">
    <w:pPr>
      <w:pStyle w:val="Header"/>
      <w:tabs>
        <w:tab w:val="left" w:pos="720"/>
      </w:tabs>
      <w:rPr>
        <w:b/>
        <w:color w:val="0070CD"/>
        <w:sz w:val="22"/>
      </w:rPr>
    </w:pPr>
    <w:r>
      <w:t>3</w:t>
    </w:r>
    <w:r>
      <w:tab/>
    </w:r>
    <w:r>
      <w:tab/>
    </w:r>
    <w:r>
      <w:tab/>
      <w:t>EVALUATION RESULTS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BA41B" w14:textId="77777777" w:rsidR="00222B22" w:rsidRPr="00222B22" w:rsidRDefault="00222B22" w:rsidP="00222B22">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2222" w14:textId="3EE36890" w:rsidR="00222B22" w:rsidRPr="00222B22" w:rsidRDefault="00222B22" w:rsidP="00222B22">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5CF5D" w14:textId="77777777" w:rsidR="00222B22" w:rsidRDefault="00222B22" w:rsidP="009B66D0">
    <w:pPr>
      <w:spacing w:after="0" w:line="240" w:lineRule="auto"/>
      <w:ind w:lef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50F"/>
    <w:multiLevelType w:val="hybridMultilevel"/>
    <w:tmpl w:val="44B2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A593E"/>
    <w:multiLevelType w:val="hybridMultilevel"/>
    <w:tmpl w:val="675482AC"/>
    <w:lvl w:ilvl="0" w:tplc="A03228A8">
      <w:start w:val="1"/>
      <w:numFmt w:val="bullet"/>
      <w:pStyle w:val="Bullets"/>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8B3AF7"/>
    <w:multiLevelType w:val="hybridMultilevel"/>
    <w:tmpl w:val="AD309FB6"/>
    <w:lvl w:ilvl="0" w:tplc="97BED0D0">
      <w:start w:val="1"/>
      <w:numFmt w:val="bullet"/>
      <w:pStyle w:val="List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77A08"/>
    <w:multiLevelType w:val="multilevel"/>
    <w:tmpl w:val="AF140792"/>
    <w:lvl w:ilvl="0">
      <w:start w:val="1"/>
      <w:numFmt w:val="upperLetter"/>
      <w:pStyle w:val="Heading7"/>
      <w:lvlText w:val="Appendix %1"/>
      <w:lvlJc w:val="left"/>
      <w:pPr>
        <w:ind w:left="2070" w:firstLine="0"/>
      </w:pPr>
      <w:rPr>
        <w:rFonts w:cs="Times New Roman"/>
        <w:b/>
        <w:bCs w:val="0"/>
        <w:i w:val="0"/>
        <w:iCs w:val="0"/>
        <w:caps w:val="0"/>
        <w:smallCaps w:val="0"/>
        <w:strike w:val="0"/>
        <w:dstrike w:val="0"/>
        <w:noProof w:val="0"/>
        <w:vanish w:val="0"/>
        <w:color w:val="1673CA"/>
        <w:spacing w:val="0"/>
        <w:kern w:val="0"/>
        <w:position w:val="0"/>
        <w:u w:val="none"/>
        <w:effect w:val="none"/>
        <w:vertAlign w:val="baseline"/>
        <w:em w:val="none"/>
        <w:specVanish w:val="0"/>
      </w:rPr>
    </w:lvl>
    <w:lvl w:ilvl="1">
      <w:start w:val="1"/>
      <w:numFmt w:val="decimal"/>
      <w:pStyle w:val="Heading8"/>
      <w:lvlText w:val="%1.%2"/>
      <w:lvlJc w:val="left"/>
      <w:pPr>
        <w:tabs>
          <w:tab w:val="num" w:pos="1080"/>
        </w:tabs>
        <w:ind w:left="1080" w:hanging="720"/>
      </w:pPr>
      <w:rPr>
        <w:rFonts w:hint="default"/>
        <w:b/>
        <w:bCs w:val="0"/>
        <w:i w:val="0"/>
        <w:iCs w:val="0"/>
        <w:caps w:val="0"/>
        <w:smallCaps w:val="0"/>
        <w:strike w:val="0"/>
        <w:dstrike w:val="0"/>
        <w:noProof w:val="0"/>
        <w:vanish w:val="0"/>
        <w:color w:val="1673CA"/>
        <w:spacing w:val="0"/>
        <w:kern w:val="0"/>
        <w:position w:val="0"/>
        <w:u w:val="none"/>
        <w:vertAlign w:val="baseline"/>
        <w:em w:val="none"/>
      </w:rPr>
    </w:lvl>
    <w:lvl w:ilvl="2">
      <w:start w:val="1"/>
      <w:numFmt w:val="lowerRoman"/>
      <w:lvlText w:val="%3."/>
      <w:lvlJc w:val="right"/>
      <w:pPr>
        <w:ind w:left="4230" w:hanging="180"/>
      </w:pPr>
      <w:rPr>
        <w:rFonts w:hint="default"/>
      </w:rPr>
    </w:lvl>
    <w:lvl w:ilvl="3">
      <w:start w:val="1"/>
      <w:numFmt w:val="decimal"/>
      <w:lvlText w:val="%4."/>
      <w:lvlJc w:val="left"/>
      <w:pPr>
        <w:ind w:left="4950" w:hanging="360"/>
      </w:pPr>
      <w:rPr>
        <w:rFonts w:hint="default"/>
      </w:rPr>
    </w:lvl>
    <w:lvl w:ilvl="4">
      <w:start w:val="1"/>
      <w:numFmt w:val="lowerLetter"/>
      <w:lvlText w:val="%5."/>
      <w:lvlJc w:val="left"/>
      <w:pPr>
        <w:ind w:left="5670" w:hanging="360"/>
      </w:pPr>
      <w:rPr>
        <w:rFonts w:hint="default"/>
      </w:rPr>
    </w:lvl>
    <w:lvl w:ilvl="5">
      <w:start w:val="1"/>
      <w:numFmt w:val="lowerRoman"/>
      <w:lvlText w:val="%6."/>
      <w:lvlJc w:val="right"/>
      <w:pPr>
        <w:ind w:left="6390" w:hanging="180"/>
      </w:pPr>
      <w:rPr>
        <w:rFonts w:hint="default"/>
      </w:rPr>
    </w:lvl>
    <w:lvl w:ilvl="6">
      <w:start w:val="1"/>
      <w:numFmt w:val="decimal"/>
      <w:lvlText w:val="%7."/>
      <w:lvlJc w:val="left"/>
      <w:pPr>
        <w:ind w:left="7110" w:hanging="360"/>
      </w:pPr>
      <w:rPr>
        <w:rFonts w:hint="default"/>
      </w:rPr>
    </w:lvl>
    <w:lvl w:ilvl="7">
      <w:start w:val="1"/>
      <w:numFmt w:val="lowerLetter"/>
      <w:lvlText w:val="%8."/>
      <w:lvlJc w:val="left"/>
      <w:pPr>
        <w:ind w:left="7830" w:hanging="360"/>
      </w:pPr>
      <w:rPr>
        <w:rFonts w:hint="default"/>
      </w:rPr>
    </w:lvl>
    <w:lvl w:ilvl="8">
      <w:start w:val="1"/>
      <w:numFmt w:val="lowerRoman"/>
      <w:lvlText w:val="%9."/>
      <w:lvlJc w:val="right"/>
      <w:pPr>
        <w:ind w:left="8550" w:hanging="180"/>
      </w:pPr>
      <w:rPr>
        <w:rFonts w:hint="default"/>
      </w:rPr>
    </w:lvl>
  </w:abstractNum>
  <w:abstractNum w:abstractNumId="4" w15:restartNumberingAfterBreak="0">
    <w:nsid w:val="19D40F43"/>
    <w:multiLevelType w:val="hybridMultilevel"/>
    <w:tmpl w:val="7BAA9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D97C94"/>
    <w:multiLevelType w:val="multilevel"/>
    <w:tmpl w:val="F4D408A2"/>
    <w:lvl w:ilvl="0">
      <w:start w:val="1"/>
      <w:numFmt w:val="decimal"/>
      <w:pStyle w:val="Mainbody-Outline"/>
      <w:lvlText w:val="%1)"/>
      <w:lvlJc w:val="left"/>
      <w:pPr>
        <w:ind w:left="900" w:hanging="360"/>
      </w:p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6" w15:restartNumberingAfterBreak="0">
    <w:nsid w:val="26373FFC"/>
    <w:multiLevelType w:val="hybridMultilevel"/>
    <w:tmpl w:val="52F26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82D38"/>
    <w:multiLevelType w:val="hybridMultilevel"/>
    <w:tmpl w:val="4F7A94DE"/>
    <w:lvl w:ilvl="0" w:tplc="D5B286F4">
      <w:start w:val="1"/>
      <w:numFmt w:val="bullet"/>
      <w:pStyle w:val="b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2BFB7367"/>
    <w:multiLevelType w:val="hybridMultilevel"/>
    <w:tmpl w:val="0274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22D08"/>
    <w:multiLevelType w:val="hybridMultilevel"/>
    <w:tmpl w:val="914A3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B40A50"/>
    <w:multiLevelType w:val="singleLevel"/>
    <w:tmpl w:val="B850703C"/>
    <w:lvl w:ilvl="0">
      <w:start w:val="5"/>
      <w:numFmt w:val="bullet"/>
      <w:pStyle w:val="m"/>
      <w:lvlText w:val="-"/>
      <w:lvlJc w:val="left"/>
      <w:pPr>
        <w:tabs>
          <w:tab w:val="num" w:pos="1080"/>
        </w:tabs>
        <w:ind w:left="1080" w:hanging="360"/>
      </w:pPr>
      <w:rPr>
        <w:rFonts w:hint="default"/>
      </w:rPr>
    </w:lvl>
  </w:abstractNum>
  <w:abstractNum w:abstractNumId="11" w15:restartNumberingAfterBreak="0">
    <w:nsid w:val="322751A2"/>
    <w:multiLevelType w:val="hybridMultilevel"/>
    <w:tmpl w:val="8F5AF890"/>
    <w:lvl w:ilvl="0" w:tplc="B12ED498">
      <w:start w:val="1"/>
      <w:numFmt w:val="bullet"/>
      <w:pStyle w:val="Bullet1"/>
      <w:lvlText w:val=""/>
      <w:lvlJc w:val="left"/>
      <w:pPr>
        <w:tabs>
          <w:tab w:val="num" w:pos="720"/>
        </w:tabs>
        <w:ind w:left="720" w:hanging="360"/>
      </w:pPr>
      <w:rPr>
        <w:rFonts w:ascii="Symbol" w:hAnsi="Symbol" w:hint="default"/>
        <w:b/>
        <w:i w:val="0"/>
        <w:color w:val="1E8166"/>
        <w:spacing w:val="0"/>
        <w:w w:val="100"/>
        <w:kern w:val="16"/>
        <w:position w:val="0"/>
        <w:sz w:val="20"/>
        <w:szCs w:val="28"/>
      </w:rPr>
    </w:lvl>
    <w:lvl w:ilvl="1" w:tplc="886C2C0E">
      <w:start w:val="1"/>
      <w:numFmt w:val="bullet"/>
      <w:lvlText w:val="o"/>
      <w:lvlJc w:val="left"/>
      <w:pPr>
        <w:tabs>
          <w:tab w:val="num" w:pos="360"/>
        </w:tabs>
        <w:ind w:left="360" w:hanging="360"/>
      </w:pPr>
      <w:rPr>
        <w:rFonts w:ascii="Courier New" w:hAnsi="Courier New" w:cs="Courier New" w:hint="default"/>
      </w:rPr>
    </w:lvl>
    <w:lvl w:ilvl="2" w:tplc="5C128F62" w:tentative="1">
      <w:start w:val="1"/>
      <w:numFmt w:val="bullet"/>
      <w:lvlText w:val=""/>
      <w:lvlJc w:val="left"/>
      <w:pPr>
        <w:tabs>
          <w:tab w:val="num" w:pos="1080"/>
        </w:tabs>
        <w:ind w:left="1080" w:hanging="360"/>
      </w:pPr>
      <w:rPr>
        <w:rFonts w:ascii="Wingdings" w:hAnsi="Wingdings" w:hint="default"/>
      </w:rPr>
    </w:lvl>
    <w:lvl w:ilvl="3" w:tplc="4EE28C62" w:tentative="1">
      <w:start w:val="1"/>
      <w:numFmt w:val="bullet"/>
      <w:lvlText w:val=""/>
      <w:lvlJc w:val="left"/>
      <w:pPr>
        <w:tabs>
          <w:tab w:val="num" w:pos="1800"/>
        </w:tabs>
        <w:ind w:left="1800" w:hanging="360"/>
      </w:pPr>
      <w:rPr>
        <w:rFonts w:ascii="Symbol" w:hAnsi="Symbol" w:hint="default"/>
      </w:rPr>
    </w:lvl>
    <w:lvl w:ilvl="4" w:tplc="EECA5A82" w:tentative="1">
      <w:start w:val="1"/>
      <w:numFmt w:val="bullet"/>
      <w:lvlText w:val="o"/>
      <w:lvlJc w:val="left"/>
      <w:pPr>
        <w:tabs>
          <w:tab w:val="num" w:pos="2520"/>
        </w:tabs>
        <w:ind w:left="2520" w:hanging="360"/>
      </w:pPr>
      <w:rPr>
        <w:rFonts w:ascii="Courier New" w:hAnsi="Courier New" w:cs="Courier New" w:hint="default"/>
      </w:rPr>
    </w:lvl>
    <w:lvl w:ilvl="5" w:tplc="BC08F358" w:tentative="1">
      <w:start w:val="1"/>
      <w:numFmt w:val="bullet"/>
      <w:lvlText w:val=""/>
      <w:lvlJc w:val="left"/>
      <w:pPr>
        <w:tabs>
          <w:tab w:val="num" w:pos="3240"/>
        </w:tabs>
        <w:ind w:left="3240" w:hanging="360"/>
      </w:pPr>
      <w:rPr>
        <w:rFonts w:ascii="Wingdings" w:hAnsi="Wingdings" w:hint="default"/>
      </w:rPr>
    </w:lvl>
    <w:lvl w:ilvl="6" w:tplc="20E40DA6" w:tentative="1">
      <w:start w:val="1"/>
      <w:numFmt w:val="bullet"/>
      <w:lvlText w:val=""/>
      <w:lvlJc w:val="left"/>
      <w:pPr>
        <w:tabs>
          <w:tab w:val="num" w:pos="3960"/>
        </w:tabs>
        <w:ind w:left="3960" w:hanging="360"/>
      </w:pPr>
      <w:rPr>
        <w:rFonts w:ascii="Symbol" w:hAnsi="Symbol" w:hint="default"/>
      </w:rPr>
    </w:lvl>
    <w:lvl w:ilvl="7" w:tplc="F1A61082" w:tentative="1">
      <w:start w:val="1"/>
      <w:numFmt w:val="bullet"/>
      <w:lvlText w:val="o"/>
      <w:lvlJc w:val="left"/>
      <w:pPr>
        <w:tabs>
          <w:tab w:val="num" w:pos="4680"/>
        </w:tabs>
        <w:ind w:left="4680" w:hanging="360"/>
      </w:pPr>
      <w:rPr>
        <w:rFonts w:ascii="Courier New" w:hAnsi="Courier New" w:cs="Courier New" w:hint="default"/>
      </w:rPr>
    </w:lvl>
    <w:lvl w:ilvl="8" w:tplc="94340B1A"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3312005"/>
    <w:multiLevelType w:val="hybridMultilevel"/>
    <w:tmpl w:val="2BD625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CB4B27"/>
    <w:multiLevelType w:val="multilevel"/>
    <w:tmpl w:val="50E84326"/>
    <w:styleLink w:val="QuestionsList"/>
    <w:lvl w:ilvl="0">
      <w:start w:val="1"/>
      <w:numFmt w:val="decimal"/>
      <w:pStyle w:val="Questions"/>
      <w:lvlText w:val="Q%1."/>
      <w:lvlJc w:val="left"/>
      <w:pPr>
        <w:ind w:left="720" w:hanging="720"/>
      </w:pPr>
      <w:rPr>
        <w:rFonts w:hint="default"/>
      </w:rPr>
    </w:lvl>
    <w:lvl w:ilvl="1">
      <w:start w:val="1"/>
      <w:numFmt w:val="none"/>
      <w:pStyle w:val="QuestionsNewLine"/>
      <w:suff w:val="nothing"/>
      <w:lvlText w:val="%2"/>
      <w:lvlJc w:val="left"/>
      <w:pPr>
        <w:ind w:left="0" w:firstLine="0"/>
      </w:pPr>
      <w:rPr>
        <w:rFonts w:hint="default"/>
      </w:rPr>
    </w:lvl>
    <w:lvl w:ilvl="2">
      <w:start w:val="1"/>
      <w:numFmt w:val="decimal"/>
      <w:lvlRestart w:val="1"/>
      <w:pStyle w:val="ResponseOption"/>
      <w:lvlText w:val="%3."/>
      <w:lvlJc w:val="left"/>
      <w:pPr>
        <w:tabs>
          <w:tab w:val="num" w:pos="360"/>
        </w:tabs>
        <w:ind w:left="1080" w:hanging="720"/>
      </w:pPr>
      <w:rPr>
        <w:rFonts w:hint="default"/>
      </w:rPr>
    </w:lvl>
    <w:lvl w:ilvl="3">
      <w:start w:val="96"/>
      <w:numFmt w:val="decimal"/>
      <w:lvlRestart w:val="1"/>
      <w:pStyle w:val="ResponseOption-96"/>
      <w:lvlText w:val="-%4."/>
      <w:lvlJc w:val="left"/>
      <w:pPr>
        <w:ind w:left="1080" w:hanging="720"/>
      </w:pPr>
      <w:rPr>
        <w:rFonts w:hint="default"/>
      </w:rPr>
    </w:lvl>
    <w:lvl w:ilvl="4">
      <w:start w:val="98"/>
      <w:numFmt w:val="decimal"/>
      <w:lvlRestart w:val="1"/>
      <w:pStyle w:val="ResponseOption-98"/>
      <w:lvlText w:val="-%5."/>
      <w:lvlJc w:val="left"/>
      <w:pPr>
        <w:tabs>
          <w:tab w:val="num" w:pos="360"/>
        </w:tabs>
        <w:ind w:left="1080" w:hanging="720"/>
      </w:pPr>
      <w:rPr>
        <w:rFonts w:hint="default"/>
      </w:rPr>
    </w:lvl>
    <w:lvl w:ilvl="5">
      <w:start w:val="1"/>
      <w:numFmt w:val="decimal"/>
      <w:lvlRestart w:val="0"/>
      <w:pStyle w:val="QScreening"/>
      <w:lvlText w:val="S%6."/>
      <w:lvlJc w:val="left"/>
      <w:pPr>
        <w:ind w:left="720" w:hanging="720"/>
      </w:pPr>
      <w:rPr>
        <w:rFonts w:hint="default"/>
      </w:rPr>
    </w:lvl>
    <w:lvl w:ilvl="6">
      <w:start w:val="1"/>
      <w:numFmt w:val="none"/>
      <w:lvlRestart w:val="0"/>
      <w:pStyle w:val="QResponse"/>
      <w:lvlText w:val="%7"/>
      <w:lvlJc w:val="left"/>
      <w:pPr>
        <w:ind w:left="720" w:hanging="72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36DE1A09"/>
    <w:multiLevelType w:val="hybridMultilevel"/>
    <w:tmpl w:val="E2A2F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F55A5"/>
    <w:multiLevelType w:val="hybridMultilevel"/>
    <w:tmpl w:val="E06A0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9760D"/>
    <w:multiLevelType w:val="hybridMultilevel"/>
    <w:tmpl w:val="54C6A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663AF"/>
    <w:multiLevelType w:val="multilevel"/>
    <w:tmpl w:val="ABE88C80"/>
    <w:lvl w:ilvl="0">
      <w:start w:val="1"/>
      <w:numFmt w:val="decimal"/>
      <w:pStyle w:val="Heading1"/>
      <w:lvlText w:val="%1"/>
      <w:lvlJc w:val="left"/>
      <w:pPr>
        <w:tabs>
          <w:tab w:val="num" w:pos="1440"/>
        </w:tabs>
        <w:ind w:left="360" w:hanging="360"/>
      </w:pPr>
      <w:rPr>
        <w:rFonts w:ascii="Arial" w:hAnsi="Arial" w:cs="Arial" w:hint="default"/>
        <w:b/>
        <w:bCs w:val="0"/>
        <w:i w:val="0"/>
        <w:iCs w:val="0"/>
        <w:caps w:val="0"/>
        <w:smallCaps w:val="0"/>
        <w:strike w:val="0"/>
        <w:dstrike w:val="0"/>
        <w:noProof w:val="0"/>
        <w:snapToGrid w:val="0"/>
        <w:vanish w:val="0"/>
        <w:color w:val="1673CA"/>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4590"/>
        </w:tabs>
        <w:ind w:left="-5310" w:firstLine="0"/>
      </w:pPr>
    </w:lvl>
    <w:lvl w:ilvl="2">
      <w:start w:val="1"/>
      <w:numFmt w:val="decimal"/>
      <w:pStyle w:val="Heading3"/>
      <w:lvlText w:val="%1.%2.%3"/>
      <w:lvlJc w:val="left"/>
      <w:pPr>
        <w:tabs>
          <w:tab w:val="num" w:pos="-5400"/>
        </w:tabs>
        <w:ind w:left="-5400" w:hanging="720"/>
      </w:pPr>
    </w:lvl>
    <w:lvl w:ilvl="3">
      <w:start w:val="1"/>
      <w:numFmt w:val="decimal"/>
      <w:pStyle w:val="Heading4"/>
      <w:lvlText w:val="%1.%2.%3.%4"/>
      <w:lvlJc w:val="left"/>
      <w:pPr>
        <w:tabs>
          <w:tab w:val="num" w:pos="-5040"/>
        </w:tabs>
        <w:ind w:left="-612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3888" w:hanging="792"/>
      </w:pPr>
    </w:lvl>
    <w:lvl w:ilvl="5">
      <w:start w:val="1"/>
      <w:numFmt w:val="decimal"/>
      <w:lvlText w:val="%1.%2.%3.%4.%5.%6."/>
      <w:lvlJc w:val="left"/>
      <w:pPr>
        <w:tabs>
          <w:tab w:val="num" w:pos="-3240"/>
        </w:tabs>
        <w:ind w:left="-3384" w:hanging="936"/>
      </w:pPr>
    </w:lvl>
    <w:lvl w:ilvl="6">
      <w:start w:val="1"/>
      <w:numFmt w:val="decimal"/>
      <w:lvlText w:val="%1.%2.%3.%4.%5.%6.%7."/>
      <w:lvlJc w:val="left"/>
      <w:pPr>
        <w:tabs>
          <w:tab w:val="num" w:pos="-2520"/>
        </w:tabs>
        <w:ind w:left="-2880" w:hanging="1080"/>
      </w:pPr>
    </w:lvl>
    <w:lvl w:ilvl="7">
      <w:start w:val="1"/>
      <w:numFmt w:val="decimal"/>
      <w:lvlText w:val="%1.%2.%3.%4.%5.%6.%7.%8."/>
      <w:lvlJc w:val="left"/>
      <w:pPr>
        <w:tabs>
          <w:tab w:val="num" w:pos="-2160"/>
        </w:tabs>
        <w:ind w:left="-2376" w:hanging="1224"/>
      </w:pPr>
    </w:lvl>
    <w:lvl w:ilvl="8">
      <w:start w:val="1"/>
      <w:numFmt w:val="decimal"/>
      <w:lvlText w:val="%1.%2.%3.%4.%5.%6.%7.%8.%9."/>
      <w:lvlJc w:val="left"/>
      <w:pPr>
        <w:tabs>
          <w:tab w:val="num" w:pos="-1440"/>
        </w:tabs>
        <w:ind w:left="-1800" w:hanging="1440"/>
      </w:pPr>
    </w:lvl>
  </w:abstractNum>
  <w:abstractNum w:abstractNumId="18" w15:restartNumberingAfterBreak="0">
    <w:nsid w:val="52293011"/>
    <w:multiLevelType w:val="hybridMultilevel"/>
    <w:tmpl w:val="F45E6010"/>
    <w:lvl w:ilvl="0" w:tplc="AFE2F3D8">
      <w:start w:val="1"/>
      <w:numFmt w:val="bullet"/>
      <w:pStyle w:val="Table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2442E"/>
    <w:multiLevelType w:val="hybridMultilevel"/>
    <w:tmpl w:val="A9D4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46FBB"/>
    <w:multiLevelType w:val="hybridMultilevel"/>
    <w:tmpl w:val="2FF4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52067"/>
    <w:multiLevelType w:val="multilevel"/>
    <w:tmpl w:val="02D4F74C"/>
    <w:styleLink w:val="n"/>
    <w:lvl w:ilvl="0">
      <w:start w:val="1"/>
      <w:numFmt w:val="none"/>
      <w:suff w:val="nothing"/>
      <w:lvlText w:val=""/>
      <w:lvlJc w:val="left"/>
      <w:pPr>
        <w:ind w:left="360" w:firstLine="0"/>
      </w:pPr>
      <w:rPr>
        <w:rFonts w:asciiTheme="minorHAnsi" w:hAnsiTheme="minorHAnsi" w:hint="default"/>
        <w:sz w:val="22"/>
      </w:rPr>
    </w:lvl>
    <w:lvl w:ilvl="1">
      <w:start w:val="1"/>
      <w:numFmt w:val="decimal"/>
      <w:lvlText w:val="%2"/>
      <w:lvlJc w:val="left"/>
      <w:pPr>
        <w:ind w:left="108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5A007515"/>
    <w:multiLevelType w:val="hybridMultilevel"/>
    <w:tmpl w:val="BFBAC612"/>
    <w:lvl w:ilvl="0" w:tplc="42D0818C">
      <w:start w:val="1"/>
      <w:numFmt w:val="bullet"/>
      <w:pStyle w:val="Mainbody-BulletsOu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084191"/>
    <w:multiLevelType w:val="hybridMultilevel"/>
    <w:tmpl w:val="3912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519CD"/>
    <w:multiLevelType w:val="hybridMultilevel"/>
    <w:tmpl w:val="0618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31E5A"/>
    <w:multiLevelType w:val="hybridMultilevel"/>
    <w:tmpl w:val="2F02B418"/>
    <w:styleLink w:val="Questions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6772E"/>
    <w:multiLevelType w:val="hybridMultilevel"/>
    <w:tmpl w:val="9488A668"/>
    <w:lvl w:ilvl="0" w:tplc="0409000F">
      <w:start w:val="1"/>
      <w:numFmt w:val="decimal"/>
      <w:pStyle w:val="TableNumbers"/>
      <w:lvlText w:val="%1."/>
      <w:lvlJc w:val="left"/>
      <w:pPr>
        <w:tabs>
          <w:tab w:val="num" w:pos="360"/>
        </w:tabs>
        <w:ind w:left="360" w:hanging="288"/>
      </w:pPr>
      <w:rPr>
        <w:rFonts w:hint="default"/>
      </w:rPr>
    </w:lvl>
    <w:lvl w:ilvl="1" w:tplc="EEB8D1D4" w:tentative="1">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7" w15:restartNumberingAfterBreak="0">
    <w:nsid w:val="6EF5060F"/>
    <w:multiLevelType w:val="hybridMultilevel"/>
    <w:tmpl w:val="239EE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29435F"/>
    <w:multiLevelType w:val="hybridMultilevel"/>
    <w:tmpl w:val="B412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7B7CCA"/>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9263A1"/>
    <w:multiLevelType w:val="hybridMultilevel"/>
    <w:tmpl w:val="AF5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B62DF"/>
    <w:multiLevelType w:val="hybridMultilevel"/>
    <w:tmpl w:val="B0C0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2378E"/>
    <w:multiLevelType w:val="hybridMultilevel"/>
    <w:tmpl w:val="F37C6300"/>
    <w:lvl w:ilvl="0" w:tplc="71A8B700">
      <w:start w:val="1"/>
      <w:numFmt w:val="bullet"/>
      <w:pStyle w:val="Mainbody-Bullets"/>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32"/>
  </w:num>
  <w:num w:numId="5">
    <w:abstractNumId w:val="5"/>
  </w:num>
  <w:num w:numId="6">
    <w:abstractNumId w:val="18"/>
  </w:num>
  <w:num w:numId="7">
    <w:abstractNumId w:val="1"/>
  </w:num>
  <w:num w:numId="8">
    <w:abstractNumId w:val="25"/>
  </w:num>
  <w:num w:numId="9">
    <w:abstractNumId w:val="13"/>
  </w:num>
  <w:num w:numId="10">
    <w:abstractNumId w:val="22"/>
  </w:num>
  <w:num w:numId="11">
    <w:abstractNumId w:val="29"/>
  </w:num>
  <w:num w:numId="12">
    <w:abstractNumId w:val="7"/>
  </w:num>
  <w:num w:numId="13">
    <w:abstractNumId w:val="10"/>
  </w:num>
  <w:num w:numId="14">
    <w:abstractNumId w:val="2"/>
  </w:num>
  <w:num w:numId="15">
    <w:abstractNumId w:val="11"/>
  </w:num>
  <w:num w:numId="16">
    <w:abstractNumId w:val="6"/>
  </w:num>
  <w:num w:numId="17">
    <w:abstractNumId w:val="19"/>
  </w:num>
  <w:num w:numId="18">
    <w:abstractNumId w:val="12"/>
  </w:num>
  <w:num w:numId="19">
    <w:abstractNumId w:val="4"/>
  </w:num>
  <w:num w:numId="20">
    <w:abstractNumId w:val="27"/>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6"/>
  </w:num>
  <w:num w:numId="25">
    <w:abstractNumId w:val="20"/>
  </w:num>
  <w:num w:numId="26">
    <w:abstractNumId w:val="17"/>
  </w:num>
  <w:num w:numId="27">
    <w:abstractNumId w:val="24"/>
  </w:num>
  <w:num w:numId="28">
    <w:abstractNumId w:val="26"/>
  </w:num>
  <w:num w:numId="29">
    <w:abstractNumId w:val="30"/>
  </w:num>
  <w:num w:numId="30">
    <w:abstractNumId w:val="0"/>
  </w:num>
  <w:num w:numId="31">
    <w:abstractNumId w:val="31"/>
  </w:num>
  <w:num w:numId="32">
    <w:abstractNumId w:val="15"/>
  </w:num>
  <w:num w:numId="33">
    <w:abstractNumId w:val="17"/>
  </w:num>
  <w:num w:numId="34">
    <w:abstractNumId w:val="17"/>
  </w:num>
  <w:num w:numId="35">
    <w:abstractNumId w:val="14"/>
  </w:num>
  <w:num w:numId="36">
    <w:abstractNumId w:val="23"/>
  </w:num>
  <w:num w:numId="37">
    <w:abstractNumId w:val="17"/>
  </w:num>
  <w:num w:numId="38">
    <w:abstractNumId w:val="17"/>
  </w:num>
  <w:num w:numId="39">
    <w:abstractNumId w:val="17"/>
  </w:num>
  <w:num w:numId="40">
    <w:abstractNumId w:val="28"/>
  </w:num>
  <w:num w:numId="4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B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1"/>
  <w:stylePaneSortMethod w:val="0000"/>
  <w:doNotTrackFormatting/>
  <w:defaultTabStop w:val="720"/>
  <w:doNotHyphenateCaps/>
  <w:drawingGridHorizontalSpacing w:val="115"/>
  <w:drawingGridVerticalSpacing w:val="187"/>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 w:id="1"/>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EF"/>
    <w:rsid w:val="00001F5E"/>
    <w:rsid w:val="00002CDF"/>
    <w:rsid w:val="00003EEC"/>
    <w:rsid w:val="00006602"/>
    <w:rsid w:val="000117BE"/>
    <w:rsid w:val="000120CF"/>
    <w:rsid w:val="0001459F"/>
    <w:rsid w:val="00014B28"/>
    <w:rsid w:val="0001509A"/>
    <w:rsid w:val="00015B3F"/>
    <w:rsid w:val="00015BB5"/>
    <w:rsid w:val="000176EA"/>
    <w:rsid w:val="00017A15"/>
    <w:rsid w:val="00020870"/>
    <w:rsid w:val="000243C9"/>
    <w:rsid w:val="00024F24"/>
    <w:rsid w:val="00025639"/>
    <w:rsid w:val="000268D0"/>
    <w:rsid w:val="00026B71"/>
    <w:rsid w:val="00027DC0"/>
    <w:rsid w:val="0003027C"/>
    <w:rsid w:val="00030A36"/>
    <w:rsid w:val="00030B78"/>
    <w:rsid w:val="000312A3"/>
    <w:rsid w:val="000320C3"/>
    <w:rsid w:val="00032204"/>
    <w:rsid w:val="00032B04"/>
    <w:rsid w:val="00033745"/>
    <w:rsid w:val="00033B6A"/>
    <w:rsid w:val="00033E08"/>
    <w:rsid w:val="00034231"/>
    <w:rsid w:val="000352B3"/>
    <w:rsid w:val="00035376"/>
    <w:rsid w:val="000355F5"/>
    <w:rsid w:val="0004027D"/>
    <w:rsid w:val="00041572"/>
    <w:rsid w:val="00041B06"/>
    <w:rsid w:val="00042C5F"/>
    <w:rsid w:val="000432D0"/>
    <w:rsid w:val="000432F6"/>
    <w:rsid w:val="00045245"/>
    <w:rsid w:val="000511CA"/>
    <w:rsid w:val="00053515"/>
    <w:rsid w:val="00053C02"/>
    <w:rsid w:val="00057566"/>
    <w:rsid w:val="00060B94"/>
    <w:rsid w:val="0006127B"/>
    <w:rsid w:val="000615CB"/>
    <w:rsid w:val="00062BEC"/>
    <w:rsid w:val="00063B0E"/>
    <w:rsid w:val="000649DE"/>
    <w:rsid w:val="00067FA7"/>
    <w:rsid w:val="00070691"/>
    <w:rsid w:val="00070E62"/>
    <w:rsid w:val="0007193C"/>
    <w:rsid w:val="00071A54"/>
    <w:rsid w:val="000735C0"/>
    <w:rsid w:val="00073758"/>
    <w:rsid w:val="000751EB"/>
    <w:rsid w:val="0007636B"/>
    <w:rsid w:val="00076E85"/>
    <w:rsid w:val="000771C3"/>
    <w:rsid w:val="00080134"/>
    <w:rsid w:val="00080FB3"/>
    <w:rsid w:val="000811D1"/>
    <w:rsid w:val="00081768"/>
    <w:rsid w:val="00082A46"/>
    <w:rsid w:val="00083132"/>
    <w:rsid w:val="00083648"/>
    <w:rsid w:val="00085987"/>
    <w:rsid w:val="000912D8"/>
    <w:rsid w:val="000916F1"/>
    <w:rsid w:val="000917CC"/>
    <w:rsid w:val="00093ACF"/>
    <w:rsid w:val="0009417E"/>
    <w:rsid w:val="000A2279"/>
    <w:rsid w:val="000A5FD9"/>
    <w:rsid w:val="000A7A33"/>
    <w:rsid w:val="000B1498"/>
    <w:rsid w:val="000B16A2"/>
    <w:rsid w:val="000B42F5"/>
    <w:rsid w:val="000B6078"/>
    <w:rsid w:val="000B72DC"/>
    <w:rsid w:val="000C12D3"/>
    <w:rsid w:val="000C4D0B"/>
    <w:rsid w:val="000D0021"/>
    <w:rsid w:val="000D0194"/>
    <w:rsid w:val="000D3C62"/>
    <w:rsid w:val="000D4E0A"/>
    <w:rsid w:val="000D620B"/>
    <w:rsid w:val="000E006D"/>
    <w:rsid w:val="000E208F"/>
    <w:rsid w:val="000E3327"/>
    <w:rsid w:val="000E3742"/>
    <w:rsid w:val="000F0580"/>
    <w:rsid w:val="000F1001"/>
    <w:rsid w:val="000F3E07"/>
    <w:rsid w:val="000F4073"/>
    <w:rsid w:val="000F4853"/>
    <w:rsid w:val="000F677E"/>
    <w:rsid w:val="0010036C"/>
    <w:rsid w:val="00101346"/>
    <w:rsid w:val="00101A2C"/>
    <w:rsid w:val="00101E99"/>
    <w:rsid w:val="00106CBE"/>
    <w:rsid w:val="00107BE5"/>
    <w:rsid w:val="0011228F"/>
    <w:rsid w:val="00112516"/>
    <w:rsid w:val="00113560"/>
    <w:rsid w:val="00114E7B"/>
    <w:rsid w:val="001175A4"/>
    <w:rsid w:val="00117BA7"/>
    <w:rsid w:val="00121B1A"/>
    <w:rsid w:val="00123BC6"/>
    <w:rsid w:val="00124770"/>
    <w:rsid w:val="001279D0"/>
    <w:rsid w:val="00127E7C"/>
    <w:rsid w:val="00130180"/>
    <w:rsid w:val="00130801"/>
    <w:rsid w:val="00130DDA"/>
    <w:rsid w:val="00130EE4"/>
    <w:rsid w:val="001322BA"/>
    <w:rsid w:val="00132F6B"/>
    <w:rsid w:val="00134ADE"/>
    <w:rsid w:val="00134F7F"/>
    <w:rsid w:val="00137355"/>
    <w:rsid w:val="0013775D"/>
    <w:rsid w:val="00142B86"/>
    <w:rsid w:val="00143528"/>
    <w:rsid w:val="00144C04"/>
    <w:rsid w:val="00146189"/>
    <w:rsid w:val="00146723"/>
    <w:rsid w:val="00150AC7"/>
    <w:rsid w:val="001510E0"/>
    <w:rsid w:val="00151F14"/>
    <w:rsid w:val="001538F8"/>
    <w:rsid w:val="00153DCC"/>
    <w:rsid w:val="0015555D"/>
    <w:rsid w:val="001576F5"/>
    <w:rsid w:val="00157761"/>
    <w:rsid w:val="00160634"/>
    <w:rsid w:val="001677EF"/>
    <w:rsid w:val="00167810"/>
    <w:rsid w:val="001715C5"/>
    <w:rsid w:val="001751DD"/>
    <w:rsid w:val="00175604"/>
    <w:rsid w:val="00180A4C"/>
    <w:rsid w:val="00180E9F"/>
    <w:rsid w:val="00181975"/>
    <w:rsid w:val="00181CA6"/>
    <w:rsid w:val="001829D7"/>
    <w:rsid w:val="00182FB0"/>
    <w:rsid w:val="00183560"/>
    <w:rsid w:val="00183AB1"/>
    <w:rsid w:val="00191A5F"/>
    <w:rsid w:val="00191AC0"/>
    <w:rsid w:val="00192E70"/>
    <w:rsid w:val="0019424E"/>
    <w:rsid w:val="00195E02"/>
    <w:rsid w:val="001A0254"/>
    <w:rsid w:val="001A0305"/>
    <w:rsid w:val="001A0309"/>
    <w:rsid w:val="001A21C8"/>
    <w:rsid w:val="001A5A51"/>
    <w:rsid w:val="001A5CED"/>
    <w:rsid w:val="001B01F3"/>
    <w:rsid w:val="001B119B"/>
    <w:rsid w:val="001B1E77"/>
    <w:rsid w:val="001B3D4B"/>
    <w:rsid w:val="001B62BE"/>
    <w:rsid w:val="001B6602"/>
    <w:rsid w:val="001B7E62"/>
    <w:rsid w:val="001C1798"/>
    <w:rsid w:val="001C1997"/>
    <w:rsid w:val="001C1AE2"/>
    <w:rsid w:val="001C4469"/>
    <w:rsid w:val="001C4692"/>
    <w:rsid w:val="001C521E"/>
    <w:rsid w:val="001C61F6"/>
    <w:rsid w:val="001C6781"/>
    <w:rsid w:val="001D1DC5"/>
    <w:rsid w:val="001D1F43"/>
    <w:rsid w:val="001D28F5"/>
    <w:rsid w:val="001D361B"/>
    <w:rsid w:val="001D4C59"/>
    <w:rsid w:val="001D57F3"/>
    <w:rsid w:val="001E1E61"/>
    <w:rsid w:val="001E3210"/>
    <w:rsid w:val="001E390D"/>
    <w:rsid w:val="001E3C20"/>
    <w:rsid w:val="001E52EA"/>
    <w:rsid w:val="001F0A00"/>
    <w:rsid w:val="001F1DD2"/>
    <w:rsid w:val="001F2A51"/>
    <w:rsid w:val="001F4079"/>
    <w:rsid w:val="001F4256"/>
    <w:rsid w:val="001F5496"/>
    <w:rsid w:val="001F6AFE"/>
    <w:rsid w:val="00200B6A"/>
    <w:rsid w:val="00201606"/>
    <w:rsid w:val="002019E5"/>
    <w:rsid w:val="00204F70"/>
    <w:rsid w:val="002055BB"/>
    <w:rsid w:val="002055F6"/>
    <w:rsid w:val="00205FD5"/>
    <w:rsid w:val="002127DD"/>
    <w:rsid w:val="00214ED3"/>
    <w:rsid w:val="00217420"/>
    <w:rsid w:val="002175DA"/>
    <w:rsid w:val="0022146E"/>
    <w:rsid w:val="00222B22"/>
    <w:rsid w:val="00225356"/>
    <w:rsid w:val="00225C39"/>
    <w:rsid w:val="00226F82"/>
    <w:rsid w:val="00231EFE"/>
    <w:rsid w:val="00232C89"/>
    <w:rsid w:val="002334BF"/>
    <w:rsid w:val="002338A1"/>
    <w:rsid w:val="00233D7B"/>
    <w:rsid w:val="0023536F"/>
    <w:rsid w:val="00236CDF"/>
    <w:rsid w:val="0023732B"/>
    <w:rsid w:val="00240855"/>
    <w:rsid w:val="002434B7"/>
    <w:rsid w:val="0024387F"/>
    <w:rsid w:val="002456D8"/>
    <w:rsid w:val="00246714"/>
    <w:rsid w:val="002507FB"/>
    <w:rsid w:val="00250E90"/>
    <w:rsid w:val="00251C44"/>
    <w:rsid w:val="0025385E"/>
    <w:rsid w:val="0025461A"/>
    <w:rsid w:val="002546CB"/>
    <w:rsid w:val="00257FEB"/>
    <w:rsid w:val="0026622B"/>
    <w:rsid w:val="00266511"/>
    <w:rsid w:val="00266B8B"/>
    <w:rsid w:val="00266EB9"/>
    <w:rsid w:val="00267263"/>
    <w:rsid w:val="00267795"/>
    <w:rsid w:val="002711CF"/>
    <w:rsid w:val="00273FB7"/>
    <w:rsid w:val="00276DE6"/>
    <w:rsid w:val="00280612"/>
    <w:rsid w:val="00280EE8"/>
    <w:rsid w:val="0028263A"/>
    <w:rsid w:val="00282AFB"/>
    <w:rsid w:val="0028447F"/>
    <w:rsid w:val="00284818"/>
    <w:rsid w:val="0028526D"/>
    <w:rsid w:val="002862BE"/>
    <w:rsid w:val="00287D2D"/>
    <w:rsid w:val="00291444"/>
    <w:rsid w:val="00294DD8"/>
    <w:rsid w:val="00296DD7"/>
    <w:rsid w:val="002A0EC6"/>
    <w:rsid w:val="002A1E98"/>
    <w:rsid w:val="002A2816"/>
    <w:rsid w:val="002A2C30"/>
    <w:rsid w:val="002A446F"/>
    <w:rsid w:val="002B0EE5"/>
    <w:rsid w:val="002B4E8B"/>
    <w:rsid w:val="002B568A"/>
    <w:rsid w:val="002C029C"/>
    <w:rsid w:val="002C08BE"/>
    <w:rsid w:val="002C1B44"/>
    <w:rsid w:val="002C1B69"/>
    <w:rsid w:val="002C5343"/>
    <w:rsid w:val="002C6148"/>
    <w:rsid w:val="002D21D4"/>
    <w:rsid w:val="002D3782"/>
    <w:rsid w:val="002D5D6A"/>
    <w:rsid w:val="002D649B"/>
    <w:rsid w:val="002D77B1"/>
    <w:rsid w:val="002E083C"/>
    <w:rsid w:val="002E28D9"/>
    <w:rsid w:val="002E2E6A"/>
    <w:rsid w:val="002E5BE6"/>
    <w:rsid w:val="002E78B1"/>
    <w:rsid w:val="002F36C1"/>
    <w:rsid w:val="002F3A4C"/>
    <w:rsid w:val="00303044"/>
    <w:rsid w:val="00303494"/>
    <w:rsid w:val="00305F77"/>
    <w:rsid w:val="00306094"/>
    <w:rsid w:val="00306470"/>
    <w:rsid w:val="003079DB"/>
    <w:rsid w:val="003105A1"/>
    <w:rsid w:val="003133AF"/>
    <w:rsid w:val="00314338"/>
    <w:rsid w:val="00314B98"/>
    <w:rsid w:val="00317A9D"/>
    <w:rsid w:val="003239A3"/>
    <w:rsid w:val="003253FD"/>
    <w:rsid w:val="00330B05"/>
    <w:rsid w:val="00331ECC"/>
    <w:rsid w:val="00333CD6"/>
    <w:rsid w:val="0033421C"/>
    <w:rsid w:val="003413B1"/>
    <w:rsid w:val="00341B94"/>
    <w:rsid w:val="00342BEE"/>
    <w:rsid w:val="00342C78"/>
    <w:rsid w:val="00343A0B"/>
    <w:rsid w:val="003444BE"/>
    <w:rsid w:val="00346393"/>
    <w:rsid w:val="00346757"/>
    <w:rsid w:val="003470BE"/>
    <w:rsid w:val="00347E1A"/>
    <w:rsid w:val="00350D66"/>
    <w:rsid w:val="003521C2"/>
    <w:rsid w:val="00354A56"/>
    <w:rsid w:val="00357EAB"/>
    <w:rsid w:val="0036004E"/>
    <w:rsid w:val="00362EB0"/>
    <w:rsid w:val="003634B7"/>
    <w:rsid w:val="0036391C"/>
    <w:rsid w:val="00367B89"/>
    <w:rsid w:val="00372973"/>
    <w:rsid w:val="00372BCE"/>
    <w:rsid w:val="00373646"/>
    <w:rsid w:val="003738A0"/>
    <w:rsid w:val="003748D5"/>
    <w:rsid w:val="00376D8D"/>
    <w:rsid w:val="00377E03"/>
    <w:rsid w:val="003808AC"/>
    <w:rsid w:val="00380AE4"/>
    <w:rsid w:val="003819E8"/>
    <w:rsid w:val="00384261"/>
    <w:rsid w:val="003843B8"/>
    <w:rsid w:val="00385B4D"/>
    <w:rsid w:val="00386095"/>
    <w:rsid w:val="00386650"/>
    <w:rsid w:val="00386E8D"/>
    <w:rsid w:val="00387D00"/>
    <w:rsid w:val="00390F5C"/>
    <w:rsid w:val="003919B8"/>
    <w:rsid w:val="0039263C"/>
    <w:rsid w:val="00392D0E"/>
    <w:rsid w:val="00392D65"/>
    <w:rsid w:val="00393247"/>
    <w:rsid w:val="0039490F"/>
    <w:rsid w:val="00394F0D"/>
    <w:rsid w:val="00395033"/>
    <w:rsid w:val="0039588A"/>
    <w:rsid w:val="003A0830"/>
    <w:rsid w:val="003A0BF5"/>
    <w:rsid w:val="003A1049"/>
    <w:rsid w:val="003A1788"/>
    <w:rsid w:val="003A1C19"/>
    <w:rsid w:val="003A237E"/>
    <w:rsid w:val="003A35DE"/>
    <w:rsid w:val="003A37C9"/>
    <w:rsid w:val="003A7FA8"/>
    <w:rsid w:val="003B172C"/>
    <w:rsid w:val="003B30EC"/>
    <w:rsid w:val="003B59D1"/>
    <w:rsid w:val="003C1EC9"/>
    <w:rsid w:val="003C3890"/>
    <w:rsid w:val="003D1A6F"/>
    <w:rsid w:val="003D2173"/>
    <w:rsid w:val="003D49B5"/>
    <w:rsid w:val="003D66E8"/>
    <w:rsid w:val="003E1EA6"/>
    <w:rsid w:val="003E205C"/>
    <w:rsid w:val="003E24ED"/>
    <w:rsid w:val="003E2D1A"/>
    <w:rsid w:val="003E2FE2"/>
    <w:rsid w:val="003E5927"/>
    <w:rsid w:val="003E5977"/>
    <w:rsid w:val="003E6BA9"/>
    <w:rsid w:val="003E7613"/>
    <w:rsid w:val="003F1E36"/>
    <w:rsid w:val="003F760B"/>
    <w:rsid w:val="00401174"/>
    <w:rsid w:val="0040268C"/>
    <w:rsid w:val="00403084"/>
    <w:rsid w:val="004031EF"/>
    <w:rsid w:val="004032A0"/>
    <w:rsid w:val="004044D8"/>
    <w:rsid w:val="00405543"/>
    <w:rsid w:val="0040561C"/>
    <w:rsid w:val="004103E6"/>
    <w:rsid w:val="004114DD"/>
    <w:rsid w:val="00415661"/>
    <w:rsid w:val="00415859"/>
    <w:rsid w:val="00415C2D"/>
    <w:rsid w:val="00416A41"/>
    <w:rsid w:val="0042033E"/>
    <w:rsid w:val="00422D03"/>
    <w:rsid w:val="00425442"/>
    <w:rsid w:val="00425948"/>
    <w:rsid w:val="00426315"/>
    <w:rsid w:val="0042792E"/>
    <w:rsid w:val="004300F8"/>
    <w:rsid w:val="004301FA"/>
    <w:rsid w:val="004335CF"/>
    <w:rsid w:val="004335FA"/>
    <w:rsid w:val="0043727C"/>
    <w:rsid w:val="00437FBA"/>
    <w:rsid w:val="00440A2C"/>
    <w:rsid w:val="00443C79"/>
    <w:rsid w:val="0044555B"/>
    <w:rsid w:val="004464AF"/>
    <w:rsid w:val="0044742D"/>
    <w:rsid w:val="00450ABC"/>
    <w:rsid w:val="00452E33"/>
    <w:rsid w:val="00453065"/>
    <w:rsid w:val="00454747"/>
    <w:rsid w:val="00454BAE"/>
    <w:rsid w:val="00456663"/>
    <w:rsid w:val="00457118"/>
    <w:rsid w:val="004574A5"/>
    <w:rsid w:val="00461354"/>
    <w:rsid w:val="00463693"/>
    <w:rsid w:val="004660EE"/>
    <w:rsid w:val="00471582"/>
    <w:rsid w:val="004721E8"/>
    <w:rsid w:val="00473ADA"/>
    <w:rsid w:val="004749CD"/>
    <w:rsid w:val="00474A84"/>
    <w:rsid w:val="00474D43"/>
    <w:rsid w:val="00475AA6"/>
    <w:rsid w:val="004765F3"/>
    <w:rsid w:val="00477934"/>
    <w:rsid w:val="00477CDB"/>
    <w:rsid w:val="00482090"/>
    <w:rsid w:val="00482173"/>
    <w:rsid w:val="00482682"/>
    <w:rsid w:val="0048462F"/>
    <w:rsid w:val="00484EBC"/>
    <w:rsid w:val="00491BF4"/>
    <w:rsid w:val="00493934"/>
    <w:rsid w:val="00497BDA"/>
    <w:rsid w:val="00497C13"/>
    <w:rsid w:val="004A028A"/>
    <w:rsid w:val="004A0863"/>
    <w:rsid w:val="004A47CB"/>
    <w:rsid w:val="004A540B"/>
    <w:rsid w:val="004A60BB"/>
    <w:rsid w:val="004A6296"/>
    <w:rsid w:val="004A7172"/>
    <w:rsid w:val="004B59EE"/>
    <w:rsid w:val="004B6324"/>
    <w:rsid w:val="004B6563"/>
    <w:rsid w:val="004B69C8"/>
    <w:rsid w:val="004B69FD"/>
    <w:rsid w:val="004D02A0"/>
    <w:rsid w:val="004D0AC2"/>
    <w:rsid w:val="004D0D28"/>
    <w:rsid w:val="004D35E6"/>
    <w:rsid w:val="004D6A4B"/>
    <w:rsid w:val="004E1E10"/>
    <w:rsid w:val="004E2563"/>
    <w:rsid w:val="004E3208"/>
    <w:rsid w:val="004E656D"/>
    <w:rsid w:val="004E6E33"/>
    <w:rsid w:val="004E7004"/>
    <w:rsid w:val="004F3D3F"/>
    <w:rsid w:val="004F439E"/>
    <w:rsid w:val="005002B8"/>
    <w:rsid w:val="00501B26"/>
    <w:rsid w:val="00504562"/>
    <w:rsid w:val="005050A1"/>
    <w:rsid w:val="005059B8"/>
    <w:rsid w:val="00511039"/>
    <w:rsid w:val="005112DC"/>
    <w:rsid w:val="005113F7"/>
    <w:rsid w:val="00512934"/>
    <w:rsid w:val="00516092"/>
    <w:rsid w:val="00517161"/>
    <w:rsid w:val="00520C7C"/>
    <w:rsid w:val="005213AC"/>
    <w:rsid w:val="00521F93"/>
    <w:rsid w:val="0052201F"/>
    <w:rsid w:val="0052253F"/>
    <w:rsid w:val="00522785"/>
    <w:rsid w:val="00525C7F"/>
    <w:rsid w:val="005274AE"/>
    <w:rsid w:val="00527C32"/>
    <w:rsid w:val="00530769"/>
    <w:rsid w:val="00530E88"/>
    <w:rsid w:val="00531CB2"/>
    <w:rsid w:val="00533BAF"/>
    <w:rsid w:val="00533CF7"/>
    <w:rsid w:val="0053511D"/>
    <w:rsid w:val="00535AE6"/>
    <w:rsid w:val="00540D00"/>
    <w:rsid w:val="005413F7"/>
    <w:rsid w:val="00543C85"/>
    <w:rsid w:val="00545E35"/>
    <w:rsid w:val="00546527"/>
    <w:rsid w:val="00552E04"/>
    <w:rsid w:val="00553599"/>
    <w:rsid w:val="00553DD4"/>
    <w:rsid w:val="0055470B"/>
    <w:rsid w:val="00554E66"/>
    <w:rsid w:val="005568D6"/>
    <w:rsid w:val="005606F0"/>
    <w:rsid w:val="00561AF5"/>
    <w:rsid w:val="00563EC7"/>
    <w:rsid w:val="00563F92"/>
    <w:rsid w:val="005641EF"/>
    <w:rsid w:val="00565117"/>
    <w:rsid w:val="005652A0"/>
    <w:rsid w:val="00572C9A"/>
    <w:rsid w:val="005735AD"/>
    <w:rsid w:val="0058018A"/>
    <w:rsid w:val="00582A0E"/>
    <w:rsid w:val="00584383"/>
    <w:rsid w:val="005844B4"/>
    <w:rsid w:val="005847E0"/>
    <w:rsid w:val="00584B8E"/>
    <w:rsid w:val="00587771"/>
    <w:rsid w:val="00590CDA"/>
    <w:rsid w:val="0059267E"/>
    <w:rsid w:val="00593143"/>
    <w:rsid w:val="00595C54"/>
    <w:rsid w:val="005A3051"/>
    <w:rsid w:val="005A3347"/>
    <w:rsid w:val="005A390B"/>
    <w:rsid w:val="005A42B1"/>
    <w:rsid w:val="005A4DD6"/>
    <w:rsid w:val="005A7858"/>
    <w:rsid w:val="005B02EC"/>
    <w:rsid w:val="005B36D4"/>
    <w:rsid w:val="005B37B6"/>
    <w:rsid w:val="005B7217"/>
    <w:rsid w:val="005C0EFA"/>
    <w:rsid w:val="005C2220"/>
    <w:rsid w:val="005C3961"/>
    <w:rsid w:val="005C5CB6"/>
    <w:rsid w:val="005D1BBC"/>
    <w:rsid w:val="005D2649"/>
    <w:rsid w:val="005D2935"/>
    <w:rsid w:val="005D2D66"/>
    <w:rsid w:val="005E0C1F"/>
    <w:rsid w:val="005E134C"/>
    <w:rsid w:val="005E6651"/>
    <w:rsid w:val="005E7B8D"/>
    <w:rsid w:val="005F3540"/>
    <w:rsid w:val="005F3B08"/>
    <w:rsid w:val="005F4B44"/>
    <w:rsid w:val="005F5989"/>
    <w:rsid w:val="005F6C3A"/>
    <w:rsid w:val="0060322B"/>
    <w:rsid w:val="006109B3"/>
    <w:rsid w:val="00611539"/>
    <w:rsid w:val="006153C9"/>
    <w:rsid w:val="006167E2"/>
    <w:rsid w:val="00617D8B"/>
    <w:rsid w:val="00620E42"/>
    <w:rsid w:val="0062165D"/>
    <w:rsid w:val="00623928"/>
    <w:rsid w:val="006253EB"/>
    <w:rsid w:val="0062665C"/>
    <w:rsid w:val="006312BE"/>
    <w:rsid w:val="00631F5F"/>
    <w:rsid w:val="00633DAF"/>
    <w:rsid w:val="0063450E"/>
    <w:rsid w:val="00634EA0"/>
    <w:rsid w:val="00636203"/>
    <w:rsid w:val="006376D7"/>
    <w:rsid w:val="00640989"/>
    <w:rsid w:val="00640D1F"/>
    <w:rsid w:val="006464A7"/>
    <w:rsid w:val="006501F2"/>
    <w:rsid w:val="006534A3"/>
    <w:rsid w:val="00654A70"/>
    <w:rsid w:val="00656CBD"/>
    <w:rsid w:val="00663A22"/>
    <w:rsid w:val="00663BF3"/>
    <w:rsid w:val="00665CCB"/>
    <w:rsid w:val="00670760"/>
    <w:rsid w:val="0067158D"/>
    <w:rsid w:val="006732EE"/>
    <w:rsid w:val="006735DA"/>
    <w:rsid w:val="00673CF2"/>
    <w:rsid w:val="006759D8"/>
    <w:rsid w:val="00675C92"/>
    <w:rsid w:val="00680A29"/>
    <w:rsid w:val="00680F41"/>
    <w:rsid w:val="006816C3"/>
    <w:rsid w:val="00681C1A"/>
    <w:rsid w:val="00681F51"/>
    <w:rsid w:val="00682076"/>
    <w:rsid w:val="00683FBD"/>
    <w:rsid w:val="00684491"/>
    <w:rsid w:val="00685456"/>
    <w:rsid w:val="00685979"/>
    <w:rsid w:val="00690432"/>
    <w:rsid w:val="0069132D"/>
    <w:rsid w:val="00694BCE"/>
    <w:rsid w:val="00694C8F"/>
    <w:rsid w:val="00694F3E"/>
    <w:rsid w:val="006967BE"/>
    <w:rsid w:val="00696AE0"/>
    <w:rsid w:val="006A0B99"/>
    <w:rsid w:val="006A196F"/>
    <w:rsid w:val="006A3930"/>
    <w:rsid w:val="006A5F3B"/>
    <w:rsid w:val="006B091E"/>
    <w:rsid w:val="006B1EFB"/>
    <w:rsid w:val="006B3040"/>
    <w:rsid w:val="006B346C"/>
    <w:rsid w:val="006B5D99"/>
    <w:rsid w:val="006B6C2E"/>
    <w:rsid w:val="006C077F"/>
    <w:rsid w:val="006C287E"/>
    <w:rsid w:val="006C28B4"/>
    <w:rsid w:val="006C28E8"/>
    <w:rsid w:val="006C3C1D"/>
    <w:rsid w:val="006C5B6D"/>
    <w:rsid w:val="006C72D9"/>
    <w:rsid w:val="006C7408"/>
    <w:rsid w:val="006C79CF"/>
    <w:rsid w:val="006D13DB"/>
    <w:rsid w:val="006D1DDF"/>
    <w:rsid w:val="006D2949"/>
    <w:rsid w:val="006D2CA6"/>
    <w:rsid w:val="006D37A8"/>
    <w:rsid w:val="006D4B8B"/>
    <w:rsid w:val="006D5BEB"/>
    <w:rsid w:val="006E01B0"/>
    <w:rsid w:val="006E0442"/>
    <w:rsid w:val="006E3134"/>
    <w:rsid w:val="006E6764"/>
    <w:rsid w:val="006E7840"/>
    <w:rsid w:val="006F49DF"/>
    <w:rsid w:val="006F4AB6"/>
    <w:rsid w:val="00700564"/>
    <w:rsid w:val="00704AE7"/>
    <w:rsid w:val="00706202"/>
    <w:rsid w:val="00706472"/>
    <w:rsid w:val="007066BE"/>
    <w:rsid w:val="00707F62"/>
    <w:rsid w:val="00711128"/>
    <w:rsid w:val="00711BAF"/>
    <w:rsid w:val="00713778"/>
    <w:rsid w:val="0071474C"/>
    <w:rsid w:val="007173E9"/>
    <w:rsid w:val="00720481"/>
    <w:rsid w:val="00723603"/>
    <w:rsid w:val="00727261"/>
    <w:rsid w:val="00732D36"/>
    <w:rsid w:val="00734556"/>
    <w:rsid w:val="007350B1"/>
    <w:rsid w:val="007352AF"/>
    <w:rsid w:val="00735913"/>
    <w:rsid w:val="00735A6B"/>
    <w:rsid w:val="00735FB8"/>
    <w:rsid w:val="0074085C"/>
    <w:rsid w:val="00740F4B"/>
    <w:rsid w:val="00743750"/>
    <w:rsid w:val="00744A49"/>
    <w:rsid w:val="00745192"/>
    <w:rsid w:val="007458C9"/>
    <w:rsid w:val="007517A2"/>
    <w:rsid w:val="00751BBC"/>
    <w:rsid w:val="00751C73"/>
    <w:rsid w:val="00753332"/>
    <w:rsid w:val="00753CC6"/>
    <w:rsid w:val="007548C3"/>
    <w:rsid w:val="00754C45"/>
    <w:rsid w:val="00757294"/>
    <w:rsid w:val="00757707"/>
    <w:rsid w:val="00760F37"/>
    <w:rsid w:val="00762E7D"/>
    <w:rsid w:val="0076411C"/>
    <w:rsid w:val="00765D36"/>
    <w:rsid w:val="00766599"/>
    <w:rsid w:val="00767745"/>
    <w:rsid w:val="007719BB"/>
    <w:rsid w:val="00781AF7"/>
    <w:rsid w:val="0078372F"/>
    <w:rsid w:val="00784903"/>
    <w:rsid w:val="00784F7A"/>
    <w:rsid w:val="00786E31"/>
    <w:rsid w:val="00790B96"/>
    <w:rsid w:val="007912AC"/>
    <w:rsid w:val="00791AEA"/>
    <w:rsid w:val="00793B72"/>
    <w:rsid w:val="007956A5"/>
    <w:rsid w:val="0079614F"/>
    <w:rsid w:val="00796D02"/>
    <w:rsid w:val="00797254"/>
    <w:rsid w:val="007A1BB6"/>
    <w:rsid w:val="007A454D"/>
    <w:rsid w:val="007A51C9"/>
    <w:rsid w:val="007A5365"/>
    <w:rsid w:val="007A78B3"/>
    <w:rsid w:val="007B07E5"/>
    <w:rsid w:val="007B0990"/>
    <w:rsid w:val="007B257A"/>
    <w:rsid w:val="007B3551"/>
    <w:rsid w:val="007B4305"/>
    <w:rsid w:val="007B562B"/>
    <w:rsid w:val="007C07C1"/>
    <w:rsid w:val="007C2D30"/>
    <w:rsid w:val="007C3B6F"/>
    <w:rsid w:val="007C743B"/>
    <w:rsid w:val="007D0198"/>
    <w:rsid w:val="007D23C9"/>
    <w:rsid w:val="007D34FA"/>
    <w:rsid w:val="007D5072"/>
    <w:rsid w:val="007E179A"/>
    <w:rsid w:val="007E3EAE"/>
    <w:rsid w:val="007E4636"/>
    <w:rsid w:val="007E4D00"/>
    <w:rsid w:val="007E545E"/>
    <w:rsid w:val="007E549E"/>
    <w:rsid w:val="007E5A2B"/>
    <w:rsid w:val="007E5EE9"/>
    <w:rsid w:val="007E684C"/>
    <w:rsid w:val="007E69A9"/>
    <w:rsid w:val="007F1151"/>
    <w:rsid w:val="007F20CC"/>
    <w:rsid w:val="007F5AE6"/>
    <w:rsid w:val="007F71E2"/>
    <w:rsid w:val="0080095A"/>
    <w:rsid w:val="00802ADA"/>
    <w:rsid w:val="008100A6"/>
    <w:rsid w:val="008109EB"/>
    <w:rsid w:val="00811033"/>
    <w:rsid w:val="00817203"/>
    <w:rsid w:val="008245F9"/>
    <w:rsid w:val="00824611"/>
    <w:rsid w:val="00825326"/>
    <w:rsid w:val="0082536C"/>
    <w:rsid w:val="00827603"/>
    <w:rsid w:val="008278A3"/>
    <w:rsid w:val="008308B3"/>
    <w:rsid w:val="00831C0C"/>
    <w:rsid w:val="008329DB"/>
    <w:rsid w:val="00832EC4"/>
    <w:rsid w:val="0083468B"/>
    <w:rsid w:val="00834ED5"/>
    <w:rsid w:val="008353B9"/>
    <w:rsid w:val="0083675F"/>
    <w:rsid w:val="00840EFF"/>
    <w:rsid w:val="00843439"/>
    <w:rsid w:val="008439B8"/>
    <w:rsid w:val="00844138"/>
    <w:rsid w:val="008462E1"/>
    <w:rsid w:val="008471D2"/>
    <w:rsid w:val="008545D6"/>
    <w:rsid w:val="00855196"/>
    <w:rsid w:val="00855AD9"/>
    <w:rsid w:val="008574AA"/>
    <w:rsid w:val="00857AA6"/>
    <w:rsid w:val="00862C97"/>
    <w:rsid w:val="0086322C"/>
    <w:rsid w:val="00870D2A"/>
    <w:rsid w:val="00870F03"/>
    <w:rsid w:val="00871CF4"/>
    <w:rsid w:val="008742E4"/>
    <w:rsid w:val="0087486B"/>
    <w:rsid w:val="00875F54"/>
    <w:rsid w:val="008763BE"/>
    <w:rsid w:val="00876C5C"/>
    <w:rsid w:val="00877A97"/>
    <w:rsid w:val="0088525C"/>
    <w:rsid w:val="00886FCB"/>
    <w:rsid w:val="008876B1"/>
    <w:rsid w:val="00891046"/>
    <w:rsid w:val="0089279D"/>
    <w:rsid w:val="00894E92"/>
    <w:rsid w:val="00896FC8"/>
    <w:rsid w:val="0089700F"/>
    <w:rsid w:val="008A2375"/>
    <w:rsid w:val="008A2E2A"/>
    <w:rsid w:val="008A371B"/>
    <w:rsid w:val="008A49EB"/>
    <w:rsid w:val="008A4CCC"/>
    <w:rsid w:val="008B1433"/>
    <w:rsid w:val="008B4108"/>
    <w:rsid w:val="008B44BE"/>
    <w:rsid w:val="008B7BAC"/>
    <w:rsid w:val="008B7C6C"/>
    <w:rsid w:val="008C1895"/>
    <w:rsid w:val="008C1D8A"/>
    <w:rsid w:val="008C41BE"/>
    <w:rsid w:val="008C7398"/>
    <w:rsid w:val="008D13A1"/>
    <w:rsid w:val="008D1EA1"/>
    <w:rsid w:val="008D29EF"/>
    <w:rsid w:val="008D38A1"/>
    <w:rsid w:val="008D415C"/>
    <w:rsid w:val="008D5E5A"/>
    <w:rsid w:val="008D62F1"/>
    <w:rsid w:val="008D713B"/>
    <w:rsid w:val="008E06C5"/>
    <w:rsid w:val="008E0C24"/>
    <w:rsid w:val="008E2D6A"/>
    <w:rsid w:val="008E384F"/>
    <w:rsid w:val="008E3DD5"/>
    <w:rsid w:val="008E6A11"/>
    <w:rsid w:val="008F05F4"/>
    <w:rsid w:val="008F0E7D"/>
    <w:rsid w:val="008F2571"/>
    <w:rsid w:val="008F5601"/>
    <w:rsid w:val="008F566D"/>
    <w:rsid w:val="008F61ED"/>
    <w:rsid w:val="008F7DFA"/>
    <w:rsid w:val="00905F64"/>
    <w:rsid w:val="0090748F"/>
    <w:rsid w:val="00910BC4"/>
    <w:rsid w:val="00912422"/>
    <w:rsid w:val="00913605"/>
    <w:rsid w:val="0091404E"/>
    <w:rsid w:val="009145BA"/>
    <w:rsid w:val="00916808"/>
    <w:rsid w:val="0091786E"/>
    <w:rsid w:val="009253FD"/>
    <w:rsid w:val="0092627D"/>
    <w:rsid w:val="0092664E"/>
    <w:rsid w:val="00926748"/>
    <w:rsid w:val="00927DCA"/>
    <w:rsid w:val="00930016"/>
    <w:rsid w:val="0093038E"/>
    <w:rsid w:val="0093304C"/>
    <w:rsid w:val="00933243"/>
    <w:rsid w:val="00934140"/>
    <w:rsid w:val="00935A98"/>
    <w:rsid w:val="00936D8D"/>
    <w:rsid w:val="00937F54"/>
    <w:rsid w:val="00941847"/>
    <w:rsid w:val="00945E37"/>
    <w:rsid w:val="00946708"/>
    <w:rsid w:val="00947E5C"/>
    <w:rsid w:val="0095438E"/>
    <w:rsid w:val="009576C4"/>
    <w:rsid w:val="00961751"/>
    <w:rsid w:val="00963123"/>
    <w:rsid w:val="009652CB"/>
    <w:rsid w:val="0096530F"/>
    <w:rsid w:val="00971C5F"/>
    <w:rsid w:val="00971D58"/>
    <w:rsid w:val="00971DD3"/>
    <w:rsid w:val="00976F62"/>
    <w:rsid w:val="00980CC3"/>
    <w:rsid w:val="00981CFB"/>
    <w:rsid w:val="00982169"/>
    <w:rsid w:val="009831ED"/>
    <w:rsid w:val="00983D54"/>
    <w:rsid w:val="009842E3"/>
    <w:rsid w:val="00984FAC"/>
    <w:rsid w:val="00985635"/>
    <w:rsid w:val="00986054"/>
    <w:rsid w:val="00987661"/>
    <w:rsid w:val="0099060C"/>
    <w:rsid w:val="009917A1"/>
    <w:rsid w:val="0099583D"/>
    <w:rsid w:val="009A09F7"/>
    <w:rsid w:val="009A0D74"/>
    <w:rsid w:val="009A2149"/>
    <w:rsid w:val="009A2D6C"/>
    <w:rsid w:val="009A4C2B"/>
    <w:rsid w:val="009A5822"/>
    <w:rsid w:val="009A5C99"/>
    <w:rsid w:val="009B114E"/>
    <w:rsid w:val="009B1F89"/>
    <w:rsid w:val="009B5249"/>
    <w:rsid w:val="009B64FC"/>
    <w:rsid w:val="009B66D0"/>
    <w:rsid w:val="009C090A"/>
    <w:rsid w:val="009C0D82"/>
    <w:rsid w:val="009C0DA4"/>
    <w:rsid w:val="009C3A36"/>
    <w:rsid w:val="009C469D"/>
    <w:rsid w:val="009C67F4"/>
    <w:rsid w:val="009D2035"/>
    <w:rsid w:val="009D3C11"/>
    <w:rsid w:val="009D3EDA"/>
    <w:rsid w:val="009D4B10"/>
    <w:rsid w:val="009D6644"/>
    <w:rsid w:val="009D6FC1"/>
    <w:rsid w:val="009D76EB"/>
    <w:rsid w:val="009E058D"/>
    <w:rsid w:val="009F0296"/>
    <w:rsid w:val="009F1434"/>
    <w:rsid w:val="009F4985"/>
    <w:rsid w:val="009F4AB9"/>
    <w:rsid w:val="009F5C91"/>
    <w:rsid w:val="009F5F98"/>
    <w:rsid w:val="009F68A0"/>
    <w:rsid w:val="009F79E0"/>
    <w:rsid w:val="009F7DA8"/>
    <w:rsid w:val="00A03F94"/>
    <w:rsid w:val="00A109A6"/>
    <w:rsid w:val="00A1117B"/>
    <w:rsid w:val="00A11FCF"/>
    <w:rsid w:val="00A12B34"/>
    <w:rsid w:val="00A137A3"/>
    <w:rsid w:val="00A16D40"/>
    <w:rsid w:val="00A17FAC"/>
    <w:rsid w:val="00A22668"/>
    <w:rsid w:val="00A249E0"/>
    <w:rsid w:val="00A24A6F"/>
    <w:rsid w:val="00A263F9"/>
    <w:rsid w:val="00A275F2"/>
    <w:rsid w:val="00A27797"/>
    <w:rsid w:val="00A33104"/>
    <w:rsid w:val="00A34B30"/>
    <w:rsid w:val="00A35FAE"/>
    <w:rsid w:val="00A367CF"/>
    <w:rsid w:val="00A36E20"/>
    <w:rsid w:val="00A37767"/>
    <w:rsid w:val="00A41A7F"/>
    <w:rsid w:val="00A46943"/>
    <w:rsid w:val="00A46DA2"/>
    <w:rsid w:val="00A470EA"/>
    <w:rsid w:val="00A50903"/>
    <w:rsid w:val="00A5095E"/>
    <w:rsid w:val="00A50B96"/>
    <w:rsid w:val="00A51AE6"/>
    <w:rsid w:val="00A54305"/>
    <w:rsid w:val="00A5468E"/>
    <w:rsid w:val="00A55CCA"/>
    <w:rsid w:val="00A573B6"/>
    <w:rsid w:val="00A61684"/>
    <w:rsid w:val="00A635FB"/>
    <w:rsid w:val="00A65500"/>
    <w:rsid w:val="00A658FD"/>
    <w:rsid w:val="00A66B52"/>
    <w:rsid w:val="00A71B4D"/>
    <w:rsid w:val="00A74A62"/>
    <w:rsid w:val="00A76435"/>
    <w:rsid w:val="00A836EE"/>
    <w:rsid w:val="00A840AD"/>
    <w:rsid w:val="00A84715"/>
    <w:rsid w:val="00A849AA"/>
    <w:rsid w:val="00A84DD3"/>
    <w:rsid w:val="00A86B4A"/>
    <w:rsid w:val="00A9730C"/>
    <w:rsid w:val="00A9736A"/>
    <w:rsid w:val="00A974C0"/>
    <w:rsid w:val="00AA1549"/>
    <w:rsid w:val="00AA3601"/>
    <w:rsid w:val="00AA39E7"/>
    <w:rsid w:val="00AA6D92"/>
    <w:rsid w:val="00AB04DD"/>
    <w:rsid w:val="00AB1060"/>
    <w:rsid w:val="00AB1AA6"/>
    <w:rsid w:val="00AB2143"/>
    <w:rsid w:val="00AB271D"/>
    <w:rsid w:val="00AB362F"/>
    <w:rsid w:val="00AB4634"/>
    <w:rsid w:val="00AB5E92"/>
    <w:rsid w:val="00AC044A"/>
    <w:rsid w:val="00AC05D5"/>
    <w:rsid w:val="00AC1C6A"/>
    <w:rsid w:val="00AC1C77"/>
    <w:rsid w:val="00AC2DCA"/>
    <w:rsid w:val="00AC2E5B"/>
    <w:rsid w:val="00AC4966"/>
    <w:rsid w:val="00AC4969"/>
    <w:rsid w:val="00AD0374"/>
    <w:rsid w:val="00AD289C"/>
    <w:rsid w:val="00AD3FE7"/>
    <w:rsid w:val="00AD481F"/>
    <w:rsid w:val="00AD6B11"/>
    <w:rsid w:val="00AD6DAD"/>
    <w:rsid w:val="00AE077E"/>
    <w:rsid w:val="00AE085A"/>
    <w:rsid w:val="00AE0CF6"/>
    <w:rsid w:val="00AE179E"/>
    <w:rsid w:val="00AE260E"/>
    <w:rsid w:val="00AE3667"/>
    <w:rsid w:val="00AF3C7A"/>
    <w:rsid w:val="00AF43FF"/>
    <w:rsid w:val="00AF58F2"/>
    <w:rsid w:val="00AF728F"/>
    <w:rsid w:val="00AF7488"/>
    <w:rsid w:val="00B0053A"/>
    <w:rsid w:val="00B01268"/>
    <w:rsid w:val="00B01FD7"/>
    <w:rsid w:val="00B02460"/>
    <w:rsid w:val="00B0604F"/>
    <w:rsid w:val="00B10529"/>
    <w:rsid w:val="00B13D63"/>
    <w:rsid w:val="00B14CA4"/>
    <w:rsid w:val="00B1583E"/>
    <w:rsid w:val="00B16529"/>
    <w:rsid w:val="00B17FB8"/>
    <w:rsid w:val="00B20ED5"/>
    <w:rsid w:val="00B20EEE"/>
    <w:rsid w:val="00B219DF"/>
    <w:rsid w:val="00B25E79"/>
    <w:rsid w:val="00B279FC"/>
    <w:rsid w:val="00B31C02"/>
    <w:rsid w:val="00B34B95"/>
    <w:rsid w:val="00B3539E"/>
    <w:rsid w:val="00B411E5"/>
    <w:rsid w:val="00B422E3"/>
    <w:rsid w:val="00B525D6"/>
    <w:rsid w:val="00B53DE5"/>
    <w:rsid w:val="00B542F5"/>
    <w:rsid w:val="00B546CE"/>
    <w:rsid w:val="00B54854"/>
    <w:rsid w:val="00B56213"/>
    <w:rsid w:val="00B626D5"/>
    <w:rsid w:val="00B627D7"/>
    <w:rsid w:val="00B631D4"/>
    <w:rsid w:val="00B64965"/>
    <w:rsid w:val="00B671A5"/>
    <w:rsid w:val="00B7062A"/>
    <w:rsid w:val="00B72ECD"/>
    <w:rsid w:val="00B7395D"/>
    <w:rsid w:val="00B761C4"/>
    <w:rsid w:val="00B76D64"/>
    <w:rsid w:val="00B773E3"/>
    <w:rsid w:val="00B8088F"/>
    <w:rsid w:val="00B81556"/>
    <w:rsid w:val="00B8400A"/>
    <w:rsid w:val="00B84634"/>
    <w:rsid w:val="00B87107"/>
    <w:rsid w:val="00B87749"/>
    <w:rsid w:val="00B90CD3"/>
    <w:rsid w:val="00B90D5C"/>
    <w:rsid w:val="00B91251"/>
    <w:rsid w:val="00B9161B"/>
    <w:rsid w:val="00B94C55"/>
    <w:rsid w:val="00B978FF"/>
    <w:rsid w:val="00BA5105"/>
    <w:rsid w:val="00BA5195"/>
    <w:rsid w:val="00BA57DD"/>
    <w:rsid w:val="00BA6018"/>
    <w:rsid w:val="00BB03E7"/>
    <w:rsid w:val="00BB0914"/>
    <w:rsid w:val="00BB2F96"/>
    <w:rsid w:val="00BB39E1"/>
    <w:rsid w:val="00BB4EDF"/>
    <w:rsid w:val="00BB6D56"/>
    <w:rsid w:val="00BB7768"/>
    <w:rsid w:val="00BB79BE"/>
    <w:rsid w:val="00BC3596"/>
    <w:rsid w:val="00BC51D2"/>
    <w:rsid w:val="00BC5B65"/>
    <w:rsid w:val="00BD049D"/>
    <w:rsid w:val="00BD0945"/>
    <w:rsid w:val="00BD226F"/>
    <w:rsid w:val="00BD30A7"/>
    <w:rsid w:val="00BD472F"/>
    <w:rsid w:val="00BD6182"/>
    <w:rsid w:val="00BD7266"/>
    <w:rsid w:val="00BE0A00"/>
    <w:rsid w:val="00BE1BD2"/>
    <w:rsid w:val="00BE6001"/>
    <w:rsid w:val="00BE612D"/>
    <w:rsid w:val="00BE7D3E"/>
    <w:rsid w:val="00BF1E30"/>
    <w:rsid w:val="00BF289B"/>
    <w:rsid w:val="00BF35D6"/>
    <w:rsid w:val="00BF3711"/>
    <w:rsid w:val="00BF3DCB"/>
    <w:rsid w:val="00BF537C"/>
    <w:rsid w:val="00BF7C55"/>
    <w:rsid w:val="00C02BEF"/>
    <w:rsid w:val="00C0491C"/>
    <w:rsid w:val="00C06715"/>
    <w:rsid w:val="00C07DAD"/>
    <w:rsid w:val="00C100D7"/>
    <w:rsid w:val="00C10BFD"/>
    <w:rsid w:val="00C1293F"/>
    <w:rsid w:val="00C15273"/>
    <w:rsid w:val="00C163DD"/>
    <w:rsid w:val="00C16F27"/>
    <w:rsid w:val="00C178DE"/>
    <w:rsid w:val="00C20370"/>
    <w:rsid w:val="00C2123C"/>
    <w:rsid w:val="00C22364"/>
    <w:rsid w:val="00C23F09"/>
    <w:rsid w:val="00C25486"/>
    <w:rsid w:val="00C257D6"/>
    <w:rsid w:val="00C31015"/>
    <w:rsid w:val="00C32FB9"/>
    <w:rsid w:val="00C335F4"/>
    <w:rsid w:val="00C34D4E"/>
    <w:rsid w:val="00C40D3B"/>
    <w:rsid w:val="00C40F45"/>
    <w:rsid w:val="00C42589"/>
    <w:rsid w:val="00C50828"/>
    <w:rsid w:val="00C50FA0"/>
    <w:rsid w:val="00C51CE8"/>
    <w:rsid w:val="00C52249"/>
    <w:rsid w:val="00C53707"/>
    <w:rsid w:val="00C56B90"/>
    <w:rsid w:val="00C56F28"/>
    <w:rsid w:val="00C577B4"/>
    <w:rsid w:val="00C63AC0"/>
    <w:rsid w:val="00C64DC7"/>
    <w:rsid w:val="00C66F15"/>
    <w:rsid w:val="00C67603"/>
    <w:rsid w:val="00C67E9A"/>
    <w:rsid w:val="00C70B9F"/>
    <w:rsid w:val="00C713B6"/>
    <w:rsid w:val="00C76423"/>
    <w:rsid w:val="00C7651A"/>
    <w:rsid w:val="00C76B12"/>
    <w:rsid w:val="00C8022F"/>
    <w:rsid w:val="00C80BBD"/>
    <w:rsid w:val="00C81BE4"/>
    <w:rsid w:val="00C81EEC"/>
    <w:rsid w:val="00C8220D"/>
    <w:rsid w:val="00C861AA"/>
    <w:rsid w:val="00C86641"/>
    <w:rsid w:val="00C901EB"/>
    <w:rsid w:val="00C92BBC"/>
    <w:rsid w:val="00C951AF"/>
    <w:rsid w:val="00CA2F64"/>
    <w:rsid w:val="00CA5077"/>
    <w:rsid w:val="00CA7A9B"/>
    <w:rsid w:val="00CA7E50"/>
    <w:rsid w:val="00CB02B4"/>
    <w:rsid w:val="00CB1BFF"/>
    <w:rsid w:val="00CB64FB"/>
    <w:rsid w:val="00CB7B30"/>
    <w:rsid w:val="00CB7BF1"/>
    <w:rsid w:val="00CC37B7"/>
    <w:rsid w:val="00CC4312"/>
    <w:rsid w:val="00CC4973"/>
    <w:rsid w:val="00CC583D"/>
    <w:rsid w:val="00CC58EE"/>
    <w:rsid w:val="00CC790C"/>
    <w:rsid w:val="00CD1E9B"/>
    <w:rsid w:val="00CD2A83"/>
    <w:rsid w:val="00CD2BE0"/>
    <w:rsid w:val="00CD59FE"/>
    <w:rsid w:val="00CD5CBB"/>
    <w:rsid w:val="00CE2215"/>
    <w:rsid w:val="00CE3400"/>
    <w:rsid w:val="00CE45D6"/>
    <w:rsid w:val="00CE6133"/>
    <w:rsid w:val="00CE61AD"/>
    <w:rsid w:val="00CE63F9"/>
    <w:rsid w:val="00CE7EA0"/>
    <w:rsid w:val="00CF20DA"/>
    <w:rsid w:val="00CF38BD"/>
    <w:rsid w:val="00CF5508"/>
    <w:rsid w:val="00CF5D61"/>
    <w:rsid w:val="00CF61B0"/>
    <w:rsid w:val="00CF7EAB"/>
    <w:rsid w:val="00D006E3"/>
    <w:rsid w:val="00D00CAD"/>
    <w:rsid w:val="00D00E73"/>
    <w:rsid w:val="00D023AC"/>
    <w:rsid w:val="00D041FA"/>
    <w:rsid w:val="00D060CF"/>
    <w:rsid w:val="00D105F2"/>
    <w:rsid w:val="00D11628"/>
    <w:rsid w:val="00D1295F"/>
    <w:rsid w:val="00D1393C"/>
    <w:rsid w:val="00D174D4"/>
    <w:rsid w:val="00D17C76"/>
    <w:rsid w:val="00D20800"/>
    <w:rsid w:val="00D21783"/>
    <w:rsid w:val="00D23402"/>
    <w:rsid w:val="00D23790"/>
    <w:rsid w:val="00D300DA"/>
    <w:rsid w:val="00D31906"/>
    <w:rsid w:val="00D334CC"/>
    <w:rsid w:val="00D3500F"/>
    <w:rsid w:val="00D35993"/>
    <w:rsid w:val="00D35EFE"/>
    <w:rsid w:val="00D411AA"/>
    <w:rsid w:val="00D427A4"/>
    <w:rsid w:val="00D43BAE"/>
    <w:rsid w:val="00D4459A"/>
    <w:rsid w:val="00D453E0"/>
    <w:rsid w:val="00D46A72"/>
    <w:rsid w:val="00D4730D"/>
    <w:rsid w:val="00D50225"/>
    <w:rsid w:val="00D5075F"/>
    <w:rsid w:val="00D50AA3"/>
    <w:rsid w:val="00D5158C"/>
    <w:rsid w:val="00D530F7"/>
    <w:rsid w:val="00D55814"/>
    <w:rsid w:val="00D5605C"/>
    <w:rsid w:val="00D569BA"/>
    <w:rsid w:val="00D574BA"/>
    <w:rsid w:val="00D604F7"/>
    <w:rsid w:val="00D62021"/>
    <w:rsid w:val="00D6274A"/>
    <w:rsid w:val="00D6478B"/>
    <w:rsid w:val="00D650E0"/>
    <w:rsid w:val="00D65B7D"/>
    <w:rsid w:val="00D67135"/>
    <w:rsid w:val="00D720F6"/>
    <w:rsid w:val="00D73F9F"/>
    <w:rsid w:val="00D746E2"/>
    <w:rsid w:val="00D749DF"/>
    <w:rsid w:val="00D76EB2"/>
    <w:rsid w:val="00D80109"/>
    <w:rsid w:val="00D804D6"/>
    <w:rsid w:val="00D82781"/>
    <w:rsid w:val="00D83694"/>
    <w:rsid w:val="00D83937"/>
    <w:rsid w:val="00D83C39"/>
    <w:rsid w:val="00D84EFC"/>
    <w:rsid w:val="00D87802"/>
    <w:rsid w:val="00D909D0"/>
    <w:rsid w:val="00D91354"/>
    <w:rsid w:val="00D945ED"/>
    <w:rsid w:val="00DA07E2"/>
    <w:rsid w:val="00DA1F50"/>
    <w:rsid w:val="00DA7345"/>
    <w:rsid w:val="00DB21A7"/>
    <w:rsid w:val="00DB3C03"/>
    <w:rsid w:val="00DB4C4D"/>
    <w:rsid w:val="00DB5F42"/>
    <w:rsid w:val="00DC3627"/>
    <w:rsid w:val="00DC58EE"/>
    <w:rsid w:val="00DC5906"/>
    <w:rsid w:val="00DD0046"/>
    <w:rsid w:val="00DD25C4"/>
    <w:rsid w:val="00DD3AFA"/>
    <w:rsid w:val="00DE1C08"/>
    <w:rsid w:val="00DE27D5"/>
    <w:rsid w:val="00DE2D39"/>
    <w:rsid w:val="00DE3C6A"/>
    <w:rsid w:val="00DE584D"/>
    <w:rsid w:val="00DE72F2"/>
    <w:rsid w:val="00DE73ED"/>
    <w:rsid w:val="00DF0BC7"/>
    <w:rsid w:val="00DF0D1C"/>
    <w:rsid w:val="00DF23CD"/>
    <w:rsid w:val="00DF2520"/>
    <w:rsid w:val="00DF7355"/>
    <w:rsid w:val="00E04BA6"/>
    <w:rsid w:val="00E053D0"/>
    <w:rsid w:val="00E063EE"/>
    <w:rsid w:val="00E06561"/>
    <w:rsid w:val="00E07715"/>
    <w:rsid w:val="00E12EAF"/>
    <w:rsid w:val="00E13184"/>
    <w:rsid w:val="00E13F43"/>
    <w:rsid w:val="00E14D7C"/>
    <w:rsid w:val="00E1521D"/>
    <w:rsid w:val="00E15701"/>
    <w:rsid w:val="00E20AEE"/>
    <w:rsid w:val="00E26A5E"/>
    <w:rsid w:val="00E32B71"/>
    <w:rsid w:val="00E33CF7"/>
    <w:rsid w:val="00E365BA"/>
    <w:rsid w:val="00E40B45"/>
    <w:rsid w:val="00E41939"/>
    <w:rsid w:val="00E41ABE"/>
    <w:rsid w:val="00E422C3"/>
    <w:rsid w:val="00E42B6A"/>
    <w:rsid w:val="00E4378D"/>
    <w:rsid w:val="00E4387D"/>
    <w:rsid w:val="00E44B90"/>
    <w:rsid w:val="00E45947"/>
    <w:rsid w:val="00E461CD"/>
    <w:rsid w:val="00E463E1"/>
    <w:rsid w:val="00E50165"/>
    <w:rsid w:val="00E50D61"/>
    <w:rsid w:val="00E5294A"/>
    <w:rsid w:val="00E52AE5"/>
    <w:rsid w:val="00E54E8E"/>
    <w:rsid w:val="00E57C49"/>
    <w:rsid w:val="00E614EA"/>
    <w:rsid w:val="00E617E0"/>
    <w:rsid w:val="00E63150"/>
    <w:rsid w:val="00E642C7"/>
    <w:rsid w:val="00E64AAA"/>
    <w:rsid w:val="00E67956"/>
    <w:rsid w:val="00E74BDF"/>
    <w:rsid w:val="00E752B9"/>
    <w:rsid w:val="00E76969"/>
    <w:rsid w:val="00E83A92"/>
    <w:rsid w:val="00E84368"/>
    <w:rsid w:val="00E845A5"/>
    <w:rsid w:val="00E84B94"/>
    <w:rsid w:val="00E8574F"/>
    <w:rsid w:val="00E8692B"/>
    <w:rsid w:val="00E87818"/>
    <w:rsid w:val="00E912EF"/>
    <w:rsid w:val="00E93BF6"/>
    <w:rsid w:val="00E94ACC"/>
    <w:rsid w:val="00E97331"/>
    <w:rsid w:val="00E97C0C"/>
    <w:rsid w:val="00EA136B"/>
    <w:rsid w:val="00EA2540"/>
    <w:rsid w:val="00EA2A1F"/>
    <w:rsid w:val="00EA3BBD"/>
    <w:rsid w:val="00EA46A4"/>
    <w:rsid w:val="00EA489F"/>
    <w:rsid w:val="00EA4AB8"/>
    <w:rsid w:val="00EA4C14"/>
    <w:rsid w:val="00EA5290"/>
    <w:rsid w:val="00EA53C8"/>
    <w:rsid w:val="00EA6F75"/>
    <w:rsid w:val="00EA7872"/>
    <w:rsid w:val="00EB0B23"/>
    <w:rsid w:val="00EB16B8"/>
    <w:rsid w:val="00EB6654"/>
    <w:rsid w:val="00EC177B"/>
    <w:rsid w:val="00EC1AA3"/>
    <w:rsid w:val="00EC3994"/>
    <w:rsid w:val="00EC568A"/>
    <w:rsid w:val="00ED0B66"/>
    <w:rsid w:val="00ED0EAF"/>
    <w:rsid w:val="00ED31DA"/>
    <w:rsid w:val="00ED38CA"/>
    <w:rsid w:val="00ED3EDC"/>
    <w:rsid w:val="00ED55C3"/>
    <w:rsid w:val="00ED5D12"/>
    <w:rsid w:val="00ED5F65"/>
    <w:rsid w:val="00EE0E5A"/>
    <w:rsid w:val="00EE0EEA"/>
    <w:rsid w:val="00EE2241"/>
    <w:rsid w:val="00EE2325"/>
    <w:rsid w:val="00EE3953"/>
    <w:rsid w:val="00EE3DDB"/>
    <w:rsid w:val="00EE414F"/>
    <w:rsid w:val="00EF706E"/>
    <w:rsid w:val="00EF70DA"/>
    <w:rsid w:val="00F04AC9"/>
    <w:rsid w:val="00F058AA"/>
    <w:rsid w:val="00F05B08"/>
    <w:rsid w:val="00F07F0C"/>
    <w:rsid w:val="00F108DB"/>
    <w:rsid w:val="00F11633"/>
    <w:rsid w:val="00F13C48"/>
    <w:rsid w:val="00F1506F"/>
    <w:rsid w:val="00F16028"/>
    <w:rsid w:val="00F1632C"/>
    <w:rsid w:val="00F205B8"/>
    <w:rsid w:val="00F2072F"/>
    <w:rsid w:val="00F2107D"/>
    <w:rsid w:val="00F21E7A"/>
    <w:rsid w:val="00F23057"/>
    <w:rsid w:val="00F241D3"/>
    <w:rsid w:val="00F2441E"/>
    <w:rsid w:val="00F24C61"/>
    <w:rsid w:val="00F3289F"/>
    <w:rsid w:val="00F34FC8"/>
    <w:rsid w:val="00F35BA1"/>
    <w:rsid w:val="00F4118E"/>
    <w:rsid w:val="00F414AC"/>
    <w:rsid w:val="00F50BD2"/>
    <w:rsid w:val="00F52161"/>
    <w:rsid w:val="00F55477"/>
    <w:rsid w:val="00F568B5"/>
    <w:rsid w:val="00F57E6D"/>
    <w:rsid w:val="00F611EC"/>
    <w:rsid w:val="00F61695"/>
    <w:rsid w:val="00F61FC2"/>
    <w:rsid w:val="00F62791"/>
    <w:rsid w:val="00F62972"/>
    <w:rsid w:val="00F635F0"/>
    <w:rsid w:val="00F63A33"/>
    <w:rsid w:val="00F6583A"/>
    <w:rsid w:val="00F658BE"/>
    <w:rsid w:val="00F67476"/>
    <w:rsid w:val="00F7005E"/>
    <w:rsid w:val="00F714DE"/>
    <w:rsid w:val="00F7318C"/>
    <w:rsid w:val="00F73FCC"/>
    <w:rsid w:val="00F761FE"/>
    <w:rsid w:val="00F82159"/>
    <w:rsid w:val="00F8243B"/>
    <w:rsid w:val="00F92F17"/>
    <w:rsid w:val="00F9337B"/>
    <w:rsid w:val="00F946B3"/>
    <w:rsid w:val="00F97692"/>
    <w:rsid w:val="00FA1086"/>
    <w:rsid w:val="00FA12A3"/>
    <w:rsid w:val="00FA1AAD"/>
    <w:rsid w:val="00FA3B9F"/>
    <w:rsid w:val="00FA3E16"/>
    <w:rsid w:val="00FB0211"/>
    <w:rsid w:val="00FB0BD0"/>
    <w:rsid w:val="00FB2185"/>
    <w:rsid w:val="00FB50C3"/>
    <w:rsid w:val="00FB58FA"/>
    <w:rsid w:val="00FB6E39"/>
    <w:rsid w:val="00FC0AEF"/>
    <w:rsid w:val="00FC127D"/>
    <w:rsid w:val="00FC1C24"/>
    <w:rsid w:val="00FC201F"/>
    <w:rsid w:val="00FC5064"/>
    <w:rsid w:val="00FC66ED"/>
    <w:rsid w:val="00FD09EE"/>
    <w:rsid w:val="00FD0ADA"/>
    <w:rsid w:val="00FD44FA"/>
    <w:rsid w:val="00FD4EED"/>
    <w:rsid w:val="00FD5236"/>
    <w:rsid w:val="00FD58D7"/>
    <w:rsid w:val="00FD64B3"/>
    <w:rsid w:val="00FD7216"/>
    <w:rsid w:val="00FD795D"/>
    <w:rsid w:val="00FD7C73"/>
    <w:rsid w:val="00FE10C1"/>
    <w:rsid w:val="00FE192C"/>
    <w:rsid w:val="00FE250A"/>
    <w:rsid w:val="00FE2969"/>
    <w:rsid w:val="00FE42EB"/>
    <w:rsid w:val="00FE4A65"/>
    <w:rsid w:val="00FE7CF1"/>
    <w:rsid w:val="00FF0AA2"/>
    <w:rsid w:val="00FF5E37"/>
    <w:rsid w:val="00FF662B"/>
    <w:rsid w:val="00FF6C09"/>
    <w:rsid w:val="00F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6953F7"/>
  <w15:docId w15:val="{FB57D91D-86AA-46AC-9730-1613226A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F8"/>
    <w:pPr>
      <w:tabs>
        <w:tab w:val="left" w:pos="-1440"/>
        <w:tab w:val="left" w:pos="-720"/>
      </w:tabs>
      <w:spacing w:after="240" w:line="264" w:lineRule="auto"/>
      <w:ind w:left="360"/>
    </w:pPr>
    <w:rPr>
      <w:rFonts w:asciiTheme="minorHAnsi" w:hAnsiTheme="minorHAnsi"/>
      <w:sz w:val="22"/>
    </w:rPr>
  </w:style>
  <w:style w:type="paragraph" w:styleId="Heading1">
    <w:name w:val="heading 1"/>
    <w:aliases w:val="_Main body - Heading 1 (section titles),Nexant H1"/>
    <w:next w:val="Text"/>
    <w:link w:val="Heading1Char"/>
    <w:qFormat/>
    <w:rsid w:val="00B34B95"/>
    <w:pPr>
      <w:keepNext/>
      <w:numPr>
        <w:numId w:val="2"/>
      </w:numPr>
      <w:tabs>
        <w:tab w:val="right" w:pos="9360"/>
      </w:tabs>
      <w:spacing w:after="720"/>
      <w:outlineLvl w:val="0"/>
    </w:pPr>
    <w:rPr>
      <w:rFonts w:ascii="Arial" w:hAnsi="Arial" w:cs="Microsoft Sans Serif"/>
      <w:b/>
      <w:color w:val="0070CD"/>
      <w:spacing w:val="-12"/>
      <w:kern w:val="16"/>
      <w:sz w:val="48"/>
      <w:szCs w:val="56"/>
    </w:rPr>
  </w:style>
  <w:style w:type="paragraph" w:styleId="Heading2">
    <w:name w:val="heading 2"/>
    <w:aliases w:val="_Main body - Heading 2,Nexant H2"/>
    <w:next w:val="Text"/>
    <w:link w:val="Heading2Char"/>
    <w:qFormat/>
    <w:rsid w:val="00941847"/>
    <w:pPr>
      <w:keepNext/>
      <w:numPr>
        <w:ilvl w:val="1"/>
        <w:numId w:val="2"/>
      </w:numPr>
      <w:spacing w:before="120" w:line="288" w:lineRule="auto"/>
      <w:ind w:left="720" w:hanging="720"/>
      <w:outlineLvl w:val="1"/>
    </w:pPr>
    <w:rPr>
      <w:rFonts w:ascii="Arial" w:hAnsi="Arial" w:cs="Microsoft Sans Serif"/>
      <w:b/>
      <w:color w:val="77BC1F"/>
      <w:spacing w:val="-8"/>
      <w:sz w:val="36"/>
    </w:rPr>
  </w:style>
  <w:style w:type="paragraph" w:styleId="Heading3">
    <w:name w:val="heading 3"/>
    <w:aliases w:val="_Main body - Heading 3,Nexant H3"/>
    <w:next w:val="Text"/>
    <w:link w:val="Heading3Char"/>
    <w:qFormat/>
    <w:rsid w:val="00AC4969"/>
    <w:pPr>
      <w:keepNext/>
      <w:numPr>
        <w:ilvl w:val="2"/>
        <w:numId w:val="2"/>
      </w:numPr>
      <w:spacing w:before="120" w:line="288" w:lineRule="auto"/>
      <w:outlineLvl w:val="2"/>
    </w:pPr>
    <w:rPr>
      <w:rFonts w:ascii="Arial" w:hAnsi="Arial" w:cs="Microsoft Sans Serif"/>
      <w:b/>
      <w:color w:val="77BC1F"/>
      <w:sz w:val="24"/>
    </w:rPr>
  </w:style>
  <w:style w:type="paragraph" w:styleId="Heading4">
    <w:name w:val="heading 4"/>
    <w:aliases w:val="_Main body - Heading 4,4,4th order head,heading 4,num.                                               4, resume"/>
    <w:next w:val="Text"/>
    <w:link w:val="Heading4Char"/>
    <w:qFormat/>
    <w:rsid w:val="00A55CCA"/>
    <w:pPr>
      <w:keepNext/>
      <w:numPr>
        <w:ilvl w:val="3"/>
        <w:numId w:val="2"/>
      </w:numPr>
      <w:spacing w:line="288" w:lineRule="auto"/>
      <w:ind w:left="907" w:hanging="907"/>
      <w:outlineLvl w:val="3"/>
    </w:pPr>
    <w:rPr>
      <w:rFonts w:ascii="Arial" w:hAnsi="Arial" w:cs="Microsoft Sans Serif"/>
      <w:b/>
      <w:color w:val="000000"/>
      <w:sz w:val="22"/>
      <w:szCs w:val="22"/>
    </w:rPr>
  </w:style>
  <w:style w:type="paragraph" w:styleId="Heading5">
    <w:name w:val="heading 5"/>
    <w:aliases w:val="_Main body - Heading 5"/>
    <w:next w:val="Text"/>
    <w:link w:val="Heading5Char"/>
    <w:uiPriority w:val="9"/>
    <w:qFormat/>
    <w:rsid w:val="00A55CCA"/>
    <w:pPr>
      <w:keepNext/>
      <w:spacing w:line="288" w:lineRule="auto"/>
      <w:outlineLvl w:val="4"/>
    </w:pPr>
    <w:rPr>
      <w:rFonts w:ascii="Arial" w:hAnsi="Arial" w:cs="Microsoft Sans Serif"/>
      <w:b/>
      <w:i/>
      <w:color w:val="292929"/>
      <w:sz w:val="22"/>
      <w:szCs w:val="24"/>
    </w:rPr>
  </w:style>
  <w:style w:type="paragraph" w:styleId="Heading6">
    <w:name w:val="heading 6"/>
    <w:aliases w:val="_z Other - Fine print  (heading 6)"/>
    <w:basedOn w:val="Normal"/>
    <w:next w:val="Normal"/>
    <w:link w:val="Heading6Char"/>
    <w:unhideWhenUsed/>
    <w:qFormat/>
    <w:rsid w:val="0067158D"/>
    <w:pPr>
      <w:ind w:left="0"/>
      <w:outlineLvl w:val="5"/>
    </w:pPr>
    <w:rPr>
      <w:rFonts w:ascii="Arial" w:hAnsi="Arial" w:cs="Arial"/>
      <w:sz w:val="16"/>
      <w:szCs w:val="16"/>
    </w:rPr>
  </w:style>
  <w:style w:type="paragraph" w:styleId="Heading7">
    <w:name w:val="heading 7"/>
    <w:aliases w:val="_z Other - Appendix 1st pg title (heading 7)"/>
    <w:next w:val="Text"/>
    <w:link w:val="Heading7Char"/>
    <w:unhideWhenUsed/>
    <w:qFormat/>
    <w:rsid w:val="00EA2A1F"/>
    <w:pPr>
      <w:keepNext/>
      <w:numPr>
        <w:numId w:val="3"/>
      </w:numPr>
      <w:tabs>
        <w:tab w:val="left" w:pos="2070"/>
      </w:tabs>
      <w:spacing w:after="480"/>
      <w:ind w:left="0"/>
      <w:outlineLvl w:val="6"/>
    </w:pPr>
    <w:rPr>
      <w:rFonts w:ascii="Arial" w:hAnsi="Arial" w:cs="Microsoft Sans Serif"/>
      <w:b/>
      <w:bCs/>
      <w:color w:val="0070CD"/>
      <w:kern w:val="28"/>
      <w:sz w:val="32"/>
      <w:szCs w:val="52"/>
    </w:rPr>
  </w:style>
  <w:style w:type="paragraph" w:styleId="Heading8">
    <w:name w:val="heading 8"/>
    <w:aliases w:val="_z Other - Appendix subhead"/>
    <w:next w:val="Text"/>
    <w:link w:val="Heading8Char"/>
    <w:unhideWhenUsed/>
    <w:qFormat/>
    <w:rsid w:val="00EA2A1F"/>
    <w:pPr>
      <w:numPr>
        <w:ilvl w:val="1"/>
        <w:numId w:val="3"/>
      </w:numPr>
      <w:tabs>
        <w:tab w:val="num" w:pos="2430"/>
      </w:tabs>
      <w:spacing w:before="240" w:after="60"/>
      <w:outlineLvl w:val="7"/>
    </w:pPr>
    <w:rPr>
      <w:rFonts w:ascii="Arial" w:hAnsi="Arial" w:cs="Microsoft Sans Serif"/>
      <w:b/>
      <w:iCs/>
      <w:color w:val="0070C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_z Other - Footer"/>
    <w:basedOn w:val="Normal"/>
    <w:next w:val="Normal"/>
    <w:link w:val="FooterChar"/>
    <w:qFormat/>
    <w:rsid w:val="006E01B0"/>
    <w:pPr>
      <w:tabs>
        <w:tab w:val="clear" w:pos="-1440"/>
        <w:tab w:val="clear" w:pos="-720"/>
        <w:tab w:val="center" w:pos="4680"/>
        <w:tab w:val="right" w:pos="9360"/>
      </w:tabs>
    </w:pPr>
    <w:rPr>
      <w:rFonts w:ascii="Arial" w:hAnsi="Arial"/>
      <w:b/>
      <w:color w:val="1673CA"/>
      <w:sz w:val="18"/>
    </w:rPr>
  </w:style>
  <w:style w:type="character" w:styleId="FootnoteReference">
    <w:name w:val="footnote reference"/>
    <w:aliases w:val="Footnote_Reference"/>
    <w:basedOn w:val="DefaultParagraphFont"/>
    <w:uiPriority w:val="99"/>
    <w:qFormat/>
    <w:rsid w:val="001538F8"/>
    <w:rPr>
      <w:rFonts w:ascii="Arial" w:hAnsi="Arial"/>
      <w:position w:val="0"/>
      <w:sz w:val="22"/>
      <w:vertAlign w:val="superscript"/>
    </w:rPr>
  </w:style>
  <w:style w:type="paragraph" w:styleId="FootnoteText">
    <w:name w:val="footnote text"/>
    <w:aliases w:val="Footnote Text1 Char,Footnote Text Char Ch,Footnote Text Char Ch Char Char Char,Footnote Text Char Ch Char Char,Footnote Text1 Char Char Char,ft Char,ft,Char2 Char,TBG Style,ALTS FOOTNOTE,Footnote Text 2,fn,Footnote text,FOOTNOTE"/>
    <w:basedOn w:val="Normal"/>
    <w:link w:val="FootnoteTextChar"/>
    <w:qFormat/>
    <w:rsid w:val="00BE612D"/>
    <w:pPr>
      <w:tabs>
        <w:tab w:val="clear" w:pos="-1440"/>
        <w:tab w:val="clear" w:pos="-720"/>
      </w:tabs>
      <w:spacing w:after="120" w:line="240" w:lineRule="auto"/>
      <w:ind w:left="0"/>
    </w:pPr>
    <w:rPr>
      <w:rFonts w:ascii="Arial" w:hAnsi="Arial"/>
      <w:color w:val="4D4D4D"/>
      <w:sz w:val="16"/>
    </w:rPr>
  </w:style>
  <w:style w:type="paragraph" w:customStyle="1" w:styleId="Tables-Bullets">
    <w:name w:val="_Tables - Bullets"/>
    <w:qFormat/>
    <w:rsid w:val="00A55CCA"/>
    <w:pPr>
      <w:numPr>
        <w:numId w:val="6"/>
      </w:numPr>
      <w:spacing w:after="120" w:line="288" w:lineRule="auto"/>
    </w:pPr>
    <w:rPr>
      <w:rFonts w:ascii="Arial" w:hAnsi="Arial" w:cs="Microsoft Sans Serif"/>
      <w:color w:val="333333"/>
      <w:sz w:val="22"/>
      <w:szCs w:val="22"/>
    </w:rPr>
  </w:style>
  <w:style w:type="paragraph" w:styleId="Header">
    <w:name w:val="header"/>
    <w:aliases w:val="_z Other - Header"/>
    <w:basedOn w:val="Normal"/>
    <w:link w:val="HeaderChar"/>
    <w:uiPriority w:val="99"/>
    <w:rsid w:val="00306094"/>
    <w:pPr>
      <w:pBdr>
        <w:bottom w:val="single" w:sz="4" w:space="1" w:color="1673CA"/>
      </w:pBdr>
      <w:tabs>
        <w:tab w:val="clear" w:pos="-1440"/>
        <w:tab w:val="clear" w:pos="-720"/>
        <w:tab w:val="center" w:pos="4680"/>
        <w:tab w:val="right" w:pos="9360"/>
      </w:tabs>
      <w:spacing w:after="0" w:line="240" w:lineRule="auto"/>
      <w:ind w:left="0"/>
    </w:pPr>
    <w:rPr>
      <w:rFonts w:ascii="Arial" w:hAnsi="Arial" w:cs="Arial"/>
      <w:caps/>
      <w:color w:val="1673CA"/>
      <w:spacing w:val="6"/>
      <w:sz w:val="18"/>
      <w:szCs w:val="18"/>
    </w:rPr>
  </w:style>
  <w:style w:type="character" w:customStyle="1" w:styleId="HeaderChar">
    <w:name w:val="Header Char"/>
    <w:aliases w:val="_z Other - Header Char"/>
    <w:basedOn w:val="DefaultParagraphFont"/>
    <w:link w:val="Header"/>
    <w:uiPriority w:val="99"/>
    <w:rsid w:val="00306094"/>
    <w:rPr>
      <w:rFonts w:ascii="Arial" w:hAnsi="Arial" w:cs="Arial"/>
      <w:caps/>
      <w:color w:val="1673CA"/>
      <w:spacing w:val="6"/>
      <w:sz w:val="18"/>
      <w:szCs w:val="18"/>
    </w:rPr>
  </w:style>
  <w:style w:type="paragraph" w:customStyle="1" w:styleId="Tables-Headingcells">
    <w:name w:val="_Tables - Heading cells"/>
    <w:qFormat/>
    <w:rsid w:val="00CD2BE0"/>
    <w:pPr>
      <w:keepNext/>
      <w:tabs>
        <w:tab w:val="left" w:pos="-1440"/>
        <w:tab w:val="left" w:pos="-720"/>
        <w:tab w:val="center" w:pos="720"/>
      </w:tabs>
      <w:spacing w:before="60" w:after="60" w:line="264" w:lineRule="auto"/>
      <w:jc w:val="center"/>
    </w:pPr>
    <w:rPr>
      <w:rFonts w:ascii="Arial" w:hAnsi="Arial" w:cs="Microsoft Sans Serif"/>
      <w:b/>
      <w:bCs/>
      <w:noProof/>
      <w:color w:val="FFFFFF"/>
      <w:sz w:val="18"/>
    </w:rPr>
  </w:style>
  <w:style w:type="character" w:styleId="PageNumber">
    <w:name w:val="page number"/>
    <w:aliases w:val="_z Other - Page Number"/>
    <w:basedOn w:val="DefaultParagraphFont"/>
    <w:rsid w:val="00D67135"/>
    <w:rPr>
      <w:sz w:val="20"/>
    </w:rPr>
  </w:style>
  <w:style w:type="paragraph" w:styleId="TOC1">
    <w:name w:val="toc 1"/>
    <w:aliases w:val="_Intro Pages - TOC 1"/>
    <w:next w:val="Normal"/>
    <w:autoRedefine/>
    <w:uiPriority w:val="39"/>
    <w:rsid w:val="00F241D3"/>
    <w:pPr>
      <w:tabs>
        <w:tab w:val="left" w:pos="360"/>
        <w:tab w:val="right" w:leader="dot" w:pos="9350"/>
      </w:tabs>
      <w:spacing w:before="600" w:line="264" w:lineRule="auto"/>
      <w:ind w:left="360" w:hanging="360"/>
    </w:pPr>
    <w:rPr>
      <w:rFonts w:ascii="Arial" w:hAnsi="Arial" w:cs="Arial"/>
      <w:b/>
      <w:bCs/>
      <w:noProof/>
      <w:snapToGrid w:val="0"/>
      <w:color w:val="0070CD"/>
      <w:w w:val="0"/>
      <w:sz w:val="28"/>
      <w:szCs w:val="22"/>
    </w:rPr>
  </w:style>
  <w:style w:type="paragraph" w:styleId="TOC2">
    <w:name w:val="toc 2"/>
    <w:aliases w:val="_Intro Pages - TOC 2"/>
    <w:next w:val="Normal"/>
    <w:autoRedefine/>
    <w:uiPriority w:val="39"/>
    <w:rsid w:val="00F761FE"/>
    <w:pPr>
      <w:tabs>
        <w:tab w:val="left" w:pos="1260"/>
        <w:tab w:val="right" w:leader="dot" w:pos="9350"/>
      </w:tabs>
      <w:spacing w:before="60" w:line="300" w:lineRule="auto"/>
      <w:ind w:left="1267" w:hanging="547"/>
    </w:pPr>
    <w:rPr>
      <w:rFonts w:ascii="Arial" w:hAnsi="Arial"/>
      <w:b/>
      <w:noProof/>
      <w:color w:val="292929"/>
      <w:sz w:val="24"/>
    </w:rPr>
  </w:style>
  <w:style w:type="paragraph" w:styleId="TOC3">
    <w:name w:val="toc 3"/>
    <w:aliases w:val="_Intro pages - TOC 3"/>
    <w:next w:val="Normal"/>
    <w:autoRedefine/>
    <w:uiPriority w:val="39"/>
    <w:rsid w:val="00F761FE"/>
    <w:pPr>
      <w:tabs>
        <w:tab w:val="left" w:pos="1980"/>
        <w:tab w:val="right" w:leader="dot" w:pos="9350"/>
      </w:tabs>
      <w:spacing w:line="300" w:lineRule="auto"/>
      <w:ind w:left="1980" w:hanging="713"/>
    </w:pPr>
    <w:rPr>
      <w:rFonts w:ascii="Arial" w:hAnsi="Arial"/>
      <w:iCs/>
      <w:noProof/>
      <w:color w:val="292929"/>
      <w:sz w:val="24"/>
    </w:rPr>
  </w:style>
  <w:style w:type="paragraph" w:styleId="TOC4">
    <w:name w:val="toc 4"/>
    <w:aliases w:val="_Intro Pages - TOC 4"/>
    <w:next w:val="Normal"/>
    <w:autoRedefine/>
    <w:uiPriority w:val="39"/>
    <w:rsid w:val="005F4B44"/>
    <w:pPr>
      <w:tabs>
        <w:tab w:val="left" w:pos="2700"/>
        <w:tab w:val="right" w:leader="dot" w:pos="9350"/>
      </w:tabs>
      <w:spacing w:line="300" w:lineRule="auto"/>
      <w:ind w:left="2707" w:hanging="907"/>
    </w:pPr>
    <w:rPr>
      <w:rFonts w:ascii="Arial" w:hAnsi="Arial"/>
      <w:i/>
      <w:noProof/>
      <w:color w:val="292929"/>
      <w:sz w:val="24"/>
      <w:szCs w:val="18"/>
    </w:rPr>
  </w:style>
  <w:style w:type="paragraph" w:styleId="TOC6">
    <w:name w:val="toc 6"/>
    <w:basedOn w:val="Normal"/>
    <w:next w:val="Normal"/>
    <w:autoRedefine/>
    <w:uiPriority w:val="39"/>
    <w:rsid w:val="000F1001"/>
    <w:pPr>
      <w:tabs>
        <w:tab w:val="clear" w:pos="-1440"/>
        <w:tab w:val="clear" w:pos="-720"/>
      </w:tabs>
      <w:ind w:left="1200"/>
    </w:pPr>
    <w:rPr>
      <w:rFonts w:ascii="Arial" w:hAnsi="Arial"/>
      <w:sz w:val="18"/>
      <w:szCs w:val="18"/>
    </w:rPr>
  </w:style>
  <w:style w:type="character" w:styleId="Hyperlink">
    <w:name w:val="Hyperlink"/>
    <w:aliases w:val="_z Other - Hyperlink"/>
    <w:basedOn w:val="DefaultParagraphFont"/>
    <w:uiPriority w:val="99"/>
    <w:rsid w:val="00E97C0C"/>
    <w:rPr>
      <w:color w:val="0000FF"/>
      <w:u w:val="single"/>
    </w:rPr>
  </w:style>
  <w:style w:type="paragraph" w:customStyle="1" w:styleId="Titlepage-RFPnumber">
    <w:name w:val="_Title page - RFP number"/>
    <w:qFormat/>
    <w:rsid w:val="00146723"/>
    <w:pPr>
      <w:spacing w:after="120" w:line="264" w:lineRule="auto"/>
      <w:ind w:right="-187"/>
    </w:pPr>
    <w:rPr>
      <w:rFonts w:ascii="Arial" w:hAnsi="Arial" w:cs="Arial"/>
      <w:color w:val="7F7F7F" w:themeColor="text1" w:themeTint="80"/>
      <w:sz w:val="32"/>
      <w:szCs w:val="32"/>
    </w:rPr>
  </w:style>
  <w:style w:type="paragraph" w:styleId="Caption">
    <w:name w:val="caption"/>
    <w:aliases w:val="_Main body - Caption figure,Caption Char,Table Caption,Char, Char,Figure,_Main body - Caption"/>
    <w:next w:val="Text"/>
    <w:link w:val="CaptionChar1"/>
    <w:unhideWhenUsed/>
    <w:qFormat/>
    <w:rsid w:val="00B34B95"/>
    <w:pPr>
      <w:keepNext/>
      <w:spacing w:before="120" w:after="120"/>
      <w:jc w:val="center"/>
    </w:pPr>
    <w:rPr>
      <w:rFonts w:ascii="Arial" w:hAnsi="Arial" w:cs="Microsoft Sans Serif"/>
      <w:b/>
      <w:color w:val="0070CD"/>
      <w:sz w:val="22"/>
    </w:rPr>
  </w:style>
  <w:style w:type="paragraph" w:customStyle="1" w:styleId="Intropages-tableofcontentstitle">
    <w:name w:val="_Intro pages - table of contents title"/>
    <w:next w:val="Text"/>
    <w:qFormat/>
    <w:rsid w:val="00F241D3"/>
    <w:pPr>
      <w:shd w:val="clear" w:color="auto" w:fill="FFFFFF" w:themeFill="background1"/>
      <w:ind w:left="1170" w:hanging="1170"/>
    </w:pPr>
    <w:rPr>
      <w:rFonts w:ascii="Arial" w:hAnsi="Arial"/>
      <w:b/>
      <w:noProof/>
      <w:color w:val="0070CD"/>
      <w:spacing w:val="-10"/>
      <w:kern w:val="28"/>
      <w:sz w:val="48"/>
    </w:rPr>
  </w:style>
  <w:style w:type="paragraph" w:styleId="TOCHeading">
    <w:name w:val="TOC Heading"/>
    <w:basedOn w:val="Heading1"/>
    <w:next w:val="Normal"/>
    <w:uiPriority w:val="39"/>
    <w:unhideWhenUsed/>
    <w:qFormat/>
    <w:rsid w:val="00FE42EB"/>
    <w:pPr>
      <w:keepLines/>
      <w:numPr>
        <w:numId w:val="0"/>
      </w:numPr>
      <w:tabs>
        <w:tab w:val="clear" w:pos="9360"/>
        <w:tab w:val="num" w:pos="1620"/>
        <w:tab w:val="num" w:pos="2160"/>
      </w:tabs>
      <w:spacing w:before="480" w:after="0" w:line="276" w:lineRule="auto"/>
      <w:outlineLvl w:val="9"/>
    </w:pPr>
    <w:rPr>
      <w:rFonts w:ascii="Cambria" w:hAnsi="Cambria"/>
      <w:bCs/>
      <w:color w:val="365F91"/>
      <w:kern w:val="0"/>
      <w:sz w:val="28"/>
      <w:szCs w:val="28"/>
    </w:rPr>
  </w:style>
  <w:style w:type="table" w:styleId="TableGrid1">
    <w:name w:val="Table Grid 1"/>
    <w:basedOn w:val="TableNormal"/>
    <w:rsid w:val="00025639"/>
    <w:pPr>
      <w:tabs>
        <w:tab w:val="left" w:pos="-1440"/>
        <w:tab w:val="left" w:pos="-720"/>
      </w:tabs>
      <w:spacing w:after="240" w:line="264" w:lineRule="auto"/>
      <w:ind w:left="3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7Char">
    <w:name w:val="Heading 7 Char"/>
    <w:aliases w:val="_z Other - Appendix 1st pg title (heading 7) Char"/>
    <w:basedOn w:val="DefaultParagraphFont"/>
    <w:link w:val="Heading7"/>
    <w:rsid w:val="00EA2A1F"/>
    <w:rPr>
      <w:rFonts w:ascii="Arial" w:hAnsi="Arial" w:cs="Microsoft Sans Serif"/>
      <w:b/>
      <w:bCs/>
      <w:color w:val="0070CD"/>
      <w:kern w:val="28"/>
      <w:sz w:val="32"/>
      <w:szCs w:val="52"/>
    </w:rPr>
  </w:style>
  <w:style w:type="character" w:customStyle="1" w:styleId="FooterChar">
    <w:name w:val="Footer Char"/>
    <w:aliases w:val="_z Other - Footer Char"/>
    <w:basedOn w:val="DefaultParagraphFont"/>
    <w:link w:val="Footer"/>
    <w:rsid w:val="006E01B0"/>
    <w:rPr>
      <w:rFonts w:ascii="Arial" w:hAnsi="Arial"/>
      <w:b/>
      <w:color w:val="1673CA"/>
      <w:sz w:val="18"/>
    </w:rPr>
  </w:style>
  <w:style w:type="character" w:customStyle="1" w:styleId="Heading6Char">
    <w:name w:val="Heading 6 Char"/>
    <w:aliases w:val="_z Other - Fine print  (heading 6) Char"/>
    <w:basedOn w:val="DefaultParagraphFont"/>
    <w:link w:val="Heading6"/>
    <w:rsid w:val="0067158D"/>
    <w:rPr>
      <w:rFonts w:ascii="Arial" w:hAnsi="Arial" w:cs="Arial"/>
      <w:sz w:val="16"/>
      <w:szCs w:val="16"/>
    </w:rPr>
  </w:style>
  <w:style w:type="paragraph" w:customStyle="1" w:styleId="zOther-Lastpageaddress">
    <w:name w:val="_z Other - Last page address"/>
    <w:qFormat/>
    <w:rsid w:val="002B0EE5"/>
    <w:pPr>
      <w:spacing w:line="360" w:lineRule="auto"/>
      <w:jc w:val="center"/>
    </w:pPr>
    <w:rPr>
      <w:rFonts w:ascii="Arial" w:hAnsi="Arial" w:cs="Arial"/>
      <w:color w:val="333333"/>
      <w:sz w:val="32"/>
      <w:szCs w:val="22"/>
    </w:rPr>
  </w:style>
  <w:style w:type="character" w:customStyle="1" w:styleId="Heading8Char">
    <w:name w:val="Heading 8 Char"/>
    <w:aliases w:val="_z Other - Appendix subhead Char"/>
    <w:basedOn w:val="DefaultParagraphFont"/>
    <w:link w:val="Heading8"/>
    <w:rsid w:val="00EA2A1F"/>
    <w:rPr>
      <w:rFonts w:ascii="Arial" w:hAnsi="Arial" w:cs="Microsoft Sans Serif"/>
      <w:b/>
      <w:iCs/>
      <w:color w:val="0070CD"/>
      <w:sz w:val="24"/>
      <w:szCs w:val="24"/>
    </w:rPr>
  </w:style>
  <w:style w:type="table" w:styleId="TableGrid">
    <w:name w:val="Table Grid"/>
    <w:aliases w:val="Hrztl Table,Nexant Table"/>
    <w:basedOn w:val="TableNormal"/>
    <w:uiPriority w:val="59"/>
    <w:rsid w:val="00250E9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Bodycells">
    <w:name w:val="_Tables - Body cells"/>
    <w:qFormat/>
    <w:rsid w:val="00A55CCA"/>
    <w:pPr>
      <w:keepNext/>
      <w:tabs>
        <w:tab w:val="left" w:pos="-1440"/>
        <w:tab w:val="left" w:pos="-720"/>
        <w:tab w:val="center" w:pos="720"/>
      </w:tabs>
      <w:spacing w:before="40" w:after="40" w:line="288" w:lineRule="auto"/>
    </w:pPr>
    <w:rPr>
      <w:rFonts w:ascii="Arial" w:hAnsi="Arial" w:cs="Microsoft Sans Serif"/>
      <w:sz w:val="18"/>
    </w:rPr>
  </w:style>
  <w:style w:type="numbering" w:customStyle="1" w:styleId="n">
    <w:name w:val="n"/>
    <w:aliases w:val="number"/>
    <w:basedOn w:val="NoList"/>
    <w:rsid w:val="00454747"/>
    <w:pPr>
      <w:numPr>
        <w:numId w:val="1"/>
      </w:numPr>
    </w:pPr>
  </w:style>
  <w:style w:type="character" w:styleId="PlaceholderText">
    <w:name w:val="Placeholder Text"/>
    <w:basedOn w:val="DefaultParagraphFont"/>
    <w:uiPriority w:val="99"/>
    <w:semiHidden/>
    <w:rsid w:val="004B59EE"/>
    <w:rPr>
      <w:color w:val="808080"/>
    </w:rPr>
  </w:style>
  <w:style w:type="table" w:customStyle="1" w:styleId="NEXANTNEWTABLESTYLE">
    <w:name w:val="NEXANT NEW TABLE STYLE"/>
    <w:basedOn w:val="TableNormal"/>
    <w:uiPriority w:val="99"/>
    <w:rsid w:val="00EA2A1F"/>
    <w:pPr>
      <w:tabs>
        <w:tab w:val="center" w:pos="720"/>
      </w:tabs>
    </w:pPr>
    <w:tblPr>
      <w:tblBorders>
        <w:top w:val="single" w:sz="4" w:space="0" w:color="1673CA"/>
        <w:bottom w:val="single" w:sz="4" w:space="0" w:color="1673CA"/>
        <w:insideH w:val="single" w:sz="4" w:space="0" w:color="1673CA"/>
        <w:insideV w:val="dotted" w:sz="4" w:space="0" w:color="1673CA"/>
      </w:tblBorders>
    </w:tblPr>
    <w:tblStylePr w:type="firstRow">
      <w:pPr>
        <w:jc w:val="center"/>
      </w:pPr>
      <w:rPr>
        <w:rFonts w:ascii="Calibri" w:hAnsi="Calibri"/>
        <w:b/>
        <w:color w:val="FFFFFF" w:themeColor="background1"/>
      </w:rPr>
      <w:tblPr/>
      <w:tcPr>
        <w:shd w:val="clear" w:color="auto" w:fill="0070CD"/>
      </w:tcPr>
    </w:tblStylePr>
  </w:style>
  <w:style w:type="character" w:styleId="EndnoteReference">
    <w:name w:val="endnote reference"/>
    <w:aliases w:val="_z Other - Endnote reference"/>
    <w:basedOn w:val="DefaultParagraphFont"/>
    <w:rsid w:val="00D43BAE"/>
    <w:rPr>
      <w:rFonts w:ascii="Arial" w:hAnsi="Arial"/>
      <w:vertAlign w:val="superscript"/>
    </w:rPr>
  </w:style>
  <w:style w:type="paragraph" w:styleId="Title">
    <w:name w:val="Title"/>
    <w:aliases w:val="_Title page - main title,Nexant Title"/>
    <w:basedOn w:val="Normal"/>
    <w:next w:val="Titlepage-clientandsubctr"/>
    <w:link w:val="TitleChar"/>
    <w:uiPriority w:val="10"/>
    <w:qFormat/>
    <w:rsid w:val="00F241D3"/>
    <w:pPr>
      <w:spacing w:before="6960" w:after="300" w:line="216" w:lineRule="auto"/>
      <w:ind w:left="0"/>
    </w:pPr>
    <w:rPr>
      <w:rFonts w:ascii="Arial" w:eastAsia="MS Gothic" w:hAnsi="Arial"/>
      <w:color w:val="0070CD"/>
      <w:spacing w:val="5"/>
      <w:kern w:val="28"/>
      <w:sz w:val="56"/>
      <w:szCs w:val="52"/>
    </w:rPr>
  </w:style>
  <w:style w:type="character" w:customStyle="1" w:styleId="TitleChar">
    <w:name w:val="Title Char"/>
    <w:aliases w:val="_Title page - main title Char,Nexant Title Char"/>
    <w:basedOn w:val="DefaultParagraphFont"/>
    <w:link w:val="Title"/>
    <w:uiPriority w:val="10"/>
    <w:rsid w:val="00F241D3"/>
    <w:rPr>
      <w:rFonts w:ascii="Arial" w:eastAsia="MS Gothic" w:hAnsi="Arial"/>
      <w:color w:val="0070CD"/>
      <w:spacing w:val="5"/>
      <w:kern w:val="28"/>
      <w:sz w:val="56"/>
      <w:szCs w:val="52"/>
    </w:rPr>
  </w:style>
  <w:style w:type="table" w:customStyle="1" w:styleId="HrztlTable1">
    <w:name w:val="Hrztl Table1"/>
    <w:basedOn w:val="TableNormal"/>
    <w:next w:val="TableGrid"/>
    <w:uiPriority w:val="59"/>
    <w:rsid w:val="003105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rsid w:val="00E50165"/>
    <w:pPr>
      <w:tabs>
        <w:tab w:val="left" w:pos="-1440"/>
        <w:tab w:val="left" w:pos="-720"/>
      </w:tabs>
      <w:spacing w:after="240" w:line="264" w:lineRule="auto"/>
      <w:ind w:left="3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itlepage-topleft">
    <w:name w:val="_Title page - top left"/>
    <w:qFormat/>
    <w:rsid w:val="00F241D3"/>
    <w:rPr>
      <w:rFonts w:asciiTheme="minorHAnsi" w:hAnsiTheme="minorHAnsi"/>
      <w:b/>
      <w:color w:val="77BC1F"/>
      <w:sz w:val="36"/>
      <w:szCs w:val="36"/>
    </w:rPr>
  </w:style>
  <w:style w:type="paragraph" w:customStyle="1" w:styleId="Text-nospacebelow">
    <w:name w:val="__Text - no space below"/>
    <w:basedOn w:val="Text"/>
    <w:next w:val="Text"/>
    <w:qFormat/>
    <w:rsid w:val="009576C4"/>
    <w:pPr>
      <w:spacing w:after="0"/>
    </w:pPr>
  </w:style>
  <w:style w:type="paragraph" w:customStyle="1" w:styleId="Titlepage-clientandsubctr">
    <w:name w:val="_Title page - client and subctr"/>
    <w:qFormat/>
    <w:rsid w:val="00B76D64"/>
    <w:pPr>
      <w:spacing w:after="120" w:line="264" w:lineRule="auto"/>
    </w:pPr>
    <w:rPr>
      <w:rFonts w:ascii="Arial" w:hAnsi="Arial" w:cs="Arial"/>
      <w:color w:val="7F7F7F" w:themeColor="text1" w:themeTint="80"/>
      <w:sz w:val="40"/>
    </w:rPr>
  </w:style>
  <w:style w:type="paragraph" w:customStyle="1" w:styleId="Text">
    <w:name w:val="__Text"/>
    <w:qFormat/>
    <w:rsid w:val="00006602"/>
    <w:pPr>
      <w:spacing w:after="240" w:line="288" w:lineRule="auto"/>
    </w:pPr>
    <w:rPr>
      <w:rFonts w:ascii="Arial" w:hAnsi="Arial" w:cs="Arial"/>
      <w:color w:val="333333"/>
      <w:sz w:val="22"/>
      <w:szCs w:val="22"/>
    </w:rPr>
  </w:style>
  <w:style w:type="paragraph" w:customStyle="1" w:styleId="Intropages-coverlettersubjectline">
    <w:name w:val="_Intro pages - cover letter subject line"/>
    <w:next w:val="Text"/>
    <w:qFormat/>
    <w:rsid w:val="00F241D3"/>
    <w:pPr>
      <w:spacing w:after="240"/>
    </w:pPr>
    <w:rPr>
      <w:rFonts w:ascii="Arial" w:hAnsi="Arial" w:cs="Arial"/>
      <w:b/>
      <w:color w:val="0070CD"/>
      <w:sz w:val="22"/>
      <w:szCs w:val="18"/>
    </w:rPr>
  </w:style>
  <w:style w:type="paragraph" w:customStyle="1" w:styleId="zOther-Internalnotes">
    <w:name w:val="_z Other - Internal notes"/>
    <w:qFormat/>
    <w:rsid w:val="004E1E10"/>
    <w:pPr>
      <w:spacing w:line="264" w:lineRule="auto"/>
    </w:pPr>
    <w:rPr>
      <w:rFonts w:ascii="Arial" w:hAnsi="Arial" w:cs="Arial"/>
      <w:b/>
      <w:color w:val="FF0000"/>
      <w:sz w:val="22"/>
      <w:szCs w:val="18"/>
    </w:rPr>
  </w:style>
  <w:style w:type="paragraph" w:customStyle="1" w:styleId="Intropages-reimaginetext">
    <w:name w:val="_Intro pages - reimagine text"/>
    <w:qFormat/>
    <w:rsid w:val="00F241D3"/>
    <w:pPr>
      <w:spacing w:line="300" w:lineRule="auto"/>
    </w:pPr>
    <w:rPr>
      <w:rFonts w:ascii="Arial" w:hAnsi="Arial" w:cs="Microsoft Sans Serif"/>
      <w:color w:val="0070CD"/>
      <w:sz w:val="24"/>
      <w:szCs w:val="24"/>
    </w:rPr>
  </w:style>
  <w:style w:type="paragraph" w:customStyle="1" w:styleId="Mainbody-Bullets">
    <w:name w:val="_Main body - Bullets"/>
    <w:link w:val="Mainbody-BulletsChar"/>
    <w:qFormat/>
    <w:rsid w:val="00006602"/>
    <w:pPr>
      <w:numPr>
        <w:numId w:val="4"/>
      </w:numPr>
      <w:spacing w:after="120" w:line="264" w:lineRule="auto"/>
    </w:pPr>
    <w:rPr>
      <w:rFonts w:ascii="Arial" w:hAnsi="Arial" w:cs="Microsoft Sans Serif"/>
      <w:color w:val="333333"/>
      <w:sz w:val="22"/>
      <w:szCs w:val="22"/>
    </w:rPr>
  </w:style>
  <w:style w:type="character" w:customStyle="1" w:styleId="zOther-Crossrefintext">
    <w:name w:val="_zOther - Cross ref in text"/>
    <w:uiPriority w:val="1"/>
    <w:qFormat/>
    <w:rsid w:val="00B64965"/>
    <w:rPr>
      <w:color w:val="0070C0"/>
    </w:rPr>
  </w:style>
  <w:style w:type="paragraph" w:customStyle="1" w:styleId="Mainbody-Bulletsoutforlastbullet">
    <w:name w:val="_Main body - Bullets out (for last bullet)"/>
    <w:basedOn w:val="Mainbody-Bullets"/>
    <w:next w:val="Text"/>
    <w:qFormat/>
    <w:rsid w:val="00C76B12"/>
    <w:pPr>
      <w:spacing w:after="240"/>
    </w:pPr>
  </w:style>
  <w:style w:type="paragraph" w:customStyle="1" w:styleId="Mainbody-Outline">
    <w:name w:val="_Main body - Outline"/>
    <w:qFormat/>
    <w:rsid w:val="00A55CCA"/>
    <w:pPr>
      <w:numPr>
        <w:numId w:val="5"/>
      </w:numPr>
      <w:spacing w:after="120" w:line="288" w:lineRule="auto"/>
      <w:ind w:left="907"/>
    </w:pPr>
    <w:rPr>
      <w:rFonts w:ascii="Arial" w:hAnsi="Arial" w:cs="Microsoft Sans Serif"/>
      <w:color w:val="333333"/>
      <w:sz w:val="22"/>
      <w:szCs w:val="22"/>
    </w:rPr>
  </w:style>
  <w:style w:type="paragraph" w:customStyle="1" w:styleId="Mainbody-Outlineoutextraspaceafterlastitem">
    <w:name w:val="_Main body - Outline out (extra space after last item)"/>
    <w:basedOn w:val="Mainbody-Outline"/>
    <w:next w:val="Text"/>
    <w:qFormat/>
    <w:rsid w:val="00A55CCA"/>
    <w:pPr>
      <w:spacing w:after="280"/>
    </w:pPr>
  </w:style>
  <w:style w:type="paragraph" w:customStyle="1" w:styleId="Mainbody-Captiontable">
    <w:name w:val="_Main body - Caption table"/>
    <w:next w:val="Text"/>
    <w:link w:val="Mainbody-CaptiontableChar"/>
    <w:qFormat/>
    <w:rsid w:val="00130801"/>
    <w:pPr>
      <w:keepNext/>
      <w:spacing w:line="288" w:lineRule="auto"/>
      <w:jc w:val="center"/>
    </w:pPr>
    <w:rPr>
      <w:rFonts w:ascii="Arial" w:hAnsi="Arial" w:cs="Microsoft Sans Serif"/>
      <w:b/>
      <w:color w:val="0070CD"/>
      <w:sz w:val="22"/>
    </w:rPr>
  </w:style>
  <w:style w:type="paragraph" w:customStyle="1" w:styleId="Mainbody-Captionequation">
    <w:name w:val="_Main body - Caption equation"/>
    <w:next w:val="Text"/>
    <w:qFormat/>
    <w:rsid w:val="00B34B95"/>
    <w:pPr>
      <w:spacing w:line="288" w:lineRule="auto"/>
      <w:jc w:val="center"/>
    </w:pPr>
    <w:rPr>
      <w:rFonts w:ascii="Arial" w:hAnsi="Arial" w:cs="Microsoft Sans Serif"/>
      <w:b/>
      <w:color w:val="0070CD"/>
      <w:sz w:val="22"/>
    </w:rPr>
  </w:style>
  <w:style w:type="paragraph" w:customStyle="1" w:styleId="IntroPages-Listoffiguresbody">
    <w:name w:val="_Intro Pages - List of figures body"/>
    <w:basedOn w:val="Normal"/>
    <w:qFormat/>
    <w:rsid w:val="001E3C20"/>
    <w:pPr>
      <w:tabs>
        <w:tab w:val="clear" w:pos="-1440"/>
        <w:tab w:val="clear" w:pos="-720"/>
        <w:tab w:val="right" w:leader="dot" w:pos="9350"/>
      </w:tabs>
      <w:spacing w:after="0" w:line="288" w:lineRule="auto"/>
      <w:ind w:left="0"/>
    </w:pPr>
    <w:rPr>
      <w:rFonts w:ascii="Arial" w:hAnsi="Arial"/>
      <w:noProof/>
    </w:rPr>
  </w:style>
  <w:style w:type="paragraph" w:customStyle="1" w:styleId="Titlepage-Date">
    <w:name w:val="_Title page - Date"/>
    <w:qFormat/>
    <w:rsid w:val="001B7E62"/>
    <w:pPr>
      <w:spacing w:after="60" w:line="288" w:lineRule="auto"/>
    </w:pPr>
    <w:rPr>
      <w:rFonts w:ascii="Arial" w:eastAsia="Adobe Heiti Std R" w:hAnsi="Arial" w:cs="Arial"/>
      <w:color w:val="7F7F7F" w:themeColor="text1" w:themeTint="80"/>
      <w:sz w:val="32"/>
      <w:szCs w:val="32"/>
    </w:rPr>
  </w:style>
  <w:style w:type="paragraph" w:customStyle="1" w:styleId="Mainbody-Projectname">
    <w:name w:val="_Main body - Project name"/>
    <w:next w:val="Text"/>
    <w:qFormat/>
    <w:rsid w:val="00757707"/>
    <w:pPr>
      <w:spacing w:after="60" w:line="264" w:lineRule="auto"/>
    </w:pPr>
    <w:rPr>
      <w:rFonts w:ascii="Arial" w:hAnsi="Arial" w:cs="Microsoft Sans Serif"/>
      <w:b/>
      <w:color w:val="0070CD"/>
      <w:sz w:val="24"/>
      <w:szCs w:val="22"/>
    </w:rPr>
  </w:style>
  <w:style w:type="paragraph" w:customStyle="1" w:styleId="Mainbody-Staffbiotitle">
    <w:name w:val="_Main body - Staff bio title"/>
    <w:next w:val="Text"/>
    <w:qFormat/>
    <w:rsid w:val="00A55CCA"/>
    <w:pPr>
      <w:spacing w:after="60" w:line="288" w:lineRule="auto"/>
    </w:pPr>
    <w:rPr>
      <w:rFonts w:ascii="Arial" w:hAnsi="Arial"/>
      <w:b/>
      <w:bCs/>
      <w:caps/>
      <w:noProof/>
      <w:color w:val="333333"/>
      <w:sz w:val="22"/>
      <w:szCs w:val="28"/>
    </w:rPr>
  </w:style>
  <w:style w:type="paragraph" w:styleId="BalloonText">
    <w:name w:val="Balloon Text"/>
    <w:basedOn w:val="Normal"/>
    <w:link w:val="BalloonTextChar"/>
    <w:uiPriority w:val="99"/>
    <w:rsid w:val="00AA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6D92"/>
    <w:rPr>
      <w:rFonts w:ascii="Tahoma" w:hAnsi="Tahoma" w:cs="Tahoma"/>
      <w:sz w:val="16"/>
      <w:szCs w:val="16"/>
    </w:rPr>
  </w:style>
  <w:style w:type="paragraph" w:customStyle="1" w:styleId="IntroPages-Listoffiguresheadings">
    <w:name w:val="_Intro Pages - List of figures headings"/>
    <w:basedOn w:val="Text"/>
    <w:next w:val="IntroPages-Listoffiguresbody"/>
    <w:qFormat/>
    <w:rsid w:val="00F241D3"/>
    <w:pPr>
      <w:spacing w:after="60"/>
    </w:pPr>
    <w:rPr>
      <w:b/>
      <w:color w:val="0070CD"/>
      <w:sz w:val="28"/>
    </w:rPr>
  </w:style>
  <w:style w:type="paragraph" w:styleId="TableofFigures">
    <w:name w:val="table of figures"/>
    <w:basedOn w:val="Normal"/>
    <w:next w:val="Normal"/>
    <w:uiPriority w:val="99"/>
    <w:rsid w:val="00AD0374"/>
    <w:pPr>
      <w:tabs>
        <w:tab w:val="clear" w:pos="-1440"/>
        <w:tab w:val="clear" w:pos="-720"/>
      </w:tabs>
      <w:spacing w:after="0"/>
      <w:ind w:left="0"/>
    </w:pPr>
  </w:style>
  <w:style w:type="paragraph" w:customStyle="1" w:styleId="Bullets">
    <w:name w:val="Bullets"/>
    <w:basedOn w:val="Normal"/>
    <w:qFormat/>
    <w:rsid w:val="005B36D4"/>
    <w:pPr>
      <w:numPr>
        <w:numId w:val="7"/>
      </w:numPr>
      <w:tabs>
        <w:tab w:val="clear" w:pos="-1440"/>
        <w:tab w:val="clear" w:pos="-720"/>
      </w:tabs>
      <w:spacing w:after="120" w:line="240" w:lineRule="auto"/>
    </w:pPr>
    <w:rPr>
      <w:rFonts w:cs="Arial"/>
      <w:color w:val="1C1C1C"/>
      <w:szCs w:val="21"/>
    </w:rPr>
  </w:style>
  <w:style w:type="character" w:customStyle="1" w:styleId="CaptionChar1">
    <w:name w:val="Caption Char1"/>
    <w:aliases w:val="_Main body - Caption figure Char,Caption Char Char,Table Caption Char,Char Char, Char Char,Figure Char,_Main body - Caption Char"/>
    <w:basedOn w:val="DefaultParagraphFont"/>
    <w:link w:val="Caption"/>
    <w:uiPriority w:val="99"/>
    <w:locked/>
    <w:rsid w:val="00EC568A"/>
    <w:rPr>
      <w:rFonts w:ascii="Arial" w:hAnsi="Arial" w:cs="Microsoft Sans Serif"/>
      <w:b/>
      <w:color w:val="0070CD"/>
      <w:sz w:val="22"/>
    </w:rPr>
  </w:style>
  <w:style w:type="character" w:styleId="CommentReference">
    <w:name w:val="annotation reference"/>
    <w:basedOn w:val="DefaultParagraphFont"/>
    <w:uiPriority w:val="99"/>
    <w:rsid w:val="00876C5C"/>
    <w:rPr>
      <w:sz w:val="16"/>
      <w:szCs w:val="16"/>
    </w:rPr>
  </w:style>
  <w:style w:type="paragraph" w:styleId="CommentText">
    <w:name w:val="annotation text"/>
    <w:basedOn w:val="Normal"/>
    <w:link w:val="CommentTextChar"/>
    <w:uiPriority w:val="99"/>
    <w:rsid w:val="00876C5C"/>
    <w:pPr>
      <w:spacing w:line="240" w:lineRule="auto"/>
    </w:pPr>
    <w:rPr>
      <w:sz w:val="20"/>
    </w:rPr>
  </w:style>
  <w:style w:type="character" w:customStyle="1" w:styleId="CommentTextChar">
    <w:name w:val="Comment Text Char"/>
    <w:basedOn w:val="DefaultParagraphFont"/>
    <w:link w:val="CommentText"/>
    <w:uiPriority w:val="99"/>
    <w:rsid w:val="00876C5C"/>
    <w:rPr>
      <w:rFonts w:asciiTheme="minorHAnsi" w:hAnsiTheme="minorHAnsi"/>
    </w:rPr>
  </w:style>
  <w:style w:type="paragraph" w:styleId="CommentSubject">
    <w:name w:val="annotation subject"/>
    <w:basedOn w:val="CommentText"/>
    <w:next w:val="CommentText"/>
    <w:link w:val="CommentSubjectChar"/>
    <w:uiPriority w:val="99"/>
    <w:rsid w:val="00876C5C"/>
    <w:rPr>
      <w:b/>
      <w:bCs/>
    </w:rPr>
  </w:style>
  <w:style w:type="character" w:customStyle="1" w:styleId="CommentSubjectChar">
    <w:name w:val="Comment Subject Char"/>
    <w:basedOn w:val="CommentTextChar"/>
    <w:link w:val="CommentSubject"/>
    <w:uiPriority w:val="99"/>
    <w:rsid w:val="00876C5C"/>
    <w:rPr>
      <w:rFonts w:asciiTheme="minorHAnsi" w:hAnsiTheme="minorHAnsi"/>
      <w:b/>
      <w:bCs/>
    </w:rPr>
  </w:style>
  <w:style w:type="paragraph" w:customStyle="1" w:styleId="Questions">
    <w:name w:val="Questions"/>
    <w:link w:val="QuestionsChar"/>
    <w:qFormat/>
    <w:rsid w:val="00817203"/>
    <w:pPr>
      <w:numPr>
        <w:numId w:val="9"/>
      </w:numPr>
      <w:spacing w:after="120"/>
    </w:pPr>
    <w:rPr>
      <w:rFonts w:ascii="Times New Roman" w:hAnsi="Times New Roman"/>
      <w:sz w:val="24"/>
      <w:szCs w:val="24"/>
    </w:rPr>
  </w:style>
  <w:style w:type="paragraph" w:customStyle="1" w:styleId="QuestionsNewLine">
    <w:name w:val="Questions New Line"/>
    <w:qFormat/>
    <w:rsid w:val="00817203"/>
    <w:pPr>
      <w:numPr>
        <w:ilvl w:val="1"/>
        <w:numId w:val="9"/>
      </w:numPr>
    </w:pPr>
    <w:rPr>
      <w:rFonts w:ascii="Times New Roman" w:hAnsi="Times New Roman"/>
      <w:sz w:val="24"/>
      <w:szCs w:val="24"/>
    </w:rPr>
  </w:style>
  <w:style w:type="character" w:customStyle="1" w:styleId="QuestionsChar">
    <w:name w:val="Questions Char"/>
    <w:basedOn w:val="DefaultParagraphFont"/>
    <w:link w:val="Questions"/>
    <w:rsid w:val="00817203"/>
    <w:rPr>
      <w:rFonts w:ascii="Times New Roman" w:hAnsi="Times New Roman"/>
      <w:sz w:val="24"/>
      <w:szCs w:val="24"/>
    </w:rPr>
  </w:style>
  <w:style w:type="paragraph" w:customStyle="1" w:styleId="ResponseOption">
    <w:name w:val="Response Option"/>
    <w:link w:val="ResponseOptionChar"/>
    <w:qFormat/>
    <w:rsid w:val="00817203"/>
    <w:pPr>
      <w:numPr>
        <w:ilvl w:val="2"/>
        <w:numId w:val="9"/>
      </w:numPr>
      <w:spacing w:before="120"/>
      <w:contextualSpacing/>
    </w:pPr>
    <w:rPr>
      <w:rFonts w:ascii="Times New Roman" w:hAnsi="Times New Roman"/>
      <w:sz w:val="24"/>
      <w:szCs w:val="24"/>
    </w:rPr>
  </w:style>
  <w:style w:type="paragraph" w:customStyle="1" w:styleId="ResponseOption-96">
    <w:name w:val="Response Option -96"/>
    <w:qFormat/>
    <w:rsid w:val="00817203"/>
    <w:pPr>
      <w:numPr>
        <w:ilvl w:val="3"/>
        <w:numId w:val="9"/>
      </w:numPr>
      <w:spacing w:after="240"/>
      <w:contextualSpacing/>
    </w:pPr>
    <w:rPr>
      <w:rFonts w:ascii="Times New Roman" w:hAnsi="Times New Roman"/>
      <w:sz w:val="24"/>
      <w:szCs w:val="24"/>
    </w:rPr>
  </w:style>
  <w:style w:type="paragraph" w:customStyle="1" w:styleId="ResponseOption-98">
    <w:name w:val="Response Option -98"/>
    <w:qFormat/>
    <w:rsid w:val="00817203"/>
    <w:pPr>
      <w:numPr>
        <w:ilvl w:val="4"/>
        <w:numId w:val="9"/>
      </w:numPr>
      <w:spacing w:after="240"/>
      <w:contextualSpacing/>
    </w:pPr>
    <w:rPr>
      <w:rFonts w:ascii="Times New Roman" w:hAnsi="Times New Roman"/>
      <w:sz w:val="24"/>
      <w:szCs w:val="24"/>
    </w:rPr>
  </w:style>
  <w:style w:type="paragraph" w:customStyle="1" w:styleId="QResponse">
    <w:name w:val="Q Response"/>
    <w:qFormat/>
    <w:rsid w:val="00817203"/>
    <w:pPr>
      <w:numPr>
        <w:ilvl w:val="6"/>
        <w:numId w:val="9"/>
      </w:numPr>
      <w:spacing w:after="120"/>
    </w:pPr>
    <w:rPr>
      <w:rFonts w:ascii="Times New Roman" w:hAnsi="Times New Roman"/>
      <w:color w:val="0070C0"/>
      <w:sz w:val="24"/>
      <w:szCs w:val="24"/>
    </w:rPr>
  </w:style>
  <w:style w:type="numbering" w:customStyle="1" w:styleId="QuestionsList">
    <w:name w:val="Questions List"/>
    <w:basedOn w:val="NoList"/>
    <w:uiPriority w:val="99"/>
    <w:rsid w:val="00817203"/>
    <w:pPr>
      <w:numPr>
        <w:numId w:val="9"/>
      </w:numPr>
    </w:pPr>
  </w:style>
  <w:style w:type="paragraph" w:customStyle="1" w:styleId="QScreening">
    <w:name w:val="Q Screening"/>
    <w:qFormat/>
    <w:rsid w:val="00817203"/>
    <w:pPr>
      <w:numPr>
        <w:ilvl w:val="5"/>
        <w:numId w:val="9"/>
      </w:numPr>
      <w:spacing w:after="120"/>
    </w:pPr>
    <w:rPr>
      <w:rFonts w:ascii="Times New Roman" w:hAnsi="Times New Roman"/>
      <w:sz w:val="24"/>
      <w:szCs w:val="24"/>
    </w:rPr>
  </w:style>
  <w:style w:type="paragraph" w:styleId="ListParagraph">
    <w:name w:val="List Paragraph"/>
    <w:aliases w:val="Nexant List Paragraph"/>
    <w:basedOn w:val="Normal"/>
    <w:uiPriority w:val="34"/>
    <w:qFormat/>
    <w:rsid w:val="00817203"/>
    <w:pPr>
      <w:tabs>
        <w:tab w:val="clear" w:pos="-1440"/>
        <w:tab w:val="clear" w:pos="-720"/>
      </w:tabs>
      <w:spacing w:after="200" w:line="276" w:lineRule="auto"/>
      <w:ind w:left="720"/>
      <w:contextualSpacing/>
    </w:pPr>
    <w:rPr>
      <w:rFonts w:eastAsiaTheme="minorHAnsi" w:cstheme="minorBidi"/>
      <w:szCs w:val="22"/>
    </w:rPr>
  </w:style>
  <w:style w:type="paragraph" w:styleId="TOC5">
    <w:name w:val="toc 5"/>
    <w:basedOn w:val="Normal"/>
    <w:next w:val="Normal"/>
    <w:autoRedefine/>
    <w:uiPriority w:val="39"/>
    <w:unhideWhenUsed/>
    <w:rsid w:val="00DD25C4"/>
    <w:pPr>
      <w:tabs>
        <w:tab w:val="clear" w:pos="-1440"/>
        <w:tab w:val="clear" w:pos="-720"/>
      </w:tabs>
      <w:spacing w:after="100" w:line="276" w:lineRule="auto"/>
      <w:ind w:left="880"/>
    </w:pPr>
    <w:rPr>
      <w:rFonts w:eastAsiaTheme="minorEastAsia" w:cstheme="minorBidi"/>
      <w:szCs w:val="22"/>
    </w:rPr>
  </w:style>
  <w:style w:type="paragraph" w:styleId="TOC7">
    <w:name w:val="toc 7"/>
    <w:basedOn w:val="Normal"/>
    <w:next w:val="Normal"/>
    <w:autoRedefine/>
    <w:uiPriority w:val="39"/>
    <w:unhideWhenUsed/>
    <w:rsid w:val="00DD25C4"/>
    <w:pPr>
      <w:tabs>
        <w:tab w:val="clear" w:pos="-1440"/>
        <w:tab w:val="clear" w:pos="-720"/>
      </w:tabs>
      <w:spacing w:after="100" w:line="276" w:lineRule="auto"/>
      <w:ind w:left="1320"/>
    </w:pPr>
    <w:rPr>
      <w:rFonts w:eastAsiaTheme="minorEastAsia" w:cstheme="minorBidi"/>
      <w:szCs w:val="22"/>
    </w:rPr>
  </w:style>
  <w:style w:type="paragraph" w:styleId="TOC8">
    <w:name w:val="toc 8"/>
    <w:basedOn w:val="Normal"/>
    <w:next w:val="Normal"/>
    <w:autoRedefine/>
    <w:uiPriority w:val="39"/>
    <w:unhideWhenUsed/>
    <w:rsid w:val="00DD25C4"/>
    <w:pPr>
      <w:tabs>
        <w:tab w:val="clear" w:pos="-1440"/>
        <w:tab w:val="clear" w:pos="-720"/>
      </w:tabs>
      <w:spacing w:after="100" w:line="276" w:lineRule="auto"/>
      <w:ind w:left="1540"/>
    </w:pPr>
    <w:rPr>
      <w:rFonts w:eastAsiaTheme="minorEastAsia" w:cstheme="minorBidi"/>
      <w:szCs w:val="22"/>
    </w:rPr>
  </w:style>
  <w:style w:type="paragraph" w:styleId="TOC9">
    <w:name w:val="toc 9"/>
    <w:basedOn w:val="Normal"/>
    <w:next w:val="Normal"/>
    <w:autoRedefine/>
    <w:uiPriority w:val="39"/>
    <w:unhideWhenUsed/>
    <w:rsid w:val="00DD25C4"/>
    <w:pPr>
      <w:tabs>
        <w:tab w:val="clear" w:pos="-1440"/>
        <w:tab w:val="clear" w:pos="-720"/>
      </w:tabs>
      <w:spacing w:after="100" w:line="276" w:lineRule="auto"/>
      <w:ind w:left="1760"/>
    </w:pPr>
    <w:rPr>
      <w:rFonts w:eastAsiaTheme="minorEastAsia" w:cstheme="minorBidi"/>
      <w:szCs w:val="22"/>
    </w:rPr>
  </w:style>
  <w:style w:type="character" w:customStyle="1" w:styleId="FootnoteTextChar">
    <w:name w:val="Footnote Text Char"/>
    <w:aliases w:val="Footnote Text1 Char Char,Footnote Text Char Ch Char,Footnote Text Char Ch Char Char Char Char,Footnote Text Char Ch Char Char Char1,Footnote Text1 Char Char Char Char,ft Char Char,ft Char1,Char2 Char Char,TBG Style Char,fn Char"/>
    <w:basedOn w:val="DefaultParagraphFont"/>
    <w:link w:val="FootnoteText"/>
    <w:rsid w:val="00A74A62"/>
    <w:rPr>
      <w:rFonts w:ascii="Arial" w:hAnsi="Arial"/>
      <w:color w:val="4D4D4D"/>
      <w:sz w:val="16"/>
    </w:rPr>
  </w:style>
  <w:style w:type="paragraph" w:customStyle="1" w:styleId="Mainbody-BulletsOut">
    <w:name w:val="_Main body - Bullets Out"/>
    <w:basedOn w:val="Mainbody-Bullets"/>
    <w:link w:val="Mainbody-BulletsOutChar"/>
    <w:qFormat/>
    <w:rsid w:val="009A2149"/>
    <w:pPr>
      <w:numPr>
        <w:numId w:val="10"/>
      </w:numPr>
      <w:spacing w:after="240"/>
      <w:ind w:left="720"/>
    </w:pPr>
  </w:style>
  <w:style w:type="character" w:customStyle="1" w:styleId="Mainbody-BulletsOutChar">
    <w:name w:val="_Main body - Bullets Out Char"/>
    <w:basedOn w:val="DefaultParagraphFont"/>
    <w:link w:val="Mainbody-BulletsOut"/>
    <w:rsid w:val="009A2149"/>
    <w:rPr>
      <w:rFonts w:ascii="Arial" w:hAnsi="Arial" w:cs="Microsoft Sans Serif"/>
      <w:color w:val="333333"/>
      <w:sz w:val="22"/>
      <w:szCs w:val="22"/>
    </w:rPr>
  </w:style>
  <w:style w:type="table" w:styleId="TableGrid8">
    <w:name w:val="Table Grid 8"/>
    <w:aliases w:val="NexTable"/>
    <w:basedOn w:val="TableNormal"/>
    <w:rsid w:val="00425442"/>
    <w:pPr>
      <w:keepNext/>
      <w:tabs>
        <w:tab w:val="left" w:pos="-1440"/>
        <w:tab w:val="left" w:pos="-720"/>
      </w:tabs>
      <w:spacing w:line="240" w:lineRule="atLeast"/>
    </w:pPr>
    <w:rPr>
      <w:rFonts w:ascii="Calibri" w:hAnsi="Calibri"/>
      <w:sz w:val="22"/>
    </w:rPr>
    <w:tblPr>
      <w:tblStyleRowBandSize w:val="1"/>
      <w:tblStyleColBandSize w:val="1"/>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FFFFFF"/>
    </w:tcPr>
    <w:tblStylePr w:type="firstRow">
      <w:pPr>
        <w:jc w:val="left"/>
      </w:pPr>
      <w:rPr>
        <w:b/>
        <w:bCs/>
        <w:color w:val="FFFFFF"/>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FFFFFF"/>
          <w:tl2br w:val="nil"/>
          <w:tr2bl w:val="nil"/>
        </w:tcBorders>
        <w:shd w:val="clear" w:color="auto" w:fill="1F497D"/>
      </w:tcPr>
    </w:tblStylePr>
    <w:tblStylePr w:type="lastRow">
      <w:rPr>
        <w:b w:val="0"/>
        <w:bCs/>
        <w:color w:val="FFFFFF"/>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FFFFFF"/>
          <w:tl2br w:val="nil"/>
          <w:tr2bl w:val="nil"/>
        </w:tcBorders>
        <w:shd w:val="clear" w:color="auto" w:fill="1F497D"/>
      </w:tcPr>
    </w:tblStylePr>
    <w:tblStylePr w:type="lastCol">
      <w:rPr>
        <w:b w:val="0"/>
        <w:bCs/>
        <w:color w:val="auto"/>
      </w:rPr>
      <w:tblPr/>
      <w:tcPr>
        <w:tcBorders>
          <w:tl2br w:val="none" w:sz="0" w:space="0" w:color="auto"/>
          <w:tr2bl w:val="none" w:sz="0" w:space="0" w:color="auto"/>
        </w:tcBorders>
      </w:tcPr>
    </w:tblStylePr>
    <w:tblStylePr w:type="band2Horz">
      <w:tblPr/>
      <w:tcPr>
        <w:shd w:val="clear" w:color="auto" w:fill="D9D9D9"/>
      </w:tcPr>
    </w:tblStylePr>
  </w:style>
  <w:style w:type="paragraph" w:customStyle="1" w:styleId="TableHeading">
    <w:name w:val="Table Heading"/>
    <w:basedOn w:val="Normal"/>
    <w:link w:val="TableHeadingChar1"/>
    <w:rsid w:val="00425442"/>
    <w:pPr>
      <w:keepNext/>
      <w:numPr>
        <w:ilvl w:val="12"/>
      </w:numPr>
      <w:tabs>
        <w:tab w:val="clear" w:pos="-1440"/>
        <w:tab w:val="clear" w:pos="-720"/>
      </w:tabs>
      <w:spacing w:before="120" w:after="60" w:line="240" w:lineRule="auto"/>
      <w:ind w:left="360"/>
      <w:jc w:val="center"/>
    </w:pPr>
    <w:rPr>
      <w:rFonts w:ascii="Arial Bold" w:hAnsi="Arial Bold" w:cs="Arial"/>
      <w:b/>
      <w:smallCaps/>
      <w:sz w:val="20"/>
      <w:szCs w:val="18"/>
    </w:rPr>
  </w:style>
  <w:style w:type="paragraph" w:customStyle="1" w:styleId="TableBody">
    <w:name w:val="Table Body"/>
    <w:basedOn w:val="Normal"/>
    <w:link w:val="TableBodyChar"/>
    <w:rsid w:val="00425442"/>
    <w:pPr>
      <w:numPr>
        <w:ilvl w:val="12"/>
      </w:numPr>
      <w:tabs>
        <w:tab w:val="clear" w:pos="-1440"/>
        <w:tab w:val="clear" w:pos="-720"/>
      </w:tabs>
      <w:spacing w:before="80" w:after="40" w:line="240" w:lineRule="auto"/>
      <w:ind w:left="360"/>
      <w:jc w:val="center"/>
    </w:pPr>
    <w:rPr>
      <w:rFonts w:ascii="Arial" w:hAnsi="Arial" w:cs="Arial"/>
      <w:sz w:val="18"/>
      <w:szCs w:val="18"/>
    </w:rPr>
  </w:style>
  <w:style w:type="paragraph" w:customStyle="1" w:styleId="TableBodyHeading">
    <w:name w:val="Table Body Heading"/>
    <w:basedOn w:val="Normal"/>
    <w:link w:val="TableBodyHeadingChar"/>
    <w:rsid w:val="00425442"/>
    <w:pPr>
      <w:numPr>
        <w:ilvl w:val="12"/>
      </w:numPr>
      <w:tabs>
        <w:tab w:val="clear" w:pos="-1440"/>
        <w:tab w:val="clear" w:pos="-720"/>
      </w:tabs>
      <w:spacing w:before="80" w:after="40" w:line="240" w:lineRule="auto"/>
      <w:ind w:left="144" w:hanging="144"/>
    </w:pPr>
    <w:rPr>
      <w:rFonts w:ascii="Arial" w:hAnsi="Arial" w:cs="Arial"/>
      <w:sz w:val="18"/>
      <w:szCs w:val="18"/>
    </w:rPr>
  </w:style>
  <w:style w:type="paragraph" w:customStyle="1" w:styleId="TableHeadingLeftAlign">
    <w:name w:val="Table Heading Left Align"/>
    <w:basedOn w:val="TableHeading"/>
    <w:rsid w:val="00425442"/>
    <w:pPr>
      <w:jc w:val="left"/>
    </w:pPr>
  </w:style>
  <w:style w:type="character" w:customStyle="1" w:styleId="TableBodyChar">
    <w:name w:val="Table Body Char"/>
    <w:basedOn w:val="DefaultParagraphFont"/>
    <w:link w:val="TableBody"/>
    <w:rsid w:val="00425442"/>
    <w:rPr>
      <w:rFonts w:ascii="Arial" w:hAnsi="Arial" w:cs="Arial"/>
      <w:sz w:val="18"/>
      <w:szCs w:val="18"/>
    </w:rPr>
  </w:style>
  <w:style w:type="character" w:customStyle="1" w:styleId="TableBodyHeadingChar">
    <w:name w:val="Table Body Heading Char"/>
    <w:basedOn w:val="TableBodyChar"/>
    <w:link w:val="TableBodyHeading"/>
    <w:rsid w:val="00425442"/>
    <w:rPr>
      <w:rFonts w:ascii="Arial" w:hAnsi="Arial" w:cs="Arial"/>
      <w:sz w:val="18"/>
      <w:szCs w:val="18"/>
    </w:rPr>
  </w:style>
  <w:style w:type="character" w:customStyle="1" w:styleId="TableHeadingChar1">
    <w:name w:val="Table Heading Char1"/>
    <w:basedOn w:val="DefaultParagraphFont"/>
    <w:link w:val="TableHeading"/>
    <w:locked/>
    <w:rsid w:val="00425442"/>
    <w:rPr>
      <w:rFonts w:ascii="Arial Bold" w:hAnsi="Arial Bold" w:cs="Arial"/>
      <w:b/>
      <w:smallCaps/>
      <w:szCs w:val="18"/>
    </w:rPr>
  </w:style>
  <w:style w:type="paragraph" w:customStyle="1" w:styleId="Caption0">
    <w:name w:val="_Caption"/>
    <w:aliases w:val="Table"/>
    <w:basedOn w:val="Normal"/>
    <w:link w:val="CaptionChar"/>
    <w:qFormat/>
    <w:rsid w:val="00425442"/>
    <w:pPr>
      <w:tabs>
        <w:tab w:val="clear" w:pos="-1440"/>
        <w:tab w:val="clear" w:pos="-720"/>
      </w:tabs>
      <w:spacing w:after="0" w:line="288" w:lineRule="auto"/>
      <w:ind w:left="0"/>
      <w:jc w:val="center"/>
    </w:pPr>
    <w:rPr>
      <w:rFonts w:ascii="Arial" w:hAnsi="Arial" w:cs="Microsoft Sans Serif"/>
      <w:b/>
      <w:color w:val="0070CD"/>
    </w:rPr>
  </w:style>
  <w:style w:type="character" w:customStyle="1" w:styleId="CaptionChar">
    <w:name w:val="_Caption Char"/>
    <w:aliases w:val="Table Char"/>
    <w:basedOn w:val="DefaultParagraphFont"/>
    <w:link w:val="Caption0"/>
    <w:rsid w:val="00425442"/>
    <w:rPr>
      <w:rFonts w:ascii="Arial" w:hAnsi="Arial" w:cs="Microsoft Sans Serif"/>
      <w:b/>
      <w:color w:val="0070CD"/>
      <w:sz w:val="22"/>
    </w:rPr>
  </w:style>
  <w:style w:type="character" w:customStyle="1" w:styleId="Mainbody-CaptiontableChar">
    <w:name w:val="_Main body - Caption table Char"/>
    <w:basedOn w:val="DefaultParagraphFont"/>
    <w:link w:val="Mainbody-Captiontable"/>
    <w:rsid w:val="00130801"/>
    <w:rPr>
      <w:rFonts w:ascii="Arial" w:hAnsi="Arial" w:cs="Microsoft Sans Serif"/>
      <w:b/>
      <w:color w:val="0070CD"/>
      <w:sz w:val="22"/>
    </w:rPr>
  </w:style>
  <w:style w:type="paragraph" w:customStyle="1" w:styleId="t">
    <w:name w:val="t"/>
    <w:aliases w:val="text,text + +Body,Line spacing:  Multiple 1.15 li + +Body,1... + Subscript,text + 11 pt,Before:  6 pt,After:  6 pt,Line spacing:  single"/>
    <w:basedOn w:val="Normal"/>
    <w:link w:val="tChar"/>
    <w:qFormat/>
    <w:rsid w:val="00425442"/>
    <w:pPr>
      <w:tabs>
        <w:tab w:val="clear" w:pos="-1440"/>
        <w:tab w:val="clear" w:pos="-720"/>
      </w:tabs>
    </w:pPr>
    <w:rPr>
      <w:rFonts w:ascii="Calibri" w:hAnsi="Calibri" w:cs="Arial"/>
      <w:szCs w:val="22"/>
    </w:rPr>
  </w:style>
  <w:style w:type="character" w:customStyle="1" w:styleId="tChar">
    <w:name w:val="t Char"/>
    <w:aliases w:val="text Char,text Char Char,text1,text2,text11,text3,text31,text4,text5,text6,t Char1,text Char1,text61,text7,text9,text Char Char1,text + 11 pt Char,Before:  6 pt Char,After:  6 pt Char,Line spacing:  single Char Char,text + +Body Char,text8,text10"/>
    <w:basedOn w:val="DefaultParagraphFont"/>
    <w:link w:val="t"/>
    <w:rsid w:val="00425442"/>
    <w:rPr>
      <w:rFonts w:ascii="Calibri" w:hAnsi="Calibri" w:cs="Arial"/>
      <w:sz w:val="22"/>
      <w:szCs w:val="22"/>
    </w:rPr>
  </w:style>
  <w:style w:type="table" w:customStyle="1" w:styleId="GridTable1Light-Accent11">
    <w:name w:val="Grid Table 1 Light - Accent 11"/>
    <w:basedOn w:val="TableNormal"/>
    <w:uiPriority w:val="46"/>
    <w:rsid w:val="00425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ColumnSubheading">
    <w:name w:val="Table Column Subheading"/>
    <w:rsid w:val="00425442"/>
    <w:pPr>
      <w:spacing w:before="80" w:after="60"/>
      <w:jc w:val="center"/>
    </w:pPr>
    <w:rPr>
      <w:rFonts w:ascii="Arial Bold" w:hAnsi="Arial Bold" w:cs="Arial"/>
      <w:b/>
      <w:sz w:val="18"/>
      <w:szCs w:val="18"/>
    </w:rPr>
  </w:style>
  <w:style w:type="paragraph" w:styleId="Quote">
    <w:name w:val="Quote"/>
    <w:basedOn w:val="Normal"/>
    <w:link w:val="QuoteChar"/>
    <w:uiPriority w:val="29"/>
    <w:qFormat/>
    <w:rsid w:val="00E33CF7"/>
    <w:pPr>
      <w:tabs>
        <w:tab w:val="clear" w:pos="-1440"/>
        <w:tab w:val="clear" w:pos="-720"/>
      </w:tabs>
      <w:spacing w:before="120" w:after="0" w:line="240" w:lineRule="auto"/>
      <w:ind w:left="720" w:right="720"/>
      <w:jc w:val="both"/>
    </w:pPr>
    <w:rPr>
      <w:rFonts w:ascii="Arial" w:hAnsi="Arial"/>
      <w:sz w:val="20"/>
    </w:rPr>
  </w:style>
  <w:style w:type="character" w:customStyle="1" w:styleId="QuoteChar">
    <w:name w:val="Quote Char"/>
    <w:basedOn w:val="DefaultParagraphFont"/>
    <w:link w:val="Quote"/>
    <w:uiPriority w:val="29"/>
    <w:rsid w:val="00E33CF7"/>
    <w:rPr>
      <w:rFonts w:ascii="Arial" w:hAnsi="Arial"/>
    </w:rPr>
  </w:style>
  <w:style w:type="character" w:customStyle="1" w:styleId="Mainbody-BulletsChar">
    <w:name w:val="_Main body - Bullets Char"/>
    <w:basedOn w:val="DefaultParagraphFont"/>
    <w:link w:val="Mainbody-Bullets"/>
    <w:rsid w:val="00425442"/>
    <w:rPr>
      <w:rFonts w:ascii="Arial" w:hAnsi="Arial" w:cs="Microsoft Sans Serif"/>
      <w:color w:val="333333"/>
      <w:sz w:val="22"/>
      <w:szCs w:val="22"/>
    </w:rPr>
  </w:style>
  <w:style w:type="table" w:customStyle="1" w:styleId="NEXANTNEWTABLESTYLE1">
    <w:name w:val="NEXANT NEW TABLE STYLE1"/>
    <w:basedOn w:val="TableNormal"/>
    <w:uiPriority w:val="99"/>
    <w:rsid w:val="00425442"/>
    <w:pPr>
      <w:tabs>
        <w:tab w:val="center" w:pos="720"/>
      </w:tabs>
    </w:pPr>
    <w:tblPr>
      <w:tblBorders>
        <w:top w:val="single" w:sz="4" w:space="0" w:color="1673CA"/>
        <w:bottom w:val="single" w:sz="4" w:space="0" w:color="1673CA"/>
        <w:insideH w:val="single" w:sz="4" w:space="0" w:color="1673CA"/>
        <w:insideV w:val="dotted" w:sz="4" w:space="0" w:color="1673CA"/>
      </w:tblBorders>
    </w:tblPr>
    <w:tblStylePr w:type="firstRow">
      <w:pPr>
        <w:jc w:val="center"/>
      </w:pPr>
      <w:rPr>
        <w:rFonts w:ascii="Calibri" w:hAnsi="Calibri"/>
        <w:b/>
        <w:color w:val="FFFFFF" w:themeColor="background1"/>
      </w:rPr>
      <w:tblPr/>
      <w:tcPr>
        <w:shd w:val="clear" w:color="auto" w:fill="0070CD"/>
      </w:tcPr>
    </w:tblStylePr>
  </w:style>
  <w:style w:type="table" w:customStyle="1" w:styleId="NEXANTNEWTABLESTYLE2">
    <w:name w:val="NEXANT NEW TABLE STYLE2"/>
    <w:basedOn w:val="TableNormal"/>
    <w:uiPriority w:val="99"/>
    <w:rsid w:val="00425442"/>
    <w:pPr>
      <w:tabs>
        <w:tab w:val="center" w:pos="720"/>
      </w:tabs>
    </w:pPr>
    <w:tblPr>
      <w:tblBorders>
        <w:top w:val="single" w:sz="4" w:space="0" w:color="1673CA"/>
        <w:bottom w:val="single" w:sz="4" w:space="0" w:color="1673CA"/>
        <w:insideH w:val="single" w:sz="4" w:space="0" w:color="1673CA"/>
        <w:insideV w:val="dotted" w:sz="4" w:space="0" w:color="1673CA"/>
      </w:tblBorders>
    </w:tblPr>
    <w:tblStylePr w:type="firstRow">
      <w:pPr>
        <w:jc w:val="center"/>
      </w:pPr>
      <w:rPr>
        <w:rFonts w:ascii="Calibri" w:hAnsi="Calibri"/>
        <w:b/>
        <w:color w:val="FFFFFF" w:themeColor="background1"/>
      </w:rPr>
      <w:tblPr/>
      <w:tcPr>
        <w:shd w:val="clear" w:color="auto" w:fill="0070CD"/>
      </w:tcPr>
    </w:tblStylePr>
  </w:style>
  <w:style w:type="character" w:customStyle="1" w:styleId="QResponseField">
    <w:name w:val="Q Response Field"/>
    <w:basedOn w:val="DefaultParagraphFont"/>
    <w:uiPriority w:val="1"/>
    <w:qFormat/>
    <w:rsid w:val="00425442"/>
    <w:rPr>
      <w:color w:val="0070C0"/>
    </w:rPr>
  </w:style>
  <w:style w:type="paragraph" w:customStyle="1" w:styleId="Outline">
    <w:name w:val="Outline"/>
    <w:basedOn w:val="t"/>
    <w:qFormat/>
    <w:rsid w:val="00425442"/>
    <w:pPr>
      <w:spacing w:after="120"/>
      <w:ind w:left="720" w:hanging="360"/>
    </w:pPr>
  </w:style>
  <w:style w:type="paragraph" w:styleId="Revision">
    <w:name w:val="Revision"/>
    <w:hidden/>
    <w:uiPriority w:val="99"/>
    <w:semiHidden/>
    <w:rsid w:val="00425442"/>
    <w:rPr>
      <w:rFonts w:asciiTheme="minorHAnsi" w:hAnsiTheme="minorHAnsi"/>
      <w:sz w:val="22"/>
    </w:rPr>
  </w:style>
  <w:style w:type="paragraph" w:customStyle="1" w:styleId="ResponseOptionPrecode">
    <w:name w:val="Response Option Precode"/>
    <w:qFormat/>
    <w:rsid w:val="00425442"/>
    <w:pPr>
      <w:spacing w:after="240"/>
      <w:ind w:left="1080" w:hanging="720"/>
      <w:contextualSpacing/>
    </w:pPr>
    <w:rPr>
      <w:rFonts w:ascii="Times New Roman" w:hAnsi="Times New Roman"/>
      <w:sz w:val="24"/>
      <w:szCs w:val="24"/>
    </w:rPr>
  </w:style>
  <w:style w:type="numbering" w:customStyle="1" w:styleId="QuestionsList1">
    <w:name w:val="Questions List1"/>
    <w:basedOn w:val="NoList"/>
    <w:uiPriority w:val="99"/>
    <w:rsid w:val="00425442"/>
    <w:pPr>
      <w:numPr>
        <w:numId w:val="8"/>
      </w:numPr>
    </w:pPr>
  </w:style>
  <w:style w:type="paragraph" w:customStyle="1" w:styleId="Probe">
    <w:name w:val="Probe"/>
    <w:basedOn w:val="Normal"/>
    <w:qFormat/>
    <w:rsid w:val="00425442"/>
    <w:pPr>
      <w:tabs>
        <w:tab w:val="clear" w:pos="-1440"/>
        <w:tab w:val="clear" w:pos="-720"/>
      </w:tabs>
      <w:spacing w:before="120" w:after="180" w:line="240" w:lineRule="auto"/>
      <w:contextualSpacing/>
    </w:pPr>
    <w:rPr>
      <w:rFonts w:ascii="Times New Roman" w:hAnsi="Times New Roman"/>
      <w:sz w:val="24"/>
      <w:szCs w:val="24"/>
    </w:rPr>
  </w:style>
  <w:style w:type="table" w:customStyle="1" w:styleId="NexantTable1">
    <w:name w:val="Nexant Table1"/>
    <w:basedOn w:val="TableNormal"/>
    <w:next w:val="TableGrid"/>
    <w:uiPriority w:val="59"/>
    <w:rsid w:val="0046369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_Main body - Heading 1 (section titles) Char,Nexant H1 Char"/>
    <w:link w:val="Heading1"/>
    <w:rsid w:val="00D35EFE"/>
    <w:rPr>
      <w:rFonts w:ascii="Arial" w:hAnsi="Arial" w:cs="Microsoft Sans Serif"/>
      <w:b/>
      <w:color w:val="0070CD"/>
      <w:spacing w:val="-12"/>
      <w:kern w:val="16"/>
      <w:sz w:val="48"/>
      <w:szCs w:val="56"/>
    </w:rPr>
  </w:style>
  <w:style w:type="character" w:customStyle="1" w:styleId="Heading2Char">
    <w:name w:val="Heading 2 Char"/>
    <w:aliases w:val="_Main body - Heading 2 Char,Nexant H2 Char"/>
    <w:link w:val="Heading2"/>
    <w:rsid w:val="00941847"/>
    <w:rPr>
      <w:rFonts w:ascii="Arial" w:hAnsi="Arial" w:cs="Microsoft Sans Serif"/>
      <w:b/>
      <w:color w:val="77BC1F"/>
      <w:spacing w:val="-8"/>
      <w:sz w:val="36"/>
    </w:rPr>
  </w:style>
  <w:style w:type="paragraph" w:styleId="NormalWeb">
    <w:name w:val="Normal (Web)"/>
    <w:basedOn w:val="Normal"/>
    <w:uiPriority w:val="99"/>
    <w:semiHidden/>
    <w:unhideWhenUsed/>
    <w:rsid w:val="00D35EFE"/>
    <w:pPr>
      <w:tabs>
        <w:tab w:val="clear" w:pos="-1440"/>
        <w:tab w:val="clear" w:pos="-720"/>
      </w:tabs>
      <w:spacing w:after="0" w:line="300" w:lineRule="auto"/>
      <w:ind w:left="0"/>
    </w:pPr>
    <w:rPr>
      <w:rFonts w:ascii="Times New Roman" w:hAnsi="Times New Roman" w:cs="Arial"/>
      <w:color w:val="333333"/>
      <w:szCs w:val="22"/>
    </w:rPr>
  </w:style>
  <w:style w:type="numbering" w:customStyle="1" w:styleId="Style1">
    <w:name w:val="Style1"/>
    <w:basedOn w:val="NoList"/>
    <w:uiPriority w:val="99"/>
    <w:rsid w:val="00D35EFE"/>
    <w:pPr>
      <w:numPr>
        <w:numId w:val="11"/>
      </w:numPr>
    </w:pPr>
  </w:style>
  <w:style w:type="paragraph" w:styleId="Subtitle">
    <w:name w:val="Subtitle"/>
    <w:aliases w:val="Nexant Subtitle"/>
    <w:basedOn w:val="Normal"/>
    <w:next w:val="Normal"/>
    <w:link w:val="SubtitleChar"/>
    <w:uiPriority w:val="11"/>
    <w:qFormat/>
    <w:rsid w:val="00D35EFE"/>
    <w:pPr>
      <w:numPr>
        <w:ilvl w:val="1"/>
      </w:numPr>
      <w:tabs>
        <w:tab w:val="clear" w:pos="-1440"/>
        <w:tab w:val="clear" w:pos="-720"/>
      </w:tabs>
      <w:spacing w:after="0" w:line="300" w:lineRule="auto"/>
      <w:ind w:left="360"/>
    </w:pPr>
    <w:rPr>
      <w:rFonts w:ascii="Arial" w:eastAsia="MS Gothic" w:hAnsi="Arial" w:cs="Arial"/>
      <w:i/>
      <w:iCs/>
      <w:color w:val="333333"/>
      <w:spacing w:val="15"/>
      <w:sz w:val="24"/>
      <w:szCs w:val="22"/>
    </w:rPr>
  </w:style>
  <w:style w:type="character" w:customStyle="1" w:styleId="SubtitleChar">
    <w:name w:val="Subtitle Char"/>
    <w:aliases w:val="Nexant Subtitle Char"/>
    <w:basedOn w:val="DefaultParagraphFont"/>
    <w:link w:val="Subtitle"/>
    <w:uiPriority w:val="11"/>
    <w:rsid w:val="00D35EFE"/>
    <w:rPr>
      <w:rFonts w:ascii="Arial" w:eastAsia="MS Gothic" w:hAnsi="Arial" w:cs="Arial"/>
      <w:i/>
      <w:iCs/>
      <w:color w:val="333333"/>
      <w:spacing w:val="15"/>
      <w:sz w:val="24"/>
      <w:szCs w:val="22"/>
    </w:rPr>
  </w:style>
  <w:style w:type="character" w:styleId="SubtleEmphasis">
    <w:name w:val="Subtle Emphasis"/>
    <w:aliases w:val="Nexant Subtle Emphasis"/>
    <w:uiPriority w:val="19"/>
    <w:qFormat/>
    <w:rsid w:val="00D35EFE"/>
    <w:rPr>
      <w:i/>
      <w:iCs/>
      <w:color w:val="808080"/>
    </w:rPr>
  </w:style>
  <w:style w:type="character" w:styleId="Emphasis">
    <w:name w:val="Emphasis"/>
    <w:uiPriority w:val="20"/>
    <w:qFormat/>
    <w:rsid w:val="00D35EFE"/>
    <w:rPr>
      <w:rFonts w:ascii="Arial" w:hAnsi="Arial"/>
      <w:b w:val="0"/>
      <w:i/>
      <w:iCs/>
      <w:color w:val="191919"/>
      <w:sz w:val="18"/>
    </w:rPr>
  </w:style>
  <w:style w:type="character" w:styleId="BookTitle">
    <w:name w:val="Book Title"/>
    <w:uiPriority w:val="33"/>
    <w:qFormat/>
    <w:rsid w:val="00D35EFE"/>
    <w:rPr>
      <w:rFonts w:ascii="Arial" w:hAnsi="Arial"/>
      <w:b w:val="0"/>
      <w:bCs/>
      <w:i/>
      <w:smallCaps/>
      <w:spacing w:val="5"/>
      <w:sz w:val="20"/>
      <w:u w:val="single"/>
    </w:rPr>
  </w:style>
  <w:style w:type="paragraph" w:styleId="IntenseQuote">
    <w:name w:val="Intense Quote"/>
    <w:aliases w:val="Nexant"/>
    <w:basedOn w:val="Normal"/>
    <w:next w:val="Normal"/>
    <w:link w:val="IntenseQuoteChar"/>
    <w:uiPriority w:val="30"/>
    <w:qFormat/>
    <w:rsid w:val="00D35EFE"/>
    <w:pPr>
      <w:pBdr>
        <w:bottom w:val="single" w:sz="4" w:space="4" w:color="4F81BD"/>
      </w:pBdr>
      <w:tabs>
        <w:tab w:val="clear" w:pos="-1440"/>
        <w:tab w:val="clear" w:pos="-720"/>
      </w:tabs>
      <w:spacing w:before="200" w:after="280" w:line="300" w:lineRule="auto"/>
      <w:ind w:left="936" w:right="936"/>
    </w:pPr>
    <w:rPr>
      <w:rFonts w:ascii="Arial" w:hAnsi="Arial" w:cs="Arial"/>
      <w:b/>
      <w:bCs/>
      <w:i/>
      <w:iCs/>
      <w:color w:val="808080"/>
      <w:szCs w:val="22"/>
    </w:rPr>
  </w:style>
  <w:style w:type="character" w:customStyle="1" w:styleId="IntenseQuoteChar">
    <w:name w:val="Intense Quote Char"/>
    <w:aliases w:val="Nexant Char"/>
    <w:basedOn w:val="DefaultParagraphFont"/>
    <w:link w:val="IntenseQuote"/>
    <w:uiPriority w:val="30"/>
    <w:rsid w:val="00D35EFE"/>
    <w:rPr>
      <w:rFonts w:ascii="Arial" w:hAnsi="Arial" w:cs="Arial"/>
      <w:b/>
      <w:bCs/>
      <w:i/>
      <w:iCs/>
      <w:color w:val="808080"/>
      <w:sz w:val="22"/>
      <w:szCs w:val="22"/>
    </w:rPr>
  </w:style>
  <w:style w:type="character" w:styleId="Strong">
    <w:name w:val="Strong"/>
    <w:uiPriority w:val="22"/>
    <w:qFormat/>
    <w:rsid w:val="00D35EFE"/>
    <w:rPr>
      <w:b/>
      <w:bCs/>
      <w:color w:val="191919"/>
    </w:rPr>
  </w:style>
  <w:style w:type="character" w:styleId="IntenseEmphasis">
    <w:name w:val="Intense Emphasis"/>
    <w:aliases w:val="Nexant - Intense Emphasis"/>
    <w:uiPriority w:val="21"/>
    <w:qFormat/>
    <w:rsid w:val="00D35EFE"/>
    <w:rPr>
      <w:rFonts w:ascii="Arial" w:hAnsi="Arial"/>
      <w:b/>
      <w:bCs/>
      <w:i w:val="0"/>
      <w:iCs/>
      <w:color w:val="191919"/>
      <w:sz w:val="18"/>
    </w:rPr>
  </w:style>
  <w:style w:type="character" w:styleId="SubtleReference">
    <w:name w:val="Subtle Reference"/>
    <w:uiPriority w:val="31"/>
    <w:qFormat/>
    <w:rsid w:val="00D35EFE"/>
    <w:rPr>
      <w:rFonts w:ascii="Arial" w:hAnsi="Arial"/>
      <w:smallCaps/>
      <w:color w:val="808080"/>
      <w:sz w:val="18"/>
      <w:u w:val="single"/>
    </w:rPr>
  </w:style>
  <w:style w:type="character" w:styleId="IntenseReference">
    <w:name w:val="Intense Reference"/>
    <w:uiPriority w:val="32"/>
    <w:qFormat/>
    <w:rsid w:val="00D35EFE"/>
    <w:rPr>
      <w:rFonts w:ascii="Arial" w:hAnsi="Arial"/>
      <w:b/>
      <w:bCs/>
      <w:i w:val="0"/>
      <w:smallCaps/>
      <w:color w:val="000000"/>
      <w:spacing w:val="5"/>
      <w:sz w:val="18"/>
      <w:u w:val="single"/>
    </w:rPr>
  </w:style>
  <w:style w:type="character" w:customStyle="1" w:styleId="Heading3Char">
    <w:name w:val="Heading 3 Char"/>
    <w:aliases w:val="_Main body - Heading 3 Char,Nexant H3 Char"/>
    <w:link w:val="Heading3"/>
    <w:rsid w:val="00AC4969"/>
    <w:rPr>
      <w:rFonts w:ascii="Arial" w:hAnsi="Arial" w:cs="Microsoft Sans Serif"/>
      <w:b/>
      <w:color w:val="77BC1F"/>
      <w:sz w:val="24"/>
    </w:rPr>
  </w:style>
  <w:style w:type="paragraph" w:customStyle="1" w:styleId="NexantFinePrint">
    <w:name w:val="Nexant Fine Print"/>
    <w:basedOn w:val="Footer"/>
    <w:qFormat/>
    <w:rsid w:val="00D35EFE"/>
    <w:pPr>
      <w:pBdr>
        <w:top w:val="single" w:sz="4" w:space="4" w:color="auto"/>
      </w:pBdr>
      <w:tabs>
        <w:tab w:val="clear" w:pos="4680"/>
        <w:tab w:val="clear" w:pos="9360"/>
        <w:tab w:val="center" w:pos="4320"/>
        <w:tab w:val="right" w:pos="8640"/>
      </w:tabs>
      <w:spacing w:after="0" w:line="300" w:lineRule="auto"/>
      <w:ind w:left="0"/>
    </w:pPr>
    <w:rPr>
      <w:rFonts w:cs="Arial"/>
      <w:b w:val="0"/>
      <w:color w:val="808080"/>
      <w:sz w:val="16"/>
      <w:szCs w:val="22"/>
    </w:rPr>
  </w:style>
  <w:style w:type="paragraph" w:customStyle="1" w:styleId="BasicParagraph">
    <w:name w:val="[Basic Paragraph]"/>
    <w:basedOn w:val="Normal"/>
    <w:next w:val="BodyText2"/>
    <w:uiPriority w:val="99"/>
    <w:rsid w:val="00D35EFE"/>
    <w:pPr>
      <w:widowControl w:val="0"/>
      <w:tabs>
        <w:tab w:val="clear" w:pos="-1440"/>
        <w:tab w:val="clear" w:pos="-720"/>
      </w:tabs>
      <w:autoSpaceDE w:val="0"/>
      <w:autoSpaceDN w:val="0"/>
      <w:adjustRightInd w:val="0"/>
      <w:spacing w:after="0" w:line="288" w:lineRule="auto"/>
      <w:ind w:left="0"/>
      <w:textAlignment w:val="center"/>
    </w:pPr>
    <w:rPr>
      <w:rFonts w:ascii="Arial" w:hAnsi="Arial" w:cs="MinionPro-Regular"/>
      <w:color w:val="000000"/>
      <w:sz w:val="24"/>
      <w:szCs w:val="22"/>
    </w:rPr>
  </w:style>
  <w:style w:type="paragraph" w:customStyle="1" w:styleId="NexantPullQuote">
    <w:name w:val="Nexant Pull Quote"/>
    <w:basedOn w:val="Normal"/>
    <w:qFormat/>
    <w:rsid w:val="00D35EFE"/>
    <w:pPr>
      <w:pBdr>
        <w:top w:val="single" w:sz="4" w:space="6" w:color="auto"/>
        <w:bottom w:val="single" w:sz="4" w:space="6" w:color="auto"/>
      </w:pBdr>
      <w:tabs>
        <w:tab w:val="clear" w:pos="-1440"/>
        <w:tab w:val="clear" w:pos="-720"/>
      </w:tabs>
      <w:spacing w:before="120" w:after="120" w:line="360" w:lineRule="auto"/>
      <w:ind w:left="0"/>
      <w:jc w:val="center"/>
    </w:pPr>
    <w:rPr>
      <w:rFonts w:ascii="Arial" w:hAnsi="Arial" w:cs="Arial"/>
      <w:color w:val="0070CD"/>
      <w:sz w:val="24"/>
      <w:szCs w:val="22"/>
    </w:rPr>
  </w:style>
  <w:style w:type="paragraph" w:customStyle="1" w:styleId="bbullet">
    <w:name w:val="bbullet"/>
    <w:basedOn w:val="Normal"/>
    <w:link w:val="bbulletChar"/>
    <w:qFormat/>
    <w:rsid w:val="00D35EFE"/>
    <w:pPr>
      <w:numPr>
        <w:numId w:val="12"/>
      </w:numPr>
      <w:tabs>
        <w:tab w:val="clear" w:pos="-1440"/>
        <w:tab w:val="clear" w:pos="-720"/>
      </w:tabs>
      <w:spacing w:after="120" w:line="260" w:lineRule="atLeast"/>
      <w:ind w:right="360"/>
    </w:pPr>
    <w:rPr>
      <w:rFonts w:ascii="Calibri" w:hAnsi="Calibri" w:cs="Arial"/>
      <w:szCs w:val="22"/>
    </w:rPr>
  </w:style>
  <w:style w:type="character" w:customStyle="1" w:styleId="bbulletChar">
    <w:name w:val="bbullet Char"/>
    <w:basedOn w:val="DefaultParagraphFont"/>
    <w:link w:val="bbullet"/>
    <w:rsid w:val="00D35EFE"/>
    <w:rPr>
      <w:rFonts w:ascii="Calibri" w:hAnsi="Calibri" w:cs="Arial"/>
      <w:sz w:val="22"/>
      <w:szCs w:val="22"/>
    </w:rPr>
  </w:style>
  <w:style w:type="character" w:customStyle="1" w:styleId="TOCHeader">
    <w:name w:val="TOC Header"/>
    <w:basedOn w:val="DefaultParagraphFont"/>
    <w:uiPriority w:val="1"/>
    <w:qFormat/>
    <w:rsid w:val="00D35EFE"/>
    <w:rPr>
      <w:rFonts w:ascii="Arial" w:hAnsi="Arial"/>
      <w:sz w:val="32"/>
    </w:rPr>
  </w:style>
  <w:style w:type="paragraph" w:styleId="BodyText">
    <w:name w:val="Body Text"/>
    <w:basedOn w:val="Normal"/>
    <w:link w:val="BodyTextChar"/>
    <w:uiPriority w:val="99"/>
    <w:semiHidden/>
    <w:unhideWhenUsed/>
    <w:rsid w:val="00D35EFE"/>
    <w:pPr>
      <w:tabs>
        <w:tab w:val="clear" w:pos="-1440"/>
        <w:tab w:val="clear" w:pos="-720"/>
      </w:tabs>
      <w:spacing w:after="120" w:line="300" w:lineRule="auto"/>
      <w:ind w:left="0"/>
    </w:pPr>
    <w:rPr>
      <w:rFonts w:ascii="Arial" w:hAnsi="Arial" w:cs="Arial"/>
      <w:color w:val="333333"/>
      <w:szCs w:val="22"/>
    </w:rPr>
  </w:style>
  <w:style w:type="character" w:customStyle="1" w:styleId="BodyTextChar">
    <w:name w:val="Body Text Char"/>
    <w:basedOn w:val="DefaultParagraphFont"/>
    <w:link w:val="BodyText"/>
    <w:uiPriority w:val="99"/>
    <w:semiHidden/>
    <w:rsid w:val="00D35EFE"/>
    <w:rPr>
      <w:rFonts w:ascii="Arial" w:hAnsi="Arial" w:cs="Arial"/>
      <w:color w:val="333333"/>
      <w:sz w:val="22"/>
      <w:szCs w:val="22"/>
    </w:rPr>
  </w:style>
  <w:style w:type="paragraph" w:styleId="BodyText2">
    <w:name w:val="Body Text 2"/>
    <w:basedOn w:val="Normal"/>
    <w:link w:val="BodyText2Char"/>
    <w:uiPriority w:val="99"/>
    <w:semiHidden/>
    <w:unhideWhenUsed/>
    <w:rsid w:val="00D35EFE"/>
    <w:pPr>
      <w:tabs>
        <w:tab w:val="clear" w:pos="-1440"/>
        <w:tab w:val="clear" w:pos="-720"/>
      </w:tabs>
      <w:spacing w:after="120" w:line="480" w:lineRule="auto"/>
      <w:ind w:left="0"/>
    </w:pPr>
    <w:rPr>
      <w:rFonts w:ascii="Arial" w:hAnsi="Arial" w:cs="Arial"/>
      <w:color w:val="333333"/>
      <w:szCs w:val="22"/>
    </w:rPr>
  </w:style>
  <w:style w:type="character" w:customStyle="1" w:styleId="BodyText2Char">
    <w:name w:val="Body Text 2 Char"/>
    <w:basedOn w:val="DefaultParagraphFont"/>
    <w:link w:val="BodyText2"/>
    <w:uiPriority w:val="99"/>
    <w:semiHidden/>
    <w:rsid w:val="00D35EFE"/>
    <w:rPr>
      <w:rFonts w:ascii="Arial" w:hAnsi="Arial" w:cs="Arial"/>
      <w:color w:val="333333"/>
      <w:sz w:val="22"/>
      <w:szCs w:val="22"/>
    </w:rPr>
  </w:style>
  <w:style w:type="paragraph" w:styleId="BlockText">
    <w:name w:val="Block Text"/>
    <w:basedOn w:val="Normal"/>
    <w:uiPriority w:val="99"/>
    <w:semiHidden/>
    <w:unhideWhenUsed/>
    <w:rsid w:val="00D35EF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tabs>
        <w:tab w:val="clear" w:pos="-1440"/>
        <w:tab w:val="clear" w:pos="-720"/>
      </w:tabs>
      <w:spacing w:after="0" w:line="300" w:lineRule="auto"/>
      <w:ind w:left="1152" w:right="1152"/>
    </w:pPr>
    <w:rPr>
      <w:rFonts w:eastAsiaTheme="minorEastAsia" w:cstheme="minorBidi"/>
      <w:i/>
      <w:iCs/>
      <w:color w:val="4F81BD" w:themeColor="accent1"/>
      <w:szCs w:val="22"/>
    </w:rPr>
  </w:style>
  <w:style w:type="paragraph" w:customStyle="1" w:styleId="AboutNexantCopy">
    <w:name w:val="About Nexant Copy"/>
    <w:basedOn w:val="Normal"/>
    <w:uiPriority w:val="99"/>
    <w:rsid w:val="00D35EFE"/>
    <w:pPr>
      <w:widowControl w:val="0"/>
      <w:tabs>
        <w:tab w:val="clear" w:pos="-1440"/>
        <w:tab w:val="clear" w:pos="-720"/>
      </w:tabs>
      <w:suppressAutoHyphens/>
      <w:autoSpaceDE w:val="0"/>
      <w:autoSpaceDN w:val="0"/>
      <w:adjustRightInd w:val="0"/>
      <w:spacing w:after="90" w:line="180" w:lineRule="atLeast"/>
      <w:ind w:left="0"/>
      <w:textAlignment w:val="center"/>
    </w:pPr>
    <w:rPr>
      <w:rFonts w:ascii="OpenSans-Italic" w:hAnsi="OpenSans-Italic" w:cs="OpenSans-Italic"/>
      <w:i/>
      <w:iCs/>
      <w:color w:val="1984FF"/>
      <w:spacing w:val="3"/>
      <w:sz w:val="14"/>
      <w:szCs w:val="14"/>
    </w:rPr>
  </w:style>
  <w:style w:type="paragraph" w:customStyle="1" w:styleId="NexantTitle">
    <w:name w:val="Nexant_Title"/>
    <w:basedOn w:val="Heading1"/>
    <w:link w:val="NexantTitleChar"/>
    <w:qFormat/>
    <w:rsid w:val="00D35EFE"/>
    <w:pPr>
      <w:ind w:left="-90"/>
    </w:pPr>
    <w:rPr>
      <w:b w:val="0"/>
    </w:rPr>
  </w:style>
  <w:style w:type="character" w:customStyle="1" w:styleId="NexantTitleChar">
    <w:name w:val="Nexant_Title Char"/>
    <w:basedOn w:val="Heading1Char"/>
    <w:link w:val="NexantTitle"/>
    <w:rsid w:val="00D35EFE"/>
    <w:rPr>
      <w:rFonts w:ascii="Arial" w:hAnsi="Arial" w:cs="Microsoft Sans Serif"/>
      <w:b w:val="0"/>
      <w:color w:val="0070CD"/>
      <w:spacing w:val="-12"/>
      <w:kern w:val="16"/>
      <w:sz w:val="48"/>
      <w:szCs w:val="56"/>
    </w:rPr>
  </w:style>
  <w:style w:type="character" w:customStyle="1" w:styleId="Heading4Char">
    <w:name w:val="Heading 4 Char"/>
    <w:aliases w:val="_Main body - Heading 4 Char,4 Char,4th order head Char,heading 4 Char,num.                                               4 Char, resume Char"/>
    <w:basedOn w:val="DefaultParagraphFont"/>
    <w:link w:val="Heading4"/>
    <w:rsid w:val="00D35EFE"/>
    <w:rPr>
      <w:rFonts w:ascii="Arial" w:hAnsi="Arial" w:cs="Microsoft Sans Serif"/>
      <w:b/>
      <w:color w:val="000000"/>
      <w:sz w:val="22"/>
      <w:szCs w:val="22"/>
    </w:rPr>
  </w:style>
  <w:style w:type="character" w:customStyle="1" w:styleId="Heading5Char">
    <w:name w:val="Heading 5 Char"/>
    <w:aliases w:val="_Main body - Heading 5 Char"/>
    <w:basedOn w:val="DefaultParagraphFont"/>
    <w:link w:val="Heading5"/>
    <w:uiPriority w:val="9"/>
    <w:rsid w:val="00D35EFE"/>
    <w:rPr>
      <w:rFonts w:ascii="Arial" w:hAnsi="Arial" w:cs="Microsoft Sans Serif"/>
      <w:b/>
      <w:i/>
      <w:color w:val="292929"/>
      <w:sz w:val="22"/>
      <w:szCs w:val="24"/>
    </w:rPr>
  </w:style>
  <w:style w:type="character" w:customStyle="1" w:styleId="ResponseOptionChar">
    <w:name w:val="Response Option Char"/>
    <w:basedOn w:val="DefaultParagraphFont"/>
    <w:link w:val="ResponseOption"/>
    <w:rsid w:val="00D35EFE"/>
    <w:rPr>
      <w:rFonts w:ascii="Times New Roman" w:hAnsi="Times New Roman"/>
      <w:sz w:val="24"/>
      <w:szCs w:val="24"/>
    </w:rPr>
  </w:style>
  <w:style w:type="paragraph" w:customStyle="1" w:styleId="tableCell">
    <w:name w:val="tableCell"/>
    <w:qFormat/>
    <w:rsid w:val="00D35EFE"/>
    <w:pPr>
      <w:keepNext/>
      <w:tabs>
        <w:tab w:val="left" w:pos="-1440"/>
        <w:tab w:val="left" w:pos="-720"/>
      </w:tabs>
      <w:spacing w:before="40" w:after="40" w:line="240" w:lineRule="atLeast"/>
    </w:pPr>
    <w:rPr>
      <w:rFonts w:ascii="Calibri" w:hAnsi="Calibri"/>
      <w:sz w:val="22"/>
    </w:rPr>
  </w:style>
  <w:style w:type="paragraph" w:customStyle="1" w:styleId="m">
    <w:name w:val="m"/>
    <w:aliases w:val="mdash"/>
    <w:basedOn w:val="Normal"/>
    <w:rsid w:val="00D35EFE"/>
    <w:pPr>
      <w:numPr>
        <w:numId w:val="13"/>
      </w:numPr>
      <w:tabs>
        <w:tab w:val="clear" w:pos="-1440"/>
        <w:tab w:val="clear" w:pos="-720"/>
        <w:tab w:val="clear" w:pos="1080"/>
      </w:tabs>
      <w:spacing w:after="120"/>
      <w:ind w:left="1800"/>
    </w:pPr>
    <w:rPr>
      <w:rFonts w:ascii="Calibri" w:hAnsi="Calibri" w:cs="Arial"/>
      <w:szCs w:val="22"/>
    </w:rPr>
  </w:style>
  <w:style w:type="paragraph" w:customStyle="1" w:styleId="Tabletitle">
    <w:name w:val="Table title"/>
    <w:basedOn w:val="Normal"/>
    <w:uiPriority w:val="5"/>
    <w:qFormat/>
    <w:rsid w:val="00D35EFE"/>
    <w:pPr>
      <w:keepLines/>
      <w:tabs>
        <w:tab w:val="clear" w:pos="-1440"/>
        <w:tab w:val="clear" w:pos="-720"/>
      </w:tabs>
      <w:spacing w:before="240" w:after="120" w:line="240" w:lineRule="auto"/>
      <w:ind w:left="0"/>
    </w:pPr>
    <w:rPr>
      <w:rFonts w:ascii="Times New Roman" w:hAnsi="Times New Roman"/>
      <w:sz w:val="24"/>
    </w:rPr>
  </w:style>
  <w:style w:type="paragraph" w:customStyle="1" w:styleId="Tabletext">
    <w:name w:val="Table text"/>
    <w:basedOn w:val="Tabletitle"/>
    <w:uiPriority w:val="6"/>
    <w:qFormat/>
    <w:rsid w:val="00D35EFE"/>
    <w:pPr>
      <w:spacing w:before="0" w:after="0"/>
    </w:pPr>
  </w:style>
  <w:style w:type="paragraph" w:customStyle="1" w:styleId="Tablefigendmatter">
    <w:name w:val="Table/fig end matter"/>
    <w:basedOn w:val="Tabletext"/>
    <w:uiPriority w:val="7"/>
    <w:qFormat/>
    <w:rsid w:val="00D35EFE"/>
    <w:pPr>
      <w:spacing w:before="120" w:after="240"/>
    </w:pPr>
    <w:rPr>
      <w:sz w:val="20"/>
    </w:rPr>
  </w:style>
  <w:style w:type="paragraph" w:styleId="ListBullet">
    <w:name w:val="List Bullet"/>
    <w:basedOn w:val="Normal"/>
    <w:link w:val="ListBulletChar"/>
    <w:uiPriority w:val="99"/>
    <w:qFormat/>
    <w:rsid w:val="00D35EFE"/>
    <w:pPr>
      <w:numPr>
        <w:numId w:val="14"/>
      </w:numPr>
      <w:tabs>
        <w:tab w:val="clear" w:pos="-1440"/>
        <w:tab w:val="clear" w:pos="-720"/>
      </w:tabs>
      <w:spacing w:after="0" w:line="240" w:lineRule="auto"/>
      <w:contextualSpacing/>
    </w:pPr>
    <w:rPr>
      <w:rFonts w:ascii="Times New Roman" w:hAnsi="Times New Roman"/>
      <w:sz w:val="24"/>
    </w:rPr>
  </w:style>
  <w:style w:type="paragraph" w:customStyle="1" w:styleId="Bullet1">
    <w:name w:val="Bullet 1"/>
    <w:basedOn w:val="Normal"/>
    <w:link w:val="Bullet1Char"/>
    <w:qFormat/>
    <w:rsid w:val="00D35EFE"/>
    <w:pPr>
      <w:numPr>
        <w:numId w:val="15"/>
      </w:numPr>
      <w:tabs>
        <w:tab w:val="clear" w:pos="-1440"/>
        <w:tab w:val="clear" w:pos="-720"/>
      </w:tabs>
      <w:spacing w:before="180" w:after="0" w:line="240" w:lineRule="auto"/>
    </w:pPr>
    <w:rPr>
      <w:rFonts w:ascii="Times New Roman" w:hAnsi="Times New Roman"/>
      <w:sz w:val="24"/>
    </w:rPr>
  </w:style>
  <w:style w:type="character" w:customStyle="1" w:styleId="Bullet1Char">
    <w:name w:val="Bullet 1 Char"/>
    <w:basedOn w:val="DefaultParagraphFont"/>
    <w:link w:val="Bullet1"/>
    <w:locked/>
    <w:rsid w:val="00D35EFE"/>
    <w:rPr>
      <w:rFonts w:ascii="Times New Roman" w:hAnsi="Times New Roman"/>
      <w:sz w:val="24"/>
    </w:rPr>
  </w:style>
  <w:style w:type="character" w:customStyle="1" w:styleId="apple-converted-space">
    <w:name w:val="apple-converted-space"/>
    <w:basedOn w:val="DefaultParagraphFont"/>
    <w:rsid w:val="00D35EFE"/>
  </w:style>
  <w:style w:type="character" w:customStyle="1" w:styleId="ListBulletChar">
    <w:name w:val="List Bullet Char"/>
    <w:link w:val="ListBullet"/>
    <w:uiPriority w:val="99"/>
    <w:locked/>
    <w:rsid w:val="00D35EFE"/>
    <w:rPr>
      <w:rFonts w:ascii="Times New Roman" w:hAnsi="Times New Roman"/>
      <w:sz w:val="24"/>
    </w:rPr>
  </w:style>
  <w:style w:type="paragraph" w:customStyle="1" w:styleId="Default">
    <w:name w:val="Default"/>
    <w:rsid w:val="00D35EFE"/>
    <w:pPr>
      <w:autoSpaceDE w:val="0"/>
      <w:autoSpaceDN w:val="0"/>
      <w:adjustRightInd w:val="0"/>
    </w:pPr>
    <w:rPr>
      <w:rFonts w:ascii="Calibri" w:eastAsia="MS Mincho" w:hAnsi="Calibri" w:cs="Calibri"/>
      <w:color w:val="000000"/>
      <w:sz w:val="24"/>
      <w:szCs w:val="24"/>
    </w:rPr>
  </w:style>
  <w:style w:type="paragraph" w:styleId="EndnoteText">
    <w:name w:val="endnote text"/>
    <w:basedOn w:val="Normal"/>
    <w:link w:val="EndnoteTextChar"/>
    <w:semiHidden/>
    <w:unhideWhenUsed/>
    <w:rsid w:val="000E006D"/>
    <w:pPr>
      <w:spacing w:after="0" w:line="240" w:lineRule="auto"/>
    </w:pPr>
    <w:rPr>
      <w:sz w:val="20"/>
    </w:rPr>
  </w:style>
  <w:style w:type="character" w:customStyle="1" w:styleId="EndnoteTextChar">
    <w:name w:val="Endnote Text Char"/>
    <w:basedOn w:val="DefaultParagraphFont"/>
    <w:link w:val="EndnoteText"/>
    <w:semiHidden/>
    <w:rsid w:val="000E006D"/>
    <w:rPr>
      <w:rFonts w:asciiTheme="minorHAnsi" w:hAnsiTheme="minorHAnsi"/>
    </w:rPr>
  </w:style>
  <w:style w:type="paragraph" w:customStyle="1" w:styleId="TableNumbers">
    <w:name w:val="Table Numbers"/>
    <w:basedOn w:val="Normal"/>
    <w:rsid w:val="00F34FC8"/>
    <w:pPr>
      <w:numPr>
        <w:numId w:val="28"/>
      </w:numPr>
      <w:tabs>
        <w:tab w:val="clear" w:pos="-1440"/>
        <w:tab w:val="clear" w:pos="-720"/>
      </w:tabs>
      <w:spacing w:before="80" w:after="40" w:line="240" w:lineRule="auto"/>
    </w:pPr>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89234">
      <w:bodyDiv w:val="1"/>
      <w:marLeft w:val="0"/>
      <w:marRight w:val="0"/>
      <w:marTop w:val="0"/>
      <w:marBottom w:val="0"/>
      <w:divBdr>
        <w:top w:val="none" w:sz="0" w:space="0" w:color="auto"/>
        <w:left w:val="none" w:sz="0" w:space="0" w:color="auto"/>
        <w:bottom w:val="none" w:sz="0" w:space="0" w:color="auto"/>
        <w:right w:val="none" w:sz="0" w:space="0" w:color="auto"/>
      </w:divBdr>
    </w:div>
    <w:div w:id="714474959">
      <w:bodyDiv w:val="1"/>
      <w:marLeft w:val="0"/>
      <w:marRight w:val="0"/>
      <w:marTop w:val="0"/>
      <w:marBottom w:val="0"/>
      <w:divBdr>
        <w:top w:val="none" w:sz="0" w:space="0" w:color="auto"/>
        <w:left w:val="none" w:sz="0" w:space="0" w:color="auto"/>
        <w:bottom w:val="none" w:sz="0" w:space="0" w:color="auto"/>
        <w:right w:val="none" w:sz="0" w:space="0" w:color="auto"/>
      </w:divBdr>
    </w:div>
    <w:div w:id="1129319962">
      <w:bodyDiv w:val="1"/>
      <w:marLeft w:val="0"/>
      <w:marRight w:val="0"/>
      <w:marTop w:val="0"/>
      <w:marBottom w:val="0"/>
      <w:divBdr>
        <w:top w:val="none" w:sz="0" w:space="0" w:color="auto"/>
        <w:left w:val="none" w:sz="0" w:space="0" w:color="auto"/>
        <w:bottom w:val="none" w:sz="0" w:space="0" w:color="auto"/>
        <w:right w:val="none" w:sz="0" w:space="0" w:color="auto"/>
      </w:divBdr>
    </w:div>
    <w:div w:id="1203055105">
      <w:bodyDiv w:val="1"/>
      <w:marLeft w:val="0"/>
      <w:marRight w:val="0"/>
      <w:marTop w:val="0"/>
      <w:marBottom w:val="0"/>
      <w:divBdr>
        <w:top w:val="none" w:sz="0" w:space="0" w:color="auto"/>
        <w:left w:val="none" w:sz="0" w:space="0" w:color="auto"/>
        <w:bottom w:val="none" w:sz="0" w:space="0" w:color="auto"/>
        <w:right w:val="none" w:sz="0" w:space="0" w:color="auto"/>
      </w:divBdr>
    </w:div>
    <w:div w:id="1263953415">
      <w:bodyDiv w:val="1"/>
      <w:marLeft w:val="0"/>
      <w:marRight w:val="0"/>
      <w:marTop w:val="0"/>
      <w:marBottom w:val="0"/>
      <w:divBdr>
        <w:top w:val="none" w:sz="0" w:space="0" w:color="auto"/>
        <w:left w:val="none" w:sz="0" w:space="0" w:color="auto"/>
        <w:bottom w:val="none" w:sz="0" w:space="0" w:color="auto"/>
        <w:right w:val="none" w:sz="0" w:space="0" w:color="auto"/>
      </w:divBdr>
    </w:div>
    <w:div w:id="1477379825">
      <w:bodyDiv w:val="1"/>
      <w:marLeft w:val="0"/>
      <w:marRight w:val="0"/>
      <w:marTop w:val="0"/>
      <w:marBottom w:val="0"/>
      <w:divBdr>
        <w:top w:val="none" w:sz="0" w:space="0" w:color="auto"/>
        <w:left w:val="none" w:sz="0" w:space="0" w:color="auto"/>
        <w:bottom w:val="none" w:sz="0" w:space="0" w:color="auto"/>
        <w:right w:val="none" w:sz="0" w:space="0" w:color="auto"/>
      </w:divBdr>
    </w:div>
    <w:div w:id="1496796125">
      <w:bodyDiv w:val="1"/>
      <w:marLeft w:val="0"/>
      <w:marRight w:val="0"/>
      <w:marTop w:val="0"/>
      <w:marBottom w:val="0"/>
      <w:divBdr>
        <w:top w:val="none" w:sz="0" w:space="0" w:color="auto"/>
        <w:left w:val="none" w:sz="0" w:space="0" w:color="auto"/>
        <w:bottom w:val="none" w:sz="0" w:space="0" w:color="auto"/>
        <w:right w:val="none" w:sz="0" w:space="0" w:color="auto"/>
      </w:divBdr>
    </w:div>
    <w:div w:id="1519075639">
      <w:bodyDiv w:val="1"/>
      <w:marLeft w:val="0"/>
      <w:marRight w:val="0"/>
      <w:marTop w:val="0"/>
      <w:marBottom w:val="0"/>
      <w:divBdr>
        <w:top w:val="none" w:sz="0" w:space="0" w:color="auto"/>
        <w:left w:val="none" w:sz="0" w:space="0" w:color="auto"/>
        <w:bottom w:val="none" w:sz="0" w:space="0" w:color="auto"/>
        <w:right w:val="none" w:sz="0" w:space="0" w:color="auto"/>
      </w:divBdr>
    </w:div>
    <w:div w:id="1563253659">
      <w:bodyDiv w:val="1"/>
      <w:marLeft w:val="0"/>
      <w:marRight w:val="0"/>
      <w:marTop w:val="0"/>
      <w:marBottom w:val="0"/>
      <w:divBdr>
        <w:top w:val="none" w:sz="0" w:space="0" w:color="auto"/>
        <w:left w:val="none" w:sz="0" w:space="0" w:color="auto"/>
        <w:bottom w:val="none" w:sz="0" w:space="0" w:color="auto"/>
        <w:right w:val="none" w:sz="0" w:space="0" w:color="auto"/>
      </w:divBdr>
      <w:divsChild>
        <w:div w:id="25763638">
          <w:marLeft w:val="0"/>
          <w:marRight w:val="0"/>
          <w:marTop w:val="0"/>
          <w:marBottom w:val="0"/>
          <w:divBdr>
            <w:top w:val="none" w:sz="0" w:space="0" w:color="auto"/>
            <w:left w:val="none" w:sz="0" w:space="0" w:color="auto"/>
            <w:bottom w:val="none" w:sz="0" w:space="0" w:color="auto"/>
            <w:right w:val="none" w:sz="0" w:space="0" w:color="auto"/>
          </w:divBdr>
          <w:divsChild>
            <w:div w:id="7908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2.xml"/><Relationship Id="rId21" Type="http://schemas.openxmlformats.org/officeDocument/2006/relationships/header" Target="header5.xml"/><Relationship Id="rId34" Type="http://schemas.openxmlformats.org/officeDocument/2006/relationships/image" Target="media/image5.jpeg"/><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image" Target="media/image6.jpeg"/><Relationship Id="rId40" Type="http://schemas.openxmlformats.org/officeDocument/2006/relationships/fontTable" Target="fontTable.xml"/><Relationship Id="rId45"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footer" Target="footer9.xml"/><Relationship Id="rId44"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cid:image001.jpg@01D19C27.D9609C60"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20" Type="http://schemas.openxmlformats.org/officeDocument/2006/relationships/footer" Target="footer4.xml"/><Relationship Id="rId4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ran\Desktop\REPORT_template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2016-08-19T07:00:00+00:00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4B0C99-AC01-4C02-9329-5AC923BC087C}"/>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2BA69B3F-486C-40E1-A54C-E95F8B190803}"/>
</file>

<file path=customXml/itemProps4.xml><?xml version="1.0" encoding="utf-8"?>
<ds:datastoreItem xmlns:ds="http://schemas.openxmlformats.org/officeDocument/2006/customXml" ds:itemID="{D71CBBB1-D973-4AAE-826C-5FAE5DB36B39}"/>
</file>

<file path=customXml/itemProps5.xml><?xml version="1.0" encoding="utf-8"?>
<ds:datastoreItem xmlns:ds="http://schemas.openxmlformats.org/officeDocument/2006/customXml" ds:itemID="{83601680-1F4D-42BB-A968-2B7657137B7A}"/>
</file>

<file path=customXml/itemProps6.xml><?xml version="1.0" encoding="utf-8"?>
<ds:datastoreItem xmlns:ds="http://schemas.openxmlformats.org/officeDocument/2006/customXml" ds:itemID="{057EE05B-BFDE-4432-AB87-0617BD1A89DE}"/>
</file>

<file path=docProps/app.xml><?xml version="1.0" encoding="utf-8"?>
<Properties xmlns="http://schemas.openxmlformats.org/officeDocument/2006/extended-properties" xmlns:vt="http://schemas.openxmlformats.org/officeDocument/2006/docPropsVTypes">
  <Template>REPORT_template_v6</Template>
  <TotalTime>0</TotalTime>
  <Pages>22</Pages>
  <Words>5432</Words>
  <Characters>30964</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Text goes here</vt:lpstr>
    </vt:vector>
  </TitlesOfParts>
  <Company>Bechtel</Company>
  <LinksUpToDate>false</LinksUpToDate>
  <CharactersWithSpaces>36324</CharactersWithSpaces>
  <SharedDoc>false</SharedDoc>
  <HLinks>
    <vt:vector size="36" baseType="variant">
      <vt:variant>
        <vt:i4>1245236</vt:i4>
      </vt:variant>
      <vt:variant>
        <vt:i4>32</vt:i4>
      </vt:variant>
      <vt:variant>
        <vt:i4>0</vt:i4>
      </vt:variant>
      <vt:variant>
        <vt:i4>5</vt:i4>
      </vt:variant>
      <vt:variant>
        <vt:lpwstr/>
      </vt:variant>
      <vt:variant>
        <vt:lpwstr>_Toc256495909</vt:lpwstr>
      </vt:variant>
      <vt:variant>
        <vt:i4>1245236</vt:i4>
      </vt:variant>
      <vt:variant>
        <vt:i4>26</vt:i4>
      </vt:variant>
      <vt:variant>
        <vt:i4>0</vt:i4>
      </vt:variant>
      <vt:variant>
        <vt:i4>5</vt:i4>
      </vt:variant>
      <vt:variant>
        <vt:lpwstr/>
      </vt:variant>
      <vt:variant>
        <vt:lpwstr>_Toc256495908</vt:lpwstr>
      </vt:variant>
      <vt:variant>
        <vt:i4>1245236</vt:i4>
      </vt:variant>
      <vt:variant>
        <vt:i4>20</vt:i4>
      </vt:variant>
      <vt:variant>
        <vt:i4>0</vt:i4>
      </vt:variant>
      <vt:variant>
        <vt:i4>5</vt:i4>
      </vt:variant>
      <vt:variant>
        <vt:lpwstr/>
      </vt:variant>
      <vt:variant>
        <vt:lpwstr>_Toc256495907</vt:lpwstr>
      </vt:variant>
      <vt:variant>
        <vt:i4>1245236</vt:i4>
      </vt:variant>
      <vt:variant>
        <vt:i4>14</vt:i4>
      </vt:variant>
      <vt:variant>
        <vt:i4>0</vt:i4>
      </vt:variant>
      <vt:variant>
        <vt:i4>5</vt:i4>
      </vt:variant>
      <vt:variant>
        <vt:lpwstr/>
      </vt:variant>
      <vt:variant>
        <vt:lpwstr>_Toc256495906</vt:lpwstr>
      </vt:variant>
      <vt:variant>
        <vt:i4>1245236</vt:i4>
      </vt:variant>
      <vt:variant>
        <vt:i4>8</vt:i4>
      </vt:variant>
      <vt:variant>
        <vt:i4>0</vt:i4>
      </vt:variant>
      <vt:variant>
        <vt:i4>5</vt:i4>
      </vt:variant>
      <vt:variant>
        <vt:lpwstr/>
      </vt:variant>
      <vt:variant>
        <vt:lpwstr>_Toc256495905</vt:lpwstr>
      </vt:variant>
      <vt:variant>
        <vt:i4>1245236</vt:i4>
      </vt:variant>
      <vt:variant>
        <vt:i4>2</vt:i4>
      </vt:variant>
      <vt:variant>
        <vt:i4>0</vt:i4>
      </vt:variant>
      <vt:variant>
        <vt:i4>5</vt:i4>
      </vt:variant>
      <vt:variant>
        <vt:lpwstr/>
      </vt:variant>
      <vt:variant>
        <vt:lpwstr>_Toc256495904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goes here</dc:title>
  <dc:creator>Moran, Dulane</dc:creator>
  <cp:lastModifiedBy>Gervais, Linda</cp:lastModifiedBy>
  <cp:revision>2</cp:revision>
  <cp:lastPrinted>2016-08-19T20:41:00Z</cp:lastPrinted>
  <dcterms:created xsi:type="dcterms:W3CDTF">2016-08-19T20:49:00Z</dcterms:created>
  <dcterms:modified xsi:type="dcterms:W3CDTF">2016-08-19T20:49:00Z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