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bookmarkStart w:id="0" w:name="_GoBack"/>
    </w:p>
    <w:bookmarkEnd w:id="0"/>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3C0CAC" w:rsidP="009C5D44">
      <w:pPr>
        <w:tabs>
          <w:tab w:val="left" w:pos="-1440"/>
          <w:tab w:val="left" w:pos="-720"/>
          <w:tab w:val="left" w:pos="0"/>
          <w:tab w:val="left" w:pos="1080"/>
          <w:tab w:val="left" w:pos="1440"/>
        </w:tabs>
        <w:suppressAutoHyphens/>
        <w:jc w:val="both"/>
        <w:rPr>
          <w:rFonts w:ascii="Arial" w:hAnsi="Arial"/>
          <w:spacing w:val="-3"/>
        </w:rPr>
      </w:pPr>
    </w:p>
    <w:p w:rsidR="003C0CAC" w:rsidRDefault="00660363" w:rsidP="009C5D44">
      <w:pPr>
        <w:tabs>
          <w:tab w:val="left" w:pos="0"/>
          <w:tab w:val="center" w:pos="4680"/>
        </w:tabs>
        <w:suppressAutoHyphens/>
        <w:jc w:val="both"/>
        <w:rPr>
          <w:rFonts w:ascii="Arial" w:hAnsi="Arial"/>
          <w:b/>
          <w:spacing w:val="-4"/>
          <w:sz w:val="36"/>
        </w:rPr>
      </w:pPr>
      <w:r>
        <w:rPr>
          <w:rFonts w:ascii="Arial" w:hAnsi="Arial"/>
          <w:b/>
          <w:spacing w:val="-4"/>
          <w:sz w:val="36"/>
        </w:rPr>
        <w:t xml:space="preserve">SECTION </w:t>
      </w:r>
      <w:r w:rsidR="00795BC5">
        <w:rPr>
          <w:rFonts w:ascii="Arial" w:hAnsi="Arial"/>
          <w:b/>
          <w:spacing w:val="-4"/>
          <w:sz w:val="36"/>
        </w:rPr>
        <w:t>4</w:t>
      </w:r>
    </w:p>
    <w:p w:rsidR="003C0CAC" w:rsidRDefault="003C0CAC" w:rsidP="009C5D44">
      <w:pPr>
        <w:tabs>
          <w:tab w:val="left" w:pos="-1440"/>
          <w:tab w:val="left" w:pos="-720"/>
          <w:tab w:val="left" w:pos="0"/>
          <w:tab w:val="left" w:pos="1080"/>
          <w:tab w:val="left" w:pos="1440"/>
        </w:tabs>
        <w:suppressAutoHyphens/>
        <w:jc w:val="both"/>
        <w:rPr>
          <w:rFonts w:ascii="Arial" w:hAnsi="Arial"/>
          <w:b/>
          <w:spacing w:val="-4"/>
          <w:sz w:val="36"/>
        </w:rPr>
      </w:pPr>
    </w:p>
    <w:p w:rsidR="003C0CAC" w:rsidRDefault="00795BC5" w:rsidP="009C5D44">
      <w:pPr>
        <w:tabs>
          <w:tab w:val="left" w:pos="0"/>
          <w:tab w:val="center" w:pos="4680"/>
        </w:tabs>
        <w:suppressAutoHyphens/>
        <w:jc w:val="both"/>
        <w:rPr>
          <w:rFonts w:ascii="Arial" w:hAnsi="Arial"/>
          <w:b/>
          <w:spacing w:val="-4"/>
          <w:sz w:val="36"/>
        </w:rPr>
      </w:pPr>
      <w:r>
        <w:rPr>
          <w:rFonts w:ascii="Arial" w:hAnsi="Arial"/>
          <w:b/>
          <w:spacing w:val="-4"/>
          <w:sz w:val="36"/>
        </w:rPr>
        <w:t>SUPPLY-SIDE RESOURCES</w:t>
      </w:r>
    </w:p>
    <w:p w:rsidR="00795BC5" w:rsidRDefault="00795BC5" w:rsidP="009C5D44">
      <w:pPr>
        <w:tabs>
          <w:tab w:val="left" w:pos="0"/>
          <w:tab w:val="center" w:pos="4680"/>
        </w:tabs>
        <w:suppressAutoHyphens/>
        <w:jc w:val="both"/>
        <w:rPr>
          <w:rFonts w:ascii="Arial" w:hAnsi="Arial"/>
          <w:b/>
          <w:spacing w:val="-4"/>
          <w:sz w:val="36"/>
        </w:rPr>
      </w:pPr>
    </w:p>
    <w:p w:rsidR="00452597" w:rsidRDefault="00452597" w:rsidP="009C5D44">
      <w:pPr>
        <w:tabs>
          <w:tab w:val="left" w:pos="0"/>
          <w:tab w:val="center" w:pos="4680"/>
        </w:tabs>
        <w:suppressAutoHyphens/>
        <w:jc w:val="both"/>
        <w:rPr>
          <w:rFonts w:ascii="Arial" w:hAnsi="Arial"/>
          <w:b/>
          <w:spacing w:val="-4"/>
          <w:sz w:val="36"/>
        </w:rPr>
      </w:pPr>
    </w:p>
    <w:p w:rsidR="004430AB" w:rsidRDefault="004430AB" w:rsidP="009C5D44">
      <w:pPr>
        <w:tabs>
          <w:tab w:val="left" w:pos="0"/>
          <w:tab w:val="center" w:pos="4680"/>
        </w:tabs>
        <w:suppressAutoHyphens/>
        <w:jc w:val="both"/>
        <w:rPr>
          <w:rFonts w:ascii="Arial" w:hAnsi="Arial"/>
          <w:b/>
          <w:spacing w:val="-4"/>
          <w:sz w:val="36"/>
        </w:rPr>
      </w:pPr>
    </w:p>
    <w:p w:rsidR="00452597" w:rsidRPr="00CB7CF5" w:rsidRDefault="003C0CAC" w:rsidP="009C5D44">
      <w:pPr>
        <w:tabs>
          <w:tab w:val="left" w:pos="-1440"/>
          <w:tab w:val="left" w:pos="-720"/>
          <w:tab w:val="left" w:pos="0"/>
          <w:tab w:val="left" w:pos="1080"/>
          <w:tab w:val="left" w:pos="1440"/>
        </w:tabs>
        <w:suppressAutoHyphens/>
        <w:jc w:val="both"/>
        <w:rPr>
          <w:rFonts w:ascii="Arial" w:hAnsi="Arial"/>
          <w:b/>
          <w:spacing w:val="-3"/>
          <w:sz w:val="28"/>
          <w:szCs w:val="28"/>
        </w:rPr>
      </w:pPr>
      <w:r>
        <w:rPr>
          <w:rFonts w:ascii="Arial" w:hAnsi="Arial"/>
          <w:spacing w:val="-3"/>
        </w:rPr>
        <w:br w:type="page"/>
      </w:r>
      <w:r w:rsidR="00452597" w:rsidRPr="00CB7CF5">
        <w:rPr>
          <w:rFonts w:ascii="Arial" w:hAnsi="Arial"/>
          <w:b/>
          <w:spacing w:val="-3"/>
          <w:sz w:val="28"/>
          <w:szCs w:val="28"/>
        </w:rPr>
        <w:lastRenderedPageBreak/>
        <w:t>Overview</w:t>
      </w:r>
    </w:p>
    <w:p w:rsidR="007F5F31" w:rsidRDefault="007F5F31" w:rsidP="007F5F31">
      <w:pPr>
        <w:tabs>
          <w:tab w:val="left" w:pos="-1440"/>
          <w:tab w:val="left" w:pos="-720"/>
          <w:tab w:val="left" w:pos="0"/>
          <w:tab w:val="left" w:pos="1080"/>
          <w:tab w:val="left" w:pos="1440"/>
        </w:tabs>
        <w:suppressAutoHyphens/>
        <w:jc w:val="both"/>
        <w:rPr>
          <w:rFonts w:ascii="Arial" w:hAnsi="Arial"/>
          <w:spacing w:val="-3"/>
        </w:rPr>
      </w:pPr>
    </w:p>
    <w:p w:rsidR="007F5F31" w:rsidRDefault="007F5F31" w:rsidP="007F5F31">
      <w:pPr>
        <w:tabs>
          <w:tab w:val="left" w:pos="-1440"/>
          <w:tab w:val="left" w:pos="-720"/>
          <w:tab w:val="left" w:pos="0"/>
          <w:tab w:val="left" w:pos="1080"/>
          <w:tab w:val="left" w:pos="1440"/>
        </w:tabs>
        <w:suppressAutoHyphens/>
        <w:jc w:val="both"/>
        <w:rPr>
          <w:rFonts w:ascii="Arial" w:hAnsi="Arial"/>
          <w:spacing w:val="-3"/>
        </w:rPr>
      </w:pPr>
      <w:r w:rsidRPr="007F5F31">
        <w:rPr>
          <w:rFonts w:ascii="Arial" w:hAnsi="Arial"/>
          <w:spacing w:val="-3"/>
        </w:rPr>
        <w:t>Cascade's core market residential and small volume commercial and industrial customers expect and require the highest reliability of energy service. Because of the Company's obligation to provide gas service to these customers, the Company must determine and achieve the needed degrees of service reliability and attain</w:t>
      </w:r>
      <w:r w:rsidR="00063615">
        <w:rPr>
          <w:rFonts w:ascii="Arial" w:hAnsi="Arial"/>
          <w:spacing w:val="-3"/>
        </w:rPr>
        <w:t xml:space="preserve"> it at</w:t>
      </w:r>
      <w:r w:rsidRPr="007F5F31">
        <w:rPr>
          <w:rFonts w:ascii="Arial" w:hAnsi="Arial"/>
          <w:spacing w:val="-3"/>
        </w:rPr>
        <w:t xml:space="preserve"> the lowest cost possible while </w:t>
      </w:r>
      <w:r w:rsidR="00063615">
        <w:rPr>
          <w:rFonts w:ascii="Arial" w:hAnsi="Arial"/>
          <w:spacing w:val="-3"/>
        </w:rPr>
        <w:t>maintaining</w:t>
      </w:r>
      <w:r w:rsidR="00063615" w:rsidRPr="007F5F31">
        <w:rPr>
          <w:rFonts w:ascii="Arial" w:hAnsi="Arial"/>
          <w:spacing w:val="-3"/>
        </w:rPr>
        <w:t xml:space="preserve"> </w:t>
      </w:r>
      <w:r w:rsidRPr="007F5F31">
        <w:rPr>
          <w:rFonts w:ascii="Arial" w:hAnsi="Arial"/>
          <w:spacing w:val="-3"/>
        </w:rPr>
        <w:t xml:space="preserve">infrastructure that </w:t>
      </w:r>
      <w:r w:rsidR="00063615">
        <w:rPr>
          <w:rFonts w:ascii="Arial" w:hAnsi="Arial"/>
          <w:spacing w:val="-3"/>
        </w:rPr>
        <w:t>is sufficient for</w:t>
      </w:r>
      <w:r w:rsidR="00063615" w:rsidRPr="007F5F31">
        <w:rPr>
          <w:rFonts w:ascii="Arial" w:hAnsi="Arial"/>
          <w:spacing w:val="-3"/>
        </w:rPr>
        <w:t xml:space="preserve"> </w:t>
      </w:r>
      <w:r w:rsidRPr="007F5F31">
        <w:rPr>
          <w:rFonts w:ascii="Arial" w:hAnsi="Arial"/>
          <w:spacing w:val="-3"/>
        </w:rPr>
        <w:t>customer growth</w:t>
      </w:r>
      <w:r w:rsidR="00063615">
        <w:rPr>
          <w:rFonts w:ascii="Arial" w:hAnsi="Arial"/>
          <w:spacing w:val="-3"/>
        </w:rPr>
        <w:t xml:space="preserve">. </w:t>
      </w:r>
      <w:r w:rsidRPr="007F5F31">
        <w:rPr>
          <w:rFonts w:ascii="Arial" w:hAnsi="Arial"/>
          <w:spacing w:val="-3"/>
        </w:rPr>
        <w:t xml:space="preserve">Assuming such an infrastructure </w:t>
      </w:r>
      <w:r w:rsidR="006134BA" w:rsidRPr="007F5F31">
        <w:rPr>
          <w:rFonts w:ascii="Arial" w:hAnsi="Arial"/>
          <w:spacing w:val="-3"/>
        </w:rPr>
        <w:t>is operating</w:t>
      </w:r>
      <w:r w:rsidRPr="007F5F31">
        <w:rPr>
          <w:rFonts w:ascii="Arial" w:hAnsi="Arial"/>
          <w:spacing w:val="-3"/>
        </w:rPr>
        <w:t xml:space="preserve"> effectively, the most important functions necessary for reliable natural gas service are planning for, providing and administering the gas supply, interstate pipeline transportation capacity, and distribution service components that constitute the "bundled services" </w:t>
      </w:r>
      <w:r w:rsidR="00C80E1A">
        <w:rPr>
          <w:rFonts w:ascii="Arial" w:hAnsi="Arial"/>
          <w:spacing w:val="-3"/>
        </w:rPr>
        <w:t>purchased</w:t>
      </w:r>
      <w:r w:rsidR="00C80E1A" w:rsidRPr="007F5F31">
        <w:rPr>
          <w:rFonts w:ascii="Arial" w:hAnsi="Arial"/>
          <w:spacing w:val="-3"/>
        </w:rPr>
        <w:t xml:space="preserve"> </w:t>
      </w:r>
      <w:r w:rsidRPr="007F5F31">
        <w:rPr>
          <w:rFonts w:ascii="Arial" w:hAnsi="Arial"/>
          <w:spacing w:val="-3"/>
        </w:rPr>
        <w:t>by core market customers.</w:t>
      </w:r>
    </w:p>
    <w:p w:rsidR="007F5F31" w:rsidRPr="007F5F31" w:rsidRDefault="007F5F31" w:rsidP="007F5F31">
      <w:pPr>
        <w:tabs>
          <w:tab w:val="left" w:pos="-1440"/>
          <w:tab w:val="left" w:pos="-720"/>
          <w:tab w:val="left" w:pos="0"/>
          <w:tab w:val="left" w:pos="1080"/>
          <w:tab w:val="left" w:pos="1440"/>
        </w:tabs>
        <w:suppressAutoHyphens/>
        <w:jc w:val="both"/>
        <w:rPr>
          <w:rFonts w:ascii="Arial" w:hAnsi="Arial"/>
          <w:spacing w:val="-3"/>
        </w:rPr>
      </w:pPr>
    </w:p>
    <w:p w:rsidR="007F5F31" w:rsidRPr="007F5F31" w:rsidRDefault="007F5F31" w:rsidP="007F5F31">
      <w:pPr>
        <w:tabs>
          <w:tab w:val="left" w:pos="-1440"/>
          <w:tab w:val="left" w:pos="-720"/>
          <w:tab w:val="left" w:pos="0"/>
          <w:tab w:val="left" w:pos="1080"/>
          <w:tab w:val="left" w:pos="1440"/>
        </w:tabs>
        <w:suppressAutoHyphens/>
        <w:jc w:val="both"/>
        <w:rPr>
          <w:rFonts w:ascii="Arial" w:hAnsi="Arial"/>
          <w:spacing w:val="-3"/>
        </w:rPr>
      </w:pPr>
      <w:r w:rsidRPr="007F5F31">
        <w:rPr>
          <w:rFonts w:ascii="Arial" w:hAnsi="Arial"/>
          <w:spacing w:val="-3"/>
        </w:rPr>
        <w:t>This section describes the various gas supply resource and transportation resource options that are available to the Company as supply side resources.</w:t>
      </w:r>
    </w:p>
    <w:p w:rsidR="002A6E17" w:rsidRP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P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Gas Supply Resources</w:t>
      </w:r>
    </w:p>
    <w:p w:rsidR="007F5F31" w:rsidRDefault="007F5F31" w:rsidP="007F5F31">
      <w:pPr>
        <w:tabs>
          <w:tab w:val="left" w:pos="-1440"/>
          <w:tab w:val="left" w:pos="-720"/>
          <w:tab w:val="left" w:pos="0"/>
          <w:tab w:val="left" w:pos="1080"/>
          <w:tab w:val="left" w:pos="1440"/>
        </w:tabs>
        <w:suppressAutoHyphens/>
        <w:jc w:val="both"/>
        <w:rPr>
          <w:rFonts w:ascii="Arial" w:hAnsi="Arial"/>
          <w:spacing w:val="-3"/>
        </w:rPr>
      </w:pPr>
    </w:p>
    <w:p w:rsidR="007F5F31" w:rsidRDefault="007F5F31" w:rsidP="007F5F31">
      <w:pPr>
        <w:tabs>
          <w:tab w:val="left" w:pos="-1440"/>
          <w:tab w:val="left" w:pos="-720"/>
          <w:tab w:val="left" w:pos="0"/>
          <w:tab w:val="left" w:pos="1080"/>
          <w:tab w:val="left" w:pos="1440"/>
        </w:tabs>
        <w:suppressAutoHyphens/>
        <w:jc w:val="both"/>
        <w:rPr>
          <w:rFonts w:ascii="Arial" w:hAnsi="Arial"/>
          <w:spacing w:val="-3"/>
        </w:rPr>
      </w:pPr>
      <w:r w:rsidRPr="007F5F31">
        <w:rPr>
          <w:rFonts w:ascii="Arial" w:hAnsi="Arial"/>
          <w:spacing w:val="-3"/>
        </w:rPr>
        <w:t xml:space="preserve">Gas supply options available to Cascade to meet the core market demand requirements generally fall into two groups: 1) Firm gas supplies on a short or long-term basis, and 2) Short term gas supplies purchased on the open market as needed for a particular month for </w:t>
      </w:r>
      <w:r w:rsidRPr="007F5F31">
        <w:rPr>
          <w:rFonts w:ascii="Arial" w:hAnsi="Arial"/>
          <w:spacing w:val="-3"/>
        </w:rPr>
        <w:lastRenderedPageBreak/>
        <w:t xml:space="preserve">one or more days. A separate and important source of gas supply is natural gas storage service, which is required </w:t>
      </w:r>
      <w:r w:rsidR="00C80E1A" w:rsidRPr="007F5F31">
        <w:rPr>
          <w:rFonts w:ascii="Arial" w:hAnsi="Arial"/>
          <w:spacing w:val="-3"/>
        </w:rPr>
        <w:t xml:space="preserve">to provide economical service to low load factor customers </w:t>
      </w:r>
      <w:r w:rsidR="00C80E1A">
        <w:rPr>
          <w:rFonts w:ascii="Arial" w:hAnsi="Arial"/>
          <w:spacing w:val="-3"/>
        </w:rPr>
        <w:t>during</w:t>
      </w:r>
      <w:r w:rsidRPr="007F5F31">
        <w:rPr>
          <w:rFonts w:ascii="Arial" w:hAnsi="Arial"/>
          <w:spacing w:val="-3"/>
        </w:rPr>
        <w:t xml:space="preserve"> seasonal peak and the needle peaks of the heating.</w:t>
      </w:r>
    </w:p>
    <w:p w:rsidR="008B4C32" w:rsidRDefault="008B4C32" w:rsidP="007F5F31">
      <w:pPr>
        <w:tabs>
          <w:tab w:val="left" w:pos="-1440"/>
          <w:tab w:val="left" w:pos="-720"/>
          <w:tab w:val="left" w:pos="0"/>
          <w:tab w:val="left" w:pos="1080"/>
          <w:tab w:val="left" w:pos="1440"/>
        </w:tabs>
        <w:suppressAutoHyphens/>
        <w:jc w:val="both"/>
        <w:rPr>
          <w:rFonts w:ascii="Arial" w:hAnsi="Arial"/>
          <w:spacing w:val="-3"/>
        </w:rPr>
      </w:pPr>
    </w:p>
    <w:p w:rsidR="008B4C32" w:rsidRDefault="008B4C32" w:rsidP="007F5F31">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Cascade’s gas supply portfolio is sourced from three basic areas of North America: British Columbia, Alberta</w:t>
      </w:r>
      <w:r w:rsidR="00C80E1A">
        <w:rPr>
          <w:rFonts w:ascii="Arial" w:hAnsi="Arial"/>
          <w:spacing w:val="-3"/>
        </w:rPr>
        <w:t>,</w:t>
      </w:r>
      <w:r>
        <w:rPr>
          <w:rFonts w:ascii="Arial" w:hAnsi="Arial"/>
          <w:spacing w:val="-3"/>
        </w:rPr>
        <w:t xml:space="preserve"> and the Rockies.  Figure </w:t>
      </w:r>
      <w:r w:rsidR="006134BA">
        <w:rPr>
          <w:rFonts w:ascii="Arial" w:hAnsi="Arial"/>
          <w:spacing w:val="-3"/>
        </w:rPr>
        <w:t>4-1</w:t>
      </w:r>
      <w:r>
        <w:rPr>
          <w:rFonts w:ascii="Arial" w:hAnsi="Arial"/>
          <w:spacing w:val="-3"/>
        </w:rPr>
        <w:t xml:space="preserve"> provides a general overview of regional gas flows to Cascade distribution system.</w:t>
      </w:r>
    </w:p>
    <w:p w:rsidR="008B4C32" w:rsidRDefault="008B4C32" w:rsidP="007F5F31">
      <w:pPr>
        <w:tabs>
          <w:tab w:val="left" w:pos="-1440"/>
          <w:tab w:val="left" w:pos="-720"/>
          <w:tab w:val="left" w:pos="0"/>
          <w:tab w:val="left" w:pos="1080"/>
          <w:tab w:val="left" w:pos="1440"/>
        </w:tabs>
        <w:suppressAutoHyphens/>
        <w:jc w:val="both"/>
        <w:rPr>
          <w:rFonts w:ascii="Arial" w:hAnsi="Arial"/>
          <w:spacing w:val="-3"/>
        </w:rPr>
      </w:pPr>
    </w:p>
    <w:p w:rsidR="008B4C32" w:rsidRDefault="008B4C32" w:rsidP="007F5F31">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Figure</w:t>
      </w:r>
      <w:r w:rsidR="006134BA">
        <w:rPr>
          <w:rFonts w:ascii="Arial" w:hAnsi="Arial"/>
          <w:b/>
          <w:spacing w:val="-3"/>
          <w:sz w:val="16"/>
          <w:szCs w:val="16"/>
        </w:rPr>
        <w:t xml:space="preserve"> 4-1</w:t>
      </w:r>
      <w:r>
        <w:rPr>
          <w:rFonts w:ascii="Arial" w:hAnsi="Arial"/>
          <w:b/>
          <w:spacing w:val="-3"/>
          <w:sz w:val="16"/>
          <w:szCs w:val="16"/>
        </w:rPr>
        <w:t>: Regional Map Showing General Flow Paths for System Gas Supplies</w:t>
      </w:r>
    </w:p>
    <w:p w:rsidR="008B4C32" w:rsidRDefault="008B4C32" w:rsidP="007F5F31">
      <w:pPr>
        <w:tabs>
          <w:tab w:val="left" w:pos="-1440"/>
          <w:tab w:val="left" w:pos="-720"/>
          <w:tab w:val="left" w:pos="0"/>
          <w:tab w:val="left" w:pos="1080"/>
          <w:tab w:val="left" w:pos="1440"/>
        </w:tabs>
        <w:suppressAutoHyphens/>
        <w:jc w:val="both"/>
        <w:rPr>
          <w:rFonts w:ascii="Arial" w:hAnsi="Arial"/>
          <w:spacing w:val="-3"/>
        </w:rPr>
      </w:pPr>
      <w:r>
        <w:rPr>
          <w:noProof/>
        </w:rPr>
        <w:drawing>
          <wp:inline distT="0" distB="0" distL="0" distR="0" wp14:anchorId="7B36642E" wp14:editId="70AE31DE">
            <wp:extent cx="5319422" cy="2536085"/>
            <wp:effectExtent l="0" t="0" r="0" b="0"/>
            <wp:docPr id="4" name="Content Placehold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pic:cNvPicPr>
                      <a:picLocks noGrp="1" noChangeAspect="1"/>
                    </pic:cNvPicPr>
                  </pic:nvPicPr>
                  <pic:blipFill>
                    <a:blip r:embed="rId8"/>
                    <a:stretch>
                      <a:fillRect/>
                    </a:stretch>
                  </pic:blipFill>
                  <pic:spPr>
                    <a:xfrm>
                      <a:off x="0" y="0"/>
                      <a:ext cx="5339541" cy="2545677"/>
                    </a:xfrm>
                    <a:prstGeom prst="rect">
                      <a:avLst/>
                    </a:prstGeom>
                  </pic:spPr>
                </pic:pic>
              </a:graphicData>
            </a:graphic>
          </wp:inline>
        </w:drawing>
      </w:r>
    </w:p>
    <w:p w:rsidR="004E46AD" w:rsidRDefault="004E46AD" w:rsidP="007F5F31">
      <w:pPr>
        <w:tabs>
          <w:tab w:val="left" w:pos="-1440"/>
          <w:tab w:val="left" w:pos="-720"/>
          <w:tab w:val="left" w:pos="0"/>
          <w:tab w:val="left" w:pos="1080"/>
          <w:tab w:val="left" w:pos="1440"/>
        </w:tabs>
        <w:suppressAutoHyphens/>
        <w:jc w:val="both"/>
        <w:rPr>
          <w:rFonts w:ascii="Arial" w:hAnsi="Arial"/>
          <w:spacing w:val="-3"/>
        </w:rPr>
      </w:pPr>
    </w:p>
    <w:p w:rsidR="004E46AD" w:rsidRDefault="004E46AD" w:rsidP="007F5F31">
      <w:pPr>
        <w:tabs>
          <w:tab w:val="left" w:pos="-1440"/>
          <w:tab w:val="left" w:pos="-720"/>
          <w:tab w:val="left" w:pos="0"/>
          <w:tab w:val="left" w:pos="1080"/>
          <w:tab w:val="left" w:pos="1440"/>
        </w:tabs>
        <w:suppressAutoHyphens/>
        <w:jc w:val="both"/>
        <w:rPr>
          <w:rFonts w:ascii="Arial" w:hAnsi="Arial"/>
          <w:spacing w:val="-3"/>
        </w:rPr>
      </w:pPr>
    </w:p>
    <w:p w:rsidR="004E46AD" w:rsidRPr="004E46AD" w:rsidRDefault="004E46AD" w:rsidP="004E46AD">
      <w:pPr>
        <w:tabs>
          <w:tab w:val="left" w:pos="-1440"/>
          <w:tab w:val="left" w:pos="-720"/>
          <w:tab w:val="left" w:pos="0"/>
          <w:tab w:val="left" w:pos="1080"/>
          <w:tab w:val="left" w:pos="1440"/>
        </w:tabs>
        <w:suppressAutoHyphens/>
        <w:jc w:val="both"/>
        <w:rPr>
          <w:rFonts w:ascii="Arial" w:hAnsi="Arial"/>
          <w:b/>
          <w:spacing w:val="-3"/>
        </w:rPr>
      </w:pPr>
      <w:r w:rsidRPr="004E46AD">
        <w:rPr>
          <w:rFonts w:ascii="Arial" w:hAnsi="Arial"/>
          <w:b/>
          <w:spacing w:val="-3"/>
        </w:rPr>
        <w:t>Firm Supply Contracts</w:t>
      </w:r>
    </w:p>
    <w:p w:rsidR="004E46AD" w:rsidRPr="004E46AD" w:rsidRDefault="004E46AD" w:rsidP="004E46AD">
      <w:pPr>
        <w:tabs>
          <w:tab w:val="left" w:pos="-1440"/>
          <w:tab w:val="left" w:pos="-720"/>
          <w:tab w:val="left" w:pos="0"/>
          <w:tab w:val="left" w:pos="1080"/>
          <w:tab w:val="left" w:pos="1440"/>
        </w:tabs>
        <w:suppressAutoHyphens/>
        <w:jc w:val="both"/>
        <w:rPr>
          <w:rFonts w:ascii="Arial" w:hAnsi="Arial"/>
          <w:b/>
          <w:spacing w:val="-3"/>
        </w:rPr>
      </w:pPr>
    </w:p>
    <w:p w:rsidR="004E46AD" w:rsidRDefault="004E46AD" w:rsidP="004E46AD">
      <w:pPr>
        <w:tabs>
          <w:tab w:val="left" w:pos="-1440"/>
          <w:tab w:val="left" w:pos="-720"/>
          <w:tab w:val="left" w:pos="0"/>
          <w:tab w:val="left" w:pos="1080"/>
          <w:tab w:val="left" w:pos="1440"/>
        </w:tabs>
        <w:suppressAutoHyphens/>
        <w:jc w:val="both"/>
        <w:rPr>
          <w:rFonts w:ascii="Arial" w:hAnsi="Arial"/>
          <w:spacing w:val="-3"/>
        </w:rPr>
      </w:pPr>
      <w:r w:rsidRPr="004E46AD">
        <w:rPr>
          <w:rFonts w:ascii="Arial" w:hAnsi="Arial"/>
          <w:spacing w:val="-3"/>
        </w:rPr>
        <w:t xml:space="preserve">Firm supply contracts commit both the seller and the buyer to deliver and take gas on a firm basis, except for </w:t>
      </w:r>
      <w:r w:rsidR="00C80E1A">
        <w:rPr>
          <w:rFonts w:ascii="Arial" w:hAnsi="Arial"/>
          <w:spacing w:val="-3"/>
        </w:rPr>
        <w:t xml:space="preserve">during </w:t>
      </w:r>
      <w:r w:rsidRPr="004E46AD">
        <w:rPr>
          <w:rFonts w:ascii="Arial" w:hAnsi="Arial"/>
          <w:i/>
          <w:spacing w:val="-3"/>
        </w:rPr>
        <w:t xml:space="preserve">force majeure </w:t>
      </w:r>
      <w:r w:rsidRPr="004E46AD">
        <w:rPr>
          <w:rFonts w:ascii="Arial" w:hAnsi="Arial"/>
          <w:spacing w:val="-3"/>
        </w:rPr>
        <w:t xml:space="preserve">conditions. From Cascade's perspective, the most important consideration is the seller's contractual commitment to make gas available day in and day out regardless of market conditions. Firm supplies are a necessary component of Cascade's core market portfolio given </w:t>
      </w:r>
      <w:r w:rsidR="00C80E1A">
        <w:rPr>
          <w:rFonts w:ascii="Arial" w:hAnsi="Arial"/>
          <w:spacing w:val="-3"/>
        </w:rPr>
        <w:t xml:space="preserve">its </w:t>
      </w:r>
      <w:r w:rsidRPr="004E46AD">
        <w:rPr>
          <w:rFonts w:ascii="Arial" w:hAnsi="Arial"/>
          <w:spacing w:val="-3"/>
        </w:rPr>
        <w:t xml:space="preserve">obligation to serve and the lack of easily obtainable alternatives for </w:t>
      </w:r>
      <w:r w:rsidR="00DF078B">
        <w:rPr>
          <w:rFonts w:ascii="Arial" w:hAnsi="Arial"/>
          <w:spacing w:val="-3"/>
        </w:rPr>
        <w:t>customers</w:t>
      </w:r>
      <w:r w:rsidRPr="004E46AD">
        <w:rPr>
          <w:rFonts w:ascii="Arial" w:hAnsi="Arial"/>
          <w:spacing w:val="-3"/>
        </w:rPr>
        <w:t xml:space="preserve"> during periods of peak demand. Firm </w:t>
      </w:r>
      <w:r>
        <w:rPr>
          <w:rFonts w:ascii="Arial" w:hAnsi="Arial"/>
          <w:spacing w:val="-3"/>
        </w:rPr>
        <w:t xml:space="preserve">supply </w:t>
      </w:r>
      <w:r w:rsidRPr="004E46AD">
        <w:rPr>
          <w:rFonts w:ascii="Arial" w:hAnsi="Arial"/>
          <w:spacing w:val="-3"/>
        </w:rPr>
        <w:t xml:space="preserve">contracts can provide baseload services, seasonal </w:t>
      </w:r>
      <w:r>
        <w:rPr>
          <w:rFonts w:ascii="Arial" w:hAnsi="Arial"/>
          <w:spacing w:val="-3"/>
        </w:rPr>
        <w:t xml:space="preserve">load increases </w:t>
      </w:r>
      <w:r w:rsidRPr="004E46AD">
        <w:rPr>
          <w:rFonts w:ascii="Arial" w:hAnsi="Arial"/>
          <w:spacing w:val="-3"/>
        </w:rPr>
        <w:t xml:space="preserve">during winter months, or be used to meet daily needle peaking requirements. </w:t>
      </w:r>
      <w:r w:rsidR="00093EDA" w:rsidRPr="00093EDA">
        <w:rPr>
          <w:rFonts w:ascii="Arial" w:hAnsi="Arial"/>
          <w:spacing w:val="-3"/>
        </w:rPr>
        <w:t>Quantities vary, depending on the need and length of the contract.  Operational considerations regarding available upstream pipeline transportation capacity and any known constraints must also be considered. Baseload contracts can range from as small as 500 dths/day to quantities in excess of 10,000 dths/day.  Blocks of 1000, 2500, 5000 and 10000 dths/day are standard as these are the most operationally and financially viable blocks for suppliers.</w:t>
      </w:r>
      <w:r w:rsidR="00093EDA">
        <w:rPr>
          <w:rFonts w:ascii="Arial" w:hAnsi="Arial"/>
          <w:spacing w:val="-3"/>
        </w:rPr>
        <w:t xml:space="preserve">  </w:t>
      </w:r>
    </w:p>
    <w:p w:rsidR="00093EDA" w:rsidRPr="004E46AD" w:rsidRDefault="00093EDA" w:rsidP="004E46AD">
      <w:pPr>
        <w:tabs>
          <w:tab w:val="left" w:pos="-1440"/>
          <w:tab w:val="left" w:pos="-720"/>
          <w:tab w:val="left" w:pos="0"/>
          <w:tab w:val="left" w:pos="1080"/>
          <w:tab w:val="left" w:pos="1440"/>
        </w:tabs>
        <w:suppressAutoHyphens/>
        <w:jc w:val="both"/>
        <w:rPr>
          <w:rFonts w:ascii="Arial" w:hAnsi="Arial"/>
          <w:spacing w:val="-3"/>
        </w:rPr>
      </w:pPr>
    </w:p>
    <w:p w:rsidR="004E46AD" w:rsidRDefault="004E46AD" w:rsidP="004E46AD">
      <w:pPr>
        <w:tabs>
          <w:tab w:val="left" w:pos="-1440"/>
          <w:tab w:val="left" w:pos="-720"/>
          <w:tab w:val="left" w:pos="0"/>
          <w:tab w:val="left" w:pos="1080"/>
          <w:tab w:val="left" w:pos="1440"/>
        </w:tabs>
        <w:suppressAutoHyphens/>
        <w:jc w:val="both"/>
        <w:rPr>
          <w:rFonts w:ascii="Arial" w:hAnsi="Arial"/>
          <w:spacing w:val="-3"/>
        </w:rPr>
      </w:pPr>
      <w:r w:rsidRPr="004E46AD">
        <w:rPr>
          <w:rFonts w:ascii="Arial" w:hAnsi="Arial"/>
          <w:spacing w:val="-3"/>
        </w:rPr>
        <w:t xml:space="preserve">Baseload </w:t>
      </w:r>
      <w:r>
        <w:rPr>
          <w:rFonts w:ascii="Arial" w:hAnsi="Arial"/>
          <w:spacing w:val="-3"/>
        </w:rPr>
        <w:t xml:space="preserve">supply </w:t>
      </w:r>
      <w:r w:rsidRPr="004E46AD">
        <w:rPr>
          <w:rFonts w:ascii="Arial" w:hAnsi="Arial"/>
          <w:spacing w:val="-3"/>
        </w:rPr>
        <w:t xml:space="preserve">resources are those that are </w:t>
      </w:r>
      <w:r>
        <w:rPr>
          <w:rFonts w:ascii="Arial" w:hAnsi="Arial"/>
          <w:spacing w:val="-3"/>
        </w:rPr>
        <w:t xml:space="preserve">typically </w:t>
      </w:r>
      <w:r w:rsidRPr="004E46AD">
        <w:rPr>
          <w:rFonts w:ascii="Arial" w:hAnsi="Arial"/>
          <w:spacing w:val="-3"/>
        </w:rPr>
        <w:t xml:space="preserve">taken day in and day out, </w:t>
      </w:r>
      <w:r>
        <w:rPr>
          <w:rFonts w:ascii="Arial" w:hAnsi="Arial"/>
          <w:spacing w:val="-3"/>
        </w:rPr>
        <w:t xml:space="preserve">usually </w:t>
      </w:r>
      <w:r w:rsidRPr="004E46AD">
        <w:rPr>
          <w:rFonts w:ascii="Arial" w:hAnsi="Arial"/>
          <w:spacing w:val="-3"/>
        </w:rPr>
        <w:t xml:space="preserve">365 days a year. As a result, baseload gas tends to be the least expensive of the firm supply contracts because it matches the production of gas and guarantees the producer that the volumes will be taken. </w:t>
      </w:r>
      <w:r w:rsidR="00DF078B">
        <w:rPr>
          <w:rFonts w:ascii="Arial" w:hAnsi="Arial"/>
          <w:spacing w:val="-3"/>
        </w:rPr>
        <w:t>The Company’s</w:t>
      </w:r>
      <w:r w:rsidR="00DF078B" w:rsidRPr="004E46AD">
        <w:rPr>
          <w:rFonts w:ascii="Arial" w:hAnsi="Arial"/>
          <w:spacing w:val="-3"/>
        </w:rPr>
        <w:t xml:space="preserve"> </w:t>
      </w:r>
      <w:r w:rsidRPr="004E46AD">
        <w:rPr>
          <w:rFonts w:ascii="Arial" w:hAnsi="Arial"/>
          <w:spacing w:val="-3"/>
        </w:rPr>
        <w:t xml:space="preserve">ability to contract for baseload supplies is limited because </w:t>
      </w:r>
      <w:r w:rsidRPr="004E46AD">
        <w:rPr>
          <w:rFonts w:ascii="Arial" w:hAnsi="Arial"/>
          <w:spacing w:val="-3"/>
        </w:rPr>
        <w:lastRenderedPageBreak/>
        <w:t>of the relatively low summer deman</w:t>
      </w:r>
      <w:r>
        <w:rPr>
          <w:rFonts w:ascii="Arial" w:hAnsi="Arial"/>
          <w:spacing w:val="-3"/>
        </w:rPr>
        <w:t xml:space="preserve">d </w:t>
      </w:r>
      <w:r w:rsidR="006134BA">
        <w:rPr>
          <w:rFonts w:ascii="Arial" w:hAnsi="Arial"/>
          <w:spacing w:val="-3"/>
        </w:rPr>
        <w:t>on Cascade’s</w:t>
      </w:r>
      <w:r w:rsidR="00DF078B">
        <w:rPr>
          <w:rFonts w:ascii="Arial" w:hAnsi="Arial"/>
          <w:spacing w:val="-3"/>
        </w:rPr>
        <w:t xml:space="preserve"> </w:t>
      </w:r>
      <w:r w:rsidRPr="004E46AD">
        <w:rPr>
          <w:rFonts w:ascii="Arial" w:hAnsi="Arial"/>
          <w:spacing w:val="-3"/>
        </w:rPr>
        <w:t>system. Baseload resources are used to meet the non-weather sensitive portion of the core market requirements or may be used to refill storage reservoirs during periods of lower demand.</w:t>
      </w:r>
    </w:p>
    <w:p w:rsidR="004E46AD" w:rsidRDefault="004E46AD" w:rsidP="004E46AD">
      <w:pPr>
        <w:tabs>
          <w:tab w:val="left" w:pos="-1440"/>
          <w:tab w:val="left" w:pos="-720"/>
          <w:tab w:val="left" w:pos="0"/>
          <w:tab w:val="left" w:pos="1080"/>
          <w:tab w:val="left" w:pos="1440"/>
        </w:tabs>
        <w:suppressAutoHyphens/>
        <w:jc w:val="both"/>
        <w:rPr>
          <w:rFonts w:ascii="Arial" w:hAnsi="Arial"/>
          <w:spacing w:val="-3"/>
        </w:rPr>
      </w:pPr>
    </w:p>
    <w:p w:rsidR="004E46AD" w:rsidRPr="004E46AD" w:rsidRDefault="004E46AD" w:rsidP="004E46AD">
      <w:pPr>
        <w:tabs>
          <w:tab w:val="left" w:pos="-1440"/>
          <w:tab w:val="left" w:pos="-720"/>
          <w:tab w:val="left" w:pos="0"/>
          <w:tab w:val="left" w:pos="1080"/>
          <w:tab w:val="left" w:pos="1440"/>
        </w:tabs>
        <w:suppressAutoHyphens/>
        <w:jc w:val="both"/>
        <w:rPr>
          <w:rFonts w:ascii="Arial" w:hAnsi="Arial"/>
          <w:spacing w:val="-3"/>
        </w:rPr>
      </w:pPr>
      <w:r w:rsidRPr="004E46AD">
        <w:rPr>
          <w:rFonts w:ascii="Arial" w:hAnsi="Arial"/>
          <w:spacing w:val="-3"/>
        </w:rPr>
        <w:t>Winter gas supplies are firm gas supplies that are purchased for a short period during the winter months to cover increased loads, primarily for space heating. The contracts are typically</w:t>
      </w:r>
      <w:r w:rsidR="00C80E1A">
        <w:rPr>
          <w:rFonts w:ascii="Arial" w:hAnsi="Arial"/>
          <w:spacing w:val="-3"/>
        </w:rPr>
        <w:t xml:space="preserve"> for</w:t>
      </w:r>
      <w:r w:rsidRPr="004E46AD">
        <w:rPr>
          <w:rFonts w:ascii="Arial" w:hAnsi="Arial"/>
          <w:spacing w:val="-3"/>
        </w:rPr>
        <w:t xml:space="preserve"> 3 to 5 month durations (primarily November through March). This enables the Company to ensure firm winter supplies without incurring obligations for high levels of </w:t>
      </w:r>
      <w:r w:rsidR="00C80E1A">
        <w:rPr>
          <w:rFonts w:ascii="Arial" w:hAnsi="Arial"/>
          <w:spacing w:val="-3"/>
        </w:rPr>
        <w:t>“</w:t>
      </w:r>
      <w:r w:rsidRPr="004E46AD">
        <w:rPr>
          <w:rFonts w:ascii="Arial" w:hAnsi="Arial"/>
          <w:spacing w:val="-3"/>
        </w:rPr>
        <w:t>take</w:t>
      </w:r>
      <w:r w:rsidR="00C80E1A">
        <w:rPr>
          <w:rFonts w:ascii="Arial" w:hAnsi="Arial"/>
          <w:spacing w:val="-3"/>
        </w:rPr>
        <w:t>”</w:t>
      </w:r>
      <w:r w:rsidRPr="004E46AD">
        <w:rPr>
          <w:rFonts w:ascii="Arial" w:hAnsi="Arial"/>
          <w:spacing w:val="-3"/>
        </w:rPr>
        <w:t xml:space="preserve"> during periods of low demand in the summer months. Winter supplies combined with baseload supplies </w:t>
      </w:r>
      <w:r>
        <w:rPr>
          <w:rFonts w:ascii="Arial" w:hAnsi="Arial"/>
          <w:spacing w:val="-3"/>
        </w:rPr>
        <w:t>are</w:t>
      </w:r>
      <w:r w:rsidRPr="004E46AD">
        <w:rPr>
          <w:rFonts w:ascii="Arial" w:hAnsi="Arial"/>
          <w:spacing w:val="-3"/>
        </w:rPr>
        <w:t xml:space="preserve"> adequate to cover the moderately cold days in winter.</w:t>
      </w:r>
    </w:p>
    <w:p w:rsidR="004E46AD" w:rsidRPr="004E46AD" w:rsidRDefault="004E46AD" w:rsidP="004E46AD">
      <w:pPr>
        <w:tabs>
          <w:tab w:val="left" w:pos="-1440"/>
          <w:tab w:val="left" w:pos="-720"/>
          <w:tab w:val="left" w:pos="0"/>
          <w:tab w:val="left" w:pos="1080"/>
          <w:tab w:val="left" w:pos="1440"/>
        </w:tabs>
        <w:suppressAutoHyphens/>
        <w:jc w:val="both"/>
        <w:rPr>
          <w:rFonts w:ascii="Arial" w:hAnsi="Arial"/>
          <w:spacing w:val="-3"/>
        </w:rPr>
      </w:pPr>
    </w:p>
    <w:p w:rsidR="004E46AD" w:rsidRPr="004E46AD" w:rsidRDefault="004E46AD" w:rsidP="004E46AD">
      <w:pPr>
        <w:tabs>
          <w:tab w:val="left" w:pos="-1440"/>
          <w:tab w:val="left" w:pos="-720"/>
          <w:tab w:val="left" w:pos="0"/>
          <w:tab w:val="left" w:pos="1080"/>
          <w:tab w:val="left" w:pos="1440"/>
        </w:tabs>
        <w:suppressAutoHyphens/>
        <w:jc w:val="both"/>
        <w:rPr>
          <w:rFonts w:ascii="Arial" w:hAnsi="Arial"/>
          <w:spacing w:val="-3"/>
        </w:rPr>
      </w:pPr>
      <w:r w:rsidRPr="004E46AD">
        <w:rPr>
          <w:rFonts w:ascii="Arial" w:hAnsi="Arial"/>
          <w:spacing w:val="-3"/>
        </w:rPr>
        <w:t xml:space="preserve">Peaking gas supplies, similar to storage, are firm contracts purchased only as load actually materializes due to high winter demand. That is, the </w:t>
      </w:r>
      <w:r>
        <w:rPr>
          <w:rFonts w:ascii="Arial" w:hAnsi="Arial"/>
          <w:spacing w:val="-3"/>
        </w:rPr>
        <w:t>seller</w:t>
      </w:r>
      <w:r w:rsidRPr="004E46AD">
        <w:rPr>
          <w:rFonts w:ascii="Arial" w:hAnsi="Arial"/>
          <w:spacing w:val="-3"/>
        </w:rPr>
        <w:t xml:space="preserve"> must deliver the gas when the Company requires it, but the Company is not required to take gas unless </w:t>
      </w:r>
      <w:r>
        <w:rPr>
          <w:rFonts w:ascii="Arial" w:hAnsi="Arial"/>
          <w:spacing w:val="-3"/>
        </w:rPr>
        <w:t xml:space="preserve">it is </w:t>
      </w:r>
      <w:r w:rsidRPr="004E46AD">
        <w:rPr>
          <w:rFonts w:ascii="Arial" w:hAnsi="Arial"/>
          <w:spacing w:val="-3"/>
        </w:rPr>
        <w:t xml:space="preserve">needed to meet customer load requirements. Peaking resources typically allow the Company to take between 15 and 20 days of service during the winter period. These resources are more expensive than baseload or winter supplies and typically include fixed charges to cover the costs for the </w:t>
      </w:r>
      <w:r>
        <w:rPr>
          <w:rFonts w:ascii="Arial" w:hAnsi="Arial"/>
          <w:spacing w:val="-3"/>
        </w:rPr>
        <w:t xml:space="preserve">sellers </w:t>
      </w:r>
      <w:r w:rsidRPr="004E46AD">
        <w:rPr>
          <w:rFonts w:ascii="Arial" w:hAnsi="Arial"/>
          <w:spacing w:val="-3"/>
        </w:rPr>
        <w:t>to stand by to deliver the supplies.</w:t>
      </w:r>
    </w:p>
    <w:p w:rsidR="004E46AD" w:rsidRPr="004E46AD" w:rsidRDefault="004E46AD" w:rsidP="004E46AD">
      <w:pPr>
        <w:tabs>
          <w:tab w:val="left" w:pos="-1440"/>
          <w:tab w:val="left" w:pos="-720"/>
          <w:tab w:val="left" w:pos="0"/>
          <w:tab w:val="left" w:pos="1080"/>
          <w:tab w:val="left" w:pos="1440"/>
        </w:tabs>
        <w:suppressAutoHyphens/>
        <w:jc w:val="both"/>
        <w:rPr>
          <w:rFonts w:ascii="Arial" w:hAnsi="Arial"/>
          <w:spacing w:val="-3"/>
        </w:rPr>
      </w:pPr>
    </w:p>
    <w:p w:rsidR="004E46AD" w:rsidRPr="004E46AD" w:rsidRDefault="004E46AD" w:rsidP="004E46AD">
      <w:pPr>
        <w:tabs>
          <w:tab w:val="left" w:pos="-1440"/>
          <w:tab w:val="left" w:pos="-720"/>
          <w:tab w:val="left" w:pos="0"/>
          <w:tab w:val="left" w:pos="1080"/>
          <w:tab w:val="left" w:pos="1440"/>
        </w:tabs>
        <w:suppressAutoHyphens/>
        <w:jc w:val="both"/>
        <w:rPr>
          <w:rFonts w:ascii="Arial" w:hAnsi="Arial"/>
          <w:spacing w:val="-3"/>
        </w:rPr>
      </w:pPr>
      <w:r w:rsidRPr="004E46AD">
        <w:rPr>
          <w:rFonts w:ascii="Arial" w:hAnsi="Arial"/>
          <w:spacing w:val="-3"/>
        </w:rPr>
        <w:t xml:space="preserve">Needle peaking resources are utilized during severe or “arctic” cold experiences when demand can increase sharply. These resources are very expensive and are available for a </w:t>
      </w:r>
      <w:r w:rsidRPr="004E46AD">
        <w:rPr>
          <w:rFonts w:ascii="Arial" w:hAnsi="Arial"/>
          <w:spacing w:val="-3"/>
        </w:rPr>
        <w:lastRenderedPageBreak/>
        <w:t xml:space="preserve">very short period of time. One source of needle peaking gas supply that is actually a form of demand side management may be obtained from Cascade's </w:t>
      </w:r>
      <w:r>
        <w:rPr>
          <w:rFonts w:ascii="Arial" w:hAnsi="Arial"/>
          <w:spacing w:val="-3"/>
        </w:rPr>
        <w:t xml:space="preserve">core interruptible </w:t>
      </w:r>
      <w:r w:rsidRPr="004E46AD">
        <w:rPr>
          <w:rFonts w:ascii="Arial" w:hAnsi="Arial"/>
          <w:spacing w:val="-3"/>
        </w:rPr>
        <w:t xml:space="preserve">customer base. These customers </w:t>
      </w:r>
      <w:r>
        <w:rPr>
          <w:rFonts w:ascii="Arial" w:hAnsi="Arial"/>
          <w:spacing w:val="-3"/>
        </w:rPr>
        <w:t>are</w:t>
      </w:r>
      <w:r w:rsidRPr="004E46AD">
        <w:rPr>
          <w:rFonts w:ascii="Arial" w:hAnsi="Arial"/>
          <w:spacing w:val="-3"/>
        </w:rPr>
        <w:t xml:space="preserve"> required to maintain standby or alternate fuel capability </w:t>
      </w:r>
      <w:r>
        <w:rPr>
          <w:rFonts w:ascii="Arial" w:hAnsi="Arial"/>
          <w:spacing w:val="-3"/>
        </w:rPr>
        <w:t xml:space="preserve">so that </w:t>
      </w:r>
      <w:r w:rsidRPr="004E46AD">
        <w:rPr>
          <w:rFonts w:ascii="Arial" w:hAnsi="Arial"/>
          <w:spacing w:val="-3"/>
        </w:rPr>
        <w:t xml:space="preserve">Cascade </w:t>
      </w:r>
      <w:r w:rsidR="00C80E1A">
        <w:rPr>
          <w:rFonts w:ascii="Arial" w:hAnsi="Arial"/>
          <w:spacing w:val="-3"/>
        </w:rPr>
        <w:t>can</w:t>
      </w:r>
      <w:r w:rsidRPr="004E46AD">
        <w:rPr>
          <w:rFonts w:ascii="Arial" w:hAnsi="Arial"/>
          <w:spacing w:val="-3"/>
        </w:rPr>
        <w:t xml:space="preserve"> request the customer </w:t>
      </w:r>
      <w:r w:rsidR="00C80E1A">
        <w:rPr>
          <w:rFonts w:ascii="Arial" w:hAnsi="Arial"/>
          <w:spacing w:val="-3"/>
        </w:rPr>
        <w:t xml:space="preserve">to </w:t>
      </w:r>
      <w:r w:rsidRPr="004E46AD">
        <w:rPr>
          <w:rFonts w:ascii="Arial" w:hAnsi="Arial"/>
          <w:spacing w:val="-3"/>
        </w:rPr>
        <w:t xml:space="preserve">switch to </w:t>
      </w:r>
      <w:r w:rsidR="00C80E1A">
        <w:rPr>
          <w:rFonts w:ascii="Arial" w:hAnsi="Arial"/>
          <w:spacing w:val="-3"/>
        </w:rPr>
        <w:t xml:space="preserve">its </w:t>
      </w:r>
      <w:r w:rsidR="00F1502E">
        <w:rPr>
          <w:rFonts w:ascii="Arial" w:hAnsi="Arial"/>
          <w:spacing w:val="-3"/>
        </w:rPr>
        <w:t xml:space="preserve">alternate fuel </w:t>
      </w:r>
      <w:r w:rsidR="00C80E1A">
        <w:rPr>
          <w:rFonts w:ascii="Arial" w:hAnsi="Arial"/>
          <w:spacing w:val="-3"/>
        </w:rPr>
        <w:t xml:space="preserve">source </w:t>
      </w:r>
      <w:r w:rsidRPr="004E46AD">
        <w:rPr>
          <w:rFonts w:ascii="Arial" w:hAnsi="Arial"/>
          <w:spacing w:val="-3"/>
        </w:rPr>
        <w:t xml:space="preserve">so Cascade </w:t>
      </w:r>
      <w:r w:rsidR="00C80E1A" w:rsidRPr="004E46AD">
        <w:rPr>
          <w:rFonts w:ascii="Arial" w:hAnsi="Arial"/>
          <w:spacing w:val="-3"/>
        </w:rPr>
        <w:t>c</w:t>
      </w:r>
      <w:r w:rsidR="00C80E1A">
        <w:rPr>
          <w:rFonts w:ascii="Arial" w:hAnsi="Arial"/>
          <w:spacing w:val="-3"/>
        </w:rPr>
        <w:t>an</w:t>
      </w:r>
      <w:r w:rsidR="00C80E1A" w:rsidRPr="004E46AD">
        <w:rPr>
          <w:rFonts w:ascii="Arial" w:hAnsi="Arial"/>
          <w:spacing w:val="-3"/>
        </w:rPr>
        <w:t xml:space="preserve"> </w:t>
      </w:r>
      <w:r w:rsidRPr="004E46AD">
        <w:rPr>
          <w:rFonts w:ascii="Arial" w:hAnsi="Arial"/>
          <w:spacing w:val="-3"/>
        </w:rPr>
        <w:t xml:space="preserve">utilize (divert) the gas supply and transportation capacity to meet the Company’s core </w:t>
      </w:r>
      <w:r w:rsidR="00F1502E">
        <w:rPr>
          <w:rFonts w:ascii="Arial" w:hAnsi="Arial"/>
          <w:spacing w:val="-3"/>
        </w:rPr>
        <w:t xml:space="preserve">firm </w:t>
      </w:r>
      <w:r w:rsidRPr="004E46AD">
        <w:rPr>
          <w:rFonts w:ascii="Arial" w:hAnsi="Arial"/>
          <w:spacing w:val="-3"/>
        </w:rPr>
        <w:t>market requirements. The benefits associated with this type of resource would include lowering the demand of the industrial facility and providing a like amount of additional gas supply with pipeline capacity to meet core demand. Needle peaking requirements can also be met through the use of propane air plants or on-site liquefied natural gas (LNG) facilities.</w:t>
      </w:r>
      <w:r w:rsidR="00F1502E">
        <w:rPr>
          <w:rFonts w:ascii="Arial" w:hAnsi="Arial"/>
          <w:spacing w:val="-3"/>
        </w:rPr>
        <w:t xml:space="preserve">  Currently, Cascade does not own or operate any LNG facilities along the distribution system.</w:t>
      </w:r>
    </w:p>
    <w:p w:rsidR="004E46AD" w:rsidRPr="004E46AD" w:rsidRDefault="004E46AD" w:rsidP="004E46AD">
      <w:pPr>
        <w:tabs>
          <w:tab w:val="left" w:pos="-1440"/>
          <w:tab w:val="left" w:pos="-720"/>
          <w:tab w:val="left" w:pos="0"/>
          <w:tab w:val="left" w:pos="1080"/>
          <w:tab w:val="left" w:pos="1440"/>
        </w:tabs>
        <w:suppressAutoHyphens/>
        <w:jc w:val="both"/>
        <w:rPr>
          <w:rFonts w:ascii="Arial" w:hAnsi="Arial"/>
          <w:spacing w:val="-3"/>
        </w:rPr>
      </w:pPr>
    </w:p>
    <w:p w:rsidR="004E46AD" w:rsidRDefault="00F1502E" w:rsidP="00F1502E">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Supply c</w:t>
      </w:r>
      <w:r w:rsidR="004E46AD" w:rsidRPr="004E46AD">
        <w:rPr>
          <w:rFonts w:ascii="Arial" w:hAnsi="Arial"/>
          <w:spacing w:val="-3"/>
        </w:rPr>
        <w:t>ontract terms for firm commodity supplies vary greatly. Some contracts specify fixed prices, while others are based on indices that float from month to month.  Some contracts have fixed reservation charges assessed each month, while others may have minimum daily or monthly take requirements. Most contain penalty provisions for failure to take the minimum supply according to the contract terms. Contract details will also vary from year to year, depending on company and supplier needs and the general trends in the market.</w:t>
      </w:r>
    </w:p>
    <w:p w:rsidR="00F1502E" w:rsidRDefault="00F1502E" w:rsidP="00F1502E">
      <w:pPr>
        <w:tabs>
          <w:tab w:val="left" w:pos="-1440"/>
          <w:tab w:val="left" w:pos="-720"/>
          <w:tab w:val="left" w:pos="0"/>
          <w:tab w:val="left" w:pos="1080"/>
          <w:tab w:val="left" w:pos="1440"/>
        </w:tabs>
        <w:suppressAutoHyphens/>
        <w:jc w:val="both"/>
        <w:rPr>
          <w:rFonts w:ascii="Arial" w:hAnsi="Arial"/>
          <w:spacing w:val="-3"/>
        </w:rPr>
      </w:pPr>
    </w:p>
    <w:p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r w:rsidRPr="00F1502E">
        <w:rPr>
          <w:rFonts w:ascii="Arial" w:hAnsi="Arial"/>
          <w:spacing w:val="-3"/>
        </w:rPr>
        <w:t xml:space="preserve">Gas that is purchased for a short period of time (1 to 30 days) when neither the seller nor the buyer has a longer-term firm commitment to deliver or take the gas is referred to as a spot market purchase. Spot market supplies differ from firm resources in that they are more </w:t>
      </w:r>
      <w:r w:rsidRPr="00F1502E">
        <w:rPr>
          <w:rFonts w:ascii="Arial" w:hAnsi="Arial"/>
          <w:spacing w:val="-3"/>
        </w:rPr>
        <w:lastRenderedPageBreak/>
        <w:t>volatile both in terms of availability and price, and are largely influenced by the laws of supply and demand.</w:t>
      </w:r>
    </w:p>
    <w:p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p>
    <w:p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r w:rsidRPr="00F1502E">
        <w:rPr>
          <w:rFonts w:ascii="Arial" w:hAnsi="Arial"/>
          <w:spacing w:val="-3"/>
        </w:rPr>
        <w:t>In general, spot market supplies</w:t>
      </w:r>
      <w:r>
        <w:rPr>
          <w:rFonts w:ascii="Arial" w:hAnsi="Arial"/>
          <w:spacing w:val="-3"/>
        </w:rPr>
        <w:t xml:space="preserve"> (also called “day gas”, “just-in-time gas”)</w:t>
      </w:r>
      <w:r w:rsidRPr="00F1502E">
        <w:rPr>
          <w:rFonts w:ascii="Arial" w:hAnsi="Arial"/>
          <w:spacing w:val="-3"/>
        </w:rPr>
        <w:t xml:space="preserve"> are provided from gas supplies not under any long-term firm contract</w:t>
      </w:r>
      <w:r>
        <w:rPr>
          <w:rFonts w:ascii="Arial" w:hAnsi="Arial"/>
          <w:spacing w:val="-3"/>
        </w:rPr>
        <w:t xml:space="preserve">.  </w:t>
      </w:r>
      <w:r w:rsidRPr="00F1502E">
        <w:rPr>
          <w:rFonts w:ascii="Arial" w:hAnsi="Arial"/>
          <w:spacing w:val="-3"/>
        </w:rPr>
        <w:t>Therefore, as firm market demand decreases, more</w:t>
      </w:r>
      <w:r>
        <w:rPr>
          <w:rFonts w:ascii="Arial" w:hAnsi="Arial"/>
          <w:spacing w:val="-3"/>
        </w:rPr>
        <w:t xml:space="preserve"> </w:t>
      </w:r>
      <w:r w:rsidRPr="00F1502E">
        <w:rPr>
          <w:rFonts w:ascii="Arial" w:hAnsi="Arial"/>
          <w:spacing w:val="-3"/>
        </w:rPr>
        <w:t xml:space="preserve">gas becomes available for the spot market. Prices for spot market supplies are market driven and may be either lower or higher than prices under firm supply contracts. In warmer weather, as firm market demand requirements decrease, usually more gas becomes available for the spot market, resulting in lower prices. In colder weather, as firm markets demand their gas supplies, the remaining spot market supplies can carry higher prices until the price equates or exceeds that of alternate energy supplies (such as oil or electricity). Spot supplies can be expected to move to the markets that offer the highest price, which in turn can affect delivery reliability. </w:t>
      </w:r>
    </w:p>
    <w:p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p>
    <w:p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r w:rsidRPr="00F1502E">
        <w:rPr>
          <w:rFonts w:ascii="Arial" w:hAnsi="Arial"/>
          <w:spacing w:val="-3"/>
        </w:rPr>
        <w:t>Due to the potential for interruption of the spot market, these supplies are not considered as reliable a source of gas supply for the winter peaking requirements of Cascade’s core market.  As identified earlier, part of the reason these supplies are considered less reliable is that these volumes are made available after longer-term firm commitments have been contracted for delivery by upstream suppliers. The available volumes are likely to vary daily, depending on production or the suppliers’ ability to store un</w:t>
      </w:r>
      <w:r>
        <w:rPr>
          <w:rFonts w:ascii="Arial" w:hAnsi="Arial"/>
          <w:spacing w:val="-3"/>
        </w:rPr>
        <w:t>-</w:t>
      </w:r>
      <w:r w:rsidRPr="00F1502E">
        <w:rPr>
          <w:rFonts w:ascii="Arial" w:hAnsi="Arial"/>
          <w:spacing w:val="-3"/>
        </w:rPr>
        <w:t>marketed supply. Under a NAESB (North American Energy Standards Board) contract</w:t>
      </w:r>
      <w:r>
        <w:rPr>
          <w:rFonts w:ascii="Arial" w:hAnsi="Arial"/>
          <w:spacing w:val="-3"/>
        </w:rPr>
        <w:t xml:space="preserve"> </w:t>
      </w:r>
      <w:r w:rsidRPr="00F1502E">
        <w:rPr>
          <w:rFonts w:ascii="Arial" w:hAnsi="Arial"/>
          <w:spacing w:val="-3"/>
        </w:rPr>
        <w:t xml:space="preserve">parties have the ability to identify firm, variable </w:t>
      </w:r>
      <w:r w:rsidRPr="00F1502E">
        <w:rPr>
          <w:rFonts w:ascii="Arial" w:hAnsi="Arial"/>
          <w:spacing w:val="-3"/>
        </w:rPr>
        <w:lastRenderedPageBreak/>
        <w:t xml:space="preserve">or interruptible quantities for these supplies. </w:t>
      </w:r>
      <w:r>
        <w:rPr>
          <w:rFonts w:ascii="Arial" w:hAnsi="Arial"/>
          <w:spacing w:val="-3"/>
        </w:rPr>
        <w:t>This is the</w:t>
      </w:r>
      <w:r w:rsidRPr="00F1502E">
        <w:rPr>
          <w:rFonts w:ascii="Arial" w:hAnsi="Arial"/>
          <w:spacing w:val="-3"/>
        </w:rPr>
        <w:t xml:space="preserve"> standard contract used by buyers and sellers when entering into short term supply transactions</w:t>
      </w:r>
      <w:r>
        <w:rPr>
          <w:rFonts w:ascii="Arial" w:hAnsi="Arial"/>
          <w:spacing w:val="-3"/>
        </w:rPr>
        <w:t xml:space="preserve">. </w:t>
      </w:r>
      <w:r w:rsidRPr="00F1502E">
        <w:rPr>
          <w:rFonts w:ascii="Arial" w:hAnsi="Arial"/>
          <w:spacing w:val="-3"/>
        </w:rPr>
        <w:t xml:space="preserve">Therefore, these spot volumes are more susceptible to daily operational constraints on the upstream pipelines. This is particularly true in the case of the Northwest Pipeline, which is a displacement pipeline with bi-directional flow. Depending on how gas is scheduled versus </w:t>
      </w:r>
      <w:r>
        <w:rPr>
          <w:rFonts w:ascii="Arial" w:hAnsi="Arial"/>
          <w:spacing w:val="-3"/>
        </w:rPr>
        <w:t xml:space="preserve">physically </w:t>
      </w:r>
      <w:r w:rsidRPr="00F1502E">
        <w:rPr>
          <w:rFonts w:ascii="Arial" w:hAnsi="Arial"/>
          <w:spacing w:val="-3"/>
        </w:rPr>
        <w:t>flowing between compressor stations, constraints can possibly occur. Complicating matters is that each of the pipelines ha</w:t>
      </w:r>
      <w:r>
        <w:rPr>
          <w:rFonts w:ascii="Arial" w:hAnsi="Arial"/>
          <w:spacing w:val="-3"/>
        </w:rPr>
        <w:t>ve</w:t>
      </w:r>
      <w:r w:rsidRPr="00F1502E">
        <w:rPr>
          <w:rFonts w:ascii="Arial" w:hAnsi="Arial"/>
          <w:spacing w:val="-3"/>
        </w:rPr>
        <w:t xml:space="preserve"> multiple supply scheduling deadlines, allowing scheduled volumes to be adjusted. As a result, at any given point in the process, constraints can occur, leading to the potential of the scheduled spot supply volumes being reduced or not delivered to the </w:t>
      </w:r>
      <w:r w:rsidR="00DF078B">
        <w:rPr>
          <w:rFonts w:ascii="Arial" w:hAnsi="Arial"/>
          <w:spacing w:val="-3"/>
        </w:rPr>
        <w:t>citygate</w:t>
      </w:r>
      <w:r w:rsidRPr="00F1502E">
        <w:rPr>
          <w:rFonts w:ascii="Arial" w:hAnsi="Arial"/>
          <w:spacing w:val="-3"/>
        </w:rPr>
        <w:t xml:space="preserve"> at all.</w:t>
      </w:r>
    </w:p>
    <w:p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p>
    <w:p w:rsidR="00F1502E" w:rsidRPr="00F1502E" w:rsidRDefault="00F1502E" w:rsidP="00F1502E">
      <w:pPr>
        <w:tabs>
          <w:tab w:val="left" w:pos="-1440"/>
          <w:tab w:val="left" w:pos="-720"/>
          <w:tab w:val="left" w:pos="0"/>
          <w:tab w:val="left" w:pos="1080"/>
          <w:tab w:val="left" w:pos="1440"/>
        </w:tabs>
        <w:suppressAutoHyphens/>
        <w:jc w:val="both"/>
        <w:rPr>
          <w:rFonts w:ascii="Arial" w:hAnsi="Arial"/>
          <w:spacing w:val="-3"/>
        </w:rPr>
      </w:pPr>
      <w:r w:rsidRPr="00F1502E">
        <w:rPr>
          <w:rFonts w:ascii="Arial" w:hAnsi="Arial"/>
          <w:spacing w:val="-3"/>
        </w:rPr>
        <w:t xml:space="preserve">The role for spot market gas supply in the core market portfolio is based upon economics.  Spot market supplies may be used to supplement firm contracts during periods of high demand or to displace other volumes when it is cost-effective to do so. For example, should prices in one basin drop radically compared to another basin, a </w:t>
      </w:r>
      <w:r w:rsidR="00486126">
        <w:rPr>
          <w:rFonts w:ascii="Arial" w:hAnsi="Arial"/>
          <w:spacing w:val="-3"/>
        </w:rPr>
        <w:t xml:space="preserve">supply </w:t>
      </w:r>
      <w:r w:rsidRPr="00F1502E">
        <w:rPr>
          <w:rFonts w:ascii="Arial" w:hAnsi="Arial"/>
          <w:spacing w:val="-3"/>
        </w:rPr>
        <w:t xml:space="preserve">contract may allow the flexibility to reduce takes in order to take advantage of </w:t>
      </w:r>
      <w:r w:rsidR="00486126">
        <w:rPr>
          <w:rFonts w:ascii="Arial" w:hAnsi="Arial"/>
          <w:spacing w:val="-3"/>
        </w:rPr>
        <w:t xml:space="preserve">spot </w:t>
      </w:r>
      <w:r w:rsidRPr="00F1502E">
        <w:rPr>
          <w:rFonts w:ascii="Arial" w:hAnsi="Arial"/>
          <w:spacing w:val="-3"/>
        </w:rPr>
        <w:t>supply from a lower priced basin. Depending upon availability and price, spot market volumes may be used in place of storage withdrawal volumes to meet firm requirements on a given day or for mid-heating season refills of storage inventory during periods of moderate weather.</w:t>
      </w:r>
    </w:p>
    <w:p w:rsidR="00F1502E" w:rsidRPr="004E46AD" w:rsidRDefault="00F1502E" w:rsidP="00F1502E">
      <w:pPr>
        <w:tabs>
          <w:tab w:val="left" w:pos="-1440"/>
          <w:tab w:val="left" w:pos="-720"/>
          <w:tab w:val="left" w:pos="0"/>
          <w:tab w:val="left" w:pos="1080"/>
          <w:tab w:val="left" w:pos="1440"/>
        </w:tabs>
        <w:suppressAutoHyphens/>
        <w:jc w:val="both"/>
        <w:rPr>
          <w:rFonts w:ascii="Arial" w:hAnsi="Arial"/>
          <w:spacing w:val="-3"/>
        </w:rPr>
      </w:pPr>
    </w:p>
    <w:p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lastRenderedPageBreak/>
        <w:t>Storage Resources</w:t>
      </w:r>
    </w:p>
    <w:p w:rsidR="00486126" w:rsidRDefault="00486126" w:rsidP="00486126">
      <w:pPr>
        <w:tabs>
          <w:tab w:val="left" w:pos="-1440"/>
          <w:tab w:val="left" w:pos="-720"/>
          <w:tab w:val="left" w:pos="0"/>
          <w:tab w:val="left" w:pos="1080"/>
          <w:tab w:val="left" w:pos="1440"/>
        </w:tabs>
        <w:suppressAutoHyphens/>
        <w:jc w:val="both"/>
        <w:rPr>
          <w:rFonts w:ascii="Arial" w:hAnsi="Arial"/>
          <w:spacing w:val="-3"/>
        </w:rPr>
      </w:pPr>
    </w:p>
    <w:p w:rsidR="00486126" w:rsidRPr="00486126" w:rsidRDefault="00486126" w:rsidP="00486126">
      <w:pPr>
        <w:tabs>
          <w:tab w:val="left" w:pos="-1440"/>
          <w:tab w:val="left" w:pos="-720"/>
          <w:tab w:val="left" w:pos="0"/>
          <w:tab w:val="left" w:pos="1080"/>
          <w:tab w:val="left" w:pos="1440"/>
        </w:tabs>
        <w:suppressAutoHyphens/>
        <w:jc w:val="both"/>
        <w:rPr>
          <w:rFonts w:ascii="Arial" w:hAnsi="Arial"/>
          <w:spacing w:val="-3"/>
        </w:rPr>
      </w:pPr>
      <w:r w:rsidRPr="00486126">
        <w:rPr>
          <w:rFonts w:ascii="Arial" w:hAnsi="Arial"/>
          <w:spacing w:val="-3"/>
        </w:rPr>
        <w:t>Cascade also utilizes natural gas storage to meet a portion of the requirements of its core market. Storing gas supplies, purchased and injected during periods of low demand, is a cost-effective way of meeting some of the peak requirements of Cascade’s firm market. Natural gas can be stored in naturally occurring reservoirs, such as depleted oil or gas fields, salt caverns or other geological formations with an impermeable cap over a porous reservoir. Gas can also be stored in vessels or tanks under pressure as compressed natural gas, or cooled to a liquid state, which is liquefied natural gas (LNG).</w:t>
      </w:r>
    </w:p>
    <w:p w:rsidR="00486126" w:rsidRPr="00486126" w:rsidRDefault="00486126" w:rsidP="00486126">
      <w:pPr>
        <w:tabs>
          <w:tab w:val="left" w:pos="-1440"/>
          <w:tab w:val="left" w:pos="-720"/>
          <w:tab w:val="left" w:pos="0"/>
          <w:tab w:val="left" w:pos="1080"/>
          <w:tab w:val="left" w:pos="1440"/>
        </w:tabs>
        <w:suppressAutoHyphens/>
        <w:jc w:val="both"/>
        <w:rPr>
          <w:rFonts w:ascii="Arial" w:hAnsi="Arial"/>
          <w:spacing w:val="-3"/>
        </w:rPr>
      </w:pPr>
    </w:p>
    <w:p w:rsidR="00486126" w:rsidRPr="00486126" w:rsidRDefault="00486126" w:rsidP="00486126">
      <w:pPr>
        <w:tabs>
          <w:tab w:val="left" w:pos="-1440"/>
          <w:tab w:val="left" w:pos="-720"/>
          <w:tab w:val="left" w:pos="0"/>
          <w:tab w:val="left" w:pos="1080"/>
          <w:tab w:val="left" w:pos="1440"/>
        </w:tabs>
        <w:suppressAutoHyphens/>
        <w:jc w:val="both"/>
        <w:rPr>
          <w:rFonts w:ascii="Arial" w:hAnsi="Arial"/>
          <w:spacing w:val="-3"/>
        </w:rPr>
      </w:pPr>
      <w:r w:rsidRPr="00486126">
        <w:rPr>
          <w:rFonts w:ascii="Arial" w:hAnsi="Arial"/>
          <w:spacing w:val="-3"/>
        </w:rPr>
        <w:t>Natural gas storage service is not only an excellent supply source for meeting peak winter demand, but it can also be an important gas supply management tool. Storing excess or unused supply during periods of low demand increases the annual utilization rate of a supply contract, therefore</w:t>
      </w:r>
      <w:r w:rsidR="00EA0E3C">
        <w:rPr>
          <w:rFonts w:ascii="Arial" w:hAnsi="Arial"/>
          <w:spacing w:val="-3"/>
        </w:rPr>
        <w:t>,</w:t>
      </w:r>
      <w:r w:rsidRPr="00486126">
        <w:rPr>
          <w:rFonts w:ascii="Arial" w:hAnsi="Arial"/>
          <w:spacing w:val="-3"/>
        </w:rPr>
        <w:t xml:space="preserve"> improving the annual load factor for the Company’s gas supplies. Improving the annual load factor of a supply contract improves the Company's ability to purchase gas supplies on a more economical basis. Purchasing natural gas for storage during periods of low demand generally yields prices at the low point on the seasonal price curve.</w:t>
      </w:r>
    </w:p>
    <w:p w:rsidR="00486126" w:rsidRPr="00486126" w:rsidRDefault="00486126" w:rsidP="00486126">
      <w:pPr>
        <w:tabs>
          <w:tab w:val="left" w:pos="-1440"/>
          <w:tab w:val="left" w:pos="-720"/>
          <w:tab w:val="left" w:pos="0"/>
          <w:tab w:val="left" w:pos="1080"/>
          <w:tab w:val="left" w:pos="1440"/>
        </w:tabs>
        <w:suppressAutoHyphens/>
        <w:jc w:val="both"/>
        <w:rPr>
          <w:rFonts w:ascii="Arial" w:hAnsi="Arial"/>
          <w:spacing w:val="-3"/>
        </w:rPr>
      </w:pPr>
    </w:p>
    <w:p w:rsidR="00486126" w:rsidRDefault="00486126" w:rsidP="00486126">
      <w:pPr>
        <w:tabs>
          <w:tab w:val="left" w:pos="-1440"/>
          <w:tab w:val="left" w:pos="-720"/>
          <w:tab w:val="left" w:pos="0"/>
          <w:tab w:val="left" w:pos="1080"/>
          <w:tab w:val="left" w:pos="1440"/>
        </w:tabs>
        <w:suppressAutoHyphens/>
        <w:jc w:val="both"/>
        <w:rPr>
          <w:rFonts w:ascii="Arial" w:hAnsi="Arial"/>
          <w:spacing w:val="-3"/>
        </w:rPr>
      </w:pPr>
      <w:r w:rsidRPr="00486126">
        <w:rPr>
          <w:rFonts w:ascii="Arial" w:hAnsi="Arial"/>
          <w:spacing w:val="-3"/>
        </w:rPr>
        <w:t>Depending upon the location of the storage facility, pipeline transportation may also be required</w:t>
      </w:r>
      <w:r w:rsidR="008B4C32">
        <w:rPr>
          <w:rFonts w:ascii="Arial" w:hAnsi="Arial"/>
          <w:spacing w:val="-3"/>
        </w:rPr>
        <w:t xml:space="preserve"> to move the gas from the facility to the distribution system</w:t>
      </w:r>
      <w:r w:rsidRPr="00486126">
        <w:rPr>
          <w:rFonts w:ascii="Arial" w:hAnsi="Arial"/>
          <w:spacing w:val="-3"/>
        </w:rPr>
        <w:t xml:space="preserve">. Storage facilities located </w:t>
      </w:r>
      <w:r w:rsidRPr="00486126">
        <w:rPr>
          <w:rFonts w:ascii="Arial" w:hAnsi="Arial"/>
          <w:spacing w:val="-3"/>
        </w:rPr>
        <w:lastRenderedPageBreak/>
        <w:t xml:space="preserve">within the Company’s distribution system or on the interstate pipeline are preferable to those located “off-system”. Off-system storage requires additional </w:t>
      </w:r>
      <w:r w:rsidR="008B4C32">
        <w:rPr>
          <w:rFonts w:ascii="Arial" w:hAnsi="Arial"/>
          <w:spacing w:val="-3"/>
        </w:rPr>
        <w:t xml:space="preserve">upstream </w:t>
      </w:r>
      <w:r w:rsidRPr="00486126">
        <w:rPr>
          <w:rFonts w:ascii="Arial" w:hAnsi="Arial"/>
          <w:spacing w:val="-3"/>
        </w:rPr>
        <w:t>pipelin</w:t>
      </w:r>
      <w:r w:rsidR="008B4C32">
        <w:rPr>
          <w:rFonts w:ascii="Arial" w:hAnsi="Arial"/>
          <w:spacing w:val="-3"/>
        </w:rPr>
        <w:t xml:space="preserve">e transportation </w:t>
      </w:r>
      <w:r w:rsidRPr="00486126">
        <w:rPr>
          <w:rFonts w:ascii="Arial" w:hAnsi="Arial"/>
          <w:spacing w:val="-3"/>
        </w:rPr>
        <w:t xml:space="preserve">and may limit the flexibility of the resource. Cascade does not own its own </w:t>
      </w:r>
      <w:r w:rsidR="008B4C32">
        <w:rPr>
          <w:rFonts w:ascii="Arial" w:hAnsi="Arial"/>
          <w:spacing w:val="-3"/>
        </w:rPr>
        <w:t xml:space="preserve">any </w:t>
      </w:r>
      <w:r w:rsidRPr="00486126">
        <w:rPr>
          <w:rFonts w:ascii="Arial" w:hAnsi="Arial"/>
          <w:spacing w:val="-3"/>
        </w:rPr>
        <w:t>storage facilit</w:t>
      </w:r>
      <w:r w:rsidR="008B4C32">
        <w:rPr>
          <w:rFonts w:ascii="Arial" w:hAnsi="Arial"/>
          <w:spacing w:val="-3"/>
        </w:rPr>
        <w:t>ies</w:t>
      </w:r>
      <w:r w:rsidRPr="00486126">
        <w:rPr>
          <w:rFonts w:ascii="Arial" w:hAnsi="Arial"/>
          <w:spacing w:val="-3"/>
        </w:rPr>
        <w:t xml:space="preserve"> and therefore must contract with storage owners to access a portion of </w:t>
      </w:r>
      <w:r w:rsidR="008B4C32">
        <w:rPr>
          <w:rFonts w:ascii="Arial" w:hAnsi="Arial"/>
          <w:spacing w:val="-3"/>
        </w:rPr>
        <w:t>those owners unused</w:t>
      </w:r>
      <w:r w:rsidRPr="00486126">
        <w:rPr>
          <w:rFonts w:ascii="Arial" w:hAnsi="Arial"/>
          <w:spacing w:val="-3"/>
        </w:rPr>
        <w:t xml:space="preserve"> storage capacity. </w:t>
      </w:r>
      <w:r w:rsidR="00C26C4A">
        <w:rPr>
          <w:rFonts w:ascii="Arial" w:hAnsi="Arial"/>
          <w:spacing w:val="-3"/>
        </w:rPr>
        <w:t xml:space="preserve"> Figure </w:t>
      </w:r>
      <w:r w:rsidR="006134BA">
        <w:rPr>
          <w:rFonts w:ascii="Arial" w:hAnsi="Arial"/>
          <w:spacing w:val="-3"/>
        </w:rPr>
        <w:t>4-2</w:t>
      </w:r>
      <w:r w:rsidR="00C26C4A">
        <w:rPr>
          <w:rFonts w:ascii="Arial" w:hAnsi="Arial"/>
          <w:spacing w:val="-3"/>
        </w:rPr>
        <w:t xml:space="preserve"> displays the location of some of the storage facilities in the region.</w:t>
      </w:r>
    </w:p>
    <w:p w:rsidR="00C26C4A" w:rsidRDefault="00C26C4A" w:rsidP="00486126">
      <w:pPr>
        <w:tabs>
          <w:tab w:val="left" w:pos="-1440"/>
          <w:tab w:val="left" w:pos="-720"/>
          <w:tab w:val="left" w:pos="0"/>
          <w:tab w:val="left" w:pos="1080"/>
          <w:tab w:val="left" w:pos="1440"/>
        </w:tabs>
        <w:suppressAutoHyphens/>
        <w:jc w:val="both"/>
        <w:rPr>
          <w:rFonts w:ascii="Arial" w:hAnsi="Arial"/>
          <w:spacing w:val="-3"/>
        </w:rPr>
      </w:pPr>
    </w:p>
    <w:p w:rsidR="00C26C4A" w:rsidRDefault="00C26C4A" w:rsidP="00486126">
      <w:pPr>
        <w:tabs>
          <w:tab w:val="left" w:pos="-1440"/>
          <w:tab w:val="left" w:pos="-720"/>
          <w:tab w:val="left" w:pos="0"/>
          <w:tab w:val="left" w:pos="1080"/>
          <w:tab w:val="left" w:pos="1440"/>
        </w:tabs>
        <w:suppressAutoHyphens/>
        <w:jc w:val="both"/>
        <w:rPr>
          <w:rFonts w:ascii="Arial" w:hAnsi="Arial"/>
          <w:spacing w:val="-3"/>
        </w:rPr>
      </w:pPr>
    </w:p>
    <w:p w:rsidR="00C26C4A" w:rsidRDefault="00C26C4A" w:rsidP="00C26C4A">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Figure</w:t>
      </w:r>
      <w:r w:rsidR="006134BA">
        <w:rPr>
          <w:rFonts w:ascii="Arial" w:hAnsi="Arial"/>
          <w:b/>
          <w:spacing w:val="-3"/>
          <w:sz w:val="16"/>
          <w:szCs w:val="16"/>
        </w:rPr>
        <w:t xml:space="preserve"> 4-2</w:t>
      </w:r>
      <w:r>
        <w:rPr>
          <w:rFonts w:ascii="Arial" w:hAnsi="Arial"/>
          <w:b/>
          <w:spacing w:val="-3"/>
          <w:sz w:val="16"/>
          <w:szCs w:val="16"/>
        </w:rPr>
        <w:t>: Regional Map Showing Location of Various Gas Storage Facilities</w:t>
      </w:r>
    </w:p>
    <w:p w:rsidR="00C26C4A" w:rsidRDefault="00C26C4A" w:rsidP="00486126">
      <w:pPr>
        <w:tabs>
          <w:tab w:val="left" w:pos="-1440"/>
          <w:tab w:val="left" w:pos="-720"/>
          <w:tab w:val="left" w:pos="0"/>
          <w:tab w:val="left" w:pos="1080"/>
          <w:tab w:val="left" w:pos="1440"/>
        </w:tabs>
        <w:suppressAutoHyphens/>
        <w:jc w:val="both"/>
        <w:rPr>
          <w:rFonts w:ascii="Arial" w:hAnsi="Arial"/>
          <w:spacing w:val="-3"/>
        </w:rPr>
      </w:pPr>
      <w:r>
        <w:rPr>
          <w:noProof/>
        </w:rPr>
        <w:drawing>
          <wp:inline distT="0" distB="0" distL="0" distR="0" wp14:anchorId="65BC06E9" wp14:editId="7961FCD2">
            <wp:extent cx="5486400" cy="2792095"/>
            <wp:effectExtent l="0" t="0" r="0" b="8255"/>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9"/>
                    <a:stretch>
                      <a:fillRect/>
                    </a:stretch>
                  </pic:blipFill>
                  <pic:spPr>
                    <a:xfrm>
                      <a:off x="0" y="0"/>
                      <a:ext cx="5486400" cy="2792095"/>
                    </a:xfrm>
                    <a:prstGeom prst="rect">
                      <a:avLst/>
                    </a:prstGeom>
                  </pic:spPr>
                </pic:pic>
              </a:graphicData>
            </a:graphic>
          </wp:inline>
        </w:drawing>
      </w:r>
    </w:p>
    <w:p w:rsidR="008B4C32" w:rsidRPr="00486126" w:rsidRDefault="008B4C32" w:rsidP="00486126">
      <w:pPr>
        <w:tabs>
          <w:tab w:val="left" w:pos="-1440"/>
          <w:tab w:val="left" w:pos="-720"/>
          <w:tab w:val="left" w:pos="0"/>
          <w:tab w:val="left" w:pos="1080"/>
          <w:tab w:val="left" w:pos="1440"/>
        </w:tabs>
        <w:suppressAutoHyphens/>
        <w:jc w:val="both"/>
        <w:rPr>
          <w:rFonts w:ascii="Arial" w:hAnsi="Arial"/>
          <w:spacing w:val="-3"/>
        </w:rPr>
      </w:pPr>
    </w:p>
    <w:p w:rsidR="00425A7C" w:rsidRDefault="00425A7C" w:rsidP="00425A7C">
      <w:p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Cascade has contracted for SGS-1 service directly from Northwest Pipeline since 1994.  Jackson Prairie is located in Lewis County Washington approximately 10 miles south of Chehalis.  The following extract explaining the Jackson Prairie facility was found on Puget Sound Energy’s website-Puget is 1/3 owner of the Jackson Prairie facility.</w:t>
      </w:r>
    </w:p>
    <w:p w:rsidR="00425A7C" w:rsidRDefault="00425A7C" w:rsidP="00425A7C">
      <w:pPr>
        <w:tabs>
          <w:tab w:val="left" w:pos="-1440"/>
          <w:tab w:val="left" w:pos="-720"/>
          <w:tab w:val="left" w:pos="0"/>
          <w:tab w:val="left" w:pos="1080"/>
          <w:tab w:val="left" w:pos="1440"/>
        </w:tabs>
        <w:suppressAutoHyphens/>
        <w:jc w:val="both"/>
        <w:rPr>
          <w:rFonts w:ascii="Arial" w:hAnsi="Arial"/>
          <w:spacing w:val="-3"/>
        </w:rPr>
      </w:pPr>
    </w:p>
    <w:p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Jackson Prairie is a series of deep underground reservoirs-basically thick porous sandstone deposits.  The sand layers lie approximately 1,000 to 3,000 feet below the ground surface.  Large compressors and pipelines are employed at JP to both inject and withdraw natural gas at 45 wells spread across the 3,200-acre facility.  Currently it is estimated that Jackson Prairie can store nearly 25 BCF of working gas.  The facility also includes “cushion” gas which provides pressure in the reservoir of approximately 48 BCF.   In terms of withdrawal capability, the facility is capable of delivering 1.15 BCF of natural gas per day.</w:t>
      </w:r>
    </w:p>
    <w:p w:rsidR="00425A7C" w:rsidRPr="00425A7C" w:rsidRDefault="00425A7C" w:rsidP="00425A7C">
      <w:pPr>
        <w:tabs>
          <w:tab w:val="left" w:pos="-1440"/>
          <w:tab w:val="left" w:pos="-720"/>
          <w:tab w:val="left" w:pos="0"/>
          <w:tab w:val="left" w:pos="1080"/>
          <w:tab w:val="left" w:pos="1440"/>
        </w:tabs>
        <w:suppressAutoHyphens/>
        <w:jc w:val="both"/>
        <w:rPr>
          <w:rFonts w:ascii="Arial" w:hAnsi="Arial"/>
          <w:i/>
          <w:spacing w:val="-3"/>
        </w:rPr>
      </w:pPr>
    </w:p>
    <w:p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The Company also has contracted for service (LS-1) from NWP's Plymouth, Washington LNG facility. According to NWP’s website, the total facility has storage capacity of 2.4 BCF.</w:t>
      </w:r>
    </w:p>
    <w:p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p>
    <w:p w:rsidR="00486126" w:rsidRDefault="00486126" w:rsidP="00486126">
      <w:pPr>
        <w:tabs>
          <w:tab w:val="left" w:pos="-1440"/>
          <w:tab w:val="left" w:pos="-720"/>
          <w:tab w:val="left" w:pos="0"/>
          <w:tab w:val="left" w:pos="1080"/>
          <w:tab w:val="left" w:pos="1440"/>
        </w:tabs>
        <w:suppressAutoHyphens/>
        <w:jc w:val="both"/>
        <w:rPr>
          <w:rFonts w:ascii="Arial" w:hAnsi="Arial"/>
          <w:spacing w:val="-3"/>
        </w:rPr>
      </w:pPr>
      <w:r w:rsidRPr="00486126">
        <w:rPr>
          <w:rFonts w:ascii="Arial" w:hAnsi="Arial"/>
          <w:spacing w:val="-3"/>
        </w:rPr>
        <w:t>Both Jackson Prairie facilities and the Plymouth facility are located directly on NWP's transmission system. Therefore, storage withdrawal rates can be changed several times during an individual gas day to accommodate weather driven changes in core customer requirements. This type of operating flexibility would not necessarily be available with off-</w:t>
      </w:r>
      <w:r w:rsidRPr="00486126">
        <w:rPr>
          <w:rFonts w:ascii="Arial" w:hAnsi="Arial"/>
          <w:spacing w:val="-3"/>
        </w:rPr>
        <w:lastRenderedPageBreak/>
        <w:t xml:space="preserve">system storage. </w:t>
      </w:r>
      <w:r w:rsidR="00DB4EF1" w:rsidRPr="00DB4EF1">
        <w:rPr>
          <w:rFonts w:ascii="Arial" w:hAnsi="Arial"/>
          <w:spacing w:val="-3"/>
        </w:rPr>
        <w:t>Withdrawal capabilities must also be accompanied by firm capacity on the transporting pipeline(s) to be of any value as a reliable source of gas supply. Cascade's SGS-1 and LS-1 service requires TF-2 firm transportation service for storage withdrawals; Cascade has sufficient firm TF-2 service to meet its storage daily deliverability levels.</w:t>
      </w:r>
      <w:r w:rsidR="00DB4EF1">
        <w:rPr>
          <w:rFonts w:ascii="Arial" w:hAnsi="Arial"/>
          <w:spacing w:val="-3"/>
        </w:rPr>
        <w:t xml:space="preserve">  </w:t>
      </w:r>
      <w:r w:rsidRPr="00486126">
        <w:rPr>
          <w:rFonts w:ascii="Arial" w:hAnsi="Arial"/>
          <w:spacing w:val="-3"/>
        </w:rPr>
        <w:t xml:space="preserve">The Company’s contracted storage services are </w:t>
      </w:r>
      <w:r w:rsidR="00425A7C">
        <w:rPr>
          <w:rFonts w:ascii="Arial" w:hAnsi="Arial"/>
          <w:spacing w:val="-3"/>
        </w:rPr>
        <w:t xml:space="preserve">summarized in Table </w:t>
      </w:r>
      <w:r w:rsidR="006134BA">
        <w:rPr>
          <w:rFonts w:ascii="Arial" w:hAnsi="Arial"/>
          <w:spacing w:val="-3"/>
        </w:rPr>
        <w:t>4-1</w:t>
      </w:r>
      <w:r w:rsidRPr="00486126">
        <w:rPr>
          <w:rFonts w:ascii="Arial" w:hAnsi="Arial"/>
          <w:spacing w:val="-3"/>
        </w:rPr>
        <w:t xml:space="preserve">. </w:t>
      </w:r>
    </w:p>
    <w:p w:rsidR="00187DBE" w:rsidRDefault="00187DBE" w:rsidP="00486126">
      <w:pPr>
        <w:tabs>
          <w:tab w:val="left" w:pos="-1440"/>
          <w:tab w:val="left" w:pos="-720"/>
          <w:tab w:val="left" w:pos="0"/>
          <w:tab w:val="left" w:pos="1080"/>
          <w:tab w:val="left" w:pos="1440"/>
        </w:tabs>
        <w:suppressAutoHyphens/>
        <w:jc w:val="both"/>
        <w:rPr>
          <w:rFonts w:ascii="Arial" w:hAnsi="Arial"/>
          <w:spacing w:val="-3"/>
        </w:rPr>
      </w:pPr>
    </w:p>
    <w:p w:rsidR="00187DBE" w:rsidRDefault="00187DBE" w:rsidP="00486126">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 xml:space="preserve">Figure </w:t>
      </w:r>
      <w:r w:rsidR="006134BA">
        <w:rPr>
          <w:rFonts w:ascii="Arial" w:hAnsi="Arial"/>
          <w:b/>
          <w:spacing w:val="-3"/>
          <w:sz w:val="16"/>
          <w:szCs w:val="16"/>
        </w:rPr>
        <w:t>4-1</w:t>
      </w:r>
      <w:r>
        <w:rPr>
          <w:rFonts w:ascii="Arial" w:hAnsi="Arial"/>
          <w:b/>
          <w:spacing w:val="-3"/>
          <w:sz w:val="16"/>
          <w:szCs w:val="16"/>
        </w:rPr>
        <w:t xml:space="preserve">: </w:t>
      </w:r>
      <w:r w:rsidR="00F102E7">
        <w:rPr>
          <w:rFonts w:ascii="Arial" w:hAnsi="Arial"/>
          <w:b/>
          <w:spacing w:val="-3"/>
          <w:sz w:val="16"/>
          <w:szCs w:val="16"/>
        </w:rPr>
        <w:t>Cascade Leased Storage Services (volumes in therms)</w:t>
      </w:r>
    </w:p>
    <w:tbl>
      <w:tblPr>
        <w:tblW w:w="8348" w:type="dxa"/>
        <w:tblInd w:w="-5" w:type="dxa"/>
        <w:tblLook w:val="04A0" w:firstRow="1" w:lastRow="0" w:firstColumn="1" w:lastColumn="0" w:noHBand="0" w:noVBand="1"/>
      </w:tblPr>
      <w:tblGrid>
        <w:gridCol w:w="3770"/>
        <w:gridCol w:w="2175"/>
        <w:gridCol w:w="2403"/>
      </w:tblGrid>
      <w:tr w:rsidR="00187DBE" w:rsidRPr="00187DBE" w:rsidTr="006134BA">
        <w:trPr>
          <w:trHeight w:val="341"/>
        </w:trPr>
        <w:tc>
          <w:tcPr>
            <w:tcW w:w="3770" w:type="dxa"/>
            <w:tcBorders>
              <w:top w:val="single" w:sz="4" w:space="0" w:color="auto"/>
              <w:left w:val="single" w:sz="4" w:space="0" w:color="auto"/>
              <w:bottom w:val="single" w:sz="4" w:space="0" w:color="auto"/>
              <w:right w:val="single" w:sz="4" w:space="0" w:color="auto"/>
            </w:tcBorders>
            <w:shd w:val="clear" w:color="000000" w:fill="E7E6E6"/>
            <w:noWrap/>
            <w:vAlign w:val="bottom"/>
            <w:hideMark/>
          </w:tcPr>
          <w:p w:rsidR="00187DBE" w:rsidRPr="00187DBE" w:rsidRDefault="00187DBE" w:rsidP="00187DBE">
            <w:pPr>
              <w:overflowPunct/>
              <w:autoSpaceDE/>
              <w:autoSpaceDN/>
              <w:adjustRightInd/>
              <w:textAlignment w:val="auto"/>
              <w:rPr>
                <w:rFonts w:ascii="Calibri" w:hAnsi="Calibri"/>
                <w:b/>
                <w:bCs/>
                <w:color w:val="000000"/>
                <w:sz w:val="20"/>
              </w:rPr>
            </w:pPr>
            <w:r w:rsidRPr="00187DBE">
              <w:rPr>
                <w:rFonts w:ascii="Calibri" w:hAnsi="Calibri"/>
                <w:b/>
                <w:bCs/>
                <w:color w:val="000000"/>
                <w:sz w:val="20"/>
              </w:rPr>
              <w:t>Facility</w:t>
            </w:r>
          </w:p>
        </w:tc>
        <w:tc>
          <w:tcPr>
            <w:tcW w:w="2175" w:type="dxa"/>
            <w:tcBorders>
              <w:top w:val="single" w:sz="4" w:space="0" w:color="auto"/>
              <w:left w:val="nil"/>
              <w:bottom w:val="single" w:sz="4" w:space="0" w:color="auto"/>
              <w:right w:val="single" w:sz="4" w:space="0" w:color="auto"/>
            </w:tcBorders>
            <w:shd w:val="clear" w:color="000000" w:fill="E7E6E6"/>
            <w:noWrap/>
            <w:vAlign w:val="bottom"/>
            <w:hideMark/>
          </w:tcPr>
          <w:p w:rsidR="00187DBE" w:rsidRPr="00187DBE" w:rsidRDefault="00187DBE" w:rsidP="00187DBE">
            <w:pPr>
              <w:overflowPunct/>
              <w:autoSpaceDE/>
              <w:autoSpaceDN/>
              <w:adjustRightInd/>
              <w:textAlignment w:val="auto"/>
              <w:rPr>
                <w:rFonts w:ascii="Calibri" w:hAnsi="Calibri"/>
                <w:b/>
                <w:bCs/>
                <w:color w:val="000000"/>
                <w:sz w:val="20"/>
              </w:rPr>
            </w:pPr>
            <w:r w:rsidRPr="00187DBE">
              <w:rPr>
                <w:rFonts w:ascii="Calibri" w:hAnsi="Calibri"/>
                <w:b/>
                <w:bCs/>
                <w:color w:val="000000"/>
                <w:sz w:val="20"/>
              </w:rPr>
              <w:t>Storage Capacity</w:t>
            </w:r>
          </w:p>
        </w:tc>
        <w:tc>
          <w:tcPr>
            <w:tcW w:w="2403" w:type="dxa"/>
            <w:tcBorders>
              <w:top w:val="single" w:sz="4" w:space="0" w:color="auto"/>
              <w:left w:val="nil"/>
              <w:bottom w:val="single" w:sz="4" w:space="0" w:color="auto"/>
              <w:right w:val="single" w:sz="4" w:space="0" w:color="auto"/>
            </w:tcBorders>
            <w:shd w:val="clear" w:color="000000" w:fill="E7E6E6"/>
            <w:noWrap/>
            <w:vAlign w:val="bottom"/>
            <w:hideMark/>
          </w:tcPr>
          <w:p w:rsidR="00187DBE" w:rsidRPr="00187DBE" w:rsidRDefault="00187DBE" w:rsidP="00187DBE">
            <w:pPr>
              <w:overflowPunct/>
              <w:autoSpaceDE/>
              <w:autoSpaceDN/>
              <w:adjustRightInd/>
              <w:textAlignment w:val="auto"/>
              <w:rPr>
                <w:rFonts w:ascii="Calibri" w:hAnsi="Calibri"/>
                <w:b/>
                <w:bCs/>
                <w:color w:val="000000"/>
                <w:sz w:val="20"/>
              </w:rPr>
            </w:pPr>
            <w:r w:rsidRPr="00187DBE">
              <w:rPr>
                <w:rFonts w:ascii="Calibri" w:hAnsi="Calibri"/>
                <w:b/>
                <w:bCs/>
                <w:color w:val="000000"/>
                <w:sz w:val="20"/>
              </w:rPr>
              <w:t>Withdrawal Rights</w:t>
            </w:r>
          </w:p>
        </w:tc>
      </w:tr>
      <w:tr w:rsidR="00187DBE" w:rsidRPr="00187DBE" w:rsidTr="006134BA">
        <w:trPr>
          <w:trHeight w:val="341"/>
        </w:trPr>
        <w:tc>
          <w:tcPr>
            <w:tcW w:w="3770" w:type="dxa"/>
            <w:tcBorders>
              <w:top w:val="nil"/>
              <w:left w:val="single" w:sz="4" w:space="0" w:color="auto"/>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Jackson Prairie (Principle)</w:t>
            </w:r>
          </w:p>
        </w:tc>
        <w:tc>
          <w:tcPr>
            <w:tcW w:w="2175" w:type="dxa"/>
            <w:tcBorders>
              <w:top w:val="nil"/>
              <w:left w:val="nil"/>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6,043,510 </w:t>
            </w:r>
          </w:p>
        </w:tc>
        <w:tc>
          <w:tcPr>
            <w:tcW w:w="2403" w:type="dxa"/>
            <w:tcBorders>
              <w:top w:val="nil"/>
              <w:left w:val="nil"/>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167,890 </w:t>
            </w:r>
          </w:p>
        </w:tc>
      </w:tr>
      <w:tr w:rsidR="00187DBE" w:rsidRPr="00187DBE" w:rsidTr="006134BA">
        <w:trPr>
          <w:trHeight w:val="341"/>
        </w:trPr>
        <w:tc>
          <w:tcPr>
            <w:tcW w:w="3770" w:type="dxa"/>
            <w:tcBorders>
              <w:top w:val="nil"/>
              <w:left w:val="single" w:sz="4" w:space="0" w:color="auto"/>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Jackson Prairie (Expansion)</w:t>
            </w:r>
          </w:p>
        </w:tc>
        <w:tc>
          <w:tcPr>
            <w:tcW w:w="2175" w:type="dxa"/>
            <w:tcBorders>
              <w:top w:val="nil"/>
              <w:left w:val="nil"/>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3,500,000 </w:t>
            </w:r>
          </w:p>
        </w:tc>
        <w:tc>
          <w:tcPr>
            <w:tcW w:w="2403" w:type="dxa"/>
            <w:tcBorders>
              <w:top w:val="nil"/>
              <w:left w:val="nil"/>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300,000 </w:t>
            </w:r>
          </w:p>
        </w:tc>
      </w:tr>
      <w:tr w:rsidR="00187DBE" w:rsidRPr="00187DBE" w:rsidTr="006134BA">
        <w:trPr>
          <w:trHeight w:val="341"/>
        </w:trPr>
        <w:tc>
          <w:tcPr>
            <w:tcW w:w="3770" w:type="dxa"/>
            <w:tcBorders>
              <w:top w:val="nil"/>
              <w:left w:val="single" w:sz="4" w:space="0" w:color="auto"/>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Jackson Prairie (2012)</w:t>
            </w:r>
          </w:p>
        </w:tc>
        <w:tc>
          <w:tcPr>
            <w:tcW w:w="2175" w:type="dxa"/>
            <w:tcBorders>
              <w:top w:val="nil"/>
              <w:left w:val="nil"/>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2,812,420 </w:t>
            </w:r>
          </w:p>
        </w:tc>
        <w:tc>
          <w:tcPr>
            <w:tcW w:w="2403" w:type="dxa"/>
            <w:tcBorders>
              <w:top w:val="nil"/>
              <w:left w:val="nil"/>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95,770 </w:t>
            </w:r>
          </w:p>
        </w:tc>
      </w:tr>
      <w:tr w:rsidR="00187DBE" w:rsidRPr="00187DBE" w:rsidTr="006134BA">
        <w:trPr>
          <w:trHeight w:val="341"/>
        </w:trPr>
        <w:tc>
          <w:tcPr>
            <w:tcW w:w="3770" w:type="dxa"/>
            <w:tcBorders>
              <w:top w:val="nil"/>
              <w:left w:val="single" w:sz="4" w:space="0" w:color="auto"/>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Plymouth LNG (Principle)</w:t>
            </w:r>
          </w:p>
        </w:tc>
        <w:tc>
          <w:tcPr>
            <w:tcW w:w="2175" w:type="dxa"/>
            <w:tcBorders>
              <w:top w:val="nil"/>
              <w:left w:val="nil"/>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5,622,000 </w:t>
            </w:r>
          </w:p>
        </w:tc>
        <w:tc>
          <w:tcPr>
            <w:tcW w:w="2403" w:type="dxa"/>
            <w:tcBorders>
              <w:top w:val="nil"/>
              <w:left w:val="nil"/>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600,000 </w:t>
            </w:r>
          </w:p>
        </w:tc>
      </w:tr>
      <w:tr w:rsidR="00187DBE" w:rsidRPr="00187DBE" w:rsidTr="006134BA">
        <w:trPr>
          <w:trHeight w:val="341"/>
        </w:trPr>
        <w:tc>
          <w:tcPr>
            <w:tcW w:w="3770" w:type="dxa"/>
            <w:tcBorders>
              <w:top w:val="nil"/>
              <w:left w:val="single" w:sz="4" w:space="0" w:color="auto"/>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Plymouth LNG (2016)</w:t>
            </w:r>
          </w:p>
        </w:tc>
        <w:tc>
          <w:tcPr>
            <w:tcW w:w="2175" w:type="dxa"/>
            <w:tcBorders>
              <w:top w:val="nil"/>
              <w:left w:val="nil"/>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1,000,000 </w:t>
            </w:r>
          </w:p>
        </w:tc>
        <w:tc>
          <w:tcPr>
            <w:tcW w:w="2403" w:type="dxa"/>
            <w:tcBorders>
              <w:top w:val="nil"/>
              <w:left w:val="nil"/>
              <w:bottom w:val="single" w:sz="4" w:space="0" w:color="auto"/>
              <w:right w:val="single" w:sz="4" w:space="0" w:color="auto"/>
            </w:tcBorders>
            <w:shd w:val="clear" w:color="auto" w:fill="auto"/>
            <w:noWrap/>
            <w:vAlign w:val="bottom"/>
            <w:hideMark/>
          </w:tcPr>
          <w:p w:rsidR="00187DBE" w:rsidRPr="00187DBE" w:rsidRDefault="00187DBE" w:rsidP="00187DBE">
            <w:pPr>
              <w:overflowPunct/>
              <w:autoSpaceDE/>
              <w:autoSpaceDN/>
              <w:adjustRightInd/>
              <w:textAlignment w:val="auto"/>
              <w:rPr>
                <w:rFonts w:ascii="Calibri" w:hAnsi="Calibri"/>
                <w:color w:val="000000"/>
                <w:sz w:val="20"/>
              </w:rPr>
            </w:pPr>
            <w:r w:rsidRPr="00187DBE">
              <w:rPr>
                <w:rFonts w:ascii="Calibri" w:hAnsi="Calibri"/>
                <w:color w:val="000000"/>
                <w:sz w:val="20"/>
              </w:rPr>
              <w:t xml:space="preserve">                        181,250 </w:t>
            </w:r>
          </w:p>
        </w:tc>
      </w:tr>
    </w:tbl>
    <w:p w:rsidR="00187DBE" w:rsidRDefault="00187DBE" w:rsidP="00486126">
      <w:pPr>
        <w:tabs>
          <w:tab w:val="left" w:pos="-1440"/>
          <w:tab w:val="left" w:pos="-720"/>
          <w:tab w:val="left" w:pos="0"/>
          <w:tab w:val="left" w:pos="1080"/>
          <w:tab w:val="left" w:pos="1440"/>
        </w:tabs>
        <w:suppressAutoHyphens/>
        <w:jc w:val="both"/>
        <w:rPr>
          <w:rFonts w:ascii="Arial" w:hAnsi="Arial"/>
          <w:spacing w:val="-3"/>
        </w:rPr>
      </w:pPr>
    </w:p>
    <w:p w:rsidR="006134BA" w:rsidRDefault="006134BA" w:rsidP="009C5D44">
      <w:pPr>
        <w:tabs>
          <w:tab w:val="left" w:pos="-1440"/>
          <w:tab w:val="left" w:pos="-720"/>
          <w:tab w:val="left" w:pos="0"/>
          <w:tab w:val="left" w:pos="1080"/>
          <w:tab w:val="left" w:pos="1440"/>
        </w:tabs>
        <w:suppressAutoHyphens/>
        <w:jc w:val="both"/>
        <w:rPr>
          <w:rFonts w:ascii="Arial" w:hAnsi="Arial"/>
          <w:spacing w:val="-3"/>
        </w:rPr>
      </w:pPr>
    </w:p>
    <w:p w:rsidR="006134BA" w:rsidRDefault="006134BA" w:rsidP="009C5D44">
      <w:pPr>
        <w:tabs>
          <w:tab w:val="left" w:pos="-1440"/>
          <w:tab w:val="left" w:pos="-720"/>
          <w:tab w:val="left" w:pos="0"/>
          <w:tab w:val="left" w:pos="1080"/>
          <w:tab w:val="left" w:pos="1440"/>
        </w:tabs>
        <w:suppressAutoHyphens/>
        <w:jc w:val="both"/>
        <w:rPr>
          <w:rFonts w:ascii="Arial" w:hAnsi="Arial"/>
          <w:spacing w:val="-3"/>
        </w:rPr>
      </w:pPr>
    </w:p>
    <w:p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Capacity Resources</w:t>
      </w:r>
    </w:p>
    <w:p w:rsidR="00C26C4A" w:rsidRDefault="00C26C4A" w:rsidP="00C26C4A">
      <w:pPr>
        <w:tabs>
          <w:tab w:val="left" w:pos="-1440"/>
          <w:tab w:val="left" w:pos="-720"/>
          <w:tab w:val="left" w:pos="0"/>
          <w:tab w:val="left" w:pos="1080"/>
          <w:tab w:val="left" w:pos="1440"/>
        </w:tabs>
        <w:suppressAutoHyphens/>
        <w:jc w:val="both"/>
        <w:rPr>
          <w:rFonts w:ascii="Arial" w:hAnsi="Arial"/>
          <w:spacing w:val="-3"/>
        </w:rPr>
      </w:pPr>
    </w:p>
    <w:p w:rsidR="00C26C4A" w:rsidRDefault="00C26C4A" w:rsidP="00C26C4A">
      <w:pPr>
        <w:tabs>
          <w:tab w:val="left" w:pos="-1440"/>
          <w:tab w:val="left" w:pos="-720"/>
          <w:tab w:val="left" w:pos="0"/>
          <w:tab w:val="left" w:pos="1080"/>
          <w:tab w:val="left" w:pos="1440"/>
        </w:tabs>
        <w:suppressAutoHyphens/>
        <w:jc w:val="both"/>
        <w:rPr>
          <w:rFonts w:ascii="Arial" w:hAnsi="Arial"/>
          <w:spacing w:val="-3"/>
        </w:rPr>
      </w:pPr>
      <w:r w:rsidRPr="00C26C4A">
        <w:rPr>
          <w:rFonts w:ascii="Arial" w:hAnsi="Arial"/>
          <w:spacing w:val="-3"/>
        </w:rPr>
        <w:t>Capacity options are either interstate pipeline transportation resources or capacity on Cascade's local distribution system. Cascade's local distribution system was built to serve the entire connected load in its various distribution service areas, on a coincidental demand basis, regardless of the type of service the customer may have been receiving.</w:t>
      </w:r>
    </w:p>
    <w:p w:rsidR="00C26C4A" w:rsidRDefault="00C26C4A" w:rsidP="00C26C4A">
      <w:pPr>
        <w:tabs>
          <w:tab w:val="left" w:pos="-1440"/>
          <w:tab w:val="left" w:pos="-720"/>
          <w:tab w:val="left" w:pos="0"/>
          <w:tab w:val="left" w:pos="1080"/>
          <w:tab w:val="left" w:pos="1440"/>
        </w:tabs>
        <w:suppressAutoHyphens/>
        <w:jc w:val="both"/>
        <w:rPr>
          <w:rFonts w:ascii="Arial" w:hAnsi="Arial"/>
          <w:spacing w:val="-3"/>
        </w:rPr>
      </w:pPr>
    </w:p>
    <w:p w:rsidR="00C26C4A" w:rsidRDefault="00C26C4A" w:rsidP="00C26C4A">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lastRenderedPageBreak/>
        <w:t>Pipeline tra</w:t>
      </w:r>
      <w:r w:rsidRPr="00C26C4A">
        <w:rPr>
          <w:rFonts w:ascii="Arial" w:hAnsi="Arial"/>
          <w:spacing w:val="-3"/>
        </w:rPr>
        <w:t>nsportation resources are utilized to transport the gas supplies from the producer/supply sources to Cascade's system. Cascade currently purchases supplies from three different regions or basins: U.S. Rockies, British Columbia, and Alberta, Canada.  Unless the gas supplies have been "bundled" by the supplier</w:t>
      </w:r>
      <w:r>
        <w:rPr>
          <w:rFonts w:ascii="Arial" w:hAnsi="Arial"/>
          <w:spacing w:val="-3"/>
        </w:rPr>
        <w:t xml:space="preserve"> (i.e. a citygate delivery)</w:t>
      </w:r>
      <w:r w:rsidRPr="00C26C4A">
        <w:rPr>
          <w:rFonts w:ascii="Arial" w:hAnsi="Arial"/>
          <w:spacing w:val="-3"/>
        </w:rPr>
        <w:t>, these resources require pipeline transportation to deliver them to Cascade's local distribution system. Transportation resources historically have been purchased from the pipeline at the time of an expansion under long-term (twenty to thirty year) contracts.</w:t>
      </w:r>
    </w:p>
    <w:p w:rsidR="00C26C4A" w:rsidRDefault="00C26C4A" w:rsidP="00C26C4A">
      <w:pPr>
        <w:tabs>
          <w:tab w:val="left" w:pos="-1440"/>
          <w:tab w:val="left" w:pos="-720"/>
          <w:tab w:val="left" w:pos="0"/>
          <w:tab w:val="left" w:pos="1080"/>
          <w:tab w:val="left" w:pos="1440"/>
        </w:tabs>
        <w:suppressAutoHyphens/>
        <w:jc w:val="both"/>
        <w:rPr>
          <w:rFonts w:ascii="Arial" w:hAnsi="Arial"/>
          <w:spacing w:val="-3"/>
        </w:rPr>
      </w:pPr>
    </w:p>
    <w:p w:rsidR="00C26C4A" w:rsidRDefault="00C26C4A" w:rsidP="00C26C4A">
      <w:pPr>
        <w:tabs>
          <w:tab w:val="left" w:pos="-1440"/>
          <w:tab w:val="left" w:pos="-720"/>
          <w:tab w:val="left" w:pos="0"/>
          <w:tab w:val="left" w:pos="1080"/>
          <w:tab w:val="left" w:pos="1440"/>
        </w:tabs>
        <w:suppressAutoHyphens/>
        <w:jc w:val="both"/>
        <w:rPr>
          <w:rFonts w:ascii="Arial" w:hAnsi="Arial"/>
          <w:spacing w:val="-3"/>
        </w:rPr>
      </w:pPr>
      <w:r w:rsidRPr="00C26C4A">
        <w:rPr>
          <w:rFonts w:ascii="Arial" w:hAnsi="Arial"/>
          <w:spacing w:val="-3"/>
        </w:rPr>
        <w:t>Cascade has</w:t>
      </w:r>
      <w:r>
        <w:rPr>
          <w:rFonts w:ascii="Arial" w:hAnsi="Arial"/>
          <w:spacing w:val="-3"/>
        </w:rPr>
        <w:t xml:space="preserve"> a few dozen</w:t>
      </w:r>
      <w:r w:rsidRPr="00C26C4A">
        <w:rPr>
          <w:rFonts w:ascii="Arial" w:hAnsi="Arial"/>
          <w:spacing w:val="-3"/>
        </w:rPr>
        <w:t xml:space="preserve"> long-term annual contracts with NWP, </w:t>
      </w:r>
      <w:r>
        <w:rPr>
          <w:rFonts w:ascii="Arial" w:hAnsi="Arial"/>
          <w:spacing w:val="-3"/>
        </w:rPr>
        <w:t xml:space="preserve">numerous </w:t>
      </w:r>
      <w:r w:rsidRPr="00C26C4A">
        <w:rPr>
          <w:rFonts w:ascii="Arial" w:hAnsi="Arial"/>
          <w:spacing w:val="-3"/>
        </w:rPr>
        <w:t xml:space="preserve">long-term annual </w:t>
      </w:r>
      <w:r>
        <w:rPr>
          <w:rFonts w:ascii="Arial" w:hAnsi="Arial"/>
          <w:spacing w:val="-3"/>
        </w:rPr>
        <w:t xml:space="preserve">and winter only transportation </w:t>
      </w:r>
      <w:r w:rsidRPr="00C26C4A">
        <w:rPr>
          <w:rFonts w:ascii="Arial" w:hAnsi="Arial"/>
          <w:spacing w:val="-3"/>
        </w:rPr>
        <w:t xml:space="preserve">contracts with GTN (including the upstream capacity on Trans Canada Pipeline’s Foothills and Alberta systems), a long-term winter-only contract with Ruby Pipeline and one long-term annual contract with Spectra </w:t>
      </w:r>
      <w:r>
        <w:rPr>
          <w:rFonts w:ascii="Arial" w:hAnsi="Arial"/>
          <w:spacing w:val="-3"/>
        </w:rPr>
        <w:t xml:space="preserve">(Westcoast Transmission) </w:t>
      </w:r>
      <w:r w:rsidRPr="00C26C4A">
        <w:rPr>
          <w:rFonts w:ascii="Arial" w:hAnsi="Arial"/>
          <w:spacing w:val="-3"/>
        </w:rPr>
        <w:t xml:space="preserve">in British Columbia, Canada. These contracts do not include storage or other peaking services that </w:t>
      </w:r>
      <w:r>
        <w:rPr>
          <w:rFonts w:ascii="Arial" w:hAnsi="Arial"/>
          <w:spacing w:val="-3"/>
        </w:rPr>
        <w:t>may provide a</w:t>
      </w:r>
      <w:r w:rsidRPr="00C26C4A">
        <w:rPr>
          <w:rFonts w:ascii="Arial" w:hAnsi="Arial"/>
          <w:spacing w:val="-3"/>
        </w:rPr>
        <w:t>dditional delivery capability rights ranging from 9 to 120 days.</w:t>
      </w:r>
      <w:r w:rsidR="008D58B0">
        <w:rPr>
          <w:rFonts w:ascii="Arial" w:hAnsi="Arial"/>
          <w:spacing w:val="-3"/>
        </w:rPr>
        <w:t xml:space="preserve">  Figure </w:t>
      </w:r>
      <w:r w:rsidR="006134BA">
        <w:rPr>
          <w:rFonts w:ascii="Arial" w:hAnsi="Arial"/>
          <w:spacing w:val="-3"/>
        </w:rPr>
        <w:t>4-3</w:t>
      </w:r>
      <w:r w:rsidR="008D58B0">
        <w:rPr>
          <w:rFonts w:ascii="Arial" w:hAnsi="Arial"/>
          <w:spacing w:val="-3"/>
        </w:rPr>
        <w:t xml:space="preserve"> provides a general flow of our combined contracted pipeline transportation rights.</w:t>
      </w:r>
    </w:p>
    <w:p w:rsidR="008D58B0" w:rsidRDefault="008D58B0" w:rsidP="00C26C4A">
      <w:pPr>
        <w:tabs>
          <w:tab w:val="left" w:pos="-1440"/>
          <w:tab w:val="left" w:pos="-720"/>
          <w:tab w:val="left" w:pos="0"/>
          <w:tab w:val="left" w:pos="1080"/>
          <w:tab w:val="left" w:pos="1440"/>
        </w:tabs>
        <w:suppressAutoHyphens/>
        <w:jc w:val="both"/>
        <w:rPr>
          <w:rFonts w:ascii="Arial" w:hAnsi="Arial"/>
          <w:spacing w:val="-3"/>
        </w:rPr>
      </w:pPr>
    </w:p>
    <w:p w:rsidR="006134BA" w:rsidRDefault="006134BA" w:rsidP="00C26C4A">
      <w:pPr>
        <w:tabs>
          <w:tab w:val="left" w:pos="-1440"/>
          <w:tab w:val="left" w:pos="-720"/>
          <w:tab w:val="left" w:pos="0"/>
          <w:tab w:val="left" w:pos="1080"/>
          <w:tab w:val="left" w:pos="1440"/>
        </w:tabs>
        <w:suppressAutoHyphens/>
        <w:jc w:val="both"/>
        <w:rPr>
          <w:rFonts w:ascii="Arial" w:hAnsi="Arial"/>
          <w:spacing w:val="-3"/>
        </w:rPr>
      </w:pPr>
    </w:p>
    <w:p w:rsidR="006134BA" w:rsidRDefault="006134BA" w:rsidP="00C26C4A">
      <w:pPr>
        <w:tabs>
          <w:tab w:val="left" w:pos="-1440"/>
          <w:tab w:val="left" w:pos="-720"/>
          <w:tab w:val="left" w:pos="0"/>
          <w:tab w:val="left" w:pos="1080"/>
          <w:tab w:val="left" w:pos="1440"/>
        </w:tabs>
        <w:suppressAutoHyphens/>
        <w:jc w:val="both"/>
        <w:rPr>
          <w:rFonts w:ascii="Arial" w:hAnsi="Arial"/>
          <w:spacing w:val="-3"/>
        </w:rPr>
      </w:pPr>
    </w:p>
    <w:p w:rsidR="006134BA" w:rsidRDefault="006134BA" w:rsidP="00C26C4A">
      <w:pPr>
        <w:tabs>
          <w:tab w:val="left" w:pos="-1440"/>
          <w:tab w:val="left" w:pos="-720"/>
          <w:tab w:val="left" w:pos="0"/>
          <w:tab w:val="left" w:pos="1080"/>
          <w:tab w:val="left" w:pos="1440"/>
        </w:tabs>
        <w:suppressAutoHyphens/>
        <w:jc w:val="both"/>
        <w:rPr>
          <w:rFonts w:ascii="Arial" w:hAnsi="Arial"/>
          <w:spacing w:val="-3"/>
        </w:rPr>
      </w:pPr>
    </w:p>
    <w:p w:rsidR="006134BA" w:rsidRDefault="006134BA" w:rsidP="00C26C4A">
      <w:pPr>
        <w:tabs>
          <w:tab w:val="left" w:pos="-1440"/>
          <w:tab w:val="left" w:pos="-720"/>
          <w:tab w:val="left" w:pos="0"/>
          <w:tab w:val="left" w:pos="1080"/>
          <w:tab w:val="left" w:pos="1440"/>
        </w:tabs>
        <w:suppressAutoHyphens/>
        <w:jc w:val="both"/>
        <w:rPr>
          <w:rFonts w:ascii="Arial" w:hAnsi="Arial"/>
          <w:spacing w:val="-3"/>
        </w:rPr>
      </w:pPr>
    </w:p>
    <w:p w:rsidR="006134BA" w:rsidRDefault="006134BA" w:rsidP="00C26C4A">
      <w:pPr>
        <w:tabs>
          <w:tab w:val="left" w:pos="-1440"/>
          <w:tab w:val="left" w:pos="-720"/>
          <w:tab w:val="left" w:pos="0"/>
          <w:tab w:val="left" w:pos="1080"/>
          <w:tab w:val="left" w:pos="1440"/>
        </w:tabs>
        <w:suppressAutoHyphens/>
        <w:jc w:val="both"/>
        <w:rPr>
          <w:rFonts w:ascii="Arial" w:hAnsi="Arial"/>
          <w:spacing w:val="-3"/>
        </w:rPr>
      </w:pPr>
    </w:p>
    <w:p w:rsidR="006134BA" w:rsidRDefault="006134BA" w:rsidP="00C26C4A">
      <w:pPr>
        <w:tabs>
          <w:tab w:val="left" w:pos="-1440"/>
          <w:tab w:val="left" w:pos="-720"/>
          <w:tab w:val="left" w:pos="0"/>
          <w:tab w:val="left" w:pos="1080"/>
          <w:tab w:val="left" w:pos="1440"/>
        </w:tabs>
        <w:suppressAutoHyphens/>
        <w:jc w:val="both"/>
        <w:rPr>
          <w:rFonts w:ascii="Arial" w:hAnsi="Arial"/>
          <w:spacing w:val="-3"/>
        </w:rPr>
      </w:pPr>
    </w:p>
    <w:p w:rsidR="00F74D47" w:rsidRDefault="00F74D47" w:rsidP="00F74D47">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 xml:space="preserve">Figure </w:t>
      </w:r>
      <w:r w:rsidR="006134BA">
        <w:rPr>
          <w:rFonts w:ascii="Arial" w:hAnsi="Arial"/>
          <w:b/>
          <w:spacing w:val="-3"/>
          <w:sz w:val="16"/>
          <w:szCs w:val="16"/>
        </w:rPr>
        <w:t>4-3</w:t>
      </w:r>
      <w:r>
        <w:rPr>
          <w:rFonts w:ascii="Arial" w:hAnsi="Arial"/>
          <w:b/>
          <w:spacing w:val="-3"/>
          <w:sz w:val="16"/>
          <w:szCs w:val="16"/>
        </w:rPr>
        <w:t>: Regional Map Showing Current Contracted Pipeline Transportation Flow</w:t>
      </w:r>
    </w:p>
    <w:p w:rsidR="00F74D47" w:rsidRDefault="00F74D47" w:rsidP="00C26C4A">
      <w:pPr>
        <w:tabs>
          <w:tab w:val="left" w:pos="-1440"/>
          <w:tab w:val="left" w:pos="-720"/>
          <w:tab w:val="left" w:pos="0"/>
          <w:tab w:val="left" w:pos="1080"/>
          <w:tab w:val="left" w:pos="1440"/>
        </w:tabs>
        <w:suppressAutoHyphens/>
        <w:jc w:val="both"/>
        <w:rPr>
          <w:rFonts w:ascii="Arial" w:hAnsi="Arial"/>
          <w:spacing w:val="-3"/>
        </w:rPr>
      </w:pPr>
      <w:r>
        <w:rPr>
          <w:noProof/>
        </w:rPr>
        <w:lastRenderedPageBreak/>
        <w:drawing>
          <wp:inline distT="0" distB="0" distL="0" distR="0" wp14:anchorId="3F2CFEDF" wp14:editId="3C3A9125">
            <wp:extent cx="5478145" cy="2592125"/>
            <wp:effectExtent l="0" t="0" r="8255" b="0"/>
            <wp:docPr id="2"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10"/>
                    <a:stretch>
                      <a:fillRect/>
                    </a:stretch>
                  </pic:blipFill>
                  <pic:spPr>
                    <a:xfrm>
                      <a:off x="0" y="0"/>
                      <a:ext cx="5517425" cy="2610711"/>
                    </a:xfrm>
                    <a:prstGeom prst="rect">
                      <a:avLst/>
                    </a:prstGeom>
                  </pic:spPr>
                </pic:pic>
              </a:graphicData>
            </a:graphic>
          </wp:inline>
        </w:drawing>
      </w:r>
    </w:p>
    <w:p w:rsidR="008D58B0" w:rsidRDefault="008D58B0" w:rsidP="00C26C4A">
      <w:pPr>
        <w:tabs>
          <w:tab w:val="left" w:pos="-1440"/>
          <w:tab w:val="left" w:pos="-720"/>
          <w:tab w:val="left" w:pos="0"/>
          <w:tab w:val="left" w:pos="1080"/>
          <w:tab w:val="left" w:pos="1440"/>
        </w:tabs>
        <w:suppressAutoHyphens/>
        <w:jc w:val="both"/>
        <w:rPr>
          <w:rFonts w:ascii="Arial" w:hAnsi="Arial"/>
          <w:spacing w:val="-3"/>
        </w:rPr>
      </w:pPr>
    </w:p>
    <w:p w:rsidR="00C26C4A" w:rsidRDefault="00C26C4A" w:rsidP="00C26C4A">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A complete listing of Cascade’s current transportation agreements can be found in Appendix E.</w:t>
      </w:r>
    </w:p>
    <w:p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Natural Gas Price Forecast</w:t>
      </w:r>
    </w:p>
    <w:p w:rsidR="00DB4EF1" w:rsidRDefault="00DB4EF1" w:rsidP="009C5D44">
      <w:pPr>
        <w:tabs>
          <w:tab w:val="left" w:pos="-1440"/>
          <w:tab w:val="left" w:pos="-720"/>
          <w:tab w:val="left" w:pos="0"/>
          <w:tab w:val="left" w:pos="1080"/>
          <w:tab w:val="left" w:pos="1440"/>
        </w:tabs>
        <w:suppressAutoHyphens/>
        <w:jc w:val="both"/>
        <w:rPr>
          <w:rFonts w:ascii="Arial" w:hAnsi="Arial"/>
          <w:spacing w:val="-3"/>
        </w:rPr>
      </w:pPr>
    </w:p>
    <w:p w:rsidR="002A6E17" w:rsidRDefault="00DB4EF1" w:rsidP="009C5D44">
      <w:pPr>
        <w:tabs>
          <w:tab w:val="left" w:pos="-1440"/>
          <w:tab w:val="left" w:pos="-720"/>
          <w:tab w:val="left" w:pos="0"/>
          <w:tab w:val="left" w:pos="1080"/>
          <w:tab w:val="left" w:pos="1440"/>
        </w:tabs>
        <w:suppressAutoHyphens/>
        <w:jc w:val="both"/>
        <w:rPr>
          <w:rFonts w:ascii="Arial" w:hAnsi="Arial"/>
          <w:spacing w:val="-3"/>
        </w:rPr>
      </w:pPr>
      <w:r w:rsidRPr="00DB4EF1">
        <w:rPr>
          <w:rFonts w:ascii="Arial" w:hAnsi="Arial"/>
          <w:spacing w:val="-3"/>
        </w:rPr>
        <w:t>For IRP planning purposes the</w:t>
      </w:r>
      <w:r>
        <w:rPr>
          <w:rFonts w:ascii="Arial" w:hAnsi="Arial"/>
          <w:spacing w:val="-3"/>
        </w:rPr>
        <w:t xml:space="preserve"> C</w:t>
      </w:r>
      <w:r w:rsidRPr="00DB4EF1">
        <w:rPr>
          <w:rFonts w:ascii="Arial" w:hAnsi="Arial"/>
          <w:spacing w:val="-3"/>
        </w:rPr>
        <w:t>ompany develops a baseline, high and low natural gas price forecast. Demand, oil price volatility, the global economy, electric generation, opportunities to take advantage of new extraction technologies, hurricanes and other weather activity will</w:t>
      </w:r>
      <w:r>
        <w:rPr>
          <w:rFonts w:ascii="Arial" w:hAnsi="Arial"/>
          <w:spacing w:val="-3"/>
        </w:rPr>
        <w:t xml:space="preserve"> </w:t>
      </w:r>
      <w:r w:rsidRPr="00DB4EF1">
        <w:rPr>
          <w:rFonts w:ascii="Arial" w:hAnsi="Arial"/>
          <w:spacing w:val="-3"/>
        </w:rPr>
        <w:lastRenderedPageBreak/>
        <w:t>continue to impact natural gas prices for the foreseeable future. Cascade has considered price forecasts from several sources, such as Wood Mackenzie, Energy Information Administration</w:t>
      </w:r>
      <w:r w:rsidR="00EA0E3C">
        <w:rPr>
          <w:rFonts w:ascii="Arial" w:hAnsi="Arial"/>
          <w:spacing w:val="-3"/>
        </w:rPr>
        <w:t xml:space="preserve"> (EIA)</w:t>
      </w:r>
      <w:r w:rsidRPr="00DB4EF1">
        <w:rPr>
          <w:rFonts w:ascii="Arial" w:hAnsi="Arial"/>
          <w:spacing w:val="-3"/>
        </w:rPr>
        <w:t xml:space="preserve">, </w:t>
      </w:r>
      <w:r>
        <w:rPr>
          <w:rFonts w:ascii="Arial" w:hAnsi="Arial"/>
          <w:spacing w:val="-3"/>
        </w:rPr>
        <w:t>Bentek, Northwest Power and Conservation Council</w:t>
      </w:r>
      <w:r w:rsidR="00EA0E3C">
        <w:rPr>
          <w:rFonts w:ascii="Arial" w:hAnsi="Arial"/>
          <w:spacing w:val="-3"/>
        </w:rPr>
        <w:t xml:space="preserve"> (NPCC)</w:t>
      </w:r>
      <w:r w:rsidRPr="00DB4EF1">
        <w:rPr>
          <w:rFonts w:ascii="Arial" w:hAnsi="Arial"/>
          <w:spacing w:val="-3"/>
        </w:rPr>
        <w:t>, as well as our observations of the market to develop the low, base and high price forecasts. The following discussion provides an overview of the development of the baseline forecasts.</w:t>
      </w:r>
    </w:p>
    <w:p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DB4EF1" w:rsidRDefault="00DB4EF1" w:rsidP="00DB4EF1">
      <w:pPr>
        <w:tabs>
          <w:tab w:val="left" w:pos="-1440"/>
          <w:tab w:val="left" w:pos="-720"/>
          <w:tab w:val="left" w:pos="0"/>
          <w:tab w:val="left" w:pos="1080"/>
          <w:tab w:val="left" w:pos="1440"/>
        </w:tabs>
        <w:suppressAutoHyphens/>
        <w:jc w:val="both"/>
        <w:rPr>
          <w:rFonts w:ascii="Arial" w:hAnsi="Arial"/>
          <w:spacing w:val="-3"/>
        </w:rPr>
      </w:pPr>
      <w:r w:rsidRPr="00DB4EF1">
        <w:rPr>
          <w:rFonts w:ascii="Arial" w:hAnsi="Arial"/>
          <w:spacing w:val="-3"/>
        </w:rPr>
        <w:t>Cascade’s long term planning price forecast is based on a blend of current market pricing along with long term fundamental price forecasts.  Since pricing on the market is heavily influenced by Henry Hub prices, the Company closely monitors this market trend. While not a guarantee of where the market will ultimately finish, the current market (NYMEX) is the most current information available that provides some direction as to future market prices. On a daily basis, we can see where Henry Hub is trading and how the future basis differential in our physical supply receiving areas (Sumas, AECO, Rockies) is trading.</w:t>
      </w:r>
    </w:p>
    <w:p w:rsidR="00DB4EF1" w:rsidRDefault="00DB4EF1" w:rsidP="00DB4EF1">
      <w:pPr>
        <w:tabs>
          <w:tab w:val="left" w:pos="-1440"/>
          <w:tab w:val="left" w:pos="-720"/>
          <w:tab w:val="left" w:pos="0"/>
          <w:tab w:val="left" w:pos="1080"/>
          <w:tab w:val="left" w:pos="1440"/>
        </w:tabs>
        <w:suppressAutoHyphens/>
        <w:jc w:val="both"/>
        <w:rPr>
          <w:rFonts w:ascii="Arial" w:hAnsi="Arial"/>
          <w:spacing w:val="-3"/>
        </w:rPr>
      </w:pPr>
    </w:p>
    <w:p w:rsidR="00757377" w:rsidRDefault="00DB4EF1" w:rsidP="00DB4EF1">
      <w:pPr>
        <w:tabs>
          <w:tab w:val="left" w:pos="-1440"/>
          <w:tab w:val="left" w:pos="-720"/>
          <w:tab w:val="left" w:pos="0"/>
          <w:tab w:val="left" w:pos="1080"/>
          <w:tab w:val="left" w:pos="1440"/>
        </w:tabs>
        <w:suppressAutoHyphens/>
        <w:jc w:val="both"/>
        <w:rPr>
          <w:rFonts w:ascii="Arial" w:hAnsi="Arial"/>
          <w:spacing w:val="-3"/>
        </w:rPr>
      </w:pPr>
      <w:r w:rsidRPr="00DB4EF1">
        <w:rPr>
          <w:rFonts w:ascii="Arial" w:hAnsi="Arial"/>
          <w:spacing w:val="-3"/>
        </w:rPr>
        <w:t xml:space="preserve">The fundamental forecasts of Wood Mackenzie, the EIA, NPCC, and our trading partners are resources for the development of our blended long-range price forecast.  Wood Mackenzie publishes a long-term price forecast each </w:t>
      </w:r>
      <w:r w:rsidR="00757377">
        <w:rPr>
          <w:rFonts w:ascii="Arial" w:hAnsi="Arial"/>
          <w:spacing w:val="-3"/>
        </w:rPr>
        <w:t>twice a year</w:t>
      </w:r>
      <w:r w:rsidRPr="00DB4EF1">
        <w:rPr>
          <w:rFonts w:ascii="Arial" w:hAnsi="Arial"/>
          <w:spacing w:val="-3"/>
        </w:rPr>
        <w:t xml:space="preserve"> to subscribing customers. This forecast is broken down by month through the planning horizon and includes Henry Hub as well as basis differentials for </w:t>
      </w:r>
      <w:r w:rsidR="00620DAA">
        <w:rPr>
          <w:rFonts w:ascii="Arial" w:hAnsi="Arial"/>
          <w:spacing w:val="-3"/>
        </w:rPr>
        <w:t>the Company’s</w:t>
      </w:r>
      <w:r w:rsidR="00620DAA" w:rsidRPr="00DB4EF1">
        <w:rPr>
          <w:rFonts w:ascii="Arial" w:hAnsi="Arial"/>
          <w:spacing w:val="-3"/>
        </w:rPr>
        <w:t xml:space="preserve"> </w:t>
      </w:r>
      <w:r w:rsidRPr="00DB4EF1">
        <w:rPr>
          <w:rFonts w:ascii="Arial" w:hAnsi="Arial"/>
          <w:spacing w:val="-3"/>
        </w:rPr>
        <w:t xml:space="preserve">receiving areas. </w:t>
      </w:r>
      <w:r w:rsidR="00620DAA">
        <w:rPr>
          <w:rFonts w:ascii="Arial" w:hAnsi="Arial"/>
          <w:spacing w:val="-3"/>
        </w:rPr>
        <w:t>Cascade</w:t>
      </w:r>
      <w:r w:rsidRPr="00DB4EF1">
        <w:rPr>
          <w:rFonts w:ascii="Arial" w:hAnsi="Arial"/>
          <w:spacing w:val="-3"/>
        </w:rPr>
        <w:t xml:space="preserve"> also considers the EIA forecast; however, it has its limitations since it is not always as current as the most recent market activity. Further, the EIA forecast provides monthly breakdowns in the short </w:t>
      </w:r>
      <w:r w:rsidRPr="00DB4EF1">
        <w:rPr>
          <w:rFonts w:ascii="Arial" w:hAnsi="Arial"/>
          <w:spacing w:val="-3"/>
        </w:rPr>
        <w:lastRenderedPageBreak/>
        <w:t xml:space="preserve">term, but longer term forecasts are only by year. Many of the other sources mentioned only provide price forecasts by year. Given Cascade’s load profile and the need for more winter gas than summer, the </w:t>
      </w:r>
      <w:r w:rsidR="00620DAA">
        <w:rPr>
          <w:rFonts w:ascii="Arial" w:hAnsi="Arial"/>
          <w:spacing w:val="-3"/>
        </w:rPr>
        <w:t>C</w:t>
      </w:r>
      <w:r w:rsidRPr="00DB4EF1">
        <w:rPr>
          <w:rFonts w:ascii="Arial" w:hAnsi="Arial"/>
          <w:spacing w:val="-3"/>
        </w:rPr>
        <w:t>ompany develops a pattern based on the market monthly forward prices to create a long-term, monthly Henry Hub price.</w:t>
      </w:r>
    </w:p>
    <w:p w:rsidR="00757377" w:rsidRDefault="00757377" w:rsidP="00DB4EF1">
      <w:pPr>
        <w:tabs>
          <w:tab w:val="left" w:pos="-1440"/>
          <w:tab w:val="left" w:pos="-720"/>
          <w:tab w:val="left" w:pos="0"/>
          <w:tab w:val="left" w:pos="1080"/>
          <w:tab w:val="left" w:pos="1440"/>
        </w:tabs>
        <w:suppressAutoHyphens/>
        <w:jc w:val="both"/>
        <w:rPr>
          <w:rFonts w:ascii="Arial" w:hAnsi="Arial"/>
          <w:spacing w:val="-3"/>
        </w:rPr>
      </w:pPr>
    </w:p>
    <w:p w:rsidR="00364496" w:rsidRPr="00364496" w:rsidRDefault="00757377" w:rsidP="00364496">
      <w:pPr>
        <w:tabs>
          <w:tab w:val="left" w:pos="-1440"/>
          <w:tab w:val="left" w:pos="-720"/>
          <w:tab w:val="left" w:pos="0"/>
          <w:tab w:val="left" w:pos="1080"/>
          <w:tab w:val="left" w:pos="1440"/>
        </w:tabs>
        <w:suppressAutoHyphens/>
        <w:jc w:val="both"/>
        <w:rPr>
          <w:rFonts w:ascii="Arial" w:hAnsi="Arial"/>
          <w:spacing w:val="-3"/>
        </w:rPr>
      </w:pPr>
      <w:r w:rsidRPr="00757377">
        <w:rPr>
          <w:rFonts w:ascii="Arial" w:hAnsi="Arial"/>
          <w:spacing w:val="-3"/>
        </w:rPr>
        <w:t>With a monthly Henry Hub price determined f</w:t>
      </w:r>
      <w:r>
        <w:rPr>
          <w:rFonts w:ascii="Arial" w:hAnsi="Arial"/>
          <w:spacing w:val="-3"/>
        </w:rPr>
        <w:t>rom</w:t>
      </w:r>
      <w:r w:rsidRPr="00757377">
        <w:rPr>
          <w:rFonts w:ascii="Arial" w:hAnsi="Arial"/>
          <w:spacing w:val="-3"/>
        </w:rPr>
        <w:t xml:space="preserve"> the above sources, the </w:t>
      </w:r>
      <w:r>
        <w:rPr>
          <w:rFonts w:ascii="Arial" w:hAnsi="Arial"/>
          <w:spacing w:val="-3"/>
        </w:rPr>
        <w:t>C</w:t>
      </w:r>
      <w:r w:rsidRPr="00757377">
        <w:rPr>
          <w:rFonts w:ascii="Arial" w:hAnsi="Arial"/>
          <w:spacing w:val="-3"/>
        </w:rPr>
        <w:t xml:space="preserve">ompany assigns a weight to each source to develop the monthly Henry Hub price forecast for the 20 year planning horizon. The forecast weighting factors are shown in Table </w:t>
      </w:r>
      <w:r w:rsidR="006134BA">
        <w:rPr>
          <w:rFonts w:ascii="Arial" w:hAnsi="Arial"/>
          <w:spacing w:val="-3"/>
        </w:rPr>
        <w:t>4</w:t>
      </w:r>
      <w:r>
        <w:rPr>
          <w:rFonts w:ascii="Arial" w:hAnsi="Arial"/>
          <w:spacing w:val="-3"/>
        </w:rPr>
        <w:t>-</w:t>
      </w:r>
      <w:r w:rsidR="006134BA">
        <w:rPr>
          <w:rFonts w:ascii="Arial" w:hAnsi="Arial"/>
          <w:spacing w:val="-3"/>
        </w:rPr>
        <w:t>2</w:t>
      </w:r>
      <w:r w:rsidRPr="00757377">
        <w:rPr>
          <w:rFonts w:ascii="Arial" w:hAnsi="Arial"/>
          <w:spacing w:val="-3"/>
        </w:rPr>
        <w:t xml:space="preserve">.  </w:t>
      </w:r>
      <w:r w:rsidR="00F922E3">
        <w:rPr>
          <w:rFonts w:ascii="Arial" w:hAnsi="Arial"/>
          <w:spacing w:val="-3"/>
        </w:rPr>
        <w:t>T</w:t>
      </w:r>
      <w:r w:rsidR="00F922E3" w:rsidRPr="00F922E3">
        <w:rPr>
          <w:rFonts w:ascii="Arial" w:hAnsi="Arial"/>
          <w:spacing w:val="-3"/>
        </w:rPr>
        <w:t xml:space="preserve">he </w:t>
      </w:r>
      <w:r w:rsidR="00F922E3">
        <w:rPr>
          <w:rFonts w:ascii="Arial" w:hAnsi="Arial"/>
          <w:spacing w:val="-3"/>
        </w:rPr>
        <w:t>Co</w:t>
      </w:r>
      <w:r w:rsidR="00F922E3" w:rsidRPr="00F922E3">
        <w:rPr>
          <w:rFonts w:ascii="Arial" w:hAnsi="Arial"/>
          <w:spacing w:val="-3"/>
        </w:rPr>
        <w:t xml:space="preserve">mpany </w:t>
      </w:r>
      <w:r w:rsidR="00F922E3">
        <w:rPr>
          <w:rFonts w:ascii="Arial" w:hAnsi="Arial"/>
          <w:spacing w:val="-3"/>
        </w:rPr>
        <w:t>gives</w:t>
      </w:r>
      <w:r w:rsidR="00F922E3" w:rsidRPr="00F922E3">
        <w:rPr>
          <w:rFonts w:ascii="Arial" w:hAnsi="Arial"/>
          <w:spacing w:val="-3"/>
        </w:rPr>
        <w:t xml:space="preserve"> the current market pricing (NYMEX HH) </w:t>
      </w:r>
      <w:r w:rsidR="00F922E3">
        <w:rPr>
          <w:rFonts w:ascii="Arial" w:hAnsi="Arial"/>
          <w:spacing w:val="-3"/>
        </w:rPr>
        <w:t>the most weight at the start of the planning horizon</w:t>
      </w:r>
      <w:r w:rsidR="00F922E3" w:rsidRPr="00F922E3">
        <w:rPr>
          <w:rFonts w:ascii="Arial" w:hAnsi="Arial"/>
          <w:spacing w:val="-3"/>
        </w:rPr>
        <w:t xml:space="preserve"> based on nearness to term</w:t>
      </w:r>
      <w:r w:rsidR="00F922E3">
        <w:rPr>
          <w:rFonts w:ascii="Arial" w:hAnsi="Arial"/>
          <w:spacing w:val="-3"/>
        </w:rPr>
        <w:t xml:space="preserve">. </w:t>
      </w:r>
      <w:r w:rsidR="00F922E3" w:rsidRPr="00F922E3">
        <w:rPr>
          <w:rFonts w:ascii="Arial" w:hAnsi="Arial"/>
          <w:spacing w:val="-3"/>
        </w:rPr>
        <w:t xml:space="preserve">As discussed earlier, while current market pricing may not accurately estimate the final market price, it </w:t>
      </w:r>
      <w:r w:rsidR="00F922E3">
        <w:rPr>
          <w:rFonts w:ascii="Arial" w:hAnsi="Arial"/>
          <w:spacing w:val="-3"/>
        </w:rPr>
        <w:t>is often the most r</w:t>
      </w:r>
      <w:r w:rsidR="00F922E3" w:rsidRPr="00F922E3">
        <w:rPr>
          <w:rFonts w:ascii="Arial" w:hAnsi="Arial"/>
          <w:spacing w:val="-3"/>
        </w:rPr>
        <w:t>eliable indicator.</w:t>
      </w:r>
      <w:r w:rsidR="00F922E3">
        <w:rPr>
          <w:rFonts w:ascii="Arial" w:hAnsi="Arial"/>
          <w:spacing w:val="-3"/>
        </w:rPr>
        <w:t xml:space="preserve"> </w:t>
      </w:r>
      <w:r w:rsidR="00F922E3" w:rsidRPr="00F922E3">
        <w:rPr>
          <w:rFonts w:ascii="Arial" w:hAnsi="Arial"/>
          <w:spacing w:val="-3"/>
        </w:rPr>
        <w:t xml:space="preserve"> </w:t>
      </w:r>
      <w:r w:rsidRPr="00757377">
        <w:rPr>
          <w:rFonts w:ascii="Arial" w:hAnsi="Arial"/>
          <w:spacing w:val="-3"/>
        </w:rPr>
        <w:t xml:space="preserve">In recent years, the EIA forecast has often been </w:t>
      </w:r>
      <w:r w:rsidR="00F922E3">
        <w:rPr>
          <w:rFonts w:ascii="Arial" w:hAnsi="Arial"/>
          <w:spacing w:val="-3"/>
        </w:rPr>
        <w:t xml:space="preserve">higher </w:t>
      </w:r>
      <w:r w:rsidR="00F922E3" w:rsidRPr="00757377">
        <w:rPr>
          <w:rFonts w:ascii="Arial" w:hAnsi="Arial"/>
          <w:spacing w:val="-3"/>
        </w:rPr>
        <w:t>than</w:t>
      </w:r>
      <w:r w:rsidRPr="00757377">
        <w:rPr>
          <w:rFonts w:ascii="Arial" w:hAnsi="Arial"/>
          <w:spacing w:val="-3"/>
        </w:rPr>
        <w:t xml:space="preserve"> the </w:t>
      </w:r>
      <w:r w:rsidR="00D213BE">
        <w:rPr>
          <w:rFonts w:ascii="Arial" w:hAnsi="Arial"/>
          <w:spacing w:val="-3"/>
        </w:rPr>
        <w:t>forecast price of the other sources</w:t>
      </w:r>
      <w:r w:rsidR="00364496">
        <w:rPr>
          <w:rFonts w:ascii="Arial" w:hAnsi="Arial"/>
          <w:spacing w:val="-3"/>
        </w:rPr>
        <w:t>;</w:t>
      </w:r>
      <w:r w:rsidR="00D213BE">
        <w:rPr>
          <w:rFonts w:ascii="Arial" w:hAnsi="Arial"/>
          <w:spacing w:val="-3"/>
        </w:rPr>
        <w:t xml:space="preserve"> </w:t>
      </w:r>
      <w:r w:rsidRPr="00757377">
        <w:rPr>
          <w:rFonts w:ascii="Arial" w:hAnsi="Arial"/>
          <w:spacing w:val="-3"/>
        </w:rPr>
        <w:t>however, it is still a respected industry barometer of prices</w:t>
      </w:r>
      <w:r w:rsidR="00364496">
        <w:rPr>
          <w:rFonts w:ascii="Arial" w:hAnsi="Arial"/>
          <w:spacing w:val="-3"/>
        </w:rPr>
        <w:t xml:space="preserve"> (Figure </w:t>
      </w:r>
      <w:r w:rsidR="006134BA">
        <w:rPr>
          <w:rFonts w:ascii="Arial" w:hAnsi="Arial"/>
          <w:spacing w:val="-3"/>
        </w:rPr>
        <w:t>4-4</w:t>
      </w:r>
      <w:r w:rsidR="00364496">
        <w:rPr>
          <w:rFonts w:ascii="Arial" w:hAnsi="Arial"/>
          <w:spacing w:val="-3"/>
        </w:rPr>
        <w:t>)</w:t>
      </w:r>
      <w:r w:rsidRPr="00757377">
        <w:rPr>
          <w:rFonts w:ascii="Arial" w:hAnsi="Arial"/>
          <w:spacing w:val="-3"/>
        </w:rPr>
        <w:t xml:space="preserve">. Therefore, the EIA forecast </w:t>
      </w:r>
      <w:r w:rsidR="00D213BE">
        <w:rPr>
          <w:rFonts w:ascii="Arial" w:hAnsi="Arial"/>
          <w:spacing w:val="-3"/>
        </w:rPr>
        <w:t>is</w:t>
      </w:r>
      <w:r w:rsidRPr="00757377">
        <w:rPr>
          <w:rFonts w:ascii="Arial" w:hAnsi="Arial"/>
          <w:spacing w:val="-3"/>
        </w:rPr>
        <w:t xml:space="preserve"> </w:t>
      </w:r>
      <w:r w:rsidR="00F922E3">
        <w:rPr>
          <w:rFonts w:ascii="Arial" w:hAnsi="Arial"/>
          <w:spacing w:val="-3"/>
        </w:rPr>
        <w:t>the swing</w:t>
      </w:r>
      <w:r w:rsidRPr="00757377">
        <w:rPr>
          <w:rFonts w:ascii="Arial" w:hAnsi="Arial"/>
          <w:spacing w:val="-3"/>
        </w:rPr>
        <w:t xml:space="preserve"> weight. </w:t>
      </w:r>
      <w:r w:rsidR="00F922E3">
        <w:rPr>
          <w:rFonts w:ascii="Arial" w:hAnsi="Arial"/>
          <w:spacing w:val="-3"/>
        </w:rPr>
        <w:t xml:space="preserve"> The other consultant price forecasts are weighted in between the NYMEX and EIA.</w:t>
      </w:r>
      <w:r w:rsidR="00364496">
        <w:rPr>
          <w:rFonts w:ascii="Arial" w:hAnsi="Arial"/>
          <w:spacing w:val="-3"/>
        </w:rPr>
        <w:t xml:space="preserve">  </w:t>
      </w:r>
      <w:r w:rsidR="00364496" w:rsidRPr="00364496">
        <w:rPr>
          <w:rFonts w:ascii="Arial" w:hAnsi="Arial"/>
          <w:spacing w:val="-3"/>
        </w:rPr>
        <w:t xml:space="preserve">As </w:t>
      </w:r>
      <w:r w:rsidR="00620DAA">
        <w:rPr>
          <w:rFonts w:ascii="Arial" w:hAnsi="Arial"/>
          <w:spacing w:val="-3"/>
        </w:rPr>
        <w:t>Cascade’s</w:t>
      </w:r>
      <w:r w:rsidR="00620DAA" w:rsidRPr="00364496">
        <w:rPr>
          <w:rFonts w:ascii="Arial" w:hAnsi="Arial"/>
          <w:spacing w:val="-3"/>
        </w:rPr>
        <w:t xml:space="preserve"> </w:t>
      </w:r>
      <w:r w:rsidR="00364496" w:rsidRPr="00364496">
        <w:rPr>
          <w:rFonts w:ascii="Arial" w:hAnsi="Arial"/>
          <w:spacing w:val="-3"/>
        </w:rPr>
        <w:t>forecast moves ahead</w:t>
      </w:r>
      <w:r w:rsidR="00620DAA">
        <w:rPr>
          <w:rFonts w:ascii="Arial" w:hAnsi="Arial"/>
          <w:spacing w:val="-3"/>
        </w:rPr>
        <w:t>, the Company</w:t>
      </w:r>
      <w:r w:rsidR="00620DAA" w:rsidRPr="00364496">
        <w:rPr>
          <w:rFonts w:ascii="Arial" w:hAnsi="Arial"/>
          <w:spacing w:val="-3"/>
        </w:rPr>
        <w:t xml:space="preserve"> </w:t>
      </w:r>
      <w:r w:rsidR="00364496" w:rsidRPr="00364496">
        <w:rPr>
          <w:rFonts w:ascii="Arial" w:hAnsi="Arial"/>
          <w:spacing w:val="-3"/>
        </w:rPr>
        <w:t>start</w:t>
      </w:r>
      <w:r w:rsidR="00620DAA">
        <w:rPr>
          <w:rFonts w:ascii="Arial" w:hAnsi="Arial"/>
          <w:spacing w:val="-3"/>
        </w:rPr>
        <w:t>s</w:t>
      </w:r>
      <w:r w:rsidR="00364496" w:rsidRPr="00364496">
        <w:rPr>
          <w:rFonts w:ascii="Arial" w:hAnsi="Arial"/>
          <w:spacing w:val="-3"/>
        </w:rPr>
        <w:t xml:space="preserve"> to reduce the impact of the NYMEX (and the impact of speculation and other market uncertainties) and give greater weight to </w:t>
      </w:r>
      <w:r w:rsidR="00364496">
        <w:rPr>
          <w:rFonts w:ascii="Arial" w:hAnsi="Arial"/>
          <w:spacing w:val="-3"/>
        </w:rPr>
        <w:t>the other consultant price forecasts</w:t>
      </w:r>
      <w:r w:rsidR="00364496" w:rsidRPr="00364496">
        <w:rPr>
          <w:rFonts w:ascii="Arial" w:hAnsi="Arial"/>
          <w:spacing w:val="-3"/>
        </w:rPr>
        <w:t xml:space="preserve"> and EIA.</w:t>
      </w:r>
    </w:p>
    <w:p w:rsidR="00757377" w:rsidRPr="00757377" w:rsidRDefault="00F922E3" w:rsidP="00757377">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  </w:t>
      </w:r>
    </w:p>
    <w:p w:rsidR="00DB4EF1" w:rsidRPr="00DB4EF1" w:rsidRDefault="00364496" w:rsidP="00F922E3">
      <w:pPr>
        <w:tabs>
          <w:tab w:val="left" w:pos="-1440"/>
          <w:tab w:val="left" w:pos="-720"/>
          <w:tab w:val="left" w:pos="0"/>
          <w:tab w:val="left" w:pos="1080"/>
          <w:tab w:val="left" w:pos="1440"/>
        </w:tabs>
        <w:suppressAutoHyphens/>
        <w:jc w:val="center"/>
        <w:rPr>
          <w:rFonts w:ascii="Arial" w:hAnsi="Arial"/>
          <w:spacing w:val="-3"/>
        </w:rPr>
      </w:pPr>
      <w:r>
        <w:rPr>
          <w:rFonts w:ascii="Arial" w:hAnsi="Arial"/>
          <w:b/>
          <w:spacing w:val="-3"/>
          <w:sz w:val="16"/>
          <w:szCs w:val="16"/>
        </w:rPr>
        <w:t>Table</w:t>
      </w:r>
      <w:r w:rsidR="00F922E3">
        <w:rPr>
          <w:rFonts w:ascii="Arial" w:hAnsi="Arial"/>
          <w:b/>
          <w:spacing w:val="-3"/>
          <w:sz w:val="16"/>
          <w:szCs w:val="16"/>
        </w:rPr>
        <w:t xml:space="preserve"> xx-xxx: Henry Hub Price Forecast Weights</w:t>
      </w:r>
    </w:p>
    <w:tbl>
      <w:tblPr>
        <w:tblStyle w:val="TableGrid"/>
        <w:tblW w:w="0" w:type="auto"/>
        <w:tblLook w:val="04A0" w:firstRow="1" w:lastRow="0" w:firstColumn="1" w:lastColumn="0" w:noHBand="0" w:noVBand="1"/>
      </w:tblPr>
      <w:tblGrid>
        <w:gridCol w:w="756"/>
        <w:gridCol w:w="1124"/>
        <w:gridCol w:w="1125"/>
        <w:gridCol w:w="1125"/>
        <w:gridCol w:w="1125"/>
        <w:gridCol w:w="1125"/>
        <w:gridCol w:w="1125"/>
        <w:gridCol w:w="1125"/>
      </w:tblGrid>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sidRPr="00F922E3">
              <w:rPr>
                <w:rFonts w:ascii="Arial" w:hAnsi="Arial" w:cs="Arial"/>
                <w:b/>
                <w:bCs/>
                <w:spacing w:val="-3"/>
                <w:sz w:val="16"/>
                <w:szCs w:val="16"/>
              </w:rPr>
              <w:t>Year</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sidRPr="00F922E3">
              <w:rPr>
                <w:rFonts w:ascii="Arial" w:hAnsi="Arial" w:cs="Arial"/>
                <w:b/>
                <w:bCs/>
                <w:spacing w:val="-3"/>
                <w:sz w:val="16"/>
                <w:szCs w:val="16"/>
              </w:rPr>
              <w:t>Current NYMEX</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sidRPr="00F922E3">
              <w:rPr>
                <w:rFonts w:ascii="Arial" w:hAnsi="Arial" w:cs="Arial"/>
                <w:b/>
                <w:bCs/>
                <w:spacing w:val="-3"/>
                <w:sz w:val="16"/>
                <w:szCs w:val="16"/>
              </w:rPr>
              <w:t>Consultant 1</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sidRPr="00F922E3">
              <w:rPr>
                <w:rFonts w:ascii="Arial" w:hAnsi="Arial" w:cs="Arial"/>
                <w:b/>
                <w:bCs/>
                <w:spacing w:val="-3"/>
                <w:sz w:val="16"/>
                <w:szCs w:val="16"/>
              </w:rPr>
              <w:t>Consultant 2</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sidRPr="00F922E3">
              <w:rPr>
                <w:rFonts w:ascii="Arial" w:hAnsi="Arial" w:cs="Arial"/>
                <w:b/>
                <w:bCs/>
                <w:spacing w:val="-3"/>
                <w:sz w:val="16"/>
                <w:szCs w:val="16"/>
              </w:rPr>
              <w:t>Consultant 3</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sidRPr="00F922E3">
              <w:rPr>
                <w:rFonts w:ascii="Arial" w:hAnsi="Arial" w:cs="Arial"/>
                <w:b/>
                <w:bCs/>
                <w:spacing w:val="-3"/>
                <w:sz w:val="16"/>
                <w:szCs w:val="16"/>
              </w:rPr>
              <w:t>Consultant 4</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sidRPr="00F922E3">
              <w:rPr>
                <w:rFonts w:ascii="Arial" w:hAnsi="Arial" w:cs="Arial"/>
                <w:b/>
                <w:bCs/>
                <w:spacing w:val="-3"/>
                <w:sz w:val="16"/>
                <w:szCs w:val="16"/>
              </w:rPr>
              <w:t>Consultant 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b/>
                <w:bCs/>
                <w:spacing w:val="-3"/>
                <w:sz w:val="16"/>
                <w:szCs w:val="16"/>
              </w:rPr>
            </w:pPr>
            <w:r w:rsidRPr="00F922E3">
              <w:rPr>
                <w:rFonts w:ascii="Arial" w:hAnsi="Arial" w:cs="Arial"/>
                <w:b/>
                <w:bCs/>
                <w:spacing w:val="-3"/>
                <w:sz w:val="16"/>
                <w:szCs w:val="16"/>
              </w:rPr>
              <w:t>EIA</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2017</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40%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20%</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2018</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lastRenderedPageBreak/>
              <w:t>2019</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30%</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40%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30%</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2021</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45%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30%</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2022</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2023</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60%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2024</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65%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20%</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20%</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2026</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20%</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2027</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2028</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2029</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2031</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2032</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2033</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75%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25%</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2034</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100%</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2035</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100%</w:t>
            </w:r>
          </w:p>
        </w:tc>
      </w:tr>
      <w:tr w:rsidR="00F922E3" w:rsidRPr="00F922E3" w:rsidTr="00F922E3">
        <w:trPr>
          <w:trHeight w:val="300"/>
        </w:trPr>
        <w:tc>
          <w:tcPr>
            <w:tcW w:w="1040" w:type="dxa"/>
            <w:noWrap/>
            <w:hideMark/>
          </w:tcPr>
          <w:p w:rsidR="00F922E3" w:rsidRPr="00F922E3" w:rsidRDefault="00F922E3" w:rsidP="00F922E3">
            <w:pPr>
              <w:tabs>
                <w:tab w:val="left" w:pos="-1440"/>
                <w:tab w:val="left" w:pos="-720"/>
                <w:tab w:val="left" w:pos="0"/>
                <w:tab w:val="left" w:pos="1080"/>
                <w:tab w:val="left" w:pos="1440"/>
              </w:tabs>
              <w:suppressAutoHyphens/>
              <w:jc w:val="center"/>
              <w:rPr>
                <w:rFonts w:ascii="Arial" w:hAnsi="Arial" w:cs="Arial"/>
                <w:spacing w:val="-3"/>
                <w:sz w:val="16"/>
                <w:szCs w:val="16"/>
              </w:rPr>
            </w:pPr>
            <w:r w:rsidRPr="00F922E3">
              <w:rPr>
                <w:rFonts w:ascii="Arial" w:hAnsi="Arial" w:cs="Arial"/>
                <w:spacing w:val="-3"/>
                <w:sz w:val="16"/>
                <w:szCs w:val="16"/>
              </w:rPr>
              <w:t>2036</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0%</w:t>
            </w:r>
          </w:p>
        </w:tc>
        <w:tc>
          <w:tcPr>
            <w:tcW w:w="1600" w:type="dxa"/>
            <w:noWrap/>
            <w:hideMark/>
          </w:tcPr>
          <w:p w:rsidR="00F922E3" w:rsidRPr="00F922E3" w:rsidRDefault="00F922E3" w:rsidP="00F922E3">
            <w:pPr>
              <w:tabs>
                <w:tab w:val="left" w:pos="-1440"/>
                <w:tab w:val="left" w:pos="-720"/>
                <w:tab w:val="left" w:pos="0"/>
                <w:tab w:val="left" w:pos="1080"/>
                <w:tab w:val="left" w:pos="1440"/>
              </w:tabs>
              <w:suppressAutoHyphens/>
              <w:jc w:val="right"/>
              <w:rPr>
                <w:rFonts w:ascii="Arial" w:hAnsi="Arial" w:cs="Arial"/>
                <w:spacing w:val="-3"/>
                <w:sz w:val="16"/>
                <w:szCs w:val="16"/>
              </w:rPr>
            </w:pPr>
            <w:r w:rsidRPr="00F922E3">
              <w:rPr>
                <w:rFonts w:ascii="Arial" w:hAnsi="Arial" w:cs="Arial"/>
                <w:spacing w:val="-3"/>
                <w:sz w:val="16"/>
                <w:szCs w:val="16"/>
              </w:rPr>
              <w:t>100%</w:t>
            </w:r>
          </w:p>
        </w:tc>
      </w:tr>
    </w:tbl>
    <w:p w:rsidR="00DB4EF1" w:rsidRDefault="00DB4EF1" w:rsidP="00DB4EF1">
      <w:pPr>
        <w:tabs>
          <w:tab w:val="left" w:pos="-1440"/>
          <w:tab w:val="left" w:pos="-720"/>
          <w:tab w:val="left" w:pos="0"/>
          <w:tab w:val="left" w:pos="1080"/>
          <w:tab w:val="left" w:pos="1440"/>
        </w:tabs>
        <w:suppressAutoHyphens/>
        <w:jc w:val="both"/>
        <w:rPr>
          <w:rFonts w:ascii="Arial" w:hAnsi="Arial"/>
          <w:spacing w:val="-3"/>
        </w:rPr>
      </w:pPr>
    </w:p>
    <w:p w:rsidR="00DB4EF1" w:rsidRDefault="00DB4EF1" w:rsidP="00DB4EF1">
      <w:pPr>
        <w:tabs>
          <w:tab w:val="left" w:pos="-1440"/>
          <w:tab w:val="left" w:pos="-720"/>
          <w:tab w:val="left" w:pos="0"/>
          <w:tab w:val="left" w:pos="1080"/>
          <w:tab w:val="left" w:pos="1440"/>
        </w:tabs>
        <w:suppressAutoHyphens/>
        <w:jc w:val="both"/>
        <w:rPr>
          <w:rFonts w:ascii="Arial" w:hAnsi="Arial"/>
          <w:spacing w:val="-3"/>
        </w:rPr>
      </w:pPr>
    </w:p>
    <w:p w:rsidR="00364496" w:rsidRPr="00DB4EF1" w:rsidRDefault="00364496" w:rsidP="00364496">
      <w:pPr>
        <w:tabs>
          <w:tab w:val="left" w:pos="-1440"/>
          <w:tab w:val="left" w:pos="-720"/>
          <w:tab w:val="left" w:pos="0"/>
          <w:tab w:val="left" w:pos="1080"/>
          <w:tab w:val="left" w:pos="1440"/>
        </w:tabs>
        <w:suppressAutoHyphens/>
        <w:jc w:val="center"/>
        <w:rPr>
          <w:rFonts w:ascii="Arial" w:hAnsi="Arial"/>
          <w:spacing w:val="-3"/>
        </w:rPr>
      </w:pPr>
      <w:r>
        <w:rPr>
          <w:rFonts w:ascii="Arial" w:hAnsi="Arial"/>
          <w:b/>
          <w:spacing w:val="-3"/>
          <w:sz w:val="16"/>
          <w:szCs w:val="16"/>
        </w:rPr>
        <w:t>Figure</w:t>
      </w:r>
      <w:r w:rsidR="006134BA">
        <w:rPr>
          <w:rFonts w:ascii="Arial" w:hAnsi="Arial"/>
          <w:b/>
          <w:spacing w:val="-3"/>
          <w:sz w:val="16"/>
          <w:szCs w:val="16"/>
        </w:rPr>
        <w:t>4-4</w:t>
      </w:r>
      <w:r>
        <w:rPr>
          <w:rFonts w:ascii="Arial" w:hAnsi="Arial"/>
          <w:b/>
          <w:spacing w:val="-3"/>
          <w:sz w:val="16"/>
          <w:szCs w:val="16"/>
        </w:rPr>
        <w:t>: Henry Hub Price Forecast by Source ($US per Dth)</w:t>
      </w:r>
    </w:p>
    <w:p w:rsidR="00364496" w:rsidRDefault="00364496" w:rsidP="00DB4EF1">
      <w:pPr>
        <w:tabs>
          <w:tab w:val="left" w:pos="-1440"/>
          <w:tab w:val="left" w:pos="-720"/>
          <w:tab w:val="left" w:pos="0"/>
          <w:tab w:val="left" w:pos="1080"/>
          <w:tab w:val="left" w:pos="1440"/>
        </w:tabs>
        <w:suppressAutoHyphens/>
        <w:jc w:val="both"/>
        <w:rPr>
          <w:rFonts w:ascii="Arial" w:hAnsi="Arial"/>
          <w:spacing w:val="-3"/>
        </w:rPr>
      </w:pPr>
      <w:r>
        <w:rPr>
          <w:rFonts w:ascii="Arial" w:hAnsi="Arial"/>
          <w:noProof/>
          <w:spacing w:val="-3"/>
        </w:rPr>
        <w:lastRenderedPageBreak/>
        <w:drawing>
          <wp:inline distT="0" distB="0" distL="0" distR="0" wp14:anchorId="2DDF1401" wp14:editId="620F42DA">
            <wp:extent cx="5557369" cy="3008878"/>
            <wp:effectExtent l="0" t="0" r="5715" b="12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7770" cy="3025338"/>
                    </a:xfrm>
                    <a:prstGeom prst="rect">
                      <a:avLst/>
                    </a:prstGeom>
                    <a:noFill/>
                  </pic:spPr>
                </pic:pic>
              </a:graphicData>
            </a:graphic>
          </wp:inline>
        </w:drawing>
      </w:r>
    </w:p>
    <w:p w:rsidR="00F922E3" w:rsidRDefault="00F922E3" w:rsidP="00F922E3">
      <w:pPr>
        <w:tabs>
          <w:tab w:val="left" w:pos="-1440"/>
          <w:tab w:val="left" w:pos="-720"/>
          <w:tab w:val="left" w:pos="0"/>
          <w:tab w:val="left" w:pos="1080"/>
          <w:tab w:val="left" w:pos="1440"/>
        </w:tabs>
        <w:suppressAutoHyphens/>
        <w:jc w:val="both"/>
        <w:rPr>
          <w:rFonts w:ascii="Arial" w:hAnsi="Arial"/>
          <w:b/>
          <w:spacing w:val="-3"/>
        </w:rPr>
      </w:pPr>
    </w:p>
    <w:p w:rsidR="00F922E3" w:rsidRDefault="00F922E3" w:rsidP="00F922E3">
      <w:pPr>
        <w:tabs>
          <w:tab w:val="left" w:pos="-1440"/>
          <w:tab w:val="left" w:pos="-720"/>
          <w:tab w:val="left" w:pos="0"/>
          <w:tab w:val="left" w:pos="1080"/>
          <w:tab w:val="left" w:pos="1440"/>
        </w:tabs>
        <w:suppressAutoHyphens/>
        <w:jc w:val="both"/>
        <w:rPr>
          <w:rFonts w:ascii="Arial" w:hAnsi="Arial"/>
          <w:b/>
          <w:spacing w:val="-3"/>
        </w:rPr>
      </w:pPr>
    </w:p>
    <w:p w:rsidR="00F922E3" w:rsidRPr="00F922E3" w:rsidRDefault="00F922E3" w:rsidP="00F922E3">
      <w:pPr>
        <w:tabs>
          <w:tab w:val="left" w:pos="-1440"/>
          <w:tab w:val="left" w:pos="-720"/>
          <w:tab w:val="left" w:pos="0"/>
          <w:tab w:val="left" w:pos="1080"/>
          <w:tab w:val="left" w:pos="1440"/>
        </w:tabs>
        <w:suppressAutoHyphens/>
        <w:jc w:val="both"/>
        <w:rPr>
          <w:rFonts w:ascii="Arial" w:hAnsi="Arial"/>
          <w:b/>
          <w:spacing w:val="-3"/>
        </w:rPr>
      </w:pPr>
      <w:r w:rsidRPr="00F922E3">
        <w:rPr>
          <w:rFonts w:ascii="Arial" w:hAnsi="Arial"/>
          <w:b/>
          <w:spacing w:val="-3"/>
        </w:rPr>
        <w:t>Development of the Basis Differential for Sumas, AECO and Rockies</w:t>
      </w:r>
    </w:p>
    <w:p w:rsidR="00F922E3" w:rsidRPr="00DB4EF1" w:rsidRDefault="00F922E3" w:rsidP="00DB4EF1">
      <w:pPr>
        <w:tabs>
          <w:tab w:val="left" w:pos="-1440"/>
          <w:tab w:val="left" w:pos="-720"/>
          <w:tab w:val="left" w:pos="0"/>
          <w:tab w:val="left" w:pos="1080"/>
          <w:tab w:val="left" w:pos="1440"/>
        </w:tabs>
        <w:suppressAutoHyphens/>
        <w:jc w:val="both"/>
        <w:rPr>
          <w:rFonts w:ascii="Arial" w:hAnsi="Arial"/>
          <w:spacing w:val="-3"/>
        </w:rPr>
      </w:pPr>
    </w:p>
    <w:p w:rsidR="00F922E3" w:rsidRDefault="00F922E3" w:rsidP="00F922E3">
      <w:pPr>
        <w:tabs>
          <w:tab w:val="left" w:pos="-1440"/>
          <w:tab w:val="left" w:pos="-720"/>
          <w:tab w:val="left" w:pos="0"/>
          <w:tab w:val="left" w:pos="1080"/>
          <w:tab w:val="left" w:pos="1440"/>
        </w:tabs>
        <w:suppressAutoHyphens/>
        <w:jc w:val="both"/>
        <w:rPr>
          <w:rFonts w:ascii="Arial" w:hAnsi="Arial"/>
          <w:spacing w:val="-3"/>
        </w:rPr>
      </w:pPr>
      <w:r w:rsidRPr="00F922E3">
        <w:rPr>
          <w:rFonts w:ascii="Arial" w:hAnsi="Arial"/>
          <w:spacing w:val="-3"/>
        </w:rPr>
        <w:t xml:space="preserve">Since the </w:t>
      </w:r>
      <w:r w:rsidR="00620DAA">
        <w:rPr>
          <w:rFonts w:ascii="Arial" w:hAnsi="Arial"/>
          <w:spacing w:val="-3"/>
        </w:rPr>
        <w:t>C</w:t>
      </w:r>
      <w:r w:rsidRPr="00F922E3">
        <w:rPr>
          <w:rFonts w:ascii="Arial" w:hAnsi="Arial"/>
          <w:spacing w:val="-3"/>
        </w:rPr>
        <w:t xml:space="preserve">ompany’s physical supply receiving areas (Sumas, AECO, and Rockies) are at a discount to Henry Hub, we utilize the basis differential from Wood Mackenzie’s most recently available update and compare that to the future markets’ basis trading as reported </w:t>
      </w:r>
      <w:r w:rsidRPr="00F922E3">
        <w:rPr>
          <w:rFonts w:ascii="Arial" w:hAnsi="Arial"/>
          <w:spacing w:val="-3"/>
        </w:rPr>
        <w:lastRenderedPageBreak/>
        <w:t xml:space="preserve">in the public market. Correspondingly, </w:t>
      </w:r>
      <w:r w:rsidR="005F0356">
        <w:rPr>
          <w:rFonts w:ascii="Arial" w:hAnsi="Arial"/>
          <w:spacing w:val="-3"/>
        </w:rPr>
        <w:t>the Company</w:t>
      </w:r>
      <w:r w:rsidRPr="00F922E3">
        <w:rPr>
          <w:rFonts w:ascii="Arial" w:hAnsi="Arial"/>
          <w:spacing w:val="-3"/>
        </w:rPr>
        <w:t xml:space="preserve"> applied a weighted average to determine the individual basis differential in the price forecast. </w:t>
      </w:r>
    </w:p>
    <w:p w:rsidR="00364496" w:rsidRPr="00F922E3" w:rsidRDefault="00364496" w:rsidP="00F922E3">
      <w:pPr>
        <w:tabs>
          <w:tab w:val="left" w:pos="-1440"/>
          <w:tab w:val="left" w:pos="-720"/>
          <w:tab w:val="left" w:pos="0"/>
          <w:tab w:val="left" w:pos="1080"/>
          <w:tab w:val="left" w:pos="1440"/>
        </w:tabs>
        <w:suppressAutoHyphens/>
        <w:jc w:val="both"/>
        <w:rPr>
          <w:rFonts w:ascii="Arial" w:hAnsi="Arial"/>
          <w:spacing w:val="-3"/>
        </w:rPr>
      </w:pPr>
    </w:p>
    <w:p w:rsidR="00F922E3" w:rsidRPr="00F922E3" w:rsidRDefault="00F922E3" w:rsidP="00F922E3">
      <w:pPr>
        <w:tabs>
          <w:tab w:val="left" w:pos="-1440"/>
          <w:tab w:val="left" w:pos="-720"/>
          <w:tab w:val="left" w:pos="0"/>
          <w:tab w:val="left" w:pos="1080"/>
          <w:tab w:val="left" w:pos="1440"/>
        </w:tabs>
        <w:suppressAutoHyphens/>
        <w:jc w:val="both"/>
        <w:rPr>
          <w:rFonts w:ascii="Arial" w:hAnsi="Arial"/>
          <w:spacing w:val="-3"/>
        </w:rPr>
      </w:pPr>
      <w:r w:rsidRPr="00F922E3">
        <w:rPr>
          <w:rFonts w:ascii="Arial" w:hAnsi="Arial"/>
          <w:spacing w:val="-3"/>
        </w:rPr>
        <w:t>In order to determine the low case and high case, the Company utilized the EIA economic growth factors</w:t>
      </w:r>
      <w:r w:rsidR="00364496">
        <w:rPr>
          <w:rFonts w:ascii="Arial" w:hAnsi="Arial"/>
          <w:spacing w:val="-3"/>
        </w:rPr>
        <w:t xml:space="preserve"> which are </w:t>
      </w:r>
      <w:r w:rsidRPr="00F922E3">
        <w:rPr>
          <w:rFonts w:ascii="Arial" w:hAnsi="Arial"/>
          <w:spacing w:val="-3"/>
        </w:rPr>
        <w:t>2.1 for the Low Case, 2.7 for the Reference Case</w:t>
      </w:r>
      <w:r w:rsidR="00620DAA">
        <w:rPr>
          <w:rFonts w:ascii="Arial" w:hAnsi="Arial"/>
          <w:spacing w:val="-3"/>
        </w:rPr>
        <w:t>,</w:t>
      </w:r>
      <w:r w:rsidRPr="00F922E3">
        <w:rPr>
          <w:rFonts w:ascii="Arial" w:hAnsi="Arial"/>
          <w:spacing w:val="-3"/>
        </w:rPr>
        <w:t xml:space="preserve"> and 3.2 for the High Case.</w:t>
      </w:r>
      <w:r w:rsidR="00364496">
        <w:rPr>
          <w:rStyle w:val="FootnoteReference"/>
          <w:rFonts w:ascii="Arial" w:hAnsi="Arial"/>
          <w:spacing w:val="-3"/>
        </w:rPr>
        <w:footnoteReference w:id="1"/>
      </w:r>
    </w:p>
    <w:p w:rsidR="00DB4EF1" w:rsidRDefault="00DB4EF1" w:rsidP="009C5D44">
      <w:pPr>
        <w:tabs>
          <w:tab w:val="left" w:pos="-1440"/>
          <w:tab w:val="left" w:pos="-720"/>
          <w:tab w:val="left" w:pos="0"/>
          <w:tab w:val="left" w:pos="1080"/>
          <w:tab w:val="left" w:pos="1440"/>
        </w:tabs>
        <w:suppressAutoHyphens/>
        <w:jc w:val="both"/>
        <w:rPr>
          <w:rFonts w:ascii="Arial" w:hAnsi="Arial"/>
          <w:spacing w:val="-3"/>
        </w:rPr>
      </w:pPr>
    </w:p>
    <w:p w:rsidR="0038728D" w:rsidRPr="0038728D" w:rsidRDefault="0038728D" w:rsidP="0038728D">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Please see </w:t>
      </w:r>
      <w:r w:rsidRPr="0038728D">
        <w:rPr>
          <w:rFonts w:ascii="Arial" w:hAnsi="Arial"/>
          <w:spacing w:val="-3"/>
        </w:rPr>
        <w:t xml:space="preserve">Appendix </w:t>
      </w:r>
      <w:r>
        <w:rPr>
          <w:rFonts w:ascii="Arial" w:hAnsi="Arial"/>
          <w:spacing w:val="-3"/>
        </w:rPr>
        <w:t xml:space="preserve">G for </w:t>
      </w:r>
      <w:r w:rsidRPr="0038728D">
        <w:rPr>
          <w:rFonts w:ascii="Arial" w:hAnsi="Arial"/>
          <w:spacing w:val="-3"/>
        </w:rPr>
        <w:t>the 20 year price forecasts</w:t>
      </w:r>
      <w:r>
        <w:rPr>
          <w:rFonts w:ascii="Arial" w:hAnsi="Arial"/>
          <w:spacing w:val="-3"/>
        </w:rPr>
        <w:t xml:space="preserve"> details</w:t>
      </w:r>
      <w:r w:rsidRPr="0038728D">
        <w:rPr>
          <w:rFonts w:ascii="Arial" w:hAnsi="Arial"/>
          <w:spacing w:val="-3"/>
        </w:rPr>
        <w:t>.</w:t>
      </w:r>
    </w:p>
    <w:p w:rsidR="0038728D" w:rsidRDefault="0038728D" w:rsidP="009C5D44">
      <w:pPr>
        <w:tabs>
          <w:tab w:val="left" w:pos="-1440"/>
          <w:tab w:val="left" w:pos="-720"/>
          <w:tab w:val="left" w:pos="0"/>
          <w:tab w:val="left" w:pos="1080"/>
          <w:tab w:val="left" w:pos="1440"/>
        </w:tabs>
        <w:suppressAutoHyphens/>
        <w:jc w:val="both"/>
        <w:rPr>
          <w:rFonts w:ascii="Arial" w:hAnsi="Arial"/>
          <w:spacing w:val="-3"/>
        </w:rPr>
      </w:pPr>
    </w:p>
    <w:p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Incremental supply-side resource options</w:t>
      </w:r>
    </w:p>
    <w:p w:rsidR="00486126" w:rsidRDefault="00486126" w:rsidP="00486126">
      <w:pPr>
        <w:tabs>
          <w:tab w:val="left" w:pos="-1440"/>
          <w:tab w:val="left" w:pos="-720"/>
          <w:tab w:val="left" w:pos="0"/>
          <w:tab w:val="left" w:pos="1080"/>
          <w:tab w:val="left" w:pos="1440"/>
        </w:tabs>
        <w:suppressAutoHyphens/>
        <w:jc w:val="both"/>
        <w:rPr>
          <w:rFonts w:ascii="Arial" w:hAnsi="Arial"/>
          <w:spacing w:val="-3"/>
        </w:rPr>
      </w:pPr>
    </w:p>
    <w:p w:rsidR="00C65025" w:rsidRDefault="00C65025" w:rsidP="00C65025">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 xml:space="preserve">As </w:t>
      </w:r>
      <w:r w:rsidR="00620DAA">
        <w:rPr>
          <w:rFonts w:ascii="Arial" w:hAnsi="Arial"/>
          <w:spacing w:val="-3"/>
        </w:rPr>
        <w:t>is</w:t>
      </w:r>
      <w:r>
        <w:rPr>
          <w:rFonts w:ascii="Arial" w:hAnsi="Arial"/>
          <w:spacing w:val="-3"/>
        </w:rPr>
        <w:t xml:space="preserve"> more thoroughly described in Chapter 8 (Resource Integration)</w:t>
      </w:r>
      <w:r w:rsidR="00620DAA">
        <w:rPr>
          <w:rFonts w:ascii="Arial" w:hAnsi="Arial"/>
          <w:spacing w:val="-3"/>
        </w:rPr>
        <w:t>,</w:t>
      </w:r>
      <w:r>
        <w:rPr>
          <w:rFonts w:ascii="Arial" w:hAnsi="Arial"/>
          <w:spacing w:val="-3"/>
        </w:rPr>
        <w:t xml:space="preserve"> s</w:t>
      </w:r>
      <w:r w:rsidRPr="00C65025">
        <w:rPr>
          <w:rFonts w:ascii="Arial" w:hAnsi="Arial"/>
          <w:spacing w:val="-3"/>
        </w:rPr>
        <w:t xml:space="preserve">ome of the </w:t>
      </w:r>
      <w:r>
        <w:rPr>
          <w:rFonts w:ascii="Arial" w:hAnsi="Arial"/>
          <w:spacing w:val="-3"/>
        </w:rPr>
        <w:t xml:space="preserve">load </w:t>
      </w:r>
      <w:r w:rsidRPr="00C65025">
        <w:rPr>
          <w:rFonts w:ascii="Arial" w:hAnsi="Arial"/>
          <w:spacing w:val="-3"/>
        </w:rPr>
        <w:t>growth</w:t>
      </w:r>
      <w:r>
        <w:rPr>
          <w:rFonts w:ascii="Arial" w:hAnsi="Arial"/>
          <w:spacing w:val="-3"/>
        </w:rPr>
        <w:t xml:space="preserve"> over the planning horizon</w:t>
      </w:r>
      <w:r w:rsidRPr="00C65025">
        <w:rPr>
          <w:rFonts w:ascii="Arial" w:hAnsi="Arial"/>
          <w:spacing w:val="-3"/>
        </w:rPr>
        <w:t xml:space="preserve"> will require Cascade </w:t>
      </w:r>
      <w:r>
        <w:rPr>
          <w:rFonts w:ascii="Arial" w:hAnsi="Arial"/>
          <w:spacing w:val="-3"/>
        </w:rPr>
        <w:t xml:space="preserve">to secure incremental supply side resources.  The purpose of this section is to identify the potential incremental supply resources </w:t>
      </w:r>
      <w:r w:rsidR="00620DAA">
        <w:rPr>
          <w:rFonts w:ascii="Arial" w:hAnsi="Arial"/>
          <w:spacing w:val="-3"/>
        </w:rPr>
        <w:t xml:space="preserve">the Company </w:t>
      </w:r>
      <w:r>
        <w:rPr>
          <w:rFonts w:ascii="Arial" w:hAnsi="Arial"/>
          <w:spacing w:val="-3"/>
        </w:rPr>
        <w:t>considered for the 2016 IRP.</w:t>
      </w:r>
    </w:p>
    <w:p w:rsidR="00277C92" w:rsidRDefault="00277C92" w:rsidP="00C65025">
      <w:pPr>
        <w:tabs>
          <w:tab w:val="left" w:pos="-1440"/>
          <w:tab w:val="left" w:pos="-720"/>
          <w:tab w:val="left" w:pos="0"/>
          <w:tab w:val="left" w:pos="1080"/>
          <w:tab w:val="left" w:pos="1440"/>
        </w:tabs>
        <w:suppressAutoHyphens/>
        <w:jc w:val="both"/>
        <w:rPr>
          <w:rFonts w:ascii="Arial" w:hAnsi="Arial"/>
          <w:spacing w:val="-3"/>
        </w:rPr>
      </w:pPr>
    </w:p>
    <w:p w:rsidR="00277C92" w:rsidRDefault="00277C92" w:rsidP="00C65025">
      <w:pPr>
        <w:tabs>
          <w:tab w:val="left" w:pos="-1440"/>
          <w:tab w:val="left" w:pos="-720"/>
          <w:tab w:val="left" w:pos="0"/>
          <w:tab w:val="left" w:pos="1080"/>
          <w:tab w:val="left" w:pos="1440"/>
        </w:tabs>
        <w:suppressAutoHyphens/>
        <w:jc w:val="both"/>
        <w:rPr>
          <w:rFonts w:ascii="Arial" w:hAnsi="Arial"/>
          <w:spacing w:val="-3"/>
        </w:rPr>
      </w:pPr>
    </w:p>
    <w:p w:rsidR="00277C92" w:rsidRDefault="00277C92" w:rsidP="00C65025">
      <w:pPr>
        <w:tabs>
          <w:tab w:val="left" w:pos="-1440"/>
          <w:tab w:val="left" w:pos="-720"/>
          <w:tab w:val="left" w:pos="0"/>
          <w:tab w:val="left" w:pos="1080"/>
          <w:tab w:val="left" w:pos="1440"/>
        </w:tabs>
        <w:suppressAutoHyphens/>
        <w:jc w:val="both"/>
        <w:rPr>
          <w:rFonts w:ascii="Arial" w:hAnsi="Arial"/>
          <w:spacing w:val="-3"/>
        </w:rPr>
      </w:pPr>
    </w:p>
    <w:p w:rsidR="00C65025" w:rsidRDefault="00C65025" w:rsidP="00C65025">
      <w:pPr>
        <w:tabs>
          <w:tab w:val="left" w:pos="-1440"/>
          <w:tab w:val="left" w:pos="-720"/>
          <w:tab w:val="left" w:pos="0"/>
          <w:tab w:val="left" w:pos="1080"/>
          <w:tab w:val="left" w:pos="1440"/>
        </w:tabs>
        <w:suppressAutoHyphens/>
        <w:jc w:val="both"/>
        <w:rPr>
          <w:rFonts w:ascii="Arial" w:hAnsi="Arial"/>
          <w:spacing w:val="-3"/>
        </w:rPr>
      </w:pPr>
    </w:p>
    <w:p w:rsidR="00762FA7" w:rsidRDefault="00762FA7" w:rsidP="00277C92">
      <w:pPr>
        <w:tabs>
          <w:tab w:val="left" w:pos="-1440"/>
          <w:tab w:val="left" w:pos="-720"/>
          <w:tab w:val="left" w:pos="0"/>
          <w:tab w:val="left" w:pos="1080"/>
          <w:tab w:val="left" w:pos="1440"/>
        </w:tabs>
        <w:suppressAutoHyphens/>
        <w:jc w:val="center"/>
        <w:rPr>
          <w:rFonts w:ascii="Arial" w:hAnsi="Arial"/>
          <w:b/>
          <w:spacing w:val="-3"/>
          <w:u w:val="single"/>
        </w:rPr>
      </w:pPr>
      <w:r w:rsidRPr="00277C92">
        <w:rPr>
          <w:rFonts w:ascii="Arial" w:hAnsi="Arial"/>
          <w:b/>
          <w:spacing w:val="-3"/>
          <w:u w:val="single"/>
        </w:rPr>
        <w:t>PIPELINE CAPACITY</w:t>
      </w:r>
    </w:p>
    <w:p w:rsidR="00277C92" w:rsidRPr="00277C92" w:rsidRDefault="00277C92" w:rsidP="002A7EAE">
      <w:pPr>
        <w:tabs>
          <w:tab w:val="left" w:pos="-1440"/>
          <w:tab w:val="left" w:pos="-720"/>
          <w:tab w:val="left" w:pos="0"/>
          <w:tab w:val="left" w:pos="1080"/>
          <w:tab w:val="left" w:pos="1440"/>
        </w:tabs>
        <w:suppressAutoHyphens/>
        <w:jc w:val="both"/>
        <w:rPr>
          <w:rFonts w:ascii="Arial" w:hAnsi="Arial"/>
          <w:spacing w:val="-3"/>
          <w:u w:val="single"/>
        </w:rPr>
      </w:pPr>
    </w:p>
    <w:p w:rsidR="002A7EAE" w:rsidRDefault="002A7EAE" w:rsidP="00620DAA">
      <w:pPr>
        <w:pStyle w:val="ListParagraph"/>
        <w:numPr>
          <w:ilvl w:val="0"/>
          <w:numId w:val="24"/>
        </w:numPr>
        <w:suppressAutoHyphens/>
        <w:jc w:val="both"/>
        <w:rPr>
          <w:rFonts w:ascii="Arial" w:hAnsi="Arial"/>
          <w:spacing w:val="-3"/>
        </w:rPr>
      </w:pPr>
      <w:r w:rsidRPr="002A7EAE">
        <w:rPr>
          <w:rFonts w:ascii="Arial" w:hAnsi="Arial"/>
          <w:b/>
          <w:spacing w:val="-3"/>
        </w:rPr>
        <w:t xml:space="preserve">Cross Cascades, Trail West (Palomar, </w:t>
      </w:r>
      <w:r>
        <w:rPr>
          <w:rFonts w:ascii="Arial" w:hAnsi="Arial"/>
          <w:b/>
          <w:spacing w:val="-3"/>
        </w:rPr>
        <w:t xml:space="preserve">NMax, </w:t>
      </w:r>
      <w:r w:rsidRPr="002A7EAE">
        <w:rPr>
          <w:rFonts w:ascii="Arial" w:hAnsi="Arial"/>
          <w:b/>
          <w:spacing w:val="-3"/>
        </w:rPr>
        <w:t>Sunstone, Blue Bridge, et al):</w:t>
      </w:r>
      <w:r w:rsidRPr="002A7EAE">
        <w:rPr>
          <w:rFonts w:ascii="Arial" w:hAnsi="Arial"/>
          <w:spacing w:val="-3"/>
        </w:rPr>
        <w:t xml:space="preserve"> </w:t>
      </w:r>
      <w:r w:rsidR="00620DAA">
        <w:rPr>
          <w:rFonts w:ascii="Arial" w:hAnsi="Arial"/>
          <w:spacing w:val="-3"/>
        </w:rPr>
        <w:t>Trail West is a</w:t>
      </w:r>
      <w:r w:rsidR="00620DAA" w:rsidRPr="002A7EAE">
        <w:rPr>
          <w:rFonts w:ascii="Arial" w:hAnsi="Arial"/>
          <w:spacing w:val="-3"/>
        </w:rPr>
        <w:t xml:space="preserve"> </w:t>
      </w:r>
      <w:r w:rsidRPr="002A7EAE">
        <w:rPr>
          <w:rFonts w:ascii="Arial" w:hAnsi="Arial"/>
          <w:spacing w:val="-3"/>
        </w:rPr>
        <w:t>pipeline starting at GTN’s system near Madras, Oregon, and connecting NWP’s Grants Pass Lateral near Molalla, Oregon. Since portions of the Company’s distribution system are not connected to Molalla, incremental pipeline capacity would be needed to transport gas northbound to certain load centers. NWP has proposed a transport service that would bundle Trail West capacity with NW Natural’s northbound Grants Pass Lateral capacity. From Cascade’s perspective this might present an alternative means to move Rockies gas to the I-5 corridor.</w:t>
      </w:r>
    </w:p>
    <w:p w:rsidR="002A7EAE" w:rsidRPr="002A7EAE" w:rsidRDefault="002A7EAE" w:rsidP="002A7EAE">
      <w:pPr>
        <w:suppressAutoHyphens/>
        <w:jc w:val="both"/>
        <w:rPr>
          <w:rFonts w:ascii="Arial" w:hAnsi="Arial"/>
          <w:spacing w:val="-3"/>
        </w:rPr>
      </w:pPr>
    </w:p>
    <w:p w:rsidR="00277C92" w:rsidRPr="00277C92" w:rsidRDefault="00277C92" w:rsidP="00D02C24">
      <w:pPr>
        <w:pStyle w:val="ListParagraph"/>
        <w:numPr>
          <w:ilvl w:val="0"/>
          <w:numId w:val="24"/>
        </w:numPr>
        <w:tabs>
          <w:tab w:val="left" w:pos="-1440"/>
          <w:tab w:val="left" w:pos="-720"/>
          <w:tab w:val="left" w:pos="0"/>
          <w:tab w:val="left" w:pos="1080"/>
          <w:tab w:val="left" w:pos="1440"/>
        </w:tabs>
        <w:suppressAutoHyphens/>
        <w:jc w:val="both"/>
        <w:rPr>
          <w:rFonts w:ascii="Arial" w:hAnsi="Arial"/>
          <w:spacing w:val="-3"/>
        </w:rPr>
      </w:pPr>
      <w:r w:rsidRPr="00277C92">
        <w:rPr>
          <w:rFonts w:ascii="Arial" w:hAnsi="Arial"/>
          <w:b/>
          <w:spacing w:val="-3"/>
          <w:szCs w:val="20"/>
        </w:rPr>
        <w:t>GTN Capacity Acquisition:</w:t>
      </w:r>
      <w:r w:rsidRPr="00277C92">
        <w:rPr>
          <w:rFonts w:ascii="Arial" w:hAnsi="Arial"/>
          <w:spacing w:val="-3"/>
          <w:szCs w:val="20"/>
        </w:rPr>
        <w:t xml:space="preserve"> The Company would acquire </w:t>
      </w:r>
      <w:r>
        <w:rPr>
          <w:rFonts w:ascii="Arial" w:hAnsi="Arial"/>
          <w:spacing w:val="-3"/>
          <w:szCs w:val="20"/>
        </w:rPr>
        <w:t xml:space="preserve">currently unsubscribed </w:t>
      </w:r>
      <w:r w:rsidRPr="00277C92">
        <w:rPr>
          <w:rFonts w:ascii="Arial" w:hAnsi="Arial"/>
          <w:spacing w:val="-3"/>
          <w:szCs w:val="20"/>
        </w:rPr>
        <w:t>capacity on GTN in conjunction with some of the above alternatives in order to secure its gas supplies at liquid trading points to serve Central Oregon.</w:t>
      </w:r>
    </w:p>
    <w:p w:rsidR="00277C92" w:rsidRPr="00277C92" w:rsidRDefault="00277C92" w:rsidP="00277C92">
      <w:pPr>
        <w:tabs>
          <w:tab w:val="left" w:pos="-1440"/>
          <w:tab w:val="left" w:pos="-720"/>
          <w:tab w:val="left" w:pos="0"/>
          <w:tab w:val="left" w:pos="1080"/>
          <w:tab w:val="left" w:pos="1440"/>
        </w:tabs>
        <w:suppressAutoHyphens/>
        <w:jc w:val="both"/>
        <w:rPr>
          <w:rFonts w:ascii="Arial" w:hAnsi="Arial"/>
          <w:spacing w:val="-3"/>
        </w:rPr>
      </w:pPr>
    </w:p>
    <w:p w:rsidR="00762FA7" w:rsidRPr="00762FA7" w:rsidRDefault="00762FA7" w:rsidP="00D02C24">
      <w:pPr>
        <w:numPr>
          <w:ilvl w:val="0"/>
          <w:numId w:val="24"/>
        </w:numPr>
        <w:tabs>
          <w:tab w:val="left" w:pos="-1440"/>
          <w:tab w:val="left" w:pos="-720"/>
          <w:tab w:val="left" w:pos="0"/>
          <w:tab w:val="left" w:pos="1080"/>
          <w:tab w:val="left" w:pos="1440"/>
        </w:tabs>
        <w:suppressAutoHyphens/>
        <w:jc w:val="both"/>
        <w:rPr>
          <w:rFonts w:ascii="Arial" w:hAnsi="Arial"/>
          <w:spacing w:val="-3"/>
        </w:rPr>
      </w:pPr>
      <w:r w:rsidRPr="00762FA7">
        <w:rPr>
          <w:rFonts w:ascii="Arial" w:hAnsi="Arial"/>
          <w:b/>
          <w:spacing w:val="-3"/>
        </w:rPr>
        <w:t>NWP Eastern Oregon Expansion:</w:t>
      </w:r>
      <w:r w:rsidRPr="00762FA7">
        <w:rPr>
          <w:rFonts w:ascii="Arial" w:hAnsi="Arial"/>
          <w:b/>
          <w:i/>
          <w:spacing w:val="-3"/>
        </w:rPr>
        <w:t xml:space="preserve"> </w:t>
      </w:r>
      <w:r w:rsidRPr="00762FA7">
        <w:rPr>
          <w:rFonts w:ascii="Arial" w:hAnsi="Arial"/>
          <w:spacing w:val="-3"/>
        </w:rPr>
        <w:t xml:space="preserve">This alternative resource would be incremental NWP capacity from a Washington state receipt point that is designed to serve load growth needs in Zones 24 and Zone ME-OR.  Examples of the Cascade service areas that would benefit from this project are Pendleton and Baker City.  Similar to a proposed NWP </w:t>
      </w:r>
      <w:r w:rsidRPr="00762FA7">
        <w:rPr>
          <w:rFonts w:ascii="Arial" w:hAnsi="Arial"/>
          <w:spacing w:val="-3"/>
        </w:rPr>
        <w:lastRenderedPageBreak/>
        <w:t>Wenatchee expansion, it would have a relatively small scale and so could be expected to have a relatively high unit cost.</w:t>
      </w:r>
    </w:p>
    <w:p w:rsidR="00762FA7" w:rsidRPr="00762FA7" w:rsidRDefault="00762FA7" w:rsidP="00762FA7">
      <w:pPr>
        <w:tabs>
          <w:tab w:val="left" w:pos="-1440"/>
          <w:tab w:val="left" w:pos="-720"/>
          <w:tab w:val="left" w:pos="0"/>
          <w:tab w:val="left" w:pos="1080"/>
          <w:tab w:val="left" w:pos="1440"/>
        </w:tabs>
        <w:suppressAutoHyphens/>
        <w:jc w:val="both"/>
        <w:rPr>
          <w:rFonts w:ascii="Arial" w:hAnsi="Arial"/>
          <w:spacing w:val="-3"/>
        </w:rPr>
      </w:pPr>
    </w:p>
    <w:p w:rsidR="00C65025" w:rsidRPr="00C65025" w:rsidRDefault="00D56E4D" w:rsidP="00C65025">
      <w:pPr>
        <w:numPr>
          <w:ilvl w:val="0"/>
          <w:numId w:val="24"/>
        </w:numPr>
        <w:tabs>
          <w:tab w:val="left" w:pos="-1440"/>
          <w:tab w:val="left" w:pos="-720"/>
          <w:tab w:val="left" w:pos="0"/>
          <w:tab w:val="left" w:pos="1080"/>
          <w:tab w:val="left" w:pos="1440"/>
        </w:tabs>
        <w:suppressAutoHyphens/>
        <w:jc w:val="both"/>
        <w:rPr>
          <w:rFonts w:ascii="Arial" w:hAnsi="Arial"/>
          <w:spacing w:val="-3"/>
        </w:rPr>
      </w:pPr>
      <w:r w:rsidRPr="00D56E4D">
        <w:rPr>
          <w:rFonts w:ascii="Arial" w:hAnsi="Arial"/>
          <w:b/>
          <w:spacing w:val="-3"/>
        </w:rPr>
        <w:t xml:space="preserve">NWP </w:t>
      </w:r>
      <w:r w:rsidR="00C65025" w:rsidRPr="00D56E4D">
        <w:rPr>
          <w:rFonts w:ascii="Arial" w:hAnsi="Arial"/>
          <w:b/>
          <w:spacing w:val="-3"/>
        </w:rPr>
        <w:t>I-5 Expansion (Regional or Cascade Specific Project):</w:t>
      </w:r>
      <w:r w:rsidR="00C65025" w:rsidRPr="00C65025">
        <w:rPr>
          <w:rFonts w:ascii="Arial" w:hAnsi="Arial"/>
          <w:b/>
          <w:spacing w:val="-3"/>
        </w:rPr>
        <w:t xml:space="preserve"> </w:t>
      </w:r>
      <w:r w:rsidR="00620DAA">
        <w:rPr>
          <w:rFonts w:ascii="Arial" w:hAnsi="Arial"/>
          <w:spacing w:val="-3"/>
        </w:rPr>
        <w:t xml:space="preserve">Cascade </w:t>
      </w:r>
      <w:r w:rsidR="00C65025">
        <w:rPr>
          <w:rFonts w:ascii="Arial" w:hAnsi="Arial"/>
          <w:spacing w:val="-3"/>
        </w:rPr>
        <w:t>envision</w:t>
      </w:r>
      <w:r w:rsidR="00620DAA">
        <w:rPr>
          <w:rFonts w:ascii="Arial" w:hAnsi="Arial"/>
          <w:spacing w:val="-3"/>
        </w:rPr>
        <w:t>s</w:t>
      </w:r>
      <w:r w:rsidR="00C65025">
        <w:rPr>
          <w:rFonts w:ascii="Arial" w:hAnsi="Arial"/>
          <w:spacing w:val="-3"/>
        </w:rPr>
        <w:t xml:space="preserve"> this project as expanding </w:t>
      </w:r>
      <w:r w:rsidR="00C65025" w:rsidRPr="00C65025">
        <w:rPr>
          <w:rFonts w:ascii="Arial" w:hAnsi="Arial"/>
          <w:spacing w:val="-3"/>
        </w:rPr>
        <w:t xml:space="preserve">capacity from Sumas on a hypothetical NWP project that is the successor to </w:t>
      </w:r>
      <w:r w:rsidR="00620DAA">
        <w:rPr>
          <w:rFonts w:ascii="Arial" w:hAnsi="Arial"/>
          <w:spacing w:val="-3"/>
        </w:rPr>
        <w:t xml:space="preserve">the </w:t>
      </w:r>
      <w:r w:rsidR="00C65025" w:rsidRPr="00C65025">
        <w:rPr>
          <w:rFonts w:ascii="Arial" w:hAnsi="Arial"/>
          <w:spacing w:val="-3"/>
        </w:rPr>
        <w:t xml:space="preserve">Western Expansion project. It would potentially combine Cascade’s infrastructure expansion needs with other regional requests from parties such as </w:t>
      </w:r>
      <w:r w:rsidR="00C65025">
        <w:rPr>
          <w:rFonts w:ascii="Arial" w:hAnsi="Arial"/>
          <w:spacing w:val="-3"/>
        </w:rPr>
        <w:t xml:space="preserve">LDCs, </w:t>
      </w:r>
      <w:r w:rsidR="00C65025" w:rsidRPr="00C65025">
        <w:rPr>
          <w:rFonts w:ascii="Arial" w:hAnsi="Arial"/>
          <w:spacing w:val="-3"/>
        </w:rPr>
        <w:t>power generators</w:t>
      </w:r>
      <w:r w:rsidR="00620DAA">
        <w:rPr>
          <w:rFonts w:ascii="Arial" w:hAnsi="Arial"/>
          <w:spacing w:val="-3"/>
        </w:rPr>
        <w:t>,</w:t>
      </w:r>
      <w:r w:rsidR="00C65025" w:rsidRPr="00C65025">
        <w:rPr>
          <w:rFonts w:ascii="Arial" w:hAnsi="Arial"/>
          <w:spacing w:val="-3"/>
        </w:rPr>
        <w:t xml:space="preserve"> and large petrochemical projects. The scale of this project is larger, potentially resulting in a more favorable unit cost</w:t>
      </w:r>
      <w:r w:rsidR="00620DAA">
        <w:rPr>
          <w:rFonts w:ascii="Arial" w:hAnsi="Arial"/>
          <w:spacing w:val="-3"/>
        </w:rPr>
        <w:t xml:space="preserve">; </w:t>
      </w:r>
      <w:r w:rsidR="00C65025" w:rsidRPr="00C65025">
        <w:rPr>
          <w:rFonts w:ascii="Arial" w:hAnsi="Arial"/>
          <w:spacing w:val="-3"/>
        </w:rPr>
        <w:t>although with scale and multiple parties involved</w:t>
      </w:r>
      <w:r w:rsidR="00620DAA">
        <w:rPr>
          <w:rFonts w:ascii="Arial" w:hAnsi="Arial"/>
          <w:spacing w:val="-3"/>
        </w:rPr>
        <w:t>,</w:t>
      </w:r>
      <w:r w:rsidR="00C65025" w:rsidRPr="00C65025">
        <w:rPr>
          <w:rFonts w:ascii="Arial" w:hAnsi="Arial"/>
          <w:spacing w:val="-3"/>
        </w:rPr>
        <w:t xml:space="preserve"> timing for in-service dates may vary by the various participants.  </w:t>
      </w:r>
      <w:r w:rsidR="00EC45D3">
        <w:rPr>
          <w:rFonts w:ascii="Arial" w:hAnsi="Arial"/>
          <w:spacing w:val="-3"/>
        </w:rPr>
        <w:t xml:space="preserve">Examples of the Cascade service areas that would benefit from this </w:t>
      </w:r>
      <w:r w:rsidR="0079213E">
        <w:rPr>
          <w:rFonts w:ascii="Arial" w:hAnsi="Arial"/>
          <w:spacing w:val="-3"/>
        </w:rPr>
        <w:t xml:space="preserve">project </w:t>
      </w:r>
      <w:r w:rsidR="00EC45D3">
        <w:rPr>
          <w:rFonts w:ascii="Arial" w:hAnsi="Arial"/>
          <w:spacing w:val="-3"/>
        </w:rPr>
        <w:t xml:space="preserve">are Bellingham, Mount Vernon, Bremerton and Longview.  </w:t>
      </w:r>
      <w:r w:rsidR="00C65025" w:rsidRPr="00C65025">
        <w:rPr>
          <w:rFonts w:ascii="Arial" w:hAnsi="Arial"/>
          <w:spacing w:val="-3"/>
        </w:rPr>
        <w:t xml:space="preserve">Recently, </w:t>
      </w:r>
      <w:r w:rsidR="00C65025">
        <w:rPr>
          <w:rFonts w:ascii="Arial" w:hAnsi="Arial"/>
          <w:spacing w:val="-3"/>
        </w:rPr>
        <w:t xml:space="preserve">Avista, </w:t>
      </w:r>
      <w:r w:rsidR="00C65025" w:rsidRPr="00C65025">
        <w:rPr>
          <w:rFonts w:ascii="Arial" w:hAnsi="Arial"/>
          <w:spacing w:val="-3"/>
        </w:rPr>
        <w:t xml:space="preserve">Cascade, </w:t>
      </w:r>
      <w:r w:rsidR="00C65025">
        <w:rPr>
          <w:rFonts w:ascii="Arial" w:hAnsi="Arial"/>
          <w:spacing w:val="-3"/>
        </w:rPr>
        <w:t xml:space="preserve">NW Natural and Puget Sound Energy </w:t>
      </w:r>
      <w:r w:rsidR="00C65025" w:rsidRPr="00C65025">
        <w:rPr>
          <w:rFonts w:ascii="Arial" w:hAnsi="Arial"/>
          <w:spacing w:val="-3"/>
        </w:rPr>
        <w:t xml:space="preserve">agreed to </w:t>
      </w:r>
      <w:r w:rsidR="00C65025">
        <w:rPr>
          <w:rFonts w:ascii="Arial" w:hAnsi="Arial"/>
          <w:spacing w:val="-3"/>
        </w:rPr>
        <w:t xml:space="preserve">combine </w:t>
      </w:r>
      <w:r w:rsidR="00620DAA">
        <w:rPr>
          <w:rFonts w:ascii="Arial" w:hAnsi="Arial"/>
          <w:spacing w:val="-3"/>
        </w:rPr>
        <w:t xml:space="preserve">its </w:t>
      </w:r>
      <w:r w:rsidR="00C65025">
        <w:rPr>
          <w:rFonts w:ascii="Arial" w:hAnsi="Arial"/>
          <w:spacing w:val="-3"/>
        </w:rPr>
        <w:t xml:space="preserve">efforts </w:t>
      </w:r>
      <w:r w:rsidR="00C65025" w:rsidRPr="00C65025">
        <w:rPr>
          <w:rFonts w:ascii="Arial" w:hAnsi="Arial"/>
          <w:spacing w:val="-3"/>
        </w:rPr>
        <w:t xml:space="preserve">as a group to work with the regional pipelines (GTN, NWP) on potential expansions in the region. </w:t>
      </w:r>
    </w:p>
    <w:p w:rsidR="00C65025" w:rsidRDefault="00C65025" w:rsidP="00C65025">
      <w:pPr>
        <w:tabs>
          <w:tab w:val="left" w:pos="-1440"/>
          <w:tab w:val="left" w:pos="-720"/>
          <w:tab w:val="left" w:pos="0"/>
          <w:tab w:val="left" w:pos="1080"/>
          <w:tab w:val="left" w:pos="1440"/>
        </w:tabs>
        <w:suppressAutoHyphens/>
        <w:jc w:val="both"/>
        <w:rPr>
          <w:rFonts w:ascii="Arial" w:hAnsi="Arial"/>
          <w:spacing w:val="-3"/>
        </w:rPr>
      </w:pPr>
    </w:p>
    <w:p w:rsidR="00EC45D3" w:rsidRDefault="00EC45D3" w:rsidP="00D02C24">
      <w:pPr>
        <w:numPr>
          <w:ilvl w:val="0"/>
          <w:numId w:val="24"/>
        </w:numPr>
        <w:tabs>
          <w:tab w:val="left" w:pos="-1440"/>
          <w:tab w:val="left" w:pos="-720"/>
          <w:tab w:val="left" w:pos="0"/>
          <w:tab w:val="left" w:pos="1080"/>
          <w:tab w:val="left" w:pos="1440"/>
        </w:tabs>
        <w:suppressAutoHyphens/>
        <w:jc w:val="both"/>
        <w:rPr>
          <w:rFonts w:ascii="Arial" w:hAnsi="Arial"/>
          <w:spacing w:val="-3"/>
        </w:rPr>
      </w:pPr>
      <w:r w:rsidRPr="00D56E4D">
        <w:rPr>
          <w:rFonts w:ascii="Arial" w:hAnsi="Arial"/>
          <w:b/>
          <w:spacing w:val="-3"/>
        </w:rPr>
        <w:t>NWP Wenatchee Expansion:</w:t>
      </w:r>
      <w:r w:rsidRPr="00D56E4D">
        <w:rPr>
          <w:rFonts w:ascii="Arial" w:hAnsi="Arial"/>
          <w:spacing w:val="-3"/>
        </w:rPr>
        <w:t xml:space="preserve"> </w:t>
      </w:r>
      <w:r w:rsidRPr="00EC45D3">
        <w:rPr>
          <w:rFonts w:ascii="Arial" w:hAnsi="Arial"/>
          <w:spacing w:val="-3"/>
        </w:rPr>
        <w:t xml:space="preserve">This alternative resource would be incremental NWP capacity from </w:t>
      </w:r>
      <w:r>
        <w:rPr>
          <w:rFonts w:ascii="Arial" w:hAnsi="Arial"/>
          <w:spacing w:val="-3"/>
        </w:rPr>
        <w:t>a Washington state receipt point (e.g. Sumas)</w:t>
      </w:r>
      <w:r w:rsidRPr="00EC45D3">
        <w:rPr>
          <w:rFonts w:ascii="Arial" w:hAnsi="Arial"/>
          <w:spacing w:val="-3"/>
        </w:rPr>
        <w:t xml:space="preserve"> that is designed to serve load growth needs in Zone10 and Zone 11. Examples of the Cascade service areas that would benefit from this </w:t>
      </w:r>
      <w:r w:rsidR="0079213E">
        <w:rPr>
          <w:rFonts w:ascii="Arial" w:hAnsi="Arial"/>
          <w:spacing w:val="-3"/>
        </w:rPr>
        <w:t>project</w:t>
      </w:r>
      <w:r w:rsidRPr="00EC45D3">
        <w:rPr>
          <w:rFonts w:ascii="Arial" w:hAnsi="Arial"/>
          <w:spacing w:val="-3"/>
        </w:rPr>
        <w:t xml:space="preserve"> are </w:t>
      </w:r>
      <w:r>
        <w:rPr>
          <w:rFonts w:ascii="Arial" w:hAnsi="Arial"/>
          <w:spacing w:val="-3"/>
        </w:rPr>
        <w:t>Yakima and Wenatchee</w:t>
      </w:r>
      <w:r w:rsidRPr="00EC45D3">
        <w:rPr>
          <w:rFonts w:ascii="Arial" w:hAnsi="Arial"/>
          <w:spacing w:val="-3"/>
        </w:rPr>
        <w:t xml:space="preserve">. Accordingly, it would have a relatively small scale and so could be expected to have a relatively high unit cost. </w:t>
      </w:r>
    </w:p>
    <w:p w:rsidR="00EC45D3" w:rsidRDefault="00EC45D3" w:rsidP="00EC45D3">
      <w:pPr>
        <w:pStyle w:val="ListParagraph"/>
        <w:rPr>
          <w:rFonts w:ascii="Arial" w:hAnsi="Arial"/>
          <w:spacing w:val="-3"/>
        </w:rPr>
      </w:pPr>
    </w:p>
    <w:p w:rsidR="00D56E4D" w:rsidRDefault="00EC45D3" w:rsidP="00D02C24">
      <w:pPr>
        <w:numPr>
          <w:ilvl w:val="0"/>
          <w:numId w:val="24"/>
        </w:numPr>
        <w:tabs>
          <w:tab w:val="left" w:pos="-1440"/>
          <w:tab w:val="left" w:pos="-720"/>
          <w:tab w:val="left" w:pos="0"/>
          <w:tab w:val="left" w:pos="1080"/>
          <w:tab w:val="left" w:pos="1440"/>
        </w:tabs>
        <w:suppressAutoHyphens/>
        <w:jc w:val="both"/>
        <w:rPr>
          <w:rFonts w:ascii="Arial" w:hAnsi="Arial"/>
          <w:spacing w:val="-3"/>
        </w:rPr>
      </w:pPr>
      <w:r w:rsidRPr="00762FA7">
        <w:rPr>
          <w:rFonts w:ascii="Arial" w:hAnsi="Arial"/>
          <w:b/>
          <w:spacing w:val="-3"/>
        </w:rPr>
        <w:lastRenderedPageBreak/>
        <w:t>NWP Zone 20 Expansion:</w:t>
      </w:r>
      <w:r w:rsidRPr="00762FA7">
        <w:rPr>
          <w:rFonts w:ascii="Arial" w:hAnsi="Arial"/>
          <w:b/>
          <w:i/>
          <w:spacing w:val="-3"/>
        </w:rPr>
        <w:t xml:space="preserve"> </w:t>
      </w:r>
      <w:r w:rsidRPr="00762FA7">
        <w:rPr>
          <w:rFonts w:ascii="Arial" w:hAnsi="Arial"/>
          <w:spacing w:val="-3"/>
        </w:rPr>
        <w:t xml:space="preserve">This alternative resource would be incremental NWP capacity from a Washington state receipt point that is designed to serve load growth needs in Zone 20.  Examples of the Cascade service areas that would benefit from this </w:t>
      </w:r>
      <w:r w:rsidR="0079213E" w:rsidRPr="00762FA7">
        <w:rPr>
          <w:rFonts w:ascii="Arial" w:hAnsi="Arial"/>
          <w:spacing w:val="-3"/>
        </w:rPr>
        <w:t>project</w:t>
      </w:r>
      <w:r w:rsidRPr="00762FA7">
        <w:rPr>
          <w:rFonts w:ascii="Arial" w:hAnsi="Arial"/>
          <w:spacing w:val="-3"/>
        </w:rPr>
        <w:t xml:space="preserve"> are </w:t>
      </w:r>
      <w:r w:rsidR="00D56E4D" w:rsidRPr="00762FA7">
        <w:rPr>
          <w:rFonts w:ascii="Arial" w:hAnsi="Arial"/>
          <w:spacing w:val="-3"/>
        </w:rPr>
        <w:t>Kennewick</w:t>
      </w:r>
      <w:r w:rsidRPr="00762FA7">
        <w:rPr>
          <w:rFonts w:ascii="Arial" w:hAnsi="Arial"/>
          <w:spacing w:val="-3"/>
        </w:rPr>
        <w:t xml:space="preserve"> and </w:t>
      </w:r>
      <w:r w:rsidR="00D56E4D" w:rsidRPr="00762FA7">
        <w:rPr>
          <w:rFonts w:ascii="Arial" w:hAnsi="Arial"/>
          <w:spacing w:val="-3"/>
        </w:rPr>
        <w:t>Moses Lake</w:t>
      </w:r>
      <w:r w:rsidRPr="00762FA7">
        <w:rPr>
          <w:rFonts w:ascii="Arial" w:hAnsi="Arial"/>
          <w:spacing w:val="-3"/>
        </w:rPr>
        <w:t>.  Similar to a proposed NWP Wenatchee expansion, it would have a relatively small scale and so could be expected to have a relatively high unit cost.</w:t>
      </w:r>
    </w:p>
    <w:p w:rsidR="00D02C24" w:rsidRDefault="00D02C24" w:rsidP="00D02C24">
      <w:pPr>
        <w:pStyle w:val="ListParagraph"/>
        <w:rPr>
          <w:rFonts w:ascii="Arial" w:hAnsi="Arial"/>
          <w:spacing w:val="-3"/>
        </w:rPr>
      </w:pPr>
    </w:p>
    <w:p w:rsidR="00D02C24" w:rsidRPr="002A7EAE" w:rsidRDefault="00D02C24" w:rsidP="00620DAA">
      <w:pPr>
        <w:pStyle w:val="ListParagraph"/>
        <w:numPr>
          <w:ilvl w:val="0"/>
          <w:numId w:val="24"/>
        </w:numPr>
        <w:tabs>
          <w:tab w:val="left" w:pos="-1440"/>
          <w:tab w:val="left" w:pos="-720"/>
          <w:tab w:val="left" w:pos="0"/>
          <w:tab w:val="left" w:pos="1080"/>
          <w:tab w:val="left" w:pos="1440"/>
        </w:tabs>
        <w:suppressAutoHyphens/>
        <w:jc w:val="both"/>
        <w:rPr>
          <w:rFonts w:ascii="Arial" w:hAnsi="Arial"/>
          <w:spacing w:val="-3"/>
        </w:rPr>
      </w:pPr>
      <w:r w:rsidRPr="002A7EAE">
        <w:rPr>
          <w:rFonts w:ascii="Arial" w:hAnsi="Arial"/>
          <w:b/>
          <w:spacing w:val="-3"/>
          <w:szCs w:val="20"/>
        </w:rPr>
        <w:t>Pacific Connector:</w:t>
      </w:r>
      <w:r w:rsidRPr="002A7EAE">
        <w:rPr>
          <w:rFonts w:ascii="Arial" w:hAnsi="Arial"/>
          <w:spacing w:val="-3"/>
          <w:szCs w:val="20"/>
        </w:rPr>
        <w:t xml:space="preserve"> The Pacific Connector Pipeline project is tied to the development of the Jordan Cove LNG export terminal in Coos Bay, Oregon. This pipeline starts near Malin, Oregon and would cross NWP’s Grants Pass Lateral (GPL) in the vicinity of Roseburg, Oregon. Basically, this project presents an opportunity as a potential supply resource for the purposes of this IRP. Cascade would not be seeking to become a shipper on Pacific Connector</w:t>
      </w:r>
      <w:r w:rsidR="002A7EAE" w:rsidRPr="002A7EAE">
        <w:rPr>
          <w:rFonts w:ascii="Arial" w:hAnsi="Arial"/>
          <w:spacing w:val="-3"/>
          <w:szCs w:val="20"/>
        </w:rPr>
        <w:t>.  The Company view</w:t>
      </w:r>
      <w:r w:rsidR="00620DAA">
        <w:rPr>
          <w:rFonts w:ascii="Arial" w:hAnsi="Arial"/>
          <w:spacing w:val="-3"/>
          <w:szCs w:val="20"/>
        </w:rPr>
        <w:t>s</w:t>
      </w:r>
      <w:r w:rsidR="002A7EAE" w:rsidRPr="002A7EAE">
        <w:rPr>
          <w:rFonts w:ascii="Arial" w:hAnsi="Arial"/>
          <w:spacing w:val="-3"/>
          <w:szCs w:val="20"/>
        </w:rPr>
        <w:t xml:space="preserve"> this project as “b</w:t>
      </w:r>
      <w:r w:rsidRPr="002A7EAE">
        <w:rPr>
          <w:rFonts w:ascii="Arial" w:hAnsi="Arial"/>
          <w:spacing w:val="-3"/>
          <w:szCs w:val="20"/>
        </w:rPr>
        <w:t xml:space="preserve">undled pipeline </w:t>
      </w:r>
      <w:r w:rsidR="002A7EAE" w:rsidRPr="002A7EAE">
        <w:rPr>
          <w:rFonts w:ascii="Arial" w:hAnsi="Arial"/>
          <w:spacing w:val="-3"/>
          <w:szCs w:val="20"/>
        </w:rPr>
        <w:t xml:space="preserve">supply” service </w:t>
      </w:r>
      <w:r w:rsidRPr="002A7EAE">
        <w:rPr>
          <w:rFonts w:ascii="Arial" w:hAnsi="Arial"/>
          <w:spacing w:val="-3"/>
          <w:szCs w:val="20"/>
        </w:rPr>
        <w:t xml:space="preserve">from Malin to the Company’s citygate.  The project was initially denied due to lack of demand.  That has changed but it faces considerable opposition. </w:t>
      </w:r>
      <w:r w:rsidR="002A7EAE" w:rsidRPr="002A7EAE">
        <w:rPr>
          <w:rFonts w:ascii="Arial" w:hAnsi="Arial"/>
          <w:spacing w:val="-3"/>
          <w:szCs w:val="20"/>
        </w:rPr>
        <w:t>Incremental transport involving GTN might be necessary to ensure transport from Malin to Cascade’s GTN receipt point at Turquoise Flats.</w:t>
      </w:r>
    </w:p>
    <w:p w:rsidR="00D56E4D" w:rsidRDefault="00D56E4D" w:rsidP="00D56E4D">
      <w:pPr>
        <w:pStyle w:val="ListParagraph"/>
        <w:jc w:val="both"/>
        <w:rPr>
          <w:rFonts w:ascii="Arial" w:hAnsi="Arial"/>
          <w:spacing w:val="-3"/>
        </w:rPr>
      </w:pPr>
    </w:p>
    <w:p w:rsidR="00D56E4D" w:rsidRDefault="00D56E4D" w:rsidP="00D56E4D">
      <w:pPr>
        <w:pStyle w:val="ListParagraph"/>
        <w:numPr>
          <w:ilvl w:val="0"/>
          <w:numId w:val="24"/>
        </w:numPr>
        <w:jc w:val="both"/>
        <w:rPr>
          <w:rFonts w:ascii="Arial" w:hAnsi="Arial"/>
          <w:spacing w:val="-3"/>
          <w:szCs w:val="20"/>
        </w:rPr>
      </w:pPr>
      <w:r w:rsidRPr="00D56E4D">
        <w:rPr>
          <w:rFonts w:ascii="Arial" w:hAnsi="Arial"/>
          <w:b/>
          <w:spacing w:val="-3"/>
          <w:szCs w:val="20"/>
        </w:rPr>
        <w:t>Southern Crossing Expansion:</w:t>
      </w:r>
      <w:r w:rsidRPr="00D56E4D">
        <w:rPr>
          <w:rFonts w:ascii="Arial" w:hAnsi="Arial"/>
          <w:spacing w:val="-3"/>
          <w:szCs w:val="20"/>
        </w:rPr>
        <w:t xml:space="preserve"> FortisBC has proposed a reinforcement project for the Southern Crossing Pipeline that would permit more flow of Alberta gas to Sumas. This would also require an expansion of NWP from Sumas at the Canadian border which in </w:t>
      </w:r>
      <w:r w:rsidR="00620DAA">
        <w:rPr>
          <w:rFonts w:ascii="Arial" w:hAnsi="Arial"/>
          <w:spacing w:val="-3"/>
          <w:szCs w:val="20"/>
        </w:rPr>
        <w:t>the Company’s</w:t>
      </w:r>
      <w:r w:rsidR="00620DAA" w:rsidRPr="00D56E4D">
        <w:rPr>
          <w:rFonts w:ascii="Arial" w:hAnsi="Arial"/>
          <w:spacing w:val="-3"/>
          <w:szCs w:val="20"/>
        </w:rPr>
        <w:t xml:space="preserve"> </w:t>
      </w:r>
      <w:r w:rsidRPr="00D56E4D">
        <w:rPr>
          <w:rFonts w:ascii="Arial" w:hAnsi="Arial"/>
          <w:spacing w:val="-3"/>
          <w:szCs w:val="20"/>
        </w:rPr>
        <w:t xml:space="preserve">mind does not need to be modeled since it essentially is replicated by </w:t>
      </w:r>
      <w:r w:rsidRPr="00D56E4D">
        <w:rPr>
          <w:rFonts w:ascii="Arial" w:hAnsi="Arial"/>
          <w:spacing w:val="-3"/>
          <w:szCs w:val="20"/>
        </w:rPr>
        <w:lastRenderedPageBreak/>
        <w:t xml:space="preserve">the current inclusion of the NWP </w:t>
      </w:r>
      <w:r>
        <w:rPr>
          <w:rFonts w:ascii="Arial" w:hAnsi="Arial"/>
          <w:spacing w:val="-3"/>
          <w:szCs w:val="20"/>
        </w:rPr>
        <w:t>I-5</w:t>
      </w:r>
      <w:r w:rsidRPr="00D56E4D">
        <w:rPr>
          <w:rFonts w:ascii="Arial" w:hAnsi="Arial"/>
          <w:spacing w:val="-3"/>
          <w:szCs w:val="20"/>
        </w:rPr>
        <w:t xml:space="preserve"> expansion project.  This is primarily a price arbitrage opportunity</w:t>
      </w:r>
      <w:r w:rsidR="00620DAA">
        <w:rPr>
          <w:rFonts w:ascii="Arial" w:hAnsi="Arial"/>
          <w:spacing w:val="-3"/>
          <w:szCs w:val="20"/>
        </w:rPr>
        <w:t>,</w:t>
      </w:r>
      <w:r w:rsidRPr="00D56E4D">
        <w:rPr>
          <w:rFonts w:ascii="Arial" w:hAnsi="Arial"/>
          <w:spacing w:val="-3"/>
          <w:szCs w:val="20"/>
        </w:rPr>
        <w:t xml:space="preserve"> but </w:t>
      </w:r>
      <w:r w:rsidR="0079213E">
        <w:rPr>
          <w:rFonts w:ascii="Arial" w:hAnsi="Arial"/>
          <w:spacing w:val="-3"/>
          <w:szCs w:val="20"/>
        </w:rPr>
        <w:t>the Company</w:t>
      </w:r>
      <w:r w:rsidRPr="00D56E4D">
        <w:rPr>
          <w:rFonts w:ascii="Arial" w:hAnsi="Arial"/>
          <w:spacing w:val="-3"/>
          <w:szCs w:val="20"/>
        </w:rPr>
        <w:t xml:space="preserve"> do</w:t>
      </w:r>
      <w:r w:rsidR="0079213E">
        <w:rPr>
          <w:rFonts w:ascii="Arial" w:hAnsi="Arial"/>
          <w:spacing w:val="-3"/>
          <w:szCs w:val="20"/>
        </w:rPr>
        <w:t>es</w:t>
      </w:r>
      <w:r w:rsidRPr="00D56E4D">
        <w:rPr>
          <w:rFonts w:ascii="Arial" w:hAnsi="Arial"/>
          <w:spacing w:val="-3"/>
          <w:szCs w:val="20"/>
        </w:rPr>
        <w:t xml:space="preserve"> not see any significant advantage to the system at this point given limited availability to move the gas from Sumas.  However, </w:t>
      </w:r>
      <w:r w:rsidR="0079213E">
        <w:rPr>
          <w:rFonts w:ascii="Arial" w:hAnsi="Arial"/>
          <w:spacing w:val="-3"/>
          <w:szCs w:val="20"/>
        </w:rPr>
        <w:t xml:space="preserve">Cascade </w:t>
      </w:r>
      <w:r>
        <w:rPr>
          <w:rFonts w:ascii="Arial" w:hAnsi="Arial"/>
          <w:spacing w:val="-3"/>
          <w:szCs w:val="20"/>
        </w:rPr>
        <w:t xml:space="preserve">will continue to consider this resource </w:t>
      </w:r>
      <w:r w:rsidRPr="00D56E4D">
        <w:rPr>
          <w:rFonts w:ascii="Arial" w:hAnsi="Arial"/>
          <w:spacing w:val="-3"/>
          <w:szCs w:val="20"/>
        </w:rPr>
        <w:t xml:space="preserve">to see if it might make sense as a potentially </w:t>
      </w:r>
      <w:r>
        <w:rPr>
          <w:rFonts w:ascii="Arial" w:hAnsi="Arial"/>
          <w:spacing w:val="-3"/>
          <w:szCs w:val="20"/>
        </w:rPr>
        <w:t>cost-effective</w:t>
      </w:r>
      <w:r w:rsidRPr="00D56E4D">
        <w:rPr>
          <w:rFonts w:ascii="Arial" w:hAnsi="Arial"/>
          <w:spacing w:val="-3"/>
          <w:szCs w:val="20"/>
        </w:rPr>
        <w:t xml:space="preserve"> dedicated resource </w:t>
      </w:r>
      <w:r>
        <w:rPr>
          <w:rFonts w:ascii="Arial" w:hAnsi="Arial"/>
          <w:spacing w:val="-3"/>
          <w:szCs w:val="20"/>
        </w:rPr>
        <w:t>for</w:t>
      </w:r>
      <w:r w:rsidRPr="00D56E4D">
        <w:rPr>
          <w:rFonts w:ascii="Arial" w:hAnsi="Arial"/>
          <w:spacing w:val="-3"/>
          <w:szCs w:val="20"/>
        </w:rPr>
        <w:t xml:space="preserve"> our direct connect with Westcoast. </w:t>
      </w:r>
    </w:p>
    <w:p w:rsidR="00D56E4D" w:rsidRPr="00D56E4D" w:rsidRDefault="00D56E4D" w:rsidP="00D56E4D">
      <w:pPr>
        <w:pStyle w:val="ListParagraph"/>
        <w:rPr>
          <w:rFonts w:ascii="Arial" w:hAnsi="Arial"/>
          <w:spacing w:val="-3"/>
          <w:szCs w:val="20"/>
        </w:rPr>
      </w:pPr>
    </w:p>
    <w:p w:rsidR="0079213E" w:rsidRPr="0079213E" w:rsidRDefault="0079213E" w:rsidP="0079213E">
      <w:pPr>
        <w:pStyle w:val="ListParagraph"/>
        <w:rPr>
          <w:rFonts w:ascii="Arial" w:hAnsi="Arial"/>
          <w:spacing w:val="-3"/>
          <w:szCs w:val="20"/>
        </w:rPr>
      </w:pPr>
    </w:p>
    <w:p w:rsidR="00277C92" w:rsidRDefault="00277C92" w:rsidP="00277C92">
      <w:pPr>
        <w:tabs>
          <w:tab w:val="left" w:pos="-1440"/>
          <w:tab w:val="left" w:pos="-720"/>
          <w:tab w:val="left" w:pos="0"/>
          <w:tab w:val="left" w:pos="1080"/>
          <w:tab w:val="left" w:pos="1440"/>
        </w:tabs>
        <w:suppressAutoHyphens/>
        <w:jc w:val="center"/>
        <w:rPr>
          <w:rFonts w:ascii="Arial" w:hAnsi="Arial"/>
          <w:b/>
          <w:spacing w:val="-3"/>
          <w:u w:val="single"/>
        </w:rPr>
      </w:pPr>
      <w:r>
        <w:rPr>
          <w:rFonts w:ascii="Arial" w:hAnsi="Arial"/>
          <w:b/>
          <w:spacing w:val="-3"/>
          <w:u w:val="single"/>
        </w:rPr>
        <w:t>STORAGE OPPORTUNITIES</w:t>
      </w:r>
    </w:p>
    <w:p w:rsidR="00D56E4D" w:rsidRPr="0079213E" w:rsidRDefault="00D56E4D" w:rsidP="0079213E">
      <w:pPr>
        <w:jc w:val="both"/>
        <w:rPr>
          <w:rFonts w:ascii="Arial" w:hAnsi="Arial"/>
          <w:spacing w:val="-3"/>
        </w:rPr>
      </w:pPr>
    </w:p>
    <w:p w:rsidR="0079213E" w:rsidRDefault="0079213E" w:rsidP="0079213E">
      <w:pPr>
        <w:tabs>
          <w:tab w:val="left" w:pos="-1440"/>
          <w:tab w:val="left" w:pos="-720"/>
          <w:tab w:val="left" w:pos="0"/>
          <w:tab w:val="left" w:pos="1080"/>
          <w:tab w:val="left" w:pos="1440"/>
        </w:tabs>
        <w:suppressAutoHyphens/>
        <w:jc w:val="both"/>
        <w:rPr>
          <w:rFonts w:ascii="Arial" w:hAnsi="Arial"/>
          <w:spacing w:val="-3"/>
        </w:rPr>
      </w:pPr>
    </w:p>
    <w:p w:rsidR="00D02C24" w:rsidRPr="006A7972" w:rsidRDefault="0079213E" w:rsidP="006A7972">
      <w:pPr>
        <w:pStyle w:val="ListParagraph"/>
        <w:numPr>
          <w:ilvl w:val="0"/>
          <w:numId w:val="27"/>
        </w:numPr>
        <w:tabs>
          <w:tab w:val="left" w:pos="-1440"/>
          <w:tab w:val="left" w:pos="-720"/>
          <w:tab w:val="left" w:pos="0"/>
          <w:tab w:val="left" w:pos="1080"/>
          <w:tab w:val="left" w:pos="1440"/>
        </w:tabs>
        <w:suppressAutoHyphens/>
        <w:jc w:val="both"/>
        <w:rPr>
          <w:rFonts w:ascii="Arial" w:hAnsi="Arial"/>
          <w:spacing w:val="-3"/>
          <w:szCs w:val="20"/>
        </w:rPr>
      </w:pPr>
      <w:r w:rsidRPr="006A7972">
        <w:rPr>
          <w:rFonts w:ascii="Arial" w:hAnsi="Arial"/>
          <w:b/>
          <w:spacing w:val="-3"/>
        </w:rPr>
        <w:t>AECO Hub Storage:</w:t>
      </w:r>
      <w:r w:rsidR="006A7972" w:rsidRPr="006A7972">
        <w:rPr>
          <w:rFonts w:ascii="Arial" w:hAnsi="Arial"/>
          <w:spacing w:val="-3"/>
        </w:rPr>
        <w:t xml:space="preserve"> This is Niska’s</w:t>
      </w:r>
      <w:r w:rsidR="00D02C24" w:rsidRPr="006A7972">
        <w:rPr>
          <w:rFonts w:ascii="Arial" w:hAnsi="Arial"/>
          <w:spacing w:val="-3"/>
          <w:szCs w:val="20"/>
        </w:rPr>
        <w:t xml:space="preserve"> commercial natural gas stor</w:t>
      </w:r>
      <w:r w:rsidR="006A7972" w:rsidRPr="006A7972">
        <w:rPr>
          <w:rFonts w:ascii="Arial" w:hAnsi="Arial"/>
          <w:spacing w:val="-3"/>
        </w:rPr>
        <w:t>age business in Alberta, Canada.  The service</w:t>
      </w:r>
      <w:r w:rsidR="00D02C24" w:rsidRPr="006A7972">
        <w:rPr>
          <w:rFonts w:ascii="Arial" w:hAnsi="Arial"/>
          <w:spacing w:val="-3"/>
          <w:szCs w:val="20"/>
        </w:rPr>
        <w:t xml:space="preserve"> is comprised </w:t>
      </w:r>
      <w:r w:rsidR="006A7972" w:rsidRPr="006A7972">
        <w:rPr>
          <w:rFonts w:ascii="Arial" w:hAnsi="Arial"/>
          <w:spacing w:val="-3"/>
        </w:rPr>
        <w:t>from two</w:t>
      </w:r>
      <w:r w:rsidR="00D02C24" w:rsidRPr="006A7972">
        <w:rPr>
          <w:rFonts w:ascii="Arial" w:hAnsi="Arial"/>
          <w:spacing w:val="-3"/>
          <w:szCs w:val="20"/>
        </w:rPr>
        <w:t xml:space="preserve"> gas storage facilities:</w:t>
      </w:r>
      <w:r w:rsidR="006A7972" w:rsidRPr="006A7972">
        <w:rPr>
          <w:rFonts w:ascii="Arial" w:hAnsi="Arial"/>
          <w:spacing w:val="-3"/>
        </w:rPr>
        <w:t xml:space="preserve"> S</w:t>
      </w:r>
      <w:r w:rsidR="00D02C24" w:rsidRPr="006A7972">
        <w:rPr>
          <w:rFonts w:ascii="Arial" w:hAnsi="Arial"/>
          <w:spacing w:val="-3"/>
        </w:rPr>
        <w:t>uffield (South-eastern Alberta)</w:t>
      </w:r>
      <w:r w:rsidR="006A7972" w:rsidRPr="006A7972">
        <w:rPr>
          <w:rFonts w:ascii="Arial" w:hAnsi="Arial"/>
          <w:spacing w:val="-3"/>
        </w:rPr>
        <w:t xml:space="preserve"> and </w:t>
      </w:r>
      <w:r w:rsidR="00D02C24" w:rsidRPr="006A7972">
        <w:rPr>
          <w:rFonts w:ascii="Arial" w:hAnsi="Arial"/>
          <w:spacing w:val="-3"/>
        </w:rPr>
        <w:t>Countess (South-central Alberta)</w:t>
      </w:r>
      <w:r w:rsidR="006A7972" w:rsidRPr="006A7972">
        <w:rPr>
          <w:rFonts w:ascii="Arial" w:hAnsi="Arial"/>
          <w:spacing w:val="-3"/>
        </w:rPr>
        <w:t xml:space="preserve">.  </w:t>
      </w:r>
      <w:r w:rsidR="00D02C24" w:rsidRPr="006A7972">
        <w:rPr>
          <w:rFonts w:ascii="Arial" w:hAnsi="Arial"/>
          <w:spacing w:val="-3"/>
          <w:szCs w:val="20"/>
        </w:rPr>
        <w:t>Although the two AECO facilities are geographically separated across Alberta, the toll design of the NOVA (NGTL) system means that they are both</w:t>
      </w:r>
      <w:r w:rsidR="00620DAA">
        <w:rPr>
          <w:rFonts w:ascii="Arial" w:hAnsi="Arial"/>
          <w:spacing w:val="-3"/>
          <w:szCs w:val="20"/>
        </w:rPr>
        <w:t xml:space="preserve"> </w:t>
      </w:r>
      <w:r w:rsidR="00D02C24" w:rsidRPr="006A7972">
        <w:rPr>
          <w:rFonts w:ascii="Arial" w:hAnsi="Arial"/>
          <w:spacing w:val="-3"/>
          <w:szCs w:val="20"/>
        </w:rPr>
        <w:t xml:space="preserve">at the same </w:t>
      </w:r>
      <w:r w:rsidR="00620DAA">
        <w:rPr>
          <w:rFonts w:ascii="Arial" w:hAnsi="Arial"/>
          <w:spacing w:val="-3"/>
          <w:szCs w:val="20"/>
        </w:rPr>
        <w:t xml:space="preserve">commercial </w:t>
      </w:r>
      <w:r w:rsidR="00D02C24" w:rsidRPr="006A7972">
        <w:rPr>
          <w:rFonts w:ascii="Arial" w:hAnsi="Arial"/>
          <w:spacing w:val="-3"/>
          <w:szCs w:val="20"/>
        </w:rPr>
        <w:t>point.</w:t>
      </w:r>
      <w:r w:rsidR="006A7972" w:rsidRPr="006A7972">
        <w:rPr>
          <w:rFonts w:ascii="Arial" w:hAnsi="Arial"/>
          <w:spacing w:val="-3"/>
        </w:rPr>
        <w:t xml:space="preserve"> Capacity at one of the facilities </w:t>
      </w:r>
      <w:r w:rsidR="00620DAA">
        <w:rPr>
          <w:rFonts w:ascii="Arial" w:hAnsi="Arial"/>
          <w:spacing w:val="-3"/>
        </w:rPr>
        <w:t xml:space="preserve">is </w:t>
      </w:r>
      <w:r w:rsidR="009614AC" w:rsidRPr="006A7972">
        <w:rPr>
          <w:rFonts w:ascii="Arial" w:hAnsi="Arial"/>
          <w:spacing w:val="-3"/>
        </w:rPr>
        <w:t>possible</w:t>
      </w:r>
      <w:r w:rsidR="00620DAA" w:rsidRPr="006A7972">
        <w:rPr>
          <w:rFonts w:ascii="Arial" w:hAnsi="Arial"/>
          <w:spacing w:val="-3"/>
        </w:rPr>
        <w:t xml:space="preserve"> as</w:t>
      </w:r>
      <w:r w:rsidR="00620DAA">
        <w:rPr>
          <w:rFonts w:ascii="Arial" w:hAnsi="Arial"/>
          <w:spacing w:val="-3"/>
        </w:rPr>
        <w:t xml:space="preserve"> an </w:t>
      </w:r>
      <w:r w:rsidR="006A7972" w:rsidRPr="006A7972">
        <w:rPr>
          <w:rFonts w:ascii="Arial" w:hAnsi="Arial"/>
          <w:spacing w:val="-3"/>
        </w:rPr>
        <w:t xml:space="preserve">alternative resource.  Currently, no open season </w:t>
      </w:r>
      <w:r w:rsidR="00620DAA">
        <w:rPr>
          <w:rFonts w:ascii="Arial" w:hAnsi="Arial"/>
          <w:spacing w:val="-3"/>
        </w:rPr>
        <w:t xml:space="preserve">is </w:t>
      </w:r>
      <w:r w:rsidR="006A7972" w:rsidRPr="006A7972">
        <w:rPr>
          <w:rFonts w:ascii="Arial" w:hAnsi="Arial"/>
          <w:spacing w:val="-3"/>
        </w:rPr>
        <w:t>planned.    However, some services are available for limited periods of time</w:t>
      </w:r>
      <w:r w:rsidR="006A7972">
        <w:rPr>
          <w:rFonts w:ascii="Arial" w:hAnsi="Arial"/>
          <w:spacing w:val="-3"/>
        </w:rPr>
        <w:t xml:space="preserve"> but are subject possible interruption</w:t>
      </w:r>
      <w:r w:rsidR="006A7972" w:rsidRPr="006A7972">
        <w:rPr>
          <w:rFonts w:ascii="Arial" w:hAnsi="Arial"/>
          <w:spacing w:val="-3"/>
        </w:rPr>
        <w:t>.  Incremental transport involving Nova, Foothills, GTN</w:t>
      </w:r>
      <w:r w:rsidR="00620DAA">
        <w:rPr>
          <w:rFonts w:ascii="Arial" w:hAnsi="Arial"/>
          <w:spacing w:val="-3"/>
        </w:rPr>
        <w:t>,</w:t>
      </w:r>
      <w:r w:rsidR="006A7972" w:rsidRPr="006A7972">
        <w:rPr>
          <w:rFonts w:ascii="Arial" w:hAnsi="Arial"/>
          <w:spacing w:val="-3"/>
        </w:rPr>
        <w:t xml:space="preserve"> and possibly NWP would be necessary.</w:t>
      </w:r>
    </w:p>
    <w:p w:rsidR="006A7972" w:rsidRPr="006A7972" w:rsidRDefault="006A7972" w:rsidP="006A7972">
      <w:pPr>
        <w:pStyle w:val="ListParagraph"/>
        <w:rPr>
          <w:rFonts w:ascii="Arial" w:hAnsi="Arial"/>
          <w:spacing w:val="-3"/>
          <w:szCs w:val="20"/>
        </w:rPr>
      </w:pPr>
    </w:p>
    <w:p w:rsidR="006A7972" w:rsidRDefault="006A7972" w:rsidP="00D02C24">
      <w:pPr>
        <w:pStyle w:val="ListParagraph"/>
        <w:numPr>
          <w:ilvl w:val="0"/>
          <w:numId w:val="27"/>
        </w:numPr>
        <w:suppressAutoHyphens/>
        <w:jc w:val="both"/>
        <w:rPr>
          <w:rFonts w:ascii="Arial" w:hAnsi="Arial"/>
          <w:spacing w:val="-3"/>
          <w:szCs w:val="20"/>
        </w:rPr>
      </w:pPr>
      <w:r w:rsidRPr="006A7972">
        <w:rPr>
          <w:rFonts w:ascii="Arial" w:hAnsi="Arial"/>
          <w:b/>
          <w:spacing w:val="-3"/>
        </w:rPr>
        <w:lastRenderedPageBreak/>
        <w:t>Gill Ranch Storage:</w:t>
      </w:r>
      <w:r w:rsidRPr="006A7972">
        <w:rPr>
          <w:rFonts w:ascii="Arial" w:hAnsi="Arial"/>
          <w:spacing w:val="-3"/>
        </w:rPr>
        <w:t xml:space="preserve"> Gill Ranch Storage is an underground intra-state natural gas storage facility near Fresno, Calif. It includes a pipeline that links the facility to Pacific Gas &amp; Electric Company's (PG&amp;E) mainline transmission system, allowing it to serve customers throughout California.  </w:t>
      </w:r>
      <w:r w:rsidRPr="006A7972">
        <w:rPr>
          <w:rFonts w:ascii="Arial" w:hAnsi="Arial"/>
          <w:spacing w:val="-3"/>
          <w:szCs w:val="20"/>
        </w:rPr>
        <w:t>Storage from this facility would require California Gas Transmission (CGT) transport, which has a potentially cost-prohibitive demand charge or $1.68 per Dth.  Incremental transport involving GTN would also be necessary.</w:t>
      </w:r>
    </w:p>
    <w:p w:rsidR="00762FA7" w:rsidRPr="00762FA7" w:rsidRDefault="00762FA7" w:rsidP="00762FA7">
      <w:pPr>
        <w:pStyle w:val="ListParagraph"/>
        <w:jc w:val="both"/>
        <w:rPr>
          <w:rFonts w:ascii="Arial" w:hAnsi="Arial"/>
          <w:spacing w:val="-3"/>
          <w:szCs w:val="20"/>
        </w:rPr>
      </w:pPr>
    </w:p>
    <w:p w:rsidR="00F34243" w:rsidRDefault="00762FA7" w:rsidP="00D02C24">
      <w:pPr>
        <w:pStyle w:val="ListParagraph"/>
        <w:numPr>
          <w:ilvl w:val="0"/>
          <w:numId w:val="27"/>
        </w:numPr>
        <w:suppressAutoHyphens/>
        <w:jc w:val="both"/>
        <w:rPr>
          <w:rFonts w:ascii="Arial" w:hAnsi="Arial"/>
          <w:spacing w:val="-3"/>
          <w:szCs w:val="20"/>
        </w:rPr>
      </w:pPr>
      <w:r w:rsidRPr="00762FA7">
        <w:rPr>
          <w:rFonts w:ascii="Arial" w:hAnsi="Arial"/>
          <w:b/>
          <w:spacing w:val="-3"/>
          <w:szCs w:val="20"/>
        </w:rPr>
        <w:t>Mist (North Mist II):</w:t>
      </w:r>
      <w:r w:rsidRPr="00762FA7">
        <w:rPr>
          <w:rFonts w:ascii="Arial" w:hAnsi="Arial"/>
          <w:spacing w:val="-3"/>
          <w:szCs w:val="20"/>
        </w:rPr>
        <w:t xml:space="preserve"> According NW Natural’s 2016 IRP, </w:t>
      </w:r>
    </w:p>
    <w:p w:rsidR="00F34243" w:rsidRPr="00DF078B" w:rsidRDefault="00F34243" w:rsidP="00DF078B">
      <w:pPr>
        <w:pStyle w:val="ListParagraph"/>
        <w:rPr>
          <w:rFonts w:ascii="Arial" w:hAnsi="Arial"/>
          <w:spacing w:val="-3"/>
          <w:szCs w:val="20"/>
        </w:rPr>
      </w:pPr>
    </w:p>
    <w:p w:rsidR="00F34243" w:rsidRPr="00F34243" w:rsidRDefault="00762FA7" w:rsidP="00DF078B">
      <w:pPr>
        <w:pStyle w:val="ListParagraph"/>
        <w:suppressAutoHyphens/>
        <w:ind w:left="1080"/>
        <w:jc w:val="both"/>
        <w:rPr>
          <w:rFonts w:ascii="Arial" w:hAnsi="Arial"/>
          <w:spacing w:val="-3"/>
          <w:szCs w:val="20"/>
        </w:rPr>
      </w:pPr>
      <w:r w:rsidRPr="00762FA7">
        <w:rPr>
          <w:rFonts w:ascii="Arial" w:hAnsi="Arial"/>
          <w:spacing w:val="-3"/>
          <w:szCs w:val="20"/>
        </w:rPr>
        <w:t>NW Natural is in the midst of a project that would combine new underground storage at Mist and a new transmission pipeline to serve Portland General Electric (PGE) at Port Westward called North Mist.18</w:t>
      </w:r>
      <w:r w:rsidR="001825A6">
        <w:rPr>
          <w:rFonts w:ascii="Arial" w:hAnsi="Arial"/>
          <w:spacing w:val="-3"/>
          <w:szCs w:val="20"/>
        </w:rPr>
        <w:t>.</w:t>
      </w:r>
      <w:r w:rsidRPr="00762FA7">
        <w:rPr>
          <w:rFonts w:ascii="Arial" w:hAnsi="Arial"/>
          <w:spacing w:val="-3"/>
          <w:szCs w:val="20"/>
        </w:rPr>
        <w:t xml:space="preserve"> The storage reservoirs currently in service at Mist and those that would be developed as North Mist for PGE do not collectively exhaust Mist’s storage potential; there still remain other Mist production reservoirs that theoretically could be developed by NW Natural into additional storage resources. The primary impediment in doing so is not geological, but instead, the challenges associated with developing new pipeline capacity to move the gas from Mist to the Company’s load centers.  NW Natural identifies a prospective Mist expansion project for core customer use in this IRP as “North Mist II.”  Essentially, this new pipeline is planned to be built from Mist to the Kelso- Beaver Pipeline (KB Pipeline); and from there onto NWP’s system” for potential delivery to Cascade gates.  </w:t>
      </w:r>
    </w:p>
    <w:p w:rsidR="00F34243" w:rsidRDefault="00F34243" w:rsidP="00DF078B">
      <w:pPr>
        <w:suppressAutoHyphens/>
        <w:jc w:val="both"/>
        <w:rPr>
          <w:rFonts w:ascii="Arial" w:hAnsi="Arial"/>
          <w:spacing w:val="-3"/>
        </w:rPr>
      </w:pPr>
    </w:p>
    <w:p w:rsidR="00762FA7" w:rsidRPr="00DF078B" w:rsidRDefault="00F34243" w:rsidP="00DF078B">
      <w:pPr>
        <w:suppressAutoHyphens/>
        <w:ind w:left="450"/>
        <w:jc w:val="both"/>
        <w:rPr>
          <w:rFonts w:ascii="Arial" w:hAnsi="Arial"/>
          <w:spacing w:val="-3"/>
        </w:rPr>
      </w:pPr>
      <w:r>
        <w:rPr>
          <w:rFonts w:ascii="Arial" w:hAnsi="Arial"/>
          <w:spacing w:val="-3"/>
        </w:rPr>
        <w:t>Cascade</w:t>
      </w:r>
      <w:r w:rsidRPr="00DF078B">
        <w:rPr>
          <w:rFonts w:ascii="Arial" w:hAnsi="Arial"/>
          <w:spacing w:val="-3"/>
        </w:rPr>
        <w:t xml:space="preserve"> </w:t>
      </w:r>
      <w:r w:rsidR="00762FA7" w:rsidRPr="00DF078B">
        <w:rPr>
          <w:rFonts w:ascii="Arial" w:hAnsi="Arial"/>
          <w:spacing w:val="-3"/>
        </w:rPr>
        <w:t>will continue to talks to the Mist parties to see if those opportunities may be cost effective.</w:t>
      </w:r>
    </w:p>
    <w:p w:rsidR="006A7972" w:rsidRPr="006A7972" w:rsidRDefault="006A7972" w:rsidP="006A7972">
      <w:pPr>
        <w:pStyle w:val="ListParagraph"/>
        <w:rPr>
          <w:rFonts w:ascii="Arial" w:hAnsi="Arial"/>
          <w:spacing w:val="-3"/>
          <w:szCs w:val="20"/>
        </w:rPr>
      </w:pPr>
    </w:p>
    <w:p w:rsidR="006A7972" w:rsidRDefault="006A7972" w:rsidP="00D02C24">
      <w:pPr>
        <w:pStyle w:val="ListParagraph"/>
        <w:numPr>
          <w:ilvl w:val="0"/>
          <w:numId w:val="27"/>
        </w:numPr>
        <w:suppressAutoHyphens/>
        <w:jc w:val="both"/>
        <w:rPr>
          <w:rFonts w:ascii="Arial" w:hAnsi="Arial"/>
          <w:spacing w:val="-3"/>
          <w:szCs w:val="20"/>
        </w:rPr>
      </w:pPr>
      <w:r w:rsidRPr="00762FA7">
        <w:rPr>
          <w:rFonts w:ascii="Arial" w:hAnsi="Arial"/>
          <w:b/>
          <w:spacing w:val="-3"/>
          <w:szCs w:val="20"/>
        </w:rPr>
        <w:t>Ryckman Creek Storage</w:t>
      </w:r>
      <w:r w:rsidR="00762FA7" w:rsidRPr="00762FA7">
        <w:rPr>
          <w:rFonts w:ascii="Arial" w:hAnsi="Arial"/>
          <w:b/>
          <w:spacing w:val="-3"/>
          <w:szCs w:val="20"/>
        </w:rPr>
        <w:t>:</w:t>
      </w:r>
      <w:r w:rsidR="00762FA7" w:rsidRPr="00762FA7">
        <w:rPr>
          <w:rFonts w:ascii="Arial" w:hAnsi="Arial"/>
          <w:spacing w:val="-3"/>
          <w:szCs w:val="20"/>
        </w:rPr>
        <w:t xml:space="preserve">  Ryckman Creek Resources, LLC, </w:t>
      </w:r>
      <w:r w:rsidR="00F34243">
        <w:rPr>
          <w:rFonts w:ascii="Arial" w:hAnsi="Arial"/>
          <w:spacing w:val="-3"/>
          <w:szCs w:val="20"/>
        </w:rPr>
        <w:t xml:space="preserve">is </w:t>
      </w:r>
      <w:r w:rsidR="00762FA7" w:rsidRPr="00762FA7">
        <w:rPr>
          <w:rFonts w:ascii="Arial" w:hAnsi="Arial"/>
          <w:spacing w:val="-3"/>
          <w:szCs w:val="20"/>
        </w:rPr>
        <w:t>a wholly-owned subsidiary of Peregrine Midstream Partners, LLC.  Ryckman Creek Gas Storage Facility is located near the town of Evanston, Wyoming and approximately twenty-five miles southwest of the Opal Hub. Ryckman Creek has converted a partially depleted oil and gas reservoir into a gas storage facility with 35 BCF of working gas and a maximum daily withdrawal rate of 480,000 Dths/d.  Ryckman Creek currently has interconnects with Questar Gas Pipeline, Kern River Transmission, Questar Overthrust Pipeline, Ruby Pipeline</w:t>
      </w:r>
      <w:r w:rsidR="00F34243">
        <w:rPr>
          <w:rFonts w:ascii="Arial" w:hAnsi="Arial"/>
          <w:spacing w:val="-3"/>
          <w:szCs w:val="20"/>
        </w:rPr>
        <w:t>,</w:t>
      </w:r>
      <w:r w:rsidR="00762FA7" w:rsidRPr="00762FA7">
        <w:rPr>
          <w:rFonts w:ascii="Arial" w:hAnsi="Arial"/>
          <w:spacing w:val="-3"/>
          <w:szCs w:val="20"/>
        </w:rPr>
        <w:t xml:space="preserve"> and Northwest Pipeline.  </w:t>
      </w:r>
      <w:r w:rsidRPr="00762FA7">
        <w:rPr>
          <w:rFonts w:ascii="Arial" w:hAnsi="Arial"/>
          <w:spacing w:val="-3"/>
          <w:szCs w:val="20"/>
        </w:rPr>
        <w:t xml:space="preserve">Incremental transport involving </w:t>
      </w:r>
      <w:r w:rsidR="00762FA7">
        <w:rPr>
          <w:rFonts w:ascii="Arial" w:hAnsi="Arial"/>
          <w:spacing w:val="-3"/>
          <w:szCs w:val="20"/>
        </w:rPr>
        <w:t>Questar and possibly Ruby</w:t>
      </w:r>
      <w:r w:rsidRPr="00762FA7">
        <w:rPr>
          <w:rFonts w:ascii="Arial" w:hAnsi="Arial"/>
          <w:spacing w:val="-3"/>
          <w:szCs w:val="20"/>
        </w:rPr>
        <w:t xml:space="preserve"> would be necessary</w:t>
      </w:r>
      <w:r w:rsidR="00762FA7">
        <w:rPr>
          <w:rFonts w:ascii="Arial" w:hAnsi="Arial"/>
          <w:spacing w:val="-3"/>
          <w:szCs w:val="20"/>
        </w:rPr>
        <w:t xml:space="preserve"> (Cascade’s current transportation contract with Ruby is currently winter only).</w:t>
      </w:r>
    </w:p>
    <w:p w:rsidR="00762FA7" w:rsidRPr="00762FA7" w:rsidRDefault="00762FA7" w:rsidP="00762FA7">
      <w:pPr>
        <w:pStyle w:val="ListParagraph"/>
        <w:rPr>
          <w:rFonts w:ascii="Arial" w:hAnsi="Arial"/>
          <w:spacing w:val="-3"/>
          <w:szCs w:val="20"/>
        </w:rPr>
      </w:pPr>
    </w:p>
    <w:p w:rsidR="00762FA7" w:rsidRPr="00762FA7" w:rsidRDefault="00762FA7" w:rsidP="00D02C24">
      <w:pPr>
        <w:pStyle w:val="ListParagraph"/>
        <w:numPr>
          <w:ilvl w:val="0"/>
          <w:numId w:val="27"/>
        </w:numPr>
        <w:tabs>
          <w:tab w:val="left" w:pos="-1440"/>
          <w:tab w:val="left" w:pos="-720"/>
          <w:tab w:val="left" w:pos="0"/>
          <w:tab w:val="left" w:pos="1080"/>
          <w:tab w:val="left" w:pos="1440"/>
        </w:tabs>
        <w:suppressAutoHyphens/>
        <w:jc w:val="both"/>
        <w:rPr>
          <w:rFonts w:ascii="Arial" w:hAnsi="Arial"/>
          <w:spacing w:val="-3"/>
          <w:szCs w:val="20"/>
        </w:rPr>
      </w:pPr>
      <w:r w:rsidRPr="00762FA7">
        <w:rPr>
          <w:rFonts w:ascii="Arial" w:hAnsi="Arial"/>
          <w:b/>
          <w:spacing w:val="-3"/>
        </w:rPr>
        <w:t>Wild Goose Storage:</w:t>
      </w:r>
      <w:r w:rsidRPr="00762FA7">
        <w:rPr>
          <w:rFonts w:ascii="Arial" w:hAnsi="Arial"/>
          <w:spacing w:val="-3"/>
        </w:rPr>
        <w:t xml:space="preserve"> Wild Goose is located north of Sacramento in northern California and was the first independent storage facility built in the state. The facility commenced full commercial operations in April 1999 and in April 2004 completed its first expansion. Customers have direct access PG&amp;E</w:t>
      </w:r>
      <w:r w:rsidR="00F34243">
        <w:rPr>
          <w:rFonts w:ascii="Arial" w:hAnsi="Arial"/>
          <w:spacing w:val="-3"/>
        </w:rPr>
        <w:t>’s</w:t>
      </w:r>
      <w:r w:rsidRPr="00762FA7">
        <w:rPr>
          <w:rFonts w:ascii="Arial" w:hAnsi="Arial"/>
          <w:spacing w:val="-3"/>
        </w:rPr>
        <w:t xml:space="preserve"> backbone system.  Storage from this facility would require California Gas Transmission (CGT) transport, which has a potentially cost-</w:t>
      </w:r>
      <w:r w:rsidRPr="00762FA7">
        <w:rPr>
          <w:rFonts w:ascii="Arial" w:hAnsi="Arial"/>
          <w:spacing w:val="-3"/>
        </w:rPr>
        <w:lastRenderedPageBreak/>
        <w:t>prohibitive demand charge or $1.68 per Dth.  Incremental transport involving GTN would also be necessary.</w:t>
      </w:r>
    </w:p>
    <w:p w:rsidR="006A7972" w:rsidRPr="006A7972" w:rsidRDefault="006A7972" w:rsidP="006A7972">
      <w:pPr>
        <w:tabs>
          <w:tab w:val="left" w:pos="-1440"/>
          <w:tab w:val="left" w:pos="-720"/>
          <w:tab w:val="left" w:pos="0"/>
          <w:tab w:val="left" w:pos="1080"/>
          <w:tab w:val="left" w:pos="1440"/>
        </w:tabs>
        <w:suppressAutoHyphens/>
        <w:jc w:val="both"/>
        <w:rPr>
          <w:rFonts w:ascii="Arial" w:hAnsi="Arial"/>
          <w:spacing w:val="-3"/>
        </w:rPr>
      </w:pPr>
    </w:p>
    <w:p w:rsidR="00D02C24" w:rsidRPr="006A7972" w:rsidRDefault="00D02C24" w:rsidP="006A7972">
      <w:pPr>
        <w:tabs>
          <w:tab w:val="left" w:pos="-1440"/>
          <w:tab w:val="left" w:pos="-720"/>
          <w:tab w:val="left" w:pos="0"/>
          <w:tab w:val="left" w:pos="1080"/>
          <w:tab w:val="left" w:pos="1440"/>
        </w:tabs>
        <w:suppressAutoHyphens/>
        <w:ind w:left="460"/>
        <w:jc w:val="both"/>
        <w:rPr>
          <w:rFonts w:ascii="Arial" w:hAnsi="Arial"/>
          <w:spacing w:val="-3"/>
        </w:rPr>
      </w:pPr>
    </w:p>
    <w:p w:rsidR="0079213E" w:rsidRPr="0079213E" w:rsidRDefault="0079213E" w:rsidP="0079213E">
      <w:pPr>
        <w:tabs>
          <w:tab w:val="left" w:pos="-1440"/>
          <w:tab w:val="left" w:pos="-720"/>
          <w:tab w:val="left" w:pos="0"/>
          <w:tab w:val="left" w:pos="1080"/>
          <w:tab w:val="left" w:pos="1440"/>
        </w:tabs>
        <w:suppressAutoHyphens/>
        <w:jc w:val="both"/>
        <w:rPr>
          <w:rFonts w:ascii="Arial" w:hAnsi="Arial"/>
          <w:spacing w:val="-3"/>
        </w:rPr>
      </w:pPr>
    </w:p>
    <w:p w:rsidR="00C65025" w:rsidRPr="00277C92" w:rsidRDefault="00277C92" w:rsidP="00277C92">
      <w:pPr>
        <w:tabs>
          <w:tab w:val="left" w:pos="-1440"/>
          <w:tab w:val="left" w:pos="-720"/>
          <w:tab w:val="left" w:pos="0"/>
          <w:tab w:val="left" w:pos="1080"/>
          <w:tab w:val="left" w:pos="1440"/>
        </w:tabs>
        <w:suppressAutoHyphens/>
        <w:jc w:val="center"/>
        <w:rPr>
          <w:rFonts w:ascii="Arial" w:hAnsi="Arial"/>
          <w:spacing w:val="-3"/>
          <w:sz w:val="28"/>
        </w:rPr>
      </w:pPr>
      <w:r w:rsidRPr="00277C92">
        <w:rPr>
          <w:rFonts w:ascii="Arial" w:hAnsi="Arial"/>
          <w:b/>
          <w:spacing w:val="-3"/>
          <w:sz w:val="28"/>
          <w:u w:val="single"/>
        </w:rPr>
        <w:t xml:space="preserve">Other </w:t>
      </w:r>
      <w:r>
        <w:rPr>
          <w:rFonts w:ascii="Arial" w:hAnsi="Arial"/>
          <w:b/>
          <w:spacing w:val="-3"/>
          <w:sz w:val="28"/>
          <w:u w:val="single"/>
        </w:rPr>
        <w:t xml:space="preserve">Alternative </w:t>
      </w:r>
      <w:r w:rsidRPr="00277C92">
        <w:rPr>
          <w:rFonts w:ascii="Arial" w:hAnsi="Arial"/>
          <w:b/>
          <w:spacing w:val="-3"/>
          <w:sz w:val="28"/>
          <w:u w:val="single"/>
        </w:rPr>
        <w:t>Gas Supply Resources</w:t>
      </w:r>
    </w:p>
    <w:p w:rsidR="00C65025" w:rsidRDefault="00C65025" w:rsidP="00C65025">
      <w:pPr>
        <w:tabs>
          <w:tab w:val="left" w:pos="-1440"/>
          <w:tab w:val="left" w:pos="-720"/>
          <w:tab w:val="left" w:pos="0"/>
          <w:tab w:val="left" w:pos="1080"/>
          <w:tab w:val="left" w:pos="1440"/>
        </w:tabs>
        <w:suppressAutoHyphens/>
        <w:jc w:val="both"/>
        <w:rPr>
          <w:rFonts w:ascii="Arial" w:hAnsi="Arial"/>
          <w:spacing w:val="-3"/>
        </w:rPr>
      </w:pPr>
    </w:p>
    <w:p w:rsidR="00277C92" w:rsidRPr="00277C92" w:rsidRDefault="00277C92" w:rsidP="00277C92">
      <w:pPr>
        <w:pStyle w:val="ListParagraph"/>
        <w:numPr>
          <w:ilvl w:val="0"/>
          <w:numId w:val="28"/>
        </w:numPr>
        <w:tabs>
          <w:tab w:val="left" w:pos="-1440"/>
          <w:tab w:val="left" w:pos="-720"/>
          <w:tab w:val="left" w:pos="0"/>
          <w:tab w:val="left" w:pos="1080"/>
          <w:tab w:val="left" w:pos="1440"/>
        </w:tabs>
        <w:suppressAutoHyphens/>
        <w:jc w:val="both"/>
        <w:rPr>
          <w:rFonts w:ascii="Arial" w:hAnsi="Arial"/>
          <w:spacing w:val="-3"/>
        </w:rPr>
      </w:pPr>
      <w:r w:rsidRPr="00277C92">
        <w:rPr>
          <w:rFonts w:ascii="Arial" w:hAnsi="Arial"/>
          <w:b/>
          <w:spacing w:val="-3"/>
        </w:rPr>
        <w:t xml:space="preserve">Satellite LNG:  </w:t>
      </w:r>
      <w:r w:rsidRPr="00277C92">
        <w:rPr>
          <w:rFonts w:ascii="Arial" w:hAnsi="Arial"/>
          <w:spacing w:val="-3"/>
        </w:rPr>
        <w:t xml:space="preserve">Some gas utilities rely on satellite LNG tanks to meet a portion of their peaking requirements. The term “satellite” is commonly used because the facility is scaled-down and has no liquefaction capability. Instead, its usefulness revolves around the availability of another (no doubt larger) facility with the ability to supply the LNG to fill its tank(s). LNG facilities in this context are peaking resources because they provide only a few days of deliverability, and should not be confused with the much larger facilities contemplated as LNG export or import terminals. The concept is that a small tank serving a remote area would be filled with LNG as winter approaches, and the site </w:t>
      </w:r>
      <w:r w:rsidR="00F34243">
        <w:rPr>
          <w:rFonts w:ascii="Arial" w:hAnsi="Arial"/>
          <w:spacing w:val="-3"/>
        </w:rPr>
        <w:t>operated</w:t>
      </w:r>
      <w:r w:rsidR="00F34243" w:rsidRPr="00277C92">
        <w:rPr>
          <w:rFonts w:ascii="Arial" w:hAnsi="Arial"/>
          <w:spacing w:val="-3"/>
        </w:rPr>
        <w:t xml:space="preserve"> </w:t>
      </w:r>
      <w:r w:rsidRPr="00277C92">
        <w:rPr>
          <w:rFonts w:ascii="Arial" w:hAnsi="Arial"/>
          <w:spacing w:val="-3"/>
        </w:rPr>
        <w:t xml:space="preserve">during cold weather episodes when vaporization is required. Since </w:t>
      </w:r>
      <w:r w:rsidR="00F34243">
        <w:rPr>
          <w:rFonts w:ascii="Arial" w:hAnsi="Arial"/>
          <w:spacing w:val="-3"/>
        </w:rPr>
        <w:t xml:space="preserve">Satellite LNG has </w:t>
      </w:r>
      <w:r w:rsidRPr="00277C92">
        <w:rPr>
          <w:rFonts w:ascii="Arial" w:hAnsi="Arial"/>
          <w:spacing w:val="-3"/>
        </w:rPr>
        <w:t>no on-site liquefaction process, the facility is fairly simple in design and operation. While likely as expensive as some pipeline projects, Satellite LNG may be more practical in areas such as Yakima, where pipeline capacity shortfalls for peak day are the highest and most immediate.  The addition of satellite LNG could defer significant pipeline infrastructure investments for several years.</w:t>
      </w:r>
    </w:p>
    <w:p w:rsidR="0038728D" w:rsidRDefault="0038728D" w:rsidP="00486126">
      <w:pPr>
        <w:tabs>
          <w:tab w:val="left" w:pos="-1440"/>
          <w:tab w:val="left" w:pos="-720"/>
          <w:tab w:val="left" w:pos="0"/>
          <w:tab w:val="left" w:pos="1080"/>
          <w:tab w:val="left" w:pos="1440"/>
        </w:tabs>
        <w:suppressAutoHyphens/>
        <w:jc w:val="both"/>
        <w:rPr>
          <w:rFonts w:ascii="Arial" w:hAnsi="Arial"/>
          <w:spacing w:val="-3"/>
        </w:rPr>
      </w:pPr>
    </w:p>
    <w:p w:rsidR="00B13AE7" w:rsidRDefault="00277C92" w:rsidP="00D02C24">
      <w:pPr>
        <w:pStyle w:val="ListParagraph"/>
        <w:numPr>
          <w:ilvl w:val="0"/>
          <w:numId w:val="28"/>
        </w:numPr>
        <w:tabs>
          <w:tab w:val="left" w:pos="-1440"/>
          <w:tab w:val="left" w:pos="-720"/>
          <w:tab w:val="left" w:pos="0"/>
          <w:tab w:val="left" w:pos="1080"/>
          <w:tab w:val="left" w:pos="1440"/>
        </w:tabs>
        <w:suppressAutoHyphens/>
        <w:jc w:val="both"/>
        <w:rPr>
          <w:rFonts w:ascii="Arial" w:hAnsi="Arial"/>
          <w:spacing w:val="-3"/>
        </w:rPr>
      </w:pPr>
      <w:r w:rsidRPr="00277C92">
        <w:rPr>
          <w:rFonts w:ascii="Arial" w:hAnsi="Arial"/>
          <w:b/>
          <w:spacing w:val="-3"/>
        </w:rPr>
        <w:t>B</w:t>
      </w:r>
      <w:r w:rsidR="00486126" w:rsidRPr="00277C92">
        <w:rPr>
          <w:rFonts w:ascii="Arial" w:hAnsi="Arial"/>
          <w:b/>
          <w:spacing w:val="-3"/>
        </w:rPr>
        <w:t>io-natural gas (BNG)</w:t>
      </w:r>
      <w:r w:rsidRPr="00277C92">
        <w:rPr>
          <w:rFonts w:ascii="Arial" w:hAnsi="Arial"/>
          <w:b/>
          <w:spacing w:val="-3"/>
        </w:rPr>
        <w:t>:</w:t>
      </w:r>
      <w:r w:rsidR="00486126" w:rsidRPr="00277C92">
        <w:rPr>
          <w:rFonts w:ascii="Arial" w:hAnsi="Arial"/>
          <w:spacing w:val="-3"/>
        </w:rPr>
        <w:t xml:space="preserve"> BNG typically refers to gas produced by the biological breakdown of organic matter in the absence of oxygen. BNG originates from biogenic material and is a type of biofuel. One type of BNG is produced by anaerobic digestion or fermentation of biodegradable materials such as biomass, manure or sewage, municipal waste, green waste</w:t>
      </w:r>
      <w:r w:rsidR="006B2E79">
        <w:rPr>
          <w:rFonts w:ascii="Arial" w:hAnsi="Arial"/>
          <w:spacing w:val="-3"/>
        </w:rPr>
        <w:t>,</w:t>
      </w:r>
      <w:r w:rsidR="00486126" w:rsidRPr="00277C92">
        <w:rPr>
          <w:rFonts w:ascii="Arial" w:hAnsi="Arial"/>
          <w:spacing w:val="-3"/>
        </w:rPr>
        <w:t xml:space="preserve"> and energy crops. This type of BNG is comprised primarily of methane and carbon dioxide. The principal type of BNG is wood gas, which is created by gasification of wood or other biomass. This type of BNG is comprised primarily of nitrogen, hydrogen, and carbon monoxide, with trace amounts of methane.</w:t>
      </w:r>
      <w:r w:rsidRPr="00277C92">
        <w:rPr>
          <w:rFonts w:ascii="Arial" w:hAnsi="Arial"/>
          <w:spacing w:val="-3"/>
        </w:rPr>
        <w:t xml:space="preserve"> </w:t>
      </w:r>
      <w:r w:rsidR="00486126" w:rsidRPr="00277C92">
        <w:rPr>
          <w:rFonts w:ascii="Arial" w:hAnsi="Arial"/>
          <w:spacing w:val="-3"/>
        </w:rPr>
        <w:t>The gases</w:t>
      </w:r>
      <w:r w:rsidR="006B2E79">
        <w:rPr>
          <w:rFonts w:ascii="Arial" w:hAnsi="Arial"/>
          <w:spacing w:val="-3"/>
        </w:rPr>
        <w:t>,</w:t>
      </w:r>
      <w:r w:rsidR="00486126" w:rsidRPr="00277C92">
        <w:rPr>
          <w:rFonts w:ascii="Arial" w:hAnsi="Arial"/>
          <w:spacing w:val="-3"/>
        </w:rPr>
        <w:t xml:space="preserve"> methane, hydrogen and carbon monoxide</w:t>
      </w:r>
      <w:r w:rsidR="006B2E79">
        <w:rPr>
          <w:rFonts w:ascii="Arial" w:hAnsi="Arial"/>
          <w:spacing w:val="-3"/>
        </w:rPr>
        <w:t>,</w:t>
      </w:r>
      <w:r w:rsidR="00486126" w:rsidRPr="00277C92">
        <w:rPr>
          <w:rFonts w:ascii="Arial" w:hAnsi="Arial"/>
          <w:spacing w:val="-3"/>
        </w:rPr>
        <w:t xml:space="preserve"> can be combusted or oxidized with oxygen. Air contains 21% oxygen. This energy release allows BNG to be used as a fuel. BNG can be used as a low-cost fuel in any country for any heating purpose, such as cooking. It can also be utilized in modern waste management facilities where it can be used to run any type of heat engine to generate either mechanical or electrical power. BNG is a renewable fuel, which can be used for transport and electricity production, so it attracts renewable energy subsidies in some parts of the world.</w:t>
      </w:r>
      <w:r>
        <w:rPr>
          <w:rFonts w:ascii="Arial" w:hAnsi="Arial"/>
          <w:spacing w:val="-3"/>
        </w:rPr>
        <w:t xml:space="preserve"> </w:t>
      </w:r>
      <w:r w:rsidR="00486126" w:rsidRPr="00277C92">
        <w:rPr>
          <w:rFonts w:ascii="Arial" w:hAnsi="Arial"/>
          <w:spacing w:val="-3"/>
        </w:rPr>
        <w:t xml:space="preserve">In many cases, not enough pricing and supply information </w:t>
      </w:r>
      <w:r w:rsidR="006B2E79">
        <w:rPr>
          <w:rFonts w:ascii="Arial" w:hAnsi="Arial"/>
          <w:spacing w:val="-3"/>
        </w:rPr>
        <w:t xml:space="preserve">is currently </w:t>
      </w:r>
      <w:r w:rsidR="00486126" w:rsidRPr="00277C92">
        <w:rPr>
          <w:rFonts w:ascii="Arial" w:hAnsi="Arial"/>
          <w:spacing w:val="-3"/>
        </w:rPr>
        <w:t xml:space="preserve">available </w:t>
      </w:r>
      <w:r w:rsidR="006B2E79">
        <w:rPr>
          <w:rFonts w:ascii="Arial" w:hAnsi="Arial"/>
          <w:spacing w:val="-3"/>
        </w:rPr>
        <w:t xml:space="preserve">for this resource </w:t>
      </w:r>
      <w:r w:rsidR="00486126" w:rsidRPr="00277C92">
        <w:rPr>
          <w:rFonts w:ascii="Arial" w:hAnsi="Arial"/>
          <w:spacing w:val="-3"/>
        </w:rPr>
        <w:t xml:space="preserve">to be considered in this planning cycle; however, where possible, </w:t>
      </w:r>
      <w:r w:rsidR="006B2E79">
        <w:rPr>
          <w:rFonts w:ascii="Arial" w:hAnsi="Arial"/>
          <w:spacing w:val="-3"/>
        </w:rPr>
        <w:t>the Company</w:t>
      </w:r>
      <w:r w:rsidR="00486126" w:rsidRPr="00277C92">
        <w:rPr>
          <w:rFonts w:ascii="Arial" w:hAnsi="Arial"/>
          <w:spacing w:val="-3"/>
        </w:rPr>
        <w:t xml:space="preserve"> endeavored to analyze those situations where sufficient data is available. Cascade continues to monitor the BNG activities of companies such as P</w:t>
      </w:r>
      <w:r w:rsidR="006B2E79">
        <w:rPr>
          <w:rFonts w:ascii="Arial" w:hAnsi="Arial"/>
          <w:spacing w:val="-3"/>
        </w:rPr>
        <w:t>G&amp;E</w:t>
      </w:r>
      <w:r w:rsidR="00486126" w:rsidRPr="00277C92">
        <w:rPr>
          <w:rFonts w:ascii="Arial" w:hAnsi="Arial"/>
          <w:spacing w:val="-3"/>
        </w:rPr>
        <w:t>, Intermountain Gas, Sempra Utilities</w:t>
      </w:r>
      <w:r w:rsidR="006B2E79">
        <w:rPr>
          <w:rFonts w:ascii="Arial" w:hAnsi="Arial"/>
          <w:spacing w:val="-3"/>
        </w:rPr>
        <w:t>,</w:t>
      </w:r>
      <w:r w:rsidR="00486126" w:rsidRPr="00277C92">
        <w:rPr>
          <w:rFonts w:ascii="Arial" w:hAnsi="Arial"/>
          <w:spacing w:val="-3"/>
        </w:rPr>
        <w:t xml:space="preserve"> and Puget Sound Energy.</w:t>
      </w:r>
      <w:r w:rsidR="006B2E79">
        <w:rPr>
          <w:rFonts w:ascii="Arial" w:hAnsi="Arial"/>
          <w:spacing w:val="-3"/>
        </w:rPr>
        <w:t xml:space="preserve"> </w:t>
      </w:r>
    </w:p>
    <w:p w:rsidR="00B13AE7" w:rsidRDefault="00B13AE7" w:rsidP="00B13AE7">
      <w:pPr>
        <w:tabs>
          <w:tab w:val="left" w:pos="-1440"/>
          <w:tab w:val="left" w:pos="-720"/>
          <w:tab w:val="left" w:pos="0"/>
          <w:tab w:val="left" w:pos="1080"/>
          <w:tab w:val="left" w:pos="1440"/>
        </w:tabs>
        <w:suppressAutoHyphens/>
        <w:jc w:val="both"/>
        <w:rPr>
          <w:rFonts w:ascii="Arial" w:hAnsi="Arial"/>
          <w:spacing w:val="-3"/>
        </w:rPr>
      </w:pPr>
    </w:p>
    <w:p w:rsidR="00486126" w:rsidRPr="00D02C24" w:rsidRDefault="00B13AE7" w:rsidP="00D02C24">
      <w:pPr>
        <w:pStyle w:val="ListParagraph"/>
        <w:numPr>
          <w:ilvl w:val="0"/>
          <w:numId w:val="28"/>
        </w:numPr>
        <w:tabs>
          <w:tab w:val="left" w:pos="-1440"/>
          <w:tab w:val="left" w:pos="-720"/>
          <w:tab w:val="left" w:pos="0"/>
          <w:tab w:val="left" w:pos="1080"/>
          <w:tab w:val="left" w:pos="1440"/>
        </w:tabs>
        <w:suppressAutoHyphens/>
        <w:jc w:val="both"/>
        <w:rPr>
          <w:rFonts w:ascii="Arial" w:hAnsi="Arial"/>
          <w:spacing w:val="-3"/>
        </w:rPr>
      </w:pPr>
      <w:r w:rsidRPr="00D02C24">
        <w:rPr>
          <w:rFonts w:ascii="Arial" w:hAnsi="Arial"/>
          <w:b/>
          <w:spacing w:val="-3"/>
        </w:rPr>
        <w:lastRenderedPageBreak/>
        <w:t>Re-alignment of Maximum Daily Delivery Obligations (MDDO):</w:t>
      </w:r>
      <w:r w:rsidRPr="00D02C24">
        <w:rPr>
          <w:rFonts w:ascii="Arial" w:hAnsi="Arial"/>
          <w:spacing w:val="-3"/>
        </w:rPr>
        <w:t xml:space="preserve">  Cascade has long held more delivery rights than receipt rights on NWP</w:t>
      </w:r>
      <w:r w:rsidR="00D02C24" w:rsidRPr="00D02C24">
        <w:rPr>
          <w:rFonts w:ascii="Arial" w:hAnsi="Arial"/>
          <w:spacing w:val="-3"/>
        </w:rPr>
        <w:t xml:space="preserve"> under its principle 100002 agreement</w:t>
      </w:r>
      <w:r w:rsidRPr="00D02C24">
        <w:rPr>
          <w:rFonts w:ascii="Arial" w:hAnsi="Arial"/>
          <w:spacing w:val="-3"/>
        </w:rPr>
        <w:t xml:space="preserve">.  This came as a result of FERC Order 636 when NWP was required to assign upstream capacity </w:t>
      </w:r>
      <w:r w:rsidR="006B2E79" w:rsidRPr="00D02C24">
        <w:rPr>
          <w:rFonts w:ascii="Arial" w:hAnsi="Arial"/>
          <w:spacing w:val="-3"/>
        </w:rPr>
        <w:t xml:space="preserve">directly </w:t>
      </w:r>
      <w:r w:rsidRPr="00D02C24">
        <w:rPr>
          <w:rFonts w:ascii="Arial" w:hAnsi="Arial"/>
          <w:spacing w:val="-3"/>
        </w:rPr>
        <w:t>on GTN to the shippers that were using that capacity. NWP allowed the direct assignment as part of the conversion from the</w:t>
      </w:r>
      <w:r w:rsidR="00D02C24" w:rsidRPr="00D02C24">
        <w:rPr>
          <w:rFonts w:ascii="Arial" w:hAnsi="Arial"/>
          <w:spacing w:val="-3"/>
        </w:rPr>
        <w:t>ir merchant role to an open access pipeline</w:t>
      </w:r>
      <w:r w:rsidRPr="00D02C24">
        <w:rPr>
          <w:rFonts w:ascii="Arial" w:hAnsi="Arial"/>
          <w:spacing w:val="-3"/>
        </w:rPr>
        <w:t xml:space="preserve">.  However, NWP did not lower its capacity contract </w:t>
      </w:r>
      <w:r w:rsidR="006B2E79">
        <w:rPr>
          <w:rFonts w:ascii="Arial" w:hAnsi="Arial"/>
          <w:spacing w:val="-3"/>
        </w:rPr>
        <w:t xml:space="preserve">to </w:t>
      </w:r>
      <w:r w:rsidRPr="00D02C24">
        <w:rPr>
          <w:rFonts w:ascii="Arial" w:hAnsi="Arial"/>
          <w:spacing w:val="-3"/>
        </w:rPr>
        <w:t>reflect the direct assignment.  In effect this increased Cascade’s system capacity by the amount GTN would directly</w:t>
      </w:r>
      <w:r w:rsidR="00D02C24" w:rsidRPr="00D02C24">
        <w:rPr>
          <w:rFonts w:ascii="Arial" w:hAnsi="Arial"/>
          <w:spacing w:val="-3"/>
        </w:rPr>
        <w:t xml:space="preserve"> be</w:t>
      </w:r>
      <w:r w:rsidRPr="00D02C24">
        <w:rPr>
          <w:rFonts w:ascii="Arial" w:hAnsi="Arial"/>
          <w:spacing w:val="-3"/>
        </w:rPr>
        <w:t xml:space="preserve"> providing to Cascade. On the plus</w:t>
      </w:r>
      <w:r w:rsidR="006B2E79">
        <w:rPr>
          <w:rFonts w:ascii="Arial" w:hAnsi="Arial"/>
          <w:spacing w:val="-3"/>
        </w:rPr>
        <w:t xml:space="preserve"> side this</w:t>
      </w:r>
      <w:r w:rsidRPr="00D02C24">
        <w:rPr>
          <w:rFonts w:ascii="Arial" w:hAnsi="Arial"/>
          <w:spacing w:val="-3"/>
        </w:rPr>
        <w:t xml:space="preserve"> gives Cascade great flexibility to utilize 316,994 dths day of delivery rights vs 205,123 Dths/day of receipt rights.</w:t>
      </w:r>
      <w:r w:rsidR="00D02C24" w:rsidRPr="00D02C24">
        <w:rPr>
          <w:rFonts w:ascii="Arial" w:hAnsi="Arial"/>
          <w:spacing w:val="-3"/>
        </w:rPr>
        <w:t xml:space="preserve"> Cascade has the right to delivery gas to any delivery point within Washington and Oregon so long as the total MDDOs are not exceeded.  Cascade and NWP have worked continuously in recent years for ways to address Cascade’s potential peak day capacity shortfalls through re-alignment of the Company’s contractual rights where possible, which mitigates the need to acquire incremental NWP capacity through expansions.</w:t>
      </w:r>
    </w:p>
    <w:p w:rsidR="00486126" w:rsidRPr="00486126" w:rsidRDefault="00B13AE7" w:rsidP="00B13AE7">
      <w:pPr>
        <w:tabs>
          <w:tab w:val="left" w:pos="-1440"/>
          <w:tab w:val="left" w:pos="-720"/>
          <w:tab w:val="left" w:pos="0"/>
          <w:tab w:val="left" w:pos="5250"/>
        </w:tabs>
        <w:suppressAutoHyphens/>
        <w:jc w:val="both"/>
        <w:rPr>
          <w:rFonts w:ascii="Arial" w:hAnsi="Arial"/>
          <w:spacing w:val="-3"/>
        </w:rPr>
      </w:pPr>
      <w:r>
        <w:rPr>
          <w:rFonts w:ascii="Arial" w:hAnsi="Arial"/>
          <w:spacing w:val="-3"/>
        </w:rPr>
        <w:tab/>
      </w:r>
    </w:p>
    <w:p w:rsidR="00486126" w:rsidRDefault="00486126" w:rsidP="00486126">
      <w:pPr>
        <w:tabs>
          <w:tab w:val="left" w:pos="-1440"/>
          <w:tab w:val="left" w:pos="-720"/>
          <w:tab w:val="left" w:pos="0"/>
          <w:tab w:val="left" w:pos="1080"/>
          <w:tab w:val="left" w:pos="1440"/>
        </w:tabs>
        <w:suppressAutoHyphens/>
        <w:jc w:val="both"/>
        <w:rPr>
          <w:rFonts w:ascii="Arial" w:hAnsi="Arial"/>
          <w:spacing w:val="-3"/>
        </w:rPr>
      </w:pPr>
      <w:r w:rsidRPr="00486126">
        <w:rPr>
          <w:rFonts w:ascii="Arial" w:hAnsi="Arial"/>
          <w:spacing w:val="-3"/>
        </w:rPr>
        <w:t xml:space="preserve">Cascade considers Unconventional Gas Supply Resources such as supplies from a LNG Import </w:t>
      </w:r>
      <w:r>
        <w:rPr>
          <w:rFonts w:ascii="Arial" w:hAnsi="Arial"/>
          <w:spacing w:val="-3"/>
        </w:rPr>
        <w:t>Terminal, local bio-natural gas</w:t>
      </w:r>
      <w:r w:rsidRPr="00486126">
        <w:rPr>
          <w:rFonts w:ascii="Arial" w:hAnsi="Arial"/>
          <w:spacing w:val="-3"/>
        </w:rPr>
        <w:t xml:space="preserve"> or other manufactured gas supply opportunities as speculative supply side resources at this point in time. </w:t>
      </w:r>
      <w:r>
        <w:rPr>
          <w:rFonts w:ascii="Arial" w:hAnsi="Arial"/>
          <w:spacing w:val="-3"/>
        </w:rPr>
        <w:t xml:space="preserve">Ultimately these </w:t>
      </w:r>
      <w:r w:rsidRPr="00486126">
        <w:rPr>
          <w:rFonts w:ascii="Arial" w:hAnsi="Arial"/>
          <w:spacing w:val="-3"/>
        </w:rPr>
        <w:t xml:space="preserve">unconventional gas supply resources </w:t>
      </w:r>
      <w:r>
        <w:rPr>
          <w:rFonts w:ascii="Arial" w:hAnsi="Arial"/>
          <w:spacing w:val="-3"/>
        </w:rPr>
        <w:t>are treated as</w:t>
      </w:r>
      <w:r w:rsidRPr="00486126">
        <w:rPr>
          <w:rFonts w:ascii="Arial" w:hAnsi="Arial"/>
          <w:spacing w:val="-3"/>
        </w:rPr>
        <w:t xml:space="preserve"> alternative </w:t>
      </w:r>
      <w:r>
        <w:rPr>
          <w:rFonts w:ascii="Arial" w:hAnsi="Arial"/>
          <w:spacing w:val="-3"/>
        </w:rPr>
        <w:t xml:space="preserve">resources and have to compete with </w:t>
      </w:r>
      <w:r w:rsidRPr="00486126">
        <w:rPr>
          <w:rFonts w:ascii="Arial" w:hAnsi="Arial"/>
          <w:spacing w:val="-3"/>
        </w:rPr>
        <w:t xml:space="preserve">traditional gas supplies from the conventional gas fields in Canada or the Rockies </w:t>
      </w:r>
      <w:r>
        <w:rPr>
          <w:rFonts w:ascii="Arial" w:hAnsi="Arial"/>
          <w:spacing w:val="-3"/>
        </w:rPr>
        <w:t>f</w:t>
      </w:r>
      <w:r w:rsidRPr="00486126">
        <w:rPr>
          <w:rFonts w:ascii="Arial" w:hAnsi="Arial"/>
          <w:spacing w:val="-3"/>
        </w:rPr>
        <w:t xml:space="preserve">or inclusion in the Company’s portfolio planning. </w:t>
      </w:r>
    </w:p>
    <w:p w:rsidR="00486126" w:rsidRDefault="00486126" w:rsidP="00486126">
      <w:pPr>
        <w:tabs>
          <w:tab w:val="left" w:pos="-1440"/>
          <w:tab w:val="left" w:pos="-720"/>
          <w:tab w:val="left" w:pos="0"/>
          <w:tab w:val="left" w:pos="1080"/>
          <w:tab w:val="left" w:pos="1440"/>
        </w:tabs>
        <w:suppressAutoHyphens/>
        <w:jc w:val="both"/>
        <w:rPr>
          <w:rFonts w:ascii="Arial" w:hAnsi="Arial"/>
          <w:spacing w:val="-3"/>
        </w:rPr>
      </w:pPr>
    </w:p>
    <w:p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Supply-side uncertainties</w:t>
      </w:r>
    </w:p>
    <w:p w:rsidR="007F04B7" w:rsidRDefault="007F04B7" w:rsidP="007F04B7">
      <w:pPr>
        <w:tabs>
          <w:tab w:val="left" w:pos="-1440"/>
          <w:tab w:val="left" w:pos="-720"/>
          <w:tab w:val="left" w:pos="0"/>
          <w:tab w:val="left" w:pos="1080"/>
          <w:tab w:val="left" w:pos="1440"/>
        </w:tabs>
        <w:suppressAutoHyphens/>
        <w:jc w:val="both"/>
        <w:rPr>
          <w:rFonts w:ascii="Arial" w:hAnsi="Arial"/>
          <w:spacing w:val="-3"/>
        </w:rPr>
      </w:pPr>
    </w:p>
    <w:p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r w:rsidRPr="007F04B7">
        <w:rPr>
          <w:rFonts w:ascii="Arial" w:hAnsi="Arial"/>
          <w:spacing w:val="-3"/>
        </w:rPr>
        <w:t>Several uncertainties exist in evaluating supply-side resources. They include regulatory risks, deliverability risks, and price risks. Regulatory risks include the unknown impacts of future Federal Energy Regulatory Commission or Canada’s National Energy Board rulings that may impact the availability and cost of interstate pipeline transportation.</w:t>
      </w:r>
    </w:p>
    <w:p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p>
    <w:p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r w:rsidRPr="007F04B7">
        <w:rPr>
          <w:rFonts w:ascii="Arial" w:hAnsi="Arial"/>
          <w:spacing w:val="-3"/>
        </w:rPr>
        <w:t xml:space="preserve">Deliverability risk is the risk that the firm supply will not be available for delivery to the Company’s distribution system. Purchasing resources from larger producers or marketers who typically have gas reserves in multiple locations may minimize this risk. The risks associated with prices rising or falling during any winter period represent another supply-side uncertainty. To the extent the </w:t>
      </w:r>
      <w:r w:rsidR="006B2E79">
        <w:rPr>
          <w:rFonts w:ascii="Arial" w:hAnsi="Arial"/>
          <w:spacing w:val="-3"/>
        </w:rPr>
        <w:t>C</w:t>
      </w:r>
      <w:r w:rsidRPr="007F04B7">
        <w:rPr>
          <w:rFonts w:ascii="Arial" w:hAnsi="Arial"/>
          <w:spacing w:val="-3"/>
        </w:rPr>
        <w:t xml:space="preserve">ompany purchases firm contracts that are tied to an index price, it may be at risk for paying more than was initially anticipated for the resource </w:t>
      </w:r>
      <w:r w:rsidR="006B2E79">
        <w:rPr>
          <w:rFonts w:ascii="Arial" w:hAnsi="Arial"/>
          <w:spacing w:val="-3"/>
        </w:rPr>
        <w:t xml:space="preserve">after </w:t>
      </w:r>
      <w:r w:rsidRPr="007F04B7">
        <w:rPr>
          <w:rFonts w:ascii="Arial" w:hAnsi="Arial"/>
          <w:spacing w:val="-3"/>
        </w:rPr>
        <w:t xml:space="preserve">the </w:t>
      </w:r>
      <w:r w:rsidR="006B2E79">
        <w:rPr>
          <w:rFonts w:ascii="Arial" w:hAnsi="Arial"/>
          <w:spacing w:val="-3"/>
        </w:rPr>
        <w:t xml:space="preserve">resource </w:t>
      </w:r>
      <w:r w:rsidRPr="007F04B7">
        <w:rPr>
          <w:rFonts w:ascii="Arial" w:hAnsi="Arial"/>
          <w:spacing w:val="-3"/>
        </w:rPr>
        <w:t xml:space="preserve">decision </w:t>
      </w:r>
      <w:r w:rsidR="006B2E79">
        <w:rPr>
          <w:rFonts w:ascii="Arial" w:hAnsi="Arial"/>
          <w:spacing w:val="-3"/>
        </w:rPr>
        <w:t>h</w:t>
      </w:r>
      <w:r w:rsidRPr="007F04B7">
        <w:rPr>
          <w:rFonts w:ascii="Arial" w:hAnsi="Arial"/>
          <w:spacing w:val="-3"/>
        </w:rPr>
        <w:t xml:space="preserve">as </w:t>
      </w:r>
      <w:r w:rsidR="006B2E79">
        <w:rPr>
          <w:rFonts w:ascii="Arial" w:hAnsi="Arial"/>
          <w:spacing w:val="-3"/>
        </w:rPr>
        <w:t xml:space="preserve">been </w:t>
      </w:r>
      <w:r w:rsidRPr="007F04B7">
        <w:rPr>
          <w:rFonts w:ascii="Arial" w:hAnsi="Arial"/>
          <w:spacing w:val="-3"/>
        </w:rPr>
        <w:t>made. Price risks associated with climbing prices can be minimized through the use of fixed price contracts or through the use of financial derivatives.</w:t>
      </w:r>
    </w:p>
    <w:p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p>
    <w:p w:rsidR="007F04B7" w:rsidRDefault="005F0356" w:rsidP="007F04B7">
      <w:pPr>
        <w:tabs>
          <w:tab w:val="left" w:pos="-1440"/>
          <w:tab w:val="left" w:pos="-720"/>
          <w:tab w:val="left" w:pos="0"/>
          <w:tab w:val="left" w:pos="1080"/>
          <w:tab w:val="left" w:pos="1440"/>
        </w:tabs>
        <w:suppressAutoHyphens/>
        <w:jc w:val="both"/>
        <w:rPr>
          <w:rFonts w:ascii="Arial" w:hAnsi="Arial"/>
          <w:spacing w:val="-3"/>
        </w:rPr>
      </w:pPr>
      <w:r w:rsidRPr="005F0356">
        <w:rPr>
          <w:rFonts w:ascii="Arial" w:hAnsi="Arial"/>
          <w:spacing w:val="-3"/>
        </w:rPr>
        <w:t xml:space="preserve">As the United States continues to search for environmentally friendly, economically viable options to displace gasoline, natural gas is seen as a fuel that could significantly contribute </w:t>
      </w:r>
      <w:r w:rsidRPr="005F0356">
        <w:rPr>
          <w:rFonts w:ascii="Arial" w:hAnsi="Arial"/>
          <w:spacing w:val="-3"/>
        </w:rPr>
        <w:lastRenderedPageBreak/>
        <w:t>to lessening American dependency on foreign oil.</w:t>
      </w:r>
      <w:r>
        <w:rPr>
          <w:rFonts w:ascii="Arial" w:hAnsi="Arial"/>
          <w:spacing w:val="-3"/>
        </w:rPr>
        <w:t xml:space="preserve">  </w:t>
      </w:r>
      <w:r w:rsidR="007F04B7" w:rsidRPr="007F04B7">
        <w:rPr>
          <w:rFonts w:ascii="Arial" w:hAnsi="Arial"/>
          <w:spacing w:val="-3"/>
        </w:rPr>
        <w:t>It should be noted that several proposals being discussed or that are in process involve a number of Canadian upstream pipelines which could have a direct impact on the availability of supply or at least may pose potential risks to increases in the price of supplies sourced from British Columbia and Alberta. The Company will continue to monitor and be actively involved in the various pipeline forums as these initiatives develop.</w:t>
      </w:r>
    </w:p>
    <w:p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p>
    <w:p w:rsidR="007F04B7" w:rsidRDefault="007F04B7" w:rsidP="009C5D44">
      <w:pPr>
        <w:tabs>
          <w:tab w:val="left" w:pos="-1440"/>
          <w:tab w:val="left" w:pos="-720"/>
          <w:tab w:val="left" w:pos="0"/>
          <w:tab w:val="left" w:pos="1080"/>
          <w:tab w:val="left" w:pos="1440"/>
        </w:tabs>
        <w:suppressAutoHyphens/>
        <w:jc w:val="both"/>
        <w:rPr>
          <w:rFonts w:ascii="Arial" w:hAnsi="Arial"/>
          <w:spacing w:val="-3"/>
        </w:rPr>
      </w:pPr>
    </w:p>
    <w:p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Financial Derivatives and Risk Management</w:t>
      </w:r>
    </w:p>
    <w:p w:rsidR="00F74D47" w:rsidRDefault="00F74D47" w:rsidP="00425A7C">
      <w:pPr>
        <w:tabs>
          <w:tab w:val="left" w:pos="-1440"/>
          <w:tab w:val="left" w:pos="-720"/>
          <w:tab w:val="left" w:pos="0"/>
          <w:tab w:val="left" w:pos="1080"/>
          <w:tab w:val="left" w:pos="1440"/>
        </w:tabs>
        <w:suppressAutoHyphens/>
        <w:jc w:val="both"/>
        <w:rPr>
          <w:rFonts w:ascii="Arial" w:hAnsi="Arial"/>
          <w:spacing w:val="-3"/>
        </w:rPr>
      </w:pPr>
    </w:p>
    <w:p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r w:rsidRPr="007F04B7">
        <w:rPr>
          <w:rFonts w:ascii="Arial" w:hAnsi="Arial"/>
          <w:spacing w:val="-3"/>
        </w:rPr>
        <w:t>Cascade constantly seeks methods to ensure ratepayers of price stability. In addition to methods such as long-term physical fixed price gas supply contracts and storage, another means for creating stability is through the use of financial derivatives. The general concept behind a derivative is to lock-in a forward natural gas price with a hedge, consequently eliminating exposure to significant swings in rising and falling prices. Financial derivatives include futures, swaps, and options on futures or some combination of these.</w:t>
      </w:r>
    </w:p>
    <w:p w:rsidR="007F04B7" w:rsidRPr="007F04B7" w:rsidRDefault="007F04B7" w:rsidP="007F04B7">
      <w:pPr>
        <w:tabs>
          <w:tab w:val="left" w:pos="-1440"/>
          <w:tab w:val="left" w:pos="-720"/>
          <w:tab w:val="left" w:pos="0"/>
          <w:tab w:val="left" w:pos="1080"/>
          <w:tab w:val="left" w:pos="1440"/>
        </w:tabs>
        <w:suppressAutoHyphens/>
        <w:jc w:val="both"/>
        <w:rPr>
          <w:rFonts w:ascii="Arial" w:hAnsi="Arial"/>
          <w:spacing w:val="-3"/>
        </w:rPr>
      </w:pPr>
    </w:p>
    <w:p w:rsidR="007F04B7" w:rsidRDefault="007F04B7" w:rsidP="007F04B7">
      <w:pPr>
        <w:tabs>
          <w:tab w:val="left" w:pos="-1440"/>
          <w:tab w:val="left" w:pos="-720"/>
          <w:tab w:val="left" w:pos="0"/>
          <w:tab w:val="left" w:pos="1080"/>
          <w:tab w:val="left" w:pos="1440"/>
        </w:tabs>
        <w:suppressAutoHyphens/>
        <w:jc w:val="both"/>
        <w:rPr>
          <w:rFonts w:ascii="Arial" w:hAnsi="Arial"/>
          <w:spacing w:val="-3"/>
        </w:rPr>
      </w:pPr>
      <w:r w:rsidRPr="007F04B7">
        <w:rPr>
          <w:rFonts w:ascii="Arial" w:hAnsi="Arial"/>
          <w:spacing w:val="-3"/>
        </w:rPr>
        <w:t xml:space="preserve">Natural gas futures contracts are actively traded on the New York Mercantile Exchange (NYMEX). The use of futures allows parties to lock-in a known price for extended periods of time (up to 6 years) in the future. Contracts are typically made in quantities of 10,000 Dths </w:t>
      </w:r>
      <w:r w:rsidRPr="007F04B7">
        <w:rPr>
          <w:rFonts w:ascii="Arial" w:hAnsi="Arial"/>
          <w:spacing w:val="-3"/>
        </w:rPr>
        <w:lastRenderedPageBreak/>
        <w:t xml:space="preserve">to be delivered to agreed-upon points (e.g., </w:t>
      </w:r>
      <w:r>
        <w:rPr>
          <w:rFonts w:ascii="Arial" w:hAnsi="Arial"/>
          <w:spacing w:val="-3"/>
        </w:rPr>
        <w:t xml:space="preserve">NWP </w:t>
      </w:r>
      <w:r w:rsidRPr="007F04B7">
        <w:rPr>
          <w:rFonts w:ascii="Arial" w:hAnsi="Arial"/>
          <w:spacing w:val="-3"/>
        </w:rPr>
        <w:t xml:space="preserve">Sumas, </w:t>
      </w:r>
      <w:r>
        <w:rPr>
          <w:rFonts w:ascii="Arial" w:hAnsi="Arial"/>
          <w:spacing w:val="-3"/>
        </w:rPr>
        <w:t xml:space="preserve">Westcoast </w:t>
      </w:r>
      <w:r w:rsidRPr="007F04B7">
        <w:rPr>
          <w:rFonts w:ascii="Arial" w:hAnsi="Arial"/>
          <w:spacing w:val="-3"/>
        </w:rPr>
        <w:t xml:space="preserve">Station 2, </w:t>
      </w:r>
      <w:r>
        <w:rPr>
          <w:rFonts w:ascii="Arial" w:hAnsi="Arial"/>
          <w:spacing w:val="-3"/>
        </w:rPr>
        <w:t xml:space="preserve">NGTL </w:t>
      </w:r>
      <w:r w:rsidRPr="007F04B7">
        <w:rPr>
          <w:rFonts w:ascii="Arial" w:hAnsi="Arial"/>
          <w:spacing w:val="-3"/>
        </w:rPr>
        <w:t xml:space="preserve">AECO, </w:t>
      </w:r>
      <w:r>
        <w:rPr>
          <w:rFonts w:ascii="Arial" w:hAnsi="Arial"/>
          <w:spacing w:val="-3"/>
        </w:rPr>
        <w:t>NWP</w:t>
      </w:r>
      <w:r w:rsidRPr="007F04B7">
        <w:rPr>
          <w:rFonts w:ascii="Arial" w:hAnsi="Arial"/>
          <w:spacing w:val="-3"/>
        </w:rPr>
        <w:t xml:space="preserve"> Rockies, etc.).</w:t>
      </w:r>
    </w:p>
    <w:p w:rsidR="007F04B7" w:rsidRDefault="007F04B7" w:rsidP="007F04B7">
      <w:pPr>
        <w:tabs>
          <w:tab w:val="left" w:pos="-1440"/>
          <w:tab w:val="left" w:pos="-720"/>
          <w:tab w:val="left" w:pos="0"/>
          <w:tab w:val="left" w:pos="1080"/>
          <w:tab w:val="left" w:pos="1440"/>
        </w:tabs>
        <w:suppressAutoHyphens/>
        <w:jc w:val="both"/>
        <w:rPr>
          <w:rFonts w:ascii="Arial" w:hAnsi="Arial"/>
          <w:spacing w:val="-3"/>
        </w:rPr>
      </w:pPr>
    </w:p>
    <w:p w:rsidR="007F04B7" w:rsidRDefault="007F04B7" w:rsidP="007F04B7">
      <w:pPr>
        <w:tabs>
          <w:tab w:val="left" w:pos="-1440"/>
          <w:tab w:val="left" w:pos="-720"/>
          <w:tab w:val="left" w:pos="0"/>
          <w:tab w:val="left" w:pos="1080"/>
          <w:tab w:val="left" w:pos="1440"/>
        </w:tabs>
        <w:suppressAutoHyphens/>
        <w:jc w:val="both"/>
        <w:rPr>
          <w:rFonts w:ascii="Arial" w:hAnsi="Arial"/>
          <w:spacing w:val="-3"/>
        </w:rPr>
      </w:pPr>
      <w:r w:rsidRPr="007F04B7">
        <w:rPr>
          <w:rFonts w:ascii="Arial" w:hAnsi="Arial"/>
          <w:spacing w:val="-3"/>
        </w:rPr>
        <w:t xml:space="preserve">In a “swap”, parties agree to exchange an index price for a fixed price over a defined period. In this scenario, Cascade would be able to provide its customers with a fixed price over the duration of the swap period. In theory, the idea is to level the price over the long term. Futures and swaps are typically called “costless” because they have no up-front cost. </w:t>
      </w:r>
    </w:p>
    <w:p w:rsidR="007F04B7" w:rsidRDefault="007F04B7" w:rsidP="007F04B7">
      <w:pPr>
        <w:tabs>
          <w:tab w:val="left" w:pos="-1440"/>
          <w:tab w:val="left" w:pos="-720"/>
          <w:tab w:val="left" w:pos="0"/>
          <w:tab w:val="left" w:pos="1080"/>
          <w:tab w:val="left" w:pos="1440"/>
        </w:tabs>
        <w:suppressAutoHyphens/>
        <w:jc w:val="both"/>
        <w:rPr>
          <w:rFonts w:ascii="Arial" w:hAnsi="Arial"/>
          <w:spacing w:val="-3"/>
        </w:rPr>
      </w:pPr>
    </w:p>
    <w:p w:rsidR="007F04B7" w:rsidRDefault="007F04B7" w:rsidP="007F04B7">
      <w:pPr>
        <w:tabs>
          <w:tab w:val="left" w:pos="-1440"/>
          <w:tab w:val="left" w:pos="-720"/>
          <w:tab w:val="left" w:pos="0"/>
          <w:tab w:val="left" w:pos="1080"/>
          <w:tab w:val="left" w:pos="1440"/>
        </w:tabs>
        <w:suppressAutoHyphens/>
        <w:jc w:val="both"/>
        <w:rPr>
          <w:rFonts w:ascii="Arial" w:hAnsi="Arial"/>
          <w:spacing w:val="-3"/>
        </w:rPr>
      </w:pPr>
      <w:r>
        <w:rPr>
          <w:rFonts w:ascii="Arial" w:hAnsi="Arial"/>
          <w:spacing w:val="-3"/>
        </w:rPr>
        <w:t>U</w:t>
      </w:r>
      <w:r w:rsidRPr="007F04B7">
        <w:rPr>
          <w:rFonts w:ascii="Arial" w:hAnsi="Arial"/>
          <w:spacing w:val="-3"/>
        </w:rPr>
        <w:t>nlike futures and swaps, an option</w:t>
      </w:r>
      <w:r w:rsidR="000F2057">
        <w:rPr>
          <w:rFonts w:ascii="Arial" w:hAnsi="Arial"/>
          <w:spacing w:val="-3"/>
        </w:rPr>
        <w:t>-</w:t>
      </w:r>
      <w:r w:rsidRPr="007F04B7">
        <w:rPr>
          <w:rFonts w:ascii="Arial" w:hAnsi="Arial"/>
          <w:spacing w:val="-3"/>
        </w:rPr>
        <w:t xml:space="preserve">only provides protection in one direction - either against rising or falling prices. For example, if Cascade wanted to protect </w:t>
      </w:r>
      <w:r>
        <w:rPr>
          <w:rFonts w:ascii="Arial" w:hAnsi="Arial"/>
          <w:spacing w:val="-3"/>
        </w:rPr>
        <w:t>ratepayers</w:t>
      </w:r>
      <w:r w:rsidRPr="007F04B7">
        <w:rPr>
          <w:rFonts w:ascii="Arial" w:hAnsi="Arial"/>
          <w:spacing w:val="-3"/>
        </w:rPr>
        <w:t xml:space="preserve"> against rising gas prices but keep the ability to take advantage of falling prices, Cascade</w:t>
      </w:r>
      <w:r>
        <w:rPr>
          <w:rFonts w:ascii="Arial" w:hAnsi="Arial"/>
          <w:spacing w:val="-3"/>
        </w:rPr>
        <w:t xml:space="preserve"> would </w:t>
      </w:r>
      <w:r w:rsidRPr="007F04B7">
        <w:rPr>
          <w:rFonts w:ascii="Arial" w:hAnsi="Arial"/>
          <w:spacing w:val="-3"/>
        </w:rPr>
        <w:t xml:space="preserve">purchase a “call” option on a natural gas future contract. This arrangement would give the Company the right (but not the obligation) to buy the futures contract at a previously determined price (“strike price”). Similar to insurance, this transaction only protects the </w:t>
      </w:r>
      <w:r w:rsidR="000F2057">
        <w:rPr>
          <w:rFonts w:ascii="Arial" w:hAnsi="Arial"/>
          <w:spacing w:val="-3"/>
        </w:rPr>
        <w:t>C</w:t>
      </w:r>
      <w:r w:rsidRPr="007F04B7">
        <w:rPr>
          <w:rFonts w:ascii="Arial" w:hAnsi="Arial"/>
          <w:spacing w:val="-3"/>
        </w:rPr>
        <w:t>ompany from volatile price spikes, via a premium. The premium is typically a function of the variance between the strike price compared to the underlying futures price, the period of time before the option expires, and the volatility of the futures contract.</w:t>
      </w:r>
    </w:p>
    <w:p w:rsidR="007F04B7" w:rsidRDefault="007F04B7" w:rsidP="007F04B7">
      <w:pPr>
        <w:tabs>
          <w:tab w:val="left" w:pos="-1440"/>
          <w:tab w:val="left" w:pos="-720"/>
          <w:tab w:val="left" w:pos="0"/>
          <w:tab w:val="left" w:pos="1080"/>
          <w:tab w:val="left" w:pos="1440"/>
        </w:tabs>
        <w:suppressAutoHyphens/>
        <w:jc w:val="both"/>
        <w:rPr>
          <w:rFonts w:ascii="Arial" w:hAnsi="Arial"/>
          <w:spacing w:val="-3"/>
        </w:rPr>
      </w:pPr>
    </w:p>
    <w:p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Cascade’s Gas Supply Oversight Committee (GSOC) oversees the Company’s gas supply hedging strategy.  The Company’s current gas hedging strategy is outlined below:</w:t>
      </w:r>
    </w:p>
    <w:p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p>
    <w:p w:rsidR="00425A7C" w:rsidRPr="00425A7C" w:rsidRDefault="00425A7C" w:rsidP="00425A7C">
      <w:pPr>
        <w:tabs>
          <w:tab w:val="left" w:pos="-1440"/>
          <w:tab w:val="left" w:pos="-720"/>
          <w:tab w:val="left" w:pos="0"/>
          <w:tab w:val="left" w:pos="1080"/>
          <w:tab w:val="left" w:pos="1440"/>
        </w:tabs>
        <w:suppressAutoHyphens/>
        <w:ind w:left="720"/>
        <w:jc w:val="both"/>
        <w:rPr>
          <w:rFonts w:ascii="Arial" w:hAnsi="Arial"/>
          <w:spacing w:val="-3"/>
        </w:rPr>
      </w:pPr>
      <w:r w:rsidRPr="00425A7C">
        <w:rPr>
          <w:rFonts w:ascii="Arial" w:hAnsi="Arial"/>
          <w:spacing w:val="-3"/>
        </w:rPr>
        <w:lastRenderedPageBreak/>
        <w:t xml:space="preserve">"HEDGED” (fixed-price physical or financial swaps) </w:t>
      </w:r>
    </w:p>
    <w:p w:rsidR="00425A7C" w:rsidRPr="00425A7C" w:rsidRDefault="00425A7C" w:rsidP="00425A7C">
      <w:pPr>
        <w:pStyle w:val="ListParagraph"/>
        <w:numPr>
          <w:ilvl w:val="0"/>
          <w:numId w:val="23"/>
        </w:num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Year One up to 40% of annual requirements.</w:t>
      </w:r>
    </w:p>
    <w:p w:rsidR="00425A7C" w:rsidRPr="00425A7C" w:rsidRDefault="00425A7C" w:rsidP="00425A7C">
      <w:pPr>
        <w:pStyle w:val="ListParagraph"/>
        <w:numPr>
          <w:ilvl w:val="0"/>
          <w:numId w:val="23"/>
        </w:num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Year Two set at up to 25%</w:t>
      </w:r>
    </w:p>
    <w:p w:rsidR="00425A7C" w:rsidRPr="00425A7C" w:rsidRDefault="00425A7C" w:rsidP="00425A7C">
      <w:pPr>
        <w:pStyle w:val="ListParagraph"/>
        <w:numPr>
          <w:ilvl w:val="0"/>
          <w:numId w:val="23"/>
        </w:num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 xml:space="preserve">Up to 20% hedged volumes for year three </w:t>
      </w:r>
    </w:p>
    <w:p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p>
    <w:p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 xml:space="preserve">Depending on market conditions, the strategy allows for the ratchets to increase to 75%, 50% and 30%, respectively, provided current market information supports moving to a </w:t>
      </w:r>
      <w:r>
        <w:rPr>
          <w:rFonts w:ascii="Arial" w:hAnsi="Arial"/>
          <w:spacing w:val="-3"/>
        </w:rPr>
        <w:t>different</w:t>
      </w:r>
      <w:r w:rsidRPr="00425A7C">
        <w:rPr>
          <w:rFonts w:ascii="Arial" w:hAnsi="Arial"/>
          <w:spacing w:val="-3"/>
        </w:rPr>
        <w:t xml:space="preserve"> level.  </w:t>
      </w:r>
    </w:p>
    <w:p w:rsidR="00425A7C" w:rsidRPr="00425A7C" w:rsidRDefault="00425A7C" w:rsidP="00425A7C">
      <w:pPr>
        <w:tabs>
          <w:tab w:val="left" w:pos="-1440"/>
          <w:tab w:val="left" w:pos="-720"/>
          <w:tab w:val="left" w:pos="0"/>
          <w:tab w:val="left" w:pos="1080"/>
          <w:tab w:val="left" w:pos="1440"/>
        </w:tabs>
        <w:suppressAutoHyphens/>
        <w:jc w:val="both"/>
        <w:rPr>
          <w:rFonts w:ascii="Arial" w:hAnsi="Arial"/>
          <w:spacing w:val="-3"/>
        </w:rPr>
      </w:pPr>
    </w:p>
    <w:p w:rsidR="005F0356" w:rsidRDefault="00425A7C" w:rsidP="00425A7C">
      <w:pPr>
        <w:tabs>
          <w:tab w:val="left" w:pos="-1440"/>
          <w:tab w:val="left" w:pos="-720"/>
          <w:tab w:val="left" w:pos="0"/>
          <w:tab w:val="left" w:pos="1080"/>
          <w:tab w:val="left" w:pos="1440"/>
        </w:tabs>
        <w:suppressAutoHyphens/>
        <w:jc w:val="both"/>
        <w:rPr>
          <w:rFonts w:ascii="Arial" w:hAnsi="Arial"/>
          <w:spacing w:val="-3"/>
        </w:rPr>
      </w:pPr>
      <w:r w:rsidRPr="00425A7C">
        <w:rPr>
          <w:rFonts w:ascii="Arial" w:hAnsi="Arial"/>
          <w:spacing w:val="-3"/>
        </w:rPr>
        <w:t xml:space="preserve">To build more flexibility in the Company’s financial portfolio to take advantage of falling natural gas prices and to lower the risk of collateral calls, the Company entered into fixed price physical transactions rather than executing financial swaps for the 2016 programmed buying period.  Fixed prices consist of locked-in prices for physical supplies. </w:t>
      </w:r>
      <w:r>
        <w:rPr>
          <w:rFonts w:ascii="Arial" w:hAnsi="Arial"/>
          <w:spacing w:val="-3"/>
        </w:rPr>
        <w:t xml:space="preserve"> As will be further described in the Portfolio Purchasing Strategy section of this chapter</w:t>
      </w:r>
      <w:r w:rsidRPr="00425A7C">
        <w:rPr>
          <w:rFonts w:ascii="Arial" w:hAnsi="Arial"/>
          <w:spacing w:val="-3"/>
        </w:rPr>
        <w:t>, the Company utilizes a programmed buying approach for locking in or hedging gas supply prices.  In light of the relative lack of volatility in current prices, abundant supply</w:t>
      </w:r>
      <w:r w:rsidR="00DE1B8F">
        <w:rPr>
          <w:rFonts w:ascii="Arial" w:hAnsi="Arial"/>
          <w:spacing w:val="-3"/>
        </w:rPr>
        <w:t xml:space="preserve">, </w:t>
      </w:r>
      <w:r w:rsidRPr="00425A7C">
        <w:rPr>
          <w:rFonts w:ascii="Arial" w:hAnsi="Arial"/>
          <w:spacing w:val="-3"/>
        </w:rPr>
        <w:t xml:space="preserve">concerns regarding the administrative impacts of the Dodd-Frank Wall Street Reform Act, </w:t>
      </w:r>
      <w:r w:rsidR="00DE1B8F">
        <w:rPr>
          <w:rFonts w:ascii="Arial" w:hAnsi="Arial"/>
          <w:spacing w:val="-3"/>
        </w:rPr>
        <w:t xml:space="preserve">and </w:t>
      </w:r>
      <w:r w:rsidRPr="00425A7C">
        <w:rPr>
          <w:rFonts w:ascii="Arial" w:hAnsi="Arial"/>
          <w:spacing w:val="-3"/>
        </w:rPr>
        <w:t>open hedging docket</w:t>
      </w:r>
      <w:r>
        <w:rPr>
          <w:rFonts w:ascii="Arial" w:hAnsi="Arial"/>
          <w:spacing w:val="-3"/>
        </w:rPr>
        <w:t xml:space="preserve">s in </w:t>
      </w:r>
      <w:r w:rsidR="00F74D47">
        <w:rPr>
          <w:rFonts w:ascii="Arial" w:hAnsi="Arial"/>
          <w:spacing w:val="-3"/>
        </w:rPr>
        <w:t xml:space="preserve">both </w:t>
      </w:r>
      <w:r w:rsidRPr="00425A7C">
        <w:rPr>
          <w:rFonts w:ascii="Arial" w:hAnsi="Arial"/>
          <w:spacing w:val="-3"/>
        </w:rPr>
        <w:t xml:space="preserve">Oregon </w:t>
      </w:r>
      <w:r w:rsidR="00F74D47">
        <w:rPr>
          <w:rFonts w:ascii="Arial" w:hAnsi="Arial"/>
          <w:spacing w:val="-3"/>
        </w:rPr>
        <w:t>and Washington</w:t>
      </w:r>
      <w:r w:rsidRPr="00425A7C">
        <w:rPr>
          <w:rFonts w:ascii="Arial" w:hAnsi="Arial"/>
          <w:spacing w:val="-3"/>
        </w:rPr>
        <w:t>, Cascade has not executed any new financial derivatives</w:t>
      </w:r>
      <w:r w:rsidR="00F74D47">
        <w:rPr>
          <w:rFonts w:ascii="Arial" w:hAnsi="Arial"/>
          <w:spacing w:val="-3"/>
        </w:rPr>
        <w:t xml:space="preserve"> or considered any for the 2016 IRP</w:t>
      </w:r>
      <w:r w:rsidRPr="00425A7C">
        <w:rPr>
          <w:rFonts w:ascii="Arial" w:hAnsi="Arial"/>
          <w:spacing w:val="-3"/>
        </w:rPr>
        <w:t>. The Company still monitors the outer years and stands ready to execute financial swaps when market and pricing conditions are more favorable.</w:t>
      </w:r>
      <w:r w:rsidR="005F0356">
        <w:rPr>
          <w:rFonts w:ascii="Arial" w:hAnsi="Arial"/>
          <w:spacing w:val="-3"/>
        </w:rPr>
        <w:t xml:space="preserve"> </w:t>
      </w:r>
      <w:r w:rsidR="005F0356">
        <w:rPr>
          <w:rFonts w:ascii="Arial" w:hAnsi="Arial"/>
          <w:spacing w:val="-3"/>
        </w:rPr>
        <w:lastRenderedPageBreak/>
        <w:t xml:space="preserve">Figure </w:t>
      </w:r>
      <w:r w:rsidR="006134BA">
        <w:rPr>
          <w:rFonts w:ascii="Arial" w:hAnsi="Arial"/>
          <w:spacing w:val="-3"/>
        </w:rPr>
        <w:t>4</w:t>
      </w:r>
      <w:r w:rsidR="005F0356">
        <w:rPr>
          <w:rFonts w:ascii="Arial" w:hAnsi="Arial"/>
          <w:spacing w:val="-3"/>
        </w:rPr>
        <w:t>-</w:t>
      </w:r>
      <w:r w:rsidR="006134BA">
        <w:rPr>
          <w:rFonts w:ascii="Arial" w:hAnsi="Arial"/>
          <w:spacing w:val="-3"/>
        </w:rPr>
        <w:t>5</w:t>
      </w:r>
      <w:r w:rsidR="005F0356">
        <w:rPr>
          <w:rFonts w:ascii="Arial" w:hAnsi="Arial"/>
          <w:spacing w:val="-3"/>
        </w:rPr>
        <w:t xml:space="preserve"> provides a graph showing the projected regional price forecast for the 2016 IRP by basin.</w:t>
      </w:r>
    </w:p>
    <w:p w:rsidR="005F0356" w:rsidRDefault="005F0356" w:rsidP="00425A7C">
      <w:pPr>
        <w:tabs>
          <w:tab w:val="left" w:pos="-1440"/>
          <w:tab w:val="left" w:pos="-720"/>
          <w:tab w:val="left" w:pos="0"/>
          <w:tab w:val="left" w:pos="1080"/>
          <w:tab w:val="left" w:pos="1440"/>
        </w:tabs>
        <w:suppressAutoHyphens/>
        <w:jc w:val="both"/>
        <w:rPr>
          <w:rFonts w:ascii="Arial" w:hAnsi="Arial"/>
          <w:spacing w:val="-3"/>
        </w:rPr>
      </w:pPr>
    </w:p>
    <w:p w:rsidR="005F0356" w:rsidRDefault="005F0356" w:rsidP="00425A7C">
      <w:pPr>
        <w:tabs>
          <w:tab w:val="left" w:pos="-1440"/>
          <w:tab w:val="left" w:pos="-720"/>
          <w:tab w:val="left" w:pos="0"/>
          <w:tab w:val="left" w:pos="1080"/>
          <w:tab w:val="left" w:pos="1440"/>
        </w:tabs>
        <w:suppressAutoHyphens/>
        <w:jc w:val="both"/>
        <w:rPr>
          <w:rFonts w:ascii="Arial" w:hAnsi="Arial"/>
          <w:spacing w:val="-3"/>
        </w:rPr>
      </w:pPr>
    </w:p>
    <w:p w:rsidR="00165084" w:rsidRDefault="00165084" w:rsidP="00165084">
      <w:pPr>
        <w:tabs>
          <w:tab w:val="left" w:pos="-1440"/>
          <w:tab w:val="left" w:pos="-720"/>
          <w:tab w:val="left" w:pos="0"/>
          <w:tab w:val="left" w:pos="1080"/>
          <w:tab w:val="left" w:pos="1440"/>
        </w:tabs>
        <w:suppressAutoHyphens/>
        <w:jc w:val="both"/>
        <w:rPr>
          <w:rFonts w:ascii="Arial" w:hAnsi="Arial"/>
          <w:spacing w:val="-3"/>
        </w:rPr>
      </w:pPr>
      <w:r>
        <w:rPr>
          <w:rFonts w:ascii="Arial" w:hAnsi="Arial"/>
          <w:b/>
          <w:spacing w:val="-3"/>
          <w:sz w:val="16"/>
          <w:szCs w:val="16"/>
        </w:rPr>
        <w:t xml:space="preserve">Figure </w:t>
      </w:r>
      <w:r w:rsidR="006134BA">
        <w:rPr>
          <w:rFonts w:ascii="Arial" w:hAnsi="Arial"/>
          <w:b/>
          <w:spacing w:val="-3"/>
          <w:sz w:val="16"/>
          <w:szCs w:val="16"/>
        </w:rPr>
        <w:t>4-5</w:t>
      </w:r>
      <w:r>
        <w:rPr>
          <w:rFonts w:ascii="Arial" w:hAnsi="Arial"/>
          <w:b/>
          <w:spacing w:val="-3"/>
          <w:sz w:val="16"/>
          <w:szCs w:val="16"/>
        </w:rPr>
        <w:t xml:space="preserve">: </w:t>
      </w:r>
      <w:r w:rsidR="0079213E">
        <w:rPr>
          <w:rFonts w:ascii="Arial" w:hAnsi="Arial"/>
          <w:b/>
          <w:spacing w:val="-3"/>
          <w:sz w:val="16"/>
          <w:szCs w:val="16"/>
        </w:rPr>
        <w:t>Regional Basis Price Forecast</w:t>
      </w:r>
    </w:p>
    <w:p w:rsidR="005F0356" w:rsidRDefault="00165084" w:rsidP="00425A7C">
      <w:pPr>
        <w:tabs>
          <w:tab w:val="left" w:pos="-1440"/>
          <w:tab w:val="left" w:pos="-720"/>
          <w:tab w:val="left" w:pos="0"/>
          <w:tab w:val="left" w:pos="1080"/>
          <w:tab w:val="left" w:pos="1440"/>
        </w:tabs>
        <w:suppressAutoHyphens/>
        <w:jc w:val="both"/>
        <w:rPr>
          <w:rFonts w:ascii="Arial" w:hAnsi="Arial"/>
          <w:spacing w:val="-3"/>
        </w:rPr>
      </w:pPr>
      <w:r>
        <w:rPr>
          <w:noProof/>
        </w:rPr>
        <w:drawing>
          <wp:inline distT="0" distB="0" distL="0" distR="0" wp14:anchorId="7E8492E3" wp14:editId="3F040BAC">
            <wp:extent cx="5486400" cy="314833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486400" cy="3148330"/>
                    </a:xfrm>
                    <a:prstGeom prst="rect">
                      <a:avLst/>
                    </a:prstGeom>
                  </pic:spPr>
                </pic:pic>
              </a:graphicData>
            </a:graphic>
          </wp:inline>
        </w:drawing>
      </w:r>
    </w:p>
    <w:p w:rsidR="005F0356" w:rsidRDefault="005F0356" w:rsidP="00425A7C">
      <w:pPr>
        <w:tabs>
          <w:tab w:val="left" w:pos="-1440"/>
          <w:tab w:val="left" w:pos="-720"/>
          <w:tab w:val="left" w:pos="0"/>
          <w:tab w:val="left" w:pos="1080"/>
          <w:tab w:val="left" w:pos="1440"/>
        </w:tabs>
        <w:suppressAutoHyphens/>
        <w:jc w:val="both"/>
        <w:rPr>
          <w:rFonts w:ascii="Arial" w:hAnsi="Arial"/>
          <w:spacing w:val="-3"/>
        </w:rPr>
      </w:pPr>
    </w:p>
    <w:p w:rsidR="003577AF" w:rsidRDefault="005F0356" w:rsidP="009C5D44">
      <w:pPr>
        <w:tabs>
          <w:tab w:val="left" w:pos="-1440"/>
          <w:tab w:val="left" w:pos="-720"/>
          <w:tab w:val="left" w:pos="0"/>
          <w:tab w:val="left" w:pos="1080"/>
          <w:tab w:val="left" w:pos="1440"/>
        </w:tabs>
        <w:suppressAutoHyphens/>
        <w:jc w:val="both"/>
        <w:rPr>
          <w:rFonts w:ascii="Arial" w:hAnsi="Arial"/>
          <w:bCs/>
          <w:spacing w:val="-3"/>
        </w:rPr>
      </w:pPr>
      <w:r w:rsidRPr="005F0356">
        <w:rPr>
          <w:rFonts w:ascii="Arial" w:hAnsi="Arial"/>
          <w:bCs/>
          <w:spacing w:val="-3"/>
        </w:rPr>
        <w:t>Cascade is currently participating in the WUTC’s hedging docket</w:t>
      </w:r>
      <w:r w:rsidR="00DE1B8F">
        <w:rPr>
          <w:rFonts w:ascii="Arial" w:hAnsi="Arial"/>
          <w:bCs/>
          <w:spacing w:val="-3"/>
        </w:rPr>
        <w:t>,</w:t>
      </w:r>
      <w:r w:rsidRPr="005F0356">
        <w:rPr>
          <w:rFonts w:ascii="Arial" w:hAnsi="Arial"/>
          <w:bCs/>
          <w:spacing w:val="-3"/>
        </w:rPr>
        <w:t xml:space="preserve"> UG-132019. Cascade is also an active participant in OPUC’s hedging docket</w:t>
      </w:r>
      <w:r w:rsidR="00DE1B8F">
        <w:rPr>
          <w:rFonts w:ascii="Arial" w:hAnsi="Arial"/>
          <w:bCs/>
          <w:spacing w:val="-3"/>
        </w:rPr>
        <w:t>,</w:t>
      </w:r>
      <w:r w:rsidRPr="005F0356">
        <w:rPr>
          <w:rFonts w:ascii="Arial" w:hAnsi="Arial"/>
          <w:bCs/>
          <w:spacing w:val="-3"/>
        </w:rPr>
        <w:t xml:space="preserve"> UM-1720.</w:t>
      </w:r>
      <w:r w:rsidR="00C0137C">
        <w:rPr>
          <w:rFonts w:ascii="Arial" w:hAnsi="Arial"/>
          <w:bCs/>
          <w:spacing w:val="-3"/>
        </w:rPr>
        <w:t xml:space="preserve"> Docket UG-132019 is </w:t>
      </w:r>
      <w:r w:rsidR="00C0137C">
        <w:rPr>
          <w:rFonts w:ascii="Arial" w:hAnsi="Arial"/>
          <w:bCs/>
          <w:spacing w:val="-3"/>
        </w:rPr>
        <w:lastRenderedPageBreak/>
        <w:t xml:space="preserve">directed at hedging no more than approximately 4 or 5 years out.  It also appears that any guidelines resulting from the docket will </w:t>
      </w:r>
      <w:r w:rsidR="00DE1B8F">
        <w:rPr>
          <w:rFonts w:ascii="Arial" w:hAnsi="Arial"/>
          <w:bCs/>
          <w:spacing w:val="-3"/>
        </w:rPr>
        <w:t>focused on</w:t>
      </w:r>
      <w:r w:rsidR="00C0137C">
        <w:rPr>
          <w:rFonts w:ascii="Arial" w:hAnsi="Arial"/>
          <w:bCs/>
          <w:spacing w:val="-3"/>
        </w:rPr>
        <w:t xml:space="preserve"> enhanc</w:t>
      </w:r>
      <w:r w:rsidR="00DE1B8F">
        <w:rPr>
          <w:rFonts w:ascii="Arial" w:hAnsi="Arial"/>
          <w:bCs/>
          <w:spacing w:val="-3"/>
        </w:rPr>
        <w:t>ing</w:t>
      </w:r>
      <w:r w:rsidR="00C0137C">
        <w:rPr>
          <w:rFonts w:ascii="Arial" w:hAnsi="Arial"/>
          <w:bCs/>
          <w:spacing w:val="-3"/>
        </w:rPr>
        <w:t xml:space="preserve"> the analysis and reporting of each of the LDCs hedging activities. </w:t>
      </w:r>
      <w:r w:rsidR="00DE1B8F">
        <w:rPr>
          <w:rFonts w:ascii="Arial" w:hAnsi="Arial"/>
          <w:bCs/>
          <w:spacing w:val="-3"/>
        </w:rPr>
        <w:t xml:space="preserve">The OPUC initiated </w:t>
      </w:r>
      <w:r w:rsidR="00C0137C">
        <w:rPr>
          <w:rFonts w:ascii="Arial" w:hAnsi="Arial"/>
          <w:bCs/>
          <w:spacing w:val="-3"/>
        </w:rPr>
        <w:t>UM-</w:t>
      </w:r>
      <w:r w:rsidR="006134BA">
        <w:rPr>
          <w:rFonts w:ascii="Arial" w:hAnsi="Arial"/>
          <w:bCs/>
          <w:spacing w:val="-3"/>
        </w:rPr>
        <w:t>1720 as</w:t>
      </w:r>
      <w:r w:rsidR="00C0137C">
        <w:rPr>
          <w:rFonts w:ascii="Arial" w:hAnsi="Arial"/>
          <w:bCs/>
          <w:spacing w:val="-3"/>
        </w:rPr>
        <w:t xml:space="preserve"> a result of long-term hedging guidelines proposed by NW Natural in their 2014 IRP. </w:t>
      </w:r>
      <w:r w:rsidRPr="005F0356">
        <w:rPr>
          <w:rFonts w:ascii="Arial" w:hAnsi="Arial"/>
          <w:bCs/>
          <w:spacing w:val="-3"/>
        </w:rPr>
        <w:t xml:space="preserve"> Throughout </w:t>
      </w:r>
      <w:r w:rsidR="00C0137C">
        <w:rPr>
          <w:rFonts w:ascii="Arial" w:hAnsi="Arial"/>
          <w:bCs/>
          <w:spacing w:val="-3"/>
        </w:rPr>
        <w:t xml:space="preserve">both </w:t>
      </w:r>
      <w:r w:rsidRPr="005F0356">
        <w:rPr>
          <w:rFonts w:ascii="Arial" w:hAnsi="Arial"/>
          <w:bCs/>
          <w:spacing w:val="-3"/>
        </w:rPr>
        <w:t>process</w:t>
      </w:r>
      <w:r w:rsidR="00C0137C">
        <w:rPr>
          <w:rFonts w:ascii="Arial" w:hAnsi="Arial"/>
          <w:bCs/>
          <w:spacing w:val="-3"/>
        </w:rPr>
        <w:t>es</w:t>
      </w:r>
      <w:r w:rsidRPr="005F0356">
        <w:rPr>
          <w:rFonts w:ascii="Arial" w:hAnsi="Arial"/>
          <w:bCs/>
          <w:spacing w:val="-3"/>
        </w:rPr>
        <w:t xml:space="preserve"> Cascade has provided comments and explanations of </w:t>
      </w:r>
      <w:r w:rsidR="00DE1B8F">
        <w:rPr>
          <w:rFonts w:ascii="Arial" w:hAnsi="Arial"/>
          <w:bCs/>
          <w:spacing w:val="-3"/>
        </w:rPr>
        <w:t>its</w:t>
      </w:r>
      <w:r w:rsidRPr="005F0356">
        <w:rPr>
          <w:rFonts w:ascii="Arial" w:hAnsi="Arial"/>
          <w:bCs/>
          <w:spacing w:val="-3"/>
        </w:rPr>
        <w:t xml:space="preserve"> risk management efforts. </w:t>
      </w:r>
      <w:r w:rsidR="00C0137C">
        <w:rPr>
          <w:rFonts w:ascii="Arial" w:hAnsi="Arial"/>
          <w:bCs/>
          <w:spacing w:val="-3"/>
        </w:rPr>
        <w:t xml:space="preserve">As of the preparation of this IRP, no general consensus has materialized amongst the participants. The two hedging dockets </w:t>
      </w:r>
      <w:r w:rsidR="003577AF">
        <w:rPr>
          <w:rFonts w:ascii="Arial" w:hAnsi="Arial"/>
          <w:bCs/>
          <w:spacing w:val="-3"/>
        </w:rPr>
        <w:t xml:space="preserve">are not synchronized, which is contributing to concerns on how to implement any guidelines.  Cascade is hopeful that some level of consistency with the end product will develop between the two states.  The Company </w:t>
      </w:r>
      <w:r w:rsidRPr="005F0356">
        <w:rPr>
          <w:rFonts w:ascii="Arial" w:hAnsi="Arial"/>
          <w:bCs/>
          <w:spacing w:val="-3"/>
        </w:rPr>
        <w:t>will continue to participate</w:t>
      </w:r>
      <w:r w:rsidR="00DE1B8F">
        <w:rPr>
          <w:rFonts w:ascii="Arial" w:hAnsi="Arial"/>
          <w:bCs/>
          <w:spacing w:val="-3"/>
        </w:rPr>
        <w:t xml:space="preserve"> actively</w:t>
      </w:r>
      <w:r w:rsidRPr="005F0356">
        <w:rPr>
          <w:rFonts w:ascii="Arial" w:hAnsi="Arial"/>
          <w:bCs/>
          <w:spacing w:val="-3"/>
        </w:rPr>
        <w:t xml:space="preserve"> in </w:t>
      </w:r>
      <w:r>
        <w:rPr>
          <w:rFonts w:ascii="Arial" w:hAnsi="Arial"/>
          <w:bCs/>
          <w:spacing w:val="-3"/>
        </w:rPr>
        <w:t xml:space="preserve">both </w:t>
      </w:r>
      <w:r w:rsidRPr="005F0356">
        <w:rPr>
          <w:rFonts w:ascii="Arial" w:hAnsi="Arial"/>
          <w:bCs/>
          <w:spacing w:val="-3"/>
        </w:rPr>
        <w:t>UG-132019</w:t>
      </w:r>
      <w:r>
        <w:rPr>
          <w:rFonts w:ascii="Arial" w:hAnsi="Arial"/>
          <w:bCs/>
          <w:spacing w:val="-3"/>
        </w:rPr>
        <w:t xml:space="preserve"> and UM-1720</w:t>
      </w:r>
      <w:r w:rsidRPr="005F0356">
        <w:rPr>
          <w:rFonts w:ascii="Arial" w:hAnsi="Arial"/>
          <w:bCs/>
          <w:spacing w:val="-3"/>
        </w:rPr>
        <w:t>.</w:t>
      </w:r>
    </w:p>
    <w:p w:rsidR="003577AF" w:rsidRDefault="003577AF" w:rsidP="009C5D44">
      <w:pPr>
        <w:tabs>
          <w:tab w:val="left" w:pos="-1440"/>
          <w:tab w:val="left" w:pos="-720"/>
          <w:tab w:val="left" w:pos="0"/>
          <w:tab w:val="left" w:pos="1080"/>
          <w:tab w:val="left" w:pos="1440"/>
        </w:tabs>
        <w:suppressAutoHyphens/>
        <w:jc w:val="both"/>
        <w:rPr>
          <w:rFonts w:ascii="Arial" w:hAnsi="Arial"/>
          <w:bCs/>
          <w:spacing w:val="-3"/>
        </w:rPr>
      </w:pPr>
    </w:p>
    <w:p w:rsidR="003577AF" w:rsidRDefault="003577AF" w:rsidP="009C5D44">
      <w:pPr>
        <w:tabs>
          <w:tab w:val="left" w:pos="-1440"/>
          <w:tab w:val="left" w:pos="-720"/>
          <w:tab w:val="left" w:pos="0"/>
          <w:tab w:val="left" w:pos="1080"/>
          <w:tab w:val="left" w:pos="1440"/>
        </w:tabs>
        <w:suppressAutoHyphens/>
        <w:jc w:val="both"/>
        <w:rPr>
          <w:rFonts w:ascii="Arial" w:hAnsi="Arial"/>
          <w:bCs/>
          <w:spacing w:val="-3"/>
        </w:rPr>
      </w:pPr>
    </w:p>
    <w:p w:rsidR="005F0356" w:rsidRDefault="005F0356" w:rsidP="009C5D44">
      <w:pPr>
        <w:tabs>
          <w:tab w:val="left" w:pos="-1440"/>
          <w:tab w:val="left" w:pos="-720"/>
          <w:tab w:val="left" w:pos="0"/>
          <w:tab w:val="left" w:pos="1080"/>
          <w:tab w:val="left" w:pos="1440"/>
        </w:tabs>
        <w:suppressAutoHyphens/>
        <w:jc w:val="both"/>
        <w:rPr>
          <w:rFonts w:ascii="Arial" w:hAnsi="Arial"/>
          <w:spacing w:val="-3"/>
        </w:rPr>
      </w:pPr>
      <w:r>
        <w:rPr>
          <w:rFonts w:ascii="Arial" w:hAnsi="Arial"/>
          <w:bCs/>
          <w:spacing w:val="-3"/>
        </w:rPr>
        <w:t xml:space="preserve">  </w:t>
      </w:r>
    </w:p>
    <w:p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Pr="002A6E17" w:rsidRDefault="002A6E17" w:rsidP="009C5D44">
      <w:pPr>
        <w:tabs>
          <w:tab w:val="left" w:pos="-1440"/>
          <w:tab w:val="left" w:pos="-720"/>
          <w:tab w:val="left" w:pos="0"/>
          <w:tab w:val="left" w:pos="1080"/>
          <w:tab w:val="left" w:pos="1440"/>
        </w:tabs>
        <w:suppressAutoHyphens/>
        <w:jc w:val="both"/>
        <w:rPr>
          <w:rFonts w:ascii="Arial" w:hAnsi="Arial"/>
          <w:b/>
          <w:spacing w:val="-3"/>
        </w:rPr>
      </w:pPr>
      <w:r w:rsidRPr="002A6E17">
        <w:rPr>
          <w:rFonts w:ascii="Arial" w:hAnsi="Arial"/>
          <w:b/>
          <w:spacing w:val="-3"/>
        </w:rPr>
        <w:t>Portfolio Purchasing Strategy</w:t>
      </w:r>
    </w:p>
    <w:p w:rsidR="00093EDA" w:rsidRDefault="00093EDA" w:rsidP="00093EDA">
      <w:pPr>
        <w:tabs>
          <w:tab w:val="left" w:pos="-1440"/>
          <w:tab w:val="left" w:pos="-720"/>
          <w:tab w:val="left" w:pos="0"/>
          <w:tab w:val="left" w:pos="1080"/>
          <w:tab w:val="left" w:pos="1440"/>
        </w:tabs>
        <w:suppressAutoHyphens/>
        <w:jc w:val="both"/>
        <w:rPr>
          <w:rFonts w:ascii="Arial" w:hAnsi="Arial"/>
          <w:spacing w:val="-3"/>
        </w:rPr>
      </w:pPr>
    </w:p>
    <w:p w:rsidR="00D90A85" w:rsidRDefault="0038728D" w:rsidP="00093EDA">
      <w:pPr>
        <w:tabs>
          <w:tab w:val="left" w:pos="-1440"/>
          <w:tab w:val="left" w:pos="-720"/>
          <w:tab w:val="left" w:pos="0"/>
          <w:tab w:val="left" w:pos="1080"/>
          <w:tab w:val="left" w:pos="1440"/>
        </w:tabs>
        <w:suppressAutoHyphens/>
        <w:jc w:val="both"/>
        <w:rPr>
          <w:rFonts w:ascii="Arial" w:hAnsi="Arial"/>
          <w:spacing w:val="-3"/>
        </w:rPr>
      </w:pPr>
      <w:r w:rsidRPr="0038728D">
        <w:rPr>
          <w:rFonts w:ascii="Arial" w:hAnsi="Arial"/>
          <w:spacing w:val="-3"/>
        </w:rPr>
        <w:t xml:space="preserve">GSOC oversees the Company’s gas supply purchasing strategy. </w:t>
      </w:r>
      <w:r>
        <w:rPr>
          <w:rFonts w:ascii="Arial" w:hAnsi="Arial"/>
          <w:spacing w:val="-3"/>
        </w:rPr>
        <w:t xml:space="preserve">Based on current stable prices and a robust supply picture, the Company considers </w:t>
      </w:r>
      <w:r w:rsidRPr="0038728D">
        <w:rPr>
          <w:rFonts w:ascii="Arial" w:hAnsi="Arial"/>
          <w:spacing w:val="-3"/>
        </w:rPr>
        <w:t>contract</w:t>
      </w:r>
      <w:r>
        <w:rPr>
          <w:rFonts w:ascii="Arial" w:hAnsi="Arial"/>
          <w:spacing w:val="-3"/>
        </w:rPr>
        <w:t xml:space="preserve">ing </w:t>
      </w:r>
      <w:r w:rsidRPr="0038728D">
        <w:rPr>
          <w:rFonts w:ascii="Arial" w:hAnsi="Arial"/>
          <w:spacing w:val="-3"/>
        </w:rPr>
        <w:t xml:space="preserve">physical supplies for up to </w:t>
      </w:r>
      <w:r w:rsidR="00D90A85">
        <w:rPr>
          <w:rFonts w:ascii="Arial" w:hAnsi="Arial"/>
          <w:spacing w:val="-3"/>
        </w:rPr>
        <w:t>five</w:t>
      </w:r>
      <w:r>
        <w:rPr>
          <w:rFonts w:ascii="Arial" w:hAnsi="Arial"/>
          <w:spacing w:val="-3"/>
        </w:rPr>
        <w:t xml:space="preserve"> </w:t>
      </w:r>
      <w:r w:rsidRPr="0038728D">
        <w:rPr>
          <w:rFonts w:ascii="Arial" w:hAnsi="Arial"/>
          <w:spacing w:val="-3"/>
        </w:rPr>
        <w:t xml:space="preserve">years (based on a warmer-than-normal weather pattern). The Company’s </w:t>
      </w:r>
      <w:r w:rsidR="00D90A85">
        <w:rPr>
          <w:rFonts w:ascii="Arial" w:hAnsi="Arial"/>
          <w:spacing w:val="-3"/>
        </w:rPr>
        <w:t xml:space="preserve">current </w:t>
      </w:r>
      <w:r w:rsidRPr="0038728D">
        <w:rPr>
          <w:rFonts w:ascii="Arial" w:hAnsi="Arial"/>
          <w:spacing w:val="-3"/>
        </w:rPr>
        <w:t xml:space="preserve">gas procurement strategy is to </w:t>
      </w:r>
      <w:r>
        <w:rPr>
          <w:rFonts w:ascii="Arial" w:hAnsi="Arial"/>
          <w:spacing w:val="-3"/>
        </w:rPr>
        <w:t xml:space="preserve">secure </w:t>
      </w:r>
      <w:r w:rsidRPr="0038728D">
        <w:rPr>
          <w:rFonts w:ascii="Arial" w:hAnsi="Arial"/>
          <w:spacing w:val="-3"/>
        </w:rPr>
        <w:t xml:space="preserve">physical gas supplies </w:t>
      </w:r>
      <w:r w:rsidR="00D90A85">
        <w:rPr>
          <w:rFonts w:ascii="Arial" w:hAnsi="Arial"/>
          <w:spacing w:val="-3"/>
        </w:rPr>
        <w:t xml:space="preserve">for </w:t>
      </w:r>
      <w:r w:rsidRPr="0038728D">
        <w:rPr>
          <w:rFonts w:ascii="Arial" w:hAnsi="Arial"/>
          <w:spacing w:val="-3"/>
        </w:rPr>
        <w:t>approximately one-third of the core portfolio supply nee</w:t>
      </w:r>
      <w:r w:rsidR="00D90A85">
        <w:rPr>
          <w:rFonts w:ascii="Arial" w:hAnsi="Arial"/>
          <w:spacing w:val="-3"/>
        </w:rPr>
        <w:t xml:space="preserve">ds each year for </w:t>
      </w:r>
      <w:r w:rsidRPr="0038728D">
        <w:rPr>
          <w:rFonts w:ascii="Arial" w:hAnsi="Arial"/>
          <w:spacing w:val="-3"/>
        </w:rPr>
        <w:t xml:space="preserve">the </w:t>
      </w:r>
      <w:r w:rsidR="00D90A85">
        <w:rPr>
          <w:rFonts w:ascii="Arial" w:hAnsi="Arial"/>
          <w:spacing w:val="-3"/>
        </w:rPr>
        <w:t>subsequent rolling</w:t>
      </w:r>
      <w:r w:rsidRPr="0038728D">
        <w:rPr>
          <w:rFonts w:ascii="Arial" w:hAnsi="Arial"/>
          <w:spacing w:val="-3"/>
        </w:rPr>
        <w:t xml:space="preserve"> three-year period</w:t>
      </w:r>
      <w:r w:rsidR="00D90A85">
        <w:rPr>
          <w:rFonts w:ascii="Arial" w:hAnsi="Arial"/>
          <w:spacing w:val="-3"/>
        </w:rPr>
        <w:t xml:space="preserve">.  This </w:t>
      </w:r>
      <w:r w:rsidR="00D90A85">
        <w:rPr>
          <w:rFonts w:ascii="Arial" w:hAnsi="Arial"/>
          <w:spacing w:val="-3"/>
        </w:rPr>
        <w:lastRenderedPageBreak/>
        <w:t xml:space="preserve">method </w:t>
      </w:r>
      <w:r>
        <w:rPr>
          <w:rFonts w:ascii="Arial" w:hAnsi="Arial"/>
          <w:spacing w:val="-3"/>
        </w:rPr>
        <w:t>ensur</w:t>
      </w:r>
      <w:r w:rsidR="00D90A85">
        <w:rPr>
          <w:rFonts w:ascii="Arial" w:hAnsi="Arial"/>
          <w:spacing w:val="-3"/>
        </w:rPr>
        <w:t>es</w:t>
      </w:r>
      <w:r>
        <w:rPr>
          <w:rFonts w:ascii="Arial" w:hAnsi="Arial"/>
          <w:spacing w:val="-3"/>
        </w:rPr>
        <w:t xml:space="preserve"> some portion of the current market prices will affect a portion of the next three years of the portfolio</w:t>
      </w:r>
      <w:r w:rsidRPr="0038728D">
        <w:rPr>
          <w:rFonts w:ascii="Arial" w:hAnsi="Arial"/>
          <w:spacing w:val="-3"/>
        </w:rPr>
        <w:t xml:space="preserve">. </w:t>
      </w:r>
    </w:p>
    <w:p w:rsidR="007F04B7" w:rsidRPr="00093EDA" w:rsidRDefault="007F04B7" w:rsidP="00093EDA">
      <w:pPr>
        <w:tabs>
          <w:tab w:val="left" w:pos="-1440"/>
          <w:tab w:val="left" w:pos="-720"/>
          <w:tab w:val="left" w:pos="0"/>
          <w:tab w:val="left" w:pos="1080"/>
          <w:tab w:val="left" w:pos="1440"/>
        </w:tabs>
        <w:suppressAutoHyphens/>
        <w:jc w:val="both"/>
        <w:rPr>
          <w:rFonts w:ascii="Arial" w:hAnsi="Arial"/>
          <w:spacing w:val="-3"/>
        </w:rPr>
      </w:pPr>
    </w:p>
    <w:p w:rsidR="00093EDA" w:rsidRPr="00093EDA" w:rsidRDefault="00093EDA" w:rsidP="00093EDA">
      <w:pPr>
        <w:tabs>
          <w:tab w:val="left" w:pos="-1440"/>
          <w:tab w:val="left" w:pos="-720"/>
          <w:tab w:val="left" w:pos="0"/>
          <w:tab w:val="left" w:pos="1080"/>
          <w:tab w:val="left" w:pos="1440"/>
        </w:tabs>
        <w:suppressAutoHyphens/>
        <w:jc w:val="both"/>
        <w:rPr>
          <w:rFonts w:ascii="Arial" w:hAnsi="Arial"/>
          <w:spacing w:val="-3"/>
          <w:lang w:bidi="en-US"/>
        </w:rPr>
      </w:pPr>
      <w:r>
        <w:rPr>
          <w:rFonts w:ascii="Arial" w:hAnsi="Arial"/>
          <w:spacing w:val="-3"/>
          <w:lang w:bidi="en-US"/>
        </w:rPr>
        <w:t>In spring 2016</w:t>
      </w:r>
      <w:r w:rsidRPr="00093EDA">
        <w:rPr>
          <w:rFonts w:ascii="Arial" w:hAnsi="Arial"/>
          <w:spacing w:val="-3"/>
          <w:lang w:bidi="en-US"/>
        </w:rPr>
        <w:t>, GSOC approved a portfolio design for three years as follows:</w:t>
      </w:r>
      <w:r w:rsidR="00D90A85">
        <w:rPr>
          <w:rStyle w:val="FootnoteReference"/>
          <w:rFonts w:ascii="Arial" w:hAnsi="Arial"/>
          <w:spacing w:val="-3"/>
          <w:lang w:bidi="en-US"/>
        </w:rPr>
        <w:footnoteReference w:id="2"/>
      </w:r>
    </w:p>
    <w:p w:rsidR="00093EDA" w:rsidRPr="00093EDA" w:rsidRDefault="00093EDA" w:rsidP="00093EDA">
      <w:pPr>
        <w:tabs>
          <w:tab w:val="left" w:pos="-1440"/>
          <w:tab w:val="left" w:pos="-720"/>
          <w:tab w:val="left" w:pos="0"/>
          <w:tab w:val="left" w:pos="1080"/>
          <w:tab w:val="left" w:pos="1440"/>
        </w:tabs>
        <w:suppressAutoHyphens/>
        <w:jc w:val="both"/>
        <w:rPr>
          <w:rFonts w:ascii="Arial" w:hAnsi="Arial"/>
          <w:spacing w:val="-3"/>
          <w:lang w:bidi="en-US"/>
        </w:rPr>
      </w:pPr>
    </w:p>
    <w:p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Portfolio procurement design based on a declining percentage each year; accordingly:   Approximately Year 1: 80% of annual requirements; Year 2: 40%, Year 3: 20%.  For the current portfolio design GSOC approved a targeted base portfolio design with 80% of the average 5</w:t>
      </w:r>
      <w:r w:rsidR="005E6D64">
        <w:rPr>
          <w:rFonts w:ascii="Arial" w:hAnsi="Arial"/>
          <w:spacing w:val="-3"/>
          <w:lang w:bidi="en-US"/>
        </w:rPr>
        <w:t>-</w:t>
      </w:r>
      <w:r w:rsidRPr="00093EDA">
        <w:rPr>
          <w:rFonts w:ascii="Arial" w:hAnsi="Arial"/>
          <w:spacing w:val="-3"/>
          <w:lang w:bidi="en-US"/>
        </w:rPr>
        <w:t>year annual load in Year 1, 40% in Year 2, 20% in Year 3.</w:t>
      </w:r>
    </w:p>
    <w:p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 xml:space="preserve">GSOC will consider a modification from a </w:t>
      </w:r>
      <w:r w:rsidR="005E6D64">
        <w:rPr>
          <w:rFonts w:ascii="Arial" w:hAnsi="Arial"/>
          <w:spacing w:val="-3"/>
          <w:lang w:bidi="en-US"/>
        </w:rPr>
        <w:t>3-</w:t>
      </w:r>
      <w:r w:rsidRPr="00093EDA">
        <w:rPr>
          <w:rFonts w:ascii="Arial" w:hAnsi="Arial"/>
          <w:spacing w:val="-3"/>
          <w:lang w:bidi="en-US"/>
        </w:rPr>
        <w:t xml:space="preserve">year rolling portfolio if:  1) reasonable concerns exist regarding the availability of supply in a particular basin; </w:t>
      </w:r>
      <w:r w:rsidR="005E6D64">
        <w:rPr>
          <w:rFonts w:ascii="Arial" w:hAnsi="Arial"/>
          <w:spacing w:val="-3"/>
          <w:lang w:bidi="en-US"/>
        </w:rPr>
        <w:t xml:space="preserve">or </w:t>
      </w:r>
      <w:r w:rsidRPr="00093EDA">
        <w:rPr>
          <w:rFonts w:ascii="Arial" w:hAnsi="Arial"/>
          <w:spacing w:val="-3"/>
          <w:lang w:bidi="en-US"/>
        </w:rPr>
        <w:t>2) the outer year 3</w:t>
      </w:r>
      <w:r w:rsidR="005E6D64">
        <w:rPr>
          <w:rFonts w:ascii="Arial" w:hAnsi="Arial"/>
          <w:spacing w:val="-3"/>
          <w:lang w:bidi="en-US"/>
        </w:rPr>
        <w:t>-</w:t>
      </w:r>
      <w:r w:rsidRPr="00093EDA">
        <w:rPr>
          <w:rFonts w:ascii="Arial" w:hAnsi="Arial"/>
          <w:spacing w:val="-3"/>
          <w:lang w:bidi="en-US"/>
        </w:rPr>
        <w:t xml:space="preserve">year forward price is 20% higher/lower than the front month over a reasonably sustained period. </w:t>
      </w:r>
    </w:p>
    <w:p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 xml:space="preserve">The first portfolio year “hedged” (fixed-price physical or financial swaps) is not to exceed approximately 40% of annual requirements in year 1.  Second year should be set at 25%, and 20% hedged volumes for year three.  </w:t>
      </w:r>
    </w:p>
    <w:p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GSOC will consider a modification of this plan if the outer year 3</w:t>
      </w:r>
      <w:r w:rsidR="005E6D64">
        <w:rPr>
          <w:rFonts w:ascii="Arial" w:hAnsi="Arial"/>
          <w:spacing w:val="-3"/>
          <w:lang w:bidi="en-US"/>
        </w:rPr>
        <w:t>-</w:t>
      </w:r>
      <w:r w:rsidRPr="00093EDA">
        <w:rPr>
          <w:rFonts w:ascii="Arial" w:hAnsi="Arial"/>
          <w:spacing w:val="-3"/>
          <w:lang w:bidi="en-US"/>
        </w:rPr>
        <w:t xml:space="preserve">year forward price is 20% higher/lower than the front month over a reasonably sustained period. </w:t>
      </w:r>
    </w:p>
    <w:p w:rsid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lastRenderedPageBreak/>
        <w:t>The portfolio can always be modified with additional years if a significant discount price materializes</w:t>
      </w:r>
      <w:r w:rsidR="005E6D64">
        <w:rPr>
          <w:rFonts w:ascii="Arial" w:hAnsi="Arial"/>
          <w:spacing w:val="-3"/>
          <w:lang w:bidi="en-US"/>
        </w:rPr>
        <w:t>.</w:t>
      </w:r>
    </w:p>
    <w:p w:rsidR="005F0356" w:rsidRDefault="005F0356" w:rsidP="005F0356">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5F0356">
        <w:rPr>
          <w:rFonts w:ascii="Arial" w:hAnsi="Arial"/>
          <w:spacing w:val="-3"/>
          <w:lang w:bidi="en-US"/>
        </w:rPr>
        <w:t>Maintain a diversity of physical supplies from Alberta, British Columbia</w:t>
      </w:r>
      <w:r w:rsidR="005E6D64">
        <w:rPr>
          <w:rFonts w:ascii="Arial" w:hAnsi="Arial"/>
          <w:spacing w:val="-3"/>
          <w:lang w:bidi="en-US"/>
        </w:rPr>
        <w:t>,</w:t>
      </w:r>
      <w:r w:rsidRPr="005F0356">
        <w:rPr>
          <w:rFonts w:ascii="Arial" w:hAnsi="Arial"/>
          <w:spacing w:val="-3"/>
          <w:lang w:bidi="en-US"/>
        </w:rPr>
        <w:t xml:space="preserve"> and Rockies</w:t>
      </w:r>
      <w:r w:rsidR="005E6D64">
        <w:rPr>
          <w:rFonts w:ascii="Arial" w:hAnsi="Arial"/>
          <w:spacing w:val="-3"/>
          <w:lang w:bidi="en-US"/>
        </w:rPr>
        <w:t>.</w:t>
      </w:r>
    </w:p>
    <w:p w:rsidR="005F0356" w:rsidRPr="005F0356" w:rsidRDefault="005F0356" w:rsidP="00D02C24">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5F0356">
        <w:rPr>
          <w:rFonts w:ascii="Arial" w:hAnsi="Arial"/>
          <w:spacing w:val="-3"/>
          <w:lang w:bidi="en-US"/>
        </w:rPr>
        <w:t xml:space="preserve">Maximize supplies from the regions that afford the lowest prices. Gas from </w:t>
      </w:r>
      <w:r>
        <w:rPr>
          <w:rFonts w:ascii="Arial" w:hAnsi="Arial"/>
          <w:spacing w:val="-3"/>
          <w:lang w:bidi="en-US"/>
        </w:rPr>
        <w:t xml:space="preserve">AECO is </w:t>
      </w:r>
      <w:r w:rsidRPr="005F0356">
        <w:rPr>
          <w:rFonts w:ascii="Arial" w:hAnsi="Arial"/>
          <w:spacing w:val="-3"/>
          <w:lang w:bidi="en-US"/>
        </w:rPr>
        <w:t xml:space="preserve">currently the lowest-cost gas in the Company’s supply </w:t>
      </w:r>
      <w:r>
        <w:rPr>
          <w:rFonts w:ascii="Arial" w:hAnsi="Arial"/>
          <w:spacing w:val="-3"/>
          <w:lang w:bidi="en-US"/>
        </w:rPr>
        <w:t>portfolio.  Station 2 is also relatively inexpensive but the Company has limited available T-South transport under contract</w:t>
      </w:r>
      <w:r w:rsidRPr="005F0356">
        <w:rPr>
          <w:rFonts w:ascii="Arial" w:hAnsi="Arial"/>
          <w:spacing w:val="-3"/>
          <w:lang w:bidi="en-US"/>
        </w:rPr>
        <w:t xml:space="preserve">. Sumas </w:t>
      </w:r>
      <w:r>
        <w:rPr>
          <w:rFonts w:ascii="Arial" w:hAnsi="Arial"/>
          <w:spacing w:val="-3"/>
          <w:lang w:bidi="en-US"/>
        </w:rPr>
        <w:t xml:space="preserve">is often </w:t>
      </w:r>
      <w:r w:rsidRPr="005F0356">
        <w:rPr>
          <w:rFonts w:ascii="Arial" w:hAnsi="Arial"/>
          <w:spacing w:val="-3"/>
          <w:lang w:bidi="en-US"/>
        </w:rPr>
        <w:t>the</w:t>
      </w:r>
      <w:r>
        <w:rPr>
          <w:rFonts w:ascii="Arial" w:hAnsi="Arial"/>
          <w:spacing w:val="-3"/>
          <w:lang w:bidi="en-US"/>
        </w:rPr>
        <w:t xml:space="preserve"> </w:t>
      </w:r>
      <w:r w:rsidRPr="005F0356">
        <w:rPr>
          <w:rFonts w:ascii="Arial" w:hAnsi="Arial"/>
          <w:spacing w:val="-3"/>
          <w:lang w:bidi="en-US"/>
        </w:rPr>
        <w:t xml:space="preserve">highest-priced supply but </w:t>
      </w:r>
      <w:r>
        <w:rPr>
          <w:rFonts w:ascii="Arial" w:hAnsi="Arial"/>
          <w:spacing w:val="-3"/>
          <w:lang w:bidi="en-US"/>
        </w:rPr>
        <w:t>in recent times it has been less expensive tha</w:t>
      </w:r>
      <w:r w:rsidRPr="005F0356">
        <w:rPr>
          <w:rFonts w:ascii="Arial" w:hAnsi="Arial"/>
          <w:spacing w:val="-3"/>
          <w:lang w:bidi="en-US"/>
        </w:rPr>
        <w:t>n Rockies except for certain times during the winter.</w:t>
      </w:r>
    </w:p>
    <w:p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 xml:space="preserve">Include </w:t>
      </w:r>
      <w:r w:rsidR="005E6D64">
        <w:rPr>
          <w:rFonts w:ascii="Arial" w:hAnsi="Arial"/>
          <w:spacing w:val="-3"/>
          <w:lang w:bidi="en-US"/>
        </w:rPr>
        <w:t xml:space="preserve">a </w:t>
      </w:r>
      <w:r w:rsidRPr="00093EDA">
        <w:rPr>
          <w:rFonts w:ascii="Arial" w:hAnsi="Arial"/>
          <w:spacing w:val="-3"/>
          <w:lang w:bidi="en-US"/>
        </w:rPr>
        <w:t>small level of annual supplies</w:t>
      </w:r>
      <w:r w:rsidR="005E6D64">
        <w:rPr>
          <w:rFonts w:ascii="Arial" w:hAnsi="Arial"/>
          <w:spacing w:val="-3"/>
          <w:lang w:bidi="en-US"/>
        </w:rPr>
        <w:t>.</w:t>
      </w:r>
    </w:p>
    <w:p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Annual load expectation (Nov-Oct) is approximately 30,000,000 dths, consistent with recent load history.</w:t>
      </w:r>
    </w:p>
    <w:p w:rsidR="00093EDA" w:rsidRPr="00093EDA" w:rsidRDefault="00093EDA" w:rsidP="00093EDA">
      <w:pPr>
        <w:numPr>
          <w:ilvl w:val="0"/>
          <w:numId w:val="21"/>
        </w:numPr>
        <w:tabs>
          <w:tab w:val="left" w:pos="-1440"/>
          <w:tab w:val="left" w:pos="-720"/>
          <w:tab w:val="left" w:pos="0"/>
          <w:tab w:val="left" w:pos="1080"/>
          <w:tab w:val="left" w:pos="1440"/>
        </w:tabs>
        <w:suppressAutoHyphens/>
        <w:jc w:val="both"/>
        <w:rPr>
          <w:rFonts w:ascii="Arial" w:hAnsi="Arial"/>
          <w:spacing w:val="-3"/>
          <w:lang w:bidi="en-US"/>
        </w:rPr>
      </w:pPr>
      <w:r w:rsidRPr="00093EDA">
        <w:rPr>
          <w:rFonts w:ascii="Arial" w:hAnsi="Arial"/>
          <w:spacing w:val="-3"/>
          <w:lang w:bidi="en-US"/>
        </w:rPr>
        <w:t>Considerations of structured products, caps, floors, etc., are not to exceed 5% of overall contract supply target</w:t>
      </w:r>
      <w:r w:rsidR="005E6D64">
        <w:rPr>
          <w:rFonts w:ascii="Arial" w:hAnsi="Arial"/>
          <w:spacing w:val="-3"/>
          <w:lang w:bidi="en-US"/>
        </w:rPr>
        <w:t>.</w:t>
      </w:r>
    </w:p>
    <w:p w:rsidR="00093EDA" w:rsidRPr="00093EDA" w:rsidRDefault="00093EDA" w:rsidP="00093EDA">
      <w:pPr>
        <w:tabs>
          <w:tab w:val="left" w:pos="-1440"/>
          <w:tab w:val="left" w:pos="-720"/>
          <w:tab w:val="left" w:pos="0"/>
          <w:tab w:val="left" w:pos="1080"/>
          <w:tab w:val="left" w:pos="1440"/>
        </w:tabs>
        <w:suppressAutoHyphens/>
        <w:jc w:val="both"/>
        <w:rPr>
          <w:rFonts w:ascii="Arial" w:hAnsi="Arial"/>
          <w:spacing w:val="-3"/>
          <w:lang w:bidi="en-US"/>
        </w:rPr>
      </w:pPr>
    </w:p>
    <w:p w:rsidR="00093EDA" w:rsidRDefault="00093EDA" w:rsidP="00093EDA">
      <w:pPr>
        <w:tabs>
          <w:tab w:val="left" w:pos="-1440"/>
          <w:tab w:val="left" w:pos="-720"/>
          <w:tab w:val="left" w:pos="0"/>
          <w:tab w:val="left" w:pos="1080"/>
          <w:tab w:val="left" w:pos="1440"/>
        </w:tabs>
        <w:suppressAutoHyphens/>
        <w:jc w:val="both"/>
        <w:rPr>
          <w:rFonts w:ascii="Arial" w:hAnsi="Arial"/>
          <w:spacing w:val="-3"/>
        </w:rPr>
      </w:pPr>
      <w:r w:rsidRPr="00093EDA">
        <w:rPr>
          <w:rFonts w:ascii="Arial" w:hAnsi="Arial"/>
          <w:spacing w:val="-3"/>
        </w:rPr>
        <w:t xml:space="preserve">Under this procurement strategy this leaves roughly </w:t>
      </w:r>
      <w:r w:rsidR="005E6D64" w:rsidRPr="00093EDA">
        <w:rPr>
          <w:rFonts w:ascii="Arial" w:hAnsi="Arial"/>
          <w:spacing w:val="-3"/>
        </w:rPr>
        <w:t>10</w:t>
      </w:r>
      <w:r w:rsidR="005E6D64">
        <w:rPr>
          <w:rFonts w:ascii="Arial" w:hAnsi="Arial"/>
          <w:spacing w:val="-3"/>
        </w:rPr>
        <w:t xml:space="preserve">% </w:t>
      </w:r>
      <w:r w:rsidRPr="00093EDA">
        <w:rPr>
          <w:rFonts w:ascii="Arial" w:hAnsi="Arial"/>
          <w:spacing w:val="-3"/>
        </w:rPr>
        <w:t>to 20% of the annual portfolio to be met with spot purchases.  Spot purchase consist of either First of the Month deals, executed during bid week for the upcoming month, or day purchases which are utilized to meet incremental daily needs.</w:t>
      </w:r>
    </w:p>
    <w:p w:rsidR="00093EDA" w:rsidRDefault="00093EDA" w:rsidP="00093EDA">
      <w:pPr>
        <w:tabs>
          <w:tab w:val="left" w:pos="-1440"/>
          <w:tab w:val="left" w:pos="-720"/>
          <w:tab w:val="left" w:pos="0"/>
          <w:tab w:val="left" w:pos="1080"/>
          <w:tab w:val="left" w:pos="1440"/>
        </w:tabs>
        <w:suppressAutoHyphens/>
        <w:jc w:val="both"/>
        <w:rPr>
          <w:rFonts w:ascii="Arial" w:hAnsi="Arial"/>
          <w:spacing w:val="-3"/>
        </w:rPr>
      </w:pPr>
    </w:p>
    <w:p w:rsidR="00093EDA" w:rsidRPr="00093EDA" w:rsidRDefault="00093EDA" w:rsidP="00093EDA">
      <w:pPr>
        <w:tabs>
          <w:tab w:val="left" w:pos="-1440"/>
          <w:tab w:val="left" w:pos="-720"/>
          <w:tab w:val="left" w:pos="0"/>
          <w:tab w:val="left" w:pos="1080"/>
          <w:tab w:val="left" w:pos="1440"/>
        </w:tabs>
        <w:suppressAutoHyphens/>
        <w:jc w:val="both"/>
        <w:rPr>
          <w:rFonts w:ascii="Arial" w:hAnsi="Arial"/>
          <w:spacing w:val="-3"/>
        </w:rPr>
      </w:pPr>
      <w:r w:rsidRPr="00093EDA">
        <w:rPr>
          <w:rFonts w:ascii="Arial" w:hAnsi="Arial"/>
          <w:spacing w:val="-3"/>
        </w:rPr>
        <w:t>Once the</w:t>
      </w:r>
      <w:r w:rsidR="009F6BCD">
        <w:rPr>
          <w:rFonts w:ascii="Arial" w:hAnsi="Arial"/>
          <w:spacing w:val="-3"/>
        </w:rPr>
        <w:t xml:space="preserve"> GSOC has approved the</w:t>
      </w:r>
      <w:r w:rsidRPr="00093EDA">
        <w:rPr>
          <w:rFonts w:ascii="Arial" w:hAnsi="Arial"/>
          <w:spacing w:val="-3"/>
        </w:rPr>
        <w:t xml:space="preserve"> portfolio procurement strategy and design</w:t>
      </w:r>
      <w:r w:rsidR="009F6BCD">
        <w:rPr>
          <w:rFonts w:ascii="Arial" w:hAnsi="Arial"/>
          <w:spacing w:val="-3"/>
        </w:rPr>
        <w:t xml:space="preserve">, </w:t>
      </w:r>
      <w:r w:rsidRPr="00093EDA">
        <w:rPr>
          <w:rFonts w:ascii="Arial" w:hAnsi="Arial"/>
          <w:spacing w:val="-3"/>
        </w:rPr>
        <w:t xml:space="preserve">the Company employs a variety of methods for securing the best possible deal under existing market </w:t>
      </w:r>
      <w:r w:rsidRPr="00093EDA">
        <w:rPr>
          <w:rFonts w:ascii="Arial" w:hAnsi="Arial"/>
          <w:spacing w:val="-3"/>
        </w:rPr>
        <w:lastRenderedPageBreak/>
        <w:t>conditions. Cascade employs a bidding process when procuring Fixed Priced physical, Indexed Spot physical, as well as financial swaps used to hedge the price of underlying index based physical supplies.  In the bidding process</w:t>
      </w:r>
      <w:r w:rsidR="00BD68A7">
        <w:rPr>
          <w:rFonts w:ascii="Arial" w:hAnsi="Arial"/>
          <w:spacing w:val="-3"/>
        </w:rPr>
        <w:t>,</w:t>
      </w:r>
      <w:r w:rsidRPr="00093EDA">
        <w:rPr>
          <w:rFonts w:ascii="Arial" w:hAnsi="Arial"/>
          <w:spacing w:val="-3"/>
        </w:rPr>
        <w:t xml:space="preserve"> </w:t>
      </w:r>
      <w:r w:rsidR="00BD68A7">
        <w:rPr>
          <w:rFonts w:ascii="Arial" w:hAnsi="Arial"/>
          <w:spacing w:val="-3"/>
        </w:rPr>
        <w:t>the Company</w:t>
      </w:r>
      <w:r w:rsidRPr="00093EDA">
        <w:rPr>
          <w:rFonts w:ascii="Arial" w:hAnsi="Arial"/>
          <w:spacing w:val="-3"/>
        </w:rPr>
        <w:t xml:space="preserve"> alert</w:t>
      </w:r>
      <w:r w:rsidR="00BD68A7">
        <w:rPr>
          <w:rFonts w:ascii="Arial" w:hAnsi="Arial"/>
          <w:spacing w:val="-3"/>
        </w:rPr>
        <w:t>s</w:t>
      </w:r>
      <w:r w:rsidRPr="00093EDA">
        <w:rPr>
          <w:rFonts w:ascii="Arial" w:hAnsi="Arial"/>
          <w:spacing w:val="-3"/>
        </w:rPr>
        <w:t xml:space="preserve"> a minimum of three suppliers and/or financial counterparties of the specific gas supply transactions Cascade plans to fill.  </w:t>
      </w:r>
      <w:r w:rsidR="009519BB">
        <w:rPr>
          <w:rFonts w:ascii="Arial" w:hAnsi="Arial"/>
          <w:spacing w:val="-3"/>
        </w:rPr>
        <w:t>Cascade</w:t>
      </w:r>
      <w:r w:rsidRPr="00093EDA">
        <w:rPr>
          <w:rFonts w:ascii="Arial" w:hAnsi="Arial"/>
          <w:spacing w:val="-3"/>
        </w:rPr>
        <w:t xml:space="preserve"> then collect</w:t>
      </w:r>
      <w:r w:rsidR="009519BB">
        <w:rPr>
          <w:rFonts w:ascii="Arial" w:hAnsi="Arial"/>
          <w:spacing w:val="-3"/>
        </w:rPr>
        <w:t>s</w:t>
      </w:r>
      <w:r w:rsidRPr="00093EDA">
        <w:rPr>
          <w:rFonts w:ascii="Arial" w:hAnsi="Arial"/>
          <w:spacing w:val="-3"/>
        </w:rPr>
        <w:t xml:space="preserve"> bids from these parties over a period of days or weeks depending on the number or time requirements of the packages sought, comparing the indicative pricing to each party as well as comparing the information to market intelligence available at the time.  Ideally, after monitoring these indicatives and the market, Cascade award</w:t>
      </w:r>
      <w:r w:rsidR="009519BB">
        <w:rPr>
          <w:rFonts w:ascii="Arial" w:hAnsi="Arial"/>
          <w:spacing w:val="-3"/>
        </w:rPr>
        <w:t>s</w:t>
      </w:r>
      <w:r w:rsidRPr="00093EDA">
        <w:rPr>
          <w:rFonts w:ascii="Arial" w:hAnsi="Arial"/>
          <w:spacing w:val="-3"/>
        </w:rPr>
        <w:t xml:space="preserve"> the specific packages to individual parties.  Naturally, price is the principle factor; however, Cascade also considers reliability, financial health, past performance, and the party’s share of the overall portfolio so that </w:t>
      </w:r>
      <w:r w:rsidR="009519BB">
        <w:rPr>
          <w:rFonts w:ascii="Arial" w:hAnsi="Arial"/>
          <w:spacing w:val="-3"/>
        </w:rPr>
        <w:t>the Company</w:t>
      </w:r>
      <w:r w:rsidRPr="00093EDA">
        <w:rPr>
          <w:rFonts w:ascii="Arial" w:hAnsi="Arial"/>
          <w:spacing w:val="-3"/>
        </w:rPr>
        <w:t xml:space="preserve"> ensure</w:t>
      </w:r>
      <w:r w:rsidR="009519BB">
        <w:rPr>
          <w:rFonts w:ascii="Arial" w:hAnsi="Arial"/>
          <w:spacing w:val="-3"/>
        </w:rPr>
        <w:t>s</w:t>
      </w:r>
      <w:r w:rsidRPr="00093EDA">
        <w:rPr>
          <w:rFonts w:ascii="Arial" w:hAnsi="Arial"/>
          <w:spacing w:val="-3"/>
        </w:rPr>
        <w:t xml:space="preserve"> party diversity.  It should be noted that there is always the possibility the lowest market price may be during period when </w:t>
      </w:r>
      <w:r w:rsidR="009519BB">
        <w:rPr>
          <w:rFonts w:ascii="Arial" w:hAnsi="Arial"/>
          <w:spacing w:val="-3"/>
        </w:rPr>
        <w:t>the Company is</w:t>
      </w:r>
      <w:r w:rsidRPr="00093EDA">
        <w:rPr>
          <w:rFonts w:ascii="Arial" w:hAnsi="Arial"/>
          <w:spacing w:val="-3"/>
        </w:rPr>
        <w:t xml:space="preserve"> initially gathering the price indicatives; in that situation there is a risk that a sudden price run-up may lead to filling the transaction at the higher end of the bids over time, or delay the acquisition to another time.  However, the reverse is also true—the initial price indicatives may start high and drop over time allowing us to capture the transaction on the downward swing.  In the end, timing is always a factor as the market cannot be predicted with any certainty.</w:t>
      </w:r>
    </w:p>
    <w:p w:rsidR="00093EDA" w:rsidRPr="00093EDA" w:rsidRDefault="00093EDA" w:rsidP="00093EDA">
      <w:pPr>
        <w:tabs>
          <w:tab w:val="left" w:pos="-1440"/>
          <w:tab w:val="left" w:pos="-720"/>
          <w:tab w:val="left" w:pos="0"/>
          <w:tab w:val="left" w:pos="1080"/>
          <w:tab w:val="left" w:pos="1440"/>
        </w:tabs>
        <w:suppressAutoHyphens/>
        <w:jc w:val="both"/>
        <w:rPr>
          <w:rFonts w:ascii="Arial" w:hAnsi="Arial"/>
          <w:spacing w:val="-3"/>
        </w:rPr>
      </w:pPr>
    </w:p>
    <w:p w:rsidR="00093EDA" w:rsidRDefault="00093EDA" w:rsidP="00093EDA">
      <w:pPr>
        <w:tabs>
          <w:tab w:val="left" w:pos="-1440"/>
          <w:tab w:val="left" w:pos="-720"/>
          <w:tab w:val="left" w:pos="0"/>
          <w:tab w:val="left" w:pos="1080"/>
          <w:tab w:val="left" w:pos="1440"/>
        </w:tabs>
        <w:suppressAutoHyphens/>
        <w:jc w:val="both"/>
        <w:rPr>
          <w:rFonts w:ascii="Arial" w:hAnsi="Arial"/>
          <w:spacing w:val="-3"/>
        </w:rPr>
      </w:pPr>
      <w:r w:rsidRPr="00093EDA">
        <w:rPr>
          <w:rFonts w:ascii="Arial" w:hAnsi="Arial"/>
          <w:spacing w:val="-3"/>
        </w:rPr>
        <w:t xml:space="preserve">Cascade follows a similar process when </w:t>
      </w:r>
      <w:r w:rsidR="009519BB">
        <w:rPr>
          <w:rFonts w:ascii="Arial" w:hAnsi="Arial"/>
          <w:spacing w:val="-3"/>
        </w:rPr>
        <w:t>it</w:t>
      </w:r>
      <w:r w:rsidRPr="00093EDA">
        <w:rPr>
          <w:rFonts w:ascii="Arial" w:hAnsi="Arial"/>
          <w:spacing w:val="-3"/>
        </w:rPr>
        <w:t xml:space="preserve"> submit</w:t>
      </w:r>
      <w:r w:rsidR="009519BB">
        <w:rPr>
          <w:rFonts w:ascii="Arial" w:hAnsi="Arial"/>
          <w:spacing w:val="-3"/>
        </w:rPr>
        <w:t>s</w:t>
      </w:r>
      <w:r w:rsidRPr="00093EDA">
        <w:rPr>
          <w:rFonts w:ascii="Arial" w:hAnsi="Arial"/>
          <w:spacing w:val="-3"/>
        </w:rPr>
        <w:t xml:space="preserve"> a formal RFP to the various suppliers.  Parties are asked to provide offers on specific packages, but are also encouraged to propose </w:t>
      </w:r>
      <w:r w:rsidRPr="00093EDA">
        <w:rPr>
          <w:rFonts w:ascii="Arial" w:hAnsi="Arial"/>
          <w:spacing w:val="-3"/>
        </w:rPr>
        <w:lastRenderedPageBreak/>
        <w:t xml:space="preserve">other transaction or packages that they feel may be of interest in helping Cascade secure financially attractive and flexible transactions to meet </w:t>
      </w:r>
      <w:r w:rsidR="009519BB">
        <w:rPr>
          <w:rFonts w:ascii="Arial" w:hAnsi="Arial"/>
          <w:spacing w:val="-3"/>
        </w:rPr>
        <w:t xml:space="preserve">the Company’s </w:t>
      </w:r>
      <w:r w:rsidRPr="00093EDA">
        <w:rPr>
          <w:rFonts w:ascii="Arial" w:hAnsi="Arial"/>
          <w:spacing w:val="-3"/>
        </w:rPr>
        <w:t xml:space="preserve">needs.  This process will require additional analysis regarding operational reasonableness, timing, and volumes.  Price comparisons also become more complicated since pricing could be tiered; part of a structure deal may be tied to an index or contains floors, caps, etc.  </w:t>
      </w:r>
      <w:r w:rsidR="009519BB">
        <w:rPr>
          <w:rFonts w:ascii="Arial" w:hAnsi="Arial"/>
          <w:spacing w:val="-3"/>
        </w:rPr>
        <w:t>Cascade</w:t>
      </w:r>
      <w:r w:rsidRPr="00093EDA">
        <w:rPr>
          <w:rFonts w:ascii="Arial" w:hAnsi="Arial"/>
          <w:spacing w:val="-3"/>
        </w:rPr>
        <w:t xml:space="preserve"> utilize</w:t>
      </w:r>
      <w:r w:rsidR="009519BB">
        <w:rPr>
          <w:rFonts w:ascii="Arial" w:hAnsi="Arial"/>
          <w:spacing w:val="-3"/>
        </w:rPr>
        <w:t>s</w:t>
      </w:r>
      <w:r w:rsidRPr="00093EDA">
        <w:rPr>
          <w:rFonts w:ascii="Arial" w:hAnsi="Arial"/>
          <w:spacing w:val="-3"/>
        </w:rPr>
        <w:t xml:space="preserve"> TruMarx’s COMET transaction bulletin board system to assist in communicating, tracking</w:t>
      </w:r>
      <w:r w:rsidR="009519BB">
        <w:rPr>
          <w:rFonts w:ascii="Arial" w:hAnsi="Arial"/>
          <w:spacing w:val="-3"/>
        </w:rPr>
        <w:t>,</w:t>
      </w:r>
      <w:r w:rsidRPr="00093EDA">
        <w:rPr>
          <w:rFonts w:ascii="Arial" w:hAnsi="Arial"/>
          <w:spacing w:val="-3"/>
        </w:rPr>
        <w:t xml:space="preserve"> and analyzing </w:t>
      </w:r>
      <w:r>
        <w:rPr>
          <w:rFonts w:ascii="Arial" w:hAnsi="Arial"/>
          <w:spacing w:val="-3"/>
        </w:rPr>
        <w:t xml:space="preserve">these </w:t>
      </w:r>
      <w:r w:rsidRPr="00093EDA">
        <w:rPr>
          <w:rFonts w:ascii="Arial" w:hAnsi="Arial"/>
          <w:spacing w:val="-3"/>
        </w:rPr>
        <w:t xml:space="preserve">RFP activities. </w:t>
      </w:r>
    </w:p>
    <w:p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Default="007F5F31" w:rsidP="009C5D44">
      <w:pPr>
        <w:tabs>
          <w:tab w:val="left" w:pos="-1440"/>
          <w:tab w:val="left" w:pos="-720"/>
          <w:tab w:val="left" w:pos="0"/>
          <w:tab w:val="left" w:pos="1080"/>
          <w:tab w:val="left" w:pos="1440"/>
        </w:tabs>
        <w:suppressAutoHyphens/>
        <w:jc w:val="both"/>
        <w:rPr>
          <w:rFonts w:ascii="Arial" w:hAnsi="Arial"/>
          <w:b/>
          <w:spacing w:val="-3"/>
        </w:rPr>
      </w:pPr>
      <w:r>
        <w:rPr>
          <w:rFonts w:ascii="Arial" w:hAnsi="Arial"/>
          <w:b/>
          <w:spacing w:val="-3"/>
        </w:rPr>
        <w:t>Conclusion</w:t>
      </w:r>
    </w:p>
    <w:p w:rsidR="002A6E17" w:rsidRP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Pr="002A6E17" w:rsidRDefault="007F5F31" w:rsidP="009C5D44">
      <w:pPr>
        <w:tabs>
          <w:tab w:val="left" w:pos="-1440"/>
          <w:tab w:val="left" w:pos="-720"/>
          <w:tab w:val="left" w:pos="0"/>
          <w:tab w:val="left" w:pos="1080"/>
          <w:tab w:val="left" w:pos="1440"/>
        </w:tabs>
        <w:suppressAutoHyphens/>
        <w:jc w:val="both"/>
        <w:rPr>
          <w:rFonts w:ascii="Arial" w:hAnsi="Arial"/>
          <w:spacing w:val="-3"/>
        </w:rPr>
      </w:pPr>
      <w:r w:rsidRPr="007F5F31">
        <w:rPr>
          <w:rFonts w:ascii="Arial" w:hAnsi="Arial"/>
          <w:spacing w:val="-3"/>
        </w:rPr>
        <w:t>Cascade's 20-year supply side resource goal is to continue to meet the energy needs of its core market customers with a package of services that combines adequate gas supplies and cost-effective winter peaking services with long-term pipeline transportation contracts and sufficient distribution system capacity at the lowest possible cost.</w:t>
      </w:r>
      <w:r w:rsidR="002A7EAE">
        <w:rPr>
          <w:rFonts w:ascii="Arial" w:hAnsi="Arial"/>
          <w:spacing w:val="-3"/>
        </w:rPr>
        <w:t xml:space="preserve">  The Company has identified several transport, storage</w:t>
      </w:r>
      <w:r w:rsidR="009519BB">
        <w:rPr>
          <w:rFonts w:ascii="Arial" w:hAnsi="Arial"/>
          <w:spacing w:val="-3"/>
        </w:rPr>
        <w:t>,</w:t>
      </w:r>
      <w:r w:rsidR="002A7EAE">
        <w:rPr>
          <w:rFonts w:ascii="Arial" w:hAnsi="Arial"/>
          <w:spacing w:val="-3"/>
        </w:rPr>
        <w:t xml:space="preserve"> and other alternative resources which </w:t>
      </w:r>
      <w:r w:rsidR="007F333C">
        <w:rPr>
          <w:rFonts w:ascii="Arial" w:hAnsi="Arial"/>
          <w:spacing w:val="-3"/>
        </w:rPr>
        <w:t>may</w:t>
      </w:r>
      <w:r w:rsidR="002A7EAE">
        <w:rPr>
          <w:rFonts w:ascii="Arial" w:hAnsi="Arial"/>
          <w:spacing w:val="-3"/>
        </w:rPr>
        <w:t xml:space="preserve"> be modeled to join the Company’s existing demand and supply side resources to address the load demand needs over the planning horizon.  The resource decision making process describe</w:t>
      </w:r>
      <w:r w:rsidR="007F333C">
        <w:rPr>
          <w:rFonts w:ascii="Arial" w:hAnsi="Arial"/>
          <w:spacing w:val="-3"/>
        </w:rPr>
        <w:t>d in Section 1</w:t>
      </w:r>
      <w:r w:rsidR="002A7EAE">
        <w:rPr>
          <w:rFonts w:ascii="Arial" w:hAnsi="Arial"/>
          <w:spacing w:val="-3"/>
        </w:rPr>
        <w:t xml:space="preserve"> </w:t>
      </w:r>
      <w:r w:rsidR="007F333C">
        <w:rPr>
          <w:rFonts w:ascii="Arial" w:hAnsi="Arial"/>
          <w:spacing w:val="-3"/>
        </w:rPr>
        <w:t xml:space="preserve">looks at the available current and alternative resources described here in Section 5.  The modeling of these various resources then results in the selection of the lowest, most reasonably priced </w:t>
      </w:r>
      <w:r w:rsidR="002A7EAE">
        <w:rPr>
          <w:rFonts w:ascii="Arial" w:hAnsi="Arial"/>
          <w:spacing w:val="-3"/>
        </w:rPr>
        <w:t xml:space="preserve">optimum portfolio.  </w:t>
      </w:r>
      <w:r w:rsidR="007F333C">
        <w:rPr>
          <w:rFonts w:ascii="Arial" w:hAnsi="Arial"/>
          <w:spacing w:val="-3"/>
        </w:rPr>
        <w:t xml:space="preserve">These results are discussed in detail in Section 8 </w:t>
      </w:r>
      <w:r w:rsidR="007F333C">
        <w:rPr>
          <w:rFonts w:ascii="Arial" w:hAnsi="Arial"/>
          <w:spacing w:val="-3"/>
        </w:rPr>
        <w:lastRenderedPageBreak/>
        <w:t>(Resource Integration), which in turn helps to shape the Company’s 2</w:t>
      </w:r>
      <w:r w:rsidR="009519BB">
        <w:rPr>
          <w:rFonts w:ascii="Arial" w:hAnsi="Arial"/>
          <w:spacing w:val="-3"/>
        </w:rPr>
        <w:t>-</w:t>
      </w:r>
      <w:r w:rsidR="007F333C">
        <w:rPr>
          <w:rFonts w:ascii="Arial" w:hAnsi="Arial"/>
          <w:spacing w:val="-3"/>
        </w:rPr>
        <w:t xml:space="preserve">Year Action Plan in Section 12. </w:t>
      </w:r>
    </w:p>
    <w:p w:rsidR="002A6E17" w:rsidRP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2A6E17" w:rsidRPr="002A6E17" w:rsidRDefault="002A6E17" w:rsidP="009C5D44">
      <w:pPr>
        <w:tabs>
          <w:tab w:val="left" w:pos="-1440"/>
          <w:tab w:val="left" w:pos="-720"/>
          <w:tab w:val="left" w:pos="0"/>
          <w:tab w:val="left" w:pos="1080"/>
          <w:tab w:val="left" w:pos="1440"/>
        </w:tabs>
        <w:suppressAutoHyphens/>
        <w:jc w:val="both"/>
        <w:rPr>
          <w:rFonts w:ascii="Arial" w:hAnsi="Arial"/>
          <w:spacing w:val="-3"/>
        </w:rPr>
      </w:pPr>
    </w:p>
    <w:p w:rsidR="00452597" w:rsidRPr="002A6E17" w:rsidRDefault="00452597" w:rsidP="009C5D44">
      <w:pPr>
        <w:tabs>
          <w:tab w:val="left" w:pos="-1440"/>
          <w:tab w:val="left" w:pos="-720"/>
          <w:tab w:val="left" w:pos="0"/>
          <w:tab w:val="left" w:pos="1080"/>
          <w:tab w:val="left" w:pos="1440"/>
        </w:tabs>
        <w:suppressAutoHyphens/>
        <w:jc w:val="both"/>
        <w:rPr>
          <w:rFonts w:ascii="Arial" w:hAnsi="Arial"/>
          <w:spacing w:val="-3"/>
        </w:rPr>
      </w:pPr>
    </w:p>
    <w:sectPr w:rsidR="00452597" w:rsidRPr="002A6E17" w:rsidSect="00660363">
      <w:headerReference w:type="default" r:id="rId13"/>
      <w:footerReference w:type="default" r:id="rId14"/>
      <w:pgSz w:w="12240" w:h="15840" w:code="1"/>
      <w:pgMar w:top="1440" w:right="1440" w:bottom="245" w:left="216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34CA9" w:rsidRDefault="00A34CA9" w:rsidP="004430AB">
      <w:r>
        <w:separator/>
      </w:r>
    </w:p>
  </w:endnote>
  <w:endnote w:type="continuationSeparator" w:id="0">
    <w:p w:rsidR="00A34CA9" w:rsidRDefault="00A34CA9" w:rsidP="004430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onstantia">
    <w:panose1 w:val="02030602050306030303"/>
    <w:charset w:val="00"/>
    <w:family w:val="roman"/>
    <w:pitch w:val="variable"/>
    <w:sig w:usb0="A00002EF" w:usb1="4000204B" w:usb2="00000000" w:usb3="00000000" w:csb0="0000019F" w:csb1="00000000"/>
  </w:font>
  <w:font w:name="Calibri">
    <w:panose1 w:val="020F0502020204030204"/>
    <w:charset w:val="00"/>
    <w:family w:val="swiss"/>
    <w:pitch w:val="variable"/>
    <w:sig w:usb0="E00002FF" w:usb1="4000ACFF" w:usb2="00000001" w:usb3="00000000" w:csb0="0000019F" w:csb1="00000000"/>
  </w:font>
  <w:font w:name="Times 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AA" w:rsidRPr="00660363" w:rsidRDefault="00620DAA">
    <w:pPr>
      <w:pStyle w:val="Footer"/>
      <w:jc w:val="center"/>
      <w:rPr>
        <w:rFonts w:ascii="Arial" w:hAnsi="Arial" w:cs="Arial"/>
        <w:i/>
        <w:sz w:val="16"/>
        <w:szCs w:val="16"/>
      </w:rPr>
    </w:pPr>
    <w:r w:rsidRPr="00660363">
      <w:rPr>
        <w:rFonts w:ascii="Arial" w:hAnsi="Arial" w:cs="Arial"/>
        <w:i/>
        <w:sz w:val="16"/>
        <w:szCs w:val="16"/>
      </w:rPr>
      <w:t>Page</w:t>
    </w:r>
    <w:r w:rsidR="006134BA">
      <w:rPr>
        <w:rFonts w:ascii="Arial" w:hAnsi="Arial" w:cs="Arial"/>
        <w:i/>
        <w:sz w:val="16"/>
        <w:szCs w:val="16"/>
      </w:rPr>
      <w:t xml:space="preserve"> 4-</w:t>
    </w:r>
    <w:r w:rsidRPr="00660363">
      <w:rPr>
        <w:rFonts w:ascii="Arial" w:hAnsi="Arial" w:cs="Arial"/>
        <w:i/>
        <w:sz w:val="16"/>
        <w:szCs w:val="16"/>
      </w:rPr>
      <w:fldChar w:fldCharType="begin"/>
    </w:r>
    <w:r w:rsidRPr="00660363">
      <w:rPr>
        <w:rFonts w:ascii="Arial" w:hAnsi="Arial" w:cs="Arial"/>
        <w:i/>
        <w:sz w:val="16"/>
        <w:szCs w:val="16"/>
      </w:rPr>
      <w:instrText xml:space="preserve"> PAGE  \* Arabic  \* MERGEFORMAT </w:instrText>
    </w:r>
    <w:r w:rsidRPr="00660363">
      <w:rPr>
        <w:rFonts w:ascii="Arial" w:hAnsi="Arial" w:cs="Arial"/>
        <w:i/>
        <w:sz w:val="16"/>
        <w:szCs w:val="16"/>
      </w:rPr>
      <w:fldChar w:fldCharType="separate"/>
    </w:r>
    <w:r w:rsidR="006134BA">
      <w:rPr>
        <w:rFonts w:ascii="Arial" w:hAnsi="Arial" w:cs="Arial"/>
        <w:i/>
        <w:noProof/>
        <w:sz w:val="16"/>
        <w:szCs w:val="16"/>
      </w:rPr>
      <w:t>2</w:t>
    </w:r>
    <w:r w:rsidRPr="00660363">
      <w:rPr>
        <w:rFonts w:ascii="Arial" w:hAnsi="Arial" w:cs="Arial"/>
        <w:i/>
        <w:sz w:val="16"/>
        <w:szCs w:val="16"/>
      </w:rPr>
      <w:fldChar w:fldCharType="end"/>
    </w:r>
  </w:p>
  <w:p w:rsidR="00620DAA" w:rsidRDefault="00620DA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34CA9" w:rsidRDefault="00A34CA9" w:rsidP="004430AB">
      <w:r>
        <w:separator/>
      </w:r>
    </w:p>
  </w:footnote>
  <w:footnote w:type="continuationSeparator" w:id="0">
    <w:p w:rsidR="00A34CA9" w:rsidRDefault="00A34CA9" w:rsidP="004430AB">
      <w:r>
        <w:continuationSeparator/>
      </w:r>
    </w:p>
  </w:footnote>
  <w:footnote w:id="1">
    <w:p w:rsidR="00620DAA" w:rsidRPr="00364496" w:rsidRDefault="00620DAA">
      <w:pPr>
        <w:pStyle w:val="FootnoteText"/>
        <w:rPr>
          <w:rFonts w:ascii="Arial" w:hAnsi="Arial" w:cs="Arial"/>
          <w:sz w:val="16"/>
          <w:szCs w:val="16"/>
        </w:rPr>
      </w:pPr>
      <w:r w:rsidRPr="00364496">
        <w:rPr>
          <w:rStyle w:val="FootnoteReference"/>
          <w:rFonts w:ascii="Arial" w:hAnsi="Arial" w:cs="Arial"/>
          <w:sz w:val="16"/>
          <w:szCs w:val="16"/>
        </w:rPr>
        <w:footnoteRef/>
      </w:r>
      <w:r w:rsidRPr="00364496">
        <w:rPr>
          <w:rFonts w:ascii="Arial" w:hAnsi="Arial" w:cs="Arial"/>
          <w:sz w:val="16"/>
          <w:szCs w:val="16"/>
        </w:rPr>
        <w:t xml:space="preserve"> EIA 2016 Annual Energy Outlook, Appendix C</w:t>
      </w:r>
    </w:p>
  </w:footnote>
  <w:footnote w:id="2">
    <w:p w:rsidR="00620DAA" w:rsidRPr="007F04B7" w:rsidRDefault="00620DAA">
      <w:pPr>
        <w:pStyle w:val="FootnoteText"/>
        <w:rPr>
          <w:rFonts w:ascii="Arial" w:hAnsi="Arial" w:cs="Arial"/>
          <w:sz w:val="16"/>
          <w:szCs w:val="16"/>
        </w:rPr>
      </w:pPr>
      <w:r w:rsidRPr="007F04B7">
        <w:rPr>
          <w:rStyle w:val="FootnoteReference"/>
          <w:rFonts w:ascii="Arial" w:hAnsi="Arial" w:cs="Arial"/>
          <w:sz w:val="16"/>
          <w:szCs w:val="16"/>
        </w:rPr>
        <w:footnoteRef/>
      </w:r>
      <w:r w:rsidRPr="007F04B7">
        <w:rPr>
          <w:rFonts w:ascii="Arial" w:hAnsi="Arial" w:cs="Arial"/>
          <w:sz w:val="16"/>
          <w:szCs w:val="16"/>
        </w:rPr>
        <w:t xml:space="preserve"> GSOC annually determines the number of years (0 to 5) to include in the rolling portfolio plan.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0DAA" w:rsidRPr="000715A9" w:rsidRDefault="00620DAA" w:rsidP="00660363">
    <w:pPr>
      <w:tabs>
        <w:tab w:val="center" w:pos="4680"/>
        <w:tab w:val="right" w:pos="9360"/>
      </w:tabs>
      <w:rPr>
        <w:rFonts w:ascii="Arial" w:hAnsi="Arial" w:cs="Arial"/>
        <w:i/>
        <w:szCs w:val="24"/>
      </w:rPr>
    </w:pPr>
    <w:r w:rsidRPr="000715A9">
      <w:rPr>
        <w:rFonts w:ascii="Arial" w:hAnsi="Arial" w:cs="Arial"/>
        <w:i/>
        <w:szCs w:val="24"/>
      </w:rPr>
      <w:t>Cascade Natural Gas Corporation</w:t>
    </w:r>
  </w:p>
  <w:p w:rsidR="00620DAA" w:rsidRPr="00660363" w:rsidRDefault="00620DAA" w:rsidP="00660363">
    <w:pPr>
      <w:pStyle w:val="Header"/>
    </w:pPr>
    <w:r w:rsidRPr="000715A9">
      <w:rPr>
        <w:rFonts w:ascii="Arial" w:hAnsi="Arial" w:cs="Arial"/>
        <w:i/>
        <w:szCs w:val="24"/>
      </w:rPr>
      <w:t xml:space="preserve"> </w:t>
    </w:r>
    <w:r>
      <w:rPr>
        <w:rFonts w:ascii="Arial" w:hAnsi="Arial" w:cs="Arial"/>
        <w:i/>
        <w:szCs w:val="24"/>
      </w:rPr>
      <w:t xml:space="preserve">DRAFT </w:t>
    </w:r>
    <w:r w:rsidRPr="000715A9">
      <w:rPr>
        <w:rFonts w:ascii="Arial" w:hAnsi="Arial" w:cs="Arial"/>
        <w:i/>
        <w:szCs w:val="24"/>
      </w:rPr>
      <w:t>2016 Integrated Resource Plan (UG-160453)</w:t>
    </w:r>
    <w:r>
      <w:rPr>
        <w:rFonts w:ascii="Arial" w:hAnsi="Arial" w:cs="Arial"/>
        <w:i/>
        <w:szCs w:val="24"/>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3F423BDE"/>
    <w:lvl w:ilvl="0">
      <w:start w:val="1"/>
      <w:numFmt w:val="decimal"/>
      <w:pStyle w:val="ListNumber5"/>
      <w:lvlText w:val="%1."/>
      <w:lvlJc w:val="left"/>
      <w:pPr>
        <w:tabs>
          <w:tab w:val="num" w:pos="1800"/>
        </w:tabs>
        <w:ind w:left="1800" w:hanging="360"/>
      </w:pPr>
    </w:lvl>
  </w:abstractNum>
  <w:abstractNum w:abstractNumId="1" w15:restartNumberingAfterBreak="0">
    <w:nsid w:val="FFFFFF7D"/>
    <w:multiLevelType w:val="singleLevel"/>
    <w:tmpl w:val="12CC8A86"/>
    <w:lvl w:ilvl="0">
      <w:start w:val="1"/>
      <w:numFmt w:val="decimal"/>
      <w:pStyle w:val="ListNumber4"/>
      <w:lvlText w:val="%1."/>
      <w:lvlJc w:val="left"/>
      <w:pPr>
        <w:tabs>
          <w:tab w:val="num" w:pos="1440"/>
        </w:tabs>
        <w:ind w:left="1440" w:hanging="360"/>
      </w:pPr>
    </w:lvl>
  </w:abstractNum>
  <w:abstractNum w:abstractNumId="2" w15:restartNumberingAfterBreak="0">
    <w:nsid w:val="FFFFFF7E"/>
    <w:multiLevelType w:val="singleLevel"/>
    <w:tmpl w:val="BCEA13D8"/>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C02C05AE"/>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301078"/>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D31A363A"/>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ACC23078"/>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9D02FCD8"/>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6944E1A2"/>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F65020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847481"/>
    <w:multiLevelType w:val="hybridMultilevel"/>
    <w:tmpl w:val="6DFAA2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F556D18"/>
    <w:multiLevelType w:val="hybridMultilevel"/>
    <w:tmpl w:val="243A4320"/>
    <w:lvl w:ilvl="0" w:tplc="92544208">
      <w:start w:val="1"/>
      <w:numFmt w:val="bullet"/>
      <w:lvlText w:val="•"/>
      <w:lvlJc w:val="left"/>
      <w:pPr>
        <w:tabs>
          <w:tab w:val="num" w:pos="720"/>
        </w:tabs>
        <w:ind w:left="720" w:hanging="360"/>
      </w:pPr>
      <w:rPr>
        <w:rFonts w:ascii="Arial" w:hAnsi="Arial" w:hint="default"/>
      </w:rPr>
    </w:lvl>
    <w:lvl w:ilvl="1" w:tplc="8DD0F5F8">
      <w:start w:val="52"/>
      <w:numFmt w:val="bullet"/>
      <w:lvlText w:val="–"/>
      <w:lvlJc w:val="left"/>
      <w:pPr>
        <w:tabs>
          <w:tab w:val="num" w:pos="1440"/>
        </w:tabs>
        <w:ind w:left="1440" w:hanging="360"/>
      </w:pPr>
      <w:rPr>
        <w:rFonts w:ascii="Arial" w:hAnsi="Arial" w:hint="default"/>
      </w:rPr>
    </w:lvl>
    <w:lvl w:ilvl="2" w:tplc="E40886D4" w:tentative="1">
      <w:start w:val="1"/>
      <w:numFmt w:val="bullet"/>
      <w:lvlText w:val="•"/>
      <w:lvlJc w:val="left"/>
      <w:pPr>
        <w:tabs>
          <w:tab w:val="num" w:pos="2160"/>
        </w:tabs>
        <w:ind w:left="2160" w:hanging="360"/>
      </w:pPr>
      <w:rPr>
        <w:rFonts w:ascii="Arial" w:hAnsi="Arial" w:hint="default"/>
      </w:rPr>
    </w:lvl>
    <w:lvl w:ilvl="3" w:tplc="0F78E844" w:tentative="1">
      <w:start w:val="1"/>
      <w:numFmt w:val="bullet"/>
      <w:lvlText w:val="•"/>
      <w:lvlJc w:val="left"/>
      <w:pPr>
        <w:tabs>
          <w:tab w:val="num" w:pos="2880"/>
        </w:tabs>
        <w:ind w:left="2880" w:hanging="360"/>
      </w:pPr>
      <w:rPr>
        <w:rFonts w:ascii="Arial" w:hAnsi="Arial" w:hint="default"/>
      </w:rPr>
    </w:lvl>
    <w:lvl w:ilvl="4" w:tplc="3B0CBA4C" w:tentative="1">
      <w:start w:val="1"/>
      <w:numFmt w:val="bullet"/>
      <w:lvlText w:val="•"/>
      <w:lvlJc w:val="left"/>
      <w:pPr>
        <w:tabs>
          <w:tab w:val="num" w:pos="3600"/>
        </w:tabs>
        <w:ind w:left="3600" w:hanging="360"/>
      </w:pPr>
      <w:rPr>
        <w:rFonts w:ascii="Arial" w:hAnsi="Arial" w:hint="default"/>
      </w:rPr>
    </w:lvl>
    <w:lvl w:ilvl="5" w:tplc="95C89E30" w:tentative="1">
      <w:start w:val="1"/>
      <w:numFmt w:val="bullet"/>
      <w:lvlText w:val="•"/>
      <w:lvlJc w:val="left"/>
      <w:pPr>
        <w:tabs>
          <w:tab w:val="num" w:pos="4320"/>
        </w:tabs>
        <w:ind w:left="4320" w:hanging="360"/>
      </w:pPr>
      <w:rPr>
        <w:rFonts w:ascii="Arial" w:hAnsi="Arial" w:hint="default"/>
      </w:rPr>
    </w:lvl>
    <w:lvl w:ilvl="6" w:tplc="11706A92" w:tentative="1">
      <w:start w:val="1"/>
      <w:numFmt w:val="bullet"/>
      <w:lvlText w:val="•"/>
      <w:lvlJc w:val="left"/>
      <w:pPr>
        <w:tabs>
          <w:tab w:val="num" w:pos="5040"/>
        </w:tabs>
        <w:ind w:left="5040" w:hanging="360"/>
      </w:pPr>
      <w:rPr>
        <w:rFonts w:ascii="Arial" w:hAnsi="Arial" w:hint="default"/>
      </w:rPr>
    </w:lvl>
    <w:lvl w:ilvl="7" w:tplc="F536AA42" w:tentative="1">
      <w:start w:val="1"/>
      <w:numFmt w:val="bullet"/>
      <w:lvlText w:val="•"/>
      <w:lvlJc w:val="left"/>
      <w:pPr>
        <w:tabs>
          <w:tab w:val="num" w:pos="5760"/>
        </w:tabs>
        <w:ind w:left="5760" w:hanging="360"/>
      </w:pPr>
      <w:rPr>
        <w:rFonts w:ascii="Arial" w:hAnsi="Arial" w:hint="default"/>
      </w:rPr>
    </w:lvl>
    <w:lvl w:ilvl="8" w:tplc="2E748988"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36B199D"/>
    <w:multiLevelType w:val="hybridMultilevel"/>
    <w:tmpl w:val="AFEEF34C"/>
    <w:lvl w:ilvl="0" w:tplc="04090001">
      <w:start w:val="1"/>
      <w:numFmt w:val="bullet"/>
      <w:lvlText w:val=""/>
      <w:lvlJc w:val="left"/>
      <w:pPr>
        <w:ind w:left="840" w:hanging="360"/>
      </w:pPr>
      <w:rPr>
        <w:rFonts w:ascii="Symbol" w:hAnsi="Symbol"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13" w15:restartNumberingAfterBreak="0">
    <w:nsid w:val="268B4BBD"/>
    <w:multiLevelType w:val="hybridMultilevel"/>
    <w:tmpl w:val="9DF89B6E"/>
    <w:lvl w:ilvl="0" w:tplc="424256EC">
      <w:start w:val="1"/>
      <w:numFmt w:val="bullet"/>
      <w:lvlText w:val="•"/>
      <w:lvlJc w:val="left"/>
      <w:pPr>
        <w:tabs>
          <w:tab w:val="num" w:pos="720"/>
        </w:tabs>
        <w:ind w:left="720" w:hanging="360"/>
      </w:pPr>
      <w:rPr>
        <w:rFonts w:ascii="Arial" w:hAnsi="Arial" w:hint="default"/>
      </w:rPr>
    </w:lvl>
    <w:lvl w:ilvl="1" w:tplc="05DE6E62">
      <w:start w:val="20"/>
      <w:numFmt w:val="bullet"/>
      <w:lvlText w:val="•"/>
      <w:lvlJc w:val="left"/>
      <w:pPr>
        <w:tabs>
          <w:tab w:val="num" w:pos="1440"/>
        </w:tabs>
        <w:ind w:left="1440" w:hanging="360"/>
      </w:pPr>
      <w:rPr>
        <w:rFonts w:ascii="Arial" w:hAnsi="Arial" w:hint="default"/>
      </w:rPr>
    </w:lvl>
    <w:lvl w:ilvl="2" w:tplc="FE98D270" w:tentative="1">
      <w:start w:val="1"/>
      <w:numFmt w:val="bullet"/>
      <w:lvlText w:val="•"/>
      <w:lvlJc w:val="left"/>
      <w:pPr>
        <w:tabs>
          <w:tab w:val="num" w:pos="2160"/>
        </w:tabs>
        <w:ind w:left="2160" w:hanging="360"/>
      </w:pPr>
      <w:rPr>
        <w:rFonts w:ascii="Arial" w:hAnsi="Arial" w:hint="default"/>
      </w:rPr>
    </w:lvl>
    <w:lvl w:ilvl="3" w:tplc="CA4AF73A" w:tentative="1">
      <w:start w:val="1"/>
      <w:numFmt w:val="bullet"/>
      <w:lvlText w:val="•"/>
      <w:lvlJc w:val="left"/>
      <w:pPr>
        <w:tabs>
          <w:tab w:val="num" w:pos="2880"/>
        </w:tabs>
        <w:ind w:left="2880" w:hanging="360"/>
      </w:pPr>
      <w:rPr>
        <w:rFonts w:ascii="Arial" w:hAnsi="Arial" w:hint="default"/>
      </w:rPr>
    </w:lvl>
    <w:lvl w:ilvl="4" w:tplc="F992EB7E" w:tentative="1">
      <w:start w:val="1"/>
      <w:numFmt w:val="bullet"/>
      <w:lvlText w:val="•"/>
      <w:lvlJc w:val="left"/>
      <w:pPr>
        <w:tabs>
          <w:tab w:val="num" w:pos="3600"/>
        </w:tabs>
        <w:ind w:left="3600" w:hanging="360"/>
      </w:pPr>
      <w:rPr>
        <w:rFonts w:ascii="Arial" w:hAnsi="Arial" w:hint="default"/>
      </w:rPr>
    </w:lvl>
    <w:lvl w:ilvl="5" w:tplc="FDC62F32" w:tentative="1">
      <w:start w:val="1"/>
      <w:numFmt w:val="bullet"/>
      <w:lvlText w:val="•"/>
      <w:lvlJc w:val="left"/>
      <w:pPr>
        <w:tabs>
          <w:tab w:val="num" w:pos="4320"/>
        </w:tabs>
        <w:ind w:left="4320" w:hanging="360"/>
      </w:pPr>
      <w:rPr>
        <w:rFonts w:ascii="Arial" w:hAnsi="Arial" w:hint="default"/>
      </w:rPr>
    </w:lvl>
    <w:lvl w:ilvl="6" w:tplc="F5320930" w:tentative="1">
      <w:start w:val="1"/>
      <w:numFmt w:val="bullet"/>
      <w:lvlText w:val="•"/>
      <w:lvlJc w:val="left"/>
      <w:pPr>
        <w:tabs>
          <w:tab w:val="num" w:pos="5040"/>
        </w:tabs>
        <w:ind w:left="5040" w:hanging="360"/>
      </w:pPr>
      <w:rPr>
        <w:rFonts w:ascii="Arial" w:hAnsi="Arial" w:hint="default"/>
      </w:rPr>
    </w:lvl>
    <w:lvl w:ilvl="7" w:tplc="DA72F57E" w:tentative="1">
      <w:start w:val="1"/>
      <w:numFmt w:val="bullet"/>
      <w:lvlText w:val="•"/>
      <w:lvlJc w:val="left"/>
      <w:pPr>
        <w:tabs>
          <w:tab w:val="num" w:pos="5760"/>
        </w:tabs>
        <w:ind w:left="5760" w:hanging="360"/>
      </w:pPr>
      <w:rPr>
        <w:rFonts w:ascii="Arial" w:hAnsi="Arial" w:hint="default"/>
      </w:rPr>
    </w:lvl>
    <w:lvl w:ilvl="8" w:tplc="894A6654"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30195C38"/>
    <w:multiLevelType w:val="hybridMultilevel"/>
    <w:tmpl w:val="40DA3D92"/>
    <w:lvl w:ilvl="0" w:tplc="04090001">
      <w:start w:val="1"/>
      <w:numFmt w:val="bullet"/>
      <w:lvlText w:val=""/>
      <w:lvlJc w:val="left"/>
      <w:pPr>
        <w:ind w:left="840" w:hanging="360"/>
      </w:pPr>
      <w:rPr>
        <w:rFonts w:ascii="Symbol" w:hAnsi="Symbol"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15" w15:restartNumberingAfterBreak="0">
    <w:nsid w:val="32D265D2"/>
    <w:multiLevelType w:val="hybridMultilevel"/>
    <w:tmpl w:val="D4381548"/>
    <w:lvl w:ilvl="0" w:tplc="CABE7F94">
      <w:start w:val="1"/>
      <w:numFmt w:val="bullet"/>
      <w:lvlText w:val=""/>
      <w:lvlJc w:val="left"/>
      <w:pPr>
        <w:ind w:left="460" w:hanging="360"/>
      </w:pPr>
      <w:rPr>
        <w:rFonts w:ascii="Symbol" w:eastAsia="Symbol" w:hAnsi="Symbol" w:hint="default"/>
        <w:sz w:val="22"/>
        <w:szCs w:val="22"/>
      </w:rPr>
    </w:lvl>
    <w:lvl w:ilvl="1" w:tplc="DAB60C92">
      <w:start w:val="1"/>
      <w:numFmt w:val="bullet"/>
      <w:lvlText w:val="o"/>
      <w:lvlJc w:val="left"/>
      <w:pPr>
        <w:ind w:left="1180" w:hanging="360"/>
      </w:pPr>
      <w:rPr>
        <w:rFonts w:ascii="Courier New" w:eastAsia="Courier New" w:hAnsi="Courier New" w:hint="default"/>
        <w:sz w:val="22"/>
        <w:szCs w:val="22"/>
      </w:rPr>
    </w:lvl>
    <w:lvl w:ilvl="2" w:tplc="B5007682">
      <w:start w:val="1"/>
      <w:numFmt w:val="bullet"/>
      <w:lvlText w:val="•"/>
      <w:lvlJc w:val="left"/>
      <w:pPr>
        <w:ind w:left="1111" w:hanging="360"/>
      </w:pPr>
      <w:rPr>
        <w:rFonts w:hint="default"/>
      </w:rPr>
    </w:lvl>
    <w:lvl w:ilvl="3" w:tplc="E4309F0E">
      <w:start w:val="1"/>
      <w:numFmt w:val="bullet"/>
      <w:lvlText w:val="•"/>
      <w:lvlJc w:val="left"/>
      <w:pPr>
        <w:ind w:left="1180" w:hanging="360"/>
      </w:pPr>
      <w:rPr>
        <w:rFonts w:hint="default"/>
      </w:rPr>
    </w:lvl>
    <w:lvl w:ilvl="4" w:tplc="546417E0">
      <w:start w:val="1"/>
      <w:numFmt w:val="bullet"/>
      <w:lvlText w:val="•"/>
      <w:lvlJc w:val="left"/>
      <w:pPr>
        <w:ind w:left="2377" w:hanging="360"/>
      </w:pPr>
      <w:rPr>
        <w:rFonts w:hint="default"/>
      </w:rPr>
    </w:lvl>
    <w:lvl w:ilvl="5" w:tplc="3C4A3158">
      <w:start w:val="1"/>
      <w:numFmt w:val="bullet"/>
      <w:lvlText w:val="•"/>
      <w:lvlJc w:val="left"/>
      <w:pPr>
        <w:ind w:left="3574" w:hanging="360"/>
      </w:pPr>
      <w:rPr>
        <w:rFonts w:hint="default"/>
      </w:rPr>
    </w:lvl>
    <w:lvl w:ilvl="6" w:tplc="89786164">
      <w:start w:val="1"/>
      <w:numFmt w:val="bullet"/>
      <w:lvlText w:val="•"/>
      <w:lvlJc w:val="left"/>
      <w:pPr>
        <w:ind w:left="4771" w:hanging="360"/>
      </w:pPr>
      <w:rPr>
        <w:rFonts w:hint="default"/>
      </w:rPr>
    </w:lvl>
    <w:lvl w:ilvl="7" w:tplc="B6CE9014">
      <w:start w:val="1"/>
      <w:numFmt w:val="bullet"/>
      <w:lvlText w:val="•"/>
      <w:lvlJc w:val="left"/>
      <w:pPr>
        <w:ind w:left="5968" w:hanging="360"/>
      </w:pPr>
      <w:rPr>
        <w:rFonts w:hint="default"/>
      </w:rPr>
    </w:lvl>
    <w:lvl w:ilvl="8" w:tplc="D7C8AED8">
      <w:start w:val="1"/>
      <w:numFmt w:val="bullet"/>
      <w:lvlText w:val="•"/>
      <w:lvlJc w:val="left"/>
      <w:pPr>
        <w:ind w:left="7165" w:hanging="360"/>
      </w:pPr>
      <w:rPr>
        <w:rFonts w:hint="default"/>
      </w:rPr>
    </w:lvl>
  </w:abstractNum>
  <w:abstractNum w:abstractNumId="16" w15:restartNumberingAfterBreak="0">
    <w:nsid w:val="346F33CB"/>
    <w:multiLevelType w:val="hybridMultilevel"/>
    <w:tmpl w:val="5A04D90E"/>
    <w:lvl w:ilvl="0" w:tplc="9C6205A6">
      <w:start w:val="1"/>
      <w:numFmt w:val="bullet"/>
      <w:lvlText w:val=""/>
      <w:lvlJc w:val="left"/>
      <w:pPr>
        <w:tabs>
          <w:tab w:val="num" w:pos="720"/>
        </w:tabs>
        <w:ind w:left="720" w:hanging="360"/>
      </w:pPr>
      <w:rPr>
        <w:rFonts w:ascii="Symbol" w:hAnsi="Symbol" w:hint="default"/>
      </w:rPr>
    </w:lvl>
    <w:lvl w:ilvl="1" w:tplc="2FA428BC">
      <w:start w:val="20"/>
      <w:numFmt w:val="bullet"/>
      <w:lvlText w:val=""/>
      <w:lvlJc w:val="left"/>
      <w:pPr>
        <w:tabs>
          <w:tab w:val="num" w:pos="1440"/>
        </w:tabs>
        <w:ind w:left="1440" w:hanging="360"/>
      </w:pPr>
      <w:rPr>
        <w:rFonts w:ascii="Symbol" w:hAnsi="Symbol" w:hint="default"/>
      </w:rPr>
    </w:lvl>
    <w:lvl w:ilvl="2" w:tplc="0EC87078" w:tentative="1">
      <w:start w:val="1"/>
      <w:numFmt w:val="bullet"/>
      <w:lvlText w:val=""/>
      <w:lvlJc w:val="left"/>
      <w:pPr>
        <w:tabs>
          <w:tab w:val="num" w:pos="2160"/>
        </w:tabs>
        <w:ind w:left="2160" w:hanging="360"/>
      </w:pPr>
      <w:rPr>
        <w:rFonts w:ascii="Symbol" w:hAnsi="Symbol" w:hint="default"/>
      </w:rPr>
    </w:lvl>
    <w:lvl w:ilvl="3" w:tplc="3B6629B2" w:tentative="1">
      <w:start w:val="1"/>
      <w:numFmt w:val="bullet"/>
      <w:lvlText w:val=""/>
      <w:lvlJc w:val="left"/>
      <w:pPr>
        <w:tabs>
          <w:tab w:val="num" w:pos="2880"/>
        </w:tabs>
        <w:ind w:left="2880" w:hanging="360"/>
      </w:pPr>
      <w:rPr>
        <w:rFonts w:ascii="Symbol" w:hAnsi="Symbol" w:hint="default"/>
      </w:rPr>
    </w:lvl>
    <w:lvl w:ilvl="4" w:tplc="F9420712" w:tentative="1">
      <w:start w:val="1"/>
      <w:numFmt w:val="bullet"/>
      <w:lvlText w:val=""/>
      <w:lvlJc w:val="left"/>
      <w:pPr>
        <w:tabs>
          <w:tab w:val="num" w:pos="3600"/>
        </w:tabs>
        <w:ind w:left="3600" w:hanging="360"/>
      </w:pPr>
      <w:rPr>
        <w:rFonts w:ascii="Symbol" w:hAnsi="Symbol" w:hint="default"/>
      </w:rPr>
    </w:lvl>
    <w:lvl w:ilvl="5" w:tplc="ABE29F74" w:tentative="1">
      <w:start w:val="1"/>
      <w:numFmt w:val="bullet"/>
      <w:lvlText w:val=""/>
      <w:lvlJc w:val="left"/>
      <w:pPr>
        <w:tabs>
          <w:tab w:val="num" w:pos="4320"/>
        </w:tabs>
        <w:ind w:left="4320" w:hanging="360"/>
      </w:pPr>
      <w:rPr>
        <w:rFonts w:ascii="Symbol" w:hAnsi="Symbol" w:hint="default"/>
      </w:rPr>
    </w:lvl>
    <w:lvl w:ilvl="6" w:tplc="BA2A704A" w:tentative="1">
      <w:start w:val="1"/>
      <w:numFmt w:val="bullet"/>
      <w:lvlText w:val=""/>
      <w:lvlJc w:val="left"/>
      <w:pPr>
        <w:tabs>
          <w:tab w:val="num" w:pos="5040"/>
        </w:tabs>
        <w:ind w:left="5040" w:hanging="360"/>
      </w:pPr>
      <w:rPr>
        <w:rFonts w:ascii="Symbol" w:hAnsi="Symbol" w:hint="default"/>
      </w:rPr>
    </w:lvl>
    <w:lvl w:ilvl="7" w:tplc="44447490" w:tentative="1">
      <w:start w:val="1"/>
      <w:numFmt w:val="bullet"/>
      <w:lvlText w:val=""/>
      <w:lvlJc w:val="left"/>
      <w:pPr>
        <w:tabs>
          <w:tab w:val="num" w:pos="5760"/>
        </w:tabs>
        <w:ind w:left="5760" w:hanging="360"/>
      </w:pPr>
      <w:rPr>
        <w:rFonts w:ascii="Symbol" w:hAnsi="Symbol" w:hint="default"/>
      </w:rPr>
    </w:lvl>
    <w:lvl w:ilvl="8" w:tplc="1D661916" w:tentative="1">
      <w:start w:val="1"/>
      <w:numFmt w:val="bullet"/>
      <w:lvlText w:val=""/>
      <w:lvlJc w:val="left"/>
      <w:pPr>
        <w:tabs>
          <w:tab w:val="num" w:pos="6480"/>
        </w:tabs>
        <w:ind w:left="6480" w:hanging="360"/>
      </w:pPr>
      <w:rPr>
        <w:rFonts w:ascii="Symbol" w:hAnsi="Symbol" w:hint="default"/>
      </w:rPr>
    </w:lvl>
  </w:abstractNum>
  <w:abstractNum w:abstractNumId="17" w15:restartNumberingAfterBreak="0">
    <w:nsid w:val="349867EF"/>
    <w:multiLevelType w:val="hybridMultilevel"/>
    <w:tmpl w:val="375068E6"/>
    <w:lvl w:ilvl="0" w:tplc="BFC22192">
      <w:start w:val="1"/>
      <w:numFmt w:val="bullet"/>
      <w:lvlText w:val=""/>
      <w:lvlJc w:val="left"/>
      <w:pPr>
        <w:tabs>
          <w:tab w:val="num" w:pos="720"/>
        </w:tabs>
        <w:ind w:left="720" w:hanging="360"/>
      </w:pPr>
      <w:rPr>
        <w:rFonts w:ascii="Symbol" w:hAnsi="Symbol" w:hint="default"/>
      </w:rPr>
    </w:lvl>
    <w:lvl w:ilvl="1" w:tplc="45764FCE">
      <w:start w:val="20"/>
      <w:numFmt w:val="bullet"/>
      <w:lvlText w:val=""/>
      <w:lvlJc w:val="left"/>
      <w:pPr>
        <w:tabs>
          <w:tab w:val="num" w:pos="1440"/>
        </w:tabs>
        <w:ind w:left="1440" w:hanging="360"/>
      </w:pPr>
      <w:rPr>
        <w:rFonts w:ascii="Symbol" w:hAnsi="Symbol" w:hint="default"/>
      </w:rPr>
    </w:lvl>
    <w:lvl w:ilvl="2" w:tplc="0BB6C766" w:tentative="1">
      <w:start w:val="1"/>
      <w:numFmt w:val="bullet"/>
      <w:lvlText w:val=""/>
      <w:lvlJc w:val="left"/>
      <w:pPr>
        <w:tabs>
          <w:tab w:val="num" w:pos="2160"/>
        </w:tabs>
        <w:ind w:left="2160" w:hanging="360"/>
      </w:pPr>
      <w:rPr>
        <w:rFonts w:ascii="Symbol" w:hAnsi="Symbol" w:hint="default"/>
      </w:rPr>
    </w:lvl>
    <w:lvl w:ilvl="3" w:tplc="21981472" w:tentative="1">
      <w:start w:val="1"/>
      <w:numFmt w:val="bullet"/>
      <w:lvlText w:val=""/>
      <w:lvlJc w:val="left"/>
      <w:pPr>
        <w:tabs>
          <w:tab w:val="num" w:pos="2880"/>
        </w:tabs>
        <w:ind w:left="2880" w:hanging="360"/>
      </w:pPr>
      <w:rPr>
        <w:rFonts w:ascii="Symbol" w:hAnsi="Symbol" w:hint="default"/>
      </w:rPr>
    </w:lvl>
    <w:lvl w:ilvl="4" w:tplc="C41AB54E" w:tentative="1">
      <w:start w:val="1"/>
      <w:numFmt w:val="bullet"/>
      <w:lvlText w:val=""/>
      <w:lvlJc w:val="left"/>
      <w:pPr>
        <w:tabs>
          <w:tab w:val="num" w:pos="3600"/>
        </w:tabs>
        <w:ind w:left="3600" w:hanging="360"/>
      </w:pPr>
      <w:rPr>
        <w:rFonts w:ascii="Symbol" w:hAnsi="Symbol" w:hint="default"/>
      </w:rPr>
    </w:lvl>
    <w:lvl w:ilvl="5" w:tplc="12C8DDE4" w:tentative="1">
      <w:start w:val="1"/>
      <w:numFmt w:val="bullet"/>
      <w:lvlText w:val=""/>
      <w:lvlJc w:val="left"/>
      <w:pPr>
        <w:tabs>
          <w:tab w:val="num" w:pos="4320"/>
        </w:tabs>
        <w:ind w:left="4320" w:hanging="360"/>
      </w:pPr>
      <w:rPr>
        <w:rFonts w:ascii="Symbol" w:hAnsi="Symbol" w:hint="default"/>
      </w:rPr>
    </w:lvl>
    <w:lvl w:ilvl="6" w:tplc="FE7438D2" w:tentative="1">
      <w:start w:val="1"/>
      <w:numFmt w:val="bullet"/>
      <w:lvlText w:val=""/>
      <w:lvlJc w:val="left"/>
      <w:pPr>
        <w:tabs>
          <w:tab w:val="num" w:pos="5040"/>
        </w:tabs>
        <w:ind w:left="5040" w:hanging="360"/>
      </w:pPr>
      <w:rPr>
        <w:rFonts w:ascii="Symbol" w:hAnsi="Symbol" w:hint="default"/>
      </w:rPr>
    </w:lvl>
    <w:lvl w:ilvl="7" w:tplc="1C0A1664" w:tentative="1">
      <w:start w:val="1"/>
      <w:numFmt w:val="bullet"/>
      <w:lvlText w:val=""/>
      <w:lvlJc w:val="left"/>
      <w:pPr>
        <w:tabs>
          <w:tab w:val="num" w:pos="5760"/>
        </w:tabs>
        <w:ind w:left="5760" w:hanging="360"/>
      </w:pPr>
      <w:rPr>
        <w:rFonts w:ascii="Symbol" w:hAnsi="Symbol" w:hint="default"/>
      </w:rPr>
    </w:lvl>
    <w:lvl w:ilvl="8" w:tplc="78F243BC" w:tentative="1">
      <w:start w:val="1"/>
      <w:numFmt w:val="bullet"/>
      <w:lvlText w:val=""/>
      <w:lvlJc w:val="left"/>
      <w:pPr>
        <w:tabs>
          <w:tab w:val="num" w:pos="6480"/>
        </w:tabs>
        <w:ind w:left="6480" w:hanging="360"/>
      </w:pPr>
      <w:rPr>
        <w:rFonts w:ascii="Symbol" w:hAnsi="Symbol" w:hint="default"/>
      </w:rPr>
    </w:lvl>
  </w:abstractNum>
  <w:abstractNum w:abstractNumId="18" w15:restartNumberingAfterBreak="0">
    <w:nsid w:val="37EE6596"/>
    <w:multiLevelType w:val="hybridMultilevel"/>
    <w:tmpl w:val="AB86D35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C497D7D"/>
    <w:multiLevelType w:val="hybridMultilevel"/>
    <w:tmpl w:val="BCDCCD44"/>
    <w:lvl w:ilvl="0" w:tplc="04090001">
      <w:start w:val="1"/>
      <w:numFmt w:val="bullet"/>
      <w:lvlText w:val=""/>
      <w:lvlJc w:val="left"/>
      <w:pPr>
        <w:ind w:left="460" w:hanging="360"/>
      </w:pPr>
      <w:rPr>
        <w:rFonts w:ascii="Symbol" w:hAnsi="Symbol" w:hint="default"/>
      </w:rPr>
    </w:lvl>
    <w:lvl w:ilvl="1" w:tplc="04090003" w:tentative="1">
      <w:start w:val="1"/>
      <w:numFmt w:val="bullet"/>
      <w:lvlText w:val="o"/>
      <w:lvlJc w:val="left"/>
      <w:pPr>
        <w:ind w:left="1180" w:hanging="360"/>
      </w:pPr>
      <w:rPr>
        <w:rFonts w:ascii="Courier New" w:hAnsi="Courier New" w:cs="Courier New" w:hint="default"/>
      </w:rPr>
    </w:lvl>
    <w:lvl w:ilvl="2" w:tplc="04090005" w:tentative="1">
      <w:start w:val="1"/>
      <w:numFmt w:val="bullet"/>
      <w:lvlText w:val=""/>
      <w:lvlJc w:val="left"/>
      <w:pPr>
        <w:ind w:left="1900" w:hanging="360"/>
      </w:pPr>
      <w:rPr>
        <w:rFonts w:ascii="Wingdings" w:hAnsi="Wingdings" w:hint="default"/>
      </w:rPr>
    </w:lvl>
    <w:lvl w:ilvl="3" w:tplc="04090001" w:tentative="1">
      <w:start w:val="1"/>
      <w:numFmt w:val="bullet"/>
      <w:lvlText w:val=""/>
      <w:lvlJc w:val="left"/>
      <w:pPr>
        <w:ind w:left="2620" w:hanging="360"/>
      </w:pPr>
      <w:rPr>
        <w:rFonts w:ascii="Symbol" w:hAnsi="Symbol" w:hint="default"/>
      </w:rPr>
    </w:lvl>
    <w:lvl w:ilvl="4" w:tplc="04090003" w:tentative="1">
      <w:start w:val="1"/>
      <w:numFmt w:val="bullet"/>
      <w:lvlText w:val="o"/>
      <w:lvlJc w:val="left"/>
      <w:pPr>
        <w:ind w:left="3340" w:hanging="360"/>
      </w:pPr>
      <w:rPr>
        <w:rFonts w:ascii="Courier New" w:hAnsi="Courier New" w:cs="Courier New" w:hint="default"/>
      </w:rPr>
    </w:lvl>
    <w:lvl w:ilvl="5" w:tplc="04090005" w:tentative="1">
      <w:start w:val="1"/>
      <w:numFmt w:val="bullet"/>
      <w:lvlText w:val=""/>
      <w:lvlJc w:val="left"/>
      <w:pPr>
        <w:ind w:left="4060" w:hanging="360"/>
      </w:pPr>
      <w:rPr>
        <w:rFonts w:ascii="Wingdings" w:hAnsi="Wingdings" w:hint="default"/>
      </w:rPr>
    </w:lvl>
    <w:lvl w:ilvl="6" w:tplc="04090001" w:tentative="1">
      <w:start w:val="1"/>
      <w:numFmt w:val="bullet"/>
      <w:lvlText w:val=""/>
      <w:lvlJc w:val="left"/>
      <w:pPr>
        <w:ind w:left="4780" w:hanging="360"/>
      </w:pPr>
      <w:rPr>
        <w:rFonts w:ascii="Symbol" w:hAnsi="Symbol" w:hint="default"/>
      </w:rPr>
    </w:lvl>
    <w:lvl w:ilvl="7" w:tplc="04090003" w:tentative="1">
      <w:start w:val="1"/>
      <w:numFmt w:val="bullet"/>
      <w:lvlText w:val="o"/>
      <w:lvlJc w:val="left"/>
      <w:pPr>
        <w:ind w:left="5500" w:hanging="360"/>
      </w:pPr>
      <w:rPr>
        <w:rFonts w:ascii="Courier New" w:hAnsi="Courier New" w:cs="Courier New" w:hint="default"/>
      </w:rPr>
    </w:lvl>
    <w:lvl w:ilvl="8" w:tplc="04090005" w:tentative="1">
      <w:start w:val="1"/>
      <w:numFmt w:val="bullet"/>
      <w:lvlText w:val=""/>
      <w:lvlJc w:val="left"/>
      <w:pPr>
        <w:ind w:left="6220" w:hanging="360"/>
      </w:pPr>
      <w:rPr>
        <w:rFonts w:ascii="Wingdings" w:hAnsi="Wingdings" w:hint="default"/>
      </w:rPr>
    </w:lvl>
  </w:abstractNum>
  <w:abstractNum w:abstractNumId="20" w15:restartNumberingAfterBreak="0">
    <w:nsid w:val="3E243869"/>
    <w:multiLevelType w:val="hybridMultilevel"/>
    <w:tmpl w:val="C1D22A78"/>
    <w:lvl w:ilvl="0" w:tplc="ABD0FC5A">
      <w:start w:val="1"/>
      <w:numFmt w:val="decimal"/>
      <w:lvlText w:val="%1."/>
      <w:lvlJc w:val="left"/>
      <w:pPr>
        <w:ind w:left="840" w:hanging="360"/>
      </w:pPr>
      <w:rPr>
        <w:rFonts w:ascii="Constantia" w:eastAsia="Constantia" w:hAnsi="Constantia" w:hint="default"/>
        <w:w w:val="99"/>
        <w:sz w:val="20"/>
        <w:szCs w:val="20"/>
      </w:rPr>
    </w:lvl>
    <w:lvl w:ilvl="1" w:tplc="C5828F02">
      <w:start w:val="1"/>
      <w:numFmt w:val="lowerLetter"/>
      <w:lvlText w:val="%2."/>
      <w:lvlJc w:val="left"/>
      <w:pPr>
        <w:ind w:left="1560" w:hanging="360"/>
      </w:pPr>
      <w:rPr>
        <w:rFonts w:ascii="Constantia" w:eastAsia="Constantia" w:hAnsi="Constantia"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21" w15:restartNumberingAfterBreak="0">
    <w:nsid w:val="401936D4"/>
    <w:multiLevelType w:val="hybridMultilevel"/>
    <w:tmpl w:val="307C801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460566B9"/>
    <w:multiLevelType w:val="hybridMultilevel"/>
    <w:tmpl w:val="18E8F9E4"/>
    <w:lvl w:ilvl="0" w:tplc="ABD0FC5A">
      <w:start w:val="1"/>
      <w:numFmt w:val="decimal"/>
      <w:lvlText w:val="%1."/>
      <w:lvlJc w:val="left"/>
      <w:pPr>
        <w:ind w:left="840" w:hanging="360"/>
      </w:pPr>
      <w:rPr>
        <w:rFonts w:ascii="Constantia" w:eastAsia="Constantia" w:hAnsi="Constantia" w:hint="default"/>
        <w:w w:val="99"/>
        <w:sz w:val="20"/>
        <w:szCs w:val="20"/>
      </w:rPr>
    </w:lvl>
    <w:lvl w:ilvl="1" w:tplc="04090001">
      <w:start w:val="1"/>
      <w:numFmt w:val="bullet"/>
      <w:lvlText w:val=""/>
      <w:lvlJc w:val="left"/>
      <w:pPr>
        <w:ind w:left="1560" w:hanging="360"/>
      </w:pPr>
      <w:rPr>
        <w:rFonts w:ascii="Symbol" w:hAnsi="Symbol"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23" w15:restartNumberingAfterBreak="0">
    <w:nsid w:val="46CA6BF2"/>
    <w:multiLevelType w:val="hybridMultilevel"/>
    <w:tmpl w:val="E7EAA82C"/>
    <w:lvl w:ilvl="0" w:tplc="2C5E6950">
      <w:start w:val="1"/>
      <w:numFmt w:val="bullet"/>
      <w:lvlText w:val=""/>
      <w:lvlJc w:val="left"/>
      <w:pPr>
        <w:ind w:left="840" w:hanging="360"/>
      </w:pPr>
      <w:rPr>
        <w:rFonts w:ascii="Symbol" w:eastAsia="Symbol" w:hAnsi="Symbol" w:hint="default"/>
        <w:w w:val="99"/>
        <w:sz w:val="20"/>
        <w:szCs w:val="20"/>
      </w:rPr>
    </w:lvl>
    <w:lvl w:ilvl="1" w:tplc="7CBEE1B2">
      <w:start w:val="1"/>
      <w:numFmt w:val="bullet"/>
      <w:lvlText w:val="•"/>
      <w:lvlJc w:val="left"/>
      <w:pPr>
        <w:ind w:left="1644" w:hanging="360"/>
      </w:pPr>
      <w:rPr>
        <w:rFonts w:hint="default"/>
      </w:rPr>
    </w:lvl>
    <w:lvl w:ilvl="2" w:tplc="E3A85E36">
      <w:start w:val="1"/>
      <w:numFmt w:val="bullet"/>
      <w:lvlText w:val="•"/>
      <w:lvlJc w:val="left"/>
      <w:pPr>
        <w:ind w:left="2448" w:hanging="360"/>
      </w:pPr>
      <w:rPr>
        <w:rFonts w:hint="default"/>
      </w:rPr>
    </w:lvl>
    <w:lvl w:ilvl="3" w:tplc="ACB06AA0">
      <w:start w:val="1"/>
      <w:numFmt w:val="bullet"/>
      <w:lvlText w:val="•"/>
      <w:lvlJc w:val="left"/>
      <w:pPr>
        <w:ind w:left="3252" w:hanging="360"/>
      </w:pPr>
      <w:rPr>
        <w:rFonts w:hint="default"/>
      </w:rPr>
    </w:lvl>
    <w:lvl w:ilvl="4" w:tplc="E5069C9E">
      <w:start w:val="1"/>
      <w:numFmt w:val="bullet"/>
      <w:lvlText w:val="•"/>
      <w:lvlJc w:val="left"/>
      <w:pPr>
        <w:ind w:left="4056" w:hanging="360"/>
      </w:pPr>
      <w:rPr>
        <w:rFonts w:hint="default"/>
      </w:rPr>
    </w:lvl>
    <w:lvl w:ilvl="5" w:tplc="E8385640">
      <w:start w:val="1"/>
      <w:numFmt w:val="bullet"/>
      <w:lvlText w:val="•"/>
      <w:lvlJc w:val="left"/>
      <w:pPr>
        <w:ind w:left="4860" w:hanging="360"/>
      </w:pPr>
      <w:rPr>
        <w:rFonts w:hint="default"/>
      </w:rPr>
    </w:lvl>
    <w:lvl w:ilvl="6" w:tplc="601EB3EA">
      <w:start w:val="1"/>
      <w:numFmt w:val="bullet"/>
      <w:lvlText w:val="•"/>
      <w:lvlJc w:val="left"/>
      <w:pPr>
        <w:ind w:left="5664" w:hanging="360"/>
      </w:pPr>
      <w:rPr>
        <w:rFonts w:hint="default"/>
      </w:rPr>
    </w:lvl>
    <w:lvl w:ilvl="7" w:tplc="90B6171A">
      <w:start w:val="1"/>
      <w:numFmt w:val="bullet"/>
      <w:lvlText w:val="•"/>
      <w:lvlJc w:val="left"/>
      <w:pPr>
        <w:ind w:left="6468" w:hanging="360"/>
      </w:pPr>
      <w:rPr>
        <w:rFonts w:hint="default"/>
      </w:rPr>
    </w:lvl>
    <w:lvl w:ilvl="8" w:tplc="A2228F6A">
      <w:start w:val="1"/>
      <w:numFmt w:val="bullet"/>
      <w:lvlText w:val="•"/>
      <w:lvlJc w:val="left"/>
      <w:pPr>
        <w:ind w:left="7272" w:hanging="360"/>
      </w:pPr>
      <w:rPr>
        <w:rFonts w:hint="default"/>
      </w:rPr>
    </w:lvl>
  </w:abstractNum>
  <w:abstractNum w:abstractNumId="24" w15:restartNumberingAfterBreak="0">
    <w:nsid w:val="5A274728"/>
    <w:multiLevelType w:val="hybridMultilevel"/>
    <w:tmpl w:val="F558DDB8"/>
    <w:lvl w:ilvl="0" w:tplc="5A1407F6">
      <w:start w:val="1"/>
      <w:numFmt w:val="bullet"/>
      <w:lvlText w:val="•"/>
      <w:lvlJc w:val="left"/>
      <w:pPr>
        <w:tabs>
          <w:tab w:val="num" w:pos="720"/>
        </w:tabs>
        <w:ind w:left="720" w:hanging="360"/>
      </w:pPr>
      <w:rPr>
        <w:rFonts w:ascii="Arial" w:hAnsi="Arial" w:hint="default"/>
      </w:rPr>
    </w:lvl>
    <w:lvl w:ilvl="1" w:tplc="D92A9E78" w:tentative="1">
      <w:start w:val="1"/>
      <w:numFmt w:val="bullet"/>
      <w:lvlText w:val="•"/>
      <w:lvlJc w:val="left"/>
      <w:pPr>
        <w:tabs>
          <w:tab w:val="num" w:pos="1440"/>
        </w:tabs>
        <w:ind w:left="1440" w:hanging="360"/>
      </w:pPr>
      <w:rPr>
        <w:rFonts w:ascii="Arial" w:hAnsi="Arial" w:hint="default"/>
      </w:rPr>
    </w:lvl>
    <w:lvl w:ilvl="2" w:tplc="CE60F11A" w:tentative="1">
      <w:start w:val="1"/>
      <w:numFmt w:val="bullet"/>
      <w:lvlText w:val="•"/>
      <w:lvlJc w:val="left"/>
      <w:pPr>
        <w:tabs>
          <w:tab w:val="num" w:pos="2160"/>
        </w:tabs>
        <w:ind w:left="2160" w:hanging="360"/>
      </w:pPr>
      <w:rPr>
        <w:rFonts w:ascii="Arial" w:hAnsi="Arial" w:hint="default"/>
      </w:rPr>
    </w:lvl>
    <w:lvl w:ilvl="3" w:tplc="042C7B84" w:tentative="1">
      <w:start w:val="1"/>
      <w:numFmt w:val="bullet"/>
      <w:lvlText w:val="•"/>
      <w:lvlJc w:val="left"/>
      <w:pPr>
        <w:tabs>
          <w:tab w:val="num" w:pos="2880"/>
        </w:tabs>
        <w:ind w:left="2880" w:hanging="360"/>
      </w:pPr>
      <w:rPr>
        <w:rFonts w:ascii="Arial" w:hAnsi="Arial" w:hint="default"/>
      </w:rPr>
    </w:lvl>
    <w:lvl w:ilvl="4" w:tplc="147AE85E" w:tentative="1">
      <w:start w:val="1"/>
      <w:numFmt w:val="bullet"/>
      <w:lvlText w:val="•"/>
      <w:lvlJc w:val="left"/>
      <w:pPr>
        <w:tabs>
          <w:tab w:val="num" w:pos="3600"/>
        </w:tabs>
        <w:ind w:left="3600" w:hanging="360"/>
      </w:pPr>
      <w:rPr>
        <w:rFonts w:ascii="Arial" w:hAnsi="Arial" w:hint="default"/>
      </w:rPr>
    </w:lvl>
    <w:lvl w:ilvl="5" w:tplc="1A5A6314" w:tentative="1">
      <w:start w:val="1"/>
      <w:numFmt w:val="bullet"/>
      <w:lvlText w:val="•"/>
      <w:lvlJc w:val="left"/>
      <w:pPr>
        <w:tabs>
          <w:tab w:val="num" w:pos="4320"/>
        </w:tabs>
        <w:ind w:left="4320" w:hanging="360"/>
      </w:pPr>
      <w:rPr>
        <w:rFonts w:ascii="Arial" w:hAnsi="Arial" w:hint="default"/>
      </w:rPr>
    </w:lvl>
    <w:lvl w:ilvl="6" w:tplc="7944BB90" w:tentative="1">
      <w:start w:val="1"/>
      <w:numFmt w:val="bullet"/>
      <w:lvlText w:val="•"/>
      <w:lvlJc w:val="left"/>
      <w:pPr>
        <w:tabs>
          <w:tab w:val="num" w:pos="5040"/>
        </w:tabs>
        <w:ind w:left="5040" w:hanging="360"/>
      </w:pPr>
      <w:rPr>
        <w:rFonts w:ascii="Arial" w:hAnsi="Arial" w:hint="default"/>
      </w:rPr>
    </w:lvl>
    <w:lvl w:ilvl="7" w:tplc="0EB48C0A" w:tentative="1">
      <w:start w:val="1"/>
      <w:numFmt w:val="bullet"/>
      <w:lvlText w:val="•"/>
      <w:lvlJc w:val="left"/>
      <w:pPr>
        <w:tabs>
          <w:tab w:val="num" w:pos="5760"/>
        </w:tabs>
        <w:ind w:left="5760" w:hanging="360"/>
      </w:pPr>
      <w:rPr>
        <w:rFonts w:ascii="Arial" w:hAnsi="Arial" w:hint="default"/>
      </w:rPr>
    </w:lvl>
    <w:lvl w:ilvl="8" w:tplc="C832B47C"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63464CA1"/>
    <w:multiLevelType w:val="hybridMultilevel"/>
    <w:tmpl w:val="E0B876D8"/>
    <w:lvl w:ilvl="0" w:tplc="ABD0FC5A">
      <w:start w:val="1"/>
      <w:numFmt w:val="decimal"/>
      <w:lvlText w:val="%1."/>
      <w:lvlJc w:val="left"/>
      <w:pPr>
        <w:ind w:left="840" w:hanging="360"/>
      </w:pPr>
      <w:rPr>
        <w:rFonts w:ascii="Constantia" w:eastAsia="Constantia" w:hAnsi="Constantia" w:hint="default"/>
        <w:w w:val="99"/>
        <w:sz w:val="20"/>
        <w:szCs w:val="20"/>
      </w:rPr>
    </w:lvl>
    <w:lvl w:ilvl="1" w:tplc="04090003">
      <w:start w:val="1"/>
      <w:numFmt w:val="bullet"/>
      <w:lvlText w:val="o"/>
      <w:lvlJc w:val="left"/>
      <w:pPr>
        <w:ind w:left="1560" w:hanging="360"/>
      </w:pPr>
      <w:rPr>
        <w:rFonts w:ascii="Courier New" w:hAnsi="Courier New" w:cs="Courier New" w:hint="default"/>
        <w:w w:val="99"/>
        <w:sz w:val="20"/>
        <w:szCs w:val="20"/>
      </w:rPr>
    </w:lvl>
    <w:lvl w:ilvl="2" w:tplc="C6729224">
      <w:start w:val="1"/>
      <w:numFmt w:val="bullet"/>
      <w:lvlText w:val="•"/>
      <w:lvlJc w:val="left"/>
      <w:pPr>
        <w:ind w:left="2373" w:hanging="360"/>
      </w:pPr>
      <w:rPr>
        <w:rFonts w:hint="default"/>
      </w:rPr>
    </w:lvl>
    <w:lvl w:ilvl="3" w:tplc="DAC2EB16">
      <w:start w:val="1"/>
      <w:numFmt w:val="bullet"/>
      <w:lvlText w:val="•"/>
      <w:lvlJc w:val="left"/>
      <w:pPr>
        <w:ind w:left="3186" w:hanging="360"/>
      </w:pPr>
      <w:rPr>
        <w:rFonts w:hint="default"/>
      </w:rPr>
    </w:lvl>
    <w:lvl w:ilvl="4" w:tplc="5A60B0B8">
      <w:start w:val="1"/>
      <w:numFmt w:val="bullet"/>
      <w:lvlText w:val="•"/>
      <w:lvlJc w:val="left"/>
      <w:pPr>
        <w:ind w:left="4000" w:hanging="360"/>
      </w:pPr>
      <w:rPr>
        <w:rFonts w:hint="default"/>
      </w:rPr>
    </w:lvl>
    <w:lvl w:ilvl="5" w:tplc="0398516E">
      <w:start w:val="1"/>
      <w:numFmt w:val="bullet"/>
      <w:lvlText w:val="•"/>
      <w:lvlJc w:val="left"/>
      <w:pPr>
        <w:ind w:left="4813" w:hanging="360"/>
      </w:pPr>
      <w:rPr>
        <w:rFonts w:hint="default"/>
      </w:rPr>
    </w:lvl>
    <w:lvl w:ilvl="6" w:tplc="43BA83E4">
      <w:start w:val="1"/>
      <w:numFmt w:val="bullet"/>
      <w:lvlText w:val="•"/>
      <w:lvlJc w:val="left"/>
      <w:pPr>
        <w:ind w:left="5626" w:hanging="360"/>
      </w:pPr>
      <w:rPr>
        <w:rFonts w:hint="default"/>
      </w:rPr>
    </w:lvl>
    <w:lvl w:ilvl="7" w:tplc="41862EAE">
      <w:start w:val="1"/>
      <w:numFmt w:val="bullet"/>
      <w:lvlText w:val="•"/>
      <w:lvlJc w:val="left"/>
      <w:pPr>
        <w:ind w:left="6440" w:hanging="360"/>
      </w:pPr>
      <w:rPr>
        <w:rFonts w:hint="default"/>
      </w:rPr>
    </w:lvl>
    <w:lvl w:ilvl="8" w:tplc="43BE55FA">
      <w:start w:val="1"/>
      <w:numFmt w:val="bullet"/>
      <w:lvlText w:val="•"/>
      <w:lvlJc w:val="left"/>
      <w:pPr>
        <w:ind w:left="7253" w:hanging="360"/>
      </w:pPr>
      <w:rPr>
        <w:rFonts w:hint="default"/>
      </w:rPr>
    </w:lvl>
  </w:abstractNum>
  <w:abstractNum w:abstractNumId="26" w15:restartNumberingAfterBreak="0">
    <w:nsid w:val="74F709C6"/>
    <w:multiLevelType w:val="hybridMultilevel"/>
    <w:tmpl w:val="4934B7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7" w15:restartNumberingAfterBreak="0">
    <w:nsid w:val="7C02209C"/>
    <w:multiLevelType w:val="hybridMultilevel"/>
    <w:tmpl w:val="4B3CAFD6"/>
    <w:lvl w:ilvl="0" w:tplc="3E40B254">
      <w:start w:val="1"/>
      <w:numFmt w:val="bullet"/>
      <w:lvlText w:val="•"/>
      <w:lvlJc w:val="left"/>
      <w:pPr>
        <w:tabs>
          <w:tab w:val="num" w:pos="720"/>
        </w:tabs>
        <w:ind w:left="720" w:hanging="360"/>
      </w:pPr>
      <w:rPr>
        <w:rFonts w:ascii="Arial" w:hAnsi="Arial" w:hint="default"/>
      </w:rPr>
    </w:lvl>
    <w:lvl w:ilvl="1" w:tplc="F61AD536" w:tentative="1">
      <w:start w:val="1"/>
      <w:numFmt w:val="bullet"/>
      <w:lvlText w:val="•"/>
      <w:lvlJc w:val="left"/>
      <w:pPr>
        <w:tabs>
          <w:tab w:val="num" w:pos="1440"/>
        </w:tabs>
        <w:ind w:left="1440" w:hanging="360"/>
      </w:pPr>
      <w:rPr>
        <w:rFonts w:ascii="Arial" w:hAnsi="Arial" w:hint="default"/>
      </w:rPr>
    </w:lvl>
    <w:lvl w:ilvl="2" w:tplc="0F52165A" w:tentative="1">
      <w:start w:val="1"/>
      <w:numFmt w:val="bullet"/>
      <w:lvlText w:val="•"/>
      <w:lvlJc w:val="left"/>
      <w:pPr>
        <w:tabs>
          <w:tab w:val="num" w:pos="2160"/>
        </w:tabs>
        <w:ind w:left="2160" w:hanging="360"/>
      </w:pPr>
      <w:rPr>
        <w:rFonts w:ascii="Arial" w:hAnsi="Arial" w:hint="default"/>
      </w:rPr>
    </w:lvl>
    <w:lvl w:ilvl="3" w:tplc="F488A88A" w:tentative="1">
      <w:start w:val="1"/>
      <w:numFmt w:val="bullet"/>
      <w:lvlText w:val="•"/>
      <w:lvlJc w:val="left"/>
      <w:pPr>
        <w:tabs>
          <w:tab w:val="num" w:pos="2880"/>
        </w:tabs>
        <w:ind w:left="2880" w:hanging="360"/>
      </w:pPr>
      <w:rPr>
        <w:rFonts w:ascii="Arial" w:hAnsi="Arial" w:hint="default"/>
      </w:rPr>
    </w:lvl>
    <w:lvl w:ilvl="4" w:tplc="61A80824" w:tentative="1">
      <w:start w:val="1"/>
      <w:numFmt w:val="bullet"/>
      <w:lvlText w:val="•"/>
      <w:lvlJc w:val="left"/>
      <w:pPr>
        <w:tabs>
          <w:tab w:val="num" w:pos="3600"/>
        </w:tabs>
        <w:ind w:left="3600" w:hanging="360"/>
      </w:pPr>
      <w:rPr>
        <w:rFonts w:ascii="Arial" w:hAnsi="Arial" w:hint="default"/>
      </w:rPr>
    </w:lvl>
    <w:lvl w:ilvl="5" w:tplc="880CD9E6" w:tentative="1">
      <w:start w:val="1"/>
      <w:numFmt w:val="bullet"/>
      <w:lvlText w:val="•"/>
      <w:lvlJc w:val="left"/>
      <w:pPr>
        <w:tabs>
          <w:tab w:val="num" w:pos="4320"/>
        </w:tabs>
        <w:ind w:left="4320" w:hanging="360"/>
      </w:pPr>
      <w:rPr>
        <w:rFonts w:ascii="Arial" w:hAnsi="Arial" w:hint="default"/>
      </w:rPr>
    </w:lvl>
    <w:lvl w:ilvl="6" w:tplc="D40A0B0C" w:tentative="1">
      <w:start w:val="1"/>
      <w:numFmt w:val="bullet"/>
      <w:lvlText w:val="•"/>
      <w:lvlJc w:val="left"/>
      <w:pPr>
        <w:tabs>
          <w:tab w:val="num" w:pos="5040"/>
        </w:tabs>
        <w:ind w:left="5040" w:hanging="360"/>
      </w:pPr>
      <w:rPr>
        <w:rFonts w:ascii="Arial" w:hAnsi="Arial" w:hint="default"/>
      </w:rPr>
    </w:lvl>
    <w:lvl w:ilvl="7" w:tplc="086C8A78" w:tentative="1">
      <w:start w:val="1"/>
      <w:numFmt w:val="bullet"/>
      <w:lvlText w:val="•"/>
      <w:lvlJc w:val="left"/>
      <w:pPr>
        <w:tabs>
          <w:tab w:val="num" w:pos="5760"/>
        </w:tabs>
        <w:ind w:left="5760" w:hanging="360"/>
      </w:pPr>
      <w:rPr>
        <w:rFonts w:ascii="Arial" w:hAnsi="Arial" w:hint="default"/>
      </w:rPr>
    </w:lvl>
    <w:lvl w:ilvl="8" w:tplc="C6D204B2" w:tentative="1">
      <w:start w:val="1"/>
      <w:numFmt w:val="bullet"/>
      <w:lvlText w:val="•"/>
      <w:lvlJc w:val="left"/>
      <w:pPr>
        <w:tabs>
          <w:tab w:val="num" w:pos="6480"/>
        </w:tabs>
        <w:ind w:left="6480" w:hanging="360"/>
      </w:pPr>
      <w:rPr>
        <w:rFonts w:ascii="Arial" w:hAnsi="Arial" w:hint="default"/>
      </w:rPr>
    </w:lvl>
  </w:abstractNum>
  <w:num w:numId="1">
    <w:abstractNumId w:val="16"/>
  </w:num>
  <w:num w:numId="2">
    <w:abstractNumId w:val="17"/>
  </w:num>
  <w:num w:numId="3">
    <w:abstractNumId w:val="13"/>
  </w:num>
  <w:num w:numId="4">
    <w:abstractNumId w:val="26"/>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20"/>
  </w:num>
  <w:num w:numId="16">
    <w:abstractNumId w:val="12"/>
  </w:num>
  <w:num w:numId="17">
    <w:abstractNumId w:val="14"/>
  </w:num>
  <w:num w:numId="18">
    <w:abstractNumId w:val="22"/>
  </w:num>
  <w:num w:numId="19">
    <w:abstractNumId w:val="25"/>
  </w:num>
  <w:num w:numId="20">
    <w:abstractNumId w:val="23"/>
  </w:num>
  <w:num w:numId="21">
    <w:abstractNumId w:val="27"/>
  </w:num>
  <w:num w:numId="22">
    <w:abstractNumId w:val="10"/>
  </w:num>
  <w:num w:numId="23">
    <w:abstractNumId w:val="21"/>
  </w:num>
  <w:num w:numId="24">
    <w:abstractNumId w:val="15"/>
  </w:num>
  <w:num w:numId="25">
    <w:abstractNumId w:val="11"/>
  </w:num>
  <w:num w:numId="26">
    <w:abstractNumId w:val="24"/>
  </w:num>
  <w:num w:numId="27">
    <w:abstractNumId w:val="19"/>
  </w:num>
  <w:num w:numId="28">
    <w:abstractNumId w:val="1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0CAC"/>
    <w:rsid w:val="0005012A"/>
    <w:rsid w:val="00063615"/>
    <w:rsid w:val="0007784A"/>
    <w:rsid w:val="00090406"/>
    <w:rsid w:val="00091A80"/>
    <w:rsid w:val="00093EDA"/>
    <w:rsid w:val="000A3424"/>
    <w:rsid w:val="000F2057"/>
    <w:rsid w:val="00116E03"/>
    <w:rsid w:val="00144B6C"/>
    <w:rsid w:val="00165084"/>
    <w:rsid w:val="001825A6"/>
    <w:rsid w:val="00187DBE"/>
    <w:rsid w:val="001C1340"/>
    <w:rsid w:val="00212591"/>
    <w:rsid w:val="00224B31"/>
    <w:rsid w:val="0024311E"/>
    <w:rsid w:val="00252418"/>
    <w:rsid w:val="00262026"/>
    <w:rsid w:val="00277C92"/>
    <w:rsid w:val="002962E8"/>
    <w:rsid w:val="002A6E17"/>
    <w:rsid w:val="002A7EAE"/>
    <w:rsid w:val="002C6D83"/>
    <w:rsid w:val="00322319"/>
    <w:rsid w:val="00333F60"/>
    <w:rsid w:val="003577AF"/>
    <w:rsid w:val="00364496"/>
    <w:rsid w:val="00380F8B"/>
    <w:rsid w:val="0038728D"/>
    <w:rsid w:val="003C0CAC"/>
    <w:rsid w:val="003D4E5B"/>
    <w:rsid w:val="00425A7C"/>
    <w:rsid w:val="004430AB"/>
    <w:rsid w:val="00452597"/>
    <w:rsid w:val="00466947"/>
    <w:rsid w:val="00486126"/>
    <w:rsid w:val="004C7C42"/>
    <w:rsid w:val="004E46AD"/>
    <w:rsid w:val="00537057"/>
    <w:rsid w:val="005C129C"/>
    <w:rsid w:val="005E6D64"/>
    <w:rsid w:val="005F0356"/>
    <w:rsid w:val="005F2B4E"/>
    <w:rsid w:val="006134BA"/>
    <w:rsid w:val="00620DAA"/>
    <w:rsid w:val="00660363"/>
    <w:rsid w:val="0066152E"/>
    <w:rsid w:val="006731E1"/>
    <w:rsid w:val="006A7972"/>
    <w:rsid w:val="006B15AF"/>
    <w:rsid w:val="006B2E79"/>
    <w:rsid w:val="006C5B6B"/>
    <w:rsid w:val="006E40B0"/>
    <w:rsid w:val="00757377"/>
    <w:rsid w:val="00762FA7"/>
    <w:rsid w:val="00764336"/>
    <w:rsid w:val="0079213E"/>
    <w:rsid w:val="00795BC5"/>
    <w:rsid w:val="007B5EB8"/>
    <w:rsid w:val="007D0497"/>
    <w:rsid w:val="007E2381"/>
    <w:rsid w:val="007F04B7"/>
    <w:rsid w:val="007F333C"/>
    <w:rsid w:val="007F5F31"/>
    <w:rsid w:val="00802735"/>
    <w:rsid w:val="00862725"/>
    <w:rsid w:val="00890F90"/>
    <w:rsid w:val="008B4C32"/>
    <w:rsid w:val="008D58B0"/>
    <w:rsid w:val="008D7155"/>
    <w:rsid w:val="009519BB"/>
    <w:rsid w:val="009614AC"/>
    <w:rsid w:val="00997618"/>
    <w:rsid w:val="009A7D2C"/>
    <w:rsid w:val="009B60D1"/>
    <w:rsid w:val="009C5D44"/>
    <w:rsid w:val="009F6BCD"/>
    <w:rsid w:val="00A34CA9"/>
    <w:rsid w:val="00AA45C1"/>
    <w:rsid w:val="00AC2326"/>
    <w:rsid w:val="00AD3116"/>
    <w:rsid w:val="00AD76E7"/>
    <w:rsid w:val="00AF0543"/>
    <w:rsid w:val="00B13AE7"/>
    <w:rsid w:val="00B634D6"/>
    <w:rsid w:val="00BA12DA"/>
    <w:rsid w:val="00BA5C83"/>
    <w:rsid w:val="00BB6BA3"/>
    <w:rsid w:val="00BD68A7"/>
    <w:rsid w:val="00C0137C"/>
    <w:rsid w:val="00C11EB1"/>
    <w:rsid w:val="00C26C4A"/>
    <w:rsid w:val="00C3571C"/>
    <w:rsid w:val="00C65025"/>
    <w:rsid w:val="00C705F9"/>
    <w:rsid w:val="00C80E1A"/>
    <w:rsid w:val="00CB6B51"/>
    <w:rsid w:val="00CB7CF5"/>
    <w:rsid w:val="00CD0B92"/>
    <w:rsid w:val="00CD49ED"/>
    <w:rsid w:val="00CE09B3"/>
    <w:rsid w:val="00CE53DC"/>
    <w:rsid w:val="00D02C24"/>
    <w:rsid w:val="00D213BE"/>
    <w:rsid w:val="00D56E4D"/>
    <w:rsid w:val="00D90A85"/>
    <w:rsid w:val="00DB4EF1"/>
    <w:rsid w:val="00DE1B8F"/>
    <w:rsid w:val="00DF078B"/>
    <w:rsid w:val="00DF737C"/>
    <w:rsid w:val="00E5527D"/>
    <w:rsid w:val="00E76C98"/>
    <w:rsid w:val="00EA0E3C"/>
    <w:rsid w:val="00EC45D3"/>
    <w:rsid w:val="00ED7BE3"/>
    <w:rsid w:val="00F102E7"/>
    <w:rsid w:val="00F1502E"/>
    <w:rsid w:val="00F23BE4"/>
    <w:rsid w:val="00F34243"/>
    <w:rsid w:val="00F45DC1"/>
    <w:rsid w:val="00F6416F"/>
    <w:rsid w:val="00F74D47"/>
    <w:rsid w:val="00F75B80"/>
    <w:rsid w:val="00F922E3"/>
    <w:rsid w:val="00FD6E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33821FC3-DDF1-4E97-B007-51688FF5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iPriority="0"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nhideWhenUsed="1"/>
    <w:lsdException w:name="Block Text" w:semiHidden="1" w:uiPriority="0"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C0CAC"/>
    <w:pPr>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paragraph" w:styleId="Heading1">
    <w:name w:val="heading 1"/>
    <w:basedOn w:val="Normal"/>
    <w:next w:val="Normal"/>
    <w:link w:val="Heading1Char"/>
    <w:qFormat/>
    <w:rsid w:val="00380F8B"/>
    <w:pPr>
      <w:keepNext/>
      <w:tabs>
        <w:tab w:val="left" w:pos="-1440"/>
        <w:tab w:val="left" w:pos="-720"/>
        <w:tab w:val="left" w:pos="0"/>
        <w:tab w:val="left" w:pos="1080"/>
        <w:tab w:val="left" w:pos="1440"/>
      </w:tabs>
      <w:suppressAutoHyphens/>
      <w:jc w:val="both"/>
      <w:outlineLvl w:val="0"/>
    </w:pPr>
    <w:rPr>
      <w:rFonts w:ascii="Arial" w:hAnsi="Arial"/>
      <w:b/>
      <w:spacing w:val="-3"/>
      <w:u w:val="single"/>
    </w:rPr>
  </w:style>
  <w:style w:type="paragraph" w:styleId="Heading2">
    <w:name w:val="heading 2"/>
    <w:basedOn w:val="Normal"/>
    <w:next w:val="Normal"/>
    <w:link w:val="Heading2Char"/>
    <w:qFormat/>
    <w:rsid w:val="00380F8B"/>
    <w:pPr>
      <w:keepNext/>
      <w:tabs>
        <w:tab w:val="left" w:pos="-1440"/>
        <w:tab w:val="left" w:pos="-720"/>
        <w:tab w:val="left" w:pos="0"/>
        <w:tab w:val="left" w:pos="1080"/>
        <w:tab w:val="left" w:pos="1440"/>
      </w:tabs>
      <w:suppressAutoHyphens/>
      <w:jc w:val="both"/>
      <w:outlineLvl w:val="1"/>
    </w:pPr>
    <w:rPr>
      <w:rFonts w:ascii="Arial" w:hAnsi="Arial"/>
      <w:b/>
      <w:spacing w:val="-3"/>
      <w:sz w:val="28"/>
      <w:u w:val="single"/>
    </w:rPr>
  </w:style>
  <w:style w:type="paragraph" w:styleId="Heading3">
    <w:name w:val="heading 3"/>
    <w:basedOn w:val="Normal"/>
    <w:next w:val="Normal"/>
    <w:link w:val="Heading3Char"/>
    <w:qFormat/>
    <w:rsid w:val="00380F8B"/>
    <w:pPr>
      <w:keepNext/>
      <w:tabs>
        <w:tab w:val="left" w:pos="-1440"/>
        <w:tab w:val="left" w:pos="-720"/>
        <w:tab w:val="left" w:pos="0"/>
        <w:tab w:val="left" w:pos="1080"/>
        <w:tab w:val="left" w:pos="1440"/>
      </w:tabs>
      <w:suppressAutoHyphens/>
      <w:jc w:val="both"/>
      <w:outlineLvl w:val="2"/>
    </w:pPr>
    <w:rPr>
      <w:rFonts w:ascii="Arial" w:hAnsi="Arial"/>
      <w:spacing w:val="-3"/>
      <w:sz w:val="28"/>
    </w:rPr>
  </w:style>
  <w:style w:type="paragraph" w:styleId="Heading4">
    <w:name w:val="heading 4"/>
    <w:basedOn w:val="Normal"/>
    <w:next w:val="Normal"/>
    <w:link w:val="Heading4Char"/>
    <w:qFormat/>
    <w:rsid w:val="00380F8B"/>
    <w:pPr>
      <w:keepNext/>
      <w:tabs>
        <w:tab w:val="left" w:pos="-1440"/>
        <w:tab w:val="left" w:pos="-720"/>
        <w:tab w:val="left" w:pos="0"/>
        <w:tab w:val="left" w:pos="1080"/>
        <w:tab w:val="left" w:pos="1440"/>
      </w:tabs>
      <w:suppressAutoHyphens/>
      <w:ind w:left="360"/>
      <w:jc w:val="both"/>
      <w:outlineLvl w:val="3"/>
    </w:pPr>
    <w:rPr>
      <w:rFonts w:ascii="Arial" w:hAnsi="Arial"/>
      <w:spacing w:val="-3"/>
      <w:sz w:val="28"/>
    </w:rPr>
  </w:style>
  <w:style w:type="paragraph" w:styleId="Heading5">
    <w:name w:val="heading 5"/>
    <w:basedOn w:val="Normal"/>
    <w:next w:val="Normal"/>
    <w:link w:val="Heading5Char"/>
    <w:qFormat/>
    <w:rsid w:val="00380F8B"/>
    <w:pPr>
      <w:keepNext/>
      <w:tabs>
        <w:tab w:val="left" w:pos="-1440"/>
        <w:tab w:val="left" w:pos="-720"/>
        <w:tab w:val="left" w:pos="0"/>
        <w:tab w:val="left" w:pos="1080"/>
        <w:tab w:val="left" w:pos="1440"/>
      </w:tabs>
      <w:suppressAutoHyphens/>
      <w:ind w:left="360"/>
      <w:jc w:val="both"/>
      <w:outlineLvl w:val="4"/>
    </w:pPr>
    <w:rPr>
      <w:rFonts w:ascii="Arial" w:hAnsi="Arial"/>
      <w:b/>
      <w:spacing w:val="-3"/>
      <w:sz w:val="28"/>
      <w:u w:val="single"/>
    </w:rPr>
  </w:style>
  <w:style w:type="paragraph" w:styleId="Heading6">
    <w:name w:val="heading 6"/>
    <w:basedOn w:val="Normal"/>
    <w:next w:val="Normal"/>
    <w:link w:val="Heading6Char"/>
    <w:qFormat/>
    <w:rsid w:val="003C0CAC"/>
    <w:pPr>
      <w:keepNext/>
      <w:tabs>
        <w:tab w:val="left" w:pos="-1440"/>
        <w:tab w:val="left" w:pos="-720"/>
        <w:tab w:val="left" w:pos="0"/>
        <w:tab w:val="left" w:pos="1080"/>
        <w:tab w:val="left" w:pos="1440"/>
        <w:tab w:val="left" w:pos="4320"/>
      </w:tabs>
      <w:suppressAutoHyphens/>
      <w:jc w:val="both"/>
      <w:outlineLvl w:val="5"/>
    </w:pPr>
    <w:rPr>
      <w:rFonts w:ascii="Arial" w:hAnsi="Arial"/>
      <w:b/>
      <w:spacing w:val="-3"/>
    </w:rPr>
  </w:style>
  <w:style w:type="paragraph" w:styleId="Heading7">
    <w:name w:val="heading 7"/>
    <w:basedOn w:val="Normal"/>
    <w:next w:val="Normal"/>
    <w:link w:val="Heading7Char"/>
    <w:qFormat/>
    <w:rsid w:val="00380F8B"/>
    <w:pPr>
      <w:keepNext/>
      <w:tabs>
        <w:tab w:val="center" w:pos="4680"/>
      </w:tabs>
      <w:suppressAutoHyphens/>
      <w:jc w:val="center"/>
      <w:outlineLvl w:val="6"/>
    </w:pPr>
    <w:rPr>
      <w:rFonts w:ascii="Arial" w:hAnsi="Arial"/>
      <w:b/>
      <w:spacing w:val="-3"/>
    </w:rPr>
  </w:style>
  <w:style w:type="paragraph" w:styleId="Heading8">
    <w:name w:val="heading 8"/>
    <w:basedOn w:val="Normal"/>
    <w:next w:val="Normal"/>
    <w:link w:val="Heading8Char"/>
    <w:qFormat/>
    <w:rsid w:val="00380F8B"/>
    <w:pPr>
      <w:keepNext/>
      <w:numPr>
        <w:ilvl w:val="12"/>
      </w:numPr>
      <w:tabs>
        <w:tab w:val="left" w:pos="-1440"/>
        <w:tab w:val="left" w:pos="-720"/>
        <w:tab w:val="left" w:pos="0"/>
        <w:tab w:val="left" w:pos="1080"/>
        <w:tab w:val="left" w:pos="1440"/>
      </w:tabs>
      <w:suppressAutoHyphens/>
      <w:jc w:val="both"/>
      <w:outlineLvl w:val="7"/>
    </w:pPr>
    <w:rPr>
      <w:rFonts w:ascii="Arial" w:hAnsi="Arial"/>
      <w:bCs/>
      <w:i/>
      <w:iCs/>
      <w:spacing w:val="-3"/>
      <w:u w:val="single"/>
    </w:rPr>
  </w:style>
  <w:style w:type="paragraph" w:styleId="Heading9">
    <w:name w:val="heading 9"/>
    <w:basedOn w:val="Normal"/>
    <w:next w:val="Normal"/>
    <w:link w:val="Heading9Char"/>
    <w:qFormat/>
    <w:rsid w:val="00380F8B"/>
    <w:pPr>
      <w:keepNext/>
      <w:keepLines/>
      <w:overflowPunct/>
      <w:autoSpaceDE/>
      <w:autoSpaceDN/>
      <w:adjustRightInd/>
      <w:spacing w:after="120"/>
      <w:jc w:val="center"/>
      <w:textAlignment w:val="auto"/>
      <w:outlineLvl w:val="8"/>
    </w:pPr>
    <w:rPr>
      <w:rFonts w:ascii="Arial" w:hAnsi="Arial" w:cs="Arial"/>
      <w:b/>
      <w:snapToGrid w:val="0"/>
      <w:color w:val="000000"/>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6Char">
    <w:name w:val="Heading 6 Char"/>
    <w:basedOn w:val="DefaultParagraphFont"/>
    <w:link w:val="Heading6"/>
    <w:rsid w:val="003C0CAC"/>
    <w:rPr>
      <w:rFonts w:ascii="Arial" w:eastAsia="Times New Roman" w:hAnsi="Arial" w:cs="Times New Roman"/>
      <w:b/>
      <w:spacing w:val="-3"/>
      <w:sz w:val="24"/>
      <w:szCs w:val="20"/>
    </w:rPr>
  </w:style>
  <w:style w:type="paragraph" w:styleId="BodyText2">
    <w:name w:val="Body Text 2"/>
    <w:basedOn w:val="Normal"/>
    <w:link w:val="BodyText2Char"/>
    <w:rsid w:val="003C0CAC"/>
    <w:pPr>
      <w:tabs>
        <w:tab w:val="left" w:pos="-1440"/>
        <w:tab w:val="left" w:pos="-720"/>
        <w:tab w:val="left" w:pos="0"/>
        <w:tab w:val="left" w:pos="1080"/>
        <w:tab w:val="left" w:pos="1440"/>
      </w:tabs>
      <w:suppressAutoHyphens/>
      <w:jc w:val="both"/>
    </w:pPr>
    <w:rPr>
      <w:rFonts w:ascii="Arial" w:hAnsi="Arial"/>
      <w:spacing w:val="-3"/>
    </w:rPr>
  </w:style>
  <w:style w:type="character" w:customStyle="1" w:styleId="BodyText2Char">
    <w:name w:val="Body Text 2 Char"/>
    <w:basedOn w:val="DefaultParagraphFont"/>
    <w:link w:val="BodyText2"/>
    <w:rsid w:val="003C0CAC"/>
    <w:rPr>
      <w:rFonts w:ascii="Arial" w:eastAsia="Times New Roman" w:hAnsi="Arial" w:cs="Times New Roman"/>
      <w:spacing w:val="-3"/>
      <w:sz w:val="24"/>
      <w:szCs w:val="20"/>
    </w:rPr>
  </w:style>
  <w:style w:type="paragraph" w:styleId="NoSpacing">
    <w:name w:val="No Spacing"/>
    <w:link w:val="NoSpacingChar"/>
    <w:uiPriority w:val="1"/>
    <w:qFormat/>
    <w:rsid w:val="003C0CAC"/>
    <w:pPr>
      <w:spacing w:after="0" w:line="240" w:lineRule="auto"/>
    </w:pPr>
    <w:rPr>
      <w:rFonts w:ascii="Calibri" w:eastAsia="Calibri" w:hAnsi="Calibri" w:cs="Times New Roman"/>
    </w:rPr>
  </w:style>
  <w:style w:type="character" w:customStyle="1" w:styleId="NoSpacingChar">
    <w:name w:val="No Spacing Char"/>
    <w:basedOn w:val="DefaultParagraphFont"/>
    <w:link w:val="NoSpacing"/>
    <w:uiPriority w:val="1"/>
    <w:rsid w:val="003C0CAC"/>
    <w:rPr>
      <w:rFonts w:ascii="Calibri" w:eastAsia="Calibri" w:hAnsi="Calibri" w:cs="Times New Roman"/>
    </w:rPr>
  </w:style>
  <w:style w:type="paragraph" w:styleId="Header">
    <w:name w:val="header"/>
    <w:basedOn w:val="Normal"/>
    <w:link w:val="HeaderChar"/>
    <w:uiPriority w:val="99"/>
    <w:unhideWhenUsed/>
    <w:rsid w:val="004430AB"/>
    <w:pPr>
      <w:tabs>
        <w:tab w:val="center" w:pos="4680"/>
        <w:tab w:val="right" w:pos="9360"/>
      </w:tabs>
    </w:pPr>
  </w:style>
  <w:style w:type="character" w:customStyle="1" w:styleId="HeaderChar">
    <w:name w:val="Header Char"/>
    <w:basedOn w:val="DefaultParagraphFont"/>
    <w:link w:val="Header"/>
    <w:uiPriority w:val="99"/>
    <w:rsid w:val="004430AB"/>
    <w:rPr>
      <w:rFonts w:ascii="Times Roman" w:eastAsia="Times New Roman" w:hAnsi="Times Roman" w:cs="Times New Roman"/>
      <w:sz w:val="24"/>
      <w:szCs w:val="20"/>
    </w:rPr>
  </w:style>
  <w:style w:type="paragraph" w:styleId="Footer">
    <w:name w:val="footer"/>
    <w:basedOn w:val="Normal"/>
    <w:link w:val="FooterChar"/>
    <w:uiPriority w:val="99"/>
    <w:unhideWhenUsed/>
    <w:rsid w:val="004430AB"/>
    <w:pPr>
      <w:tabs>
        <w:tab w:val="center" w:pos="4680"/>
        <w:tab w:val="right" w:pos="9360"/>
      </w:tabs>
    </w:pPr>
  </w:style>
  <w:style w:type="character" w:customStyle="1" w:styleId="FooterChar">
    <w:name w:val="Footer Char"/>
    <w:basedOn w:val="DefaultParagraphFont"/>
    <w:link w:val="Footer"/>
    <w:uiPriority w:val="99"/>
    <w:rsid w:val="004430AB"/>
    <w:rPr>
      <w:rFonts w:ascii="Times Roman" w:eastAsia="Times New Roman" w:hAnsi="Times Roman" w:cs="Times New Roman"/>
      <w:sz w:val="24"/>
      <w:szCs w:val="20"/>
    </w:rPr>
  </w:style>
  <w:style w:type="character" w:customStyle="1" w:styleId="Heading1Char">
    <w:name w:val="Heading 1 Char"/>
    <w:basedOn w:val="DefaultParagraphFont"/>
    <w:link w:val="Heading1"/>
    <w:rsid w:val="00380F8B"/>
    <w:rPr>
      <w:rFonts w:ascii="Arial" w:eastAsia="Times New Roman" w:hAnsi="Arial" w:cs="Times New Roman"/>
      <w:b/>
      <w:spacing w:val="-3"/>
      <w:sz w:val="24"/>
      <w:szCs w:val="20"/>
      <w:u w:val="single"/>
    </w:rPr>
  </w:style>
  <w:style w:type="character" w:customStyle="1" w:styleId="Heading2Char">
    <w:name w:val="Heading 2 Char"/>
    <w:basedOn w:val="DefaultParagraphFont"/>
    <w:link w:val="Heading2"/>
    <w:rsid w:val="00380F8B"/>
    <w:rPr>
      <w:rFonts w:ascii="Arial" w:eastAsia="Times New Roman" w:hAnsi="Arial" w:cs="Times New Roman"/>
      <w:b/>
      <w:spacing w:val="-3"/>
      <w:sz w:val="28"/>
      <w:szCs w:val="20"/>
      <w:u w:val="single"/>
    </w:rPr>
  </w:style>
  <w:style w:type="character" w:customStyle="1" w:styleId="Heading3Char">
    <w:name w:val="Heading 3 Char"/>
    <w:basedOn w:val="DefaultParagraphFont"/>
    <w:link w:val="Heading3"/>
    <w:rsid w:val="00380F8B"/>
    <w:rPr>
      <w:rFonts w:ascii="Arial" w:eastAsia="Times New Roman" w:hAnsi="Arial" w:cs="Times New Roman"/>
      <w:spacing w:val="-3"/>
      <w:sz w:val="28"/>
      <w:szCs w:val="20"/>
    </w:rPr>
  </w:style>
  <w:style w:type="character" w:customStyle="1" w:styleId="Heading4Char">
    <w:name w:val="Heading 4 Char"/>
    <w:basedOn w:val="DefaultParagraphFont"/>
    <w:link w:val="Heading4"/>
    <w:uiPriority w:val="1"/>
    <w:rsid w:val="00380F8B"/>
    <w:rPr>
      <w:rFonts w:ascii="Arial" w:eastAsia="Times New Roman" w:hAnsi="Arial" w:cs="Times New Roman"/>
      <w:spacing w:val="-3"/>
      <w:sz w:val="28"/>
      <w:szCs w:val="20"/>
    </w:rPr>
  </w:style>
  <w:style w:type="character" w:customStyle="1" w:styleId="Heading5Char">
    <w:name w:val="Heading 5 Char"/>
    <w:basedOn w:val="DefaultParagraphFont"/>
    <w:link w:val="Heading5"/>
    <w:rsid w:val="00380F8B"/>
    <w:rPr>
      <w:rFonts w:ascii="Arial" w:eastAsia="Times New Roman" w:hAnsi="Arial" w:cs="Times New Roman"/>
      <w:b/>
      <w:spacing w:val="-3"/>
      <w:sz w:val="28"/>
      <w:szCs w:val="20"/>
      <w:u w:val="single"/>
    </w:rPr>
  </w:style>
  <w:style w:type="character" w:customStyle="1" w:styleId="Heading7Char">
    <w:name w:val="Heading 7 Char"/>
    <w:basedOn w:val="DefaultParagraphFont"/>
    <w:link w:val="Heading7"/>
    <w:rsid w:val="00380F8B"/>
    <w:rPr>
      <w:rFonts w:ascii="Arial" w:eastAsia="Times New Roman" w:hAnsi="Arial" w:cs="Times New Roman"/>
      <w:b/>
      <w:spacing w:val="-3"/>
      <w:sz w:val="24"/>
      <w:szCs w:val="20"/>
    </w:rPr>
  </w:style>
  <w:style w:type="character" w:customStyle="1" w:styleId="Heading8Char">
    <w:name w:val="Heading 8 Char"/>
    <w:basedOn w:val="DefaultParagraphFont"/>
    <w:link w:val="Heading8"/>
    <w:rsid w:val="00380F8B"/>
    <w:rPr>
      <w:rFonts w:ascii="Arial" w:eastAsia="Times New Roman" w:hAnsi="Arial" w:cs="Times New Roman"/>
      <w:bCs/>
      <w:i/>
      <w:iCs/>
      <w:spacing w:val="-3"/>
      <w:sz w:val="24"/>
      <w:szCs w:val="20"/>
      <w:u w:val="single"/>
    </w:rPr>
  </w:style>
  <w:style w:type="character" w:customStyle="1" w:styleId="Heading9Char">
    <w:name w:val="Heading 9 Char"/>
    <w:basedOn w:val="DefaultParagraphFont"/>
    <w:link w:val="Heading9"/>
    <w:rsid w:val="00380F8B"/>
    <w:rPr>
      <w:rFonts w:ascii="Arial" w:eastAsia="Times New Roman" w:hAnsi="Arial" w:cs="Arial"/>
      <w:b/>
      <w:snapToGrid w:val="0"/>
      <w:color w:val="000000"/>
      <w:sz w:val="20"/>
      <w:szCs w:val="20"/>
    </w:rPr>
  </w:style>
  <w:style w:type="character" w:styleId="CommentReference">
    <w:name w:val="annotation reference"/>
    <w:basedOn w:val="DefaultParagraphFont"/>
    <w:uiPriority w:val="99"/>
    <w:semiHidden/>
    <w:unhideWhenUsed/>
    <w:rsid w:val="00380F8B"/>
    <w:rPr>
      <w:sz w:val="16"/>
      <w:szCs w:val="16"/>
    </w:rPr>
  </w:style>
  <w:style w:type="paragraph" w:styleId="CommentText">
    <w:name w:val="annotation text"/>
    <w:basedOn w:val="Normal"/>
    <w:link w:val="CommentTextChar"/>
    <w:uiPriority w:val="99"/>
    <w:semiHidden/>
    <w:unhideWhenUsed/>
    <w:rsid w:val="00380F8B"/>
    <w:pPr>
      <w:widowControl w:val="0"/>
      <w:overflowPunct/>
      <w:autoSpaceDE/>
      <w:autoSpaceDN/>
      <w:adjustRightInd/>
      <w:spacing w:after="200"/>
      <w:textAlignment w:val="auto"/>
    </w:pPr>
    <w:rPr>
      <w:rFonts w:ascii="Arial" w:hAnsi="Arial" w:cs="Arial"/>
      <w:sz w:val="20"/>
    </w:rPr>
  </w:style>
  <w:style w:type="character" w:customStyle="1" w:styleId="CommentTextChar">
    <w:name w:val="Comment Text Char"/>
    <w:basedOn w:val="DefaultParagraphFont"/>
    <w:link w:val="CommentText"/>
    <w:uiPriority w:val="99"/>
    <w:semiHidden/>
    <w:rsid w:val="00380F8B"/>
    <w:rPr>
      <w:rFonts w:ascii="Arial" w:eastAsia="Times New Roman" w:hAnsi="Arial" w:cs="Arial"/>
      <w:sz w:val="20"/>
      <w:szCs w:val="20"/>
    </w:rPr>
  </w:style>
  <w:style w:type="paragraph" w:styleId="CommentSubject">
    <w:name w:val="annotation subject"/>
    <w:basedOn w:val="CommentText"/>
    <w:next w:val="CommentText"/>
    <w:link w:val="CommentSubjectChar"/>
    <w:semiHidden/>
    <w:unhideWhenUsed/>
    <w:rsid w:val="00380F8B"/>
    <w:rPr>
      <w:b/>
      <w:bCs/>
    </w:rPr>
  </w:style>
  <w:style w:type="character" w:customStyle="1" w:styleId="CommentSubjectChar">
    <w:name w:val="Comment Subject Char"/>
    <w:basedOn w:val="CommentTextChar"/>
    <w:link w:val="CommentSubject"/>
    <w:semiHidden/>
    <w:rsid w:val="00380F8B"/>
    <w:rPr>
      <w:rFonts w:ascii="Arial" w:eastAsia="Times New Roman" w:hAnsi="Arial" w:cs="Arial"/>
      <w:b/>
      <w:bCs/>
      <w:sz w:val="20"/>
      <w:szCs w:val="20"/>
    </w:rPr>
  </w:style>
  <w:style w:type="paragraph" w:styleId="BalloonText">
    <w:name w:val="Balloon Text"/>
    <w:basedOn w:val="Normal"/>
    <w:link w:val="BalloonText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0F8B"/>
    <w:rPr>
      <w:rFonts w:ascii="Tahoma" w:eastAsia="Times New Roman" w:hAnsi="Tahoma" w:cs="Tahoma"/>
      <w:sz w:val="16"/>
      <w:szCs w:val="16"/>
    </w:rPr>
  </w:style>
  <w:style w:type="table" w:styleId="TableGrid">
    <w:name w:val="Table Grid"/>
    <w:basedOn w:val="TableNormal"/>
    <w:uiPriority w:val="59"/>
    <w:rsid w:val="00380F8B"/>
    <w:pPr>
      <w:spacing w:after="0" w:line="240" w:lineRule="auto"/>
    </w:pPr>
    <w:rPr>
      <w:rFonts w:ascii="Arial" w:eastAsia="Times New Roman" w:hAnsi="Arial" w:cs="Arial"/>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ndnoteTextChar">
    <w:name w:val="Endnote Text Char"/>
    <w:basedOn w:val="DefaultParagraphFont"/>
    <w:link w:val="EndnoteText"/>
    <w:semiHidden/>
    <w:rsid w:val="00380F8B"/>
    <w:rPr>
      <w:rFonts w:ascii="Times Roman" w:hAnsi="Times Roman" w:cs="Times New Roman"/>
      <w:sz w:val="24"/>
    </w:rPr>
  </w:style>
  <w:style w:type="paragraph" w:styleId="EndnoteText">
    <w:name w:val="endnote text"/>
    <w:basedOn w:val="Normal"/>
    <w:link w:val="EndnoteTextChar"/>
    <w:semiHidden/>
    <w:rsid w:val="00380F8B"/>
    <w:rPr>
      <w:rFonts w:eastAsiaTheme="minorHAnsi"/>
      <w:szCs w:val="22"/>
    </w:rPr>
  </w:style>
  <w:style w:type="character" w:customStyle="1" w:styleId="EndnoteTextChar1">
    <w:name w:val="Endnote Text Char1"/>
    <w:basedOn w:val="DefaultParagraphFont"/>
    <w:uiPriority w:val="99"/>
    <w:semiHidden/>
    <w:rsid w:val="00380F8B"/>
    <w:rPr>
      <w:rFonts w:ascii="Times Roman" w:eastAsia="Times New Roman" w:hAnsi="Times Roman" w:cs="Times New Roman"/>
      <w:sz w:val="20"/>
      <w:szCs w:val="20"/>
    </w:rPr>
  </w:style>
  <w:style w:type="paragraph" w:styleId="FootnoteText">
    <w:name w:val="footnote text"/>
    <w:basedOn w:val="Normal"/>
    <w:link w:val="FootnoteTextChar"/>
    <w:semiHidden/>
    <w:rsid w:val="00380F8B"/>
  </w:style>
  <w:style w:type="character" w:customStyle="1" w:styleId="FootnoteTextChar">
    <w:name w:val="Footnote Text Char"/>
    <w:basedOn w:val="DefaultParagraphFont"/>
    <w:link w:val="FootnoteText"/>
    <w:semiHidden/>
    <w:rsid w:val="00380F8B"/>
    <w:rPr>
      <w:rFonts w:ascii="Times Roman" w:eastAsia="Times New Roman" w:hAnsi="Times Roman" w:cs="Times New Roman"/>
      <w:sz w:val="24"/>
      <w:szCs w:val="20"/>
    </w:rPr>
  </w:style>
  <w:style w:type="character" w:customStyle="1" w:styleId="Bibliogrphy">
    <w:name w:val="Bibliogrphy"/>
    <w:basedOn w:val="DefaultParagraphFont"/>
    <w:rsid w:val="00380F8B"/>
  </w:style>
  <w:style w:type="character" w:customStyle="1" w:styleId="TechInit">
    <w:name w:val="Tech Init"/>
    <w:basedOn w:val="DefaultParagraphFont"/>
    <w:rsid w:val="00380F8B"/>
    <w:rPr>
      <w:rFonts w:ascii="Times Roman" w:hAnsi="Times Roman"/>
      <w:noProof w:val="0"/>
      <w:sz w:val="24"/>
      <w:lang w:val="en-US"/>
    </w:rPr>
  </w:style>
  <w:style w:type="character" w:customStyle="1" w:styleId="Technical1">
    <w:name w:val="Technical 1"/>
    <w:basedOn w:val="DefaultParagraphFont"/>
    <w:rsid w:val="00380F8B"/>
    <w:rPr>
      <w:rFonts w:ascii="Times Roman" w:hAnsi="Times Roman"/>
      <w:noProof w:val="0"/>
      <w:sz w:val="24"/>
      <w:lang w:val="en-US"/>
    </w:rPr>
  </w:style>
  <w:style w:type="character" w:customStyle="1" w:styleId="Technical2">
    <w:name w:val="Technical 2"/>
    <w:basedOn w:val="DefaultParagraphFont"/>
    <w:rsid w:val="00380F8B"/>
    <w:rPr>
      <w:rFonts w:ascii="Times Roman" w:hAnsi="Times Roman"/>
      <w:noProof w:val="0"/>
      <w:sz w:val="24"/>
      <w:lang w:val="en-US"/>
    </w:rPr>
  </w:style>
  <w:style w:type="character" w:customStyle="1" w:styleId="Technical3">
    <w:name w:val="Technical 3"/>
    <w:basedOn w:val="DefaultParagraphFont"/>
    <w:rsid w:val="00380F8B"/>
    <w:rPr>
      <w:rFonts w:ascii="Times Roman" w:hAnsi="Times Roman"/>
      <w:noProof w:val="0"/>
      <w:sz w:val="24"/>
      <w:lang w:val="en-US"/>
    </w:rPr>
  </w:style>
  <w:style w:type="paragraph" w:customStyle="1" w:styleId="Technical4">
    <w:name w:val="Technical 4"/>
    <w:rsid w:val="00380F8B"/>
    <w:pPr>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b/>
      <w:sz w:val="24"/>
      <w:szCs w:val="20"/>
    </w:rPr>
  </w:style>
  <w:style w:type="paragraph" w:customStyle="1" w:styleId="Technical5">
    <w:name w:val="Technical 5"/>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6">
    <w:name w:val="Technical 6"/>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7">
    <w:name w:val="Technical 7"/>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paragraph" w:customStyle="1" w:styleId="Technical8">
    <w:name w:val="Technical 8"/>
    <w:rsid w:val="00380F8B"/>
    <w:pPr>
      <w:tabs>
        <w:tab w:val="left"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b/>
      <w:sz w:val="24"/>
      <w:szCs w:val="20"/>
    </w:rPr>
  </w:style>
  <w:style w:type="character" w:customStyle="1" w:styleId="DocInit">
    <w:name w:val="Doc Init"/>
    <w:basedOn w:val="DefaultParagraphFont"/>
    <w:rsid w:val="00380F8B"/>
  </w:style>
  <w:style w:type="paragraph" w:customStyle="1" w:styleId="Document1">
    <w:name w:val="Document 1"/>
    <w:rsid w:val="00380F8B"/>
    <w:pPr>
      <w:keepNext/>
      <w:keepLines/>
      <w:tabs>
        <w:tab w:val="left" w:pos="-720"/>
      </w:tabs>
      <w:suppressAutoHyphens/>
      <w:overflowPunct w:val="0"/>
      <w:autoSpaceDE w:val="0"/>
      <w:autoSpaceDN w:val="0"/>
      <w:adjustRightInd w:val="0"/>
      <w:spacing w:after="0" w:line="240" w:lineRule="auto"/>
      <w:textAlignment w:val="baseline"/>
    </w:pPr>
    <w:rPr>
      <w:rFonts w:ascii="Times Roman" w:eastAsia="Times New Roman" w:hAnsi="Times Roman" w:cs="Times New Roman"/>
      <w:sz w:val="24"/>
      <w:szCs w:val="20"/>
    </w:rPr>
  </w:style>
  <w:style w:type="character" w:customStyle="1" w:styleId="Document2">
    <w:name w:val="Document 2"/>
    <w:basedOn w:val="DefaultParagraphFont"/>
    <w:rsid w:val="00380F8B"/>
    <w:rPr>
      <w:rFonts w:ascii="Times Roman" w:hAnsi="Times Roman"/>
      <w:noProof w:val="0"/>
      <w:sz w:val="24"/>
      <w:lang w:val="en-US"/>
    </w:rPr>
  </w:style>
  <w:style w:type="character" w:customStyle="1" w:styleId="Document3">
    <w:name w:val="Document 3"/>
    <w:basedOn w:val="DefaultParagraphFont"/>
    <w:rsid w:val="00380F8B"/>
    <w:rPr>
      <w:rFonts w:ascii="Times Roman" w:hAnsi="Times Roman"/>
      <w:noProof w:val="0"/>
      <w:sz w:val="24"/>
      <w:lang w:val="en-US"/>
    </w:rPr>
  </w:style>
  <w:style w:type="character" w:customStyle="1" w:styleId="Document4">
    <w:name w:val="Document 4"/>
    <w:basedOn w:val="DefaultParagraphFont"/>
    <w:rsid w:val="00380F8B"/>
    <w:rPr>
      <w:b/>
      <w:i/>
      <w:sz w:val="24"/>
    </w:rPr>
  </w:style>
  <w:style w:type="character" w:customStyle="1" w:styleId="Document5">
    <w:name w:val="Document 5"/>
    <w:basedOn w:val="DefaultParagraphFont"/>
    <w:rsid w:val="00380F8B"/>
  </w:style>
  <w:style w:type="character" w:customStyle="1" w:styleId="Document6">
    <w:name w:val="Document 6"/>
    <w:basedOn w:val="DefaultParagraphFont"/>
    <w:rsid w:val="00380F8B"/>
  </w:style>
  <w:style w:type="character" w:customStyle="1" w:styleId="Document7">
    <w:name w:val="Document 7"/>
    <w:basedOn w:val="DefaultParagraphFont"/>
    <w:rsid w:val="00380F8B"/>
  </w:style>
  <w:style w:type="character" w:customStyle="1" w:styleId="Document8">
    <w:name w:val="Document 8"/>
    <w:basedOn w:val="DefaultParagraphFont"/>
    <w:rsid w:val="00380F8B"/>
  </w:style>
  <w:style w:type="character" w:customStyle="1" w:styleId="BulletList">
    <w:name w:val="Bullet List"/>
    <w:basedOn w:val="DefaultParagraphFont"/>
    <w:rsid w:val="00380F8B"/>
  </w:style>
  <w:style w:type="paragraph" w:customStyle="1" w:styleId="RightPar1">
    <w:name w:val="Right Par 1"/>
    <w:rsid w:val="00380F8B"/>
    <w:pPr>
      <w:tabs>
        <w:tab w:val="left" w:pos="-720"/>
        <w:tab w:val="left" w:pos="0"/>
        <w:tab w:val="decimal" w:pos="720"/>
      </w:tabs>
      <w:suppressAutoHyphens/>
      <w:overflowPunct w:val="0"/>
      <w:autoSpaceDE w:val="0"/>
      <w:autoSpaceDN w:val="0"/>
      <w:adjustRightInd w:val="0"/>
      <w:spacing w:after="0" w:line="240" w:lineRule="auto"/>
      <w:ind w:firstLine="720"/>
      <w:textAlignment w:val="baseline"/>
    </w:pPr>
    <w:rPr>
      <w:rFonts w:ascii="Times Roman" w:eastAsia="Times New Roman" w:hAnsi="Times Roman" w:cs="Times New Roman"/>
      <w:sz w:val="24"/>
      <w:szCs w:val="20"/>
    </w:rPr>
  </w:style>
  <w:style w:type="paragraph" w:customStyle="1" w:styleId="RightPar2">
    <w:name w:val="Right Par 2"/>
    <w:rsid w:val="00380F8B"/>
    <w:pPr>
      <w:tabs>
        <w:tab w:val="left" w:pos="-720"/>
        <w:tab w:val="left" w:pos="0"/>
        <w:tab w:val="left" w:pos="720"/>
        <w:tab w:val="decimal" w:pos="1440"/>
      </w:tabs>
      <w:suppressAutoHyphens/>
      <w:overflowPunct w:val="0"/>
      <w:autoSpaceDE w:val="0"/>
      <w:autoSpaceDN w:val="0"/>
      <w:adjustRightInd w:val="0"/>
      <w:spacing w:after="0" w:line="240" w:lineRule="auto"/>
      <w:ind w:firstLine="1440"/>
      <w:textAlignment w:val="baseline"/>
    </w:pPr>
    <w:rPr>
      <w:rFonts w:ascii="Times Roman" w:eastAsia="Times New Roman" w:hAnsi="Times Roman" w:cs="Times New Roman"/>
      <w:sz w:val="24"/>
      <w:szCs w:val="20"/>
    </w:rPr>
  </w:style>
  <w:style w:type="paragraph" w:customStyle="1" w:styleId="RightPar3">
    <w:name w:val="Right Par 3"/>
    <w:rsid w:val="00380F8B"/>
    <w:pPr>
      <w:tabs>
        <w:tab w:val="left" w:pos="-720"/>
        <w:tab w:val="left" w:pos="0"/>
        <w:tab w:val="left" w:pos="720"/>
        <w:tab w:val="left" w:pos="1440"/>
        <w:tab w:val="decimal" w:pos="2160"/>
      </w:tabs>
      <w:suppressAutoHyphens/>
      <w:overflowPunct w:val="0"/>
      <w:autoSpaceDE w:val="0"/>
      <w:autoSpaceDN w:val="0"/>
      <w:adjustRightInd w:val="0"/>
      <w:spacing w:after="0" w:line="240" w:lineRule="auto"/>
      <w:ind w:firstLine="2160"/>
      <w:textAlignment w:val="baseline"/>
    </w:pPr>
    <w:rPr>
      <w:rFonts w:ascii="Times Roman" w:eastAsia="Times New Roman" w:hAnsi="Times Roman" w:cs="Times New Roman"/>
      <w:sz w:val="24"/>
      <w:szCs w:val="20"/>
    </w:rPr>
  </w:style>
  <w:style w:type="paragraph" w:customStyle="1" w:styleId="RightPar4">
    <w:name w:val="Right Par 4"/>
    <w:rsid w:val="00380F8B"/>
    <w:pPr>
      <w:tabs>
        <w:tab w:val="left" w:pos="-720"/>
        <w:tab w:val="left" w:pos="0"/>
        <w:tab w:val="left" w:pos="720"/>
        <w:tab w:val="left" w:pos="1440"/>
        <w:tab w:val="left" w:pos="2160"/>
        <w:tab w:val="decimal" w:pos="2880"/>
      </w:tabs>
      <w:suppressAutoHyphens/>
      <w:overflowPunct w:val="0"/>
      <w:autoSpaceDE w:val="0"/>
      <w:autoSpaceDN w:val="0"/>
      <w:adjustRightInd w:val="0"/>
      <w:spacing w:after="0" w:line="240" w:lineRule="auto"/>
      <w:ind w:firstLine="2880"/>
      <w:textAlignment w:val="baseline"/>
    </w:pPr>
    <w:rPr>
      <w:rFonts w:ascii="Times Roman" w:eastAsia="Times New Roman" w:hAnsi="Times Roman" w:cs="Times New Roman"/>
      <w:sz w:val="24"/>
      <w:szCs w:val="20"/>
    </w:rPr>
  </w:style>
  <w:style w:type="paragraph" w:customStyle="1" w:styleId="RightPar5">
    <w:name w:val="Right Par 5"/>
    <w:rsid w:val="00380F8B"/>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spacing w:after="0" w:line="240" w:lineRule="auto"/>
      <w:ind w:firstLine="3600"/>
      <w:textAlignment w:val="baseline"/>
    </w:pPr>
    <w:rPr>
      <w:rFonts w:ascii="Times Roman" w:eastAsia="Times New Roman" w:hAnsi="Times Roman" w:cs="Times New Roman"/>
      <w:sz w:val="24"/>
      <w:szCs w:val="20"/>
    </w:rPr>
  </w:style>
  <w:style w:type="paragraph" w:customStyle="1" w:styleId="RightPar6">
    <w:name w:val="Right Par 6"/>
    <w:rsid w:val="00380F8B"/>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spacing w:after="0" w:line="240" w:lineRule="auto"/>
      <w:ind w:firstLine="4320"/>
      <w:textAlignment w:val="baseline"/>
    </w:pPr>
    <w:rPr>
      <w:rFonts w:ascii="Times Roman" w:eastAsia="Times New Roman" w:hAnsi="Times Roman" w:cs="Times New Roman"/>
      <w:sz w:val="24"/>
      <w:szCs w:val="20"/>
    </w:rPr>
  </w:style>
  <w:style w:type="paragraph" w:customStyle="1" w:styleId="RightPar7">
    <w:name w:val="Right Par 7"/>
    <w:rsid w:val="00380F8B"/>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spacing w:after="0" w:line="240" w:lineRule="auto"/>
      <w:ind w:firstLine="5040"/>
      <w:textAlignment w:val="baseline"/>
    </w:pPr>
    <w:rPr>
      <w:rFonts w:ascii="Times Roman" w:eastAsia="Times New Roman" w:hAnsi="Times Roman" w:cs="Times New Roman"/>
      <w:sz w:val="24"/>
      <w:szCs w:val="20"/>
    </w:rPr>
  </w:style>
  <w:style w:type="paragraph" w:customStyle="1" w:styleId="RightPar8">
    <w:name w:val="Right Par 8"/>
    <w:rsid w:val="00380F8B"/>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spacing w:after="0" w:line="240" w:lineRule="auto"/>
      <w:ind w:firstLine="5760"/>
      <w:textAlignment w:val="baseline"/>
    </w:pPr>
    <w:rPr>
      <w:rFonts w:ascii="Times Roman" w:eastAsia="Times New Roman" w:hAnsi="Times Roman" w:cs="Times New Roman"/>
      <w:sz w:val="24"/>
      <w:szCs w:val="20"/>
    </w:rPr>
  </w:style>
  <w:style w:type="paragraph" w:styleId="TOC1">
    <w:name w:val="toc 1"/>
    <w:basedOn w:val="Normal"/>
    <w:next w:val="Normal"/>
    <w:semiHidden/>
    <w:rsid w:val="00380F8B"/>
    <w:pPr>
      <w:tabs>
        <w:tab w:val="right" w:leader="dot" w:pos="9360"/>
      </w:tabs>
      <w:suppressAutoHyphens/>
      <w:spacing w:before="480"/>
      <w:ind w:left="720" w:right="720" w:hanging="720"/>
    </w:pPr>
  </w:style>
  <w:style w:type="paragraph" w:styleId="TOC3">
    <w:name w:val="toc 3"/>
    <w:basedOn w:val="Normal"/>
    <w:next w:val="Normal"/>
    <w:semiHidden/>
    <w:rsid w:val="00380F8B"/>
    <w:pPr>
      <w:tabs>
        <w:tab w:val="right" w:leader="dot" w:pos="9360"/>
      </w:tabs>
      <w:suppressAutoHyphens/>
      <w:ind w:left="2160" w:right="720" w:hanging="720"/>
    </w:pPr>
  </w:style>
  <w:style w:type="paragraph" w:styleId="Index1">
    <w:name w:val="index 1"/>
    <w:basedOn w:val="Normal"/>
    <w:next w:val="Normal"/>
    <w:semiHidden/>
    <w:rsid w:val="00380F8B"/>
    <w:pPr>
      <w:tabs>
        <w:tab w:val="right" w:leader="dot" w:pos="9360"/>
      </w:tabs>
      <w:suppressAutoHyphens/>
      <w:ind w:left="1440" w:right="720" w:hanging="1440"/>
    </w:pPr>
  </w:style>
  <w:style w:type="paragraph" w:styleId="Caption">
    <w:name w:val="caption"/>
    <w:basedOn w:val="Normal"/>
    <w:next w:val="Normal"/>
    <w:qFormat/>
    <w:rsid w:val="00380F8B"/>
  </w:style>
  <w:style w:type="character" w:customStyle="1" w:styleId="EquationCaption">
    <w:name w:val="_Equation Caption"/>
    <w:rsid w:val="00380F8B"/>
  </w:style>
  <w:style w:type="paragraph" w:styleId="BodyText">
    <w:name w:val="Body Text"/>
    <w:basedOn w:val="Normal"/>
    <w:link w:val="BodyTextChar"/>
    <w:rsid w:val="00380F8B"/>
    <w:pPr>
      <w:tabs>
        <w:tab w:val="left" w:pos="-1440"/>
        <w:tab w:val="left" w:pos="-720"/>
        <w:tab w:val="left" w:pos="0"/>
        <w:tab w:val="left" w:pos="1080"/>
        <w:tab w:val="left" w:pos="1440"/>
      </w:tabs>
      <w:suppressAutoHyphens/>
      <w:jc w:val="both"/>
    </w:pPr>
    <w:rPr>
      <w:rFonts w:ascii="Arial" w:hAnsi="Arial"/>
      <w:b/>
      <w:spacing w:val="-3"/>
      <w:sz w:val="32"/>
    </w:rPr>
  </w:style>
  <w:style w:type="character" w:customStyle="1" w:styleId="BodyTextChar">
    <w:name w:val="Body Text Char"/>
    <w:basedOn w:val="DefaultParagraphFont"/>
    <w:link w:val="BodyText"/>
    <w:rsid w:val="00380F8B"/>
    <w:rPr>
      <w:rFonts w:ascii="Arial" w:eastAsia="Times New Roman" w:hAnsi="Arial" w:cs="Times New Roman"/>
      <w:b/>
      <w:spacing w:val="-3"/>
      <w:sz w:val="32"/>
      <w:szCs w:val="20"/>
    </w:rPr>
  </w:style>
  <w:style w:type="paragraph" w:styleId="BodyText3">
    <w:name w:val="Body Text 3"/>
    <w:basedOn w:val="Normal"/>
    <w:link w:val="BodyText3Char"/>
    <w:rsid w:val="00380F8B"/>
    <w:pPr>
      <w:tabs>
        <w:tab w:val="left" w:pos="-1440"/>
        <w:tab w:val="left" w:pos="-720"/>
        <w:tab w:val="left" w:pos="0"/>
        <w:tab w:val="left" w:pos="1080"/>
        <w:tab w:val="left" w:pos="1440"/>
      </w:tabs>
      <w:suppressAutoHyphens/>
      <w:jc w:val="both"/>
    </w:pPr>
    <w:rPr>
      <w:rFonts w:ascii="Arial" w:hAnsi="Arial"/>
      <w:b/>
      <w:spacing w:val="-3"/>
    </w:rPr>
  </w:style>
  <w:style w:type="character" w:customStyle="1" w:styleId="BodyText3Char">
    <w:name w:val="Body Text 3 Char"/>
    <w:basedOn w:val="DefaultParagraphFont"/>
    <w:link w:val="BodyText3"/>
    <w:rsid w:val="00380F8B"/>
    <w:rPr>
      <w:rFonts w:ascii="Arial" w:eastAsia="Times New Roman" w:hAnsi="Arial" w:cs="Times New Roman"/>
      <w:b/>
      <w:spacing w:val="-3"/>
      <w:sz w:val="24"/>
      <w:szCs w:val="20"/>
    </w:rPr>
  </w:style>
  <w:style w:type="paragraph" w:styleId="BlockText">
    <w:name w:val="Block Text"/>
    <w:basedOn w:val="Normal"/>
    <w:rsid w:val="00380F8B"/>
    <w:pPr>
      <w:tabs>
        <w:tab w:val="left" w:pos="-1440"/>
        <w:tab w:val="left" w:pos="-720"/>
        <w:tab w:val="left" w:pos="0"/>
        <w:tab w:val="left" w:pos="1080"/>
        <w:tab w:val="left" w:pos="1440"/>
      </w:tabs>
      <w:suppressAutoHyphens/>
      <w:ind w:left="720" w:right="720"/>
      <w:jc w:val="both"/>
    </w:pPr>
    <w:rPr>
      <w:rFonts w:ascii="Arial" w:hAnsi="Arial"/>
      <w:i/>
      <w:iCs/>
      <w:spacing w:val="-3"/>
    </w:rPr>
  </w:style>
  <w:style w:type="paragraph" w:styleId="BodyTextIndent">
    <w:name w:val="Body Text Indent"/>
    <w:basedOn w:val="Normal"/>
    <w:link w:val="BodyTextIndentChar"/>
    <w:rsid w:val="00380F8B"/>
    <w:pPr>
      <w:ind w:left="720"/>
    </w:pPr>
    <w:rPr>
      <w:rFonts w:ascii="Arial" w:hAnsi="Arial"/>
      <w:spacing w:val="-3"/>
    </w:rPr>
  </w:style>
  <w:style w:type="character" w:customStyle="1" w:styleId="BodyTextIndentChar">
    <w:name w:val="Body Text Indent Char"/>
    <w:basedOn w:val="DefaultParagraphFont"/>
    <w:link w:val="BodyTextIndent"/>
    <w:rsid w:val="00380F8B"/>
    <w:rPr>
      <w:rFonts w:ascii="Arial" w:eastAsia="Times New Roman" w:hAnsi="Arial" w:cs="Times New Roman"/>
      <w:spacing w:val="-3"/>
      <w:sz w:val="24"/>
      <w:szCs w:val="20"/>
    </w:rPr>
  </w:style>
  <w:style w:type="character" w:customStyle="1" w:styleId="apple-converted-space">
    <w:name w:val="apple-converted-space"/>
    <w:basedOn w:val="DefaultParagraphFont"/>
    <w:rsid w:val="00380F8B"/>
  </w:style>
  <w:style w:type="character" w:styleId="Hyperlink">
    <w:name w:val="Hyperlink"/>
    <w:basedOn w:val="DefaultParagraphFont"/>
    <w:rsid w:val="00380F8B"/>
    <w:rPr>
      <w:color w:val="0000FF"/>
      <w:u w:val="single"/>
    </w:rPr>
  </w:style>
  <w:style w:type="character" w:styleId="Emphasis">
    <w:name w:val="Emphasis"/>
    <w:basedOn w:val="DefaultParagraphFont"/>
    <w:qFormat/>
    <w:rsid w:val="00380F8B"/>
    <w:rPr>
      <w:b/>
      <w:bCs/>
      <w:i w:val="0"/>
      <w:iCs w:val="0"/>
    </w:rPr>
  </w:style>
  <w:style w:type="paragraph" w:styleId="ListParagraph">
    <w:name w:val="List Paragraph"/>
    <w:basedOn w:val="Normal"/>
    <w:uiPriority w:val="34"/>
    <w:qFormat/>
    <w:rsid w:val="00380F8B"/>
    <w:pPr>
      <w:overflowPunct/>
      <w:autoSpaceDE/>
      <w:autoSpaceDN/>
      <w:adjustRightInd/>
      <w:ind w:left="720"/>
      <w:contextualSpacing/>
      <w:textAlignment w:val="auto"/>
    </w:pPr>
    <w:rPr>
      <w:rFonts w:ascii="Times New Roman" w:hAnsi="Times New Roman"/>
      <w:szCs w:val="24"/>
    </w:rPr>
  </w:style>
  <w:style w:type="paragraph" w:styleId="NormalWeb">
    <w:name w:val="Normal (Web)"/>
    <w:basedOn w:val="Normal"/>
    <w:uiPriority w:val="99"/>
    <w:unhideWhenUsed/>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customStyle="1" w:styleId="IRPHeader3">
    <w:name w:val="IRP Header 3"/>
    <w:basedOn w:val="Normal"/>
    <w:next w:val="Heading2"/>
    <w:link w:val="IRPHeader3Char"/>
    <w:qFormat/>
    <w:rsid w:val="00380F8B"/>
    <w:pPr>
      <w:spacing w:before="120"/>
    </w:pPr>
    <w:rPr>
      <w:rFonts w:ascii="Arial" w:hAnsi="Arial"/>
      <w:b/>
    </w:rPr>
  </w:style>
  <w:style w:type="character" w:customStyle="1" w:styleId="IRPHeader3Char">
    <w:name w:val="IRP Header 3 Char"/>
    <w:basedOn w:val="DefaultParagraphFont"/>
    <w:link w:val="IRPHeader3"/>
    <w:rsid w:val="00380F8B"/>
    <w:rPr>
      <w:rFonts w:ascii="Arial" w:eastAsia="Times New Roman" w:hAnsi="Arial" w:cs="Times New Roman"/>
      <w:b/>
      <w:sz w:val="24"/>
      <w:szCs w:val="20"/>
    </w:rPr>
  </w:style>
  <w:style w:type="paragraph" w:customStyle="1" w:styleId="Normal-Unedited">
    <w:name w:val="Normal - Unedited"/>
    <w:basedOn w:val="Caption"/>
    <w:link w:val="Normal-UneditedChar"/>
    <w:qFormat/>
    <w:rsid w:val="00380F8B"/>
    <w:rPr>
      <w:rFonts w:ascii="Arial" w:hAnsi="Arial"/>
      <w:color w:val="E36C0A"/>
    </w:rPr>
  </w:style>
  <w:style w:type="character" w:customStyle="1" w:styleId="Normal-UneditedChar">
    <w:name w:val="Normal - Unedited Char"/>
    <w:basedOn w:val="DefaultParagraphFont"/>
    <w:link w:val="Normal-Unedited"/>
    <w:rsid w:val="00380F8B"/>
    <w:rPr>
      <w:rFonts w:ascii="Arial" w:eastAsia="Times New Roman" w:hAnsi="Arial" w:cs="Times New Roman"/>
      <w:color w:val="E36C0A"/>
      <w:sz w:val="24"/>
      <w:szCs w:val="20"/>
    </w:rPr>
  </w:style>
  <w:style w:type="paragraph" w:customStyle="1" w:styleId="IRPHeader2">
    <w:name w:val="IRP Header 2"/>
    <w:basedOn w:val="Heading2"/>
    <w:link w:val="IRPHeader2Char"/>
    <w:qFormat/>
    <w:rsid w:val="00380F8B"/>
    <w:pPr>
      <w:numPr>
        <w:ilvl w:val="1"/>
      </w:numPr>
      <w:jc w:val="left"/>
    </w:pPr>
    <w:rPr>
      <w:sz w:val="24"/>
    </w:rPr>
  </w:style>
  <w:style w:type="character" w:customStyle="1" w:styleId="IRPHeader2Char">
    <w:name w:val="IRP Header 2 Char"/>
    <w:basedOn w:val="DefaultParagraphFont"/>
    <w:link w:val="IRPHeader2"/>
    <w:rsid w:val="00380F8B"/>
    <w:rPr>
      <w:rFonts w:ascii="Arial" w:eastAsia="Times New Roman" w:hAnsi="Arial" w:cs="Times New Roman"/>
      <w:b/>
      <w:spacing w:val="-3"/>
      <w:sz w:val="24"/>
      <w:szCs w:val="20"/>
      <w:u w:val="single"/>
    </w:rPr>
  </w:style>
  <w:style w:type="paragraph" w:customStyle="1" w:styleId="IRPCaption">
    <w:name w:val="IRP Caption"/>
    <w:basedOn w:val="Caption"/>
    <w:link w:val="IRPCaptionChar"/>
    <w:rsid w:val="00380F8B"/>
    <w:pPr>
      <w:jc w:val="center"/>
    </w:pPr>
    <w:rPr>
      <w:rFonts w:ascii="Arial" w:hAnsi="Arial"/>
      <w:sz w:val="20"/>
    </w:rPr>
  </w:style>
  <w:style w:type="character" w:customStyle="1" w:styleId="IRPCaptionChar">
    <w:name w:val="IRP Caption Char"/>
    <w:basedOn w:val="DefaultParagraphFont"/>
    <w:link w:val="IRPCaption"/>
    <w:rsid w:val="00380F8B"/>
    <w:rPr>
      <w:rFonts w:ascii="Arial" w:eastAsia="Times New Roman" w:hAnsi="Arial" w:cs="Times New Roman"/>
      <w:sz w:val="20"/>
      <w:szCs w:val="20"/>
    </w:rPr>
  </w:style>
  <w:style w:type="paragraph" w:customStyle="1" w:styleId="Normal-Tables">
    <w:name w:val="Normal - Tables"/>
    <w:basedOn w:val="Normal"/>
    <w:link w:val="Normal-TablesChar"/>
    <w:qFormat/>
    <w:rsid w:val="00380F8B"/>
    <w:pPr>
      <w:spacing w:after="120"/>
      <w:contextualSpacing/>
    </w:pPr>
    <w:rPr>
      <w:rFonts w:ascii="Arial" w:hAnsi="Arial"/>
      <w:b/>
    </w:rPr>
  </w:style>
  <w:style w:type="character" w:customStyle="1" w:styleId="Normal-TablesChar">
    <w:name w:val="Normal - Tables Char"/>
    <w:basedOn w:val="DefaultParagraphFont"/>
    <w:link w:val="Normal-Tables"/>
    <w:rsid w:val="00380F8B"/>
    <w:rPr>
      <w:rFonts w:ascii="Arial" w:eastAsia="Times New Roman" w:hAnsi="Arial" w:cs="Times New Roman"/>
      <w:b/>
      <w:sz w:val="24"/>
      <w:szCs w:val="20"/>
    </w:rPr>
  </w:style>
  <w:style w:type="character" w:customStyle="1" w:styleId="IRPMath">
    <w:name w:val="IRP Math"/>
    <w:basedOn w:val="DefaultParagraphFont"/>
    <w:rsid w:val="00380F8B"/>
    <w:rPr>
      <w:rFonts w:ascii="Cambria Math" w:hAnsi="Cambria Math"/>
      <w:i/>
      <w:iCs/>
    </w:rPr>
  </w:style>
  <w:style w:type="character" w:customStyle="1" w:styleId="normalchar1">
    <w:name w:val="normal__char1"/>
    <w:basedOn w:val="DefaultParagraphFont"/>
    <w:rsid w:val="00380F8B"/>
    <w:rPr>
      <w:rFonts w:ascii="Calibri" w:hAnsi="Calibri" w:hint="default"/>
      <w:sz w:val="22"/>
      <w:szCs w:val="22"/>
    </w:rPr>
  </w:style>
  <w:style w:type="character" w:customStyle="1" w:styleId="googqs-tidbit">
    <w:name w:val="goog_qs-tidbit"/>
    <w:basedOn w:val="DefaultParagraphFont"/>
    <w:rsid w:val="00380F8B"/>
  </w:style>
  <w:style w:type="paragraph" w:customStyle="1" w:styleId="msolistparagraph0">
    <w:name w:val="msolistparagraph"/>
    <w:basedOn w:val="Normal"/>
    <w:rsid w:val="00380F8B"/>
    <w:pPr>
      <w:overflowPunct/>
      <w:autoSpaceDE/>
      <w:autoSpaceDN/>
      <w:adjustRightInd/>
      <w:spacing w:before="100" w:beforeAutospacing="1" w:after="100" w:afterAutospacing="1"/>
      <w:textAlignment w:val="auto"/>
    </w:pPr>
    <w:rPr>
      <w:rFonts w:ascii="Times New Roman" w:hAnsi="Times New Roman"/>
      <w:szCs w:val="24"/>
    </w:rPr>
  </w:style>
  <w:style w:type="paragraph" w:styleId="Revision">
    <w:name w:val="Revision"/>
    <w:hidden/>
    <w:uiPriority w:val="99"/>
    <w:semiHidden/>
    <w:rsid w:val="00380F8B"/>
    <w:pPr>
      <w:spacing w:after="0" w:line="240" w:lineRule="auto"/>
    </w:pPr>
    <w:rPr>
      <w:rFonts w:ascii="Arial" w:eastAsia="Times New Roman" w:hAnsi="Arial" w:cs="Arial"/>
      <w:sz w:val="24"/>
      <w:szCs w:val="24"/>
    </w:rPr>
  </w:style>
  <w:style w:type="character" w:styleId="Strong">
    <w:name w:val="Strong"/>
    <w:basedOn w:val="DefaultParagraphFont"/>
    <w:uiPriority w:val="22"/>
    <w:qFormat/>
    <w:rsid w:val="00380F8B"/>
    <w:rPr>
      <w:b/>
      <w:bCs/>
    </w:rPr>
  </w:style>
  <w:style w:type="character" w:styleId="FootnoteReference">
    <w:name w:val="footnote reference"/>
    <w:basedOn w:val="DefaultParagraphFont"/>
    <w:uiPriority w:val="99"/>
    <w:semiHidden/>
    <w:unhideWhenUsed/>
    <w:rsid w:val="00380F8B"/>
    <w:rPr>
      <w:vertAlign w:val="superscript"/>
    </w:rPr>
  </w:style>
  <w:style w:type="paragraph" w:styleId="Bibliography">
    <w:name w:val="Bibliography"/>
    <w:basedOn w:val="Normal"/>
    <w:next w:val="Normal"/>
    <w:uiPriority w:val="37"/>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paragraph" w:styleId="BodyTextFirstIndent">
    <w:name w:val="Body Text First Indent"/>
    <w:basedOn w:val="BodyText"/>
    <w:link w:val="BodyTextFirstIndentChar"/>
    <w:uiPriority w:val="99"/>
    <w:semiHidden/>
    <w:unhideWhenUsed/>
    <w:rsid w:val="00380F8B"/>
    <w:pPr>
      <w:widowControl w:val="0"/>
      <w:tabs>
        <w:tab w:val="clear" w:pos="-1440"/>
        <w:tab w:val="clear" w:pos="-720"/>
        <w:tab w:val="clear" w:pos="0"/>
        <w:tab w:val="clear" w:pos="1080"/>
        <w:tab w:val="clear" w:pos="1440"/>
      </w:tabs>
      <w:suppressAutoHyphens w:val="0"/>
      <w:overflowPunct/>
      <w:autoSpaceDE/>
      <w:autoSpaceDN/>
      <w:adjustRightInd/>
      <w:spacing w:after="200" w:line="276" w:lineRule="auto"/>
      <w:ind w:firstLine="360"/>
      <w:jc w:val="left"/>
      <w:textAlignment w:val="auto"/>
    </w:pPr>
    <w:rPr>
      <w:rFonts w:cs="Arial"/>
      <w:b w:val="0"/>
      <w:spacing w:val="0"/>
      <w:sz w:val="24"/>
      <w:szCs w:val="24"/>
    </w:rPr>
  </w:style>
  <w:style w:type="character" w:customStyle="1" w:styleId="BodyTextFirstIndentChar">
    <w:name w:val="Body Text First Indent Char"/>
    <w:basedOn w:val="BodyTextChar"/>
    <w:link w:val="BodyTextFirstIndent"/>
    <w:uiPriority w:val="99"/>
    <w:semiHidden/>
    <w:rsid w:val="00380F8B"/>
    <w:rPr>
      <w:rFonts w:ascii="Arial" w:eastAsia="Times New Roman" w:hAnsi="Arial" w:cs="Arial"/>
      <w:b w:val="0"/>
      <w:spacing w:val="-3"/>
      <w:sz w:val="24"/>
      <w:szCs w:val="24"/>
    </w:rPr>
  </w:style>
  <w:style w:type="paragraph" w:styleId="BodyTextFirstIndent2">
    <w:name w:val="Body Text First Indent 2"/>
    <w:basedOn w:val="BodyTextIndent"/>
    <w:link w:val="BodyTextFirstIndent2Char"/>
    <w:uiPriority w:val="99"/>
    <w:semiHidden/>
    <w:unhideWhenUsed/>
    <w:rsid w:val="00380F8B"/>
    <w:pPr>
      <w:widowControl w:val="0"/>
      <w:overflowPunct/>
      <w:autoSpaceDE/>
      <w:autoSpaceDN/>
      <w:adjustRightInd/>
      <w:spacing w:after="200" w:line="276" w:lineRule="auto"/>
      <w:ind w:left="360" w:firstLine="360"/>
      <w:textAlignment w:val="auto"/>
    </w:pPr>
    <w:rPr>
      <w:rFonts w:cs="Arial"/>
      <w:spacing w:val="0"/>
      <w:szCs w:val="24"/>
    </w:rPr>
  </w:style>
  <w:style w:type="character" w:customStyle="1" w:styleId="BodyTextFirstIndent2Char">
    <w:name w:val="Body Text First Indent 2 Char"/>
    <w:basedOn w:val="BodyTextIndentChar"/>
    <w:link w:val="BodyTextFirstIndent2"/>
    <w:uiPriority w:val="99"/>
    <w:semiHidden/>
    <w:rsid w:val="00380F8B"/>
    <w:rPr>
      <w:rFonts w:ascii="Arial" w:eastAsia="Times New Roman" w:hAnsi="Arial" w:cs="Arial"/>
      <w:spacing w:val="-3"/>
      <w:sz w:val="24"/>
      <w:szCs w:val="24"/>
    </w:rPr>
  </w:style>
  <w:style w:type="paragraph" w:styleId="BodyTextIndent2">
    <w:name w:val="Body Text Indent 2"/>
    <w:basedOn w:val="Normal"/>
    <w:link w:val="BodyTextIndent2Char"/>
    <w:uiPriority w:val="99"/>
    <w:semiHidden/>
    <w:unhideWhenUsed/>
    <w:rsid w:val="00380F8B"/>
    <w:pPr>
      <w:widowControl w:val="0"/>
      <w:overflowPunct/>
      <w:autoSpaceDE/>
      <w:autoSpaceDN/>
      <w:adjustRightInd/>
      <w:spacing w:after="120" w:line="480" w:lineRule="auto"/>
      <w:ind w:left="360"/>
      <w:textAlignment w:val="auto"/>
    </w:pPr>
    <w:rPr>
      <w:rFonts w:ascii="Arial" w:hAnsi="Arial" w:cs="Arial"/>
      <w:szCs w:val="24"/>
    </w:rPr>
  </w:style>
  <w:style w:type="character" w:customStyle="1" w:styleId="BodyTextIndent2Char">
    <w:name w:val="Body Text Indent 2 Char"/>
    <w:basedOn w:val="DefaultParagraphFont"/>
    <w:link w:val="BodyTextIndent2"/>
    <w:uiPriority w:val="99"/>
    <w:semiHidden/>
    <w:rsid w:val="00380F8B"/>
    <w:rPr>
      <w:rFonts w:ascii="Arial" w:eastAsia="Times New Roman" w:hAnsi="Arial" w:cs="Arial"/>
      <w:sz w:val="24"/>
      <w:szCs w:val="24"/>
    </w:rPr>
  </w:style>
  <w:style w:type="paragraph" w:styleId="BodyTextIndent3">
    <w:name w:val="Body Text Indent 3"/>
    <w:basedOn w:val="Normal"/>
    <w:link w:val="BodyTextIndent3Char"/>
    <w:uiPriority w:val="99"/>
    <w:semiHidden/>
    <w:unhideWhenUsed/>
    <w:rsid w:val="00380F8B"/>
    <w:pPr>
      <w:widowControl w:val="0"/>
      <w:overflowPunct/>
      <w:autoSpaceDE/>
      <w:autoSpaceDN/>
      <w:adjustRightInd/>
      <w:spacing w:after="120" w:line="276" w:lineRule="auto"/>
      <w:ind w:left="360"/>
      <w:textAlignment w:val="auto"/>
    </w:pPr>
    <w:rPr>
      <w:rFonts w:ascii="Arial" w:hAnsi="Arial" w:cs="Arial"/>
      <w:sz w:val="16"/>
      <w:szCs w:val="16"/>
    </w:rPr>
  </w:style>
  <w:style w:type="character" w:customStyle="1" w:styleId="BodyTextIndent3Char">
    <w:name w:val="Body Text Indent 3 Char"/>
    <w:basedOn w:val="DefaultParagraphFont"/>
    <w:link w:val="BodyTextIndent3"/>
    <w:uiPriority w:val="99"/>
    <w:semiHidden/>
    <w:rsid w:val="00380F8B"/>
    <w:rPr>
      <w:rFonts w:ascii="Arial" w:eastAsia="Times New Roman" w:hAnsi="Arial" w:cs="Arial"/>
      <w:sz w:val="16"/>
      <w:szCs w:val="16"/>
    </w:rPr>
  </w:style>
  <w:style w:type="paragraph" w:styleId="Closing">
    <w:name w:val="Closing"/>
    <w:basedOn w:val="Normal"/>
    <w:link w:val="Closing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ClosingChar">
    <w:name w:val="Closing Char"/>
    <w:basedOn w:val="DefaultParagraphFont"/>
    <w:link w:val="Closing"/>
    <w:uiPriority w:val="99"/>
    <w:semiHidden/>
    <w:rsid w:val="00380F8B"/>
    <w:rPr>
      <w:rFonts w:ascii="Arial" w:eastAsia="Times New Roman" w:hAnsi="Arial" w:cs="Arial"/>
      <w:sz w:val="24"/>
      <w:szCs w:val="24"/>
    </w:rPr>
  </w:style>
  <w:style w:type="paragraph" w:styleId="Date">
    <w:name w:val="Date"/>
    <w:basedOn w:val="Normal"/>
    <w:next w:val="Normal"/>
    <w:link w:val="Date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DateChar">
    <w:name w:val="Date Char"/>
    <w:basedOn w:val="DefaultParagraphFont"/>
    <w:link w:val="Date"/>
    <w:uiPriority w:val="99"/>
    <w:semiHidden/>
    <w:rsid w:val="00380F8B"/>
    <w:rPr>
      <w:rFonts w:ascii="Arial" w:eastAsia="Times New Roman" w:hAnsi="Arial" w:cs="Arial"/>
      <w:sz w:val="24"/>
      <w:szCs w:val="24"/>
    </w:rPr>
  </w:style>
  <w:style w:type="paragraph" w:styleId="DocumentMap">
    <w:name w:val="Document Map"/>
    <w:basedOn w:val="Normal"/>
    <w:link w:val="DocumentMapChar"/>
    <w:uiPriority w:val="99"/>
    <w:semiHidden/>
    <w:unhideWhenUsed/>
    <w:rsid w:val="00380F8B"/>
    <w:pPr>
      <w:widowControl w:val="0"/>
      <w:overflowPunct/>
      <w:autoSpaceDE/>
      <w:autoSpaceDN/>
      <w:adjustRightInd/>
      <w:textAlignment w:val="auto"/>
    </w:pPr>
    <w:rPr>
      <w:rFonts w:ascii="Tahoma" w:hAnsi="Tahoma" w:cs="Tahoma"/>
      <w:sz w:val="16"/>
      <w:szCs w:val="16"/>
    </w:rPr>
  </w:style>
  <w:style w:type="character" w:customStyle="1" w:styleId="DocumentMapChar">
    <w:name w:val="Document Map Char"/>
    <w:basedOn w:val="DefaultParagraphFont"/>
    <w:link w:val="DocumentMap"/>
    <w:uiPriority w:val="99"/>
    <w:semiHidden/>
    <w:rsid w:val="00380F8B"/>
    <w:rPr>
      <w:rFonts w:ascii="Tahoma" w:eastAsia="Times New Roman" w:hAnsi="Tahoma" w:cs="Tahoma"/>
      <w:sz w:val="16"/>
      <w:szCs w:val="16"/>
    </w:rPr>
  </w:style>
  <w:style w:type="paragraph" w:styleId="E-mailSignature">
    <w:name w:val="E-mail Signature"/>
    <w:basedOn w:val="Normal"/>
    <w:link w:val="E-mailSignature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E-mailSignatureChar">
    <w:name w:val="E-mail Signature Char"/>
    <w:basedOn w:val="DefaultParagraphFont"/>
    <w:link w:val="E-mailSignature"/>
    <w:uiPriority w:val="99"/>
    <w:semiHidden/>
    <w:rsid w:val="00380F8B"/>
    <w:rPr>
      <w:rFonts w:ascii="Arial" w:eastAsia="Times New Roman" w:hAnsi="Arial" w:cs="Arial"/>
      <w:sz w:val="24"/>
      <w:szCs w:val="24"/>
    </w:rPr>
  </w:style>
  <w:style w:type="paragraph" w:styleId="EnvelopeAddress">
    <w:name w:val="envelope address"/>
    <w:basedOn w:val="Normal"/>
    <w:uiPriority w:val="99"/>
    <w:semiHidden/>
    <w:unhideWhenUsed/>
    <w:rsid w:val="00380F8B"/>
    <w:pPr>
      <w:framePr w:w="7920" w:h="1980" w:hRule="exact" w:hSpace="180" w:wrap="auto" w:hAnchor="page" w:xAlign="center" w:yAlign="bottom"/>
      <w:widowControl w:val="0"/>
      <w:overflowPunct/>
      <w:autoSpaceDE/>
      <w:autoSpaceDN/>
      <w:adjustRightInd/>
      <w:ind w:left="2880"/>
      <w:textAlignment w:val="auto"/>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380F8B"/>
    <w:pPr>
      <w:widowControl w:val="0"/>
      <w:overflowPunct/>
      <w:autoSpaceDE/>
      <w:autoSpaceDN/>
      <w:adjustRightInd/>
      <w:textAlignment w:val="auto"/>
    </w:pPr>
    <w:rPr>
      <w:rFonts w:asciiTheme="majorHAnsi" w:eastAsiaTheme="majorEastAsia" w:hAnsiTheme="majorHAnsi" w:cstheme="majorBidi"/>
      <w:sz w:val="20"/>
    </w:rPr>
  </w:style>
  <w:style w:type="paragraph" w:styleId="HTMLAddress">
    <w:name w:val="HTML Address"/>
    <w:basedOn w:val="Normal"/>
    <w:link w:val="HTMLAddressChar"/>
    <w:uiPriority w:val="99"/>
    <w:semiHidden/>
    <w:unhideWhenUsed/>
    <w:rsid w:val="00380F8B"/>
    <w:pPr>
      <w:widowControl w:val="0"/>
      <w:overflowPunct/>
      <w:autoSpaceDE/>
      <w:autoSpaceDN/>
      <w:adjustRightInd/>
      <w:textAlignment w:val="auto"/>
    </w:pPr>
    <w:rPr>
      <w:rFonts w:ascii="Arial" w:hAnsi="Arial" w:cs="Arial"/>
      <w:i/>
      <w:iCs/>
      <w:szCs w:val="24"/>
    </w:rPr>
  </w:style>
  <w:style w:type="character" w:customStyle="1" w:styleId="HTMLAddressChar">
    <w:name w:val="HTML Address Char"/>
    <w:basedOn w:val="DefaultParagraphFont"/>
    <w:link w:val="HTMLAddress"/>
    <w:uiPriority w:val="99"/>
    <w:semiHidden/>
    <w:rsid w:val="00380F8B"/>
    <w:rPr>
      <w:rFonts w:ascii="Arial" w:eastAsia="Times New Roman" w:hAnsi="Arial" w:cs="Arial"/>
      <w:i/>
      <w:iCs/>
      <w:sz w:val="24"/>
      <w:szCs w:val="24"/>
    </w:rPr>
  </w:style>
  <w:style w:type="paragraph" w:styleId="HTMLPreformatted">
    <w:name w:val="HTML Preformatted"/>
    <w:basedOn w:val="Normal"/>
    <w:link w:val="HTMLPreformattedChar"/>
    <w:uiPriority w:val="99"/>
    <w:semiHidden/>
    <w:unhideWhenUsed/>
    <w:rsid w:val="00380F8B"/>
    <w:pPr>
      <w:widowControl w:val="0"/>
      <w:overflowPunct/>
      <w:autoSpaceDE/>
      <w:autoSpaceDN/>
      <w:adjustRightInd/>
      <w:textAlignment w:val="auto"/>
    </w:pPr>
    <w:rPr>
      <w:rFonts w:ascii="Consolas" w:hAnsi="Consolas" w:cs="Consolas"/>
      <w:sz w:val="20"/>
    </w:rPr>
  </w:style>
  <w:style w:type="character" w:customStyle="1" w:styleId="HTMLPreformattedChar">
    <w:name w:val="HTML Preformatted Char"/>
    <w:basedOn w:val="DefaultParagraphFont"/>
    <w:link w:val="HTMLPreformatted"/>
    <w:uiPriority w:val="99"/>
    <w:semiHidden/>
    <w:rsid w:val="00380F8B"/>
    <w:rPr>
      <w:rFonts w:ascii="Consolas" w:eastAsia="Times New Roman" w:hAnsi="Consolas" w:cs="Consolas"/>
      <w:sz w:val="20"/>
      <w:szCs w:val="20"/>
    </w:rPr>
  </w:style>
  <w:style w:type="paragraph" w:styleId="Index2">
    <w:name w:val="index 2"/>
    <w:basedOn w:val="Normal"/>
    <w:next w:val="Normal"/>
    <w:autoRedefine/>
    <w:semiHidden/>
    <w:unhideWhenUsed/>
    <w:rsid w:val="00380F8B"/>
    <w:pPr>
      <w:widowControl w:val="0"/>
      <w:overflowPunct/>
      <w:autoSpaceDE/>
      <w:autoSpaceDN/>
      <w:adjustRightInd/>
      <w:ind w:left="480" w:hanging="240"/>
      <w:textAlignment w:val="auto"/>
    </w:pPr>
    <w:rPr>
      <w:rFonts w:ascii="Arial" w:hAnsi="Arial" w:cs="Arial"/>
      <w:szCs w:val="24"/>
    </w:rPr>
  </w:style>
  <w:style w:type="paragraph" w:styleId="Index3">
    <w:name w:val="index 3"/>
    <w:basedOn w:val="Normal"/>
    <w:next w:val="Normal"/>
    <w:autoRedefine/>
    <w:uiPriority w:val="99"/>
    <w:semiHidden/>
    <w:unhideWhenUsed/>
    <w:rsid w:val="00380F8B"/>
    <w:pPr>
      <w:widowControl w:val="0"/>
      <w:overflowPunct/>
      <w:autoSpaceDE/>
      <w:autoSpaceDN/>
      <w:adjustRightInd/>
      <w:ind w:left="720" w:hanging="240"/>
      <w:textAlignment w:val="auto"/>
    </w:pPr>
    <w:rPr>
      <w:rFonts w:ascii="Arial" w:hAnsi="Arial" w:cs="Arial"/>
      <w:szCs w:val="24"/>
    </w:rPr>
  </w:style>
  <w:style w:type="paragraph" w:styleId="Index4">
    <w:name w:val="index 4"/>
    <w:basedOn w:val="Normal"/>
    <w:next w:val="Normal"/>
    <w:autoRedefine/>
    <w:uiPriority w:val="99"/>
    <w:semiHidden/>
    <w:unhideWhenUsed/>
    <w:rsid w:val="00380F8B"/>
    <w:pPr>
      <w:widowControl w:val="0"/>
      <w:overflowPunct/>
      <w:autoSpaceDE/>
      <w:autoSpaceDN/>
      <w:adjustRightInd/>
      <w:ind w:left="960" w:hanging="240"/>
      <w:textAlignment w:val="auto"/>
    </w:pPr>
    <w:rPr>
      <w:rFonts w:ascii="Arial" w:hAnsi="Arial" w:cs="Arial"/>
      <w:szCs w:val="24"/>
    </w:rPr>
  </w:style>
  <w:style w:type="paragraph" w:styleId="Index5">
    <w:name w:val="index 5"/>
    <w:basedOn w:val="Normal"/>
    <w:next w:val="Normal"/>
    <w:autoRedefine/>
    <w:uiPriority w:val="99"/>
    <w:semiHidden/>
    <w:unhideWhenUsed/>
    <w:rsid w:val="00380F8B"/>
    <w:pPr>
      <w:widowControl w:val="0"/>
      <w:overflowPunct/>
      <w:autoSpaceDE/>
      <w:autoSpaceDN/>
      <w:adjustRightInd/>
      <w:ind w:left="1200" w:hanging="240"/>
      <w:textAlignment w:val="auto"/>
    </w:pPr>
    <w:rPr>
      <w:rFonts w:ascii="Arial" w:hAnsi="Arial" w:cs="Arial"/>
      <w:szCs w:val="24"/>
    </w:rPr>
  </w:style>
  <w:style w:type="paragraph" w:styleId="Index6">
    <w:name w:val="index 6"/>
    <w:basedOn w:val="Normal"/>
    <w:next w:val="Normal"/>
    <w:autoRedefine/>
    <w:uiPriority w:val="99"/>
    <w:semiHidden/>
    <w:unhideWhenUsed/>
    <w:rsid w:val="00380F8B"/>
    <w:pPr>
      <w:widowControl w:val="0"/>
      <w:overflowPunct/>
      <w:autoSpaceDE/>
      <w:autoSpaceDN/>
      <w:adjustRightInd/>
      <w:ind w:left="1440" w:hanging="240"/>
      <w:textAlignment w:val="auto"/>
    </w:pPr>
    <w:rPr>
      <w:rFonts w:ascii="Arial" w:hAnsi="Arial" w:cs="Arial"/>
      <w:szCs w:val="24"/>
    </w:rPr>
  </w:style>
  <w:style w:type="paragraph" w:styleId="Index7">
    <w:name w:val="index 7"/>
    <w:basedOn w:val="Normal"/>
    <w:next w:val="Normal"/>
    <w:autoRedefine/>
    <w:uiPriority w:val="99"/>
    <w:semiHidden/>
    <w:unhideWhenUsed/>
    <w:rsid w:val="00380F8B"/>
    <w:pPr>
      <w:widowControl w:val="0"/>
      <w:overflowPunct/>
      <w:autoSpaceDE/>
      <w:autoSpaceDN/>
      <w:adjustRightInd/>
      <w:ind w:left="1680" w:hanging="240"/>
      <w:textAlignment w:val="auto"/>
    </w:pPr>
    <w:rPr>
      <w:rFonts w:ascii="Arial" w:hAnsi="Arial" w:cs="Arial"/>
      <w:szCs w:val="24"/>
    </w:rPr>
  </w:style>
  <w:style w:type="paragraph" w:styleId="Index8">
    <w:name w:val="index 8"/>
    <w:basedOn w:val="Normal"/>
    <w:next w:val="Normal"/>
    <w:autoRedefine/>
    <w:uiPriority w:val="99"/>
    <w:semiHidden/>
    <w:unhideWhenUsed/>
    <w:rsid w:val="00380F8B"/>
    <w:pPr>
      <w:widowControl w:val="0"/>
      <w:overflowPunct/>
      <w:autoSpaceDE/>
      <w:autoSpaceDN/>
      <w:adjustRightInd/>
      <w:ind w:left="1920" w:hanging="240"/>
      <w:textAlignment w:val="auto"/>
    </w:pPr>
    <w:rPr>
      <w:rFonts w:ascii="Arial" w:hAnsi="Arial" w:cs="Arial"/>
      <w:szCs w:val="24"/>
    </w:rPr>
  </w:style>
  <w:style w:type="paragraph" w:styleId="Index9">
    <w:name w:val="index 9"/>
    <w:basedOn w:val="Normal"/>
    <w:next w:val="Normal"/>
    <w:autoRedefine/>
    <w:uiPriority w:val="99"/>
    <w:semiHidden/>
    <w:unhideWhenUsed/>
    <w:rsid w:val="00380F8B"/>
    <w:pPr>
      <w:widowControl w:val="0"/>
      <w:overflowPunct/>
      <w:autoSpaceDE/>
      <w:autoSpaceDN/>
      <w:adjustRightInd/>
      <w:ind w:left="2160" w:hanging="240"/>
      <w:textAlignment w:val="auto"/>
    </w:pPr>
    <w:rPr>
      <w:rFonts w:ascii="Arial" w:hAnsi="Arial" w:cs="Arial"/>
      <w:szCs w:val="24"/>
    </w:rPr>
  </w:style>
  <w:style w:type="paragraph" w:styleId="IndexHeading">
    <w:name w:val="index heading"/>
    <w:basedOn w:val="Normal"/>
    <w:next w:val="Index1"/>
    <w:uiPriority w:val="99"/>
    <w:semiHidden/>
    <w:unhideWhenUsed/>
    <w:rsid w:val="00380F8B"/>
    <w:pPr>
      <w:widowControl w:val="0"/>
      <w:overflowPunct/>
      <w:autoSpaceDE/>
      <w:autoSpaceDN/>
      <w:adjustRightInd/>
      <w:spacing w:after="200" w:line="276" w:lineRule="auto"/>
      <w:textAlignment w:val="auto"/>
    </w:pPr>
    <w:rPr>
      <w:rFonts w:asciiTheme="majorHAnsi" w:eastAsiaTheme="majorEastAsia" w:hAnsiTheme="majorHAnsi" w:cstheme="majorBidi"/>
      <w:b/>
      <w:bCs/>
      <w:szCs w:val="24"/>
    </w:rPr>
  </w:style>
  <w:style w:type="paragraph" w:styleId="IntenseQuote">
    <w:name w:val="Intense Quote"/>
    <w:basedOn w:val="Normal"/>
    <w:next w:val="Normal"/>
    <w:link w:val="IntenseQuoteChar"/>
    <w:uiPriority w:val="30"/>
    <w:qFormat/>
    <w:rsid w:val="00380F8B"/>
    <w:pPr>
      <w:widowControl w:val="0"/>
      <w:pBdr>
        <w:bottom w:val="single" w:sz="4" w:space="4" w:color="5B9BD5" w:themeColor="accent1"/>
      </w:pBdr>
      <w:overflowPunct/>
      <w:autoSpaceDE/>
      <w:autoSpaceDN/>
      <w:adjustRightInd/>
      <w:spacing w:before="200" w:after="280" w:line="276" w:lineRule="auto"/>
      <w:ind w:left="936" w:right="936"/>
      <w:textAlignment w:val="auto"/>
    </w:pPr>
    <w:rPr>
      <w:rFonts w:ascii="Arial" w:hAnsi="Arial" w:cs="Arial"/>
      <w:b/>
      <w:bCs/>
      <w:i/>
      <w:iCs/>
      <w:color w:val="5B9BD5" w:themeColor="accent1"/>
      <w:szCs w:val="24"/>
    </w:rPr>
  </w:style>
  <w:style w:type="character" w:customStyle="1" w:styleId="IntenseQuoteChar">
    <w:name w:val="Intense Quote Char"/>
    <w:basedOn w:val="DefaultParagraphFont"/>
    <w:link w:val="IntenseQuote"/>
    <w:uiPriority w:val="30"/>
    <w:rsid w:val="00380F8B"/>
    <w:rPr>
      <w:rFonts w:ascii="Arial" w:eastAsia="Times New Roman" w:hAnsi="Arial" w:cs="Arial"/>
      <w:b/>
      <w:bCs/>
      <w:i/>
      <w:iCs/>
      <w:color w:val="5B9BD5" w:themeColor="accent1"/>
      <w:sz w:val="24"/>
      <w:szCs w:val="24"/>
    </w:rPr>
  </w:style>
  <w:style w:type="paragraph" w:styleId="List">
    <w:name w:val="List"/>
    <w:basedOn w:val="Normal"/>
    <w:uiPriority w:val="99"/>
    <w:semiHidden/>
    <w:unhideWhenUsed/>
    <w:rsid w:val="00380F8B"/>
    <w:pPr>
      <w:widowControl w:val="0"/>
      <w:overflowPunct/>
      <w:autoSpaceDE/>
      <w:autoSpaceDN/>
      <w:adjustRightInd/>
      <w:spacing w:after="200" w:line="276" w:lineRule="auto"/>
      <w:ind w:left="360" w:hanging="360"/>
      <w:contextualSpacing/>
      <w:textAlignment w:val="auto"/>
    </w:pPr>
    <w:rPr>
      <w:rFonts w:ascii="Arial" w:hAnsi="Arial" w:cs="Arial"/>
      <w:szCs w:val="24"/>
    </w:rPr>
  </w:style>
  <w:style w:type="paragraph" w:styleId="List2">
    <w:name w:val="List 2"/>
    <w:basedOn w:val="Normal"/>
    <w:uiPriority w:val="99"/>
    <w:semiHidden/>
    <w:unhideWhenUsed/>
    <w:rsid w:val="00380F8B"/>
    <w:pPr>
      <w:widowControl w:val="0"/>
      <w:overflowPunct/>
      <w:autoSpaceDE/>
      <w:autoSpaceDN/>
      <w:adjustRightInd/>
      <w:spacing w:after="200" w:line="276" w:lineRule="auto"/>
      <w:ind w:left="720" w:hanging="360"/>
      <w:contextualSpacing/>
      <w:textAlignment w:val="auto"/>
    </w:pPr>
    <w:rPr>
      <w:rFonts w:ascii="Arial" w:hAnsi="Arial" w:cs="Arial"/>
      <w:szCs w:val="24"/>
    </w:rPr>
  </w:style>
  <w:style w:type="paragraph" w:styleId="List3">
    <w:name w:val="List 3"/>
    <w:basedOn w:val="Normal"/>
    <w:uiPriority w:val="99"/>
    <w:semiHidden/>
    <w:unhideWhenUsed/>
    <w:rsid w:val="00380F8B"/>
    <w:pPr>
      <w:widowControl w:val="0"/>
      <w:overflowPunct/>
      <w:autoSpaceDE/>
      <w:autoSpaceDN/>
      <w:adjustRightInd/>
      <w:spacing w:after="200" w:line="276" w:lineRule="auto"/>
      <w:ind w:left="1080" w:hanging="360"/>
      <w:contextualSpacing/>
      <w:textAlignment w:val="auto"/>
    </w:pPr>
    <w:rPr>
      <w:rFonts w:ascii="Arial" w:hAnsi="Arial" w:cs="Arial"/>
      <w:szCs w:val="24"/>
    </w:rPr>
  </w:style>
  <w:style w:type="paragraph" w:styleId="List4">
    <w:name w:val="List 4"/>
    <w:basedOn w:val="Normal"/>
    <w:uiPriority w:val="99"/>
    <w:semiHidden/>
    <w:unhideWhenUsed/>
    <w:rsid w:val="00380F8B"/>
    <w:pPr>
      <w:widowControl w:val="0"/>
      <w:overflowPunct/>
      <w:autoSpaceDE/>
      <w:autoSpaceDN/>
      <w:adjustRightInd/>
      <w:spacing w:after="200" w:line="276" w:lineRule="auto"/>
      <w:ind w:left="1440" w:hanging="360"/>
      <w:contextualSpacing/>
      <w:textAlignment w:val="auto"/>
    </w:pPr>
    <w:rPr>
      <w:rFonts w:ascii="Arial" w:hAnsi="Arial" w:cs="Arial"/>
      <w:szCs w:val="24"/>
    </w:rPr>
  </w:style>
  <w:style w:type="paragraph" w:styleId="List5">
    <w:name w:val="List 5"/>
    <w:basedOn w:val="Normal"/>
    <w:uiPriority w:val="99"/>
    <w:semiHidden/>
    <w:unhideWhenUsed/>
    <w:rsid w:val="00380F8B"/>
    <w:pPr>
      <w:widowControl w:val="0"/>
      <w:overflowPunct/>
      <w:autoSpaceDE/>
      <w:autoSpaceDN/>
      <w:adjustRightInd/>
      <w:spacing w:after="200" w:line="276" w:lineRule="auto"/>
      <w:ind w:left="1800" w:hanging="360"/>
      <w:contextualSpacing/>
      <w:textAlignment w:val="auto"/>
    </w:pPr>
    <w:rPr>
      <w:rFonts w:ascii="Arial" w:hAnsi="Arial" w:cs="Arial"/>
      <w:szCs w:val="24"/>
    </w:rPr>
  </w:style>
  <w:style w:type="paragraph" w:styleId="ListBullet">
    <w:name w:val="List Bullet"/>
    <w:basedOn w:val="Normal"/>
    <w:uiPriority w:val="99"/>
    <w:semiHidden/>
    <w:unhideWhenUsed/>
    <w:rsid w:val="00380F8B"/>
    <w:pPr>
      <w:widowControl w:val="0"/>
      <w:numPr>
        <w:numId w:val="5"/>
      </w:numPr>
      <w:overflowPunct/>
      <w:autoSpaceDE/>
      <w:autoSpaceDN/>
      <w:adjustRightInd/>
      <w:spacing w:after="200" w:line="276" w:lineRule="auto"/>
      <w:contextualSpacing/>
      <w:textAlignment w:val="auto"/>
    </w:pPr>
    <w:rPr>
      <w:rFonts w:ascii="Arial" w:hAnsi="Arial" w:cs="Arial"/>
      <w:szCs w:val="24"/>
    </w:rPr>
  </w:style>
  <w:style w:type="paragraph" w:styleId="ListBullet2">
    <w:name w:val="List Bullet 2"/>
    <w:basedOn w:val="Normal"/>
    <w:uiPriority w:val="99"/>
    <w:semiHidden/>
    <w:unhideWhenUsed/>
    <w:rsid w:val="00380F8B"/>
    <w:pPr>
      <w:widowControl w:val="0"/>
      <w:numPr>
        <w:numId w:val="6"/>
      </w:numPr>
      <w:overflowPunct/>
      <w:autoSpaceDE/>
      <w:autoSpaceDN/>
      <w:adjustRightInd/>
      <w:spacing w:after="200" w:line="276" w:lineRule="auto"/>
      <w:contextualSpacing/>
      <w:textAlignment w:val="auto"/>
    </w:pPr>
    <w:rPr>
      <w:rFonts w:ascii="Arial" w:hAnsi="Arial" w:cs="Arial"/>
      <w:szCs w:val="24"/>
    </w:rPr>
  </w:style>
  <w:style w:type="paragraph" w:styleId="ListBullet3">
    <w:name w:val="List Bullet 3"/>
    <w:basedOn w:val="Normal"/>
    <w:uiPriority w:val="99"/>
    <w:semiHidden/>
    <w:unhideWhenUsed/>
    <w:rsid w:val="00380F8B"/>
    <w:pPr>
      <w:widowControl w:val="0"/>
      <w:numPr>
        <w:numId w:val="7"/>
      </w:numPr>
      <w:overflowPunct/>
      <w:autoSpaceDE/>
      <w:autoSpaceDN/>
      <w:adjustRightInd/>
      <w:spacing w:after="200" w:line="276" w:lineRule="auto"/>
      <w:contextualSpacing/>
      <w:textAlignment w:val="auto"/>
    </w:pPr>
    <w:rPr>
      <w:rFonts w:ascii="Arial" w:hAnsi="Arial" w:cs="Arial"/>
      <w:szCs w:val="24"/>
    </w:rPr>
  </w:style>
  <w:style w:type="paragraph" w:styleId="ListBullet4">
    <w:name w:val="List Bullet 4"/>
    <w:basedOn w:val="Normal"/>
    <w:uiPriority w:val="99"/>
    <w:semiHidden/>
    <w:unhideWhenUsed/>
    <w:rsid w:val="00380F8B"/>
    <w:pPr>
      <w:widowControl w:val="0"/>
      <w:numPr>
        <w:numId w:val="8"/>
      </w:numPr>
      <w:overflowPunct/>
      <w:autoSpaceDE/>
      <w:autoSpaceDN/>
      <w:adjustRightInd/>
      <w:spacing w:after="200" w:line="276" w:lineRule="auto"/>
      <w:contextualSpacing/>
      <w:textAlignment w:val="auto"/>
    </w:pPr>
    <w:rPr>
      <w:rFonts w:ascii="Arial" w:hAnsi="Arial" w:cs="Arial"/>
      <w:szCs w:val="24"/>
    </w:rPr>
  </w:style>
  <w:style w:type="paragraph" w:styleId="ListBullet5">
    <w:name w:val="List Bullet 5"/>
    <w:basedOn w:val="Normal"/>
    <w:uiPriority w:val="99"/>
    <w:semiHidden/>
    <w:unhideWhenUsed/>
    <w:rsid w:val="00380F8B"/>
    <w:pPr>
      <w:widowControl w:val="0"/>
      <w:numPr>
        <w:numId w:val="9"/>
      </w:numPr>
      <w:overflowPunct/>
      <w:autoSpaceDE/>
      <w:autoSpaceDN/>
      <w:adjustRightInd/>
      <w:spacing w:after="200" w:line="276" w:lineRule="auto"/>
      <w:contextualSpacing/>
      <w:textAlignment w:val="auto"/>
    </w:pPr>
    <w:rPr>
      <w:rFonts w:ascii="Arial" w:hAnsi="Arial" w:cs="Arial"/>
      <w:szCs w:val="24"/>
    </w:rPr>
  </w:style>
  <w:style w:type="paragraph" w:styleId="ListContinue">
    <w:name w:val="List Continue"/>
    <w:basedOn w:val="Normal"/>
    <w:uiPriority w:val="99"/>
    <w:semiHidden/>
    <w:unhideWhenUsed/>
    <w:rsid w:val="00380F8B"/>
    <w:pPr>
      <w:widowControl w:val="0"/>
      <w:overflowPunct/>
      <w:autoSpaceDE/>
      <w:autoSpaceDN/>
      <w:adjustRightInd/>
      <w:spacing w:after="120" w:line="276" w:lineRule="auto"/>
      <w:ind w:left="360"/>
      <w:contextualSpacing/>
      <w:textAlignment w:val="auto"/>
    </w:pPr>
    <w:rPr>
      <w:rFonts w:ascii="Arial" w:hAnsi="Arial" w:cs="Arial"/>
      <w:szCs w:val="24"/>
    </w:rPr>
  </w:style>
  <w:style w:type="paragraph" w:styleId="ListContinue2">
    <w:name w:val="List Continue 2"/>
    <w:basedOn w:val="Normal"/>
    <w:uiPriority w:val="99"/>
    <w:semiHidden/>
    <w:unhideWhenUsed/>
    <w:rsid w:val="00380F8B"/>
    <w:pPr>
      <w:widowControl w:val="0"/>
      <w:overflowPunct/>
      <w:autoSpaceDE/>
      <w:autoSpaceDN/>
      <w:adjustRightInd/>
      <w:spacing w:after="120" w:line="276" w:lineRule="auto"/>
      <w:ind w:left="720"/>
      <w:contextualSpacing/>
      <w:textAlignment w:val="auto"/>
    </w:pPr>
    <w:rPr>
      <w:rFonts w:ascii="Arial" w:hAnsi="Arial" w:cs="Arial"/>
      <w:szCs w:val="24"/>
    </w:rPr>
  </w:style>
  <w:style w:type="paragraph" w:styleId="ListContinue3">
    <w:name w:val="List Continue 3"/>
    <w:basedOn w:val="Normal"/>
    <w:uiPriority w:val="99"/>
    <w:semiHidden/>
    <w:unhideWhenUsed/>
    <w:rsid w:val="00380F8B"/>
    <w:pPr>
      <w:widowControl w:val="0"/>
      <w:overflowPunct/>
      <w:autoSpaceDE/>
      <w:autoSpaceDN/>
      <w:adjustRightInd/>
      <w:spacing w:after="120" w:line="276" w:lineRule="auto"/>
      <w:ind w:left="1080"/>
      <w:contextualSpacing/>
      <w:textAlignment w:val="auto"/>
    </w:pPr>
    <w:rPr>
      <w:rFonts w:ascii="Arial" w:hAnsi="Arial" w:cs="Arial"/>
      <w:szCs w:val="24"/>
    </w:rPr>
  </w:style>
  <w:style w:type="paragraph" w:styleId="ListContinue4">
    <w:name w:val="List Continue 4"/>
    <w:basedOn w:val="Normal"/>
    <w:uiPriority w:val="99"/>
    <w:semiHidden/>
    <w:unhideWhenUsed/>
    <w:rsid w:val="00380F8B"/>
    <w:pPr>
      <w:widowControl w:val="0"/>
      <w:overflowPunct/>
      <w:autoSpaceDE/>
      <w:autoSpaceDN/>
      <w:adjustRightInd/>
      <w:spacing w:after="120" w:line="276" w:lineRule="auto"/>
      <w:ind w:left="1440"/>
      <w:contextualSpacing/>
      <w:textAlignment w:val="auto"/>
    </w:pPr>
    <w:rPr>
      <w:rFonts w:ascii="Arial" w:hAnsi="Arial" w:cs="Arial"/>
      <w:szCs w:val="24"/>
    </w:rPr>
  </w:style>
  <w:style w:type="paragraph" w:styleId="ListContinue5">
    <w:name w:val="List Continue 5"/>
    <w:basedOn w:val="Normal"/>
    <w:uiPriority w:val="99"/>
    <w:semiHidden/>
    <w:unhideWhenUsed/>
    <w:rsid w:val="00380F8B"/>
    <w:pPr>
      <w:widowControl w:val="0"/>
      <w:overflowPunct/>
      <w:autoSpaceDE/>
      <w:autoSpaceDN/>
      <w:adjustRightInd/>
      <w:spacing w:after="120" w:line="276" w:lineRule="auto"/>
      <w:ind w:left="1800"/>
      <w:contextualSpacing/>
      <w:textAlignment w:val="auto"/>
    </w:pPr>
    <w:rPr>
      <w:rFonts w:ascii="Arial" w:hAnsi="Arial" w:cs="Arial"/>
      <w:szCs w:val="24"/>
    </w:rPr>
  </w:style>
  <w:style w:type="paragraph" w:styleId="ListNumber">
    <w:name w:val="List Number"/>
    <w:basedOn w:val="Normal"/>
    <w:uiPriority w:val="99"/>
    <w:semiHidden/>
    <w:unhideWhenUsed/>
    <w:rsid w:val="00380F8B"/>
    <w:pPr>
      <w:widowControl w:val="0"/>
      <w:numPr>
        <w:numId w:val="10"/>
      </w:numPr>
      <w:overflowPunct/>
      <w:autoSpaceDE/>
      <w:autoSpaceDN/>
      <w:adjustRightInd/>
      <w:spacing w:after="200" w:line="276" w:lineRule="auto"/>
      <w:contextualSpacing/>
      <w:textAlignment w:val="auto"/>
    </w:pPr>
    <w:rPr>
      <w:rFonts w:ascii="Arial" w:hAnsi="Arial" w:cs="Arial"/>
      <w:szCs w:val="24"/>
    </w:rPr>
  </w:style>
  <w:style w:type="paragraph" w:styleId="ListNumber2">
    <w:name w:val="List Number 2"/>
    <w:basedOn w:val="Normal"/>
    <w:uiPriority w:val="99"/>
    <w:semiHidden/>
    <w:unhideWhenUsed/>
    <w:rsid w:val="00380F8B"/>
    <w:pPr>
      <w:widowControl w:val="0"/>
      <w:numPr>
        <w:numId w:val="11"/>
      </w:numPr>
      <w:overflowPunct/>
      <w:autoSpaceDE/>
      <w:autoSpaceDN/>
      <w:adjustRightInd/>
      <w:spacing w:after="200" w:line="276" w:lineRule="auto"/>
      <w:contextualSpacing/>
      <w:textAlignment w:val="auto"/>
    </w:pPr>
    <w:rPr>
      <w:rFonts w:ascii="Arial" w:hAnsi="Arial" w:cs="Arial"/>
      <w:szCs w:val="24"/>
    </w:rPr>
  </w:style>
  <w:style w:type="paragraph" w:styleId="ListNumber3">
    <w:name w:val="List Number 3"/>
    <w:basedOn w:val="Normal"/>
    <w:uiPriority w:val="99"/>
    <w:semiHidden/>
    <w:unhideWhenUsed/>
    <w:rsid w:val="00380F8B"/>
    <w:pPr>
      <w:widowControl w:val="0"/>
      <w:numPr>
        <w:numId w:val="12"/>
      </w:numPr>
      <w:overflowPunct/>
      <w:autoSpaceDE/>
      <w:autoSpaceDN/>
      <w:adjustRightInd/>
      <w:spacing w:after="200" w:line="276" w:lineRule="auto"/>
      <w:contextualSpacing/>
      <w:textAlignment w:val="auto"/>
    </w:pPr>
    <w:rPr>
      <w:rFonts w:ascii="Arial" w:hAnsi="Arial" w:cs="Arial"/>
      <w:szCs w:val="24"/>
    </w:rPr>
  </w:style>
  <w:style w:type="paragraph" w:styleId="ListNumber4">
    <w:name w:val="List Number 4"/>
    <w:basedOn w:val="Normal"/>
    <w:uiPriority w:val="99"/>
    <w:semiHidden/>
    <w:unhideWhenUsed/>
    <w:rsid w:val="00380F8B"/>
    <w:pPr>
      <w:widowControl w:val="0"/>
      <w:numPr>
        <w:numId w:val="13"/>
      </w:numPr>
      <w:overflowPunct/>
      <w:autoSpaceDE/>
      <w:autoSpaceDN/>
      <w:adjustRightInd/>
      <w:spacing w:after="200" w:line="276" w:lineRule="auto"/>
      <w:contextualSpacing/>
      <w:textAlignment w:val="auto"/>
    </w:pPr>
    <w:rPr>
      <w:rFonts w:ascii="Arial" w:hAnsi="Arial" w:cs="Arial"/>
      <w:szCs w:val="24"/>
    </w:rPr>
  </w:style>
  <w:style w:type="paragraph" w:styleId="ListNumber5">
    <w:name w:val="List Number 5"/>
    <w:basedOn w:val="Normal"/>
    <w:uiPriority w:val="99"/>
    <w:semiHidden/>
    <w:unhideWhenUsed/>
    <w:rsid w:val="00380F8B"/>
    <w:pPr>
      <w:widowControl w:val="0"/>
      <w:numPr>
        <w:numId w:val="14"/>
      </w:numPr>
      <w:overflowPunct/>
      <w:autoSpaceDE/>
      <w:autoSpaceDN/>
      <w:adjustRightInd/>
      <w:spacing w:after="200" w:line="276" w:lineRule="auto"/>
      <w:contextualSpacing/>
      <w:textAlignment w:val="auto"/>
    </w:pPr>
    <w:rPr>
      <w:rFonts w:ascii="Arial" w:hAnsi="Arial" w:cs="Arial"/>
      <w:szCs w:val="24"/>
    </w:rPr>
  </w:style>
  <w:style w:type="paragraph" w:styleId="MacroText">
    <w:name w:val="macro"/>
    <w:link w:val="MacroTextChar"/>
    <w:uiPriority w:val="99"/>
    <w:semiHidden/>
    <w:unhideWhenUsed/>
    <w:rsid w:val="00380F8B"/>
    <w:pPr>
      <w:widowControl w:val="0"/>
      <w:tabs>
        <w:tab w:val="left" w:pos="480"/>
        <w:tab w:val="left" w:pos="960"/>
        <w:tab w:val="left" w:pos="1440"/>
        <w:tab w:val="left" w:pos="1920"/>
        <w:tab w:val="left" w:pos="2400"/>
        <w:tab w:val="left" w:pos="2880"/>
        <w:tab w:val="left" w:pos="3360"/>
        <w:tab w:val="left" w:pos="3840"/>
        <w:tab w:val="left" w:pos="4320"/>
      </w:tabs>
      <w:spacing w:after="0" w:line="276" w:lineRule="auto"/>
    </w:pPr>
    <w:rPr>
      <w:rFonts w:ascii="Consolas" w:eastAsia="Times New Roman" w:hAnsi="Consolas" w:cs="Consolas"/>
      <w:sz w:val="20"/>
      <w:szCs w:val="20"/>
    </w:rPr>
  </w:style>
  <w:style w:type="character" w:customStyle="1" w:styleId="MacroTextChar">
    <w:name w:val="Macro Text Char"/>
    <w:basedOn w:val="DefaultParagraphFont"/>
    <w:link w:val="MacroText"/>
    <w:uiPriority w:val="99"/>
    <w:semiHidden/>
    <w:rsid w:val="00380F8B"/>
    <w:rPr>
      <w:rFonts w:ascii="Consolas" w:eastAsia="Times New Roman" w:hAnsi="Consolas" w:cs="Consolas"/>
      <w:sz w:val="20"/>
      <w:szCs w:val="20"/>
    </w:rPr>
  </w:style>
  <w:style w:type="paragraph" w:styleId="MessageHeader">
    <w:name w:val="Message Header"/>
    <w:basedOn w:val="Normal"/>
    <w:link w:val="MessageHeaderChar"/>
    <w:uiPriority w:val="99"/>
    <w:semiHidden/>
    <w:unhideWhenUsed/>
    <w:rsid w:val="00380F8B"/>
    <w:pPr>
      <w:widowControl w:val="0"/>
      <w:pBdr>
        <w:top w:val="single" w:sz="6" w:space="1" w:color="auto"/>
        <w:left w:val="single" w:sz="6" w:space="1" w:color="auto"/>
        <w:bottom w:val="single" w:sz="6" w:space="1" w:color="auto"/>
        <w:right w:val="single" w:sz="6" w:space="1" w:color="auto"/>
      </w:pBdr>
      <w:shd w:val="pct20" w:color="auto" w:fill="auto"/>
      <w:overflowPunct/>
      <w:autoSpaceDE/>
      <w:autoSpaceDN/>
      <w:adjustRightInd/>
      <w:ind w:left="1080" w:hanging="1080"/>
      <w:textAlignment w:val="auto"/>
    </w:pPr>
    <w:rPr>
      <w:rFonts w:asciiTheme="majorHAnsi" w:eastAsiaTheme="majorEastAsia" w:hAnsiTheme="majorHAnsi" w:cstheme="majorBidi"/>
      <w:szCs w:val="24"/>
    </w:rPr>
  </w:style>
  <w:style w:type="character" w:customStyle="1" w:styleId="MessageHeaderChar">
    <w:name w:val="Message Header Char"/>
    <w:basedOn w:val="DefaultParagraphFont"/>
    <w:link w:val="MessageHeader"/>
    <w:uiPriority w:val="99"/>
    <w:semiHidden/>
    <w:rsid w:val="00380F8B"/>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unhideWhenUsed/>
    <w:rsid w:val="00380F8B"/>
    <w:pPr>
      <w:widowControl w:val="0"/>
      <w:overflowPunct/>
      <w:autoSpaceDE/>
      <w:autoSpaceDN/>
      <w:adjustRightInd/>
      <w:spacing w:after="200" w:line="276" w:lineRule="auto"/>
      <w:ind w:left="720"/>
      <w:textAlignment w:val="auto"/>
    </w:pPr>
    <w:rPr>
      <w:rFonts w:ascii="Arial" w:hAnsi="Arial" w:cs="Arial"/>
      <w:szCs w:val="24"/>
    </w:rPr>
  </w:style>
  <w:style w:type="paragraph" w:styleId="NoteHeading">
    <w:name w:val="Note Heading"/>
    <w:basedOn w:val="Normal"/>
    <w:next w:val="Normal"/>
    <w:link w:val="NoteHeadingChar"/>
    <w:uiPriority w:val="99"/>
    <w:semiHidden/>
    <w:unhideWhenUsed/>
    <w:rsid w:val="00380F8B"/>
    <w:pPr>
      <w:widowControl w:val="0"/>
      <w:overflowPunct/>
      <w:autoSpaceDE/>
      <w:autoSpaceDN/>
      <w:adjustRightInd/>
      <w:textAlignment w:val="auto"/>
    </w:pPr>
    <w:rPr>
      <w:rFonts w:ascii="Arial" w:hAnsi="Arial" w:cs="Arial"/>
      <w:szCs w:val="24"/>
    </w:rPr>
  </w:style>
  <w:style w:type="character" w:customStyle="1" w:styleId="NoteHeadingChar">
    <w:name w:val="Note Heading Char"/>
    <w:basedOn w:val="DefaultParagraphFont"/>
    <w:link w:val="NoteHeading"/>
    <w:uiPriority w:val="99"/>
    <w:semiHidden/>
    <w:rsid w:val="00380F8B"/>
    <w:rPr>
      <w:rFonts w:ascii="Arial" w:eastAsia="Times New Roman" w:hAnsi="Arial" w:cs="Arial"/>
      <w:sz w:val="24"/>
      <w:szCs w:val="24"/>
    </w:rPr>
  </w:style>
  <w:style w:type="paragraph" w:styleId="PlainText">
    <w:name w:val="Plain Text"/>
    <w:basedOn w:val="Normal"/>
    <w:link w:val="PlainTextChar"/>
    <w:uiPriority w:val="99"/>
    <w:semiHidden/>
    <w:unhideWhenUsed/>
    <w:rsid w:val="00380F8B"/>
    <w:pPr>
      <w:widowControl w:val="0"/>
      <w:overflowPunct/>
      <w:autoSpaceDE/>
      <w:autoSpaceDN/>
      <w:adjustRightInd/>
      <w:textAlignment w:val="auto"/>
    </w:pPr>
    <w:rPr>
      <w:rFonts w:ascii="Consolas" w:hAnsi="Consolas" w:cs="Consolas"/>
      <w:sz w:val="21"/>
      <w:szCs w:val="21"/>
    </w:rPr>
  </w:style>
  <w:style w:type="character" w:customStyle="1" w:styleId="PlainTextChar">
    <w:name w:val="Plain Text Char"/>
    <w:basedOn w:val="DefaultParagraphFont"/>
    <w:link w:val="PlainText"/>
    <w:uiPriority w:val="99"/>
    <w:semiHidden/>
    <w:rsid w:val="00380F8B"/>
    <w:rPr>
      <w:rFonts w:ascii="Consolas" w:eastAsia="Times New Roman" w:hAnsi="Consolas" w:cs="Consolas"/>
      <w:sz w:val="21"/>
      <w:szCs w:val="21"/>
    </w:rPr>
  </w:style>
  <w:style w:type="paragraph" w:styleId="Quote">
    <w:name w:val="Quote"/>
    <w:basedOn w:val="Normal"/>
    <w:next w:val="Normal"/>
    <w:link w:val="QuoteChar"/>
    <w:uiPriority w:val="29"/>
    <w:qFormat/>
    <w:rsid w:val="00380F8B"/>
    <w:pPr>
      <w:widowControl w:val="0"/>
      <w:overflowPunct/>
      <w:autoSpaceDE/>
      <w:autoSpaceDN/>
      <w:adjustRightInd/>
      <w:spacing w:after="200" w:line="276" w:lineRule="auto"/>
      <w:textAlignment w:val="auto"/>
    </w:pPr>
    <w:rPr>
      <w:rFonts w:ascii="Arial" w:hAnsi="Arial" w:cs="Arial"/>
      <w:i/>
      <w:iCs/>
      <w:color w:val="000000" w:themeColor="text1"/>
      <w:szCs w:val="24"/>
    </w:rPr>
  </w:style>
  <w:style w:type="character" w:customStyle="1" w:styleId="QuoteChar">
    <w:name w:val="Quote Char"/>
    <w:basedOn w:val="DefaultParagraphFont"/>
    <w:link w:val="Quote"/>
    <w:uiPriority w:val="29"/>
    <w:rsid w:val="00380F8B"/>
    <w:rPr>
      <w:rFonts w:ascii="Arial" w:eastAsia="Times New Roman" w:hAnsi="Arial" w:cs="Arial"/>
      <w:i/>
      <w:iCs/>
      <w:color w:val="000000" w:themeColor="text1"/>
      <w:sz w:val="24"/>
      <w:szCs w:val="24"/>
    </w:rPr>
  </w:style>
  <w:style w:type="paragraph" w:styleId="Salutation">
    <w:name w:val="Salutation"/>
    <w:basedOn w:val="Normal"/>
    <w:next w:val="Normal"/>
    <w:link w:val="SalutationChar"/>
    <w:uiPriority w:val="99"/>
    <w:semiHidden/>
    <w:unhideWhenUsed/>
    <w:rsid w:val="00380F8B"/>
    <w:pPr>
      <w:widowControl w:val="0"/>
      <w:overflowPunct/>
      <w:autoSpaceDE/>
      <w:autoSpaceDN/>
      <w:adjustRightInd/>
      <w:spacing w:after="200" w:line="276" w:lineRule="auto"/>
      <w:textAlignment w:val="auto"/>
    </w:pPr>
    <w:rPr>
      <w:rFonts w:ascii="Arial" w:hAnsi="Arial" w:cs="Arial"/>
      <w:szCs w:val="24"/>
    </w:rPr>
  </w:style>
  <w:style w:type="character" w:customStyle="1" w:styleId="SalutationChar">
    <w:name w:val="Salutation Char"/>
    <w:basedOn w:val="DefaultParagraphFont"/>
    <w:link w:val="Salutation"/>
    <w:uiPriority w:val="99"/>
    <w:semiHidden/>
    <w:rsid w:val="00380F8B"/>
    <w:rPr>
      <w:rFonts w:ascii="Arial" w:eastAsia="Times New Roman" w:hAnsi="Arial" w:cs="Arial"/>
      <w:sz w:val="24"/>
      <w:szCs w:val="24"/>
    </w:rPr>
  </w:style>
  <w:style w:type="paragraph" w:styleId="Signature">
    <w:name w:val="Signature"/>
    <w:basedOn w:val="Normal"/>
    <w:link w:val="SignatureChar"/>
    <w:uiPriority w:val="99"/>
    <w:semiHidden/>
    <w:unhideWhenUsed/>
    <w:rsid w:val="00380F8B"/>
    <w:pPr>
      <w:widowControl w:val="0"/>
      <w:overflowPunct/>
      <w:autoSpaceDE/>
      <w:autoSpaceDN/>
      <w:adjustRightInd/>
      <w:ind w:left="4320"/>
      <w:textAlignment w:val="auto"/>
    </w:pPr>
    <w:rPr>
      <w:rFonts w:ascii="Arial" w:hAnsi="Arial" w:cs="Arial"/>
      <w:szCs w:val="24"/>
    </w:rPr>
  </w:style>
  <w:style w:type="character" w:customStyle="1" w:styleId="SignatureChar">
    <w:name w:val="Signature Char"/>
    <w:basedOn w:val="DefaultParagraphFont"/>
    <w:link w:val="Signature"/>
    <w:uiPriority w:val="99"/>
    <w:semiHidden/>
    <w:rsid w:val="00380F8B"/>
    <w:rPr>
      <w:rFonts w:ascii="Arial" w:eastAsia="Times New Roman" w:hAnsi="Arial" w:cs="Arial"/>
      <w:sz w:val="24"/>
      <w:szCs w:val="24"/>
    </w:rPr>
  </w:style>
  <w:style w:type="paragraph" w:styleId="Subtitle">
    <w:name w:val="Subtitle"/>
    <w:basedOn w:val="Normal"/>
    <w:next w:val="Normal"/>
    <w:link w:val="SubtitleChar"/>
    <w:uiPriority w:val="11"/>
    <w:qFormat/>
    <w:rsid w:val="00380F8B"/>
    <w:pPr>
      <w:widowControl w:val="0"/>
      <w:numPr>
        <w:ilvl w:val="1"/>
      </w:numPr>
      <w:overflowPunct/>
      <w:autoSpaceDE/>
      <w:autoSpaceDN/>
      <w:adjustRightInd/>
      <w:spacing w:after="200" w:line="276" w:lineRule="auto"/>
      <w:textAlignment w:val="auto"/>
    </w:pPr>
    <w:rPr>
      <w:rFonts w:asciiTheme="majorHAnsi" w:eastAsiaTheme="majorEastAsia" w:hAnsiTheme="majorHAnsi" w:cstheme="majorBidi"/>
      <w:i/>
      <w:iCs/>
      <w:color w:val="5B9BD5" w:themeColor="accent1"/>
      <w:spacing w:val="15"/>
      <w:szCs w:val="24"/>
    </w:rPr>
  </w:style>
  <w:style w:type="character" w:customStyle="1" w:styleId="SubtitleChar">
    <w:name w:val="Subtitle Char"/>
    <w:basedOn w:val="DefaultParagraphFont"/>
    <w:link w:val="Subtitle"/>
    <w:uiPriority w:val="11"/>
    <w:rsid w:val="00380F8B"/>
    <w:rPr>
      <w:rFonts w:asciiTheme="majorHAnsi" w:eastAsiaTheme="majorEastAsia" w:hAnsiTheme="majorHAnsi" w:cstheme="majorBidi"/>
      <w:i/>
      <w:iCs/>
      <w:color w:val="5B9BD5" w:themeColor="accent1"/>
      <w:spacing w:val="15"/>
      <w:sz w:val="24"/>
      <w:szCs w:val="24"/>
    </w:rPr>
  </w:style>
  <w:style w:type="paragraph" w:styleId="TableofAuthorities">
    <w:name w:val="table of authorities"/>
    <w:basedOn w:val="Normal"/>
    <w:next w:val="Normal"/>
    <w:uiPriority w:val="99"/>
    <w:semiHidden/>
    <w:unhideWhenUsed/>
    <w:rsid w:val="00380F8B"/>
    <w:pPr>
      <w:widowControl w:val="0"/>
      <w:overflowPunct/>
      <w:autoSpaceDE/>
      <w:autoSpaceDN/>
      <w:adjustRightInd/>
      <w:spacing w:line="276" w:lineRule="auto"/>
      <w:ind w:left="240" w:hanging="240"/>
      <w:textAlignment w:val="auto"/>
    </w:pPr>
    <w:rPr>
      <w:rFonts w:ascii="Arial" w:hAnsi="Arial" w:cs="Arial"/>
      <w:szCs w:val="24"/>
    </w:rPr>
  </w:style>
  <w:style w:type="paragraph" w:styleId="TableofFigures">
    <w:name w:val="table of figures"/>
    <w:basedOn w:val="Normal"/>
    <w:next w:val="Normal"/>
    <w:uiPriority w:val="99"/>
    <w:semiHidden/>
    <w:unhideWhenUsed/>
    <w:rsid w:val="00380F8B"/>
    <w:pPr>
      <w:widowControl w:val="0"/>
      <w:overflowPunct/>
      <w:autoSpaceDE/>
      <w:autoSpaceDN/>
      <w:adjustRightInd/>
      <w:spacing w:line="276" w:lineRule="auto"/>
      <w:textAlignment w:val="auto"/>
    </w:pPr>
    <w:rPr>
      <w:rFonts w:ascii="Arial" w:hAnsi="Arial" w:cs="Arial"/>
      <w:szCs w:val="24"/>
    </w:rPr>
  </w:style>
  <w:style w:type="paragraph" w:styleId="Title">
    <w:name w:val="Title"/>
    <w:basedOn w:val="Normal"/>
    <w:next w:val="Normal"/>
    <w:link w:val="TitleChar"/>
    <w:uiPriority w:val="10"/>
    <w:qFormat/>
    <w:rsid w:val="00380F8B"/>
    <w:pPr>
      <w:widowControl w:val="0"/>
      <w:pBdr>
        <w:bottom w:val="single" w:sz="8" w:space="4" w:color="5B9BD5" w:themeColor="accent1"/>
      </w:pBdr>
      <w:overflowPunct/>
      <w:autoSpaceDE/>
      <w:autoSpaceDN/>
      <w:adjustRightInd/>
      <w:spacing w:after="300"/>
      <w:contextualSpacing/>
      <w:textAlignment w:val="auto"/>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380F8B"/>
    <w:rPr>
      <w:rFonts w:asciiTheme="majorHAnsi" w:eastAsiaTheme="majorEastAsia" w:hAnsiTheme="majorHAnsi" w:cstheme="majorBidi"/>
      <w:color w:val="323E4F" w:themeColor="text2" w:themeShade="BF"/>
      <w:spacing w:val="5"/>
      <w:kern w:val="28"/>
      <w:sz w:val="52"/>
      <w:szCs w:val="52"/>
    </w:rPr>
  </w:style>
  <w:style w:type="paragraph" w:styleId="TOAHeading">
    <w:name w:val="toa heading"/>
    <w:basedOn w:val="Normal"/>
    <w:next w:val="Normal"/>
    <w:semiHidden/>
    <w:unhideWhenUsed/>
    <w:rsid w:val="00380F8B"/>
    <w:pPr>
      <w:widowControl w:val="0"/>
      <w:overflowPunct/>
      <w:autoSpaceDE/>
      <w:autoSpaceDN/>
      <w:adjustRightInd/>
      <w:spacing w:before="120" w:after="200" w:line="276" w:lineRule="auto"/>
      <w:textAlignment w:val="auto"/>
    </w:pPr>
    <w:rPr>
      <w:rFonts w:asciiTheme="majorHAnsi" w:eastAsiaTheme="majorEastAsia" w:hAnsiTheme="majorHAnsi" w:cstheme="majorBidi"/>
      <w:b/>
      <w:bCs/>
      <w:szCs w:val="24"/>
    </w:rPr>
  </w:style>
  <w:style w:type="paragraph" w:styleId="TOC2">
    <w:name w:val="toc 2"/>
    <w:basedOn w:val="Normal"/>
    <w:next w:val="Normal"/>
    <w:autoRedefine/>
    <w:semiHidden/>
    <w:unhideWhenUsed/>
    <w:rsid w:val="00380F8B"/>
    <w:pPr>
      <w:widowControl w:val="0"/>
      <w:overflowPunct/>
      <w:autoSpaceDE/>
      <w:autoSpaceDN/>
      <w:adjustRightInd/>
      <w:spacing w:after="100" w:line="276" w:lineRule="auto"/>
      <w:ind w:left="240"/>
      <w:textAlignment w:val="auto"/>
    </w:pPr>
    <w:rPr>
      <w:rFonts w:ascii="Arial" w:hAnsi="Arial" w:cs="Arial"/>
      <w:szCs w:val="24"/>
    </w:rPr>
  </w:style>
  <w:style w:type="paragraph" w:styleId="TOC4">
    <w:name w:val="toc 4"/>
    <w:basedOn w:val="Normal"/>
    <w:next w:val="Normal"/>
    <w:autoRedefine/>
    <w:semiHidden/>
    <w:unhideWhenUsed/>
    <w:rsid w:val="00380F8B"/>
    <w:pPr>
      <w:widowControl w:val="0"/>
      <w:overflowPunct/>
      <w:autoSpaceDE/>
      <w:autoSpaceDN/>
      <w:adjustRightInd/>
      <w:spacing w:after="100" w:line="276" w:lineRule="auto"/>
      <w:ind w:left="720"/>
      <w:textAlignment w:val="auto"/>
    </w:pPr>
    <w:rPr>
      <w:rFonts w:ascii="Arial" w:hAnsi="Arial" w:cs="Arial"/>
      <w:szCs w:val="24"/>
    </w:rPr>
  </w:style>
  <w:style w:type="paragraph" w:styleId="TOC5">
    <w:name w:val="toc 5"/>
    <w:basedOn w:val="Normal"/>
    <w:next w:val="Normal"/>
    <w:autoRedefine/>
    <w:semiHidden/>
    <w:unhideWhenUsed/>
    <w:rsid w:val="00380F8B"/>
    <w:pPr>
      <w:widowControl w:val="0"/>
      <w:overflowPunct/>
      <w:autoSpaceDE/>
      <w:autoSpaceDN/>
      <w:adjustRightInd/>
      <w:spacing w:after="100" w:line="276" w:lineRule="auto"/>
      <w:ind w:left="960"/>
      <w:textAlignment w:val="auto"/>
    </w:pPr>
    <w:rPr>
      <w:rFonts w:ascii="Arial" w:hAnsi="Arial" w:cs="Arial"/>
      <w:szCs w:val="24"/>
    </w:rPr>
  </w:style>
  <w:style w:type="paragraph" w:styleId="TOC6">
    <w:name w:val="toc 6"/>
    <w:basedOn w:val="Normal"/>
    <w:next w:val="Normal"/>
    <w:autoRedefine/>
    <w:semiHidden/>
    <w:unhideWhenUsed/>
    <w:rsid w:val="00380F8B"/>
    <w:pPr>
      <w:widowControl w:val="0"/>
      <w:overflowPunct/>
      <w:autoSpaceDE/>
      <w:autoSpaceDN/>
      <w:adjustRightInd/>
      <w:spacing w:after="100" w:line="276" w:lineRule="auto"/>
      <w:ind w:left="1200"/>
      <w:textAlignment w:val="auto"/>
    </w:pPr>
    <w:rPr>
      <w:rFonts w:ascii="Arial" w:hAnsi="Arial" w:cs="Arial"/>
      <w:szCs w:val="24"/>
    </w:rPr>
  </w:style>
  <w:style w:type="paragraph" w:styleId="TOC7">
    <w:name w:val="toc 7"/>
    <w:basedOn w:val="Normal"/>
    <w:next w:val="Normal"/>
    <w:autoRedefine/>
    <w:semiHidden/>
    <w:unhideWhenUsed/>
    <w:rsid w:val="00380F8B"/>
    <w:pPr>
      <w:widowControl w:val="0"/>
      <w:overflowPunct/>
      <w:autoSpaceDE/>
      <w:autoSpaceDN/>
      <w:adjustRightInd/>
      <w:spacing w:after="100" w:line="276" w:lineRule="auto"/>
      <w:ind w:left="1440"/>
      <w:textAlignment w:val="auto"/>
    </w:pPr>
    <w:rPr>
      <w:rFonts w:ascii="Arial" w:hAnsi="Arial" w:cs="Arial"/>
      <w:szCs w:val="24"/>
    </w:rPr>
  </w:style>
  <w:style w:type="paragraph" w:styleId="TOC8">
    <w:name w:val="toc 8"/>
    <w:basedOn w:val="Normal"/>
    <w:next w:val="Normal"/>
    <w:autoRedefine/>
    <w:semiHidden/>
    <w:unhideWhenUsed/>
    <w:rsid w:val="00380F8B"/>
    <w:pPr>
      <w:widowControl w:val="0"/>
      <w:overflowPunct/>
      <w:autoSpaceDE/>
      <w:autoSpaceDN/>
      <w:adjustRightInd/>
      <w:spacing w:after="100" w:line="276" w:lineRule="auto"/>
      <w:ind w:left="1680"/>
      <w:textAlignment w:val="auto"/>
    </w:pPr>
    <w:rPr>
      <w:rFonts w:ascii="Arial" w:hAnsi="Arial" w:cs="Arial"/>
      <w:szCs w:val="24"/>
    </w:rPr>
  </w:style>
  <w:style w:type="paragraph" w:styleId="TOC9">
    <w:name w:val="toc 9"/>
    <w:basedOn w:val="Normal"/>
    <w:next w:val="Normal"/>
    <w:autoRedefine/>
    <w:semiHidden/>
    <w:unhideWhenUsed/>
    <w:rsid w:val="00380F8B"/>
    <w:pPr>
      <w:widowControl w:val="0"/>
      <w:overflowPunct/>
      <w:autoSpaceDE/>
      <w:autoSpaceDN/>
      <w:adjustRightInd/>
      <w:spacing w:after="100" w:line="276" w:lineRule="auto"/>
      <w:ind w:left="1920"/>
      <w:textAlignment w:val="auto"/>
    </w:pPr>
    <w:rPr>
      <w:rFonts w:ascii="Arial" w:hAnsi="Arial" w:cs="Arial"/>
      <w:szCs w:val="24"/>
    </w:rPr>
  </w:style>
  <w:style w:type="paragraph" w:styleId="TOCHeading">
    <w:name w:val="TOC Heading"/>
    <w:basedOn w:val="Heading1"/>
    <w:next w:val="Normal"/>
    <w:uiPriority w:val="39"/>
    <w:semiHidden/>
    <w:unhideWhenUsed/>
    <w:qFormat/>
    <w:rsid w:val="00380F8B"/>
    <w:pPr>
      <w:keepLines/>
      <w:widowControl w:val="0"/>
      <w:tabs>
        <w:tab w:val="clear" w:pos="-1440"/>
        <w:tab w:val="clear" w:pos="-720"/>
        <w:tab w:val="clear" w:pos="0"/>
        <w:tab w:val="clear" w:pos="1080"/>
        <w:tab w:val="clear" w:pos="1440"/>
      </w:tabs>
      <w:suppressAutoHyphens w:val="0"/>
      <w:overflowPunct/>
      <w:autoSpaceDE/>
      <w:autoSpaceDN/>
      <w:adjustRightInd/>
      <w:spacing w:before="480" w:line="276" w:lineRule="auto"/>
      <w:jc w:val="left"/>
      <w:textAlignment w:val="auto"/>
      <w:outlineLvl w:val="9"/>
    </w:pPr>
    <w:rPr>
      <w:rFonts w:asciiTheme="majorHAnsi" w:eastAsiaTheme="majorEastAsia" w:hAnsiTheme="majorHAnsi" w:cstheme="majorBidi"/>
      <w:bCs/>
      <w:color w:val="2E74B5" w:themeColor="accent1" w:themeShade="BF"/>
      <w:spacing w:val="0"/>
      <w:sz w:val="28"/>
      <w:szCs w:val="28"/>
      <w:u w:val="none"/>
    </w:rPr>
  </w:style>
  <w:style w:type="character" w:styleId="FollowedHyperlink">
    <w:name w:val="FollowedHyperlink"/>
    <w:basedOn w:val="DefaultParagraphFont"/>
    <w:uiPriority w:val="99"/>
    <w:semiHidden/>
    <w:unhideWhenUsed/>
    <w:rsid w:val="00380F8B"/>
    <w:rPr>
      <w:color w:val="954F72" w:themeColor="followedHyperlink"/>
      <w:u w:val="single"/>
    </w:rPr>
  </w:style>
  <w:style w:type="character" w:styleId="EndnoteReference">
    <w:name w:val="endnote reference"/>
    <w:basedOn w:val="DefaultParagraphFont"/>
    <w:uiPriority w:val="99"/>
    <w:semiHidden/>
    <w:unhideWhenUsed/>
    <w:rsid w:val="006C5B6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2190697">
      <w:bodyDiv w:val="1"/>
      <w:marLeft w:val="0"/>
      <w:marRight w:val="0"/>
      <w:marTop w:val="0"/>
      <w:marBottom w:val="0"/>
      <w:divBdr>
        <w:top w:val="none" w:sz="0" w:space="0" w:color="auto"/>
        <w:left w:val="none" w:sz="0" w:space="0" w:color="auto"/>
        <w:bottom w:val="none" w:sz="0" w:space="0" w:color="auto"/>
        <w:right w:val="none" w:sz="0" w:space="0" w:color="auto"/>
      </w:divBdr>
      <w:divsChild>
        <w:div w:id="284309034">
          <w:marLeft w:val="547"/>
          <w:marRight w:val="0"/>
          <w:marTop w:val="72"/>
          <w:marBottom w:val="0"/>
          <w:divBdr>
            <w:top w:val="none" w:sz="0" w:space="0" w:color="auto"/>
            <w:left w:val="none" w:sz="0" w:space="0" w:color="auto"/>
            <w:bottom w:val="none" w:sz="0" w:space="0" w:color="auto"/>
            <w:right w:val="none" w:sz="0" w:space="0" w:color="auto"/>
          </w:divBdr>
        </w:div>
        <w:div w:id="2105029407">
          <w:marLeft w:val="1166"/>
          <w:marRight w:val="0"/>
          <w:marTop w:val="62"/>
          <w:marBottom w:val="0"/>
          <w:divBdr>
            <w:top w:val="none" w:sz="0" w:space="0" w:color="auto"/>
            <w:left w:val="none" w:sz="0" w:space="0" w:color="auto"/>
            <w:bottom w:val="none" w:sz="0" w:space="0" w:color="auto"/>
            <w:right w:val="none" w:sz="0" w:space="0" w:color="auto"/>
          </w:divBdr>
        </w:div>
        <w:div w:id="191462462">
          <w:marLeft w:val="1166"/>
          <w:marRight w:val="0"/>
          <w:marTop w:val="62"/>
          <w:marBottom w:val="0"/>
          <w:divBdr>
            <w:top w:val="none" w:sz="0" w:space="0" w:color="auto"/>
            <w:left w:val="none" w:sz="0" w:space="0" w:color="auto"/>
            <w:bottom w:val="none" w:sz="0" w:space="0" w:color="auto"/>
            <w:right w:val="none" w:sz="0" w:space="0" w:color="auto"/>
          </w:divBdr>
        </w:div>
      </w:divsChild>
    </w:div>
    <w:div w:id="1540624299">
      <w:bodyDiv w:val="1"/>
      <w:marLeft w:val="0"/>
      <w:marRight w:val="0"/>
      <w:marTop w:val="0"/>
      <w:marBottom w:val="0"/>
      <w:divBdr>
        <w:top w:val="none" w:sz="0" w:space="0" w:color="auto"/>
        <w:left w:val="none" w:sz="0" w:space="0" w:color="auto"/>
        <w:bottom w:val="none" w:sz="0" w:space="0" w:color="auto"/>
        <w:right w:val="none" w:sz="0" w:space="0" w:color="auto"/>
      </w:divBdr>
      <w:divsChild>
        <w:div w:id="670454105">
          <w:marLeft w:val="547"/>
          <w:marRight w:val="0"/>
          <w:marTop w:val="72"/>
          <w:marBottom w:val="0"/>
          <w:divBdr>
            <w:top w:val="none" w:sz="0" w:space="0" w:color="auto"/>
            <w:left w:val="none" w:sz="0" w:space="0" w:color="auto"/>
            <w:bottom w:val="none" w:sz="0" w:space="0" w:color="auto"/>
            <w:right w:val="none" w:sz="0" w:space="0" w:color="auto"/>
          </w:divBdr>
        </w:div>
      </w:divsChild>
    </w:div>
    <w:div w:id="2016374048">
      <w:bodyDiv w:val="1"/>
      <w:marLeft w:val="0"/>
      <w:marRight w:val="0"/>
      <w:marTop w:val="0"/>
      <w:marBottom w:val="0"/>
      <w:divBdr>
        <w:top w:val="none" w:sz="0" w:space="0" w:color="auto"/>
        <w:left w:val="none" w:sz="0" w:space="0" w:color="auto"/>
        <w:bottom w:val="none" w:sz="0" w:space="0" w:color="auto"/>
        <w:right w:val="none" w:sz="0" w:space="0" w:color="auto"/>
      </w:divBdr>
    </w:div>
    <w:div w:id="2088182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20"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SharedContentType xmlns="Microsoft.SharePoint.Taxonomy.ContentTypeSync" SourceId="015f1b76-b32e-440f-80a7-f0ca4d8a872c" ContentTypeId="0x0101006E56B4D1795A2E4DB2F0B01679ED314A" PreviousValue="true"/>
</file>

<file path=customXml/item3.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9E60FB7A06EC0A4287672D91D8331009" ma:contentTypeVersion="104" ma:contentTypeDescription="" ma:contentTypeScope="" ma:versionID="4fc58195969815c35114c24e48bb6ba4">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Prefix xmlns="dc463f71-b30c-4ab2-9473-d307f9d35888">UG</Prefix>
    <DocumentSetType xmlns="dc463f71-b30c-4ab2-9473-d307f9d35888">Document</DocumentSetType>
    <IsConfidential xmlns="dc463f71-b30c-4ab2-9473-d307f9d35888">false</IsConfidential>
    <AgendaOrder xmlns="dc463f71-b30c-4ab2-9473-d307f9d35888">false</AgendaOrder>
    <CaseType xmlns="dc463f71-b30c-4ab2-9473-d307f9d35888">Plan</CaseType>
    <IndustryCode xmlns="dc463f71-b30c-4ab2-9473-d307f9d35888">150</IndustryCode>
    <CaseStatus xmlns="dc463f71-b30c-4ab2-9473-d307f9d35888">Closed</CaseStatus>
    <OpenedDate xmlns="dc463f71-b30c-4ab2-9473-d307f9d35888">2016-04-29T07:00:00+00:00</OpenedDate>
    <Date1 xmlns="dc463f71-b30c-4ab2-9473-d307f9d35888">2016-10-17T07:00:00+00:00</Date1>
    <IsDocumentOrder xmlns="dc463f71-b30c-4ab2-9473-d307f9d35888" xsi:nil="true"/>
    <IsHighlyConfidential xmlns="dc463f71-b30c-4ab2-9473-d307f9d35888">false</IsHighlyConfidential>
    <CaseCompanyNames xmlns="dc463f71-b30c-4ab2-9473-d307f9d35888">Cascade Natural Gas Corporation</CaseCompanyNames>
    <DocketNumber xmlns="dc463f71-b30c-4ab2-9473-d307f9d35888">160453</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679D8B2D-F77C-4B9A-B2EA-E41EDA699F07}">
  <ds:schemaRefs>
    <ds:schemaRef ds:uri="http://schemas.openxmlformats.org/officeDocument/2006/bibliography"/>
  </ds:schemaRefs>
</ds:datastoreItem>
</file>

<file path=customXml/itemProps2.xml><?xml version="1.0" encoding="utf-8"?>
<ds:datastoreItem xmlns:ds="http://schemas.openxmlformats.org/officeDocument/2006/customXml" ds:itemID="{27BA2475-AE68-41C3-A05B-02DB5AE7E6FC}"/>
</file>

<file path=customXml/itemProps3.xml><?xml version="1.0" encoding="utf-8"?>
<ds:datastoreItem xmlns:ds="http://schemas.openxmlformats.org/officeDocument/2006/customXml" ds:itemID="{BD14B9EE-F4CF-4194-B122-7CA809CF1151}"/>
</file>

<file path=customXml/itemProps4.xml><?xml version="1.0" encoding="utf-8"?>
<ds:datastoreItem xmlns:ds="http://schemas.openxmlformats.org/officeDocument/2006/customXml" ds:itemID="{5507A19C-6058-4A07-9505-FF430A6B8702}"/>
</file>

<file path=customXml/itemProps5.xml><?xml version="1.0" encoding="utf-8"?>
<ds:datastoreItem xmlns:ds="http://schemas.openxmlformats.org/officeDocument/2006/customXml" ds:itemID="{DF755AEB-960C-44B1-95C7-26807FDB8B1B}"/>
</file>

<file path=docProps/app.xml><?xml version="1.0" encoding="utf-8"?>
<Properties xmlns="http://schemas.openxmlformats.org/officeDocument/2006/extended-properties" xmlns:vt="http://schemas.openxmlformats.org/officeDocument/2006/docPropsVTypes">
  <Template>Normal.dotm</Template>
  <TotalTime>7</TotalTime>
  <Pages>20</Pages>
  <Words>7039</Words>
  <Characters>40124</Characters>
  <Application>Microsoft Office Word</Application>
  <DocSecurity>0</DocSecurity>
  <Lines>334</Lines>
  <Paragraphs>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47069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Sellers-Vaughn, Mark</dc:creator>
  <cp:keywords/>
  <dc:description/>
  <cp:lastModifiedBy>Sellers-Vaughn, Mark</cp:lastModifiedBy>
  <cp:revision>3</cp:revision>
  <dcterms:created xsi:type="dcterms:W3CDTF">2016-10-17T19:42:00Z</dcterms:created>
  <dcterms:modified xsi:type="dcterms:W3CDTF">2016-10-17T19:49:00Z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0x0101006E56B4D1795A2E4DB2F0B01679ED314A009E60FB7A06EC0A4287672D91D8331009</vt:lpwstr>
  </property>
  <property fmtid="{D5CDD505-2E9C-101B-9397-08002B2CF9AE}" pid="3" name="_docset_NoMedatataSyncRequired">
    <vt:lpwstr>False</vt:lpwstr>
  </property>
</Properties>
</file>