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rPr>
          <w:sz w:val="28"/>
          <w:szCs w:val="28"/>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pPr>
    </w:p>
    <w:p w:rsidR="00182994" w:rsidRDefault="00182994">
      <w:pPr>
        <w:tabs>
          <w:tab w:val="left" w:pos="1260"/>
        </w:tabs>
        <w:spacing w:line="480" w:lineRule="auto"/>
        <w:ind w:firstLine="720"/>
        <w:jc w:val="center"/>
        <w:rPr>
          <w:rStyle w:val="LineNumber"/>
        </w:rPr>
      </w:pPr>
    </w:p>
    <w:p w:rsidR="00182994" w:rsidRDefault="00182994">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82994" w:rsidRDefault="00182994">
      <w:pPr>
        <w:tabs>
          <w:tab w:val="left" w:pos="1260"/>
        </w:tabs>
        <w:spacing w:line="480" w:lineRule="auto"/>
      </w:pPr>
    </w:p>
    <w:p w:rsidR="00182994" w:rsidRDefault="000773D0" w:rsidP="00182994">
      <w:pPr>
        <w:tabs>
          <w:tab w:val="left" w:pos="1260"/>
        </w:tabs>
        <w:jc w:val="center"/>
      </w:pPr>
      <w:r>
        <w:t>DOCKET NO</w:t>
      </w:r>
      <w:r w:rsidR="00182994">
        <w:t>. UE-</w:t>
      </w:r>
      <w:r w:rsidR="00876525">
        <w:t>1</w:t>
      </w:r>
      <w:r w:rsidR="005E055D">
        <w:t>5</w:t>
      </w:r>
      <w:r w:rsidR="00182994">
        <w:t>______</w:t>
      </w:r>
    </w:p>
    <w:p w:rsidR="00182994" w:rsidRDefault="00182994">
      <w:pPr>
        <w:tabs>
          <w:tab w:val="left" w:pos="1260"/>
        </w:tabs>
        <w:spacing w:line="480" w:lineRule="auto"/>
        <w:ind w:firstLine="720"/>
        <w:jc w:val="center"/>
      </w:pPr>
    </w:p>
    <w:p w:rsidR="00182994" w:rsidRDefault="00182994">
      <w:pPr>
        <w:tabs>
          <w:tab w:val="left" w:pos="1260"/>
        </w:tabs>
        <w:spacing w:line="480" w:lineRule="auto"/>
        <w:jc w:val="center"/>
      </w:pPr>
      <w:r>
        <w:t xml:space="preserve">DIRECT TESTIMONY OF </w:t>
      </w:r>
    </w:p>
    <w:p w:rsidR="00182994" w:rsidRDefault="002D0C51">
      <w:pPr>
        <w:tabs>
          <w:tab w:val="left" w:pos="1260"/>
        </w:tabs>
        <w:spacing w:line="480" w:lineRule="auto"/>
        <w:jc w:val="center"/>
      </w:pPr>
      <w:r>
        <w:t>WILLIAM G. JOHNSON</w:t>
      </w:r>
    </w:p>
    <w:p w:rsidR="00182994" w:rsidRDefault="00182994">
      <w:pPr>
        <w:tabs>
          <w:tab w:val="left" w:pos="1260"/>
        </w:tabs>
        <w:spacing w:line="480" w:lineRule="auto"/>
        <w:jc w:val="center"/>
      </w:pPr>
      <w:r>
        <w:t>REPRESENTING AVISTA CORPORATION</w:t>
      </w: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D3531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Please state your name, business address, and present position with Avista Corporation.</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My name is William G. Johnson.  My business address is 1411 East Mission Avenue, Spokane</w:t>
      </w:r>
      <w:r w:rsidR="00553EC1">
        <w:rPr>
          <w:rFonts w:ascii="Times New Roman" w:hAnsi="Times New Roman" w:cs="Times New Roman"/>
        </w:rPr>
        <w:t xml:space="preserve">, </w:t>
      </w:r>
      <w:r w:rsidRPr="00BE21E7">
        <w:rPr>
          <w:rFonts w:ascii="Times New Roman" w:hAnsi="Times New Roman" w:cs="Times New Roman"/>
        </w:rPr>
        <w:t>Washington, and I am employed by the Company as a Wholesale Marketing Manager in the Energy Resources Department.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your educational background?</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I graduated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1981 with a Bachelor of Arts Degree in Political Science/Economics.  I obtained a Master of Arts Degree in Economics from the </w:t>
      </w:r>
      <w:smartTag w:uri="urn:schemas-microsoft-com:office:smarttags" w:element="place">
        <w:smartTag w:uri="urn:schemas-microsoft-com:office:smarttags" w:element="PlaceType">
          <w:r w:rsidRPr="00BE21E7">
            <w:rPr>
              <w:rFonts w:ascii="Times New Roman" w:hAnsi="Times New Roman" w:cs="Times New Roman"/>
            </w:rPr>
            <w:t>University</w:t>
          </w:r>
        </w:smartTag>
        <w:r w:rsidRPr="00BE21E7">
          <w:rPr>
            <w:rFonts w:ascii="Times New Roman" w:hAnsi="Times New Roman" w:cs="Times New Roman"/>
          </w:rPr>
          <w:t xml:space="preserve"> of </w:t>
        </w:r>
        <w:smartTag w:uri="urn:schemas-microsoft-com:office:smarttags" w:element="PlaceName">
          <w:r w:rsidRPr="00BE21E7">
            <w:rPr>
              <w:rFonts w:ascii="Times New Roman" w:hAnsi="Times New Roman" w:cs="Times New Roman"/>
            </w:rPr>
            <w:t>Montana</w:t>
          </w:r>
        </w:smartTag>
      </w:smartTag>
      <w:r w:rsidRPr="00BE21E7">
        <w:rPr>
          <w:rFonts w:ascii="Times New Roman" w:hAnsi="Times New Roman" w:cs="Times New Roman"/>
        </w:rPr>
        <w:t xml:space="preserve"> in 1985.</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How long have you been employed by the Company and what are your duties as a Wholesale Marketing Manager?</w:t>
      </w:r>
    </w:p>
    <w:p w:rsidR="00BE21E7" w:rsidRPr="00BE21E7" w:rsidRDefault="00BE21E7"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I started working for Avista in April 1990 as a Demand Side Resource Analyst.  I joined the Energy Resources Department as a Power Contracts Analyst in June 1996.  My primary responsibilities involve power contract origination and management</w:t>
      </w:r>
      <w:r w:rsidR="00C162D3">
        <w:rPr>
          <w:rFonts w:ascii="Times New Roman" w:hAnsi="Times New Roman" w:cs="Times New Roman"/>
        </w:rPr>
        <w:t>,</w:t>
      </w:r>
      <w:r w:rsidRPr="00BE21E7">
        <w:rPr>
          <w:rFonts w:ascii="Times New Roman" w:hAnsi="Times New Roman" w:cs="Times New Roman"/>
        </w:rPr>
        <w:t xml:space="preserve"> and power supply regulatory issues.</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What is the scope of your testimony in this proceeding?</w:t>
      </w:r>
    </w:p>
    <w:p w:rsidR="00BE21E7" w:rsidRPr="00BE21E7" w:rsidRDefault="00BE21E7" w:rsidP="00BE21E7">
      <w:pPr>
        <w:pStyle w:val="TestBody"/>
        <w:tabs>
          <w:tab w:val="left"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testimony will 1) identify and explain the proposed normalizing and pro forma adjustments to the </w:t>
      </w:r>
      <w:r w:rsidR="004A789D">
        <w:rPr>
          <w:rFonts w:ascii="Times New Roman" w:hAnsi="Times New Roman" w:cs="Times New Roman"/>
        </w:rPr>
        <w:t>October</w:t>
      </w:r>
      <w:r w:rsidR="00876525">
        <w:rPr>
          <w:rFonts w:ascii="Times New Roman" w:hAnsi="Times New Roman" w:cs="Times New Roman"/>
        </w:rPr>
        <w:t xml:space="preserve"> 20</w:t>
      </w:r>
      <w:r w:rsidR="00593E33">
        <w:rPr>
          <w:rFonts w:ascii="Times New Roman" w:hAnsi="Times New Roman" w:cs="Times New Roman"/>
        </w:rPr>
        <w:t>1</w:t>
      </w:r>
      <w:r w:rsidR="004A789D">
        <w:rPr>
          <w:rFonts w:ascii="Times New Roman" w:hAnsi="Times New Roman" w:cs="Times New Roman"/>
        </w:rPr>
        <w:t>3</w:t>
      </w:r>
      <w:r w:rsidRPr="00BE21E7">
        <w:rPr>
          <w:rFonts w:ascii="Times New Roman" w:hAnsi="Times New Roman" w:cs="Times New Roman"/>
        </w:rPr>
        <w:t xml:space="preserve"> through </w:t>
      </w:r>
      <w:r w:rsidR="004A789D">
        <w:rPr>
          <w:rFonts w:ascii="Times New Roman" w:hAnsi="Times New Roman" w:cs="Times New Roman"/>
        </w:rPr>
        <w:t>September</w:t>
      </w:r>
      <w:r w:rsidRPr="00BE21E7">
        <w:rPr>
          <w:rFonts w:ascii="Times New Roman" w:hAnsi="Times New Roman" w:cs="Times New Roman"/>
        </w:rPr>
        <w:t xml:space="preserve"> 20</w:t>
      </w:r>
      <w:r w:rsidR="00593E33">
        <w:rPr>
          <w:rFonts w:ascii="Times New Roman" w:hAnsi="Times New Roman" w:cs="Times New Roman"/>
        </w:rPr>
        <w:t>1</w:t>
      </w:r>
      <w:r w:rsidR="004A789D">
        <w:rPr>
          <w:rFonts w:ascii="Times New Roman" w:hAnsi="Times New Roman" w:cs="Times New Roman"/>
        </w:rPr>
        <w:t>4</w:t>
      </w:r>
      <w:r w:rsidRPr="00BE21E7">
        <w:rPr>
          <w:rFonts w:ascii="Times New Roman" w:hAnsi="Times New Roman" w:cs="Times New Roman"/>
        </w:rPr>
        <w:t xml:space="preserve"> test period power s</w:t>
      </w:r>
      <w:r w:rsidR="00F134B6">
        <w:rPr>
          <w:rFonts w:ascii="Times New Roman" w:hAnsi="Times New Roman" w:cs="Times New Roman"/>
        </w:rPr>
        <w:t xml:space="preserve">upply revenues and expenses, 2) </w:t>
      </w:r>
      <w:r w:rsidR="004A789D">
        <w:rPr>
          <w:rFonts w:ascii="Times New Roman" w:hAnsi="Times New Roman" w:cs="Times New Roman"/>
        </w:rPr>
        <w:t xml:space="preserve">describe proposed changes to </w:t>
      </w:r>
      <w:r w:rsidR="0077507E">
        <w:rPr>
          <w:rFonts w:ascii="Times New Roman" w:hAnsi="Times New Roman" w:cs="Times New Roman"/>
        </w:rPr>
        <w:t xml:space="preserve">the </w:t>
      </w:r>
      <w:r w:rsidR="00F134B6">
        <w:rPr>
          <w:rFonts w:ascii="Times New Roman" w:hAnsi="Times New Roman" w:cs="Times New Roman"/>
        </w:rPr>
        <w:t>Energy Recovery Mec</w:t>
      </w:r>
      <w:r w:rsidR="0077507E">
        <w:rPr>
          <w:rFonts w:ascii="Times New Roman" w:hAnsi="Times New Roman" w:cs="Times New Roman"/>
        </w:rPr>
        <w:t xml:space="preserve">hanism (ERM), and </w:t>
      </w:r>
      <w:r w:rsidR="004A789D">
        <w:rPr>
          <w:rFonts w:ascii="Times New Roman" w:hAnsi="Times New Roman" w:cs="Times New Roman"/>
        </w:rPr>
        <w:t>3</w:t>
      </w:r>
      <w:r w:rsidR="0077507E">
        <w:rPr>
          <w:rFonts w:ascii="Times New Roman" w:hAnsi="Times New Roman" w:cs="Times New Roman"/>
        </w:rPr>
        <w:t xml:space="preserve">) </w:t>
      </w:r>
      <w:r w:rsidRPr="00BE21E7">
        <w:rPr>
          <w:rFonts w:ascii="Times New Roman" w:hAnsi="Times New Roman" w:cs="Times New Roman"/>
        </w:rPr>
        <w:t>describe the proposed level of e</w:t>
      </w:r>
      <w:r w:rsidR="001A4335">
        <w:rPr>
          <w:rFonts w:ascii="Times New Roman" w:hAnsi="Times New Roman" w:cs="Times New Roman"/>
        </w:rPr>
        <w:t>xpense and load change adjustment</w:t>
      </w:r>
      <w:r w:rsidR="00890D94">
        <w:rPr>
          <w:rFonts w:ascii="Times New Roman" w:hAnsi="Times New Roman" w:cs="Times New Roman"/>
        </w:rPr>
        <w:t xml:space="preserve"> rate</w:t>
      </w:r>
      <w:r w:rsidR="001A4335">
        <w:rPr>
          <w:rFonts w:ascii="Times New Roman" w:hAnsi="Times New Roman" w:cs="Times New Roman"/>
        </w:rPr>
        <w:t xml:space="preserve"> </w:t>
      </w:r>
      <w:r w:rsidR="001A4335">
        <w:rPr>
          <w:rFonts w:ascii="Times New Roman" w:hAnsi="Times New Roman" w:cs="Times New Roman"/>
        </w:rPr>
        <w:lastRenderedPageBreak/>
        <w:t>(LCAR)</w:t>
      </w:r>
      <w:r w:rsidR="001A4335">
        <w:rPr>
          <w:rStyle w:val="FootnoteReference"/>
          <w:rFonts w:ascii="Times New Roman" w:hAnsi="Times New Roman"/>
        </w:rPr>
        <w:footnoteReference w:id="1"/>
      </w:r>
      <w:r w:rsidRPr="00BE21E7">
        <w:rPr>
          <w:rFonts w:ascii="Times New Roman" w:hAnsi="Times New Roman" w:cs="Times New Roman"/>
        </w:rPr>
        <w:t xml:space="preserve"> for ERM purposes, using the pro forma costs proposed by the </w:t>
      </w:r>
      <w:r w:rsidR="006C0205">
        <w:rPr>
          <w:rFonts w:ascii="Times New Roman" w:hAnsi="Times New Roman" w:cs="Times New Roman"/>
        </w:rPr>
        <w:t>Company in this filing</w:t>
      </w:r>
      <w:r w:rsidR="00890D94">
        <w:rPr>
          <w:rFonts w:ascii="Times New Roman" w:hAnsi="Times New Roman" w:cs="Times New Roman"/>
        </w:rPr>
        <w:t>.</w:t>
      </w:r>
      <w:r w:rsidR="00DC7D94">
        <w:rPr>
          <w:rFonts w:ascii="Times New Roman" w:hAnsi="Times New Roman" w:cs="Times New Roman"/>
        </w:rPr>
        <w:t xml:space="preserve"> </w:t>
      </w:r>
    </w:p>
    <w:p w:rsidR="00BE21E7" w:rsidRPr="00A774E3"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BE21E7" w:rsidRPr="00A774E3" w:rsidRDefault="00BE21E7"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 am sponsoring Exhibit No</w:t>
      </w:r>
      <w:r w:rsidR="00B10EED" w:rsidRPr="00A774E3">
        <w:rPr>
          <w:rFonts w:ascii="Times New Roman" w:hAnsi="Times New Roman" w:cs="Times New Roman"/>
        </w:rPr>
        <w:t>s</w:t>
      </w:r>
      <w:r w:rsidRPr="00A774E3">
        <w:rPr>
          <w:rFonts w:ascii="Times New Roman" w:hAnsi="Times New Roman" w:cs="Times New Roman"/>
        </w:rPr>
        <w:t>.</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 xml:space="preserve">WGJ-2) through </w:t>
      </w:r>
      <w:r w:rsidR="00B10EED" w:rsidRPr="00A774E3">
        <w:rPr>
          <w:rFonts w:ascii="Times New Roman" w:hAnsi="Times New Roman" w:cs="Times New Roman"/>
        </w:rPr>
        <w:t>__</w:t>
      </w:r>
      <w:r w:rsidR="0012703B" w:rsidRPr="00A774E3">
        <w:rPr>
          <w:rFonts w:ascii="Times New Roman" w:hAnsi="Times New Roman" w:cs="Times New Roman"/>
        </w:rPr>
        <w:t>_ (</w:t>
      </w:r>
      <w:r w:rsidRPr="00A774E3">
        <w:rPr>
          <w:rFonts w:ascii="Times New Roman" w:hAnsi="Times New Roman" w:cs="Times New Roman"/>
        </w:rPr>
        <w:t>WGJ-</w:t>
      </w:r>
      <w:r w:rsidR="005C7A39">
        <w:rPr>
          <w:rFonts w:ascii="Times New Roman" w:hAnsi="Times New Roman" w:cs="Times New Roman"/>
        </w:rPr>
        <w:t>5</w:t>
      </w:r>
      <w:r w:rsidRPr="00A774E3">
        <w:rPr>
          <w:rFonts w:ascii="Times New Roman" w:hAnsi="Times New Roman" w:cs="Times New Roman"/>
        </w:rPr>
        <w:t>), which were prepared under my supervision and direction.</w:t>
      </w:r>
      <w:r w:rsidR="00DC7D94" w:rsidRPr="00A774E3">
        <w:rPr>
          <w:rFonts w:ascii="Times New Roman" w:hAnsi="Times New Roman" w:cs="Times New Roman"/>
        </w:rPr>
        <w:t xml:space="preserve">  </w:t>
      </w:r>
      <w:r w:rsidR="00751E45" w:rsidRPr="00A774E3">
        <w:rPr>
          <w:rFonts w:ascii="Times New Roman" w:hAnsi="Times New Roman" w:cs="Times New Roman"/>
        </w:rPr>
        <w:t>Exhibit No. __</w:t>
      </w:r>
      <w:r w:rsidR="0012703B" w:rsidRPr="00A774E3">
        <w:rPr>
          <w:rFonts w:ascii="Times New Roman" w:hAnsi="Times New Roman" w:cs="Times New Roman"/>
        </w:rPr>
        <w:t>_ (</w:t>
      </w:r>
      <w:r w:rsidR="00751E45" w:rsidRPr="00A774E3">
        <w:rPr>
          <w:rFonts w:ascii="Times New Roman" w:hAnsi="Times New Roman" w:cs="Times New Roman"/>
        </w:rPr>
        <w:t xml:space="preserve">WGJ-2) identifies the power supply expense and revenue items that fall within the scope of my testimony. </w:t>
      </w:r>
      <w:r w:rsidR="006E0068">
        <w:rPr>
          <w:rFonts w:ascii="Times New Roman" w:hAnsi="Times New Roman" w:cs="Times New Roman"/>
        </w:rPr>
        <w:t xml:space="preserve"> </w:t>
      </w:r>
      <w:r w:rsidR="00751E45" w:rsidRPr="00A774E3">
        <w:rPr>
          <w:rFonts w:ascii="Times New Roman" w:hAnsi="Times New Roman" w:cs="Times New Roman"/>
        </w:rPr>
        <w:t>A brief description of each adjustment is provided in Exhibit No.</w:t>
      </w:r>
      <w:r w:rsidR="005F4F7A" w:rsidRPr="00A774E3">
        <w:rPr>
          <w:rFonts w:ascii="Times New Roman" w:hAnsi="Times New Roman" w:cs="Times New Roman"/>
        </w:rPr>
        <w:t xml:space="preserve"> </w:t>
      </w:r>
      <w:proofErr w:type="gramStart"/>
      <w:r w:rsidR="005F4F7A" w:rsidRPr="00A774E3">
        <w:rPr>
          <w:rFonts w:ascii="Times New Roman" w:hAnsi="Times New Roman" w:cs="Times New Roman"/>
        </w:rPr>
        <w:t>__</w:t>
      </w:r>
      <w:r w:rsidR="0012703B" w:rsidRPr="00A774E3">
        <w:rPr>
          <w:rFonts w:ascii="Times New Roman" w:hAnsi="Times New Roman" w:cs="Times New Roman"/>
        </w:rPr>
        <w:t>_ (</w:t>
      </w:r>
      <w:r w:rsidR="00751E45" w:rsidRPr="00A774E3">
        <w:rPr>
          <w:rFonts w:ascii="Times New Roman" w:hAnsi="Times New Roman" w:cs="Times New Roman"/>
        </w:rPr>
        <w:t>WGJ-</w:t>
      </w:r>
      <w:r w:rsidR="00F22C09" w:rsidRPr="00A774E3">
        <w:rPr>
          <w:rFonts w:ascii="Times New Roman" w:hAnsi="Times New Roman" w:cs="Times New Roman"/>
        </w:rPr>
        <w:t>3</w:t>
      </w:r>
      <w:r w:rsidR="00751E45" w:rsidRPr="00A774E3">
        <w:rPr>
          <w:rFonts w:ascii="Times New Roman" w:hAnsi="Times New Roman" w:cs="Times New Roman"/>
        </w:rPr>
        <w:t>).</w:t>
      </w:r>
      <w:proofErr w:type="gramEnd"/>
      <w:r w:rsidR="00751E45" w:rsidRPr="00A774E3">
        <w:rPr>
          <w:rFonts w:ascii="Times New Roman" w:hAnsi="Times New Roman" w:cs="Times New Roman"/>
        </w:rPr>
        <w:t xml:space="preserve">  </w:t>
      </w:r>
      <w:r w:rsidR="00F22C09" w:rsidRPr="00A774E3">
        <w:rPr>
          <w:rFonts w:ascii="Times New Roman" w:hAnsi="Times New Roman" w:cs="Times New Roman"/>
        </w:rPr>
        <w:t>Exhibit No. __</w:t>
      </w:r>
      <w:r w:rsidR="0012703B" w:rsidRPr="00A774E3">
        <w:rPr>
          <w:rFonts w:ascii="Times New Roman" w:hAnsi="Times New Roman" w:cs="Times New Roman"/>
        </w:rPr>
        <w:t>_ (</w:t>
      </w:r>
      <w:r w:rsidR="00F22C09" w:rsidRPr="00A774E3">
        <w:rPr>
          <w:rFonts w:ascii="Times New Roman" w:hAnsi="Times New Roman" w:cs="Times New Roman"/>
        </w:rPr>
        <w:t xml:space="preserve">WGJ-4) shows the pro forma fuel costs </w:t>
      </w:r>
      <w:r w:rsidR="00C162D3">
        <w:rPr>
          <w:rFonts w:ascii="Times New Roman" w:hAnsi="Times New Roman" w:cs="Times New Roman"/>
        </w:rPr>
        <w:t xml:space="preserve">for each thermal plant </w:t>
      </w:r>
      <w:r w:rsidR="005F4F7A" w:rsidRPr="00A774E3">
        <w:rPr>
          <w:rFonts w:ascii="Times New Roman" w:hAnsi="Times New Roman" w:cs="Times New Roman"/>
        </w:rPr>
        <w:t xml:space="preserve">and short-term purchase and sales </w:t>
      </w:r>
      <w:r w:rsidR="00C162D3">
        <w:rPr>
          <w:rFonts w:ascii="Times New Roman" w:hAnsi="Times New Roman" w:cs="Times New Roman"/>
        </w:rPr>
        <w:t>by month</w:t>
      </w:r>
      <w:r w:rsidR="005C7A39">
        <w:rPr>
          <w:rFonts w:ascii="Times New Roman" w:hAnsi="Times New Roman" w:cs="Times New Roman"/>
        </w:rPr>
        <w:t xml:space="preserve">.  </w:t>
      </w:r>
      <w:r w:rsidR="00F22C09" w:rsidRPr="00A774E3">
        <w:rPr>
          <w:rFonts w:ascii="Times New Roman" w:hAnsi="Times New Roman" w:cs="Times New Roman"/>
          <w:bCs/>
        </w:rPr>
        <w:t xml:space="preserve">The proposed authorized ERM power supply expense and revenue, transmission expense and revenue, </w:t>
      </w:r>
      <w:r w:rsidR="007A04C5">
        <w:rPr>
          <w:rFonts w:ascii="Times New Roman" w:hAnsi="Times New Roman" w:cs="Times New Roman"/>
          <w:bCs/>
        </w:rPr>
        <w:t xml:space="preserve">broker fees, </w:t>
      </w:r>
      <w:r w:rsidR="00553EC1">
        <w:rPr>
          <w:rFonts w:ascii="Times New Roman" w:hAnsi="Times New Roman" w:cs="Times New Roman"/>
          <w:bCs/>
        </w:rPr>
        <w:t xml:space="preserve">Colstrip and Coyote Spring 2 O&amp;M expense, </w:t>
      </w:r>
      <w:r w:rsidR="00F22C09" w:rsidRPr="00A774E3">
        <w:rPr>
          <w:rFonts w:ascii="Times New Roman" w:hAnsi="Times New Roman" w:cs="Times New Roman"/>
          <w:bCs/>
        </w:rPr>
        <w:t xml:space="preserve">and </w:t>
      </w:r>
      <w:r w:rsidR="0012703B" w:rsidRPr="00A774E3">
        <w:rPr>
          <w:rFonts w:ascii="Times New Roman" w:hAnsi="Times New Roman" w:cs="Times New Roman"/>
          <w:bCs/>
        </w:rPr>
        <w:t>retail sales are</w:t>
      </w:r>
      <w:r w:rsidR="00F22C09" w:rsidRPr="00A774E3">
        <w:rPr>
          <w:rFonts w:ascii="Times New Roman" w:hAnsi="Times New Roman" w:cs="Times New Roman"/>
          <w:bCs/>
        </w:rPr>
        <w:t xml:space="preserve"> shown in Exhibit No._</w:t>
      </w:r>
      <w:r w:rsidR="0012703B" w:rsidRPr="00A774E3">
        <w:rPr>
          <w:rFonts w:ascii="Times New Roman" w:hAnsi="Times New Roman" w:cs="Times New Roman"/>
          <w:bCs/>
        </w:rPr>
        <w:t>_ (</w:t>
      </w:r>
      <w:r w:rsidR="00F22C09" w:rsidRPr="00A774E3">
        <w:rPr>
          <w:rFonts w:ascii="Times New Roman" w:hAnsi="Times New Roman" w:cs="Times New Roman"/>
          <w:bCs/>
        </w:rPr>
        <w:t>WGJ-</w:t>
      </w:r>
      <w:r w:rsidR="005C7A39">
        <w:rPr>
          <w:rFonts w:ascii="Times New Roman" w:hAnsi="Times New Roman" w:cs="Times New Roman"/>
          <w:bCs/>
        </w:rPr>
        <w:t>5</w:t>
      </w:r>
      <w:r w:rsidR="00F22C09" w:rsidRPr="00A774E3">
        <w:rPr>
          <w:rFonts w:ascii="Times New Roman" w:hAnsi="Times New Roman" w:cs="Times New Roman"/>
          <w:bCs/>
        </w:rPr>
        <w:t>).</w:t>
      </w:r>
    </w:p>
    <w:p w:rsidR="00BE21E7" w:rsidRPr="00BE21E7" w:rsidRDefault="00A55DD3"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Are </w:t>
      </w:r>
      <w:r w:rsidR="00876525">
        <w:rPr>
          <w:rFonts w:ascii="Times New Roman" w:hAnsi="Times New Roman" w:cs="Times New Roman"/>
          <w:b/>
          <w:bCs/>
        </w:rPr>
        <w:t xml:space="preserve">there </w:t>
      </w:r>
      <w:proofErr w:type="gramStart"/>
      <w:r>
        <w:rPr>
          <w:rFonts w:ascii="Times New Roman" w:hAnsi="Times New Roman" w:cs="Times New Roman"/>
          <w:b/>
          <w:bCs/>
        </w:rPr>
        <w:t>other</w:t>
      </w:r>
      <w:proofErr w:type="gramEnd"/>
      <w:r>
        <w:rPr>
          <w:rFonts w:ascii="Times New Roman" w:hAnsi="Times New Roman" w:cs="Times New Roman"/>
          <w:b/>
          <w:bCs/>
        </w:rPr>
        <w:t xml:space="preserve"> C</w:t>
      </w:r>
      <w:r w:rsidR="00BE21E7" w:rsidRPr="00BE21E7">
        <w:rPr>
          <w:rFonts w:ascii="Times New Roman" w:hAnsi="Times New Roman" w:cs="Times New Roman"/>
          <w:b/>
          <w:bCs/>
        </w:rPr>
        <w:t>ompany witnesses providing testimony regarding issues you are addressing?</w:t>
      </w:r>
    </w:p>
    <w:p w:rsidR="00CC1C97" w:rsidRDefault="00BE21E7" w:rsidP="00F55612">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Yes.  Company witness Mr. </w:t>
      </w:r>
      <w:proofErr w:type="spellStart"/>
      <w:r w:rsidRPr="00BE21E7">
        <w:rPr>
          <w:rFonts w:ascii="Times New Roman" w:hAnsi="Times New Roman" w:cs="Times New Roman"/>
        </w:rPr>
        <w:t>Kalich</w:t>
      </w:r>
      <w:proofErr w:type="spellEnd"/>
      <w:r w:rsidRPr="00BE21E7">
        <w:rPr>
          <w:rFonts w:ascii="Times New Roman" w:hAnsi="Times New Roman" w:cs="Times New Roman"/>
        </w:rPr>
        <w:t xml:space="preserve"> provides detailed testimony on the AURORA model used by the Company to develop short-term power purchase expense, fuel expense and short-term power sales re</w:t>
      </w:r>
      <w:r w:rsidR="00C162D3">
        <w:rPr>
          <w:rFonts w:ascii="Times New Roman" w:hAnsi="Times New Roman" w:cs="Times New Roman"/>
        </w:rPr>
        <w:t>venue included in my exhibits</w:t>
      </w:r>
    </w:p>
    <w:p w:rsidR="006E0068" w:rsidRPr="00BE21E7" w:rsidRDefault="006E0068" w:rsidP="00F55612">
      <w:pPr>
        <w:pStyle w:val="TestBody"/>
        <w:spacing w:line="480" w:lineRule="auto"/>
        <w:ind w:left="0" w:firstLine="720"/>
        <w:rPr>
          <w:rFonts w:ascii="Times New Roman" w:hAnsi="Times New Roman" w:cs="Times New Roman"/>
        </w:rPr>
      </w:pPr>
    </w:p>
    <w:p w:rsidR="00BE21E7" w:rsidRPr="00BE21E7" w:rsidRDefault="00BE21E7"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t>II.</w:t>
      </w:r>
      <w:r w:rsidRPr="00BE21E7">
        <w:rPr>
          <w:rFonts w:ascii="Times New Roman" w:hAnsi="Times New Roman" w:cs="Times New Roman"/>
          <w:b/>
          <w:bCs/>
          <w:u w:val="single"/>
        </w:rPr>
        <w:tab/>
      </w:r>
      <w:r w:rsidRPr="00BE21E7">
        <w:rPr>
          <w:rFonts w:ascii="Times New Roman" w:hAnsi="Times New Roman" w:cs="Times New Roman"/>
          <w:b/>
          <w:bCs/>
          <w:caps/>
          <w:u w:val="single"/>
        </w:rPr>
        <w:t xml:space="preserve">Overview of Pro Forma </w:t>
      </w:r>
      <w:r w:rsidR="00431EB0">
        <w:rPr>
          <w:rFonts w:ascii="Times New Roman" w:hAnsi="Times New Roman" w:cs="Times New Roman"/>
          <w:b/>
          <w:bCs/>
          <w:caps/>
          <w:u w:val="single"/>
        </w:rPr>
        <w:t>POWER SUPPLY</w:t>
      </w:r>
      <w:r w:rsidRPr="00BE21E7">
        <w:rPr>
          <w:rFonts w:ascii="Times New Roman" w:hAnsi="Times New Roman" w:cs="Times New Roman"/>
          <w:b/>
          <w:bCs/>
          <w:caps/>
          <w:u w:val="single"/>
        </w:rPr>
        <w:t xml:space="preserve"> Adjustment</w:t>
      </w:r>
    </w:p>
    <w:p w:rsidR="00BE21E7" w:rsidRPr="00BE21E7" w:rsidRDefault="00BE21E7" w:rsidP="00BE21E7">
      <w:pPr>
        <w:pStyle w:val="TestBody"/>
        <w:numPr>
          <w:ilvl w:val="0"/>
          <w:numId w:val="2"/>
        </w:numPr>
        <w:tabs>
          <w:tab w:val="clear" w:pos="108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Please provide an overview of the pro forma </w:t>
      </w:r>
      <w:r w:rsidR="00431EB0">
        <w:rPr>
          <w:rFonts w:ascii="Times New Roman" w:hAnsi="Times New Roman" w:cs="Times New Roman"/>
          <w:b/>
          <w:bCs/>
        </w:rPr>
        <w:t>power supply</w:t>
      </w:r>
      <w:r w:rsidRPr="00BE21E7">
        <w:rPr>
          <w:rFonts w:ascii="Times New Roman" w:hAnsi="Times New Roman" w:cs="Times New Roman"/>
          <w:b/>
          <w:bCs/>
        </w:rPr>
        <w:t xml:space="preserve"> adjustment.</w:t>
      </w:r>
    </w:p>
    <w:p w:rsidR="00BE21E7" w:rsidRDefault="00BE21E7" w:rsidP="00BE21E7">
      <w:pPr>
        <w:pStyle w:val="TestBody"/>
        <w:numPr>
          <w:ilvl w:val="0"/>
          <w:numId w:val="3"/>
        </w:numPr>
        <w:tabs>
          <w:tab w:val="clear" w:pos="2160"/>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The pro forma </w:t>
      </w:r>
      <w:r w:rsidR="00431EB0" w:rsidRPr="00BE21E7">
        <w:rPr>
          <w:rFonts w:ascii="Times New Roman" w:hAnsi="Times New Roman" w:cs="Times New Roman"/>
        </w:rPr>
        <w:t xml:space="preserve">power supply </w:t>
      </w:r>
      <w:r w:rsidRPr="00BE21E7">
        <w:rPr>
          <w:rFonts w:ascii="Times New Roman" w:hAnsi="Times New Roman" w:cs="Times New Roman"/>
        </w:rPr>
        <w:t xml:space="preserve">adjustment involves the determination of revenues and expenses based on the generation and dispatch of Company resources and expected wholesale market power prices as determined by the AURORA model simulation </w:t>
      </w:r>
      <w:r w:rsidRPr="00BE21E7">
        <w:rPr>
          <w:rFonts w:ascii="Times New Roman" w:hAnsi="Times New Roman" w:cs="Times New Roman"/>
        </w:rPr>
        <w:lastRenderedPageBreak/>
        <w:t xml:space="preserve">for the pro forma </w:t>
      </w:r>
      <w:r w:rsidR="00E33341">
        <w:rPr>
          <w:rFonts w:ascii="Times New Roman" w:hAnsi="Times New Roman" w:cs="Times New Roman"/>
        </w:rPr>
        <w:t xml:space="preserve">rate </w:t>
      </w:r>
      <w:r w:rsidRPr="00BE21E7">
        <w:rPr>
          <w:rFonts w:ascii="Times New Roman" w:hAnsi="Times New Roman" w:cs="Times New Roman"/>
        </w:rPr>
        <w:t xml:space="preserve">period </w:t>
      </w:r>
      <w:r w:rsidR="00E33341">
        <w:rPr>
          <w:rFonts w:ascii="Times New Roman" w:hAnsi="Times New Roman" w:cs="Times New Roman"/>
        </w:rPr>
        <w:t xml:space="preserve">(calendar year 2016) </w:t>
      </w:r>
      <w:r w:rsidRPr="00BE21E7">
        <w:rPr>
          <w:rFonts w:ascii="Times New Roman" w:hAnsi="Times New Roman" w:cs="Times New Roman"/>
        </w:rPr>
        <w:t xml:space="preserve">under normal weather and hydro generation conditions.  In addition, adjustments are made to reflect contract changes between </w:t>
      </w:r>
      <w:r w:rsidR="00431EB0">
        <w:rPr>
          <w:rFonts w:ascii="Times New Roman" w:hAnsi="Times New Roman" w:cs="Times New Roman"/>
        </w:rPr>
        <w:t xml:space="preserve">the </w:t>
      </w:r>
      <w:r w:rsidR="00C162D3">
        <w:rPr>
          <w:rFonts w:ascii="Times New Roman" w:hAnsi="Times New Roman" w:cs="Times New Roman"/>
        </w:rPr>
        <w:t xml:space="preserve">historical </w:t>
      </w:r>
      <w:r w:rsidRPr="00BE21E7">
        <w:rPr>
          <w:rFonts w:ascii="Times New Roman" w:hAnsi="Times New Roman" w:cs="Times New Roman"/>
        </w:rPr>
        <w:t xml:space="preserve">test period and the pro forma period.  </w:t>
      </w:r>
      <w:r w:rsidR="00890D94">
        <w:rPr>
          <w:rFonts w:ascii="Times New Roman" w:hAnsi="Times New Roman" w:cs="Times New Roman"/>
        </w:rPr>
        <w:t>Table No. 1</w:t>
      </w:r>
      <w:r w:rsidRPr="00BE21E7">
        <w:rPr>
          <w:rFonts w:ascii="Times New Roman" w:hAnsi="Times New Roman" w:cs="Times New Roman"/>
        </w:rPr>
        <w:t xml:space="preserve"> below shows total net power supply expense during the test period and the pro forma period.  For information purposes only, the power supply expense</w:t>
      </w:r>
      <w:r w:rsidR="00431EB0">
        <w:rPr>
          <w:rStyle w:val="FootnoteReference"/>
          <w:rFonts w:ascii="Times New Roman" w:hAnsi="Times New Roman"/>
        </w:rPr>
        <w:footnoteReference w:id="2"/>
      </w:r>
      <w:r w:rsidR="004F758B">
        <w:rPr>
          <w:rFonts w:ascii="Times New Roman" w:hAnsi="Times New Roman" w:cs="Times New Roman"/>
        </w:rPr>
        <w:t xml:space="preserve"> </w:t>
      </w:r>
      <w:r w:rsidRPr="00BE21E7">
        <w:rPr>
          <w:rFonts w:ascii="Times New Roman" w:hAnsi="Times New Roman" w:cs="Times New Roman"/>
        </w:rPr>
        <w:t xml:space="preserve">currently in </w:t>
      </w:r>
      <w:r w:rsidR="00C026FD">
        <w:rPr>
          <w:rFonts w:ascii="Times New Roman" w:hAnsi="Times New Roman" w:cs="Times New Roman"/>
        </w:rPr>
        <w:t xml:space="preserve">base retail </w:t>
      </w:r>
      <w:r w:rsidR="00166263">
        <w:rPr>
          <w:rFonts w:ascii="Times New Roman" w:hAnsi="Times New Roman" w:cs="Times New Roman"/>
        </w:rPr>
        <w:t>rates, which</w:t>
      </w:r>
      <w:r w:rsidR="00166263" w:rsidRPr="00BE21E7">
        <w:rPr>
          <w:rFonts w:ascii="Times New Roman" w:hAnsi="Times New Roman" w:cs="Times New Roman"/>
        </w:rPr>
        <w:t xml:space="preserve"> are</w:t>
      </w:r>
      <w:r w:rsidRPr="00BE21E7">
        <w:rPr>
          <w:rFonts w:ascii="Times New Roman" w:hAnsi="Times New Roman" w:cs="Times New Roman"/>
        </w:rPr>
        <w:t xml:space="preserve"> based on a calendar </w:t>
      </w:r>
      <w:r w:rsidR="00615B6C" w:rsidRPr="00BE21E7">
        <w:rPr>
          <w:rFonts w:ascii="Times New Roman" w:hAnsi="Times New Roman" w:cs="Times New Roman"/>
        </w:rPr>
        <w:t>20</w:t>
      </w:r>
      <w:r w:rsidR="00615B6C">
        <w:rPr>
          <w:rFonts w:ascii="Times New Roman" w:hAnsi="Times New Roman" w:cs="Times New Roman"/>
        </w:rPr>
        <w:t>15</w:t>
      </w:r>
      <w:r w:rsidR="00615B6C" w:rsidRPr="00BE21E7">
        <w:rPr>
          <w:rFonts w:ascii="Times New Roman" w:hAnsi="Times New Roman" w:cs="Times New Roman"/>
        </w:rPr>
        <w:t xml:space="preserve"> </w:t>
      </w:r>
      <w:r w:rsidRPr="00BE21E7">
        <w:rPr>
          <w:rFonts w:ascii="Times New Roman" w:hAnsi="Times New Roman" w:cs="Times New Roman"/>
        </w:rPr>
        <w:t>pro forma period, is also shown.</w:t>
      </w:r>
    </w:p>
    <w:p w:rsidR="00890D94" w:rsidRPr="00890D94" w:rsidRDefault="00890D94" w:rsidP="00890D94">
      <w:pPr>
        <w:pStyle w:val="TestBody"/>
        <w:spacing w:line="480" w:lineRule="auto"/>
        <w:ind w:left="0" w:firstLine="0"/>
        <w:rPr>
          <w:rFonts w:ascii="Times New Roman" w:hAnsi="Times New Roman" w:cs="Times New Roman"/>
          <w:b/>
          <w:u w:val="single"/>
        </w:rPr>
      </w:pPr>
      <w:r w:rsidRPr="00890D94">
        <w:rPr>
          <w:rFonts w:ascii="Times New Roman" w:hAnsi="Times New Roman" w:cs="Times New Roman"/>
          <w:b/>
          <w:u w:val="single"/>
        </w:rPr>
        <w:t>Table No. 1:</w:t>
      </w:r>
    </w:p>
    <w:p w:rsidR="00DB1DF5" w:rsidRDefault="00E33341" w:rsidP="00DB1DF5">
      <w:pPr>
        <w:pStyle w:val="TestBody"/>
        <w:spacing w:line="480" w:lineRule="auto"/>
        <w:ind w:left="0" w:firstLine="0"/>
        <w:rPr>
          <w:rFonts w:ascii="Times New Roman" w:hAnsi="Times New Roman" w:cs="Times New Roman"/>
        </w:rPr>
      </w:pPr>
      <w:r w:rsidRPr="00E33341">
        <w:rPr>
          <w:noProof/>
        </w:rPr>
        <w:drawing>
          <wp:inline distT="0" distB="0" distL="0" distR="0">
            <wp:extent cx="5669280" cy="2951873"/>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69280" cy="2951873"/>
                    </a:xfrm>
                    <a:prstGeom prst="rect">
                      <a:avLst/>
                    </a:prstGeom>
                    <a:noFill/>
                    <a:ln w="9525">
                      <a:noFill/>
                      <a:miter lim="800000"/>
                      <a:headEnd/>
                      <a:tailEnd/>
                    </a:ln>
                  </pic:spPr>
                </pic:pic>
              </a:graphicData>
            </a:graphic>
          </wp:inline>
        </w:drawing>
      </w:r>
    </w:p>
    <w:p w:rsidR="008D07D9" w:rsidRDefault="00BE21E7" w:rsidP="001A4335">
      <w:pPr>
        <w:pStyle w:val="TestBody"/>
        <w:spacing w:line="480" w:lineRule="auto"/>
        <w:ind w:left="0" w:firstLine="720"/>
        <w:rPr>
          <w:rFonts w:ascii="Times New Roman" w:hAnsi="Times New Roman" w:cs="Times New Roman"/>
        </w:rPr>
      </w:pPr>
      <w:r w:rsidRPr="00BE21E7">
        <w:rPr>
          <w:rFonts w:ascii="Times New Roman" w:hAnsi="Times New Roman" w:cs="Times New Roman"/>
        </w:rPr>
        <w:t xml:space="preserve">The net effect of my adjustments to the test year power supply expense is </w:t>
      </w:r>
      <w:r w:rsidR="00DB55EE">
        <w:rPr>
          <w:rFonts w:ascii="Times New Roman" w:hAnsi="Times New Roman" w:cs="Times New Roman"/>
        </w:rPr>
        <w:t>a</w:t>
      </w:r>
      <w:r w:rsidR="00D63340">
        <w:rPr>
          <w:rFonts w:ascii="Times New Roman" w:hAnsi="Times New Roman" w:cs="Times New Roman"/>
        </w:rPr>
        <w:t>n</w:t>
      </w:r>
      <w:r w:rsidR="00DB55EE">
        <w:rPr>
          <w:rFonts w:ascii="Times New Roman" w:hAnsi="Times New Roman" w:cs="Times New Roman"/>
        </w:rPr>
        <w:t xml:space="preserve"> </w:t>
      </w:r>
      <w:r w:rsidR="00D63340">
        <w:rPr>
          <w:rFonts w:ascii="Times New Roman" w:hAnsi="Times New Roman" w:cs="Times New Roman"/>
        </w:rPr>
        <w:t>in</w:t>
      </w:r>
      <w:r w:rsidR="00DB55EE">
        <w:rPr>
          <w:rFonts w:ascii="Times New Roman" w:hAnsi="Times New Roman" w:cs="Times New Roman"/>
        </w:rPr>
        <w:t>crease</w:t>
      </w:r>
      <w:r w:rsidRPr="00BE21E7">
        <w:rPr>
          <w:rFonts w:ascii="Times New Roman" w:hAnsi="Times New Roman" w:cs="Times New Roman"/>
        </w:rPr>
        <w:t xml:space="preserve"> of </w:t>
      </w:r>
      <w:r w:rsidRPr="0072665A">
        <w:rPr>
          <w:rFonts w:ascii="Times New Roman" w:hAnsi="Times New Roman" w:cs="Times New Roman"/>
        </w:rPr>
        <w:t>$</w:t>
      </w:r>
      <w:r w:rsidR="00291602">
        <w:rPr>
          <w:rFonts w:ascii="Times New Roman" w:hAnsi="Times New Roman" w:cs="Times New Roman"/>
        </w:rPr>
        <w:t>6,923</w:t>
      </w:r>
      <w:r w:rsidR="0072665A" w:rsidRPr="0072665A">
        <w:rPr>
          <w:rFonts w:ascii="Times New Roman" w:hAnsi="Times New Roman" w:cs="Times New Roman"/>
        </w:rPr>
        <w:t>,00</w:t>
      </w:r>
      <w:r w:rsidR="00291602">
        <w:rPr>
          <w:rFonts w:ascii="Times New Roman" w:hAnsi="Times New Roman" w:cs="Times New Roman"/>
        </w:rPr>
        <w:t>0 ($214,108</w:t>
      </w:r>
      <w:r w:rsidR="00DB55EE">
        <w:rPr>
          <w:rFonts w:ascii="Times New Roman" w:hAnsi="Times New Roman" w:cs="Times New Roman"/>
        </w:rPr>
        <w:t>,000</w:t>
      </w:r>
      <w:r w:rsidRPr="0072665A">
        <w:rPr>
          <w:rFonts w:ascii="Times New Roman" w:hAnsi="Times New Roman" w:cs="Times New Roman"/>
        </w:rPr>
        <w:t xml:space="preserve"> - $</w:t>
      </w:r>
      <w:r w:rsidR="00291602">
        <w:rPr>
          <w:rFonts w:ascii="Times New Roman" w:hAnsi="Times New Roman" w:cs="Times New Roman"/>
        </w:rPr>
        <w:t>207,185</w:t>
      </w:r>
      <w:r w:rsidRPr="0072665A">
        <w:rPr>
          <w:rFonts w:ascii="Times New Roman" w:hAnsi="Times New Roman" w:cs="Times New Roman"/>
        </w:rPr>
        <w:t>,000)</w:t>
      </w:r>
      <w:r w:rsidR="00407CC1">
        <w:rPr>
          <w:rFonts w:ascii="Times New Roman" w:hAnsi="Times New Roman" w:cs="Times New Roman"/>
        </w:rPr>
        <w:t xml:space="preserve"> on a system basis</w:t>
      </w:r>
      <w:r w:rsidR="00291602">
        <w:rPr>
          <w:rFonts w:ascii="Times New Roman" w:hAnsi="Times New Roman" w:cs="Times New Roman"/>
        </w:rPr>
        <w:t xml:space="preserve"> and $4</w:t>
      </w:r>
      <w:r w:rsidR="00C55E1F">
        <w:rPr>
          <w:rFonts w:ascii="Times New Roman" w:hAnsi="Times New Roman" w:cs="Times New Roman"/>
        </w:rPr>
        <w:t>,</w:t>
      </w:r>
      <w:r w:rsidR="00291602">
        <w:rPr>
          <w:rFonts w:ascii="Times New Roman" w:hAnsi="Times New Roman" w:cs="Times New Roman"/>
        </w:rPr>
        <w:t>513</w:t>
      </w:r>
      <w:r w:rsidR="00C55E1F">
        <w:rPr>
          <w:rFonts w:ascii="Times New Roman" w:hAnsi="Times New Roman" w:cs="Times New Roman"/>
        </w:rPr>
        <w:t>,</w:t>
      </w:r>
      <w:r w:rsidR="00291602">
        <w:rPr>
          <w:rFonts w:ascii="Times New Roman" w:hAnsi="Times New Roman" w:cs="Times New Roman"/>
        </w:rPr>
        <w:t>104</w:t>
      </w:r>
      <w:r w:rsidR="00C55E1F">
        <w:rPr>
          <w:rFonts w:ascii="Times New Roman" w:hAnsi="Times New Roman" w:cs="Times New Roman"/>
        </w:rPr>
        <w:t xml:space="preserve"> Washington allocation</w:t>
      </w:r>
      <w:r w:rsidRPr="00BE21E7">
        <w:rPr>
          <w:rFonts w:ascii="Times New Roman" w:hAnsi="Times New Roman" w:cs="Times New Roman"/>
        </w:rPr>
        <w:t>.</w:t>
      </w:r>
      <w:r w:rsidR="006E0068">
        <w:rPr>
          <w:rFonts w:ascii="Times New Roman" w:hAnsi="Times New Roman" w:cs="Times New Roman"/>
        </w:rPr>
        <w:t xml:space="preserve"> </w:t>
      </w:r>
      <w:r w:rsidRPr="00BE21E7">
        <w:rPr>
          <w:rFonts w:ascii="Times New Roman" w:hAnsi="Times New Roman" w:cs="Times New Roman"/>
        </w:rPr>
        <w:t xml:space="preserve"> </w:t>
      </w:r>
      <w:r w:rsidR="00291602">
        <w:rPr>
          <w:rFonts w:ascii="Times New Roman" w:hAnsi="Times New Roman" w:cs="Times New Roman"/>
        </w:rPr>
        <w:t>As I explain later in my testimony the Company is proposing to include operations and maintenance (O&amp;M</w:t>
      </w:r>
      <w:r w:rsidR="008D07D9">
        <w:rPr>
          <w:rFonts w:ascii="Times New Roman" w:hAnsi="Times New Roman" w:cs="Times New Roman"/>
        </w:rPr>
        <w:t>)</w:t>
      </w:r>
      <w:r w:rsidR="00291602">
        <w:rPr>
          <w:rFonts w:ascii="Times New Roman" w:hAnsi="Times New Roman" w:cs="Times New Roman"/>
        </w:rPr>
        <w:t xml:space="preserve"> expense at </w:t>
      </w:r>
      <w:r w:rsidR="008D07D9">
        <w:rPr>
          <w:rFonts w:ascii="Times New Roman" w:hAnsi="Times New Roman" w:cs="Times New Roman"/>
        </w:rPr>
        <w:t>Colstrip and Coyote Springs 2 as part of base</w:t>
      </w:r>
      <w:r w:rsidR="00291602">
        <w:rPr>
          <w:rFonts w:ascii="Times New Roman" w:hAnsi="Times New Roman" w:cs="Times New Roman"/>
        </w:rPr>
        <w:t xml:space="preserve"> power supply expense</w:t>
      </w:r>
      <w:r w:rsidR="008D07D9">
        <w:rPr>
          <w:rFonts w:ascii="Times New Roman" w:hAnsi="Times New Roman" w:cs="Times New Roman"/>
        </w:rPr>
        <w:t xml:space="preserve"> used for the Energy Recovery Mechanism (ERM).</w:t>
      </w:r>
      <w:r w:rsidR="002A24F7">
        <w:rPr>
          <w:rFonts w:ascii="Times New Roman" w:hAnsi="Times New Roman" w:cs="Times New Roman"/>
        </w:rPr>
        <w:t xml:space="preserve">  The approved level of </w:t>
      </w:r>
      <w:r w:rsidR="008D07D9">
        <w:rPr>
          <w:rFonts w:ascii="Times New Roman" w:hAnsi="Times New Roman" w:cs="Times New Roman"/>
        </w:rPr>
        <w:t xml:space="preserve">base power supply expense </w:t>
      </w:r>
      <w:r w:rsidR="002A24F7">
        <w:rPr>
          <w:rFonts w:ascii="Times New Roman" w:hAnsi="Times New Roman" w:cs="Times New Roman"/>
        </w:rPr>
        <w:t>current</w:t>
      </w:r>
      <w:r w:rsidR="008D07D9">
        <w:rPr>
          <w:rFonts w:ascii="Times New Roman" w:hAnsi="Times New Roman" w:cs="Times New Roman"/>
        </w:rPr>
        <w:t xml:space="preserve">ly </w:t>
      </w:r>
      <w:r w:rsidR="002A24F7">
        <w:rPr>
          <w:rFonts w:ascii="Times New Roman" w:hAnsi="Times New Roman" w:cs="Times New Roman"/>
        </w:rPr>
        <w:t xml:space="preserve">does not include this O&amp;M expense.  </w:t>
      </w:r>
      <w:r w:rsidR="002A24F7">
        <w:rPr>
          <w:rFonts w:ascii="Times New Roman" w:hAnsi="Times New Roman" w:cs="Times New Roman"/>
        </w:rPr>
        <w:lastRenderedPageBreak/>
        <w:t xml:space="preserve">Absent the O&amp;M expense at Colstrip and Coyote Springs 2, </w:t>
      </w:r>
      <w:r w:rsidR="008D07D9">
        <w:rPr>
          <w:rFonts w:ascii="Times New Roman" w:hAnsi="Times New Roman" w:cs="Times New Roman"/>
        </w:rPr>
        <w:t xml:space="preserve">base </w:t>
      </w:r>
      <w:r w:rsidR="002A24F7">
        <w:rPr>
          <w:rFonts w:ascii="Times New Roman" w:hAnsi="Times New Roman" w:cs="Times New Roman"/>
        </w:rPr>
        <w:t xml:space="preserve">power supply expense decreased </w:t>
      </w:r>
      <w:r w:rsidRPr="008A35A7">
        <w:rPr>
          <w:rFonts w:ascii="Times New Roman" w:hAnsi="Times New Roman" w:cs="Times New Roman"/>
        </w:rPr>
        <w:t>$</w:t>
      </w:r>
      <w:r w:rsidR="008A1678">
        <w:rPr>
          <w:rFonts w:ascii="Times New Roman" w:hAnsi="Times New Roman" w:cs="Times New Roman"/>
        </w:rPr>
        <w:t>902,230</w:t>
      </w:r>
      <w:r w:rsidR="00200197">
        <w:rPr>
          <w:rFonts w:ascii="Times New Roman" w:hAnsi="Times New Roman" w:cs="Times New Roman"/>
        </w:rPr>
        <w:t xml:space="preserve"> </w:t>
      </w:r>
      <w:r w:rsidR="002A24F7">
        <w:rPr>
          <w:rFonts w:ascii="Times New Roman" w:hAnsi="Times New Roman" w:cs="Times New Roman"/>
        </w:rPr>
        <w:t>(</w:t>
      </w:r>
      <w:r w:rsidR="00200197">
        <w:rPr>
          <w:rFonts w:ascii="Times New Roman" w:hAnsi="Times New Roman" w:cs="Times New Roman"/>
        </w:rPr>
        <w:t>Washington allocation</w:t>
      </w:r>
      <w:r w:rsidR="002A24F7">
        <w:rPr>
          <w:rFonts w:ascii="Times New Roman" w:hAnsi="Times New Roman" w:cs="Times New Roman"/>
        </w:rPr>
        <w:t>) from the current approved level</w:t>
      </w:r>
      <w:r w:rsidR="00200197">
        <w:rPr>
          <w:rFonts w:ascii="Times New Roman" w:hAnsi="Times New Roman" w:cs="Times New Roman"/>
        </w:rPr>
        <w:t xml:space="preserve">. </w:t>
      </w:r>
    </w:p>
    <w:p w:rsidR="00BE21E7" w:rsidRDefault="008D07D9" w:rsidP="00291602">
      <w:pPr>
        <w:pStyle w:val="TestBody"/>
        <w:spacing w:line="480" w:lineRule="auto"/>
        <w:ind w:left="0" w:firstLine="0"/>
        <w:rPr>
          <w:rFonts w:ascii="Times New Roman" w:hAnsi="Times New Roman" w:cs="Times New Roman"/>
        </w:rPr>
      </w:pPr>
      <w:r>
        <w:rPr>
          <w:rFonts w:ascii="Times New Roman" w:hAnsi="Times New Roman" w:cs="Times New Roman"/>
        </w:rPr>
        <w:tab/>
        <w:t>The Colstrip and Coyote Springs 2 O&amp;M expense is currently included in the determination of retail rates, but in a cost category separate from base power supply expense</w:t>
      </w:r>
      <w:r w:rsidR="00435577">
        <w:rPr>
          <w:rFonts w:ascii="Times New Roman" w:hAnsi="Times New Roman" w:cs="Times New Roman"/>
        </w:rPr>
        <w:t>.  We are proposing to consolidate these O&amp;M expenses with base power supply expenses for rate making purposes</w:t>
      </w:r>
      <w:r w:rsidR="00460B02">
        <w:rPr>
          <w:rFonts w:ascii="Times New Roman" w:hAnsi="Times New Roman" w:cs="Times New Roman"/>
        </w:rPr>
        <w:t xml:space="preserve">, </w:t>
      </w:r>
      <w:r w:rsidR="00435577">
        <w:rPr>
          <w:rFonts w:ascii="Times New Roman" w:hAnsi="Times New Roman" w:cs="Times New Roman"/>
        </w:rPr>
        <w:t xml:space="preserve"> because they are interrelated </w:t>
      </w:r>
      <w:r w:rsidR="00460B02">
        <w:rPr>
          <w:rFonts w:ascii="Times New Roman" w:hAnsi="Times New Roman" w:cs="Times New Roman"/>
        </w:rPr>
        <w:t>with</w:t>
      </w:r>
      <w:r w:rsidR="00435577">
        <w:rPr>
          <w:rFonts w:ascii="Times New Roman" w:hAnsi="Times New Roman" w:cs="Times New Roman"/>
        </w:rPr>
        <w:t xml:space="preserve"> the level of base power supply expense.</w:t>
      </w:r>
      <w:r w:rsidR="00200197">
        <w:rPr>
          <w:rFonts w:ascii="Times New Roman" w:hAnsi="Times New Roman" w:cs="Times New Roman"/>
        </w:rPr>
        <w:t xml:space="preserve"> </w:t>
      </w:r>
    </w:p>
    <w:p w:rsidR="006E0068" w:rsidRPr="00BE21E7" w:rsidRDefault="006E0068" w:rsidP="008A45E4">
      <w:pPr>
        <w:pStyle w:val="TestBody"/>
        <w:spacing w:line="480" w:lineRule="auto"/>
        <w:ind w:left="0" w:firstLine="720"/>
        <w:rPr>
          <w:rFonts w:ascii="Times New Roman" w:hAnsi="Times New Roman" w:cs="Times New Roman"/>
        </w:rPr>
      </w:pPr>
    </w:p>
    <w:p w:rsidR="00BE21E7" w:rsidRPr="00945166" w:rsidRDefault="00BE21E7" w:rsidP="00945166">
      <w:pPr>
        <w:pStyle w:val="BodyText"/>
        <w:spacing w:line="480" w:lineRule="auto"/>
        <w:ind w:firstLine="720"/>
        <w:rPr>
          <w:bCs w:val="0"/>
          <w:u w:val="single"/>
        </w:rPr>
      </w:pPr>
      <w:r w:rsidRPr="00945166">
        <w:rPr>
          <w:bCs w:val="0"/>
          <w:u w:val="single"/>
        </w:rPr>
        <w:t>III.</w:t>
      </w:r>
      <w:r w:rsidRPr="00945166">
        <w:rPr>
          <w:bCs w:val="0"/>
          <w:u w:val="single"/>
        </w:rPr>
        <w:tab/>
        <w:t>PRO FORMA POWER SUPPLY ADJUSTMENTS</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identify the specific power supply cost items that are covered by your testimony and the total adjustment being proposed. </w:t>
      </w:r>
    </w:p>
    <w:p w:rsid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Exhibit No.</w:t>
      </w:r>
      <w:r w:rsidR="00A55DD3">
        <w:rPr>
          <w:rFonts w:ascii="Times New Roman" w:hAnsi="Times New Roman" w:cs="Times New Roman"/>
        </w:rPr>
        <w:t xml:space="preserve"> 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 xml:space="preserve">WGJ-2) identifies the power supply expense and revenue items that fall within the scope of my testimony.  These revenue and expense items are related to power purchases and sales, fuel expenses, transmission expense, </w:t>
      </w:r>
      <w:r w:rsidR="00304235">
        <w:rPr>
          <w:rFonts w:ascii="Times New Roman" w:hAnsi="Times New Roman" w:cs="Times New Roman"/>
        </w:rPr>
        <w:t xml:space="preserve">Colstrip and Coyote Springs 2 O&amp;M expense, </w:t>
      </w:r>
      <w:r w:rsidRPr="00BE21E7">
        <w:rPr>
          <w:rFonts w:ascii="Times New Roman" w:hAnsi="Times New Roman" w:cs="Times New Roman"/>
        </w:rPr>
        <w:t xml:space="preserve">and other miscellaneous power supply expenses and revenues.  </w:t>
      </w:r>
    </w:p>
    <w:p w:rsidR="00304235" w:rsidRPr="00BE21E7" w:rsidRDefault="00304235" w:rsidP="00304235">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Pr>
          <w:rFonts w:ascii="Times New Roman" w:hAnsi="Times New Roman" w:cs="Times New Roman"/>
          <w:b/>
        </w:rPr>
        <w:tab/>
      </w:r>
      <w:r w:rsidRPr="00BE21E7">
        <w:rPr>
          <w:rFonts w:ascii="Times New Roman" w:hAnsi="Times New Roman" w:cs="Times New Roman"/>
          <w:b/>
        </w:rPr>
        <w:t>Are there any changes in how the pro forma in this case was develo</w:t>
      </w:r>
      <w:r>
        <w:rPr>
          <w:rFonts w:ascii="Times New Roman" w:hAnsi="Times New Roman" w:cs="Times New Roman"/>
          <w:b/>
        </w:rPr>
        <w:t>ped versus the authorized power supply expense currently in base rates</w:t>
      </w:r>
      <w:r w:rsidRPr="00BE21E7">
        <w:rPr>
          <w:rFonts w:ascii="Times New Roman" w:hAnsi="Times New Roman" w:cs="Times New Roman"/>
          <w:b/>
        </w:rPr>
        <w:t>?</w:t>
      </w:r>
    </w:p>
    <w:p w:rsidR="00304235" w:rsidRPr="00BE21E7" w:rsidRDefault="00304235" w:rsidP="007A04C5">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  As noted above</w:t>
      </w:r>
      <w:r w:rsidR="006E4941">
        <w:rPr>
          <w:rFonts w:ascii="Times New Roman" w:hAnsi="Times New Roman" w:cs="Times New Roman"/>
        </w:rPr>
        <w:t>,</w:t>
      </w:r>
      <w:r>
        <w:rPr>
          <w:rFonts w:ascii="Times New Roman" w:hAnsi="Times New Roman" w:cs="Times New Roman"/>
        </w:rPr>
        <w:t xml:space="preserve"> and explained later in my testimony, power supply expense now includes O&amp;M expense at Colstrip and Coyote Springs 2.  Other than the inclusion of the O&amp;M expense</w:t>
      </w:r>
      <w:r w:rsidR="00460B02">
        <w:rPr>
          <w:rFonts w:ascii="Times New Roman" w:hAnsi="Times New Roman" w:cs="Times New Roman"/>
        </w:rPr>
        <w:t>,</w:t>
      </w:r>
      <w:r>
        <w:rPr>
          <w:rFonts w:ascii="Times New Roman" w:hAnsi="Times New Roman" w:cs="Times New Roman"/>
        </w:rPr>
        <w:t xml:space="preserve"> t</w:t>
      </w:r>
      <w:r w:rsidRPr="00BE21E7">
        <w:rPr>
          <w:rFonts w:ascii="Times New Roman" w:hAnsi="Times New Roman" w:cs="Times New Roman"/>
        </w:rPr>
        <w:t>he process to develop the pro forma net power supply expense in th</w:t>
      </w:r>
      <w:r>
        <w:rPr>
          <w:rFonts w:ascii="Times New Roman" w:hAnsi="Times New Roman" w:cs="Times New Roman"/>
        </w:rPr>
        <w:t>is case is the same as the process used to develop authorized power supply expense in current base rates</w:t>
      </w:r>
      <w:r w:rsidRPr="00BE21E7">
        <w:rPr>
          <w:rFonts w:ascii="Times New Roman" w:hAnsi="Times New Roman" w:cs="Times New Roman"/>
        </w:rPr>
        <w:t>.</w:t>
      </w:r>
      <w:r>
        <w:rPr>
          <w:rFonts w:ascii="Times New Roman" w:hAnsi="Times New Roman" w:cs="Times New Roman"/>
        </w:rPr>
        <w:t xml:space="preserve">  </w:t>
      </w:r>
    </w:p>
    <w:p w:rsidR="00BE21E7" w:rsidRPr="00BE21E7" w:rsidRDefault="00BE21E7" w:rsidP="00BE21E7">
      <w:pPr>
        <w:pStyle w:val="TestBody"/>
        <w:tabs>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lastRenderedPageBreak/>
        <w:t>Q.</w:t>
      </w:r>
      <w:r w:rsidRPr="00BE21E7">
        <w:rPr>
          <w:rFonts w:ascii="Times New Roman" w:hAnsi="Times New Roman" w:cs="Times New Roman"/>
          <w:b/>
          <w:bCs/>
        </w:rPr>
        <w:tab/>
        <w:t>What is the basis for the adjustments to the test period power supply revenues and expenses?</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purpose of the adjustments to the test period is to normalize power supply expenses for normal weather and </w:t>
      </w:r>
      <w:r w:rsidR="007A6DE3">
        <w:rPr>
          <w:rFonts w:ascii="Times New Roman" w:hAnsi="Times New Roman" w:cs="Times New Roman"/>
        </w:rPr>
        <w:t xml:space="preserve">normal </w:t>
      </w:r>
      <w:r w:rsidRPr="00BE21E7">
        <w:rPr>
          <w:rFonts w:ascii="Times New Roman" w:hAnsi="Times New Roman" w:cs="Times New Roman"/>
        </w:rPr>
        <w:t xml:space="preserve">hydroelectric generation and to reflect </w:t>
      </w:r>
      <w:r w:rsidR="006D5BF7">
        <w:rPr>
          <w:rFonts w:ascii="Times New Roman" w:hAnsi="Times New Roman" w:cs="Times New Roman"/>
        </w:rPr>
        <w:t xml:space="preserve">current forward natural gas prices and other </w:t>
      </w:r>
      <w:r w:rsidRPr="00BE21E7">
        <w:rPr>
          <w:rFonts w:ascii="Times New Roman" w:hAnsi="Times New Roman" w:cs="Times New Roman"/>
        </w:rPr>
        <w:t xml:space="preserve">known and measurable changes for the pro forma period.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The AURORA Model</w:t>
      </w:r>
      <w:r w:rsidR="007A6DE3">
        <w:rPr>
          <w:rFonts w:ascii="Times New Roman" w:hAnsi="Times New Roman" w:cs="Times New Roman"/>
        </w:rPr>
        <w:t xml:space="preserve">, as explained by Mr. </w:t>
      </w:r>
      <w:proofErr w:type="spellStart"/>
      <w:r w:rsidR="007A6DE3">
        <w:rPr>
          <w:rFonts w:ascii="Times New Roman" w:hAnsi="Times New Roman" w:cs="Times New Roman"/>
        </w:rPr>
        <w:t>Kalich</w:t>
      </w:r>
      <w:proofErr w:type="spellEnd"/>
      <w:r w:rsidR="007A6DE3">
        <w:rPr>
          <w:rFonts w:ascii="Times New Roman" w:hAnsi="Times New Roman" w:cs="Times New Roman"/>
        </w:rPr>
        <w:t>,</w:t>
      </w:r>
      <w:r w:rsidRPr="00BE21E7">
        <w:rPr>
          <w:rFonts w:ascii="Times New Roman" w:hAnsi="Times New Roman" w:cs="Times New Roman"/>
        </w:rPr>
        <w:t xml:space="preserve"> dispatches Company resources </w:t>
      </w:r>
      <w:r w:rsidR="006D5BF7">
        <w:rPr>
          <w:rFonts w:ascii="Times New Roman" w:hAnsi="Times New Roman" w:cs="Times New Roman"/>
        </w:rPr>
        <w:t xml:space="preserve">using the current forward natural gas prices </w:t>
      </w:r>
      <w:r w:rsidRPr="00BE21E7">
        <w:rPr>
          <w:rFonts w:ascii="Times New Roman" w:hAnsi="Times New Roman" w:cs="Times New Roman"/>
        </w:rPr>
        <w:t xml:space="preserve">and calculates the level of generation from the Company’s thermal resources, fuel costs for thermal resources, and the short-term purchases and sales necessary to </w:t>
      </w:r>
      <w:r w:rsidR="00E00851">
        <w:rPr>
          <w:rFonts w:ascii="Times New Roman" w:hAnsi="Times New Roman" w:cs="Times New Roman"/>
        </w:rPr>
        <w:t>balance system requirements and resources.</w:t>
      </w:r>
    </w:p>
    <w:p w:rsidR="00BE21E7" w:rsidRPr="00BE21E7" w:rsidRDefault="00BE21E7" w:rsidP="00BE21E7">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 brief description of each adjustment is provided in Exhibit</w:t>
      </w:r>
      <w:r w:rsidR="00A55DD3">
        <w:rPr>
          <w:rFonts w:ascii="Times New Roman" w:hAnsi="Times New Roman" w:cs="Times New Roman"/>
        </w:rPr>
        <w:t xml:space="preserve"> </w:t>
      </w:r>
      <w:r w:rsidRPr="00BE21E7">
        <w:rPr>
          <w:rFonts w:ascii="Times New Roman" w:hAnsi="Times New Roman" w:cs="Times New Roman"/>
        </w:rPr>
        <w:t>No.</w:t>
      </w:r>
      <w:r w:rsidR="00A55DD3">
        <w:rPr>
          <w:rFonts w:ascii="Times New Roman" w:hAnsi="Times New Roman" w:cs="Times New Roman"/>
        </w:rPr>
        <w:t xml:space="preserve"> </w:t>
      </w:r>
      <w:proofErr w:type="gramStart"/>
      <w:r w:rsidR="00A55DD3">
        <w:rPr>
          <w:rFonts w:ascii="Times New Roman" w:hAnsi="Times New Roman" w:cs="Times New Roman"/>
        </w:rPr>
        <w:t>__</w:t>
      </w:r>
      <w:r w:rsidR="00822FCE">
        <w:rPr>
          <w:rFonts w:ascii="Times New Roman" w:hAnsi="Times New Roman" w:cs="Times New Roman"/>
        </w:rPr>
        <w:t>_</w:t>
      </w:r>
      <w:r w:rsidR="00822FCE"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3</w:t>
      </w:r>
      <w:r w:rsidRPr="00BE21E7">
        <w:rPr>
          <w:rFonts w:ascii="Times New Roman" w:hAnsi="Times New Roman" w:cs="Times New Roman"/>
        </w:rPr>
        <w:t>).</w:t>
      </w:r>
      <w:proofErr w:type="gramEnd"/>
      <w:r w:rsidRPr="00BE21E7">
        <w:rPr>
          <w:rFonts w:ascii="Times New Roman" w:hAnsi="Times New Roman" w:cs="Times New Roman"/>
        </w:rPr>
        <w:t xml:space="preserve">  Detailed workpapers have been provided to the Commission </w:t>
      </w:r>
      <w:r w:rsidR="00FD6B49">
        <w:rPr>
          <w:rFonts w:ascii="Times New Roman" w:hAnsi="Times New Roman" w:cs="Times New Roman"/>
        </w:rPr>
        <w:t>with</w:t>
      </w:r>
      <w:r w:rsidR="00FD6B49" w:rsidRPr="00BE21E7">
        <w:rPr>
          <w:rFonts w:ascii="Times New Roman" w:hAnsi="Times New Roman" w:cs="Times New Roman"/>
        </w:rPr>
        <w:t xml:space="preserve"> </w:t>
      </w:r>
      <w:r w:rsidRPr="00BE21E7">
        <w:rPr>
          <w:rFonts w:ascii="Times New Roman" w:hAnsi="Times New Roman" w:cs="Times New Roman"/>
        </w:rPr>
        <w:t>this filing to support each of the pro forma revenues and expenses.  The detailed workpapers for each adjustment show the actual revenue or expense in the test period, and the pro forma revenue or expense.</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Long-Term Contracts</w:t>
      </w:r>
    </w:p>
    <w:p w:rsidR="00BE21E7" w:rsidRPr="00BE21E7" w:rsidRDefault="00BE21E7" w:rsidP="009C2006">
      <w:pPr>
        <w:pStyle w:val="TestBody"/>
        <w:numPr>
          <w:ilvl w:val="0"/>
          <w:numId w:val="5"/>
        </w:numPr>
        <w:tabs>
          <w:tab w:val="clear" w:pos="1530"/>
          <w:tab w:val="num" w:pos="0"/>
          <w:tab w:val="num" w:pos="1440"/>
        </w:tabs>
        <w:spacing w:line="480" w:lineRule="auto"/>
        <w:ind w:left="0" w:firstLine="720"/>
        <w:rPr>
          <w:rFonts w:ascii="Times New Roman" w:hAnsi="Times New Roman" w:cs="Times New Roman"/>
          <w:b/>
          <w:bCs/>
        </w:rPr>
      </w:pPr>
      <w:r w:rsidRPr="00BE21E7">
        <w:rPr>
          <w:rFonts w:ascii="Times New Roman" w:hAnsi="Times New Roman" w:cs="Times New Roman"/>
          <w:b/>
          <w:bCs/>
        </w:rPr>
        <w:t xml:space="preserve">How </w:t>
      </w:r>
      <w:proofErr w:type="gramStart"/>
      <w:r w:rsidRPr="00BE21E7">
        <w:rPr>
          <w:rFonts w:ascii="Times New Roman" w:hAnsi="Times New Roman" w:cs="Times New Roman"/>
          <w:b/>
          <w:bCs/>
        </w:rPr>
        <w:t>are</w:t>
      </w:r>
      <w:proofErr w:type="gramEnd"/>
      <w:r w:rsidRPr="00BE21E7">
        <w:rPr>
          <w:rFonts w:ascii="Times New Roman" w:hAnsi="Times New Roman" w:cs="Times New Roman"/>
          <w:b/>
          <w:bCs/>
        </w:rPr>
        <w:t xml:space="preserve"> long-term power contracts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Long-term power contracts are included in the pro forma by including the energy receipt or obligation associated with the contract in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and including the cost or revenue in the pro forma net power supply expense.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b/>
        </w:rPr>
        <w:t>Q</w:t>
      </w:r>
      <w:r w:rsidRPr="00BE21E7">
        <w:rPr>
          <w:rFonts w:ascii="Times New Roman" w:hAnsi="Times New Roman" w:cs="Times New Roman"/>
        </w:rPr>
        <w:t>.</w:t>
      </w:r>
      <w:r w:rsidRPr="00BE21E7">
        <w:rPr>
          <w:rFonts w:ascii="Times New Roman" w:hAnsi="Times New Roman" w:cs="Times New Roman"/>
        </w:rPr>
        <w:tab/>
      </w:r>
      <w:r w:rsidRPr="00BE21E7">
        <w:rPr>
          <w:rFonts w:ascii="Times New Roman" w:hAnsi="Times New Roman" w:cs="Times New Roman"/>
          <w:b/>
        </w:rPr>
        <w:t xml:space="preserve">Are there any new </w:t>
      </w:r>
      <w:r w:rsidR="00FE2C77">
        <w:rPr>
          <w:rFonts w:ascii="Times New Roman" w:hAnsi="Times New Roman" w:cs="Times New Roman"/>
          <w:b/>
        </w:rPr>
        <w:t xml:space="preserve">long-term </w:t>
      </w:r>
      <w:r w:rsidRPr="00BE21E7">
        <w:rPr>
          <w:rFonts w:ascii="Times New Roman" w:hAnsi="Times New Roman" w:cs="Times New Roman"/>
          <w:b/>
        </w:rPr>
        <w:t>power purchases or sales in the pro forma</w:t>
      </w:r>
      <w:r w:rsidR="00B53214">
        <w:rPr>
          <w:rFonts w:ascii="Times New Roman" w:hAnsi="Times New Roman" w:cs="Times New Roman"/>
          <w:b/>
        </w:rPr>
        <w:t xml:space="preserve"> that are not in the current </w:t>
      </w:r>
      <w:r w:rsidR="00C026FD">
        <w:rPr>
          <w:rFonts w:ascii="Times New Roman" w:hAnsi="Times New Roman" w:cs="Times New Roman"/>
          <w:b/>
        </w:rPr>
        <w:t>base rates</w:t>
      </w:r>
      <w:r w:rsidRPr="00BE21E7">
        <w:rPr>
          <w:rFonts w:ascii="Times New Roman" w:hAnsi="Times New Roman" w:cs="Times New Roman"/>
          <w:b/>
        </w:rPr>
        <w:t>?</w:t>
      </w:r>
    </w:p>
    <w:p w:rsidR="0049447F" w:rsidRDefault="0049447F"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No</w:t>
      </w:r>
      <w:r w:rsidR="00BE21E7" w:rsidRPr="00BE21E7">
        <w:rPr>
          <w:rFonts w:ascii="Times New Roman" w:hAnsi="Times New Roman" w:cs="Times New Roman"/>
        </w:rPr>
        <w:t xml:space="preserve">. </w:t>
      </w:r>
      <w:r w:rsidR="00332E92">
        <w:rPr>
          <w:rFonts w:ascii="Times New Roman" w:hAnsi="Times New Roman" w:cs="Times New Roman"/>
        </w:rPr>
        <w:t xml:space="preserve"> However, the </w:t>
      </w:r>
      <w:r w:rsidR="00166263">
        <w:rPr>
          <w:rFonts w:ascii="Times New Roman" w:hAnsi="Times New Roman" w:cs="Times New Roman"/>
        </w:rPr>
        <w:t>volume of</w:t>
      </w:r>
      <w:r w:rsidR="00332E92">
        <w:rPr>
          <w:rFonts w:ascii="Times New Roman" w:hAnsi="Times New Roman" w:cs="Times New Roman"/>
        </w:rPr>
        <w:t xml:space="preserve"> the Rocky Reach/Rock Island purchase </w:t>
      </w:r>
      <w:r w:rsidR="00BE64BC">
        <w:rPr>
          <w:rFonts w:ascii="Times New Roman" w:hAnsi="Times New Roman" w:cs="Times New Roman"/>
        </w:rPr>
        <w:t>has</w:t>
      </w:r>
      <w:r w:rsidR="00332E92">
        <w:rPr>
          <w:rFonts w:ascii="Times New Roman" w:hAnsi="Times New Roman" w:cs="Times New Roman"/>
        </w:rPr>
        <w:t xml:space="preserve"> changed.  The Rocky Reach/Rock Island purchase is included in the 2016 pro forma as a 5 </w:t>
      </w:r>
      <w:r w:rsidR="00332E92">
        <w:rPr>
          <w:rFonts w:ascii="Times New Roman" w:hAnsi="Times New Roman" w:cs="Times New Roman"/>
        </w:rPr>
        <w:lastRenderedPageBreak/>
        <w:t>percent share.  The Company has been in discussion with Chelan PUD ab</w:t>
      </w:r>
      <w:r w:rsidR="006E4941">
        <w:rPr>
          <w:rFonts w:ascii="Times New Roman" w:hAnsi="Times New Roman" w:cs="Times New Roman"/>
        </w:rPr>
        <w:t>out purchasing a 5 percent share</w:t>
      </w:r>
      <w:r w:rsidR="00332E92">
        <w:rPr>
          <w:rFonts w:ascii="Times New Roman" w:hAnsi="Times New Roman" w:cs="Times New Roman"/>
        </w:rPr>
        <w:t xml:space="preserve"> in 2016.  Current base</w:t>
      </w:r>
      <w:r w:rsidR="006E4941">
        <w:rPr>
          <w:rFonts w:ascii="Times New Roman" w:hAnsi="Times New Roman" w:cs="Times New Roman"/>
        </w:rPr>
        <w:t xml:space="preserve"> rates include a 4 percent share</w:t>
      </w:r>
      <w:r w:rsidR="00332E92">
        <w:rPr>
          <w:rFonts w:ascii="Times New Roman" w:hAnsi="Times New Roman" w:cs="Times New Roman"/>
        </w:rPr>
        <w:t xml:space="preserve"> of Rocky Reach/Rock Island.  </w:t>
      </w:r>
      <w:r w:rsidR="00BE64BC">
        <w:rPr>
          <w:rFonts w:ascii="Times New Roman" w:hAnsi="Times New Roman" w:cs="Times New Roman"/>
        </w:rPr>
        <w:t>A new</w:t>
      </w:r>
      <w:r w:rsidR="00EA73D4">
        <w:rPr>
          <w:rFonts w:ascii="Times New Roman" w:hAnsi="Times New Roman" w:cs="Times New Roman"/>
        </w:rPr>
        <w:t xml:space="preserve"> contract is expected to be</w:t>
      </w:r>
      <w:r w:rsidR="00332E92">
        <w:rPr>
          <w:rFonts w:ascii="Times New Roman" w:hAnsi="Times New Roman" w:cs="Times New Roman"/>
        </w:rPr>
        <w:t xml:space="preserve"> finalized sometime in </w:t>
      </w:r>
      <w:r w:rsidR="00EA73D4">
        <w:rPr>
          <w:rFonts w:ascii="Times New Roman" w:hAnsi="Times New Roman" w:cs="Times New Roman"/>
        </w:rPr>
        <w:t>early</w:t>
      </w:r>
      <w:r w:rsidR="00332E92">
        <w:rPr>
          <w:rFonts w:ascii="Times New Roman" w:hAnsi="Times New Roman" w:cs="Times New Roman"/>
        </w:rPr>
        <w:t xml:space="preserve"> 2015.</w:t>
      </w:r>
    </w:p>
    <w:p w:rsidR="00332E92" w:rsidRDefault="00332E92"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 xml:space="preserve">The purchase of the Colville Tribe’s share of the Wells dam is not included in the 2016 </w:t>
      </w:r>
      <w:r w:rsidR="00166263">
        <w:rPr>
          <w:rFonts w:ascii="Times New Roman" w:hAnsi="Times New Roman" w:cs="Times New Roman"/>
        </w:rPr>
        <w:t>pro forma</w:t>
      </w:r>
      <w:r>
        <w:rPr>
          <w:rFonts w:ascii="Times New Roman" w:hAnsi="Times New Roman" w:cs="Times New Roman"/>
        </w:rPr>
        <w:t xml:space="preserve">.  It was in the 2015 pro forma for the first quarter only.  The Company has been purchasing </w:t>
      </w:r>
      <w:r w:rsidR="007544BA">
        <w:rPr>
          <w:rFonts w:ascii="Times New Roman" w:hAnsi="Times New Roman" w:cs="Times New Roman"/>
        </w:rPr>
        <w:t>this product on a shorter term basis lately and may make a purchase for a portion of 2016.  If so, the Company would propose to include the purchase in a power supply update later in 2015.</w:t>
      </w:r>
    </w:p>
    <w:p w:rsidR="00B12AD5" w:rsidRDefault="00B12AD5" w:rsidP="0049447F">
      <w:pPr>
        <w:pStyle w:val="TestBody"/>
        <w:tabs>
          <w:tab w:val="num" w:pos="0"/>
        </w:tabs>
        <w:spacing w:line="480" w:lineRule="auto"/>
        <w:ind w:left="0" w:firstLine="720"/>
        <w:rPr>
          <w:rFonts w:ascii="Times New Roman" w:hAnsi="Times New Roman" w:cs="Times New Roman"/>
        </w:rPr>
      </w:pPr>
      <w:r>
        <w:rPr>
          <w:rFonts w:ascii="Times New Roman" w:hAnsi="Times New Roman" w:cs="Times New Roman"/>
        </w:rPr>
        <w:t>The 2016 pro forma includes a full year of Portland Gen</w:t>
      </w:r>
      <w:r w:rsidR="00BE64BC">
        <w:rPr>
          <w:rFonts w:ascii="Times New Roman" w:hAnsi="Times New Roman" w:cs="Times New Roman"/>
        </w:rPr>
        <w:t>e</w:t>
      </w:r>
      <w:r>
        <w:rPr>
          <w:rFonts w:ascii="Times New Roman" w:hAnsi="Times New Roman" w:cs="Times New Roman"/>
        </w:rPr>
        <w:t>ral Electric capacity sale revenue.  Current bases rates only include 11 months of revenu</w:t>
      </w:r>
      <w:r w:rsidR="00A93765">
        <w:rPr>
          <w:rFonts w:ascii="Times New Roman" w:hAnsi="Times New Roman" w:cs="Times New Roman"/>
        </w:rPr>
        <w:t xml:space="preserve">e because the monetization </w:t>
      </w:r>
      <w:r>
        <w:rPr>
          <w:rFonts w:ascii="Times New Roman" w:hAnsi="Times New Roman" w:cs="Times New Roman"/>
        </w:rPr>
        <w:t xml:space="preserve">period ended </w:t>
      </w:r>
      <w:r w:rsidR="00166263">
        <w:rPr>
          <w:rFonts w:ascii="Times New Roman" w:hAnsi="Times New Roman" w:cs="Times New Roman"/>
        </w:rPr>
        <w:t>January</w:t>
      </w:r>
      <w:r>
        <w:rPr>
          <w:rFonts w:ascii="Times New Roman" w:hAnsi="Times New Roman" w:cs="Times New Roman"/>
        </w:rPr>
        <w:t xml:space="preserve"> 2015 and the full revenue from the contract returned to the Company beginning February 2015.</w:t>
      </w:r>
    </w:p>
    <w:p w:rsidR="00BE21E7" w:rsidRPr="00BE21E7" w:rsidRDefault="0049447F" w:rsidP="0049447F">
      <w:pPr>
        <w:pStyle w:val="TestBody"/>
        <w:tabs>
          <w:tab w:val="num" w:pos="0"/>
        </w:tabs>
        <w:spacing w:line="480" w:lineRule="auto"/>
        <w:ind w:left="0" w:firstLine="720"/>
        <w:rPr>
          <w:rFonts w:ascii="Times New Roman" w:hAnsi="Times New Roman" w:cs="Times New Roman"/>
          <w:b/>
        </w:rPr>
      </w:pPr>
      <w:r w:rsidRPr="00F4413D">
        <w:rPr>
          <w:rFonts w:ascii="Times New Roman" w:hAnsi="Times New Roman" w:cs="Times New Roman"/>
          <w:b/>
        </w:rPr>
        <w:t>Q.</w:t>
      </w:r>
      <w:r>
        <w:rPr>
          <w:rFonts w:ascii="Times New Roman" w:hAnsi="Times New Roman" w:cs="Times New Roman"/>
        </w:rPr>
        <w:tab/>
      </w:r>
      <w:r w:rsidR="006A26AD">
        <w:rPr>
          <w:rFonts w:ascii="Times New Roman" w:hAnsi="Times New Roman" w:cs="Times New Roman"/>
          <w:b/>
        </w:rPr>
        <w:t xml:space="preserve">Are there any </w:t>
      </w:r>
      <w:r w:rsidR="006652C4">
        <w:rPr>
          <w:rFonts w:ascii="Times New Roman" w:hAnsi="Times New Roman" w:cs="Times New Roman"/>
          <w:b/>
        </w:rPr>
        <w:t xml:space="preserve">long-term </w:t>
      </w:r>
      <w:r w:rsidR="006A26AD">
        <w:rPr>
          <w:rFonts w:ascii="Times New Roman" w:hAnsi="Times New Roman" w:cs="Times New Roman"/>
          <w:b/>
        </w:rPr>
        <w:t xml:space="preserve">power purchases or sales that are in current </w:t>
      </w:r>
      <w:r w:rsidR="00C026FD">
        <w:rPr>
          <w:rFonts w:ascii="Times New Roman" w:hAnsi="Times New Roman" w:cs="Times New Roman"/>
          <w:b/>
        </w:rPr>
        <w:t>base rate</w:t>
      </w:r>
      <w:r w:rsidR="006A26AD">
        <w:rPr>
          <w:rFonts w:ascii="Times New Roman" w:hAnsi="Times New Roman" w:cs="Times New Roman"/>
          <w:b/>
        </w:rPr>
        <w:t>s but not in this pro forma</w:t>
      </w:r>
      <w:r w:rsidR="00BE21E7" w:rsidRPr="00BE21E7">
        <w:rPr>
          <w:rFonts w:ascii="Times New Roman" w:hAnsi="Times New Roman" w:cs="Times New Roman"/>
          <w:b/>
        </w:rPr>
        <w:t>?</w:t>
      </w:r>
    </w:p>
    <w:p w:rsidR="00C507EB" w:rsidRDefault="00BE21E7" w:rsidP="00890D94">
      <w:pPr>
        <w:pStyle w:val="TestBody"/>
        <w:tabs>
          <w:tab w:val="num" w:pos="72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r>
      <w:r w:rsidR="00B12AD5">
        <w:rPr>
          <w:rFonts w:ascii="Times New Roman" w:hAnsi="Times New Roman" w:cs="Times New Roman"/>
        </w:rPr>
        <w:t xml:space="preserve">Yes.  As mentioned </w:t>
      </w:r>
      <w:r w:rsidR="00BE64BC">
        <w:rPr>
          <w:rFonts w:ascii="Times New Roman" w:hAnsi="Times New Roman" w:cs="Times New Roman"/>
        </w:rPr>
        <w:t xml:space="preserve">above, </w:t>
      </w:r>
      <w:r w:rsidR="00B12AD5">
        <w:rPr>
          <w:rFonts w:ascii="Times New Roman" w:hAnsi="Times New Roman" w:cs="Times New Roman"/>
        </w:rPr>
        <w:t xml:space="preserve">current base rates include </w:t>
      </w:r>
      <w:r w:rsidR="00BE64BC">
        <w:rPr>
          <w:rFonts w:ascii="Times New Roman" w:hAnsi="Times New Roman" w:cs="Times New Roman"/>
        </w:rPr>
        <w:t>a three months</w:t>
      </w:r>
      <w:r w:rsidR="00B12AD5" w:rsidRPr="00B12AD5">
        <w:rPr>
          <w:rFonts w:ascii="Times New Roman" w:hAnsi="Times New Roman" w:cs="Times New Roman"/>
        </w:rPr>
        <w:t xml:space="preserve"> </w:t>
      </w:r>
      <w:r w:rsidR="00B12AD5">
        <w:rPr>
          <w:rFonts w:ascii="Times New Roman" w:hAnsi="Times New Roman" w:cs="Times New Roman"/>
        </w:rPr>
        <w:t>purchase of the Colville Tribe’s share of the Wells dam that is not included in the 2016 pro</w:t>
      </w:r>
      <w:r w:rsidR="00BE64BC">
        <w:rPr>
          <w:rFonts w:ascii="Times New Roman" w:hAnsi="Times New Roman" w:cs="Times New Roman"/>
        </w:rPr>
        <w:t xml:space="preserve"> </w:t>
      </w:r>
      <w:r w:rsidR="00B12AD5">
        <w:rPr>
          <w:rFonts w:ascii="Times New Roman" w:hAnsi="Times New Roman" w:cs="Times New Roman"/>
        </w:rPr>
        <w:t>forma.</w:t>
      </w:r>
    </w:p>
    <w:p w:rsidR="00BE21E7" w:rsidRPr="00BE21E7" w:rsidRDefault="00BE21E7" w:rsidP="008527AD">
      <w:pPr>
        <w:pStyle w:val="TestBody"/>
        <w:tabs>
          <w:tab w:val="num" w:pos="72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Short-Term Power Purchases and Sales</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How are short-term transactions included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After including the actual </w:t>
      </w:r>
      <w:r w:rsidR="00095636">
        <w:rPr>
          <w:rFonts w:ascii="Times New Roman" w:hAnsi="Times New Roman" w:cs="Times New Roman"/>
        </w:rPr>
        <w:t xml:space="preserve">physical </w:t>
      </w:r>
      <w:r w:rsidR="007A6DE3">
        <w:rPr>
          <w:rFonts w:ascii="Times New Roman" w:hAnsi="Times New Roman" w:cs="Times New Roman"/>
        </w:rPr>
        <w:t xml:space="preserve">forward </w:t>
      </w:r>
      <w:r w:rsidRPr="00BE21E7">
        <w:rPr>
          <w:rFonts w:ascii="Times New Roman" w:hAnsi="Times New Roman" w:cs="Times New Roman"/>
        </w:rPr>
        <w:t xml:space="preserve">short-term transactions as resources and obligations in the AURORA model, the balance of the short-term electric power purchases and sales are an output of the AURORA model.  The model calculates both the volumes and price of short-term purchases and sales that balance the system’s generation and long-term purchases with retail load and </w:t>
      </w:r>
      <w:r w:rsidR="007A6DE3">
        <w:rPr>
          <w:rFonts w:ascii="Times New Roman" w:hAnsi="Times New Roman" w:cs="Times New Roman"/>
        </w:rPr>
        <w:t>other</w:t>
      </w:r>
      <w:r w:rsidRPr="00BE21E7">
        <w:rPr>
          <w:rFonts w:ascii="Times New Roman" w:hAnsi="Times New Roman" w:cs="Times New Roman"/>
        </w:rPr>
        <w:t xml:space="preserve"> obligations.  The price of the short-term </w:t>
      </w:r>
      <w:r w:rsidRPr="00BE21E7">
        <w:rPr>
          <w:rFonts w:ascii="Times New Roman" w:hAnsi="Times New Roman" w:cs="Times New Roman"/>
        </w:rPr>
        <w:lastRenderedPageBreak/>
        <w:t xml:space="preserve">transactions represents the price of spot market power as determined by the AURORA model. </w:t>
      </w:r>
      <w:r w:rsidR="00095636">
        <w:rPr>
          <w:rFonts w:ascii="Times New Roman" w:hAnsi="Times New Roman" w:cs="Times New Roman"/>
        </w:rPr>
        <w:t xml:space="preserve"> Short-term </w:t>
      </w:r>
      <w:r w:rsidR="00BE221B">
        <w:rPr>
          <w:rFonts w:ascii="Times New Roman" w:hAnsi="Times New Roman" w:cs="Times New Roman"/>
        </w:rPr>
        <w:t xml:space="preserve">fixed price </w:t>
      </w:r>
      <w:r w:rsidR="00095636">
        <w:rPr>
          <w:rFonts w:ascii="Times New Roman" w:hAnsi="Times New Roman" w:cs="Times New Roman"/>
        </w:rPr>
        <w:t>financial electric and natural gas transaction</w:t>
      </w:r>
      <w:r w:rsidR="0075076D">
        <w:rPr>
          <w:rFonts w:ascii="Times New Roman" w:hAnsi="Times New Roman" w:cs="Times New Roman"/>
        </w:rPr>
        <w:t>s</w:t>
      </w:r>
      <w:r w:rsidR="00095636">
        <w:rPr>
          <w:rFonts w:ascii="Times New Roman" w:hAnsi="Times New Roman" w:cs="Times New Roman"/>
        </w:rPr>
        <w:t xml:space="preserve"> are included as a mark-to-model price li</w:t>
      </w:r>
      <w:r w:rsidR="00044806">
        <w:rPr>
          <w:rFonts w:ascii="Times New Roman" w:hAnsi="Times New Roman" w:cs="Times New Roman"/>
        </w:rPr>
        <w:t>ne item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b/>
        </w:rPr>
      </w:pPr>
      <w:r w:rsidRPr="00BE21E7">
        <w:rPr>
          <w:rFonts w:ascii="Times New Roman" w:hAnsi="Times New Roman" w:cs="Times New Roman"/>
          <w:b/>
        </w:rPr>
        <w:t>Q.</w:t>
      </w:r>
      <w:r w:rsidRPr="00BE21E7">
        <w:rPr>
          <w:rFonts w:ascii="Times New Roman" w:hAnsi="Times New Roman" w:cs="Times New Roman"/>
          <w:b/>
        </w:rPr>
        <w:tab/>
        <w:t xml:space="preserve">What actual </w:t>
      </w:r>
      <w:r w:rsidR="007A6DE3">
        <w:rPr>
          <w:rFonts w:ascii="Times New Roman" w:hAnsi="Times New Roman" w:cs="Times New Roman"/>
          <w:b/>
        </w:rPr>
        <w:t xml:space="preserve">forward </w:t>
      </w:r>
      <w:r w:rsidRPr="00BE21E7">
        <w:rPr>
          <w:rFonts w:ascii="Times New Roman" w:hAnsi="Times New Roman" w:cs="Times New Roman"/>
          <w:b/>
        </w:rPr>
        <w:t>short-term transactions are included in the pro forma?</w:t>
      </w:r>
    </w:p>
    <w:p w:rsidR="00E263B2" w:rsidRDefault="00BE21E7" w:rsidP="00E263B2">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 pro forma includes </w:t>
      </w:r>
      <w:r w:rsidR="007C4511">
        <w:rPr>
          <w:rFonts w:ascii="Times New Roman" w:hAnsi="Times New Roman" w:cs="Times New Roman"/>
        </w:rPr>
        <w:t xml:space="preserve">transactions entered into through </w:t>
      </w:r>
      <w:r w:rsidR="004B4163" w:rsidRPr="004B4163">
        <w:rPr>
          <w:rFonts w:ascii="Times New Roman" w:hAnsi="Times New Roman" w:cs="Times New Roman"/>
        </w:rPr>
        <w:t xml:space="preserve">late </w:t>
      </w:r>
      <w:r w:rsidR="005A6D43" w:rsidRPr="004B4163">
        <w:rPr>
          <w:rFonts w:ascii="Times New Roman" w:hAnsi="Times New Roman" w:cs="Times New Roman"/>
        </w:rPr>
        <w:t>201</w:t>
      </w:r>
      <w:r w:rsidR="0094078E">
        <w:rPr>
          <w:rFonts w:ascii="Times New Roman" w:hAnsi="Times New Roman" w:cs="Times New Roman"/>
        </w:rPr>
        <w:t>4</w:t>
      </w:r>
      <w:r w:rsidR="007C4511">
        <w:rPr>
          <w:rFonts w:ascii="Times New Roman" w:hAnsi="Times New Roman" w:cs="Times New Roman"/>
        </w:rPr>
        <w:t xml:space="preserve"> for the 201</w:t>
      </w:r>
      <w:r w:rsidR="0094078E">
        <w:rPr>
          <w:rFonts w:ascii="Times New Roman" w:hAnsi="Times New Roman" w:cs="Times New Roman"/>
        </w:rPr>
        <w:t>6</w:t>
      </w:r>
      <w:r w:rsidR="007C4511">
        <w:rPr>
          <w:rFonts w:ascii="Times New Roman" w:hAnsi="Times New Roman" w:cs="Times New Roman"/>
        </w:rPr>
        <w:t xml:space="preserve"> pro forma period.  These transactions include </w:t>
      </w:r>
      <w:r w:rsidR="004A135E">
        <w:rPr>
          <w:rFonts w:ascii="Times New Roman" w:hAnsi="Times New Roman" w:cs="Times New Roman"/>
        </w:rPr>
        <w:t xml:space="preserve">fixed-price </w:t>
      </w:r>
      <w:r w:rsidR="007C4511">
        <w:rPr>
          <w:rFonts w:ascii="Times New Roman" w:hAnsi="Times New Roman" w:cs="Times New Roman"/>
        </w:rPr>
        <w:t xml:space="preserve">financial electric </w:t>
      </w:r>
      <w:r w:rsidR="00496490">
        <w:rPr>
          <w:rFonts w:ascii="Times New Roman" w:hAnsi="Times New Roman" w:cs="Times New Roman"/>
        </w:rPr>
        <w:t xml:space="preserve">and natural </w:t>
      </w:r>
      <w:r w:rsidR="00FD76EC">
        <w:rPr>
          <w:rFonts w:ascii="Times New Roman" w:hAnsi="Times New Roman" w:cs="Times New Roman"/>
        </w:rPr>
        <w:t xml:space="preserve">gas </w:t>
      </w:r>
      <w:r w:rsidR="00095636">
        <w:rPr>
          <w:rFonts w:ascii="Times New Roman" w:hAnsi="Times New Roman" w:cs="Times New Roman"/>
        </w:rPr>
        <w:t>transaction</w:t>
      </w:r>
      <w:r w:rsidR="0075076D">
        <w:rPr>
          <w:rFonts w:ascii="Times New Roman" w:hAnsi="Times New Roman" w:cs="Times New Roman"/>
        </w:rPr>
        <w:t>s</w:t>
      </w:r>
      <w:r w:rsidR="007C4511">
        <w:rPr>
          <w:rFonts w:ascii="Times New Roman" w:hAnsi="Times New Roman" w:cs="Times New Roman"/>
        </w:rPr>
        <w:t>.</w:t>
      </w:r>
      <w:r w:rsidR="00AA1E96">
        <w:rPr>
          <w:rFonts w:ascii="Times New Roman" w:hAnsi="Times New Roman" w:cs="Times New Roman"/>
        </w:rPr>
        <w:t xml:space="preserve">  The </w:t>
      </w:r>
      <w:r w:rsidR="00496490">
        <w:rPr>
          <w:rFonts w:ascii="Times New Roman" w:hAnsi="Times New Roman" w:cs="Times New Roman"/>
        </w:rPr>
        <w:t xml:space="preserve">AURORA model is used to mark-to-model the financial electric transactions.  A mark-to-modeled gas price calculation is performed outside the AURORA model and </w:t>
      </w:r>
      <w:r w:rsidR="00AA1E96">
        <w:rPr>
          <w:rFonts w:ascii="Times New Roman" w:hAnsi="Times New Roman" w:cs="Times New Roman"/>
        </w:rPr>
        <w:t xml:space="preserve">details of these </w:t>
      </w:r>
      <w:r w:rsidR="00496490">
        <w:rPr>
          <w:rFonts w:ascii="Times New Roman" w:hAnsi="Times New Roman" w:cs="Times New Roman"/>
        </w:rPr>
        <w:t xml:space="preserve">gas </w:t>
      </w:r>
      <w:r w:rsidR="00AA1E96">
        <w:rPr>
          <w:rFonts w:ascii="Times New Roman" w:hAnsi="Times New Roman" w:cs="Times New Roman"/>
        </w:rPr>
        <w:t>transactions are provided in workpapers.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t>Thermal Fuel Expense</w:t>
      </w:r>
    </w:p>
    <w:p w:rsidR="00BE21E7" w:rsidRPr="00BE21E7" w:rsidRDefault="00BE21E7" w:rsidP="00BE21E7">
      <w:pPr>
        <w:pStyle w:val="TestBody"/>
        <w:numPr>
          <w:ilvl w:val="0"/>
          <w:numId w:val="4"/>
        </w:numPr>
        <w:tabs>
          <w:tab w:val="clear" w:pos="1440"/>
          <w:tab w:val="num" w:pos="0"/>
        </w:tabs>
        <w:spacing w:line="480" w:lineRule="auto"/>
        <w:ind w:left="0" w:firstLine="720"/>
        <w:rPr>
          <w:rFonts w:ascii="Times New Roman" w:hAnsi="Times New Roman" w:cs="Times New Roman"/>
          <w:b/>
          <w:bCs/>
        </w:rPr>
      </w:pPr>
      <w:r w:rsidRPr="00BE21E7">
        <w:rPr>
          <w:rFonts w:ascii="Times New Roman" w:hAnsi="Times New Roman" w:cs="Times New Roman"/>
          <w:b/>
          <w:bCs/>
        </w:rPr>
        <w:t>How are thermal fuel expenses determined in the pro forma?</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Thermal fuel expenses include Colstrip coal costs, </w:t>
      </w:r>
      <w:proofErr w:type="gramStart"/>
      <w:r w:rsidRPr="00BE21E7">
        <w:rPr>
          <w:rFonts w:ascii="Times New Roman" w:hAnsi="Times New Roman" w:cs="Times New Roman"/>
        </w:rPr>
        <w:t>Kettle Falls</w:t>
      </w:r>
      <w:proofErr w:type="gramEnd"/>
      <w:r w:rsidR="0044617E">
        <w:rPr>
          <w:rFonts w:ascii="Times New Roman" w:hAnsi="Times New Roman" w:cs="Times New Roman"/>
        </w:rPr>
        <w:t xml:space="preserve"> wood-</w:t>
      </w:r>
      <w:r w:rsidRPr="00BE21E7">
        <w:rPr>
          <w:rFonts w:ascii="Times New Roman" w:hAnsi="Times New Roman" w:cs="Times New Roman"/>
        </w:rPr>
        <w:t>waste costs</w:t>
      </w:r>
      <w:r w:rsidR="00904869">
        <w:rPr>
          <w:rFonts w:ascii="Times New Roman" w:hAnsi="Times New Roman" w:cs="Times New Roman"/>
        </w:rPr>
        <w:t>,</w:t>
      </w:r>
      <w:r w:rsidRPr="00BE21E7">
        <w:rPr>
          <w:rFonts w:ascii="Times New Roman" w:hAnsi="Times New Roman" w:cs="Times New Roman"/>
        </w:rPr>
        <w:t xml:space="preserve"> and natural gas expense for the Company’s gas-fired resources including Coyote Springs 2,</w:t>
      </w:r>
      <w:r w:rsidR="009C2006">
        <w:rPr>
          <w:rFonts w:ascii="Times New Roman" w:hAnsi="Times New Roman" w:cs="Times New Roman"/>
        </w:rPr>
        <w:t xml:space="preserve"> Lancaster,</w:t>
      </w:r>
      <w:r w:rsidRPr="00BE21E7">
        <w:rPr>
          <w:rFonts w:ascii="Times New Roman" w:hAnsi="Times New Roman" w:cs="Times New Roman"/>
        </w:rPr>
        <w:t xml:space="preserve"> Rathdrum, Northeast, Boulder Park, and the Kettle Falls combustion turbine.  Unit coal costs at Colstrip are based on the long-term coal supply and transportation agreements.  Unit wood fuel costs at </w:t>
      </w:r>
      <w:smartTag w:uri="urn:schemas-microsoft-com:office:smarttags" w:element="place">
        <w:smartTag w:uri="urn:schemas-microsoft-com:office:smarttags" w:element="PlaceName">
          <w:r w:rsidRPr="00BE21E7">
            <w:rPr>
              <w:rFonts w:ascii="Times New Roman" w:hAnsi="Times New Roman" w:cs="Times New Roman"/>
            </w:rPr>
            <w:t>Kettle</w:t>
          </w:r>
        </w:smartTag>
        <w:r w:rsidRPr="00BE21E7">
          <w:rPr>
            <w:rFonts w:ascii="Times New Roman" w:hAnsi="Times New Roman" w:cs="Times New Roman"/>
          </w:rPr>
          <w:t xml:space="preserve"> </w:t>
        </w:r>
        <w:smartTag w:uri="urn:schemas-microsoft-com:office:smarttags" w:element="PlaceType">
          <w:r w:rsidRPr="00BE21E7">
            <w:rPr>
              <w:rFonts w:ascii="Times New Roman" w:hAnsi="Times New Roman" w:cs="Times New Roman"/>
            </w:rPr>
            <w:t>Falls</w:t>
          </w:r>
        </w:smartTag>
      </w:smartTag>
      <w:r w:rsidRPr="00BE21E7">
        <w:rPr>
          <w:rFonts w:ascii="Times New Roman" w:hAnsi="Times New Roman" w:cs="Times New Roman"/>
        </w:rPr>
        <w:t xml:space="preserve"> are based on multiple shorter-term contracts with fuel suppliers and inventory.  Total fuel costs for each plant are based on the unit fuel cost and the plant’s level of generation as determined by the </w:t>
      </w:r>
      <w:smartTag w:uri="urn:schemas-microsoft-com:office:smarttags" w:element="City">
        <w:smartTag w:uri="urn:schemas-microsoft-com:office:smarttags" w:element="place">
          <w:r w:rsidRPr="00BE21E7">
            <w:rPr>
              <w:rFonts w:ascii="Times New Roman" w:hAnsi="Times New Roman" w:cs="Times New Roman"/>
            </w:rPr>
            <w:t>AURORA</w:t>
          </w:r>
        </w:smartTag>
      </w:smartTag>
      <w:r w:rsidRPr="00BE21E7">
        <w:rPr>
          <w:rFonts w:ascii="Times New Roman" w:hAnsi="Times New Roman" w:cs="Times New Roman"/>
        </w:rPr>
        <w:t xml:space="preserve"> model.  </w:t>
      </w:r>
    </w:p>
    <w:p w:rsidR="00BE21E7" w:rsidRPr="00BE21E7" w:rsidRDefault="00BE21E7" w:rsidP="00BE21E7">
      <w:pPr>
        <w:pStyle w:val="TestBody"/>
        <w:tabs>
          <w:tab w:val="num" w:pos="0"/>
        </w:tabs>
        <w:spacing w:line="480" w:lineRule="auto"/>
        <w:ind w:left="0" w:firstLine="720"/>
        <w:rPr>
          <w:rFonts w:ascii="Times New Roman" w:hAnsi="Times New Roman" w:cs="Times New Roman"/>
        </w:rPr>
      </w:pPr>
      <w:r w:rsidRPr="00BE21E7">
        <w:rPr>
          <w:rFonts w:ascii="Times New Roman" w:hAnsi="Times New Roman" w:cs="Times New Roman"/>
        </w:rPr>
        <w:t xml:space="preserve">Exhibit No. </w:t>
      </w:r>
      <w:r w:rsidR="00A55DD3">
        <w:rPr>
          <w:rFonts w:ascii="Times New Roman" w:hAnsi="Times New Roman" w:cs="Times New Roman"/>
        </w:rPr>
        <w:t>__</w:t>
      </w:r>
      <w:r w:rsidR="0012703B">
        <w:rPr>
          <w:rFonts w:ascii="Times New Roman" w:hAnsi="Times New Roman" w:cs="Times New Roman"/>
        </w:rPr>
        <w:t>_</w:t>
      </w:r>
      <w:r w:rsidR="0012703B" w:rsidRPr="00BE21E7">
        <w:rPr>
          <w:rFonts w:ascii="Times New Roman" w:hAnsi="Times New Roman" w:cs="Times New Roman"/>
        </w:rPr>
        <w:t xml:space="preserve"> (</w:t>
      </w:r>
      <w:r w:rsidRPr="00BE21E7">
        <w:rPr>
          <w:rFonts w:ascii="Times New Roman" w:hAnsi="Times New Roman" w:cs="Times New Roman"/>
        </w:rPr>
        <w:t>WGJ-</w:t>
      </w:r>
      <w:r w:rsidR="00A402FE">
        <w:rPr>
          <w:rFonts w:ascii="Times New Roman" w:hAnsi="Times New Roman" w:cs="Times New Roman"/>
        </w:rPr>
        <w:t>4</w:t>
      </w:r>
      <w:r w:rsidRPr="00BE21E7">
        <w:rPr>
          <w:rFonts w:ascii="Times New Roman" w:hAnsi="Times New Roman" w:cs="Times New Roman"/>
        </w:rPr>
        <w:t xml:space="preserve">) shows the pro forma fuel costs by month for each plant.  Mr. </w:t>
      </w:r>
      <w:proofErr w:type="spellStart"/>
      <w:r w:rsidRPr="00BE21E7">
        <w:rPr>
          <w:rFonts w:ascii="Times New Roman" w:hAnsi="Times New Roman" w:cs="Times New Roman"/>
        </w:rPr>
        <w:t>Kalich</w:t>
      </w:r>
      <w:proofErr w:type="spellEnd"/>
      <w:r w:rsidRPr="00BE21E7">
        <w:rPr>
          <w:rFonts w:ascii="Times New Roman" w:hAnsi="Times New Roman" w:cs="Times New Roman"/>
        </w:rPr>
        <w:t xml:space="preserve"> provides details and supporting workpapers regarding the </w:t>
      </w:r>
      <w:r w:rsidR="007A6DE3">
        <w:rPr>
          <w:rFonts w:ascii="Times New Roman" w:hAnsi="Times New Roman" w:cs="Times New Roman"/>
        </w:rPr>
        <w:t>level of generation</w:t>
      </w:r>
      <w:r w:rsidRPr="00BE21E7">
        <w:rPr>
          <w:rFonts w:ascii="Times New Roman" w:hAnsi="Times New Roman" w:cs="Times New Roman"/>
        </w:rPr>
        <w:t xml:space="preserve"> f</w:t>
      </w:r>
      <w:r w:rsidR="007A6DE3">
        <w:rPr>
          <w:rFonts w:ascii="Times New Roman" w:hAnsi="Times New Roman" w:cs="Times New Roman"/>
        </w:rPr>
        <w:t xml:space="preserve">or the Company’s thermal plants, and the fuel cost for </w:t>
      </w:r>
      <w:r w:rsidR="003D15A9">
        <w:rPr>
          <w:rFonts w:ascii="Times New Roman" w:hAnsi="Times New Roman" w:cs="Times New Roman"/>
        </w:rPr>
        <w:t>thermal and</w:t>
      </w:r>
      <w:r w:rsidR="007A6DE3">
        <w:rPr>
          <w:rFonts w:ascii="Times New Roman" w:hAnsi="Times New Roman" w:cs="Times New Roman"/>
        </w:rPr>
        <w:t xml:space="preserve"> natural gas-fired plants.</w:t>
      </w:r>
    </w:p>
    <w:p w:rsidR="00BE21E7" w:rsidRPr="00BE21E7" w:rsidRDefault="00BE21E7" w:rsidP="008527AD">
      <w:pPr>
        <w:pStyle w:val="TestBody"/>
        <w:tabs>
          <w:tab w:val="num" w:pos="0"/>
        </w:tabs>
        <w:spacing w:line="480" w:lineRule="auto"/>
        <w:ind w:left="0" w:firstLine="0"/>
        <w:rPr>
          <w:rFonts w:ascii="Times New Roman" w:hAnsi="Times New Roman" w:cs="Times New Roman"/>
          <w:b/>
          <w:bCs/>
          <w:u w:val="single"/>
        </w:rPr>
      </w:pPr>
      <w:r w:rsidRPr="00BE21E7">
        <w:rPr>
          <w:rFonts w:ascii="Times New Roman" w:hAnsi="Times New Roman" w:cs="Times New Roman"/>
          <w:b/>
          <w:bCs/>
          <w:u w:val="single"/>
        </w:rPr>
        <w:lastRenderedPageBreak/>
        <w:t>Transmission Expense</w:t>
      </w:r>
    </w:p>
    <w:p w:rsidR="00BE21E7" w:rsidRPr="00BE21E7" w:rsidRDefault="00BE21E7" w:rsidP="00957004">
      <w:pPr>
        <w:pStyle w:val="TestBody"/>
        <w:numPr>
          <w:ilvl w:val="0"/>
          <w:numId w:val="6"/>
        </w:numPr>
        <w:tabs>
          <w:tab w:val="clear" w:pos="1440"/>
        </w:tabs>
        <w:spacing w:line="480" w:lineRule="auto"/>
        <w:ind w:left="0" w:firstLine="720"/>
        <w:rPr>
          <w:rFonts w:ascii="Times New Roman" w:hAnsi="Times New Roman" w:cs="Times New Roman"/>
          <w:b/>
          <w:bCs/>
        </w:rPr>
      </w:pPr>
      <w:r w:rsidRPr="00BE21E7">
        <w:rPr>
          <w:rFonts w:ascii="Times New Roman" w:hAnsi="Times New Roman" w:cs="Times New Roman"/>
          <w:b/>
          <w:bCs/>
        </w:rPr>
        <w:t>What changes in transmission expense are in the pro forma comp</w:t>
      </w:r>
      <w:r w:rsidR="007C4511">
        <w:rPr>
          <w:rFonts w:ascii="Times New Roman" w:hAnsi="Times New Roman" w:cs="Times New Roman"/>
          <w:b/>
          <w:bCs/>
        </w:rPr>
        <w:t xml:space="preserve">ared to the </w:t>
      </w:r>
      <w:r w:rsidR="0053057E">
        <w:rPr>
          <w:rFonts w:ascii="Times New Roman" w:hAnsi="Times New Roman" w:cs="Times New Roman"/>
          <w:b/>
          <w:bCs/>
        </w:rPr>
        <w:t xml:space="preserve">test-year and the </w:t>
      </w:r>
      <w:r w:rsidR="007C4511">
        <w:rPr>
          <w:rFonts w:ascii="Times New Roman" w:hAnsi="Times New Roman" w:cs="Times New Roman"/>
          <w:b/>
          <w:bCs/>
        </w:rPr>
        <w:t xml:space="preserve">expense in current </w:t>
      </w:r>
      <w:r w:rsidR="00C026FD">
        <w:rPr>
          <w:rFonts w:ascii="Times New Roman" w:hAnsi="Times New Roman" w:cs="Times New Roman"/>
          <w:b/>
          <w:bCs/>
        </w:rPr>
        <w:t>base rates</w:t>
      </w:r>
      <w:r w:rsidRPr="00BE21E7">
        <w:rPr>
          <w:rFonts w:ascii="Times New Roman" w:hAnsi="Times New Roman" w:cs="Times New Roman"/>
          <w:b/>
          <w:bCs/>
        </w:rPr>
        <w:t>?</w:t>
      </w:r>
    </w:p>
    <w:p w:rsidR="007A04C5" w:rsidRPr="00890D94" w:rsidRDefault="009C2006" w:rsidP="00890D94">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C4511">
        <w:rPr>
          <w:rFonts w:ascii="Times New Roman" w:hAnsi="Times New Roman" w:cs="Times New Roman"/>
        </w:rPr>
        <w:t xml:space="preserve">The </w:t>
      </w:r>
      <w:r w:rsidR="00F34816">
        <w:rPr>
          <w:rFonts w:ascii="Times New Roman" w:hAnsi="Times New Roman" w:cs="Times New Roman"/>
        </w:rPr>
        <w:t xml:space="preserve">biggest change </w:t>
      </w:r>
      <w:r w:rsidR="0081054C">
        <w:rPr>
          <w:rFonts w:ascii="Times New Roman" w:hAnsi="Times New Roman" w:cs="Times New Roman"/>
        </w:rPr>
        <w:t xml:space="preserve">from the test-year </w:t>
      </w:r>
      <w:r w:rsidR="00F34816">
        <w:rPr>
          <w:rFonts w:ascii="Times New Roman" w:hAnsi="Times New Roman" w:cs="Times New Roman"/>
        </w:rPr>
        <w:t>is the reduction in transmission purchase</w:t>
      </w:r>
      <w:r w:rsidR="00BB1045">
        <w:rPr>
          <w:rFonts w:ascii="Times New Roman" w:hAnsi="Times New Roman" w:cs="Times New Roman"/>
        </w:rPr>
        <w:t>d</w:t>
      </w:r>
      <w:r w:rsidR="00F34816">
        <w:rPr>
          <w:rFonts w:ascii="Times New Roman" w:hAnsi="Times New Roman" w:cs="Times New Roman"/>
        </w:rPr>
        <w:t xml:space="preserve"> for the Lancaster plant.  </w:t>
      </w:r>
      <w:r w:rsidR="00BB4F8F">
        <w:rPr>
          <w:rFonts w:ascii="Times New Roman" w:hAnsi="Times New Roman" w:cs="Times New Roman"/>
        </w:rPr>
        <w:t>Through August 2014</w:t>
      </w:r>
      <w:r w:rsidR="00F34816">
        <w:rPr>
          <w:rFonts w:ascii="Times New Roman" w:hAnsi="Times New Roman" w:cs="Times New Roman"/>
        </w:rPr>
        <w:t xml:space="preserve"> </w:t>
      </w:r>
      <w:r w:rsidR="00647807">
        <w:rPr>
          <w:rFonts w:ascii="Times New Roman" w:hAnsi="Times New Roman" w:cs="Times New Roman"/>
        </w:rPr>
        <w:t>the Company</w:t>
      </w:r>
      <w:r w:rsidR="00F34816">
        <w:rPr>
          <w:rFonts w:ascii="Times New Roman" w:hAnsi="Times New Roman" w:cs="Times New Roman"/>
        </w:rPr>
        <w:t xml:space="preserve"> purchase</w:t>
      </w:r>
      <w:r w:rsidR="00BB4F8F">
        <w:rPr>
          <w:rFonts w:ascii="Times New Roman" w:hAnsi="Times New Roman" w:cs="Times New Roman"/>
        </w:rPr>
        <w:t>d</w:t>
      </w:r>
      <w:r w:rsidR="00F34816">
        <w:rPr>
          <w:rFonts w:ascii="Times New Roman" w:hAnsi="Times New Roman" w:cs="Times New Roman"/>
        </w:rPr>
        <w:t xml:space="preserve"> 250 MW of BPA point-to-point </w:t>
      </w:r>
      <w:proofErr w:type="gramStart"/>
      <w:r w:rsidR="00F34816">
        <w:rPr>
          <w:rFonts w:ascii="Times New Roman" w:hAnsi="Times New Roman" w:cs="Times New Roman"/>
        </w:rPr>
        <w:t>transm</w:t>
      </w:r>
      <w:r w:rsidR="004B4163">
        <w:rPr>
          <w:rFonts w:ascii="Times New Roman" w:hAnsi="Times New Roman" w:cs="Times New Roman"/>
        </w:rPr>
        <w:t>i</w:t>
      </w:r>
      <w:r w:rsidR="0053057E">
        <w:rPr>
          <w:rFonts w:ascii="Times New Roman" w:hAnsi="Times New Roman" w:cs="Times New Roman"/>
        </w:rPr>
        <w:t>s</w:t>
      </w:r>
      <w:r w:rsidR="004B4163">
        <w:rPr>
          <w:rFonts w:ascii="Times New Roman" w:hAnsi="Times New Roman" w:cs="Times New Roman"/>
        </w:rPr>
        <w:t>s</w:t>
      </w:r>
      <w:r w:rsidR="00F34816">
        <w:rPr>
          <w:rFonts w:ascii="Times New Roman" w:hAnsi="Times New Roman" w:cs="Times New Roman"/>
        </w:rPr>
        <w:t>ion</w:t>
      </w:r>
      <w:proofErr w:type="gramEnd"/>
      <w:r w:rsidR="00F34816">
        <w:rPr>
          <w:rFonts w:ascii="Times New Roman" w:hAnsi="Times New Roman" w:cs="Times New Roman"/>
        </w:rPr>
        <w:t xml:space="preserve"> to move Lancaster Generation to the </w:t>
      </w:r>
      <w:r w:rsidR="004A135E">
        <w:rPr>
          <w:rFonts w:ascii="Times New Roman" w:hAnsi="Times New Roman" w:cs="Times New Roman"/>
        </w:rPr>
        <w:t>C</w:t>
      </w:r>
      <w:r w:rsidR="00F34816">
        <w:rPr>
          <w:rFonts w:ascii="Times New Roman" w:hAnsi="Times New Roman" w:cs="Times New Roman"/>
        </w:rPr>
        <w:t>ompany’s system.  On December 13, 20</w:t>
      </w:r>
      <w:r w:rsidR="00FD76EC">
        <w:rPr>
          <w:rFonts w:ascii="Times New Roman" w:hAnsi="Times New Roman" w:cs="Times New Roman"/>
        </w:rPr>
        <w:t>1</w:t>
      </w:r>
      <w:r w:rsidR="00F34816">
        <w:rPr>
          <w:rFonts w:ascii="Times New Roman" w:hAnsi="Times New Roman" w:cs="Times New Roman"/>
        </w:rPr>
        <w:t>3</w:t>
      </w:r>
      <w:r w:rsidR="00460A0B">
        <w:rPr>
          <w:rFonts w:ascii="Times New Roman" w:hAnsi="Times New Roman" w:cs="Times New Roman"/>
        </w:rPr>
        <w:t>,</w:t>
      </w:r>
      <w:r w:rsidR="00F34816">
        <w:rPr>
          <w:rFonts w:ascii="Times New Roman" w:hAnsi="Times New Roman" w:cs="Times New Roman"/>
        </w:rPr>
        <w:t xml:space="preserve"> the Lancaster </w:t>
      </w:r>
      <w:r w:rsidR="00044806">
        <w:rPr>
          <w:rFonts w:ascii="Times New Roman" w:hAnsi="Times New Roman" w:cs="Times New Roman"/>
        </w:rPr>
        <w:t>substation became a point of interconnection</w:t>
      </w:r>
      <w:r w:rsidR="00F34816">
        <w:rPr>
          <w:rFonts w:ascii="Times New Roman" w:hAnsi="Times New Roman" w:cs="Times New Roman"/>
        </w:rPr>
        <w:t xml:space="preserve"> to Avista’s transmission system, eliminatin</w:t>
      </w:r>
      <w:r w:rsidR="00044806">
        <w:rPr>
          <w:rFonts w:ascii="Times New Roman" w:hAnsi="Times New Roman" w:cs="Times New Roman"/>
        </w:rPr>
        <w:t>g the need for BPA transmission for Lancaster.</w:t>
      </w:r>
      <w:r w:rsidR="00F34816">
        <w:rPr>
          <w:rFonts w:ascii="Times New Roman" w:hAnsi="Times New Roman" w:cs="Times New Roman"/>
        </w:rPr>
        <w:t xml:space="preserve">  Avista’s </w:t>
      </w:r>
      <w:r w:rsidR="00044806">
        <w:rPr>
          <w:rFonts w:ascii="Times New Roman" w:hAnsi="Times New Roman" w:cs="Times New Roman"/>
        </w:rPr>
        <w:t xml:space="preserve">Lancaster </w:t>
      </w:r>
      <w:r w:rsidR="00F34816">
        <w:rPr>
          <w:rFonts w:ascii="Times New Roman" w:hAnsi="Times New Roman" w:cs="Times New Roman"/>
        </w:rPr>
        <w:t>transmission contracts with BPA allowed for the termination of 150 MW of the 25</w:t>
      </w:r>
      <w:r w:rsidR="0053057E">
        <w:rPr>
          <w:rFonts w:ascii="Times New Roman" w:hAnsi="Times New Roman" w:cs="Times New Roman"/>
        </w:rPr>
        <w:t>0 MW of transmission with a two-</w:t>
      </w:r>
      <w:r w:rsidR="00F34816">
        <w:rPr>
          <w:rFonts w:ascii="Times New Roman" w:hAnsi="Times New Roman" w:cs="Times New Roman"/>
        </w:rPr>
        <w:t>year notice.  The termination notice was give</w:t>
      </w:r>
      <w:r w:rsidR="005834BD">
        <w:rPr>
          <w:rFonts w:ascii="Times New Roman" w:hAnsi="Times New Roman" w:cs="Times New Roman"/>
        </w:rPr>
        <w:t xml:space="preserve">n to BPA on August 31, 2012, </w:t>
      </w:r>
      <w:r w:rsidR="0081054C">
        <w:rPr>
          <w:rFonts w:ascii="Times New Roman" w:hAnsi="Times New Roman" w:cs="Times New Roman"/>
        </w:rPr>
        <w:t>and the cont</w:t>
      </w:r>
      <w:r w:rsidR="006E0068">
        <w:rPr>
          <w:rFonts w:ascii="Times New Roman" w:hAnsi="Times New Roman" w:cs="Times New Roman"/>
        </w:rPr>
        <w:t>ract ended August 31, 2014.</w:t>
      </w:r>
      <w:r w:rsidR="0081054C">
        <w:rPr>
          <w:rFonts w:ascii="Times New Roman" w:hAnsi="Times New Roman" w:cs="Times New Roman"/>
        </w:rPr>
        <w:t xml:space="preserve">  </w:t>
      </w:r>
      <w:r w:rsidR="005834BD">
        <w:rPr>
          <w:rFonts w:ascii="Times New Roman" w:hAnsi="Times New Roman" w:cs="Times New Roman"/>
        </w:rPr>
        <w:t xml:space="preserve">  </w:t>
      </w:r>
      <w:r w:rsidR="0073566F">
        <w:rPr>
          <w:rFonts w:ascii="Times New Roman" w:hAnsi="Times New Roman" w:cs="Times New Roman"/>
        </w:rPr>
        <w:t>There is only a $9,000 difference in transmission expense from the level in current base rates.</w:t>
      </w:r>
    </w:p>
    <w:p w:rsidR="00904869" w:rsidRPr="00BE21E7" w:rsidRDefault="00904869" w:rsidP="00904869">
      <w:pPr>
        <w:pStyle w:val="TestBody"/>
        <w:tabs>
          <w:tab w:val="num" w:pos="0"/>
        </w:tabs>
        <w:spacing w:line="480" w:lineRule="auto"/>
        <w:ind w:left="0" w:firstLine="0"/>
        <w:rPr>
          <w:rFonts w:ascii="Times New Roman" w:hAnsi="Times New Roman" w:cs="Times New Roman"/>
          <w:b/>
          <w:bCs/>
          <w:u w:val="single"/>
        </w:rPr>
      </w:pPr>
      <w:r>
        <w:rPr>
          <w:rFonts w:ascii="Times New Roman" w:hAnsi="Times New Roman" w:cs="Times New Roman"/>
          <w:b/>
          <w:bCs/>
          <w:u w:val="single"/>
        </w:rPr>
        <w:t>Summary</w:t>
      </w:r>
    </w:p>
    <w:p w:rsidR="00904869" w:rsidRPr="00BE21E7" w:rsidRDefault="00904869" w:rsidP="00F54F39">
      <w:pPr>
        <w:pStyle w:val="TestBody"/>
        <w:numPr>
          <w:ilvl w:val="0"/>
          <w:numId w:val="11"/>
        </w:numPr>
        <w:tabs>
          <w:tab w:val="clear" w:pos="1440"/>
          <w:tab w:val="num" w:pos="0"/>
        </w:tabs>
        <w:spacing w:line="480" w:lineRule="auto"/>
        <w:ind w:left="0" w:firstLine="720"/>
        <w:rPr>
          <w:rFonts w:ascii="Times New Roman" w:hAnsi="Times New Roman" w:cs="Times New Roman"/>
          <w:b/>
          <w:bCs/>
        </w:rPr>
      </w:pPr>
      <w:r>
        <w:rPr>
          <w:rFonts w:ascii="Times New Roman" w:hAnsi="Times New Roman" w:cs="Times New Roman"/>
          <w:b/>
          <w:bCs/>
        </w:rPr>
        <w:t>Please summarize your proposed pro forma power supply expense</w:t>
      </w:r>
      <w:r w:rsidR="00F54F39">
        <w:rPr>
          <w:rFonts w:ascii="Times New Roman" w:hAnsi="Times New Roman" w:cs="Times New Roman"/>
          <w:b/>
          <w:bCs/>
        </w:rPr>
        <w:t xml:space="preserve"> that </w:t>
      </w:r>
      <w:r w:rsidR="004A135E">
        <w:rPr>
          <w:rFonts w:ascii="Times New Roman" w:hAnsi="Times New Roman" w:cs="Times New Roman"/>
          <w:b/>
          <w:bCs/>
        </w:rPr>
        <w:t xml:space="preserve">is </w:t>
      </w:r>
      <w:r w:rsidR="00F54F39">
        <w:rPr>
          <w:rFonts w:ascii="Times New Roman" w:hAnsi="Times New Roman" w:cs="Times New Roman"/>
          <w:b/>
          <w:bCs/>
        </w:rPr>
        <w:t>provided to witness Andrews</w:t>
      </w:r>
      <w:r w:rsidR="003749AB">
        <w:rPr>
          <w:rFonts w:ascii="Times New Roman" w:hAnsi="Times New Roman" w:cs="Times New Roman"/>
          <w:b/>
          <w:bCs/>
        </w:rPr>
        <w:t xml:space="preserve"> for the Company</w:t>
      </w:r>
      <w:r w:rsidR="00EA73D4">
        <w:rPr>
          <w:rFonts w:ascii="Times New Roman" w:hAnsi="Times New Roman" w:cs="Times New Roman"/>
          <w:b/>
          <w:bCs/>
        </w:rPr>
        <w:t>’s</w:t>
      </w:r>
      <w:r w:rsidR="003749AB">
        <w:rPr>
          <w:rFonts w:ascii="Times New Roman" w:hAnsi="Times New Roman" w:cs="Times New Roman"/>
          <w:b/>
          <w:bCs/>
        </w:rPr>
        <w:t xml:space="preserve"> electric attrition study.</w:t>
      </w:r>
      <w:r w:rsidR="003749AB">
        <w:rPr>
          <w:rStyle w:val="FootnoteReference"/>
          <w:rFonts w:ascii="Times New Roman" w:hAnsi="Times New Roman"/>
          <w:b/>
          <w:bCs/>
        </w:rPr>
        <w:footnoteReference w:id="3"/>
      </w:r>
    </w:p>
    <w:p w:rsidR="00D35315" w:rsidRDefault="00904869" w:rsidP="00D35315">
      <w:pPr>
        <w:pStyle w:val="TestBody"/>
        <w:spacing w:line="480" w:lineRule="auto"/>
        <w:ind w:left="0" w:firstLine="720"/>
      </w:pPr>
      <w:r>
        <w:rPr>
          <w:rFonts w:ascii="Times New Roman" w:hAnsi="Times New Roman" w:cs="Times New Roman"/>
        </w:rPr>
        <w:t>A.</w:t>
      </w:r>
      <w:r>
        <w:rPr>
          <w:rFonts w:ascii="Times New Roman" w:hAnsi="Times New Roman" w:cs="Times New Roman"/>
        </w:rPr>
        <w:tab/>
        <w:t>The proposed pro forma power supply expense as shown in Exhibit No. __</w:t>
      </w:r>
      <w:r w:rsidR="00B417CF">
        <w:rPr>
          <w:rFonts w:ascii="Times New Roman" w:hAnsi="Times New Roman" w:cs="Times New Roman"/>
        </w:rPr>
        <w:t>_ (</w:t>
      </w:r>
      <w:r>
        <w:rPr>
          <w:rFonts w:ascii="Times New Roman" w:hAnsi="Times New Roman" w:cs="Times New Roman"/>
        </w:rPr>
        <w:t>WGJ-2) is a $</w:t>
      </w:r>
      <w:r w:rsidR="003749AB">
        <w:rPr>
          <w:rFonts w:ascii="Times New Roman" w:hAnsi="Times New Roman" w:cs="Times New Roman"/>
        </w:rPr>
        <w:t>6,923</w:t>
      </w:r>
      <w:r w:rsidR="0094078E">
        <w:rPr>
          <w:rFonts w:ascii="Times New Roman" w:hAnsi="Times New Roman" w:cs="Times New Roman"/>
        </w:rPr>
        <w:t>,000</w:t>
      </w:r>
      <w:r>
        <w:rPr>
          <w:rFonts w:ascii="Times New Roman" w:hAnsi="Times New Roman" w:cs="Times New Roman"/>
        </w:rPr>
        <w:t xml:space="preserve"> </w:t>
      </w:r>
      <w:r w:rsidR="00703491">
        <w:rPr>
          <w:rFonts w:ascii="Times New Roman" w:hAnsi="Times New Roman" w:cs="Times New Roman"/>
        </w:rPr>
        <w:t xml:space="preserve">increase </w:t>
      </w:r>
      <w:r>
        <w:rPr>
          <w:rFonts w:ascii="Times New Roman" w:hAnsi="Times New Roman" w:cs="Times New Roman"/>
        </w:rPr>
        <w:t xml:space="preserve">in expense on a system basis </w:t>
      </w:r>
      <w:r w:rsidR="003749AB">
        <w:rPr>
          <w:rFonts w:ascii="Times New Roman" w:hAnsi="Times New Roman" w:cs="Times New Roman"/>
        </w:rPr>
        <w:t xml:space="preserve">and </w:t>
      </w:r>
      <w:r w:rsidRPr="00C97820">
        <w:rPr>
          <w:rFonts w:ascii="Times New Roman" w:hAnsi="Times New Roman" w:cs="Times New Roman"/>
        </w:rPr>
        <w:t>$</w:t>
      </w:r>
      <w:r w:rsidR="003749AB">
        <w:rPr>
          <w:rFonts w:ascii="Times New Roman" w:hAnsi="Times New Roman" w:cs="Times New Roman"/>
        </w:rPr>
        <w:t>4,513,104 for the Washington allocation</w:t>
      </w:r>
      <w:r>
        <w:rPr>
          <w:rFonts w:ascii="Times New Roman" w:hAnsi="Times New Roman" w:cs="Times New Roman"/>
        </w:rPr>
        <w:t xml:space="preserve"> from </w:t>
      </w:r>
      <w:r w:rsidR="00C97820">
        <w:rPr>
          <w:rFonts w:ascii="Times New Roman" w:hAnsi="Times New Roman" w:cs="Times New Roman"/>
        </w:rPr>
        <w:t xml:space="preserve">the </w:t>
      </w:r>
      <w:r w:rsidR="0094078E">
        <w:rPr>
          <w:rFonts w:ascii="Times New Roman" w:hAnsi="Times New Roman" w:cs="Times New Roman"/>
        </w:rPr>
        <w:t xml:space="preserve">October </w:t>
      </w:r>
      <w:r w:rsidR="00C97820">
        <w:rPr>
          <w:rFonts w:ascii="Times New Roman" w:hAnsi="Times New Roman" w:cs="Times New Roman"/>
        </w:rPr>
        <w:t>201</w:t>
      </w:r>
      <w:r w:rsidR="0094078E">
        <w:rPr>
          <w:rFonts w:ascii="Times New Roman" w:hAnsi="Times New Roman" w:cs="Times New Roman"/>
        </w:rPr>
        <w:t>3</w:t>
      </w:r>
      <w:r w:rsidR="00C97820">
        <w:rPr>
          <w:rFonts w:ascii="Times New Roman" w:hAnsi="Times New Roman" w:cs="Times New Roman"/>
        </w:rPr>
        <w:t xml:space="preserve"> through </w:t>
      </w:r>
      <w:r w:rsidR="0094078E">
        <w:rPr>
          <w:rFonts w:ascii="Times New Roman" w:hAnsi="Times New Roman" w:cs="Times New Roman"/>
        </w:rPr>
        <w:t xml:space="preserve">September </w:t>
      </w:r>
      <w:r w:rsidR="00EA73D4">
        <w:rPr>
          <w:rFonts w:ascii="Times New Roman" w:hAnsi="Times New Roman" w:cs="Times New Roman"/>
        </w:rPr>
        <w:t>201</w:t>
      </w:r>
      <w:r w:rsidR="0094078E">
        <w:rPr>
          <w:rFonts w:ascii="Times New Roman" w:hAnsi="Times New Roman" w:cs="Times New Roman"/>
        </w:rPr>
        <w:t>4</w:t>
      </w:r>
      <w:r w:rsidR="00C97820">
        <w:rPr>
          <w:rFonts w:ascii="Times New Roman" w:hAnsi="Times New Roman" w:cs="Times New Roman"/>
        </w:rPr>
        <w:t xml:space="preserve"> </w:t>
      </w:r>
      <w:r>
        <w:rPr>
          <w:rFonts w:ascii="Times New Roman" w:hAnsi="Times New Roman" w:cs="Times New Roman"/>
        </w:rPr>
        <w:t>test-year expense</w:t>
      </w:r>
      <w:r w:rsidR="003749AB">
        <w:rPr>
          <w:rFonts w:ascii="Times New Roman" w:hAnsi="Times New Roman" w:cs="Times New Roman"/>
        </w:rPr>
        <w:t>.</w:t>
      </w:r>
      <w:r>
        <w:rPr>
          <w:rFonts w:ascii="Times New Roman" w:hAnsi="Times New Roman" w:cs="Times New Roman"/>
        </w:rPr>
        <w:t xml:space="preserve"> </w:t>
      </w:r>
      <w:r w:rsidR="00BE221B">
        <w:rPr>
          <w:rFonts w:ascii="Times New Roman" w:hAnsi="Times New Roman" w:cs="Times New Roman"/>
        </w:rPr>
        <w:t xml:space="preserve">  Part of the increase in expense is related to consolidating the Colstrip and Coyote Springs 2 O&amp;M expense with base power supply expense.</w:t>
      </w:r>
      <w:r w:rsidR="00D35315">
        <w:rPr>
          <w:rFonts w:ascii="Times New Roman" w:hAnsi="Times New Roman" w:cs="Times New Roman"/>
        </w:rPr>
        <w:br w:type="page"/>
      </w:r>
    </w:p>
    <w:p w:rsidR="00212289" w:rsidRPr="00BE21E7" w:rsidRDefault="00212289" w:rsidP="00212289">
      <w:pPr>
        <w:pStyle w:val="TestBody"/>
        <w:tabs>
          <w:tab w:val="num" w:pos="0"/>
          <w:tab w:val="num" w:pos="720"/>
        </w:tabs>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IV.</w:t>
      </w:r>
      <w:r w:rsidRPr="00BE21E7">
        <w:rPr>
          <w:rFonts w:ascii="Times New Roman" w:hAnsi="Times New Roman" w:cs="Times New Roman"/>
          <w:b/>
          <w:bCs/>
          <w:u w:val="single"/>
        </w:rPr>
        <w:tab/>
      </w:r>
      <w:r>
        <w:rPr>
          <w:rFonts w:ascii="Times New Roman" w:hAnsi="Times New Roman" w:cs="Times New Roman"/>
          <w:b/>
          <w:bCs/>
          <w:u w:val="single"/>
        </w:rPr>
        <w:t>MODIFICATIONS TO THE ERM</w:t>
      </w:r>
    </w:p>
    <w:p w:rsidR="00212289" w:rsidRPr="00243D57" w:rsidRDefault="00212289" w:rsidP="00212289">
      <w:pPr>
        <w:pStyle w:val="BodyText"/>
        <w:tabs>
          <w:tab w:val="num" w:pos="0"/>
          <w:tab w:val="left" w:pos="810"/>
        </w:tabs>
        <w:spacing w:line="480" w:lineRule="auto"/>
        <w:ind w:firstLine="720"/>
        <w:jc w:val="both"/>
        <w:rPr>
          <w:bCs w:val="0"/>
        </w:rPr>
      </w:pPr>
      <w:r w:rsidRPr="00243D57">
        <w:rPr>
          <w:bCs w:val="0"/>
        </w:rPr>
        <w:t>Q.</w:t>
      </w:r>
      <w:r w:rsidR="0033668A">
        <w:rPr>
          <w:bCs w:val="0"/>
        </w:rPr>
        <w:tab/>
        <w:t xml:space="preserve">Is </w:t>
      </w:r>
      <w:r w:rsidRPr="00243D57">
        <w:rPr>
          <w:bCs w:val="0"/>
        </w:rPr>
        <w:t>the Company</w:t>
      </w:r>
      <w:r w:rsidR="0033668A">
        <w:rPr>
          <w:bCs w:val="0"/>
        </w:rPr>
        <w:t xml:space="preserve"> proposing any modification to the</w:t>
      </w:r>
      <w:r w:rsidRPr="00243D57">
        <w:rPr>
          <w:bCs w:val="0"/>
        </w:rPr>
        <w:t xml:space="preserve"> ERM?</w:t>
      </w:r>
    </w:p>
    <w:p w:rsidR="00212289" w:rsidRDefault="00212289" w:rsidP="0033668A">
      <w:pPr>
        <w:pStyle w:val="BodyText"/>
        <w:tabs>
          <w:tab w:val="num" w:pos="0"/>
          <w:tab w:val="left" w:pos="810"/>
        </w:tabs>
        <w:spacing w:line="480" w:lineRule="auto"/>
        <w:ind w:firstLine="720"/>
        <w:jc w:val="both"/>
        <w:rPr>
          <w:b w:val="0"/>
          <w:bCs w:val="0"/>
        </w:rPr>
      </w:pPr>
      <w:r>
        <w:rPr>
          <w:b w:val="0"/>
          <w:bCs w:val="0"/>
        </w:rPr>
        <w:t>A.</w:t>
      </w:r>
      <w:r>
        <w:rPr>
          <w:b w:val="0"/>
          <w:bCs w:val="0"/>
        </w:rPr>
        <w:tab/>
      </w:r>
      <w:r w:rsidR="00B03276">
        <w:rPr>
          <w:b w:val="0"/>
          <w:bCs w:val="0"/>
        </w:rPr>
        <w:t>Yes</w:t>
      </w:r>
      <w:r w:rsidR="0033668A">
        <w:rPr>
          <w:b w:val="0"/>
          <w:bCs w:val="0"/>
        </w:rPr>
        <w:t xml:space="preserve">.  </w:t>
      </w:r>
      <w:r>
        <w:rPr>
          <w:b w:val="0"/>
          <w:bCs w:val="0"/>
        </w:rPr>
        <w:t xml:space="preserve">The Company </w:t>
      </w:r>
      <w:r w:rsidR="0033668A">
        <w:rPr>
          <w:b w:val="0"/>
          <w:bCs w:val="0"/>
        </w:rPr>
        <w:t xml:space="preserve">is proposing </w:t>
      </w:r>
      <w:r w:rsidR="00B03276">
        <w:rPr>
          <w:b w:val="0"/>
          <w:bCs w:val="0"/>
        </w:rPr>
        <w:t xml:space="preserve">three </w:t>
      </w:r>
      <w:r w:rsidR="0033668A">
        <w:rPr>
          <w:b w:val="0"/>
          <w:bCs w:val="0"/>
        </w:rPr>
        <w:t>changes to the ERM</w:t>
      </w:r>
      <w:r w:rsidR="00C43FEC">
        <w:rPr>
          <w:b w:val="0"/>
          <w:bCs w:val="0"/>
        </w:rPr>
        <w:t xml:space="preserve">.  </w:t>
      </w:r>
      <w:r w:rsidR="00B03276">
        <w:rPr>
          <w:b w:val="0"/>
          <w:bCs w:val="0"/>
        </w:rPr>
        <w:t xml:space="preserve">These three changes are: 1) </w:t>
      </w:r>
      <w:r w:rsidR="0094078E">
        <w:rPr>
          <w:b w:val="0"/>
          <w:bCs w:val="0"/>
        </w:rPr>
        <w:t xml:space="preserve">a proposal to </w:t>
      </w:r>
      <w:r w:rsidR="00B03276">
        <w:rPr>
          <w:b w:val="0"/>
          <w:bCs w:val="0"/>
        </w:rPr>
        <w:t xml:space="preserve">annually clear the deferral balance with a rebate or a surcharge rather than waiting until a $30 million trigger balance is reached, 2) change the </w:t>
      </w:r>
      <w:r w:rsidR="00EA73D4">
        <w:rPr>
          <w:b w:val="0"/>
          <w:bCs w:val="0"/>
        </w:rPr>
        <w:t>load change adjustment</w:t>
      </w:r>
      <w:r w:rsidR="00B03276">
        <w:rPr>
          <w:b w:val="0"/>
          <w:bCs w:val="0"/>
        </w:rPr>
        <w:t xml:space="preserve"> rate </w:t>
      </w:r>
      <w:r w:rsidR="00EA73D4">
        <w:rPr>
          <w:b w:val="0"/>
          <w:bCs w:val="0"/>
        </w:rPr>
        <w:t xml:space="preserve">(LCAR) </w:t>
      </w:r>
      <w:r w:rsidR="00B03276">
        <w:rPr>
          <w:b w:val="0"/>
          <w:bCs w:val="0"/>
        </w:rPr>
        <w:t xml:space="preserve">to the </w:t>
      </w:r>
      <w:r w:rsidR="00703491">
        <w:rPr>
          <w:b w:val="0"/>
          <w:bCs w:val="0"/>
        </w:rPr>
        <w:t>average market price</w:t>
      </w:r>
      <w:r w:rsidR="00B03276">
        <w:rPr>
          <w:b w:val="0"/>
          <w:bCs w:val="0"/>
        </w:rPr>
        <w:t xml:space="preserve"> of energy rather than the </w:t>
      </w:r>
      <w:r w:rsidR="00703491">
        <w:rPr>
          <w:b w:val="0"/>
          <w:bCs w:val="0"/>
        </w:rPr>
        <w:t xml:space="preserve">ERM-related FERC accounts in dollars per </w:t>
      </w:r>
      <w:proofErr w:type="spellStart"/>
      <w:r w:rsidR="00703491">
        <w:rPr>
          <w:b w:val="0"/>
          <w:bCs w:val="0"/>
        </w:rPr>
        <w:t>MWh</w:t>
      </w:r>
      <w:proofErr w:type="spellEnd"/>
      <w:r w:rsidR="00B03276">
        <w:rPr>
          <w:b w:val="0"/>
          <w:bCs w:val="0"/>
        </w:rPr>
        <w:t xml:space="preserve">, and 3) track the </w:t>
      </w:r>
      <w:r w:rsidR="00BE221B">
        <w:rPr>
          <w:b w:val="0"/>
          <w:bCs w:val="0"/>
        </w:rPr>
        <w:t xml:space="preserve">changes in </w:t>
      </w:r>
      <w:r w:rsidR="00B03276">
        <w:rPr>
          <w:b w:val="0"/>
          <w:bCs w:val="0"/>
        </w:rPr>
        <w:t>operation and maintenance ex</w:t>
      </w:r>
      <w:r w:rsidR="00BE221B">
        <w:rPr>
          <w:b w:val="0"/>
          <w:bCs w:val="0"/>
        </w:rPr>
        <w:t xml:space="preserve">penses for </w:t>
      </w:r>
      <w:r w:rsidR="00B03276">
        <w:rPr>
          <w:b w:val="0"/>
          <w:bCs w:val="0"/>
        </w:rPr>
        <w:t xml:space="preserve">Colstrip </w:t>
      </w:r>
      <w:r w:rsidR="00BE221B">
        <w:rPr>
          <w:b w:val="0"/>
          <w:bCs w:val="0"/>
        </w:rPr>
        <w:t xml:space="preserve">and Coyote Springs 2 </w:t>
      </w:r>
      <w:r w:rsidR="00B03276">
        <w:rPr>
          <w:b w:val="0"/>
          <w:bCs w:val="0"/>
        </w:rPr>
        <w:t>in the ERM.</w:t>
      </w:r>
    </w:p>
    <w:p w:rsidR="00EB7000" w:rsidRDefault="00EB7000" w:rsidP="00EB7000">
      <w:pPr>
        <w:pStyle w:val="BodyText"/>
        <w:tabs>
          <w:tab w:val="num" w:pos="0"/>
          <w:tab w:val="left" w:pos="810"/>
        </w:tabs>
        <w:spacing w:line="480" w:lineRule="auto"/>
        <w:jc w:val="both"/>
        <w:rPr>
          <w:bCs w:val="0"/>
          <w:u w:val="single"/>
        </w:rPr>
      </w:pPr>
      <w:r>
        <w:rPr>
          <w:bCs w:val="0"/>
          <w:u w:val="single"/>
        </w:rPr>
        <w:t>ERM Deferral Balance Trigger</w:t>
      </w:r>
    </w:p>
    <w:p w:rsidR="00EB7000" w:rsidRDefault="00EB7000" w:rsidP="00EB7000">
      <w:pPr>
        <w:pStyle w:val="BodyText"/>
        <w:tabs>
          <w:tab w:val="num" w:pos="0"/>
          <w:tab w:val="left" w:pos="810"/>
        </w:tabs>
        <w:spacing w:line="480" w:lineRule="auto"/>
        <w:ind w:firstLine="720"/>
        <w:jc w:val="both"/>
        <w:rPr>
          <w:bCs w:val="0"/>
        </w:rPr>
      </w:pPr>
      <w:r>
        <w:rPr>
          <w:bCs w:val="0"/>
        </w:rPr>
        <w:t>Q.</w:t>
      </w:r>
      <w:r>
        <w:rPr>
          <w:bCs w:val="0"/>
        </w:rPr>
        <w:tab/>
        <w:t>What is the current rate adjustment trigger for the ERM?</w:t>
      </w:r>
    </w:p>
    <w:p w:rsidR="00EB7000" w:rsidRDefault="00EB7000" w:rsidP="00EB7000">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rate adjustment trigger was originally set at 10% of base revenues per the Settlement Stipulation approved by the Fifth Supplemental Order in Docket UE-011595, dated June 18, 2002.  </w:t>
      </w:r>
      <w:proofErr w:type="gramStart"/>
      <w:r>
        <w:rPr>
          <w:b w:val="0"/>
          <w:bCs w:val="0"/>
        </w:rPr>
        <w:t xml:space="preserve">The </w:t>
      </w:r>
      <w:r w:rsidR="009E1656">
        <w:rPr>
          <w:b w:val="0"/>
          <w:bCs w:val="0"/>
        </w:rPr>
        <w:t>multiparty settlement stipulation in Docket No.</w:t>
      </w:r>
      <w:proofErr w:type="gramEnd"/>
      <w:r w:rsidR="009E1656">
        <w:rPr>
          <w:b w:val="0"/>
          <w:bCs w:val="0"/>
        </w:rPr>
        <w:t xml:space="preserve"> UE-120436</w:t>
      </w:r>
      <w:r>
        <w:rPr>
          <w:b w:val="0"/>
          <w:bCs w:val="0"/>
        </w:rPr>
        <w:t xml:space="preserve"> reduced the </w:t>
      </w:r>
      <w:r w:rsidR="009E1656">
        <w:rPr>
          <w:b w:val="0"/>
          <w:bCs w:val="0"/>
        </w:rPr>
        <w:t xml:space="preserve">rate adjustment </w:t>
      </w:r>
      <w:r>
        <w:rPr>
          <w:b w:val="0"/>
          <w:bCs w:val="0"/>
        </w:rPr>
        <w:t xml:space="preserve">trigger amount </w:t>
      </w:r>
      <w:r w:rsidR="009E1656">
        <w:rPr>
          <w:b w:val="0"/>
          <w:bCs w:val="0"/>
        </w:rPr>
        <w:t xml:space="preserve">from 10 percent of base revenues </w:t>
      </w:r>
      <w:r>
        <w:rPr>
          <w:b w:val="0"/>
          <w:bCs w:val="0"/>
        </w:rPr>
        <w:t xml:space="preserve">to $30 million.  </w:t>
      </w:r>
      <w:r w:rsidR="00233C14">
        <w:rPr>
          <w:b w:val="0"/>
          <w:bCs w:val="0"/>
        </w:rPr>
        <w:t xml:space="preserve">While this </w:t>
      </w:r>
      <w:r w:rsidR="009E1656">
        <w:rPr>
          <w:b w:val="0"/>
          <w:bCs w:val="0"/>
        </w:rPr>
        <w:t xml:space="preserve">substantially </w:t>
      </w:r>
      <w:r w:rsidR="00233C14">
        <w:rPr>
          <w:b w:val="0"/>
          <w:bCs w:val="0"/>
        </w:rPr>
        <w:t xml:space="preserve">reduced the trigger </w:t>
      </w:r>
      <w:r w:rsidR="009E1656">
        <w:rPr>
          <w:b w:val="0"/>
          <w:bCs w:val="0"/>
        </w:rPr>
        <w:t>amount</w:t>
      </w:r>
      <w:r w:rsidR="00233C14">
        <w:rPr>
          <w:b w:val="0"/>
          <w:bCs w:val="0"/>
        </w:rPr>
        <w:t>, t</w:t>
      </w:r>
      <w:r>
        <w:rPr>
          <w:b w:val="0"/>
          <w:bCs w:val="0"/>
        </w:rPr>
        <w:t>he Company believes that allowing d</w:t>
      </w:r>
      <w:r w:rsidR="00890D94">
        <w:rPr>
          <w:b w:val="0"/>
          <w:bCs w:val="0"/>
        </w:rPr>
        <w:t>eferrals to grow to $30 million</w:t>
      </w:r>
      <w:r>
        <w:rPr>
          <w:b w:val="0"/>
          <w:bCs w:val="0"/>
        </w:rPr>
        <w:t xml:space="preserve"> needlessly delays the recovery or rebate of variations in power supply related costs.</w:t>
      </w:r>
    </w:p>
    <w:p w:rsidR="00EB7000" w:rsidRDefault="00EB7000" w:rsidP="00EB7000">
      <w:pPr>
        <w:pStyle w:val="BodyText"/>
        <w:tabs>
          <w:tab w:val="num" w:pos="0"/>
          <w:tab w:val="left" w:pos="810"/>
        </w:tabs>
        <w:spacing w:line="480" w:lineRule="auto"/>
        <w:ind w:firstLine="720"/>
        <w:jc w:val="both"/>
        <w:rPr>
          <w:bCs w:val="0"/>
        </w:rPr>
      </w:pPr>
      <w:proofErr w:type="gramStart"/>
      <w:r>
        <w:rPr>
          <w:bCs w:val="0"/>
        </w:rPr>
        <w:t>Q.</w:t>
      </w:r>
      <w:r>
        <w:rPr>
          <w:bCs w:val="0"/>
        </w:rPr>
        <w:tab/>
        <w:t>What is the Company’s proposed modification to the trigger mechanism?</w:t>
      </w:r>
      <w:proofErr w:type="gramEnd"/>
    </w:p>
    <w:p w:rsidR="00EB7000" w:rsidRDefault="00EB7000" w:rsidP="00EB7000">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Company is proposing to replace the trigger mechanism with annual ERM rate adjustments.  These annual rate adjustments would occur with rates effective July 1 each year, based on the deferrals from the previous calendar year.  The Company would continue to file its annual deferral report on or before April 1 of each year, accompanied by </w:t>
      </w:r>
      <w:r>
        <w:rPr>
          <w:b w:val="0"/>
          <w:bCs w:val="0"/>
        </w:rPr>
        <w:lastRenderedPageBreak/>
        <w:t>a proposed rate adjustment to recover or rebate the deferral bala</w:t>
      </w:r>
      <w:r w:rsidR="00BE221B">
        <w:rPr>
          <w:b w:val="0"/>
          <w:bCs w:val="0"/>
        </w:rPr>
        <w:t xml:space="preserve">nce over a twelve-month period beginning July 1. </w:t>
      </w:r>
      <w:r>
        <w:rPr>
          <w:b w:val="0"/>
          <w:bCs w:val="0"/>
        </w:rPr>
        <w:t xml:space="preserve"> Commission Staff and othe</w:t>
      </w:r>
      <w:r w:rsidR="00BE221B">
        <w:rPr>
          <w:b w:val="0"/>
          <w:bCs w:val="0"/>
        </w:rPr>
        <w:t>r interested parties would</w:t>
      </w:r>
      <w:r>
        <w:rPr>
          <w:b w:val="0"/>
          <w:bCs w:val="0"/>
        </w:rPr>
        <w:t xml:space="preserve"> have 90 days to review the filing prior to the July 1 effective date of the tariff.</w:t>
      </w:r>
    </w:p>
    <w:p w:rsidR="00EB7000" w:rsidRDefault="00EB7000" w:rsidP="00EB7000">
      <w:pPr>
        <w:pStyle w:val="BodyText"/>
        <w:tabs>
          <w:tab w:val="num" w:pos="0"/>
          <w:tab w:val="left" w:pos="810"/>
        </w:tabs>
        <w:spacing w:line="480" w:lineRule="auto"/>
        <w:ind w:firstLine="720"/>
        <w:jc w:val="both"/>
        <w:rPr>
          <w:bCs w:val="0"/>
        </w:rPr>
      </w:pPr>
      <w:r>
        <w:rPr>
          <w:bCs w:val="0"/>
        </w:rPr>
        <w:t>Q.</w:t>
      </w:r>
      <w:r>
        <w:rPr>
          <w:bCs w:val="0"/>
        </w:rPr>
        <w:tab/>
        <w:t>Do annual rate adjustments result in smaller rate adjustments as compared to the existing trigger mechanism?</w:t>
      </w:r>
    </w:p>
    <w:p w:rsidR="00233C14" w:rsidRDefault="00EB7000" w:rsidP="00EB7000">
      <w:pPr>
        <w:pStyle w:val="BodyText"/>
        <w:tabs>
          <w:tab w:val="num" w:pos="0"/>
          <w:tab w:val="left" w:pos="810"/>
        </w:tabs>
        <w:spacing w:line="480" w:lineRule="auto"/>
        <w:ind w:firstLine="720"/>
        <w:jc w:val="both"/>
        <w:rPr>
          <w:b w:val="0"/>
          <w:bCs w:val="0"/>
        </w:rPr>
      </w:pPr>
      <w:r>
        <w:rPr>
          <w:b w:val="0"/>
          <w:bCs w:val="0"/>
        </w:rPr>
        <w:t>A.</w:t>
      </w:r>
      <w:r>
        <w:rPr>
          <w:b w:val="0"/>
          <w:bCs w:val="0"/>
        </w:rPr>
        <w:tab/>
        <w:t xml:space="preserve">Yes, the Company’s proposal would </w:t>
      </w:r>
      <w:r w:rsidR="0094078E">
        <w:rPr>
          <w:b w:val="0"/>
          <w:bCs w:val="0"/>
        </w:rPr>
        <w:t xml:space="preserve">likely </w:t>
      </w:r>
      <w:r>
        <w:rPr>
          <w:b w:val="0"/>
          <w:bCs w:val="0"/>
        </w:rPr>
        <w:t>result in smaller surcharge or rebate rate adjustments,</w:t>
      </w:r>
      <w:r w:rsidR="00D33FF6">
        <w:rPr>
          <w:b w:val="0"/>
          <w:bCs w:val="0"/>
        </w:rPr>
        <w:t xml:space="preserve"> than adjusting rates when the $30 million</w:t>
      </w:r>
      <w:r>
        <w:rPr>
          <w:b w:val="0"/>
          <w:bCs w:val="0"/>
        </w:rPr>
        <w:t xml:space="preserve"> trigger is reached.  The rate adjustments would also be more understandable to customers since the costs being recovered or rebated relate to a recent period.  Annual rate adjustments would result in a more timely recovery of costs when deferrals are in the surcharge </w:t>
      </w:r>
      <w:proofErr w:type="gramStart"/>
      <w:r>
        <w:rPr>
          <w:b w:val="0"/>
          <w:bCs w:val="0"/>
        </w:rPr>
        <w:t>direction,</w:t>
      </w:r>
      <w:proofErr w:type="gramEnd"/>
      <w:r>
        <w:rPr>
          <w:b w:val="0"/>
          <w:bCs w:val="0"/>
        </w:rPr>
        <w:t xml:space="preserve"> and a timelier pass-through of refunds when deferrals are in the rebate direction.  The proposal of annual rate adjustments also fits within the existing 90-day review process.</w:t>
      </w:r>
    </w:p>
    <w:p w:rsidR="00A01A78" w:rsidRDefault="00E32E34">
      <w:pPr>
        <w:pStyle w:val="BodyText"/>
        <w:tabs>
          <w:tab w:val="num" w:pos="0"/>
          <w:tab w:val="left" w:pos="810"/>
        </w:tabs>
        <w:spacing w:line="480" w:lineRule="auto"/>
        <w:jc w:val="both"/>
        <w:rPr>
          <w:b w:val="0"/>
          <w:bCs w:val="0"/>
        </w:rPr>
      </w:pPr>
      <w:r>
        <w:rPr>
          <w:bCs w:val="0"/>
          <w:u w:val="single"/>
        </w:rPr>
        <w:t>Load Change Adjustment</w:t>
      </w:r>
      <w:r w:rsidR="00BC7152" w:rsidRPr="00BC7152">
        <w:rPr>
          <w:bCs w:val="0"/>
          <w:u w:val="single"/>
        </w:rPr>
        <w:t xml:space="preserve"> Rate</w:t>
      </w:r>
      <w:r w:rsidR="0094078E">
        <w:rPr>
          <w:b w:val="0"/>
          <w:bCs w:val="0"/>
        </w:rPr>
        <w:t xml:space="preserve"> </w:t>
      </w:r>
    </w:p>
    <w:p w:rsidR="0033668A" w:rsidRPr="008C3F60" w:rsidRDefault="0033668A" w:rsidP="00EB7000">
      <w:pPr>
        <w:pStyle w:val="BodyText"/>
        <w:tabs>
          <w:tab w:val="num" w:pos="0"/>
          <w:tab w:val="left" w:pos="810"/>
        </w:tabs>
        <w:spacing w:line="480" w:lineRule="auto"/>
        <w:ind w:firstLine="720"/>
        <w:jc w:val="both"/>
        <w:rPr>
          <w:bCs w:val="0"/>
        </w:rPr>
      </w:pPr>
      <w:r w:rsidRPr="008C3F60">
        <w:rPr>
          <w:bCs w:val="0"/>
        </w:rPr>
        <w:t>Q.</w:t>
      </w:r>
      <w:r w:rsidRPr="008C3F60">
        <w:rPr>
          <w:bCs w:val="0"/>
        </w:rPr>
        <w:tab/>
        <w:t>What is the issue in this case reg</w:t>
      </w:r>
      <w:r w:rsidR="00E32E34">
        <w:rPr>
          <w:bCs w:val="0"/>
        </w:rPr>
        <w:t>arding the Load Change Adjustment Rate</w:t>
      </w:r>
      <w:r w:rsidRPr="008C3F60">
        <w:rPr>
          <w:bCs w:val="0"/>
        </w:rPr>
        <w:t>?</w:t>
      </w:r>
    </w:p>
    <w:p w:rsidR="0033668A" w:rsidRDefault="0033668A" w:rsidP="0033668A">
      <w:pPr>
        <w:pStyle w:val="BodyText"/>
        <w:tabs>
          <w:tab w:val="num" w:pos="0"/>
          <w:tab w:val="left" w:pos="810"/>
        </w:tabs>
        <w:spacing w:line="480" w:lineRule="auto"/>
        <w:ind w:firstLine="720"/>
        <w:jc w:val="both"/>
        <w:rPr>
          <w:b w:val="0"/>
          <w:bCs w:val="0"/>
        </w:rPr>
      </w:pPr>
      <w:r>
        <w:rPr>
          <w:b w:val="0"/>
          <w:bCs w:val="0"/>
        </w:rPr>
        <w:t>A.</w:t>
      </w:r>
      <w:r>
        <w:rPr>
          <w:b w:val="0"/>
          <w:bCs w:val="0"/>
        </w:rPr>
        <w:tab/>
        <w:t xml:space="preserve"> In the Multi-Party Settlement Agreement in Docket No. UE</w:t>
      </w:r>
      <w:r w:rsidR="00F03FB8">
        <w:rPr>
          <w:b w:val="0"/>
          <w:bCs w:val="0"/>
        </w:rPr>
        <w:t>-140188</w:t>
      </w:r>
      <w:r w:rsidR="004A135E">
        <w:rPr>
          <w:b w:val="0"/>
          <w:bCs w:val="0"/>
        </w:rPr>
        <w:t>,</w:t>
      </w:r>
      <w:r>
        <w:rPr>
          <w:b w:val="0"/>
          <w:bCs w:val="0"/>
        </w:rPr>
        <w:t xml:space="preserve"> the parties agreed to </w:t>
      </w:r>
      <w:r w:rsidR="00E32E34">
        <w:rPr>
          <w:b w:val="0"/>
          <w:bCs w:val="0"/>
        </w:rPr>
        <w:t>change the load change adjustment rate (LCAR)</w:t>
      </w:r>
      <w:r>
        <w:rPr>
          <w:b w:val="0"/>
          <w:bCs w:val="0"/>
        </w:rPr>
        <w:t xml:space="preserve"> from the energy classified production and transmission revenue requirement</w:t>
      </w:r>
      <w:r w:rsidR="00233C14">
        <w:rPr>
          <w:b w:val="0"/>
          <w:bCs w:val="0"/>
        </w:rPr>
        <w:t xml:space="preserve"> to the approved </w:t>
      </w:r>
      <w:r w:rsidR="009E1656">
        <w:rPr>
          <w:b w:val="0"/>
          <w:bCs w:val="0"/>
        </w:rPr>
        <w:t>ERM-related FERC accounts</w:t>
      </w:r>
      <w:r w:rsidR="00233C14">
        <w:rPr>
          <w:b w:val="0"/>
          <w:bCs w:val="0"/>
        </w:rPr>
        <w:t xml:space="preserve"> in dollars per </w:t>
      </w:r>
      <w:proofErr w:type="spellStart"/>
      <w:r w:rsidR="00233C14">
        <w:rPr>
          <w:b w:val="0"/>
          <w:bCs w:val="0"/>
        </w:rPr>
        <w:t>MWh</w:t>
      </w:r>
      <w:proofErr w:type="spellEnd"/>
      <w:r w:rsidR="00F03FB8">
        <w:rPr>
          <w:b w:val="0"/>
          <w:bCs w:val="0"/>
        </w:rPr>
        <w:t>.</w:t>
      </w:r>
      <w:r>
        <w:rPr>
          <w:b w:val="0"/>
          <w:bCs w:val="0"/>
        </w:rPr>
        <w:t xml:space="preserve">  This reduced the </w:t>
      </w:r>
      <w:r w:rsidR="00E32E34">
        <w:rPr>
          <w:b w:val="0"/>
          <w:bCs w:val="0"/>
        </w:rPr>
        <w:t>LCAR</w:t>
      </w:r>
      <w:r>
        <w:rPr>
          <w:b w:val="0"/>
          <w:bCs w:val="0"/>
        </w:rPr>
        <w:t xml:space="preserve"> from </w:t>
      </w:r>
      <w:r w:rsidR="00233C14">
        <w:rPr>
          <w:b w:val="0"/>
          <w:bCs w:val="0"/>
        </w:rPr>
        <w:t>$32.15</w:t>
      </w:r>
      <w:r>
        <w:rPr>
          <w:b w:val="0"/>
          <w:bCs w:val="0"/>
        </w:rPr>
        <w:t>/</w:t>
      </w:r>
      <w:proofErr w:type="spellStart"/>
      <w:r w:rsidR="00233C14">
        <w:rPr>
          <w:b w:val="0"/>
          <w:bCs w:val="0"/>
        </w:rPr>
        <w:t>M</w:t>
      </w:r>
      <w:r>
        <w:rPr>
          <w:b w:val="0"/>
          <w:bCs w:val="0"/>
        </w:rPr>
        <w:t>Wh</w:t>
      </w:r>
      <w:proofErr w:type="spellEnd"/>
      <w:r>
        <w:rPr>
          <w:b w:val="0"/>
          <w:bCs w:val="0"/>
        </w:rPr>
        <w:t xml:space="preserve"> to</w:t>
      </w:r>
      <w:r w:rsidR="00737769">
        <w:rPr>
          <w:b w:val="0"/>
          <w:bCs w:val="0"/>
        </w:rPr>
        <w:t xml:space="preserve"> </w:t>
      </w:r>
      <w:r w:rsidR="00BC7152" w:rsidRPr="00166263">
        <w:rPr>
          <w:b w:val="0"/>
          <w:bCs w:val="0"/>
        </w:rPr>
        <w:t>$</w:t>
      </w:r>
      <w:r w:rsidR="00253EEF">
        <w:rPr>
          <w:b w:val="0"/>
          <w:bCs w:val="0"/>
        </w:rPr>
        <w:t>22.80</w:t>
      </w:r>
      <w:r w:rsidR="00737769">
        <w:rPr>
          <w:b w:val="0"/>
          <w:bCs w:val="0"/>
        </w:rPr>
        <w:t>/</w:t>
      </w:r>
      <w:proofErr w:type="spellStart"/>
      <w:r w:rsidR="00233C14">
        <w:rPr>
          <w:b w:val="0"/>
          <w:bCs w:val="0"/>
        </w:rPr>
        <w:t>M</w:t>
      </w:r>
      <w:r w:rsidR="00737769">
        <w:rPr>
          <w:b w:val="0"/>
          <w:bCs w:val="0"/>
        </w:rPr>
        <w:t>Wh</w:t>
      </w:r>
      <w:proofErr w:type="spellEnd"/>
      <w:r w:rsidR="00737769">
        <w:rPr>
          <w:b w:val="0"/>
          <w:bCs w:val="0"/>
        </w:rPr>
        <w:t xml:space="preserve">.  </w:t>
      </w:r>
      <w:r w:rsidR="0094078E">
        <w:rPr>
          <w:b w:val="0"/>
          <w:bCs w:val="0"/>
        </w:rPr>
        <w:t>Although the Co</w:t>
      </w:r>
      <w:r w:rsidR="001B25B7">
        <w:rPr>
          <w:b w:val="0"/>
          <w:bCs w:val="0"/>
        </w:rPr>
        <w:t>mpany agreed to this rate for</w:t>
      </w:r>
      <w:r w:rsidR="0094078E">
        <w:rPr>
          <w:b w:val="0"/>
          <w:bCs w:val="0"/>
        </w:rPr>
        <w:t xml:space="preserve"> settlement</w:t>
      </w:r>
      <w:r w:rsidR="001B25B7">
        <w:rPr>
          <w:b w:val="0"/>
          <w:bCs w:val="0"/>
        </w:rPr>
        <w:t xml:space="preserve"> purposes</w:t>
      </w:r>
      <w:r w:rsidR="005C7A39">
        <w:rPr>
          <w:b w:val="0"/>
          <w:bCs w:val="0"/>
        </w:rPr>
        <w:t>,</w:t>
      </w:r>
      <w:r w:rsidR="0094078E">
        <w:rPr>
          <w:b w:val="0"/>
          <w:bCs w:val="0"/>
        </w:rPr>
        <w:t xml:space="preserve"> it now </w:t>
      </w:r>
      <w:r w:rsidR="00D33FF6">
        <w:rPr>
          <w:b w:val="0"/>
          <w:bCs w:val="0"/>
        </w:rPr>
        <w:t>believes</w:t>
      </w:r>
      <w:r w:rsidR="001B25B7">
        <w:rPr>
          <w:b w:val="0"/>
          <w:bCs w:val="0"/>
        </w:rPr>
        <w:t xml:space="preserve"> the average wholesale market price of energy is the more approp</w:t>
      </w:r>
      <w:r w:rsidR="009E1E89">
        <w:rPr>
          <w:b w:val="0"/>
          <w:bCs w:val="0"/>
        </w:rPr>
        <w:t>riate LCAR</w:t>
      </w:r>
      <w:r w:rsidR="001B25B7">
        <w:rPr>
          <w:b w:val="0"/>
          <w:bCs w:val="0"/>
        </w:rPr>
        <w:t xml:space="preserve"> as further explained below</w:t>
      </w:r>
      <w:r w:rsidR="00D33FF6">
        <w:rPr>
          <w:b w:val="0"/>
          <w:bCs w:val="0"/>
        </w:rPr>
        <w:t>.</w:t>
      </w:r>
    </w:p>
    <w:p w:rsidR="00212289" w:rsidRPr="00F774EE" w:rsidRDefault="00212289" w:rsidP="00212289">
      <w:pPr>
        <w:pStyle w:val="BodyText"/>
        <w:tabs>
          <w:tab w:val="num" w:pos="0"/>
          <w:tab w:val="left" w:pos="810"/>
        </w:tabs>
        <w:spacing w:line="480" w:lineRule="auto"/>
        <w:ind w:firstLine="720"/>
        <w:jc w:val="both"/>
        <w:rPr>
          <w:bCs w:val="0"/>
        </w:rPr>
      </w:pPr>
      <w:r w:rsidRPr="00F774EE">
        <w:rPr>
          <w:bCs w:val="0"/>
        </w:rPr>
        <w:t>Q.</w:t>
      </w:r>
      <w:r w:rsidRPr="00F774EE">
        <w:rPr>
          <w:bCs w:val="0"/>
        </w:rPr>
        <w:tab/>
      </w:r>
      <w:r w:rsidR="00F03FB8">
        <w:rPr>
          <w:bCs w:val="0"/>
        </w:rPr>
        <w:t>P</w:t>
      </w:r>
      <w:r>
        <w:rPr>
          <w:bCs w:val="0"/>
        </w:rPr>
        <w:t>le</w:t>
      </w:r>
      <w:r w:rsidR="009E1E89">
        <w:rPr>
          <w:bCs w:val="0"/>
        </w:rPr>
        <w:t>ase describe how the LCAR</w:t>
      </w:r>
      <w:r w:rsidR="00575BCA">
        <w:rPr>
          <w:bCs w:val="0"/>
        </w:rPr>
        <w:t xml:space="preserve"> works within the ERM.</w:t>
      </w:r>
    </w:p>
    <w:p w:rsidR="00212289" w:rsidRPr="006A2054" w:rsidRDefault="00212289" w:rsidP="00212289">
      <w:pPr>
        <w:pStyle w:val="BodyText"/>
        <w:tabs>
          <w:tab w:val="num" w:pos="0"/>
          <w:tab w:val="left" w:pos="810"/>
        </w:tabs>
        <w:spacing w:line="480" w:lineRule="auto"/>
        <w:ind w:firstLine="720"/>
        <w:jc w:val="both"/>
        <w:rPr>
          <w:b w:val="0"/>
          <w:bCs w:val="0"/>
        </w:rPr>
      </w:pPr>
      <w:r>
        <w:rPr>
          <w:b w:val="0"/>
          <w:bCs w:val="0"/>
        </w:rPr>
        <w:lastRenderedPageBreak/>
        <w:t>A.</w:t>
      </w:r>
      <w:r>
        <w:rPr>
          <w:b w:val="0"/>
          <w:bCs w:val="0"/>
        </w:rPr>
        <w:tab/>
      </w:r>
      <w:r w:rsidRPr="006A2054">
        <w:rPr>
          <w:b w:val="0"/>
          <w:bCs w:val="0"/>
        </w:rPr>
        <w:t xml:space="preserve">When retail loads are higher than authorized loads, there is a higher power supply expense to serve the increase in load.  </w:t>
      </w:r>
      <w:r w:rsidR="001B25B7">
        <w:rPr>
          <w:b w:val="0"/>
          <w:bCs w:val="0"/>
        </w:rPr>
        <w:t>In the ERM there is a</w:t>
      </w:r>
      <w:r w:rsidR="009E1E89">
        <w:rPr>
          <w:b w:val="0"/>
          <w:bCs w:val="0"/>
        </w:rPr>
        <w:t>n LCAR</w:t>
      </w:r>
      <w:r w:rsidR="001B25B7">
        <w:rPr>
          <w:b w:val="0"/>
          <w:bCs w:val="0"/>
        </w:rPr>
        <w:t xml:space="preserve"> </w:t>
      </w:r>
      <w:r>
        <w:rPr>
          <w:b w:val="0"/>
          <w:bCs w:val="0"/>
        </w:rPr>
        <w:t>adjustment that multiplie</w:t>
      </w:r>
      <w:r w:rsidR="009E1E89">
        <w:rPr>
          <w:b w:val="0"/>
          <w:bCs w:val="0"/>
        </w:rPr>
        <w:t>s the LCAR</w:t>
      </w:r>
      <w:r>
        <w:rPr>
          <w:b w:val="0"/>
          <w:bCs w:val="0"/>
        </w:rPr>
        <w:t xml:space="preserve"> times</w:t>
      </w:r>
      <w:r w:rsidR="00955166">
        <w:rPr>
          <w:b w:val="0"/>
          <w:bCs w:val="0"/>
        </w:rPr>
        <w:t xml:space="preserve"> the increase in sales</w:t>
      </w:r>
      <w:r w:rsidRPr="006A2054">
        <w:rPr>
          <w:b w:val="0"/>
          <w:bCs w:val="0"/>
        </w:rPr>
        <w:t xml:space="preserve"> to take into account that there is an increase in retail revenue to correspond with the increase in power supply expense.  Absent the </w:t>
      </w:r>
      <w:r w:rsidR="009E1E89">
        <w:rPr>
          <w:b w:val="0"/>
          <w:bCs w:val="0"/>
        </w:rPr>
        <w:t>LCAR</w:t>
      </w:r>
      <w:r w:rsidRPr="006A2054">
        <w:rPr>
          <w:b w:val="0"/>
          <w:bCs w:val="0"/>
        </w:rPr>
        <w:t xml:space="preserve"> adjustment, customers would be overcharged through the </w:t>
      </w:r>
      <w:r>
        <w:rPr>
          <w:b w:val="0"/>
          <w:bCs w:val="0"/>
        </w:rPr>
        <w:t>ERM</w:t>
      </w:r>
      <w:r w:rsidRPr="006A2054">
        <w:rPr>
          <w:b w:val="0"/>
          <w:bCs w:val="0"/>
        </w:rPr>
        <w:t xml:space="preserve"> for the increase in power supply expense.</w:t>
      </w:r>
    </w:p>
    <w:p w:rsidR="00212289" w:rsidRDefault="00212289" w:rsidP="00212289">
      <w:pPr>
        <w:pStyle w:val="BodyText"/>
        <w:tabs>
          <w:tab w:val="num" w:pos="0"/>
          <w:tab w:val="left" w:pos="810"/>
        </w:tabs>
        <w:spacing w:line="480" w:lineRule="auto"/>
        <w:ind w:firstLine="720"/>
        <w:jc w:val="both"/>
        <w:rPr>
          <w:b w:val="0"/>
          <w:bCs w:val="0"/>
        </w:rPr>
      </w:pPr>
      <w:r w:rsidRPr="006A2054">
        <w:rPr>
          <w:b w:val="0"/>
          <w:bCs w:val="0"/>
        </w:rPr>
        <w:t xml:space="preserve">Likewise, when retail loads are lower than authorized loads, there is a lower net power supply expense to serve the decrease </w:t>
      </w:r>
      <w:r w:rsidR="001B25B7">
        <w:rPr>
          <w:b w:val="0"/>
          <w:bCs w:val="0"/>
        </w:rPr>
        <w:t>in load</w:t>
      </w:r>
      <w:r w:rsidRPr="006A2054">
        <w:rPr>
          <w:b w:val="0"/>
          <w:bCs w:val="0"/>
        </w:rPr>
        <w:t xml:space="preserve">.  </w:t>
      </w:r>
      <w:r>
        <w:rPr>
          <w:b w:val="0"/>
          <w:bCs w:val="0"/>
        </w:rPr>
        <w:t>The</w:t>
      </w:r>
      <w:r w:rsidRPr="006A2054">
        <w:rPr>
          <w:b w:val="0"/>
          <w:bCs w:val="0"/>
        </w:rPr>
        <w:t xml:space="preserve"> </w:t>
      </w:r>
      <w:r w:rsidR="009E1E89">
        <w:rPr>
          <w:b w:val="0"/>
          <w:bCs w:val="0"/>
        </w:rPr>
        <w:t>LCAR</w:t>
      </w:r>
      <w:r>
        <w:rPr>
          <w:b w:val="0"/>
          <w:bCs w:val="0"/>
        </w:rPr>
        <w:t xml:space="preserve"> </w:t>
      </w:r>
      <w:r w:rsidRPr="006A2054">
        <w:rPr>
          <w:b w:val="0"/>
          <w:bCs w:val="0"/>
        </w:rPr>
        <w:t>is</w:t>
      </w:r>
      <w:r w:rsidR="00955166">
        <w:rPr>
          <w:b w:val="0"/>
          <w:bCs w:val="0"/>
        </w:rPr>
        <w:t xml:space="preserve"> applied to the decrease in sales</w:t>
      </w:r>
      <w:r w:rsidRPr="006A2054">
        <w:rPr>
          <w:b w:val="0"/>
          <w:bCs w:val="0"/>
        </w:rPr>
        <w:t xml:space="preserve"> to take into account that there is a decrease in retail revenue that corresponds with the decrease in power supply expense.  Absent the </w:t>
      </w:r>
      <w:r w:rsidR="009E1E89">
        <w:rPr>
          <w:b w:val="0"/>
          <w:bCs w:val="0"/>
        </w:rPr>
        <w:t xml:space="preserve">LCAR </w:t>
      </w:r>
      <w:r w:rsidRPr="006A2054">
        <w:rPr>
          <w:b w:val="0"/>
          <w:bCs w:val="0"/>
        </w:rPr>
        <w:t>adjustment, customers would receive an und</w:t>
      </w:r>
      <w:r w:rsidR="00460A0B">
        <w:rPr>
          <w:b w:val="0"/>
          <w:bCs w:val="0"/>
        </w:rPr>
        <w:t>ue</w:t>
      </w:r>
      <w:r w:rsidRPr="006A2054">
        <w:rPr>
          <w:b w:val="0"/>
          <w:bCs w:val="0"/>
        </w:rPr>
        <w:t xml:space="preserve"> benefit through the </w:t>
      </w:r>
      <w:r>
        <w:rPr>
          <w:b w:val="0"/>
          <w:bCs w:val="0"/>
        </w:rPr>
        <w:t>ERM</w:t>
      </w:r>
      <w:r w:rsidRPr="006A2054">
        <w:rPr>
          <w:b w:val="0"/>
          <w:bCs w:val="0"/>
        </w:rPr>
        <w:t>, since the net reduction in power supply expense is directly related to a reduction in retail revenue.</w:t>
      </w:r>
    </w:p>
    <w:p w:rsidR="00212289" w:rsidRPr="00946BF5" w:rsidRDefault="00212289" w:rsidP="00212289">
      <w:pPr>
        <w:pStyle w:val="BodyText"/>
        <w:tabs>
          <w:tab w:val="num" w:pos="0"/>
          <w:tab w:val="left" w:pos="810"/>
        </w:tabs>
        <w:spacing w:line="480" w:lineRule="auto"/>
        <w:ind w:firstLine="720"/>
        <w:jc w:val="both"/>
        <w:rPr>
          <w:bCs w:val="0"/>
        </w:rPr>
      </w:pPr>
      <w:proofErr w:type="gramStart"/>
      <w:r w:rsidRPr="00946BF5">
        <w:rPr>
          <w:bCs w:val="0"/>
        </w:rPr>
        <w:t>Q.</w:t>
      </w:r>
      <w:r w:rsidRPr="00946BF5">
        <w:rPr>
          <w:bCs w:val="0"/>
        </w:rPr>
        <w:tab/>
        <w:t>What</w:t>
      </w:r>
      <w:r w:rsidR="00624001">
        <w:rPr>
          <w:bCs w:val="0"/>
        </w:rPr>
        <w:t xml:space="preserve"> </w:t>
      </w:r>
      <w:r w:rsidR="00737769">
        <w:rPr>
          <w:bCs w:val="0"/>
        </w:rPr>
        <w:t xml:space="preserve">change </w:t>
      </w:r>
      <w:r w:rsidR="00233C14">
        <w:rPr>
          <w:bCs w:val="0"/>
        </w:rPr>
        <w:t xml:space="preserve">is the Company </w:t>
      </w:r>
      <w:r w:rsidR="00166263">
        <w:rPr>
          <w:bCs w:val="0"/>
        </w:rPr>
        <w:t>proposing</w:t>
      </w:r>
      <w:r w:rsidR="00233C14">
        <w:rPr>
          <w:bCs w:val="0"/>
        </w:rPr>
        <w:t xml:space="preserve"> to </w:t>
      </w:r>
      <w:r w:rsidR="009E1E89">
        <w:rPr>
          <w:bCs w:val="0"/>
        </w:rPr>
        <w:t>the LCAR</w:t>
      </w:r>
      <w:r w:rsidRPr="00946BF5">
        <w:rPr>
          <w:bCs w:val="0"/>
        </w:rPr>
        <w:t>?</w:t>
      </w:r>
      <w:proofErr w:type="gramEnd"/>
    </w:p>
    <w:p w:rsidR="00624001" w:rsidRDefault="00212289" w:rsidP="00212289">
      <w:pPr>
        <w:pStyle w:val="BodyText"/>
        <w:tabs>
          <w:tab w:val="num" w:pos="0"/>
          <w:tab w:val="left" w:pos="810"/>
        </w:tabs>
        <w:spacing w:line="480" w:lineRule="auto"/>
        <w:ind w:firstLine="720"/>
        <w:jc w:val="both"/>
        <w:rPr>
          <w:b w:val="0"/>
          <w:bCs w:val="0"/>
        </w:rPr>
      </w:pPr>
      <w:r>
        <w:rPr>
          <w:b w:val="0"/>
          <w:bCs w:val="0"/>
        </w:rPr>
        <w:t>A.</w:t>
      </w:r>
      <w:r>
        <w:rPr>
          <w:b w:val="0"/>
          <w:bCs w:val="0"/>
        </w:rPr>
        <w:tab/>
      </w:r>
      <w:r w:rsidR="00233C14">
        <w:rPr>
          <w:b w:val="0"/>
          <w:bCs w:val="0"/>
        </w:rPr>
        <w:t xml:space="preserve">The Company is proposing </w:t>
      </w:r>
      <w:r w:rsidR="0073566F">
        <w:rPr>
          <w:b w:val="0"/>
          <w:bCs w:val="0"/>
        </w:rPr>
        <w:t xml:space="preserve">that </w:t>
      </w:r>
      <w:r w:rsidR="009E1E89">
        <w:rPr>
          <w:b w:val="0"/>
          <w:bCs w:val="0"/>
        </w:rPr>
        <w:t>the LCAR</w:t>
      </w:r>
      <w:r w:rsidR="00233C14">
        <w:rPr>
          <w:b w:val="0"/>
          <w:bCs w:val="0"/>
        </w:rPr>
        <w:t xml:space="preserve"> be set at the average </w:t>
      </w:r>
      <w:r w:rsidR="00B30736">
        <w:rPr>
          <w:b w:val="0"/>
          <w:bCs w:val="0"/>
        </w:rPr>
        <w:t xml:space="preserve">purchase and sale price as determined by the AURORA model in the power supply </w:t>
      </w:r>
      <w:r w:rsidR="00166263">
        <w:rPr>
          <w:b w:val="0"/>
          <w:bCs w:val="0"/>
        </w:rPr>
        <w:t>pro forma</w:t>
      </w:r>
      <w:r w:rsidR="00B30736">
        <w:rPr>
          <w:b w:val="0"/>
          <w:bCs w:val="0"/>
        </w:rPr>
        <w:t xml:space="preserve">.  This value represents the average market price of energy.  </w:t>
      </w:r>
      <w:r w:rsidR="00F03FB8">
        <w:rPr>
          <w:b w:val="0"/>
          <w:bCs w:val="0"/>
        </w:rPr>
        <w:t>That number is $30.68/</w:t>
      </w:r>
      <w:proofErr w:type="spellStart"/>
      <w:r w:rsidR="00F03FB8">
        <w:rPr>
          <w:b w:val="0"/>
          <w:bCs w:val="0"/>
        </w:rPr>
        <w:t>MWh</w:t>
      </w:r>
      <w:proofErr w:type="spellEnd"/>
      <w:r w:rsidR="00F03FB8">
        <w:rPr>
          <w:b w:val="0"/>
          <w:bCs w:val="0"/>
        </w:rPr>
        <w:t xml:space="preserve"> b</w:t>
      </w:r>
      <w:r w:rsidR="00B30736">
        <w:rPr>
          <w:b w:val="0"/>
          <w:bCs w:val="0"/>
        </w:rPr>
        <w:t xml:space="preserve">ased on the </w:t>
      </w:r>
      <w:proofErr w:type="spellStart"/>
      <w:r w:rsidR="00B30736">
        <w:rPr>
          <w:b w:val="0"/>
          <w:bCs w:val="0"/>
        </w:rPr>
        <w:t>filed</w:t>
      </w:r>
      <w:proofErr w:type="spellEnd"/>
      <w:r w:rsidR="00B30736">
        <w:rPr>
          <w:b w:val="0"/>
          <w:bCs w:val="0"/>
        </w:rPr>
        <w:t xml:space="preserve"> power supply pro forma.</w:t>
      </w:r>
      <w:r w:rsidR="005A0BE0">
        <w:rPr>
          <w:b w:val="0"/>
          <w:bCs w:val="0"/>
        </w:rPr>
        <w:t xml:space="preserve">  This is the average wholesale market price in the pro forma at which short-term (hourly) purchases and/or sales are made.</w:t>
      </w:r>
    </w:p>
    <w:p w:rsidR="00212289" w:rsidRPr="00D20E5B" w:rsidRDefault="00212289" w:rsidP="00212289">
      <w:pPr>
        <w:pStyle w:val="BodyText"/>
        <w:tabs>
          <w:tab w:val="num" w:pos="0"/>
          <w:tab w:val="left" w:pos="810"/>
        </w:tabs>
        <w:spacing w:line="480" w:lineRule="auto"/>
        <w:ind w:firstLine="720"/>
        <w:jc w:val="both"/>
        <w:rPr>
          <w:bCs w:val="0"/>
        </w:rPr>
      </w:pPr>
      <w:r w:rsidRPr="00D20E5B">
        <w:rPr>
          <w:bCs w:val="0"/>
        </w:rPr>
        <w:t>Q.</w:t>
      </w:r>
      <w:r w:rsidRPr="00D20E5B">
        <w:rPr>
          <w:bCs w:val="0"/>
        </w:rPr>
        <w:tab/>
        <w:t xml:space="preserve">Why </w:t>
      </w:r>
      <w:r w:rsidR="00B30736">
        <w:rPr>
          <w:bCs w:val="0"/>
        </w:rPr>
        <w:t xml:space="preserve">is the </w:t>
      </w:r>
      <w:r w:rsidR="001B25B7">
        <w:rPr>
          <w:bCs w:val="0"/>
        </w:rPr>
        <w:t>market price of power a more appropriate</w:t>
      </w:r>
      <w:r w:rsidR="00127FE2">
        <w:rPr>
          <w:bCs w:val="0"/>
        </w:rPr>
        <w:t xml:space="preserve"> value for the LCAR</w:t>
      </w:r>
      <w:r w:rsidRPr="00D20E5B">
        <w:rPr>
          <w:bCs w:val="0"/>
        </w:rPr>
        <w:t>?</w:t>
      </w:r>
    </w:p>
    <w:p w:rsidR="00725FEC" w:rsidRDefault="00212289" w:rsidP="00815CCE">
      <w:pPr>
        <w:pStyle w:val="BodyText"/>
        <w:tabs>
          <w:tab w:val="num" w:pos="0"/>
          <w:tab w:val="left" w:pos="810"/>
        </w:tabs>
        <w:spacing w:line="480" w:lineRule="auto"/>
        <w:ind w:firstLine="720"/>
        <w:jc w:val="both"/>
        <w:rPr>
          <w:b w:val="0"/>
          <w:bCs w:val="0"/>
        </w:rPr>
      </w:pPr>
      <w:r>
        <w:rPr>
          <w:b w:val="0"/>
          <w:bCs w:val="0"/>
        </w:rPr>
        <w:t>A.</w:t>
      </w:r>
      <w:r>
        <w:rPr>
          <w:b w:val="0"/>
          <w:bCs w:val="0"/>
        </w:rPr>
        <w:tab/>
      </w:r>
      <w:r w:rsidR="001B25B7">
        <w:rPr>
          <w:b w:val="0"/>
          <w:bCs w:val="0"/>
        </w:rPr>
        <w:t xml:space="preserve">The market price of power is more representative of the actual increased or decreased cost that will occur </w:t>
      </w:r>
      <w:r w:rsidR="00DD154D">
        <w:rPr>
          <w:b w:val="0"/>
          <w:bCs w:val="0"/>
        </w:rPr>
        <w:t>with a</w:t>
      </w:r>
      <w:r w:rsidR="001B25B7">
        <w:rPr>
          <w:b w:val="0"/>
          <w:bCs w:val="0"/>
        </w:rPr>
        <w:t xml:space="preserve"> change in load from the authorized level.  </w:t>
      </w:r>
      <w:r w:rsidR="00EC6A21">
        <w:rPr>
          <w:b w:val="0"/>
          <w:bCs w:val="0"/>
        </w:rPr>
        <w:t>For example, if loads are higher than the authorized level</w:t>
      </w:r>
      <w:r w:rsidR="00127FE2">
        <w:rPr>
          <w:b w:val="0"/>
          <w:bCs w:val="0"/>
        </w:rPr>
        <w:t>,</w:t>
      </w:r>
      <w:r w:rsidR="00EC6A21">
        <w:rPr>
          <w:b w:val="0"/>
          <w:bCs w:val="0"/>
        </w:rPr>
        <w:t xml:space="preserve"> costs will increase because of either increased </w:t>
      </w:r>
      <w:r w:rsidR="00EC6A21">
        <w:rPr>
          <w:b w:val="0"/>
          <w:bCs w:val="0"/>
        </w:rPr>
        <w:lastRenderedPageBreak/>
        <w:t>power purchase or decreased power sales.  Those power transaction</w:t>
      </w:r>
      <w:r w:rsidR="00FE4ED9">
        <w:rPr>
          <w:b w:val="0"/>
          <w:bCs w:val="0"/>
        </w:rPr>
        <w:t>s</w:t>
      </w:r>
      <w:r w:rsidR="00EC6A21">
        <w:rPr>
          <w:b w:val="0"/>
          <w:bCs w:val="0"/>
        </w:rPr>
        <w:t xml:space="preserve"> occur at </w:t>
      </w:r>
      <w:r w:rsidR="00F03FB8">
        <w:rPr>
          <w:b w:val="0"/>
          <w:bCs w:val="0"/>
        </w:rPr>
        <w:t>a</w:t>
      </w:r>
      <w:r w:rsidR="00EC6A21">
        <w:rPr>
          <w:b w:val="0"/>
          <w:bCs w:val="0"/>
        </w:rPr>
        <w:t xml:space="preserve"> market power price which is likely to be higher than the </w:t>
      </w:r>
      <w:r w:rsidR="00127FE2">
        <w:rPr>
          <w:b w:val="0"/>
          <w:bCs w:val="0"/>
        </w:rPr>
        <w:t xml:space="preserve">existing </w:t>
      </w:r>
      <w:r w:rsidR="00EC6A21">
        <w:rPr>
          <w:b w:val="0"/>
          <w:bCs w:val="0"/>
        </w:rPr>
        <w:t>$</w:t>
      </w:r>
      <w:r w:rsidR="00253EEF">
        <w:rPr>
          <w:b w:val="0"/>
          <w:bCs w:val="0"/>
        </w:rPr>
        <w:t>22</w:t>
      </w:r>
      <w:r w:rsidR="00166263">
        <w:rPr>
          <w:b w:val="0"/>
          <w:bCs w:val="0"/>
        </w:rPr>
        <w:t>.</w:t>
      </w:r>
      <w:r w:rsidR="00253EEF">
        <w:rPr>
          <w:b w:val="0"/>
          <w:bCs w:val="0"/>
        </w:rPr>
        <w:t>80</w:t>
      </w:r>
      <w:r w:rsidR="00127FE2">
        <w:rPr>
          <w:b w:val="0"/>
          <w:bCs w:val="0"/>
        </w:rPr>
        <w:t xml:space="preserve"> LCAR</w:t>
      </w:r>
      <w:r w:rsidR="00EC6A21">
        <w:rPr>
          <w:b w:val="0"/>
          <w:bCs w:val="0"/>
        </w:rPr>
        <w:t>.  This results in an ERM surcharge b</w:t>
      </w:r>
      <w:r w:rsidR="00127FE2">
        <w:rPr>
          <w:b w:val="0"/>
          <w:bCs w:val="0"/>
        </w:rPr>
        <w:t>ecause the LCAR adjustment</w:t>
      </w:r>
      <w:r w:rsidR="00EC6A21">
        <w:rPr>
          <w:b w:val="0"/>
          <w:bCs w:val="0"/>
        </w:rPr>
        <w:t xml:space="preserve"> does not offset the increased power expense.  </w:t>
      </w:r>
      <w:r w:rsidR="00FE4ED9">
        <w:rPr>
          <w:b w:val="0"/>
          <w:bCs w:val="0"/>
        </w:rPr>
        <w:t>The same is true with the opposite situation when loads are lower than the authorized level.  Power costs decrease because of increased sales or decreased purchases at market</w:t>
      </w:r>
      <w:r w:rsidR="00127FE2">
        <w:rPr>
          <w:b w:val="0"/>
          <w:bCs w:val="0"/>
        </w:rPr>
        <w:t xml:space="preserve"> power prices.  The LCAR adjustment</w:t>
      </w:r>
      <w:r w:rsidR="00FE4ED9">
        <w:rPr>
          <w:b w:val="0"/>
          <w:bCs w:val="0"/>
        </w:rPr>
        <w:t xml:space="preserve"> will </w:t>
      </w:r>
      <w:r w:rsidR="0073566F">
        <w:rPr>
          <w:b w:val="0"/>
          <w:bCs w:val="0"/>
        </w:rPr>
        <w:t xml:space="preserve">likely </w:t>
      </w:r>
      <w:r w:rsidR="00FE4ED9">
        <w:rPr>
          <w:b w:val="0"/>
          <w:bCs w:val="0"/>
        </w:rPr>
        <w:t xml:space="preserve">be less than the </w:t>
      </w:r>
      <w:r w:rsidR="00815CCE">
        <w:rPr>
          <w:b w:val="0"/>
          <w:bCs w:val="0"/>
        </w:rPr>
        <w:t>dec</w:t>
      </w:r>
      <w:r w:rsidR="00FE4ED9">
        <w:rPr>
          <w:b w:val="0"/>
          <w:bCs w:val="0"/>
        </w:rPr>
        <w:t>re</w:t>
      </w:r>
      <w:r w:rsidR="00815CCE">
        <w:rPr>
          <w:b w:val="0"/>
          <w:bCs w:val="0"/>
        </w:rPr>
        <w:t>a</w:t>
      </w:r>
      <w:r w:rsidR="00FE4ED9">
        <w:rPr>
          <w:b w:val="0"/>
          <w:bCs w:val="0"/>
        </w:rPr>
        <w:t xml:space="preserve">sed power costs and an ERM rebate deferral will result.  </w:t>
      </w:r>
      <w:r w:rsidR="004E686C">
        <w:rPr>
          <w:b w:val="0"/>
          <w:bCs w:val="0"/>
        </w:rPr>
        <w:t>I</w:t>
      </w:r>
      <w:r w:rsidR="00127FE2">
        <w:rPr>
          <w:b w:val="0"/>
          <w:bCs w:val="0"/>
        </w:rPr>
        <w:t>f the LCAR</w:t>
      </w:r>
      <w:r w:rsidR="004E686C">
        <w:rPr>
          <w:b w:val="0"/>
          <w:bCs w:val="0"/>
        </w:rPr>
        <w:t>, however, is at the market price of power at which purchases or sales are made</w:t>
      </w:r>
      <w:r w:rsidR="00127FE2">
        <w:rPr>
          <w:b w:val="0"/>
          <w:bCs w:val="0"/>
        </w:rPr>
        <w:t>, then any</w:t>
      </w:r>
      <w:r w:rsidR="004E686C">
        <w:rPr>
          <w:b w:val="0"/>
          <w:bCs w:val="0"/>
        </w:rPr>
        <w:t xml:space="preserve"> deferral </w:t>
      </w:r>
      <w:r w:rsidR="00FA62E9">
        <w:rPr>
          <w:b w:val="0"/>
          <w:bCs w:val="0"/>
        </w:rPr>
        <w:t>will be reduced or eliminated</w:t>
      </w:r>
      <w:r w:rsidR="004E686C">
        <w:rPr>
          <w:b w:val="0"/>
          <w:bCs w:val="0"/>
        </w:rPr>
        <w:t>.</w:t>
      </w:r>
    </w:p>
    <w:p w:rsidR="000F27C0" w:rsidRDefault="00890D94" w:rsidP="00815CCE">
      <w:pPr>
        <w:pStyle w:val="BodyText"/>
        <w:tabs>
          <w:tab w:val="num" w:pos="0"/>
          <w:tab w:val="left" w:pos="810"/>
        </w:tabs>
        <w:spacing w:line="480" w:lineRule="auto"/>
        <w:ind w:firstLine="720"/>
        <w:jc w:val="both"/>
        <w:rPr>
          <w:b w:val="0"/>
          <w:bCs w:val="0"/>
        </w:rPr>
      </w:pPr>
      <w:proofErr w:type="gramStart"/>
      <w:r>
        <w:rPr>
          <w:b w:val="0"/>
          <w:bCs w:val="0"/>
        </w:rPr>
        <w:t>Table No. 2 and Table No. 3</w:t>
      </w:r>
      <w:r w:rsidR="000F27C0">
        <w:rPr>
          <w:b w:val="0"/>
          <w:bCs w:val="0"/>
        </w:rPr>
        <w:t xml:space="preserve"> below show the impact to the ERM for diffe</w:t>
      </w:r>
      <w:r w:rsidR="008D1089">
        <w:rPr>
          <w:b w:val="0"/>
          <w:bCs w:val="0"/>
        </w:rPr>
        <w:t>rent LCARs</w:t>
      </w:r>
      <w:r w:rsidR="000F27C0">
        <w:rPr>
          <w:b w:val="0"/>
          <w:bCs w:val="0"/>
        </w:rPr>
        <w:t xml:space="preserve"> for a month with higher loads and a month with lower loads.</w:t>
      </w:r>
      <w:proofErr w:type="gramEnd"/>
      <w:r w:rsidR="000F27C0">
        <w:rPr>
          <w:b w:val="0"/>
          <w:bCs w:val="0"/>
        </w:rPr>
        <w:t xml:space="preserve">  In these two </w:t>
      </w:r>
      <w:r w:rsidR="00DD154D">
        <w:rPr>
          <w:b w:val="0"/>
          <w:bCs w:val="0"/>
        </w:rPr>
        <w:t>examples</w:t>
      </w:r>
      <w:r w:rsidR="000F27C0">
        <w:rPr>
          <w:b w:val="0"/>
          <w:bCs w:val="0"/>
        </w:rPr>
        <w:t xml:space="preserve"> I have used actual load changes and market power prices that occurred in November and December 2014 and the current and prop</w:t>
      </w:r>
      <w:r w:rsidR="008D1089">
        <w:rPr>
          <w:b w:val="0"/>
          <w:bCs w:val="0"/>
        </w:rPr>
        <w:t>osed LCAR</w:t>
      </w:r>
      <w:r w:rsidR="000F27C0">
        <w:rPr>
          <w:b w:val="0"/>
          <w:bCs w:val="0"/>
        </w:rPr>
        <w:t>.</w:t>
      </w:r>
    </w:p>
    <w:p w:rsidR="00890D94" w:rsidRPr="00890D94" w:rsidRDefault="00890D94" w:rsidP="00890D94">
      <w:pPr>
        <w:pStyle w:val="BodyText"/>
        <w:tabs>
          <w:tab w:val="num" w:pos="0"/>
          <w:tab w:val="left" w:pos="810"/>
        </w:tabs>
        <w:spacing w:line="480" w:lineRule="auto"/>
        <w:jc w:val="both"/>
        <w:rPr>
          <w:bCs w:val="0"/>
          <w:u w:val="single"/>
        </w:rPr>
      </w:pPr>
      <w:r w:rsidRPr="00890D94">
        <w:rPr>
          <w:bCs w:val="0"/>
          <w:u w:val="single"/>
        </w:rPr>
        <w:t>Table No. 2:</w:t>
      </w:r>
    </w:p>
    <w:p w:rsidR="00890D94" w:rsidRDefault="00C90D40" w:rsidP="00D35315">
      <w:pPr>
        <w:pStyle w:val="BodyText"/>
        <w:tabs>
          <w:tab w:val="num" w:pos="0"/>
          <w:tab w:val="left" w:pos="810"/>
        </w:tabs>
        <w:spacing w:line="480" w:lineRule="auto"/>
        <w:ind w:firstLine="720"/>
        <w:jc w:val="left"/>
      </w:pPr>
      <w:r w:rsidRPr="00C90D40">
        <w:rPr>
          <w:noProof/>
        </w:rPr>
        <w:drawing>
          <wp:inline distT="0" distB="0" distL="0" distR="0">
            <wp:extent cx="5105400" cy="34734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05400" cy="3473450"/>
                    </a:xfrm>
                    <a:prstGeom prst="rect">
                      <a:avLst/>
                    </a:prstGeom>
                    <a:noFill/>
                    <a:ln w="9525">
                      <a:noFill/>
                      <a:miter lim="800000"/>
                      <a:headEnd/>
                      <a:tailEnd/>
                    </a:ln>
                  </pic:spPr>
                </pic:pic>
              </a:graphicData>
            </a:graphic>
          </wp:inline>
        </w:drawing>
      </w:r>
      <w:r w:rsidR="00890D94">
        <w:br w:type="page"/>
      </w:r>
    </w:p>
    <w:p w:rsidR="000F27C0" w:rsidRPr="00890D94" w:rsidRDefault="00890D94" w:rsidP="00890D94">
      <w:pPr>
        <w:pStyle w:val="BodyText"/>
        <w:tabs>
          <w:tab w:val="num" w:pos="0"/>
          <w:tab w:val="left" w:pos="810"/>
        </w:tabs>
        <w:spacing w:line="480" w:lineRule="auto"/>
        <w:jc w:val="left"/>
        <w:rPr>
          <w:bCs w:val="0"/>
          <w:u w:val="single"/>
        </w:rPr>
      </w:pPr>
      <w:r w:rsidRPr="00890D94">
        <w:rPr>
          <w:bCs w:val="0"/>
          <w:u w:val="single"/>
        </w:rPr>
        <w:lastRenderedPageBreak/>
        <w:t>Table No. 3:</w:t>
      </w:r>
    </w:p>
    <w:p w:rsidR="000F27C0" w:rsidRDefault="00C90D40" w:rsidP="00815CCE">
      <w:pPr>
        <w:pStyle w:val="BodyText"/>
        <w:tabs>
          <w:tab w:val="num" w:pos="0"/>
          <w:tab w:val="left" w:pos="810"/>
        </w:tabs>
        <w:spacing w:line="480" w:lineRule="auto"/>
        <w:ind w:firstLine="720"/>
        <w:jc w:val="both"/>
        <w:rPr>
          <w:b w:val="0"/>
          <w:bCs w:val="0"/>
        </w:rPr>
      </w:pPr>
      <w:r w:rsidRPr="00C90D40">
        <w:rPr>
          <w:noProof/>
        </w:rPr>
        <w:drawing>
          <wp:inline distT="0" distB="0" distL="0" distR="0">
            <wp:extent cx="5105400" cy="35242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05400" cy="3524250"/>
                    </a:xfrm>
                    <a:prstGeom prst="rect">
                      <a:avLst/>
                    </a:prstGeom>
                    <a:noFill/>
                    <a:ln w="9525">
                      <a:noFill/>
                      <a:miter lim="800000"/>
                      <a:headEnd/>
                      <a:tailEnd/>
                    </a:ln>
                  </pic:spPr>
                </pic:pic>
              </a:graphicData>
            </a:graphic>
          </wp:inline>
        </w:drawing>
      </w:r>
    </w:p>
    <w:p w:rsidR="00C90D40" w:rsidRDefault="00C90D40" w:rsidP="00815CCE">
      <w:pPr>
        <w:pStyle w:val="BodyText"/>
        <w:tabs>
          <w:tab w:val="num" w:pos="0"/>
          <w:tab w:val="left" w:pos="810"/>
        </w:tabs>
        <w:spacing w:line="480" w:lineRule="auto"/>
        <w:ind w:firstLine="720"/>
        <w:jc w:val="both"/>
        <w:rPr>
          <w:b w:val="0"/>
          <w:bCs w:val="0"/>
        </w:rPr>
      </w:pPr>
    </w:p>
    <w:p w:rsidR="000F27C0" w:rsidRDefault="00330FD2" w:rsidP="00A86A8F">
      <w:pPr>
        <w:pStyle w:val="BodyText"/>
        <w:tabs>
          <w:tab w:val="num" w:pos="0"/>
          <w:tab w:val="left" w:pos="810"/>
        </w:tabs>
        <w:spacing w:line="480" w:lineRule="auto"/>
        <w:ind w:firstLine="720"/>
        <w:jc w:val="both"/>
        <w:rPr>
          <w:b w:val="0"/>
          <w:bCs w:val="0"/>
        </w:rPr>
      </w:pPr>
      <w:r>
        <w:rPr>
          <w:b w:val="0"/>
          <w:bCs w:val="0"/>
        </w:rPr>
        <w:t>As shown in these examples</w:t>
      </w:r>
      <w:r w:rsidR="00C90D40">
        <w:rPr>
          <w:b w:val="0"/>
          <w:bCs w:val="0"/>
        </w:rPr>
        <w:t>,</w:t>
      </w:r>
      <w:r>
        <w:rPr>
          <w:b w:val="0"/>
          <w:bCs w:val="0"/>
        </w:rPr>
        <w:t xml:space="preserve"> using the modeled average market price of power a</w:t>
      </w:r>
      <w:r w:rsidR="00C90D40">
        <w:rPr>
          <w:b w:val="0"/>
          <w:bCs w:val="0"/>
        </w:rPr>
        <w:t>s the LCAR</w:t>
      </w:r>
      <w:r>
        <w:rPr>
          <w:b w:val="0"/>
          <w:bCs w:val="0"/>
        </w:rPr>
        <w:t xml:space="preserve"> results in much lower deferrals than </w:t>
      </w:r>
      <w:r w:rsidR="00A86A8F">
        <w:rPr>
          <w:b w:val="0"/>
          <w:bCs w:val="0"/>
        </w:rPr>
        <w:t>using the rate based on</w:t>
      </w:r>
      <w:r>
        <w:rPr>
          <w:b w:val="0"/>
          <w:bCs w:val="0"/>
        </w:rPr>
        <w:t xml:space="preserve"> the ERM FERC-related accounts.  In these two months the actual market price of power was close </w:t>
      </w:r>
      <w:r w:rsidR="00C90D40">
        <w:rPr>
          <w:b w:val="0"/>
          <w:bCs w:val="0"/>
        </w:rPr>
        <w:t xml:space="preserve">to </w:t>
      </w:r>
      <w:r>
        <w:rPr>
          <w:b w:val="0"/>
          <w:bCs w:val="0"/>
        </w:rPr>
        <w:t>the modeled market power price resulting in very small load change related deferrals.  That may not be true in every month since the actual market price of power varies and could be substantially different than the modeled price</w:t>
      </w:r>
      <w:r w:rsidR="00057F2E">
        <w:rPr>
          <w:b w:val="0"/>
          <w:bCs w:val="0"/>
        </w:rPr>
        <w:t xml:space="preserve">, which </w:t>
      </w:r>
      <w:r>
        <w:rPr>
          <w:b w:val="0"/>
          <w:bCs w:val="0"/>
        </w:rPr>
        <w:t>would result in larger load change related deferrals.  However, in that case</w:t>
      </w:r>
      <w:r w:rsidR="00F56C02">
        <w:rPr>
          <w:b w:val="0"/>
          <w:bCs w:val="0"/>
        </w:rPr>
        <w:t>,</w:t>
      </w:r>
      <w:r>
        <w:rPr>
          <w:b w:val="0"/>
          <w:bCs w:val="0"/>
        </w:rPr>
        <w:t xml:space="preserve"> the ERM is capturing the actual change in expense because the difference in the actual price of power and the modeled price of power represents the real change of expense related to a change in</w:t>
      </w:r>
      <w:r w:rsidR="00F56C02">
        <w:rPr>
          <w:b w:val="0"/>
          <w:bCs w:val="0"/>
        </w:rPr>
        <w:t xml:space="preserve"> load.  </w:t>
      </w:r>
      <w:r w:rsidR="00F54106">
        <w:rPr>
          <w:b w:val="0"/>
          <w:bCs w:val="0"/>
        </w:rPr>
        <w:t xml:space="preserve">The change in power supply expense due to a change in load is directly related to the </w:t>
      </w:r>
      <w:r w:rsidR="00057F2E">
        <w:rPr>
          <w:b w:val="0"/>
          <w:bCs w:val="0"/>
        </w:rPr>
        <w:t xml:space="preserve">short-term </w:t>
      </w:r>
      <w:r w:rsidR="00F54106">
        <w:rPr>
          <w:b w:val="0"/>
          <w:bCs w:val="0"/>
        </w:rPr>
        <w:t>market price of power</w:t>
      </w:r>
      <w:r w:rsidR="00057F2E">
        <w:rPr>
          <w:b w:val="0"/>
          <w:bCs w:val="0"/>
        </w:rPr>
        <w:t>,</w:t>
      </w:r>
      <w:r w:rsidR="00F54106">
        <w:rPr>
          <w:b w:val="0"/>
          <w:bCs w:val="0"/>
        </w:rPr>
        <w:t xml:space="preserve"> and </w:t>
      </w:r>
      <w:r w:rsidR="00057F2E">
        <w:rPr>
          <w:b w:val="0"/>
          <w:bCs w:val="0"/>
        </w:rPr>
        <w:t xml:space="preserve">this market </w:t>
      </w:r>
      <w:r w:rsidR="00057F2E">
        <w:rPr>
          <w:b w:val="0"/>
          <w:bCs w:val="0"/>
        </w:rPr>
        <w:lastRenderedPageBreak/>
        <w:t xml:space="preserve">price of power is more representative of the actual change in costs then the current LCAR based on </w:t>
      </w:r>
      <w:r w:rsidR="00F54106">
        <w:rPr>
          <w:b w:val="0"/>
          <w:bCs w:val="0"/>
        </w:rPr>
        <w:t>ERM-related FERC accounts.</w:t>
      </w:r>
    </w:p>
    <w:p w:rsidR="00815CCE" w:rsidRPr="003D76A3" w:rsidRDefault="00F54106" w:rsidP="00815CCE">
      <w:pPr>
        <w:pStyle w:val="BodyText"/>
        <w:tabs>
          <w:tab w:val="num" w:pos="0"/>
          <w:tab w:val="left" w:pos="810"/>
        </w:tabs>
        <w:spacing w:line="480" w:lineRule="auto"/>
        <w:ind w:firstLine="720"/>
        <w:jc w:val="both"/>
        <w:rPr>
          <w:bCs w:val="0"/>
        </w:rPr>
      </w:pPr>
      <w:r>
        <w:rPr>
          <w:bCs w:val="0"/>
        </w:rPr>
        <w:t>Q.</w:t>
      </w:r>
      <w:r>
        <w:rPr>
          <w:bCs w:val="0"/>
        </w:rPr>
        <w:tab/>
        <w:t xml:space="preserve">Should the same </w:t>
      </w:r>
      <w:r w:rsidR="00057F2E">
        <w:rPr>
          <w:bCs w:val="0"/>
        </w:rPr>
        <w:t>LCAR</w:t>
      </w:r>
      <w:r w:rsidR="00815CCE" w:rsidRPr="003D76A3">
        <w:rPr>
          <w:bCs w:val="0"/>
        </w:rPr>
        <w:t xml:space="preserve"> </w:t>
      </w:r>
      <w:r>
        <w:rPr>
          <w:bCs w:val="0"/>
        </w:rPr>
        <w:t xml:space="preserve">be used in the </w:t>
      </w:r>
      <w:r w:rsidR="00815CCE" w:rsidRPr="003D76A3">
        <w:rPr>
          <w:bCs w:val="0"/>
        </w:rPr>
        <w:t>de</w:t>
      </w:r>
      <w:r>
        <w:rPr>
          <w:bCs w:val="0"/>
        </w:rPr>
        <w:t>coupling mechanism</w:t>
      </w:r>
      <w:r w:rsidR="00815CCE" w:rsidRPr="003D76A3">
        <w:rPr>
          <w:bCs w:val="0"/>
        </w:rPr>
        <w:t>?</w:t>
      </w:r>
    </w:p>
    <w:p w:rsidR="00A01A78" w:rsidRDefault="00815CCE" w:rsidP="00F54106">
      <w:pPr>
        <w:pStyle w:val="BodyText"/>
        <w:tabs>
          <w:tab w:val="num" w:pos="0"/>
          <w:tab w:val="left" w:pos="810"/>
        </w:tabs>
        <w:spacing w:line="480" w:lineRule="auto"/>
        <w:ind w:firstLine="720"/>
        <w:jc w:val="both"/>
        <w:rPr>
          <w:b w:val="0"/>
          <w:bCs w:val="0"/>
        </w:rPr>
      </w:pPr>
      <w:r>
        <w:rPr>
          <w:b w:val="0"/>
          <w:bCs w:val="0"/>
        </w:rPr>
        <w:t>A.</w:t>
      </w:r>
      <w:r>
        <w:rPr>
          <w:b w:val="0"/>
          <w:bCs w:val="0"/>
        </w:rPr>
        <w:tab/>
      </w:r>
      <w:r w:rsidR="00F54106">
        <w:rPr>
          <w:b w:val="0"/>
          <w:bCs w:val="0"/>
        </w:rPr>
        <w:t>Yes.  As explained above</w:t>
      </w:r>
      <w:r w:rsidR="00057F2E">
        <w:rPr>
          <w:b w:val="0"/>
          <w:bCs w:val="0"/>
        </w:rPr>
        <w:t>,</w:t>
      </w:r>
      <w:r w:rsidR="00F54106">
        <w:rPr>
          <w:b w:val="0"/>
          <w:bCs w:val="0"/>
        </w:rPr>
        <w:t xml:space="preserve"> the </w:t>
      </w:r>
      <w:r w:rsidR="00057F2E">
        <w:rPr>
          <w:b w:val="0"/>
          <w:bCs w:val="0"/>
        </w:rPr>
        <w:t>LCAR</w:t>
      </w:r>
      <w:r w:rsidR="00F54106">
        <w:rPr>
          <w:b w:val="0"/>
          <w:bCs w:val="0"/>
        </w:rPr>
        <w:t xml:space="preserve"> should be a value that most appropriately represents the change in power supply expense resulting from a change in load.</w:t>
      </w:r>
    </w:p>
    <w:p w:rsidR="004716D2" w:rsidRDefault="00BC7152">
      <w:pPr>
        <w:pStyle w:val="BodyText"/>
        <w:tabs>
          <w:tab w:val="num" w:pos="0"/>
          <w:tab w:val="left" w:pos="810"/>
        </w:tabs>
        <w:spacing w:line="480" w:lineRule="auto"/>
        <w:jc w:val="both"/>
        <w:rPr>
          <w:bCs w:val="0"/>
          <w:u w:val="single"/>
        </w:rPr>
      </w:pPr>
      <w:r w:rsidRPr="00BC7152">
        <w:rPr>
          <w:bCs w:val="0"/>
          <w:u w:val="single"/>
        </w:rPr>
        <w:t>Colstrip and Coyote Spring</w:t>
      </w:r>
      <w:r w:rsidR="00890D94">
        <w:rPr>
          <w:bCs w:val="0"/>
          <w:u w:val="single"/>
        </w:rPr>
        <w:t>s</w:t>
      </w:r>
      <w:r w:rsidRPr="00BC7152">
        <w:rPr>
          <w:bCs w:val="0"/>
          <w:u w:val="single"/>
        </w:rPr>
        <w:t xml:space="preserve"> 2 Op</w:t>
      </w:r>
      <w:r w:rsidR="00F54106">
        <w:rPr>
          <w:bCs w:val="0"/>
          <w:u w:val="single"/>
        </w:rPr>
        <w:t>eration and Maintenance Expense</w:t>
      </w:r>
    </w:p>
    <w:p w:rsidR="00A01A78" w:rsidRPr="003D76A3" w:rsidRDefault="004C0A1A">
      <w:pPr>
        <w:pStyle w:val="BodyText"/>
        <w:tabs>
          <w:tab w:val="num" w:pos="0"/>
          <w:tab w:val="left" w:pos="810"/>
        </w:tabs>
        <w:spacing w:line="480" w:lineRule="auto"/>
        <w:ind w:firstLine="720"/>
        <w:jc w:val="both"/>
        <w:rPr>
          <w:bCs w:val="0"/>
        </w:rPr>
      </w:pPr>
      <w:r w:rsidRPr="003D76A3">
        <w:rPr>
          <w:bCs w:val="0"/>
        </w:rPr>
        <w:t>Q.</w:t>
      </w:r>
      <w:r w:rsidRPr="003D76A3">
        <w:rPr>
          <w:bCs w:val="0"/>
        </w:rPr>
        <w:tab/>
        <w:t>What is the Company proposing</w:t>
      </w:r>
      <w:r w:rsidR="00F54106">
        <w:rPr>
          <w:bCs w:val="0"/>
        </w:rPr>
        <w:t xml:space="preserve"> related</w:t>
      </w:r>
      <w:r w:rsidR="00890D94">
        <w:rPr>
          <w:bCs w:val="0"/>
        </w:rPr>
        <w:t xml:space="preserve"> to Colstrip and Coyote Springs </w:t>
      </w:r>
      <w:r w:rsidR="00F54106">
        <w:rPr>
          <w:bCs w:val="0"/>
        </w:rPr>
        <w:t>2 O&amp;M expense</w:t>
      </w:r>
      <w:r w:rsidRPr="003D76A3">
        <w:rPr>
          <w:bCs w:val="0"/>
        </w:rPr>
        <w:t>?</w:t>
      </w:r>
    </w:p>
    <w:p w:rsidR="00A01A78" w:rsidRDefault="004C0A1A">
      <w:pPr>
        <w:pStyle w:val="BodyText"/>
        <w:tabs>
          <w:tab w:val="num" w:pos="0"/>
          <w:tab w:val="left" w:pos="810"/>
        </w:tabs>
        <w:spacing w:line="480" w:lineRule="auto"/>
        <w:ind w:firstLine="720"/>
        <w:jc w:val="both"/>
        <w:rPr>
          <w:b w:val="0"/>
          <w:bCs w:val="0"/>
        </w:rPr>
      </w:pPr>
      <w:r>
        <w:rPr>
          <w:b w:val="0"/>
          <w:bCs w:val="0"/>
        </w:rPr>
        <w:t>A.</w:t>
      </w:r>
      <w:r>
        <w:rPr>
          <w:b w:val="0"/>
          <w:bCs w:val="0"/>
        </w:rPr>
        <w:tab/>
        <w:t xml:space="preserve">The Company is proposing to track the difference between the </w:t>
      </w:r>
      <w:r w:rsidR="00F54106">
        <w:rPr>
          <w:b w:val="0"/>
          <w:bCs w:val="0"/>
        </w:rPr>
        <w:t>authori</w:t>
      </w:r>
      <w:r w:rsidR="00E70D39">
        <w:rPr>
          <w:b w:val="0"/>
          <w:bCs w:val="0"/>
        </w:rPr>
        <w:t xml:space="preserve">zed level of O&amp;M expense </w:t>
      </w:r>
      <w:r>
        <w:rPr>
          <w:b w:val="0"/>
          <w:bCs w:val="0"/>
        </w:rPr>
        <w:t>and actual O&amp;M costs in the ERM</w:t>
      </w:r>
      <w:r w:rsidR="00E822D9">
        <w:rPr>
          <w:b w:val="0"/>
          <w:bCs w:val="0"/>
        </w:rPr>
        <w:t>.</w:t>
      </w:r>
    </w:p>
    <w:p w:rsidR="00A01A78" w:rsidRPr="003D76A3" w:rsidRDefault="006907EE">
      <w:pPr>
        <w:pStyle w:val="BodyText"/>
        <w:tabs>
          <w:tab w:val="num" w:pos="0"/>
          <w:tab w:val="left" w:pos="810"/>
        </w:tabs>
        <w:spacing w:line="480" w:lineRule="auto"/>
        <w:ind w:firstLine="720"/>
        <w:jc w:val="both"/>
        <w:rPr>
          <w:bCs w:val="0"/>
        </w:rPr>
      </w:pPr>
      <w:r>
        <w:rPr>
          <w:bCs w:val="0"/>
        </w:rPr>
        <w:t>Q.</w:t>
      </w:r>
      <w:r>
        <w:rPr>
          <w:bCs w:val="0"/>
        </w:rPr>
        <w:tab/>
      </w:r>
      <w:r w:rsidR="00575BCA">
        <w:rPr>
          <w:bCs w:val="0"/>
        </w:rPr>
        <w:t>Why d</w:t>
      </w:r>
      <w:r w:rsidR="00FC3EF5">
        <w:rPr>
          <w:bCs w:val="0"/>
        </w:rPr>
        <w:t xml:space="preserve">oes the Company </w:t>
      </w:r>
      <w:proofErr w:type="gramStart"/>
      <w:r w:rsidR="00FC3EF5">
        <w:rPr>
          <w:bCs w:val="0"/>
        </w:rPr>
        <w:t>belie</w:t>
      </w:r>
      <w:r>
        <w:rPr>
          <w:bCs w:val="0"/>
        </w:rPr>
        <w:t>ve</w:t>
      </w:r>
      <w:proofErr w:type="gramEnd"/>
      <w:r>
        <w:rPr>
          <w:bCs w:val="0"/>
        </w:rPr>
        <w:t xml:space="preserve"> it is appropriate to include such costs in the ERM</w:t>
      </w:r>
      <w:r w:rsidR="00F02152" w:rsidRPr="003D76A3">
        <w:rPr>
          <w:bCs w:val="0"/>
        </w:rPr>
        <w:t>?</w:t>
      </w:r>
    </w:p>
    <w:p w:rsidR="00A01A78" w:rsidRDefault="006907EE">
      <w:pPr>
        <w:pStyle w:val="BodyText"/>
        <w:tabs>
          <w:tab w:val="num" w:pos="0"/>
          <w:tab w:val="left" w:pos="810"/>
        </w:tabs>
        <w:spacing w:line="480" w:lineRule="auto"/>
        <w:ind w:firstLine="720"/>
        <w:jc w:val="both"/>
        <w:rPr>
          <w:b w:val="0"/>
          <w:bCs w:val="0"/>
        </w:rPr>
      </w:pPr>
      <w:r>
        <w:rPr>
          <w:b w:val="0"/>
          <w:bCs w:val="0"/>
        </w:rPr>
        <w:t>A.</w:t>
      </w:r>
      <w:r>
        <w:rPr>
          <w:b w:val="0"/>
          <w:bCs w:val="0"/>
        </w:rPr>
        <w:tab/>
      </w:r>
      <w:r w:rsidR="00FC3EF5">
        <w:rPr>
          <w:b w:val="0"/>
          <w:bCs w:val="0"/>
        </w:rPr>
        <w:t xml:space="preserve">Including the O&amp;M expense in </w:t>
      </w:r>
      <w:r w:rsidR="00557BA6">
        <w:rPr>
          <w:b w:val="0"/>
          <w:bCs w:val="0"/>
        </w:rPr>
        <w:t xml:space="preserve">the </w:t>
      </w:r>
      <w:r w:rsidR="00FC3EF5">
        <w:rPr>
          <w:b w:val="0"/>
          <w:bCs w:val="0"/>
        </w:rPr>
        <w:t xml:space="preserve">ERM better captures the total variation in power supply costs.  </w:t>
      </w:r>
      <w:r w:rsidR="00575BCA">
        <w:rPr>
          <w:b w:val="0"/>
          <w:bCs w:val="0"/>
        </w:rPr>
        <w:t xml:space="preserve">O&amp;M at the </w:t>
      </w:r>
      <w:r w:rsidR="004C0A1A">
        <w:rPr>
          <w:b w:val="0"/>
          <w:bCs w:val="0"/>
        </w:rPr>
        <w:t>Colstrip an</w:t>
      </w:r>
      <w:r>
        <w:rPr>
          <w:b w:val="0"/>
          <w:bCs w:val="0"/>
        </w:rPr>
        <w:t xml:space="preserve">d Coyote Springs 2 </w:t>
      </w:r>
      <w:r w:rsidR="00575BCA">
        <w:rPr>
          <w:b w:val="0"/>
          <w:bCs w:val="0"/>
        </w:rPr>
        <w:t xml:space="preserve">plants is a significant expense and both plants </w:t>
      </w:r>
      <w:r>
        <w:rPr>
          <w:b w:val="0"/>
          <w:bCs w:val="0"/>
        </w:rPr>
        <w:t>have highly variable maintenance schedules that are</w:t>
      </w:r>
      <w:r w:rsidR="004C0A1A">
        <w:rPr>
          <w:b w:val="0"/>
          <w:bCs w:val="0"/>
        </w:rPr>
        <w:t xml:space="preserve"> dependent on fa</w:t>
      </w:r>
      <w:r w:rsidR="00CE56C7">
        <w:rPr>
          <w:b w:val="0"/>
          <w:bCs w:val="0"/>
        </w:rPr>
        <w:t>ctors</w:t>
      </w:r>
      <w:r w:rsidR="004C0A1A">
        <w:rPr>
          <w:b w:val="0"/>
          <w:bCs w:val="0"/>
        </w:rPr>
        <w:t xml:space="preserve"> outside the Company’s control</w:t>
      </w:r>
      <w:r w:rsidR="00CE56C7">
        <w:rPr>
          <w:b w:val="0"/>
          <w:bCs w:val="0"/>
        </w:rPr>
        <w:t xml:space="preserve">.  The real issue is primarily maintenance and not operation expense.  Major maintenance is done every </w:t>
      </w:r>
      <w:r w:rsidR="00725FEC">
        <w:rPr>
          <w:b w:val="0"/>
          <w:bCs w:val="0"/>
        </w:rPr>
        <w:t xml:space="preserve">2 out of </w:t>
      </w:r>
      <w:r w:rsidR="00CE56C7">
        <w:rPr>
          <w:b w:val="0"/>
          <w:bCs w:val="0"/>
        </w:rPr>
        <w:t xml:space="preserve">3 years at Colstrip </w:t>
      </w:r>
      <w:r w:rsidR="00725FEC">
        <w:rPr>
          <w:b w:val="0"/>
          <w:bCs w:val="0"/>
        </w:rPr>
        <w:t xml:space="preserve">(each unit every 3 years) </w:t>
      </w:r>
      <w:r w:rsidR="00CE56C7">
        <w:rPr>
          <w:b w:val="0"/>
          <w:bCs w:val="0"/>
        </w:rPr>
        <w:t>and is known in advance.  Avista does not control this maintenance cycle as it is a jointly owned plant.  Coyote Springs 2</w:t>
      </w:r>
      <w:r w:rsidR="00575BCA">
        <w:rPr>
          <w:b w:val="0"/>
          <w:bCs w:val="0"/>
        </w:rPr>
        <w:t>’s</w:t>
      </w:r>
      <w:r w:rsidR="00CE56C7">
        <w:rPr>
          <w:b w:val="0"/>
          <w:bCs w:val="0"/>
        </w:rPr>
        <w:t xml:space="preserve"> major maintenance is dependent on </w:t>
      </w:r>
      <w:r w:rsidR="00F9307C">
        <w:rPr>
          <w:b w:val="0"/>
          <w:bCs w:val="0"/>
        </w:rPr>
        <w:t>fired</w:t>
      </w:r>
      <w:r w:rsidR="00F02152">
        <w:rPr>
          <w:b w:val="0"/>
          <w:bCs w:val="0"/>
        </w:rPr>
        <w:t>-</w:t>
      </w:r>
      <w:r w:rsidR="00CE56C7">
        <w:rPr>
          <w:b w:val="0"/>
          <w:bCs w:val="0"/>
        </w:rPr>
        <w:t>run hours</w:t>
      </w:r>
      <w:r w:rsidR="00F9307C">
        <w:rPr>
          <w:b w:val="0"/>
          <w:bCs w:val="0"/>
        </w:rPr>
        <w:t xml:space="preserve"> on the gas turbine.  Major maintenance occurs every 24,000 hours.  It is expected that the turbine will reach 72,000 </w:t>
      </w:r>
      <w:r w:rsidR="001F2B04">
        <w:rPr>
          <w:b w:val="0"/>
          <w:bCs w:val="0"/>
        </w:rPr>
        <w:t xml:space="preserve">hours </w:t>
      </w:r>
      <w:r w:rsidR="00F9307C">
        <w:rPr>
          <w:b w:val="0"/>
          <w:bCs w:val="0"/>
        </w:rPr>
        <w:t>of run time sometime in 2016.  Run time</w:t>
      </w:r>
      <w:r w:rsidR="00CE56C7">
        <w:rPr>
          <w:b w:val="0"/>
          <w:bCs w:val="0"/>
        </w:rPr>
        <w:t xml:space="preserve"> is dependent on </w:t>
      </w:r>
      <w:r w:rsidR="00CE56C7">
        <w:rPr>
          <w:b w:val="0"/>
          <w:bCs w:val="0"/>
        </w:rPr>
        <w:lastRenderedPageBreak/>
        <w:t xml:space="preserve">market </w:t>
      </w:r>
      <w:r w:rsidR="00F9307C">
        <w:rPr>
          <w:b w:val="0"/>
          <w:bCs w:val="0"/>
        </w:rPr>
        <w:t>conditions and</w:t>
      </w:r>
      <w:r w:rsidR="001F2B04">
        <w:rPr>
          <w:b w:val="0"/>
          <w:bCs w:val="0"/>
        </w:rPr>
        <w:t xml:space="preserve"> Avista cannot be certain</w:t>
      </w:r>
      <w:r w:rsidR="00CE56C7">
        <w:rPr>
          <w:b w:val="0"/>
          <w:bCs w:val="0"/>
        </w:rPr>
        <w:t xml:space="preserve"> when major maintenance will occur because market conditions and therefore run hours vary.</w:t>
      </w:r>
    </w:p>
    <w:p w:rsidR="006907EE" w:rsidRDefault="006907EE" w:rsidP="00FC3EF5">
      <w:pPr>
        <w:pStyle w:val="BodyText"/>
        <w:tabs>
          <w:tab w:val="num" w:pos="0"/>
          <w:tab w:val="left" w:pos="810"/>
        </w:tabs>
        <w:spacing w:line="480" w:lineRule="auto"/>
        <w:ind w:firstLine="720"/>
        <w:jc w:val="both"/>
        <w:rPr>
          <w:b w:val="0"/>
          <w:bCs w:val="0"/>
        </w:rPr>
      </w:pPr>
      <w:r>
        <w:rPr>
          <w:b w:val="0"/>
          <w:bCs w:val="0"/>
        </w:rPr>
        <w:t xml:space="preserve">In 2016 </w:t>
      </w:r>
      <w:r w:rsidR="00CE56C7">
        <w:rPr>
          <w:b w:val="0"/>
          <w:bCs w:val="0"/>
        </w:rPr>
        <w:t xml:space="preserve">both Colstrip and Coyote Springs 2 are expected to </w:t>
      </w:r>
      <w:r w:rsidR="00166263">
        <w:rPr>
          <w:b w:val="0"/>
          <w:bCs w:val="0"/>
        </w:rPr>
        <w:t>incur major</w:t>
      </w:r>
      <w:r w:rsidR="00CE56C7">
        <w:rPr>
          <w:b w:val="0"/>
          <w:bCs w:val="0"/>
        </w:rPr>
        <w:t xml:space="preserve"> maintenance expense and that expense level is $</w:t>
      </w:r>
      <w:r w:rsidR="0095387E">
        <w:rPr>
          <w:b w:val="0"/>
          <w:bCs w:val="0"/>
        </w:rPr>
        <w:t>3,105,745</w:t>
      </w:r>
      <w:r w:rsidR="00CE56C7">
        <w:rPr>
          <w:b w:val="0"/>
          <w:bCs w:val="0"/>
        </w:rPr>
        <w:t xml:space="preserve"> higher than the expense level in the test-year</w:t>
      </w:r>
      <w:r w:rsidR="0095387E">
        <w:rPr>
          <w:b w:val="0"/>
          <w:bCs w:val="0"/>
        </w:rPr>
        <w:t xml:space="preserve"> (Washington allocation)</w:t>
      </w:r>
      <w:r w:rsidR="00CE56C7">
        <w:rPr>
          <w:b w:val="0"/>
          <w:bCs w:val="0"/>
        </w:rPr>
        <w:t>.</w:t>
      </w:r>
      <w:r w:rsidR="000B7F16">
        <w:rPr>
          <w:b w:val="0"/>
          <w:bCs w:val="0"/>
        </w:rPr>
        <w:t xml:space="preserve">  Avista will significantly </w:t>
      </w:r>
      <w:r w:rsidR="00166263">
        <w:rPr>
          <w:b w:val="0"/>
          <w:bCs w:val="0"/>
        </w:rPr>
        <w:t>under recover</w:t>
      </w:r>
      <w:r w:rsidR="000B7F16">
        <w:rPr>
          <w:b w:val="0"/>
          <w:bCs w:val="0"/>
        </w:rPr>
        <w:t xml:space="preserve"> its O&amp;M </w:t>
      </w:r>
      <w:r w:rsidR="003D76A3">
        <w:rPr>
          <w:b w:val="0"/>
          <w:bCs w:val="0"/>
        </w:rPr>
        <w:t xml:space="preserve">expense </w:t>
      </w:r>
      <w:r w:rsidR="000B7F16">
        <w:rPr>
          <w:b w:val="0"/>
          <w:bCs w:val="0"/>
        </w:rPr>
        <w:t xml:space="preserve">for Colstrip and Coyote Springs 2 in 2016 if it </w:t>
      </w:r>
      <w:r w:rsidR="00E70D39">
        <w:rPr>
          <w:b w:val="0"/>
          <w:bCs w:val="0"/>
        </w:rPr>
        <w:t>does not have some means to include these costs in retail rates.</w:t>
      </w:r>
    </w:p>
    <w:p w:rsidR="00A01A78" w:rsidRPr="003D76A3" w:rsidRDefault="00902CFF">
      <w:pPr>
        <w:pStyle w:val="BodyText"/>
        <w:tabs>
          <w:tab w:val="num" w:pos="0"/>
          <w:tab w:val="left" w:pos="810"/>
        </w:tabs>
        <w:spacing w:line="480" w:lineRule="auto"/>
        <w:ind w:firstLine="720"/>
        <w:jc w:val="both"/>
        <w:rPr>
          <w:bCs w:val="0"/>
        </w:rPr>
      </w:pPr>
      <w:r w:rsidRPr="003D76A3">
        <w:rPr>
          <w:bCs w:val="0"/>
        </w:rPr>
        <w:t>Q.</w:t>
      </w:r>
      <w:r w:rsidRPr="003D76A3">
        <w:rPr>
          <w:bCs w:val="0"/>
        </w:rPr>
        <w:tab/>
        <w:t>Why include operation expense</w:t>
      </w:r>
      <w:r w:rsidR="003D76A3" w:rsidRPr="003D76A3">
        <w:rPr>
          <w:bCs w:val="0"/>
        </w:rPr>
        <w:t>?</w:t>
      </w:r>
    </w:p>
    <w:p w:rsidR="00A01A78" w:rsidRDefault="00902CFF">
      <w:pPr>
        <w:pStyle w:val="BodyText"/>
        <w:tabs>
          <w:tab w:val="num" w:pos="0"/>
          <w:tab w:val="left" w:pos="810"/>
        </w:tabs>
        <w:spacing w:line="480" w:lineRule="auto"/>
        <w:ind w:firstLine="720"/>
        <w:jc w:val="both"/>
        <w:rPr>
          <w:b w:val="0"/>
          <w:bCs w:val="0"/>
        </w:rPr>
      </w:pPr>
      <w:r>
        <w:rPr>
          <w:b w:val="0"/>
          <w:bCs w:val="0"/>
        </w:rPr>
        <w:t>A.</w:t>
      </w:r>
      <w:r>
        <w:rPr>
          <w:b w:val="0"/>
          <w:bCs w:val="0"/>
        </w:rPr>
        <w:tab/>
        <w:t xml:space="preserve">Operation expense is included because it may be lower in years with major maintenance expense because the plant will run less time.  It would be unfair to customers to </w:t>
      </w:r>
      <w:r w:rsidR="009D3B90">
        <w:rPr>
          <w:b w:val="0"/>
          <w:bCs w:val="0"/>
        </w:rPr>
        <w:t>charge them for higher maintenance expense but not credit them for lower operation expense.</w:t>
      </w:r>
    </w:p>
    <w:p w:rsidR="00A01A78" w:rsidRPr="003D76A3" w:rsidRDefault="00057F2E">
      <w:pPr>
        <w:pStyle w:val="BodyText"/>
        <w:tabs>
          <w:tab w:val="num" w:pos="0"/>
          <w:tab w:val="left" w:pos="810"/>
        </w:tabs>
        <w:spacing w:line="480" w:lineRule="auto"/>
        <w:ind w:firstLine="720"/>
        <w:jc w:val="both"/>
        <w:rPr>
          <w:bCs w:val="0"/>
        </w:rPr>
      </w:pPr>
      <w:r>
        <w:rPr>
          <w:bCs w:val="0"/>
        </w:rPr>
        <w:t>Q.</w:t>
      </w:r>
      <w:r>
        <w:rPr>
          <w:bCs w:val="0"/>
        </w:rPr>
        <w:tab/>
        <w:t>What accounts would</w:t>
      </w:r>
      <w:r w:rsidR="009D3B90" w:rsidRPr="003D76A3">
        <w:rPr>
          <w:bCs w:val="0"/>
        </w:rPr>
        <w:t xml:space="preserve"> be tracked?</w:t>
      </w:r>
    </w:p>
    <w:p w:rsidR="00A01A78" w:rsidRDefault="00057F2E">
      <w:pPr>
        <w:pStyle w:val="BodyText"/>
        <w:tabs>
          <w:tab w:val="num" w:pos="0"/>
          <w:tab w:val="left" w:pos="810"/>
        </w:tabs>
        <w:spacing w:line="480" w:lineRule="auto"/>
        <w:ind w:firstLine="720"/>
        <w:jc w:val="both"/>
        <w:rPr>
          <w:b w:val="0"/>
          <w:bCs w:val="0"/>
        </w:rPr>
      </w:pPr>
      <w:r>
        <w:rPr>
          <w:b w:val="0"/>
          <w:bCs w:val="0"/>
        </w:rPr>
        <w:t>A.</w:t>
      </w:r>
      <w:r>
        <w:rPr>
          <w:b w:val="0"/>
          <w:bCs w:val="0"/>
        </w:rPr>
        <w:tab/>
        <w:t>The accounts that would</w:t>
      </w:r>
      <w:r w:rsidR="009D3B90">
        <w:rPr>
          <w:b w:val="0"/>
          <w:bCs w:val="0"/>
        </w:rPr>
        <w:t xml:space="preserve"> be tracked are</w:t>
      </w:r>
      <w:r w:rsidR="002069D0">
        <w:rPr>
          <w:b w:val="0"/>
          <w:bCs w:val="0"/>
        </w:rPr>
        <w:t xml:space="preserve"> </w:t>
      </w:r>
      <w:r>
        <w:rPr>
          <w:b w:val="0"/>
          <w:bCs w:val="0"/>
        </w:rPr>
        <w:t xml:space="preserve">FERC accounts </w:t>
      </w:r>
      <w:r w:rsidR="002069D0">
        <w:rPr>
          <w:b w:val="0"/>
          <w:bCs w:val="0"/>
        </w:rPr>
        <w:t>500 through 507 and 510 through 514 for Colstrip</w:t>
      </w:r>
      <w:r>
        <w:rPr>
          <w:b w:val="0"/>
          <w:bCs w:val="0"/>
        </w:rPr>
        <w:t>,</w:t>
      </w:r>
      <w:r w:rsidR="002069D0">
        <w:rPr>
          <w:b w:val="0"/>
          <w:bCs w:val="0"/>
        </w:rPr>
        <w:t xml:space="preserve"> and 546 through 554 and 562 for Coyote Springs 2.  The test-year and pro forma expenses for </w:t>
      </w:r>
      <w:r w:rsidR="00FC3EF5">
        <w:rPr>
          <w:b w:val="0"/>
          <w:bCs w:val="0"/>
        </w:rPr>
        <w:t>these accounts are shown in workpapers</w:t>
      </w:r>
      <w:r>
        <w:rPr>
          <w:b w:val="0"/>
          <w:bCs w:val="0"/>
        </w:rPr>
        <w:t xml:space="preserve"> included with this filing.</w:t>
      </w:r>
    </w:p>
    <w:p w:rsidR="00A01A78" w:rsidRPr="003D76A3" w:rsidRDefault="004C0A1A">
      <w:pPr>
        <w:pStyle w:val="BodyText"/>
        <w:tabs>
          <w:tab w:val="num" w:pos="0"/>
          <w:tab w:val="left" w:pos="810"/>
        </w:tabs>
        <w:spacing w:line="480" w:lineRule="auto"/>
        <w:ind w:firstLine="720"/>
        <w:jc w:val="both"/>
        <w:rPr>
          <w:bCs w:val="0"/>
        </w:rPr>
      </w:pPr>
      <w:r w:rsidRPr="003D76A3">
        <w:rPr>
          <w:bCs w:val="0"/>
        </w:rPr>
        <w:t>Q.</w:t>
      </w:r>
      <w:r w:rsidRPr="003D76A3">
        <w:rPr>
          <w:bCs w:val="0"/>
        </w:rPr>
        <w:tab/>
        <w:t>How would the difference in O&amp;M be included in the ERM deferrals</w:t>
      </w:r>
      <w:r w:rsidR="003D76A3">
        <w:rPr>
          <w:bCs w:val="0"/>
        </w:rPr>
        <w:t>?</w:t>
      </w:r>
    </w:p>
    <w:p w:rsidR="00D35315" w:rsidRDefault="004C0A1A" w:rsidP="00D35315">
      <w:pPr>
        <w:pStyle w:val="BodyText"/>
        <w:tabs>
          <w:tab w:val="num" w:pos="0"/>
          <w:tab w:val="left" w:pos="810"/>
        </w:tabs>
        <w:spacing w:line="480" w:lineRule="auto"/>
        <w:ind w:firstLine="720"/>
        <w:jc w:val="both"/>
      </w:pPr>
      <w:r>
        <w:rPr>
          <w:b w:val="0"/>
          <w:bCs w:val="0"/>
        </w:rPr>
        <w:t>A.</w:t>
      </w:r>
      <w:r>
        <w:rPr>
          <w:b w:val="0"/>
          <w:bCs w:val="0"/>
        </w:rPr>
        <w:tab/>
        <w:t xml:space="preserve">The difference </w:t>
      </w:r>
      <w:r w:rsidR="002069D0">
        <w:rPr>
          <w:b w:val="0"/>
          <w:bCs w:val="0"/>
        </w:rPr>
        <w:t xml:space="preserve">between actual and pro </w:t>
      </w:r>
      <w:r w:rsidR="00166263">
        <w:rPr>
          <w:b w:val="0"/>
          <w:bCs w:val="0"/>
        </w:rPr>
        <w:t>forma O&amp;M</w:t>
      </w:r>
      <w:r>
        <w:rPr>
          <w:b w:val="0"/>
          <w:bCs w:val="0"/>
        </w:rPr>
        <w:t xml:space="preserve"> costs would be treated the same as any other power supply expense variation</w:t>
      </w:r>
      <w:r w:rsidR="00057F2E">
        <w:rPr>
          <w:b w:val="0"/>
          <w:bCs w:val="0"/>
        </w:rPr>
        <w:t>,</w:t>
      </w:r>
      <w:r>
        <w:rPr>
          <w:b w:val="0"/>
          <w:bCs w:val="0"/>
        </w:rPr>
        <w:t xml:space="preserve"> and </w:t>
      </w:r>
      <w:r w:rsidR="00CE56C7">
        <w:rPr>
          <w:b w:val="0"/>
          <w:bCs w:val="0"/>
        </w:rPr>
        <w:t xml:space="preserve">be subject to the </w:t>
      </w:r>
      <w:r w:rsidR="00166263">
        <w:rPr>
          <w:b w:val="0"/>
          <w:bCs w:val="0"/>
        </w:rPr>
        <w:t>dead band</w:t>
      </w:r>
      <w:r w:rsidR="00CE56C7">
        <w:rPr>
          <w:b w:val="0"/>
          <w:bCs w:val="0"/>
        </w:rPr>
        <w:t xml:space="preserve"> and the sharing bands</w:t>
      </w:r>
      <w:r w:rsidR="00470FE7">
        <w:rPr>
          <w:b w:val="0"/>
          <w:bCs w:val="0"/>
        </w:rPr>
        <w:t>.</w:t>
      </w:r>
      <w:r w:rsidR="00D35315">
        <w:rPr>
          <w:b w:val="0"/>
          <w:bCs w:val="0"/>
        </w:rPr>
        <w:br w:type="page"/>
      </w:r>
    </w:p>
    <w:p w:rsidR="00BE21E7" w:rsidRPr="00BE21E7" w:rsidRDefault="007E493D" w:rsidP="007E493D">
      <w:pPr>
        <w:pStyle w:val="BodyText"/>
        <w:tabs>
          <w:tab w:val="num" w:pos="0"/>
        </w:tabs>
        <w:spacing w:line="480" w:lineRule="auto"/>
        <w:rPr>
          <w:bCs w:val="0"/>
          <w:u w:val="single"/>
        </w:rPr>
      </w:pPr>
      <w:r>
        <w:rPr>
          <w:bCs w:val="0"/>
          <w:u w:val="single"/>
        </w:rPr>
        <w:lastRenderedPageBreak/>
        <w:t>V.</w:t>
      </w:r>
      <w:r>
        <w:rPr>
          <w:bCs w:val="0"/>
          <w:u w:val="single"/>
        </w:rPr>
        <w:tab/>
      </w:r>
      <w:r w:rsidR="00975878">
        <w:rPr>
          <w:bCs w:val="0"/>
          <w:u w:val="single"/>
        </w:rPr>
        <w:t xml:space="preserve">ERM AUTHORIZED </w:t>
      </w:r>
      <w:r w:rsidR="00647807">
        <w:rPr>
          <w:bCs w:val="0"/>
          <w:u w:val="single"/>
        </w:rPr>
        <w:t>VALUES</w:t>
      </w:r>
    </w:p>
    <w:p w:rsidR="000B57DD" w:rsidRDefault="000B57DD" w:rsidP="000B57DD">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w:t>
      </w:r>
      <w:r w:rsidR="00591EDC">
        <w:t>Avista’s proposed</w:t>
      </w:r>
      <w:r w:rsidRPr="00BE21E7">
        <w:t xml:space="preserve"> authorized power supply expe</w:t>
      </w:r>
      <w:r>
        <w:t xml:space="preserve">nse and revenue </w:t>
      </w:r>
      <w:r w:rsidRPr="00BE21E7">
        <w:t>for the ERM?</w:t>
      </w:r>
    </w:p>
    <w:p w:rsidR="00BE21E7" w:rsidRPr="00BE21E7" w:rsidRDefault="00BE21E7" w:rsidP="00BE21E7">
      <w:pPr>
        <w:pStyle w:val="BodyText"/>
        <w:tabs>
          <w:tab w:val="num" w:pos="0"/>
        </w:tabs>
        <w:spacing w:line="480" w:lineRule="auto"/>
        <w:ind w:firstLine="720"/>
        <w:jc w:val="both"/>
        <w:rPr>
          <w:b w:val="0"/>
          <w:bCs w:val="0"/>
        </w:rPr>
      </w:pPr>
      <w:r w:rsidRPr="00BE21E7">
        <w:rPr>
          <w:b w:val="0"/>
          <w:bCs w:val="0"/>
        </w:rPr>
        <w:t>A.</w:t>
      </w:r>
      <w:r w:rsidRPr="00BE21E7">
        <w:tab/>
      </w:r>
      <w:r w:rsidRPr="00BE21E7">
        <w:rPr>
          <w:b w:val="0"/>
          <w:bCs w:val="0"/>
        </w:rPr>
        <w:t>The proposed authorized level of annual system power supply expense</w:t>
      </w:r>
      <w:r w:rsidR="00A745AE">
        <w:rPr>
          <w:b w:val="0"/>
          <w:bCs w:val="0"/>
        </w:rPr>
        <w:t xml:space="preserve"> </w:t>
      </w:r>
      <w:r w:rsidRPr="00BE21E7">
        <w:rPr>
          <w:b w:val="0"/>
          <w:bCs w:val="0"/>
        </w:rPr>
        <w:t xml:space="preserve">is </w:t>
      </w:r>
      <w:r w:rsidRPr="00591EDC">
        <w:rPr>
          <w:b w:val="0"/>
          <w:bCs w:val="0"/>
        </w:rPr>
        <w:t>$</w:t>
      </w:r>
      <w:r w:rsidR="00253EEF">
        <w:rPr>
          <w:b w:val="0"/>
          <w:bCs w:val="0"/>
        </w:rPr>
        <w:t>197</w:t>
      </w:r>
      <w:r w:rsidR="008A2713">
        <w:rPr>
          <w:b w:val="0"/>
          <w:bCs w:val="0"/>
        </w:rPr>
        <w:t>,</w:t>
      </w:r>
      <w:r w:rsidR="00253EEF">
        <w:rPr>
          <w:b w:val="0"/>
          <w:bCs w:val="0"/>
        </w:rPr>
        <w:t>770</w:t>
      </w:r>
      <w:r w:rsidR="008A2713">
        <w:rPr>
          <w:b w:val="0"/>
          <w:bCs w:val="0"/>
        </w:rPr>
        <w:t>,</w:t>
      </w:r>
      <w:r w:rsidR="00253EEF">
        <w:rPr>
          <w:b w:val="0"/>
          <w:bCs w:val="0"/>
        </w:rPr>
        <w:t>559</w:t>
      </w:r>
      <w:r w:rsidRPr="00BE21E7">
        <w:rPr>
          <w:b w:val="0"/>
          <w:bCs w:val="0"/>
        </w:rPr>
        <w:t>.  This is the sum of Accounts 555 (Purchased Power), 501 (Thermal Fuel), 547 (Fuel), less Account 447 (Sale</w:t>
      </w:r>
      <w:r w:rsidR="00557BA6">
        <w:rPr>
          <w:b w:val="0"/>
          <w:bCs w:val="0"/>
        </w:rPr>
        <w:t xml:space="preserve"> for Resale).</w:t>
      </w:r>
      <w:r w:rsidR="00253EEF">
        <w:rPr>
          <w:b w:val="0"/>
          <w:bCs w:val="0"/>
        </w:rPr>
        <w:t xml:space="preserve"> It also includes t</w:t>
      </w:r>
      <w:r w:rsidR="008A66AA">
        <w:rPr>
          <w:b w:val="0"/>
          <w:bCs w:val="0"/>
        </w:rPr>
        <w:t>he O&amp;M accounts noted above related t</w:t>
      </w:r>
      <w:r w:rsidR="00253EEF">
        <w:rPr>
          <w:b w:val="0"/>
          <w:bCs w:val="0"/>
        </w:rPr>
        <w:t xml:space="preserve">o its Colstrip and </w:t>
      </w:r>
      <w:r w:rsidR="00890D94">
        <w:rPr>
          <w:b w:val="0"/>
          <w:bCs w:val="0"/>
        </w:rPr>
        <w:t>Coyote Springs 2</w:t>
      </w:r>
      <w:r w:rsidR="00253EEF">
        <w:rPr>
          <w:b w:val="0"/>
          <w:bCs w:val="0"/>
        </w:rPr>
        <w:t xml:space="preserve"> plants, transmission expense, transmission revenue and broker fee expense</w:t>
      </w:r>
      <w:r w:rsidRPr="00BE21E7">
        <w:rPr>
          <w:b w:val="0"/>
          <w:bCs w:val="0"/>
        </w:rPr>
        <w:t>.</w:t>
      </w:r>
    </w:p>
    <w:p w:rsidR="00B358E3" w:rsidRDefault="00B358E3" w:rsidP="00B358E3">
      <w:pPr>
        <w:pStyle w:val="BodyText"/>
        <w:tabs>
          <w:tab w:val="num" w:pos="0"/>
          <w:tab w:val="left" w:pos="810"/>
        </w:tabs>
        <w:spacing w:line="480" w:lineRule="auto"/>
        <w:ind w:firstLine="720"/>
        <w:jc w:val="both"/>
        <w:rPr>
          <w:bCs w:val="0"/>
        </w:rPr>
      </w:pPr>
      <w:r>
        <w:rPr>
          <w:bCs w:val="0"/>
        </w:rPr>
        <w:t>Q.</w:t>
      </w:r>
      <w:r>
        <w:rPr>
          <w:bCs w:val="0"/>
        </w:rPr>
        <w:tab/>
      </w:r>
      <w:r w:rsidRPr="00BE21E7">
        <w:t xml:space="preserve">What is the </w:t>
      </w:r>
      <w:r>
        <w:t xml:space="preserve">level of retail sales and the proposed </w:t>
      </w:r>
      <w:r w:rsidR="00057F2E">
        <w:t>LCAR</w:t>
      </w:r>
      <w:r>
        <w:t xml:space="preserve"> </w:t>
      </w:r>
      <w:r w:rsidRPr="00BE21E7">
        <w:t>for the ERM?</w:t>
      </w:r>
    </w:p>
    <w:p w:rsidR="00BE21E7" w:rsidRPr="00BE21E7" w:rsidRDefault="00B358E3" w:rsidP="00BE21E7">
      <w:pPr>
        <w:pStyle w:val="BodyText"/>
        <w:tabs>
          <w:tab w:val="num" w:pos="0"/>
        </w:tabs>
        <w:spacing w:line="480" w:lineRule="auto"/>
        <w:ind w:firstLine="720"/>
        <w:jc w:val="both"/>
        <w:rPr>
          <w:b w:val="0"/>
          <w:bCs w:val="0"/>
        </w:rPr>
      </w:pPr>
      <w:r>
        <w:rPr>
          <w:b w:val="0"/>
          <w:bCs w:val="0"/>
        </w:rPr>
        <w:t>A.</w:t>
      </w:r>
      <w:r>
        <w:rPr>
          <w:b w:val="0"/>
          <w:bCs w:val="0"/>
        </w:rPr>
        <w:tab/>
      </w:r>
      <w:r w:rsidR="00BE21E7" w:rsidRPr="00BE21E7">
        <w:rPr>
          <w:b w:val="0"/>
          <w:bCs w:val="0"/>
        </w:rPr>
        <w:t xml:space="preserve">The proposed authorized level of retail sales to be used in the ERM is the </w:t>
      </w:r>
      <w:r w:rsidR="00E81AD1">
        <w:rPr>
          <w:b w:val="0"/>
          <w:bCs w:val="0"/>
        </w:rPr>
        <w:t>October</w:t>
      </w:r>
      <w:r w:rsidR="00E81AD1" w:rsidRPr="00BE21E7">
        <w:rPr>
          <w:b w:val="0"/>
          <w:bCs w:val="0"/>
        </w:rPr>
        <w:t xml:space="preserve"> </w:t>
      </w:r>
      <w:r w:rsidR="00BE21E7" w:rsidRPr="00BE21E7">
        <w:rPr>
          <w:b w:val="0"/>
          <w:bCs w:val="0"/>
        </w:rPr>
        <w:t>201</w:t>
      </w:r>
      <w:r w:rsidR="00E81AD1">
        <w:rPr>
          <w:b w:val="0"/>
          <w:bCs w:val="0"/>
        </w:rPr>
        <w:t>3</w:t>
      </w:r>
      <w:r w:rsidR="00BE21E7" w:rsidRPr="00BE21E7">
        <w:rPr>
          <w:b w:val="0"/>
          <w:bCs w:val="0"/>
        </w:rPr>
        <w:t xml:space="preserve"> through </w:t>
      </w:r>
      <w:r w:rsidR="00E81AD1">
        <w:rPr>
          <w:b w:val="0"/>
          <w:bCs w:val="0"/>
        </w:rPr>
        <w:t>September</w:t>
      </w:r>
      <w:r w:rsidR="00D13452">
        <w:rPr>
          <w:b w:val="0"/>
          <w:bCs w:val="0"/>
        </w:rPr>
        <w:t xml:space="preserve"> 201</w:t>
      </w:r>
      <w:r w:rsidR="00E81AD1">
        <w:rPr>
          <w:b w:val="0"/>
          <w:bCs w:val="0"/>
        </w:rPr>
        <w:t>4</w:t>
      </w:r>
      <w:r w:rsidR="00BE21E7" w:rsidRPr="00BE21E7">
        <w:rPr>
          <w:b w:val="0"/>
          <w:bCs w:val="0"/>
        </w:rPr>
        <w:t xml:space="preserve"> </w:t>
      </w:r>
      <w:r w:rsidR="001177A0">
        <w:rPr>
          <w:b w:val="0"/>
          <w:bCs w:val="0"/>
        </w:rPr>
        <w:t>weather adjusted</w:t>
      </w:r>
      <w:r w:rsidR="00BE21E7" w:rsidRPr="00BE21E7">
        <w:rPr>
          <w:b w:val="0"/>
          <w:bCs w:val="0"/>
        </w:rPr>
        <w:t xml:space="preserve"> </w:t>
      </w:r>
      <w:r w:rsidR="002A4C87">
        <w:rPr>
          <w:b w:val="0"/>
          <w:bCs w:val="0"/>
        </w:rPr>
        <w:t xml:space="preserve">Washington </w:t>
      </w:r>
      <w:r w:rsidR="00BE21E7" w:rsidRPr="00BE21E7">
        <w:rPr>
          <w:b w:val="0"/>
          <w:bCs w:val="0"/>
        </w:rPr>
        <w:t>retail</w:t>
      </w:r>
      <w:r w:rsidR="00B97984">
        <w:rPr>
          <w:b w:val="0"/>
          <w:bCs w:val="0"/>
        </w:rPr>
        <w:t xml:space="preserve"> sales</w:t>
      </w:r>
      <w:r w:rsidR="006E0068">
        <w:rPr>
          <w:b w:val="0"/>
          <w:bCs w:val="0"/>
        </w:rPr>
        <w:t>.</w:t>
      </w:r>
      <w:r w:rsidR="00BE21E7" w:rsidRPr="00BE21E7">
        <w:rPr>
          <w:b w:val="0"/>
          <w:bCs w:val="0"/>
        </w:rPr>
        <w:t xml:space="preserve">  The pr</w:t>
      </w:r>
      <w:r w:rsidR="00D15846">
        <w:rPr>
          <w:b w:val="0"/>
          <w:bCs w:val="0"/>
        </w:rPr>
        <w:t xml:space="preserve">oposed </w:t>
      </w:r>
      <w:r w:rsidR="00057F2E">
        <w:rPr>
          <w:b w:val="0"/>
          <w:bCs w:val="0"/>
        </w:rPr>
        <w:t xml:space="preserve">LCAR </w:t>
      </w:r>
      <w:r w:rsidR="00D15846">
        <w:rPr>
          <w:b w:val="0"/>
          <w:bCs w:val="0"/>
        </w:rPr>
        <w:t xml:space="preserve">is </w:t>
      </w:r>
      <w:r w:rsidR="00647807">
        <w:rPr>
          <w:b w:val="0"/>
          <w:bCs w:val="0"/>
        </w:rPr>
        <w:t>$</w:t>
      </w:r>
      <w:r w:rsidR="00647807" w:rsidRPr="00647807">
        <w:rPr>
          <w:b w:val="0"/>
          <w:bCs w:val="0"/>
        </w:rPr>
        <w:t>3</w:t>
      </w:r>
      <w:r w:rsidR="00E81AD1">
        <w:rPr>
          <w:b w:val="0"/>
          <w:bCs w:val="0"/>
        </w:rPr>
        <w:t>0.68</w:t>
      </w:r>
      <w:r w:rsidR="00BE21E7" w:rsidRPr="00647807">
        <w:rPr>
          <w:b w:val="0"/>
          <w:bCs w:val="0"/>
        </w:rPr>
        <w:t>MWh</w:t>
      </w:r>
      <w:r w:rsidR="00BE21E7" w:rsidRPr="00BE21E7">
        <w:rPr>
          <w:b w:val="0"/>
          <w:bCs w:val="0"/>
        </w:rPr>
        <w:t>, which is the</w:t>
      </w:r>
      <w:r w:rsidR="0029173E">
        <w:rPr>
          <w:b w:val="0"/>
          <w:bCs w:val="0"/>
        </w:rPr>
        <w:t xml:space="preserve"> </w:t>
      </w:r>
      <w:r w:rsidR="00E81AD1">
        <w:rPr>
          <w:b w:val="0"/>
          <w:bCs w:val="0"/>
        </w:rPr>
        <w:t xml:space="preserve">average spot market purchase and sales rate in the </w:t>
      </w:r>
      <w:r w:rsidR="0029173E">
        <w:rPr>
          <w:b w:val="0"/>
          <w:bCs w:val="0"/>
        </w:rPr>
        <w:t xml:space="preserve">power supply </w:t>
      </w:r>
      <w:r w:rsidR="008A66AA">
        <w:rPr>
          <w:b w:val="0"/>
          <w:bCs w:val="0"/>
        </w:rPr>
        <w:t>pro forma</w:t>
      </w:r>
      <w:r w:rsidR="00BE21E7" w:rsidRPr="00BE21E7">
        <w:rPr>
          <w:b w:val="0"/>
          <w:bCs w:val="0"/>
        </w:rPr>
        <w:t>.</w:t>
      </w:r>
    </w:p>
    <w:p w:rsidR="00BE21E7" w:rsidRPr="00BE21E7" w:rsidRDefault="00BE21E7" w:rsidP="006E0068">
      <w:pPr>
        <w:pStyle w:val="BodyText"/>
        <w:tabs>
          <w:tab w:val="num" w:pos="0"/>
        </w:tabs>
        <w:spacing w:line="480" w:lineRule="auto"/>
        <w:ind w:firstLine="720"/>
        <w:jc w:val="both"/>
        <w:rPr>
          <w:b w:val="0"/>
          <w:bCs w:val="0"/>
        </w:rPr>
      </w:pPr>
      <w:r w:rsidRPr="00BE21E7">
        <w:rPr>
          <w:b w:val="0"/>
          <w:bCs w:val="0"/>
        </w:rPr>
        <w:t xml:space="preserve">The proposed authorized ERM power supply expense and revenue, transmission expense and revenue, and </w:t>
      </w:r>
      <w:r w:rsidR="00C43FEC" w:rsidRPr="00BE21E7">
        <w:rPr>
          <w:b w:val="0"/>
          <w:bCs w:val="0"/>
        </w:rPr>
        <w:t>retail sales are</w:t>
      </w:r>
      <w:r w:rsidRPr="00BE21E7">
        <w:rPr>
          <w:b w:val="0"/>
          <w:bCs w:val="0"/>
        </w:rPr>
        <w:t xml:space="preserve"> shown in Exhibit No.</w:t>
      </w:r>
      <w:r w:rsidR="00A55DD3">
        <w:rPr>
          <w:b w:val="0"/>
          <w:bCs w:val="0"/>
        </w:rPr>
        <w:t>__</w:t>
      </w:r>
      <w:r w:rsidR="00822FCE">
        <w:rPr>
          <w:b w:val="0"/>
          <w:bCs w:val="0"/>
        </w:rPr>
        <w:t>_</w:t>
      </w:r>
      <w:r w:rsidR="00822FCE" w:rsidRPr="00BE21E7">
        <w:rPr>
          <w:b w:val="0"/>
          <w:bCs w:val="0"/>
        </w:rPr>
        <w:t xml:space="preserve"> (</w:t>
      </w:r>
      <w:r w:rsidRPr="00BE21E7">
        <w:rPr>
          <w:b w:val="0"/>
          <w:bCs w:val="0"/>
        </w:rPr>
        <w:t>WGJ-</w:t>
      </w:r>
      <w:r w:rsidR="00F3495A">
        <w:rPr>
          <w:b w:val="0"/>
          <w:bCs w:val="0"/>
        </w:rPr>
        <w:t>5</w:t>
      </w:r>
      <w:r w:rsidRPr="00BE21E7">
        <w:rPr>
          <w:b w:val="0"/>
          <w:bCs w:val="0"/>
        </w:rPr>
        <w:t>).</w:t>
      </w:r>
    </w:p>
    <w:p w:rsidR="00BE21E7" w:rsidRPr="00BE21E7" w:rsidRDefault="00BE21E7"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Does that conclude your pre-filed direct testimony?</w:t>
      </w:r>
    </w:p>
    <w:p w:rsidR="00182994" w:rsidRDefault="00BE21E7" w:rsidP="0044617E">
      <w:pPr>
        <w:pStyle w:val="BodyText2"/>
        <w:tabs>
          <w:tab w:val="left" w:pos="1440"/>
        </w:tabs>
        <w:ind w:firstLine="720"/>
        <w:jc w:val="left"/>
      </w:pPr>
      <w:r w:rsidRPr="00BE21E7">
        <w:t>A.</w:t>
      </w:r>
      <w:r w:rsidRPr="00BE21E7">
        <w:tab/>
        <w:t xml:space="preserve">Yes. </w:t>
      </w:r>
    </w:p>
    <w:sectPr w:rsidR="00182994" w:rsidSect="00D35315">
      <w:pgSz w:w="12240" w:h="15840" w:code="1"/>
      <w:pgMar w:top="1440" w:right="1440" w:bottom="1584" w:left="1872" w:header="720" w:footer="360" w:gutter="0"/>
      <w:lnNumType w:countBy="1" w:distance="432"/>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13D" w:rsidRDefault="00F4413D">
      <w:r>
        <w:separator/>
      </w:r>
    </w:p>
  </w:endnote>
  <w:endnote w:type="continuationSeparator" w:id="0">
    <w:p w:rsidR="00F4413D" w:rsidRDefault="00F4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Pr="006E0068" w:rsidRDefault="00F4413D">
    <w:pPr>
      <w:pStyle w:val="Footer"/>
      <w:tabs>
        <w:tab w:val="clear" w:pos="4320"/>
        <w:tab w:val="clear" w:pos="8640"/>
        <w:tab w:val="left" w:pos="180"/>
        <w:tab w:val="right" w:pos="9360"/>
      </w:tabs>
    </w:pPr>
    <w:r w:rsidRPr="006E0068">
      <w:t>Direct Testimony of William G. Johnson</w:t>
    </w:r>
  </w:p>
  <w:p w:rsidR="00F4413D" w:rsidRPr="006E0068" w:rsidRDefault="00F4413D">
    <w:pPr>
      <w:pStyle w:val="Footer"/>
      <w:tabs>
        <w:tab w:val="clear" w:pos="4320"/>
        <w:tab w:val="clear" w:pos="8640"/>
        <w:tab w:val="left" w:pos="180"/>
        <w:tab w:val="right" w:pos="9360"/>
      </w:tabs>
      <w:rPr>
        <w:lang w:val="fr-FR"/>
      </w:rPr>
    </w:pPr>
    <w:r w:rsidRPr="006E0068">
      <w:rPr>
        <w:lang w:val="fr-FR"/>
      </w:rPr>
      <w:t>Avista Corporation</w:t>
    </w:r>
  </w:p>
  <w:p w:rsidR="00F4413D" w:rsidRDefault="00F4413D">
    <w:pPr>
      <w:pStyle w:val="Footer"/>
      <w:tabs>
        <w:tab w:val="clear" w:pos="4320"/>
        <w:tab w:val="clear" w:pos="8640"/>
        <w:tab w:val="left" w:pos="180"/>
        <w:tab w:val="right" w:pos="9360"/>
      </w:tabs>
      <w:rPr>
        <w:lang w:val="fr-FR"/>
      </w:rPr>
    </w:pPr>
    <w:proofErr w:type="spellStart"/>
    <w:r w:rsidRPr="006E0068">
      <w:rPr>
        <w:lang w:val="fr-FR"/>
      </w:rPr>
      <w:t>Docket</w:t>
    </w:r>
    <w:proofErr w:type="spellEnd"/>
    <w:r w:rsidRPr="006E0068">
      <w:rPr>
        <w:lang w:val="fr-FR"/>
      </w:rPr>
      <w:t xml:space="preserve"> No. UE-15____</w:t>
    </w:r>
    <w:r w:rsidRPr="00BE21E7">
      <w:rPr>
        <w:lang w:val="fr-FR"/>
      </w:rPr>
      <w:tab/>
      <w:t>Page</w:t>
    </w:r>
    <w:r w:rsidRPr="00BE21E7">
      <w:rPr>
        <w:rFonts w:ascii="Palatino Linotype" w:hAnsi="Palatino Linotype" w:cs="Palatino Linotype"/>
        <w:lang w:val="fr-FR"/>
      </w:rPr>
      <w:t xml:space="preserve"> </w:t>
    </w:r>
    <w:r w:rsidR="00DE644C">
      <w:rPr>
        <w:rStyle w:val="PageNumber"/>
        <w:rFonts w:ascii="Palatino Linotype" w:hAnsi="Palatino Linotype" w:cs="Palatino Linotype"/>
      </w:rPr>
      <w:fldChar w:fldCharType="begin"/>
    </w:r>
    <w:r w:rsidRPr="00BE21E7">
      <w:rPr>
        <w:rStyle w:val="PageNumber"/>
        <w:rFonts w:ascii="Palatino Linotype" w:hAnsi="Palatino Linotype" w:cs="Palatino Linotype"/>
        <w:lang w:val="fr-FR"/>
      </w:rPr>
      <w:instrText xml:space="preserve"> PAGE </w:instrText>
    </w:r>
    <w:r w:rsidR="00DE644C">
      <w:rPr>
        <w:rStyle w:val="PageNumber"/>
        <w:rFonts w:ascii="Palatino Linotype" w:hAnsi="Palatino Linotype" w:cs="Palatino Linotype"/>
      </w:rPr>
      <w:fldChar w:fldCharType="separate"/>
    </w:r>
    <w:r w:rsidR="00D35315">
      <w:rPr>
        <w:rStyle w:val="PageNumber"/>
        <w:rFonts w:ascii="Palatino Linotype" w:hAnsi="Palatino Linotype" w:cs="Palatino Linotype"/>
        <w:noProof/>
        <w:lang w:val="fr-FR"/>
      </w:rPr>
      <w:t>1</w:t>
    </w:r>
    <w:r w:rsidR="00DE644C">
      <w:rPr>
        <w:rStyle w:val="PageNumber"/>
        <w:rFonts w:ascii="Palatino Linotype" w:hAnsi="Palatino Linotype" w:cs="Palatino Linoty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Default="00F4413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13D" w:rsidRDefault="00F4413D">
      <w:r>
        <w:separator/>
      </w:r>
    </w:p>
  </w:footnote>
  <w:footnote w:type="continuationSeparator" w:id="0">
    <w:p w:rsidR="00F4413D" w:rsidRDefault="00F4413D">
      <w:r>
        <w:continuationSeparator/>
      </w:r>
    </w:p>
  </w:footnote>
  <w:footnote w:id="1">
    <w:p w:rsidR="00F4413D" w:rsidRDefault="00F4413D">
      <w:pPr>
        <w:pStyle w:val="FootnoteText"/>
      </w:pPr>
      <w:r>
        <w:rPr>
          <w:rStyle w:val="FootnoteReference"/>
        </w:rPr>
        <w:footnoteRef/>
      </w:r>
      <w:r>
        <w:t xml:space="preserve"> In previous filings, the load change adjustment rate was referred to as the retail revenue credit.</w:t>
      </w:r>
    </w:p>
  </w:footnote>
  <w:footnote w:id="2">
    <w:p w:rsidR="00F4413D" w:rsidRDefault="00F4413D" w:rsidP="00890D94">
      <w:pPr>
        <w:pStyle w:val="FootnoteText"/>
        <w:jc w:val="both"/>
      </w:pPr>
      <w:r>
        <w:rPr>
          <w:rStyle w:val="FootnoteReference"/>
        </w:rPr>
        <w:footnoteRef/>
      </w:r>
      <w:r>
        <w:t xml:space="preserve"> For the remainder of my testimony, for purposes of the power supply adjustment I will refer to the net of power supply revenues and expenses as power supply expense for ease of reference.</w:t>
      </w:r>
    </w:p>
  </w:footnote>
  <w:footnote w:id="3">
    <w:p w:rsidR="00F4413D" w:rsidRDefault="00F4413D" w:rsidP="00890D94">
      <w:pPr>
        <w:pStyle w:val="FootnoteText"/>
        <w:jc w:val="both"/>
      </w:pPr>
      <w:r>
        <w:rPr>
          <w:rStyle w:val="FootnoteReference"/>
        </w:rPr>
        <w:footnoteRef/>
      </w:r>
      <w:r>
        <w:t xml:space="preserve"> The pro forma power supply expense was also provided to Company witness Ms. Smith for the electric pro forma cross check study.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Default="00F4413D">
    <w:pPr>
      <w:pStyle w:val="Header"/>
      <w:jc w:val="right"/>
    </w:pPr>
    <w:r>
      <w:t>Exhibit No. ___ (WGJ-1T)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3D" w:rsidRDefault="00F4413D" w:rsidP="006E0068">
    <w:pPr>
      <w:pStyle w:val="Header"/>
      <w:jc w:val="right"/>
    </w:pPr>
    <w:r>
      <w:t>Exhibit No. ___ (WGJ-1T)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1A2EED"/>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5">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8">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0AD7DC5"/>
    <w:multiLevelType w:val="singleLevel"/>
    <w:tmpl w:val="7AB25DA2"/>
    <w:lvl w:ilvl="0">
      <w:start w:val="17"/>
      <w:numFmt w:val="upperLetter"/>
      <w:lvlText w:val="%1."/>
      <w:lvlJc w:val="left"/>
      <w:pPr>
        <w:tabs>
          <w:tab w:val="num" w:pos="1440"/>
        </w:tabs>
        <w:ind w:left="1440" w:hanging="720"/>
      </w:pPr>
      <w:rPr>
        <w:rFonts w:cs="Times New Roman" w:hint="default"/>
      </w:rPr>
    </w:lvl>
  </w:abstractNum>
  <w:abstractNum w:abstractNumId="10">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0"/>
  </w:num>
  <w:num w:numId="4">
    <w:abstractNumId w:val="9"/>
  </w:num>
  <w:num w:numId="5">
    <w:abstractNumId w:val="5"/>
  </w:num>
  <w:num w:numId="6">
    <w:abstractNumId w:val="1"/>
  </w:num>
  <w:num w:numId="7">
    <w:abstractNumId w:val="3"/>
  </w:num>
  <w:num w:numId="8">
    <w:abstractNumId w:val="10"/>
  </w:num>
  <w:num w:numId="9">
    <w:abstractNumId w:val="2"/>
  </w:num>
  <w:num w:numId="10">
    <w:abstractNumId w:val="8"/>
  </w:num>
  <w:num w:numId="1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152E"/>
    <w:rsid w:val="00006315"/>
    <w:rsid w:val="00022CA6"/>
    <w:rsid w:val="0003296D"/>
    <w:rsid w:val="00036DBA"/>
    <w:rsid w:val="00037B2A"/>
    <w:rsid w:val="00044806"/>
    <w:rsid w:val="000519D7"/>
    <w:rsid w:val="0005483B"/>
    <w:rsid w:val="00055978"/>
    <w:rsid w:val="00057F2E"/>
    <w:rsid w:val="00062317"/>
    <w:rsid w:val="00067E1A"/>
    <w:rsid w:val="00071F0A"/>
    <w:rsid w:val="00076370"/>
    <w:rsid w:val="000773D0"/>
    <w:rsid w:val="00087628"/>
    <w:rsid w:val="00087A02"/>
    <w:rsid w:val="00087BD0"/>
    <w:rsid w:val="00092D05"/>
    <w:rsid w:val="00095636"/>
    <w:rsid w:val="000A2769"/>
    <w:rsid w:val="000B1526"/>
    <w:rsid w:val="000B57DD"/>
    <w:rsid w:val="000B7F16"/>
    <w:rsid w:val="000C6001"/>
    <w:rsid w:val="000C64AF"/>
    <w:rsid w:val="000E01AF"/>
    <w:rsid w:val="000E42F0"/>
    <w:rsid w:val="000F27C0"/>
    <w:rsid w:val="000F40A2"/>
    <w:rsid w:val="00102CD7"/>
    <w:rsid w:val="00105104"/>
    <w:rsid w:val="001177A0"/>
    <w:rsid w:val="001245BE"/>
    <w:rsid w:val="0012703B"/>
    <w:rsid w:val="00127C1C"/>
    <w:rsid w:val="00127FE2"/>
    <w:rsid w:val="0013441E"/>
    <w:rsid w:val="00137F9D"/>
    <w:rsid w:val="00147465"/>
    <w:rsid w:val="00166263"/>
    <w:rsid w:val="001665E9"/>
    <w:rsid w:val="001705BE"/>
    <w:rsid w:val="00182994"/>
    <w:rsid w:val="00184A88"/>
    <w:rsid w:val="00187892"/>
    <w:rsid w:val="00190B9E"/>
    <w:rsid w:val="001947A1"/>
    <w:rsid w:val="001951A0"/>
    <w:rsid w:val="001973DE"/>
    <w:rsid w:val="00197849"/>
    <w:rsid w:val="001A4335"/>
    <w:rsid w:val="001B0749"/>
    <w:rsid w:val="001B0DAD"/>
    <w:rsid w:val="001B25B7"/>
    <w:rsid w:val="001B4D44"/>
    <w:rsid w:val="001C4C68"/>
    <w:rsid w:val="001D0EAD"/>
    <w:rsid w:val="001D1466"/>
    <w:rsid w:val="001D2067"/>
    <w:rsid w:val="001E1555"/>
    <w:rsid w:val="001F1D02"/>
    <w:rsid w:val="001F2B04"/>
    <w:rsid w:val="001F351E"/>
    <w:rsid w:val="001F37AE"/>
    <w:rsid w:val="001F3D71"/>
    <w:rsid w:val="001F4990"/>
    <w:rsid w:val="001F63E1"/>
    <w:rsid w:val="001F7A60"/>
    <w:rsid w:val="00200197"/>
    <w:rsid w:val="00201A6E"/>
    <w:rsid w:val="00201AC3"/>
    <w:rsid w:val="002034E5"/>
    <w:rsid w:val="002069D0"/>
    <w:rsid w:val="00212289"/>
    <w:rsid w:val="002276E4"/>
    <w:rsid w:val="00230CF6"/>
    <w:rsid w:val="00231AD4"/>
    <w:rsid w:val="00233C14"/>
    <w:rsid w:val="002477D3"/>
    <w:rsid w:val="00251070"/>
    <w:rsid w:val="00253EEF"/>
    <w:rsid w:val="0025436C"/>
    <w:rsid w:val="00254D97"/>
    <w:rsid w:val="002562C3"/>
    <w:rsid w:val="00267481"/>
    <w:rsid w:val="0027382E"/>
    <w:rsid w:val="00291043"/>
    <w:rsid w:val="00291602"/>
    <w:rsid w:val="0029173E"/>
    <w:rsid w:val="002A0F23"/>
    <w:rsid w:val="002A2261"/>
    <w:rsid w:val="002A24F7"/>
    <w:rsid w:val="002A4C87"/>
    <w:rsid w:val="002C2686"/>
    <w:rsid w:val="002D06C3"/>
    <w:rsid w:val="002D0C51"/>
    <w:rsid w:val="002D7756"/>
    <w:rsid w:val="002E5016"/>
    <w:rsid w:val="002F1C20"/>
    <w:rsid w:val="002F6EB0"/>
    <w:rsid w:val="00301D3F"/>
    <w:rsid w:val="00304235"/>
    <w:rsid w:val="00305307"/>
    <w:rsid w:val="00320963"/>
    <w:rsid w:val="003214E3"/>
    <w:rsid w:val="00321801"/>
    <w:rsid w:val="00326EEB"/>
    <w:rsid w:val="00330FD2"/>
    <w:rsid w:val="00332E92"/>
    <w:rsid w:val="00334E47"/>
    <w:rsid w:val="00335253"/>
    <w:rsid w:val="0033668A"/>
    <w:rsid w:val="0035252D"/>
    <w:rsid w:val="00353674"/>
    <w:rsid w:val="00363D96"/>
    <w:rsid w:val="003749AB"/>
    <w:rsid w:val="00380D3E"/>
    <w:rsid w:val="0038309E"/>
    <w:rsid w:val="00387A30"/>
    <w:rsid w:val="003932C2"/>
    <w:rsid w:val="00393612"/>
    <w:rsid w:val="003A768F"/>
    <w:rsid w:val="003B2A55"/>
    <w:rsid w:val="003B5B38"/>
    <w:rsid w:val="003C2A70"/>
    <w:rsid w:val="003D15A9"/>
    <w:rsid w:val="003D76A3"/>
    <w:rsid w:val="003F0DD4"/>
    <w:rsid w:val="003F3CBF"/>
    <w:rsid w:val="003F55FA"/>
    <w:rsid w:val="004007BE"/>
    <w:rsid w:val="00406185"/>
    <w:rsid w:val="00407CC1"/>
    <w:rsid w:val="004131C2"/>
    <w:rsid w:val="00414AC3"/>
    <w:rsid w:val="00414DD7"/>
    <w:rsid w:val="00431EB0"/>
    <w:rsid w:val="00434B9F"/>
    <w:rsid w:val="00435577"/>
    <w:rsid w:val="00444B3E"/>
    <w:rsid w:val="0044617E"/>
    <w:rsid w:val="0044625D"/>
    <w:rsid w:val="00452AA7"/>
    <w:rsid w:val="00460A0B"/>
    <w:rsid w:val="00460B02"/>
    <w:rsid w:val="004628CA"/>
    <w:rsid w:val="00465735"/>
    <w:rsid w:val="00465B31"/>
    <w:rsid w:val="004704D9"/>
    <w:rsid w:val="00470FE7"/>
    <w:rsid w:val="004716D2"/>
    <w:rsid w:val="00472C4D"/>
    <w:rsid w:val="0047521C"/>
    <w:rsid w:val="00476EBC"/>
    <w:rsid w:val="004936A1"/>
    <w:rsid w:val="0049447F"/>
    <w:rsid w:val="00496490"/>
    <w:rsid w:val="004967E7"/>
    <w:rsid w:val="004A135E"/>
    <w:rsid w:val="004A3454"/>
    <w:rsid w:val="004A789D"/>
    <w:rsid w:val="004B4163"/>
    <w:rsid w:val="004B4C41"/>
    <w:rsid w:val="004C0725"/>
    <w:rsid w:val="004C0A1A"/>
    <w:rsid w:val="004C2BF7"/>
    <w:rsid w:val="004C3981"/>
    <w:rsid w:val="004D3D45"/>
    <w:rsid w:val="004D52D2"/>
    <w:rsid w:val="004D5669"/>
    <w:rsid w:val="004E1917"/>
    <w:rsid w:val="004E686C"/>
    <w:rsid w:val="004E6CF8"/>
    <w:rsid w:val="004E7A16"/>
    <w:rsid w:val="004F4DA3"/>
    <w:rsid w:val="004F74FC"/>
    <w:rsid w:val="004F758B"/>
    <w:rsid w:val="00506FC8"/>
    <w:rsid w:val="005108F2"/>
    <w:rsid w:val="005145D4"/>
    <w:rsid w:val="00514AC4"/>
    <w:rsid w:val="005265AF"/>
    <w:rsid w:val="0053057E"/>
    <w:rsid w:val="00541D93"/>
    <w:rsid w:val="00542569"/>
    <w:rsid w:val="005430BA"/>
    <w:rsid w:val="005517D9"/>
    <w:rsid w:val="00553EC1"/>
    <w:rsid w:val="005542A8"/>
    <w:rsid w:val="00557BA6"/>
    <w:rsid w:val="00565FD8"/>
    <w:rsid w:val="0057220C"/>
    <w:rsid w:val="00575BCA"/>
    <w:rsid w:val="00576309"/>
    <w:rsid w:val="005803F9"/>
    <w:rsid w:val="00580970"/>
    <w:rsid w:val="00582255"/>
    <w:rsid w:val="0058225F"/>
    <w:rsid w:val="00583433"/>
    <w:rsid w:val="005834BD"/>
    <w:rsid w:val="005845F1"/>
    <w:rsid w:val="00584894"/>
    <w:rsid w:val="00590DD4"/>
    <w:rsid w:val="00591D43"/>
    <w:rsid w:val="00591EDC"/>
    <w:rsid w:val="00593E33"/>
    <w:rsid w:val="005A0BE0"/>
    <w:rsid w:val="005A6D43"/>
    <w:rsid w:val="005B1E66"/>
    <w:rsid w:val="005B5B8F"/>
    <w:rsid w:val="005C366C"/>
    <w:rsid w:val="005C39B4"/>
    <w:rsid w:val="005C7A39"/>
    <w:rsid w:val="005D12F1"/>
    <w:rsid w:val="005D7E94"/>
    <w:rsid w:val="005D7EE1"/>
    <w:rsid w:val="005E055D"/>
    <w:rsid w:val="005E439A"/>
    <w:rsid w:val="005E6D8E"/>
    <w:rsid w:val="005F3EF2"/>
    <w:rsid w:val="005F4F7A"/>
    <w:rsid w:val="005F5256"/>
    <w:rsid w:val="00601E14"/>
    <w:rsid w:val="00612931"/>
    <w:rsid w:val="00615B6C"/>
    <w:rsid w:val="0061735C"/>
    <w:rsid w:val="00624001"/>
    <w:rsid w:val="006242F7"/>
    <w:rsid w:val="006316F4"/>
    <w:rsid w:val="0063791F"/>
    <w:rsid w:val="00647807"/>
    <w:rsid w:val="00653B88"/>
    <w:rsid w:val="0065453C"/>
    <w:rsid w:val="0065505F"/>
    <w:rsid w:val="00655366"/>
    <w:rsid w:val="00662BFE"/>
    <w:rsid w:val="006652C4"/>
    <w:rsid w:val="0066587A"/>
    <w:rsid w:val="00665EFE"/>
    <w:rsid w:val="0067610F"/>
    <w:rsid w:val="00676BEE"/>
    <w:rsid w:val="00684DC5"/>
    <w:rsid w:val="006907EE"/>
    <w:rsid w:val="00691CB7"/>
    <w:rsid w:val="006A26AD"/>
    <w:rsid w:val="006A2758"/>
    <w:rsid w:val="006A6139"/>
    <w:rsid w:val="006A7CFD"/>
    <w:rsid w:val="006B05D4"/>
    <w:rsid w:val="006B492E"/>
    <w:rsid w:val="006B7E17"/>
    <w:rsid w:val="006C01C8"/>
    <w:rsid w:val="006C0205"/>
    <w:rsid w:val="006D1A9B"/>
    <w:rsid w:val="006D353A"/>
    <w:rsid w:val="006D5BF7"/>
    <w:rsid w:val="006E0068"/>
    <w:rsid w:val="006E4941"/>
    <w:rsid w:val="006F4590"/>
    <w:rsid w:val="00703491"/>
    <w:rsid w:val="0070505F"/>
    <w:rsid w:val="007105B1"/>
    <w:rsid w:val="00710B7C"/>
    <w:rsid w:val="007119B4"/>
    <w:rsid w:val="0071369A"/>
    <w:rsid w:val="00725FEC"/>
    <w:rsid w:val="0072665A"/>
    <w:rsid w:val="0073566F"/>
    <w:rsid w:val="00737769"/>
    <w:rsid w:val="00742583"/>
    <w:rsid w:val="00743E18"/>
    <w:rsid w:val="00747553"/>
    <w:rsid w:val="0075076D"/>
    <w:rsid w:val="00751E45"/>
    <w:rsid w:val="007544BA"/>
    <w:rsid w:val="00754E86"/>
    <w:rsid w:val="00765BA1"/>
    <w:rsid w:val="00765C77"/>
    <w:rsid w:val="0077507E"/>
    <w:rsid w:val="007937D3"/>
    <w:rsid w:val="00796F4B"/>
    <w:rsid w:val="007A04C5"/>
    <w:rsid w:val="007A40D4"/>
    <w:rsid w:val="007A6A7F"/>
    <w:rsid w:val="007A6DE3"/>
    <w:rsid w:val="007A74A3"/>
    <w:rsid w:val="007A795E"/>
    <w:rsid w:val="007A7EF9"/>
    <w:rsid w:val="007B40B5"/>
    <w:rsid w:val="007B6398"/>
    <w:rsid w:val="007C4511"/>
    <w:rsid w:val="007D01A9"/>
    <w:rsid w:val="007D09A6"/>
    <w:rsid w:val="007D3E87"/>
    <w:rsid w:val="007D544E"/>
    <w:rsid w:val="007E2219"/>
    <w:rsid w:val="007E493D"/>
    <w:rsid w:val="007E6C13"/>
    <w:rsid w:val="007E7BC2"/>
    <w:rsid w:val="007F0DC8"/>
    <w:rsid w:val="007F462F"/>
    <w:rsid w:val="00800A6B"/>
    <w:rsid w:val="00804CDF"/>
    <w:rsid w:val="008103E4"/>
    <w:rsid w:val="0081054C"/>
    <w:rsid w:val="0081197F"/>
    <w:rsid w:val="00815CCE"/>
    <w:rsid w:val="00816FAB"/>
    <w:rsid w:val="00817F2D"/>
    <w:rsid w:val="00822FCE"/>
    <w:rsid w:val="00827A28"/>
    <w:rsid w:val="00834809"/>
    <w:rsid w:val="00836F27"/>
    <w:rsid w:val="00844535"/>
    <w:rsid w:val="00845CCE"/>
    <w:rsid w:val="008527AD"/>
    <w:rsid w:val="0086706C"/>
    <w:rsid w:val="008726A9"/>
    <w:rsid w:val="008738EA"/>
    <w:rsid w:val="00876319"/>
    <w:rsid w:val="00876525"/>
    <w:rsid w:val="00883CEC"/>
    <w:rsid w:val="008863F6"/>
    <w:rsid w:val="00890A57"/>
    <w:rsid w:val="00890D94"/>
    <w:rsid w:val="00892EAA"/>
    <w:rsid w:val="008A0A47"/>
    <w:rsid w:val="008A1678"/>
    <w:rsid w:val="008A2713"/>
    <w:rsid w:val="008A35A7"/>
    <w:rsid w:val="008A45E4"/>
    <w:rsid w:val="008A5BC6"/>
    <w:rsid w:val="008A66AA"/>
    <w:rsid w:val="008A76B4"/>
    <w:rsid w:val="008C3F60"/>
    <w:rsid w:val="008D07D9"/>
    <w:rsid w:val="008D1089"/>
    <w:rsid w:val="008D3155"/>
    <w:rsid w:val="008D4A8D"/>
    <w:rsid w:val="008E0200"/>
    <w:rsid w:val="008F3931"/>
    <w:rsid w:val="008F3A6A"/>
    <w:rsid w:val="008F6E74"/>
    <w:rsid w:val="008F7A01"/>
    <w:rsid w:val="00902CFF"/>
    <w:rsid w:val="00904869"/>
    <w:rsid w:val="009055A6"/>
    <w:rsid w:val="0091276F"/>
    <w:rsid w:val="00922C46"/>
    <w:rsid w:val="00930F4B"/>
    <w:rsid w:val="00934412"/>
    <w:rsid w:val="009366BC"/>
    <w:rsid w:val="009373A5"/>
    <w:rsid w:val="0094078E"/>
    <w:rsid w:val="00945166"/>
    <w:rsid w:val="00945390"/>
    <w:rsid w:val="00946AEE"/>
    <w:rsid w:val="00946E37"/>
    <w:rsid w:val="0095196D"/>
    <w:rsid w:val="00953816"/>
    <w:rsid w:val="0095387E"/>
    <w:rsid w:val="00954DB7"/>
    <w:rsid w:val="00954E28"/>
    <w:rsid w:val="00955166"/>
    <w:rsid w:val="00957004"/>
    <w:rsid w:val="00972518"/>
    <w:rsid w:val="00975878"/>
    <w:rsid w:val="00976E12"/>
    <w:rsid w:val="009920E0"/>
    <w:rsid w:val="009A26DF"/>
    <w:rsid w:val="009A2DAA"/>
    <w:rsid w:val="009A4D7E"/>
    <w:rsid w:val="009A55A7"/>
    <w:rsid w:val="009A610C"/>
    <w:rsid w:val="009B1B04"/>
    <w:rsid w:val="009B24E1"/>
    <w:rsid w:val="009C2006"/>
    <w:rsid w:val="009C412C"/>
    <w:rsid w:val="009D0195"/>
    <w:rsid w:val="009D3B90"/>
    <w:rsid w:val="009E1656"/>
    <w:rsid w:val="009E1E89"/>
    <w:rsid w:val="009E49FE"/>
    <w:rsid w:val="009E6F0C"/>
    <w:rsid w:val="009F0721"/>
    <w:rsid w:val="009F2E2E"/>
    <w:rsid w:val="00A01A78"/>
    <w:rsid w:val="00A040D3"/>
    <w:rsid w:val="00A2043B"/>
    <w:rsid w:val="00A30378"/>
    <w:rsid w:val="00A31DD2"/>
    <w:rsid w:val="00A37109"/>
    <w:rsid w:val="00A402FE"/>
    <w:rsid w:val="00A46A7E"/>
    <w:rsid w:val="00A47217"/>
    <w:rsid w:val="00A55DD3"/>
    <w:rsid w:val="00A61E60"/>
    <w:rsid w:val="00A634B5"/>
    <w:rsid w:val="00A726C8"/>
    <w:rsid w:val="00A73B72"/>
    <w:rsid w:val="00A745AE"/>
    <w:rsid w:val="00A774E3"/>
    <w:rsid w:val="00A8574B"/>
    <w:rsid w:val="00A86A8F"/>
    <w:rsid w:val="00A9086B"/>
    <w:rsid w:val="00A93765"/>
    <w:rsid w:val="00A938FB"/>
    <w:rsid w:val="00A95D47"/>
    <w:rsid w:val="00AA1E96"/>
    <w:rsid w:val="00AA20C9"/>
    <w:rsid w:val="00AA2ED4"/>
    <w:rsid w:val="00AA3E66"/>
    <w:rsid w:val="00AA4BA2"/>
    <w:rsid w:val="00AC036F"/>
    <w:rsid w:val="00AE2899"/>
    <w:rsid w:val="00AE47A2"/>
    <w:rsid w:val="00B03276"/>
    <w:rsid w:val="00B0687F"/>
    <w:rsid w:val="00B06EB1"/>
    <w:rsid w:val="00B07EE5"/>
    <w:rsid w:val="00B07FCC"/>
    <w:rsid w:val="00B10EED"/>
    <w:rsid w:val="00B12AD5"/>
    <w:rsid w:val="00B14A2A"/>
    <w:rsid w:val="00B174B1"/>
    <w:rsid w:val="00B20483"/>
    <w:rsid w:val="00B30736"/>
    <w:rsid w:val="00B30FD8"/>
    <w:rsid w:val="00B358E3"/>
    <w:rsid w:val="00B36369"/>
    <w:rsid w:val="00B3712F"/>
    <w:rsid w:val="00B417CF"/>
    <w:rsid w:val="00B4374B"/>
    <w:rsid w:val="00B500C4"/>
    <w:rsid w:val="00B502D2"/>
    <w:rsid w:val="00B527F3"/>
    <w:rsid w:val="00B53214"/>
    <w:rsid w:val="00B53D8C"/>
    <w:rsid w:val="00B54AB5"/>
    <w:rsid w:val="00B67011"/>
    <w:rsid w:val="00B708DF"/>
    <w:rsid w:val="00B71810"/>
    <w:rsid w:val="00B7736F"/>
    <w:rsid w:val="00B77F17"/>
    <w:rsid w:val="00B80027"/>
    <w:rsid w:val="00B968D6"/>
    <w:rsid w:val="00B97984"/>
    <w:rsid w:val="00BA6FE4"/>
    <w:rsid w:val="00BB000A"/>
    <w:rsid w:val="00BB1045"/>
    <w:rsid w:val="00BB4F8F"/>
    <w:rsid w:val="00BB6621"/>
    <w:rsid w:val="00BB766A"/>
    <w:rsid w:val="00BC03AA"/>
    <w:rsid w:val="00BC154E"/>
    <w:rsid w:val="00BC7152"/>
    <w:rsid w:val="00BD5EFD"/>
    <w:rsid w:val="00BE21E7"/>
    <w:rsid w:val="00BE221B"/>
    <w:rsid w:val="00BE36C6"/>
    <w:rsid w:val="00BE64BC"/>
    <w:rsid w:val="00C019A2"/>
    <w:rsid w:val="00C026FD"/>
    <w:rsid w:val="00C030B8"/>
    <w:rsid w:val="00C03549"/>
    <w:rsid w:val="00C0583F"/>
    <w:rsid w:val="00C117D9"/>
    <w:rsid w:val="00C162D3"/>
    <w:rsid w:val="00C20A53"/>
    <w:rsid w:val="00C213E7"/>
    <w:rsid w:val="00C23C54"/>
    <w:rsid w:val="00C26DE3"/>
    <w:rsid w:val="00C43FEC"/>
    <w:rsid w:val="00C507EB"/>
    <w:rsid w:val="00C540B4"/>
    <w:rsid w:val="00C55E1F"/>
    <w:rsid w:val="00C579DD"/>
    <w:rsid w:val="00C608F0"/>
    <w:rsid w:val="00C61CF4"/>
    <w:rsid w:val="00C62BDA"/>
    <w:rsid w:val="00C66AA5"/>
    <w:rsid w:val="00C74C46"/>
    <w:rsid w:val="00C74E30"/>
    <w:rsid w:val="00C86BD0"/>
    <w:rsid w:val="00C90090"/>
    <w:rsid w:val="00C90C2A"/>
    <w:rsid w:val="00C90D40"/>
    <w:rsid w:val="00C911EC"/>
    <w:rsid w:val="00C923ED"/>
    <w:rsid w:val="00C92781"/>
    <w:rsid w:val="00C95537"/>
    <w:rsid w:val="00C97820"/>
    <w:rsid w:val="00CA4C19"/>
    <w:rsid w:val="00CA52FC"/>
    <w:rsid w:val="00CB1427"/>
    <w:rsid w:val="00CB687A"/>
    <w:rsid w:val="00CB6E42"/>
    <w:rsid w:val="00CC1C97"/>
    <w:rsid w:val="00CD0757"/>
    <w:rsid w:val="00CD172A"/>
    <w:rsid w:val="00CE56C7"/>
    <w:rsid w:val="00CF4DB1"/>
    <w:rsid w:val="00D007A9"/>
    <w:rsid w:val="00D118D9"/>
    <w:rsid w:val="00D13452"/>
    <w:rsid w:val="00D150B6"/>
    <w:rsid w:val="00D15846"/>
    <w:rsid w:val="00D21307"/>
    <w:rsid w:val="00D22C98"/>
    <w:rsid w:val="00D244AB"/>
    <w:rsid w:val="00D26E33"/>
    <w:rsid w:val="00D2745E"/>
    <w:rsid w:val="00D33FF6"/>
    <w:rsid w:val="00D35315"/>
    <w:rsid w:val="00D36CB0"/>
    <w:rsid w:val="00D43991"/>
    <w:rsid w:val="00D47735"/>
    <w:rsid w:val="00D51E9F"/>
    <w:rsid w:val="00D5554F"/>
    <w:rsid w:val="00D60043"/>
    <w:rsid w:val="00D61105"/>
    <w:rsid w:val="00D61654"/>
    <w:rsid w:val="00D63340"/>
    <w:rsid w:val="00D70A5F"/>
    <w:rsid w:val="00D753BA"/>
    <w:rsid w:val="00D7657F"/>
    <w:rsid w:val="00D77B2C"/>
    <w:rsid w:val="00D81DE9"/>
    <w:rsid w:val="00D83854"/>
    <w:rsid w:val="00D83B3A"/>
    <w:rsid w:val="00DB1DF5"/>
    <w:rsid w:val="00DB3BCC"/>
    <w:rsid w:val="00DB55EE"/>
    <w:rsid w:val="00DC2711"/>
    <w:rsid w:val="00DC7D94"/>
    <w:rsid w:val="00DD154D"/>
    <w:rsid w:val="00DD3971"/>
    <w:rsid w:val="00DD5899"/>
    <w:rsid w:val="00DE03DF"/>
    <w:rsid w:val="00DE644C"/>
    <w:rsid w:val="00DF0891"/>
    <w:rsid w:val="00DF4581"/>
    <w:rsid w:val="00E00851"/>
    <w:rsid w:val="00E04B65"/>
    <w:rsid w:val="00E24BB0"/>
    <w:rsid w:val="00E263B2"/>
    <w:rsid w:val="00E273CB"/>
    <w:rsid w:val="00E31282"/>
    <w:rsid w:val="00E32E34"/>
    <w:rsid w:val="00E33341"/>
    <w:rsid w:val="00E35276"/>
    <w:rsid w:val="00E469CC"/>
    <w:rsid w:val="00E47BE6"/>
    <w:rsid w:val="00E502AC"/>
    <w:rsid w:val="00E62431"/>
    <w:rsid w:val="00E65C27"/>
    <w:rsid w:val="00E67E92"/>
    <w:rsid w:val="00E700D9"/>
    <w:rsid w:val="00E70D39"/>
    <w:rsid w:val="00E74A1D"/>
    <w:rsid w:val="00E81931"/>
    <w:rsid w:val="00E81AD1"/>
    <w:rsid w:val="00E822D9"/>
    <w:rsid w:val="00E86EAC"/>
    <w:rsid w:val="00E94F2D"/>
    <w:rsid w:val="00EA06F1"/>
    <w:rsid w:val="00EA23FF"/>
    <w:rsid w:val="00EA44DF"/>
    <w:rsid w:val="00EA4963"/>
    <w:rsid w:val="00EA66E0"/>
    <w:rsid w:val="00EA7203"/>
    <w:rsid w:val="00EA73D4"/>
    <w:rsid w:val="00EB2665"/>
    <w:rsid w:val="00EB7000"/>
    <w:rsid w:val="00EC62F1"/>
    <w:rsid w:val="00EC6A21"/>
    <w:rsid w:val="00EE7C43"/>
    <w:rsid w:val="00EF46C5"/>
    <w:rsid w:val="00F02152"/>
    <w:rsid w:val="00F03FB8"/>
    <w:rsid w:val="00F105DA"/>
    <w:rsid w:val="00F134B6"/>
    <w:rsid w:val="00F155E9"/>
    <w:rsid w:val="00F22C09"/>
    <w:rsid w:val="00F23840"/>
    <w:rsid w:val="00F243FF"/>
    <w:rsid w:val="00F34816"/>
    <w:rsid w:val="00F3495A"/>
    <w:rsid w:val="00F34D22"/>
    <w:rsid w:val="00F4206A"/>
    <w:rsid w:val="00F4413D"/>
    <w:rsid w:val="00F46162"/>
    <w:rsid w:val="00F54106"/>
    <w:rsid w:val="00F54F39"/>
    <w:rsid w:val="00F55612"/>
    <w:rsid w:val="00F56C02"/>
    <w:rsid w:val="00F62AEF"/>
    <w:rsid w:val="00F63D5B"/>
    <w:rsid w:val="00F67CA5"/>
    <w:rsid w:val="00F743C5"/>
    <w:rsid w:val="00F7443D"/>
    <w:rsid w:val="00F76008"/>
    <w:rsid w:val="00F83CE7"/>
    <w:rsid w:val="00F90B35"/>
    <w:rsid w:val="00F92D8E"/>
    <w:rsid w:val="00F9307C"/>
    <w:rsid w:val="00FA2BB9"/>
    <w:rsid w:val="00FA5D11"/>
    <w:rsid w:val="00FA62E9"/>
    <w:rsid w:val="00FB6544"/>
    <w:rsid w:val="00FC09A4"/>
    <w:rsid w:val="00FC3EF5"/>
    <w:rsid w:val="00FD413F"/>
    <w:rsid w:val="00FD6B49"/>
    <w:rsid w:val="00FD76EC"/>
    <w:rsid w:val="00FE2C77"/>
    <w:rsid w:val="00FE4ED9"/>
    <w:rsid w:val="00FF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qFormat/>
    <w:rsid w:val="004E7A16"/>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E7A16"/>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4E7A16"/>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4E7A16"/>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4E7A16"/>
    <w:pPr>
      <w:keepNext/>
      <w:spacing w:line="480" w:lineRule="auto"/>
      <w:jc w:val="center"/>
      <w:outlineLvl w:val="4"/>
    </w:pPr>
    <w:rPr>
      <w:b/>
      <w:bCs/>
    </w:rPr>
  </w:style>
  <w:style w:type="paragraph" w:styleId="Heading6">
    <w:name w:val="heading 6"/>
    <w:basedOn w:val="Normal"/>
    <w:next w:val="Normal"/>
    <w:qFormat/>
    <w:rsid w:val="004E7A16"/>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4E7A16"/>
    <w:pPr>
      <w:keepNext/>
      <w:tabs>
        <w:tab w:val="left" w:pos="1260"/>
      </w:tabs>
      <w:jc w:val="right"/>
      <w:outlineLvl w:val="6"/>
    </w:pPr>
    <w:rPr>
      <w:sz w:val="20"/>
      <w:szCs w:val="20"/>
    </w:rPr>
  </w:style>
  <w:style w:type="paragraph" w:styleId="Heading8">
    <w:name w:val="heading 8"/>
    <w:basedOn w:val="Normal"/>
    <w:next w:val="Normal"/>
    <w:qFormat/>
    <w:rsid w:val="004E7A16"/>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4E7A16"/>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7A16"/>
    <w:pPr>
      <w:tabs>
        <w:tab w:val="center" w:pos="4320"/>
        <w:tab w:val="right" w:pos="8640"/>
      </w:tabs>
    </w:pPr>
  </w:style>
  <w:style w:type="paragraph" w:styleId="Footer">
    <w:name w:val="footer"/>
    <w:basedOn w:val="Normal"/>
    <w:rsid w:val="004E7A16"/>
    <w:pPr>
      <w:tabs>
        <w:tab w:val="center" w:pos="4320"/>
        <w:tab w:val="right" w:pos="8640"/>
      </w:tabs>
    </w:pPr>
  </w:style>
  <w:style w:type="character" w:styleId="PageNumber">
    <w:name w:val="page number"/>
    <w:basedOn w:val="DefaultParagraphFont"/>
    <w:rsid w:val="004E7A16"/>
    <w:rPr>
      <w:rFonts w:ascii="Times New Roman" w:hAnsi="Times New Roman" w:cs="Times New Roman"/>
      <w:sz w:val="24"/>
      <w:szCs w:val="24"/>
    </w:rPr>
  </w:style>
  <w:style w:type="character" w:styleId="LineNumber">
    <w:name w:val="line number"/>
    <w:basedOn w:val="DefaultParagraphFont"/>
    <w:rsid w:val="004E7A16"/>
    <w:rPr>
      <w:rFonts w:ascii="Times New Roman" w:hAnsi="Times New Roman" w:cs="Times New Roman"/>
      <w:sz w:val="24"/>
      <w:szCs w:val="24"/>
    </w:rPr>
  </w:style>
  <w:style w:type="paragraph" w:styleId="BodyText2">
    <w:name w:val="Body Text 2"/>
    <w:basedOn w:val="Normal"/>
    <w:link w:val="BodyText2Char"/>
    <w:rsid w:val="004E7A16"/>
    <w:pPr>
      <w:spacing w:line="480" w:lineRule="auto"/>
      <w:jc w:val="both"/>
    </w:pPr>
  </w:style>
  <w:style w:type="paragraph" w:styleId="BodyTextIndent2">
    <w:name w:val="Body Text Indent 2"/>
    <w:basedOn w:val="Normal"/>
    <w:rsid w:val="004E7A16"/>
    <w:pPr>
      <w:tabs>
        <w:tab w:val="left" w:pos="1260"/>
      </w:tabs>
      <w:spacing w:line="480" w:lineRule="auto"/>
      <w:ind w:left="540" w:hanging="540"/>
      <w:jc w:val="both"/>
    </w:pPr>
  </w:style>
  <w:style w:type="paragraph" w:styleId="BodyTextIndent3">
    <w:name w:val="Body Text Indent 3"/>
    <w:basedOn w:val="Normal"/>
    <w:rsid w:val="004E7A16"/>
    <w:pPr>
      <w:tabs>
        <w:tab w:val="left" w:pos="1260"/>
      </w:tabs>
      <w:spacing w:line="480" w:lineRule="auto"/>
      <w:ind w:firstLine="720"/>
      <w:jc w:val="both"/>
    </w:pPr>
    <w:rPr>
      <w:b/>
      <w:bCs/>
    </w:rPr>
  </w:style>
  <w:style w:type="paragraph" w:styleId="FootnoteText">
    <w:name w:val="footnote text"/>
    <w:basedOn w:val="Normal"/>
    <w:link w:val="FootnoteTextChar"/>
    <w:rsid w:val="004E7A16"/>
    <w:rPr>
      <w:sz w:val="20"/>
      <w:szCs w:val="20"/>
    </w:rPr>
  </w:style>
  <w:style w:type="character" w:styleId="FootnoteReference">
    <w:name w:val="footnote reference"/>
    <w:basedOn w:val="DefaultParagraphFont"/>
    <w:rsid w:val="004E7A16"/>
    <w:rPr>
      <w:rFonts w:cs="Times New Roman"/>
      <w:vertAlign w:val="superscript"/>
    </w:rPr>
  </w:style>
  <w:style w:type="paragraph" w:styleId="BodyText">
    <w:name w:val="Body Text"/>
    <w:basedOn w:val="Normal"/>
    <w:link w:val="BodyTextChar"/>
    <w:rsid w:val="004E7A16"/>
    <w:pPr>
      <w:spacing w:line="360" w:lineRule="auto"/>
      <w:jc w:val="center"/>
    </w:pPr>
    <w:rPr>
      <w:b/>
      <w:bCs/>
    </w:rPr>
  </w:style>
  <w:style w:type="paragraph" w:styleId="DocumentMap">
    <w:name w:val="Document Map"/>
    <w:basedOn w:val="Normal"/>
    <w:rsid w:val="004E7A16"/>
    <w:pPr>
      <w:shd w:val="clear" w:color="auto" w:fill="000080"/>
    </w:pPr>
    <w:rPr>
      <w:rFonts w:ascii="Tahoma" w:hAnsi="Tahoma" w:cs="Tahoma"/>
    </w:rPr>
  </w:style>
  <w:style w:type="paragraph" w:customStyle="1" w:styleId="TestBody">
    <w:name w:val="Test Body"/>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4E7A16"/>
    <w:pPr>
      <w:numPr>
        <w:numId w:val="1"/>
      </w:numPr>
    </w:pPr>
  </w:style>
  <w:style w:type="paragraph" w:styleId="BalloonText">
    <w:name w:val="Balloon Text"/>
    <w:basedOn w:val="Normal"/>
    <w:link w:val="BalloonTextChar"/>
    <w:rsid w:val="00AA1E96"/>
    <w:rPr>
      <w:rFonts w:ascii="Tahoma" w:hAnsi="Tahoma" w:cs="Tahoma"/>
      <w:sz w:val="16"/>
      <w:szCs w:val="16"/>
    </w:rPr>
  </w:style>
  <w:style w:type="character" w:customStyle="1" w:styleId="BalloonTextChar">
    <w:name w:val="Balloon Text Char"/>
    <w:basedOn w:val="DefaultParagraphFont"/>
    <w:link w:val="BalloonText"/>
    <w:rsid w:val="00AA1E96"/>
    <w:rPr>
      <w:rFonts w:ascii="Tahoma" w:hAnsi="Tahoma" w:cs="Tahoma"/>
      <w:sz w:val="16"/>
      <w:szCs w:val="16"/>
    </w:rPr>
  </w:style>
  <w:style w:type="character" w:customStyle="1" w:styleId="BodyTextChar">
    <w:name w:val="Body Text Char"/>
    <w:basedOn w:val="DefaultParagraphFont"/>
    <w:link w:val="BodyText"/>
    <w:rsid w:val="00212289"/>
    <w:rPr>
      <w:b/>
      <w:bCs/>
      <w:sz w:val="24"/>
      <w:szCs w:val="24"/>
    </w:rPr>
  </w:style>
  <w:style w:type="character" w:customStyle="1" w:styleId="FootnoteTextChar">
    <w:name w:val="Footnote Text Char"/>
    <w:basedOn w:val="DefaultParagraphFont"/>
    <w:link w:val="FootnoteText"/>
    <w:rsid w:val="00212289"/>
  </w:style>
  <w:style w:type="character" w:customStyle="1" w:styleId="BodyText2Char">
    <w:name w:val="Body Text 2 Char"/>
    <w:basedOn w:val="DefaultParagraphFont"/>
    <w:link w:val="BodyText2"/>
    <w:rsid w:val="00212289"/>
    <w:rPr>
      <w:sz w:val="24"/>
      <w:szCs w:val="24"/>
    </w:rPr>
  </w:style>
  <w:style w:type="paragraph" w:styleId="EndnoteText">
    <w:name w:val="endnote text"/>
    <w:basedOn w:val="Normal"/>
    <w:link w:val="EndnoteTextChar"/>
    <w:rsid w:val="003749AB"/>
    <w:rPr>
      <w:sz w:val="20"/>
      <w:szCs w:val="20"/>
    </w:rPr>
  </w:style>
  <w:style w:type="character" w:customStyle="1" w:styleId="EndnoteTextChar">
    <w:name w:val="Endnote Text Char"/>
    <w:basedOn w:val="DefaultParagraphFont"/>
    <w:link w:val="EndnoteText"/>
    <w:rsid w:val="003749AB"/>
  </w:style>
  <w:style w:type="character" w:styleId="EndnoteReference">
    <w:name w:val="endnote reference"/>
    <w:basedOn w:val="DefaultParagraphFont"/>
    <w:rsid w:val="003749AB"/>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2792746">
      <w:bodyDiv w:val="1"/>
      <w:marLeft w:val="0"/>
      <w:marRight w:val="0"/>
      <w:marTop w:val="0"/>
      <w:marBottom w:val="0"/>
      <w:divBdr>
        <w:top w:val="none" w:sz="0" w:space="0" w:color="auto"/>
        <w:left w:val="none" w:sz="0" w:space="0" w:color="auto"/>
        <w:bottom w:val="none" w:sz="0" w:space="0" w:color="auto"/>
        <w:right w:val="none" w:sz="0" w:space="0" w:color="auto"/>
      </w:divBdr>
    </w:div>
    <w:div w:id="17927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5998F-BC21-4119-AEC8-CD8F702A854A}"/>
</file>

<file path=customXml/itemProps2.xml><?xml version="1.0" encoding="utf-8"?>
<ds:datastoreItem xmlns:ds="http://schemas.openxmlformats.org/officeDocument/2006/customXml" ds:itemID="{C6A0A75D-F69F-4908-815F-01339F8CFAAA}"/>
</file>

<file path=customXml/itemProps3.xml><?xml version="1.0" encoding="utf-8"?>
<ds:datastoreItem xmlns:ds="http://schemas.openxmlformats.org/officeDocument/2006/customXml" ds:itemID="{B57E3C89-E074-4D5D-9EE9-698D3B0FF4B3}"/>
</file>

<file path=customXml/itemProps4.xml><?xml version="1.0" encoding="utf-8"?>
<ds:datastoreItem xmlns:ds="http://schemas.openxmlformats.org/officeDocument/2006/customXml" ds:itemID="{A5BCB124-ED12-474B-A105-C7788A1A6D24}"/>
</file>

<file path=customXml/itemProps5.xml><?xml version="1.0" encoding="utf-8"?>
<ds:datastoreItem xmlns:ds="http://schemas.openxmlformats.org/officeDocument/2006/customXml" ds:itemID="{BE83208A-314A-4E79-B014-8F554E36A969}"/>
</file>

<file path=docProps/app.xml><?xml version="1.0" encoding="utf-8"?>
<Properties xmlns="http://schemas.openxmlformats.org/officeDocument/2006/extended-properties" xmlns:vt="http://schemas.openxmlformats.org/officeDocument/2006/docPropsVTypes">
  <Template>Normal.dotm</Template>
  <TotalTime>3230</TotalTime>
  <Pages>17</Pages>
  <Words>3740</Words>
  <Characters>19185</Characters>
  <Application>Microsoft Office Word</Application>
  <DocSecurity>0</DocSecurity>
  <Lines>355</Lines>
  <Paragraphs>124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65</cp:revision>
  <cp:lastPrinted>2015-02-04T15:59:00Z</cp:lastPrinted>
  <dcterms:created xsi:type="dcterms:W3CDTF">2014-01-15T23:18:00Z</dcterms:created>
  <dcterms:modified xsi:type="dcterms:W3CDTF">2015-02-04T18:52:00Z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