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80" w:rsidRDefault="004A7D80" w:rsidP="000A4291">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BEFORE THE</w:t>
      </w:r>
    </w:p>
    <w:p w:rsidR="004A7D80" w:rsidRDefault="004A7D80" w:rsidP="000A4291">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WASHINGTON UTILITIES AND TRANSPORTATION COMMISSION</w:t>
      </w:r>
    </w:p>
    <w:p w:rsidR="004A7D80" w:rsidRDefault="004A7D80" w:rsidP="000A4291">
      <w:pPr>
        <w:autoSpaceDE w:val="0"/>
        <w:autoSpaceDN w:val="0"/>
        <w:adjustRightInd w:val="0"/>
        <w:spacing w:after="0"/>
        <w:rPr>
          <w:rFonts w:ascii="TimesNewRomanPSMT" w:hAnsi="TimesNewRomanPSMT" w:cs="TimesNewRomanPSMT"/>
          <w:sz w:val="24"/>
          <w:szCs w:val="24"/>
        </w:rPr>
      </w:pPr>
    </w:p>
    <w:p w:rsidR="004A7D80" w:rsidRDefault="004A7D80" w:rsidP="000A4291">
      <w:pPr>
        <w:autoSpaceDE w:val="0"/>
        <w:autoSpaceDN w:val="0"/>
        <w:adjustRightInd w:val="0"/>
        <w:spacing w:after="0"/>
        <w:rPr>
          <w:rFonts w:ascii="TimesNewRomanPSMT" w:hAnsi="TimesNewRomanPSMT" w:cs="TimesNewRomanPSMT"/>
          <w:sz w:val="24"/>
          <w:szCs w:val="24"/>
        </w:rPr>
      </w:pPr>
    </w:p>
    <w:tbl>
      <w:tblPr>
        <w:tblW w:w="0" w:type="auto"/>
        <w:tblLook w:val="00A0"/>
      </w:tblPr>
      <w:tblGrid>
        <w:gridCol w:w="6138"/>
        <w:gridCol w:w="3438"/>
      </w:tblGrid>
      <w:tr w:rsidR="004A7D80" w:rsidRPr="007E21D3" w:rsidTr="007E21D3">
        <w:tc>
          <w:tcPr>
            <w:tcW w:w="6138" w:type="dxa"/>
            <w:tcBorders>
              <w:bottom w:val="single" w:sz="4" w:space="0" w:color="auto"/>
              <w:right w:val="single" w:sz="4" w:space="0" w:color="auto"/>
            </w:tcBorders>
          </w:tcPr>
          <w:p w:rsidR="004A7D80" w:rsidRPr="007E21D3" w:rsidRDefault="004A7D80" w:rsidP="007E21D3">
            <w:pPr>
              <w:autoSpaceDE w:val="0"/>
              <w:autoSpaceDN w:val="0"/>
              <w:adjustRightInd w:val="0"/>
              <w:spacing w:after="0"/>
              <w:rPr>
                <w:rFonts w:ascii="TimesNewRomanPSMT" w:hAnsi="TimesNewRomanPSMT" w:cs="TimesNewRomanPSMT"/>
                <w:sz w:val="24"/>
                <w:szCs w:val="24"/>
              </w:rPr>
            </w:pPr>
          </w:p>
          <w:p w:rsidR="004A7D80" w:rsidRPr="007E21D3" w:rsidRDefault="004A7D80" w:rsidP="007E21D3">
            <w:pPr>
              <w:autoSpaceDE w:val="0"/>
              <w:autoSpaceDN w:val="0"/>
              <w:adjustRightInd w:val="0"/>
              <w:spacing w:after="0"/>
              <w:rPr>
                <w:rFonts w:ascii="TimesNewRomanPSMT" w:hAnsi="TimesNewRomanPSMT" w:cs="TimesNewRomanPSMT"/>
                <w:sz w:val="24"/>
                <w:szCs w:val="24"/>
              </w:rPr>
            </w:pPr>
            <w:r w:rsidRPr="007E21D3">
              <w:rPr>
                <w:rFonts w:ascii="TimesNewRomanPSMT" w:hAnsi="TimesNewRomanPSMT" w:cs="TimesNewRomanPSMT"/>
                <w:sz w:val="24"/>
                <w:szCs w:val="24"/>
              </w:rPr>
              <w:t>Policy Statement to Review State Universal Service Policies</w:t>
            </w:r>
          </w:p>
          <w:p w:rsidR="004A7D80" w:rsidRPr="007E21D3" w:rsidRDefault="004A7D80" w:rsidP="007E21D3">
            <w:pPr>
              <w:autoSpaceDE w:val="0"/>
              <w:autoSpaceDN w:val="0"/>
              <w:adjustRightInd w:val="0"/>
              <w:spacing w:after="0"/>
              <w:rPr>
                <w:rFonts w:ascii="TimesNewRomanPSMT" w:hAnsi="TimesNewRomanPSMT" w:cs="TimesNewRomanPSMT"/>
                <w:sz w:val="24"/>
                <w:szCs w:val="24"/>
              </w:rPr>
            </w:pPr>
          </w:p>
        </w:tc>
        <w:tc>
          <w:tcPr>
            <w:tcW w:w="3438" w:type="dxa"/>
            <w:tcBorders>
              <w:left w:val="single" w:sz="4" w:space="0" w:color="auto"/>
            </w:tcBorders>
          </w:tcPr>
          <w:p w:rsidR="004A7D80" w:rsidRPr="007E21D3" w:rsidRDefault="004A7D80" w:rsidP="007E21D3">
            <w:pPr>
              <w:autoSpaceDE w:val="0"/>
              <w:autoSpaceDN w:val="0"/>
              <w:adjustRightInd w:val="0"/>
              <w:spacing w:after="0"/>
              <w:jc w:val="center"/>
              <w:rPr>
                <w:rFonts w:ascii="TimesNewRomanPSMT" w:hAnsi="TimesNewRomanPSMT" w:cs="TimesNewRomanPSMT"/>
                <w:sz w:val="24"/>
                <w:szCs w:val="24"/>
              </w:rPr>
            </w:pPr>
          </w:p>
          <w:p w:rsidR="004A7D80" w:rsidRPr="007E21D3" w:rsidRDefault="004A7D80" w:rsidP="007E21D3">
            <w:pPr>
              <w:autoSpaceDE w:val="0"/>
              <w:autoSpaceDN w:val="0"/>
              <w:adjustRightInd w:val="0"/>
              <w:spacing w:after="0"/>
              <w:jc w:val="center"/>
              <w:rPr>
                <w:rFonts w:ascii="TimesNewRomanPSMT" w:hAnsi="TimesNewRomanPSMT" w:cs="TimesNewRomanPSMT"/>
                <w:sz w:val="24"/>
                <w:szCs w:val="24"/>
              </w:rPr>
            </w:pPr>
            <w:r w:rsidRPr="007E21D3">
              <w:rPr>
                <w:rFonts w:ascii="TimesNewRomanPSMT" w:hAnsi="TimesNewRomanPSMT" w:cs="TimesNewRomanPSMT"/>
                <w:sz w:val="24"/>
                <w:szCs w:val="24"/>
              </w:rPr>
              <w:t>Docket UT-100562</w:t>
            </w:r>
          </w:p>
        </w:tc>
      </w:tr>
    </w:tbl>
    <w:p w:rsidR="004A7D80" w:rsidRDefault="004A7D80" w:rsidP="000A4291">
      <w:pPr>
        <w:autoSpaceDE w:val="0"/>
        <w:autoSpaceDN w:val="0"/>
        <w:adjustRightInd w:val="0"/>
        <w:spacing w:after="0"/>
        <w:rPr>
          <w:rFonts w:ascii="TimesNewRomanPS-BoldMT" w:hAnsi="TimesNewRomanPS-BoldMT" w:cs="TimesNewRomanPS-BoldMT"/>
          <w:b/>
          <w:bCs/>
          <w:sz w:val="24"/>
          <w:szCs w:val="24"/>
        </w:rPr>
      </w:pPr>
    </w:p>
    <w:p w:rsidR="004A7D80" w:rsidRDefault="004A7D80" w:rsidP="000A4291">
      <w:pPr>
        <w:autoSpaceDE w:val="0"/>
        <w:autoSpaceDN w:val="0"/>
        <w:adjustRightInd w:val="0"/>
        <w:spacing w:after="0"/>
        <w:rPr>
          <w:rFonts w:ascii="TimesNewRomanPS-BoldMT" w:hAnsi="TimesNewRomanPS-BoldMT" w:cs="TimesNewRomanPS-BoldMT"/>
          <w:b/>
          <w:bCs/>
          <w:sz w:val="24"/>
          <w:szCs w:val="24"/>
        </w:rPr>
      </w:pPr>
    </w:p>
    <w:p w:rsidR="004A7D80" w:rsidRDefault="004A7D80" w:rsidP="000A4291">
      <w:pPr>
        <w:autoSpaceDE w:val="0"/>
        <w:autoSpaceDN w:val="0"/>
        <w:adjustRightInd w:val="0"/>
        <w:spacing w:after="0"/>
        <w:rPr>
          <w:rFonts w:ascii="TimesNewRomanPS-BoldMT" w:hAnsi="TimesNewRomanPS-BoldMT" w:cs="TimesNewRomanPS-BoldMT"/>
          <w:b/>
          <w:bCs/>
          <w:sz w:val="24"/>
          <w:szCs w:val="24"/>
        </w:rPr>
      </w:pPr>
    </w:p>
    <w:p w:rsidR="004A7D80" w:rsidRDefault="004A7D80" w:rsidP="0069750A">
      <w:pPr>
        <w:autoSpaceDE w:val="0"/>
        <w:autoSpaceDN w:val="0"/>
        <w:adjustRightInd w:val="0"/>
        <w:spacing w:after="0"/>
        <w:jc w:val="center"/>
        <w:rPr>
          <w:rFonts w:ascii="TimesNewRomanPS-BoldMT" w:hAnsi="TimesNewRomanPS-BoldMT" w:cs="TimesNewRomanPS-BoldMT"/>
          <w:b/>
          <w:bCs/>
          <w:sz w:val="24"/>
          <w:szCs w:val="24"/>
        </w:rPr>
      </w:pPr>
      <w:r w:rsidRPr="002C79CA">
        <w:rPr>
          <w:rFonts w:ascii="TimesNewRomanPS-BoldMT" w:hAnsi="TimesNewRomanPS-BoldMT" w:cs="TimesNewRomanPS-BoldMT"/>
          <w:b/>
          <w:bCs/>
          <w:sz w:val="24"/>
          <w:szCs w:val="24"/>
        </w:rPr>
        <w:t>CLEC COMMENTS</w:t>
      </w:r>
      <w:r>
        <w:rPr>
          <w:rFonts w:ascii="TimesNewRomanPS-BoldMT" w:hAnsi="TimesNewRomanPS-BoldMT" w:cs="TimesNewRomanPS-BoldMT"/>
          <w:b/>
          <w:bCs/>
          <w:sz w:val="24"/>
          <w:szCs w:val="24"/>
        </w:rPr>
        <w:t xml:space="preserve"> ON </w:t>
      </w:r>
    </w:p>
    <w:p w:rsidR="004A7D80" w:rsidRDefault="004A7D80" w:rsidP="0069750A">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WASHINGTON INDEPENDENT TELECOMMUNICATIONS ASSOCIATION </w:t>
      </w:r>
    </w:p>
    <w:p w:rsidR="004A7D80" w:rsidRDefault="004A7D80" w:rsidP="0069750A">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USF CONCEPT PAPER</w:t>
      </w:r>
    </w:p>
    <w:p w:rsidR="004A7D80" w:rsidRDefault="004A7D80" w:rsidP="000A4291">
      <w:pPr>
        <w:jc w:val="center"/>
        <w:rPr>
          <w:rFonts w:ascii="TimesNewRomanPS-BoldMT" w:hAnsi="TimesNewRomanPS-BoldMT" w:cs="TimesNewRomanPS-BoldMT"/>
          <w:b/>
          <w:bCs/>
          <w:sz w:val="24"/>
          <w:szCs w:val="24"/>
        </w:rPr>
      </w:pPr>
    </w:p>
    <w:p w:rsidR="004A7D80" w:rsidRDefault="004A7D80">
      <w:pPr>
        <w:rPr>
          <w:rFonts w:ascii="TimesNewRomanPS-BoldMT" w:hAnsi="TimesNewRomanPS-BoldMT" w:cs="TimesNewRomanPS-BoldMT"/>
          <w:b/>
          <w:bCs/>
          <w:sz w:val="24"/>
          <w:szCs w:val="24"/>
        </w:rPr>
      </w:pPr>
    </w:p>
    <w:p w:rsidR="004A7D80" w:rsidRDefault="004A7D80">
      <w:pPr>
        <w:rPr>
          <w:rFonts w:ascii="TimesNewRomanPS-BoldMT" w:hAnsi="TimesNewRomanPS-BoldMT" w:cs="TimesNewRomanPS-BoldMT"/>
          <w:b/>
          <w:bCs/>
          <w:sz w:val="24"/>
          <w:szCs w:val="24"/>
        </w:rPr>
      </w:pPr>
    </w:p>
    <w:p w:rsidR="004A7D80" w:rsidRDefault="004A7D80">
      <w:pPr>
        <w:rPr>
          <w:rFonts w:ascii="TimesNewRomanPS-BoldMT" w:hAnsi="TimesNewRomanPS-BoldMT" w:cs="TimesNewRomanPS-BoldMT"/>
          <w:b/>
          <w:bCs/>
          <w:sz w:val="24"/>
          <w:szCs w:val="24"/>
        </w:rPr>
      </w:pPr>
    </w:p>
    <w:p w:rsidR="004A7D80" w:rsidRDefault="004A7D80">
      <w:pPr>
        <w:rPr>
          <w:rFonts w:ascii="TimesNewRomanPS-BoldMT" w:hAnsi="TimesNewRomanPS-BoldMT" w:cs="TimesNewRomanPS-BoldMT"/>
          <w:b/>
          <w:bCs/>
          <w:sz w:val="24"/>
          <w:szCs w:val="24"/>
        </w:rPr>
      </w:pPr>
    </w:p>
    <w:p w:rsidR="004A7D80" w:rsidRDefault="004A7D80">
      <w:pPr>
        <w:rPr>
          <w:rFonts w:ascii="TimesNewRomanPS-BoldMT" w:hAnsi="TimesNewRomanPS-BoldMT" w:cs="TimesNewRomanPS-BoldMT"/>
          <w:b/>
          <w:bCs/>
          <w:sz w:val="24"/>
          <w:szCs w:val="24"/>
        </w:rPr>
      </w:pPr>
    </w:p>
    <w:p w:rsidR="004A7D80" w:rsidRDefault="004A7D80">
      <w:pPr>
        <w:rPr>
          <w:rFonts w:ascii="TimesNewRomanPS-BoldMT" w:hAnsi="TimesNewRomanPS-BoldMT" w:cs="TimesNewRomanPS-BoldMT"/>
          <w:b/>
          <w:bCs/>
          <w:sz w:val="24"/>
          <w:szCs w:val="24"/>
        </w:rPr>
      </w:pPr>
    </w:p>
    <w:p w:rsidR="004A7D80" w:rsidRDefault="004A7D80">
      <w:pPr>
        <w:rPr>
          <w:rFonts w:ascii="TimesNewRomanPS-BoldMT" w:hAnsi="TimesNewRomanPS-BoldMT" w:cs="TimesNewRomanPS-BoldMT"/>
          <w:b/>
          <w:bCs/>
          <w:sz w:val="24"/>
          <w:szCs w:val="24"/>
        </w:rPr>
      </w:pPr>
    </w:p>
    <w:p w:rsidR="004A7D80" w:rsidRDefault="004A7D80">
      <w:pPr>
        <w:rPr>
          <w:rFonts w:ascii="TimesNewRomanPS-BoldMT" w:hAnsi="TimesNewRomanPS-BoldMT" w:cs="TimesNewRomanPS-BoldMT"/>
          <w:b/>
          <w:bCs/>
          <w:sz w:val="24"/>
          <w:szCs w:val="24"/>
        </w:rPr>
      </w:pPr>
    </w:p>
    <w:p w:rsidR="004A7D80" w:rsidRDefault="004A7D80">
      <w:pPr>
        <w:rPr>
          <w:rFonts w:ascii="TimesNewRomanPS-BoldMT" w:hAnsi="TimesNewRomanPS-BoldMT" w:cs="TimesNewRomanPS-BoldMT"/>
          <w:b/>
          <w:bCs/>
          <w:sz w:val="24"/>
          <w:szCs w:val="24"/>
        </w:rPr>
      </w:pPr>
    </w:p>
    <w:p w:rsidR="004A7D80" w:rsidRDefault="004A7D80" w:rsidP="00732B12">
      <w:pPr>
        <w:spacing w:after="0"/>
        <w:rPr>
          <w:rFonts w:ascii="TimesNewRomanPS-BoldMT" w:hAnsi="TimesNewRomanPS-BoldMT" w:cs="TimesNewRomanPS-BoldMT"/>
          <w:b/>
          <w:bCs/>
          <w:sz w:val="24"/>
          <w:szCs w:val="24"/>
        </w:rPr>
      </w:pPr>
    </w:p>
    <w:p w:rsidR="004A7D80" w:rsidRDefault="004A7D80"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Douglas Denney, Company Representative</w:t>
      </w:r>
    </w:p>
    <w:p w:rsidR="004A7D80" w:rsidRDefault="004A7D80"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Integra Telecom</w:t>
      </w:r>
    </w:p>
    <w:p w:rsidR="004A7D80" w:rsidRDefault="004A7D80"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1201 NE Lloyd Blvd, Suite 500</w:t>
      </w:r>
    </w:p>
    <w:p w:rsidR="004A7D80" w:rsidRDefault="004A7D80"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Portland, OR 97068</w:t>
      </w:r>
    </w:p>
    <w:p w:rsidR="004A7D80" w:rsidRDefault="004A7D80"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Telephone: 503 453 8285</w:t>
      </w:r>
    </w:p>
    <w:p w:rsidR="004A7D80" w:rsidRDefault="004A7D80"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Email: </w:t>
      </w:r>
      <w:r w:rsidRPr="00B9110D">
        <w:rPr>
          <w:rFonts w:ascii="TimesNewRomanPS-BoldMT" w:hAnsi="TimesNewRomanPS-BoldMT" w:cs="TimesNewRomanPS-BoldMT"/>
          <w:b/>
          <w:bCs/>
          <w:sz w:val="24"/>
          <w:szCs w:val="24"/>
        </w:rPr>
        <w:t>dkdenney@integratelecom.com</w:t>
      </w:r>
    </w:p>
    <w:p w:rsidR="004A7D80" w:rsidRDefault="004A7D80" w:rsidP="00732B12">
      <w:pPr>
        <w:rPr>
          <w:rFonts w:ascii="TimesNewRomanPS-BoldMT" w:hAnsi="TimesNewRomanPS-BoldMT" w:cs="TimesNewRomanPS-BoldMT"/>
          <w:b/>
          <w:bCs/>
          <w:sz w:val="24"/>
          <w:szCs w:val="24"/>
        </w:rPr>
      </w:pPr>
    </w:p>
    <w:p w:rsidR="004A7D80" w:rsidRDefault="004A7D80" w:rsidP="00732B12">
      <w:pPr>
        <w:rPr>
          <w:rFonts w:ascii="TimesNewRomanPS-BoldMT" w:hAnsi="TimesNewRomanPS-BoldMT" w:cs="TimesNewRomanPS-BoldMT"/>
          <w:b/>
          <w:bCs/>
          <w:sz w:val="24"/>
          <w:szCs w:val="24"/>
        </w:rPr>
      </w:pPr>
    </w:p>
    <w:p w:rsidR="004A7D80" w:rsidRDefault="004A7D80" w:rsidP="00D77EE7">
      <w:pPr>
        <w:ind w:left="4320"/>
        <w:jc w:val="left"/>
        <w:rPr>
          <w:rFonts w:ascii="TimesNewRomanPS-BoldMT" w:hAnsi="TimesNewRomanPS-BoldMT" w:cs="TimesNewRomanPS-BoldMT"/>
          <w:b/>
          <w:bCs/>
          <w:sz w:val="24"/>
          <w:szCs w:val="24"/>
        </w:rPr>
      </w:pPr>
      <w:r>
        <w:rPr>
          <w:rFonts w:ascii="TimesNewRomanPS-BoldMT" w:hAnsi="TimesNewRomanPS-BoldMT" w:cs="TimesNewRomanPS-BoldMT"/>
          <w:b/>
          <w:bCs/>
          <w:sz w:val="24"/>
          <w:szCs w:val="24"/>
        </w:rPr>
        <w:t>Dated: September 17, 2010</w:t>
      </w:r>
    </w:p>
    <w:p w:rsidR="004A7D80" w:rsidRDefault="004A7D80" w:rsidP="00D77EE7">
      <w:pPr>
        <w:jc w:val="left"/>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rsidR="004A7D80" w:rsidRPr="009C1066" w:rsidRDefault="004A7D80" w:rsidP="00FB2066">
      <w:pPr>
        <w:spacing w:after="0" w:line="480" w:lineRule="auto"/>
        <w:rPr>
          <w:rFonts w:ascii="TimesNewRomanPS-BoldMT" w:hAnsi="TimesNewRomanPS-BoldMT" w:cs="TimesNewRomanPS-BoldMT"/>
          <w:bCs/>
          <w:sz w:val="24"/>
          <w:szCs w:val="24"/>
        </w:rPr>
      </w:pPr>
      <w:r w:rsidRPr="000A4291">
        <w:rPr>
          <w:rFonts w:ascii="TimesNewRomanPS-BoldMT" w:hAnsi="TimesNewRomanPS-BoldMT" w:cs="TimesNewRomanPS-BoldMT"/>
          <w:bCs/>
          <w:sz w:val="24"/>
          <w:szCs w:val="24"/>
        </w:rPr>
        <w:lastRenderedPageBreak/>
        <w:tab/>
      </w:r>
      <w:r w:rsidRPr="002726F8">
        <w:rPr>
          <w:rFonts w:ascii="TimesNewRomanPS-BoldMT" w:hAnsi="TimesNewRomanPS-BoldMT" w:cs="TimesNewRomanPS-BoldMT"/>
          <w:bCs/>
          <w:sz w:val="24"/>
          <w:szCs w:val="24"/>
        </w:rPr>
        <w:t xml:space="preserve">Integra Telecom of Washington, Inc., Eschelon Telecom of Washington, Inc., Electric </w:t>
      </w:r>
      <w:proofErr w:type="spellStart"/>
      <w:r w:rsidRPr="002726F8">
        <w:rPr>
          <w:rFonts w:ascii="TimesNewRomanPS-BoldMT" w:hAnsi="TimesNewRomanPS-BoldMT" w:cs="TimesNewRomanPS-BoldMT"/>
          <w:bCs/>
          <w:sz w:val="24"/>
          <w:szCs w:val="24"/>
        </w:rPr>
        <w:t>Lightwave</w:t>
      </w:r>
      <w:proofErr w:type="spellEnd"/>
      <w:r w:rsidRPr="002726F8">
        <w:rPr>
          <w:rFonts w:ascii="TimesNewRomanPS-BoldMT" w:hAnsi="TimesNewRomanPS-BoldMT" w:cs="TimesNewRomanPS-BoldMT"/>
          <w:bCs/>
          <w:sz w:val="24"/>
          <w:szCs w:val="24"/>
        </w:rPr>
        <w:t xml:space="preserve">, LLC., Advanced </w:t>
      </w:r>
      <w:proofErr w:type="spellStart"/>
      <w:r w:rsidRPr="002726F8">
        <w:rPr>
          <w:rFonts w:ascii="TimesNewRomanPS-BoldMT" w:hAnsi="TimesNewRomanPS-BoldMT" w:cs="TimesNewRomanPS-BoldMT"/>
          <w:bCs/>
          <w:sz w:val="24"/>
          <w:szCs w:val="24"/>
        </w:rPr>
        <w:t>TelCom</w:t>
      </w:r>
      <w:proofErr w:type="spellEnd"/>
      <w:r w:rsidRPr="002726F8">
        <w:rPr>
          <w:rFonts w:ascii="TimesNewRomanPS-BoldMT" w:hAnsi="TimesNewRomanPS-BoldMT" w:cs="TimesNewRomanPS-BoldMT"/>
          <w:bCs/>
          <w:sz w:val="24"/>
          <w:szCs w:val="24"/>
        </w:rPr>
        <w:t>, Inc., Shared Communications Services, Inc., Oregon Telecom, Inc., and United Communications, Inc. (collectively referred to as “Integra” or “Integra Telecom”)</w:t>
      </w:r>
      <w:r w:rsidRPr="002726F8">
        <w:rPr>
          <w:rFonts w:ascii="Times New Roman" w:hAnsi="Times New Roman"/>
          <w:bCs/>
          <w:color w:val="000000" w:themeColor="text1"/>
          <w:sz w:val="24"/>
          <w:szCs w:val="24"/>
        </w:rPr>
        <w:t>,</w:t>
      </w:r>
      <w:r w:rsidR="002726F8" w:rsidRPr="002726F8">
        <w:rPr>
          <w:rFonts w:ascii="Times New Roman" w:hAnsi="Times New Roman"/>
          <w:bCs/>
          <w:color w:val="000000" w:themeColor="text1"/>
          <w:sz w:val="24"/>
          <w:szCs w:val="24"/>
        </w:rPr>
        <w:t xml:space="preserve"> </w:t>
      </w:r>
      <w:proofErr w:type="spellStart"/>
      <w:r w:rsidR="002726F8" w:rsidRPr="002726F8">
        <w:rPr>
          <w:rFonts w:ascii="Times New Roman" w:hAnsi="Times New Roman"/>
          <w:b/>
          <w:bCs/>
          <w:color w:val="000000" w:themeColor="text1"/>
          <w:sz w:val="24"/>
          <w:szCs w:val="24"/>
        </w:rPr>
        <w:t>tw</w:t>
      </w:r>
      <w:proofErr w:type="spellEnd"/>
      <w:r w:rsidR="002726F8" w:rsidRPr="002726F8">
        <w:rPr>
          <w:rFonts w:ascii="Times New Roman" w:hAnsi="Times New Roman"/>
          <w:b/>
          <w:bCs/>
          <w:color w:val="000000" w:themeColor="text1"/>
          <w:sz w:val="24"/>
          <w:szCs w:val="24"/>
        </w:rPr>
        <w:t xml:space="preserve"> telecom of </w:t>
      </w:r>
      <w:proofErr w:type="spellStart"/>
      <w:r w:rsidR="002726F8" w:rsidRPr="002726F8">
        <w:rPr>
          <w:rFonts w:ascii="Times New Roman" w:hAnsi="Times New Roman"/>
          <w:b/>
          <w:bCs/>
          <w:color w:val="000000" w:themeColor="text1"/>
          <w:sz w:val="24"/>
          <w:szCs w:val="24"/>
        </w:rPr>
        <w:t>washington</w:t>
      </w:r>
      <w:proofErr w:type="spellEnd"/>
      <w:r w:rsidR="002726F8" w:rsidRPr="002726F8">
        <w:rPr>
          <w:rFonts w:ascii="Times New Roman" w:hAnsi="Times New Roman"/>
          <w:b/>
          <w:bCs/>
          <w:color w:val="000000" w:themeColor="text1"/>
          <w:sz w:val="24"/>
          <w:szCs w:val="24"/>
        </w:rPr>
        <w:t xml:space="preserve"> </w:t>
      </w:r>
      <w:proofErr w:type="spellStart"/>
      <w:r w:rsidR="002726F8" w:rsidRPr="002726F8">
        <w:rPr>
          <w:rFonts w:ascii="Times New Roman" w:hAnsi="Times New Roman"/>
          <w:b/>
          <w:bCs/>
          <w:color w:val="000000" w:themeColor="text1"/>
          <w:sz w:val="24"/>
          <w:szCs w:val="24"/>
        </w:rPr>
        <w:t>llc</w:t>
      </w:r>
      <w:proofErr w:type="spellEnd"/>
      <w:r w:rsidR="002726F8" w:rsidRPr="002726F8">
        <w:rPr>
          <w:rFonts w:ascii="Times New Roman" w:hAnsi="Times New Roman"/>
          <w:bCs/>
          <w:color w:val="000000" w:themeColor="text1"/>
          <w:sz w:val="24"/>
          <w:szCs w:val="24"/>
        </w:rPr>
        <w:t xml:space="preserve">, </w:t>
      </w:r>
      <w:r w:rsidR="002726F8" w:rsidRPr="00CF3D45">
        <w:rPr>
          <w:rFonts w:ascii="Times New Roman" w:hAnsi="Times New Roman"/>
          <w:bCs/>
          <w:color w:val="000000" w:themeColor="text1"/>
          <w:sz w:val="24"/>
          <w:szCs w:val="24"/>
        </w:rPr>
        <w:t>and</w:t>
      </w:r>
      <w:r w:rsidR="002726F8" w:rsidRPr="00CF3D45">
        <w:rPr>
          <w:rFonts w:ascii="Times New Roman" w:hAnsi="Times New Roman"/>
          <w:b/>
          <w:bCs/>
          <w:color w:val="000000" w:themeColor="text1"/>
          <w:sz w:val="24"/>
          <w:szCs w:val="24"/>
        </w:rPr>
        <w:t xml:space="preserve"> </w:t>
      </w:r>
      <w:r w:rsidR="002726F8" w:rsidRPr="00CF3D45">
        <w:rPr>
          <w:rFonts w:ascii="Times New Roman" w:hAnsi="Times New Roman"/>
          <w:bCs/>
          <w:color w:val="000000" w:themeColor="text1"/>
          <w:sz w:val="24"/>
          <w:szCs w:val="24"/>
        </w:rPr>
        <w:t>XO</w:t>
      </w:r>
      <w:r w:rsidR="002726F8" w:rsidRPr="00CF3D45">
        <w:rPr>
          <w:rFonts w:ascii="Times New Roman" w:hAnsi="Times New Roman"/>
          <w:b/>
          <w:bCs/>
          <w:color w:val="000000" w:themeColor="text1"/>
          <w:sz w:val="24"/>
          <w:szCs w:val="24"/>
        </w:rPr>
        <w:t xml:space="preserve"> </w:t>
      </w:r>
      <w:r w:rsidR="007C78F4" w:rsidRPr="00CF3D45">
        <w:rPr>
          <w:rFonts w:ascii="Times New Roman" w:hAnsi="Times New Roman"/>
          <w:bCs/>
          <w:color w:val="000000" w:themeColor="text1"/>
          <w:sz w:val="24"/>
          <w:szCs w:val="24"/>
        </w:rPr>
        <w:t>Communications</w:t>
      </w:r>
      <w:r w:rsidR="00CF3D45" w:rsidRPr="00CF3D45">
        <w:rPr>
          <w:rFonts w:ascii="Times New Roman" w:hAnsi="Times New Roman"/>
          <w:bCs/>
          <w:color w:val="000000" w:themeColor="text1"/>
          <w:sz w:val="24"/>
          <w:szCs w:val="24"/>
        </w:rPr>
        <w:t xml:space="preserve"> Services</w:t>
      </w:r>
      <w:r w:rsidR="007C78F4" w:rsidRPr="00CF3D45">
        <w:rPr>
          <w:rFonts w:ascii="Times New Roman" w:hAnsi="Times New Roman"/>
          <w:bCs/>
          <w:color w:val="000000" w:themeColor="text1"/>
          <w:sz w:val="24"/>
          <w:szCs w:val="24"/>
        </w:rPr>
        <w:t>, Inc.</w:t>
      </w:r>
      <w:r w:rsidRPr="00CF3D45">
        <w:rPr>
          <w:rFonts w:ascii="TimesNewRomanPS-BoldMT" w:hAnsi="TimesNewRomanPS-BoldMT" w:cs="TimesNewRomanPS-BoldMT"/>
          <w:bCs/>
          <w:sz w:val="24"/>
          <w:szCs w:val="24"/>
        </w:rPr>
        <w:t xml:space="preserve"> </w:t>
      </w:r>
      <w:r w:rsidR="007C78F4" w:rsidRPr="00CF3D45">
        <w:rPr>
          <w:rFonts w:ascii="TimesNewRomanPS-BoldMT" w:hAnsi="TimesNewRomanPS-BoldMT" w:cs="TimesNewRomanPS-BoldMT"/>
          <w:bCs/>
          <w:sz w:val="24"/>
          <w:szCs w:val="24"/>
        </w:rPr>
        <w:t>(“</w:t>
      </w:r>
      <w:proofErr w:type="spellStart"/>
      <w:r w:rsidR="007C78F4">
        <w:rPr>
          <w:rFonts w:ascii="TimesNewRomanPS-BoldMT" w:hAnsi="TimesNewRomanPS-BoldMT" w:cs="TimesNewRomanPS-BoldMT"/>
          <w:bCs/>
          <w:sz w:val="24"/>
          <w:szCs w:val="24"/>
        </w:rPr>
        <w:t>CLECs</w:t>
      </w:r>
      <w:proofErr w:type="spellEnd"/>
      <w:r w:rsidR="007C78F4">
        <w:rPr>
          <w:rFonts w:ascii="TimesNewRomanPS-BoldMT" w:hAnsi="TimesNewRomanPS-BoldMT" w:cs="TimesNewRomanPS-BoldMT"/>
          <w:bCs/>
          <w:sz w:val="24"/>
          <w:szCs w:val="24"/>
        </w:rPr>
        <w:t xml:space="preserve">”) </w:t>
      </w:r>
      <w:r w:rsidRPr="009C1066">
        <w:rPr>
          <w:rFonts w:ascii="TimesNewRomanPS-BoldMT" w:hAnsi="TimesNewRomanPS-BoldMT" w:cs="TimesNewRomanPS-BoldMT"/>
          <w:bCs/>
          <w:sz w:val="24"/>
          <w:szCs w:val="24"/>
        </w:rPr>
        <w:t xml:space="preserve">respectfully submit the following comments in response to the </w:t>
      </w:r>
      <w:r>
        <w:rPr>
          <w:rFonts w:ascii="TimesNewRomanPS-BoldMT" w:hAnsi="TimesNewRomanPS-BoldMT" w:cs="TimesNewRomanPS-BoldMT"/>
          <w:bCs/>
          <w:sz w:val="24"/>
          <w:szCs w:val="24"/>
        </w:rPr>
        <w:t>Commission’s invitation to provide written comments on the “USF Concept Paper”</w:t>
      </w:r>
      <w:r w:rsidRPr="009C1066">
        <w:rPr>
          <w:rStyle w:val="FootnoteReference"/>
          <w:rFonts w:ascii="TimesNewRomanPS-BoldMT" w:hAnsi="TimesNewRomanPS-BoldMT" w:cs="TimesNewRomanPS-BoldMT"/>
          <w:bCs/>
          <w:sz w:val="24"/>
          <w:szCs w:val="24"/>
        </w:rPr>
        <w:footnoteReference w:id="1"/>
      </w:r>
      <w:r>
        <w:rPr>
          <w:rFonts w:ascii="TimesNewRomanPS-BoldMT" w:hAnsi="TimesNewRomanPS-BoldMT" w:cs="TimesNewRomanPS-BoldMT"/>
          <w:bCs/>
          <w:sz w:val="24"/>
          <w:szCs w:val="24"/>
        </w:rPr>
        <w:t xml:space="preserve"> provided by the Washington Independent Telecommunications Association (“</w:t>
      </w:r>
      <w:proofErr w:type="spellStart"/>
      <w:r>
        <w:rPr>
          <w:rFonts w:ascii="TimesNewRomanPS-BoldMT" w:hAnsi="TimesNewRomanPS-BoldMT" w:cs="TimesNewRomanPS-BoldMT"/>
          <w:bCs/>
          <w:sz w:val="24"/>
          <w:szCs w:val="24"/>
        </w:rPr>
        <w:t>WITA</w:t>
      </w:r>
      <w:proofErr w:type="spellEnd"/>
      <w:r>
        <w:rPr>
          <w:rFonts w:ascii="TimesNewRomanPS-BoldMT" w:hAnsi="TimesNewRomanPS-BoldMT" w:cs="TimesNewRomanPS-BoldMT"/>
          <w:bCs/>
          <w:sz w:val="24"/>
          <w:szCs w:val="24"/>
        </w:rPr>
        <w:t>”).</w:t>
      </w:r>
      <w:r w:rsidRPr="009C1066">
        <w:rPr>
          <w:rStyle w:val="FootnoteReference"/>
          <w:rFonts w:ascii="TimesNewRomanPS-BoldMT" w:hAnsi="TimesNewRomanPS-BoldMT" w:cs="TimesNewRomanPS-BoldMT"/>
          <w:bCs/>
          <w:sz w:val="24"/>
          <w:szCs w:val="24"/>
        </w:rPr>
        <w:footnoteReference w:id="2"/>
      </w:r>
      <w:r w:rsidRPr="009C1066">
        <w:rPr>
          <w:rFonts w:ascii="TimesNewRomanPS-BoldMT" w:hAnsi="TimesNewRomanPS-BoldMT" w:cs="TimesNewRomanPS-BoldMT"/>
          <w:bCs/>
          <w:sz w:val="24"/>
          <w:szCs w:val="24"/>
        </w:rPr>
        <w:t xml:space="preserve"> </w:t>
      </w:r>
    </w:p>
    <w:p w:rsidR="004A7D80" w:rsidRDefault="004A7D80" w:rsidP="00FB2066">
      <w:pPr>
        <w:pStyle w:val="Answer"/>
        <w:spacing w:after="0"/>
        <w:ind w:left="0" w:firstLine="720"/>
        <w:jc w:val="both"/>
        <w:rPr>
          <w:b/>
          <w:i/>
          <w:szCs w:val="24"/>
        </w:rPr>
      </w:pPr>
    </w:p>
    <w:p w:rsidR="004A7D80" w:rsidRPr="00091794" w:rsidRDefault="004A7D80" w:rsidP="00FB2066">
      <w:pPr>
        <w:pStyle w:val="Answer"/>
        <w:spacing w:after="0"/>
        <w:ind w:left="0" w:firstLine="720"/>
        <w:jc w:val="both"/>
        <w:rPr>
          <w:b/>
          <w:i/>
          <w:szCs w:val="24"/>
        </w:rPr>
      </w:pPr>
      <w:r w:rsidRPr="00091794">
        <w:rPr>
          <w:b/>
          <w:i/>
          <w:szCs w:val="24"/>
        </w:rPr>
        <w:t>Introduction</w:t>
      </w:r>
    </w:p>
    <w:p w:rsidR="004A7D80" w:rsidRDefault="004A7D80" w:rsidP="00FB2066">
      <w:pPr>
        <w:pStyle w:val="Answer"/>
        <w:spacing w:after="0"/>
        <w:ind w:left="0" w:firstLine="720"/>
        <w:jc w:val="both"/>
        <w:rPr>
          <w:szCs w:val="24"/>
        </w:rPr>
      </w:pPr>
      <w:r>
        <w:rPr>
          <w:szCs w:val="24"/>
        </w:rPr>
        <w:t>As stated in the Integra reply comments, t</w:t>
      </w:r>
      <w:r w:rsidRPr="009B663B">
        <w:rPr>
          <w:szCs w:val="24"/>
        </w:rPr>
        <w:t>here</w:t>
      </w:r>
      <w:r>
        <w:rPr>
          <w:szCs w:val="24"/>
        </w:rPr>
        <w:t xml:space="preserve"> appears to be </w:t>
      </w:r>
      <w:r w:rsidRPr="009B663B">
        <w:rPr>
          <w:szCs w:val="24"/>
        </w:rPr>
        <w:t>universal agreement and a desire among the rural carriers that rural carrier access rates be addressed.</w:t>
      </w:r>
      <w:r>
        <w:rPr>
          <w:rStyle w:val="FootnoteReference"/>
          <w:szCs w:val="24"/>
        </w:rPr>
        <w:footnoteReference w:id="3"/>
      </w:r>
      <w:r w:rsidRPr="009B663B">
        <w:rPr>
          <w:szCs w:val="24"/>
        </w:rPr>
        <w:t xml:space="preserve">  </w:t>
      </w:r>
      <w:r>
        <w:rPr>
          <w:szCs w:val="24"/>
        </w:rPr>
        <w:t xml:space="preserve">The </w:t>
      </w:r>
      <w:proofErr w:type="spellStart"/>
      <w:r>
        <w:rPr>
          <w:szCs w:val="24"/>
        </w:rPr>
        <w:t>WITA</w:t>
      </w:r>
      <w:proofErr w:type="spellEnd"/>
      <w:r>
        <w:rPr>
          <w:szCs w:val="24"/>
        </w:rPr>
        <w:t xml:space="preserve"> </w:t>
      </w:r>
      <w:r w:rsidRPr="001D5D8D">
        <w:rPr>
          <w:i/>
          <w:szCs w:val="24"/>
        </w:rPr>
        <w:t>USF Concept Paper</w:t>
      </w:r>
      <w:r>
        <w:rPr>
          <w:szCs w:val="24"/>
        </w:rPr>
        <w:t xml:space="preserve"> covers the issue of rural carrier access rates, but goes well beyond this</w:t>
      </w:r>
      <w:r w:rsidR="002C79CA">
        <w:rPr>
          <w:szCs w:val="24"/>
        </w:rPr>
        <w:t xml:space="preserve"> by </w:t>
      </w:r>
      <w:r w:rsidR="0065558D">
        <w:rPr>
          <w:szCs w:val="24"/>
        </w:rPr>
        <w:t xml:space="preserve">mandating access reductions and </w:t>
      </w:r>
      <w:r w:rsidR="002C79CA">
        <w:rPr>
          <w:szCs w:val="24"/>
        </w:rPr>
        <w:t xml:space="preserve">state USF funding for large </w:t>
      </w:r>
      <w:proofErr w:type="spellStart"/>
      <w:r w:rsidR="002C79CA">
        <w:rPr>
          <w:szCs w:val="24"/>
        </w:rPr>
        <w:t>ILECs</w:t>
      </w:r>
      <w:proofErr w:type="spellEnd"/>
      <w:r w:rsidR="0065558D">
        <w:rPr>
          <w:szCs w:val="24"/>
        </w:rPr>
        <w:t xml:space="preserve">.  It is unclear that the large </w:t>
      </w:r>
      <w:proofErr w:type="spellStart"/>
      <w:r w:rsidR="0065558D">
        <w:rPr>
          <w:szCs w:val="24"/>
        </w:rPr>
        <w:t>ILECs</w:t>
      </w:r>
      <w:proofErr w:type="spellEnd"/>
      <w:r w:rsidR="0065558D">
        <w:rPr>
          <w:szCs w:val="24"/>
        </w:rPr>
        <w:t xml:space="preserve"> need or desire such a change, and a</w:t>
      </w:r>
      <w:r>
        <w:rPr>
          <w:szCs w:val="24"/>
        </w:rPr>
        <w:t xml:space="preserve">s a result the </w:t>
      </w:r>
      <w:proofErr w:type="spellStart"/>
      <w:r>
        <w:rPr>
          <w:szCs w:val="24"/>
        </w:rPr>
        <w:t>CLECs</w:t>
      </w:r>
      <w:proofErr w:type="spellEnd"/>
      <w:r>
        <w:rPr>
          <w:szCs w:val="24"/>
        </w:rPr>
        <w:t xml:space="preserve"> generally object to the proposal.  </w:t>
      </w:r>
    </w:p>
    <w:p w:rsidR="004A7D80" w:rsidRDefault="004A7D80" w:rsidP="00FB2066">
      <w:pPr>
        <w:pStyle w:val="Answer"/>
        <w:spacing w:after="0"/>
        <w:ind w:left="0" w:firstLine="720"/>
        <w:jc w:val="both"/>
        <w:rPr>
          <w:szCs w:val="24"/>
        </w:rPr>
      </w:pPr>
      <w:r>
        <w:rPr>
          <w:szCs w:val="24"/>
        </w:rPr>
        <w:t xml:space="preserve">The </w:t>
      </w:r>
      <w:proofErr w:type="spellStart"/>
      <w:r>
        <w:rPr>
          <w:szCs w:val="24"/>
        </w:rPr>
        <w:t>WITA</w:t>
      </w:r>
      <w:proofErr w:type="spellEnd"/>
      <w:r>
        <w:rPr>
          <w:szCs w:val="24"/>
        </w:rPr>
        <w:t xml:space="preserve"> </w:t>
      </w:r>
      <w:r w:rsidR="00F032D9" w:rsidRPr="00F032D9">
        <w:rPr>
          <w:i/>
          <w:szCs w:val="24"/>
        </w:rPr>
        <w:t>USF Concept Paper</w:t>
      </w:r>
      <w:r>
        <w:rPr>
          <w:szCs w:val="24"/>
        </w:rPr>
        <w:t xml:space="preserve"> is broken into four sections: (1) Washington Universal Service Reform - Contributions; (2) Access Reform Track (Independent Local Exchange Carriers (“</w:t>
      </w:r>
      <w:proofErr w:type="spellStart"/>
      <w:r>
        <w:rPr>
          <w:szCs w:val="24"/>
        </w:rPr>
        <w:t>ILECs</w:t>
      </w:r>
      <w:proofErr w:type="spellEnd"/>
      <w:r>
        <w:rPr>
          <w:szCs w:val="24"/>
        </w:rPr>
        <w:t>”) with less than 2% of the state access lines); (3) High Cost Track (</w:t>
      </w:r>
      <w:proofErr w:type="spellStart"/>
      <w:r>
        <w:rPr>
          <w:szCs w:val="24"/>
        </w:rPr>
        <w:t>ILECs</w:t>
      </w:r>
      <w:proofErr w:type="spellEnd"/>
      <w:r>
        <w:rPr>
          <w:szCs w:val="24"/>
        </w:rPr>
        <w:t xml:space="preserve"> with more than 2% of the state access lines); and (4) Access reform all participating providers.</w:t>
      </w:r>
    </w:p>
    <w:p w:rsidR="004A7D80" w:rsidRDefault="004A7D80" w:rsidP="00FB2066">
      <w:pPr>
        <w:pStyle w:val="Answer"/>
        <w:spacing w:after="0"/>
        <w:ind w:left="0" w:firstLine="720"/>
        <w:jc w:val="both"/>
        <w:rPr>
          <w:b/>
          <w:i/>
          <w:szCs w:val="24"/>
        </w:rPr>
      </w:pPr>
    </w:p>
    <w:p w:rsidR="004A7D80" w:rsidRPr="00484B01" w:rsidRDefault="004A7D80" w:rsidP="00FB2066">
      <w:pPr>
        <w:pStyle w:val="Answer"/>
        <w:spacing w:after="0"/>
        <w:ind w:left="0" w:firstLine="720"/>
        <w:jc w:val="both"/>
        <w:rPr>
          <w:b/>
          <w:i/>
          <w:szCs w:val="24"/>
        </w:rPr>
      </w:pPr>
      <w:r>
        <w:rPr>
          <w:b/>
          <w:i/>
          <w:szCs w:val="24"/>
        </w:rPr>
        <w:lastRenderedPageBreak/>
        <w:t>Contributions</w:t>
      </w:r>
    </w:p>
    <w:p w:rsidR="004A7D80" w:rsidRDefault="004A7D80" w:rsidP="00FB2066">
      <w:pPr>
        <w:pStyle w:val="Answer"/>
        <w:spacing w:after="0"/>
        <w:ind w:left="0" w:firstLine="720"/>
        <w:jc w:val="both"/>
        <w:rPr>
          <w:szCs w:val="24"/>
        </w:rPr>
      </w:pPr>
      <w:r>
        <w:rPr>
          <w:szCs w:val="24"/>
        </w:rPr>
        <w:t xml:space="preserve">Assuming it is necessary to create a state Universal Service Fund (“USF”), the first section of the </w:t>
      </w:r>
      <w:proofErr w:type="spellStart"/>
      <w:r>
        <w:rPr>
          <w:szCs w:val="24"/>
        </w:rPr>
        <w:t>WITA</w:t>
      </w:r>
      <w:proofErr w:type="spellEnd"/>
      <w:r>
        <w:rPr>
          <w:szCs w:val="24"/>
        </w:rPr>
        <w:t xml:space="preserve"> </w:t>
      </w:r>
      <w:r w:rsidR="00F032D9" w:rsidRPr="00F032D9">
        <w:rPr>
          <w:i/>
          <w:szCs w:val="24"/>
        </w:rPr>
        <w:t>USF Concept Paper</w:t>
      </w:r>
      <w:r w:rsidR="00776F7E">
        <w:rPr>
          <w:i/>
          <w:szCs w:val="24"/>
        </w:rPr>
        <w:t>, “</w:t>
      </w:r>
      <w:r>
        <w:rPr>
          <w:i/>
          <w:szCs w:val="24"/>
        </w:rPr>
        <w:t>Contributions”</w:t>
      </w:r>
      <w:r w:rsidR="00776F7E">
        <w:rPr>
          <w:i/>
          <w:szCs w:val="24"/>
        </w:rPr>
        <w:t>,</w:t>
      </w:r>
      <w:r>
        <w:rPr>
          <w:szCs w:val="24"/>
        </w:rPr>
        <w:t xml:space="preserve"> does not appear to be problematic.  This section merely states that support should be defined broadly, such that, all carriers who use the network should pay to support the network.</w:t>
      </w:r>
      <w:r>
        <w:rPr>
          <w:rStyle w:val="FootnoteReference"/>
          <w:szCs w:val="24"/>
        </w:rPr>
        <w:footnoteReference w:id="4"/>
      </w:r>
      <w:r>
        <w:rPr>
          <w:szCs w:val="24"/>
        </w:rPr>
        <w:t xml:space="preserve">   Frontier and Qwest generally support this concept.</w:t>
      </w:r>
      <w:r>
        <w:rPr>
          <w:rStyle w:val="FootnoteReference"/>
          <w:szCs w:val="24"/>
        </w:rPr>
        <w:footnoteReference w:id="5"/>
      </w:r>
      <w:r>
        <w:rPr>
          <w:szCs w:val="24"/>
        </w:rPr>
        <w:t xml:space="preserve">  In addition, the Commission would develop the contribution mechanism,</w:t>
      </w:r>
      <w:r>
        <w:rPr>
          <w:rStyle w:val="FootnoteReference"/>
          <w:szCs w:val="24"/>
        </w:rPr>
        <w:footnoteReference w:id="6"/>
      </w:r>
      <w:r>
        <w:rPr>
          <w:szCs w:val="24"/>
        </w:rPr>
        <w:t xml:space="preserve"> designate a fund administrator,</w:t>
      </w:r>
      <w:r>
        <w:rPr>
          <w:rStyle w:val="FootnoteReference"/>
          <w:szCs w:val="24"/>
        </w:rPr>
        <w:footnoteReference w:id="7"/>
      </w:r>
      <w:r>
        <w:rPr>
          <w:szCs w:val="24"/>
        </w:rPr>
        <w:t xml:space="preserve"> define and establish contribution amounts</w:t>
      </w:r>
      <w:r>
        <w:rPr>
          <w:rStyle w:val="FootnoteReference"/>
          <w:szCs w:val="24"/>
        </w:rPr>
        <w:footnoteReference w:id="8"/>
      </w:r>
      <w:r>
        <w:rPr>
          <w:szCs w:val="24"/>
        </w:rPr>
        <w:t xml:space="preserve"> and enforce payment.</w:t>
      </w:r>
      <w:r>
        <w:rPr>
          <w:rStyle w:val="FootnoteReference"/>
          <w:szCs w:val="24"/>
        </w:rPr>
        <w:footnoteReference w:id="9"/>
      </w:r>
    </w:p>
    <w:p w:rsidR="004A7D80" w:rsidRDefault="004A7D80" w:rsidP="00FB2066">
      <w:pPr>
        <w:pStyle w:val="Answer"/>
        <w:spacing w:after="0"/>
        <w:ind w:left="0" w:firstLine="720"/>
        <w:jc w:val="both"/>
        <w:rPr>
          <w:b/>
          <w:i/>
          <w:szCs w:val="24"/>
        </w:rPr>
      </w:pPr>
    </w:p>
    <w:p w:rsidR="004A7D80" w:rsidRPr="00484B01" w:rsidRDefault="004A7D80" w:rsidP="00FB2066">
      <w:pPr>
        <w:pStyle w:val="Answer"/>
        <w:spacing w:after="0"/>
        <w:ind w:left="0" w:firstLine="720"/>
        <w:jc w:val="both"/>
        <w:rPr>
          <w:b/>
          <w:i/>
          <w:szCs w:val="24"/>
        </w:rPr>
      </w:pPr>
      <w:r>
        <w:rPr>
          <w:b/>
          <w:i/>
          <w:szCs w:val="24"/>
        </w:rPr>
        <w:t xml:space="preserve">Small </w:t>
      </w:r>
      <w:proofErr w:type="spellStart"/>
      <w:r>
        <w:rPr>
          <w:b/>
          <w:i/>
          <w:szCs w:val="24"/>
        </w:rPr>
        <w:t>ILECs</w:t>
      </w:r>
      <w:proofErr w:type="spellEnd"/>
    </w:p>
    <w:p w:rsidR="004A7D80" w:rsidRDefault="004A7D80" w:rsidP="00FB2066">
      <w:pPr>
        <w:pStyle w:val="Answer"/>
        <w:spacing w:after="0"/>
        <w:ind w:left="0" w:firstLine="720"/>
        <w:jc w:val="both"/>
        <w:rPr>
          <w:szCs w:val="24"/>
        </w:rPr>
      </w:pPr>
      <w:r>
        <w:rPr>
          <w:szCs w:val="24"/>
        </w:rPr>
        <w:t xml:space="preserve">The second and third sections of the </w:t>
      </w:r>
      <w:proofErr w:type="spellStart"/>
      <w:r>
        <w:rPr>
          <w:szCs w:val="24"/>
        </w:rPr>
        <w:t>WITA</w:t>
      </w:r>
      <w:proofErr w:type="spellEnd"/>
      <w:r>
        <w:rPr>
          <w:szCs w:val="24"/>
        </w:rPr>
        <w:t xml:space="preserve"> </w:t>
      </w:r>
      <w:r w:rsidR="00F032D9" w:rsidRPr="00F032D9">
        <w:rPr>
          <w:i/>
          <w:szCs w:val="24"/>
        </w:rPr>
        <w:t>USF Concept Paper</w:t>
      </w:r>
      <w:r>
        <w:rPr>
          <w:szCs w:val="24"/>
        </w:rPr>
        <w:t xml:space="preserve"> are divided between discussions of  </w:t>
      </w:r>
      <w:proofErr w:type="spellStart"/>
      <w:r>
        <w:rPr>
          <w:szCs w:val="24"/>
        </w:rPr>
        <w:t>ILECs</w:t>
      </w:r>
      <w:proofErr w:type="spellEnd"/>
      <w:r>
        <w:rPr>
          <w:szCs w:val="24"/>
        </w:rPr>
        <w:t xml:space="preserve"> with fewer than 2% of the state access lines</w:t>
      </w:r>
      <w:r>
        <w:rPr>
          <w:rStyle w:val="FootnoteReference"/>
          <w:szCs w:val="24"/>
        </w:rPr>
        <w:footnoteReference w:id="10"/>
      </w:r>
      <w:r>
        <w:rPr>
          <w:szCs w:val="24"/>
        </w:rPr>
        <w:t xml:space="preserve"> (“small </w:t>
      </w:r>
      <w:proofErr w:type="spellStart"/>
      <w:r>
        <w:rPr>
          <w:szCs w:val="24"/>
        </w:rPr>
        <w:t>ILECs</w:t>
      </w:r>
      <w:proofErr w:type="spellEnd"/>
      <w:r>
        <w:rPr>
          <w:szCs w:val="24"/>
        </w:rPr>
        <w:t xml:space="preserve">”) and </w:t>
      </w:r>
      <w:proofErr w:type="spellStart"/>
      <w:r>
        <w:rPr>
          <w:szCs w:val="24"/>
        </w:rPr>
        <w:t>ILECs</w:t>
      </w:r>
      <w:proofErr w:type="spellEnd"/>
      <w:r>
        <w:rPr>
          <w:szCs w:val="24"/>
        </w:rPr>
        <w:t xml:space="preserve"> with greater than 2% of the state access lines</w:t>
      </w:r>
      <w:r>
        <w:rPr>
          <w:rStyle w:val="FootnoteReference"/>
          <w:szCs w:val="24"/>
        </w:rPr>
        <w:footnoteReference w:id="11"/>
      </w:r>
      <w:r>
        <w:rPr>
          <w:szCs w:val="24"/>
        </w:rPr>
        <w:t xml:space="preserve"> (“large </w:t>
      </w:r>
      <w:proofErr w:type="spellStart"/>
      <w:r>
        <w:rPr>
          <w:szCs w:val="24"/>
        </w:rPr>
        <w:t>ILECs</w:t>
      </w:r>
      <w:proofErr w:type="spellEnd"/>
      <w:r>
        <w:rPr>
          <w:szCs w:val="24"/>
        </w:rPr>
        <w:t xml:space="preserve">”).  Those companies with fewer than 2% of the state access lines appear to be all </w:t>
      </w:r>
      <w:proofErr w:type="spellStart"/>
      <w:r>
        <w:rPr>
          <w:szCs w:val="24"/>
        </w:rPr>
        <w:t>ILECs</w:t>
      </w:r>
      <w:proofErr w:type="spellEnd"/>
      <w:r>
        <w:rPr>
          <w:szCs w:val="24"/>
        </w:rPr>
        <w:t xml:space="preserve"> in Washington with the exception of </w:t>
      </w:r>
      <w:proofErr w:type="spellStart"/>
      <w:r>
        <w:rPr>
          <w:szCs w:val="24"/>
        </w:rPr>
        <w:t>CenturyLink</w:t>
      </w:r>
      <w:proofErr w:type="spellEnd"/>
      <w:r>
        <w:rPr>
          <w:szCs w:val="24"/>
        </w:rPr>
        <w:t xml:space="preserve">, Frontier and Qwest.  Those companies with fewer than 2% of the state access lines </w:t>
      </w:r>
      <w:r>
        <w:rPr>
          <w:szCs w:val="24"/>
        </w:rPr>
        <w:lastRenderedPageBreak/>
        <w:t>make up about 3% of the</w:t>
      </w:r>
      <w:r w:rsidR="00776F7E">
        <w:rPr>
          <w:szCs w:val="24"/>
        </w:rPr>
        <w:t xml:space="preserve"> </w:t>
      </w:r>
      <w:proofErr w:type="spellStart"/>
      <w:r w:rsidR="00776F7E">
        <w:rPr>
          <w:szCs w:val="24"/>
        </w:rPr>
        <w:t>ILEC</w:t>
      </w:r>
      <w:proofErr w:type="spellEnd"/>
      <w:r>
        <w:rPr>
          <w:szCs w:val="24"/>
        </w:rPr>
        <w:t xml:space="preserve"> access lines in the state and </w:t>
      </w:r>
      <w:proofErr w:type="spellStart"/>
      <w:r>
        <w:rPr>
          <w:szCs w:val="24"/>
        </w:rPr>
        <w:t>CenturyLink</w:t>
      </w:r>
      <w:proofErr w:type="spellEnd"/>
      <w:r>
        <w:rPr>
          <w:szCs w:val="24"/>
        </w:rPr>
        <w:t xml:space="preserve">, Frontier and Qwest have the other 97% of </w:t>
      </w:r>
      <w:proofErr w:type="spellStart"/>
      <w:r w:rsidR="00776F7E">
        <w:rPr>
          <w:szCs w:val="24"/>
        </w:rPr>
        <w:t>ILEC</w:t>
      </w:r>
      <w:proofErr w:type="spellEnd"/>
      <w:r w:rsidR="00776F7E">
        <w:rPr>
          <w:szCs w:val="24"/>
        </w:rPr>
        <w:t xml:space="preserve"> </w:t>
      </w:r>
      <w:r>
        <w:rPr>
          <w:szCs w:val="24"/>
        </w:rPr>
        <w:t>access lines.</w:t>
      </w:r>
      <w:r>
        <w:rPr>
          <w:rStyle w:val="FootnoteReference"/>
          <w:szCs w:val="24"/>
        </w:rPr>
        <w:footnoteReference w:id="12"/>
      </w:r>
    </w:p>
    <w:p w:rsidR="004A7D80" w:rsidRDefault="004A7D80" w:rsidP="00FB2066">
      <w:pPr>
        <w:pStyle w:val="Answer"/>
        <w:spacing w:after="0"/>
        <w:ind w:left="0" w:firstLine="720"/>
        <w:jc w:val="both"/>
        <w:rPr>
          <w:szCs w:val="24"/>
        </w:rPr>
      </w:pPr>
      <w:r>
        <w:rPr>
          <w:szCs w:val="24"/>
        </w:rPr>
        <w:t xml:space="preserve">The Small </w:t>
      </w:r>
      <w:proofErr w:type="spellStart"/>
      <w:r>
        <w:rPr>
          <w:szCs w:val="24"/>
        </w:rPr>
        <w:t>ILEC</w:t>
      </w:r>
      <w:proofErr w:type="spellEnd"/>
      <w:r>
        <w:rPr>
          <w:szCs w:val="24"/>
        </w:rPr>
        <w:t xml:space="preserve"> proposal trades access reductions for local rate increases</w:t>
      </w:r>
      <w:r>
        <w:rPr>
          <w:rStyle w:val="FootnoteReference"/>
          <w:szCs w:val="24"/>
        </w:rPr>
        <w:footnoteReference w:id="13"/>
      </w:r>
      <w:r>
        <w:rPr>
          <w:szCs w:val="24"/>
        </w:rPr>
        <w:t xml:space="preserve"> and state universal service funding.</w:t>
      </w:r>
      <w:r>
        <w:rPr>
          <w:rStyle w:val="FootnoteReference"/>
          <w:szCs w:val="24"/>
        </w:rPr>
        <w:footnoteReference w:id="14"/>
      </w:r>
      <w:r>
        <w:rPr>
          <w:szCs w:val="24"/>
        </w:rPr>
        <w:t xml:space="preserve">  This essentially takes a declining revenue source</w:t>
      </w:r>
      <w:r>
        <w:rPr>
          <w:rStyle w:val="FootnoteReference"/>
          <w:szCs w:val="24"/>
        </w:rPr>
        <w:footnoteReference w:id="15"/>
      </w:r>
      <w:r>
        <w:rPr>
          <w:szCs w:val="24"/>
        </w:rPr>
        <w:t xml:space="preserve"> and moves it, at least in part,</w:t>
      </w:r>
      <w:r>
        <w:rPr>
          <w:rStyle w:val="FootnoteReference"/>
          <w:szCs w:val="24"/>
        </w:rPr>
        <w:footnoteReference w:id="16"/>
      </w:r>
      <w:r>
        <w:rPr>
          <w:szCs w:val="24"/>
        </w:rPr>
        <w:t xml:space="preserve"> to a universal service fund that will not naturally decrease.  Small </w:t>
      </w:r>
      <w:proofErr w:type="spellStart"/>
      <w:r>
        <w:rPr>
          <w:szCs w:val="24"/>
        </w:rPr>
        <w:t>ILECs</w:t>
      </w:r>
      <w:proofErr w:type="spellEnd"/>
      <w:r>
        <w:rPr>
          <w:szCs w:val="24"/>
        </w:rPr>
        <w:t xml:space="preserve"> must pass a “simplified earnings review”</w:t>
      </w:r>
      <w:r>
        <w:rPr>
          <w:rStyle w:val="FootnoteReference"/>
          <w:szCs w:val="24"/>
        </w:rPr>
        <w:footnoteReference w:id="17"/>
      </w:r>
      <w:r>
        <w:rPr>
          <w:szCs w:val="24"/>
        </w:rPr>
        <w:t xml:space="preserve"> which is based only on regulated revenues.  The </w:t>
      </w:r>
      <w:proofErr w:type="spellStart"/>
      <w:r>
        <w:rPr>
          <w:szCs w:val="24"/>
        </w:rPr>
        <w:t>CLECs</w:t>
      </w:r>
      <w:proofErr w:type="spellEnd"/>
      <w:r>
        <w:rPr>
          <w:szCs w:val="24"/>
        </w:rPr>
        <w:t xml:space="preserve"> support the concept of an “earnings threshold” before a carrier can draw from a state universal service fund, but the </w:t>
      </w:r>
      <w:proofErr w:type="spellStart"/>
      <w:r>
        <w:rPr>
          <w:szCs w:val="24"/>
        </w:rPr>
        <w:t>CLECs</w:t>
      </w:r>
      <w:proofErr w:type="spellEnd"/>
      <w:r>
        <w:rPr>
          <w:szCs w:val="24"/>
        </w:rPr>
        <w:t xml:space="preserve"> believe that if a carrier is going to tax the end user customers of other carriers in the state of Washington, through universal service fund contributions, then </w:t>
      </w:r>
      <w:r w:rsidR="00F032D9" w:rsidRPr="00F032D9">
        <w:rPr>
          <w:b/>
          <w:szCs w:val="24"/>
        </w:rPr>
        <w:t>all</w:t>
      </w:r>
      <w:r>
        <w:rPr>
          <w:szCs w:val="24"/>
        </w:rPr>
        <w:t xml:space="preserve"> </w:t>
      </w:r>
      <w:proofErr w:type="spellStart"/>
      <w:r>
        <w:rPr>
          <w:szCs w:val="24"/>
        </w:rPr>
        <w:t>ILEC</w:t>
      </w:r>
      <w:proofErr w:type="spellEnd"/>
      <w:r>
        <w:rPr>
          <w:szCs w:val="24"/>
        </w:rPr>
        <w:t xml:space="preserve"> revenues should be considered as part of the threshold test for eligibility to draw from the fund.  Since non-regulated revenues, such as revenues from broadband offerings, have played some role in the reduction in access lines and access minutes, and these revenues are derived, in part, from the same network used to provide basic service to end user customers, the revenues generated from these services should be included.  Further, the ability to “promote and preserve a network which brings vitality into rural Washington,”</w:t>
      </w:r>
      <w:r>
        <w:rPr>
          <w:rStyle w:val="FootnoteReference"/>
          <w:szCs w:val="24"/>
        </w:rPr>
        <w:footnoteReference w:id="18"/>
      </w:r>
      <w:r>
        <w:rPr>
          <w:szCs w:val="24"/>
        </w:rPr>
        <w:t xml:space="preserve"> is not dependent solely upon regulated revenues received as a result of that network, but all revenues generated from that network.</w:t>
      </w:r>
    </w:p>
    <w:p w:rsidR="004A7D80" w:rsidRDefault="004A7D80" w:rsidP="00FB2066">
      <w:pPr>
        <w:pStyle w:val="Answer"/>
        <w:spacing w:after="0"/>
        <w:ind w:left="0" w:firstLine="720"/>
        <w:jc w:val="both"/>
        <w:rPr>
          <w:szCs w:val="24"/>
        </w:rPr>
      </w:pPr>
      <w:r>
        <w:rPr>
          <w:szCs w:val="24"/>
        </w:rPr>
        <w:lastRenderedPageBreak/>
        <w:t xml:space="preserve">The Small </w:t>
      </w:r>
      <w:proofErr w:type="spellStart"/>
      <w:r>
        <w:rPr>
          <w:szCs w:val="24"/>
        </w:rPr>
        <w:t>ILEC</w:t>
      </w:r>
      <w:proofErr w:type="spellEnd"/>
      <w:r>
        <w:rPr>
          <w:szCs w:val="24"/>
        </w:rPr>
        <w:t xml:space="preserve"> proposal further appears to carve out additional opportunities for state universal service funding through high cost support</w:t>
      </w:r>
      <w:r>
        <w:rPr>
          <w:rStyle w:val="FootnoteReference"/>
          <w:szCs w:val="24"/>
        </w:rPr>
        <w:footnoteReference w:id="19"/>
      </w:r>
      <w:r>
        <w:rPr>
          <w:szCs w:val="24"/>
        </w:rPr>
        <w:t xml:space="preserve">  This proposed provision would also allow the small </w:t>
      </w:r>
      <w:proofErr w:type="spellStart"/>
      <w:r>
        <w:rPr>
          <w:szCs w:val="24"/>
        </w:rPr>
        <w:t>ILECs</w:t>
      </w:r>
      <w:proofErr w:type="spellEnd"/>
      <w:r>
        <w:rPr>
          <w:szCs w:val="24"/>
        </w:rPr>
        <w:t xml:space="preserve"> the opportunity to request additional funding in high cost areas</w:t>
      </w:r>
      <w:r>
        <w:rPr>
          <w:rStyle w:val="FootnoteReference"/>
          <w:szCs w:val="24"/>
        </w:rPr>
        <w:footnoteReference w:id="20"/>
      </w:r>
      <w:r>
        <w:rPr>
          <w:szCs w:val="24"/>
        </w:rPr>
        <w:t xml:space="preserve">  without an “earnings threshold.”  Further, the high cost provision is proposed to be limited to “one supported carrier per area.”</w:t>
      </w:r>
      <w:r>
        <w:rPr>
          <w:rStyle w:val="FootnoteReference"/>
          <w:szCs w:val="24"/>
        </w:rPr>
        <w:footnoteReference w:id="21"/>
      </w:r>
      <w:r>
        <w:rPr>
          <w:szCs w:val="24"/>
        </w:rPr>
        <w:t xml:space="preserve">  The </w:t>
      </w:r>
      <w:proofErr w:type="spellStart"/>
      <w:r>
        <w:rPr>
          <w:szCs w:val="24"/>
        </w:rPr>
        <w:t>CLECs</w:t>
      </w:r>
      <w:proofErr w:type="spellEnd"/>
      <w:r>
        <w:rPr>
          <w:szCs w:val="24"/>
        </w:rPr>
        <w:t xml:space="preserve"> support limiting payments through a universal service fund, but believe that if multiple carriers are competing in a high cost area, then the Commission should first question whether high cost subsidies are necessary at all rather than selecting a single carrier to subsidize and thereby risk the elimination of competitive options, in effect, picking the winner.</w:t>
      </w:r>
    </w:p>
    <w:p w:rsidR="004A7D80" w:rsidRDefault="004A7D80" w:rsidP="00FB2066">
      <w:pPr>
        <w:pStyle w:val="Answer"/>
        <w:spacing w:after="0"/>
        <w:ind w:left="0" w:firstLine="720"/>
        <w:jc w:val="both"/>
        <w:rPr>
          <w:rFonts w:ascii="TimesNewRomanPS-BoldMT" w:hAnsi="TimesNewRomanPS-BoldMT" w:cs="TimesNewRomanPS-BoldMT"/>
          <w:bCs/>
          <w:szCs w:val="24"/>
        </w:rPr>
      </w:pPr>
      <w:r>
        <w:rPr>
          <w:szCs w:val="24"/>
        </w:rPr>
        <w:t xml:space="preserve">The Small </w:t>
      </w:r>
      <w:proofErr w:type="spellStart"/>
      <w:r>
        <w:rPr>
          <w:szCs w:val="24"/>
        </w:rPr>
        <w:t>ILEC</w:t>
      </w:r>
      <w:proofErr w:type="spellEnd"/>
      <w:r>
        <w:rPr>
          <w:szCs w:val="24"/>
        </w:rPr>
        <w:t xml:space="preserve"> proposal also has a section on the transition to broadband.</w:t>
      </w:r>
      <w:r>
        <w:rPr>
          <w:rStyle w:val="FootnoteReference"/>
          <w:szCs w:val="24"/>
        </w:rPr>
        <w:footnoteReference w:id="22"/>
      </w:r>
      <w:r>
        <w:rPr>
          <w:szCs w:val="24"/>
        </w:rPr>
        <w:t xml:space="preserve">  The </w:t>
      </w:r>
      <w:proofErr w:type="spellStart"/>
      <w:r>
        <w:rPr>
          <w:szCs w:val="24"/>
        </w:rPr>
        <w:t>CLECs</w:t>
      </w:r>
      <w:proofErr w:type="spellEnd"/>
      <w:r>
        <w:rPr>
          <w:szCs w:val="24"/>
        </w:rPr>
        <w:t xml:space="preserve"> are not opposed to broad legislation that gives the Commission the authority to define broadband goals</w:t>
      </w:r>
      <w:r>
        <w:rPr>
          <w:rStyle w:val="FootnoteReference"/>
          <w:szCs w:val="24"/>
        </w:rPr>
        <w:footnoteReference w:id="23"/>
      </w:r>
      <w:r>
        <w:rPr>
          <w:szCs w:val="24"/>
        </w:rPr>
        <w:t xml:space="preserve"> and create, if necessary, support mechanisms</w:t>
      </w:r>
      <w:r>
        <w:rPr>
          <w:rStyle w:val="FootnoteReference"/>
          <w:szCs w:val="24"/>
        </w:rPr>
        <w:footnoteReference w:id="24"/>
      </w:r>
      <w:r>
        <w:rPr>
          <w:szCs w:val="24"/>
        </w:rPr>
        <w:t xml:space="preserve"> for a transition to broadband in underserved areas.  However, broadband should not be blindly supported through a tax on the end users of telecommunications carriers without the clear determination of the benefit and need</w:t>
      </w:r>
      <w:r w:rsidR="00776F7E">
        <w:rPr>
          <w:szCs w:val="24"/>
        </w:rPr>
        <w:t xml:space="preserve"> </w:t>
      </w:r>
      <w:r>
        <w:rPr>
          <w:szCs w:val="24"/>
        </w:rPr>
        <w:t>for</w:t>
      </w:r>
      <w:r w:rsidR="00776F7E">
        <w:rPr>
          <w:szCs w:val="24"/>
        </w:rPr>
        <w:t xml:space="preserve"> </w:t>
      </w:r>
      <w:r>
        <w:rPr>
          <w:szCs w:val="24"/>
        </w:rPr>
        <w:t xml:space="preserve">such a tax.   </w:t>
      </w:r>
      <w:r>
        <w:rPr>
          <w:rFonts w:ascii="TimesNewRomanPS-BoldMT" w:hAnsi="TimesNewRomanPS-BoldMT" w:cs="TimesNewRomanPS-BoldMT"/>
          <w:bCs/>
          <w:szCs w:val="24"/>
        </w:rPr>
        <w:t xml:space="preserve">The Federal Communications Commission’s (“FCC’s”) National Broadband Plan outlines the FCC’s intention to dramatically reform Federal Universal Service goals and funding as well as the current </w:t>
      </w:r>
      <w:proofErr w:type="spellStart"/>
      <w:r>
        <w:rPr>
          <w:rFonts w:ascii="TimesNewRomanPS-BoldMT" w:hAnsi="TimesNewRomanPS-BoldMT" w:cs="TimesNewRomanPS-BoldMT"/>
          <w:bCs/>
          <w:szCs w:val="24"/>
        </w:rPr>
        <w:t>intercarrier</w:t>
      </w:r>
      <w:proofErr w:type="spellEnd"/>
      <w:r>
        <w:rPr>
          <w:rFonts w:ascii="TimesNewRomanPS-BoldMT" w:hAnsi="TimesNewRomanPS-BoldMT" w:cs="TimesNewRomanPS-BoldMT"/>
          <w:bCs/>
          <w:szCs w:val="24"/>
        </w:rPr>
        <w:t xml:space="preserve"> compensation (“ICC”) mechanism.</w:t>
      </w:r>
      <w:r>
        <w:rPr>
          <w:rStyle w:val="FootnoteReference"/>
          <w:rFonts w:ascii="TimesNewRomanPS-BoldMT" w:hAnsi="TimesNewRomanPS-BoldMT" w:cs="TimesNewRomanPS-BoldMT"/>
          <w:bCs/>
          <w:szCs w:val="24"/>
        </w:rPr>
        <w:footnoteReference w:id="25"/>
      </w:r>
      <w:r>
        <w:rPr>
          <w:rFonts w:ascii="TimesNewRomanPS-BoldMT" w:hAnsi="TimesNewRomanPS-BoldMT" w:cs="TimesNewRomanPS-BoldMT"/>
          <w:bCs/>
          <w:szCs w:val="24"/>
        </w:rPr>
        <w:t xml:space="preserve">  Since the </w:t>
      </w:r>
      <w:proofErr w:type="spellStart"/>
      <w:r>
        <w:rPr>
          <w:rFonts w:ascii="TimesNewRomanPS-BoldMT" w:hAnsi="TimesNewRomanPS-BoldMT" w:cs="TimesNewRomanPS-BoldMT"/>
          <w:bCs/>
          <w:szCs w:val="24"/>
        </w:rPr>
        <w:t>WITA</w:t>
      </w:r>
      <w:proofErr w:type="spellEnd"/>
      <w:r>
        <w:rPr>
          <w:rFonts w:ascii="TimesNewRomanPS-BoldMT" w:hAnsi="TimesNewRomanPS-BoldMT" w:cs="TimesNewRomanPS-BoldMT"/>
          <w:bCs/>
          <w:szCs w:val="24"/>
        </w:rPr>
        <w:t xml:space="preserve"> </w:t>
      </w:r>
      <w:r w:rsidRPr="00776F7E">
        <w:rPr>
          <w:rFonts w:ascii="TimesNewRomanPS-BoldMT" w:hAnsi="TimesNewRomanPS-BoldMT" w:cs="TimesNewRomanPS-BoldMT"/>
          <w:bCs/>
          <w:i/>
          <w:szCs w:val="24"/>
        </w:rPr>
        <w:t>USF Concept Paper</w:t>
      </w:r>
      <w:r>
        <w:rPr>
          <w:rFonts w:ascii="TimesNewRomanPS-BoldMT" w:hAnsi="TimesNewRomanPS-BoldMT" w:cs="TimesNewRomanPS-BoldMT"/>
          <w:bCs/>
          <w:szCs w:val="24"/>
        </w:rPr>
        <w:t xml:space="preserve"> contemplates a broadband transition that takes place over ten years after </w:t>
      </w:r>
      <w:r>
        <w:rPr>
          <w:rFonts w:ascii="TimesNewRomanPS-BoldMT" w:hAnsi="TimesNewRomanPS-BoldMT" w:cs="TimesNewRomanPS-BoldMT"/>
          <w:bCs/>
          <w:szCs w:val="24"/>
        </w:rPr>
        <w:lastRenderedPageBreak/>
        <w:t>access reform is complete,</w:t>
      </w:r>
      <w:r>
        <w:rPr>
          <w:rStyle w:val="FootnoteReference"/>
          <w:szCs w:val="24"/>
        </w:rPr>
        <w:footnoteReference w:id="26"/>
      </w:r>
      <w:r>
        <w:rPr>
          <w:rFonts w:ascii="TimesNewRomanPS-BoldMT" w:hAnsi="TimesNewRomanPS-BoldMT" w:cs="TimesNewRomanPS-BoldMT"/>
          <w:bCs/>
          <w:szCs w:val="24"/>
        </w:rPr>
        <w:t xml:space="preserve"> it does not make sense to develop the details of how a broadband support fund would work while these issues are still under consideration at the federal level.</w:t>
      </w:r>
    </w:p>
    <w:p w:rsidR="004A7D80" w:rsidRDefault="004A7D80" w:rsidP="00FB2066">
      <w:pPr>
        <w:pStyle w:val="Answer"/>
        <w:spacing w:after="0"/>
        <w:ind w:left="0" w:firstLine="720"/>
        <w:jc w:val="both"/>
        <w:rPr>
          <w:rFonts w:ascii="TimesNewRomanPS-BoldMT" w:hAnsi="TimesNewRomanPS-BoldMT" w:cs="TimesNewRomanPS-BoldMT"/>
          <w:b/>
          <w:bCs/>
          <w:i/>
          <w:szCs w:val="24"/>
        </w:rPr>
      </w:pPr>
    </w:p>
    <w:p w:rsidR="004A7D80" w:rsidRDefault="004A7D80" w:rsidP="00FB2066">
      <w:pPr>
        <w:pStyle w:val="Answer"/>
        <w:spacing w:after="0"/>
        <w:ind w:left="0" w:firstLine="720"/>
        <w:jc w:val="both"/>
        <w:rPr>
          <w:rFonts w:ascii="TimesNewRomanPS-BoldMT" w:hAnsi="TimesNewRomanPS-BoldMT" w:cs="TimesNewRomanPS-BoldMT"/>
          <w:b/>
          <w:bCs/>
          <w:i/>
          <w:szCs w:val="24"/>
        </w:rPr>
      </w:pPr>
      <w:r>
        <w:rPr>
          <w:rFonts w:ascii="TimesNewRomanPS-BoldMT" w:hAnsi="TimesNewRomanPS-BoldMT" w:cs="TimesNewRomanPS-BoldMT"/>
          <w:b/>
          <w:bCs/>
          <w:i/>
          <w:szCs w:val="24"/>
        </w:rPr>
        <w:t xml:space="preserve">Large </w:t>
      </w:r>
      <w:proofErr w:type="spellStart"/>
      <w:r>
        <w:rPr>
          <w:rFonts w:ascii="TimesNewRomanPS-BoldMT" w:hAnsi="TimesNewRomanPS-BoldMT" w:cs="TimesNewRomanPS-BoldMT"/>
          <w:b/>
          <w:bCs/>
          <w:i/>
          <w:szCs w:val="24"/>
        </w:rPr>
        <w:t>ILECs</w:t>
      </w:r>
      <w:proofErr w:type="spellEnd"/>
    </w:p>
    <w:p w:rsidR="004A7D80" w:rsidRDefault="004A7D80" w:rsidP="00FB2066">
      <w:pPr>
        <w:pStyle w:val="Answer"/>
        <w:spacing w:after="0"/>
        <w:ind w:left="0" w:firstLine="720"/>
        <w:jc w:val="both"/>
        <w:rPr>
          <w:szCs w:val="24"/>
        </w:rPr>
      </w:pPr>
      <w:r>
        <w:rPr>
          <w:szCs w:val="24"/>
        </w:rPr>
        <w:t xml:space="preserve">The </w:t>
      </w:r>
      <w:proofErr w:type="spellStart"/>
      <w:r>
        <w:rPr>
          <w:szCs w:val="24"/>
        </w:rPr>
        <w:t>CLECs</w:t>
      </w:r>
      <w:proofErr w:type="spellEnd"/>
      <w:r>
        <w:rPr>
          <w:szCs w:val="24"/>
        </w:rPr>
        <w:t xml:space="preserve"> generally object to all of the proposals concerning the creating of state universal service funding of large </w:t>
      </w:r>
      <w:proofErr w:type="spellStart"/>
      <w:r>
        <w:rPr>
          <w:szCs w:val="24"/>
        </w:rPr>
        <w:t>ILEC</w:t>
      </w:r>
      <w:proofErr w:type="spellEnd"/>
      <w:r>
        <w:rPr>
          <w:szCs w:val="24"/>
        </w:rPr>
        <w:t xml:space="preserve"> local or broadband networks.  First, it is not clear that a state universal service fund is necessary or that mandated reform is even desirable.  Second, the benefits of rushing ahead of FCC reform on universal service and </w:t>
      </w:r>
      <w:proofErr w:type="spellStart"/>
      <w:r>
        <w:rPr>
          <w:szCs w:val="24"/>
        </w:rPr>
        <w:t>intercarrier</w:t>
      </w:r>
      <w:proofErr w:type="spellEnd"/>
      <w:r>
        <w:rPr>
          <w:szCs w:val="24"/>
        </w:rPr>
        <w:t xml:space="preserve"> compensation are unclear.</w:t>
      </w:r>
    </w:p>
    <w:p w:rsidR="004A7D80" w:rsidRDefault="004A7D80" w:rsidP="00FB2066">
      <w:pPr>
        <w:pStyle w:val="Answer"/>
        <w:spacing w:after="0"/>
        <w:ind w:left="0" w:firstLine="720"/>
        <w:jc w:val="both"/>
        <w:rPr>
          <w:szCs w:val="24"/>
        </w:rPr>
      </w:pPr>
      <w:r>
        <w:rPr>
          <w:szCs w:val="24"/>
        </w:rPr>
        <w:t xml:space="preserve">The large </w:t>
      </w:r>
      <w:proofErr w:type="spellStart"/>
      <w:r>
        <w:rPr>
          <w:szCs w:val="24"/>
        </w:rPr>
        <w:t>ILEC</w:t>
      </w:r>
      <w:proofErr w:type="spellEnd"/>
      <w:r>
        <w:rPr>
          <w:szCs w:val="24"/>
        </w:rPr>
        <w:t xml:space="preserve"> proposals of </w:t>
      </w:r>
      <w:proofErr w:type="spellStart"/>
      <w:r>
        <w:rPr>
          <w:szCs w:val="24"/>
        </w:rPr>
        <w:t>WITA’s</w:t>
      </w:r>
      <w:proofErr w:type="spellEnd"/>
      <w:r>
        <w:rPr>
          <w:szCs w:val="24"/>
        </w:rPr>
        <w:t xml:space="preserve"> </w:t>
      </w:r>
      <w:r w:rsidR="00F032D9" w:rsidRPr="00F032D9">
        <w:rPr>
          <w:i/>
          <w:szCs w:val="24"/>
        </w:rPr>
        <w:t xml:space="preserve">USF Concept </w:t>
      </w:r>
      <w:proofErr w:type="gramStart"/>
      <w:r w:rsidR="00F032D9" w:rsidRPr="00F032D9">
        <w:rPr>
          <w:i/>
          <w:szCs w:val="24"/>
        </w:rPr>
        <w:t>Paper</w:t>
      </w:r>
      <w:r>
        <w:rPr>
          <w:szCs w:val="24"/>
        </w:rPr>
        <w:t>,</w:t>
      </w:r>
      <w:proofErr w:type="gramEnd"/>
      <w:r>
        <w:rPr>
          <w:szCs w:val="24"/>
        </w:rPr>
        <w:t xml:space="preserve"> are broken into two phases.  The first phase creates funding for high cost areas through the use of an undefined forward looking cost model, capable of producing accurate cost estimates at the sub-wire center level.</w:t>
      </w:r>
      <w:r>
        <w:rPr>
          <w:rStyle w:val="FootnoteReference"/>
          <w:szCs w:val="24"/>
        </w:rPr>
        <w:footnoteReference w:id="27"/>
      </w:r>
      <w:r>
        <w:rPr>
          <w:szCs w:val="24"/>
        </w:rPr>
        <w:t xml:space="preserve">  </w:t>
      </w:r>
      <w:r w:rsidRPr="00DA3158">
        <w:rPr>
          <w:szCs w:val="24"/>
        </w:rPr>
        <w:t>High cost areas are defined as “service areas where forward-looking cost per line is greater than $45 per month or in the alternative exceeds any national benchmark established through a federal USF/national broadband proceeding.”</w:t>
      </w:r>
      <w:r>
        <w:rPr>
          <w:rStyle w:val="FootnoteReference"/>
          <w:szCs w:val="24"/>
        </w:rPr>
        <w:footnoteReference w:id="28"/>
      </w:r>
      <w:r w:rsidRPr="00DA3158">
        <w:rPr>
          <w:szCs w:val="24"/>
        </w:rPr>
        <w:t xml:space="preserve"> </w:t>
      </w:r>
      <w:r>
        <w:rPr>
          <w:szCs w:val="24"/>
        </w:rPr>
        <w:t xml:space="preserve"> As with the small </w:t>
      </w:r>
      <w:proofErr w:type="spellStart"/>
      <w:r>
        <w:rPr>
          <w:szCs w:val="24"/>
        </w:rPr>
        <w:t>ILEC</w:t>
      </w:r>
      <w:proofErr w:type="spellEnd"/>
      <w:r>
        <w:rPr>
          <w:szCs w:val="24"/>
        </w:rPr>
        <w:t xml:space="preserve"> proposal, the fund is essentially an access revenue replacement fund</w:t>
      </w:r>
      <w:r>
        <w:rPr>
          <w:rStyle w:val="FootnoteReference"/>
          <w:szCs w:val="24"/>
        </w:rPr>
        <w:footnoteReference w:id="29"/>
      </w:r>
      <w:r>
        <w:rPr>
          <w:szCs w:val="24"/>
        </w:rPr>
        <w:t xml:space="preserve"> though support is targeted to specific geographic areas and, in theory, available to all carriers serving that area.</w:t>
      </w:r>
      <w:r>
        <w:rPr>
          <w:rStyle w:val="FootnoteReference"/>
          <w:szCs w:val="24"/>
        </w:rPr>
        <w:footnoteReference w:id="30"/>
      </w:r>
      <w:r>
        <w:rPr>
          <w:szCs w:val="24"/>
        </w:rPr>
        <w:t xml:space="preserve">  In addition, the Phase 1 proposal would automatically classify low-cost areas with alternative providers as competitive.</w:t>
      </w:r>
      <w:r>
        <w:rPr>
          <w:rStyle w:val="FootnoteReference"/>
          <w:szCs w:val="24"/>
        </w:rPr>
        <w:footnoteReference w:id="31"/>
      </w:r>
      <w:r>
        <w:rPr>
          <w:szCs w:val="24"/>
        </w:rPr>
        <w:t xml:space="preserve">  Phase 2 is the implementation of a broadband fund based on a technologically neutral, forward looking, </w:t>
      </w:r>
      <w:r>
        <w:rPr>
          <w:szCs w:val="24"/>
        </w:rPr>
        <w:lastRenderedPageBreak/>
        <w:t xml:space="preserve">carrier specific, </w:t>
      </w:r>
      <w:proofErr w:type="gramStart"/>
      <w:r>
        <w:rPr>
          <w:szCs w:val="24"/>
        </w:rPr>
        <w:t>cost</w:t>
      </w:r>
      <w:proofErr w:type="gramEnd"/>
      <w:r>
        <w:rPr>
          <w:szCs w:val="24"/>
        </w:rPr>
        <w:t xml:space="preserve"> model.</w:t>
      </w:r>
      <w:r>
        <w:rPr>
          <w:rStyle w:val="FootnoteReference"/>
          <w:szCs w:val="24"/>
        </w:rPr>
        <w:footnoteReference w:id="32"/>
      </w:r>
      <w:r>
        <w:rPr>
          <w:szCs w:val="24"/>
        </w:rPr>
        <w:t xml:space="preserve">  Funding will be available to a single carrier of last resort</w:t>
      </w:r>
      <w:r>
        <w:rPr>
          <w:rStyle w:val="FootnoteReference"/>
          <w:szCs w:val="24"/>
        </w:rPr>
        <w:footnoteReference w:id="33"/>
      </w:r>
      <w:r>
        <w:rPr>
          <w:szCs w:val="24"/>
        </w:rPr>
        <w:t xml:space="preserve"> and in this phase, rate of return regulation will be eliminated and replaced with stream lined regulatory protection rules, which are yet to be identified or implemented.</w:t>
      </w:r>
      <w:r>
        <w:rPr>
          <w:rStyle w:val="FootnoteReference"/>
          <w:szCs w:val="24"/>
        </w:rPr>
        <w:footnoteReference w:id="34"/>
      </w:r>
      <w:r>
        <w:rPr>
          <w:szCs w:val="24"/>
        </w:rPr>
        <w:t xml:space="preserve">  As with the Phase 1 proposal, low-cost areas with alternative providers would automatically be classified as competitive.</w:t>
      </w:r>
    </w:p>
    <w:p w:rsidR="004A7D80" w:rsidRDefault="004A7D80" w:rsidP="00FB2066">
      <w:pPr>
        <w:pStyle w:val="Answer"/>
        <w:spacing w:after="0"/>
        <w:ind w:left="0" w:firstLine="720"/>
        <w:jc w:val="both"/>
        <w:rPr>
          <w:szCs w:val="24"/>
        </w:rPr>
      </w:pPr>
      <w:r>
        <w:rPr>
          <w:szCs w:val="24"/>
        </w:rPr>
        <w:t xml:space="preserve">Frontier, one of the large </w:t>
      </w:r>
      <w:proofErr w:type="spellStart"/>
      <w:r>
        <w:rPr>
          <w:szCs w:val="24"/>
        </w:rPr>
        <w:t>ILECs</w:t>
      </w:r>
      <w:proofErr w:type="spellEnd"/>
      <w:r>
        <w:rPr>
          <w:szCs w:val="24"/>
        </w:rPr>
        <w:t>, recognizes the “challenge of balancing affordable voice and broadband services in high-cost areas without creating either market distortions or an onerous burden on other customers in the state.”</w:t>
      </w:r>
      <w:r>
        <w:rPr>
          <w:rStyle w:val="FootnoteReference"/>
          <w:szCs w:val="24"/>
        </w:rPr>
        <w:footnoteReference w:id="35"/>
      </w:r>
      <w:r>
        <w:rPr>
          <w:szCs w:val="24"/>
        </w:rPr>
        <w:t xml:space="preserve">  Qwest states, “[a]t this time, intrastate access reform does not need to be addressed in order to ensure universal service.”</w:t>
      </w:r>
      <w:r>
        <w:rPr>
          <w:rStyle w:val="FootnoteReference"/>
          <w:szCs w:val="24"/>
        </w:rPr>
        <w:footnoteReference w:id="36"/>
      </w:r>
      <w:r>
        <w:rPr>
          <w:szCs w:val="24"/>
        </w:rPr>
        <w:t xml:space="preserve">  Frontier suggests, “</w:t>
      </w:r>
      <w:proofErr w:type="gramStart"/>
      <w:r>
        <w:rPr>
          <w:szCs w:val="24"/>
        </w:rPr>
        <w:t>a</w:t>
      </w:r>
      <w:proofErr w:type="gramEnd"/>
      <w:r>
        <w:rPr>
          <w:szCs w:val="24"/>
        </w:rPr>
        <w:t xml:space="preserve"> practical approach for carriers to stabilize revenues would be to give carriers the option of rebalancing switched access charges and basic service rates.”</w:t>
      </w:r>
      <w:r>
        <w:rPr>
          <w:rStyle w:val="FootnoteReference"/>
          <w:szCs w:val="24"/>
        </w:rPr>
        <w:footnoteReference w:id="37"/>
      </w:r>
      <w:r>
        <w:rPr>
          <w:szCs w:val="24"/>
        </w:rPr>
        <w:t xml:space="preserve"> Frontier further notes that these actions should not be mandated as carriers “can determine for themselves whether rebalancing would be helpful.”</w:t>
      </w:r>
      <w:r>
        <w:rPr>
          <w:rStyle w:val="FootnoteReference"/>
          <w:szCs w:val="24"/>
        </w:rPr>
        <w:footnoteReference w:id="38"/>
      </w:r>
      <w:r>
        <w:rPr>
          <w:szCs w:val="24"/>
        </w:rPr>
        <w:t xml:space="preserve">  Qwest also suggests access revenue can be replaced by “local rate increases without an earnings review.”</w:t>
      </w:r>
      <w:r>
        <w:rPr>
          <w:rStyle w:val="FootnoteReference"/>
          <w:szCs w:val="24"/>
        </w:rPr>
        <w:footnoteReference w:id="39"/>
      </w:r>
      <w:r>
        <w:rPr>
          <w:szCs w:val="24"/>
        </w:rPr>
        <w:t xml:space="preserve">  </w:t>
      </w:r>
      <w:r w:rsidR="00F032D9" w:rsidRPr="0065558D">
        <w:rPr>
          <w:szCs w:val="24"/>
        </w:rPr>
        <w:t xml:space="preserve">Neither Frontier nor Qwest appear to be calling for a state universal service fund for large </w:t>
      </w:r>
      <w:proofErr w:type="spellStart"/>
      <w:r w:rsidR="00F032D9" w:rsidRPr="0065558D">
        <w:rPr>
          <w:szCs w:val="24"/>
        </w:rPr>
        <w:t>ILECs</w:t>
      </w:r>
      <w:proofErr w:type="spellEnd"/>
      <w:r w:rsidR="00F032D9" w:rsidRPr="0065558D">
        <w:rPr>
          <w:szCs w:val="24"/>
        </w:rPr>
        <w:t xml:space="preserve"> at this time.  The </w:t>
      </w:r>
      <w:proofErr w:type="spellStart"/>
      <w:r w:rsidR="00F032D9" w:rsidRPr="0065558D">
        <w:rPr>
          <w:szCs w:val="24"/>
        </w:rPr>
        <w:t>CLECs</w:t>
      </w:r>
      <w:proofErr w:type="spellEnd"/>
      <w:r w:rsidR="00F032D9" w:rsidRPr="0065558D">
        <w:rPr>
          <w:szCs w:val="24"/>
        </w:rPr>
        <w:t xml:space="preserve"> also see no reason to move ahead on access reform, the creation of a state USF for large </w:t>
      </w:r>
      <w:proofErr w:type="spellStart"/>
      <w:r w:rsidR="00F032D9" w:rsidRPr="0065558D">
        <w:rPr>
          <w:szCs w:val="24"/>
        </w:rPr>
        <w:t>ILECs</w:t>
      </w:r>
      <w:proofErr w:type="spellEnd"/>
      <w:r w:rsidR="00F032D9" w:rsidRPr="0065558D">
        <w:rPr>
          <w:szCs w:val="24"/>
        </w:rPr>
        <w:t>, or a detailed broadband plan at this time.</w:t>
      </w:r>
    </w:p>
    <w:p w:rsidR="004A7D80" w:rsidRDefault="004A7D80" w:rsidP="00FB2066">
      <w:pPr>
        <w:pStyle w:val="Answer"/>
        <w:spacing w:after="0"/>
        <w:ind w:left="0" w:firstLine="720"/>
        <w:jc w:val="both"/>
        <w:rPr>
          <w:szCs w:val="24"/>
        </w:rPr>
      </w:pPr>
      <w:r>
        <w:rPr>
          <w:szCs w:val="24"/>
        </w:rPr>
        <w:t xml:space="preserve">The </w:t>
      </w:r>
      <w:proofErr w:type="spellStart"/>
      <w:r>
        <w:rPr>
          <w:szCs w:val="24"/>
        </w:rPr>
        <w:t>CLECs</w:t>
      </w:r>
      <w:proofErr w:type="spellEnd"/>
      <w:r>
        <w:rPr>
          <w:szCs w:val="24"/>
        </w:rPr>
        <w:t xml:space="preserve"> also believe it is premature and inefficient for the Commission or legislature to take any further substantive steps regarding access charge or universal service reform, </w:t>
      </w:r>
      <w:r>
        <w:rPr>
          <w:szCs w:val="24"/>
        </w:rPr>
        <w:lastRenderedPageBreak/>
        <w:t xml:space="preserve">especially for large </w:t>
      </w:r>
      <w:proofErr w:type="spellStart"/>
      <w:r>
        <w:rPr>
          <w:szCs w:val="24"/>
        </w:rPr>
        <w:t>ILECs</w:t>
      </w:r>
      <w:proofErr w:type="spellEnd"/>
      <w:r>
        <w:rPr>
          <w:szCs w:val="24"/>
        </w:rPr>
        <w:t xml:space="preserve">, at this time.  The FCC has issued its National Broadband Plan, which will likely modify the landscape of universal service and </w:t>
      </w:r>
      <w:proofErr w:type="spellStart"/>
      <w:r>
        <w:rPr>
          <w:szCs w:val="24"/>
        </w:rPr>
        <w:t>intercarrier</w:t>
      </w:r>
      <w:proofErr w:type="spellEnd"/>
      <w:r>
        <w:rPr>
          <w:szCs w:val="24"/>
        </w:rPr>
        <w:t xml:space="preserve"> compensation such as access charges.  The FCC has set a detailed schedule for this reform and is already moving forward with rulemakings and other proceedings.  Given the proposed scope of the FCC National Broadband Plan, it does not make sense for Washington to devote resources to legislation, rulemakings or other proceedings that may be contrary to, or incompatible with, the Plan and its resulting federal rules and programs.  Frontier and Qwest also point out that moving ahead of the FCC on these issues may be unwise.  Frontier notes that the </w:t>
      </w:r>
      <w:proofErr w:type="gramStart"/>
      <w:r>
        <w:rPr>
          <w:szCs w:val="24"/>
        </w:rPr>
        <w:t>FCC,</w:t>
      </w:r>
      <w:proofErr w:type="gramEnd"/>
      <w:r>
        <w:rPr>
          <w:szCs w:val="24"/>
        </w:rPr>
        <w:t xml:space="preserve"> “is exploring access reform which may ultimately impact not only interstate access rates but may also affect state oversight of intrastate access rates.”</w:t>
      </w:r>
      <w:r>
        <w:rPr>
          <w:rStyle w:val="FootnoteReference"/>
          <w:szCs w:val="24"/>
        </w:rPr>
        <w:footnoteReference w:id="40"/>
      </w:r>
      <w:r>
        <w:rPr>
          <w:szCs w:val="24"/>
        </w:rPr>
        <w:t xml:space="preserve">  Qwest notes that the “FCC has not yet described how its plans affect intrastate access reform… so immediate state action may not be complementary to the reform plans the FCC proposes and may even be </w:t>
      </w:r>
      <w:proofErr w:type="spellStart"/>
      <w:r>
        <w:rPr>
          <w:szCs w:val="24"/>
        </w:rPr>
        <w:t>counter productive</w:t>
      </w:r>
      <w:proofErr w:type="spellEnd"/>
      <w:r>
        <w:rPr>
          <w:szCs w:val="24"/>
        </w:rPr>
        <w:t xml:space="preserve"> when combined with FCC reforms.”</w:t>
      </w:r>
      <w:r>
        <w:rPr>
          <w:rStyle w:val="FootnoteReference"/>
          <w:szCs w:val="24"/>
        </w:rPr>
        <w:footnoteReference w:id="41"/>
      </w:r>
      <w:r>
        <w:rPr>
          <w:szCs w:val="24"/>
        </w:rPr>
        <w:t xml:space="preserve">  Public Counsel also recognizes that it “would be premature to design a state universal service fund based on the National Broadband Plan.”</w:t>
      </w:r>
      <w:r>
        <w:rPr>
          <w:rStyle w:val="FootnoteReference"/>
          <w:szCs w:val="24"/>
        </w:rPr>
        <w:footnoteReference w:id="42"/>
      </w:r>
    </w:p>
    <w:p w:rsidR="004A7D80" w:rsidRDefault="004A7D80" w:rsidP="006975A0">
      <w:pPr>
        <w:pStyle w:val="Answer"/>
        <w:spacing w:after="0"/>
        <w:ind w:left="0" w:firstLine="720"/>
        <w:jc w:val="both"/>
        <w:rPr>
          <w:szCs w:val="24"/>
        </w:rPr>
      </w:pPr>
      <w:r>
        <w:rPr>
          <w:szCs w:val="24"/>
        </w:rPr>
        <w:t xml:space="preserve">Besides these many </w:t>
      </w:r>
      <w:proofErr w:type="gramStart"/>
      <w:r>
        <w:rPr>
          <w:szCs w:val="24"/>
        </w:rPr>
        <w:t>compelling  reasons</w:t>
      </w:r>
      <w:proofErr w:type="gramEnd"/>
      <w:r>
        <w:rPr>
          <w:szCs w:val="24"/>
        </w:rPr>
        <w:t xml:space="preserve"> not to move ahead with the creation of a state universal service fund for large </w:t>
      </w:r>
      <w:proofErr w:type="spellStart"/>
      <w:r>
        <w:rPr>
          <w:szCs w:val="24"/>
        </w:rPr>
        <w:t>ILECs</w:t>
      </w:r>
      <w:proofErr w:type="spellEnd"/>
      <w:r>
        <w:rPr>
          <w:szCs w:val="24"/>
        </w:rPr>
        <w:t xml:space="preserve">, </w:t>
      </w:r>
      <w:proofErr w:type="spellStart"/>
      <w:r>
        <w:rPr>
          <w:szCs w:val="24"/>
        </w:rPr>
        <w:t>CLECs</w:t>
      </w:r>
      <w:proofErr w:type="spellEnd"/>
      <w:r>
        <w:rPr>
          <w:szCs w:val="24"/>
        </w:rPr>
        <w:t xml:space="preserve"> have other concerns with </w:t>
      </w:r>
      <w:proofErr w:type="spellStart"/>
      <w:r>
        <w:rPr>
          <w:szCs w:val="24"/>
        </w:rPr>
        <w:t>WITA’s</w:t>
      </w:r>
      <w:proofErr w:type="spellEnd"/>
      <w:r>
        <w:rPr>
          <w:szCs w:val="24"/>
        </w:rPr>
        <w:t xml:space="preserve"> </w:t>
      </w:r>
      <w:r w:rsidRPr="00291824">
        <w:rPr>
          <w:i/>
          <w:szCs w:val="24"/>
        </w:rPr>
        <w:t>USF Concept Paper</w:t>
      </w:r>
      <w:r>
        <w:rPr>
          <w:szCs w:val="24"/>
        </w:rPr>
        <w:t xml:space="preserve">.  The basis for a $45 per month high cost definition is unclear and to the extent a state fund is established by the Commission for large </w:t>
      </w:r>
      <w:proofErr w:type="spellStart"/>
      <w:r>
        <w:rPr>
          <w:szCs w:val="24"/>
        </w:rPr>
        <w:t>LECs</w:t>
      </w:r>
      <w:proofErr w:type="spellEnd"/>
      <w:r>
        <w:rPr>
          <w:szCs w:val="24"/>
        </w:rPr>
        <w:t xml:space="preserve">, the definition of a high cost area should be left to the Commission.  The </w:t>
      </w:r>
      <w:proofErr w:type="spellStart"/>
      <w:r>
        <w:rPr>
          <w:szCs w:val="24"/>
        </w:rPr>
        <w:t>WITA</w:t>
      </w:r>
      <w:proofErr w:type="spellEnd"/>
      <w:r>
        <w:rPr>
          <w:szCs w:val="24"/>
        </w:rPr>
        <w:t xml:space="preserve"> </w:t>
      </w:r>
      <w:r w:rsidRPr="00776F7E">
        <w:rPr>
          <w:i/>
          <w:szCs w:val="24"/>
        </w:rPr>
        <w:t>USF Concept Paper</w:t>
      </w:r>
      <w:r>
        <w:rPr>
          <w:szCs w:val="24"/>
        </w:rPr>
        <w:t xml:space="preserve"> does not identify where the time, effort and cost for the creation of a technologically neutral, forward-looking cost model capable </w:t>
      </w:r>
      <w:r>
        <w:rPr>
          <w:szCs w:val="24"/>
        </w:rPr>
        <w:lastRenderedPageBreak/>
        <w:t xml:space="preserve">of producing accurate sub wire center cost estimates will come from.  From the </w:t>
      </w:r>
      <w:proofErr w:type="spellStart"/>
      <w:r>
        <w:rPr>
          <w:szCs w:val="24"/>
        </w:rPr>
        <w:t>CLECs</w:t>
      </w:r>
      <w:proofErr w:type="spellEnd"/>
      <w:r>
        <w:rPr>
          <w:szCs w:val="24"/>
        </w:rPr>
        <w:t xml:space="preserve"> perspective it appears unwise to subsidize a single carrier in a high cost area when multiple carriers are willing to compete for customers.  This does not further competition, but instead can effectively eliminate all but a single player from the market.  In addition, the </w:t>
      </w:r>
      <w:proofErr w:type="spellStart"/>
      <w:r>
        <w:rPr>
          <w:szCs w:val="24"/>
        </w:rPr>
        <w:t>CLECs</w:t>
      </w:r>
      <w:proofErr w:type="spellEnd"/>
      <w:r>
        <w:rPr>
          <w:szCs w:val="24"/>
        </w:rPr>
        <w:t xml:space="preserve"> are wary of an automatic competitive classification for certain areas in the state.  This designation should be determined as the result of a market specific detailed analysis by the Commission involving the carriers potentially impacted by this classification.  Finally, </w:t>
      </w:r>
      <w:proofErr w:type="spellStart"/>
      <w:r>
        <w:rPr>
          <w:szCs w:val="24"/>
        </w:rPr>
        <w:t>CLECs</w:t>
      </w:r>
      <w:proofErr w:type="spellEnd"/>
      <w:r>
        <w:rPr>
          <w:szCs w:val="24"/>
        </w:rPr>
        <w:t xml:space="preserve"> are opposed to using a state universal service fund to finance access revenue reductions, especially if access reductions are going to be advocated to apply to </w:t>
      </w:r>
      <w:proofErr w:type="spellStart"/>
      <w:r>
        <w:rPr>
          <w:szCs w:val="24"/>
        </w:rPr>
        <w:t>CLECs</w:t>
      </w:r>
      <w:proofErr w:type="spellEnd"/>
      <w:r>
        <w:rPr>
          <w:szCs w:val="24"/>
        </w:rPr>
        <w:t xml:space="preserve">.  </w:t>
      </w:r>
      <w:proofErr w:type="spellStart"/>
      <w:r>
        <w:rPr>
          <w:szCs w:val="24"/>
        </w:rPr>
        <w:t>CLECs</w:t>
      </w:r>
      <w:proofErr w:type="spellEnd"/>
      <w:r>
        <w:rPr>
          <w:szCs w:val="24"/>
        </w:rPr>
        <w:t xml:space="preserve"> traditionally do not have the ability to draw from a revenue “make whole” fund. It would be inappropriate to create a revenue “make whole” mechanism that protects the revenues of only a subset of carriers in the state.  Finally, </w:t>
      </w:r>
      <w:proofErr w:type="spellStart"/>
      <w:r>
        <w:rPr>
          <w:szCs w:val="24"/>
        </w:rPr>
        <w:t>CLECs</w:t>
      </w:r>
      <w:proofErr w:type="spellEnd"/>
      <w:r>
        <w:rPr>
          <w:szCs w:val="24"/>
        </w:rPr>
        <w:t xml:space="preserve"> have concerns with the creation of a fund for the large </w:t>
      </w:r>
      <w:proofErr w:type="spellStart"/>
      <w:r>
        <w:rPr>
          <w:szCs w:val="24"/>
        </w:rPr>
        <w:t>ILECs</w:t>
      </w:r>
      <w:proofErr w:type="spellEnd"/>
      <w:r>
        <w:rPr>
          <w:szCs w:val="24"/>
        </w:rPr>
        <w:t xml:space="preserve"> in Washington as these </w:t>
      </w:r>
      <w:proofErr w:type="spellStart"/>
      <w:r>
        <w:rPr>
          <w:szCs w:val="24"/>
        </w:rPr>
        <w:t>ILECs</w:t>
      </w:r>
      <w:proofErr w:type="spellEnd"/>
      <w:r>
        <w:rPr>
          <w:szCs w:val="24"/>
        </w:rPr>
        <w:t xml:space="preserve"> are also competitors of the </w:t>
      </w:r>
      <w:proofErr w:type="spellStart"/>
      <w:r>
        <w:rPr>
          <w:szCs w:val="24"/>
        </w:rPr>
        <w:t>CLECs</w:t>
      </w:r>
      <w:proofErr w:type="spellEnd"/>
      <w:r>
        <w:rPr>
          <w:szCs w:val="24"/>
        </w:rPr>
        <w:t xml:space="preserve">.  </w:t>
      </w:r>
      <w:proofErr w:type="spellStart"/>
      <w:r>
        <w:rPr>
          <w:szCs w:val="24"/>
        </w:rPr>
        <w:t>CLECs</w:t>
      </w:r>
      <w:proofErr w:type="spellEnd"/>
      <w:r>
        <w:rPr>
          <w:szCs w:val="24"/>
        </w:rPr>
        <w:t xml:space="preserve">, along with other carriers in the state, will be required to tax their end users, to support the networks of their competitors.  </w:t>
      </w:r>
      <w:r w:rsidR="00776F7E">
        <w:rPr>
          <w:szCs w:val="24"/>
        </w:rPr>
        <w:t xml:space="preserve">Further, </w:t>
      </w:r>
      <w:r>
        <w:rPr>
          <w:szCs w:val="24"/>
        </w:rPr>
        <w:t xml:space="preserve">the large </w:t>
      </w:r>
      <w:proofErr w:type="spellStart"/>
      <w:r>
        <w:rPr>
          <w:szCs w:val="24"/>
        </w:rPr>
        <w:t>ILECs</w:t>
      </w:r>
      <w:proofErr w:type="spellEnd"/>
      <w:r>
        <w:rPr>
          <w:szCs w:val="24"/>
        </w:rPr>
        <w:t xml:space="preserve"> have advocated and the FCC has implemented a number a policies that allow </w:t>
      </w:r>
      <w:proofErr w:type="spellStart"/>
      <w:r>
        <w:rPr>
          <w:szCs w:val="24"/>
        </w:rPr>
        <w:t>ILECs</w:t>
      </w:r>
      <w:proofErr w:type="spellEnd"/>
      <w:r>
        <w:rPr>
          <w:szCs w:val="24"/>
        </w:rPr>
        <w:t xml:space="preserve"> to limit CLEC access to these very last mile connections.  For example, in certain Fiber to the Home builds </w:t>
      </w:r>
      <w:proofErr w:type="spellStart"/>
      <w:r>
        <w:rPr>
          <w:szCs w:val="24"/>
        </w:rPr>
        <w:t>CLECs</w:t>
      </w:r>
      <w:proofErr w:type="spellEnd"/>
      <w:r>
        <w:rPr>
          <w:szCs w:val="24"/>
        </w:rPr>
        <w:t xml:space="preserve"> cannot lease last mile connections to end users</w:t>
      </w:r>
      <w:r>
        <w:rPr>
          <w:rStyle w:val="FootnoteReference"/>
          <w:szCs w:val="24"/>
        </w:rPr>
        <w:footnoteReference w:id="43"/>
      </w:r>
      <w:r>
        <w:rPr>
          <w:szCs w:val="24"/>
        </w:rPr>
        <w:t xml:space="preserve"> (cite to </w:t>
      </w:r>
      <w:proofErr w:type="spellStart"/>
      <w:r>
        <w:rPr>
          <w:szCs w:val="24"/>
        </w:rPr>
        <w:t>CFR</w:t>
      </w:r>
      <w:proofErr w:type="spellEnd"/>
      <w:r>
        <w:rPr>
          <w:szCs w:val="24"/>
        </w:rPr>
        <w:t xml:space="preserve">) and in fiber-copper hybrid networks </w:t>
      </w:r>
      <w:proofErr w:type="spellStart"/>
      <w:r>
        <w:rPr>
          <w:szCs w:val="24"/>
        </w:rPr>
        <w:t>CLECs</w:t>
      </w:r>
      <w:proofErr w:type="spellEnd"/>
      <w:r>
        <w:rPr>
          <w:szCs w:val="24"/>
        </w:rPr>
        <w:t xml:space="preserve"> are limited to voice connections.</w:t>
      </w:r>
      <w:r>
        <w:rPr>
          <w:rStyle w:val="FootnoteReference"/>
          <w:szCs w:val="24"/>
        </w:rPr>
        <w:footnoteReference w:id="44"/>
      </w:r>
      <w:r>
        <w:rPr>
          <w:szCs w:val="24"/>
        </w:rPr>
        <w:t xml:space="preserve">  As a result, the proposed expansion of universal service to support the deployment of broadband networks would, in essence, require </w:t>
      </w:r>
      <w:proofErr w:type="spellStart"/>
      <w:r>
        <w:rPr>
          <w:szCs w:val="24"/>
        </w:rPr>
        <w:lastRenderedPageBreak/>
        <w:t>CLECs</w:t>
      </w:r>
      <w:proofErr w:type="spellEnd"/>
      <w:r>
        <w:rPr>
          <w:szCs w:val="24"/>
        </w:rPr>
        <w:t xml:space="preserve"> and their end user customers to fund their competitors’ networks, to which </w:t>
      </w:r>
      <w:proofErr w:type="spellStart"/>
      <w:r>
        <w:rPr>
          <w:szCs w:val="24"/>
        </w:rPr>
        <w:t>CLECs</w:t>
      </w:r>
      <w:proofErr w:type="spellEnd"/>
      <w:r>
        <w:rPr>
          <w:szCs w:val="24"/>
        </w:rPr>
        <w:t xml:space="preserve"> are then denied access.  In other words, </w:t>
      </w:r>
      <w:proofErr w:type="spellStart"/>
      <w:r>
        <w:rPr>
          <w:szCs w:val="24"/>
        </w:rPr>
        <w:t>CLECs</w:t>
      </w:r>
      <w:proofErr w:type="spellEnd"/>
      <w:r>
        <w:rPr>
          <w:szCs w:val="24"/>
        </w:rPr>
        <w:t xml:space="preserve"> are being asked to pay a tax that will be used to eliminate </w:t>
      </w:r>
      <w:proofErr w:type="spellStart"/>
      <w:r>
        <w:rPr>
          <w:szCs w:val="24"/>
        </w:rPr>
        <w:t>CLECs</w:t>
      </w:r>
      <w:proofErr w:type="spellEnd"/>
      <w:r>
        <w:rPr>
          <w:szCs w:val="24"/>
        </w:rPr>
        <w:t xml:space="preserve"> from the market.  This is terrible public policy and certainly an improper use of a tax.</w:t>
      </w:r>
    </w:p>
    <w:p w:rsidR="004A7D80" w:rsidRDefault="004A7D80" w:rsidP="00FB2066">
      <w:pPr>
        <w:pStyle w:val="Answer"/>
        <w:spacing w:after="0"/>
        <w:ind w:left="0" w:firstLine="720"/>
        <w:jc w:val="both"/>
        <w:rPr>
          <w:b/>
          <w:i/>
          <w:szCs w:val="24"/>
        </w:rPr>
      </w:pPr>
    </w:p>
    <w:p w:rsidR="004A7D80" w:rsidRPr="009C3F8B" w:rsidRDefault="004A7D80" w:rsidP="00FB2066">
      <w:pPr>
        <w:pStyle w:val="Answer"/>
        <w:spacing w:after="0"/>
        <w:ind w:left="0" w:firstLine="720"/>
        <w:jc w:val="both"/>
        <w:rPr>
          <w:b/>
          <w:i/>
          <w:szCs w:val="24"/>
        </w:rPr>
      </w:pPr>
      <w:r>
        <w:rPr>
          <w:b/>
          <w:i/>
          <w:szCs w:val="24"/>
        </w:rPr>
        <w:t>Access Reform</w:t>
      </w:r>
    </w:p>
    <w:p w:rsidR="004A7D80" w:rsidRDefault="004A7D80" w:rsidP="00FB2066">
      <w:pPr>
        <w:pStyle w:val="Answer"/>
        <w:spacing w:after="0"/>
        <w:ind w:left="0" w:firstLine="720"/>
        <w:jc w:val="both"/>
        <w:rPr>
          <w:szCs w:val="24"/>
        </w:rPr>
      </w:pPr>
      <w:r>
        <w:rPr>
          <w:szCs w:val="24"/>
        </w:rPr>
        <w:t xml:space="preserve">The forth section of the </w:t>
      </w:r>
      <w:proofErr w:type="spellStart"/>
      <w:r>
        <w:rPr>
          <w:szCs w:val="24"/>
        </w:rPr>
        <w:t>WITA</w:t>
      </w:r>
      <w:proofErr w:type="spellEnd"/>
      <w:r>
        <w:rPr>
          <w:szCs w:val="24"/>
        </w:rPr>
        <w:t xml:space="preserve"> USF Concept Paper deals with access reform applicable to all carriers in the state.  This calls for all carriers to reduce intrastate access charge rates to the interstate levels</w:t>
      </w:r>
      <w:r>
        <w:rPr>
          <w:rStyle w:val="FootnoteReference"/>
          <w:szCs w:val="24"/>
        </w:rPr>
        <w:footnoteReference w:id="45"/>
      </w:r>
      <w:r>
        <w:rPr>
          <w:szCs w:val="24"/>
        </w:rPr>
        <w:t xml:space="preserve"> and cap CLEC access rates at </w:t>
      </w:r>
      <w:proofErr w:type="spellStart"/>
      <w:r>
        <w:rPr>
          <w:szCs w:val="24"/>
        </w:rPr>
        <w:t>ILEC</w:t>
      </w:r>
      <w:proofErr w:type="spellEnd"/>
      <w:r>
        <w:rPr>
          <w:szCs w:val="24"/>
        </w:rPr>
        <w:t xml:space="preserve"> access rates.</w:t>
      </w:r>
      <w:r>
        <w:rPr>
          <w:rStyle w:val="FootnoteReference"/>
          <w:szCs w:val="24"/>
        </w:rPr>
        <w:footnoteReference w:id="46"/>
      </w:r>
      <w:r>
        <w:rPr>
          <w:szCs w:val="24"/>
        </w:rPr>
        <w:t xml:space="preserve">  The change from intrastate rates to interstate rates would be phased in over a maximum of four years</w:t>
      </w:r>
      <w:r>
        <w:rPr>
          <w:rStyle w:val="FootnoteReference"/>
          <w:szCs w:val="24"/>
        </w:rPr>
        <w:footnoteReference w:id="47"/>
      </w:r>
      <w:r>
        <w:rPr>
          <w:szCs w:val="24"/>
        </w:rPr>
        <w:t xml:space="preserve"> and </w:t>
      </w:r>
      <w:proofErr w:type="spellStart"/>
      <w:r>
        <w:rPr>
          <w:szCs w:val="24"/>
        </w:rPr>
        <w:t>ILECs</w:t>
      </w:r>
      <w:proofErr w:type="spellEnd"/>
      <w:r>
        <w:rPr>
          <w:szCs w:val="24"/>
        </w:rPr>
        <w:t xml:space="preserve">, not </w:t>
      </w:r>
      <w:proofErr w:type="spellStart"/>
      <w:r>
        <w:rPr>
          <w:szCs w:val="24"/>
        </w:rPr>
        <w:t>CLECs</w:t>
      </w:r>
      <w:proofErr w:type="spellEnd"/>
      <w:r>
        <w:rPr>
          <w:szCs w:val="24"/>
        </w:rPr>
        <w:t>, would have the ability to make up lost access revenue, net of local rate increases, through a state universal fund (without a rate case).</w:t>
      </w:r>
      <w:r>
        <w:rPr>
          <w:rStyle w:val="FootnoteReference"/>
          <w:szCs w:val="24"/>
        </w:rPr>
        <w:footnoteReference w:id="48"/>
      </w:r>
    </w:p>
    <w:p w:rsidR="004A7D80" w:rsidRDefault="004A7D80" w:rsidP="00FB2066">
      <w:pPr>
        <w:pStyle w:val="Answer"/>
        <w:spacing w:after="0"/>
        <w:ind w:left="0" w:firstLine="720"/>
        <w:jc w:val="both"/>
        <w:rPr>
          <w:szCs w:val="24"/>
        </w:rPr>
      </w:pPr>
      <w:r w:rsidRPr="009C1066">
        <w:rPr>
          <w:szCs w:val="24"/>
        </w:rPr>
        <w:t xml:space="preserve">The Commission should be cautious of taking the radical step of price regulating </w:t>
      </w:r>
      <w:proofErr w:type="spellStart"/>
      <w:r w:rsidRPr="009C1066">
        <w:rPr>
          <w:szCs w:val="24"/>
        </w:rPr>
        <w:t>CLECs</w:t>
      </w:r>
      <w:proofErr w:type="spellEnd"/>
      <w:r w:rsidRPr="009C1066">
        <w:rPr>
          <w:szCs w:val="24"/>
        </w:rPr>
        <w:t xml:space="preserve"> – small players in the market whose existence is due to the pro-competitive provisions of the Telecommunications Act of 1996.  A decision to </w:t>
      </w:r>
      <w:r w:rsidRPr="009C1066">
        <w:rPr>
          <w:b/>
          <w:i/>
          <w:szCs w:val="24"/>
        </w:rPr>
        <w:t>price regulate</w:t>
      </w:r>
      <w:r w:rsidRPr="009C1066">
        <w:rPr>
          <w:szCs w:val="24"/>
        </w:rPr>
        <w:t xml:space="preserve"> </w:t>
      </w:r>
      <w:proofErr w:type="spellStart"/>
      <w:r w:rsidRPr="009C1066">
        <w:rPr>
          <w:b/>
          <w:i/>
          <w:szCs w:val="24"/>
        </w:rPr>
        <w:t>CLECs</w:t>
      </w:r>
      <w:proofErr w:type="spellEnd"/>
      <w:r w:rsidRPr="009C1066">
        <w:rPr>
          <w:szCs w:val="24"/>
        </w:rPr>
        <w:t xml:space="preserve"> would be exceedingly ironic given that the policies that gave birth to </w:t>
      </w:r>
      <w:proofErr w:type="spellStart"/>
      <w:r w:rsidRPr="009C1066">
        <w:rPr>
          <w:szCs w:val="24"/>
        </w:rPr>
        <w:t>CLECs</w:t>
      </w:r>
      <w:proofErr w:type="spellEnd"/>
      <w:r w:rsidRPr="009C1066">
        <w:rPr>
          <w:szCs w:val="24"/>
        </w:rPr>
        <w:t xml:space="preserve"> were intended to reduce price regulation.  Further, price regulating </w:t>
      </w:r>
      <w:proofErr w:type="spellStart"/>
      <w:r w:rsidRPr="009C1066">
        <w:rPr>
          <w:szCs w:val="24"/>
        </w:rPr>
        <w:t>CLECs</w:t>
      </w:r>
      <w:proofErr w:type="spellEnd"/>
      <w:r w:rsidRPr="009C1066">
        <w:rPr>
          <w:szCs w:val="24"/>
        </w:rPr>
        <w:t xml:space="preserve"> would also run counter to (1) the continuing deregulation of the incumbent local exchange carriers (“</w:t>
      </w:r>
      <w:proofErr w:type="spellStart"/>
      <w:r w:rsidRPr="009C1066">
        <w:rPr>
          <w:szCs w:val="24"/>
        </w:rPr>
        <w:t>ILECs</w:t>
      </w:r>
      <w:proofErr w:type="spellEnd"/>
      <w:r w:rsidRPr="009C1066">
        <w:rPr>
          <w:szCs w:val="24"/>
        </w:rPr>
        <w:t>”) in both retail and wholesale markets; (2) the Regional Bell Operating Companies (“</w:t>
      </w:r>
      <w:proofErr w:type="spellStart"/>
      <w:r w:rsidRPr="009C1066">
        <w:rPr>
          <w:szCs w:val="24"/>
        </w:rPr>
        <w:t>RBOCs</w:t>
      </w:r>
      <w:proofErr w:type="spellEnd"/>
      <w:r w:rsidRPr="009C1066">
        <w:rPr>
          <w:szCs w:val="24"/>
        </w:rPr>
        <w:t xml:space="preserve">”) entry into long distance markets; (3) the </w:t>
      </w:r>
      <w:r w:rsidRPr="009C1066">
        <w:rPr>
          <w:szCs w:val="24"/>
        </w:rPr>
        <w:lastRenderedPageBreak/>
        <w:t xml:space="preserve">megamergers of the largest </w:t>
      </w:r>
      <w:proofErr w:type="spellStart"/>
      <w:r>
        <w:rPr>
          <w:szCs w:val="24"/>
        </w:rPr>
        <w:t>ILECs</w:t>
      </w:r>
      <w:proofErr w:type="spellEnd"/>
      <w:r w:rsidRPr="009C1066">
        <w:rPr>
          <w:szCs w:val="24"/>
        </w:rPr>
        <w:t xml:space="preserve">; and (4) the emergence of intermodal competition between landline, cable and wireless companies.  </w:t>
      </w:r>
    </w:p>
    <w:p w:rsidR="004A7D80" w:rsidRDefault="004A7D80" w:rsidP="00FB2066">
      <w:pPr>
        <w:pStyle w:val="Answer"/>
        <w:spacing w:after="0"/>
        <w:ind w:left="0" w:firstLine="720"/>
        <w:jc w:val="both"/>
        <w:rPr>
          <w:szCs w:val="24"/>
        </w:rPr>
      </w:pPr>
      <w:r w:rsidRPr="005D2600">
        <w:rPr>
          <w:szCs w:val="24"/>
        </w:rPr>
        <w:t xml:space="preserve">To the extent reductions in access charges are mandated, </w:t>
      </w:r>
      <w:r>
        <w:rPr>
          <w:szCs w:val="24"/>
        </w:rPr>
        <w:t xml:space="preserve">the </w:t>
      </w:r>
      <w:proofErr w:type="spellStart"/>
      <w:r>
        <w:rPr>
          <w:szCs w:val="24"/>
        </w:rPr>
        <w:t>CLECs</w:t>
      </w:r>
      <w:proofErr w:type="spellEnd"/>
      <w:r w:rsidRPr="005D2600">
        <w:rPr>
          <w:szCs w:val="24"/>
        </w:rPr>
        <w:t xml:space="preserve"> support a gradual and predictable approach that extends over a number of years.  An extended transition period is necessary to minimize impacts on both carriers and their end-user customers and allow carriers the time to alter business plans.  The task of altering business plans would be more difficult for </w:t>
      </w:r>
      <w:proofErr w:type="spellStart"/>
      <w:r w:rsidRPr="005D2600">
        <w:rPr>
          <w:szCs w:val="24"/>
        </w:rPr>
        <w:t>CLECs</w:t>
      </w:r>
      <w:proofErr w:type="spellEnd"/>
      <w:r w:rsidRPr="005D2600">
        <w:rPr>
          <w:szCs w:val="24"/>
        </w:rPr>
        <w:t xml:space="preserve"> than many rural </w:t>
      </w:r>
      <w:proofErr w:type="spellStart"/>
      <w:r w:rsidRPr="005D2600">
        <w:rPr>
          <w:szCs w:val="24"/>
        </w:rPr>
        <w:t>ILECs</w:t>
      </w:r>
      <w:proofErr w:type="spellEnd"/>
      <w:r>
        <w:rPr>
          <w:szCs w:val="24"/>
        </w:rPr>
        <w:t>.</w:t>
      </w:r>
      <w:r w:rsidRPr="005D2600">
        <w:rPr>
          <w:szCs w:val="24"/>
        </w:rPr>
        <w:t xml:space="preserve">  </w:t>
      </w:r>
      <w:proofErr w:type="spellStart"/>
      <w:r w:rsidRPr="005D2600">
        <w:rPr>
          <w:szCs w:val="24"/>
        </w:rPr>
        <w:t>CLECs</w:t>
      </w:r>
      <w:proofErr w:type="spellEnd"/>
      <w:r w:rsidRPr="005D2600">
        <w:rPr>
          <w:szCs w:val="24"/>
        </w:rPr>
        <w:t xml:space="preserve">, by definition, operate in retail markets that are competitive.  As a result, </w:t>
      </w:r>
      <w:proofErr w:type="spellStart"/>
      <w:r w:rsidRPr="005D2600">
        <w:rPr>
          <w:szCs w:val="24"/>
        </w:rPr>
        <w:t>CLECs</w:t>
      </w:r>
      <w:proofErr w:type="spellEnd"/>
      <w:r w:rsidRPr="005D2600">
        <w:rPr>
          <w:szCs w:val="24"/>
        </w:rPr>
        <w:t xml:space="preserve"> have limited ability to individually increase rates to their end users – in other words they are essentially price-takers in the market.  </w:t>
      </w:r>
      <w:r>
        <w:rPr>
          <w:szCs w:val="24"/>
        </w:rPr>
        <w:t>Even if the market was forgiving enough to permit rate changes,</w:t>
      </w:r>
      <w:r w:rsidRPr="005D2600">
        <w:rPr>
          <w:szCs w:val="24"/>
        </w:rPr>
        <w:t xml:space="preserve"> </w:t>
      </w:r>
      <w:proofErr w:type="spellStart"/>
      <w:r w:rsidRPr="005D2600">
        <w:rPr>
          <w:szCs w:val="24"/>
        </w:rPr>
        <w:t>CLECs</w:t>
      </w:r>
      <w:proofErr w:type="spellEnd"/>
      <w:r w:rsidRPr="005D2600">
        <w:rPr>
          <w:szCs w:val="24"/>
        </w:rPr>
        <w:t xml:space="preserve"> </w:t>
      </w:r>
      <w:r>
        <w:rPr>
          <w:szCs w:val="24"/>
        </w:rPr>
        <w:t xml:space="preserve">typically </w:t>
      </w:r>
      <w:r w:rsidRPr="005D2600">
        <w:rPr>
          <w:szCs w:val="24"/>
        </w:rPr>
        <w:t xml:space="preserve">have term agreements with their end-user customers that limit the </w:t>
      </w:r>
      <w:proofErr w:type="spellStart"/>
      <w:r w:rsidRPr="005D2600">
        <w:rPr>
          <w:szCs w:val="24"/>
        </w:rPr>
        <w:t>CLECs</w:t>
      </w:r>
      <w:proofErr w:type="spellEnd"/>
      <w:r>
        <w:rPr>
          <w:szCs w:val="24"/>
        </w:rPr>
        <w:t>’</w:t>
      </w:r>
      <w:r w:rsidRPr="005D2600">
        <w:rPr>
          <w:szCs w:val="24"/>
        </w:rPr>
        <w:t xml:space="preserve"> ability to </w:t>
      </w:r>
      <w:r>
        <w:rPr>
          <w:szCs w:val="24"/>
        </w:rPr>
        <w:t>modify rates.</w:t>
      </w:r>
      <w:r w:rsidRPr="005D2600">
        <w:rPr>
          <w:szCs w:val="24"/>
        </w:rPr>
        <w:t xml:space="preserve"> </w:t>
      </w:r>
      <w:r>
        <w:rPr>
          <w:szCs w:val="24"/>
        </w:rPr>
        <w:t xml:space="preserve"> </w:t>
      </w:r>
      <w:r w:rsidRPr="005D2600">
        <w:rPr>
          <w:szCs w:val="24"/>
        </w:rPr>
        <w:t>A gradual transition will help to provide carriers the ability to fully adjust business plans and mitigate rate shock</w:t>
      </w:r>
      <w:r>
        <w:rPr>
          <w:szCs w:val="24"/>
        </w:rPr>
        <w:t xml:space="preserve"> </w:t>
      </w:r>
      <w:r w:rsidRPr="005D2600">
        <w:rPr>
          <w:szCs w:val="24"/>
        </w:rPr>
        <w:t>to end user customers.</w:t>
      </w:r>
      <w:r w:rsidRPr="009C1066">
        <w:rPr>
          <w:rStyle w:val="FootnoteReference"/>
          <w:rFonts w:ascii="TimesNewRomanPS-BoldMT" w:hAnsi="TimesNewRomanPS-BoldMT" w:cs="TimesNewRomanPS-BoldMT"/>
          <w:bCs/>
          <w:szCs w:val="24"/>
        </w:rPr>
        <w:footnoteReference w:id="49"/>
      </w:r>
    </w:p>
    <w:p w:rsidR="004A7D80" w:rsidRDefault="004A7D80" w:rsidP="0067549F">
      <w:pPr>
        <w:rPr>
          <w:rFonts w:ascii="Times New Roman" w:hAnsi="Times New Roman"/>
          <w:sz w:val="24"/>
          <w:szCs w:val="24"/>
        </w:rPr>
      </w:pPr>
    </w:p>
    <w:p w:rsidR="004A7D80" w:rsidRDefault="004A7D80" w:rsidP="0067549F">
      <w:pPr>
        <w:rPr>
          <w:rFonts w:ascii="Times New Roman" w:hAnsi="Times New Roman"/>
          <w:b/>
          <w:i/>
          <w:sz w:val="24"/>
          <w:szCs w:val="24"/>
        </w:rPr>
      </w:pPr>
      <w:r>
        <w:rPr>
          <w:rFonts w:ascii="Times New Roman" w:hAnsi="Times New Roman"/>
          <w:b/>
          <w:i/>
          <w:sz w:val="24"/>
          <w:szCs w:val="24"/>
        </w:rPr>
        <w:tab/>
      </w:r>
      <w:r w:rsidR="00F032D9" w:rsidRPr="00F032D9">
        <w:rPr>
          <w:rFonts w:ascii="Times New Roman" w:hAnsi="Times New Roman"/>
          <w:b/>
          <w:i/>
          <w:sz w:val="24"/>
          <w:szCs w:val="24"/>
        </w:rPr>
        <w:t>Conclusion</w:t>
      </w:r>
    </w:p>
    <w:p w:rsidR="004A7D80" w:rsidRPr="00C80A94" w:rsidRDefault="004A7D80" w:rsidP="0067549F">
      <w:pPr>
        <w:rPr>
          <w:rFonts w:ascii="Times New Roman" w:hAnsi="Times New Roman"/>
          <w:sz w:val="24"/>
          <w:szCs w:val="24"/>
        </w:rPr>
      </w:pPr>
      <w:r>
        <w:rPr>
          <w:rFonts w:ascii="Times New Roman" w:hAnsi="Times New Roman"/>
          <w:sz w:val="24"/>
          <w:szCs w:val="24"/>
        </w:rPr>
        <w:tab/>
        <w:t xml:space="preserve">For the reasons set forth above, the </w:t>
      </w:r>
      <w:proofErr w:type="spellStart"/>
      <w:r>
        <w:rPr>
          <w:rFonts w:ascii="Times New Roman" w:hAnsi="Times New Roman"/>
          <w:sz w:val="24"/>
          <w:szCs w:val="24"/>
        </w:rPr>
        <w:t>CLECs</w:t>
      </w:r>
      <w:proofErr w:type="spellEnd"/>
      <w:r>
        <w:rPr>
          <w:rFonts w:ascii="Times New Roman" w:hAnsi="Times New Roman"/>
          <w:sz w:val="24"/>
          <w:szCs w:val="24"/>
        </w:rPr>
        <w:t xml:space="preserve"> are generally opposed to the </w:t>
      </w:r>
      <w:proofErr w:type="spellStart"/>
      <w:r>
        <w:rPr>
          <w:rFonts w:ascii="Times New Roman" w:hAnsi="Times New Roman"/>
          <w:sz w:val="24"/>
          <w:szCs w:val="24"/>
        </w:rPr>
        <w:t>WITA</w:t>
      </w:r>
      <w:proofErr w:type="spellEnd"/>
      <w:r>
        <w:rPr>
          <w:rFonts w:ascii="Times New Roman" w:hAnsi="Times New Roman"/>
          <w:sz w:val="24"/>
          <w:szCs w:val="24"/>
        </w:rPr>
        <w:t xml:space="preserve"> </w:t>
      </w:r>
      <w:r w:rsidR="00F032D9" w:rsidRPr="00776F7E">
        <w:rPr>
          <w:rFonts w:ascii="Times New Roman" w:hAnsi="Times New Roman"/>
          <w:i/>
          <w:sz w:val="24"/>
          <w:szCs w:val="24"/>
        </w:rPr>
        <w:t>USF Concept Paper</w:t>
      </w:r>
      <w:r>
        <w:rPr>
          <w:rFonts w:ascii="Times New Roman" w:hAnsi="Times New Roman"/>
          <w:sz w:val="24"/>
          <w:szCs w:val="24"/>
        </w:rPr>
        <w:t>.</w:t>
      </w:r>
    </w:p>
    <w:sectPr w:rsidR="004A7D80" w:rsidRPr="00C80A94" w:rsidSect="00FB2066">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B65" w:rsidRDefault="00A47B65" w:rsidP="00335E25">
      <w:pPr>
        <w:spacing w:after="0"/>
      </w:pPr>
      <w:r>
        <w:separator/>
      </w:r>
    </w:p>
  </w:endnote>
  <w:endnote w:type="continuationSeparator" w:id="0">
    <w:p w:rsidR="00A47B65" w:rsidRDefault="00A47B65" w:rsidP="00335E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B65" w:rsidRDefault="00A47B65" w:rsidP="00335E25">
      <w:pPr>
        <w:spacing w:after="0"/>
      </w:pPr>
      <w:r>
        <w:separator/>
      </w:r>
    </w:p>
  </w:footnote>
  <w:footnote w:type="continuationSeparator" w:id="0">
    <w:p w:rsidR="00A47B65" w:rsidRDefault="00A47B65" w:rsidP="00335E25">
      <w:pPr>
        <w:spacing w:after="0"/>
      </w:pPr>
      <w:r>
        <w:continuationSeparator/>
      </w:r>
    </w:p>
  </w:footnote>
  <w:footnote w:id="1">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gramStart"/>
      <w:r w:rsidRPr="007C78F4">
        <w:rPr>
          <w:rFonts w:ascii="Times New Roman" w:hAnsi="Times New Roman"/>
        </w:rPr>
        <w:t xml:space="preserve">Washington Universal Service / Access Reform Package (filed on behalf of </w:t>
      </w:r>
      <w:proofErr w:type="spellStart"/>
      <w:r w:rsidRPr="007C78F4">
        <w:rPr>
          <w:rFonts w:ascii="Times New Roman" w:hAnsi="Times New Roman"/>
        </w:rPr>
        <w:t>WITA</w:t>
      </w:r>
      <w:proofErr w:type="spellEnd"/>
      <w:r w:rsidRPr="007C78F4">
        <w:rPr>
          <w:rFonts w:ascii="Times New Roman" w:hAnsi="Times New Roman"/>
        </w:rPr>
        <w:t>), September 1, 2010 (“USF Concept Paper”).</w:t>
      </w:r>
      <w:proofErr w:type="gramEnd"/>
    </w:p>
  </w:footnote>
  <w:footnote w:id="2">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gramStart"/>
      <w:r w:rsidRPr="007C78F4">
        <w:rPr>
          <w:rFonts w:ascii="Times New Roman" w:hAnsi="Times New Roman"/>
        </w:rPr>
        <w:t>Notice Seeking Comments on Washington Independent Telecommunications Association USF Concept Paper and Tentative Notice of Third Workshop, September 1, 2010.</w:t>
      </w:r>
      <w:proofErr w:type="gramEnd"/>
    </w:p>
  </w:footnote>
  <w:footnote w:id="3">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Integra Telecom’s Reply Comments, July 15, 2010, p. 3.</w:t>
      </w:r>
    </w:p>
  </w:footnote>
  <w:footnote w:id="4">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1.a</w:t>
      </w:r>
      <w:proofErr w:type="spellEnd"/>
      <w:r w:rsidRPr="007C78F4">
        <w:rPr>
          <w:rFonts w:ascii="Times New Roman" w:hAnsi="Times New Roman"/>
        </w:rPr>
        <w:t>.</w:t>
      </w:r>
    </w:p>
  </w:footnote>
  <w:footnote w:id="5">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 xml:space="preserve">See Frontier Comments, July 15, 2010, p. 2, and Qwest’s </w:t>
      </w:r>
      <w:proofErr w:type="gramStart"/>
      <w:r w:rsidRPr="007C78F4">
        <w:rPr>
          <w:rFonts w:ascii="Times New Roman" w:hAnsi="Times New Roman"/>
        </w:rPr>
        <w:t>Reply</w:t>
      </w:r>
      <w:proofErr w:type="gramEnd"/>
      <w:r w:rsidRPr="007C78F4">
        <w:rPr>
          <w:rFonts w:ascii="Times New Roman" w:hAnsi="Times New Roman"/>
        </w:rPr>
        <w:t xml:space="preserve"> comments, July 15, 2010, p. 6.  It should be noted that Qwest suggests that, due to recent court decisions, the states wait for the FCC resolve the issue of whether state commissions can require nomadic VoIP providers to contribute to a state universal service fund.</w:t>
      </w:r>
    </w:p>
  </w:footnote>
  <w:footnote w:id="6">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1.b</w:t>
      </w:r>
      <w:proofErr w:type="spellEnd"/>
      <w:r w:rsidRPr="007C78F4">
        <w:rPr>
          <w:rFonts w:ascii="Times New Roman" w:hAnsi="Times New Roman"/>
        </w:rPr>
        <w:t>.</w:t>
      </w:r>
    </w:p>
  </w:footnote>
  <w:footnote w:id="7">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1.c</w:t>
      </w:r>
      <w:proofErr w:type="spellEnd"/>
      <w:r w:rsidRPr="007C78F4">
        <w:rPr>
          <w:rFonts w:ascii="Times New Roman" w:hAnsi="Times New Roman"/>
        </w:rPr>
        <w:t>.</w:t>
      </w:r>
    </w:p>
  </w:footnote>
  <w:footnote w:id="8">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1.d</w:t>
      </w:r>
      <w:proofErr w:type="spellEnd"/>
      <w:r w:rsidRPr="007C78F4">
        <w:rPr>
          <w:rFonts w:ascii="Times New Roman" w:hAnsi="Times New Roman"/>
        </w:rPr>
        <w:t>.</w:t>
      </w:r>
    </w:p>
  </w:footnote>
  <w:footnote w:id="9">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1.d</w:t>
      </w:r>
      <w:proofErr w:type="spellEnd"/>
      <w:r w:rsidRPr="007C78F4">
        <w:rPr>
          <w:rFonts w:ascii="Times New Roman" w:hAnsi="Times New Roman"/>
        </w:rPr>
        <w:t>.</w:t>
      </w:r>
    </w:p>
  </w:footnote>
  <w:footnote w:id="10">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2.a</w:t>
      </w:r>
      <w:proofErr w:type="spellEnd"/>
      <w:r w:rsidRPr="007C78F4">
        <w:rPr>
          <w:rFonts w:ascii="Times New Roman" w:hAnsi="Times New Roman"/>
        </w:rPr>
        <w:t>.</w:t>
      </w:r>
    </w:p>
  </w:footnote>
  <w:footnote w:id="11">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Section 3.</w:t>
      </w:r>
    </w:p>
  </w:footnote>
  <w:footnote w:id="12">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 xml:space="preserve">This is an estimate based on the FCC Monitoring Report Table 3.31, </w:t>
      </w:r>
      <w:proofErr w:type="spellStart"/>
      <w:r w:rsidRPr="007C78F4">
        <w:rPr>
          <w:rFonts w:ascii="Times New Roman" w:hAnsi="Times New Roman"/>
        </w:rPr>
        <w:t>ILEC</w:t>
      </w:r>
      <w:proofErr w:type="spellEnd"/>
      <w:r w:rsidRPr="007C78F4">
        <w:rPr>
          <w:rFonts w:ascii="Times New Roman" w:hAnsi="Times New Roman"/>
        </w:rPr>
        <w:t xml:space="preserve"> High-Cost Loop Support Data for 2007 by Study Area.</w:t>
      </w:r>
    </w:p>
  </w:footnote>
  <w:footnote w:id="13">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 xml:space="preserve">Local rate increases may be phased in over time.  See </w:t>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2.e</w:t>
      </w:r>
      <w:proofErr w:type="spellEnd"/>
      <w:r w:rsidRPr="007C78F4">
        <w:rPr>
          <w:rFonts w:ascii="Times New Roman" w:hAnsi="Times New Roman"/>
        </w:rPr>
        <w:t>.</w:t>
      </w:r>
    </w:p>
  </w:footnote>
  <w:footnote w:id="14">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2.b</w:t>
      </w:r>
      <w:proofErr w:type="spellEnd"/>
      <w:r w:rsidRPr="007C78F4">
        <w:rPr>
          <w:rFonts w:ascii="Times New Roman" w:hAnsi="Times New Roman"/>
        </w:rPr>
        <w:t>.</w:t>
      </w:r>
    </w:p>
  </w:footnote>
  <w:footnote w:id="15">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Comments of the Washington Independent Telecommunications Association, June 16, 2010, p. 12.</w:t>
      </w:r>
    </w:p>
  </w:footnote>
  <w:footnote w:id="16">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 xml:space="preserve">This may be a large part since </w:t>
      </w:r>
      <w:proofErr w:type="spellStart"/>
      <w:r w:rsidRPr="007C78F4">
        <w:rPr>
          <w:rFonts w:ascii="Times New Roman" w:hAnsi="Times New Roman"/>
        </w:rPr>
        <w:t>WITA</w:t>
      </w:r>
      <w:proofErr w:type="spellEnd"/>
      <w:r w:rsidRPr="007C78F4">
        <w:rPr>
          <w:rFonts w:ascii="Times New Roman" w:hAnsi="Times New Roman"/>
        </w:rPr>
        <w:t xml:space="preserve"> has argued it has limited ability to increase local rates. See Comments of the Washington Independent Telecommunications Association, June 16, 2010, p. 16.</w:t>
      </w:r>
    </w:p>
  </w:footnote>
  <w:footnote w:id="17">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2.d</w:t>
      </w:r>
      <w:proofErr w:type="spellEnd"/>
      <w:r w:rsidRPr="007C78F4">
        <w:rPr>
          <w:rFonts w:ascii="Times New Roman" w:hAnsi="Times New Roman"/>
        </w:rPr>
        <w:t>.</w:t>
      </w:r>
    </w:p>
  </w:footnote>
  <w:footnote w:id="18">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p. 1.  Note, the </w:t>
      </w:r>
      <w:proofErr w:type="spellStart"/>
      <w:r w:rsidRPr="007C78F4">
        <w:rPr>
          <w:rFonts w:ascii="Times New Roman" w:hAnsi="Times New Roman"/>
        </w:rPr>
        <w:t>CLECs</w:t>
      </w:r>
      <w:proofErr w:type="spellEnd"/>
      <w:r w:rsidRPr="007C78F4">
        <w:rPr>
          <w:rFonts w:ascii="Times New Roman" w:hAnsi="Times New Roman"/>
        </w:rPr>
        <w:t xml:space="preserve"> do not necessarily agree that this is an appropriate goal for universal service and access reform.  Certainly if “vitality” is to be a goal, it needs to be measurable and the USF support should then be tied to performance.</w:t>
      </w:r>
    </w:p>
  </w:footnote>
  <w:footnote w:id="19">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2.f</w:t>
      </w:r>
      <w:proofErr w:type="spellEnd"/>
      <w:r w:rsidRPr="007C78F4">
        <w:rPr>
          <w:rFonts w:ascii="Times New Roman" w:hAnsi="Times New Roman"/>
        </w:rPr>
        <w:t>.</w:t>
      </w:r>
    </w:p>
  </w:footnote>
  <w:footnote w:id="20">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2.f.i</w:t>
      </w:r>
      <w:proofErr w:type="spellEnd"/>
      <w:r w:rsidRPr="007C78F4">
        <w:rPr>
          <w:rFonts w:ascii="Times New Roman" w:hAnsi="Times New Roman"/>
        </w:rPr>
        <w:t>.</w:t>
      </w:r>
    </w:p>
  </w:footnote>
  <w:footnote w:id="21">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2.f.iii</w:t>
      </w:r>
      <w:proofErr w:type="spellEnd"/>
      <w:r w:rsidRPr="007C78F4">
        <w:rPr>
          <w:rFonts w:ascii="Times New Roman" w:hAnsi="Times New Roman"/>
        </w:rPr>
        <w:t>.</w:t>
      </w:r>
    </w:p>
  </w:footnote>
  <w:footnote w:id="22">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2.g</w:t>
      </w:r>
      <w:proofErr w:type="spellEnd"/>
      <w:r w:rsidRPr="007C78F4">
        <w:rPr>
          <w:rFonts w:ascii="Times New Roman" w:hAnsi="Times New Roman"/>
        </w:rPr>
        <w:t>.</w:t>
      </w:r>
    </w:p>
  </w:footnote>
  <w:footnote w:id="23">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2.g.i</w:t>
      </w:r>
      <w:proofErr w:type="spellEnd"/>
      <w:r w:rsidRPr="007C78F4">
        <w:rPr>
          <w:rFonts w:ascii="Times New Roman" w:hAnsi="Times New Roman"/>
        </w:rPr>
        <w:t>.</w:t>
      </w:r>
    </w:p>
  </w:footnote>
  <w:footnote w:id="24">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2.g.iii</w:t>
      </w:r>
      <w:proofErr w:type="spellEnd"/>
      <w:r w:rsidRPr="007C78F4">
        <w:rPr>
          <w:rFonts w:ascii="Times New Roman" w:hAnsi="Times New Roman"/>
        </w:rPr>
        <w:t>.</w:t>
      </w:r>
    </w:p>
  </w:footnote>
  <w:footnote w:id="25">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gramStart"/>
      <w:r w:rsidRPr="007C78F4">
        <w:rPr>
          <w:rFonts w:ascii="Times New Roman" w:hAnsi="Times New Roman"/>
        </w:rPr>
        <w:t>National Broadband Plan, Recommendations pp. 135-136.</w:t>
      </w:r>
      <w:proofErr w:type="gramEnd"/>
    </w:p>
  </w:footnote>
  <w:footnote w:id="26">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2.g.iv</w:t>
      </w:r>
      <w:proofErr w:type="spellEnd"/>
      <w:r w:rsidRPr="007C78F4">
        <w:rPr>
          <w:rFonts w:ascii="Times New Roman" w:hAnsi="Times New Roman"/>
        </w:rPr>
        <w:t>.</w:t>
      </w:r>
    </w:p>
  </w:footnote>
  <w:footnote w:id="27">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proofErr w:type="gram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Sections </w:t>
      </w:r>
      <w:proofErr w:type="spellStart"/>
      <w:r w:rsidRPr="007C78F4">
        <w:rPr>
          <w:rFonts w:ascii="Times New Roman" w:hAnsi="Times New Roman"/>
        </w:rPr>
        <w:t>3.b.i</w:t>
      </w:r>
      <w:proofErr w:type="spellEnd"/>
      <w:r w:rsidRPr="007C78F4">
        <w:rPr>
          <w:rFonts w:ascii="Times New Roman" w:hAnsi="Times New Roman"/>
        </w:rPr>
        <w:t xml:space="preserve"> and </w:t>
      </w:r>
      <w:proofErr w:type="spellStart"/>
      <w:r w:rsidRPr="007C78F4">
        <w:rPr>
          <w:rFonts w:ascii="Times New Roman" w:hAnsi="Times New Roman"/>
        </w:rPr>
        <w:t>3.b.ii</w:t>
      </w:r>
      <w:proofErr w:type="spellEnd"/>
      <w:r w:rsidRPr="007C78F4">
        <w:rPr>
          <w:rFonts w:ascii="Times New Roman" w:hAnsi="Times New Roman"/>
        </w:rPr>
        <w:t>.</w:t>
      </w:r>
      <w:proofErr w:type="gramEnd"/>
    </w:p>
  </w:footnote>
  <w:footnote w:id="28">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Section 3, Definitions.</w:t>
      </w:r>
    </w:p>
  </w:footnote>
  <w:footnote w:id="29">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3.b.iv</w:t>
      </w:r>
      <w:proofErr w:type="spellEnd"/>
      <w:r w:rsidRPr="007C78F4">
        <w:rPr>
          <w:rFonts w:ascii="Times New Roman" w:hAnsi="Times New Roman"/>
        </w:rPr>
        <w:t>.</w:t>
      </w:r>
    </w:p>
  </w:footnote>
  <w:footnote w:id="30">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proofErr w:type="gram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3.a.i</w:t>
      </w:r>
      <w:proofErr w:type="spellEnd"/>
      <w:r w:rsidRPr="007C78F4">
        <w:rPr>
          <w:rFonts w:ascii="Times New Roman" w:hAnsi="Times New Roman"/>
        </w:rPr>
        <w:t xml:space="preserve"> and </w:t>
      </w:r>
      <w:proofErr w:type="spellStart"/>
      <w:r w:rsidRPr="007C78F4">
        <w:rPr>
          <w:rFonts w:ascii="Times New Roman" w:hAnsi="Times New Roman"/>
        </w:rPr>
        <w:t>3.a.ii</w:t>
      </w:r>
      <w:proofErr w:type="spellEnd"/>
      <w:r w:rsidRPr="007C78F4">
        <w:rPr>
          <w:rFonts w:ascii="Times New Roman" w:hAnsi="Times New Roman"/>
        </w:rPr>
        <w:t>.</w:t>
      </w:r>
      <w:proofErr w:type="gramEnd"/>
    </w:p>
  </w:footnote>
  <w:footnote w:id="31">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Section 3, Regulatory Treatment under Phase 1.</w:t>
      </w:r>
    </w:p>
  </w:footnote>
  <w:footnote w:id="32">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3, </w:t>
      </w:r>
      <w:proofErr w:type="gramStart"/>
      <w:r w:rsidRPr="007C78F4">
        <w:rPr>
          <w:rFonts w:ascii="Times New Roman" w:hAnsi="Times New Roman"/>
        </w:rPr>
        <w:t>Phase</w:t>
      </w:r>
      <w:proofErr w:type="gramEnd"/>
      <w:r w:rsidRPr="007C78F4">
        <w:rPr>
          <w:rFonts w:ascii="Times New Roman" w:hAnsi="Times New Roman"/>
        </w:rPr>
        <w:t xml:space="preserve"> 2.</w:t>
      </w:r>
    </w:p>
  </w:footnote>
  <w:footnote w:id="33">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3, </w:t>
      </w:r>
      <w:proofErr w:type="gramStart"/>
      <w:r w:rsidRPr="007C78F4">
        <w:rPr>
          <w:rFonts w:ascii="Times New Roman" w:hAnsi="Times New Roman"/>
        </w:rPr>
        <w:t>Phase</w:t>
      </w:r>
      <w:proofErr w:type="gramEnd"/>
      <w:r w:rsidRPr="007C78F4">
        <w:rPr>
          <w:rFonts w:ascii="Times New Roman" w:hAnsi="Times New Roman"/>
        </w:rPr>
        <w:t xml:space="preserve"> 2.</w:t>
      </w:r>
    </w:p>
  </w:footnote>
  <w:footnote w:id="34">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3, </w:t>
      </w:r>
      <w:proofErr w:type="gramStart"/>
      <w:r w:rsidRPr="007C78F4">
        <w:rPr>
          <w:rFonts w:ascii="Times New Roman" w:hAnsi="Times New Roman"/>
        </w:rPr>
        <w:t>Phase</w:t>
      </w:r>
      <w:proofErr w:type="gramEnd"/>
      <w:r w:rsidRPr="007C78F4">
        <w:rPr>
          <w:rFonts w:ascii="Times New Roman" w:hAnsi="Times New Roman"/>
        </w:rPr>
        <w:t xml:space="preserve"> 2.</w:t>
      </w:r>
    </w:p>
  </w:footnote>
  <w:footnote w:id="35">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Frontier Comments, July 15, 2010, p. 1.</w:t>
      </w:r>
    </w:p>
  </w:footnote>
  <w:footnote w:id="36">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Qwest’s Reply comments, July 15, 2010, p. 1.</w:t>
      </w:r>
    </w:p>
  </w:footnote>
  <w:footnote w:id="37">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Frontier Comments, July 15, 2010, p. 1.</w:t>
      </w:r>
    </w:p>
  </w:footnote>
  <w:footnote w:id="38">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Frontier Comments, July 15, 2010, p. 1.</w:t>
      </w:r>
    </w:p>
  </w:footnote>
  <w:footnote w:id="39">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Qwest’s Reply comments, July 15, 2010, p. 2.</w:t>
      </w:r>
    </w:p>
  </w:footnote>
  <w:footnote w:id="40">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Frontier Comments, July 15, 2010, p. 1.</w:t>
      </w:r>
    </w:p>
  </w:footnote>
  <w:footnote w:id="41">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Qwest’s Reply comments, July 15, 2010, p. 3.</w:t>
      </w:r>
    </w:p>
  </w:footnote>
  <w:footnote w:id="42">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Initial Comments of Public Counsel, June 16, 2010, p. 5.</w:t>
      </w:r>
    </w:p>
  </w:footnote>
  <w:footnote w:id="43">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 xml:space="preserve">See for Example, Report and Order and Order on Remand and Further Notice of Proposed Rulemaking, In the Matter of Review of the Section 251 Unbundling Obligations of Incumbent Local Exchange Carriers, </w:t>
      </w:r>
      <w:proofErr w:type="gramStart"/>
      <w:r w:rsidRPr="007C78F4">
        <w:rPr>
          <w:rFonts w:ascii="Times New Roman" w:hAnsi="Times New Roman"/>
        </w:rPr>
        <w:t>et</w:t>
      </w:r>
      <w:proofErr w:type="gramEnd"/>
      <w:r w:rsidRPr="007C78F4">
        <w:rPr>
          <w:rFonts w:ascii="Times New Roman" w:hAnsi="Times New Roman"/>
        </w:rPr>
        <w:t xml:space="preserve">. al., CC Docket No. 01-338 </w:t>
      </w:r>
      <w:proofErr w:type="gramStart"/>
      <w:r w:rsidRPr="007C78F4">
        <w:rPr>
          <w:rFonts w:ascii="Times New Roman" w:hAnsi="Times New Roman"/>
        </w:rPr>
        <w:t>et</w:t>
      </w:r>
      <w:proofErr w:type="gramEnd"/>
      <w:r w:rsidRPr="007C78F4">
        <w:rPr>
          <w:rFonts w:ascii="Times New Roman" w:hAnsi="Times New Roman"/>
        </w:rPr>
        <w:t>. al., released August 21, 2003, (“Triennial Review Remand Order” or “</w:t>
      </w:r>
      <w:proofErr w:type="spellStart"/>
      <w:r w:rsidRPr="007C78F4">
        <w:rPr>
          <w:rFonts w:ascii="Times New Roman" w:hAnsi="Times New Roman"/>
        </w:rPr>
        <w:t>TRRO</w:t>
      </w:r>
      <w:proofErr w:type="spellEnd"/>
      <w:r w:rsidRPr="007C78F4">
        <w:rPr>
          <w:rFonts w:ascii="Times New Roman" w:hAnsi="Times New Roman"/>
        </w:rPr>
        <w:t>”), ¶ 273.</w:t>
      </w:r>
    </w:p>
  </w:footnote>
  <w:footnote w:id="44">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See Triennial Review Remand Order, ¶ 296.</w:t>
      </w:r>
    </w:p>
  </w:footnote>
  <w:footnote w:id="45">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4.a</w:t>
      </w:r>
      <w:proofErr w:type="spellEnd"/>
      <w:r w:rsidRPr="007C78F4">
        <w:rPr>
          <w:rFonts w:ascii="Times New Roman" w:hAnsi="Times New Roman"/>
        </w:rPr>
        <w:t>.</w:t>
      </w:r>
    </w:p>
  </w:footnote>
  <w:footnote w:id="46">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4.b</w:t>
      </w:r>
      <w:proofErr w:type="spellEnd"/>
      <w:r w:rsidRPr="007C78F4">
        <w:rPr>
          <w:rFonts w:ascii="Times New Roman" w:hAnsi="Times New Roman"/>
        </w:rPr>
        <w:t>.</w:t>
      </w:r>
    </w:p>
  </w:footnote>
  <w:footnote w:id="47">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4.a</w:t>
      </w:r>
      <w:proofErr w:type="spellEnd"/>
      <w:r w:rsidRPr="007C78F4">
        <w:rPr>
          <w:rFonts w:ascii="Times New Roman" w:hAnsi="Times New Roman"/>
        </w:rPr>
        <w:t>.</w:t>
      </w:r>
    </w:p>
  </w:footnote>
  <w:footnote w:id="48">
    <w:p w:rsidR="004A7D80" w:rsidRPr="007C78F4" w:rsidRDefault="004A7D80" w:rsidP="007C78F4">
      <w:pPr>
        <w:pStyle w:val="FootnoteText"/>
        <w:spacing w:after="60"/>
        <w:ind w:left="864" w:hanging="432"/>
        <w:rPr>
          <w:rFonts w:ascii="Times New Roman" w:hAnsi="Times New Roman"/>
        </w:rPr>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r>
      <w:proofErr w:type="spellStart"/>
      <w:r w:rsidRPr="007C78F4">
        <w:rPr>
          <w:rFonts w:ascii="Times New Roman" w:hAnsi="Times New Roman"/>
        </w:rPr>
        <w:t>WITA</w:t>
      </w:r>
      <w:proofErr w:type="spellEnd"/>
      <w:r w:rsidRPr="007C78F4">
        <w:rPr>
          <w:rFonts w:ascii="Times New Roman" w:hAnsi="Times New Roman"/>
        </w:rPr>
        <w:t xml:space="preserve"> </w:t>
      </w:r>
      <w:r w:rsidRPr="007C78F4">
        <w:rPr>
          <w:rFonts w:ascii="Times New Roman" w:hAnsi="Times New Roman"/>
          <w:i/>
        </w:rPr>
        <w:t>USF Concept Paper</w:t>
      </w:r>
      <w:r w:rsidRPr="007C78F4">
        <w:rPr>
          <w:rFonts w:ascii="Times New Roman" w:hAnsi="Times New Roman"/>
        </w:rPr>
        <w:t xml:space="preserve">, Section </w:t>
      </w:r>
      <w:proofErr w:type="spellStart"/>
      <w:r w:rsidRPr="007C78F4">
        <w:rPr>
          <w:rFonts w:ascii="Times New Roman" w:hAnsi="Times New Roman"/>
        </w:rPr>
        <w:t>4.c</w:t>
      </w:r>
      <w:proofErr w:type="spellEnd"/>
      <w:r w:rsidRPr="007C78F4">
        <w:rPr>
          <w:rFonts w:ascii="Times New Roman" w:hAnsi="Times New Roman"/>
        </w:rPr>
        <w:t>.</w:t>
      </w:r>
    </w:p>
  </w:footnote>
  <w:footnote w:id="49">
    <w:p w:rsidR="004A7D80" w:rsidRDefault="004A7D80" w:rsidP="007C78F4">
      <w:pPr>
        <w:pStyle w:val="FootnoteText"/>
        <w:spacing w:after="60"/>
        <w:ind w:left="864" w:hanging="432"/>
      </w:pPr>
      <w:r w:rsidRPr="007C78F4">
        <w:rPr>
          <w:rStyle w:val="FootnoteReference"/>
          <w:rFonts w:ascii="Times New Roman" w:hAnsi="Times New Roman"/>
        </w:rPr>
        <w:footnoteRef/>
      </w:r>
      <w:r w:rsidRPr="007C78F4">
        <w:rPr>
          <w:rFonts w:ascii="Times New Roman" w:hAnsi="Times New Roman"/>
        </w:rPr>
        <w:t xml:space="preserve"> </w:t>
      </w:r>
      <w:r w:rsidRPr="007C78F4">
        <w:rPr>
          <w:rFonts w:ascii="Times New Roman" w:hAnsi="Times New Roman"/>
        </w:rPr>
        <w:tab/>
        <w:t xml:space="preserve">The National Broadband Plan (p. 148) recommends a 10 year transition period for the reduction of access rates.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80" w:rsidRPr="00FB2066" w:rsidRDefault="004A7D80" w:rsidP="00FB2066">
    <w:pPr>
      <w:pStyle w:val="Header"/>
      <w:jc w:val="right"/>
      <w:rPr>
        <w:rFonts w:ascii="Times New Roman" w:hAnsi="Times New Roman"/>
        <w:sz w:val="24"/>
        <w:szCs w:val="24"/>
      </w:rPr>
    </w:pPr>
    <w:r>
      <w:rPr>
        <w:rFonts w:ascii="Times New Roman" w:hAnsi="Times New Roman"/>
        <w:sz w:val="24"/>
        <w:szCs w:val="24"/>
      </w:rPr>
      <w:t>CLEC</w:t>
    </w:r>
    <w:r w:rsidRPr="00FB2066">
      <w:rPr>
        <w:rFonts w:ascii="Times New Roman" w:hAnsi="Times New Roman"/>
        <w:sz w:val="24"/>
        <w:szCs w:val="24"/>
      </w:rPr>
      <w:t xml:space="preserve"> Comments</w:t>
    </w:r>
  </w:p>
  <w:p w:rsidR="004A7D80" w:rsidRPr="00FB2066" w:rsidRDefault="004A7D80" w:rsidP="00FB2066">
    <w:pPr>
      <w:pStyle w:val="Header"/>
      <w:jc w:val="right"/>
      <w:rPr>
        <w:rFonts w:ascii="Times New Roman" w:hAnsi="Times New Roman"/>
        <w:sz w:val="24"/>
        <w:szCs w:val="24"/>
      </w:rPr>
    </w:pPr>
    <w:r w:rsidRPr="00FB2066">
      <w:rPr>
        <w:rFonts w:ascii="Times New Roman" w:hAnsi="Times New Roman"/>
        <w:sz w:val="24"/>
        <w:szCs w:val="24"/>
      </w:rPr>
      <w:t>Docket No. UT-100562</w:t>
    </w:r>
  </w:p>
  <w:p w:rsidR="004A7D80" w:rsidRPr="00FB2066" w:rsidRDefault="004A7D80" w:rsidP="00FB2066">
    <w:pPr>
      <w:pStyle w:val="Header"/>
      <w:tabs>
        <w:tab w:val="left" w:pos="7995"/>
      </w:tabs>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B2066">
      <w:rPr>
        <w:rFonts w:ascii="Times New Roman" w:hAnsi="Times New Roman"/>
        <w:sz w:val="24"/>
        <w:szCs w:val="24"/>
      </w:rPr>
      <w:t xml:space="preserve">Page </w:t>
    </w:r>
    <w:r w:rsidR="00716203" w:rsidRPr="00FB2066">
      <w:rPr>
        <w:rFonts w:ascii="Times New Roman" w:hAnsi="Times New Roman"/>
        <w:sz w:val="24"/>
        <w:szCs w:val="24"/>
      </w:rPr>
      <w:fldChar w:fldCharType="begin"/>
    </w:r>
    <w:r w:rsidRPr="00FB2066">
      <w:rPr>
        <w:rFonts w:ascii="Times New Roman" w:hAnsi="Times New Roman"/>
        <w:sz w:val="24"/>
        <w:szCs w:val="24"/>
      </w:rPr>
      <w:instrText xml:space="preserve"> PAGE   \* MERGEFORMAT </w:instrText>
    </w:r>
    <w:r w:rsidR="00716203" w:rsidRPr="00FB2066">
      <w:rPr>
        <w:rFonts w:ascii="Times New Roman" w:hAnsi="Times New Roman"/>
        <w:sz w:val="24"/>
        <w:szCs w:val="24"/>
      </w:rPr>
      <w:fldChar w:fldCharType="separate"/>
    </w:r>
    <w:r w:rsidR="00E12BDB">
      <w:rPr>
        <w:rFonts w:ascii="Times New Roman" w:hAnsi="Times New Roman"/>
        <w:noProof/>
        <w:sz w:val="24"/>
        <w:szCs w:val="24"/>
      </w:rPr>
      <w:t>3</w:t>
    </w:r>
    <w:r w:rsidR="00716203" w:rsidRPr="00FB2066">
      <w:rPr>
        <w:rFonts w:ascii="Times New Roman" w:hAnsi="Times New Roman"/>
        <w:sz w:val="24"/>
        <w:szCs w:val="24"/>
      </w:rPr>
      <w:fldChar w:fldCharType="end"/>
    </w:r>
  </w:p>
  <w:p w:rsidR="004A7D80" w:rsidRPr="00FB2066" w:rsidRDefault="004A7D80" w:rsidP="00FB2066">
    <w:pPr>
      <w:pStyle w:val="Header"/>
      <w:jc w:val="right"/>
      <w:rPr>
        <w:rFonts w:ascii="Times New Roman" w:hAnsi="Times New Roman"/>
        <w:sz w:val="24"/>
        <w:szCs w:val="24"/>
      </w:rPr>
    </w:pPr>
  </w:p>
  <w:p w:rsidR="004A7D80" w:rsidRPr="00FB2066" w:rsidRDefault="004A7D80" w:rsidP="00FB2066">
    <w:pPr>
      <w:pStyle w:val="Header"/>
      <w:jc w:val="right"/>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24FB6"/>
    <w:multiLevelType w:val="hybridMultilevel"/>
    <w:tmpl w:val="041C0E46"/>
    <w:lvl w:ilvl="0" w:tplc="A0F419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7C70E83"/>
    <w:multiLevelType w:val="hybridMultilevel"/>
    <w:tmpl w:val="091482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4291"/>
    <w:rsid w:val="00025AB9"/>
    <w:rsid w:val="000337B1"/>
    <w:rsid w:val="000415E0"/>
    <w:rsid w:val="0004449C"/>
    <w:rsid w:val="000522ED"/>
    <w:rsid w:val="0005296B"/>
    <w:rsid w:val="00065328"/>
    <w:rsid w:val="00085FD5"/>
    <w:rsid w:val="00091794"/>
    <w:rsid w:val="000A4291"/>
    <w:rsid w:val="000B1C23"/>
    <w:rsid w:val="000B750A"/>
    <w:rsid w:val="000C0D9F"/>
    <w:rsid w:val="000F270A"/>
    <w:rsid w:val="00101343"/>
    <w:rsid w:val="001045B9"/>
    <w:rsid w:val="00115AD5"/>
    <w:rsid w:val="00143D66"/>
    <w:rsid w:val="001617E5"/>
    <w:rsid w:val="00177B87"/>
    <w:rsid w:val="00191C66"/>
    <w:rsid w:val="001B2117"/>
    <w:rsid w:val="001D2A2E"/>
    <w:rsid w:val="001D5D8D"/>
    <w:rsid w:val="002312ED"/>
    <w:rsid w:val="00235532"/>
    <w:rsid w:val="002726F8"/>
    <w:rsid w:val="00291824"/>
    <w:rsid w:val="00294FB4"/>
    <w:rsid w:val="002A3295"/>
    <w:rsid w:val="002B650D"/>
    <w:rsid w:val="002C79CA"/>
    <w:rsid w:val="002F0774"/>
    <w:rsid w:val="003015E0"/>
    <w:rsid w:val="00321651"/>
    <w:rsid w:val="00326809"/>
    <w:rsid w:val="00335E25"/>
    <w:rsid w:val="00337EA8"/>
    <w:rsid w:val="003416C3"/>
    <w:rsid w:val="00363F5B"/>
    <w:rsid w:val="00381CB5"/>
    <w:rsid w:val="00386D39"/>
    <w:rsid w:val="003B2F01"/>
    <w:rsid w:val="003D47B4"/>
    <w:rsid w:val="003F28A2"/>
    <w:rsid w:val="00410564"/>
    <w:rsid w:val="004313B8"/>
    <w:rsid w:val="004415AE"/>
    <w:rsid w:val="004636E8"/>
    <w:rsid w:val="00476365"/>
    <w:rsid w:val="00484B01"/>
    <w:rsid w:val="00492DA4"/>
    <w:rsid w:val="004A7D80"/>
    <w:rsid w:val="004C0307"/>
    <w:rsid w:val="004D44C4"/>
    <w:rsid w:val="004F57B2"/>
    <w:rsid w:val="00521264"/>
    <w:rsid w:val="005240BB"/>
    <w:rsid w:val="0055618B"/>
    <w:rsid w:val="0057005D"/>
    <w:rsid w:val="00584E0E"/>
    <w:rsid w:val="005942E6"/>
    <w:rsid w:val="00597602"/>
    <w:rsid w:val="005B34D7"/>
    <w:rsid w:val="005C2CD9"/>
    <w:rsid w:val="005C34E3"/>
    <w:rsid w:val="005D2600"/>
    <w:rsid w:val="005D3A96"/>
    <w:rsid w:val="005F6F61"/>
    <w:rsid w:val="00604C89"/>
    <w:rsid w:val="0065075D"/>
    <w:rsid w:val="0065558D"/>
    <w:rsid w:val="00662326"/>
    <w:rsid w:val="00672D14"/>
    <w:rsid w:val="00672FDB"/>
    <w:rsid w:val="0067549F"/>
    <w:rsid w:val="0069750A"/>
    <w:rsid w:val="006975A0"/>
    <w:rsid w:val="006A2639"/>
    <w:rsid w:val="006D3D2A"/>
    <w:rsid w:val="00716203"/>
    <w:rsid w:val="00732B12"/>
    <w:rsid w:val="00757403"/>
    <w:rsid w:val="00776F7E"/>
    <w:rsid w:val="0077774B"/>
    <w:rsid w:val="0078581D"/>
    <w:rsid w:val="00794F13"/>
    <w:rsid w:val="007A7ACB"/>
    <w:rsid w:val="007B6D47"/>
    <w:rsid w:val="007C78F4"/>
    <w:rsid w:val="007D1CD9"/>
    <w:rsid w:val="007E21D3"/>
    <w:rsid w:val="007F47A4"/>
    <w:rsid w:val="00805E0B"/>
    <w:rsid w:val="00807D00"/>
    <w:rsid w:val="00827FD7"/>
    <w:rsid w:val="00851137"/>
    <w:rsid w:val="00874133"/>
    <w:rsid w:val="008A2D97"/>
    <w:rsid w:val="008B369B"/>
    <w:rsid w:val="008B7923"/>
    <w:rsid w:val="008D6929"/>
    <w:rsid w:val="008F10D6"/>
    <w:rsid w:val="00927011"/>
    <w:rsid w:val="0096750C"/>
    <w:rsid w:val="009714EF"/>
    <w:rsid w:val="00973C6E"/>
    <w:rsid w:val="00974A23"/>
    <w:rsid w:val="0097520B"/>
    <w:rsid w:val="009766E5"/>
    <w:rsid w:val="0097676F"/>
    <w:rsid w:val="009972D1"/>
    <w:rsid w:val="009A094F"/>
    <w:rsid w:val="009B08B6"/>
    <w:rsid w:val="009B663B"/>
    <w:rsid w:val="009C1066"/>
    <w:rsid w:val="009C3F8B"/>
    <w:rsid w:val="009D4761"/>
    <w:rsid w:val="00A06D66"/>
    <w:rsid w:val="00A345D2"/>
    <w:rsid w:val="00A35AC5"/>
    <w:rsid w:val="00A47B65"/>
    <w:rsid w:val="00A55151"/>
    <w:rsid w:val="00A854DB"/>
    <w:rsid w:val="00A91513"/>
    <w:rsid w:val="00AC7D29"/>
    <w:rsid w:val="00B1075F"/>
    <w:rsid w:val="00B17BD9"/>
    <w:rsid w:val="00B262F9"/>
    <w:rsid w:val="00B46504"/>
    <w:rsid w:val="00B65737"/>
    <w:rsid w:val="00B70488"/>
    <w:rsid w:val="00B83CF4"/>
    <w:rsid w:val="00B9110D"/>
    <w:rsid w:val="00B93E2A"/>
    <w:rsid w:val="00BE41F3"/>
    <w:rsid w:val="00BF5D37"/>
    <w:rsid w:val="00C079FE"/>
    <w:rsid w:val="00C258DD"/>
    <w:rsid w:val="00C75E11"/>
    <w:rsid w:val="00C77298"/>
    <w:rsid w:val="00C80A94"/>
    <w:rsid w:val="00C85209"/>
    <w:rsid w:val="00CB63FD"/>
    <w:rsid w:val="00CD1C57"/>
    <w:rsid w:val="00CF3D45"/>
    <w:rsid w:val="00CF71BC"/>
    <w:rsid w:val="00D169FD"/>
    <w:rsid w:val="00D2150F"/>
    <w:rsid w:val="00D36FA2"/>
    <w:rsid w:val="00D379EB"/>
    <w:rsid w:val="00D63320"/>
    <w:rsid w:val="00D70972"/>
    <w:rsid w:val="00D77EE7"/>
    <w:rsid w:val="00D84429"/>
    <w:rsid w:val="00D953AC"/>
    <w:rsid w:val="00DA3158"/>
    <w:rsid w:val="00E12BDB"/>
    <w:rsid w:val="00E2184F"/>
    <w:rsid w:val="00E243C9"/>
    <w:rsid w:val="00E4264D"/>
    <w:rsid w:val="00E8098F"/>
    <w:rsid w:val="00E83131"/>
    <w:rsid w:val="00E96A06"/>
    <w:rsid w:val="00E977E5"/>
    <w:rsid w:val="00EA25F9"/>
    <w:rsid w:val="00EA42DC"/>
    <w:rsid w:val="00EE62B3"/>
    <w:rsid w:val="00EE6B69"/>
    <w:rsid w:val="00EF56BB"/>
    <w:rsid w:val="00EF6A0F"/>
    <w:rsid w:val="00F032D9"/>
    <w:rsid w:val="00F23029"/>
    <w:rsid w:val="00F26203"/>
    <w:rsid w:val="00F369EF"/>
    <w:rsid w:val="00F5602E"/>
    <w:rsid w:val="00F7040A"/>
    <w:rsid w:val="00F8279C"/>
    <w:rsid w:val="00F9086E"/>
    <w:rsid w:val="00F95B34"/>
    <w:rsid w:val="00FA5D81"/>
    <w:rsid w:val="00FB2066"/>
    <w:rsid w:val="00FC5CEE"/>
    <w:rsid w:val="00FE6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D1"/>
    <w:pPr>
      <w:spacing w:after="20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A429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0A4291"/>
    <w:pPr>
      <w:jc w:val="both"/>
    </w:pPr>
  </w:style>
  <w:style w:type="paragraph" w:styleId="ListParagraph">
    <w:name w:val="List Paragraph"/>
    <w:basedOn w:val="Normal"/>
    <w:uiPriority w:val="99"/>
    <w:qFormat/>
    <w:rsid w:val="000A4291"/>
    <w:pPr>
      <w:ind w:left="720"/>
      <w:contextualSpacing/>
    </w:pPr>
  </w:style>
  <w:style w:type="paragraph" w:styleId="FootnoteText">
    <w:name w:val="footnote text"/>
    <w:aliases w:val="Footnote Text Char1,ALTS FOOTNOTE Char2,fn Char2,Footnote Text Char2 Char2,Footnote Text Char Char Char2,Footnote Text Char2 Char Char Char2,Footnote Text Char Char Char1 Char Char2,Footnote Text Char2 Char Char Char1 Char Char2"/>
    <w:basedOn w:val="Normal"/>
    <w:link w:val="FootnoteTextChar3"/>
    <w:uiPriority w:val="99"/>
    <w:semiHidden/>
    <w:rsid w:val="00335E25"/>
    <w:pPr>
      <w:spacing w:after="0"/>
    </w:pPr>
    <w:rPr>
      <w:sz w:val="20"/>
      <w:szCs w:val="20"/>
    </w:rPr>
  </w:style>
  <w:style w:type="character" w:customStyle="1" w:styleId="FootnoteTextChar">
    <w:name w:val="Footnote Text Char"/>
    <w:aliases w:val="Footnote Text Char1 Char,ALTS FOOTNOTE Char2 Char,fn Char2 Char,Footnote Text Char2 Char2 Char,Footnote Text Char Char Char2 Char,Footnote Text Char2 Char Char Char2 Char,Footnote Text Char Char Char1 Char Char2 Char"/>
    <w:basedOn w:val="DefaultParagraphFont"/>
    <w:link w:val="FootnoteText"/>
    <w:uiPriority w:val="99"/>
    <w:semiHidden/>
    <w:rsid w:val="00577F14"/>
    <w:rPr>
      <w:sz w:val="20"/>
      <w:szCs w:val="20"/>
    </w:rPr>
  </w:style>
  <w:style w:type="character" w:customStyle="1" w:styleId="FootnoteTextChar2">
    <w:name w:val="Footnote Text Char2"/>
    <w:aliases w:val="ALTS FOOTNOTE Char,fn Char,Footnote Text Char2 Char,Footnote Text Char Char Char,Footnote Text Char2 Char Char Char,Footnote Text Char Char Char1 Char Char,Footnote Text Char2 Char Char Char1 Char Char,fn Cha Char"/>
    <w:basedOn w:val="DefaultParagraphFont"/>
    <w:link w:val="FootnoteText"/>
    <w:uiPriority w:val="99"/>
    <w:semiHidden/>
    <w:locked/>
    <w:rsid w:val="00F032D9"/>
    <w:rPr>
      <w:rFonts w:cs="Times New Roman"/>
      <w:sz w:val="20"/>
      <w:szCs w:val="20"/>
    </w:rPr>
  </w:style>
  <w:style w:type="character" w:customStyle="1" w:styleId="FootnoteTextChar3">
    <w:name w:val="Footnote Text Char3"/>
    <w:aliases w:val="Footnote Text Char1 Char1,ALTS FOOTNOTE Char2 Char1,fn Char2 Char1,Footnote Text Char2 Char2 Char1,Footnote Text Char Char Char2 Char1,Footnote Text Char2 Char Char Char2 Char1,Footnote Text Char Char Char1 Char Char2 Char1"/>
    <w:basedOn w:val="DefaultParagraphFont"/>
    <w:link w:val="FootnoteText"/>
    <w:uiPriority w:val="99"/>
    <w:semiHidden/>
    <w:locked/>
    <w:rsid w:val="00335E25"/>
    <w:rPr>
      <w:rFonts w:cs="Times New Roman"/>
      <w:sz w:val="20"/>
      <w:szCs w:val="20"/>
    </w:rPr>
  </w:style>
  <w:style w:type="character" w:styleId="FootnoteReference">
    <w:name w:val="footnote reference"/>
    <w:aliases w:val="o,fr,Style 3,Style 17,Style 9,Footnote 1r,Style 5"/>
    <w:basedOn w:val="DefaultParagraphFont"/>
    <w:uiPriority w:val="99"/>
    <w:rsid w:val="00335E25"/>
    <w:rPr>
      <w:rFonts w:cs="Times New Roman"/>
      <w:vertAlign w:val="superscript"/>
    </w:rPr>
  </w:style>
  <w:style w:type="paragraph" w:styleId="BalloonText">
    <w:name w:val="Balloon Text"/>
    <w:basedOn w:val="Normal"/>
    <w:link w:val="BalloonTextChar"/>
    <w:uiPriority w:val="99"/>
    <w:semiHidden/>
    <w:rsid w:val="007574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403"/>
    <w:rPr>
      <w:rFonts w:ascii="Tahoma" w:hAnsi="Tahoma" w:cs="Tahoma"/>
      <w:sz w:val="16"/>
      <w:szCs w:val="16"/>
    </w:rPr>
  </w:style>
  <w:style w:type="character" w:styleId="Hyperlink">
    <w:name w:val="Hyperlink"/>
    <w:basedOn w:val="DefaultParagraphFont"/>
    <w:uiPriority w:val="99"/>
    <w:rsid w:val="00732B12"/>
    <w:rPr>
      <w:rFonts w:cs="Times New Roman"/>
      <w:color w:val="0000FF"/>
      <w:u w:val="single"/>
    </w:rPr>
  </w:style>
  <w:style w:type="paragraph" w:customStyle="1" w:styleId="Question">
    <w:name w:val="Question"/>
    <w:basedOn w:val="Normal"/>
    <w:link w:val="QuestionCharChar"/>
    <w:uiPriority w:val="99"/>
    <w:rsid w:val="009C1066"/>
    <w:pPr>
      <w:spacing w:after="0" w:line="480" w:lineRule="auto"/>
      <w:ind w:left="720" w:hanging="720"/>
      <w:jc w:val="left"/>
    </w:pPr>
    <w:rPr>
      <w:rFonts w:ascii="Times New Roman" w:eastAsia="Times New Roman" w:hAnsi="Times New Roman"/>
      <w:b/>
      <w:caps/>
      <w:sz w:val="24"/>
      <w:szCs w:val="20"/>
    </w:rPr>
  </w:style>
  <w:style w:type="paragraph" w:customStyle="1" w:styleId="Answer">
    <w:name w:val="Answer"/>
    <w:basedOn w:val="Normal"/>
    <w:link w:val="AnswerChar"/>
    <w:uiPriority w:val="99"/>
    <w:rsid w:val="009C1066"/>
    <w:pPr>
      <w:spacing w:after="240" w:line="480" w:lineRule="auto"/>
      <w:ind w:left="720" w:hanging="720"/>
      <w:jc w:val="left"/>
    </w:pPr>
    <w:rPr>
      <w:rFonts w:ascii="Times New Roman" w:eastAsia="Times New Roman" w:hAnsi="Times New Roman"/>
      <w:sz w:val="24"/>
      <w:szCs w:val="20"/>
    </w:rPr>
  </w:style>
  <w:style w:type="character" w:customStyle="1" w:styleId="QuestionCharChar">
    <w:name w:val="Question Char Char"/>
    <w:basedOn w:val="DefaultParagraphFont"/>
    <w:link w:val="Question"/>
    <w:uiPriority w:val="99"/>
    <w:locked/>
    <w:rsid w:val="009C1066"/>
    <w:rPr>
      <w:rFonts w:ascii="Times New Roman" w:hAnsi="Times New Roman" w:cs="Times New Roman"/>
      <w:b/>
      <w:caps/>
      <w:sz w:val="24"/>
    </w:rPr>
  </w:style>
  <w:style w:type="character" w:customStyle="1" w:styleId="AnswerChar">
    <w:name w:val="Answer Char"/>
    <w:basedOn w:val="DefaultParagraphFont"/>
    <w:link w:val="Answer"/>
    <w:uiPriority w:val="99"/>
    <w:locked/>
    <w:rsid w:val="009C1066"/>
    <w:rPr>
      <w:rFonts w:ascii="Times New Roman" w:hAnsi="Times New Roman" w:cs="Times New Roman"/>
      <w:sz w:val="24"/>
    </w:rPr>
  </w:style>
  <w:style w:type="paragraph" w:styleId="BodyText">
    <w:name w:val="Body Text"/>
    <w:basedOn w:val="Normal"/>
    <w:link w:val="BodyTextChar"/>
    <w:uiPriority w:val="99"/>
    <w:rsid w:val="00085FD5"/>
    <w:pPr>
      <w:widowControl w:val="0"/>
      <w:spacing w:after="0" w:line="480" w:lineRule="exact"/>
      <w:ind w:firstLine="720"/>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085FD5"/>
    <w:rPr>
      <w:rFonts w:ascii="Times New Roman" w:hAnsi="Times New Roman" w:cs="Times New Roman"/>
      <w:sz w:val="24"/>
    </w:rPr>
  </w:style>
  <w:style w:type="character" w:styleId="CommentReference">
    <w:name w:val="annotation reference"/>
    <w:basedOn w:val="DefaultParagraphFont"/>
    <w:uiPriority w:val="99"/>
    <w:semiHidden/>
    <w:rsid w:val="00874133"/>
    <w:rPr>
      <w:rFonts w:cs="Times New Roman"/>
      <w:sz w:val="16"/>
      <w:szCs w:val="16"/>
    </w:rPr>
  </w:style>
  <w:style w:type="paragraph" w:styleId="CommentText">
    <w:name w:val="annotation text"/>
    <w:basedOn w:val="Normal"/>
    <w:link w:val="CommentTextChar"/>
    <w:uiPriority w:val="99"/>
    <w:semiHidden/>
    <w:rsid w:val="00874133"/>
    <w:rPr>
      <w:sz w:val="20"/>
      <w:szCs w:val="20"/>
    </w:rPr>
  </w:style>
  <w:style w:type="character" w:customStyle="1" w:styleId="CommentTextChar">
    <w:name w:val="Comment Text Char"/>
    <w:basedOn w:val="DefaultParagraphFont"/>
    <w:link w:val="CommentText"/>
    <w:uiPriority w:val="99"/>
    <w:semiHidden/>
    <w:locked/>
    <w:rsid w:val="00874133"/>
    <w:rPr>
      <w:rFonts w:cs="Times New Roman"/>
    </w:rPr>
  </w:style>
  <w:style w:type="paragraph" w:styleId="CommentSubject">
    <w:name w:val="annotation subject"/>
    <w:basedOn w:val="CommentText"/>
    <w:next w:val="CommentText"/>
    <w:link w:val="CommentSubjectChar"/>
    <w:uiPriority w:val="99"/>
    <w:semiHidden/>
    <w:rsid w:val="00874133"/>
    <w:rPr>
      <w:b/>
      <w:bCs/>
    </w:rPr>
  </w:style>
  <w:style w:type="character" w:customStyle="1" w:styleId="CommentSubjectChar">
    <w:name w:val="Comment Subject Char"/>
    <w:basedOn w:val="CommentTextChar"/>
    <w:link w:val="CommentSubject"/>
    <w:uiPriority w:val="99"/>
    <w:semiHidden/>
    <w:locked/>
    <w:rsid w:val="00874133"/>
    <w:rPr>
      <w:b/>
      <w:bCs/>
    </w:rPr>
  </w:style>
  <w:style w:type="paragraph" w:styleId="Revision">
    <w:name w:val="Revision"/>
    <w:hidden/>
    <w:uiPriority w:val="99"/>
    <w:semiHidden/>
    <w:rsid w:val="004C0307"/>
  </w:style>
  <w:style w:type="paragraph" w:styleId="Header">
    <w:name w:val="header"/>
    <w:basedOn w:val="Normal"/>
    <w:link w:val="HeaderChar"/>
    <w:uiPriority w:val="99"/>
    <w:rsid w:val="00FB2066"/>
    <w:pPr>
      <w:tabs>
        <w:tab w:val="center" w:pos="4680"/>
        <w:tab w:val="right" w:pos="9360"/>
      </w:tabs>
      <w:spacing w:after="0"/>
    </w:pPr>
  </w:style>
  <w:style w:type="character" w:customStyle="1" w:styleId="HeaderChar">
    <w:name w:val="Header Char"/>
    <w:basedOn w:val="DefaultParagraphFont"/>
    <w:link w:val="Header"/>
    <w:uiPriority w:val="99"/>
    <w:locked/>
    <w:rsid w:val="00FB2066"/>
    <w:rPr>
      <w:rFonts w:cs="Times New Roman"/>
      <w:sz w:val="22"/>
      <w:szCs w:val="22"/>
    </w:rPr>
  </w:style>
  <w:style w:type="paragraph" w:styleId="Footer">
    <w:name w:val="footer"/>
    <w:basedOn w:val="Normal"/>
    <w:link w:val="FooterChar"/>
    <w:uiPriority w:val="99"/>
    <w:semiHidden/>
    <w:rsid w:val="00FB2066"/>
    <w:pPr>
      <w:tabs>
        <w:tab w:val="center" w:pos="4680"/>
        <w:tab w:val="right" w:pos="9360"/>
      </w:tabs>
      <w:spacing w:after="0"/>
    </w:pPr>
  </w:style>
  <w:style w:type="character" w:customStyle="1" w:styleId="FooterChar">
    <w:name w:val="Footer Char"/>
    <w:basedOn w:val="DefaultParagraphFont"/>
    <w:link w:val="Footer"/>
    <w:uiPriority w:val="99"/>
    <w:semiHidden/>
    <w:locked/>
    <w:rsid w:val="00FB2066"/>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684897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2010-04-07T07:00:00+00:00</OpenedDate>
    <Date1 xmlns="dc463f71-b30c-4ab2-9473-d307f9d35888">2010-09-17T07:00:00+00:00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FB75134C8974E85C00FB4D29BB1AC" ma:contentTypeVersion="131" ma:contentTypeDescription="" ma:contentTypeScope="" ma:versionID="b7b9907a3537b18e4795b786a84ba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0884CC-5CB7-4B82-8B64-83B828938B00}"/>
</file>

<file path=customXml/itemProps2.xml><?xml version="1.0" encoding="utf-8"?>
<ds:datastoreItem xmlns:ds="http://schemas.openxmlformats.org/officeDocument/2006/customXml" ds:itemID="{07F45559-CEE5-467C-AE4A-A367AC9AF205}"/>
</file>

<file path=customXml/itemProps3.xml><?xml version="1.0" encoding="utf-8"?>
<ds:datastoreItem xmlns:ds="http://schemas.openxmlformats.org/officeDocument/2006/customXml" ds:itemID="{77F543F8-4980-491B-9658-D7740A4D6D4A}"/>
</file>

<file path=customXml/itemProps4.xml><?xml version="1.0" encoding="utf-8"?>
<ds:datastoreItem xmlns:ds="http://schemas.openxmlformats.org/officeDocument/2006/customXml" ds:itemID="{6AA6A6FD-7E8D-4420-AA27-61F736BB1F98}"/>
</file>

<file path=customXml/itemProps5.xml><?xml version="1.0" encoding="utf-8"?>
<ds:datastoreItem xmlns:ds="http://schemas.openxmlformats.org/officeDocument/2006/customXml" ds:itemID="{28AD673C-7ABF-474F-B171-985F647147B9}"/>
</file>

<file path=docProps/app.xml><?xml version="1.0" encoding="utf-8"?>
<Properties xmlns="http://schemas.openxmlformats.org/officeDocument/2006/extended-properties" xmlns:vt="http://schemas.openxmlformats.org/officeDocument/2006/docPropsVTypes">
  <Template>Normal.dotm</Template>
  <TotalTime>2</TotalTime>
  <Pages>11</Pages>
  <Words>2411</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Integra</cp:lastModifiedBy>
  <cp:revision>2</cp:revision>
  <cp:lastPrinted>2010-06-16T10:48:00Z</cp:lastPrinted>
  <dcterms:created xsi:type="dcterms:W3CDTF">2010-09-17T20:14:00Z</dcterms:created>
  <dcterms:modified xsi:type="dcterms:W3CDTF">2010-09-17T20:14:00Z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0x0101006E56B4D1795A2E4DB2F0B01679ED314A00BACFB75134C8974E85C00FB4D29BB1AC</vt:lpwstr>
  </property>
  <property fmtid="{D5CDD505-2E9C-101B-9397-08002B2CF9AE}" pid="3" name="_docset_NoMedatataSyncRequired">
    <vt:lpwstr>False</vt:lpwstr>
  </property>
</Properties>
</file>