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32" w:rsidRPr="002532DF" w:rsidRDefault="00F27132" w:rsidP="00990877">
      <w:pPr>
        <w:pStyle w:val="Title"/>
        <w:rPr>
          <w:rFonts w:ascii="Times New Roman" w:hAnsi="Times New Roman"/>
          <w:sz w:val="25"/>
          <w:szCs w:val="25"/>
        </w:rPr>
      </w:pPr>
      <w:bookmarkStart w:id="0" w:name="_GoBack"/>
      <w:bookmarkEnd w:id="0"/>
      <w:r w:rsidRPr="002532DF">
        <w:rPr>
          <w:rFonts w:ascii="Times New Roman" w:hAnsi="Times New Roman"/>
          <w:sz w:val="25"/>
          <w:szCs w:val="25"/>
        </w:rPr>
        <w:t xml:space="preserve">BEFORE THE </w:t>
      </w:r>
      <w:smartTag w:uri="urn:schemas-microsoft-com:office:smarttags" w:element="place">
        <w:smartTag w:uri="urn:schemas-microsoft-com:office:smarttags" w:element="PlaceName">
          <w:r w:rsidRPr="002532DF">
            <w:rPr>
              <w:rFonts w:ascii="Times New Roman" w:hAnsi="Times New Roman"/>
              <w:sz w:val="25"/>
              <w:szCs w:val="25"/>
            </w:rPr>
            <w:t>WASHINGTON</w:t>
          </w:r>
        </w:smartTag>
        <w:r w:rsidRPr="002532DF">
          <w:rPr>
            <w:rFonts w:ascii="Times New Roman" w:hAnsi="Times New Roman"/>
            <w:sz w:val="25"/>
            <w:szCs w:val="25"/>
          </w:rPr>
          <w:t xml:space="preserve"> </w:t>
        </w:r>
        <w:smartTag w:uri="urn:schemas-microsoft-com:office:smarttags" w:element="PlaceType">
          <w:r w:rsidRPr="002532DF">
            <w:rPr>
              <w:rFonts w:ascii="Times New Roman" w:hAnsi="Times New Roman"/>
              <w:sz w:val="25"/>
              <w:szCs w:val="25"/>
            </w:rPr>
            <w:t>STATE</w:t>
          </w:r>
        </w:smartTag>
      </w:smartTag>
    </w:p>
    <w:p w:rsidR="00F27132" w:rsidRPr="002532DF" w:rsidRDefault="00F27132" w:rsidP="00990877">
      <w:pPr>
        <w:jc w:val="center"/>
        <w:rPr>
          <w:b/>
          <w:sz w:val="25"/>
          <w:szCs w:val="25"/>
        </w:rPr>
      </w:pPr>
      <w:r w:rsidRPr="002532DF">
        <w:rPr>
          <w:b/>
          <w:sz w:val="25"/>
          <w:szCs w:val="25"/>
        </w:rPr>
        <w:t>UTILITIES AND TRANSPORTATION COMMISSION</w:t>
      </w:r>
    </w:p>
    <w:p w:rsidR="00F27132" w:rsidRPr="002532DF" w:rsidRDefault="00F27132" w:rsidP="00990877">
      <w:pPr>
        <w:jc w:val="center"/>
        <w:rPr>
          <w:sz w:val="25"/>
          <w:szCs w:val="25"/>
        </w:rPr>
      </w:pPr>
    </w:p>
    <w:p w:rsidR="0028219C" w:rsidRPr="002532DF" w:rsidRDefault="0028219C" w:rsidP="00990877">
      <w:pPr>
        <w:jc w:val="center"/>
        <w:rPr>
          <w:sz w:val="25"/>
          <w:szCs w:val="25"/>
        </w:rPr>
      </w:pPr>
    </w:p>
    <w:tbl>
      <w:tblPr>
        <w:tblW w:w="0" w:type="auto"/>
        <w:tblLook w:val="01E0" w:firstRow="1" w:lastRow="1" w:firstColumn="1" w:lastColumn="1" w:noHBand="0" w:noVBand="0"/>
      </w:tblPr>
      <w:tblGrid>
        <w:gridCol w:w="4423"/>
        <w:gridCol w:w="365"/>
        <w:gridCol w:w="4068"/>
      </w:tblGrid>
      <w:tr w:rsidR="00DE0D92" w:rsidRPr="002532DF" w:rsidTr="00542187">
        <w:tc>
          <w:tcPr>
            <w:tcW w:w="4423" w:type="dxa"/>
          </w:tcPr>
          <w:p w:rsidR="00DE0D92" w:rsidRPr="002532DF" w:rsidRDefault="00470D0C" w:rsidP="00990877">
            <w:pPr>
              <w:rPr>
                <w:sz w:val="25"/>
                <w:szCs w:val="25"/>
              </w:rPr>
            </w:pPr>
            <w:smartTag w:uri="urn:schemas-microsoft-com:office:smarttags" w:element="State">
              <w:smartTag w:uri="urn:schemas-microsoft-com:office:smarttags" w:element="place">
                <w:r w:rsidRPr="002532DF">
                  <w:rPr>
                    <w:sz w:val="25"/>
                    <w:szCs w:val="25"/>
                  </w:rPr>
                  <w:t>WASHINGTON</w:t>
                </w:r>
              </w:smartTag>
            </w:smartTag>
            <w:r w:rsidRPr="002532DF">
              <w:rPr>
                <w:sz w:val="25"/>
                <w:szCs w:val="25"/>
              </w:rPr>
              <w:t xml:space="preserve"> U</w:t>
            </w:r>
            <w:r w:rsidR="00542187" w:rsidRPr="002532DF">
              <w:rPr>
                <w:sz w:val="25"/>
                <w:szCs w:val="25"/>
              </w:rPr>
              <w:t xml:space="preserve">TILITIES AND TRANSPORTATION </w:t>
            </w:r>
            <w:r w:rsidRPr="002532DF">
              <w:rPr>
                <w:sz w:val="25"/>
                <w:szCs w:val="25"/>
              </w:rPr>
              <w:t>COMMISSION,</w:t>
            </w:r>
          </w:p>
          <w:p w:rsidR="00470D0C" w:rsidRPr="002532DF" w:rsidRDefault="00470D0C" w:rsidP="00990877">
            <w:pPr>
              <w:rPr>
                <w:sz w:val="25"/>
                <w:szCs w:val="25"/>
              </w:rPr>
            </w:pPr>
          </w:p>
          <w:p w:rsidR="00470D0C" w:rsidRPr="002532DF" w:rsidRDefault="00470D0C" w:rsidP="00990877">
            <w:pPr>
              <w:tabs>
                <w:tab w:val="left" w:pos="2145"/>
              </w:tabs>
              <w:rPr>
                <w:sz w:val="25"/>
                <w:szCs w:val="25"/>
              </w:rPr>
            </w:pPr>
            <w:r w:rsidRPr="002532DF">
              <w:rPr>
                <w:sz w:val="25"/>
                <w:szCs w:val="25"/>
              </w:rPr>
              <w:tab/>
              <w:t>Complainant,</w:t>
            </w:r>
          </w:p>
          <w:p w:rsidR="00470D0C" w:rsidRPr="002532DF" w:rsidRDefault="00470D0C" w:rsidP="00990877">
            <w:pPr>
              <w:tabs>
                <w:tab w:val="left" w:pos="2145"/>
              </w:tabs>
              <w:rPr>
                <w:sz w:val="25"/>
                <w:szCs w:val="25"/>
              </w:rPr>
            </w:pPr>
          </w:p>
          <w:p w:rsidR="00470D0C" w:rsidRPr="002532DF" w:rsidRDefault="00470D0C" w:rsidP="00990877">
            <w:pPr>
              <w:tabs>
                <w:tab w:val="left" w:pos="2145"/>
              </w:tabs>
              <w:rPr>
                <w:sz w:val="25"/>
                <w:szCs w:val="25"/>
              </w:rPr>
            </w:pPr>
            <w:r w:rsidRPr="002532DF">
              <w:rPr>
                <w:sz w:val="25"/>
                <w:szCs w:val="25"/>
              </w:rPr>
              <w:t>v.</w:t>
            </w:r>
          </w:p>
          <w:p w:rsidR="00470D0C" w:rsidRPr="002532DF" w:rsidRDefault="00470D0C" w:rsidP="00990877">
            <w:pPr>
              <w:tabs>
                <w:tab w:val="left" w:pos="2145"/>
              </w:tabs>
              <w:rPr>
                <w:sz w:val="25"/>
                <w:szCs w:val="25"/>
              </w:rPr>
            </w:pPr>
          </w:p>
          <w:p w:rsidR="00470D0C" w:rsidRPr="002532DF" w:rsidRDefault="00470D0C" w:rsidP="00990877">
            <w:pPr>
              <w:tabs>
                <w:tab w:val="left" w:pos="2145"/>
              </w:tabs>
              <w:rPr>
                <w:sz w:val="25"/>
                <w:szCs w:val="25"/>
              </w:rPr>
            </w:pPr>
            <w:r w:rsidRPr="002532DF">
              <w:rPr>
                <w:sz w:val="25"/>
                <w:szCs w:val="25"/>
              </w:rPr>
              <w:t>PACIFICORP D/B/A PACIFIC POWER &amp; LIGHT COMPANY,</w:t>
            </w:r>
          </w:p>
          <w:p w:rsidR="00470D0C" w:rsidRPr="002532DF" w:rsidRDefault="00470D0C" w:rsidP="00990877">
            <w:pPr>
              <w:tabs>
                <w:tab w:val="left" w:pos="2145"/>
              </w:tabs>
              <w:rPr>
                <w:sz w:val="25"/>
                <w:szCs w:val="25"/>
              </w:rPr>
            </w:pPr>
          </w:p>
          <w:p w:rsidR="00470D0C" w:rsidRDefault="00470D0C" w:rsidP="00990877">
            <w:pPr>
              <w:tabs>
                <w:tab w:val="left" w:pos="2145"/>
              </w:tabs>
              <w:rPr>
                <w:sz w:val="25"/>
                <w:szCs w:val="25"/>
              </w:rPr>
            </w:pPr>
            <w:r w:rsidRPr="002532DF">
              <w:rPr>
                <w:sz w:val="25"/>
                <w:szCs w:val="25"/>
              </w:rPr>
              <w:tab/>
              <w:t>Respondent.</w:t>
            </w:r>
          </w:p>
          <w:p w:rsidR="007C1ABC" w:rsidRPr="002532DF" w:rsidRDefault="007C1ABC" w:rsidP="00990877">
            <w:pPr>
              <w:tabs>
                <w:tab w:val="left" w:pos="2145"/>
              </w:tabs>
              <w:rPr>
                <w:sz w:val="25"/>
                <w:szCs w:val="25"/>
              </w:rPr>
            </w:pPr>
          </w:p>
          <w:p w:rsidR="00F27132" w:rsidRPr="002532DF" w:rsidRDefault="00F27132" w:rsidP="00990877">
            <w:pPr>
              <w:rPr>
                <w:sz w:val="25"/>
                <w:szCs w:val="25"/>
              </w:rPr>
            </w:pPr>
            <w:r w:rsidRPr="002532DF">
              <w:rPr>
                <w:sz w:val="25"/>
                <w:szCs w:val="25"/>
              </w:rPr>
              <w:t xml:space="preserve">. . . . . . . . . . . . . . . . . . . . . . . . . . . . . . </w:t>
            </w:r>
            <w:r w:rsidR="00EF4D6E" w:rsidRPr="002532DF">
              <w:rPr>
                <w:sz w:val="25"/>
                <w:szCs w:val="25"/>
              </w:rPr>
              <w:t xml:space="preserve">. . . . </w:t>
            </w:r>
          </w:p>
        </w:tc>
        <w:tc>
          <w:tcPr>
            <w:tcW w:w="365" w:type="dxa"/>
          </w:tcPr>
          <w:p w:rsidR="00F27132" w:rsidRPr="002532DF" w:rsidRDefault="00F27132" w:rsidP="00990877">
            <w:pPr>
              <w:pStyle w:val="BodyText"/>
              <w:rPr>
                <w:rFonts w:ascii="Times New Roman" w:hAnsi="Times New Roman"/>
                <w:sz w:val="25"/>
                <w:szCs w:val="25"/>
              </w:rPr>
            </w:pPr>
            <w:r w:rsidRPr="002532DF">
              <w:rPr>
                <w:rFonts w:ascii="Times New Roman" w:hAnsi="Times New Roman"/>
                <w:sz w:val="25"/>
                <w:szCs w:val="25"/>
              </w:rPr>
              <w:t>)</w:t>
            </w:r>
            <w:r w:rsidRPr="002532DF">
              <w:rPr>
                <w:rFonts w:ascii="Times New Roman" w:hAnsi="Times New Roman"/>
                <w:sz w:val="25"/>
                <w:szCs w:val="25"/>
              </w:rPr>
              <w:br/>
              <w:t>)</w:t>
            </w:r>
            <w:r w:rsidRPr="002532DF">
              <w:rPr>
                <w:rFonts w:ascii="Times New Roman" w:hAnsi="Times New Roman"/>
                <w:sz w:val="25"/>
                <w:szCs w:val="25"/>
              </w:rPr>
              <w:br/>
              <w:t>)</w:t>
            </w:r>
            <w:r w:rsidRPr="002532DF">
              <w:rPr>
                <w:rFonts w:ascii="Times New Roman" w:hAnsi="Times New Roman"/>
                <w:sz w:val="25"/>
                <w:szCs w:val="25"/>
              </w:rPr>
              <w:br/>
              <w:t>)</w:t>
            </w:r>
            <w:r w:rsidRPr="002532DF">
              <w:rPr>
                <w:rFonts w:ascii="Times New Roman" w:hAnsi="Times New Roman"/>
                <w:sz w:val="25"/>
                <w:szCs w:val="25"/>
              </w:rPr>
              <w:br/>
              <w:t>)</w:t>
            </w:r>
            <w:r w:rsidRPr="002532DF">
              <w:rPr>
                <w:rFonts w:ascii="Times New Roman" w:hAnsi="Times New Roman"/>
                <w:sz w:val="25"/>
                <w:szCs w:val="25"/>
              </w:rPr>
              <w:br/>
              <w:t>)</w:t>
            </w:r>
            <w:r w:rsidRPr="002532DF">
              <w:rPr>
                <w:rFonts w:ascii="Times New Roman" w:hAnsi="Times New Roman"/>
                <w:sz w:val="25"/>
                <w:szCs w:val="25"/>
              </w:rPr>
              <w:br/>
              <w:t>)</w:t>
            </w:r>
            <w:r w:rsidRPr="002532DF">
              <w:rPr>
                <w:rFonts w:ascii="Times New Roman" w:hAnsi="Times New Roman"/>
                <w:sz w:val="25"/>
                <w:szCs w:val="25"/>
              </w:rPr>
              <w:br/>
              <w:t>)</w:t>
            </w:r>
            <w:r w:rsidRPr="002532DF">
              <w:rPr>
                <w:rFonts w:ascii="Times New Roman" w:hAnsi="Times New Roman"/>
                <w:sz w:val="25"/>
                <w:szCs w:val="25"/>
              </w:rPr>
              <w:br/>
              <w:t>)</w:t>
            </w:r>
            <w:r w:rsidRPr="002532DF">
              <w:rPr>
                <w:rFonts w:ascii="Times New Roman" w:hAnsi="Times New Roman"/>
                <w:sz w:val="25"/>
                <w:szCs w:val="25"/>
              </w:rPr>
              <w:br/>
              <w:t>)</w:t>
            </w:r>
          </w:p>
          <w:p w:rsidR="00470D0C" w:rsidRPr="002532DF" w:rsidRDefault="00470D0C" w:rsidP="00990877">
            <w:pPr>
              <w:pStyle w:val="BodyText"/>
              <w:rPr>
                <w:rFonts w:ascii="Times New Roman" w:hAnsi="Times New Roman"/>
                <w:sz w:val="25"/>
                <w:szCs w:val="25"/>
              </w:rPr>
            </w:pPr>
            <w:r w:rsidRPr="002532DF">
              <w:rPr>
                <w:rFonts w:ascii="Times New Roman" w:hAnsi="Times New Roman"/>
                <w:sz w:val="25"/>
                <w:szCs w:val="25"/>
              </w:rPr>
              <w:t>)</w:t>
            </w:r>
          </w:p>
          <w:p w:rsidR="00470D0C" w:rsidRDefault="00470D0C" w:rsidP="000E101D">
            <w:pPr>
              <w:pStyle w:val="BodyText"/>
              <w:rPr>
                <w:rFonts w:ascii="Times New Roman" w:hAnsi="Times New Roman"/>
                <w:sz w:val="25"/>
                <w:szCs w:val="25"/>
              </w:rPr>
            </w:pPr>
            <w:r w:rsidRPr="002532DF">
              <w:rPr>
                <w:rFonts w:ascii="Times New Roman" w:hAnsi="Times New Roman"/>
                <w:sz w:val="25"/>
                <w:szCs w:val="25"/>
              </w:rPr>
              <w:t>)</w:t>
            </w:r>
          </w:p>
          <w:p w:rsidR="007C1ABC" w:rsidRPr="002532DF" w:rsidRDefault="007C1ABC" w:rsidP="000E101D">
            <w:pPr>
              <w:pStyle w:val="BodyText"/>
              <w:rPr>
                <w:rFonts w:ascii="Times New Roman" w:hAnsi="Times New Roman"/>
                <w:sz w:val="25"/>
                <w:szCs w:val="25"/>
              </w:rPr>
            </w:pPr>
            <w:r>
              <w:rPr>
                <w:rFonts w:ascii="Times New Roman" w:hAnsi="Times New Roman"/>
                <w:sz w:val="25"/>
                <w:szCs w:val="25"/>
              </w:rPr>
              <w:t>)</w:t>
            </w:r>
          </w:p>
        </w:tc>
        <w:tc>
          <w:tcPr>
            <w:tcW w:w="4068" w:type="dxa"/>
          </w:tcPr>
          <w:p w:rsidR="00F27132" w:rsidRPr="002532DF" w:rsidRDefault="003F2878" w:rsidP="00990877">
            <w:pPr>
              <w:rPr>
                <w:sz w:val="25"/>
                <w:szCs w:val="25"/>
              </w:rPr>
            </w:pPr>
            <w:r w:rsidRPr="002532DF">
              <w:rPr>
                <w:sz w:val="25"/>
                <w:szCs w:val="25"/>
              </w:rPr>
              <w:t>DOCKET</w:t>
            </w:r>
            <w:r w:rsidR="00F27132" w:rsidRPr="002532DF">
              <w:rPr>
                <w:sz w:val="25"/>
                <w:szCs w:val="25"/>
              </w:rPr>
              <w:t xml:space="preserve"> </w:t>
            </w:r>
            <w:r w:rsidR="00DE0D92" w:rsidRPr="002532DF">
              <w:rPr>
                <w:sz w:val="25"/>
                <w:szCs w:val="25"/>
              </w:rPr>
              <w:t>UE-</w:t>
            </w:r>
            <w:r w:rsidR="00AA6684" w:rsidRPr="002532DF">
              <w:rPr>
                <w:sz w:val="25"/>
                <w:szCs w:val="25"/>
              </w:rPr>
              <w:t>100749</w:t>
            </w:r>
          </w:p>
          <w:p w:rsidR="00F27132" w:rsidRPr="002532DF" w:rsidRDefault="00F27132" w:rsidP="00990877">
            <w:pPr>
              <w:rPr>
                <w:sz w:val="25"/>
                <w:szCs w:val="25"/>
              </w:rPr>
            </w:pPr>
          </w:p>
          <w:p w:rsidR="00F27132" w:rsidRPr="002532DF" w:rsidRDefault="00F27132" w:rsidP="00990877">
            <w:pPr>
              <w:rPr>
                <w:sz w:val="25"/>
                <w:szCs w:val="25"/>
              </w:rPr>
            </w:pPr>
          </w:p>
          <w:p w:rsidR="000318CE" w:rsidRPr="002532DF" w:rsidRDefault="000318CE" w:rsidP="00990877">
            <w:pPr>
              <w:rPr>
                <w:sz w:val="25"/>
                <w:szCs w:val="25"/>
              </w:rPr>
            </w:pPr>
            <w:r w:rsidRPr="002532DF">
              <w:rPr>
                <w:sz w:val="25"/>
                <w:szCs w:val="25"/>
              </w:rPr>
              <w:t>ORDER 0</w:t>
            </w:r>
            <w:r w:rsidR="00CB67F6">
              <w:rPr>
                <w:sz w:val="25"/>
                <w:szCs w:val="25"/>
              </w:rPr>
              <w:t>7</w:t>
            </w:r>
          </w:p>
          <w:p w:rsidR="00F27132" w:rsidRPr="002532DF" w:rsidRDefault="00F27132" w:rsidP="00990877">
            <w:pPr>
              <w:rPr>
                <w:sz w:val="25"/>
                <w:szCs w:val="25"/>
              </w:rPr>
            </w:pPr>
          </w:p>
          <w:p w:rsidR="00875868" w:rsidRPr="002532DF" w:rsidRDefault="00875868" w:rsidP="00990877">
            <w:pPr>
              <w:rPr>
                <w:sz w:val="25"/>
                <w:szCs w:val="25"/>
              </w:rPr>
            </w:pPr>
          </w:p>
          <w:p w:rsidR="00F27132" w:rsidRPr="002532DF" w:rsidRDefault="002D260B" w:rsidP="004A0F6B">
            <w:pPr>
              <w:rPr>
                <w:sz w:val="25"/>
                <w:szCs w:val="25"/>
              </w:rPr>
            </w:pPr>
            <w:r w:rsidRPr="002532DF">
              <w:rPr>
                <w:sz w:val="25"/>
                <w:szCs w:val="25"/>
              </w:rPr>
              <w:t>ORDER</w:t>
            </w:r>
            <w:r w:rsidR="00A15753" w:rsidRPr="002532DF">
              <w:rPr>
                <w:sz w:val="25"/>
                <w:szCs w:val="25"/>
              </w:rPr>
              <w:t xml:space="preserve"> </w:t>
            </w:r>
            <w:r w:rsidR="00CB67F6">
              <w:rPr>
                <w:sz w:val="25"/>
                <w:szCs w:val="25"/>
              </w:rPr>
              <w:t>DENY</w:t>
            </w:r>
            <w:r w:rsidR="00A15753" w:rsidRPr="002532DF">
              <w:t xml:space="preserve">ING </w:t>
            </w:r>
            <w:r w:rsidR="00CB67F6">
              <w:t xml:space="preserve">PETITIONS FOR RECONSIDERATION </w:t>
            </w:r>
            <w:r w:rsidR="00EC5736">
              <w:t>AND GRANTING CLARIFICATION</w:t>
            </w:r>
          </w:p>
        </w:tc>
      </w:tr>
    </w:tbl>
    <w:p w:rsidR="002D260B" w:rsidRPr="002532DF" w:rsidRDefault="002D260B" w:rsidP="00990877">
      <w:pPr>
        <w:jc w:val="center"/>
        <w:rPr>
          <w:b/>
          <w:sz w:val="25"/>
          <w:szCs w:val="25"/>
        </w:rPr>
      </w:pPr>
    </w:p>
    <w:p w:rsidR="002D260B" w:rsidRPr="002532DF" w:rsidRDefault="002D260B" w:rsidP="000E101D">
      <w:pPr>
        <w:pStyle w:val="NoSpacing"/>
        <w:spacing w:line="264" w:lineRule="auto"/>
        <w:rPr>
          <w:sz w:val="25"/>
          <w:szCs w:val="25"/>
        </w:rPr>
      </w:pPr>
    </w:p>
    <w:p w:rsidR="009C39DF" w:rsidRPr="002532DF" w:rsidRDefault="00443686" w:rsidP="006F5B55">
      <w:pPr>
        <w:pStyle w:val="NoSpacing"/>
        <w:spacing w:line="288" w:lineRule="auto"/>
        <w:rPr>
          <w:i/>
          <w:sz w:val="25"/>
          <w:szCs w:val="25"/>
        </w:rPr>
      </w:pPr>
      <w:bookmarkStart w:id="1" w:name="_Toc168986350"/>
      <w:r w:rsidRPr="002532DF">
        <w:rPr>
          <w:b/>
          <w:i/>
          <w:sz w:val="25"/>
          <w:szCs w:val="25"/>
        </w:rPr>
        <w:t>Synopsis</w:t>
      </w:r>
      <w:r w:rsidRPr="002532DF">
        <w:rPr>
          <w:i/>
          <w:sz w:val="25"/>
          <w:szCs w:val="25"/>
        </w:rPr>
        <w:t>:</w:t>
      </w:r>
      <w:bookmarkEnd w:id="1"/>
      <w:r w:rsidR="00883D91" w:rsidRPr="002532DF">
        <w:rPr>
          <w:sz w:val="25"/>
          <w:szCs w:val="25"/>
        </w:rPr>
        <w:t xml:space="preserve"> </w:t>
      </w:r>
      <w:r w:rsidR="00A16601" w:rsidRPr="002532DF">
        <w:rPr>
          <w:i/>
          <w:sz w:val="25"/>
          <w:szCs w:val="25"/>
        </w:rPr>
        <w:t xml:space="preserve">The Commission </w:t>
      </w:r>
      <w:r w:rsidR="00CB67F6">
        <w:rPr>
          <w:i/>
          <w:sz w:val="25"/>
          <w:szCs w:val="25"/>
        </w:rPr>
        <w:t xml:space="preserve">denies the petitions filed by </w:t>
      </w:r>
      <w:r w:rsidR="00A16601" w:rsidRPr="002532DF">
        <w:rPr>
          <w:i/>
          <w:sz w:val="25"/>
          <w:szCs w:val="25"/>
        </w:rPr>
        <w:t xml:space="preserve">PacifiCorp </w:t>
      </w:r>
      <w:r w:rsidR="00CB67F6">
        <w:rPr>
          <w:i/>
          <w:sz w:val="25"/>
          <w:szCs w:val="25"/>
        </w:rPr>
        <w:t xml:space="preserve">and </w:t>
      </w:r>
      <w:r w:rsidR="00BA60FE">
        <w:rPr>
          <w:i/>
          <w:sz w:val="25"/>
          <w:szCs w:val="25"/>
        </w:rPr>
        <w:t xml:space="preserve">Commission </w:t>
      </w:r>
      <w:r w:rsidR="00CB67F6">
        <w:rPr>
          <w:i/>
          <w:sz w:val="25"/>
          <w:szCs w:val="25"/>
        </w:rPr>
        <w:t xml:space="preserve">Staff </w:t>
      </w:r>
      <w:r w:rsidR="001848B3">
        <w:rPr>
          <w:i/>
          <w:sz w:val="25"/>
          <w:szCs w:val="25"/>
        </w:rPr>
        <w:t>requesting reconsideration of the Commission’s decisions</w:t>
      </w:r>
      <w:r w:rsidR="004A0F6B">
        <w:rPr>
          <w:i/>
          <w:sz w:val="25"/>
          <w:szCs w:val="25"/>
        </w:rPr>
        <w:t xml:space="preserve"> </w:t>
      </w:r>
      <w:r w:rsidR="004616C2">
        <w:rPr>
          <w:i/>
          <w:sz w:val="25"/>
          <w:szCs w:val="25"/>
        </w:rPr>
        <w:t>in its Final Order</w:t>
      </w:r>
      <w:r w:rsidR="001848B3">
        <w:rPr>
          <w:i/>
          <w:sz w:val="25"/>
          <w:szCs w:val="25"/>
        </w:rPr>
        <w:t xml:space="preserve"> regarding capital structure, cost of capital, </w:t>
      </w:r>
      <w:r w:rsidR="001F071B">
        <w:rPr>
          <w:i/>
          <w:sz w:val="25"/>
          <w:szCs w:val="25"/>
        </w:rPr>
        <w:t>certain net power costs, and</w:t>
      </w:r>
      <w:r w:rsidR="004616C2">
        <w:rPr>
          <w:i/>
          <w:sz w:val="25"/>
          <w:szCs w:val="25"/>
        </w:rPr>
        <w:t xml:space="preserve"> income tax </w:t>
      </w:r>
      <w:r w:rsidR="001F071B">
        <w:rPr>
          <w:i/>
          <w:sz w:val="25"/>
          <w:szCs w:val="25"/>
        </w:rPr>
        <w:t xml:space="preserve">normalization.  </w:t>
      </w:r>
      <w:r w:rsidR="00CB67F6">
        <w:rPr>
          <w:i/>
          <w:sz w:val="25"/>
          <w:szCs w:val="25"/>
        </w:rPr>
        <w:t xml:space="preserve">The Commission </w:t>
      </w:r>
      <w:r w:rsidR="00167A55">
        <w:rPr>
          <w:i/>
          <w:sz w:val="25"/>
          <w:szCs w:val="25"/>
        </w:rPr>
        <w:t>clarifies</w:t>
      </w:r>
      <w:r w:rsidR="00CB67F6">
        <w:rPr>
          <w:i/>
          <w:sz w:val="25"/>
          <w:szCs w:val="25"/>
        </w:rPr>
        <w:t xml:space="preserve"> its </w:t>
      </w:r>
      <w:r w:rsidR="004A0F6B">
        <w:rPr>
          <w:i/>
          <w:sz w:val="25"/>
          <w:szCs w:val="25"/>
        </w:rPr>
        <w:t xml:space="preserve">ruling on </w:t>
      </w:r>
      <w:r w:rsidR="00167A55">
        <w:rPr>
          <w:i/>
          <w:sz w:val="25"/>
          <w:szCs w:val="25"/>
        </w:rPr>
        <w:t>arbitrage sales revenues</w:t>
      </w:r>
      <w:r w:rsidR="004A0F6B">
        <w:rPr>
          <w:i/>
          <w:sz w:val="25"/>
          <w:szCs w:val="25"/>
        </w:rPr>
        <w:t xml:space="preserve"> and its </w:t>
      </w:r>
      <w:r w:rsidR="00CB67F6">
        <w:rPr>
          <w:i/>
          <w:sz w:val="25"/>
          <w:szCs w:val="25"/>
        </w:rPr>
        <w:t>policy regarding</w:t>
      </w:r>
      <w:r w:rsidR="004616C2">
        <w:rPr>
          <w:i/>
          <w:sz w:val="25"/>
          <w:szCs w:val="25"/>
        </w:rPr>
        <w:t xml:space="preserve"> tax </w:t>
      </w:r>
      <w:r w:rsidR="00CB67F6">
        <w:rPr>
          <w:i/>
          <w:sz w:val="25"/>
          <w:szCs w:val="25"/>
        </w:rPr>
        <w:t>normalization</w:t>
      </w:r>
      <w:r w:rsidR="008172CE">
        <w:rPr>
          <w:i/>
          <w:sz w:val="25"/>
          <w:szCs w:val="25"/>
        </w:rPr>
        <w:t>.</w:t>
      </w:r>
    </w:p>
    <w:p w:rsidR="00AD45E6" w:rsidRPr="00BB16CE" w:rsidRDefault="00AD45E6" w:rsidP="006F5B55">
      <w:pPr>
        <w:pStyle w:val="NoSpacing"/>
        <w:spacing w:line="288" w:lineRule="auto"/>
      </w:pPr>
    </w:p>
    <w:p w:rsidR="0072066A" w:rsidRPr="00BB16CE" w:rsidRDefault="002532DF" w:rsidP="006F5B55">
      <w:pPr>
        <w:pStyle w:val="NoSpacing"/>
        <w:spacing w:line="288" w:lineRule="auto"/>
        <w:jc w:val="center"/>
        <w:rPr>
          <w:b/>
          <w:u w:val="single"/>
        </w:rPr>
      </w:pPr>
      <w:bookmarkStart w:id="2" w:name="_Toc168986351"/>
      <w:bookmarkStart w:id="3" w:name="_Toc288813717"/>
      <w:r w:rsidRPr="00BB16CE">
        <w:rPr>
          <w:b/>
          <w:u w:val="single"/>
        </w:rPr>
        <w:t>MEMORANDUM</w:t>
      </w:r>
      <w:bookmarkEnd w:id="2"/>
      <w:bookmarkEnd w:id="3"/>
    </w:p>
    <w:p w:rsidR="0072066A" w:rsidRPr="002532DF" w:rsidRDefault="0072066A" w:rsidP="006F5B55">
      <w:pPr>
        <w:pStyle w:val="NoSpacing"/>
        <w:spacing w:line="288" w:lineRule="auto"/>
      </w:pPr>
    </w:p>
    <w:p w:rsidR="002532DF" w:rsidRPr="002532DF" w:rsidRDefault="002532DF" w:rsidP="006F5B55">
      <w:pPr>
        <w:pStyle w:val="Heading2"/>
        <w:numPr>
          <w:ilvl w:val="0"/>
          <w:numId w:val="20"/>
        </w:numPr>
        <w:spacing w:line="288" w:lineRule="auto"/>
        <w:ind w:left="720"/>
        <w:jc w:val="left"/>
        <w:rPr>
          <w:b/>
          <w:sz w:val="25"/>
          <w:szCs w:val="25"/>
          <w:u w:val="none"/>
        </w:rPr>
      </w:pPr>
      <w:bookmarkStart w:id="4" w:name="_Toc288813718"/>
      <w:r w:rsidRPr="002532DF">
        <w:rPr>
          <w:b/>
          <w:sz w:val="25"/>
          <w:szCs w:val="25"/>
          <w:u w:val="none"/>
        </w:rPr>
        <w:t>Background and Procedural History</w:t>
      </w:r>
      <w:bookmarkEnd w:id="4"/>
    </w:p>
    <w:p w:rsidR="002532DF" w:rsidRPr="002532DF" w:rsidRDefault="002532DF" w:rsidP="006F5B55">
      <w:pPr>
        <w:spacing w:line="288" w:lineRule="auto"/>
        <w:rPr>
          <w:sz w:val="25"/>
          <w:szCs w:val="25"/>
        </w:rPr>
      </w:pPr>
    </w:p>
    <w:p w:rsidR="0072066A" w:rsidRPr="002532DF" w:rsidRDefault="00A875C3" w:rsidP="006F5B55">
      <w:pPr>
        <w:numPr>
          <w:ilvl w:val="0"/>
          <w:numId w:val="1"/>
        </w:numPr>
        <w:tabs>
          <w:tab w:val="clear" w:pos="720"/>
          <w:tab w:val="num" w:pos="0"/>
        </w:tabs>
        <w:spacing w:line="288" w:lineRule="auto"/>
        <w:ind w:left="0"/>
        <w:rPr>
          <w:sz w:val="25"/>
          <w:szCs w:val="25"/>
        </w:rPr>
      </w:pPr>
      <w:r w:rsidRPr="002532DF">
        <w:rPr>
          <w:b/>
          <w:sz w:val="25"/>
          <w:szCs w:val="25"/>
        </w:rPr>
        <w:t xml:space="preserve">NATURE OF PROCEEDING:  </w:t>
      </w:r>
      <w:r w:rsidR="00F27132" w:rsidRPr="002532DF">
        <w:rPr>
          <w:sz w:val="25"/>
          <w:szCs w:val="25"/>
        </w:rPr>
        <w:t xml:space="preserve">On </w:t>
      </w:r>
      <w:r w:rsidR="00A265FF" w:rsidRPr="002532DF">
        <w:rPr>
          <w:sz w:val="25"/>
          <w:szCs w:val="25"/>
        </w:rPr>
        <w:t>Ma</w:t>
      </w:r>
      <w:r w:rsidR="00CB67F6">
        <w:rPr>
          <w:sz w:val="25"/>
          <w:szCs w:val="25"/>
        </w:rPr>
        <w:t>rch 25, 2011, the Was</w:t>
      </w:r>
      <w:r w:rsidR="00DE0D92" w:rsidRPr="002532DF">
        <w:rPr>
          <w:sz w:val="25"/>
          <w:szCs w:val="25"/>
        </w:rPr>
        <w:t>hington Utilities and Transportation Commission (Commission)</w:t>
      </w:r>
      <w:r w:rsidR="00F27132" w:rsidRPr="002532DF">
        <w:rPr>
          <w:sz w:val="25"/>
          <w:szCs w:val="25"/>
        </w:rPr>
        <w:t xml:space="preserve"> </w:t>
      </w:r>
      <w:r w:rsidR="00CB67F6">
        <w:rPr>
          <w:sz w:val="25"/>
          <w:szCs w:val="25"/>
        </w:rPr>
        <w:t>entered Order 06, Final Order Rejecting Tariff Sheets, Authorizing Incr</w:t>
      </w:r>
      <w:r w:rsidR="00EC5736">
        <w:rPr>
          <w:sz w:val="25"/>
          <w:szCs w:val="25"/>
        </w:rPr>
        <w:t>e</w:t>
      </w:r>
      <w:r w:rsidR="00CB67F6">
        <w:rPr>
          <w:sz w:val="25"/>
          <w:szCs w:val="25"/>
        </w:rPr>
        <w:t xml:space="preserve">ased Rates; and Requiring Compliance Filing.  The Order allowed PacifiCorp d/b/a Pacific Power &amp; Light Company (PacifiCorp or Company) to file tariff </w:t>
      </w:r>
      <w:r w:rsidR="00F27132" w:rsidRPr="002532DF">
        <w:rPr>
          <w:sz w:val="25"/>
          <w:szCs w:val="25"/>
        </w:rPr>
        <w:t xml:space="preserve">revisions </w:t>
      </w:r>
      <w:r w:rsidR="00CB67F6">
        <w:rPr>
          <w:sz w:val="25"/>
          <w:szCs w:val="25"/>
        </w:rPr>
        <w:t>allowing it to recover approximately $38 million in additional revenue.  On March</w:t>
      </w:r>
      <w:r w:rsidR="00130144">
        <w:rPr>
          <w:sz w:val="25"/>
          <w:szCs w:val="25"/>
        </w:rPr>
        <w:t xml:space="preserve"> 30, 2011, PacifiCorp filed the necessary r</w:t>
      </w:r>
      <w:r w:rsidR="00CB67F6">
        <w:rPr>
          <w:sz w:val="25"/>
          <w:szCs w:val="25"/>
        </w:rPr>
        <w:t>evisions</w:t>
      </w:r>
      <w:r w:rsidR="00130144">
        <w:rPr>
          <w:sz w:val="25"/>
          <w:szCs w:val="25"/>
        </w:rPr>
        <w:t xml:space="preserve"> to its tariff</w:t>
      </w:r>
      <w:r w:rsidR="00CB67F6">
        <w:rPr>
          <w:sz w:val="25"/>
          <w:szCs w:val="25"/>
        </w:rPr>
        <w:t xml:space="preserve">.  </w:t>
      </w:r>
      <w:r w:rsidR="00130144">
        <w:rPr>
          <w:sz w:val="25"/>
          <w:szCs w:val="25"/>
        </w:rPr>
        <w:t xml:space="preserve">The Commission approved the </w:t>
      </w:r>
      <w:r w:rsidR="00CB67F6">
        <w:rPr>
          <w:sz w:val="25"/>
          <w:szCs w:val="25"/>
        </w:rPr>
        <w:t>Company’s compliance filing</w:t>
      </w:r>
      <w:r w:rsidR="00130144">
        <w:rPr>
          <w:sz w:val="25"/>
          <w:szCs w:val="25"/>
        </w:rPr>
        <w:t xml:space="preserve"> on April 1, 2011.</w:t>
      </w:r>
    </w:p>
    <w:p w:rsidR="0072066A" w:rsidRPr="002532DF" w:rsidRDefault="0072066A" w:rsidP="006F5B55">
      <w:pPr>
        <w:pStyle w:val="NoSpacing"/>
        <w:spacing w:line="288" w:lineRule="auto"/>
        <w:rPr>
          <w:sz w:val="25"/>
          <w:szCs w:val="25"/>
        </w:rPr>
      </w:pPr>
    </w:p>
    <w:p w:rsidR="0072066A" w:rsidRPr="002532DF" w:rsidRDefault="00130144" w:rsidP="006F5B55">
      <w:pPr>
        <w:numPr>
          <w:ilvl w:val="0"/>
          <w:numId w:val="1"/>
        </w:numPr>
        <w:tabs>
          <w:tab w:val="clear" w:pos="720"/>
          <w:tab w:val="num" w:pos="0"/>
        </w:tabs>
        <w:spacing w:line="288" w:lineRule="auto"/>
        <w:ind w:left="0"/>
        <w:rPr>
          <w:sz w:val="25"/>
          <w:szCs w:val="25"/>
        </w:rPr>
      </w:pPr>
      <w:r w:rsidRPr="00130144">
        <w:rPr>
          <w:sz w:val="25"/>
          <w:szCs w:val="25"/>
        </w:rPr>
        <w:lastRenderedPageBreak/>
        <w:t xml:space="preserve">On April 4, 2011, </w:t>
      </w:r>
      <w:r w:rsidR="0006260A" w:rsidRPr="00130144">
        <w:rPr>
          <w:sz w:val="25"/>
          <w:szCs w:val="25"/>
        </w:rPr>
        <w:t>PacifiCorp</w:t>
      </w:r>
      <w:r w:rsidR="00B4618E" w:rsidRPr="00130144">
        <w:rPr>
          <w:sz w:val="25"/>
          <w:szCs w:val="25"/>
        </w:rPr>
        <w:t xml:space="preserve"> </w:t>
      </w:r>
      <w:r w:rsidRPr="00130144">
        <w:rPr>
          <w:sz w:val="25"/>
          <w:szCs w:val="25"/>
        </w:rPr>
        <w:t xml:space="preserve">and </w:t>
      </w:r>
      <w:r w:rsidRPr="002532DF">
        <w:rPr>
          <w:sz w:val="25"/>
          <w:szCs w:val="25"/>
        </w:rPr>
        <w:t>the Commission’s regulatory staff (Commission Staff or Staff)</w:t>
      </w:r>
      <w:r w:rsidRPr="002532DF">
        <w:rPr>
          <w:rStyle w:val="FootnoteReference"/>
          <w:sz w:val="25"/>
          <w:szCs w:val="25"/>
        </w:rPr>
        <w:footnoteReference w:id="1"/>
      </w:r>
      <w:r w:rsidRPr="002532DF">
        <w:rPr>
          <w:sz w:val="25"/>
          <w:szCs w:val="25"/>
        </w:rPr>
        <w:t xml:space="preserve"> </w:t>
      </w:r>
      <w:r w:rsidRPr="00130144">
        <w:rPr>
          <w:sz w:val="25"/>
          <w:szCs w:val="25"/>
        </w:rPr>
        <w:t xml:space="preserve">timely filed petitions for reconsideration of the Final Order.  By Notice issued April 5, 2011, the Commission afforded the parties the opportunity to file answers to both petitions for reconsideration.  PacifiCorp, Commission Staff, </w:t>
      </w:r>
      <w:r>
        <w:rPr>
          <w:sz w:val="25"/>
          <w:szCs w:val="25"/>
        </w:rPr>
        <w:t xml:space="preserve">the </w:t>
      </w:r>
      <w:r w:rsidRPr="002532DF">
        <w:rPr>
          <w:sz w:val="25"/>
          <w:szCs w:val="25"/>
        </w:rPr>
        <w:t>Public Counsel Section of the Office of the Attorney General (Public Counsel)</w:t>
      </w:r>
      <w:r w:rsidR="00502282">
        <w:rPr>
          <w:sz w:val="25"/>
          <w:szCs w:val="25"/>
        </w:rPr>
        <w:t xml:space="preserve">, </w:t>
      </w:r>
      <w:r w:rsidRPr="00130144">
        <w:rPr>
          <w:sz w:val="25"/>
          <w:szCs w:val="25"/>
        </w:rPr>
        <w:t>and the Industrial Custom</w:t>
      </w:r>
      <w:r w:rsidR="00502282">
        <w:rPr>
          <w:sz w:val="25"/>
          <w:szCs w:val="25"/>
        </w:rPr>
        <w:t>e</w:t>
      </w:r>
      <w:r w:rsidRPr="00130144">
        <w:rPr>
          <w:sz w:val="25"/>
          <w:szCs w:val="25"/>
        </w:rPr>
        <w:t xml:space="preserve">rs of Northwest Utilities </w:t>
      </w:r>
      <w:r>
        <w:rPr>
          <w:sz w:val="25"/>
          <w:szCs w:val="25"/>
        </w:rPr>
        <w:t xml:space="preserve">(ICNU) </w:t>
      </w:r>
      <w:r w:rsidRPr="00130144">
        <w:rPr>
          <w:sz w:val="25"/>
          <w:szCs w:val="25"/>
        </w:rPr>
        <w:t>timely filed answers to the petit</w:t>
      </w:r>
      <w:r w:rsidR="00F94B5A">
        <w:rPr>
          <w:sz w:val="25"/>
          <w:szCs w:val="25"/>
        </w:rPr>
        <w:t>i</w:t>
      </w:r>
      <w:r w:rsidRPr="00130144">
        <w:rPr>
          <w:sz w:val="25"/>
          <w:szCs w:val="25"/>
        </w:rPr>
        <w:t xml:space="preserve">ons. </w:t>
      </w:r>
      <w:r w:rsidR="00EC5736">
        <w:rPr>
          <w:sz w:val="25"/>
          <w:szCs w:val="25"/>
        </w:rPr>
        <w:t xml:space="preserve"> In the same notice, the Commission stated that it would enter an order in due course.</w:t>
      </w:r>
      <w:r w:rsidR="00EC5736">
        <w:rPr>
          <w:rStyle w:val="FootnoteReference"/>
          <w:sz w:val="25"/>
          <w:szCs w:val="25"/>
        </w:rPr>
        <w:footnoteReference w:id="2"/>
      </w:r>
    </w:p>
    <w:p w:rsidR="00896E4A" w:rsidRPr="002532DF" w:rsidRDefault="00896E4A" w:rsidP="006F5B55">
      <w:pPr>
        <w:pStyle w:val="ListParagraph"/>
        <w:spacing w:line="288" w:lineRule="auto"/>
        <w:rPr>
          <w:sz w:val="25"/>
          <w:szCs w:val="25"/>
        </w:rPr>
      </w:pPr>
    </w:p>
    <w:p w:rsidR="008A32B4" w:rsidRPr="002532DF" w:rsidRDefault="00C0156B" w:rsidP="006F5B55">
      <w:pPr>
        <w:pStyle w:val="Heading2"/>
        <w:numPr>
          <w:ilvl w:val="0"/>
          <w:numId w:val="20"/>
        </w:numPr>
        <w:spacing w:line="288" w:lineRule="auto"/>
        <w:ind w:left="720"/>
        <w:jc w:val="left"/>
        <w:rPr>
          <w:b/>
          <w:sz w:val="25"/>
          <w:szCs w:val="25"/>
          <w:u w:val="none"/>
        </w:rPr>
      </w:pPr>
      <w:bookmarkStart w:id="5" w:name="_Toc168986357"/>
      <w:bookmarkStart w:id="6" w:name="_Toc288813719"/>
      <w:r w:rsidRPr="002532DF">
        <w:rPr>
          <w:b/>
          <w:sz w:val="25"/>
          <w:szCs w:val="25"/>
          <w:u w:val="none"/>
        </w:rPr>
        <w:t>Discussion and Decisions</w:t>
      </w:r>
      <w:bookmarkEnd w:id="5"/>
      <w:bookmarkEnd w:id="6"/>
    </w:p>
    <w:p w:rsidR="00D40563" w:rsidRPr="002532DF" w:rsidRDefault="00130144" w:rsidP="006F5B55">
      <w:pPr>
        <w:pStyle w:val="Heading3"/>
        <w:numPr>
          <w:ilvl w:val="0"/>
          <w:numId w:val="33"/>
        </w:numPr>
        <w:spacing w:line="288" w:lineRule="auto"/>
        <w:rPr>
          <w:rFonts w:ascii="Times New Roman" w:hAnsi="Times New Roman"/>
          <w:sz w:val="25"/>
          <w:szCs w:val="25"/>
        </w:rPr>
      </w:pPr>
      <w:bookmarkStart w:id="7" w:name="_Toc288813720"/>
      <w:r>
        <w:rPr>
          <w:rFonts w:ascii="Times New Roman" w:hAnsi="Times New Roman"/>
          <w:sz w:val="25"/>
          <w:szCs w:val="25"/>
        </w:rPr>
        <w:t>Applicable Law</w:t>
      </w:r>
      <w:bookmarkEnd w:id="7"/>
    </w:p>
    <w:p w:rsidR="00D40563" w:rsidRPr="002532DF" w:rsidRDefault="00D40563" w:rsidP="006F5B55">
      <w:pPr>
        <w:tabs>
          <w:tab w:val="left" w:pos="360"/>
          <w:tab w:val="left" w:pos="720"/>
        </w:tabs>
        <w:spacing w:line="288" w:lineRule="auto"/>
        <w:ind w:left="-720"/>
        <w:rPr>
          <w:sz w:val="25"/>
          <w:szCs w:val="25"/>
        </w:rPr>
      </w:pPr>
    </w:p>
    <w:p w:rsidR="00B05DCB" w:rsidRDefault="00E929A6" w:rsidP="006F5B55">
      <w:pPr>
        <w:numPr>
          <w:ilvl w:val="0"/>
          <w:numId w:val="1"/>
        </w:numPr>
        <w:tabs>
          <w:tab w:val="num" w:pos="0"/>
          <w:tab w:val="left" w:pos="360"/>
          <w:tab w:val="left" w:pos="720"/>
        </w:tabs>
        <w:spacing w:line="288" w:lineRule="auto"/>
        <w:ind w:left="0"/>
        <w:rPr>
          <w:sz w:val="25"/>
          <w:szCs w:val="25"/>
        </w:rPr>
      </w:pPr>
      <w:r w:rsidRPr="00B05DCB">
        <w:rPr>
          <w:sz w:val="25"/>
          <w:szCs w:val="25"/>
        </w:rPr>
        <w:t>According to RCW 34.05.470(1), any party may file, within 10 days of service of a final order, a petition for reconsideration stating the specific grounds upon which relief is requested.</w:t>
      </w:r>
      <w:r w:rsidR="00A813A1">
        <w:rPr>
          <w:rStyle w:val="FootnoteReference"/>
          <w:sz w:val="25"/>
          <w:szCs w:val="25"/>
        </w:rPr>
        <w:footnoteReference w:id="3"/>
      </w:r>
      <w:r w:rsidRPr="00B05DCB">
        <w:rPr>
          <w:sz w:val="25"/>
          <w:szCs w:val="25"/>
        </w:rPr>
        <w:t xml:space="preserve">  Each petitioner must clearly identify each portion of the order that it contends is erroneous or incomplete, cite the portions of the record and statute or rule relied on to support its petition, and present argument in support of its petition.</w:t>
      </w:r>
      <w:r>
        <w:rPr>
          <w:rStyle w:val="FootnoteReference"/>
          <w:sz w:val="25"/>
          <w:szCs w:val="25"/>
        </w:rPr>
        <w:footnoteReference w:id="4"/>
      </w:r>
      <w:r w:rsidRPr="00B05DCB">
        <w:rPr>
          <w:sz w:val="25"/>
          <w:szCs w:val="25"/>
        </w:rPr>
        <w:t xml:space="preserve">  A petition for reconsideration is deemed denied 20 days after the date the petition is filed unless the Commission enters an order r</w:t>
      </w:r>
      <w:r w:rsidR="00B05DCB" w:rsidRPr="00B05DCB">
        <w:rPr>
          <w:sz w:val="25"/>
          <w:szCs w:val="25"/>
        </w:rPr>
        <w:t>e</w:t>
      </w:r>
      <w:r w:rsidRPr="00B05DCB">
        <w:rPr>
          <w:sz w:val="25"/>
          <w:szCs w:val="25"/>
        </w:rPr>
        <w:t>solving the petition or serves notice of the date by which it will act on the petition.</w:t>
      </w:r>
      <w:r>
        <w:rPr>
          <w:rStyle w:val="FootnoteReference"/>
          <w:sz w:val="25"/>
          <w:szCs w:val="25"/>
        </w:rPr>
        <w:footnoteReference w:id="5"/>
      </w:r>
    </w:p>
    <w:p w:rsidR="00FF5290" w:rsidRDefault="00FF5290" w:rsidP="006F5B55">
      <w:pPr>
        <w:tabs>
          <w:tab w:val="left" w:pos="360"/>
        </w:tabs>
        <w:spacing w:line="288" w:lineRule="auto"/>
        <w:ind w:left="-720"/>
        <w:rPr>
          <w:sz w:val="25"/>
          <w:szCs w:val="25"/>
        </w:rPr>
      </w:pPr>
    </w:p>
    <w:p w:rsidR="00692260" w:rsidRDefault="000F77DD" w:rsidP="006F5B55">
      <w:pPr>
        <w:numPr>
          <w:ilvl w:val="0"/>
          <w:numId w:val="1"/>
        </w:numPr>
        <w:tabs>
          <w:tab w:val="num" w:pos="0"/>
          <w:tab w:val="left" w:pos="360"/>
          <w:tab w:val="left" w:pos="720"/>
        </w:tabs>
        <w:spacing w:line="288" w:lineRule="auto"/>
        <w:ind w:left="0"/>
        <w:rPr>
          <w:sz w:val="25"/>
          <w:szCs w:val="25"/>
        </w:rPr>
      </w:pPr>
      <w:r>
        <w:rPr>
          <w:sz w:val="25"/>
          <w:szCs w:val="25"/>
        </w:rPr>
        <w:lastRenderedPageBreak/>
        <w:t>Generally, a</w:t>
      </w:r>
      <w:r w:rsidR="00FF5290">
        <w:rPr>
          <w:sz w:val="25"/>
          <w:szCs w:val="25"/>
        </w:rPr>
        <w:t xml:space="preserve"> petition for reconsideration is a narrow window of opportunity to bring to our attention matters in which, based on the evidence in the record and applicable law, we may have reached an erroneous decision or </w:t>
      </w:r>
      <w:r w:rsidR="00692260">
        <w:rPr>
          <w:sz w:val="25"/>
          <w:szCs w:val="25"/>
        </w:rPr>
        <w:t xml:space="preserve">failed to </w:t>
      </w:r>
      <w:r w:rsidR="00FF5290">
        <w:rPr>
          <w:sz w:val="25"/>
          <w:szCs w:val="25"/>
        </w:rPr>
        <w:t xml:space="preserve">fully resolve an issue.  It </w:t>
      </w:r>
      <w:r>
        <w:rPr>
          <w:sz w:val="25"/>
          <w:szCs w:val="25"/>
        </w:rPr>
        <w:t>should not be</w:t>
      </w:r>
      <w:r w:rsidR="00692260">
        <w:rPr>
          <w:sz w:val="25"/>
          <w:szCs w:val="25"/>
        </w:rPr>
        <w:t xml:space="preserve"> a </w:t>
      </w:r>
      <w:r>
        <w:rPr>
          <w:sz w:val="25"/>
          <w:szCs w:val="25"/>
        </w:rPr>
        <w:t xml:space="preserve">broad </w:t>
      </w:r>
      <w:r w:rsidR="00692260">
        <w:rPr>
          <w:sz w:val="25"/>
          <w:szCs w:val="25"/>
        </w:rPr>
        <w:t>opportunity to re</w:t>
      </w:r>
      <w:r>
        <w:rPr>
          <w:sz w:val="25"/>
          <w:szCs w:val="25"/>
        </w:rPr>
        <w:t>litigate</w:t>
      </w:r>
      <w:r w:rsidR="00692260">
        <w:rPr>
          <w:sz w:val="25"/>
          <w:szCs w:val="25"/>
        </w:rPr>
        <w:t xml:space="preserve"> a party’s </w:t>
      </w:r>
      <w:r>
        <w:rPr>
          <w:sz w:val="25"/>
          <w:szCs w:val="25"/>
        </w:rPr>
        <w:t xml:space="preserve">case or </w:t>
      </w:r>
      <w:r w:rsidR="00692260">
        <w:rPr>
          <w:sz w:val="25"/>
          <w:szCs w:val="25"/>
        </w:rPr>
        <w:t>to raise new matters that should have been resolved during the adjudicatory process.  Thus, our rule specifically requires that a petitioner identify error</w:t>
      </w:r>
      <w:r w:rsidR="00E74626">
        <w:rPr>
          <w:sz w:val="25"/>
          <w:szCs w:val="25"/>
        </w:rPr>
        <w:t>s</w:t>
      </w:r>
      <w:r w:rsidR="00692260">
        <w:rPr>
          <w:sz w:val="25"/>
          <w:szCs w:val="25"/>
        </w:rPr>
        <w:t xml:space="preserve"> or incomplete ruling</w:t>
      </w:r>
      <w:r w:rsidR="00E74626">
        <w:rPr>
          <w:sz w:val="25"/>
          <w:szCs w:val="25"/>
        </w:rPr>
        <w:t>s</w:t>
      </w:r>
      <w:r w:rsidR="00692260">
        <w:rPr>
          <w:sz w:val="25"/>
          <w:szCs w:val="25"/>
        </w:rPr>
        <w:t xml:space="preserve"> together with evidentiary and legal citations that support its position.  </w:t>
      </w:r>
    </w:p>
    <w:p w:rsidR="00692260" w:rsidRDefault="00692260" w:rsidP="006F5B55">
      <w:pPr>
        <w:pStyle w:val="ListParagraph"/>
        <w:spacing w:line="288" w:lineRule="auto"/>
        <w:rPr>
          <w:sz w:val="25"/>
          <w:szCs w:val="25"/>
        </w:rPr>
      </w:pPr>
    </w:p>
    <w:p w:rsidR="008A32B4" w:rsidRPr="002532DF" w:rsidRDefault="00BA5A2A" w:rsidP="006F5B55">
      <w:pPr>
        <w:pStyle w:val="Heading3"/>
        <w:numPr>
          <w:ilvl w:val="0"/>
          <w:numId w:val="33"/>
        </w:numPr>
        <w:spacing w:line="288" w:lineRule="auto"/>
        <w:rPr>
          <w:rFonts w:ascii="Times New Roman" w:hAnsi="Times New Roman"/>
          <w:sz w:val="25"/>
          <w:szCs w:val="25"/>
        </w:rPr>
      </w:pPr>
      <w:bookmarkStart w:id="8" w:name="_Toc168986359"/>
      <w:bookmarkStart w:id="9" w:name="_Toc288813721"/>
      <w:r>
        <w:rPr>
          <w:rFonts w:ascii="Times New Roman" w:hAnsi="Times New Roman"/>
          <w:sz w:val="25"/>
          <w:szCs w:val="25"/>
        </w:rPr>
        <w:t>Petitions for Reconsideration</w:t>
      </w:r>
      <w:bookmarkEnd w:id="8"/>
      <w:bookmarkEnd w:id="9"/>
    </w:p>
    <w:p w:rsidR="002D7DDF" w:rsidRPr="002532DF" w:rsidRDefault="002D7DDF" w:rsidP="006F5B55">
      <w:pPr>
        <w:tabs>
          <w:tab w:val="num" w:pos="0"/>
        </w:tabs>
        <w:spacing w:line="288" w:lineRule="auto"/>
        <w:outlineLvl w:val="2"/>
        <w:rPr>
          <w:b/>
          <w:sz w:val="25"/>
          <w:szCs w:val="25"/>
        </w:rPr>
      </w:pPr>
    </w:p>
    <w:p w:rsidR="002532DF" w:rsidRPr="008172CE" w:rsidRDefault="000734E5" w:rsidP="006F5B55">
      <w:pPr>
        <w:numPr>
          <w:ilvl w:val="0"/>
          <w:numId w:val="1"/>
        </w:numPr>
        <w:tabs>
          <w:tab w:val="clear" w:pos="720"/>
          <w:tab w:val="num" w:pos="0"/>
        </w:tabs>
        <w:spacing w:line="288" w:lineRule="auto"/>
        <w:ind w:left="0"/>
        <w:rPr>
          <w:b/>
          <w:sz w:val="25"/>
          <w:szCs w:val="25"/>
        </w:rPr>
      </w:pPr>
      <w:r>
        <w:rPr>
          <w:sz w:val="25"/>
          <w:szCs w:val="25"/>
        </w:rPr>
        <w:t xml:space="preserve">PacifiCorp’s </w:t>
      </w:r>
      <w:r w:rsidR="00A665D1">
        <w:rPr>
          <w:sz w:val="25"/>
          <w:szCs w:val="25"/>
        </w:rPr>
        <w:t>P</w:t>
      </w:r>
      <w:r>
        <w:rPr>
          <w:sz w:val="25"/>
          <w:szCs w:val="25"/>
        </w:rPr>
        <w:t xml:space="preserve">etition </w:t>
      </w:r>
      <w:r w:rsidR="00EC5736">
        <w:rPr>
          <w:sz w:val="25"/>
          <w:szCs w:val="25"/>
        </w:rPr>
        <w:t>a</w:t>
      </w:r>
      <w:r>
        <w:rPr>
          <w:sz w:val="25"/>
          <w:szCs w:val="25"/>
        </w:rPr>
        <w:t xml:space="preserve">ddresses four </w:t>
      </w:r>
      <w:r w:rsidR="00F94B5A">
        <w:rPr>
          <w:sz w:val="25"/>
          <w:szCs w:val="25"/>
        </w:rPr>
        <w:t>topics</w:t>
      </w:r>
      <w:r>
        <w:rPr>
          <w:sz w:val="25"/>
          <w:szCs w:val="25"/>
        </w:rPr>
        <w:t xml:space="preserve">: (1) </w:t>
      </w:r>
      <w:r w:rsidR="00F94B5A">
        <w:rPr>
          <w:sz w:val="25"/>
          <w:szCs w:val="25"/>
        </w:rPr>
        <w:t>capital structure,</w:t>
      </w:r>
      <w:r>
        <w:rPr>
          <w:sz w:val="25"/>
          <w:szCs w:val="25"/>
        </w:rPr>
        <w:t xml:space="preserve"> (2) </w:t>
      </w:r>
      <w:r w:rsidR="004541D5">
        <w:rPr>
          <w:sz w:val="25"/>
          <w:szCs w:val="25"/>
        </w:rPr>
        <w:t xml:space="preserve">cost of equity, </w:t>
      </w:r>
      <w:r>
        <w:rPr>
          <w:sz w:val="25"/>
          <w:szCs w:val="25"/>
        </w:rPr>
        <w:t xml:space="preserve">(3) </w:t>
      </w:r>
      <w:r w:rsidR="004541D5">
        <w:rPr>
          <w:sz w:val="25"/>
          <w:szCs w:val="25"/>
        </w:rPr>
        <w:t xml:space="preserve">certain net power costs, </w:t>
      </w:r>
      <w:r>
        <w:rPr>
          <w:sz w:val="25"/>
          <w:szCs w:val="25"/>
        </w:rPr>
        <w:t xml:space="preserve">and (4) </w:t>
      </w:r>
      <w:r w:rsidR="004541D5">
        <w:rPr>
          <w:sz w:val="25"/>
          <w:szCs w:val="25"/>
        </w:rPr>
        <w:t>tax normalization</w:t>
      </w:r>
      <w:r>
        <w:rPr>
          <w:sz w:val="25"/>
          <w:szCs w:val="25"/>
        </w:rPr>
        <w:t xml:space="preserve">.  Staff’s </w:t>
      </w:r>
      <w:r w:rsidR="00A665D1">
        <w:rPr>
          <w:sz w:val="25"/>
          <w:szCs w:val="25"/>
        </w:rPr>
        <w:t>P</w:t>
      </w:r>
      <w:r>
        <w:rPr>
          <w:sz w:val="25"/>
          <w:szCs w:val="25"/>
        </w:rPr>
        <w:t xml:space="preserve">etition requests reconsideration of </w:t>
      </w:r>
      <w:r w:rsidR="00FE2E67">
        <w:rPr>
          <w:sz w:val="25"/>
          <w:szCs w:val="25"/>
        </w:rPr>
        <w:t>two</w:t>
      </w:r>
      <w:r w:rsidR="00BF1748">
        <w:rPr>
          <w:sz w:val="25"/>
          <w:szCs w:val="25"/>
        </w:rPr>
        <w:t xml:space="preserve"> issue</w:t>
      </w:r>
      <w:r w:rsidR="00FE2E67">
        <w:rPr>
          <w:sz w:val="25"/>
          <w:szCs w:val="25"/>
        </w:rPr>
        <w:t>s related to the capital structure</w:t>
      </w:r>
      <w:r w:rsidR="000F77DD">
        <w:rPr>
          <w:sz w:val="25"/>
          <w:szCs w:val="25"/>
        </w:rPr>
        <w:t>:</w:t>
      </w:r>
      <w:r w:rsidR="004541D5">
        <w:rPr>
          <w:sz w:val="25"/>
          <w:szCs w:val="25"/>
        </w:rPr>
        <w:t xml:space="preserve"> </w:t>
      </w:r>
      <w:r w:rsidR="00FE2E67">
        <w:rPr>
          <w:sz w:val="25"/>
          <w:szCs w:val="25"/>
        </w:rPr>
        <w:t xml:space="preserve">rejecting its proposed equity component and </w:t>
      </w:r>
      <w:r w:rsidR="004541D5">
        <w:rPr>
          <w:sz w:val="25"/>
          <w:szCs w:val="25"/>
        </w:rPr>
        <w:t>exclud</w:t>
      </w:r>
      <w:r w:rsidR="00FE2E67">
        <w:rPr>
          <w:sz w:val="25"/>
          <w:szCs w:val="25"/>
        </w:rPr>
        <w:t>ing</w:t>
      </w:r>
      <w:r w:rsidR="004541D5">
        <w:rPr>
          <w:sz w:val="25"/>
          <w:szCs w:val="25"/>
        </w:rPr>
        <w:t xml:space="preserve"> </w:t>
      </w:r>
      <w:r>
        <w:rPr>
          <w:sz w:val="25"/>
          <w:szCs w:val="25"/>
        </w:rPr>
        <w:t xml:space="preserve">short-term debt.  We first address the capital structure issues raised by both parties. </w:t>
      </w:r>
    </w:p>
    <w:p w:rsidR="00B232F0" w:rsidRPr="00973B0D" w:rsidRDefault="00973B0D" w:rsidP="006F5B55">
      <w:pPr>
        <w:pStyle w:val="Heading4"/>
        <w:spacing w:line="288" w:lineRule="auto"/>
        <w:ind w:left="1080"/>
        <w:rPr>
          <w:rFonts w:ascii="Times New Roman" w:hAnsi="Times New Roman"/>
          <w:sz w:val="25"/>
          <w:szCs w:val="25"/>
        </w:rPr>
      </w:pPr>
      <w:bookmarkStart w:id="10" w:name="_Toc288813722"/>
      <w:r w:rsidRPr="00973B0D">
        <w:rPr>
          <w:rFonts w:ascii="Times New Roman" w:hAnsi="Times New Roman"/>
          <w:sz w:val="25"/>
          <w:szCs w:val="25"/>
        </w:rPr>
        <w:t>1</w:t>
      </w:r>
      <w:r w:rsidR="00B232F0" w:rsidRPr="00973B0D">
        <w:rPr>
          <w:rFonts w:ascii="Times New Roman" w:hAnsi="Times New Roman"/>
          <w:sz w:val="25"/>
          <w:szCs w:val="25"/>
        </w:rPr>
        <w:t>.</w:t>
      </w:r>
      <w:r w:rsidR="00B232F0" w:rsidRPr="00973B0D">
        <w:rPr>
          <w:rFonts w:ascii="Times New Roman" w:hAnsi="Times New Roman"/>
          <w:sz w:val="25"/>
          <w:szCs w:val="25"/>
        </w:rPr>
        <w:tab/>
        <w:t>Capital Structure</w:t>
      </w:r>
      <w:bookmarkEnd w:id="10"/>
      <w:r w:rsidR="00B232F0" w:rsidRPr="00973B0D">
        <w:rPr>
          <w:rFonts w:ascii="Times New Roman" w:hAnsi="Times New Roman"/>
          <w:sz w:val="25"/>
          <w:szCs w:val="25"/>
        </w:rPr>
        <w:t xml:space="preserve"> </w:t>
      </w:r>
    </w:p>
    <w:p w:rsidR="004015DE" w:rsidRDefault="004015DE" w:rsidP="006F5B55">
      <w:pPr>
        <w:pStyle w:val="ListParagraph"/>
        <w:spacing w:line="288" w:lineRule="auto"/>
        <w:ind w:left="0"/>
        <w:rPr>
          <w:sz w:val="25"/>
          <w:szCs w:val="25"/>
        </w:rPr>
      </w:pPr>
    </w:p>
    <w:p w:rsidR="006E4820" w:rsidRDefault="000734E5" w:rsidP="006F5B55">
      <w:pPr>
        <w:numPr>
          <w:ilvl w:val="0"/>
          <w:numId w:val="1"/>
        </w:numPr>
        <w:tabs>
          <w:tab w:val="clear" w:pos="720"/>
          <w:tab w:val="num" w:pos="0"/>
        </w:tabs>
        <w:spacing w:line="288" w:lineRule="auto"/>
        <w:ind w:left="0"/>
        <w:rPr>
          <w:sz w:val="25"/>
          <w:szCs w:val="25"/>
        </w:rPr>
      </w:pPr>
      <w:r>
        <w:rPr>
          <w:sz w:val="25"/>
          <w:szCs w:val="25"/>
        </w:rPr>
        <w:t xml:space="preserve">By Order 06, we adopted the capital structure proposed by ICNU consisting of 49.1 </w:t>
      </w:r>
      <w:r w:rsidR="002A43DF">
        <w:rPr>
          <w:sz w:val="25"/>
          <w:szCs w:val="25"/>
        </w:rPr>
        <w:t>equity</w:t>
      </w:r>
      <w:r>
        <w:rPr>
          <w:sz w:val="25"/>
          <w:szCs w:val="25"/>
        </w:rPr>
        <w:t xml:space="preserve">, 50.60 percent </w:t>
      </w:r>
      <w:r w:rsidR="002A43DF">
        <w:rPr>
          <w:sz w:val="25"/>
          <w:szCs w:val="25"/>
        </w:rPr>
        <w:t>long-term debt</w:t>
      </w:r>
      <w:r>
        <w:rPr>
          <w:sz w:val="25"/>
          <w:szCs w:val="25"/>
        </w:rPr>
        <w:t>, and .30 percent preferred stock.</w:t>
      </w:r>
      <w:r>
        <w:rPr>
          <w:rStyle w:val="FootnoteReference"/>
          <w:sz w:val="25"/>
          <w:szCs w:val="25"/>
        </w:rPr>
        <w:footnoteReference w:id="6"/>
      </w:r>
      <w:r w:rsidR="00675E4C">
        <w:rPr>
          <w:sz w:val="25"/>
          <w:szCs w:val="25"/>
        </w:rPr>
        <w:t xml:space="preserve">  We found that a company’s capital structure must balance safety and economy and contain sufficient equity to provide financial security but no more than necessary to keep ratepayer costs </w:t>
      </w:r>
      <w:r w:rsidR="00661961">
        <w:rPr>
          <w:sz w:val="25"/>
          <w:szCs w:val="25"/>
        </w:rPr>
        <w:t>at a reasonable level.</w:t>
      </w:r>
      <w:r w:rsidR="00661961">
        <w:rPr>
          <w:rStyle w:val="FootnoteReference"/>
          <w:sz w:val="25"/>
          <w:szCs w:val="25"/>
        </w:rPr>
        <w:footnoteReference w:id="7"/>
      </w:r>
      <w:r w:rsidR="00661961">
        <w:rPr>
          <w:sz w:val="25"/>
          <w:szCs w:val="25"/>
        </w:rPr>
        <w:t xml:space="preserve">  </w:t>
      </w:r>
    </w:p>
    <w:p w:rsidR="00E07395" w:rsidRDefault="00E07395" w:rsidP="004533F1">
      <w:pPr>
        <w:spacing w:line="288" w:lineRule="auto"/>
        <w:ind w:left="-720"/>
        <w:rPr>
          <w:sz w:val="25"/>
          <w:szCs w:val="25"/>
        </w:rPr>
      </w:pPr>
    </w:p>
    <w:p w:rsidR="00E07395" w:rsidRDefault="00E07395" w:rsidP="006F5B55">
      <w:pPr>
        <w:numPr>
          <w:ilvl w:val="0"/>
          <w:numId w:val="1"/>
        </w:numPr>
        <w:tabs>
          <w:tab w:val="clear" w:pos="720"/>
          <w:tab w:val="num" w:pos="0"/>
        </w:tabs>
        <w:spacing w:line="288" w:lineRule="auto"/>
        <w:ind w:left="0"/>
        <w:rPr>
          <w:sz w:val="25"/>
          <w:szCs w:val="25"/>
        </w:rPr>
      </w:pPr>
      <w:r>
        <w:rPr>
          <w:sz w:val="25"/>
          <w:szCs w:val="25"/>
        </w:rPr>
        <w:t>Central to our decision regarding the appropriate capital structure for PacifiCorp was the conclusion that the Company’s proposed capital structure contained too much equity.</w:t>
      </w:r>
      <w:r>
        <w:rPr>
          <w:rStyle w:val="FootnoteReference"/>
          <w:sz w:val="25"/>
          <w:szCs w:val="25"/>
        </w:rPr>
        <w:footnoteReference w:id="8"/>
      </w:r>
      <w:r>
        <w:rPr>
          <w:sz w:val="25"/>
          <w:szCs w:val="25"/>
        </w:rPr>
        <w:t xml:space="preserve">  However, we specifically rejected Staff’s proposal regarding the equity </w:t>
      </w:r>
      <w:r>
        <w:rPr>
          <w:sz w:val="25"/>
          <w:szCs w:val="25"/>
        </w:rPr>
        <w:lastRenderedPageBreak/>
        <w:t>percentage of the capital structure and the recommendation to impute three percent short-term debt.</w:t>
      </w:r>
      <w:r>
        <w:rPr>
          <w:rStyle w:val="FootnoteReference"/>
          <w:sz w:val="25"/>
          <w:szCs w:val="25"/>
        </w:rPr>
        <w:footnoteReference w:id="9"/>
      </w:r>
    </w:p>
    <w:p w:rsidR="002A43DF" w:rsidRDefault="002A43DF">
      <w:pPr>
        <w:spacing w:line="288" w:lineRule="auto"/>
        <w:ind w:left="-720"/>
        <w:rPr>
          <w:sz w:val="25"/>
          <w:szCs w:val="25"/>
        </w:rPr>
      </w:pPr>
    </w:p>
    <w:p w:rsidR="002A43DF" w:rsidRPr="002A43DF" w:rsidRDefault="002A43DF" w:rsidP="002A43DF">
      <w:pPr>
        <w:numPr>
          <w:ilvl w:val="0"/>
          <w:numId w:val="1"/>
        </w:numPr>
        <w:tabs>
          <w:tab w:val="clear" w:pos="720"/>
          <w:tab w:val="num" w:pos="0"/>
        </w:tabs>
        <w:spacing w:line="288" w:lineRule="auto"/>
        <w:ind w:left="0"/>
        <w:rPr>
          <w:sz w:val="25"/>
          <w:szCs w:val="25"/>
        </w:rPr>
      </w:pPr>
      <w:r>
        <w:rPr>
          <w:sz w:val="25"/>
          <w:szCs w:val="25"/>
        </w:rPr>
        <w:t xml:space="preserve">In its Petition, </w:t>
      </w:r>
      <w:r w:rsidR="000601FB" w:rsidRPr="002A43DF">
        <w:rPr>
          <w:sz w:val="25"/>
          <w:szCs w:val="25"/>
        </w:rPr>
        <w:t xml:space="preserve">PacifiCorp argues that we applied the wrong legal standard </w:t>
      </w:r>
      <w:r w:rsidR="0056711D">
        <w:rPr>
          <w:sz w:val="25"/>
          <w:szCs w:val="25"/>
        </w:rPr>
        <w:t xml:space="preserve">in </w:t>
      </w:r>
      <w:r w:rsidR="000601FB" w:rsidRPr="002A43DF">
        <w:rPr>
          <w:sz w:val="25"/>
          <w:szCs w:val="25"/>
        </w:rPr>
        <w:t>adopt</w:t>
      </w:r>
      <w:r w:rsidR="0056711D">
        <w:rPr>
          <w:sz w:val="25"/>
          <w:szCs w:val="25"/>
        </w:rPr>
        <w:t>ing</w:t>
      </w:r>
      <w:r w:rsidR="000601FB" w:rsidRPr="002A43DF">
        <w:rPr>
          <w:sz w:val="25"/>
          <w:szCs w:val="25"/>
        </w:rPr>
        <w:t xml:space="preserve"> a hypothetical capital structure.  It argues that, based on past Commission cases, we </w:t>
      </w:r>
      <w:r w:rsidR="000601FB" w:rsidRPr="0024069F">
        <w:rPr>
          <w:sz w:val="25"/>
          <w:szCs w:val="25"/>
        </w:rPr>
        <w:t>s</w:t>
      </w:r>
      <w:r w:rsidR="000601FB" w:rsidRPr="002A43DF">
        <w:rPr>
          <w:sz w:val="25"/>
          <w:szCs w:val="25"/>
        </w:rPr>
        <w:t>hould accept a company’s actual capital structure unless there is a “clear and compelling reason” to do otherwise.</w:t>
      </w:r>
      <w:r w:rsidR="000601FB" w:rsidRPr="002A43DF">
        <w:rPr>
          <w:rStyle w:val="FootnoteReference"/>
          <w:sz w:val="25"/>
          <w:szCs w:val="25"/>
        </w:rPr>
        <w:footnoteReference w:id="10"/>
      </w:r>
      <w:r w:rsidR="000601FB" w:rsidRPr="002A43DF">
        <w:rPr>
          <w:sz w:val="25"/>
          <w:szCs w:val="25"/>
        </w:rPr>
        <w:t xml:space="preserve">  It also argues that in adopting the capital structure we</w:t>
      </w:r>
      <w:r w:rsidR="000601FB" w:rsidRPr="001D4B83">
        <w:rPr>
          <w:sz w:val="25"/>
          <w:szCs w:val="25"/>
        </w:rPr>
        <w:t xml:space="preserve"> </w:t>
      </w:r>
      <w:r w:rsidR="000601FB" w:rsidRPr="002A43DF">
        <w:rPr>
          <w:sz w:val="25"/>
          <w:szCs w:val="25"/>
        </w:rPr>
        <w:t>f</w:t>
      </w:r>
      <w:r w:rsidR="000601FB" w:rsidRPr="001D4B83">
        <w:rPr>
          <w:sz w:val="25"/>
          <w:szCs w:val="25"/>
        </w:rPr>
        <w:t>ailed to consider</w:t>
      </w:r>
      <w:r w:rsidR="000601FB">
        <w:rPr>
          <w:sz w:val="25"/>
          <w:szCs w:val="25"/>
        </w:rPr>
        <w:t xml:space="preserve"> adequately</w:t>
      </w:r>
      <w:r w:rsidR="000601FB" w:rsidRPr="001D4B83">
        <w:rPr>
          <w:sz w:val="25"/>
          <w:szCs w:val="25"/>
        </w:rPr>
        <w:t xml:space="preserve"> the impact on the Company’s credit metrics.</w:t>
      </w:r>
      <w:r w:rsidR="000601FB">
        <w:rPr>
          <w:rStyle w:val="FootnoteReference"/>
          <w:sz w:val="25"/>
          <w:szCs w:val="25"/>
        </w:rPr>
        <w:footnoteReference w:id="11"/>
      </w:r>
    </w:p>
    <w:p w:rsidR="00913855" w:rsidRPr="001D4B83" w:rsidRDefault="00913855" w:rsidP="001D4B83">
      <w:pPr>
        <w:pStyle w:val="ListParagraph"/>
        <w:spacing w:line="288" w:lineRule="auto"/>
        <w:rPr>
          <w:sz w:val="25"/>
          <w:szCs w:val="25"/>
        </w:rPr>
      </w:pPr>
    </w:p>
    <w:p w:rsidR="00F2211A" w:rsidRPr="002532DF" w:rsidRDefault="000F77DD" w:rsidP="006F5B55">
      <w:pPr>
        <w:numPr>
          <w:ilvl w:val="0"/>
          <w:numId w:val="1"/>
        </w:numPr>
        <w:tabs>
          <w:tab w:val="clear" w:pos="720"/>
          <w:tab w:val="num" w:pos="0"/>
        </w:tabs>
        <w:spacing w:line="288" w:lineRule="auto"/>
        <w:ind w:left="0"/>
        <w:rPr>
          <w:sz w:val="25"/>
          <w:szCs w:val="25"/>
        </w:rPr>
      </w:pPr>
      <w:r>
        <w:rPr>
          <w:sz w:val="25"/>
          <w:szCs w:val="25"/>
        </w:rPr>
        <w:t xml:space="preserve">In contrast, </w:t>
      </w:r>
      <w:r w:rsidR="00502282">
        <w:rPr>
          <w:sz w:val="25"/>
          <w:szCs w:val="25"/>
        </w:rPr>
        <w:t xml:space="preserve">Staff </w:t>
      </w:r>
      <w:r w:rsidR="00CE003D">
        <w:rPr>
          <w:sz w:val="25"/>
          <w:szCs w:val="25"/>
        </w:rPr>
        <w:t>believes</w:t>
      </w:r>
      <w:r w:rsidR="00502282">
        <w:rPr>
          <w:sz w:val="25"/>
          <w:szCs w:val="25"/>
        </w:rPr>
        <w:t xml:space="preserve"> that </w:t>
      </w:r>
      <w:r>
        <w:rPr>
          <w:sz w:val="25"/>
          <w:szCs w:val="25"/>
        </w:rPr>
        <w:t>our adopted capital structure</w:t>
      </w:r>
      <w:r w:rsidR="004E455A">
        <w:rPr>
          <w:sz w:val="25"/>
          <w:szCs w:val="25"/>
        </w:rPr>
        <w:t xml:space="preserve"> </w:t>
      </w:r>
      <w:r w:rsidR="0012569B">
        <w:rPr>
          <w:sz w:val="25"/>
          <w:szCs w:val="25"/>
        </w:rPr>
        <w:t>endowed</w:t>
      </w:r>
      <w:r w:rsidR="00CE003D">
        <w:rPr>
          <w:sz w:val="25"/>
          <w:szCs w:val="25"/>
        </w:rPr>
        <w:t xml:space="preserve"> the Company with </w:t>
      </w:r>
      <w:r w:rsidR="0025576A">
        <w:rPr>
          <w:sz w:val="25"/>
          <w:szCs w:val="25"/>
        </w:rPr>
        <w:t>excessive equity</w:t>
      </w:r>
      <w:r>
        <w:rPr>
          <w:sz w:val="25"/>
          <w:szCs w:val="25"/>
        </w:rPr>
        <w:t>.  It argue</w:t>
      </w:r>
      <w:r w:rsidR="007B213A">
        <w:rPr>
          <w:sz w:val="25"/>
          <w:szCs w:val="25"/>
        </w:rPr>
        <w:t>s</w:t>
      </w:r>
      <w:r>
        <w:rPr>
          <w:sz w:val="25"/>
          <w:szCs w:val="25"/>
        </w:rPr>
        <w:t xml:space="preserve"> that its proposed </w:t>
      </w:r>
      <w:r w:rsidR="00BF1748">
        <w:rPr>
          <w:sz w:val="25"/>
          <w:szCs w:val="25"/>
        </w:rPr>
        <w:t>equity ratio of 46.5 percent is safe, economical, and consistent with the capitalization of most electric utilities</w:t>
      </w:r>
      <w:r w:rsidR="0012569B">
        <w:rPr>
          <w:sz w:val="25"/>
          <w:szCs w:val="25"/>
        </w:rPr>
        <w:t>.</w:t>
      </w:r>
      <w:r w:rsidR="00BF1748">
        <w:rPr>
          <w:rStyle w:val="FootnoteReference"/>
          <w:sz w:val="25"/>
          <w:szCs w:val="25"/>
        </w:rPr>
        <w:footnoteReference w:id="12"/>
      </w:r>
      <w:r>
        <w:rPr>
          <w:sz w:val="25"/>
          <w:szCs w:val="25"/>
        </w:rPr>
        <w:t xml:space="preserve"> </w:t>
      </w:r>
      <w:r w:rsidR="000601FB">
        <w:rPr>
          <w:sz w:val="25"/>
          <w:szCs w:val="25"/>
        </w:rPr>
        <w:t xml:space="preserve"> </w:t>
      </w:r>
      <w:r w:rsidR="00183037">
        <w:rPr>
          <w:sz w:val="25"/>
          <w:szCs w:val="25"/>
        </w:rPr>
        <w:t xml:space="preserve">To reduce equity to this level, </w:t>
      </w:r>
      <w:r w:rsidR="0012569B">
        <w:rPr>
          <w:sz w:val="25"/>
          <w:szCs w:val="25"/>
        </w:rPr>
        <w:t xml:space="preserve">Staff </w:t>
      </w:r>
      <w:r>
        <w:rPr>
          <w:sz w:val="25"/>
          <w:szCs w:val="25"/>
        </w:rPr>
        <w:t>impute</w:t>
      </w:r>
      <w:r w:rsidR="000601FB">
        <w:rPr>
          <w:sz w:val="25"/>
          <w:szCs w:val="25"/>
        </w:rPr>
        <w:t>s</w:t>
      </w:r>
      <w:r>
        <w:rPr>
          <w:sz w:val="25"/>
          <w:szCs w:val="25"/>
        </w:rPr>
        <w:t xml:space="preserve"> </w:t>
      </w:r>
      <w:r w:rsidR="00BF1748">
        <w:rPr>
          <w:sz w:val="25"/>
          <w:szCs w:val="25"/>
        </w:rPr>
        <w:t>three percent short-term debt</w:t>
      </w:r>
      <w:r>
        <w:rPr>
          <w:sz w:val="25"/>
          <w:szCs w:val="25"/>
        </w:rPr>
        <w:t xml:space="preserve"> into the </w:t>
      </w:r>
      <w:r w:rsidR="0012569B">
        <w:rPr>
          <w:sz w:val="25"/>
          <w:szCs w:val="25"/>
        </w:rPr>
        <w:t xml:space="preserve">Company’s </w:t>
      </w:r>
      <w:r>
        <w:rPr>
          <w:sz w:val="25"/>
          <w:szCs w:val="25"/>
        </w:rPr>
        <w:t>capital structure</w:t>
      </w:r>
      <w:r w:rsidR="00183037">
        <w:rPr>
          <w:sz w:val="25"/>
          <w:szCs w:val="25"/>
        </w:rPr>
        <w:t>, and argues that we erred by not ordering this result</w:t>
      </w:r>
      <w:r w:rsidR="00BF1748">
        <w:rPr>
          <w:sz w:val="25"/>
          <w:szCs w:val="25"/>
        </w:rPr>
        <w:t>.</w:t>
      </w:r>
      <w:r w:rsidR="00BF1748">
        <w:rPr>
          <w:rStyle w:val="FootnoteReference"/>
          <w:sz w:val="25"/>
          <w:szCs w:val="25"/>
        </w:rPr>
        <w:footnoteReference w:id="13"/>
      </w:r>
      <w:r w:rsidR="00627AEC">
        <w:rPr>
          <w:sz w:val="25"/>
          <w:szCs w:val="25"/>
        </w:rPr>
        <w:t xml:space="preserve"> </w:t>
      </w:r>
      <w:r w:rsidR="000601FB">
        <w:rPr>
          <w:sz w:val="25"/>
          <w:szCs w:val="25"/>
        </w:rPr>
        <w:t xml:space="preserve"> </w:t>
      </w:r>
      <w:r w:rsidR="00627AEC">
        <w:rPr>
          <w:sz w:val="25"/>
          <w:szCs w:val="25"/>
        </w:rPr>
        <w:t xml:space="preserve">We respond first to the Company’s arguments. </w:t>
      </w:r>
    </w:p>
    <w:p w:rsidR="002A43DF" w:rsidRDefault="002A43DF">
      <w:pPr>
        <w:spacing w:line="288" w:lineRule="auto"/>
        <w:ind w:left="-720"/>
        <w:rPr>
          <w:sz w:val="25"/>
          <w:szCs w:val="25"/>
        </w:rPr>
      </w:pPr>
    </w:p>
    <w:p w:rsidR="00817CE0" w:rsidRDefault="000F77DD" w:rsidP="00817CE0">
      <w:pPr>
        <w:numPr>
          <w:ilvl w:val="0"/>
          <w:numId w:val="1"/>
        </w:numPr>
        <w:tabs>
          <w:tab w:val="clear" w:pos="720"/>
          <w:tab w:val="num" w:pos="0"/>
        </w:tabs>
        <w:spacing w:line="288" w:lineRule="auto"/>
        <w:ind w:left="0"/>
        <w:rPr>
          <w:sz w:val="25"/>
          <w:szCs w:val="25"/>
        </w:rPr>
      </w:pPr>
      <w:r w:rsidRPr="00627AEC">
        <w:rPr>
          <w:sz w:val="25"/>
          <w:szCs w:val="25"/>
        </w:rPr>
        <w:t>Contrary to PacifiCorp’s contention,</w:t>
      </w:r>
      <w:r w:rsidR="00B81494" w:rsidRPr="00627AEC">
        <w:rPr>
          <w:sz w:val="25"/>
          <w:szCs w:val="25"/>
        </w:rPr>
        <w:t xml:space="preserve"> </w:t>
      </w:r>
      <w:r w:rsidR="00627AEC">
        <w:rPr>
          <w:sz w:val="25"/>
          <w:szCs w:val="25"/>
        </w:rPr>
        <w:t xml:space="preserve">our decision on the </w:t>
      </w:r>
      <w:r w:rsidR="00B81494" w:rsidRPr="00627AEC">
        <w:rPr>
          <w:sz w:val="25"/>
          <w:szCs w:val="25"/>
        </w:rPr>
        <w:t xml:space="preserve">Company’s capital structure </w:t>
      </w:r>
      <w:r w:rsidR="00627AEC">
        <w:rPr>
          <w:sz w:val="25"/>
          <w:szCs w:val="25"/>
        </w:rPr>
        <w:t xml:space="preserve">applied </w:t>
      </w:r>
      <w:r w:rsidR="00B81494" w:rsidRPr="00627AEC">
        <w:rPr>
          <w:sz w:val="25"/>
          <w:szCs w:val="25"/>
        </w:rPr>
        <w:t xml:space="preserve">the </w:t>
      </w:r>
      <w:r w:rsidR="00857653" w:rsidRPr="00627AEC">
        <w:rPr>
          <w:sz w:val="25"/>
          <w:szCs w:val="25"/>
        </w:rPr>
        <w:t xml:space="preserve">appropriate </w:t>
      </w:r>
      <w:r w:rsidR="00B81494" w:rsidRPr="00627AEC">
        <w:rPr>
          <w:sz w:val="25"/>
          <w:szCs w:val="25"/>
        </w:rPr>
        <w:t xml:space="preserve">legal standard, </w:t>
      </w:r>
      <w:r w:rsidR="00180CEC" w:rsidRPr="00627AEC">
        <w:rPr>
          <w:sz w:val="25"/>
          <w:szCs w:val="25"/>
        </w:rPr>
        <w:t xml:space="preserve">which </w:t>
      </w:r>
      <w:r w:rsidR="00B81494" w:rsidRPr="00627AEC">
        <w:rPr>
          <w:sz w:val="25"/>
          <w:szCs w:val="25"/>
        </w:rPr>
        <w:t>balance</w:t>
      </w:r>
      <w:r w:rsidR="00627AEC">
        <w:rPr>
          <w:sz w:val="25"/>
          <w:szCs w:val="25"/>
        </w:rPr>
        <w:t>s the financial integrity of the Company</w:t>
      </w:r>
      <w:r w:rsidR="00B81494" w:rsidRPr="00627AEC">
        <w:rPr>
          <w:sz w:val="25"/>
          <w:szCs w:val="25"/>
        </w:rPr>
        <w:t xml:space="preserve"> </w:t>
      </w:r>
      <w:r w:rsidR="00627AEC">
        <w:rPr>
          <w:sz w:val="25"/>
          <w:szCs w:val="25"/>
        </w:rPr>
        <w:t>(</w:t>
      </w:r>
      <w:r w:rsidR="00B81494" w:rsidRPr="00627AEC">
        <w:rPr>
          <w:sz w:val="25"/>
          <w:szCs w:val="25"/>
        </w:rPr>
        <w:t>safety</w:t>
      </w:r>
      <w:r w:rsidR="00627AEC">
        <w:rPr>
          <w:sz w:val="25"/>
          <w:szCs w:val="25"/>
        </w:rPr>
        <w:t>) with its cost to rat</w:t>
      </w:r>
      <w:r w:rsidR="005E028C">
        <w:rPr>
          <w:sz w:val="25"/>
          <w:szCs w:val="25"/>
        </w:rPr>
        <w:t>e</w:t>
      </w:r>
      <w:r w:rsidR="00627AEC">
        <w:rPr>
          <w:sz w:val="25"/>
          <w:szCs w:val="25"/>
        </w:rPr>
        <w:t>payers</w:t>
      </w:r>
      <w:r w:rsidR="00B81494" w:rsidRPr="00627AEC">
        <w:rPr>
          <w:sz w:val="25"/>
          <w:szCs w:val="25"/>
        </w:rPr>
        <w:t xml:space="preserve"> </w:t>
      </w:r>
      <w:r w:rsidR="00627AEC">
        <w:rPr>
          <w:sz w:val="25"/>
          <w:szCs w:val="25"/>
        </w:rPr>
        <w:t>(</w:t>
      </w:r>
      <w:r w:rsidR="00B81494" w:rsidRPr="00627AEC">
        <w:rPr>
          <w:sz w:val="25"/>
          <w:szCs w:val="25"/>
        </w:rPr>
        <w:t>economy</w:t>
      </w:r>
      <w:r w:rsidR="00627AEC">
        <w:rPr>
          <w:sz w:val="25"/>
          <w:szCs w:val="25"/>
        </w:rPr>
        <w:t>)</w:t>
      </w:r>
      <w:r w:rsidR="00B81494" w:rsidRPr="00627AEC">
        <w:rPr>
          <w:sz w:val="25"/>
          <w:szCs w:val="25"/>
        </w:rPr>
        <w:t>.</w:t>
      </w:r>
      <w:r w:rsidR="001D4B83" w:rsidRPr="00627AEC">
        <w:rPr>
          <w:rStyle w:val="FootnoteReference"/>
          <w:sz w:val="25"/>
          <w:szCs w:val="25"/>
        </w:rPr>
        <w:footnoteReference w:id="14"/>
      </w:r>
      <w:r w:rsidR="00B81494" w:rsidRPr="00627AEC">
        <w:rPr>
          <w:sz w:val="25"/>
          <w:szCs w:val="25"/>
        </w:rPr>
        <w:t xml:space="preserve">  </w:t>
      </w:r>
      <w:r w:rsidR="00180CEC" w:rsidRPr="00627AEC">
        <w:rPr>
          <w:sz w:val="25"/>
          <w:szCs w:val="25"/>
        </w:rPr>
        <w:t xml:space="preserve">The Company’s arguments ignore this basic tenet and, as a result, it is left with contending that we </w:t>
      </w:r>
      <w:r w:rsidR="00817CE0">
        <w:rPr>
          <w:sz w:val="25"/>
          <w:szCs w:val="25"/>
        </w:rPr>
        <w:t>must a</w:t>
      </w:r>
      <w:r w:rsidR="00180CEC" w:rsidRPr="00627AEC">
        <w:rPr>
          <w:sz w:val="25"/>
          <w:szCs w:val="25"/>
        </w:rPr>
        <w:t xml:space="preserve">ccept its actual capital structure. </w:t>
      </w:r>
      <w:r w:rsidR="007A18A9">
        <w:rPr>
          <w:sz w:val="25"/>
          <w:szCs w:val="25"/>
        </w:rPr>
        <w:t xml:space="preserve"> </w:t>
      </w:r>
      <w:r w:rsidR="00180CEC" w:rsidRPr="00627AEC">
        <w:rPr>
          <w:sz w:val="25"/>
          <w:szCs w:val="25"/>
        </w:rPr>
        <w:t>In fact, it argues that our precedent dictates this result.</w:t>
      </w:r>
      <w:r w:rsidR="00DB5C5D">
        <w:rPr>
          <w:sz w:val="25"/>
          <w:szCs w:val="25"/>
        </w:rPr>
        <w:t xml:space="preserve"> </w:t>
      </w:r>
      <w:r w:rsidR="00627AEC">
        <w:rPr>
          <w:sz w:val="25"/>
          <w:szCs w:val="25"/>
        </w:rPr>
        <w:t xml:space="preserve"> We disagree. </w:t>
      </w:r>
      <w:r w:rsidR="00DB5C5D">
        <w:rPr>
          <w:sz w:val="25"/>
          <w:szCs w:val="25"/>
        </w:rPr>
        <w:t xml:space="preserve"> </w:t>
      </w:r>
      <w:r w:rsidR="00817CE0">
        <w:rPr>
          <w:sz w:val="25"/>
          <w:szCs w:val="25"/>
        </w:rPr>
        <w:t xml:space="preserve">When </w:t>
      </w:r>
      <w:r w:rsidR="0056711D">
        <w:rPr>
          <w:sz w:val="25"/>
          <w:szCs w:val="25"/>
        </w:rPr>
        <w:t>our prior</w:t>
      </w:r>
      <w:r w:rsidR="00817CE0">
        <w:rPr>
          <w:sz w:val="25"/>
          <w:szCs w:val="25"/>
        </w:rPr>
        <w:t xml:space="preserve"> decisions are examined in context, they actually undermine the Company’s position.  </w:t>
      </w:r>
    </w:p>
    <w:p w:rsidR="00180CEC" w:rsidRPr="00627AEC" w:rsidRDefault="00180CEC" w:rsidP="00DB5C5D">
      <w:pPr>
        <w:spacing w:line="288" w:lineRule="auto"/>
        <w:ind w:left="-720"/>
        <w:rPr>
          <w:sz w:val="25"/>
          <w:szCs w:val="25"/>
        </w:rPr>
      </w:pPr>
    </w:p>
    <w:p w:rsidR="00627AEC" w:rsidRDefault="00627AEC" w:rsidP="00C87C3B">
      <w:pPr>
        <w:numPr>
          <w:ilvl w:val="0"/>
          <w:numId w:val="1"/>
        </w:numPr>
        <w:tabs>
          <w:tab w:val="clear" w:pos="720"/>
          <w:tab w:val="num" w:pos="0"/>
        </w:tabs>
        <w:spacing w:line="288" w:lineRule="auto"/>
        <w:ind w:left="0"/>
        <w:rPr>
          <w:sz w:val="25"/>
          <w:szCs w:val="25"/>
        </w:rPr>
      </w:pPr>
      <w:r w:rsidRPr="00C87C3B">
        <w:rPr>
          <w:sz w:val="25"/>
          <w:szCs w:val="25"/>
        </w:rPr>
        <w:lastRenderedPageBreak/>
        <w:t xml:space="preserve">PacifiCorp </w:t>
      </w:r>
      <w:r w:rsidR="00817CE0">
        <w:rPr>
          <w:sz w:val="25"/>
          <w:szCs w:val="25"/>
        </w:rPr>
        <w:t xml:space="preserve">relies on language </w:t>
      </w:r>
      <w:r w:rsidRPr="00C87C3B">
        <w:rPr>
          <w:sz w:val="25"/>
          <w:szCs w:val="25"/>
        </w:rPr>
        <w:t>from</w:t>
      </w:r>
      <w:r w:rsidR="00817CE0">
        <w:rPr>
          <w:sz w:val="25"/>
          <w:szCs w:val="25"/>
        </w:rPr>
        <w:t xml:space="preserve"> </w:t>
      </w:r>
      <w:r w:rsidR="00417FB9">
        <w:rPr>
          <w:sz w:val="25"/>
          <w:szCs w:val="25"/>
        </w:rPr>
        <w:t xml:space="preserve">a </w:t>
      </w:r>
      <w:r w:rsidRPr="00C87C3B">
        <w:rPr>
          <w:sz w:val="25"/>
          <w:szCs w:val="25"/>
        </w:rPr>
        <w:t xml:space="preserve">previous Puget Sound Energy (PSE) decision </w:t>
      </w:r>
      <w:r w:rsidR="007A18A9">
        <w:rPr>
          <w:sz w:val="25"/>
          <w:szCs w:val="25"/>
        </w:rPr>
        <w:t>in which</w:t>
      </w:r>
      <w:r w:rsidR="00817CE0">
        <w:rPr>
          <w:sz w:val="25"/>
          <w:szCs w:val="25"/>
        </w:rPr>
        <w:t xml:space="preserve"> the Company had requested a </w:t>
      </w:r>
      <w:r w:rsidR="00FA7995">
        <w:rPr>
          <w:sz w:val="25"/>
          <w:szCs w:val="25"/>
        </w:rPr>
        <w:t xml:space="preserve">higher than actual </w:t>
      </w:r>
      <w:r w:rsidR="00817CE0">
        <w:rPr>
          <w:sz w:val="25"/>
          <w:szCs w:val="25"/>
        </w:rPr>
        <w:t>equity percentage</w:t>
      </w:r>
      <w:r w:rsidR="00FA7995">
        <w:rPr>
          <w:sz w:val="25"/>
          <w:szCs w:val="25"/>
        </w:rPr>
        <w:t>.</w:t>
      </w:r>
      <w:r w:rsidR="00381F39">
        <w:rPr>
          <w:rStyle w:val="FootnoteReference"/>
          <w:sz w:val="25"/>
          <w:szCs w:val="25"/>
        </w:rPr>
        <w:footnoteReference w:id="15"/>
      </w:r>
      <w:r w:rsidR="00FA7995">
        <w:rPr>
          <w:sz w:val="25"/>
          <w:szCs w:val="25"/>
        </w:rPr>
        <w:t xml:space="preserve"> </w:t>
      </w:r>
      <w:r w:rsidR="00DB5C5D">
        <w:rPr>
          <w:sz w:val="25"/>
          <w:szCs w:val="25"/>
        </w:rPr>
        <w:t xml:space="preserve"> </w:t>
      </w:r>
      <w:r w:rsidR="00992EB6">
        <w:rPr>
          <w:sz w:val="25"/>
          <w:szCs w:val="25"/>
        </w:rPr>
        <w:t>The</w:t>
      </w:r>
      <w:r w:rsidR="0056711D">
        <w:rPr>
          <w:sz w:val="25"/>
          <w:szCs w:val="25"/>
        </w:rPr>
        <w:t>re, the</w:t>
      </w:r>
      <w:r w:rsidR="00992EB6">
        <w:rPr>
          <w:sz w:val="25"/>
          <w:szCs w:val="25"/>
        </w:rPr>
        <w:t xml:space="preserve"> Commission declined to increase </w:t>
      </w:r>
      <w:r w:rsidR="0056711D">
        <w:rPr>
          <w:sz w:val="25"/>
          <w:szCs w:val="25"/>
        </w:rPr>
        <w:t>PSE’s</w:t>
      </w:r>
      <w:r w:rsidR="00992EB6">
        <w:rPr>
          <w:sz w:val="25"/>
          <w:szCs w:val="25"/>
        </w:rPr>
        <w:t xml:space="preserve"> equity component</w:t>
      </w:r>
      <w:r w:rsidR="0056711D">
        <w:rPr>
          <w:sz w:val="25"/>
          <w:szCs w:val="25"/>
        </w:rPr>
        <w:t>,</w:t>
      </w:r>
      <w:r w:rsidR="00992EB6">
        <w:rPr>
          <w:sz w:val="25"/>
          <w:szCs w:val="25"/>
        </w:rPr>
        <w:t xml:space="preserve"> citing the two </w:t>
      </w:r>
      <w:r w:rsidR="00FA7995">
        <w:rPr>
          <w:sz w:val="25"/>
          <w:szCs w:val="25"/>
        </w:rPr>
        <w:t>cases</w:t>
      </w:r>
      <w:r w:rsidR="005D5F54">
        <w:rPr>
          <w:sz w:val="25"/>
          <w:szCs w:val="25"/>
        </w:rPr>
        <w:t xml:space="preserve"> </w:t>
      </w:r>
      <w:r w:rsidR="00992EB6">
        <w:rPr>
          <w:sz w:val="25"/>
          <w:szCs w:val="25"/>
        </w:rPr>
        <w:t xml:space="preserve">just prior </w:t>
      </w:r>
      <w:r w:rsidR="004E455A">
        <w:rPr>
          <w:sz w:val="25"/>
          <w:szCs w:val="25"/>
        </w:rPr>
        <w:t>in which</w:t>
      </w:r>
      <w:r w:rsidR="00FA7995">
        <w:rPr>
          <w:sz w:val="25"/>
          <w:szCs w:val="25"/>
        </w:rPr>
        <w:t xml:space="preserve"> the Commission </w:t>
      </w:r>
      <w:r w:rsidR="0056711D">
        <w:rPr>
          <w:sz w:val="25"/>
          <w:szCs w:val="25"/>
        </w:rPr>
        <w:t>had allowed a</w:t>
      </w:r>
      <w:r w:rsidR="004E455A">
        <w:rPr>
          <w:sz w:val="25"/>
          <w:szCs w:val="25"/>
        </w:rPr>
        <w:t xml:space="preserve"> hypothetical capital structure </w:t>
      </w:r>
      <w:r w:rsidR="000273BC">
        <w:rPr>
          <w:sz w:val="25"/>
          <w:szCs w:val="25"/>
        </w:rPr>
        <w:t xml:space="preserve">containing </w:t>
      </w:r>
      <w:r w:rsidR="004E455A">
        <w:rPr>
          <w:sz w:val="25"/>
          <w:szCs w:val="25"/>
        </w:rPr>
        <w:t>additional equity in an effort to deleverage the Company’s balance sheet</w:t>
      </w:r>
      <w:r w:rsidR="000C5B77">
        <w:rPr>
          <w:rStyle w:val="FootnoteReference"/>
          <w:sz w:val="25"/>
          <w:szCs w:val="25"/>
        </w:rPr>
        <w:footnoteReference w:id="16"/>
      </w:r>
      <w:r w:rsidR="000C5B77">
        <w:rPr>
          <w:sz w:val="25"/>
          <w:szCs w:val="25"/>
        </w:rPr>
        <w:t xml:space="preserve"> </w:t>
      </w:r>
      <w:r w:rsidR="00381F39">
        <w:rPr>
          <w:sz w:val="25"/>
          <w:szCs w:val="25"/>
        </w:rPr>
        <w:t xml:space="preserve"> </w:t>
      </w:r>
      <w:r w:rsidR="005D5F54">
        <w:rPr>
          <w:sz w:val="25"/>
          <w:szCs w:val="25"/>
        </w:rPr>
        <w:t>In th</w:t>
      </w:r>
      <w:r w:rsidR="000C5B77">
        <w:rPr>
          <w:sz w:val="25"/>
          <w:szCs w:val="25"/>
        </w:rPr>
        <w:t>e cited case</w:t>
      </w:r>
      <w:r w:rsidR="004E455A">
        <w:rPr>
          <w:sz w:val="25"/>
          <w:szCs w:val="25"/>
        </w:rPr>
        <w:t>s</w:t>
      </w:r>
      <w:r w:rsidR="000C5B77">
        <w:rPr>
          <w:sz w:val="25"/>
          <w:szCs w:val="25"/>
        </w:rPr>
        <w:t xml:space="preserve"> the Company request</w:t>
      </w:r>
      <w:r w:rsidR="005D5F54">
        <w:rPr>
          <w:sz w:val="25"/>
          <w:szCs w:val="25"/>
        </w:rPr>
        <w:t>ed</w:t>
      </w:r>
      <w:r w:rsidR="000C5B77">
        <w:rPr>
          <w:sz w:val="25"/>
          <w:szCs w:val="25"/>
        </w:rPr>
        <w:t xml:space="preserve"> more hypothetical equity without demonstrating it was necessary to finance the Company’s capital program.  Balancing safety and economy, the Commission concluded that the Company’s actual equity position was sufficient to attract capital. </w:t>
      </w:r>
      <w:r w:rsidR="004E455A">
        <w:rPr>
          <w:sz w:val="25"/>
          <w:szCs w:val="25"/>
        </w:rPr>
        <w:t xml:space="preserve"> </w:t>
      </w:r>
      <w:r w:rsidR="000C5B77">
        <w:rPr>
          <w:sz w:val="25"/>
          <w:szCs w:val="25"/>
        </w:rPr>
        <w:t xml:space="preserve">It is in this context, where the </w:t>
      </w:r>
      <w:r w:rsidR="00976D09">
        <w:rPr>
          <w:sz w:val="25"/>
          <w:szCs w:val="25"/>
        </w:rPr>
        <w:t>financial needs of the Company were contrasted with the cost to ratepayers,</w:t>
      </w:r>
      <w:r w:rsidR="000C5B77">
        <w:rPr>
          <w:sz w:val="25"/>
          <w:szCs w:val="25"/>
        </w:rPr>
        <w:t xml:space="preserve"> that the </w:t>
      </w:r>
      <w:r w:rsidR="00976D09">
        <w:rPr>
          <w:sz w:val="25"/>
          <w:szCs w:val="25"/>
        </w:rPr>
        <w:t xml:space="preserve">Commission </w:t>
      </w:r>
      <w:r w:rsidR="000C5B77">
        <w:rPr>
          <w:sz w:val="25"/>
          <w:szCs w:val="25"/>
        </w:rPr>
        <w:t>noted that to do more</w:t>
      </w:r>
      <w:r w:rsidR="00976D09">
        <w:rPr>
          <w:sz w:val="25"/>
          <w:szCs w:val="25"/>
        </w:rPr>
        <w:t xml:space="preserve"> for the Company would require a “clear and compelling” reason to do so.  </w:t>
      </w:r>
      <w:r w:rsidRPr="00C87C3B">
        <w:rPr>
          <w:sz w:val="25"/>
          <w:szCs w:val="25"/>
        </w:rPr>
        <w:t>In other words, the “clear and compelling” language was an application of the stringent burden of proof our state statutes place on the utilities seeking rate increases</w:t>
      </w:r>
      <w:r w:rsidR="005751CD">
        <w:rPr>
          <w:rStyle w:val="FootnoteReference"/>
          <w:sz w:val="25"/>
          <w:szCs w:val="25"/>
        </w:rPr>
        <w:footnoteReference w:id="17"/>
      </w:r>
      <w:r w:rsidRPr="00C87C3B">
        <w:rPr>
          <w:sz w:val="25"/>
          <w:szCs w:val="25"/>
        </w:rPr>
        <w:t>.</w:t>
      </w:r>
      <w:r w:rsidRPr="008B6938">
        <w:rPr>
          <w:sz w:val="25"/>
          <w:szCs w:val="25"/>
        </w:rPr>
        <w:t xml:space="preserve">  </w:t>
      </w:r>
    </w:p>
    <w:p w:rsidR="006F1601" w:rsidRDefault="006F1601" w:rsidP="006F1601">
      <w:pPr>
        <w:spacing w:line="288" w:lineRule="auto"/>
        <w:ind w:left="-720"/>
        <w:rPr>
          <w:sz w:val="25"/>
          <w:szCs w:val="25"/>
        </w:rPr>
      </w:pPr>
    </w:p>
    <w:p w:rsidR="00627AEC" w:rsidRDefault="006F1601" w:rsidP="00C87C3B">
      <w:pPr>
        <w:numPr>
          <w:ilvl w:val="0"/>
          <w:numId w:val="1"/>
        </w:numPr>
        <w:tabs>
          <w:tab w:val="clear" w:pos="720"/>
          <w:tab w:val="num" w:pos="0"/>
        </w:tabs>
        <w:spacing w:line="288" w:lineRule="auto"/>
        <w:ind w:left="0"/>
        <w:rPr>
          <w:sz w:val="25"/>
          <w:szCs w:val="25"/>
        </w:rPr>
      </w:pPr>
      <w:r>
        <w:rPr>
          <w:sz w:val="25"/>
          <w:szCs w:val="25"/>
        </w:rPr>
        <w:t>We also disagree that PacifiCorp’s credit rating will be imperiled by adopting an equity ratio three percent below its actual equity ratio.  Indeed, our decision on the equity component should have a limited impact on PacifiCorp’s credit rating.  More significant is PacifiCorp’s affiliation with Mid-American Energy Holding Company (MEHC).</w:t>
      </w:r>
      <w:r>
        <w:rPr>
          <w:rStyle w:val="FootnoteReference"/>
          <w:sz w:val="25"/>
          <w:szCs w:val="25"/>
        </w:rPr>
        <w:footnoteReference w:id="18"/>
      </w:r>
      <w:r>
        <w:rPr>
          <w:sz w:val="25"/>
          <w:szCs w:val="25"/>
        </w:rPr>
        <w:t xml:space="preserve">  PacifiCorp admits that its credit metrics “are more consistent on a standalone basis with a ‘BBB’ category rating” and “absent ownership by MEHC . . . [its] credit rating would likely suffer at least a one rating level downgrade.”</w:t>
      </w:r>
      <w:r>
        <w:rPr>
          <w:rStyle w:val="FootnoteReference"/>
          <w:sz w:val="25"/>
          <w:szCs w:val="25"/>
        </w:rPr>
        <w:footnoteReference w:id="19"/>
      </w:r>
      <w:r>
        <w:rPr>
          <w:sz w:val="25"/>
          <w:szCs w:val="25"/>
        </w:rPr>
        <w:t xml:space="preserve">  It is </w:t>
      </w:r>
      <w:r>
        <w:rPr>
          <w:sz w:val="25"/>
          <w:szCs w:val="25"/>
        </w:rPr>
        <w:lastRenderedPageBreak/>
        <w:t>MEHC and the ultimate owner, Berkshire Hathaway, that control PacifiCorp’s capital structure.</w:t>
      </w:r>
      <w:r>
        <w:rPr>
          <w:rStyle w:val="FootnoteReference"/>
          <w:sz w:val="25"/>
          <w:szCs w:val="25"/>
        </w:rPr>
        <w:footnoteReference w:id="20"/>
      </w:r>
      <w:r>
        <w:rPr>
          <w:sz w:val="25"/>
          <w:szCs w:val="25"/>
        </w:rPr>
        <w:t xml:space="preserve">  MEHC’s $990 million equity infusions, elimination of dividends to MEHC, and retirement of short-term debt caused PacifiCorp’s equity ratio to expand from 46 percent in 2006 to 52.1 percent in 2009.</w:t>
      </w:r>
      <w:r>
        <w:rPr>
          <w:rStyle w:val="FootnoteReference"/>
          <w:sz w:val="25"/>
          <w:szCs w:val="25"/>
        </w:rPr>
        <w:footnoteReference w:id="21"/>
      </w:r>
      <w:r>
        <w:rPr>
          <w:sz w:val="25"/>
          <w:szCs w:val="25"/>
        </w:rPr>
        <w:t xml:space="preserve">  In our Order, we categorized this as a “remarkable level of growth in just three years.”</w:t>
      </w:r>
      <w:r>
        <w:rPr>
          <w:rStyle w:val="FootnoteReference"/>
          <w:sz w:val="25"/>
          <w:szCs w:val="25"/>
        </w:rPr>
        <w:footnoteReference w:id="22"/>
      </w:r>
      <w:r>
        <w:rPr>
          <w:sz w:val="25"/>
          <w:szCs w:val="25"/>
        </w:rPr>
        <w:t xml:space="preserve">  That characterization may well be under-stated.  While that expansion of the equity component may serve the interests of the parent company, it is “inconsistent with the ratepayer interest in a capital structure that reflects economy.”</w:t>
      </w:r>
      <w:r>
        <w:rPr>
          <w:rStyle w:val="FootnoteReference"/>
          <w:sz w:val="25"/>
          <w:szCs w:val="25"/>
        </w:rPr>
        <w:footnoteReference w:id="23"/>
      </w:r>
      <w:r>
        <w:rPr>
          <w:sz w:val="25"/>
          <w:szCs w:val="25"/>
        </w:rPr>
        <w:t xml:space="preserve">  We concluded that PacifiCorp’s capital structure contains too much equity which “tips the balance too far in favor of investor interests over ratepayers.”</w:t>
      </w:r>
      <w:r>
        <w:rPr>
          <w:rStyle w:val="FootnoteReference"/>
          <w:sz w:val="25"/>
          <w:szCs w:val="25"/>
        </w:rPr>
        <w:footnoteReference w:id="24"/>
      </w:r>
      <w:r>
        <w:rPr>
          <w:sz w:val="25"/>
          <w:szCs w:val="25"/>
        </w:rPr>
        <w:t xml:space="preserve">  Thus, application of the legal standard to balance safety and economy overshadows concern with what would be at most a minimal impact on the Company’s credit metrics.</w:t>
      </w:r>
    </w:p>
    <w:p w:rsidR="005751CD" w:rsidRDefault="005751CD" w:rsidP="00EF7F0E">
      <w:pPr>
        <w:spacing w:line="288" w:lineRule="auto"/>
        <w:ind w:left="-720"/>
        <w:rPr>
          <w:sz w:val="25"/>
          <w:szCs w:val="25"/>
        </w:rPr>
      </w:pPr>
    </w:p>
    <w:p w:rsidR="00EF7F0E" w:rsidRDefault="005751CD" w:rsidP="006F5B55">
      <w:pPr>
        <w:numPr>
          <w:ilvl w:val="0"/>
          <w:numId w:val="1"/>
        </w:numPr>
        <w:tabs>
          <w:tab w:val="clear" w:pos="720"/>
          <w:tab w:val="num" w:pos="0"/>
        </w:tabs>
        <w:spacing w:line="288" w:lineRule="auto"/>
        <w:ind w:left="0"/>
        <w:rPr>
          <w:sz w:val="25"/>
          <w:szCs w:val="25"/>
        </w:rPr>
      </w:pPr>
      <w:r>
        <w:rPr>
          <w:sz w:val="25"/>
          <w:szCs w:val="25"/>
        </w:rPr>
        <w:t xml:space="preserve">In sum on these issues, the Company did not show that it requires a higher equity percentage to operate the business or that such a result would provide benefits to ratepayers commensurate with costs. Without such showings, it cannot support its position on reconsideration.  </w:t>
      </w:r>
    </w:p>
    <w:p w:rsidR="00EF7F0E" w:rsidRDefault="00EF7F0E" w:rsidP="00EF7F0E">
      <w:pPr>
        <w:pStyle w:val="ListParagraph"/>
        <w:rPr>
          <w:sz w:val="25"/>
          <w:szCs w:val="25"/>
        </w:rPr>
      </w:pPr>
    </w:p>
    <w:p w:rsidR="000E143E" w:rsidRDefault="00EF7F0E" w:rsidP="006F5B55">
      <w:pPr>
        <w:numPr>
          <w:ilvl w:val="0"/>
          <w:numId w:val="1"/>
        </w:numPr>
        <w:tabs>
          <w:tab w:val="clear" w:pos="720"/>
          <w:tab w:val="num" w:pos="0"/>
        </w:tabs>
        <w:spacing w:line="288" w:lineRule="auto"/>
        <w:ind w:left="0"/>
        <w:rPr>
          <w:sz w:val="25"/>
          <w:szCs w:val="25"/>
        </w:rPr>
      </w:pPr>
      <w:r>
        <w:rPr>
          <w:sz w:val="25"/>
          <w:szCs w:val="25"/>
        </w:rPr>
        <w:t xml:space="preserve">Unlike </w:t>
      </w:r>
      <w:r w:rsidRPr="00B07743">
        <w:rPr>
          <w:sz w:val="25"/>
          <w:szCs w:val="25"/>
        </w:rPr>
        <w:t xml:space="preserve">PacifiCorp which argues that we adopted an equity ratio that is too low, Staff argues that we adopted one that is too high.  While Staff </w:t>
      </w:r>
      <w:r w:rsidRPr="00663F39">
        <w:rPr>
          <w:sz w:val="25"/>
          <w:szCs w:val="25"/>
        </w:rPr>
        <w:t xml:space="preserve">contends that our discussion is “fundamentally correct and well-supported” and adopts the “correct standard,” it </w:t>
      </w:r>
      <w:r w:rsidRPr="0068441D">
        <w:rPr>
          <w:sz w:val="25"/>
          <w:szCs w:val="25"/>
        </w:rPr>
        <w:t>argues that we should have accepted its proposed 46.5 percent equity ratio.</w:t>
      </w:r>
      <w:r>
        <w:rPr>
          <w:rStyle w:val="FootnoteReference"/>
          <w:sz w:val="25"/>
          <w:szCs w:val="25"/>
        </w:rPr>
        <w:footnoteReference w:id="25"/>
      </w:r>
      <w:r w:rsidRPr="00B07743">
        <w:rPr>
          <w:sz w:val="25"/>
          <w:szCs w:val="25"/>
        </w:rPr>
        <w:t xml:space="preserve"> </w:t>
      </w:r>
    </w:p>
    <w:p w:rsidR="00EF7F0E" w:rsidRDefault="00EF7F0E" w:rsidP="00EF7F0E">
      <w:pPr>
        <w:pStyle w:val="ListParagraph"/>
        <w:rPr>
          <w:sz w:val="25"/>
          <w:szCs w:val="25"/>
        </w:rPr>
      </w:pPr>
    </w:p>
    <w:p w:rsidR="002A43DF" w:rsidRDefault="002A43DF">
      <w:pPr>
        <w:spacing w:line="288" w:lineRule="auto"/>
        <w:ind w:left="-720"/>
        <w:rPr>
          <w:sz w:val="25"/>
          <w:szCs w:val="25"/>
        </w:rPr>
      </w:pPr>
    </w:p>
    <w:p w:rsidR="00E57D10" w:rsidRDefault="00957EF9" w:rsidP="006F5B55">
      <w:pPr>
        <w:numPr>
          <w:ilvl w:val="0"/>
          <w:numId w:val="1"/>
        </w:numPr>
        <w:tabs>
          <w:tab w:val="clear" w:pos="720"/>
          <w:tab w:val="num" w:pos="0"/>
        </w:tabs>
        <w:spacing w:line="288" w:lineRule="auto"/>
        <w:ind w:left="0"/>
        <w:rPr>
          <w:sz w:val="25"/>
          <w:szCs w:val="25"/>
        </w:rPr>
      </w:pPr>
      <w:r w:rsidRPr="00056AC4">
        <w:rPr>
          <w:sz w:val="25"/>
          <w:szCs w:val="25"/>
        </w:rPr>
        <w:lastRenderedPageBreak/>
        <w:t>As Staff notes in its petition, we recognized that “a substantial part of PacifiCorp’s increased equity financing is being used for capital expenditures . . . that provide value for ratepayers.”</w:t>
      </w:r>
      <w:r>
        <w:rPr>
          <w:rStyle w:val="FootnoteReference"/>
          <w:sz w:val="25"/>
          <w:szCs w:val="25"/>
        </w:rPr>
        <w:footnoteReference w:id="26"/>
      </w:r>
      <w:r w:rsidRPr="00056AC4">
        <w:rPr>
          <w:sz w:val="25"/>
          <w:szCs w:val="25"/>
        </w:rPr>
        <w:t xml:space="preserve">  Staff contends there is no evidence that PacifiCorp could not make these </w:t>
      </w:r>
      <w:r w:rsidR="0033078F" w:rsidRPr="00056AC4">
        <w:rPr>
          <w:sz w:val="25"/>
          <w:szCs w:val="25"/>
        </w:rPr>
        <w:t>investments if the Co</w:t>
      </w:r>
      <w:r w:rsidR="006641A7">
        <w:rPr>
          <w:sz w:val="25"/>
          <w:szCs w:val="25"/>
        </w:rPr>
        <w:t>mpany</w:t>
      </w:r>
      <w:r w:rsidR="0033078F" w:rsidRPr="00056AC4">
        <w:rPr>
          <w:sz w:val="25"/>
          <w:szCs w:val="25"/>
        </w:rPr>
        <w:t xml:space="preserve"> were more economically capitalized with 46.5 percent equity.</w:t>
      </w:r>
      <w:r w:rsidR="0033078F">
        <w:rPr>
          <w:rStyle w:val="FootnoteReference"/>
          <w:sz w:val="25"/>
          <w:szCs w:val="25"/>
        </w:rPr>
        <w:footnoteReference w:id="27"/>
      </w:r>
      <w:r w:rsidR="0033078F" w:rsidRPr="00056AC4">
        <w:rPr>
          <w:sz w:val="25"/>
          <w:szCs w:val="25"/>
        </w:rPr>
        <w:t xml:space="preserve">  Staff is correct that there are </w:t>
      </w:r>
      <w:r w:rsidR="00056AC4" w:rsidRPr="00056AC4">
        <w:rPr>
          <w:sz w:val="25"/>
          <w:szCs w:val="25"/>
        </w:rPr>
        <w:t xml:space="preserve">undoubtedly </w:t>
      </w:r>
      <w:r w:rsidR="0033078F" w:rsidRPr="00056AC4">
        <w:rPr>
          <w:sz w:val="25"/>
          <w:szCs w:val="25"/>
        </w:rPr>
        <w:t xml:space="preserve">other </w:t>
      </w:r>
      <w:r w:rsidR="00056AC4" w:rsidRPr="00056AC4">
        <w:rPr>
          <w:sz w:val="25"/>
          <w:szCs w:val="25"/>
        </w:rPr>
        <w:t xml:space="preserve">percentages of the equity component that would allow PacifiCorp to make capital expenditures.  A </w:t>
      </w:r>
      <w:r w:rsidR="0033078F" w:rsidRPr="00056AC4">
        <w:rPr>
          <w:sz w:val="25"/>
          <w:szCs w:val="25"/>
        </w:rPr>
        <w:t xml:space="preserve">49.1 percent equity component is not </w:t>
      </w:r>
      <w:r w:rsidR="004D15A7">
        <w:rPr>
          <w:sz w:val="25"/>
          <w:szCs w:val="25"/>
        </w:rPr>
        <w:t>the</w:t>
      </w:r>
      <w:r w:rsidR="0033078F" w:rsidRPr="00056AC4">
        <w:rPr>
          <w:sz w:val="25"/>
          <w:szCs w:val="25"/>
        </w:rPr>
        <w:t xml:space="preserve"> “magic number”</w:t>
      </w:r>
      <w:r w:rsidR="00056AC4" w:rsidRPr="00056AC4">
        <w:rPr>
          <w:sz w:val="25"/>
          <w:szCs w:val="25"/>
        </w:rPr>
        <w:t xml:space="preserve"> that </w:t>
      </w:r>
      <w:r w:rsidR="002E2B4D">
        <w:rPr>
          <w:sz w:val="25"/>
          <w:szCs w:val="25"/>
        </w:rPr>
        <w:t xml:space="preserve">we must select as </w:t>
      </w:r>
      <w:r w:rsidR="00056AC4" w:rsidRPr="00056AC4">
        <w:rPr>
          <w:sz w:val="25"/>
          <w:szCs w:val="25"/>
        </w:rPr>
        <w:t xml:space="preserve">the sole </w:t>
      </w:r>
      <w:r w:rsidR="002E2B4D">
        <w:rPr>
          <w:sz w:val="25"/>
          <w:szCs w:val="25"/>
        </w:rPr>
        <w:t xml:space="preserve">level of </w:t>
      </w:r>
      <w:r w:rsidR="00056AC4" w:rsidRPr="00056AC4">
        <w:rPr>
          <w:sz w:val="25"/>
          <w:szCs w:val="25"/>
        </w:rPr>
        <w:t xml:space="preserve">equity component that will achieve the desired results.  </w:t>
      </w:r>
      <w:r w:rsidR="00D91769">
        <w:rPr>
          <w:sz w:val="25"/>
          <w:szCs w:val="25"/>
        </w:rPr>
        <w:t>Likewise, we do not interpret</w:t>
      </w:r>
      <w:r w:rsidR="002E2B4D">
        <w:rPr>
          <w:sz w:val="25"/>
          <w:szCs w:val="25"/>
        </w:rPr>
        <w:t xml:space="preserve"> our Order in Docket UE-050684 as</w:t>
      </w:r>
      <w:r w:rsidR="00D91769">
        <w:rPr>
          <w:sz w:val="25"/>
          <w:szCs w:val="25"/>
        </w:rPr>
        <w:t xml:space="preserve"> preclud</w:t>
      </w:r>
      <w:r w:rsidR="002E2B4D">
        <w:rPr>
          <w:sz w:val="25"/>
          <w:szCs w:val="25"/>
        </w:rPr>
        <w:t>ing</w:t>
      </w:r>
      <w:r w:rsidR="00D91769">
        <w:rPr>
          <w:sz w:val="25"/>
          <w:szCs w:val="25"/>
        </w:rPr>
        <w:t xml:space="preserve"> us from imputing short-term debt under appropriate circumstances.</w:t>
      </w:r>
      <w:r w:rsidR="00D91769">
        <w:rPr>
          <w:rStyle w:val="FootnoteReference"/>
          <w:sz w:val="25"/>
          <w:szCs w:val="25"/>
        </w:rPr>
        <w:footnoteReference w:id="28"/>
      </w:r>
      <w:r w:rsidR="00D91769">
        <w:rPr>
          <w:sz w:val="25"/>
          <w:szCs w:val="25"/>
        </w:rPr>
        <w:t xml:space="preserve"> </w:t>
      </w:r>
    </w:p>
    <w:p w:rsidR="002A43DF" w:rsidRDefault="002A43DF">
      <w:pPr>
        <w:pStyle w:val="ListParagraph"/>
        <w:rPr>
          <w:sz w:val="25"/>
          <w:szCs w:val="25"/>
        </w:rPr>
      </w:pPr>
    </w:p>
    <w:p w:rsidR="00E57D10" w:rsidRDefault="007704AC" w:rsidP="006F5B55">
      <w:pPr>
        <w:numPr>
          <w:ilvl w:val="0"/>
          <w:numId w:val="1"/>
        </w:numPr>
        <w:tabs>
          <w:tab w:val="clear" w:pos="720"/>
          <w:tab w:val="num" w:pos="0"/>
        </w:tabs>
        <w:spacing w:line="288" w:lineRule="auto"/>
        <w:ind w:left="0"/>
        <w:rPr>
          <w:sz w:val="25"/>
          <w:szCs w:val="25"/>
        </w:rPr>
      </w:pPr>
      <w:r>
        <w:rPr>
          <w:sz w:val="25"/>
          <w:szCs w:val="25"/>
        </w:rPr>
        <w:t>On balance, w</w:t>
      </w:r>
      <w:r w:rsidR="00E57D10">
        <w:rPr>
          <w:sz w:val="25"/>
          <w:szCs w:val="25"/>
        </w:rPr>
        <w:t xml:space="preserve">e concluded that ICNU’s </w:t>
      </w:r>
      <w:r>
        <w:rPr>
          <w:sz w:val="25"/>
          <w:szCs w:val="25"/>
        </w:rPr>
        <w:t xml:space="preserve">capital structure </w:t>
      </w:r>
      <w:r w:rsidR="00E57D10">
        <w:rPr>
          <w:sz w:val="25"/>
          <w:szCs w:val="25"/>
        </w:rPr>
        <w:t>proposal was the most r</w:t>
      </w:r>
      <w:r w:rsidR="00E400AB">
        <w:rPr>
          <w:sz w:val="25"/>
          <w:szCs w:val="25"/>
        </w:rPr>
        <w:t>easonable and well-</w:t>
      </w:r>
      <w:r>
        <w:rPr>
          <w:sz w:val="25"/>
          <w:szCs w:val="25"/>
        </w:rPr>
        <w:t>developed</w:t>
      </w:r>
      <w:r w:rsidR="007A18A9">
        <w:rPr>
          <w:sz w:val="25"/>
          <w:szCs w:val="25"/>
        </w:rPr>
        <w:t>,</w:t>
      </w:r>
      <w:r>
        <w:rPr>
          <w:sz w:val="25"/>
          <w:szCs w:val="25"/>
        </w:rPr>
        <w:t xml:space="preserve"> having based </w:t>
      </w:r>
      <w:r w:rsidR="00E57D10">
        <w:rPr>
          <w:sz w:val="25"/>
          <w:szCs w:val="25"/>
        </w:rPr>
        <w:t xml:space="preserve">its common equity adjustments on four elements which reduced equity by $359 million, the largest of which were an acquisition adjustment and temporary cash investments.  We found persuasive ICNU’s arguments that </w:t>
      </w:r>
      <w:r w:rsidR="00E400AB">
        <w:rPr>
          <w:sz w:val="25"/>
          <w:szCs w:val="25"/>
        </w:rPr>
        <w:t>the Company was maintaining large temporary cash investments (not “cash deposits”) on its balance sheet that w</w:t>
      </w:r>
      <w:r w:rsidR="00615A16">
        <w:rPr>
          <w:sz w:val="25"/>
          <w:szCs w:val="25"/>
        </w:rPr>
        <w:t>ere</w:t>
      </w:r>
      <w:r w:rsidR="00E400AB">
        <w:rPr>
          <w:sz w:val="25"/>
          <w:szCs w:val="25"/>
        </w:rPr>
        <w:t xml:space="preserve"> not being used for utility plant and operations, and therefore should be excluded from common equity.  We do</w:t>
      </w:r>
      <w:r w:rsidR="007A18A9">
        <w:rPr>
          <w:sz w:val="25"/>
          <w:szCs w:val="25"/>
        </w:rPr>
        <w:t xml:space="preserve"> </w:t>
      </w:r>
      <w:r w:rsidR="00E400AB">
        <w:rPr>
          <w:sz w:val="25"/>
          <w:szCs w:val="25"/>
        </w:rPr>
        <w:t>n</w:t>
      </w:r>
      <w:r w:rsidR="007A18A9">
        <w:rPr>
          <w:sz w:val="25"/>
          <w:szCs w:val="25"/>
        </w:rPr>
        <w:t>o</w:t>
      </w:r>
      <w:r w:rsidR="00E400AB">
        <w:rPr>
          <w:sz w:val="25"/>
          <w:szCs w:val="25"/>
        </w:rPr>
        <w:t xml:space="preserve">t find </w:t>
      </w:r>
      <w:r w:rsidR="005D5F54">
        <w:rPr>
          <w:sz w:val="25"/>
          <w:szCs w:val="25"/>
        </w:rPr>
        <w:t xml:space="preserve">persuasive </w:t>
      </w:r>
      <w:r w:rsidR="00E400AB">
        <w:rPr>
          <w:sz w:val="25"/>
          <w:szCs w:val="25"/>
        </w:rPr>
        <w:t xml:space="preserve">the Company’s arguments </w:t>
      </w:r>
      <w:r w:rsidR="00D85C6F">
        <w:rPr>
          <w:sz w:val="25"/>
          <w:szCs w:val="25"/>
        </w:rPr>
        <w:t>on reconsideration</w:t>
      </w:r>
      <w:r w:rsidR="005D5F54">
        <w:rPr>
          <w:sz w:val="25"/>
          <w:szCs w:val="25"/>
        </w:rPr>
        <w:t>.</w:t>
      </w:r>
    </w:p>
    <w:p w:rsidR="002A43DF" w:rsidRDefault="002A43DF">
      <w:pPr>
        <w:pStyle w:val="ListParagraph"/>
        <w:rPr>
          <w:sz w:val="25"/>
          <w:szCs w:val="25"/>
        </w:rPr>
      </w:pPr>
    </w:p>
    <w:p w:rsidR="00E400AB" w:rsidRDefault="00E400AB" w:rsidP="006F5B55">
      <w:pPr>
        <w:numPr>
          <w:ilvl w:val="0"/>
          <w:numId w:val="1"/>
        </w:numPr>
        <w:tabs>
          <w:tab w:val="clear" w:pos="720"/>
          <w:tab w:val="num" w:pos="0"/>
        </w:tabs>
        <w:spacing w:line="288" w:lineRule="auto"/>
        <w:ind w:left="0"/>
        <w:rPr>
          <w:sz w:val="25"/>
          <w:szCs w:val="25"/>
        </w:rPr>
      </w:pPr>
      <w:r>
        <w:rPr>
          <w:sz w:val="25"/>
          <w:szCs w:val="25"/>
        </w:rPr>
        <w:t>On the other hand, we found Staff’s proposal</w:t>
      </w:r>
      <w:r w:rsidR="007704AC">
        <w:rPr>
          <w:sz w:val="25"/>
          <w:szCs w:val="25"/>
        </w:rPr>
        <w:t xml:space="preserve"> </w:t>
      </w:r>
      <w:r w:rsidR="006F1601">
        <w:rPr>
          <w:sz w:val="25"/>
          <w:szCs w:val="25"/>
        </w:rPr>
        <w:t xml:space="preserve">to impute short-term debt </w:t>
      </w:r>
      <w:r>
        <w:rPr>
          <w:sz w:val="25"/>
          <w:szCs w:val="25"/>
        </w:rPr>
        <w:t xml:space="preserve">less persuasive.  The attempt to simply estimate an amount of short-term debt based on the overall amount of net plant investment ($15 billion) is more of a rough approach to </w:t>
      </w:r>
      <w:r>
        <w:rPr>
          <w:sz w:val="25"/>
          <w:szCs w:val="25"/>
        </w:rPr>
        <w:lastRenderedPageBreak/>
        <w:t xml:space="preserve">develop a hypothetical structure.  </w:t>
      </w:r>
      <w:r w:rsidR="00E1268C">
        <w:rPr>
          <w:sz w:val="25"/>
          <w:szCs w:val="25"/>
        </w:rPr>
        <w:t>On</w:t>
      </w:r>
      <w:r w:rsidR="001F4FC8">
        <w:rPr>
          <w:sz w:val="25"/>
          <w:szCs w:val="25"/>
        </w:rPr>
        <w:t xml:space="preserve">, </w:t>
      </w:r>
      <w:r w:rsidR="00BE55EB">
        <w:rPr>
          <w:sz w:val="25"/>
          <w:szCs w:val="25"/>
        </w:rPr>
        <w:t xml:space="preserve">balance we found the more comprehensive analysis </w:t>
      </w:r>
      <w:r w:rsidR="001F4FC8">
        <w:rPr>
          <w:sz w:val="25"/>
          <w:szCs w:val="25"/>
        </w:rPr>
        <w:t xml:space="preserve">proffered by </w:t>
      </w:r>
      <w:r w:rsidR="00BE55EB">
        <w:rPr>
          <w:sz w:val="25"/>
          <w:szCs w:val="25"/>
        </w:rPr>
        <w:t>ICNU to be more persuasive.</w:t>
      </w:r>
    </w:p>
    <w:p w:rsidR="002E2B4D" w:rsidRDefault="002E2B4D" w:rsidP="004533F1">
      <w:pPr>
        <w:spacing w:line="288" w:lineRule="auto"/>
        <w:ind w:left="-720"/>
        <w:rPr>
          <w:sz w:val="25"/>
          <w:szCs w:val="25"/>
        </w:rPr>
      </w:pPr>
    </w:p>
    <w:p w:rsidR="00BD3E3D" w:rsidRPr="0068441D" w:rsidRDefault="002E2B4D" w:rsidP="0068441D">
      <w:pPr>
        <w:numPr>
          <w:ilvl w:val="0"/>
          <w:numId w:val="1"/>
        </w:numPr>
        <w:tabs>
          <w:tab w:val="clear" w:pos="720"/>
          <w:tab w:val="num" w:pos="0"/>
        </w:tabs>
        <w:spacing w:line="288" w:lineRule="auto"/>
        <w:ind w:left="0"/>
        <w:rPr>
          <w:sz w:val="25"/>
          <w:szCs w:val="25"/>
        </w:rPr>
      </w:pPr>
      <w:r>
        <w:rPr>
          <w:sz w:val="25"/>
          <w:szCs w:val="25"/>
        </w:rPr>
        <w:t>W</w:t>
      </w:r>
      <w:r w:rsidR="00056AC4" w:rsidRPr="00056AC4">
        <w:rPr>
          <w:sz w:val="25"/>
          <w:szCs w:val="25"/>
        </w:rPr>
        <w:t xml:space="preserve">e reiterate that, </w:t>
      </w:r>
      <w:r w:rsidR="0033078F" w:rsidRPr="00056AC4">
        <w:rPr>
          <w:sz w:val="25"/>
          <w:szCs w:val="25"/>
        </w:rPr>
        <w:t xml:space="preserve">in establishing a capital structure, we strive for a balance between investor interests and ratepayer interests.  Achieving that balance is not an exact science. </w:t>
      </w:r>
      <w:r w:rsidR="00626B34">
        <w:rPr>
          <w:sz w:val="25"/>
          <w:szCs w:val="25"/>
        </w:rPr>
        <w:t xml:space="preserve"> </w:t>
      </w:r>
      <w:r w:rsidR="00056AC4" w:rsidRPr="00056AC4">
        <w:rPr>
          <w:sz w:val="25"/>
          <w:szCs w:val="25"/>
        </w:rPr>
        <w:t>We sifted through the plethora of evidence on this topic and concluded that ICNU provided us with the “most reasonable approach for calculating the equity component.”</w:t>
      </w:r>
      <w:r w:rsidR="00056AC4">
        <w:rPr>
          <w:rStyle w:val="FootnoteReference"/>
          <w:sz w:val="25"/>
          <w:szCs w:val="25"/>
        </w:rPr>
        <w:footnoteReference w:id="29"/>
      </w:r>
      <w:r w:rsidR="00056AC4" w:rsidRPr="00056AC4">
        <w:rPr>
          <w:sz w:val="25"/>
          <w:szCs w:val="25"/>
        </w:rPr>
        <w:t xml:space="preserve">  That decision, like the others in our Order, was based not only on the evidence presented by the parties, but on our determination of the appropriate weight to be given any evidence. </w:t>
      </w:r>
      <w:r w:rsidR="004821C2">
        <w:rPr>
          <w:sz w:val="25"/>
          <w:szCs w:val="25"/>
        </w:rPr>
        <w:t xml:space="preserve"> </w:t>
      </w:r>
      <w:r w:rsidR="00056AC4" w:rsidRPr="0068441D">
        <w:rPr>
          <w:sz w:val="25"/>
          <w:szCs w:val="25"/>
        </w:rPr>
        <w:t xml:space="preserve">Given all the foregoing factors, </w:t>
      </w:r>
      <w:r w:rsidRPr="0068441D">
        <w:rPr>
          <w:sz w:val="25"/>
          <w:szCs w:val="25"/>
        </w:rPr>
        <w:t xml:space="preserve">neither PacifiCorp nor </w:t>
      </w:r>
      <w:r w:rsidR="00056AC4" w:rsidRPr="0068441D">
        <w:rPr>
          <w:sz w:val="25"/>
          <w:szCs w:val="25"/>
        </w:rPr>
        <w:t>Staff has persuaded us that our decision</w:t>
      </w:r>
      <w:r w:rsidR="00B915AC">
        <w:rPr>
          <w:sz w:val="25"/>
          <w:szCs w:val="25"/>
        </w:rPr>
        <w:t xml:space="preserve"> largely adopting the ICNU proposal for capital structure</w:t>
      </w:r>
      <w:r w:rsidR="00056AC4" w:rsidRPr="0068441D">
        <w:rPr>
          <w:sz w:val="25"/>
          <w:szCs w:val="25"/>
        </w:rPr>
        <w:t xml:space="preserve"> was erroneous.</w:t>
      </w:r>
      <w:r w:rsidR="003A1B25" w:rsidRPr="0068441D">
        <w:rPr>
          <w:sz w:val="25"/>
          <w:szCs w:val="25"/>
        </w:rPr>
        <w:t xml:space="preserve">  We deny the</w:t>
      </w:r>
      <w:r w:rsidR="003628F2" w:rsidRPr="0068441D">
        <w:rPr>
          <w:sz w:val="25"/>
          <w:szCs w:val="25"/>
        </w:rPr>
        <w:t>ir</w:t>
      </w:r>
      <w:r w:rsidR="003A1B25" w:rsidRPr="0068441D">
        <w:rPr>
          <w:sz w:val="25"/>
          <w:szCs w:val="25"/>
        </w:rPr>
        <w:t xml:space="preserve"> </w:t>
      </w:r>
      <w:r w:rsidR="00666AC0" w:rsidRPr="0068441D">
        <w:rPr>
          <w:sz w:val="25"/>
          <w:szCs w:val="25"/>
        </w:rPr>
        <w:t>P</w:t>
      </w:r>
      <w:r w:rsidR="003A1B25" w:rsidRPr="0068441D">
        <w:rPr>
          <w:sz w:val="25"/>
          <w:szCs w:val="25"/>
        </w:rPr>
        <w:t xml:space="preserve">etitions for </w:t>
      </w:r>
      <w:r w:rsidR="00666AC0" w:rsidRPr="0068441D">
        <w:rPr>
          <w:sz w:val="25"/>
          <w:szCs w:val="25"/>
        </w:rPr>
        <w:t>R</w:t>
      </w:r>
      <w:r w:rsidR="003A1B25" w:rsidRPr="0068441D">
        <w:rPr>
          <w:sz w:val="25"/>
          <w:szCs w:val="25"/>
        </w:rPr>
        <w:t>econsideration</w:t>
      </w:r>
      <w:r w:rsidR="00E1268C">
        <w:rPr>
          <w:sz w:val="25"/>
          <w:szCs w:val="25"/>
        </w:rPr>
        <w:t xml:space="preserve"> </w:t>
      </w:r>
      <w:r w:rsidR="003628F2" w:rsidRPr="0068441D">
        <w:rPr>
          <w:sz w:val="25"/>
          <w:szCs w:val="25"/>
        </w:rPr>
        <w:t>on this topic</w:t>
      </w:r>
      <w:r w:rsidR="00E1268C">
        <w:rPr>
          <w:sz w:val="25"/>
          <w:szCs w:val="25"/>
        </w:rPr>
        <w:t>.</w:t>
      </w:r>
      <w:r w:rsidR="003628F2" w:rsidRPr="0068441D">
        <w:rPr>
          <w:sz w:val="25"/>
          <w:szCs w:val="25"/>
        </w:rPr>
        <w:t xml:space="preserve">  </w:t>
      </w:r>
    </w:p>
    <w:p w:rsidR="00146B27" w:rsidRPr="002532DF" w:rsidRDefault="00973B0D" w:rsidP="006F5B55">
      <w:pPr>
        <w:pStyle w:val="Heading4"/>
        <w:spacing w:line="288" w:lineRule="auto"/>
        <w:ind w:left="1080"/>
        <w:rPr>
          <w:rFonts w:ascii="Times New Roman" w:hAnsi="Times New Roman"/>
          <w:sz w:val="25"/>
          <w:szCs w:val="25"/>
        </w:rPr>
      </w:pPr>
      <w:bookmarkStart w:id="11" w:name="_Toc168986364"/>
      <w:bookmarkStart w:id="12" w:name="_Toc288813723"/>
      <w:r>
        <w:rPr>
          <w:rFonts w:ascii="Times New Roman" w:hAnsi="Times New Roman"/>
          <w:sz w:val="25"/>
          <w:szCs w:val="25"/>
        </w:rPr>
        <w:t>2.</w:t>
      </w:r>
      <w:r>
        <w:rPr>
          <w:rFonts w:ascii="Times New Roman" w:hAnsi="Times New Roman"/>
          <w:sz w:val="25"/>
          <w:szCs w:val="25"/>
        </w:rPr>
        <w:tab/>
      </w:r>
      <w:r w:rsidR="00CD37A3" w:rsidRPr="002532DF">
        <w:rPr>
          <w:rFonts w:ascii="Times New Roman" w:hAnsi="Times New Roman"/>
          <w:sz w:val="25"/>
          <w:szCs w:val="25"/>
        </w:rPr>
        <w:t>Cost of Common Equity</w:t>
      </w:r>
      <w:bookmarkEnd w:id="11"/>
      <w:bookmarkEnd w:id="12"/>
      <w:r w:rsidR="00E64748">
        <w:rPr>
          <w:rFonts w:ascii="Times New Roman" w:hAnsi="Times New Roman"/>
          <w:sz w:val="25"/>
          <w:szCs w:val="25"/>
        </w:rPr>
        <w:t xml:space="preserve"> </w:t>
      </w:r>
    </w:p>
    <w:p w:rsidR="009E0E4F" w:rsidRPr="002532DF" w:rsidRDefault="009E0E4F" w:rsidP="006F5B55">
      <w:pPr>
        <w:spacing w:line="288" w:lineRule="auto"/>
        <w:outlineLvl w:val="3"/>
        <w:rPr>
          <w:b/>
          <w:sz w:val="25"/>
          <w:szCs w:val="25"/>
        </w:rPr>
      </w:pPr>
    </w:p>
    <w:p w:rsidR="000B15CF" w:rsidRDefault="001824CC" w:rsidP="006F5B55">
      <w:pPr>
        <w:numPr>
          <w:ilvl w:val="0"/>
          <w:numId w:val="1"/>
        </w:numPr>
        <w:tabs>
          <w:tab w:val="clear" w:pos="720"/>
          <w:tab w:val="num" w:pos="0"/>
        </w:tabs>
        <w:spacing w:line="288" w:lineRule="auto"/>
        <w:ind w:left="0"/>
        <w:rPr>
          <w:sz w:val="25"/>
          <w:szCs w:val="25"/>
        </w:rPr>
      </w:pPr>
      <w:r w:rsidRPr="0001789C">
        <w:rPr>
          <w:sz w:val="25"/>
          <w:szCs w:val="25"/>
        </w:rPr>
        <w:t>In our Final Order, we set the Company’s cost of common equity at 9.80 percent.</w:t>
      </w:r>
      <w:r>
        <w:rPr>
          <w:rStyle w:val="FootnoteReference"/>
          <w:sz w:val="25"/>
          <w:szCs w:val="25"/>
        </w:rPr>
        <w:footnoteReference w:id="30"/>
      </w:r>
      <w:r w:rsidRPr="0001789C">
        <w:rPr>
          <w:sz w:val="25"/>
          <w:szCs w:val="25"/>
        </w:rPr>
        <w:t xml:space="preserve">  After evaluating the various methods for calculating cost of capital, Discounted Cash Flow</w:t>
      </w:r>
      <w:r w:rsidR="0001789C">
        <w:rPr>
          <w:sz w:val="25"/>
          <w:szCs w:val="25"/>
        </w:rPr>
        <w:t xml:space="preserve"> (DCF)</w:t>
      </w:r>
      <w:r w:rsidRPr="0001789C">
        <w:rPr>
          <w:sz w:val="25"/>
          <w:szCs w:val="25"/>
        </w:rPr>
        <w:t>, risk premium, and Capital Asset Pricing Model</w:t>
      </w:r>
      <w:r w:rsidR="0001789C">
        <w:rPr>
          <w:sz w:val="25"/>
          <w:szCs w:val="25"/>
        </w:rPr>
        <w:t xml:space="preserve"> (CAPM)</w:t>
      </w:r>
      <w:r w:rsidRPr="0001789C">
        <w:rPr>
          <w:sz w:val="25"/>
          <w:szCs w:val="25"/>
        </w:rPr>
        <w:t xml:space="preserve">, we favored </w:t>
      </w:r>
      <w:r w:rsidR="00F0129E">
        <w:rPr>
          <w:sz w:val="25"/>
          <w:szCs w:val="25"/>
        </w:rPr>
        <w:t xml:space="preserve">the analyses of </w:t>
      </w:r>
      <w:r w:rsidRPr="0001789C">
        <w:rPr>
          <w:sz w:val="25"/>
          <w:szCs w:val="25"/>
        </w:rPr>
        <w:t>ICNU</w:t>
      </w:r>
      <w:r w:rsidR="005D5F54">
        <w:rPr>
          <w:sz w:val="25"/>
          <w:szCs w:val="25"/>
        </w:rPr>
        <w:t xml:space="preserve"> </w:t>
      </w:r>
      <w:r w:rsidR="00F0129E">
        <w:rPr>
          <w:sz w:val="25"/>
          <w:szCs w:val="25"/>
        </w:rPr>
        <w:t>and Commission Staff</w:t>
      </w:r>
      <w:r w:rsidRPr="0001789C">
        <w:rPr>
          <w:sz w:val="25"/>
          <w:szCs w:val="25"/>
        </w:rPr>
        <w:t xml:space="preserve"> of this issue.</w:t>
      </w:r>
      <w:r>
        <w:rPr>
          <w:rStyle w:val="FootnoteReference"/>
          <w:sz w:val="25"/>
          <w:szCs w:val="25"/>
        </w:rPr>
        <w:footnoteReference w:id="31"/>
      </w:r>
      <w:r w:rsidRPr="0001789C">
        <w:rPr>
          <w:sz w:val="25"/>
          <w:szCs w:val="25"/>
        </w:rPr>
        <w:t xml:space="preserve">  However, we did not adopt ICNU’s specific recommendation</w:t>
      </w:r>
      <w:r w:rsidR="00AA5185">
        <w:rPr>
          <w:sz w:val="25"/>
          <w:szCs w:val="25"/>
        </w:rPr>
        <w:t xml:space="preserve"> of 9.50 percent</w:t>
      </w:r>
      <w:r w:rsidRPr="0001789C">
        <w:rPr>
          <w:sz w:val="25"/>
          <w:szCs w:val="25"/>
        </w:rPr>
        <w:t xml:space="preserve"> but rather considered the entire extensive record on this issue as well as our informed judgment</w:t>
      </w:r>
      <w:r w:rsidR="00EA49DE" w:rsidRPr="0001789C">
        <w:rPr>
          <w:sz w:val="25"/>
          <w:szCs w:val="25"/>
        </w:rPr>
        <w:t xml:space="preserve"> and established a </w:t>
      </w:r>
      <w:r w:rsidR="00F01B11">
        <w:rPr>
          <w:sz w:val="25"/>
          <w:szCs w:val="25"/>
        </w:rPr>
        <w:t xml:space="preserve">return on equity (ROE) </w:t>
      </w:r>
      <w:r w:rsidR="00EA49DE" w:rsidRPr="0001789C">
        <w:rPr>
          <w:sz w:val="25"/>
          <w:szCs w:val="25"/>
        </w:rPr>
        <w:t>within the range of reasonableness.</w:t>
      </w:r>
      <w:r w:rsidR="00EA49DE">
        <w:rPr>
          <w:rStyle w:val="FootnoteReference"/>
          <w:sz w:val="25"/>
          <w:szCs w:val="25"/>
        </w:rPr>
        <w:footnoteReference w:id="32"/>
      </w:r>
      <w:r w:rsidR="0001789C">
        <w:rPr>
          <w:sz w:val="25"/>
          <w:szCs w:val="25"/>
        </w:rPr>
        <w:t xml:space="preserve"> </w:t>
      </w:r>
    </w:p>
    <w:p w:rsidR="0001789C" w:rsidRDefault="0001789C" w:rsidP="006F5B55">
      <w:pPr>
        <w:spacing w:line="288" w:lineRule="auto"/>
        <w:ind w:left="-720"/>
        <w:rPr>
          <w:sz w:val="25"/>
          <w:szCs w:val="25"/>
        </w:rPr>
      </w:pPr>
    </w:p>
    <w:p w:rsidR="00107A8B" w:rsidRDefault="00950B47" w:rsidP="006F5B55">
      <w:pPr>
        <w:numPr>
          <w:ilvl w:val="0"/>
          <w:numId w:val="1"/>
        </w:numPr>
        <w:tabs>
          <w:tab w:val="clear" w:pos="720"/>
          <w:tab w:val="num" w:pos="0"/>
        </w:tabs>
        <w:spacing w:line="288" w:lineRule="auto"/>
        <w:ind w:left="0"/>
        <w:rPr>
          <w:sz w:val="25"/>
          <w:szCs w:val="25"/>
        </w:rPr>
      </w:pPr>
      <w:r>
        <w:rPr>
          <w:sz w:val="25"/>
          <w:szCs w:val="25"/>
        </w:rPr>
        <w:t>PacifiCorp raises eight arguments in support of its Petition contending that:</w:t>
      </w:r>
    </w:p>
    <w:p w:rsidR="002A43DF" w:rsidRDefault="002A43DF">
      <w:pPr>
        <w:spacing w:line="288" w:lineRule="auto"/>
        <w:ind w:left="-720"/>
        <w:rPr>
          <w:sz w:val="25"/>
          <w:szCs w:val="25"/>
        </w:rPr>
      </w:pPr>
    </w:p>
    <w:p w:rsidR="00107A8B" w:rsidRDefault="00C54A4A" w:rsidP="00107A8B">
      <w:pPr>
        <w:pStyle w:val="ListParagraph"/>
        <w:numPr>
          <w:ilvl w:val="0"/>
          <w:numId w:val="39"/>
        </w:numPr>
        <w:spacing w:line="288" w:lineRule="auto"/>
        <w:rPr>
          <w:sz w:val="25"/>
          <w:szCs w:val="25"/>
        </w:rPr>
      </w:pPr>
      <w:r>
        <w:rPr>
          <w:sz w:val="25"/>
          <w:szCs w:val="25"/>
        </w:rPr>
        <w:t>O</w:t>
      </w:r>
      <w:r w:rsidR="00950B47">
        <w:rPr>
          <w:sz w:val="25"/>
          <w:szCs w:val="25"/>
        </w:rPr>
        <w:t>ur analysis fails to take into consideration market conditions;</w:t>
      </w:r>
    </w:p>
    <w:p w:rsidR="002A43DF" w:rsidRDefault="00C54A4A">
      <w:pPr>
        <w:pStyle w:val="ListParagraph"/>
        <w:numPr>
          <w:ilvl w:val="0"/>
          <w:numId w:val="39"/>
        </w:numPr>
        <w:spacing w:line="288" w:lineRule="auto"/>
        <w:rPr>
          <w:sz w:val="25"/>
          <w:szCs w:val="25"/>
        </w:rPr>
      </w:pPr>
      <w:r>
        <w:rPr>
          <w:sz w:val="25"/>
          <w:szCs w:val="25"/>
        </w:rPr>
        <w:t>C</w:t>
      </w:r>
      <w:r w:rsidR="00950B47">
        <w:rPr>
          <w:sz w:val="25"/>
          <w:szCs w:val="25"/>
        </w:rPr>
        <w:t xml:space="preserve">urrent interest rates support a higher </w:t>
      </w:r>
      <w:r w:rsidR="00F01B11">
        <w:rPr>
          <w:sz w:val="25"/>
          <w:szCs w:val="25"/>
        </w:rPr>
        <w:t>ROE</w:t>
      </w:r>
      <w:r w:rsidR="00950B47">
        <w:rPr>
          <w:sz w:val="25"/>
          <w:szCs w:val="25"/>
        </w:rPr>
        <w:t>;</w:t>
      </w:r>
      <w:r w:rsidR="00950B47" w:rsidDel="00950B47">
        <w:rPr>
          <w:sz w:val="25"/>
          <w:szCs w:val="25"/>
        </w:rPr>
        <w:t xml:space="preserve"> </w:t>
      </w:r>
      <w:r>
        <w:rPr>
          <w:sz w:val="25"/>
          <w:szCs w:val="25"/>
        </w:rPr>
        <w:t>O</w:t>
      </w:r>
      <w:r w:rsidR="00950B47">
        <w:rPr>
          <w:sz w:val="25"/>
          <w:szCs w:val="25"/>
        </w:rPr>
        <w:t xml:space="preserve">ur assumption of a downward trend in </w:t>
      </w:r>
      <w:r w:rsidR="00F01B11">
        <w:rPr>
          <w:sz w:val="25"/>
          <w:szCs w:val="25"/>
        </w:rPr>
        <w:t>ROEs</w:t>
      </w:r>
      <w:r w:rsidR="00950B47">
        <w:rPr>
          <w:sz w:val="25"/>
          <w:szCs w:val="25"/>
        </w:rPr>
        <w:t xml:space="preserve"> is unsupported;</w:t>
      </w:r>
    </w:p>
    <w:p w:rsidR="002A43DF" w:rsidRDefault="00C54A4A">
      <w:pPr>
        <w:pStyle w:val="ListParagraph"/>
        <w:numPr>
          <w:ilvl w:val="0"/>
          <w:numId w:val="39"/>
        </w:numPr>
        <w:spacing w:line="288" w:lineRule="auto"/>
        <w:rPr>
          <w:sz w:val="25"/>
          <w:szCs w:val="25"/>
        </w:rPr>
      </w:pPr>
      <w:r>
        <w:rPr>
          <w:sz w:val="25"/>
          <w:szCs w:val="25"/>
        </w:rPr>
        <w:lastRenderedPageBreak/>
        <w:t>W</w:t>
      </w:r>
      <w:r w:rsidR="00950B47">
        <w:rPr>
          <w:sz w:val="25"/>
          <w:szCs w:val="25"/>
        </w:rPr>
        <w:t>e improperly discount long-term interest rates in the DCF analysis;</w:t>
      </w:r>
    </w:p>
    <w:p w:rsidR="002A43DF" w:rsidRDefault="00C54A4A">
      <w:pPr>
        <w:pStyle w:val="ListParagraph"/>
        <w:numPr>
          <w:ilvl w:val="0"/>
          <w:numId w:val="39"/>
        </w:numPr>
        <w:spacing w:line="288" w:lineRule="auto"/>
        <w:rPr>
          <w:sz w:val="25"/>
          <w:szCs w:val="25"/>
        </w:rPr>
      </w:pPr>
      <w:r>
        <w:rPr>
          <w:sz w:val="25"/>
          <w:szCs w:val="25"/>
        </w:rPr>
        <w:t>W</w:t>
      </w:r>
      <w:r w:rsidR="00950B47">
        <w:rPr>
          <w:sz w:val="25"/>
          <w:szCs w:val="25"/>
        </w:rPr>
        <w:t>e do not properly account for security analysts’ forecast growth rates;</w:t>
      </w:r>
    </w:p>
    <w:p w:rsidR="002A43DF" w:rsidRDefault="00C54A4A">
      <w:pPr>
        <w:pStyle w:val="ListParagraph"/>
        <w:numPr>
          <w:ilvl w:val="0"/>
          <w:numId w:val="39"/>
        </w:numPr>
        <w:spacing w:line="288" w:lineRule="auto"/>
        <w:rPr>
          <w:sz w:val="25"/>
          <w:szCs w:val="25"/>
        </w:rPr>
      </w:pPr>
      <w:r>
        <w:rPr>
          <w:sz w:val="25"/>
          <w:szCs w:val="25"/>
        </w:rPr>
        <w:t>O</w:t>
      </w:r>
      <w:r w:rsidR="00950B47">
        <w:rPr>
          <w:sz w:val="25"/>
          <w:szCs w:val="25"/>
        </w:rPr>
        <w:t>ur DCF analysis is based on contradictory economic conclusions;</w:t>
      </w:r>
    </w:p>
    <w:p w:rsidR="002A43DF" w:rsidRDefault="00C54A4A">
      <w:pPr>
        <w:pStyle w:val="ListParagraph"/>
        <w:numPr>
          <w:ilvl w:val="0"/>
          <w:numId w:val="39"/>
        </w:numPr>
        <w:spacing w:line="288" w:lineRule="auto"/>
        <w:rPr>
          <w:sz w:val="25"/>
          <w:szCs w:val="25"/>
        </w:rPr>
      </w:pPr>
      <w:r>
        <w:rPr>
          <w:sz w:val="25"/>
          <w:szCs w:val="25"/>
        </w:rPr>
        <w:t>O</w:t>
      </w:r>
      <w:r w:rsidR="00950B47">
        <w:rPr>
          <w:sz w:val="25"/>
          <w:szCs w:val="25"/>
        </w:rPr>
        <w:t>ur CAPM analysis is inconsistent with precedent; and</w:t>
      </w:r>
    </w:p>
    <w:p w:rsidR="00F56A56" w:rsidRDefault="00C54A4A">
      <w:pPr>
        <w:numPr>
          <w:ilvl w:val="1"/>
          <w:numId w:val="1"/>
        </w:numPr>
        <w:tabs>
          <w:tab w:val="clear" w:pos="1440"/>
          <w:tab w:val="num" w:pos="720"/>
        </w:tabs>
        <w:spacing w:line="288" w:lineRule="auto"/>
        <w:ind w:left="1080"/>
        <w:rPr>
          <w:sz w:val="25"/>
          <w:szCs w:val="25"/>
        </w:rPr>
      </w:pPr>
      <w:r>
        <w:rPr>
          <w:sz w:val="25"/>
          <w:szCs w:val="25"/>
        </w:rPr>
        <w:t>O</w:t>
      </w:r>
      <w:r w:rsidR="00F56A56">
        <w:rPr>
          <w:sz w:val="25"/>
          <w:szCs w:val="25"/>
        </w:rPr>
        <w:t xml:space="preserve">ur </w:t>
      </w:r>
      <w:r w:rsidR="00950B47">
        <w:rPr>
          <w:sz w:val="25"/>
          <w:szCs w:val="25"/>
        </w:rPr>
        <w:t>rejection of the Company’s regression analysis</w:t>
      </w:r>
      <w:r w:rsidR="00AA5185">
        <w:rPr>
          <w:sz w:val="25"/>
          <w:szCs w:val="25"/>
        </w:rPr>
        <w:t xml:space="preserve">, based on the alleged correlation between equity risk premiums and interest rates, </w:t>
      </w:r>
      <w:r w:rsidR="00950B47">
        <w:rPr>
          <w:sz w:val="25"/>
          <w:szCs w:val="25"/>
        </w:rPr>
        <w:t xml:space="preserve">in its </w:t>
      </w:r>
      <w:r w:rsidR="00AA5185">
        <w:rPr>
          <w:sz w:val="25"/>
          <w:szCs w:val="25"/>
        </w:rPr>
        <w:t>r</w:t>
      </w:r>
      <w:r w:rsidR="00950B47">
        <w:rPr>
          <w:sz w:val="25"/>
          <w:szCs w:val="25"/>
        </w:rPr>
        <w:t xml:space="preserve">isk </w:t>
      </w:r>
      <w:r w:rsidR="00AA5185">
        <w:rPr>
          <w:sz w:val="25"/>
          <w:szCs w:val="25"/>
        </w:rPr>
        <w:t>p</w:t>
      </w:r>
      <w:r w:rsidR="00950B47">
        <w:rPr>
          <w:sz w:val="25"/>
          <w:szCs w:val="25"/>
        </w:rPr>
        <w:t>remium model</w:t>
      </w:r>
      <w:r w:rsidR="00F56A56">
        <w:rPr>
          <w:sz w:val="25"/>
          <w:szCs w:val="25"/>
        </w:rPr>
        <w:t xml:space="preserve"> is unsupported</w:t>
      </w:r>
      <w:r w:rsidR="001E15AD">
        <w:rPr>
          <w:sz w:val="25"/>
          <w:szCs w:val="25"/>
        </w:rPr>
        <w:t>.</w:t>
      </w:r>
      <w:r w:rsidR="00950B47" w:rsidRPr="00852458">
        <w:rPr>
          <w:rStyle w:val="FootnoteReference"/>
          <w:sz w:val="25"/>
          <w:szCs w:val="25"/>
        </w:rPr>
        <w:t xml:space="preserve"> </w:t>
      </w:r>
      <w:r w:rsidR="00950B47">
        <w:rPr>
          <w:rStyle w:val="FootnoteReference"/>
          <w:sz w:val="25"/>
          <w:szCs w:val="25"/>
        </w:rPr>
        <w:footnoteReference w:id="33"/>
      </w:r>
    </w:p>
    <w:p w:rsidR="002A43DF" w:rsidRDefault="002A43DF">
      <w:pPr>
        <w:spacing w:line="288" w:lineRule="auto"/>
        <w:ind w:left="-720"/>
        <w:rPr>
          <w:sz w:val="25"/>
          <w:szCs w:val="25"/>
        </w:rPr>
      </w:pPr>
    </w:p>
    <w:p w:rsidR="00FE2E67" w:rsidRDefault="00D91769" w:rsidP="006F5B55">
      <w:pPr>
        <w:numPr>
          <w:ilvl w:val="0"/>
          <w:numId w:val="1"/>
        </w:numPr>
        <w:tabs>
          <w:tab w:val="clear" w:pos="720"/>
          <w:tab w:val="num" w:pos="0"/>
        </w:tabs>
        <w:spacing w:line="288" w:lineRule="auto"/>
        <w:ind w:left="0"/>
        <w:rPr>
          <w:sz w:val="25"/>
          <w:szCs w:val="25"/>
        </w:rPr>
      </w:pPr>
      <w:r>
        <w:rPr>
          <w:sz w:val="25"/>
          <w:szCs w:val="25"/>
        </w:rPr>
        <w:t xml:space="preserve">PacifiCorp’s </w:t>
      </w:r>
      <w:r w:rsidR="005D5F54">
        <w:rPr>
          <w:sz w:val="25"/>
          <w:szCs w:val="25"/>
        </w:rPr>
        <w:t>P</w:t>
      </w:r>
      <w:r>
        <w:rPr>
          <w:sz w:val="25"/>
          <w:szCs w:val="25"/>
        </w:rPr>
        <w:t xml:space="preserve">etition basically presents </w:t>
      </w:r>
      <w:r w:rsidR="005D5E44">
        <w:rPr>
          <w:sz w:val="25"/>
          <w:szCs w:val="25"/>
        </w:rPr>
        <w:t>arguments that we already considered</w:t>
      </w:r>
      <w:r w:rsidR="00AA5185">
        <w:rPr>
          <w:sz w:val="25"/>
          <w:szCs w:val="25"/>
        </w:rPr>
        <w:t xml:space="preserve"> extensively at hearing and</w:t>
      </w:r>
      <w:r w:rsidR="005D5E44">
        <w:rPr>
          <w:sz w:val="25"/>
          <w:szCs w:val="25"/>
        </w:rPr>
        <w:t xml:space="preserve"> in our leng</w:t>
      </w:r>
      <w:r w:rsidR="00FE2E67">
        <w:rPr>
          <w:sz w:val="25"/>
          <w:szCs w:val="25"/>
        </w:rPr>
        <w:t>t</w:t>
      </w:r>
      <w:r w:rsidR="005D5E44">
        <w:rPr>
          <w:sz w:val="25"/>
          <w:szCs w:val="25"/>
        </w:rPr>
        <w:t xml:space="preserve">hy discussion of this issue in our Final Order.  </w:t>
      </w:r>
      <w:r>
        <w:rPr>
          <w:sz w:val="25"/>
          <w:szCs w:val="25"/>
        </w:rPr>
        <w:t xml:space="preserve">However, we </w:t>
      </w:r>
      <w:r w:rsidR="00FE2E67">
        <w:rPr>
          <w:sz w:val="25"/>
          <w:szCs w:val="25"/>
        </w:rPr>
        <w:t xml:space="preserve">will briefly </w:t>
      </w:r>
      <w:r w:rsidR="00F0129E">
        <w:rPr>
          <w:sz w:val="25"/>
          <w:szCs w:val="25"/>
        </w:rPr>
        <w:t>address</w:t>
      </w:r>
      <w:r w:rsidR="003C4801">
        <w:rPr>
          <w:sz w:val="25"/>
          <w:szCs w:val="25"/>
        </w:rPr>
        <w:t xml:space="preserve"> </w:t>
      </w:r>
      <w:r w:rsidR="00AA5185">
        <w:rPr>
          <w:sz w:val="25"/>
          <w:szCs w:val="25"/>
        </w:rPr>
        <w:t xml:space="preserve">these arguments </w:t>
      </w:r>
      <w:r w:rsidR="00FE2E67">
        <w:rPr>
          <w:sz w:val="25"/>
          <w:szCs w:val="25"/>
        </w:rPr>
        <w:t>again.</w:t>
      </w:r>
      <w:r w:rsidR="008D6A22">
        <w:rPr>
          <w:sz w:val="25"/>
          <w:szCs w:val="25"/>
        </w:rPr>
        <w:t xml:space="preserve">  </w:t>
      </w:r>
    </w:p>
    <w:p w:rsidR="00FE2E67" w:rsidRDefault="00FE2E67" w:rsidP="006F5B55">
      <w:pPr>
        <w:pStyle w:val="ListParagraph"/>
        <w:spacing w:line="288" w:lineRule="auto"/>
        <w:rPr>
          <w:sz w:val="25"/>
          <w:szCs w:val="25"/>
        </w:rPr>
      </w:pPr>
    </w:p>
    <w:p w:rsidR="00B70C7B" w:rsidRDefault="00615A16" w:rsidP="006F5B55">
      <w:pPr>
        <w:numPr>
          <w:ilvl w:val="0"/>
          <w:numId w:val="1"/>
        </w:numPr>
        <w:tabs>
          <w:tab w:val="clear" w:pos="720"/>
          <w:tab w:val="num" w:pos="0"/>
        </w:tabs>
        <w:spacing w:line="288" w:lineRule="auto"/>
        <w:ind w:left="0"/>
        <w:rPr>
          <w:sz w:val="25"/>
          <w:szCs w:val="25"/>
        </w:rPr>
      </w:pPr>
      <w:r>
        <w:rPr>
          <w:sz w:val="25"/>
          <w:szCs w:val="25"/>
        </w:rPr>
        <w:t xml:space="preserve">As </w:t>
      </w:r>
      <w:r w:rsidR="00FE2E67">
        <w:rPr>
          <w:sz w:val="25"/>
          <w:szCs w:val="25"/>
        </w:rPr>
        <w:t xml:space="preserve">stated in our Order, </w:t>
      </w:r>
      <w:r w:rsidR="00AA5185">
        <w:rPr>
          <w:sz w:val="25"/>
          <w:szCs w:val="25"/>
        </w:rPr>
        <w:t xml:space="preserve">estimating </w:t>
      </w:r>
      <w:r w:rsidR="00FE2E67">
        <w:rPr>
          <w:sz w:val="25"/>
          <w:szCs w:val="25"/>
        </w:rPr>
        <w:t>the cost of equity</w:t>
      </w:r>
      <w:r w:rsidR="00AA5185">
        <w:rPr>
          <w:sz w:val="25"/>
          <w:szCs w:val="25"/>
        </w:rPr>
        <w:t xml:space="preserve"> for the rate year</w:t>
      </w:r>
      <w:r w:rsidR="00FE2E67">
        <w:rPr>
          <w:sz w:val="25"/>
          <w:szCs w:val="25"/>
        </w:rPr>
        <w:t xml:space="preserve"> is the most challenging </w:t>
      </w:r>
      <w:r w:rsidR="00F94628">
        <w:rPr>
          <w:sz w:val="25"/>
          <w:szCs w:val="25"/>
        </w:rPr>
        <w:t>cost of capital decision</w:t>
      </w:r>
      <w:r w:rsidR="005D5F54">
        <w:rPr>
          <w:sz w:val="25"/>
          <w:szCs w:val="25"/>
        </w:rPr>
        <w:t>.</w:t>
      </w:r>
      <w:r>
        <w:rPr>
          <w:sz w:val="25"/>
          <w:szCs w:val="25"/>
        </w:rPr>
        <w:t xml:space="preserve"> It</w:t>
      </w:r>
      <w:r w:rsidR="003C4801">
        <w:rPr>
          <w:sz w:val="25"/>
          <w:szCs w:val="25"/>
        </w:rPr>
        <w:t xml:space="preserve"> is traditionally calculated using </w:t>
      </w:r>
      <w:r>
        <w:rPr>
          <w:sz w:val="25"/>
          <w:szCs w:val="25"/>
        </w:rPr>
        <w:t xml:space="preserve">three principal methods: </w:t>
      </w:r>
      <w:r w:rsidR="003C4801">
        <w:rPr>
          <w:sz w:val="25"/>
          <w:szCs w:val="25"/>
        </w:rPr>
        <w:t>DCF</w:t>
      </w:r>
      <w:r w:rsidR="00B904F6">
        <w:rPr>
          <w:sz w:val="25"/>
          <w:szCs w:val="25"/>
        </w:rPr>
        <w:t>,</w:t>
      </w:r>
      <w:r w:rsidR="003C4801">
        <w:rPr>
          <w:sz w:val="25"/>
          <w:szCs w:val="25"/>
        </w:rPr>
        <w:t xml:space="preserve"> risk premium, and CAPM.</w:t>
      </w:r>
      <w:r w:rsidR="003C4801">
        <w:rPr>
          <w:rStyle w:val="FootnoteReference"/>
          <w:sz w:val="25"/>
          <w:szCs w:val="25"/>
        </w:rPr>
        <w:footnoteReference w:id="34"/>
      </w:r>
      <w:r w:rsidR="003C4801">
        <w:rPr>
          <w:sz w:val="25"/>
          <w:szCs w:val="25"/>
        </w:rPr>
        <w:t xml:space="preserve">  The complexity of this task is compounded by the fact that each method </w:t>
      </w:r>
      <w:r w:rsidR="00F94628">
        <w:rPr>
          <w:sz w:val="25"/>
          <w:szCs w:val="25"/>
        </w:rPr>
        <w:t>involv</w:t>
      </w:r>
      <w:r w:rsidR="004A0F6B">
        <w:rPr>
          <w:sz w:val="25"/>
          <w:szCs w:val="25"/>
        </w:rPr>
        <w:t>es</w:t>
      </w:r>
      <w:r w:rsidR="00F94628">
        <w:rPr>
          <w:sz w:val="25"/>
          <w:szCs w:val="25"/>
        </w:rPr>
        <w:t xml:space="preserve"> complex </w:t>
      </w:r>
      <w:r w:rsidR="00AA5185">
        <w:rPr>
          <w:sz w:val="25"/>
          <w:szCs w:val="25"/>
        </w:rPr>
        <w:t>factors and multiple assumptions.  E</w:t>
      </w:r>
      <w:r w:rsidR="00F94628">
        <w:rPr>
          <w:sz w:val="25"/>
          <w:szCs w:val="25"/>
        </w:rPr>
        <w:t xml:space="preserve">ach method </w:t>
      </w:r>
      <w:r w:rsidR="003C4801">
        <w:rPr>
          <w:sz w:val="25"/>
          <w:szCs w:val="25"/>
        </w:rPr>
        <w:t xml:space="preserve">has </w:t>
      </w:r>
      <w:r w:rsidR="003858DF">
        <w:rPr>
          <w:sz w:val="25"/>
          <w:szCs w:val="25"/>
        </w:rPr>
        <w:t xml:space="preserve">both </w:t>
      </w:r>
      <w:r w:rsidR="00AA5185">
        <w:rPr>
          <w:sz w:val="25"/>
          <w:szCs w:val="25"/>
        </w:rPr>
        <w:t xml:space="preserve">advantages </w:t>
      </w:r>
      <w:r w:rsidR="003C4801">
        <w:rPr>
          <w:sz w:val="25"/>
          <w:szCs w:val="25"/>
        </w:rPr>
        <w:t xml:space="preserve">and </w:t>
      </w:r>
      <w:r w:rsidR="00202FDB">
        <w:rPr>
          <w:sz w:val="25"/>
          <w:szCs w:val="25"/>
        </w:rPr>
        <w:t>limitations</w:t>
      </w:r>
      <w:r w:rsidR="00AA5185">
        <w:rPr>
          <w:sz w:val="25"/>
          <w:szCs w:val="25"/>
        </w:rPr>
        <w:t>, and can be relatively more useful depending on the economic and capital market conditions at a specific time.</w:t>
      </w:r>
      <w:r w:rsidR="003C4801">
        <w:rPr>
          <w:sz w:val="25"/>
          <w:szCs w:val="25"/>
        </w:rPr>
        <w:t xml:space="preserve">  Accordingly, we </w:t>
      </w:r>
      <w:r w:rsidR="003858DF">
        <w:rPr>
          <w:sz w:val="25"/>
          <w:szCs w:val="25"/>
        </w:rPr>
        <w:t>d</w:t>
      </w:r>
      <w:r>
        <w:rPr>
          <w:sz w:val="25"/>
          <w:szCs w:val="25"/>
        </w:rPr>
        <w:t>o not</w:t>
      </w:r>
      <w:r w:rsidR="003858DF">
        <w:rPr>
          <w:sz w:val="25"/>
          <w:szCs w:val="25"/>
        </w:rPr>
        <w:t xml:space="preserve"> select a single method as being the most accurate or instructive but rather </w:t>
      </w:r>
      <w:r w:rsidR="003C4801">
        <w:rPr>
          <w:sz w:val="25"/>
          <w:szCs w:val="25"/>
        </w:rPr>
        <w:t>found value in each of the methodologies used to calculate cost of equity.</w:t>
      </w:r>
      <w:r w:rsidR="003C4801">
        <w:rPr>
          <w:rStyle w:val="FootnoteReference"/>
          <w:sz w:val="25"/>
          <w:szCs w:val="25"/>
        </w:rPr>
        <w:footnoteReference w:id="35"/>
      </w:r>
      <w:r w:rsidR="004252E8">
        <w:rPr>
          <w:sz w:val="25"/>
          <w:szCs w:val="25"/>
        </w:rPr>
        <w:t xml:space="preserve">  We turn now to the various contentions raised by PacifiCorp.</w:t>
      </w:r>
    </w:p>
    <w:p w:rsidR="002A43DF" w:rsidRDefault="002A43DF">
      <w:pPr>
        <w:pStyle w:val="ListParagraph"/>
        <w:rPr>
          <w:sz w:val="25"/>
          <w:szCs w:val="25"/>
        </w:rPr>
      </w:pPr>
    </w:p>
    <w:p w:rsidR="00882657" w:rsidRDefault="00950B47" w:rsidP="006F5B55">
      <w:pPr>
        <w:numPr>
          <w:ilvl w:val="0"/>
          <w:numId w:val="1"/>
        </w:numPr>
        <w:tabs>
          <w:tab w:val="clear" w:pos="720"/>
          <w:tab w:val="num" w:pos="0"/>
        </w:tabs>
        <w:spacing w:line="288" w:lineRule="auto"/>
        <w:ind w:left="0"/>
        <w:rPr>
          <w:sz w:val="25"/>
          <w:szCs w:val="25"/>
        </w:rPr>
      </w:pPr>
      <w:r>
        <w:rPr>
          <w:i/>
          <w:sz w:val="25"/>
          <w:szCs w:val="25"/>
        </w:rPr>
        <w:t xml:space="preserve">Market Conditions.  </w:t>
      </w:r>
      <w:r w:rsidR="004252E8">
        <w:rPr>
          <w:sz w:val="25"/>
          <w:szCs w:val="25"/>
        </w:rPr>
        <w:t xml:space="preserve">PacifiCorp argues that </w:t>
      </w:r>
      <w:r w:rsidR="00C61B42">
        <w:rPr>
          <w:sz w:val="25"/>
          <w:szCs w:val="25"/>
        </w:rPr>
        <w:t xml:space="preserve">we did not consider market conditions and that </w:t>
      </w:r>
      <w:r w:rsidR="004252E8">
        <w:rPr>
          <w:sz w:val="25"/>
          <w:szCs w:val="25"/>
        </w:rPr>
        <w:t>if market conditions in 2006 were similar to what they are today, then the ROE shoul</w:t>
      </w:r>
      <w:r w:rsidR="00975A30">
        <w:rPr>
          <w:sz w:val="25"/>
          <w:szCs w:val="25"/>
        </w:rPr>
        <w:t>d be similar as well</w:t>
      </w:r>
      <w:r w:rsidR="00AE262A">
        <w:rPr>
          <w:sz w:val="25"/>
          <w:szCs w:val="25"/>
        </w:rPr>
        <w:t xml:space="preserve">, stating that the Commission has “traditionally” looked at what has changed.  </w:t>
      </w:r>
      <w:r w:rsidR="00615A16">
        <w:rPr>
          <w:sz w:val="25"/>
          <w:szCs w:val="25"/>
        </w:rPr>
        <w:t>We disagree</w:t>
      </w:r>
      <w:r w:rsidR="00AE262A">
        <w:rPr>
          <w:sz w:val="25"/>
          <w:szCs w:val="25"/>
        </w:rPr>
        <w:t xml:space="preserve">.  </w:t>
      </w:r>
      <w:r w:rsidR="005B13CC">
        <w:rPr>
          <w:sz w:val="25"/>
          <w:szCs w:val="25"/>
        </w:rPr>
        <w:t>As Staff notes, th</w:t>
      </w:r>
      <w:r w:rsidR="00882657">
        <w:rPr>
          <w:sz w:val="25"/>
          <w:szCs w:val="25"/>
        </w:rPr>
        <w:t>e Company’s argument is based on the wrong</w:t>
      </w:r>
      <w:r w:rsidR="005B13CC">
        <w:rPr>
          <w:sz w:val="25"/>
          <w:szCs w:val="25"/>
        </w:rPr>
        <w:t xml:space="preserve"> “tradition”</w:t>
      </w:r>
      <w:r w:rsidR="00882657">
        <w:rPr>
          <w:sz w:val="25"/>
          <w:szCs w:val="25"/>
        </w:rPr>
        <w:t xml:space="preserve"> because it cites only one case.</w:t>
      </w:r>
      <w:r w:rsidR="00882657">
        <w:rPr>
          <w:rStyle w:val="FootnoteReference"/>
          <w:sz w:val="25"/>
          <w:szCs w:val="25"/>
        </w:rPr>
        <w:footnoteReference w:id="36"/>
      </w:r>
      <w:r w:rsidR="005B13CC">
        <w:rPr>
          <w:sz w:val="25"/>
          <w:szCs w:val="25"/>
        </w:rPr>
        <w:t xml:space="preserve"> </w:t>
      </w:r>
      <w:r w:rsidR="00882657">
        <w:rPr>
          <w:sz w:val="25"/>
          <w:szCs w:val="25"/>
        </w:rPr>
        <w:t xml:space="preserve"> A ruling in a single case is just that; a ruling based on the evidence presented in that proceeding.  To warrant the </w:t>
      </w:r>
      <w:r w:rsidR="00882657">
        <w:rPr>
          <w:sz w:val="25"/>
          <w:szCs w:val="25"/>
        </w:rPr>
        <w:lastRenderedPageBreak/>
        <w:t>characterization of “tradition,” a party must demonstrate a pattern of long-standing consistent treatment.</w:t>
      </w:r>
    </w:p>
    <w:p w:rsidR="002A43DF" w:rsidRDefault="002A43DF">
      <w:pPr>
        <w:spacing w:line="288" w:lineRule="auto"/>
        <w:ind w:left="-720"/>
        <w:rPr>
          <w:sz w:val="25"/>
          <w:szCs w:val="25"/>
        </w:rPr>
      </w:pPr>
    </w:p>
    <w:p w:rsidR="00882657" w:rsidRDefault="00882657" w:rsidP="00882657">
      <w:pPr>
        <w:numPr>
          <w:ilvl w:val="0"/>
          <w:numId w:val="1"/>
        </w:numPr>
        <w:tabs>
          <w:tab w:val="clear" w:pos="720"/>
          <w:tab w:val="num" w:pos="0"/>
        </w:tabs>
        <w:spacing w:line="288" w:lineRule="auto"/>
        <w:ind w:left="0"/>
        <w:rPr>
          <w:sz w:val="25"/>
          <w:szCs w:val="25"/>
        </w:rPr>
      </w:pPr>
      <w:r>
        <w:rPr>
          <w:sz w:val="25"/>
          <w:szCs w:val="25"/>
        </w:rPr>
        <w:t>In any event, the Company’s criticism that we did not consider current market conditions is unwarranted</w:t>
      </w:r>
      <w:r w:rsidR="00AB3B32">
        <w:rPr>
          <w:sz w:val="25"/>
          <w:szCs w:val="25"/>
        </w:rPr>
        <w:t>, and its arguments appear to be overly fixated on overall movements in utility stock prices (although Pacifi</w:t>
      </w:r>
      <w:r w:rsidR="008450E1">
        <w:rPr>
          <w:sz w:val="25"/>
          <w:szCs w:val="25"/>
        </w:rPr>
        <w:t>C</w:t>
      </w:r>
      <w:r w:rsidR="00AB3B32">
        <w:rPr>
          <w:sz w:val="25"/>
          <w:szCs w:val="25"/>
        </w:rPr>
        <w:t xml:space="preserve">orp is not publicly listed and its equity is not publicly traded). </w:t>
      </w:r>
      <w:r>
        <w:rPr>
          <w:sz w:val="25"/>
          <w:szCs w:val="25"/>
        </w:rPr>
        <w:t xml:space="preserve"> Contrary to PacifiCorp’s assertion, our Order considers the significant changes in the market since PacifiCorp’s ROE was set in 2006.  We repeatedly referred to the significant economic changes since PacifiCorp’s last litigated rate case and remarked on the turmoil in financial markets that commenced in the fall of 2008.</w:t>
      </w:r>
      <w:r>
        <w:rPr>
          <w:rStyle w:val="FootnoteReference"/>
          <w:sz w:val="25"/>
          <w:szCs w:val="25"/>
        </w:rPr>
        <w:footnoteReference w:id="37"/>
      </w:r>
      <w:r>
        <w:rPr>
          <w:sz w:val="25"/>
          <w:szCs w:val="25"/>
        </w:rPr>
        <w:t xml:space="preserve">  </w:t>
      </w:r>
      <w:r w:rsidR="00DE32E1">
        <w:rPr>
          <w:sz w:val="25"/>
          <w:szCs w:val="25"/>
        </w:rPr>
        <w:t>We also cited the financial market’s recent return to more normal conditions.</w:t>
      </w:r>
      <w:r w:rsidR="00DE32E1">
        <w:rPr>
          <w:rStyle w:val="FootnoteReference"/>
          <w:sz w:val="25"/>
          <w:szCs w:val="25"/>
        </w:rPr>
        <w:footnoteReference w:id="38"/>
      </w:r>
      <w:r w:rsidR="00DE32E1">
        <w:rPr>
          <w:sz w:val="25"/>
          <w:szCs w:val="25"/>
        </w:rPr>
        <w:t xml:space="preserve">  We cannot imagine what else we could have stated about current market conditions save accepting the Company’s position</w:t>
      </w:r>
      <w:r w:rsidR="00C54A4A">
        <w:rPr>
          <w:sz w:val="25"/>
          <w:szCs w:val="25"/>
        </w:rPr>
        <w:t>,</w:t>
      </w:r>
      <w:r w:rsidR="00FC23ED">
        <w:rPr>
          <w:sz w:val="25"/>
          <w:szCs w:val="25"/>
        </w:rPr>
        <w:t xml:space="preserve"> an argument we found unpersuasive.</w:t>
      </w:r>
    </w:p>
    <w:p w:rsidR="003C4801" w:rsidRDefault="003C4801" w:rsidP="006F5B55">
      <w:pPr>
        <w:pStyle w:val="ListParagraph"/>
        <w:spacing w:line="288" w:lineRule="auto"/>
        <w:rPr>
          <w:sz w:val="25"/>
          <w:szCs w:val="25"/>
        </w:rPr>
      </w:pPr>
    </w:p>
    <w:p w:rsidR="00B80474" w:rsidRDefault="00F01B11" w:rsidP="006F5B55">
      <w:pPr>
        <w:numPr>
          <w:ilvl w:val="0"/>
          <w:numId w:val="1"/>
        </w:numPr>
        <w:tabs>
          <w:tab w:val="clear" w:pos="720"/>
          <w:tab w:val="num" w:pos="0"/>
        </w:tabs>
        <w:spacing w:line="288" w:lineRule="auto"/>
        <w:ind w:left="0"/>
        <w:rPr>
          <w:sz w:val="25"/>
          <w:szCs w:val="25"/>
        </w:rPr>
      </w:pPr>
      <w:r>
        <w:rPr>
          <w:i/>
          <w:sz w:val="25"/>
          <w:szCs w:val="25"/>
        </w:rPr>
        <w:t xml:space="preserve">Current Interest Rates.  </w:t>
      </w:r>
      <w:r>
        <w:rPr>
          <w:sz w:val="25"/>
          <w:szCs w:val="25"/>
        </w:rPr>
        <w:t>PacifiCorp contends that interest rates for single “A” rated utilities, at the time of hearing, were 5.56 percent</w:t>
      </w:r>
      <w:r w:rsidR="00C54A4A">
        <w:rPr>
          <w:sz w:val="25"/>
          <w:szCs w:val="25"/>
        </w:rPr>
        <w:t>,</w:t>
      </w:r>
      <w:r>
        <w:rPr>
          <w:sz w:val="25"/>
          <w:szCs w:val="25"/>
        </w:rPr>
        <w:t xml:space="preserve"> nearly identical to the rates in 2006 when the Commission approved a 10.2 percent ROE for PacifiCorp and identical to the rates one year ago when the Commission approved a 10.1 percent ROE for PSE.</w:t>
      </w:r>
      <w:r>
        <w:rPr>
          <w:rStyle w:val="FootnoteReference"/>
          <w:sz w:val="25"/>
          <w:szCs w:val="25"/>
        </w:rPr>
        <w:footnoteReference w:id="39"/>
      </w:r>
      <w:r>
        <w:rPr>
          <w:sz w:val="25"/>
          <w:szCs w:val="25"/>
        </w:rPr>
        <w:t xml:space="preserve"> </w:t>
      </w:r>
      <w:r w:rsidR="00C928A8">
        <w:rPr>
          <w:sz w:val="25"/>
          <w:szCs w:val="25"/>
        </w:rPr>
        <w:t xml:space="preserve"> It goes on to note that ICNU agreed that interest rates are nearly identical to those in 2006 and that the best estimate of future interest rates is current interest rates.</w:t>
      </w:r>
      <w:r w:rsidR="00C928A8">
        <w:rPr>
          <w:rStyle w:val="FootnoteReference"/>
          <w:sz w:val="25"/>
          <w:szCs w:val="25"/>
        </w:rPr>
        <w:footnoteReference w:id="40"/>
      </w:r>
      <w:r w:rsidR="005B13CC">
        <w:rPr>
          <w:sz w:val="25"/>
          <w:szCs w:val="25"/>
        </w:rPr>
        <w:t xml:space="preserve">  </w:t>
      </w:r>
      <w:r w:rsidR="00882657">
        <w:rPr>
          <w:sz w:val="25"/>
          <w:szCs w:val="25"/>
        </w:rPr>
        <w:t>Then it concludes that if interest rates are the same, then ROEs should also be the same.</w:t>
      </w:r>
      <w:r w:rsidR="00882657">
        <w:rPr>
          <w:rStyle w:val="FootnoteReference"/>
          <w:sz w:val="25"/>
          <w:szCs w:val="25"/>
        </w:rPr>
        <w:footnoteReference w:id="41"/>
      </w:r>
      <w:r w:rsidR="007D35A5">
        <w:rPr>
          <w:sz w:val="25"/>
          <w:szCs w:val="25"/>
        </w:rPr>
        <w:t xml:space="preserve">  </w:t>
      </w:r>
    </w:p>
    <w:p w:rsidR="002A43DF" w:rsidRDefault="002A43DF">
      <w:pPr>
        <w:spacing w:line="288" w:lineRule="auto"/>
        <w:ind w:left="-720"/>
        <w:rPr>
          <w:sz w:val="25"/>
          <w:szCs w:val="25"/>
        </w:rPr>
      </w:pPr>
    </w:p>
    <w:p w:rsidR="007D35A5" w:rsidRDefault="007D35A5" w:rsidP="006F5B55">
      <w:pPr>
        <w:numPr>
          <w:ilvl w:val="0"/>
          <w:numId w:val="1"/>
        </w:numPr>
        <w:tabs>
          <w:tab w:val="clear" w:pos="720"/>
          <w:tab w:val="num" w:pos="0"/>
        </w:tabs>
        <w:spacing w:line="288" w:lineRule="auto"/>
        <w:ind w:left="0"/>
        <w:rPr>
          <w:sz w:val="25"/>
          <w:szCs w:val="25"/>
        </w:rPr>
      </w:pPr>
      <w:r>
        <w:rPr>
          <w:sz w:val="25"/>
          <w:szCs w:val="25"/>
        </w:rPr>
        <w:t xml:space="preserve">As argued by Staff, there is no “tradition” that somehow creates a presumption that an ROE determined a number of years ago should carry over.  This argument resembles the Company’s argument regarding capital structure: it attempts to shift the burden of proof to others to prove that the previously approved ROE is inappropriate, rather </w:t>
      </w:r>
      <w:r>
        <w:rPr>
          <w:sz w:val="25"/>
          <w:szCs w:val="25"/>
        </w:rPr>
        <w:lastRenderedPageBreak/>
        <w:t>than leaving the burden on the Company, as the law requires.  Further, even if there is some comparability between some 2005 economic data and analogous data from 2009, it does not follow that the ROEs should be consistent.  As we have noted, determining an appropriate ROE for a utility is complex.  The record shows that the economic situation in 2009 is unique.  Despite PacifiCorp’s summary assertions in its Petition, there is no valid comparison between the two years that should control a decision on ROE.</w:t>
      </w:r>
      <w:r>
        <w:rPr>
          <w:rStyle w:val="FootnoteReference"/>
          <w:sz w:val="25"/>
          <w:szCs w:val="25"/>
        </w:rPr>
        <w:footnoteReference w:id="42"/>
      </w:r>
    </w:p>
    <w:p w:rsidR="006B331A" w:rsidRDefault="006B331A">
      <w:pPr>
        <w:spacing w:line="288" w:lineRule="auto"/>
        <w:ind w:left="-720"/>
        <w:rPr>
          <w:sz w:val="25"/>
          <w:szCs w:val="25"/>
        </w:rPr>
      </w:pPr>
    </w:p>
    <w:p w:rsidR="007D35A5" w:rsidRDefault="007D35A5" w:rsidP="006F5B55">
      <w:pPr>
        <w:numPr>
          <w:ilvl w:val="0"/>
          <w:numId w:val="1"/>
        </w:numPr>
        <w:tabs>
          <w:tab w:val="clear" w:pos="720"/>
          <w:tab w:val="num" w:pos="0"/>
        </w:tabs>
        <w:spacing w:line="288" w:lineRule="auto"/>
        <w:ind w:left="0"/>
        <w:rPr>
          <w:sz w:val="25"/>
          <w:szCs w:val="25"/>
        </w:rPr>
      </w:pPr>
      <w:r>
        <w:rPr>
          <w:sz w:val="25"/>
          <w:szCs w:val="25"/>
        </w:rPr>
        <w:t xml:space="preserve">Further, as Staff notes in its Answer, ICNU’s testimony effectively refutes PacifiCorp’s </w:t>
      </w:r>
      <w:r w:rsidR="001860D8">
        <w:rPr>
          <w:sz w:val="25"/>
          <w:szCs w:val="25"/>
        </w:rPr>
        <w:t xml:space="preserve">narrow </w:t>
      </w:r>
      <w:r>
        <w:rPr>
          <w:sz w:val="25"/>
          <w:szCs w:val="25"/>
        </w:rPr>
        <w:t>focus on a comparison of interest rates over time.  The Company’s approach is too simplistic.  We cannot limit our analysis of an appropriate cost of equity to a comparison of interest rates in different time periods.  To effectively establish cost of equity, we must also consider the relationship between the risk a utility faces in financial markets and interest rates.</w:t>
      </w:r>
      <w:r>
        <w:rPr>
          <w:rStyle w:val="FootnoteReference"/>
          <w:sz w:val="25"/>
          <w:szCs w:val="25"/>
        </w:rPr>
        <w:footnoteReference w:id="43"/>
      </w:r>
      <w:r>
        <w:rPr>
          <w:sz w:val="25"/>
          <w:szCs w:val="25"/>
        </w:rPr>
        <w:t xml:space="preserve">  Risk, of course, </w:t>
      </w:r>
      <w:r w:rsidR="00C54A4A">
        <w:rPr>
          <w:sz w:val="25"/>
          <w:szCs w:val="25"/>
        </w:rPr>
        <w:t>is</w:t>
      </w:r>
      <w:r>
        <w:rPr>
          <w:sz w:val="25"/>
          <w:szCs w:val="25"/>
        </w:rPr>
        <w:t xml:space="preserve"> one factor that affects the cost of equity because, generally speaking, as risk increases so does the rate an investor requires to undertake that risk.  ICNU persuasively argued that there is no simplistic inverse relationship between equity risk premiums and interest rates and that the relationship changes over time and is influenced by other factors.</w:t>
      </w:r>
      <w:r>
        <w:rPr>
          <w:rStyle w:val="FootnoteReference"/>
          <w:sz w:val="25"/>
          <w:szCs w:val="25"/>
        </w:rPr>
        <w:footnoteReference w:id="44"/>
      </w:r>
    </w:p>
    <w:p w:rsidR="002A43DF" w:rsidRDefault="007D35A5">
      <w:pPr>
        <w:spacing w:line="288" w:lineRule="auto"/>
        <w:ind w:left="-720"/>
        <w:rPr>
          <w:sz w:val="25"/>
          <w:szCs w:val="25"/>
        </w:rPr>
      </w:pPr>
      <w:r>
        <w:rPr>
          <w:sz w:val="25"/>
          <w:szCs w:val="25"/>
        </w:rPr>
        <w:t xml:space="preserve"> </w:t>
      </w:r>
    </w:p>
    <w:p w:rsidR="00827D2B" w:rsidRDefault="007D35A5" w:rsidP="006F5B55">
      <w:pPr>
        <w:numPr>
          <w:ilvl w:val="0"/>
          <w:numId w:val="1"/>
        </w:numPr>
        <w:tabs>
          <w:tab w:val="clear" w:pos="720"/>
          <w:tab w:val="num" w:pos="0"/>
        </w:tabs>
        <w:spacing w:line="288" w:lineRule="auto"/>
        <w:ind w:left="0"/>
        <w:rPr>
          <w:sz w:val="25"/>
          <w:szCs w:val="25"/>
        </w:rPr>
      </w:pPr>
      <w:r>
        <w:rPr>
          <w:i/>
          <w:sz w:val="25"/>
          <w:szCs w:val="25"/>
        </w:rPr>
        <w:t xml:space="preserve">Downward Trend in ROEs. </w:t>
      </w:r>
      <w:r w:rsidR="00882657">
        <w:rPr>
          <w:sz w:val="25"/>
          <w:szCs w:val="25"/>
        </w:rPr>
        <w:t xml:space="preserve"> </w:t>
      </w:r>
      <w:r w:rsidR="001860D8">
        <w:rPr>
          <w:sz w:val="25"/>
          <w:szCs w:val="25"/>
        </w:rPr>
        <w:t>PacifiCorp criticizes our conclusion that there is a downward trend in ROEs</w:t>
      </w:r>
      <w:r w:rsidR="00A74D5B">
        <w:rPr>
          <w:sz w:val="25"/>
          <w:szCs w:val="25"/>
        </w:rPr>
        <w:t xml:space="preserve"> and contends that we did not distinguish our Orders in the Avista and PSE general rate cases.</w:t>
      </w:r>
      <w:r w:rsidR="00A74D5B">
        <w:rPr>
          <w:rStyle w:val="FootnoteReference"/>
          <w:sz w:val="25"/>
          <w:szCs w:val="25"/>
        </w:rPr>
        <w:footnoteReference w:id="45"/>
      </w:r>
      <w:r w:rsidR="00A74D5B">
        <w:rPr>
          <w:sz w:val="25"/>
          <w:szCs w:val="25"/>
        </w:rPr>
        <w:t xml:space="preserve">  The Company’s Petition is simply wrong.  We distinguished the PSE rate case by noting that it was decided a year earlier.</w:t>
      </w:r>
      <w:r w:rsidR="00A74D5B">
        <w:rPr>
          <w:rStyle w:val="FootnoteReference"/>
          <w:sz w:val="25"/>
          <w:szCs w:val="25"/>
        </w:rPr>
        <w:footnoteReference w:id="46"/>
      </w:r>
      <w:r w:rsidR="00A74D5B">
        <w:rPr>
          <w:sz w:val="25"/>
          <w:szCs w:val="25"/>
        </w:rPr>
        <w:t xml:space="preserve">  </w:t>
      </w:r>
      <w:r w:rsidR="00B80474">
        <w:rPr>
          <w:sz w:val="25"/>
          <w:szCs w:val="25"/>
        </w:rPr>
        <w:t xml:space="preserve">Moreover, we distinguished the Avista rate case by noting that we did not adjudicate </w:t>
      </w:r>
      <w:r w:rsidR="00B80474">
        <w:rPr>
          <w:sz w:val="25"/>
          <w:szCs w:val="25"/>
        </w:rPr>
        <w:lastRenderedPageBreak/>
        <w:t>that utility’s ROE</w:t>
      </w:r>
      <w:r w:rsidR="00C54A4A">
        <w:rPr>
          <w:sz w:val="25"/>
          <w:szCs w:val="25"/>
        </w:rPr>
        <w:t>.  Rather,</w:t>
      </w:r>
      <w:r w:rsidR="00B80474">
        <w:rPr>
          <w:sz w:val="25"/>
          <w:szCs w:val="25"/>
        </w:rPr>
        <w:t xml:space="preserve"> we accepted a settlement</w:t>
      </w:r>
      <w:r w:rsidR="00C54A4A">
        <w:rPr>
          <w:sz w:val="25"/>
          <w:szCs w:val="25"/>
        </w:rPr>
        <w:t>, which is not a decision on the merits on any given issue</w:t>
      </w:r>
      <w:r w:rsidR="00B80474">
        <w:rPr>
          <w:sz w:val="25"/>
          <w:szCs w:val="25"/>
        </w:rPr>
        <w:t>.</w:t>
      </w:r>
      <w:r w:rsidR="00B80474">
        <w:rPr>
          <w:rStyle w:val="FootnoteReference"/>
          <w:sz w:val="25"/>
          <w:szCs w:val="25"/>
        </w:rPr>
        <w:footnoteReference w:id="47"/>
      </w:r>
      <w:r w:rsidR="00B80474">
        <w:rPr>
          <w:sz w:val="25"/>
          <w:szCs w:val="25"/>
        </w:rPr>
        <w:t xml:space="preserve">  </w:t>
      </w:r>
      <w:r w:rsidR="007D6473">
        <w:rPr>
          <w:sz w:val="25"/>
          <w:szCs w:val="25"/>
        </w:rPr>
        <w:t xml:space="preserve">In our discussion </w:t>
      </w:r>
      <w:r w:rsidR="005D5F54">
        <w:rPr>
          <w:sz w:val="25"/>
          <w:szCs w:val="25"/>
        </w:rPr>
        <w:t xml:space="preserve">of ROEs, </w:t>
      </w:r>
      <w:r w:rsidR="007D6473">
        <w:rPr>
          <w:sz w:val="25"/>
          <w:szCs w:val="25"/>
        </w:rPr>
        <w:t>w</w:t>
      </w:r>
      <w:r w:rsidR="00B0328A">
        <w:rPr>
          <w:sz w:val="25"/>
          <w:szCs w:val="25"/>
        </w:rPr>
        <w:t xml:space="preserve">e were simply responding to the Company’s effort to demonstrate that Staff’s and ICNU’s proposed ROEs were inconsistent with those authorized by </w:t>
      </w:r>
      <w:r w:rsidR="005D5F54">
        <w:rPr>
          <w:sz w:val="25"/>
          <w:szCs w:val="25"/>
        </w:rPr>
        <w:t xml:space="preserve">this and </w:t>
      </w:r>
      <w:r w:rsidR="00B0328A">
        <w:rPr>
          <w:sz w:val="25"/>
          <w:szCs w:val="25"/>
        </w:rPr>
        <w:t>other commissions.  We stated, and here reaffirm, that the trend for commission-authorized ROEs is downward, certainly well below the Company’s requested 10.6</w:t>
      </w:r>
      <w:r w:rsidR="001E15AD">
        <w:rPr>
          <w:sz w:val="25"/>
          <w:szCs w:val="25"/>
        </w:rPr>
        <w:t>.</w:t>
      </w:r>
      <w:r w:rsidR="00735049">
        <w:rPr>
          <w:rStyle w:val="FootnoteReference"/>
          <w:sz w:val="25"/>
          <w:szCs w:val="25"/>
        </w:rPr>
        <w:footnoteReference w:id="48"/>
      </w:r>
    </w:p>
    <w:p w:rsidR="002A43DF" w:rsidRDefault="00827D2B" w:rsidP="00DC76CA">
      <w:pPr>
        <w:spacing w:line="288" w:lineRule="auto"/>
        <w:ind w:left="-1440"/>
        <w:rPr>
          <w:sz w:val="25"/>
          <w:szCs w:val="25"/>
        </w:rPr>
      </w:pPr>
      <w:r>
        <w:rPr>
          <w:sz w:val="25"/>
          <w:szCs w:val="25"/>
        </w:rPr>
        <w:t xml:space="preserve"> </w:t>
      </w:r>
    </w:p>
    <w:p w:rsidR="00571602" w:rsidRDefault="00735049" w:rsidP="006F5B55">
      <w:pPr>
        <w:numPr>
          <w:ilvl w:val="0"/>
          <w:numId w:val="1"/>
        </w:numPr>
        <w:tabs>
          <w:tab w:val="clear" w:pos="720"/>
          <w:tab w:val="num" w:pos="0"/>
        </w:tabs>
        <w:spacing w:line="288" w:lineRule="auto"/>
        <w:ind w:left="0"/>
        <w:rPr>
          <w:sz w:val="25"/>
          <w:szCs w:val="25"/>
        </w:rPr>
      </w:pPr>
      <w:r w:rsidRPr="00B0328A">
        <w:rPr>
          <w:i/>
          <w:sz w:val="25"/>
          <w:szCs w:val="25"/>
        </w:rPr>
        <w:t>L</w:t>
      </w:r>
      <w:r>
        <w:rPr>
          <w:i/>
          <w:sz w:val="25"/>
          <w:szCs w:val="25"/>
        </w:rPr>
        <w:t xml:space="preserve">ong-term Growth Rates.  </w:t>
      </w:r>
      <w:r w:rsidR="00753273">
        <w:rPr>
          <w:sz w:val="25"/>
          <w:szCs w:val="25"/>
        </w:rPr>
        <w:t xml:space="preserve">The Company’s criticism of our “discounting” long-term growth rates </w:t>
      </w:r>
      <w:r w:rsidR="00031190">
        <w:rPr>
          <w:sz w:val="25"/>
          <w:szCs w:val="25"/>
        </w:rPr>
        <w:t xml:space="preserve">in the DCF analysis </w:t>
      </w:r>
      <w:r w:rsidR="000B4978">
        <w:rPr>
          <w:sz w:val="25"/>
          <w:szCs w:val="25"/>
        </w:rPr>
        <w:t xml:space="preserve">also </w:t>
      </w:r>
      <w:r w:rsidR="00753273">
        <w:rPr>
          <w:sz w:val="25"/>
          <w:szCs w:val="25"/>
        </w:rPr>
        <w:t>misses the mark.</w:t>
      </w:r>
      <w:r w:rsidR="00753273">
        <w:rPr>
          <w:rStyle w:val="FootnoteReference"/>
          <w:sz w:val="25"/>
          <w:szCs w:val="25"/>
        </w:rPr>
        <w:footnoteReference w:id="49"/>
      </w:r>
      <w:r w:rsidR="00E27B29">
        <w:rPr>
          <w:sz w:val="25"/>
          <w:szCs w:val="25"/>
        </w:rPr>
        <w:t xml:space="preserve">  In this case, we were presented with traditional analyses of cost of equity</w:t>
      </w:r>
      <w:r w:rsidR="00615A16">
        <w:rPr>
          <w:sz w:val="25"/>
          <w:szCs w:val="25"/>
        </w:rPr>
        <w:t xml:space="preserve">, and asked to </w:t>
      </w:r>
      <w:r w:rsidR="00E27B29">
        <w:rPr>
          <w:sz w:val="25"/>
          <w:szCs w:val="25"/>
        </w:rPr>
        <w:t xml:space="preserve">apply </w:t>
      </w:r>
      <w:r w:rsidR="00615A16">
        <w:rPr>
          <w:sz w:val="25"/>
          <w:szCs w:val="25"/>
        </w:rPr>
        <w:t>these analyses to the period’s ex</w:t>
      </w:r>
      <w:r w:rsidR="00E27B29">
        <w:rPr>
          <w:sz w:val="25"/>
          <w:szCs w:val="25"/>
        </w:rPr>
        <w:t xml:space="preserve">traordinary market conditions.  As we noted in our Order, the complexity of determining the cost of equity was “compounded because the period since the Company’s last </w:t>
      </w:r>
      <w:r w:rsidR="001A68DD">
        <w:rPr>
          <w:sz w:val="25"/>
          <w:szCs w:val="25"/>
        </w:rPr>
        <w:t>litigated</w:t>
      </w:r>
      <w:r w:rsidR="00E27B29">
        <w:rPr>
          <w:sz w:val="25"/>
          <w:szCs w:val="25"/>
        </w:rPr>
        <w:t xml:space="preserve"> rate is one marked by the most severe economic recession since the 1930’s.”</w:t>
      </w:r>
      <w:r w:rsidR="00E27B29">
        <w:rPr>
          <w:rStyle w:val="FootnoteReference"/>
          <w:sz w:val="25"/>
          <w:szCs w:val="25"/>
        </w:rPr>
        <w:footnoteReference w:id="50"/>
      </w:r>
      <w:r w:rsidR="00FE4770">
        <w:rPr>
          <w:sz w:val="25"/>
          <w:szCs w:val="25"/>
        </w:rPr>
        <w:t xml:space="preserve">  Thus, we use</w:t>
      </w:r>
      <w:r w:rsidR="00615A16">
        <w:rPr>
          <w:sz w:val="25"/>
          <w:szCs w:val="25"/>
        </w:rPr>
        <w:t>d</w:t>
      </w:r>
      <w:r w:rsidR="00FE4770">
        <w:rPr>
          <w:sz w:val="25"/>
          <w:szCs w:val="25"/>
        </w:rPr>
        <w:t xml:space="preserve"> traditional methods in a manner that at least acknowledges the uncertainty in capital markets.  </w:t>
      </w:r>
      <w:r w:rsidR="00464C7E">
        <w:rPr>
          <w:sz w:val="25"/>
          <w:szCs w:val="25"/>
        </w:rPr>
        <w:t xml:space="preserve">Given market uncertainty, we gave more weight to short-term growth rates because those rates will be verifiable in the near future.  </w:t>
      </w:r>
      <w:r w:rsidR="00416273">
        <w:rPr>
          <w:sz w:val="25"/>
          <w:szCs w:val="25"/>
        </w:rPr>
        <w:t xml:space="preserve">We found </w:t>
      </w:r>
      <w:r w:rsidR="0021791F">
        <w:rPr>
          <w:sz w:val="25"/>
          <w:szCs w:val="25"/>
        </w:rPr>
        <w:t xml:space="preserve">that </w:t>
      </w:r>
      <w:r w:rsidR="00416273">
        <w:rPr>
          <w:sz w:val="25"/>
          <w:szCs w:val="25"/>
        </w:rPr>
        <w:t>the Company</w:t>
      </w:r>
      <w:r w:rsidR="0021791F">
        <w:rPr>
          <w:sz w:val="25"/>
          <w:szCs w:val="25"/>
        </w:rPr>
        <w:t xml:space="preserve"> did not</w:t>
      </w:r>
      <w:r w:rsidR="00416273">
        <w:rPr>
          <w:sz w:val="25"/>
          <w:szCs w:val="25"/>
        </w:rPr>
        <w:t xml:space="preserve"> support its assertion of a sustained long-term growth rate of 6.0 percent based on nominal GDP forecasts.  </w:t>
      </w:r>
      <w:r>
        <w:rPr>
          <w:sz w:val="25"/>
          <w:szCs w:val="25"/>
        </w:rPr>
        <w:t>As Staff states in its Answer, the use of ICNU’s growth rate acted as the “surrogate” for long-term growth rates.</w:t>
      </w:r>
      <w:r>
        <w:rPr>
          <w:rStyle w:val="FootnoteReference"/>
          <w:sz w:val="25"/>
          <w:szCs w:val="25"/>
        </w:rPr>
        <w:footnoteReference w:id="51"/>
      </w:r>
      <w:r>
        <w:rPr>
          <w:sz w:val="25"/>
          <w:szCs w:val="25"/>
        </w:rPr>
        <w:t xml:space="preserve">  </w:t>
      </w:r>
      <w:r w:rsidR="00FE4770">
        <w:rPr>
          <w:sz w:val="25"/>
          <w:szCs w:val="25"/>
        </w:rPr>
        <w:t>Nonetheless, we did not conjure up short-term growth rates; we selected those rates from the evidence in the record.</w:t>
      </w:r>
      <w:r>
        <w:rPr>
          <w:rStyle w:val="FootnoteReference"/>
          <w:sz w:val="25"/>
          <w:szCs w:val="25"/>
        </w:rPr>
        <w:footnoteReference w:id="52"/>
      </w:r>
      <w:r w:rsidR="00FE4770">
        <w:rPr>
          <w:sz w:val="25"/>
          <w:szCs w:val="25"/>
        </w:rPr>
        <w:t xml:space="preserve">  The crux of PacifiCorp’s argument is really disagreement that we found more credible the testimony of another party. </w:t>
      </w:r>
    </w:p>
    <w:p w:rsidR="002A43DF" w:rsidRDefault="002A43DF">
      <w:pPr>
        <w:spacing w:line="288" w:lineRule="auto"/>
        <w:ind w:left="-720"/>
        <w:rPr>
          <w:sz w:val="25"/>
          <w:szCs w:val="25"/>
        </w:rPr>
      </w:pPr>
    </w:p>
    <w:p w:rsidR="003C4801" w:rsidRDefault="00571602" w:rsidP="006F5B55">
      <w:pPr>
        <w:numPr>
          <w:ilvl w:val="0"/>
          <w:numId w:val="1"/>
        </w:numPr>
        <w:tabs>
          <w:tab w:val="clear" w:pos="720"/>
          <w:tab w:val="num" w:pos="0"/>
        </w:tabs>
        <w:spacing w:line="288" w:lineRule="auto"/>
        <w:ind w:left="0"/>
        <w:rPr>
          <w:sz w:val="25"/>
          <w:szCs w:val="25"/>
        </w:rPr>
      </w:pPr>
      <w:r>
        <w:rPr>
          <w:sz w:val="25"/>
          <w:szCs w:val="25"/>
        </w:rPr>
        <w:t>In any event, as ICNU notes in its Answer, PacifiCorp’s argument on this issue is “strange.”</w:t>
      </w:r>
      <w:r>
        <w:rPr>
          <w:rStyle w:val="FootnoteReference"/>
          <w:sz w:val="25"/>
          <w:szCs w:val="25"/>
        </w:rPr>
        <w:footnoteReference w:id="53"/>
      </w:r>
      <w:r w:rsidR="00FE4770">
        <w:rPr>
          <w:sz w:val="25"/>
          <w:szCs w:val="25"/>
        </w:rPr>
        <w:t xml:space="preserve"> </w:t>
      </w:r>
      <w:r w:rsidR="002E5C74">
        <w:rPr>
          <w:sz w:val="25"/>
          <w:szCs w:val="25"/>
        </w:rPr>
        <w:t xml:space="preserve"> </w:t>
      </w:r>
      <w:r>
        <w:rPr>
          <w:sz w:val="25"/>
          <w:szCs w:val="25"/>
        </w:rPr>
        <w:t>ICNU is correct that if we agree with PacifiCorp that the DCF model requires the use of</w:t>
      </w:r>
      <w:r w:rsidR="00FB6463">
        <w:rPr>
          <w:sz w:val="25"/>
          <w:szCs w:val="25"/>
        </w:rPr>
        <w:t xml:space="preserve"> </w:t>
      </w:r>
      <w:r>
        <w:rPr>
          <w:sz w:val="25"/>
          <w:szCs w:val="25"/>
        </w:rPr>
        <w:t>long-term growth rate</w:t>
      </w:r>
      <w:r w:rsidR="00FB6463">
        <w:rPr>
          <w:sz w:val="25"/>
          <w:szCs w:val="25"/>
        </w:rPr>
        <w:t>s</w:t>
      </w:r>
      <w:r>
        <w:rPr>
          <w:sz w:val="25"/>
          <w:szCs w:val="25"/>
        </w:rPr>
        <w:t xml:space="preserve"> and we are leery of </w:t>
      </w:r>
      <w:r w:rsidR="00FB6463">
        <w:rPr>
          <w:sz w:val="25"/>
          <w:szCs w:val="25"/>
        </w:rPr>
        <w:t xml:space="preserve">the sustainability of </w:t>
      </w:r>
      <w:r>
        <w:rPr>
          <w:sz w:val="25"/>
          <w:szCs w:val="25"/>
        </w:rPr>
        <w:t xml:space="preserve">those rates, we are more likely to lean on the results of the risk premium and CAPM methodologies.  </w:t>
      </w:r>
      <w:r w:rsidR="00FB6463">
        <w:rPr>
          <w:sz w:val="25"/>
          <w:szCs w:val="25"/>
        </w:rPr>
        <w:t xml:space="preserve">The range of risk premium derived ROEs is 9.4 to 9.8 percent and </w:t>
      </w:r>
      <w:r w:rsidR="00416273">
        <w:rPr>
          <w:sz w:val="25"/>
          <w:szCs w:val="25"/>
        </w:rPr>
        <w:t xml:space="preserve">those derived </w:t>
      </w:r>
      <w:r w:rsidR="00FB6463">
        <w:rPr>
          <w:sz w:val="25"/>
          <w:szCs w:val="25"/>
        </w:rPr>
        <w:t xml:space="preserve">CAPM </w:t>
      </w:r>
      <w:r w:rsidR="00416273">
        <w:rPr>
          <w:sz w:val="25"/>
          <w:szCs w:val="25"/>
        </w:rPr>
        <w:t>are as low as 8.8 percent</w:t>
      </w:r>
      <w:r w:rsidR="00FB6463">
        <w:rPr>
          <w:sz w:val="25"/>
          <w:szCs w:val="25"/>
        </w:rPr>
        <w:t>.</w:t>
      </w:r>
      <w:r w:rsidR="00FB6463">
        <w:rPr>
          <w:rStyle w:val="FootnoteReference"/>
          <w:sz w:val="25"/>
          <w:szCs w:val="25"/>
        </w:rPr>
        <w:footnoteReference w:id="54"/>
      </w:r>
      <w:r w:rsidR="00FB6463">
        <w:rPr>
          <w:sz w:val="25"/>
          <w:szCs w:val="25"/>
        </w:rPr>
        <w:t xml:space="preserve">  A midpoint ROE using either of those methodologies would result in setting PacifiCorp’s ROE well below 9.8 percent.</w:t>
      </w:r>
    </w:p>
    <w:p w:rsidR="00202FDB" w:rsidRDefault="00202FDB" w:rsidP="006F5B55">
      <w:pPr>
        <w:pStyle w:val="ListParagraph"/>
        <w:spacing w:line="288" w:lineRule="auto"/>
        <w:rPr>
          <w:sz w:val="25"/>
          <w:szCs w:val="25"/>
        </w:rPr>
      </w:pPr>
    </w:p>
    <w:p w:rsidR="005B394E" w:rsidRDefault="00E97C73" w:rsidP="006F5B55">
      <w:pPr>
        <w:numPr>
          <w:ilvl w:val="0"/>
          <w:numId w:val="1"/>
        </w:numPr>
        <w:tabs>
          <w:tab w:val="clear" w:pos="720"/>
          <w:tab w:val="num" w:pos="0"/>
        </w:tabs>
        <w:spacing w:line="288" w:lineRule="auto"/>
        <w:ind w:left="0"/>
        <w:rPr>
          <w:sz w:val="25"/>
          <w:szCs w:val="25"/>
        </w:rPr>
      </w:pPr>
      <w:r>
        <w:rPr>
          <w:i/>
          <w:sz w:val="25"/>
          <w:szCs w:val="25"/>
        </w:rPr>
        <w:t xml:space="preserve">Security Analysts’ Growth Rates.  </w:t>
      </w:r>
      <w:r>
        <w:rPr>
          <w:sz w:val="25"/>
          <w:szCs w:val="25"/>
        </w:rPr>
        <w:t>While PacifiCorp argues that we should not rely on short-term growth rates, if we decide to take that route it contends that we should give more weight to ICNU’s constant growth DCF model which results in a 10.5 percent ROE.</w:t>
      </w:r>
      <w:r>
        <w:rPr>
          <w:rStyle w:val="FootnoteReference"/>
          <w:sz w:val="25"/>
          <w:szCs w:val="25"/>
        </w:rPr>
        <w:footnoteReference w:id="55"/>
      </w:r>
      <w:r>
        <w:rPr>
          <w:sz w:val="25"/>
          <w:szCs w:val="25"/>
        </w:rPr>
        <w:t xml:space="preserve">  </w:t>
      </w:r>
      <w:r w:rsidR="00B077A8">
        <w:rPr>
          <w:sz w:val="25"/>
          <w:szCs w:val="25"/>
        </w:rPr>
        <w:t xml:space="preserve">As we stated in our Order, we gave substantial weight to ICNU’s DCF analysis and its criticism of the Company’s DCF analysis concluding that the range of DCF-derived ROEs </w:t>
      </w:r>
      <w:r w:rsidR="00CE4A36">
        <w:rPr>
          <w:sz w:val="25"/>
          <w:szCs w:val="25"/>
        </w:rPr>
        <w:t xml:space="preserve">should be </w:t>
      </w:r>
      <w:r w:rsidR="00B077A8">
        <w:rPr>
          <w:sz w:val="25"/>
          <w:szCs w:val="25"/>
        </w:rPr>
        <w:t>9.55 to 10.21 percent.</w:t>
      </w:r>
      <w:r w:rsidR="00B077A8">
        <w:rPr>
          <w:rStyle w:val="FootnoteReference"/>
          <w:sz w:val="25"/>
          <w:szCs w:val="25"/>
        </w:rPr>
        <w:footnoteReference w:id="56"/>
      </w:r>
      <w:r w:rsidR="00B077A8">
        <w:rPr>
          <w:sz w:val="25"/>
          <w:szCs w:val="25"/>
        </w:rPr>
        <w:t xml:space="preserve">  Each of ICNU’s DCF analyses was given equal weight, a process that </w:t>
      </w:r>
      <w:r w:rsidR="008450E1">
        <w:rPr>
          <w:sz w:val="25"/>
          <w:szCs w:val="25"/>
        </w:rPr>
        <w:t>smooths</w:t>
      </w:r>
      <w:r w:rsidR="00B077A8">
        <w:rPr>
          <w:sz w:val="25"/>
          <w:szCs w:val="25"/>
        </w:rPr>
        <w:t xml:space="preserve"> the variations produced at either extreme of the range of reasonableness</w:t>
      </w:r>
      <w:r w:rsidR="0021791F">
        <w:rPr>
          <w:sz w:val="25"/>
          <w:szCs w:val="25"/>
        </w:rPr>
        <w:t>.  We</w:t>
      </w:r>
      <w:r w:rsidR="00B077A8">
        <w:rPr>
          <w:sz w:val="25"/>
          <w:szCs w:val="25"/>
        </w:rPr>
        <w:t xml:space="preserve"> selected an ROE that is approximately the mid-point of that range.  PacifiCorp did not present persuasive argument for us to give </w:t>
      </w:r>
      <w:r w:rsidR="005B394E">
        <w:rPr>
          <w:sz w:val="25"/>
          <w:szCs w:val="25"/>
        </w:rPr>
        <w:t>greater weight to the DCF analysis that produces a result exceeding the peak of the DCF-derived range.</w:t>
      </w:r>
    </w:p>
    <w:p w:rsidR="002A43DF" w:rsidRDefault="005B394E">
      <w:pPr>
        <w:spacing w:line="288" w:lineRule="auto"/>
        <w:ind w:left="-720"/>
        <w:rPr>
          <w:sz w:val="25"/>
          <w:szCs w:val="25"/>
        </w:rPr>
      </w:pPr>
      <w:r>
        <w:rPr>
          <w:sz w:val="25"/>
          <w:szCs w:val="25"/>
        </w:rPr>
        <w:t xml:space="preserve"> </w:t>
      </w:r>
    </w:p>
    <w:p w:rsidR="00AC1D33" w:rsidRDefault="005B394E" w:rsidP="006F5B55">
      <w:pPr>
        <w:numPr>
          <w:ilvl w:val="0"/>
          <w:numId w:val="1"/>
        </w:numPr>
        <w:tabs>
          <w:tab w:val="clear" w:pos="720"/>
          <w:tab w:val="num" w:pos="0"/>
        </w:tabs>
        <w:spacing w:line="288" w:lineRule="auto"/>
        <w:ind w:left="0"/>
        <w:rPr>
          <w:sz w:val="25"/>
          <w:szCs w:val="25"/>
        </w:rPr>
      </w:pPr>
      <w:r>
        <w:rPr>
          <w:i/>
          <w:sz w:val="25"/>
          <w:szCs w:val="25"/>
        </w:rPr>
        <w:t>Contradictory Economic Conclusions.</w:t>
      </w:r>
      <w:r>
        <w:rPr>
          <w:sz w:val="25"/>
          <w:szCs w:val="25"/>
        </w:rPr>
        <w:t xml:space="preserve">  PacifiCorp argues that our DCF analysis is based on contradictory economic conclusions</w:t>
      </w:r>
      <w:r w:rsidR="0021791F">
        <w:rPr>
          <w:sz w:val="25"/>
          <w:szCs w:val="25"/>
        </w:rPr>
        <w:t xml:space="preserve">, finding a conflict between </w:t>
      </w:r>
      <w:r w:rsidR="00615A16">
        <w:rPr>
          <w:sz w:val="25"/>
          <w:szCs w:val="25"/>
        </w:rPr>
        <w:t xml:space="preserve">our </w:t>
      </w:r>
      <w:r w:rsidR="0021791F">
        <w:rPr>
          <w:sz w:val="25"/>
          <w:szCs w:val="25"/>
        </w:rPr>
        <w:t>conclusion</w:t>
      </w:r>
      <w:r w:rsidR="00615A16">
        <w:rPr>
          <w:sz w:val="25"/>
          <w:szCs w:val="25"/>
        </w:rPr>
        <w:t>s</w:t>
      </w:r>
      <w:r w:rsidR="0021791F">
        <w:rPr>
          <w:sz w:val="25"/>
          <w:szCs w:val="25"/>
        </w:rPr>
        <w:t xml:space="preserve"> that conditions in the financial market have returned to a more normal state and that utility stocks are generally safer investments in times of turmoil</w:t>
      </w:r>
      <w:r w:rsidR="005D5F54">
        <w:rPr>
          <w:sz w:val="25"/>
          <w:szCs w:val="25"/>
        </w:rPr>
        <w:t xml:space="preserve">.  </w:t>
      </w:r>
      <w:r w:rsidR="0021791F">
        <w:rPr>
          <w:sz w:val="25"/>
          <w:szCs w:val="25"/>
        </w:rPr>
        <w:t>A</w:t>
      </w:r>
      <w:r w:rsidR="00515570">
        <w:rPr>
          <w:sz w:val="25"/>
          <w:szCs w:val="25"/>
        </w:rPr>
        <w:t xml:space="preserve">s Commission Staff and ICNU </w:t>
      </w:r>
      <w:r>
        <w:rPr>
          <w:sz w:val="25"/>
          <w:szCs w:val="25"/>
        </w:rPr>
        <w:t>point out, these conclusions are not contradictory.</w:t>
      </w:r>
      <w:r w:rsidR="00515570">
        <w:rPr>
          <w:rStyle w:val="FootnoteReference"/>
          <w:sz w:val="25"/>
          <w:szCs w:val="25"/>
        </w:rPr>
        <w:footnoteReference w:id="57"/>
      </w:r>
      <w:r>
        <w:rPr>
          <w:sz w:val="25"/>
          <w:szCs w:val="25"/>
        </w:rPr>
        <w:t xml:space="preserve">  We </w:t>
      </w:r>
      <w:r>
        <w:rPr>
          <w:sz w:val="25"/>
          <w:szCs w:val="25"/>
        </w:rPr>
        <w:lastRenderedPageBreak/>
        <w:t xml:space="preserve">must view both halves of the equation and recognize that while utility stocks have not rebounded like </w:t>
      </w:r>
      <w:r w:rsidR="00515570">
        <w:rPr>
          <w:sz w:val="25"/>
          <w:szCs w:val="25"/>
        </w:rPr>
        <w:t>non-utility stocks, neither did they sink as low as the general financial market during the worst times of the financial crisis.  In other words, utility stocks are less risky than non-utility stocks.  This is not a novel concept precipitated by the financial crisis.</w:t>
      </w:r>
      <w:r w:rsidR="006161D2">
        <w:rPr>
          <w:sz w:val="25"/>
          <w:szCs w:val="25"/>
        </w:rPr>
        <w:t xml:space="preserve">  Utility stocks are generally considered safer, although lower-earning, than investments in </w:t>
      </w:r>
      <w:r w:rsidR="00FC23ED">
        <w:rPr>
          <w:sz w:val="25"/>
          <w:szCs w:val="25"/>
        </w:rPr>
        <w:t>non-utility</w:t>
      </w:r>
      <w:r w:rsidR="006161D2">
        <w:rPr>
          <w:sz w:val="25"/>
          <w:szCs w:val="25"/>
        </w:rPr>
        <w:t xml:space="preserve"> enterprises.</w:t>
      </w:r>
      <w:r w:rsidR="006161D2">
        <w:rPr>
          <w:rStyle w:val="FootnoteReference"/>
          <w:sz w:val="25"/>
          <w:szCs w:val="25"/>
        </w:rPr>
        <w:footnoteReference w:id="58"/>
      </w:r>
      <w:r w:rsidR="00515570">
        <w:rPr>
          <w:sz w:val="25"/>
          <w:szCs w:val="25"/>
        </w:rPr>
        <w:t xml:space="preserve">  </w:t>
      </w:r>
    </w:p>
    <w:p w:rsidR="002A43DF" w:rsidRDefault="002A43DF">
      <w:pPr>
        <w:spacing w:line="288" w:lineRule="auto"/>
        <w:ind w:left="-720"/>
        <w:rPr>
          <w:sz w:val="25"/>
          <w:szCs w:val="25"/>
        </w:rPr>
      </w:pPr>
    </w:p>
    <w:p w:rsidR="00DE6DE2" w:rsidRDefault="00AC1D33" w:rsidP="006F5B55">
      <w:pPr>
        <w:numPr>
          <w:ilvl w:val="0"/>
          <w:numId w:val="1"/>
        </w:numPr>
        <w:tabs>
          <w:tab w:val="clear" w:pos="720"/>
          <w:tab w:val="num" w:pos="0"/>
        </w:tabs>
        <w:spacing w:line="288" w:lineRule="auto"/>
        <w:ind w:left="0"/>
        <w:rPr>
          <w:sz w:val="25"/>
          <w:szCs w:val="25"/>
        </w:rPr>
      </w:pPr>
      <w:r>
        <w:rPr>
          <w:i/>
          <w:sz w:val="25"/>
          <w:szCs w:val="25"/>
        </w:rPr>
        <w:t>CAPM Analysis.</w:t>
      </w:r>
      <w:r>
        <w:rPr>
          <w:sz w:val="25"/>
          <w:szCs w:val="25"/>
        </w:rPr>
        <w:t xml:space="preserve"> </w:t>
      </w:r>
      <w:r w:rsidR="005B394E">
        <w:rPr>
          <w:sz w:val="25"/>
          <w:szCs w:val="25"/>
        </w:rPr>
        <w:t xml:space="preserve"> </w:t>
      </w:r>
      <w:r w:rsidR="002A272A">
        <w:rPr>
          <w:sz w:val="25"/>
          <w:szCs w:val="25"/>
        </w:rPr>
        <w:t>The Company argues that our reliance on CAPM was inconsistent with our precedent in the PSE rate case where we gave CAPM results diminished weight.</w:t>
      </w:r>
      <w:r w:rsidR="002A272A">
        <w:rPr>
          <w:rStyle w:val="FootnoteReference"/>
          <w:sz w:val="25"/>
          <w:szCs w:val="25"/>
        </w:rPr>
        <w:footnoteReference w:id="59"/>
      </w:r>
      <w:r w:rsidR="002A272A">
        <w:rPr>
          <w:sz w:val="25"/>
          <w:szCs w:val="25"/>
        </w:rPr>
        <w:t xml:space="preserve">  PacifiCorp is incorrect.  We acknowledged that </w:t>
      </w:r>
      <w:r w:rsidR="0021791F">
        <w:rPr>
          <w:sz w:val="25"/>
          <w:szCs w:val="25"/>
        </w:rPr>
        <w:t>“</w:t>
      </w:r>
      <w:r w:rsidR="002A272A">
        <w:rPr>
          <w:sz w:val="25"/>
          <w:szCs w:val="25"/>
        </w:rPr>
        <w:t xml:space="preserve">while the CAPM results seem abnormally low those results, </w:t>
      </w:r>
      <w:r w:rsidR="002A272A">
        <w:rPr>
          <w:i/>
          <w:sz w:val="25"/>
          <w:szCs w:val="25"/>
        </w:rPr>
        <w:t xml:space="preserve">at a minimum, </w:t>
      </w:r>
      <w:r w:rsidR="002A272A">
        <w:rPr>
          <w:sz w:val="25"/>
          <w:szCs w:val="25"/>
        </w:rPr>
        <w:t xml:space="preserve">reflect a reason to be skeptical about the need for higher ROEs for investors in </w:t>
      </w:r>
      <w:r w:rsidR="00DE6DE2">
        <w:rPr>
          <w:sz w:val="25"/>
          <w:szCs w:val="25"/>
        </w:rPr>
        <w:t>this</w:t>
      </w:r>
      <w:r w:rsidR="002A272A">
        <w:rPr>
          <w:sz w:val="25"/>
          <w:szCs w:val="25"/>
        </w:rPr>
        <w:t xml:space="preserve"> stagnant economy.”</w:t>
      </w:r>
      <w:r w:rsidR="00DE6DE2">
        <w:rPr>
          <w:rStyle w:val="FootnoteReference"/>
          <w:sz w:val="25"/>
          <w:szCs w:val="25"/>
        </w:rPr>
        <w:footnoteReference w:id="60"/>
      </w:r>
      <w:r w:rsidR="00DE6DE2">
        <w:rPr>
          <w:sz w:val="25"/>
          <w:szCs w:val="25"/>
        </w:rPr>
        <w:t xml:space="preserve">  Our use of the phrase “at a minimum” clearly indicates that this method was not given substantial weight but rather, was used more as a gauge of the reasonableness of the results of other methods.</w:t>
      </w:r>
      <w:r w:rsidR="00DE6DE2">
        <w:rPr>
          <w:rStyle w:val="FootnoteReference"/>
          <w:sz w:val="25"/>
          <w:szCs w:val="25"/>
        </w:rPr>
        <w:footnoteReference w:id="61"/>
      </w:r>
      <w:r w:rsidR="00DE6DE2">
        <w:rPr>
          <w:sz w:val="25"/>
          <w:szCs w:val="25"/>
        </w:rPr>
        <w:t xml:space="preserve">  We went on to note that while Staff and ICNU used this method as a “check” of the results of the other methodologies, PacifiCorp chose to not even present this methodology because the results were “artificially low” or would not pass the “smell test.”</w:t>
      </w:r>
      <w:r w:rsidR="00DE6DE2">
        <w:rPr>
          <w:rStyle w:val="FootnoteReference"/>
          <w:sz w:val="25"/>
          <w:szCs w:val="25"/>
        </w:rPr>
        <w:footnoteReference w:id="62"/>
      </w:r>
    </w:p>
    <w:p w:rsidR="002A43DF" w:rsidRDefault="002A43DF">
      <w:pPr>
        <w:spacing w:line="288" w:lineRule="auto"/>
        <w:ind w:left="-720"/>
        <w:rPr>
          <w:sz w:val="25"/>
          <w:szCs w:val="25"/>
        </w:rPr>
      </w:pPr>
    </w:p>
    <w:p w:rsidR="00285844" w:rsidRDefault="00202FDB" w:rsidP="006F5B55">
      <w:pPr>
        <w:numPr>
          <w:ilvl w:val="0"/>
          <w:numId w:val="1"/>
        </w:numPr>
        <w:tabs>
          <w:tab w:val="clear" w:pos="720"/>
          <w:tab w:val="num" w:pos="0"/>
        </w:tabs>
        <w:spacing w:line="288" w:lineRule="auto"/>
        <w:ind w:left="0"/>
        <w:rPr>
          <w:sz w:val="25"/>
          <w:szCs w:val="25"/>
        </w:rPr>
      </w:pPr>
      <w:r>
        <w:rPr>
          <w:sz w:val="25"/>
          <w:szCs w:val="25"/>
        </w:rPr>
        <w:t>The foregoing discussion only emphasizes the importance of considering a variety of methodologies to determine cost of equity.  PacifiCorp rejected outright the use of the CAPM</w:t>
      </w:r>
      <w:r w:rsidR="00285844">
        <w:rPr>
          <w:sz w:val="25"/>
          <w:szCs w:val="25"/>
        </w:rPr>
        <w:t>.</w:t>
      </w:r>
      <w:r>
        <w:rPr>
          <w:sz w:val="25"/>
          <w:szCs w:val="25"/>
        </w:rPr>
        <w:t xml:space="preserve">  This results-</w:t>
      </w:r>
      <w:r w:rsidR="008A3B2F">
        <w:rPr>
          <w:sz w:val="25"/>
          <w:szCs w:val="25"/>
        </w:rPr>
        <w:t xml:space="preserve">oriented approach had the effect of driving up the cost of equity promoted by the Company.  </w:t>
      </w:r>
      <w:r w:rsidR="00285844">
        <w:rPr>
          <w:sz w:val="25"/>
          <w:szCs w:val="25"/>
        </w:rPr>
        <w:t>While we openly stated that we gave substantial weight to ICNU’s DCF analysis,</w:t>
      </w:r>
      <w:r w:rsidR="00285844">
        <w:rPr>
          <w:rStyle w:val="FootnoteReference"/>
          <w:sz w:val="25"/>
          <w:szCs w:val="25"/>
        </w:rPr>
        <w:footnoteReference w:id="63"/>
      </w:r>
      <w:r w:rsidR="00285844">
        <w:rPr>
          <w:sz w:val="25"/>
          <w:szCs w:val="25"/>
        </w:rPr>
        <w:t xml:space="preserve"> w</w:t>
      </w:r>
      <w:r>
        <w:rPr>
          <w:sz w:val="25"/>
          <w:szCs w:val="25"/>
        </w:rPr>
        <w:t>e adopted the approach promoted by Staff and ICNU and used th</w:t>
      </w:r>
      <w:r w:rsidR="00536E13">
        <w:rPr>
          <w:sz w:val="25"/>
          <w:szCs w:val="25"/>
        </w:rPr>
        <w:t>e CAPM</w:t>
      </w:r>
      <w:r>
        <w:rPr>
          <w:sz w:val="25"/>
          <w:szCs w:val="25"/>
        </w:rPr>
        <w:t xml:space="preserve"> analysis as a “check” on our range of reasonableness.</w:t>
      </w:r>
      <w:r>
        <w:rPr>
          <w:rStyle w:val="FootnoteReference"/>
          <w:sz w:val="25"/>
          <w:szCs w:val="25"/>
        </w:rPr>
        <w:footnoteReference w:id="64"/>
      </w:r>
      <w:r>
        <w:rPr>
          <w:sz w:val="25"/>
          <w:szCs w:val="25"/>
        </w:rPr>
        <w:t xml:space="preserve">  We </w:t>
      </w:r>
      <w:r>
        <w:rPr>
          <w:sz w:val="25"/>
          <w:szCs w:val="25"/>
        </w:rPr>
        <w:lastRenderedPageBreak/>
        <w:t xml:space="preserve">reiterate that using each of the various methods to calculate cost of equity produces a more balanced approach and </w:t>
      </w:r>
      <w:r w:rsidR="008A3B2F">
        <w:rPr>
          <w:sz w:val="25"/>
          <w:szCs w:val="25"/>
        </w:rPr>
        <w:t xml:space="preserve">has a </w:t>
      </w:r>
      <w:r>
        <w:rPr>
          <w:sz w:val="25"/>
          <w:szCs w:val="25"/>
        </w:rPr>
        <w:t>level</w:t>
      </w:r>
      <w:r w:rsidR="008A3B2F">
        <w:rPr>
          <w:sz w:val="25"/>
          <w:szCs w:val="25"/>
        </w:rPr>
        <w:t>ing effect on</w:t>
      </w:r>
      <w:r>
        <w:rPr>
          <w:sz w:val="25"/>
          <w:szCs w:val="25"/>
        </w:rPr>
        <w:t xml:space="preserve"> the limitations of any particular model.</w:t>
      </w:r>
      <w:r>
        <w:rPr>
          <w:rStyle w:val="FootnoteReference"/>
          <w:sz w:val="25"/>
          <w:szCs w:val="25"/>
        </w:rPr>
        <w:footnoteReference w:id="65"/>
      </w:r>
      <w:r>
        <w:rPr>
          <w:sz w:val="25"/>
          <w:szCs w:val="25"/>
        </w:rPr>
        <w:t xml:space="preserve"> </w:t>
      </w:r>
      <w:r w:rsidR="008A3B2F">
        <w:rPr>
          <w:sz w:val="25"/>
          <w:szCs w:val="25"/>
        </w:rPr>
        <w:t xml:space="preserve"> </w:t>
      </w:r>
    </w:p>
    <w:p w:rsidR="002A43DF" w:rsidRDefault="002A43DF">
      <w:pPr>
        <w:spacing w:line="288" w:lineRule="auto"/>
        <w:ind w:left="-720"/>
        <w:rPr>
          <w:sz w:val="25"/>
          <w:szCs w:val="25"/>
        </w:rPr>
      </w:pPr>
    </w:p>
    <w:p w:rsidR="00250A8E" w:rsidRDefault="00285844" w:rsidP="006F5B55">
      <w:pPr>
        <w:numPr>
          <w:ilvl w:val="0"/>
          <w:numId w:val="1"/>
        </w:numPr>
        <w:tabs>
          <w:tab w:val="clear" w:pos="720"/>
          <w:tab w:val="num" w:pos="0"/>
        </w:tabs>
        <w:spacing w:line="288" w:lineRule="auto"/>
        <w:ind w:left="0"/>
        <w:rPr>
          <w:sz w:val="25"/>
          <w:szCs w:val="25"/>
        </w:rPr>
      </w:pPr>
      <w:r>
        <w:rPr>
          <w:i/>
          <w:sz w:val="25"/>
          <w:szCs w:val="25"/>
        </w:rPr>
        <w:t xml:space="preserve">Rejection of Regression Analysis.  </w:t>
      </w:r>
      <w:r w:rsidR="0021791F">
        <w:rPr>
          <w:sz w:val="25"/>
          <w:szCs w:val="25"/>
        </w:rPr>
        <w:t>Finally, t</w:t>
      </w:r>
      <w:r>
        <w:rPr>
          <w:sz w:val="25"/>
          <w:szCs w:val="25"/>
        </w:rPr>
        <w:t>he Company contends that there is no evident</w:t>
      </w:r>
      <w:r w:rsidR="0021791F">
        <w:rPr>
          <w:sz w:val="25"/>
          <w:szCs w:val="25"/>
        </w:rPr>
        <w:t>i</w:t>
      </w:r>
      <w:r>
        <w:rPr>
          <w:sz w:val="25"/>
          <w:szCs w:val="25"/>
        </w:rPr>
        <w:t>ary basis for rejecting its regression analysis in its risk premium model and the effective conclusion that the equity risk premium is constant in all economic circumstances.</w:t>
      </w:r>
      <w:r>
        <w:rPr>
          <w:rStyle w:val="FootnoteReference"/>
          <w:sz w:val="25"/>
          <w:szCs w:val="25"/>
        </w:rPr>
        <w:footnoteReference w:id="66"/>
      </w:r>
      <w:r>
        <w:rPr>
          <w:sz w:val="25"/>
          <w:szCs w:val="25"/>
        </w:rPr>
        <w:t xml:space="preserve">  </w:t>
      </w:r>
      <w:r w:rsidR="00FC23ED">
        <w:rPr>
          <w:sz w:val="25"/>
          <w:szCs w:val="25"/>
        </w:rPr>
        <w:t>That is incorrect</w:t>
      </w:r>
      <w:r w:rsidR="004E23EB">
        <w:rPr>
          <w:sz w:val="25"/>
          <w:szCs w:val="25"/>
        </w:rPr>
        <w:t>:</w:t>
      </w:r>
      <w:r w:rsidR="00FC23ED">
        <w:rPr>
          <w:sz w:val="25"/>
          <w:szCs w:val="25"/>
        </w:rPr>
        <w:t xml:space="preserve"> </w:t>
      </w:r>
      <w:r w:rsidR="00B63949">
        <w:rPr>
          <w:sz w:val="25"/>
          <w:szCs w:val="25"/>
        </w:rPr>
        <w:t xml:space="preserve"> </w:t>
      </w:r>
      <w:r>
        <w:rPr>
          <w:sz w:val="25"/>
          <w:szCs w:val="25"/>
        </w:rPr>
        <w:t xml:space="preserve">ICNU </w:t>
      </w:r>
      <w:r w:rsidR="0037767C">
        <w:rPr>
          <w:sz w:val="25"/>
          <w:szCs w:val="25"/>
        </w:rPr>
        <w:t>and Staff</w:t>
      </w:r>
      <w:r w:rsidR="004E23EB">
        <w:rPr>
          <w:sz w:val="25"/>
          <w:szCs w:val="25"/>
        </w:rPr>
        <w:t xml:space="preserve"> opposed PacifiCorp’s </w:t>
      </w:r>
      <w:r w:rsidR="008450E1">
        <w:rPr>
          <w:sz w:val="25"/>
          <w:szCs w:val="25"/>
        </w:rPr>
        <w:t>regression</w:t>
      </w:r>
      <w:r w:rsidR="004E23EB">
        <w:rPr>
          <w:sz w:val="25"/>
          <w:szCs w:val="25"/>
        </w:rPr>
        <w:t xml:space="preserve"> analysis, </w:t>
      </w:r>
      <w:r>
        <w:rPr>
          <w:sz w:val="25"/>
          <w:szCs w:val="25"/>
        </w:rPr>
        <w:t>explain</w:t>
      </w:r>
      <w:r w:rsidR="004E23EB">
        <w:rPr>
          <w:sz w:val="25"/>
          <w:szCs w:val="25"/>
        </w:rPr>
        <w:t>ing</w:t>
      </w:r>
      <w:r>
        <w:rPr>
          <w:sz w:val="25"/>
          <w:szCs w:val="25"/>
        </w:rPr>
        <w:t xml:space="preserve"> that the </w:t>
      </w:r>
      <w:r w:rsidR="00EC28C6">
        <w:rPr>
          <w:sz w:val="25"/>
          <w:szCs w:val="25"/>
        </w:rPr>
        <w:t xml:space="preserve">alleged </w:t>
      </w:r>
      <w:r>
        <w:rPr>
          <w:sz w:val="25"/>
          <w:szCs w:val="25"/>
        </w:rPr>
        <w:t>inverse relationship</w:t>
      </w:r>
      <w:r w:rsidR="00615A16">
        <w:rPr>
          <w:sz w:val="25"/>
          <w:szCs w:val="25"/>
        </w:rPr>
        <w:t xml:space="preserve"> </w:t>
      </w:r>
      <w:r w:rsidR="00EC28C6">
        <w:rPr>
          <w:sz w:val="25"/>
          <w:szCs w:val="25"/>
        </w:rPr>
        <w:t>between equity risk premiums and interest rates</w:t>
      </w:r>
      <w:r>
        <w:rPr>
          <w:sz w:val="25"/>
          <w:szCs w:val="25"/>
        </w:rPr>
        <w:t xml:space="preserve"> should not occur during times </w:t>
      </w:r>
      <w:r w:rsidR="00EC28C6">
        <w:rPr>
          <w:sz w:val="25"/>
          <w:szCs w:val="25"/>
        </w:rPr>
        <w:t xml:space="preserve">of low inflation </w:t>
      </w:r>
      <w:r>
        <w:rPr>
          <w:sz w:val="25"/>
          <w:szCs w:val="25"/>
        </w:rPr>
        <w:t>without significant interest rate volatility.</w:t>
      </w:r>
      <w:r>
        <w:rPr>
          <w:rStyle w:val="FootnoteReference"/>
          <w:sz w:val="25"/>
          <w:szCs w:val="25"/>
        </w:rPr>
        <w:footnoteReference w:id="67"/>
      </w:r>
      <w:r w:rsidR="0037767C">
        <w:rPr>
          <w:sz w:val="25"/>
          <w:szCs w:val="25"/>
        </w:rPr>
        <w:t xml:space="preserve">  There was substantial evidence in the record opposing this analysis and it was reasonable to reject the Company’s analysis on the basis of that evidence.  Moreover, we reiterate our conclusion that we are skeptical that precise results can be derived from future estimated projections.</w:t>
      </w:r>
      <w:r w:rsidR="0037767C">
        <w:rPr>
          <w:rStyle w:val="FootnoteReference"/>
          <w:sz w:val="25"/>
          <w:szCs w:val="25"/>
        </w:rPr>
        <w:footnoteReference w:id="68"/>
      </w:r>
      <w:r w:rsidR="0037767C">
        <w:rPr>
          <w:sz w:val="25"/>
          <w:szCs w:val="25"/>
        </w:rPr>
        <w:t xml:space="preserve">  By their very definition, “estimates” and “projections” </w:t>
      </w:r>
      <w:r w:rsidR="00250A8E">
        <w:rPr>
          <w:sz w:val="25"/>
          <w:szCs w:val="25"/>
        </w:rPr>
        <w:t>have a degree of imprecision that can only be verified by hindsight.</w:t>
      </w:r>
    </w:p>
    <w:p w:rsidR="002A43DF" w:rsidRDefault="002A43DF">
      <w:pPr>
        <w:spacing w:line="288" w:lineRule="auto"/>
        <w:ind w:left="-720"/>
        <w:rPr>
          <w:sz w:val="25"/>
          <w:szCs w:val="25"/>
        </w:rPr>
      </w:pPr>
    </w:p>
    <w:p w:rsidR="00250A8E" w:rsidRDefault="00250A8E" w:rsidP="006F5B55">
      <w:pPr>
        <w:numPr>
          <w:ilvl w:val="0"/>
          <w:numId w:val="1"/>
        </w:numPr>
        <w:tabs>
          <w:tab w:val="clear" w:pos="720"/>
          <w:tab w:val="num" w:pos="0"/>
        </w:tabs>
        <w:spacing w:line="288" w:lineRule="auto"/>
        <w:ind w:left="0"/>
        <w:rPr>
          <w:sz w:val="25"/>
          <w:szCs w:val="25"/>
        </w:rPr>
      </w:pPr>
      <w:r>
        <w:rPr>
          <w:i/>
          <w:sz w:val="25"/>
          <w:szCs w:val="25"/>
        </w:rPr>
        <w:t xml:space="preserve">Conclusion.  </w:t>
      </w:r>
      <w:r>
        <w:rPr>
          <w:sz w:val="25"/>
          <w:szCs w:val="25"/>
        </w:rPr>
        <w:t xml:space="preserve">For the foregoing reasons, we deny PacifiCorp’s Petition on the appropriate cost of equity.  </w:t>
      </w:r>
    </w:p>
    <w:p w:rsidR="000D7A32" w:rsidRPr="002532DF" w:rsidRDefault="00973B0D" w:rsidP="006F5B55">
      <w:pPr>
        <w:pStyle w:val="Heading4"/>
        <w:spacing w:line="288" w:lineRule="auto"/>
        <w:ind w:left="1080"/>
        <w:rPr>
          <w:rFonts w:ascii="Times New Roman" w:hAnsi="Times New Roman"/>
          <w:sz w:val="25"/>
          <w:szCs w:val="25"/>
        </w:rPr>
      </w:pPr>
      <w:bookmarkStart w:id="13" w:name="_Toc288813724"/>
      <w:r>
        <w:rPr>
          <w:rFonts w:ascii="Times New Roman" w:hAnsi="Times New Roman"/>
          <w:sz w:val="25"/>
          <w:szCs w:val="25"/>
        </w:rPr>
        <w:t>3.</w:t>
      </w:r>
      <w:r>
        <w:rPr>
          <w:rFonts w:ascii="Times New Roman" w:hAnsi="Times New Roman"/>
          <w:sz w:val="25"/>
          <w:szCs w:val="25"/>
        </w:rPr>
        <w:tab/>
      </w:r>
      <w:r w:rsidR="005D5E44">
        <w:rPr>
          <w:rFonts w:ascii="Times New Roman" w:hAnsi="Times New Roman"/>
          <w:sz w:val="25"/>
          <w:szCs w:val="25"/>
        </w:rPr>
        <w:t>Net Power Costs</w:t>
      </w:r>
      <w:bookmarkEnd w:id="13"/>
    </w:p>
    <w:p w:rsidR="00534B57" w:rsidRPr="002532DF" w:rsidRDefault="00534B57" w:rsidP="006F5B55">
      <w:pPr>
        <w:pStyle w:val="Heading5"/>
        <w:numPr>
          <w:ilvl w:val="0"/>
          <w:numId w:val="31"/>
        </w:numPr>
        <w:spacing w:line="288" w:lineRule="auto"/>
        <w:ind w:left="1800"/>
        <w:rPr>
          <w:rFonts w:ascii="Times New Roman" w:hAnsi="Times New Roman"/>
          <w:i w:val="0"/>
          <w:sz w:val="25"/>
          <w:szCs w:val="25"/>
        </w:rPr>
      </w:pPr>
      <w:bookmarkStart w:id="14" w:name="_Toc288813730"/>
      <w:r w:rsidRPr="002532DF">
        <w:rPr>
          <w:rFonts w:ascii="Times New Roman" w:hAnsi="Times New Roman"/>
          <w:i w:val="0"/>
          <w:sz w:val="25"/>
          <w:szCs w:val="25"/>
        </w:rPr>
        <w:t>Arbitrage Sales Margin</w:t>
      </w:r>
      <w:bookmarkEnd w:id="14"/>
    </w:p>
    <w:p w:rsidR="00534B57" w:rsidRDefault="00534B57" w:rsidP="006F5B55">
      <w:pPr>
        <w:spacing w:line="288" w:lineRule="auto"/>
        <w:outlineLvl w:val="3"/>
        <w:rPr>
          <w:b/>
          <w:sz w:val="25"/>
          <w:szCs w:val="25"/>
        </w:rPr>
      </w:pPr>
    </w:p>
    <w:p w:rsidR="00377072" w:rsidRDefault="005D5E44" w:rsidP="006F5B55">
      <w:pPr>
        <w:numPr>
          <w:ilvl w:val="0"/>
          <w:numId w:val="1"/>
        </w:numPr>
        <w:tabs>
          <w:tab w:val="clear" w:pos="720"/>
          <w:tab w:val="num" w:pos="0"/>
        </w:tabs>
        <w:spacing w:after="240" w:line="288" w:lineRule="auto"/>
        <w:ind w:left="0"/>
        <w:rPr>
          <w:sz w:val="25"/>
          <w:szCs w:val="25"/>
        </w:rPr>
      </w:pPr>
      <w:r>
        <w:rPr>
          <w:sz w:val="25"/>
          <w:szCs w:val="25"/>
        </w:rPr>
        <w:t xml:space="preserve">By Order 06, we adopted </w:t>
      </w:r>
      <w:r w:rsidR="0085794D">
        <w:rPr>
          <w:sz w:val="25"/>
          <w:szCs w:val="25"/>
        </w:rPr>
        <w:t xml:space="preserve">Staff’s and </w:t>
      </w:r>
      <w:r>
        <w:rPr>
          <w:sz w:val="25"/>
          <w:szCs w:val="25"/>
        </w:rPr>
        <w:t xml:space="preserve">ICNU’s </w:t>
      </w:r>
      <w:r w:rsidR="0085794D">
        <w:rPr>
          <w:sz w:val="25"/>
          <w:szCs w:val="25"/>
        </w:rPr>
        <w:t>proposal to include arbitrage sales revenues in our calculation of net power costs</w:t>
      </w:r>
      <w:r w:rsidR="00AD210D">
        <w:rPr>
          <w:sz w:val="25"/>
          <w:szCs w:val="25"/>
        </w:rPr>
        <w:t xml:space="preserve"> (NPC)</w:t>
      </w:r>
      <w:r w:rsidR="0085794D">
        <w:rPr>
          <w:sz w:val="25"/>
          <w:szCs w:val="25"/>
        </w:rPr>
        <w:t xml:space="preserve">.  We </w:t>
      </w:r>
      <w:r w:rsidR="00104CEF">
        <w:rPr>
          <w:sz w:val="25"/>
          <w:szCs w:val="25"/>
        </w:rPr>
        <w:t>selected</w:t>
      </w:r>
      <w:r w:rsidR="0085794D">
        <w:rPr>
          <w:sz w:val="25"/>
          <w:szCs w:val="25"/>
        </w:rPr>
        <w:t xml:space="preserve"> ICNU’s </w:t>
      </w:r>
      <w:r w:rsidR="007733E1">
        <w:rPr>
          <w:sz w:val="25"/>
          <w:szCs w:val="25"/>
        </w:rPr>
        <w:t xml:space="preserve">calculation of </w:t>
      </w:r>
      <w:r>
        <w:rPr>
          <w:sz w:val="25"/>
          <w:szCs w:val="25"/>
        </w:rPr>
        <w:t xml:space="preserve">arbitrage sales </w:t>
      </w:r>
      <w:r w:rsidR="007733E1">
        <w:rPr>
          <w:sz w:val="25"/>
          <w:szCs w:val="25"/>
        </w:rPr>
        <w:t xml:space="preserve">revenues favoring the four-year average of actual operations over the proxy sales in the Company’s Generation and Regulation </w:t>
      </w:r>
      <w:r w:rsidR="007733E1">
        <w:rPr>
          <w:sz w:val="25"/>
          <w:szCs w:val="25"/>
        </w:rPr>
        <w:lastRenderedPageBreak/>
        <w:t>Initiatives Decision tools model (GRID).</w:t>
      </w:r>
      <w:r w:rsidR="007733E1">
        <w:rPr>
          <w:rStyle w:val="FootnoteReference"/>
          <w:sz w:val="25"/>
          <w:szCs w:val="25"/>
        </w:rPr>
        <w:footnoteReference w:id="69"/>
      </w:r>
      <w:r w:rsidR="007733E1">
        <w:rPr>
          <w:sz w:val="25"/>
          <w:szCs w:val="25"/>
        </w:rPr>
        <w:t xml:space="preserve">  Our decision rejected Staff’s proposal to “share” 10 percent of the arbitrage </w:t>
      </w:r>
      <w:r w:rsidR="00291D73">
        <w:rPr>
          <w:sz w:val="25"/>
          <w:szCs w:val="25"/>
        </w:rPr>
        <w:t xml:space="preserve">sales </w:t>
      </w:r>
      <w:r w:rsidR="007733E1">
        <w:rPr>
          <w:sz w:val="25"/>
          <w:szCs w:val="25"/>
        </w:rPr>
        <w:t>revenues with the Company thereby increasing operating revenues by $585,784.</w:t>
      </w:r>
      <w:r w:rsidR="007733E1">
        <w:rPr>
          <w:rStyle w:val="FootnoteReference"/>
          <w:sz w:val="25"/>
          <w:szCs w:val="25"/>
        </w:rPr>
        <w:footnoteReference w:id="70"/>
      </w:r>
    </w:p>
    <w:p w:rsidR="008759F6" w:rsidRPr="00B63949" w:rsidRDefault="008759F6" w:rsidP="006F5B55">
      <w:pPr>
        <w:spacing w:line="288" w:lineRule="auto"/>
        <w:ind w:left="-720"/>
        <w:rPr>
          <w:sz w:val="25"/>
          <w:szCs w:val="25"/>
        </w:rPr>
      </w:pPr>
    </w:p>
    <w:p w:rsidR="00552999" w:rsidRPr="00552999" w:rsidRDefault="00FC642E" w:rsidP="006F5B55">
      <w:pPr>
        <w:numPr>
          <w:ilvl w:val="0"/>
          <w:numId w:val="1"/>
        </w:numPr>
        <w:tabs>
          <w:tab w:val="clear" w:pos="720"/>
          <w:tab w:val="num" w:pos="0"/>
        </w:tabs>
        <w:spacing w:line="288" w:lineRule="auto"/>
        <w:ind w:left="0"/>
        <w:rPr>
          <w:b/>
          <w:sz w:val="25"/>
          <w:szCs w:val="25"/>
        </w:rPr>
      </w:pPr>
      <w:r>
        <w:rPr>
          <w:sz w:val="25"/>
          <w:szCs w:val="25"/>
        </w:rPr>
        <w:t>In its Petition, t</w:t>
      </w:r>
      <w:r w:rsidR="00B648FC" w:rsidRPr="00AF36C7">
        <w:rPr>
          <w:sz w:val="25"/>
          <w:szCs w:val="25"/>
        </w:rPr>
        <w:t>he Company contends that we erroneously concluded that it did not argue that Staff’s and ICNU’s numbers are not representative of arbitrage sales revenues.</w:t>
      </w:r>
      <w:r w:rsidR="00B648FC" w:rsidRPr="00AF36C7">
        <w:rPr>
          <w:rStyle w:val="FootnoteReference"/>
          <w:sz w:val="25"/>
          <w:szCs w:val="25"/>
        </w:rPr>
        <w:footnoteReference w:id="71"/>
      </w:r>
      <w:r w:rsidR="00C65A36">
        <w:rPr>
          <w:b/>
          <w:sz w:val="25"/>
          <w:szCs w:val="25"/>
        </w:rPr>
        <w:t xml:space="preserve"> </w:t>
      </w:r>
      <w:r w:rsidR="00031190">
        <w:rPr>
          <w:b/>
          <w:sz w:val="25"/>
          <w:szCs w:val="25"/>
        </w:rPr>
        <w:t xml:space="preserve"> </w:t>
      </w:r>
    </w:p>
    <w:p w:rsidR="00552999" w:rsidRPr="00552999" w:rsidRDefault="00552999" w:rsidP="006F5B55">
      <w:pPr>
        <w:spacing w:line="288" w:lineRule="auto"/>
        <w:ind w:left="-720"/>
        <w:rPr>
          <w:b/>
          <w:sz w:val="25"/>
          <w:szCs w:val="25"/>
        </w:rPr>
      </w:pPr>
    </w:p>
    <w:p w:rsidR="00552999" w:rsidRPr="00552999" w:rsidRDefault="00552999" w:rsidP="006F5B55">
      <w:pPr>
        <w:numPr>
          <w:ilvl w:val="0"/>
          <w:numId w:val="1"/>
        </w:numPr>
        <w:tabs>
          <w:tab w:val="clear" w:pos="720"/>
          <w:tab w:val="num" w:pos="0"/>
        </w:tabs>
        <w:spacing w:line="288" w:lineRule="auto"/>
        <w:ind w:left="0"/>
        <w:rPr>
          <w:b/>
          <w:sz w:val="25"/>
          <w:szCs w:val="25"/>
        </w:rPr>
      </w:pPr>
      <w:r>
        <w:rPr>
          <w:sz w:val="25"/>
          <w:szCs w:val="25"/>
        </w:rPr>
        <w:t>In</w:t>
      </w:r>
      <w:r w:rsidR="004E1B6C">
        <w:rPr>
          <w:sz w:val="25"/>
          <w:szCs w:val="25"/>
        </w:rPr>
        <w:t xml:space="preserve"> support of </w:t>
      </w:r>
      <w:r>
        <w:rPr>
          <w:sz w:val="25"/>
          <w:szCs w:val="25"/>
        </w:rPr>
        <w:t xml:space="preserve">its </w:t>
      </w:r>
      <w:r w:rsidR="004E1B6C">
        <w:rPr>
          <w:sz w:val="25"/>
          <w:szCs w:val="25"/>
        </w:rPr>
        <w:t xml:space="preserve">argument, </w:t>
      </w:r>
      <w:r>
        <w:rPr>
          <w:sz w:val="25"/>
          <w:szCs w:val="25"/>
        </w:rPr>
        <w:t>the</w:t>
      </w:r>
      <w:r w:rsidR="004E1B6C">
        <w:rPr>
          <w:sz w:val="25"/>
          <w:szCs w:val="25"/>
        </w:rPr>
        <w:t xml:space="preserve"> </w:t>
      </w:r>
      <w:r>
        <w:rPr>
          <w:sz w:val="25"/>
          <w:szCs w:val="25"/>
        </w:rPr>
        <w:t xml:space="preserve">Company </w:t>
      </w:r>
      <w:r w:rsidR="004E1B6C">
        <w:rPr>
          <w:sz w:val="25"/>
          <w:szCs w:val="25"/>
        </w:rPr>
        <w:t xml:space="preserve">provides reference to </w:t>
      </w:r>
      <w:r w:rsidR="00C92DBB">
        <w:rPr>
          <w:sz w:val="25"/>
          <w:szCs w:val="25"/>
        </w:rPr>
        <w:t xml:space="preserve">testimony regarding trading transactions and </w:t>
      </w:r>
      <w:r w:rsidR="004E1B6C">
        <w:rPr>
          <w:sz w:val="25"/>
          <w:szCs w:val="25"/>
        </w:rPr>
        <w:t xml:space="preserve">its cross-examination of ICNU’s witness, Mr. Randall Falkenberg.  </w:t>
      </w:r>
      <w:r w:rsidR="00C92DBB">
        <w:rPr>
          <w:sz w:val="25"/>
          <w:szCs w:val="25"/>
        </w:rPr>
        <w:t>Specifically, i</w:t>
      </w:r>
      <w:r w:rsidR="004E1B6C">
        <w:rPr>
          <w:sz w:val="25"/>
          <w:szCs w:val="25"/>
        </w:rPr>
        <w:t>n response to inquiry by the Company regarding whether inc</w:t>
      </w:r>
      <w:r w:rsidR="00A720E0">
        <w:rPr>
          <w:sz w:val="25"/>
          <w:szCs w:val="25"/>
        </w:rPr>
        <w:t>l</w:t>
      </w:r>
      <w:r w:rsidR="004E1B6C">
        <w:rPr>
          <w:sz w:val="25"/>
          <w:szCs w:val="25"/>
        </w:rPr>
        <w:t>uding trading transactions would reduce arbitrage revenues, Mr. Falkenberg agreed.</w:t>
      </w:r>
      <w:r w:rsidR="004E1B6C">
        <w:rPr>
          <w:rStyle w:val="FootnoteReference"/>
          <w:sz w:val="25"/>
          <w:szCs w:val="25"/>
        </w:rPr>
        <w:footnoteReference w:id="72"/>
      </w:r>
      <w:r w:rsidR="004E1B6C">
        <w:rPr>
          <w:sz w:val="25"/>
          <w:szCs w:val="25"/>
        </w:rPr>
        <w:t xml:space="preserve">  And, in response to inquiry regarding whether the adjustment would be lower if based on the most recent year of historical data, Mr. Falkenberg also agreed</w:t>
      </w:r>
      <w:r w:rsidR="00304EFF">
        <w:rPr>
          <w:sz w:val="25"/>
          <w:szCs w:val="25"/>
        </w:rPr>
        <w:t xml:space="preserve"> that there was a downward trend through the recession</w:t>
      </w:r>
      <w:r w:rsidR="004E1B6C">
        <w:rPr>
          <w:sz w:val="25"/>
          <w:szCs w:val="25"/>
        </w:rPr>
        <w:t>.</w:t>
      </w:r>
      <w:r w:rsidR="004E1B6C">
        <w:rPr>
          <w:rStyle w:val="FootnoteReference"/>
          <w:sz w:val="25"/>
          <w:szCs w:val="25"/>
        </w:rPr>
        <w:footnoteReference w:id="73"/>
      </w:r>
      <w:r w:rsidR="00304EFF">
        <w:rPr>
          <w:sz w:val="25"/>
          <w:szCs w:val="25"/>
        </w:rPr>
        <w:t xml:space="preserve"> </w:t>
      </w:r>
    </w:p>
    <w:p w:rsidR="00A720E0" w:rsidRPr="00A720E0" w:rsidRDefault="00304EFF" w:rsidP="006F5B55">
      <w:pPr>
        <w:spacing w:line="288" w:lineRule="auto"/>
        <w:ind w:left="-720"/>
        <w:rPr>
          <w:b/>
          <w:sz w:val="25"/>
          <w:szCs w:val="25"/>
        </w:rPr>
      </w:pPr>
      <w:r>
        <w:rPr>
          <w:sz w:val="25"/>
          <w:szCs w:val="25"/>
        </w:rPr>
        <w:t xml:space="preserve"> </w:t>
      </w:r>
    </w:p>
    <w:p w:rsidR="00552999" w:rsidRPr="00552999" w:rsidRDefault="00A720E0" w:rsidP="006F5B55">
      <w:pPr>
        <w:numPr>
          <w:ilvl w:val="0"/>
          <w:numId w:val="1"/>
        </w:numPr>
        <w:tabs>
          <w:tab w:val="clear" w:pos="720"/>
          <w:tab w:val="num" w:pos="0"/>
        </w:tabs>
        <w:spacing w:line="288" w:lineRule="auto"/>
        <w:ind w:left="0"/>
        <w:rPr>
          <w:b/>
          <w:sz w:val="25"/>
          <w:szCs w:val="25"/>
        </w:rPr>
      </w:pPr>
      <w:r>
        <w:rPr>
          <w:sz w:val="25"/>
          <w:szCs w:val="25"/>
        </w:rPr>
        <w:t>Because we specifically rejected the GRID model’s system of balancing sales and purchases in favor of the four-year average</w:t>
      </w:r>
      <w:r w:rsidR="00C92DBB">
        <w:rPr>
          <w:sz w:val="25"/>
          <w:szCs w:val="25"/>
        </w:rPr>
        <w:t xml:space="preserve"> of actual sales</w:t>
      </w:r>
      <w:r>
        <w:rPr>
          <w:sz w:val="25"/>
          <w:szCs w:val="25"/>
        </w:rPr>
        <w:t>, we believed that it was apparent that we were not persuaded to include trading transactions</w:t>
      </w:r>
      <w:r w:rsidR="00C92DBB">
        <w:rPr>
          <w:sz w:val="25"/>
          <w:szCs w:val="25"/>
        </w:rPr>
        <w:t xml:space="preserve">.  Moreover, we believe that Mr. Falkenberg effectively deflected the Company’s cross-examination regarding the downward trend in arbitrage sales revenues during the last historical year by stating that “one of the reasons for using </w:t>
      </w:r>
      <w:r w:rsidR="001767C3">
        <w:rPr>
          <w:sz w:val="25"/>
          <w:szCs w:val="25"/>
        </w:rPr>
        <w:t>[a]</w:t>
      </w:r>
      <w:r w:rsidR="00272ABA">
        <w:rPr>
          <w:sz w:val="25"/>
          <w:szCs w:val="25"/>
        </w:rPr>
        <w:t xml:space="preserve"> </w:t>
      </w:r>
      <w:r w:rsidR="00C92DBB">
        <w:rPr>
          <w:sz w:val="25"/>
          <w:szCs w:val="25"/>
        </w:rPr>
        <w:t>four-year average is to normalize out things that happen in a single year.”</w:t>
      </w:r>
      <w:r w:rsidR="00C92DBB">
        <w:rPr>
          <w:rStyle w:val="FootnoteReference"/>
          <w:sz w:val="25"/>
          <w:szCs w:val="25"/>
        </w:rPr>
        <w:footnoteReference w:id="74"/>
      </w:r>
      <w:r w:rsidR="00C92DBB">
        <w:rPr>
          <w:sz w:val="25"/>
          <w:szCs w:val="25"/>
        </w:rPr>
        <w:t xml:space="preserve">  </w:t>
      </w:r>
      <w:r w:rsidR="00031190">
        <w:rPr>
          <w:sz w:val="25"/>
          <w:szCs w:val="25"/>
        </w:rPr>
        <w:t xml:space="preserve">Finally, the Company did not propose an arbitrage sales adjustment that included trading transactions.  Instead, it relied on the GRID model’s results to serve as a proxy for these sales.  </w:t>
      </w:r>
      <w:r w:rsidR="00C92DBB">
        <w:rPr>
          <w:sz w:val="25"/>
          <w:szCs w:val="25"/>
        </w:rPr>
        <w:t xml:space="preserve">Thus, </w:t>
      </w:r>
      <w:r w:rsidR="00552999">
        <w:rPr>
          <w:sz w:val="25"/>
          <w:szCs w:val="25"/>
        </w:rPr>
        <w:t xml:space="preserve">we reached the </w:t>
      </w:r>
      <w:r w:rsidR="00C92DBB">
        <w:rPr>
          <w:sz w:val="25"/>
          <w:szCs w:val="25"/>
        </w:rPr>
        <w:lastRenderedPageBreak/>
        <w:t xml:space="preserve">conclusion that the Company </w:t>
      </w:r>
      <w:r w:rsidR="00552999">
        <w:rPr>
          <w:sz w:val="25"/>
          <w:szCs w:val="25"/>
        </w:rPr>
        <w:t>“</w:t>
      </w:r>
      <w:r w:rsidR="00C92DBB">
        <w:rPr>
          <w:sz w:val="25"/>
          <w:szCs w:val="25"/>
        </w:rPr>
        <w:t>did not argue</w:t>
      </w:r>
      <w:r w:rsidR="00552999">
        <w:rPr>
          <w:sz w:val="25"/>
          <w:szCs w:val="25"/>
        </w:rPr>
        <w:t>”</w:t>
      </w:r>
      <w:r w:rsidR="00C92DBB">
        <w:rPr>
          <w:sz w:val="25"/>
          <w:szCs w:val="25"/>
        </w:rPr>
        <w:t xml:space="preserve"> that Staff’s and ICNU’s numbers are not representative of the sales the Company would anticipate during the rate year.  We now see that </w:t>
      </w:r>
      <w:r w:rsidR="00031190">
        <w:rPr>
          <w:sz w:val="25"/>
          <w:szCs w:val="25"/>
        </w:rPr>
        <w:t xml:space="preserve">our </w:t>
      </w:r>
      <w:r w:rsidR="00552999">
        <w:rPr>
          <w:sz w:val="25"/>
          <w:szCs w:val="25"/>
        </w:rPr>
        <w:t xml:space="preserve">ruling </w:t>
      </w:r>
      <w:r w:rsidR="00031190">
        <w:rPr>
          <w:sz w:val="25"/>
          <w:szCs w:val="25"/>
        </w:rPr>
        <w:t>wa</w:t>
      </w:r>
      <w:r w:rsidR="00552999">
        <w:rPr>
          <w:sz w:val="25"/>
          <w:szCs w:val="25"/>
        </w:rPr>
        <w:t xml:space="preserve">s not clear and that </w:t>
      </w:r>
      <w:r w:rsidR="00031190">
        <w:rPr>
          <w:sz w:val="25"/>
          <w:szCs w:val="25"/>
        </w:rPr>
        <w:t>it wou</w:t>
      </w:r>
      <w:r w:rsidR="00EF6A93">
        <w:rPr>
          <w:sz w:val="25"/>
          <w:szCs w:val="25"/>
        </w:rPr>
        <w:t xml:space="preserve">ld have </w:t>
      </w:r>
      <w:r w:rsidR="00552999">
        <w:rPr>
          <w:sz w:val="25"/>
          <w:szCs w:val="25"/>
        </w:rPr>
        <w:t xml:space="preserve">been more transparent </w:t>
      </w:r>
      <w:r w:rsidR="00EF6A93">
        <w:rPr>
          <w:sz w:val="25"/>
          <w:szCs w:val="25"/>
        </w:rPr>
        <w:t xml:space="preserve">had we </w:t>
      </w:r>
      <w:r w:rsidR="00C92DBB">
        <w:rPr>
          <w:sz w:val="25"/>
          <w:szCs w:val="25"/>
        </w:rPr>
        <w:t xml:space="preserve">stated that the Company did not </w:t>
      </w:r>
      <w:r w:rsidR="00C92DBB" w:rsidRPr="00EF6A93">
        <w:rPr>
          <w:i/>
          <w:sz w:val="25"/>
          <w:szCs w:val="25"/>
        </w:rPr>
        <w:t>effectively</w:t>
      </w:r>
      <w:r w:rsidR="00C92DBB">
        <w:rPr>
          <w:sz w:val="25"/>
          <w:szCs w:val="25"/>
        </w:rPr>
        <w:t xml:space="preserve"> or </w:t>
      </w:r>
      <w:r w:rsidR="00C92DBB" w:rsidRPr="00EF6A93">
        <w:rPr>
          <w:i/>
          <w:sz w:val="25"/>
          <w:szCs w:val="25"/>
        </w:rPr>
        <w:t>persuasively</w:t>
      </w:r>
      <w:r w:rsidR="00C92DBB">
        <w:rPr>
          <w:sz w:val="25"/>
          <w:szCs w:val="25"/>
        </w:rPr>
        <w:t xml:space="preserve"> argue that the sales were not representative.  Accordingly, we clarify our ruling.  </w:t>
      </w:r>
    </w:p>
    <w:p w:rsidR="00552999" w:rsidRPr="00552999" w:rsidRDefault="00552999" w:rsidP="006F5B55">
      <w:pPr>
        <w:spacing w:line="288" w:lineRule="auto"/>
        <w:ind w:left="-720"/>
        <w:rPr>
          <w:b/>
          <w:sz w:val="25"/>
          <w:szCs w:val="25"/>
        </w:rPr>
      </w:pPr>
    </w:p>
    <w:p w:rsidR="00EF6A93" w:rsidRPr="00EF6A93" w:rsidRDefault="00552999" w:rsidP="006F5B55">
      <w:pPr>
        <w:numPr>
          <w:ilvl w:val="0"/>
          <w:numId w:val="1"/>
        </w:numPr>
        <w:tabs>
          <w:tab w:val="clear" w:pos="720"/>
          <w:tab w:val="num" w:pos="0"/>
        </w:tabs>
        <w:spacing w:line="288" w:lineRule="auto"/>
        <w:ind w:left="0"/>
        <w:rPr>
          <w:b/>
          <w:sz w:val="25"/>
          <w:szCs w:val="25"/>
        </w:rPr>
      </w:pPr>
      <w:r>
        <w:rPr>
          <w:sz w:val="25"/>
          <w:szCs w:val="25"/>
        </w:rPr>
        <w:t>In our ruling w</w:t>
      </w:r>
      <w:r w:rsidR="00C92DBB">
        <w:rPr>
          <w:sz w:val="25"/>
          <w:szCs w:val="25"/>
        </w:rPr>
        <w:t xml:space="preserve">e intentionally did not </w:t>
      </w:r>
      <w:r w:rsidR="0095480F">
        <w:rPr>
          <w:sz w:val="25"/>
          <w:szCs w:val="25"/>
        </w:rPr>
        <w:t xml:space="preserve">consider </w:t>
      </w:r>
      <w:r w:rsidR="00C92DBB">
        <w:rPr>
          <w:sz w:val="25"/>
          <w:szCs w:val="25"/>
        </w:rPr>
        <w:t xml:space="preserve">trading transactions because we believe that Staff </w:t>
      </w:r>
      <w:r w:rsidR="00EF6A93">
        <w:rPr>
          <w:sz w:val="25"/>
          <w:szCs w:val="25"/>
        </w:rPr>
        <w:t>persuasively argued against including such transactions.</w:t>
      </w:r>
      <w:r>
        <w:rPr>
          <w:rStyle w:val="FootnoteReference"/>
          <w:sz w:val="25"/>
          <w:szCs w:val="25"/>
        </w:rPr>
        <w:footnoteReference w:id="75"/>
      </w:r>
      <w:r w:rsidR="00EF6A93">
        <w:rPr>
          <w:sz w:val="25"/>
          <w:szCs w:val="25"/>
        </w:rPr>
        <w:t xml:space="preserve">  Moreover, we believe that ICNU convincingly demonstrated the need to use a four-year average to normalize the effect of aberrant years’ data.  Accordingly, we clarify that PacifiCorp did not persuasively argue that Staff’s and ICNU’s adjustments are not representative of anticipated arbitrage sales for the rate period.</w:t>
      </w:r>
    </w:p>
    <w:p w:rsidR="00EF6A93" w:rsidRPr="00EF6A93" w:rsidRDefault="00EF6A93" w:rsidP="006F5B55">
      <w:pPr>
        <w:spacing w:line="288" w:lineRule="auto"/>
        <w:ind w:left="-720"/>
        <w:rPr>
          <w:b/>
          <w:sz w:val="25"/>
          <w:szCs w:val="25"/>
        </w:rPr>
      </w:pPr>
    </w:p>
    <w:p w:rsidR="000843C5" w:rsidRPr="002532DF" w:rsidRDefault="007543BB" w:rsidP="006F5B55">
      <w:pPr>
        <w:numPr>
          <w:ilvl w:val="0"/>
          <w:numId w:val="1"/>
        </w:numPr>
        <w:tabs>
          <w:tab w:val="clear" w:pos="720"/>
          <w:tab w:val="num" w:pos="0"/>
        </w:tabs>
        <w:spacing w:line="288" w:lineRule="auto"/>
        <w:ind w:left="0"/>
        <w:rPr>
          <w:b/>
          <w:sz w:val="25"/>
          <w:szCs w:val="25"/>
        </w:rPr>
      </w:pPr>
      <w:r w:rsidRPr="007D6473">
        <w:rPr>
          <w:sz w:val="25"/>
          <w:szCs w:val="25"/>
        </w:rPr>
        <w:t>Moreover, w</w:t>
      </w:r>
      <w:r w:rsidR="00925F9D" w:rsidRPr="007D6473">
        <w:rPr>
          <w:sz w:val="25"/>
          <w:szCs w:val="25"/>
        </w:rPr>
        <w:t>hile the Company argues that a lesser arbitrage sales revenue adjustment may be warranted, it did not provide any evidence in support of such an adjustment.  For the foregoing reasons, we d</w:t>
      </w:r>
      <w:r w:rsidR="007D6473" w:rsidRPr="007D6473">
        <w:rPr>
          <w:sz w:val="25"/>
          <w:szCs w:val="25"/>
        </w:rPr>
        <w:t>e</w:t>
      </w:r>
      <w:r w:rsidR="00925F9D" w:rsidRPr="007D6473">
        <w:rPr>
          <w:sz w:val="25"/>
          <w:szCs w:val="25"/>
        </w:rPr>
        <w:t>ny the Company’s Petition regarding this issue.</w:t>
      </w:r>
    </w:p>
    <w:p w:rsidR="005F49D9" w:rsidRPr="002532DF" w:rsidRDefault="002B36A7" w:rsidP="006F5B55">
      <w:pPr>
        <w:pStyle w:val="Heading5"/>
        <w:numPr>
          <w:ilvl w:val="0"/>
          <w:numId w:val="31"/>
        </w:numPr>
        <w:spacing w:line="288" w:lineRule="auto"/>
        <w:ind w:left="1800"/>
        <w:rPr>
          <w:rFonts w:ascii="Times New Roman" w:hAnsi="Times New Roman"/>
          <w:i w:val="0"/>
          <w:sz w:val="25"/>
          <w:szCs w:val="25"/>
        </w:rPr>
      </w:pPr>
      <w:bookmarkStart w:id="15" w:name="_Toc288813733"/>
      <w:r w:rsidRPr="002532DF">
        <w:rPr>
          <w:rFonts w:ascii="Times New Roman" w:hAnsi="Times New Roman"/>
          <w:i w:val="0"/>
          <w:sz w:val="25"/>
          <w:szCs w:val="25"/>
        </w:rPr>
        <w:t>Wind Intra-Hour Integration Cost</w:t>
      </w:r>
      <w:bookmarkEnd w:id="15"/>
    </w:p>
    <w:p w:rsidR="005F49D9" w:rsidRPr="002532DF" w:rsidRDefault="005F49D9" w:rsidP="006F5B55">
      <w:pPr>
        <w:spacing w:line="288" w:lineRule="auto"/>
        <w:ind w:left="1080"/>
        <w:rPr>
          <w:sz w:val="25"/>
          <w:szCs w:val="25"/>
        </w:rPr>
      </w:pPr>
    </w:p>
    <w:p w:rsidR="00FB5792" w:rsidRPr="002532DF" w:rsidRDefault="00104CEF" w:rsidP="006F5B55">
      <w:pPr>
        <w:numPr>
          <w:ilvl w:val="0"/>
          <w:numId w:val="1"/>
        </w:numPr>
        <w:tabs>
          <w:tab w:val="clear" w:pos="720"/>
          <w:tab w:val="num" w:pos="0"/>
        </w:tabs>
        <w:spacing w:line="288" w:lineRule="auto"/>
        <w:ind w:left="0"/>
        <w:rPr>
          <w:sz w:val="25"/>
          <w:szCs w:val="25"/>
        </w:rPr>
      </w:pPr>
      <w:r>
        <w:rPr>
          <w:sz w:val="25"/>
          <w:szCs w:val="25"/>
        </w:rPr>
        <w:t>In our Final Order, we accepted Staff’s and ICNU’s proposal to remove the intra-hour wind integration costs for non-owned facilities</w:t>
      </w:r>
      <w:r w:rsidR="009A48BF">
        <w:rPr>
          <w:sz w:val="25"/>
          <w:szCs w:val="25"/>
        </w:rPr>
        <w:t xml:space="preserve"> for two reasons.  First, we determined </w:t>
      </w:r>
      <w:r w:rsidR="00A46D8F">
        <w:rPr>
          <w:sz w:val="25"/>
          <w:szCs w:val="25"/>
        </w:rPr>
        <w:t>that the Company failed to meet its burden of proof that the costs are known and measurable</w:t>
      </w:r>
      <w:r>
        <w:rPr>
          <w:sz w:val="25"/>
          <w:szCs w:val="25"/>
        </w:rPr>
        <w:t>.</w:t>
      </w:r>
      <w:r>
        <w:rPr>
          <w:rStyle w:val="FootnoteReference"/>
          <w:sz w:val="25"/>
          <w:szCs w:val="25"/>
        </w:rPr>
        <w:footnoteReference w:id="76"/>
      </w:r>
      <w:r w:rsidR="00A46D8F">
        <w:rPr>
          <w:sz w:val="25"/>
          <w:szCs w:val="25"/>
        </w:rPr>
        <w:t xml:space="preserve">  </w:t>
      </w:r>
      <w:r w:rsidR="009A48BF">
        <w:rPr>
          <w:sz w:val="25"/>
          <w:szCs w:val="25"/>
        </w:rPr>
        <w:t>Second, we determined that the Supremacy Clause of the United States Constitution does not require that we pass through these costs.</w:t>
      </w:r>
      <w:r w:rsidR="009A48BF">
        <w:rPr>
          <w:rStyle w:val="FootnoteReference"/>
          <w:sz w:val="25"/>
          <w:szCs w:val="25"/>
        </w:rPr>
        <w:footnoteReference w:id="77"/>
      </w:r>
      <w:r w:rsidR="009A48BF">
        <w:rPr>
          <w:sz w:val="25"/>
          <w:szCs w:val="25"/>
        </w:rPr>
        <w:t xml:space="preserve">  </w:t>
      </w:r>
      <w:r w:rsidR="00A46D8F">
        <w:rPr>
          <w:sz w:val="25"/>
          <w:szCs w:val="25"/>
        </w:rPr>
        <w:t xml:space="preserve">Rejecting these costs reduced net power </w:t>
      </w:r>
      <w:r w:rsidR="00536E13">
        <w:rPr>
          <w:sz w:val="25"/>
          <w:szCs w:val="25"/>
        </w:rPr>
        <w:t xml:space="preserve">cost </w:t>
      </w:r>
      <w:r w:rsidR="00A46D8F">
        <w:rPr>
          <w:sz w:val="25"/>
          <w:szCs w:val="25"/>
        </w:rPr>
        <w:t>expense by $518,692.</w:t>
      </w:r>
      <w:r w:rsidR="00A46D8F">
        <w:rPr>
          <w:rStyle w:val="FootnoteReference"/>
          <w:sz w:val="25"/>
          <w:szCs w:val="25"/>
        </w:rPr>
        <w:footnoteReference w:id="78"/>
      </w:r>
    </w:p>
    <w:p w:rsidR="00E518FA" w:rsidRPr="002532DF" w:rsidRDefault="00E518FA" w:rsidP="006F5B55">
      <w:pPr>
        <w:spacing w:line="288" w:lineRule="auto"/>
        <w:ind w:left="-720"/>
        <w:rPr>
          <w:sz w:val="25"/>
          <w:szCs w:val="25"/>
        </w:rPr>
      </w:pPr>
    </w:p>
    <w:p w:rsidR="002416FD" w:rsidRPr="007543BB" w:rsidRDefault="0095480F" w:rsidP="006F5B55">
      <w:pPr>
        <w:numPr>
          <w:ilvl w:val="0"/>
          <w:numId w:val="1"/>
        </w:numPr>
        <w:tabs>
          <w:tab w:val="clear" w:pos="720"/>
          <w:tab w:val="num" w:pos="0"/>
        </w:tabs>
        <w:spacing w:line="288" w:lineRule="auto"/>
        <w:ind w:left="0"/>
        <w:rPr>
          <w:b/>
          <w:sz w:val="25"/>
          <w:szCs w:val="25"/>
        </w:rPr>
      </w:pPr>
      <w:r>
        <w:rPr>
          <w:sz w:val="25"/>
          <w:szCs w:val="25"/>
        </w:rPr>
        <w:t>In its Petition, PacifiCorp argues that we err</w:t>
      </w:r>
      <w:r w:rsidR="009A48BF">
        <w:rPr>
          <w:sz w:val="25"/>
          <w:szCs w:val="25"/>
        </w:rPr>
        <w:t>ed in both conclusions</w:t>
      </w:r>
      <w:r w:rsidR="00B63949">
        <w:rPr>
          <w:sz w:val="25"/>
          <w:szCs w:val="25"/>
        </w:rPr>
        <w:t>.</w:t>
      </w:r>
      <w:r w:rsidR="002416FD">
        <w:rPr>
          <w:sz w:val="25"/>
          <w:szCs w:val="25"/>
        </w:rPr>
        <w:t xml:space="preserve">  </w:t>
      </w:r>
      <w:r w:rsidR="009A48BF">
        <w:rPr>
          <w:sz w:val="25"/>
          <w:szCs w:val="25"/>
        </w:rPr>
        <w:t>The Company argued further that s</w:t>
      </w:r>
      <w:r w:rsidR="002416FD">
        <w:rPr>
          <w:sz w:val="25"/>
          <w:szCs w:val="25"/>
        </w:rPr>
        <w:t xml:space="preserve">hould the Commission reject this request, the Company requests </w:t>
      </w:r>
      <w:r w:rsidR="002416FD">
        <w:rPr>
          <w:sz w:val="25"/>
          <w:szCs w:val="25"/>
        </w:rPr>
        <w:lastRenderedPageBreak/>
        <w:t>the Commission to recalculate the impact of rejecting these costs because they are overstated by approximately $46,418.</w:t>
      </w:r>
      <w:r w:rsidR="00E37F4C">
        <w:rPr>
          <w:rStyle w:val="FootnoteReference"/>
          <w:sz w:val="25"/>
          <w:szCs w:val="25"/>
        </w:rPr>
        <w:footnoteReference w:id="79"/>
      </w:r>
    </w:p>
    <w:p w:rsidR="007543BB" w:rsidRDefault="007543BB" w:rsidP="007543BB">
      <w:pPr>
        <w:pStyle w:val="ListParagraph"/>
        <w:rPr>
          <w:b/>
          <w:sz w:val="25"/>
          <w:szCs w:val="25"/>
        </w:rPr>
      </w:pPr>
    </w:p>
    <w:p w:rsidR="008D73E1" w:rsidRPr="007543BB" w:rsidRDefault="007543BB" w:rsidP="006F5B55">
      <w:pPr>
        <w:numPr>
          <w:ilvl w:val="0"/>
          <w:numId w:val="1"/>
        </w:numPr>
        <w:tabs>
          <w:tab w:val="clear" w:pos="720"/>
          <w:tab w:val="num" w:pos="0"/>
        </w:tabs>
        <w:spacing w:line="288" w:lineRule="auto"/>
        <w:ind w:left="0"/>
        <w:rPr>
          <w:b/>
          <w:sz w:val="25"/>
          <w:szCs w:val="25"/>
        </w:rPr>
      </w:pPr>
      <w:r>
        <w:rPr>
          <w:sz w:val="25"/>
          <w:szCs w:val="25"/>
        </w:rPr>
        <w:t>However, a</w:t>
      </w:r>
      <w:r w:rsidR="005B6484" w:rsidRPr="007543BB">
        <w:rPr>
          <w:sz w:val="25"/>
          <w:szCs w:val="25"/>
        </w:rPr>
        <w:t>s we no</w:t>
      </w:r>
      <w:r>
        <w:rPr>
          <w:sz w:val="25"/>
          <w:szCs w:val="25"/>
        </w:rPr>
        <w:t>t</w:t>
      </w:r>
      <w:r w:rsidR="005B6484" w:rsidRPr="007543BB">
        <w:rPr>
          <w:sz w:val="25"/>
          <w:szCs w:val="25"/>
        </w:rPr>
        <w:t>ed in our</w:t>
      </w:r>
      <w:r w:rsidR="000B20B6" w:rsidRPr="000B20B6">
        <w:rPr>
          <w:b/>
          <w:sz w:val="25"/>
          <w:szCs w:val="25"/>
        </w:rPr>
        <w:t xml:space="preserve"> </w:t>
      </w:r>
      <w:r w:rsidR="005B6484" w:rsidRPr="007543BB">
        <w:rPr>
          <w:sz w:val="25"/>
          <w:szCs w:val="25"/>
        </w:rPr>
        <w:t>Order, we accepted Staff’s and ICNU’s proposal to remove these costs for non-owned facilities concluding that “[A]ll costs for which a utility seeks recovery must be known and measurable.”</w:t>
      </w:r>
      <w:r w:rsidR="005B6484" w:rsidRPr="007543BB">
        <w:rPr>
          <w:rStyle w:val="FootnoteReference"/>
          <w:sz w:val="25"/>
          <w:szCs w:val="25"/>
        </w:rPr>
        <w:footnoteReference w:id="80"/>
      </w:r>
      <w:r w:rsidR="005B6484" w:rsidRPr="007543BB">
        <w:rPr>
          <w:sz w:val="25"/>
          <w:szCs w:val="25"/>
        </w:rPr>
        <w:t xml:space="preserve">  </w:t>
      </w:r>
      <w:r w:rsidR="008D73E1" w:rsidRPr="007543BB">
        <w:rPr>
          <w:sz w:val="25"/>
          <w:szCs w:val="25"/>
        </w:rPr>
        <w:t>We conc</w:t>
      </w:r>
      <w:r w:rsidR="008D73E1">
        <w:rPr>
          <w:sz w:val="25"/>
          <w:szCs w:val="25"/>
        </w:rPr>
        <w:t>l</w:t>
      </w:r>
      <w:r w:rsidR="008D73E1" w:rsidRPr="007543BB">
        <w:rPr>
          <w:sz w:val="25"/>
          <w:szCs w:val="25"/>
        </w:rPr>
        <w:t>uded that PacifiCorp failed to satisfy that burden.</w:t>
      </w:r>
    </w:p>
    <w:p w:rsidR="008D73E1" w:rsidRPr="007543BB" w:rsidRDefault="008D73E1" w:rsidP="006F5B55">
      <w:pPr>
        <w:spacing w:line="288" w:lineRule="auto"/>
        <w:ind w:left="-720"/>
        <w:rPr>
          <w:b/>
          <w:sz w:val="25"/>
          <w:szCs w:val="25"/>
        </w:rPr>
      </w:pPr>
    </w:p>
    <w:p w:rsidR="005B6484" w:rsidRPr="00C12A61" w:rsidRDefault="008D73E1" w:rsidP="006F5B55">
      <w:pPr>
        <w:numPr>
          <w:ilvl w:val="0"/>
          <w:numId w:val="1"/>
        </w:numPr>
        <w:tabs>
          <w:tab w:val="clear" w:pos="720"/>
          <w:tab w:val="num" w:pos="0"/>
        </w:tabs>
        <w:spacing w:line="288" w:lineRule="auto"/>
        <w:ind w:left="0"/>
        <w:rPr>
          <w:b/>
          <w:sz w:val="25"/>
          <w:szCs w:val="25"/>
        </w:rPr>
      </w:pPr>
      <w:r w:rsidRPr="007543BB">
        <w:rPr>
          <w:sz w:val="25"/>
          <w:szCs w:val="25"/>
        </w:rPr>
        <w:t>T</w:t>
      </w:r>
      <w:r w:rsidR="005B6484" w:rsidRPr="007543BB">
        <w:rPr>
          <w:sz w:val="25"/>
          <w:szCs w:val="25"/>
        </w:rPr>
        <w:t>he</w:t>
      </w:r>
      <w:r w:rsidRPr="007543BB">
        <w:rPr>
          <w:sz w:val="25"/>
          <w:szCs w:val="25"/>
        </w:rPr>
        <w:t xml:space="preserve"> reco</w:t>
      </w:r>
      <w:r w:rsidR="000B20B6" w:rsidRPr="007D6473">
        <w:rPr>
          <w:sz w:val="25"/>
          <w:szCs w:val="25"/>
        </w:rPr>
        <w:t>r</w:t>
      </w:r>
      <w:r>
        <w:rPr>
          <w:sz w:val="25"/>
          <w:szCs w:val="25"/>
        </w:rPr>
        <w:t>d on this issue is clear.  Staff recommended that we remove all wind integration costs because the Company’s costs failed to pass the known and measurable standard.</w:t>
      </w:r>
      <w:r>
        <w:rPr>
          <w:rStyle w:val="FootnoteReference"/>
          <w:sz w:val="25"/>
          <w:szCs w:val="25"/>
        </w:rPr>
        <w:footnoteReference w:id="81"/>
      </w:r>
      <w:r w:rsidR="005B6484">
        <w:rPr>
          <w:sz w:val="25"/>
          <w:szCs w:val="25"/>
        </w:rPr>
        <w:t xml:space="preserve"> </w:t>
      </w:r>
      <w:r w:rsidR="00786425">
        <w:rPr>
          <w:sz w:val="25"/>
          <w:szCs w:val="25"/>
        </w:rPr>
        <w:t xml:space="preserve"> </w:t>
      </w:r>
      <w:r>
        <w:rPr>
          <w:sz w:val="25"/>
          <w:szCs w:val="25"/>
        </w:rPr>
        <w:t>Specifically, Staff questioned the reliability of the Company’s data showing the cost increase since the last rate case.</w:t>
      </w:r>
      <w:r>
        <w:rPr>
          <w:rStyle w:val="FootnoteReference"/>
          <w:sz w:val="25"/>
          <w:szCs w:val="25"/>
        </w:rPr>
        <w:footnoteReference w:id="82"/>
      </w:r>
      <w:r>
        <w:rPr>
          <w:sz w:val="25"/>
          <w:szCs w:val="25"/>
        </w:rPr>
        <w:t xml:space="preserve">  </w:t>
      </w:r>
      <w:r w:rsidR="002912B1">
        <w:rPr>
          <w:sz w:val="25"/>
          <w:szCs w:val="25"/>
        </w:rPr>
        <w:t xml:space="preserve">Staff was reasonable to question the reliability of the data because the cost increase </w:t>
      </w:r>
      <w:r w:rsidR="00E258A8">
        <w:rPr>
          <w:sz w:val="25"/>
          <w:szCs w:val="25"/>
        </w:rPr>
        <w:t xml:space="preserve">was </w:t>
      </w:r>
      <w:r w:rsidR="002912B1">
        <w:rPr>
          <w:sz w:val="25"/>
          <w:szCs w:val="25"/>
        </w:rPr>
        <w:t>significant.  The Company asserts that its costs for wind integration increased from $1.15 per megawatt hour (MWh) to $6.97 per MWh – a six-fold increase in just one year.</w:t>
      </w:r>
      <w:r w:rsidR="002912B1">
        <w:rPr>
          <w:rStyle w:val="FootnoteReference"/>
          <w:sz w:val="25"/>
          <w:szCs w:val="25"/>
        </w:rPr>
        <w:footnoteReference w:id="83"/>
      </w:r>
      <w:r w:rsidR="002B0753">
        <w:rPr>
          <w:sz w:val="25"/>
          <w:szCs w:val="25"/>
        </w:rPr>
        <w:t xml:space="preserve">  </w:t>
      </w:r>
      <w:r w:rsidR="00C12A61">
        <w:rPr>
          <w:sz w:val="25"/>
          <w:szCs w:val="25"/>
        </w:rPr>
        <w:t>I</w:t>
      </w:r>
      <w:r w:rsidR="002B0753">
        <w:rPr>
          <w:sz w:val="25"/>
          <w:szCs w:val="25"/>
        </w:rPr>
        <w:t>f updated, the cost would reflect a</w:t>
      </w:r>
      <w:r w:rsidR="00C12A61">
        <w:rPr>
          <w:sz w:val="25"/>
          <w:szCs w:val="25"/>
        </w:rPr>
        <w:t>n</w:t>
      </w:r>
      <w:r w:rsidR="002B0753">
        <w:rPr>
          <w:sz w:val="25"/>
          <w:szCs w:val="25"/>
        </w:rPr>
        <w:t xml:space="preserve"> even greater increase</w:t>
      </w:r>
      <w:r w:rsidR="00C12A61">
        <w:rPr>
          <w:sz w:val="25"/>
          <w:szCs w:val="25"/>
        </w:rPr>
        <w:t>, $9.01 MWh</w:t>
      </w:r>
      <w:r w:rsidR="002B0753">
        <w:rPr>
          <w:sz w:val="25"/>
          <w:szCs w:val="25"/>
        </w:rPr>
        <w:t>.</w:t>
      </w:r>
      <w:r w:rsidR="00C12A61">
        <w:rPr>
          <w:rStyle w:val="FootnoteReference"/>
          <w:sz w:val="25"/>
          <w:szCs w:val="25"/>
        </w:rPr>
        <w:footnoteReference w:id="84"/>
      </w:r>
    </w:p>
    <w:p w:rsidR="00C12A61" w:rsidRPr="00C12A61" w:rsidRDefault="00C12A61" w:rsidP="006F5B55">
      <w:pPr>
        <w:spacing w:line="288" w:lineRule="auto"/>
        <w:ind w:left="-720"/>
        <w:rPr>
          <w:b/>
          <w:sz w:val="25"/>
          <w:szCs w:val="25"/>
        </w:rPr>
      </w:pPr>
    </w:p>
    <w:p w:rsidR="00F968C7" w:rsidRPr="00F968C7" w:rsidRDefault="00236060" w:rsidP="006F5B55">
      <w:pPr>
        <w:numPr>
          <w:ilvl w:val="0"/>
          <w:numId w:val="1"/>
        </w:numPr>
        <w:tabs>
          <w:tab w:val="clear" w:pos="720"/>
          <w:tab w:val="num" w:pos="0"/>
        </w:tabs>
        <w:spacing w:line="288" w:lineRule="auto"/>
        <w:ind w:left="0"/>
        <w:rPr>
          <w:b/>
          <w:sz w:val="25"/>
          <w:szCs w:val="25"/>
        </w:rPr>
      </w:pPr>
      <w:r>
        <w:rPr>
          <w:sz w:val="25"/>
          <w:szCs w:val="25"/>
        </w:rPr>
        <w:t>Moreover, a</w:t>
      </w:r>
      <w:r w:rsidR="00C12A61">
        <w:rPr>
          <w:sz w:val="25"/>
          <w:szCs w:val="25"/>
        </w:rPr>
        <w:t>lthough the Company filed for rate relief in May 2010, Staff noted that the study updating these costs was anticipated in August 2010, but not actually completed until September 2010.</w:t>
      </w:r>
      <w:r w:rsidR="00C12A61">
        <w:rPr>
          <w:rStyle w:val="FootnoteReference"/>
          <w:sz w:val="25"/>
          <w:szCs w:val="25"/>
        </w:rPr>
        <w:footnoteReference w:id="85"/>
      </w:r>
      <w:r w:rsidR="00C12A61">
        <w:rPr>
          <w:sz w:val="25"/>
          <w:szCs w:val="25"/>
        </w:rPr>
        <w:t xml:space="preserve">  Staff and Intervenor testimony was due in October.  Staff contended that it did not have the opportunity to review and analyze the updated study because it was filed late, shortly before Staff’s testimony was due, and because of its complexity and numerous revisions.</w:t>
      </w:r>
      <w:r w:rsidR="00C12A61">
        <w:rPr>
          <w:rStyle w:val="FootnoteReference"/>
          <w:sz w:val="25"/>
          <w:szCs w:val="25"/>
        </w:rPr>
        <w:footnoteReference w:id="86"/>
      </w:r>
      <w:r w:rsidR="00C12A61">
        <w:rPr>
          <w:sz w:val="25"/>
          <w:szCs w:val="25"/>
        </w:rPr>
        <w:t xml:space="preserve">  </w:t>
      </w:r>
      <w:r>
        <w:rPr>
          <w:sz w:val="25"/>
          <w:szCs w:val="25"/>
        </w:rPr>
        <w:t>W</w:t>
      </w:r>
      <w:r w:rsidR="00C12A61">
        <w:rPr>
          <w:sz w:val="25"/>
          <w:szCs w:val="25"/>
        </w:rPr>
        <w:t xml:space="preserve">e concluded that </w:t>
      </w:r>
      <w:r w:rsidR="00C12A61">
        <w:rPr>
          <w:sz w:val="25"/>
          <w:szCs w:val="25"/>
        </w:rPr>
        <w:lastRenderedPageBreak/>
        <w:t>PacifiCorp failed to satisfy its burden to demonstrate that these costs are known and measurable</w:t>
      </w:r>
      <w:r w:rsidR="00F968C7">
        <w:rPr>
          <w:sz w:val="25"/>
          <w:szCs w:val="25"/>
        </w:rPr>
        <w:t>.</w:t>
      </w:r>
    </w:p>
    <w:p w:rsidR="006B331A" w:rsidRDefault="006B331A">
      <w:pPr>
        <w:pStyle w:val="ListParagraph"/>
        <w:rPr>
          <w:sz w:val="25"/>
          <w:szCs w:val="25"/>
        </w:rPr>
      </w:pPr>
    </w:p>
    <w:p w:rsidR="00C12A61" w:rsidRPr="000A3774" w:rsidRDefault="00F968C7" w:rsidP="006F5B55">
      <w:pPr>
        <w:numPr>
          <w:ilvl w:val="0"/>
          <w:numId w:val="1"/>
        </w:numPr>
        <w:tabs>
          <w:tab w:val="clear" w:pos="720"/>
          <w:tab w:val="num" w:pos="0"/>
        </w:tabs>
        <w:spacing w:line="288" w:lineRule="auto"/>
        <w:ind w:left="0"/>
        <w:rPr>
          <w:b/>
          <w:sz w:val="25"/>
          <w:szCs w:val="25"/>
        </w:rPr>
      </w:pPr>
      <w:r>
        <w:rPr>
          <w:sz w:val="25"/>
          <w:szCs w:val="25"/>
        </w:rPr>
        <w:t>We further</w:t>
      </w:r>
      <w:r w:rsidR="00C12A61">
        <w:rPr>
          <w:sz w:val="25"/>
          <w:szCs w:val="25"/>
        </w:rPr>
        <w:t xml:space="preserve"> concluded that the Company could not “evade its evidentiary burden by claiming that the costs are associate</w:t>
      </w:r>
      <w:r w:rsidR="00A54DC8">
        <w:rPr>
          <w:sz w:val="25"/>
          <w:szCs w:val="25"/>
        </w:rPr>
        <w:t>d with a FERC tariff.  A utility cannot use a federal tariff to justify its failure to quantify the costs for which it seeks recovery in a state proceeding.”</w:t>
      </w:r>
      <w:r w:rsidR="00A54DC8">
        <w:rPr>
          <w:rStyle w:val="FootnoteReference"/>
          <w:sz w:val="25"/>
          <w:szCs w:val="25"/>
        </w:rPr>
        <w:footnoteReference w:id="87"/>
      </w:r>
    </w:p>
    <w:p w:rsidR="000A3774" w:rsidRPr="000A3774" w:rsidRDefault="000A3774" w:rsidP="006F5B55">
      <w:pPr>
        <w:spacing w:line="288" w:lineRule="auto"/>
        <w:ind w:left="-720"/>
        <w:rPr>
          <w:b/>
          <w:sz w:val="25"/>
          <w:szCs w:val="25"/>
        </w:rPr>
      </w:pPr>
    </w:p>
    <w:p w:rsidR="005E1F4A" w:rsidRPr="005E1F4A" w:rsidRDefault="00F968C7" w:rsidP="006F5B55">
      <w:pPr>
        <w:numPr>
          <w:ilvl w:val="0"/>
          <w:numId w:val="1"/>
        </w:numPr>
        <w:tabs>
          <w:tab w:val="clear" w:pos="720"/>
          <w:tab w:val="num" w:pos="0"/>
        </w:tabs>
        <w:spacing w:line="288" w:lineRule="auto"/>
        <w:ind w:left="0"/>
        <w:rPr>
          <w:b/>
          <w:sz w:val="25"/>
          <w:szCs w:val="25"/>
        </w:rPr>
      </w:pPr>
      <w:r>
        <w:rPr>
          <w:sz w:val="25"/>
          <w:szCs w:val="25"/>
        </w:rPr>
        <w:t>In its Supremac</w:t>
      </w:r>
      <w:r w:rsidR="004E23EB">
        <w:rPr>
          <w:sz w:val="25"/>
          <w:szCs w:val="25"/>
        </w:rPr>
        <w:t>y</w:t>
      </w:r>
      <w:r>
        <w:rPr>
          <w:sz w:val="25"/>
          <w:szCs w:val="25"/>
        </w:rPr>
        <w:t xml:space="preserve"> Clause argument, t</w:t>
      </w:r>
      <w:r w:rsidR="000A3774">
        <w:rPr>
          <w:sz w:val="25"/>
          <w:szCs w:val="25"/>
        </w:rPr>
        <w:t>he Company makes the blanket statement that “[</w:t>
      </w:r>
      <w:r w:rsidR="007C3065">
        <w:rPr>
          <w:sz w:val="25"/>
          <w:szCs w:val="25"/>
        </w:rPr>
        <w:t>t</w:t>
      </w:r>
      <w:r w:rsidR="000A3774">
        <w:rPr>
          <w:sz w:val="25"/>
          <w:szCs w:val="25"/>
        </w:rPr>
        <w:t xml:space="preserve">]he Commission is preempted from disallowing wind integration costs associated with non-owned </w:t>
      </w:r>
      <w:r w:rsidR="001A68DD">
        <w:rPr>
          <w:sz w:val="25"/>
          <w:szCs w:val="25"/>
        </w:rPr>
        <w:t>facilities</w:t>
      </w:r>
      <w:r w:rsidR="000A3774">
        <w:rPr>
          <w:sz w:val="25"/>
          <w:szCs w:val="25"/>
        </w:rPr>
        <w:t>.”</w:t>
      </w:r>
      <w:r w:rsidR="000A3774">
        <w:rPr>
          <w:rStyle w:val="FootnoteReference"/>
          <w:sz w:val="25"/>
          <w:szCs w:val="25"/>
        </w:rPr>
        <w:footnoteReference w:id="88"/>
      </w:r>
      <w:r w:rsidR="000A3774">
        <w:rPr>
          <w:sz w:val="25"/>
          <w:szCs w:val="25"/>
        </w:rPr>
        <w:t xml:space="preserve">  This argument</w:t>
      </w:r>
      <w:r>
        <w:rPr>
          <w:sz w:val="25"/>
          <w:szCs w:val="25"/>
        </w:rPr>
        <w:t xml:space="preserve"> fails for at least two reasons.  First, </w:t>
      </w:r>
      <w:r w:rsidR="000A3774">
        <w:rPr>
          <w:sz w:val="25"/>
          <w:szCs w:val="25"/>
        </w:rPr>
        <w:t xml:space="preserve">taken to its logical extreme, </w:t>
      </w:r>
      <w:r>
        <w:rPr>
          <w:sz w:val="25"/>
          <w:szCs w:val="25"/>
        </w:rPr>
        <w:t xml:space="preserve">it </w:t>
      </w:r>
      <w:r w:rsidR="000A3774">
        <w:rPr>
          <w:sz w:val="25"/>
          <w:szCs w:val="25"/>
        </w:rPr>
        <w:t xml:space="preserve">would mean that we must allow recovery of these costs even if the utility does not present sufficient evidence supporting these costs and </w:t>
      </w:r>
      <w:r w:rsidR="00786425">
        <w:rPr>
          <w:sz w:val="25"/>
          <w:szCs w:val="25"/>
        </w:rPr>
        <w:t xml:space="preserve">even </w:t>
      </w:r>
      <w:r w:rsidR="00236060">
        <w:rPr>
          <w:sz w:val="25"/>
          <w:szCs w:val="25"/>
        </w:rPr>
        <w:t xml:space="preserve">if </w:t>
      </w:r>
      <w:r w:rsidR="000A3774">
        <w:rPr>
          <w:sz w:val="25"/>
          <w:szCs w:val="25"/>
        </w:rPr>
        <w:t xml:space="preserve">these costs are not known and measurable. </w:t>
      </w:r>
      <w:r w:rsidR="00786425">
        <w:rPr>
          <w:sz w:val="25"/>
          <w:szCs w:val="25"/>
        </w:rPr>
        <w:t xml:space="preserve"> </w:t>
      </w:r>
      <w:r w:rsidR="00236060">
        <w:rPr>
          <w:sz w:val="25"/>
          <w:szCs w:val="25"/>
        </w:rPr>
        <w:t xml:space="preserve">This is an absurd conclusion.  </w:t>
      </w:r>
      <w:r w:rsidR="007C398C">
        <w:rPr>
          <w:sz w:val="25"/>
          <w:szCs w:val="25"/>
        </w:rPr>
        <w:t xml:space="preserve">In any event, the Company does not demonstrate </w:t>
      </w:r>
      <w:r w:rsidR="000A3774">
        <w:rPr>
          <w:sz w:val="25"/>
          <w:szCs w:val="25"/>
        </w:rPr>
        <w:t xml:space="preserve">that </w:t>
      </w:r>
      <w:r w:rsidR="007C398C">
        <w:rPr>
          <w:sz w:val="25"/>
          <w:szCs w:val="25"/>
        </w:rPr>
        <w:t xml:space="preserve">there is federal intent to supplant all evidentiary and regulatory standards regarding costs submitted for </w:t>
      </w:r>
      <w:r w:rsidR="00786425">
        <w:rPr>
          <w:sz w:val="25"/>
          <w:szCs w:val="25"/>
        </w:rPr>
        <w:t xml:space="preserve">state commission </w:t>
      </w:r>
      <w:r w:rsidR="007C398C">
        <w:rPr>
          <w:sz w:val="25"/>
          <w:szCs w:val="25"/>
        </w:rPr>
        <w:t>approval.  Accordingly, we will continue to require substantial evidence in the record to support a request for cost recovery and will continue to require a demonstration that costs are known and measurable.</w:t>
      </w:r>
    </w:p>
    <w:p w:rsidR="000A3774" w:rsidRPr="007C398C" w:rsidRDefault="000A3774" w:rsidP="006F5B55">
      <w:pPr>
        <w:spacing w:line="288" w:lineRule="auto"/>
        <w:ind w:left="-720"/>
        <w:rPr>
          <w:b/>
          <w:sz w:val="25"/>
          <w:szCs w:val="25"/>
        </w:rPr>
      </w:pPr>
    </w:p>
    <w:p w:rsidR="006B017B" w:rsidRPr="00786425" w:rsidRDefault="007C398C" w:rsidP="006F5B55">
      <w:pPr>
        <w:numPr>
          <w:ilvl w:val="0"/>
          <w:numId w:val="1"/>
        </w:numPr>
        <w:tabs>
          <w:tab w:val="clear" w:pos="720"/>
          <w:tab w:val="num" w:pos="0"/>
        </w:tabs>
        <w:spacing w:line="288" w:lineRule="auto"/>
        <w:ind w:left="0"/>
        <w:rPr>
          <w:b/>
          <w:sz w:val="25"/>
          <w:szCs w:val="25"/>
        </w:rPr>
      </w:pPr>
      <w:r w:rsidRPr="00786425">
        <w:rPr>
          <w:sz w:val="25"/>
          <w:szCs w:val="25"/>
        </w:rPr>
        <w:t xml:space="preserve">Second, </w:t>
      </w:r>
      <w:r w:rsidR="005E1F4A" w:rsidRPr="00786425">
        <w:rPr>
          <w:sz w:val="25"/>
          <w:szCs w:val="25"/>
        </w:rPr>
        <w:t>as Staff aptly points out in its Answer, the cases cited by PacifiCorp in its Petition do not support its contention that we are preempted from excluding these costs.</w:t>
      </w:r>
      <w:r w:rsidR="005E1F4A">
        <w:rPr>
          <w:rStyle w:val="FootnoteReference"/>
          <w:sz w:val="25"/>
          <w:szCs w:val="25"/>
        </w:rPr>
        <w:footnoteReference w:id="89"/>
      </w:r>
      <w:r w:rsidR="005E1F4A" w:rsidRPr="00786425">
        <w:rPr>
          <w:sz w:val="25"/>
          <w:szCs w:val="25"/>
        </w:rPr>
        <w:t xml:space="preserve">  We establish rates for </w:t>
      </w:r>
      <w:r w:rsidR="005E1F4A" w:rsidRPr="00786425">
        <w:rPr>
          <w:i/>
          <w:sz w:val="25"/>
          <w:szCs w:val="25"/>
        </w:rPr>
        <w:t xml:space="preserve">intrastate </w:t>
      </w:r>
      <w:r w:rsidR="005E1F4A" w:rsidRPr="00786425">
        <w:rPr>
          <w:sz w:val="25"/>
          <w:szCs w:val="25"/>
        </w:rPr>
        <w:t>electric service provided to Washington ratepayers.  The cases cited by the Company involve the provision of intrastate services using resources governed by FERC.</w:t>
      </w:r>
      <w:r w:rsidR="005E1F4A">
        <w:rPr>
          <w:rStyle w:val="FootnoteReference"/>
          <w:sz w:val="25"/>
          <w:szCs w:val="25"/>
        </w:rPr>
        <w:footnoteReference w:id="90"/>
      </w:r>
      <w:r w:rsidR="005E1F4A" w:rsidRPr="00786425">
        <w:rPr>
          <w:sz w:val="25"/>
          <w:szCs w:val="25"/>
        </w:rPr>
        <w:t xml:space="preserve"> </w:t>
      </w:r>
      <w:r w:rsidR="00786425" w:rsidRPr="00786425">
        <w:rPr>
          <w:sz w:val="25"/>
          <w:szCs w:val="25"/>
        </w:rPr>
        <w:t xml:space="preserve"> </w:t>
      </w:r>
      <w:r w:rsidR="005E1F4A" w:rsidRPr="00786425">
        <w:rPr>
          <w:sz w:val="25"/>
          <w:szCs w:val="25"/>
        </w:rPr>
        <w:t xml:space="preserve">These cases are distinguishable from the current circumstance because PacifiCorp is not using these resources to provide </w:t>
      </w:r>
      <w:r w:rsidR="00666AC0">
        <w:rPr>
          <w:sz w:val="25"/>
          <w:szCs w:val="25"/>
        </w:rPr>
        <w:lastRenderedPageBreak/>
        <w:t xml:space="preserve">intrastate </w:t>
      </w:r>
      <w:r w:rsidR="005E1F4A" w:rsidRPr="00786425">
        <w:rPr>
          <w:sz w:val="25"/>
          <w:szCs w:val="25"/>
        </w:rPr>
        <w:t>service to Washington retail customers.</w:t>
      </w:r>
      <w:r w:rsidR="005645B7">
        <w:rPr>
          <w:rStyle w:val="FootnoteReference"/>
          <w:sz w:val="25"/>
          <w:szCs w:val="25"/>
        </w:rPr>
        <w:footnoteReference w:id="91"/>
      </w:r>
      <w:r w:rsidR="005E1F4A" w:rsidRPr="00786425">
        <w:rPr>
          <w:sz w:val="25"/>
          <w:szCs w:val="25"/>
        </w:rPr>
        <w:t xml:space="preserve">  </w:t>
      </w:r>
      <w:r w:rsidR="00236060" w:rsidRPr="00786425">
        <w:rPr>
          <w:sz w:val="25"/>
          <w:szCs w:val="25"/>
        </w:rPr>
        <w:t xml:space="preserve">And we </w:t>
      </w:r>
      <w:r w:rsidR="005D3CE0" w:rsidRPr="00786425">
        <w:rPr>
          <w:sz w:val="25"/>
          <w:szCs w:val="25"/>
        </w:rPr>
        <w:t>note</w:t>
      </w:r>
      <w:r w:rsidR="005D3CE0">
        <w:rPr>
          <w:sz w:val="25"/>
          <w:szCs w:val="25"/>
        </w:rPr>
        <w:t xml:space="preserve"> that, </w:t>
      </w:r>
      <w:r w:rsidR="00E65D40" w:rsidRPr="00786425">
        <w:rPr>
          <w:sz w:val="25"/>
          <w:szCs w:val="25"/>
        </w:rPr>
        <w:t>if it were, we would apply the applicable regulatory and evidentiary standards.</w:t>
      </w:r>
      <w:r w:rsidR="00786425" w:rsidRPr="00786425">
        <w:rPr>
          <w:sz w:val="25"/>
          <w:szCs w:val="25"/>
        </w:rPr>
        <w:t xml:space="preserve">  </w:t>
      </w:r>
      <w:r w:rsidR="006B017B" w:rsidRPr="00786425">
        <w:rPr>
          <w:sz w:val="25"/>
          <w:szCs w:val="25"/>
        </w:rPr>
        <w:t>PacifiCorp’s Petition is denied.</w:t>
      </w:r>
    </w:p>
    <w:p w:rsidR="00786425" w:rsidRPr="00786425" w:rsidRDefault="00786425" w:rsidP="006F5B55">
      <w:pPr>
        <w:tabs>
          <w:tab w:val="num" w:pos="0"/>
        </w:tabs>
        <w:spacing w:line="288" w:lineRule="auto"/>
        <w:ind w:left="-720"/>
        <w:rPr>
          <w:b/>
          <w:sz w:val="25"/>
          <w:szCs w:val="25"/>
        </w:rPr>
      </w:pPr>
    </w:p>
    <w:p w:rsidR="002A43DF" w:rsidRDefault="00236060">
      <w:pPr>
        <w:numPr>
          <w:ilvl w:val="0"/>
          <w:numId w:val="1"/>
        </w:numPr>
        <w:tabs>
          <w:tab w:val="clear" w:pos="720"/>
          <w:tab w:val="num" w:pos="0"/>
        </w:tabs>
        <w:spacing w:line="288" w:lineRule="auto"/>
        <w:ind w:left="0"/>
        <w:rPr>
          <w:b/>
          <w:sz w:val="25"/>
          <w:szCs w:val="25"/>
        </w:rPr>
      </w:pPr>
      <w:r w:rsidRPr="00B71A5F">
        <w:rPr>
          <w:sz w:val="25"/>
          <w:szCs w:val="25"/>
        </w:rPr>
        <w:t xml:space="preserve">Finally, in the event we </w:t>
      </w:r>
      <w:r w:rsidR="006B017B" w:rsidRPr="00B71A5F">
        <w:rPr>
          <w:sz w:val="25"/>
          <w:szCs w:val="25"/>
        </w:rPr>
        <w:t xml:space="preserve">do not set aside our ruling, </w:t>
      </w:r>
      <w:r w:rsidRPr="00B71A5F">
        <w:rPr>
          <w:sz w:val="25"/>
          <w:szCs w:val="25"/>
        </w:rPr>
        <w:t>PacifiCorp requests that we correct a</w:t>
      </w:r>
      <w:r w:rsidR="006B017B" w:rsidRPr="00B71A5F">
        <w:rPr>
          <w:sz w:val="25"/>
          <w:szCs w:val="25"/>
        </w:rPr>
        <w:t>n error in the calculation of the intra-hour wind integration adjustment and reduce the adjustment by $46,418 to $472</w:t>
      </w:r>
      <w:r w:rsidR="00250786">
        <w:rPr>
          <w:sz w:val="25"/>
          <w:szCs w:val="25"/>
        </w:rPr>
        <w:t>,</w:t>
      </w:r>
      <w:r w:rsidR="006B017B" w:rsidRPr="00B71A5F">
        <w:rPr>
          <w:sz w:val="25"/>
          <w:szCs w:val="25"/>
        </w:rPr>
        <w:t xml:space="preserve"> 274.  </w:t>
      </w:r>
      <w:r w:rsidR="00E37F4C">
        <w:rPr>
          <w:sz w:val="25"/>
          <w:szCs w:val="25"/>
        </w:rPr>
        <w:t>Staff agrees that the Commission should so reduce the adjustment</w:t>
      </w:r>
      <w:r w:rsidR="00CD7B7A">
        <w:rPr>
          <w:sz w:val="25"/>
          <w:szCs w:val="25"/>
        </w:rPr>
        <w:t xml:space="preserve"> if we deem this amount material</w:t>
      </w:r>
      <w:r w:rsidR="00E37F4C">
        <w:rPr>
          <w:sz w:val="25"/>
          <w:szCs w:val="25"/>
        </w:rPr>
        <w:t>.</w:t>
      </w:r>
      <w:r w:rsidR="00CD7B7A">
        <w:rPr>
          <w:rStyle w:val="FootnoteReference"/>
          <w:sz w:val="25"/>
          <w:szCs w:val="25"/>
        </w:rPr>
        <w:footnoteReference w:id="92"/>
      </w:r>
      <w:r w:rsidR="00E37F4C">
        <w:rPr>
          <w:sz w:val="25"/>
          <w:szCs w:val="25"/>
        </w:rPr>
        <w:t xml:space="preserve">  </w:t>
      </w:r>
    </w:p>
    <w:p w:rsidR="006B331A" w:rsidRDefault="006B331A">
      <w:pPr>
        <w:spacing w:line="288" w:lineRule="auto"/>
        <w:ind w:left="-720"/>
        <w:rPr>
          <w:b/>
          <w:sz w:val="25"/>
          <w:szCs w:val="25"/>
        </w:rPr>
      </w:pPr>
    </w:p>
    <w:p w:rsidR="000A3774" w:rsidRPr="00B71A5F" w:rsidRDefault="006B017B" w:rsidP="006F5B55">
      <w:pPr>
        <w:numPr>
          <w:ilvl w:val="0"/>
          <w:numId w:val="1"/>
        </w:numPr>
        <w:tabs>
          <w:tab w:val="clear" w:pos="720"/>
          <w:tab w:val="num" w:pos="0"/>
        </w:tabs>
        <w:spacing w:line="288" w:lineRule="auto"/>
        <w:ind w:left="0"/>
        <w:rPr>
          <w:b/>
          <w:sz w:val="25"/>
          <w:szCs w:val="25"/>
        </w:rPr>
      </w:pPr>
      <w:r w:rsidRPr="00B71A5F">
        <w:rPr>
          <w:sz w:val="25"/>
          <w:szCs w:val="25"/>
        </w:rPr>
        <w:t>We agree that there may be an error in this calculation</w:t>
      </w:r>
      <w:r w:rsidR="00E37F4C">
        <w:rPr>
          <w:sz w:val="25"/>
          <w:szCs w:val="25"/>
        </w:rPr>
        <w:t xml:space="preserve">.  However, given the magnitude of the overall rate increase, the impact of this recalculation would have a </w:t>
      </w:r>
      <w:r w:rsidR="00E37F4C">
        <w:rPr>
          <w:i/>
          <w:sz w:val="25"/>
          <w:szCs w:val="25"/>
        </w:rPr>
        <w:t xml:space="preserve">de minimis </w:t>
      </w:r>
      <w:r w:rsidR="00E37F4C">
        <w:rPr>
          <w:sz w:val="25"/>
          <w:szCs w:val="25"/>
        </w:rPr>
        <w:t>impact on the resulting rates.  This, coupled with the fact that</w:t>
      </w:r>
      <w:r w:rsidRPr="00B71A5F">
        <w:rPr>
          <w:sz w:val="25"/>
          <w:szCs w:val="25"/>
        </w:rPr>
        <w:t xml:space="preserve"> it </w:t>
      </w:r>
      <w:r w:rsidR="00E37F4C">
        <w:rPr>
          <w:sz w:val="25"/>
          <w:szCs w:val="25"/>
        </w:rPr>
        <w:t>was</w:t>
      </w:r>
      <w:r w:rsidRPr="00B71A5F">
        <w:rPr>
          <w:sz w:val="25"/>
          <w:szCs w:val="25"/>
        </w:rPr>
        <w:t xml:space="preserve"> PacifiCorp’s error</w:t>
      </w:r>
      <w:r w:rsidR="00E37F4C">
        <w:rPr>
          <w:sz w:val="25"/>
          <w:szCs w:val="25"/>
        </w:rPr>
        <w:t>, leads us to conclude that we should not order a rate recalculation</w:t>
      </w:r>
      <w:r w:rsidR="00E64748">
        <w:rPr>
          <w:sz w:val="25"/>
          <w:szCs w:val="25"/>
        </w:rPr>
        <w:t xml:space="preserve"> to give effect to the correction of this error</w:t>
      </w:r>
      <w:r w:rsidRPr="00B71A5F">
        <w:rPr>
          <w:sz w:val="25"/>
          <w:szCs w:val="25"/>
        </w:rPr>
        <w:t xml:space="preserve">  </w:t>
      </w:r>
      <w:r w:rsidR="000B20B6" w:rsidRPr="007E56AB">
        <w:rPr>
          <w:sz w:val="25"/>
          <w:szCs w:val="25"/>
        </w:rPr>
        <w:t xml:space="preserve">The Company had an adequate opportunity in rebuttal testimony to quantify the appropriate level of adjustment.  It failed to do so.  While the amount of the error would have </w:t>
      </w:r>
      <w:r w:rsidR="000B20B6" w:rsidRPr="007E56AB">
        <w:rPr>
          <w:i/>
          <w:sz w:val="25"/>
          <w:szCs w:val="25"/>
        </w:rPr>
        <w:t>de minimis</w:t>
      </w:r>
      <w:r w:rsidR="000B20B6" w:rsidRPr="007E56AB">
        <w:rPr>
          <w:sz w:val="25"/>
          <w:szCs w:val="25"/>
        </w:rPr>
        <w:t xml:space="preserve"> impact, we concur with ICNU that it is inappropriate to allow companies to correct their errors on reconsideration because it may deprive other parties of the opportunity to evaluate and respond.</w:t>
      </w:r>
      <w:r w:rsidR="000B20B6" w:rsidRPr="007E56AB">
        <w:rPr>
          <w:rStyle w:val="FootnoteReference"/>
          <w:sz w:val="25"/>
          <w:szCs w:val="25"/>
        </w:rPr>
        <w:footnoteReference w:id="93"/>
      </w:r>
      <w:r w:rsidR="000B20B6" w:rsidRPr="007E56AB">
        <w:rPr>
          <w:sz w:val="25"/>
          <w:szCs w:val="25"/>
        </w:rPr>
        <w:t xml:space="preserve">  As we stated earlier in this Order, raising new adjustments on reconsideration denies the other parties due process and does not comply with our rules governing the adjudicative process</w:t>
      </w:r>
      <w:r w:rsidR="00B71A5F" w:rsidRPr="00B71A5F">
        <w:rPr>
          <w:sz w:val="25"/>
          <w:szCs w:val="25"/>
        </w:rPr>
        <w:t xml:space="preserve">  </w:t>
      </w:r>
    </w:p>
    <w:p w:rsidR="008A32B4" w:rsidRPr="002532DF" w:rsidRDefault="006723A4" w:rsidP="006F5B55">
      <w:pPr>
        <w:pStyle w:val="Heading5"/>
        <w:numPr>
          <w:ilvl w:val="0"/>
          <w:numId w:val="31"/>
        </w:numPr>
        <w:spacing w:line="288" w:lineRule="auto"/>
        <w:ind w:left="1800"/>
        <w:rPr>
          <w:rFonts w:ascii="Times New Roman" w:hAnsi="Times New Roman"/>
          <w:i w:val="0"/>
          <w:sz w:val="25"/>
          <w:szCs w:val="25"/>
        </w:rPr>
      </w:pPr>
      <w:bookmarkStart w:id="16" w:name="_Toc168986370"/>
      <w:bookmarkStart w:id="17" w:name="_Toc288813736"/>
      <w:r w:rsidRPr="002532DF">
        <w:rPr>
          <w:rFonts w:ascii="Times New Roman" w:hAnsi="Times New Roman"/>
          <w:i w:val="0"/>
          <w:sz w:val="25"/>
          <w:szCs w:val="25"/>
        </w:rPr>
        <w:t>Direct Current (DC) Intertie</w:t>
      </w:r>
      <w:bookmarkEnd w:id="16"/>
      <w:bookmarkEnd w:id="17"/>
    </w:p>
    <w:p w:rsidR="008A32B4" w:rsidRPr="002532DF" w:rsidRDefault="008A32B4" w:rsidP="006F5B55">
      <w:pPr>
        <w:spacing w:line="288" w:lineRule="auto"/>
        <w:rPr>
          <w:b/>
          <w:sz w:val="25"/>
          <w:szCs w:val="25"/>
        </w:rPr>
      </w:pPr>
    </w:p>
    <w:p w:rsidR="001B4814" w:rsidRPr="00E77D4E" w:rsidRDefault="00764685" w:rsidP="006F5B55">
      <w:pPr>
        <w:numPr>
          <w:ilvl w:val="0"/>
          <w:numId w:val="1"/>
        </w:numPr>
        <w:tabs>
          <w:tab w:val="clear" w:pos="720"/>
          <w:tab w:val="num" w:pos="0"/>
        </w:tabs>
        <w:spacing w:line="288" w:lineRule="auto"/>
        <w:ind w:left="0"/>
        <w:rPr>
          <w:sz w:val="25"/>
          <w:szCs w:val="25"/>
        </w:rPr>
      </w:pPr>
      <w:r>
        <w:rPr>
          <w:sz w:val="25"/>
          <w:szCs w:val="25"/>
        </w:rPr>
        <w:t xml:space="preserve">In Order 06, we </w:t>
      </w:r>
      <w:r w:rsidR="00536E13">
        <w:rPr>
          <w:sz w:val="25"/>
          <w:szCs w:val="25"/>
        </w:rPr>
        <w:t>accepted Staff’s and ICNU’s proposal to remove the</w:t>
      </w:r>
      <w:r w:rsidR="00D56945">
        <w:rPr>
          <w:sz w:val="25"/>
          <w:szCs w:val="25"/>
        </w:rPr>
        <w:t xml:space="preserve"> </w:t>
      </w:r>
      <w:r w:rsidR="00536E13">
        <w:rPr>
          <w:sz w:val="25"/>
          <w:szCs w:val="25"/>
        </w:rPr>
        <w:t>DC Intertie from the calculation of net power costs.</w:t>
      </w:r>
      <w:r w:rsidR="00536E13">
        <w:rPr>
          <w:rStyle w:val="FootnoteReference"/>
          <w:sz w:val="25"/>
          <w:szCs w:val="25"/>
        </w:rPr>
        <w:footnoteReference w:id="94"/>
      </w:r>
      <w:r w:rsidR="00536E13">
        <w:rPr>
          <w:sz w:val="25"/>
          <w:szCs w:val="25"/>
        </w:rPr>
        <w:t xml:space="preserve">  We did so because PacifiCorp failed to demonstrate that the contract would provide a benefit to Washington ratepayers during the rate year</w:t>
      </w:r>
      <w:r w:rsidR="00E428B9">
        <w:rPr>
          <w:sz w:val="25"/>
          <w:szCs w:val="25"/>
        </w:rPr>
        <w:t>.  The adjustment reduced</w:t>
      </w:r>
      <w:r w:rsidR="00536E13">
        <w:rPr>
          <w:sz w:val="25"/>
          <w:szCs w:val="25"/>
        </w:rPr>
        <w:t xml:space="preserve"> net power cost expense by $1,057,130.</w:t>
      </w:r>
      <w:r w:rsidR="00536E13">
        <w:rPr>
          <w:rStyle w:val="FootnoteReference"/>
          <w:sz w:val="25"/>
          <w:szCs w:val="25"/>
        </w:rPr>
        <w:footnoteReference w:id="95"/>
      </w:r>
    </w:p>
    <w:p w:rsidR="001B4814" w:rsidRPr="00E77D4E" w:rsidRDefault="001B4814" w:rsidP="006F5B55">
      <w:pPr>
        <w:spacing w:line="288" w:lineRule="auto"/>
        <w:ind w:left="-720"/>
        <w:rPr>
          <w:sz w:val="25"/>
          <w:szCs w:val="25"/>
        </w:rPr>
      </w:pPr>
    </w:p>
    <w:p w:rsidR="001B2040" w:rsidRPr="002532DF" w:rsidRDefault="00764685" w:rsidP="006F5B55">
      <w:pPr>
        <w:numPr>
          <w:ilvl w:val="0"/>
          <w:numId w:val="1"/>
        </w:numPr>
        <w:tabs>
          <w:tab w:val="clear" w:pos="720"/>
          <w:tab w:val="num" w:pos="0"/>
        </w:tabs>
        <w:spacing w:line="288" w:lineRule="auto"/>
        <w:ind w:left="0"/>
        <w:rPr>
          <w:sz w:val="25"/>
          <w:szCs w:val="25"/>
        </w:rPr>
      </w:pPr>
      <w:r>
        <w:rPr>
          <w:bCs/>
          <w:sz w:val="25"/>
          <w:szCs w:val="25"/>
        </w:rPr>
        <w:t>The Company argues</w:t>
      </w:r>
      <w:r w:rsidR="00A54981">
        <w:rPr>
          <w:bCs/>
          <w:sz w:val="25"/>
          <w:szCs w:val="25"/>
        </w:rPr>
        <w:t>, in its Petition, that the record shows that the contract will be used during the period rates will be in effect.</w:t>
      </w:r>
      <w:r w:rsidR="00A54981">
        <w:rPr>
          <w:rStyle w:val="FootnoteReference"/>
          <w:bCs/>
          <w:sz w:val="25"/>
          <w:szCs w:val="25"/>
        </w:rPr>
        <w:footnoteReference w:id="96"/>
      </w:r>
      <w:r>
        <w:rPr>
          <w:bCs/>
          <w:sz w:val="25"/>
          <w:szCs w:val="25"/>
        </w:rPr>
        <w:t xml:space="preserve"> </w:t>
      </w:r>
      <w:r w:rsidR="00A54981">
        <w:rPr>
          <w:bCs/>
          <w:sz w:val="25"/>
          <w:szCs w:val="25"/>
        </w:rPr>
        <w:t xml:space="preserve"> It specifically cites </w:t>
      </w:r>
      <w:r w:rsidR="00E428B9">
        <w:rPr>
          <w:bCs/>
          <w:sz w:val="25"/>
          <w:szCs w:val="25"/>
        </w:rPr>
        <w:t xml:space="preserve">oral </w:t>
      </w:r>
      <w:r w:rsidR="00A54981">
        <w:rPr>
          <w:bCs/>
          <w:sz w:val="25"/>
          <w:szCs w:val="25"/>
        </w:rPr>
        <w:t>testimony that the Company uses the line for over 200 transactions a year and at a rate that compares favorably with the Bonneville Power Administration’s capacity charge.</w:t>
      </w:r>
      <w:r w:rsidR="00A54981">
        <w:rPr>
          <w:rStyle w:val="FootnoteReference"/>
          <w:bCs/>
          <w:sz w:val="25"/>
          <w:szCs w:val="25"/>
        </w:rPr>
        <w:footnoteReference w:id="97"/>
      </w:r>
      <w:r>
        <w:rPr>
          <w:bCs/>
          <w:sz w:val="25"/>
          <w:szCs w:val="25"/>
        </w:rPr>
        <w:t xml:space="preserve"> </w:t>
      </w:r>
    </w:p>
    <w:p w:rsidR="00C62D1E" w:rsidRPr="002532DF" w:rsidRDefault="00C62D1E" w:rsidP="006F5B55">
      <w:pPr>
        <w:spacing w:line="288" w:lineRule="auto"/>
        <w:rPr>
          <w:sz w:val="25"/>
          <w:szCs w:val="25"/>
        </w:rPr>
      </w:pPr>
    </w:p>
    <w:p w:rsidR="00B25BF7" w:rsidRDefault="00E428B9" w:rsidP="004533F1">
      <w:pPr>
        <w:numPr>
          <w:ilvl w:val="0"/>
          <w:numId w:val="1"/>
        </w:numPr>
        <w:tabs>
          <w:tab w:val="clear" w:pos="720"/>
          <w:tab w:val="num" w:pos="0"/>
        </w:tabs>
        <w:spacing w:line="288" w:lineRule="auto"/>
        <w:ind w:left="0"/>
        <w:rPr>
          <w:sz w:val="25"/>
          <w:szCs w:val="25"/>
        </w:rPr>
      </w:pPr>
      <w:r>
        <w:rPr>
          <w:sz w:val="25"/>
          <w:szCs w:val="25"/>
        </w:rPr>
        <w:t>We deny PacifiCorp’s Petitio</w:t>
      </w:r>
      <w:r w:rsidR="009F141B">
        <w:rPr>
          <w:sz w:val="25"/>
          <w:szCs w:val="25"/>
        </w:rPr>
        <w:t>n on this point for two related reasons.</w:t>
      </w:r>
      <w:r w:rsidR="008450E1">
        <w:rPr>
          <w:sz w:val="25"/>
          <w:szCs w:val="25"/>
        </w:rPr>
        <w:t xml:space="preserve">  </w:t>
      </w:r>
      <w:r w:rsidR="00B25BF7" w:rsidRPr="005A07C7">
        <w:rPr>
          <w:sz w:val="25"/>
          <w:szCs w:val="25"/>
        </w:rPr>
        <w:t>First, we agree with Staff’s argument that the Company “misses the ent</w:t>
      </w:r>
      <w:r w:rsidR="00B25BF7">
        <w:rPr>
          <w:sz w:val="25"/>
          <w:szCs w:val="25"/>
        </w:rPr>
        <w:t>ire point of the DC Intertie adjustment because whether the Company may actually carry out an occasional transaction on the Intertie disregards the key fact that in determining power supply costs in this case, PacifiCorp included no normalized benefits whatsoever associated with the annual expenses of the Intertie: Zero.”</w:t>
      </w:r>
      <w:r w:rsidR="00B25BF7">
        <w:rPr>
          <w:rStyle w:val="FootnoteReference"/>
          <w:sz w:val="25"/>
          <w:szCs w:val="25"/>
        </w:rPr>
        <w:footnoteReference w:id="98"/>
      </w:r>
      <w:r w:rsidR="00B25BF7">
        <w:rPr>
          <w:sz w:val="25"/>
          <w:szCs w:val="25"/>
        </w:rPr>
        <w:t xml:space="preserve">  In other words, the issue is not simply whether there existed in the test year at least one transaction on the Intertie but whether the Company also included benefits.  It did not.</w:t>
      </w:r>
      <w:r w:rsidR="00B25BF7">
        <w:rPr>
          <w:rStyle w:val="FootnoteReference"/>
          <w:sz w:val="25"/>
          <w:szCs w:val="25"/>
        </w:rPr>
        <w:footnoteReference w:id="99"/>
      </w:r>
    </w:p>
    <w:p w:rsidR="006B331A" w:rsidRDefault="006B331A">
      <w:pPr>
        <w:spacing w:line="288" w:lineRule="auto"/>
        <w:ind w:left="-720"/>
        <w:rPr>
          <w:sz w:val="25"/>
          <w:szCs w:val="25"/>
        </w:rPr>
      </w:pPr>
    </w:p>
    <w:p w:rsidR="008B5B91" w:rsidRDefault="00B25BF7" w:rsidP="006F5B55">
      <w:pPr>
        <w:numPr>
          <w:ilvl w:val="0"/>
          <w:numId w:val="1"/>
        </w:numPr>
        <w:tabs>
          <w:tab w:val="clear" w:pos="720"/>
          <w:tab w:val="num" w:pos="0"/>
        </w:tabs>
        <w:spacing w:line="288" w:lineRule="auto"/>
        <w:ind w:left="0"/>
        <w:rPr>
          <w:sz w:val="25"/>
          <w:szCs w:val="25"/>
        </w:rPr>
      </w:pPr>
      <w:r>
        <w:rPr>
          <w:sz w:val="25"/>
          <w:szCs w:val="25"/>
        </w:rPr>
        <w:t>Second, the evidence in the record of use of the Intertie was less than robust.  The evidence cited was the oral testimony of Company witness,</w:t>
      </w:r>
      <w:r w:rsidR="00A37E7C">
        <w:rPr>
          <w:sz w:val="25"/>
          <w:szCs w:val="25"/>
        </w:rPr>
        <w:t xml:space="preserve"> Mr. Gregory Du</w:t>
      </w:r>
      <w:r w:rsidR="009038E7">
        <w:rPr>
          <w:sz w:val="25"/>
          <w:szCs w:val="25"/>
        </w:rPr>
        <w:t>v</w:t>
      </w:r>
      <w:r w:rsidR="00A37E7C">
        <w:rPr>
          <w:sz w:val="25"/>
          <w:szCs w:val="25"/>
        </w:rPr>
        <w:t>all, regarding the Company’s rebuttal testimony that the contract should be judged on the basis of information known at the time the contract was entered into in 1994, Mr. Duvall testified</w:t>
      </w:r>
      <w:r w:rsidR="00E428B9">
        <w:rPr>
          <w:sz w:val="25"/>
          <w:szCs w:val="25"/>
        </w:rPr>
        <w:t>:</w:t>
      </w:r>
    </w:p>
    <w:p w:rsidR="008B5B91" w:rsidRDefault="008B5B91" w:rsidP="008B5B91">
      <w:pPr>
        <w:spacing w:line="276" w:lineRule="auto"/>
        <w:ind w:left="-720"/>
        <w:rPr>
          <w:sz w:val="25"/>
          <w:szCs w:val="25"/>
        </w:rPr>
      </w:pPr>
    </w:p>
    <w:p w:rsidR="00B904F6" w:rsidRDefault="00E428B9" w:rsidP="004533F1">
      <w:pPr>
        <w:ind w:left="720" w:right="864"/>
        <w:rPr>
          <w:sz w:val="25"/>
          <w:szCs w:val="25"/>
        </w:rPr>
      </w:pPr>
      <w:r>
        <w:rPr>
          <w:sz w:val="25"/>
          <w:szCs w:val="25"/>
        </w:rPr>
        <w:lastRenderedPageBreak/>
        <w:t>[A]</w:t>
      </w:r>
      <w:r w:rsidR="00A37E7C">
        <w:rPr>
          <w:sz w:val="25"/>
          <w:szCs w:val="25"/>
        </w:rPr>
        <w:t xml:space="preserve">s I read Mr. Falkenberg’s testimony, it looks like he’s concerned with the used and useful aspect of it in the </w:t>
      </w:r>
      <w:r w:rsidR="00A37E7C" w:rsidRPr="008B5B91">
        <w:rPr>
          <w:i/>
          <w:sz w:val="25"/>
          <w:szCs w:val="25"/>
        </w:rPr>
        <w:t>current day</w:t>
      </w:r>
      <w:r w:rsidR="00A37E7C">
        <w:rPr>
          <w:sz w:val="25"/>
          <w:szCs w:val="25"/>
        </w:rPr>
        <w:t xml:space="preserve">.  And I believe that it is used and useful in that we - - it’s connected to a </w:t>
      </w:r>
      <w:r w:rsidR="00A37E7C">
        <w:rPr>
          <w:i/>
          <w:sz w:val="25"/>
          <w:szCs w:val="25"/>
        </w:rPr>
        <w:t xml:space="preserve">California market </w:t>
      </w:r>
      <w:r w:rsidR="00A37E7C">
        <w:rPr>
          <w:sz w:val="25"/>
          <w:szCs w:val="25"/>
        </w:rPr>
        <w:t xml:space="preserve">which is the Nevada-Oregon </w:t>
      </w:r>
      <w:r w:rsidR="003529E0">
        <w:rPr>
          <w:sz w:val="25"/>
          <w:szCs w:val="25"/>
        </w:rPr>
        <w:t>b</w:t>
      </w:r>
      <w:r w:rsidR="00A37E7C">
        <w:rPr>
          <w:sz w:val="25"/>
          <w:szCs w:val="25"/>
        </w:rPr>
        <w:t>order</w:t>
      </w:r>
      <w:r w:rsidR="009F141B">
        <w:rPr>
          <w:sz w:val="25"/>
          <w:szCs w:val="25"/>
        </w:rPr>
        <w:t>, and we do about 200 transactions a year at the Nevada-Oregon border, 75,000 megawatts a year</w:t>
      </w:r>
      <w:r w:rsidR="00A37E7C">
        <w:rPr>
          <w:sz w:val="25"/>
          <w:szCs w:val="25"/>
        </w:rPr>
        <w:t>.</w:t>
      </w:r>
      <w:r w:rsidR="00A37E7C">
        <w:rPr>
          <w:rStyle w:val="FootnoteReference"/>
          <w:sz w:val="25"/>
          <w:szCs w:val="25"/>
        </w:rPr>
        <w:footnoteReference w:id="100"/>
      </w:r>
      <w:r w:rsidR="00A37E7C">
        <w:rPr>
          <w:sz w:val="25"/>
          <w:szCs w:val="25"/>
        </w:rPr>
        <w:t xml:space="preserve"> </w:t>
      </w:r>
    </w:p>
    <w:p w:rsidR="00B904F6" w:rsidRDefault="00B904F6" w:rsidP="004533F1">
      <w:pPr>
        <w:ind w:left="720" w:right="864"/>
        <w:rPr>
          <w:sz w:val="25"/>
          <w:szCs w:val="25"/>
        </w:rPr>
      </w:pPr>
    </w:p>
    <w:p w:rsidR="00D01632" w:rsidRDefault="009F141B" w:rsidP="00DC26CD">
      <w:pPr>
        <w:tabs>
          <w:tab w:val="left" w:pos="7740"/>
        </w:tabs>
        <w:spacing w:line="288" w:lineRule="auto"/>
        <w:rPr>
          <w:sz w:val="25"/>
          <w:szCs w:val="25"/>
        </w:rPr>
      </w:pPr>
      <w:r>
        <w:rPr>
          <w:sz w:val="25"/>
          <w:szCs w:val="25"/>
        </w:rPr>
        <w:t>So the evidence of use is only from cross-examination.  T</w:t>
      </w:r>
      <w:r w:rsidR="00B25BF7">
        <w:rPr>
          <w:sz w:val="25"/>
          <w:szCs w:val="25"/>
        </w:rPr>
        <w:t>here was no evidence of use in</w:t>
      </w:r>
      <w:r w:rsidR="00ED3AC4">
        <w:rPr>
          <w:sz w:val="25"/>
          <w:szCs w:val="25"/>
        </w:rPr>
        <w:t xml:space="preserve"> the Company’s prefiled testimony and exhibits.  </w:t>
      </w:r>
      <w:r w:rsidR="00B25BF7">
        <w:rPr>
          <w:sz w:val="25"/>
          <w:szCs w:val="25"/>
        </w:rPr>
        <w:t>W</w:t>
      </w:r>
      <w:r w:rsidR="008B5B91">
        <w:rPr>
          <w:sz w:val="25"/>
          <w:szCs w:val="25"/>
        </w:rPr>
        <w:t>hile connection to a California market</w:t>
      </w:r>
      <w:r>
        <w:rPr>
          <w:sz w:val="25"/>
          <w:szCs w:val="25"/>
        </w:rPr>
        <w:t>, with some transactions,</w:t>
      </w:r>
      <w:r w:rsidR="008B5B91">
        <w:rPr>
          <w:sz w:val="25"/>
          <w:szCs w:val="25"/>
        </w:rPr>
        <w:t xml:space="preserve"> </w:t>
      </w:r>
      <w:r w:rsidR="003529E0">
        <w:rPr>
          <w:sz w:val="25"/>
          <w:szCs w:val="25"/>
        </w:rPr>
        <w:t xml:space="preserve">could conceivably provide benefit to Washington in the form of reduced-cost power purchases, </w:t>
      </w:r>
      <w:r w:rsidR="00196E2D">
        <w:rPr>
          <w:sz w:val="25"/>
          <w:szCs w:val="25"/>
        </w:rPr>
        <w:t xml:space="preserve">the </w:t>
      </w:r>
      <w:r w:rsidR="00255AC4">
        <w:rPr>
          <w:sz w:val="25"/>
          <w:szCs w:val="25"/>
        </w:rPr>
        <w:t xml:space="preserve">entirety of the </w:t>
      </w:r>
      <w:r w:rsidR="00196E2D">
        <w:rPr>
          <w:sz w:val="25"/>
          <w:szCs w:val="25"/>
        </w:rPr>
        <w:t xml:space="preserve">Company’s evidence does not support </w:t>
      </w:r>
      <w:r>
        <w:rPr>
          <w:sz w:val="25"/>
          <w:szCs w:val="25"/>
        </w:rPr>
        <w:t xml:space="preserve">such a </w:t>
      </w:r>
      <w:r w:rsidR="00196E2D">
        <w:rPr>
          <w:sz w:val="25"/>
          <w:szCs w:val="25"/>
        </w:rPr>
        <w:t>conclusion.  T</w:t>
      </w:r>
      <w:r w:rsidR="003529E0">
        <w:rPr>
          <w:sz w:val="25"/>
          <w:szCs w:val="25"/>
        </w:rPr>
        <w:t xml:space="preserve">he Company’s </w:t>
      </w:r>
      <w:r w:rsidR="00A8495A">
        <w:rPr>
          <w:sz w:val="25"/>
          <w:szCs w:val="25"/>
        </w:rPr>
        <w:t>prefiled testimony and exhibits</w:t>
      </w:r>
      <w:r w:rsidR="003529E0">
        <w:rPr>
          <w:sz w:val="25"/>
          <w:szCs w:val="25"/>
        </w:rPr>
        <w:t xml:space="preserve"> relied on </w:t>
      </w:r>
      <w:r w:rsidR="00A8495A">
        <w:rPr>
          <w:sz w:val="25"/>
          <w:szCs w:val="25"/>
        </w:rPr>
        <w:t xml:space="preserve">the output of </w:t>
      </w:r>
      <w:r w:rsidR="003529E0">
        <w:rPr>
          <w:sz w:val="25"/>
          <w:szCs w:val="25"/>
        </w:rPr>
        <w:t xml:space="preserve">its GRID model.  The GRID model does not reflect either these or </w:t>
      </w:r>
      <w:r w:rsidR="003529E0">
        <w:rPr>
          <w:i/>
          <w:sz w:val="25"/>
          <w:szCs w:val="25"/>
        </w:rPr>
        <w:t xml:space="preserve">any </w:t>
      </w:r>
      <w:r w:rsidR="001D0C00">
        <w:rPr>
          <w:sz w:val="25"/>
          <w:szCs w:val="25"/>
        </w:rPr>
        <w:t xml:space="preserve">other </w:t>
      </w:r>
      <w:r w:rsidR="003529E0">
        <w:rPr>
          <w:sz w:val="25"/>
          <w:szCs w:val="25"/>
        </w:rPr>
        <w:t xml:space="preserve">energy transactions at the Nevada-Oregon </w:t>
      </w:r>
      <w:r w:rsidR="001D0C00">
        <w:rPr>
          <w:sz w:val="25"/>
          <w:szCs w:val="25"/>
        </w:rPr>
        <w:t>border</w:t>
      </w:r>
      <w:r w:rsidR="009038E7">
        <w:rPr>
          <w:sz w:val="25"/>
          <w:szCs w:val="25"/>
        </w:rPr>
        <w:t xml:space="preserve"> utilizing PacifiCorp’s DC intertie transmission rights</w:t>
      </w:r>
      <w:r w:rsidR="001D0C00">
        <w:rPr>
          <w:sz w:val="25"/>
          <w:szCs w:val="25"/>
        </w:rPr>
        <w:t>.</w:t>
      </w:r>
      <w:r w:rsidR="003529E0">
        <w:rPr>
          <w:sz w:val="25"/>
          <w:szCs w:val="25"/>
        </w:rPr>
        <w:t xml:space="preserve">  </w:t>
      </w:r>
      <w:r w:rsidR="00786425">
        <w:rPr>
          <w:sz w:val="25"/>
          <w:szCs w:val="25"/>
        </w:rPr>
        <w:t>In addition, a</w:t>
      </w:r>
      <w:r w:rsidR="00ED3AC4">
        <w:rPr>
          <w:sz w:val="25"/>
          <w:szCs w:val="25"/>
        </w:rPr>
        <w:t>ccording to other parties, no information on these transactions was provided during discovery.</w:t>
      </w:r>
      <w:r w:rsidR="00722890">
        <w:rPr>
          <w:rStyle w:val="FootnoteReference"/>
          <w:sz w:val="25"/>
          <w:szCs w:val="25"/>
        </w:rPr>
        <w:footnoteReference w:id="101"/>
      </w:r>
      <w:r w:rsidR="00ED3AC4">
        <w:rPr>
          <w:sz w:val="25"/>
          <w:szCs w:val="25"/>
        </w:rPr>
        <w:t xml:space="preserve">  </w:t>
      </w:r>
      <w:r w:rsidR="00A8495A">
        <w:rPr>
          <w:sz w:val="25"/>
          <w:szCs w:val="25"/>
        </w:rPr>
        <w:t>Thus, even generously construing Mr. Du</w:t>
      </w:r>
      <w:r w:rsidR="009038E7">
        <w:rPr>
          <w:sz w:val="25"/>
          <w:szCs w:val="25"/>
        </w:rPr>
        <w:t>v</w:t>
      </w:r>
      <w:r w:rsidR="00A8495A">
        <w:rPr>
          <w:sz w:val="25"/>
          <w:szCs w:val="25"/>
        </w:rPr>
        <w:t>all’s oral testimony, we can only conclude that the Company presented conflicting evidence</w:t>
      </w:r>
      <w:r w:rsidR="00786425">
        <w:rPr>
          <w:sz w:val="25"/>
          <w:szCs w:val="25"/>
        </w:rPr>
        <w:t xml:space="preserve"> on this issue</w:t>
      </w:r>
      <w:r w:rsidR="003F547C">
        <w:rPr>
          <w:sz w:val="25"/>
          <w:szCs w:val="25"/>
        </w:rPr>
        <w:t>.</w:t>
      </w:r>
      <w:r w:rsidR="00196E2D">
        <w:rPr>
          <w:sz w:val="25"/>
          <w:szCs w:val="25"/>
        </w:rPr>
        <w:t xml:space="preserve">  Moreover, the Company’s rebuttal testimony focused not on these, or any other transactions, but rather on viewing the prudency of the contract at its inception.</w:t>
      </w:r>
    </w:p>
    <w:p w:rsidR="008B5B91" w:rsidRDefault="008B5B91" w:rsidP="004533F1">
      <w:pPr>
        <w:spacing w:line="276" w:lineRule="auto"/>
        <w:ind w:left="-720"/>
        <w:rPr>
          <w:sz w:val="25"/>
          <w:szCs w:val="25"/>
        </w:rPr>
      </w:pPr>
    </w:p>
    <w:p w:rsidR="00A8495A" w:rsidRPr="002532DF" w:rsidRDefault="0038399D" w:rsidP="006F5B55">
      <w:pPr>
        <w:numPr>
          <w:ilvl w:val="0"/>
          <w:numId w:val="1"/>
        </w:numPr>
        <w:tabs>
          <w:tab w:val="clear" w:pos="720"/>
          <w:tab w:val="num" w:pos="0"/>
        </w:tabs>
        <w:spacing w:line="288" w:lineRule="auto"/>
        <w:ind w:left="0"/>
        <w:rPr>
          <w:sz w:val="25"/>
          <w:szCs w:val="25"/>
        </w:rPr>
      </w:pPr>
      <w:r>
        <w:rPr>
          <w:sz w:val="25"/>
          <w:szCs w:val="25"/>
        </w:rPr>
        <w:t xml:space="preserve">We deny the </w:t>
      </w:r>
      <w:r w:rsidR="00786425">
        <w:rPr>
          <w:sz w:val="25"/>
          <w:szCs w:val="25"/>
        </w:rPr>
        <w:t>P</w:t>
      </w:r>
      <w:r>
        <w:rPr>
          <w:sz w:val="25"/>
          <w:szCs w:val="25"/>
        </w:rPr>
        <w:t xml:space="preserve">etition for </w:t>
      </w:r>
      <w:r w:rsidR="00786425">
        <w:rPr>
          <w:sz w:val="25"/>
          <w:szCs w:val="25"/>
        </w:rPr>
        <w:t>R</w:t>
      </w:r>
      <w:r>
        <w:rPr>
          <w:sz w:val="25"/>
          <w:szCs w:val="25"/>
        </w:rPr>
        <w:t>econsideration</w:t>
      </w:r>
      <w:r w:rsidR="004B2132">
        <w:rPr>
          <w:sz w:val="25"/>
          <w:szCs w:val="25"/>
        </w:rPr>
        <w:t xml:space="preserve"> on this point</w:t>
      </w:r>
      <w:r>
        <w:rPr>
          <w:sz w:val="25"/>
          <w:szCs w:val="25"/>
        </w:rPr>
        <w:t xml:space="preserve">. </w:t>
      </w:r>
    </w:p>
    <w:p w:rsidR="00EC08CB" w:rsidRPr="002532DF" w:rsidRDefault="00B51DDE" w:rsidP="006F5B55">
      <w:pPr>
        <w:pStyle w:val="Heading5"/>
        <w:numPr>
          <w:ilvl w:val="0"/>
          <w:numId w:val="31"/>
        </w:numPr>
        <w:spacing w:line="288" w:lineRule="auto"/>
        <w:ind w:left="1800"/>
        <w:rPr>
          <w:rFonts w:ascii="Times New Roman" w:hAnsi="Times New Roman"/>
          <w:i w:val="0"/>
          <w:sz w:val="25"/>
          <w:szCs w:val="25"/>
        </w:rPr>
      </w:pPr>
      <w:bookmarkStart w:id="18" w:name="_Toc168986378"/>
      <w:bookmarkStart w:id="19" w:name="_Toc288813745"/>
      <w:r w:rsidRPr="002532DF">
        <w:rPr>
          <w:rFonts w:ascii="Times New Roman" w:hAnsi="Times New Roman"/>
          <w:i w:val="0"/>
          <w:sz w:val="25"/>
          <w:szCs w:val="25"/>
        </w:rPr>
        <w:t>Minimum Loading and D</w:t>
      </w:r>
      <w:r w:rsidR="00D53468" w:rsidRPr="002532DF">
        <w:rPr>
          <w:rFonts w:ascii="Times New Roman" w:hAnsi="Times New Roman"/>
          <w:i w:val="0"/>
          <w:sz w:val="25"/>
          <w:szCs w:val="25"/>
        </w:rPr>
        <w:t>e</w:t>
      </w:r>
      <w:r w:rsidRPr="002532DF">
        <w:rPr>
          <w:rFonts w:ascii="Times New Roman" w:hAnsi="Times New Roman"/>
          <w:i w:val="0"/>
          <w:sz w:val="25"/>
          <w:szCs w:val="25"/>
        </w:rPr>
        <w:t>ration Adjustment</w:t>
      </w:r>
      <w:bookmarkEnd w:id="18"/>
      <w:bookmarkEnd w:id="19"/>
    </w:p>
    <w:p w:rsidR="00EC08CB" w:rsidRPr="002532DF" w:rsidRDefault="00EC08CB" w:rsidP="006F5B55">
      <w:pPr>
        <w:spacing w:line="288" w:lineRule="auto"/>
        <w:ind w:left="-720"/>
        <w:rPr>
          <w:sz w:val="25"/>
          <w:szCs w:val="25"/>
        </w:rPr>
      </w:pPr>
    </w:p>
    <w:p w:rsidR="00D40563" w:rsidRDefault="00764685" w:rsidP="006F5B55">
      <w:pPr>
        <w:numPr>
          <w:ilvl w:val="0"/>
          <w:numId w:val="1"/>
        </w:numPr>
        <w:tabs>
          <w:tab w:val="clear" w:pos="720"/>
          <w:tab w:val="num" w:pos="0"/>
        </w:tabs>
        <w:spacing w:line="288" w:lineRule="auto"/>
        <w:ind w:left="0"/>
        <w:rPr>
          <w:sz w:val="25"/>
          <w:szCs w:val="25"/>
        </w:rPr>
      </w:pPr>
      <w:r>
        <w:rPr>
          <w:sz w:val="25"/>
          <w:szCs w:val="25"/>
        </w:rPr>
        <w:t xml:space="preserve">By Order 06, </w:t>
      </w:r>
      <w:r w:rsidR="008A5A88">
        <w:rPr>
          <w:sz w:val="25"/>
          <w:szCs w:val="25"/>
        </w:rPr>
        <w:t xml:space="preserve">we accepted ICNU’s minimum loading and deration adjustment to lower both the maximum capacity of a plant and the lower end of the unit’s operating range to account for </w:t>
      </w:r>
      <w:r w:rsidR="009038E7">
        <w:rPr>
          <w:sz w:val="25"/>
          <w:szCs w:val="25"/>
        </w:rPr>
        <w:t xml:space="preserve">forced </w:t>
      </w:r>
      <w:r w:rsidR="008A5A88">
        <w:rPr>
          <w:sz w:val="25"/>
          <w:szCs w:val="25"/>
        </w:rPr>
        <w:t>outages in the GRID</w:t>
      </w:r>
      <w:r w:rsidR="00D56945">
        <w:rPr>
          <w:sz w:val="25"/>
          <w:szCs w:val="25"/>
        </w:rPr>
        <w:t xml:space="preserve"> model</w:t>
      </w:r>
      <w:r w:rsidR="008A5A88">
        <w:rPr>
          <w:sz w:val="25"/>
          <w:szCs w:val="25"/>
        </w:rPr>
        <w:t>.</w:t>
      </w:r>
      <w:r w:rsidR="008A5A88">
        <w:rPr>
          <w:rStyle w:val="FootnoteReference"/>
          <w:sz w:val="25"/>
          <w:szCs w:val="25"/>
        </w:rPr>
        <w:footnoteReference w:id="102"/>
      </w:r>
      <w:r w:rsidR="008A5A88">
        <w:rPr>
          <w:sz w:val="25"/>
          <w:szCs w:val="25"/>
        </w:rPr>
        <w:t xml:space="preserve">  ICNU’s adjustment also </w:t>
      </w:r>
      <w:r w:rsidR="008A5A88">
        <w:rPr>
          <w:sz w:val="25"/>
          <w:szCs w:val="25"/>
        </w:rPr>
        <w:lastRenderedPageBreak/>
        <w:t>modified the heat rate curve to reflect the de-rated capacity of the plant.</w:t>
      </w:r>
      <w:r w:rsidR="008A5A88">
        <w:rPr>
          <w:rStyle w:val="FootnoteReference"/>
          <w:sz w:val="25"/>
          <w:szCs w:val="25"/>
        </w:rPr>
        <w:footnoteReference w:id="103"/>
      </w:r>
      <w:r w:rsidR="008A5A88">
        <w:rPr>
          <w:sz w:val="25"/>
          <w:szCs w:val="25"/>
        </w:rPr>
        <w:t xml:space="preserve">  Our acceptance of this adjustment reduced NPC expense by $299,897.</w:t>
      </w:r>
      <w:r w:rsidR="008A5A88">
        <w:rPr>
          <w:rStyle w:val="FootnoteReference"/>
          <w:sz w:val="25"/>
          <w:szCs w:val="25"/>
        </w:rPr>
        <w:footnoteReference w:id="104"/>
      </w:r>
    </w:p>
    <w:p w:rsidR="00764685" w:rsidRDefault="00764685" w:rsidP="006F5B55">
      <w:pPr>
        <w:spacing w:line="288" w:lineRule="auto"/>
        <w:ind w:left="-720"/>
        <w:rPr>
          <w:sz w:val="25"/>
          <w:szCs w:val="25"/>
        </w:rPr>
      </w:pPr>
    </w:p>
    <w:p w:rsidR="00764685" w:rsidRDefault="00764685" w:rsidP="006F5B55">
      <w:pPr>
        <w:numPr>
          <w:ilvl w:val="0"/>
          <w:numId w:val="1"/>
        </w:numPr>
        <w:tabs>
          <w:tab w:val="clear" w:pos="720"/>
          <w:tab w:val="num" w:pos="0"/>
        </w:tabs>
        <w:spacing w:line="288" w:lineRule="auto"/>
        <w:ind w:left="0"/>
        <w:rPr>
          <w:sz w:val="25"/>
          <w:szCs w:val="25"/>
        </w:rPr>
      </w:pPr>
      <w:r>
        <w:rPr>
          <w:sz w:val="25"/>
          <w:szCs w:val="25"/>
        </w:rPr>
        <w:t xml:space="preserve">In its Petition, </w:t>
      </w:r>
      <w:r w:rsidR="001A68DD">
        <w:rPr>
          <w:sz w:val="25"/>
          <w:szCs w:val="25"/>
        </w:rPr>
        <w:t>PacifiCorp</w:t>
      </w:r>
      <w:r w:rsidR="00C707B9">
        <w:rPr>
          <w:sz w:val="25"/>
          <w:szCs w:val="25"/>
        </w:rPr>
        <w:t xml:space="preserve"> argues that the minimum loading and deration adjustment adopted by the Commission is erroneous and not supported by </w:t>
      </w:r>
      <w:r w:rsidR="009C2FD1">
        <w:rPr>
          <w:sz w:val="25"/>
          <w:szCs w:val="25"/>
        </w:rPr>
        <w:t xml:space="preserve">substantial </w:t>
      </w:r>
      <w:r w:rsidR="00C707B9">
        <w:rPr>
          <w:sz w:val="25"/>
          <w:szCs w:val="25"/>
        </w:rPr>
        <w:t>evidence in the record.</w:t>
      </w:r>
      <w:r w:rsidR="00C707B9">
        <w:rPr>
          <w:rStyle w:val="FootnoteReference"/>
          <w:sz w:val="25"/>
          <w:szCs w:val="25"/>
        </w:rPr>
        <w:footnoteReference w:id="105"/>
      </w:r>
      <w:r w:rsidR="00C707B9">
        <w:rPr>
          <w:sz w:val="25"/>
          <w:szCs w:val="25"/>
        </w:rPr>
        <w:t xml:space="preserve">  Specifically, it contends that we did not consider its evidence that the deration adjustment will only apply if a unit is dispatched at its maximum capacity and that there are many hours of dispatch below the derated maximum capacity during which the adjustment would understate the heat rate.</w:t>
      </w:r>
      <w:r w:rsidR="00C707B9">
        <w:rPr>
          <w:rStyle w:val="FootnoteReference"/>
          <w:sz w:val="25"/>
          <w:szCs w:val="25"/>
        </w:rPr>
        <w:footnoteReference w:id="106"/>
      </w:r>
      <w:r w:rsidR="00C707B9">
        <w:rPr>
          <w:sz w:val="25"/>
          <w:szCs w:val="25"/>
        </w:rPr>
        <w:t xml:space="preserve">  In addition, it argues that the adjustment reduces the minimum generation of units below their technical capabi</w:t>
      </w:r>
      <w:r w:rsidR="00521576">
        <w:rPr>
          <w:sz w:val="25"/>
          <w:szCs w:val="25"/>
        </w:rPr>
        <w:t>l</w:t>
      </w:r>
      <w:r w:rsidR="00C707B9">
        <w:rPr>
          <w:sz w:val="25"/>
          <w:szCs w:val="25"/>
        </w:rPr>
        <w:t>ity resulting in unrealistic reductions to NPC.</w:t>
      </w:r>
      <w:r w:rsidR="00C707B9">
        <w:rPr>
          <w:rStyle w:val="FootnoteReference"/>
          <w:sz w:val="25"/>
          <w:szCs w:val="25"/>
        </w:rPr>
        <w:footnoteReference w:id="107"/>
      </w:r>
      <w:r w:rsidR="00521576">
        <w:rPr>
          <w:sz w:val="25"/>
          <w:szCs w:val="25"/>
        </w:rPr>
        <w:t xml:space="preserve">  It concludes that our decision did not address all of its arguments.</w:t>
      </w:r>
    </w:p>
    <w:p w:rsidR="0003509A" w:rsidRDefault="0003509A" w:rsidP="006F5B55">
      <w:pPr>
        <w:spacing w:line="288" w:lineRule="auto"/>
        <w:ind w:left="-720"/>
        <w:rPr>
          <w:sz w:val="25"/>
          <w:szCs w:val="25"/>
        </w:rPr>
      </w:pPr>
    </w:p>
    <w:p w:rsidR="007F7F5E" w:rsidRPr="002532DF" w:rsidRDefault="0003509A" w:rsidP="006F5B55">
      <w:pPr>
        <w:numPr>
          <w:ilvl w:val="0"/>
          <w:numId w:val="1"/>
        </w:numPr>
        <w:tabs>
          <w:tab w:val="clear" w:pos="720"/>
          <w:tab w:val="num" w:pos="0"/>
        </w:tabs>
        <w:spacing w:line="288" w:lineRule="auto"/>
        <w:ind w:left="0"/>
        <w:rPr>
          <w:sz w:val="25"/>
          <w:szCs w:val="25"/>
        </w:rPr>
      </w:pPr>
      <w:r>
        <w:rPr>
          <w:sz w:val="25"/>
          <w:szCs w:val="25"/>
        </w:rPr>
        <w:t xml:space="preserve">The Company accurately notes that our Order did not cite each and every argument it presented.  We do not believe that we have an obligation to do so.  </w:t>
      </w:r>
      <w:r w:rsidR="00D65C01">
        <w:rPr>
          <w:sz w:val="25"/>
          <w:szCs w:val="25"/>
        </w:rPr>
        <w:t>As we stated in Order 06, “[</w:t>
      </w:r>
      <w:r w:rsidR="007C3065">
        <w:rPr>
          <w:sz w:val="25"/>
          <w:szCs w:val="25"/>
        </w:rPr>
        <w:t>u</w:t>
      </w:r>
      <w:r w:rsidR="00D65C01">
        <w:rPr>
          <w:sz w:val="25"/>
          <w:szCs w:val="25"/>
        </w:rPr>
        <w:t>]ltimately, the Company has the responsibility to develop a computer model to determine NPC and the burden to demonstrate that the model is well-designed.”</w:t>
      </w:r>
      <w:r w:rsidR="00D65C01">
        <w:rPr>
          <w:rStyle w:val="FootnoteReference"/>
          <w:sz w:val="25"/>
          <w:szCs w:val="25"/>
        </w:rPr>
        <w:footnoteReference w:id="108"/>
      </w:r>
      <w:r w:rsidR="00D65C01">
        <w:rPr>
          <w:sz w:val="25"/>
          <w:szCs w:val="25"/>
        </w:rPr>
        <w:t xml:space="preserve">  In other words, the Company has the burden of proof.  Our conclusion on this issue was simply that, while it was a “close call,” we concluded that the Company did not meet that burden and its evidence was effectively rebutted by ICNU’s proposal regarding an effective method to account for the usable range of generation unit’s variable output.</w:t>
      </w:r>
      <w:r w:rsidR="00D65C01">
        <w:rPr>
          <w:rStyle w:val="FootnoteReference"/>
          <w:sz w:val="25"/>
          <w:szCs w:val="25"/>
        </w:rPr>
        <w:footnoteReference w:id="109"/>
      </w:r>
      <w:r w:rsidR="00D65C01">
        <w:rPr>
          <w:sz w:val="25"/>
          <w:szCs w:val="25"/>
        </w:rPr>
        <w:t xml:space="preserve">  </w:t>
      </w:r>
      <w:r w:rsidR="009C2FD1">
        <w:rPr>
          <w:sz w:val="25"/>
          <w:szCs w:val="25"/>
        </w:rPr>
        <w:t>In other words, we base</w:t>
      </w:r>
      <w:r w:rsidR="00272ABA">
        <w:rPr>
          <w:sz w:val="25"/>
          <w:szCs w:val="25"/>
        </w:rPr>
        <w:t>d</w:t>
      </w:r>
      <w:r w:rsidR="009C2FD1">
        <w:rPr>
          <w:sz w:val="25"/>
          <w:szCs w:val="25"/>
        </w:rPr>
        <w:t xml:space="preserve"> our decision on evidence in the record – that offered by ICNU</w:t>
      </w:r>
      <w:r w:rsidR="0025576A">
        <w:rPr>
          <w:sz w:val="25"/>
          <w:szCs w:val="25"/>
        </w:rPr>
        <w:t xml:space="preserve"> which we found to be the more credible approach for modeling minimum loading and deration adjustments for </w:t>
      </w:r>
      <w:r w:rsidR="0025576A">
        <w:rPr>
          <w:sz w:val="25"/>
          <w:szCs w:val="25"/>
        </w:rPr>
        <w:lastRenderedPageBreak/>
        <w:t>thermal units in this case</w:t>
      </w:r>
      <w:r w:rsidR="00DA7FF6">
        <w:rPr>
          <w:sz w:val="25"/>
          <w:szCs w:val="25"/>
        </w:rPr>
        <w:t xml:space="preserve">.  </w:t>
      </w:r>
      <w:r w:rsidR="00D65C01">
        <w:rPr>
          <w:sz w:val="25"/>
          <w:szCs w:val="25"/>
        </w:rPr>
        <w:t>Having found one reason to reject the Company’s proposal (albeit the one</w:t>
      </w:r>
      <w:r w:rsidR="00737028">
        <w:rPr>
          <w:sz w:val="25"/>
          <w:szCs w:val="25"/>
        </w:rPr>
        <w:t xml:space="preserve"> essential for PacifiCorp to prevail)</w:t>
      </w:r>
      <w:r w:rsidR="00D65C01">
        <w:rPr>
          <w:sz w:val="25"/>
          <w:szCs w:val="25"/>
        </w:rPr>
        <w:t xml:space="preserve">, failure to meet the burden of proof, </w:t>
      </w:r>
      <w:r w:rsidR="007F4F3F">
        <w:rPr>
          <w:sz w:val="25"/>
          <w:szCs w:val="25"/>
        </w:rPr>
        <w:t xml:space="preserve">we do not believe </w:t>
      </w:r>
      <w:r w:rsidR="00D65C01">
        <w:rPr>
          <w:sz w:val="25"/>
          <w:szCs w:val="25"/>
        </w:rPr>
        <w:t xml:space="preserve">it is necessary to </w:t>
      </w:r>
      <w:r w:rsidR="007F4F3F">
        <w:rPr>
          <w:sz w:val="25"/>
          <w:szCs w:val="25"/>
        </w:rPr>
        <w:t xml:space="preserve">systematically </w:t>
      </w:r>
      <w:r w:rsidR="00D65C01">
        <w:rPr>
          <w:sz w:val="25"/>
          <w:szCs w:val="25"/>
        </w:rPr>
        <w:t xml:space="preserve">reject </w:t>
      </w:r>
      <w:r w:rsidR="00ED3AC4">
        <w:rPr>
          <w:sz w:val="25"/>
          <w:szCs w:val="25"/>
        </w:rPr>
        <w:t xml:space="preserve">each and </w:t>
      </w:r>
      <w:r w:rsidR="00D65C01">
        <w:rPr>
          <w:sz w:val="25"/>
          <w:szCs w:val="25"/>
        </w:rPr>
        <w:t xml:space="preserve">every other argument posed by PacifiCorp.  The </w:t>
      </w:r>
      <w:r w:rsidR="00786425">
        <w:rPr>
          <w:sz w:val="25"/>
          <w:szCs w:val="25"/>
        </w:rPr>
        <w:t>P</w:t>
      </w:r>
      <w:r w:rsidR="00D65C01">
        <w:rPr>
          <w:sz w:val="25"/>
          <w:szCs w:val="25"/>
        </w:rPr>
        <w:t xml:space="preserve">etition for </w:t>
      </w:r>
      <w:r w:rsidR="00786425">
        <w:rPr>
          <w:sz w:val="25"/>
          <w:szCs w:val="25"/>
        </w:rPr>
        <w:t>R</w:t>
      </w:r>
      <w:r w:rsidR="00D65C01">
        <w:rPr>
          <w:sz w:val="25"/>
          <w:szCs w:val="25"/>
        </w:rPr>
        <w:t xml:space="preserve">econsideration </w:t>
      </w:r>
      <w:r w:rsidR="00D97DDB">
        <w:rPr>
          <w:sz w:val="25"/>
          <w:szCs w:val="25"/>
        </w:rPr>
        <w:t xml:space="preserve">on this issue </w:t>
      </w:r>
      <w:r w:rsidR="00D65C01">
        <w:rPr>
          <w:sz w:val="25"/>
          <w:szCs w:val="25"/>
        </w:rPr>
        <w:t xml:space="preserve">is denied. </w:t>
      </w:r>
    </w:p>
    <w:p w:rsidR="007449FA" w:rsidRPr="002532DF" w:rsidRDefault="00F17639" w:rsidP="006F5B55">
      <w:pPr>
        <w:pStyle w:val="Heading4"/>
        <w:spacing w:line="288" w:lineRule="auto"/>
        <w:ind w:left="1080"/>
        <w:rPr>
          <w:rFonts w:ascii="Times New Roman" w:hAnsi="Times New Roman"/>
          <w:sz w:val="25"/>
          <w:szCs w:val="25"/>
        </w:rPr>
      </w:pPr>
      <w:bookmarkStart w:id="20" w:name="_Toc288813758"/>
      <w:r>
        <w:rPr>
          <w:rFonts w:ascii="Times New Roman" w:hAnsi="Times New Roman"/>
          <w:sz w:val="25"/>
          <w:szCs w:val="25"/>
        </w:rPr>
        <w:t>4</w:t>
      </w:r>
      <w:r w:rsidR="007449FA" w:rsidRPr="002532DF">
        <w:rPr>
          <w:rFonts w:ascii="Times New Roman" w:hAnsi="Times New Roman"/>
          <w:sz w:val="25"/>
          <w:szCs w:val="25"/>
        </w:rPr>
        <w:t>.</w:t>
      </w:r>
      <w:r w:rsidR="007449FA" w:rsidRPr="002532DF">
        <w:rPr>
          <w:rFonts w:ascii="Times New Roman" w:hAnsi="Times New Roman"/>
          <w:sz w:val="25"/>
          <w:szCs w:val="25"/>
        </w:rPr>
        <w:tab/>
      </w:r>
      <w:r w:rsidR="00AF585C" w:rsidRPr="002532DF">
        <w:rPr>
          <w:rFonts w:ascii="Times New Roman" w:hAnsi="Times New Roman"/>
          <w:sz w:val="25"/>
          <w:szCs w:val="25"/>
        </w:rPr>
        <w:t>Federal Income Tax: Normalization or Flow-Through</w:t>
      </w:r>
      <w:bookmarkEnd w:id="20"/>
    </w:p>
    <w:p w:rsidR="007449FA" w:rsidRPr="002532DF" w:rsidRDefault="007449FA" w:rsidP="006F5B55">
      <w:pPr>
        <w:tabs>
          <w:tab w:val="left" w:pos="1800"/>
        </w:tabs>
        <w:spacing w:line="288" w:lineRule="auto"/>
        <w:ind w:left="1440"/>
        <w:rPr>
          <w:b/>
          <w:sz w:val="25"/>
          <w:szCs w:val="25"/>
        </w:rPr>
      </w:pPr>
    </w:p>
    <w:p w:rsidR="00764685" w:rsidRDefault="008A5A88" w:rsidP="006F5B55">
      <w:pPr>
        <w:numPr>
          <w:ilvl w:val="0"/>
          <w:numId w:val="1"/>
        </w:numPr>
        <w:tabs>
          <w:tab w:val="clear" w:pos="720"/>
          <w:tab w:val="num" w:pos="0"/>
        </w:tabs>
        <w:spacing w:line="288" w:lineRule="auto"/>
        <w:ind w:left="0"/>
        <w:rPr>
          <w:sz w:val="25"/>
          <w:szCs w:val="25"/>
        </w:rPr>
      </w:pPr>
      <w:r>
        <w:rPr>
          <w:sz w:val="25"/>
          <w:szCs w:val="25"/>
        </w:rPr>
        <w:t>In our Final Order, w</w:t>
      </w:r>
      <w:r w:rsidR="00764685" w:rsidRPr="00764685">
        <w:rPr>
          <w:sz w:val="25"/>
          <w:szCs w:val="25"/>
        </w:rPr>
        <w:t>e rejected PacifiCorp’s</w:t>
      </w:r>
      <w:r w:rsidR="00764685">
        <w:rPr>
          <w:sz w:val="25"/>
          <w:szCs w:val="25"/>
        </w:rPr>
        <w:t xml:space="preserve"> proposal to move to fu</w:t>
      </w:r>
      <w:r w:rsidR="007449FA" w:rsidRPr="00764685">
        <w:rPr>
          <w:sz w:val="25"/>
          <w:szCs w:val="25"/>
        </w:rPr>
        <w:t xml:space="preserve">ll income tax normalization accounting </w:t>
      </w:r>
      <w:r w:rsidR="00727713" w:rsidRPr="00764685">
        <w:rPr>
          <w:sz w:val="25"/>
          <w:szCs w:val="25"/>
        </w:rPr>
        <w:t xml:space="preserve">for </w:t>
      </w:r>
      <w:r w:rsidR="007449FA" w:rsidRPr="00764685">
        <w:rPr>
          <w:sz w:val="25"/>
          <w:szCs w:val="25"/>
        </w:rPr>
        <w:t>regulatory rate-setting purposes.</w:t>
      </w:r>
      <w:r w:rsidR="00764685">
        <w:rPr>
          <w:rStyle w:val="FootnoteReference"/>
          <w:sz w:val="25"/>
          <w:szCs w:val="25"/>
        </w:rPr>
        <w:footnoteReference w:id="110"/>
      </w:r>
      <w:r w:rsidR="00D56945">
        <w:rPr>
          <w:sz w:val="25"/>
          <w:szCs w:val="25"/>
        </w:rPr>
        <w:t xml:space="preserve">  We noted that a decision to allow full normalization is a significant policy decision because we have “used flow-through accounting for income taxes generally since liberalized depreciation was first introduced into tax law.</w:t>
      </w:r>
      <w:r w:rsidR="00D56945">
        <w:rPr>
          <w:rStyle w:val="FootnoteReference"/>
          <w:sz w:val="25"/>
          <w:szCs w:val="25"/>
        </w:rPr>
        <w:footnoteReference w:id="111"/>
      </w:r>
      <w:r w:rsidR="00D56945">
        <w:rPr>
          <w:sz w:val="25"/>
          <w:szCs w:val="25"/>
        </w:rPr>
        <w:t xml:space="preserve">  We concluded that PacifiCorp failed to meet its burden </w:t>
      </w:r>
      <w:r w:rsidR="003230AB">
        <w:rPr>
          <w:sz w:val="25"/>
          <w:szCs w:val="25"/>
        </w:rPr>
        <w:t>of</w:t>
      </w:r>
      <w:r w:rsidR="00D56945">
        <w:rPr>
          <w:sz w:val="25"/>
          <w:szCs w:val="25"/>
        </w:rPr>
        <w:t xml:space="preserve"> proof </w:t>
      </w:r>
      <w:r w:rsidR="003C3A26">
        <w:rPr>
          <w:sz w:val="25"/>
          <w:szCs w:val="25"/>
        </w:rPr>
        <w:t xml:space="preserve">to demonstrate that full income tax normalization is the most beneficial to the company and ratepayers, </w:t>
      </w:r>
      <w:r w:rsidR="00D56945">
        <w:rPr>
          <w:sz w:val="25"/>
          <w:szCs w:val="25"/>
        </w:rPr>
        <w:t xml:space="preserve">and </w:t>
      </w:r>
      <w:r w:rsidR="003C3A26">
        <w:rPr>
          <w:sz w:val="25"/>
          <w:szCs w:val="25"/>
        </w:rPr>
        <w:t xml:space="preserve">we </w:t>
      </w:r>
      <w:r w:rsidR="00D56945">
        <w:rPr>
          <w:sz w:val="25"/>
          <w:szCs w:val="25"/>
        </w:rPr>
        <w:t>upheld our long-standing policy of flow-through accounting.</w:t>
      </w:r>
      <w:r w:rsidR="00D56945">
        <w:rPr>
          <w:rStyle w:val="FootnoteReference"/>
          <w:sz w:val="25"/>
          <w:szCs w:val="25"/>
        </w:rPr>
        <w:footnoteReference w:id="112"/>
      </w:r>
      <w:r w:rsidR="005E446A">
        <w:rPr>
          <w:sz w:val="25"/>
          <w:szCs w:val="25"/>
        </w:rPr>
        <w:t xml:space="preserve">  We also adjusted rate base to revise the accumulated deferred income tax (ADIT) amount to reflect </w:t>
      </w:r>
      <w:r w:rsidR="002C23D9">
        <w:rPr>
          <w:sz w:val="25"/>
          <w:szCs w:val="25"/>
        </w:rPr>
        <w:t xml:space="preserve">normalization of $6.4 million in </w:t>
      </w:r>
      <w:r w:rsidR="005E446A">
        <w:rPr>
          <w:sz w:val="25"/>
          <w:szCs w:val="25"/>
        </w:rPr>
        <w:t>taxes associated with certain regulatory assets deferred by Commission decisions.</w:t>
      </w:r>
      <w:r w:rsidR="005E446A">
        <w:rPr>
          <w:rStyle w:val="FootnoteReference"/>
          <w:sz w:val="25"/>
          <w:szCs w:val="25"/>
        </w:rPr>
        <w:footnoteReference w:id="113"/>
      </w:r>
    </w:p>
    <w:p w:rsidR="005E446A" w:rsidRPr="002532DF" w:rsidRDefault="005E446A" w:rsidP="006F5B55">
      <w:pPr>
        <w:spacing w:line="288" w:lineRule="auto"/>
        <w:ind w:left="-720"/>
        <w:rPr>
          <w:sz w:val="25"/>
          <w:szCs w:val="25"/>
        </w:rPr>
      </w:pPr>
    </w:p>
    <w:p w:rsidR="00881D03" w:rsidRDefault="005E446A" w:rsidP="006F5B55">
      <w:pPr>
        <w:numPr>
          <w:ilvl w:val="0"/>
          <w:numId w:val="1"/>
        </w:numPr>
        <w:tabs>
          <w:tab w:val="clear" w:pos="720"/>
          <w:tab w:val="num" w:pos="0"/>
        </w:tabs>
        <w:spacing w:line="288" w:lineRule="auto"/>
        <w:ind w:left="0"/>
        <w:rPr>
          <w:sz w:val="25"/>
          <w:szCs w:val="25"/>
        </w:rPr>
      </w:pPr>
      <w:r>
        <w:rPr>
          <w:sz w:val="25"/>
          <w:szCs w:val="25"/>
        </w:rPr>
        <w:t xml:space="preserve">In its Petition, </w:t>
      </w:r>
      <w:r w:rsidR="00B267C4">
        <w:rPr>
          <w:sz w:val="25"/>
          <w:szCs w:val="25"/>
        </w:rPr>
        <w:t xml:space="preserve">the Company argues that the Commission essentially approved an </w:t>
      </w:r>
      <w:r w:rsidR="00B267C4">
        <w:rPr>
          <w:i/>
          <w:sz w:val="25"/>
          <w:szCs w:val="25"/>
        </w:rPr>
        <w:t xml:space="preserve">ad hoc </w:t>
      </w:r>
      <w:r w:rsidR="00B267C4">
        <w:rPr>
          <w:sz w:val="25"/>
          <w:szCs w:val="25"/>
        </w:rPr>
        <w:t>approach that directs PacifiCorp to use flow-through accounting in certain circumstances and normalized accounting in others.</w:t>
      </w:r>
      <w:r w:rsidR="00B267C4">
        <w:rPr>
          <w:rStyle w:val="FootnoteReference"/>
          <w:sz w:val="25"/>
          <w:szCs w:val="25"/>
        </w:rPr>
        <w:footnoteReference w:id="114"/>
      </w:r>
      <w:r w:rsidR="00FD2247" w:rsidRPr="002532DF">
        <w:rPr>
          <w:sz w:val="25"/>
          <w:szCs w:val="25"/>
        </w:rPr>
        <w:t xml:space="preserve"> </w:t>
      </w:r>
      <w:r w:rsidR="003C3A26">
        <w:rPr>
          <w:sz w:val="25"/>
          <w:szCs w:val="25"/>
        </w:rPr>
        <w:t xml:space="preserve"> </w:t>
      </w:r>
      <w:r w:rsidR="00B267C4">
        <w:rPr>
          <w:sz w:val="25"/>
          <w:szCs w:val="25"/>
        </w:rPr>
        <w:t>It</w:t>
      </w:r>
      <w:r w:rsidR="0046428A">
        <w:rPr>
          <w:sz w:val="25"/>
          <w:szCs w:val="25"/>
        </w:rPr>
        <w:t xml:space="preserve"> contends that the Commission did not set forth standards regarding when each approach would be used creating uncertainty for utilities.  Finally, PacifiCorp objects to the Commission’s ruling that </w:t>
      </w:r>
      <w:r w:rsidR="003C3A26">
        <w:rPr>
          <w:sz w:val="25"/>
          <w:szCs w:val="25"/>
        </w:rPr>
        <w:t>the Company</w:t>
      </w:r>
      <w:r w:rsidR="0046428A">
        <w:rPr>
          <w:sz w:val="25"/>
          <w:szCs w:val="25"/>
        </w:rPr>
        <w:t xml:space="preserve"> did not meet its burden of proof because it did not quantify the effect of its proposal</w:t>
      </w:r>
      <w:r w:rsidR="003C3A26">
        <w:rPr>
          <w:sz w:val="25"/>
          <w:szCs w:val="25"/>
        </w:rPr>
        <w:t>.  PacifiCorp now</w:t>
      </w:r>
      <w:r w:rsidR="0046428A">
        <w:rPr>
          <w:sz w:val="25"/>
          <w:szCs w:val="25"/>
        </w:rPr>
        <w:t xml:space="preserve"> estimates that </w:t>
      </w:r>
      <w:r w:rsidR="003C3A26">
        <w:rPr>
          <w:sz w:val="25"/>
          <w:szCs w:val="25"/>
        </w:rPr>
        <w:t xml:space="preserve">adoption of full income tax </w:t>
      </w:r>
      <w:r w:rsidR="003C3A26">
        <w:rPr>
          <w:sz w:val="25"/>
          <w:szCs w:val="25"/>
        </w:rPr>
        <w:lastRenderedPageBreak/>
        <w:t xml:space="preserve">normalization for flow-through effects from past periods would create a regulatory asset of $1.6 million, which </w:t>
      </w:r>
      <w:r w:rsidR="0046428A">
        <w:rPr>
          <w:sz w:val="25"/>
          <w:szCs w:val="25"/>
        </w:rPr>
        <w:t>would be negligible if amortized over a 5 or 10 year period.</w:t>
      </w:r>
      <w:r w:rsidR="0046428A">
        <w:rPr>
          <w:rStyle w:val="FootnoteReference"/>
          <w:sz w:val="25"/>
          <w:szCs w:val="25"/>
        </w:rPr>
        <w:footnoteReference w:id="115"/>
      </w:r>
      <w:r w:rsidR="00D44352">
        <w:rPr>
          <w:sz w:val="25"/>
          <w:szCs w:val="25"/>
        </w:rPr>
        <w:t xml:space="preserve">  At a minimum, the Company sought clarification of the Commission’s policy on this issue.</w:t>
      </w:r>
    </w:p>
    <w:p w:rsidR="00317356" w:rsidRDefault="00317356" w:rsidP="006F5B55">
      <w:pPr>
        <w:spacing w:line="288" w:lineRule="auto"/>
        <w:ind w:left="-720"/>
        <w:rPr>
          <w:sz w:val="25"/>
          <w:szCs w:val="25"/>
        </w:rPr>
      </w:pPr>
    </w:p>
    <w:p w:rsidR="0079273B" w:rsidRDefault="003C3A26" w:rsidP="006F5B55">
      <w:pPr>
        <w:numPr>
          <w:ilvl w:val="0"/>
          <w:numId w:val="1"/>
        </w:numPr>
        <w:tabs>
          <w:tab w:val="clear" w:pos="720"/>
          <w:tab w:val="num" w:pos="0"/>
        </w:tabs>
        <w:spacing w:line="288" w:lineRule="auto"/>
        <w:ind w:left="0"/>
        <w:rPr>
          <w:sz w:val="25"/>
          <w:szCs w:val="25"/>
        </w:rPr>
      </w:pPr>
      <w:r>
        <w:rPr>
          <w:sz w:val="25"/>
          <w:szCs w:val="25"/>
        </w:rPr>
        <w:t>Ironically, t</w:t>
      </w:r>
      <w:r w:rsidR="00A06EB7">
        <w:rPr>
          <w:sz w:val="25"/>
          <w:szCs w:val="25"/>
        </w:rPr>
        <w:t xml:space="preserve">he Company’s Petition now provides us </w:t>
      </w:r>
      <w:r>
        <w:rPr>
          <w:sz w:val="25"/>
          <w:szCs w:val="25"/>
        </w:rPr>
        <w:t xml:space="preserve">for the first time </w:t>
      </w:r>
      <w:r w:rsidR="00A06EB7">
        <w:rPr>
          <w:sz w:val="25"/>
          <w:szCs w:val="25"/>
        </w:rPr>
        <w:t xml:space="preserve">with </w:t>
      </w:r>
      <w:r>
        <w:rPr>
          <w:sz w:val="25"/>
          <w:szCs w:val="25"/>
        </w:rPr>
        <w:t xml:space="preserve">PacifiCorp’s calculation of </w:t>
      </w:r>
      <w:r w:rsidR="00A06EB7">
        <w:rPr>
          <w:sz w:val="25"/>
          <w:szCs w:val="25"/>
        </w:rPr>
        <w:t xml:space="preserve">the rate impact of </w:t>
      </w:r>
      <w:r w:rsidR="001C59CF">
        <w:rPr>
          <w:sz w:val="25"/>
          <w:szCs w:val="25"/>
        </w:rPr>
        <w:t xml:space="preserve">full income </w:t>
      </w:r>
      <w:r w:rsidR="00A06EB7">
        <w:rPr>
          <w:sz w:val="25"/>
          <w:szCs w:val="25"/>
        </w:rPr>
        <w:t>tax normalization</w:t>
      </w:r>
      <w:r>
        <w:rPr>
          <w:sz w:val="25"/>
          <w:szCs w:val="25"/>
        </w:rPr>
        <w:t xml:space="preserve"> – the very information that PacifiCorp previously </w:t>
      </w:r>
      <w:r w:rsidR="001C59CF">
        <w:rPr>
          <w:sz w:val="25"/>
          <w:szCs w:val="25"/>
        </w:rPr>
        <w:t xml:space="preserve">argued that it </w:t>
      </w:r>
      <w:r w:rsidR="0079273B">
        <w:rPr>
          <w:sz w:val="25"/>
          <w:szCs w:val="25"/>
        </w:rPr>
        <w:t xml:space="preserve">could not quantify </w:t>
      </w:r>
      <w:r w:rsidR="009A5DDB">
        <w:rPr>
          <w:sz w:val="25"/>
          <w:szCs w:val="25"/>
        </w:rPr>
        <w:t>“</w:t>
      </w:r>
      <w:r w:rsidR="0079273B">
        <w:rPr>
          <w:sz w:val="25"/>
          <w:szCs w:val="25"/>
        </w:rPr>
        <w:t>without our approval to fully normalize taxes</w:t>
      </w:r>
      <w:r w:rsidR="00B904F6">
        <w:rPr>
          <w:sz w:val="25"/>
          <w:szCs w:val="25"/>
        </w:rPr>
        <w:t>,</w:t>
      </w:r>
      <w:r w:rsidR="0079273B">
        <w:rPr>
          <w:sz w:val="25"/>
          <w:szCs w:val="25"/>
        </w:rPr>
        <w:t xml:space="preserve"> a situation it explains as a ‘regulatory Catch-22.’</w:t>
      </w:r>
      <w:r w:rsidR="009A5DDB">
        <w:rPr>
          <w:sz w:val="25"/>
          <w:szCs w:val="25"/>
        </w:rPr>
        <w:t>”</w:t>
      </w:r>
      <w:r w:rsidR="0079273B">
        <w:rPr>
          <w:rStyle w:val="FootnoteReference"/>
          <w:sz w:val="25"/>
          <w:szCs w:val="25"/>
        </w:rPr>
        <w:footnoteReference w:id="116"/>
      </w:r>
      <w:r w:rsidR="0079273B">
        <w:rPr>
          <w:sz w:val="25"/>
          <w:szCs w:val="25"/>
        </w:rPr>
        <w:t xml:space="preserve">  </w:t>
      </w:r>
      <w:r>
        <w:rPr>
          <w:sz w:val="25"/>
          <w:szCs w:val="25"/>
        </w:rPr>
        <w:t>Providing such information in a petition for reconsideration, however, is too late in the process to be considered.  PacifiCorp had every opportunity to include this information in its testimony, and presenting</w:t>
      </w:r>
      <w:r w:rsidR="008B7D5B">
        <w:rPr>
          <w:sz w:val="25"/>
          <w:szCs w:val="25"/>
        </w:rPr>
        <w:t xml:space="preserve"> new evidence </w:t>
      </w:r>
      <w:r w:rsidR="006B0E19">
        <w:rPr>
          <w:sz w:val="25"/>
          <w:szCs w:val="25"/>
        </w:rPr>
        <w:t>at this stage in the proceeding implicates the</w:t>
      </w:r>
      <w:r w:rsidR="008B7D5B">
        <w:rPr>
          <w:sz w:val="25"/>
          <w:szCs w:val="25"/>
        </w:rPr>
        <w:t xml:space="preserve"> due process </w:t>
      </w:r>
      <w:r w:rsidR="006B0E19">
        <w:rPr>
          <w:sz w:val="25"/>
          <w:szCs w:val="25"/>
        </w:rPr>
        <w:t xml:space="preserve">rights of other parties, as they were not provided </w:t>
      </w:r>
      <w:r w:rsidR="003E518C">
        <w:rPr>
          <w:sz w:val="25"/>
          <w:szCs w:val="25"/>
        </w:rPr>
        <w:t>with notice and an opportunity to be heard.</w:t>
      </w:r>
    </w:p>
    <w:p w:rsidR="003E518C" w:rsidRDefault="003E518C" w:rsidP="006F5B55">
      <w:pPr>
        <w:spacing w:line="288" w:lineRule="auto"/>
        <w:ind w:left="-720"/>
        <w:rPr>
          <w:sz w:val="25"/>
          <w:szCs w:val="25"/>
        </w:rPr>
      </w:pPr>
    </w:p>
    <w:p w:rsidR="002C23D9" w:rsidRDefault="003C3A26" w:rsidP="006F5B55">
      <w:pPr>
        <w:numPr>
          <w:ilvl w:val="0"/>
          <w:numId w:val="1"/>
        </w:numPr>
        <w:tabs>
          <w:tab w:val="clear" w:pos="720"/>
          <w:tab w:val="num" w:pos="0"/>
        </w:tabs>
        <w:spacing w:line="288" w:lineRule="auto"/>
        <w:ind w:left="0"/>
        <w:rPr>
          <w:sz w:val="25"/>
          <w:szCs w:val="25"/>
        </w:rPr>
      </w:pPr>
      <w:r w:rsidRPr="009D42B8">
        <w:rPr>
          <w:sz w:val="25"/>
          <w:szCs w:val="25"/>
        </w:rPr>
        <w:t xml:space="preserve">We nevertheless will </w:t>
      </w:r>
      <w:r w:rsidR="00C058FD" w:rsidRPr="009D42B8">
        <w:rPr>
          <w:sz w:val="25"/>
          <w:szCs w:val="25"/>
        </w:rPr>
        <w:t xml:space="preserve">grant the Company’s request for clarification.  </w:t>
      </w:r>
      <w:r w:rsidR="00317356" w:rsidRPr="009D42B8">
        <w:rPr>
          <w:sz w:val="25"/>
          <w:szCs w:val="25"/>
        </w:rPr>
        <w:t>Staff’s Answer does an excellent job of summarizing our policy on income tax treatment.</w:t>
      </w:r>
      <w:r w:rsidR="00317356">
        <w:rPr>
          <w:rStyle w:val="FootnoteReference"/>
          <w:sz w:val="25"/>
          <w:szCs w:val="25"/>
        </w:rPr>
        <w:footnoteReference w:id="117"/>
      </w:r>
      <w:r w:rsidR="00317356" w:rsidRPr="009D42B8">
        <w:rPr>
          <w:sz w:val="25"/>
          <w:szCs w:val="25"/>
        </w:rPr>
        <w:t xml:space="preserve">  Our general policy requires flow-through accounting for federal income taxes when permitted by the Internal Revenue Code, except </w:t>
      </w:r>
      <w:r w:rsidR="00D95675" w:rsidRPr="009D42B8">
        <w:rPr>
          <w:sz w:val="25"/>
          <w:szCs w:val="25"/>
        </w:rPr>
        <w:t>in</w:t>
      </w:r>
      <w:r w:rsidR="00317356" w:rsidRPr="009D42B8">
        <w:rPr>
          <w:sz w:val="25"/>
          <w:szCs w:val="25"/>
        </w:rPr>
        <w:t xml:space="preserve"> two circumstances</w:t>
      </w:r>
      <w:r w:rsidRPr="009D42B8">
        <w:rPr>
          <w:sz w:val="25"/>
          <w:szCs w:val="25"/>
        </w:rPr>
        <w:t xml:space="preserve"> when tax normalization treatment is more appropriate</w:t>
      </w:r>
      <w:r w:rsidR="00317356" w:rsidRPr="009D42B8">
        <w:rPr>
          <w:sz w:val="25"/>
          <w:szCs w:val="25"/>
        </w:rPr>
        <w:t xml:space="preserve">.  </w:t>
      </w:r>
      <w:r w:rsidR="009D42B8" w:rsidRPr="009D42B8">
        <w:rPr>
          <w:sz w:val="25"/>
          <w:szCs w:val="25"/>
        </w:rPr>
        <w:t>The first exception is in circumstances in which we approve cost deferral</w:t>
      </w:r>
      <w:r w:rsidR="009D42B8">
        <w:rPr>
          <w:sz w:val="25"/>
          <w:szCs w:val="25"/>
        </w:rPr>
        <w:t xml:space="preserve"> </w:t>
      </w:r>
      <w:r w:rsidR="009D42B8" w:rsidRPr="009D42B8">
        <w:rPr>
          <w:sz w:val="25"/>
          <w:szCs w:val="25"/>
        </w:rPr>
        <w:t xml:space="preserve">particularly when such treatment for regulatory assets (including federal income taxes) deferred by a utility pursuant to RCW 80.80.060(6) and WAC 480-100-435 is consistent with normalization.  The second exception is where a particular item, such as the repairs deduction, has a significant impact on ratepayers and the utility.  Our treatment in this case was entirely consistent with the foregoing policy.  We continued our long-standing use of flow-through accounting except in the prescribed circumstances that warrant normalization.  </w:t>
      </w:r>
      <w:r w:rsidR="00C64B22" w:rsidRPr="009D42B8">
        <w:rPr>
          <w:sz w:val="25"/>
          <w:szCs w:val="25"/>
        </w:rPr>
        <w:t>We deny reconsideration of this issue.</w:t>
      </w:r>
      <w:r w:rsidR="002C23D9" w:rsidRPr="009D42B8">
        <w:rPr>
          <w:sz w:val="25"/>
          <w:szCs w:val="25"/>
        </w:rPr>
        <w:t xml:space="preserve"> </w:t>
      </w:r>
    </w:p>
    <w:p w:rsidR="00531C8B" w:rsidRDefault="00531C8B" w:rsidP="00531C8B">
      <w:pPr>
        <w:pStyle w:val="ListParagraph"/>
        <w:rPr>
          <w:sz w:val="25"/>
          <w:szCs w:val="25"/>
        </w:rPr>
      </w:pPr>
    </w:p>
    <w:p w:rsidR="00531C8B" w:rsidRPr="009D42B8" w:rsidRDefault="00531C8B" w:rsidP="00531C8B">
      <w:pPr>
        <w:spacing w:line="288" w:lineRule="auto"/>
        <w:rPr>
          <w:sz w:val="25"/>
          <w:szCs w:val="25"/>
        </w:rPr>
      </w:pPr>
    </w:p>
    <w:p w:rsidR="00F27132" w:rsidRPr="002532DF" w:rsidRDefault="00F27132" w:rsidP="006F5B55">
      <w:pPr>
        <w:pStyle w:val="Heading1"/>
        <w:spacing w:line="288" w:lineRule="auto"/>
        <w:jc w:val="center"/>
        <w:rPr>
          <w:rFonts w:ascii="Times New Roman" w:hAnsi="Times New Roman"/>
          <w:sz w:val="25"/>
          <w:szCs w:val="25"/>
          <w:u w:val="single"/>
        </w:rPr>
      </w:pPr>
      <w:bookmarkStart w:id="21" w:name="_Toc288813769"/>
      <w:r w:rsidRPr="002532DF">
        <w:rPr>
          <w:rFonts w:ascii="Times New Roman" w:hAnsi="Times New Roman"/>
          <w:sz w:val="25"/>
          <w:szCs w:val="25"/>
          <w:u w:val="single"/>
        </w:rPr>
        <w:t>O</w:t>
      </w:r>
      <w:r w:rsidR="001A0A3A" w:rsidRPr="002532DF">
        <w:rPr>
          <w:rFonts w:ascii="Times New Roman" w:hAnsi="Times New Roman"/>
          <w:sz w:val="25"/>
          <w:szCs w:val="25"/>
          <w:u w:val="single"/>
        </w:rPr>
        <w:t xml:space="preserve"> </w:t>
      </w:r>
      <w:r w:rsidRPr="002532DF">
        <w:rPr>
          <w:rFonts w:ascii="Times New Roman" w:hAnsi="Times New Roman"/>
          <w:sz w:val="25"/>
          <w:szCs w:val="25"/>
          <w:u w:val="single"/>
        </w:rPr>
        <w:t>R</w:t>
      </w:r>
      <w:r w:rsidR="001A0A3A" w:rsidRPr="002532DF">
        <w:rPr>
          <w:rFonts w:ascii="Times New Roman" w:hAnsi="Times New Roman"/>
          <w:sz w:val="25"/>
          <w:szCs w:val="25"/>
          <w:u w:val="single"/>
        </w:rPr>
        <w:t xml:space="preserve"> </w:t>
      </w:r>
      <w:r w:rsidRPr="002532DF">
        <w:rPr>
          <w:rFonts w:ascii="Times New Roman" w:hAnsi="Times New Roman"/>
          <w:sz w:val="25"/>
          <w:szCs w:val="25"/>
          <w:u w:val="single"/>
        </w:rPr>
        <w:t>D</w:t>
      </w:r>
      <w:r w:rsidR="001A0A3A" w:rsidRPr="002532DF">
        <w:rPr>
          <w:rFonts w:ascii="Times New Roman" w:hAnsi="Times New Roman"/>
          <w:sz w:val="25"/>
          <w:szCs w:val="25"/>
          <w:u w:val="single"/>
        </w:rPr>
        <w:t xml:space="preserve"> </w:t>
      </w:r>
      <w:r w:rsidRPr="002532DF">
        <w:rPr>
          <w:rFonts w:ascii="Times New Roman" w:hAnsi="Times New Roman"/>
          <w:sz w:val="25"/>
          <w:szCs w:val="25"/>
          <w:u w:val="single"/>
        </w:rPr>
        <w:t>E</w:t>
      </w:r>
      <w:r w:rsidR="001A0A3A" w:rsidRPr="002532DF">
        <w:rPr>
          <w:rFonts w:ascii="Times New Roman" w:hAnsi="Times New Roman"/>
          <w:sz w:val="25"/>
          <w:szCs w:val="25"/>
          <w:u w:val="single"/>
        </w:rPr>
        <w:t xml:space="preserve"> </w:t>
      </w:r>
      <w:r w:rsidRPr="002532DF">
        <w:rPr>
          <w:rFonts w:ascii="Times New Roman" w:hAnsi="Times New Roman"/>
          <w:sz w:val="25"/>
          <w:szCs w:val="25"/>
          <w:u w:val="single"/>
        </w:rPr>
        <w:t>R</w:t>
      </w:r>
      <w:bookmarkEnd w:id="21"/>
    </w:p>
    <w:p w:rsidR="00F27132" w:rsidRPr="002532DF" w:rsidRDefault="00F27132" w:rsidP="006F5B55">
      <w:pPr>
        <w:spacing w:line="288" w:lineRule="auto"/>
        <w:jc w:val="center"/>
        <w:rPr>
          <w:sz w:val="25"/>
          <w:szCs w:val="25"/>
        </w:rPr>
      </w:pPr>
    </w:p>
    <w:p w:rsidR="00F27132" w:rsidRPr="002532DF" w:rsidRDefault="00F27132" w:rsidP="006F5B55">
      <w:pPr>
        <w:spacing w:line="288" w:lineRule="auto"/>
        <w:rPr>
          <w:bCs/>
          <w:sz w:val="25"/>
          <w:szCs w:val="25"/>
        </w:rPr>
      </w:pPr>
      <w:r w:rsidRPr="002532DF">
        <w:rPr>
          <w:bCs/>
          <w:sz w:val="25"/>
          <w:szCs w:val="25"/>
        </w:rPr>
        <w:t>THE COMMISSION ORDERS:</w:t>
      </w:r>
    </w:p>
    <w:p w:rsidR="00F27132" w:rsidRPr="002532DF" w:rsidRDefault="00F27132" w:rsidP="006F5B55">
      <w:pPr>
        <w:spacing w:line="288" w:lineRule="auto"/>
        <w:jc w:val="center"/>
        <w:rPr>
          <w:sz w:val="25"/>
          <w:szCs w:val="25"/>
        </w:rPr>
      </w:pPr>
    </w:p>
    <w:p w:rsidR="00F27132" w:rsidRPr="002532DF" w:rsidRDefault="00F27132" w:rsidP="006F5B55">
      <w:pPr>
        <w:numPr>
          <w:ilvl w:val="0"/>
          <w:numId w:val="1"/>
        </w:numPr>
        <w:tabs>
          <w:tab w:val="clear" w:pos="720"/>
          <w:tab w:val="num" w:pos="0"/>
        </w:tabs>
        <w:spacing w:line="288" w:lineRule="auto"/>
        <w:ind w:hanging="1440"/>
        <w:rPr>
          <w:sz w:val="25"/>
          <w:szCs w:val="25"/>
        </w:rPr>
      </w:pPr>
      <w:r w:rsidRPr="002532DF">
        <w:rPr>
          <w:sz w:val="25"/>
          <w:szCs w:val="25"/>
        </w:rPr>
        <w:t>(1)</w:t>
      </w:r>
      <w:r w:rsidRPr="002532DF">
        <w:rPr>
          <w:sz w:val="25"/>
          <w:szCs w:val="25"/>
        </w:rPr>
        <w:tab/>
      </w:r>
      <w:r w:rsidR="00AA32C3" w:rsidRPr="002532DF">
        <w:rPr>
          <w:rStyle w:val="RCWSLText"/>
          <w:rFonts w:ascii="Times New Roman" w:hAnsi="Times New Roman" w:cs="Times New Roman"/>
          <w:sz w:val="25"/>
          <w:szCs w:val="25"/>
        </w:rPr>
        <w:t>T</w:t>
      </w:r>
      <w:r w:rsidR="00AA32C3" w:rsidRPr="002532DF">
        <w:rPr>
          <w:sz w:val="25"/>
          <w:szCs w:val="25"/>
        </w:rPr>
        <w:t xml:space="preserve">he </w:t>
      </w:r>
      <w:r w:rsidR="00F17639">
        <w:rPr>
          <w:sz w:val="25"/>
          <w:szCs w:val="25"/>
        </w:rPr>
        <w:t>Petition for Reconsideration filed by</w:t>
      </w:r>
      <w:r w:rsidR="00AA32C3" w:rsidRPr="002532DF">
        <w:rPr>
          <w:sz w:val="25"/>
          <w:szCs w:val="25"/>
        </w:rPr>
        <w:t xml:space="preserve"> PacifiCorp d/b/a Pacific Power &amp; Light Co. on </w:t>
      </w:r>
      <w:r w:rsidR="00F17639">
        <w:rPr>
          <w:sz w:val="25"/>
          <w:szCs w:val="25"/>
        </w:rPr>
        <w:t>April 4, 2011, is denied.</w:t>
      </w:r>
    </w:p>
    <w:p w:rsidR="00F27132" w:rsidRPr="002532DF" w:rsidRDefault="00F27132" w:rsidP="006F5B55">
      <w:pPr>
        <w:spacing w:line="288" w:lineRule="auto"/>
        <w:ind w:left="-360"/>
        <w:rPr>
          <w:sz w:val="25"/>
          <w:szCs w:val="25"/>
        </w:rPr>
      </w:pPr>
    </w:p>
    <w:p w:rsidR="00F27132" w:rsidRPr="002532DF" w:rsidRDefault="00F27132" w:rsidP="006F5B55">
      <w:pPr>
        <w:numPr>
          <w:ilvl w:val="0"/>
          <w:numId w:val="1"/>
        </w:numPr>
        <w:tabs>
          <w:tab w:val="clear" w:pos="720"/>
          <w:tab w:val="num" w:pos="0"/>
        </w:tabs>
        <w:spacing w:line="288" w:lineRule="auto"/>
        <w:ind w:hanging="1440"/>
        <w:rPr>
          <w:b/>
          <w:sz w:val="25"/>
          <w:szCs w:val="25"/>
        </w:rPr>
      </w:pPr>
      <w:r w:rsidRPr="002532DF">
        <w:rPr>
          <w:sz w:val="25"/>
          <w:szCs w:val="25"/>
        </w:rPr>
        <w:t>(2)</w:t>
      </w:r>
      <w:r w:rsidRPr="002532DF">
        <w:rPr>
          <w:sz w:val="25"/>
          <w:szCs w:val="25"/>
        </w:rPr>
        <w:tab/>
      </w:r>
      <w:r w:rsidR="00F17639">
        <w:rPr>
          <w:sz w:val="25"/>
          <w:szCs w:val="25"/>
        </w:rPr>
        <w:t>The Petition for Reconsideration filed by the Commission Staff on April 4, 2011, is denied.</w:t>
      </w:r>
    </w:p>
    <w:p w:rsidR="00C63C64" w:rsidRPr="002532DF" w:rsidRDefault="00C63C64" w:rsidP="006F5B55">
      <w:pPr>
        <w:pStyle w:val="ListParagraph"/>
        <w:spacing w:line="288" w:lineRule="auto"/>
        <w:rPr>
          <w:b/>
          <w:sz w:val="25"/>
          <w:szCs w:val="25"/>
        </w:rPr>
      </w:pPr>
    </w:p>
    <w:p w:rsidR="00F17639" w:rsidRPr="00D56945" w:rsidRDefault="00C63C64" w:rsidP="006F5B55">
      <w:pPr>
        <w:numPr>
          <w:ilvl w:val="0"/>
          <w:numId w:val="1"/>
        </w:numPr>
        <w:tabs>
          <w:tab w:val="clear" w:pos="720"/>
          <w:tab w:val="num" w:pos="0"/>
        </w:tabs>
        <w:spacing w:line="288" w:lineRule="auto"/>
        <w:ind w:hanging="1440"/>
        <w:rPr>
          <w:b/>
        </w:rPr>
      </w:pPr>
      <w:r w:rsidRPr="00D56945">
        <w:rPr>
          <w:sz w:val="25"/>
          <w:szCs w:val="25"/>
        </w:rPr>
        <w:t>(3)</w:t>
      </w:r>
      <w:r w:rsidRPr="00D56945">
        <w:rPr>
          <w:sz w:val="25"/>
          <w:szCs w:val="25"/>
        </w:rPr>
        <w:tab/>
        <w:t>PacifiCorp</w:t>
      </w:r>
      <w:r w:rsidR="00F17639" w:rsidRPr="00D56945">
        <w:rPr>
          <w:sz w:val="25"/>
          <w:szCs w:val="25"/>
        </w:rPr>
        <w:t xml:space="preserve">’s request for clarification of the Commission’s policy on income tax normalization is granted. </w:t>
      </w:r>
    </w:p>
    <w:p w:rsidR="00F17639" w:rsidRPr="00754FA3" w:rsidRDefault="00F17639" w:rsidP="00B5542E">
      <w:pPr>
        <w:ind w:left="-720"/>
        <w:rPr>
          <w:b/>
        </w:rPr>
      </w:pPr>
    </w:p>
    <w:p w:rsidR="00F27132" w:rsidRPr="002532DF" w:rsidRDefault="00F27132" w:rsidP="00B5542E">
      <w:pPr>
        <w:rPr>
          <w:b/>
          <w:sz w:val="25"/>
          <w:szCs w:val="25"/>
        </w:rPr>
      </w:pPr>
      <w:r w:rsidRPr="002532DF">
        <w:rPr>
          <w:sz w:val="25"/>
          <w:szCs w:val="25"/>
        </w:rPr>
        <w:t>DATED at Olympia, Washington, and effective</w:t>
      </w:r>
      <w:r w:rsidR="00F17639">
        <w:rPr>
          <w:sz w:val="25"/>
          <w:szCs w:val="25"/>
        </w:rPr>
        <w:t xml:space="preserve"> </w:t>
      </w:r>
      <w:r w:rsidR="00764685">
        <w:rPr>
          <w:sz w:val="25"/>
          <w:szCs w:val="25"/>
        </w:rPr>
        <w:t>May</w:t>
      </w:r>
      <w:r w:rsidR="00F17639">
        <w:rPr>
          <w:sz w:val="25"/>
          <w:szCs w:val="25"/>
        </w:rPr>
        <w:t xml:space="preserve"> </w:t>
      </w:r>
      <w:r w:rsidR="00531C8B">
        <w:rPr>
          <w:sz w:val="25"/>
          <w:szCs w:val="25"/>
        </w:rPr>
        <w:t>12</w:t>
      </w:r>
      <w:r w:rsidR="00D365CE" w:rsidRPr="002532DF">
        <w:rPr>
          <w:sz w:val="25"/>
          <w:szCs w:val="25"/>
        </w:rPr>
        <w:t xml:space="preserve">, </w:t>
      </w:r>
      <w:r w:rsidR="00DA36AC" w:rsidRPr="002532DF">
        <w:rPr>
          <w:sz w:val="25"/>
          <w:szCs w:val="25"/>
        </w:rPr>
        <w:t>20</w:t>
      </w:r>
      <w:r w:rsidR="000808B3" w:rsidRPr="002532DF">
        <w:rPr>
          <w:sz w:val="25"/>
          <w:szCs w:val="25"/>
        </w:rPr>
        <w:t>1</w:t>
      </w:r>
      <w:r w:rsidR="00E77D4E">
        <w:rPr>
          <w:sz w:val="25"/>
          <w:szCs w:val="25"/>
        </w:rPr>
        <w:t>1</w:t>
      </w:r>
      <w:r w:rsidRPr="002532DF">
        <w:rPr>
          <w:sz w:val="25"/>
          <w:szCs w:val="25"/>
        </w:rPr>
        <w:t>.</w:t>
      </w:r>
    </w:p>
    <w:p w:rsidR="00F27132" w:rsidRPr="00754FA3" w:rsidRDefault="00F27132" w:rsidP="00B5542E">
      <w:pPr>
        <w:rPr>
          <w:b/>
        </w:rPr>
      </w:pPr>
    </w:p>
    <w:p w:rsidR="00F27132" w:rsidRPr="002532DF" w:rsidRDefault="00F27132" w:rsidP="006F5B55">
      <w:pPr>
        <w:spacing w:line="264" w:lineRule="auto"/>
        <w:jc w:val="center"/>
        <w:rPr>
          <w:sz w:val="25"/>
          <w:szCs w:val="25"/>
        </w:rPr>
      </w:pPr>
      <w:smartTag w:uri="urn:schemas-microsoft-com:office:smarttags" w:element="State">
        <w:smartTag w:uri="urn:schemas-microsoft-com:office:smarttags" w:element="place">
          <w:r w:rsidRPr="002532DF">
            <w:rPr>
              <w:sz w:val="25"/>
              <w:szCs w:val="25"/>
            </w:rPr>
            <w:t>WASHINGTON</w:t>
          </w:r>
        </w:smartTag>
      </w:smartTag>
      <w:r w:rsidRPr="002532DF">
        <w:rPr>
          <w:sz w:val="25"/>
          <w:szCs w:val="25"/>
        </w:rPr>
        <w:t xml:space="preserve"> </w:t>
      </w:r>
      <w:r w:rsidR="0028219C" w:rsidRPr="002532DF">
        <w:rPr>
          <w:sz w:val="25"/>
          <w:szCs w:val="25"/>
        </w:rPr>
        <w:t xml:space="preserve">STATE </w:t>
      </w:r>
      <w:r w:rsidRPr="002532DF">
        <w:rPr>
          <w:sz w:val="25"/>
          <w:szCs w:val="25"/>
        </w:rPr>
        <w:t>UTILITIES AND TRANSPORTATION COMMISSION</w:t>
      </w:r>
    </w:p>
    <w:p w:rsidR="00F27132" w:rsidRPr="002532DF" w:rsidRDefault="00F27132" w:rsidP="00B5542E">
      <w:pPr>
        <w:rPr>
          <w:sz w:val="25"/>
          <w:szCs w:val="25"/>
        </w:rPr>
      </w:pPr>
    </w:p>
    <w:p w:rsidR="004C1FC3" w:rsidRDefault="004C1FC3" w:rsidP="00B5542E">
      <w:pPr>
        <w:rPr>
          <w:sz w:val="25"/>
          <w:szCs w:val="25"/>
        </w:rPr>
      </w:pPr>
    </w:p>
    <w:p w:rsidR="00531C8B" w:rsidRDefault="00531C8B" w:rsidP="00B5542E">
      <w:pPr>
        <w:rPr>
          <w:sz w:val="25"/>
          <w:szCs w:val="25"/>
        </w:rPr>
      </w:pPr>
    </w:p>
    <w:p w:rsidR="00B5542E" w:rsidRPr="002532DF" w:rsidRDefault="00B5542E" w:rsidP="00B5542E">
      <w:pPr>
        <w:rPr>
          <w:sz w:val="25"/>
          <w:szCs w:val="25"/>
        </w:rPr>
      </w:pPr>
    </w:p>
    <w:p w:rsidR="00F27132" w:rsidRPr="002532DF" w:rsidRDefault="00C420CA" w:rsidP="00B5542E">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JEFFREY D. GOLTZ, Chairman</w:t>
      </w:r>
    </w:p>
    <w:p w:rsidR="004C1FC3" w:rsidRDefault="004C1FC3" w:rsidP="00B5542E">
      <w:pPr>
        <w:rPr>
          <w:sz w:val="25"/>
          <w:szCs w:val="25"/>
        </w:rPr>
      </w:pPr>
    </w:p>
    <w:p w:rsidR="00B5542E" w:rsidRDefault="00B5542E" w:rsidP="00B5542E">
      <w:pPr>
        <w:rPr>
          <w:sz w:val="25"/>
          <w:szCs w:val="25"/>
        </w:rPr>
      </w:pPr>
    </w:p>
    <w:p w:rsidR="00531C8B" w:rsidRDefault="00531C8B" w:rsidP="00B5542E">
      <w:pPr>
        <w:rPr>
          <w:sz w:val="25"/>
          <w:szCs w:val="25"/>
        </w:rPr>
      </w:pPr>
    </w:p>
    <w:p w:rsidR="006F5B55" w:rsidRPr="002532DF" w:rsidRDefault="006F5B55" w:rsidP="00B5542E">
      <w:pPr>
        <w:rPr>
          <w:sz w:val="25"/>
          <w:szCs w:val="25"/>
        </w:rPr>
      </w:pPr>
    </w:p>
    <w:p w:rsidR="00F27132" w:rsidRPr="002532DF" w:rsidRDefault="00C420CA" w:rsidP="00B5542E">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PATRICK J. OSHIE, Commissioner</w:t>
      </w:r>
    </w:p>
    <w:p w:rsidR="00F27132" w:rsidRDefault="00F27132" w:rsidP="00B5542E">
      <w:pPr>
        <w:rPr>
          <w:sz w:val="25"/>
          <w:szCs w:val="25"/>
        </w:rPr>
      </w:pPr>
    </w:p>
    <w:p w:rsidR="00B5542E" w:rsidRDefault="00B5542E" w:rsidP="00B5542E">
      <w:pPr>
        <w:rPr>
          <w:sz w:val="25"/>
          <w:szCs w:val="25"/>
        </w:rPr>
      </w:pPr>
    </w:p>
    <w:p w:rsidR="00531C8B" w:rsidRPr="002532DF" w:rsidRDefault="00531C8B" w:rsidP="00B5542E">
      <w:pPr>
        <w:rPr>
          <w:sz w:val="25"/>
          <w:szCs w:val="25"/>
        </w:rPr>
      </w:pPr>
    </w:p>
    <w:p w:rsidR="00F27132" w:rsidRPr="002532DF" w:rsidRDefault="00F27132" w:rsidP="00B5542E">
      <w:pPr>
        <w:rPr>
          <w:sz w:val="25"/>
          <w:szCs w:val="25"/>
        </w:rPr>
      </w:pPr>
    </w:p>
    <w:p w:rsidR="00AA2A0B" w:rsidRPr="002532DF" w:rsidRDefault="00C420CA" w:rsidP="00B5542E">
      <w:pPr>
        <w:rPr>
          <w:b/>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PHILIP B. JONES, Commissioner</w:t>
      </w:r>
    </w:p>
    <w:sectPr w:rsidR="00AA2A0B" w:rsidRPr="002532DF" w:rsidSect="006507B7">
      <w:headerReference w:type="default" r:id="rId9"/>
      <w:headerReference w:type="first" r:id="rId10"/>
      <w:pgSz w:w="12240" w:h="15840" w:code="1"/>
      <w:pgMar w:top="1440" w:right="1440" w:bottom="1440" w:left="2160" w:header="144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2B8" w:rsidRDefault="009D42B8">
      <w:r>
        <w:separator/>
      </w:r>
    </w:p>
  </w:endnote>
  <w:endnote w:type="continuationSeparator" w:id="0">
    <w:p w:rsidR="009D42B8" w:rsidRDefault="009D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2B8" w:rsidRDefault="009D42B8">
      <w:r>
        <w:separator/>
      </w:r>
    </w:p>
  </w:footnote>
  <w:footnote w:type="continuationSeparator" w:id="0">
    <w:p w:rsidR="009D42B8" w:rsidRDefault="009D42B8">
      <w:r>
        <w:continuationSeparator/>
      </w:r>
    </w:p>
  </w:footnote>
  <w:footnote w:id="1">
    <w:p w:rsidR="009D42B8" w:rsidRPr="005E666A" w:rsidRDefault="009D42B8" w:rsidP="00130144">
      <w:pPr>
        <w:rPr>
          <w:i/>
          <w:sz w:val="22"/>
          <w:szCs w:val="22"/>
        </w:rPr>
      </w:pPr>
      <w:r w:rsidRPr="00360835">
        <w:rPr>
          <w:rStyle w:val="FootnoteReference"/>
          <w:sz w:val="22"/>
          <w:szCs w:val="22"/>
        </w:rPr>
        <w:footnoteRef/>
      </w:r>
      <w:r w:rsidRPr="00360835">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5E666A">
        <w:rPr>
          <w:i/>
          <w:sz w:val="22"/>
          <w:szCs w:val="22"/>
        </w:rPr>
        <w:t xml:space="preserve">See </w:t>
      </w:r>
      <w:r w:rsidRPr="00D337A8">
        <w:rPr>
          <w:sz w:val="22"/>
          <w:szCs w:val="22"/>
        </w:rPr>
        <w:t>RCW 34.05.455</w:t>
      </w:r>
      <w:r w:rsidRPr="005E666A">
        <w:rPr>
          <w:i/>
          <w:sz w:val="22"/>
          <w:szCs w:val="22"/>
        </w:rPr>
        <w:t>.</w:t>
      </w:r>
    </w:p>
    <w:p w:rsidR="009D42B8" w:rsidRPr="00360835" w:rsidRDefault="009D42B8" w:rsidP="00130144">
      <w:pPr>
        <w:pStyle w:val="FootnoteText"/>
        <w:rPr>
          <w:szCs w:val="22"/>
        </w:rPr>
      </w:pPr>
    </w:p>
  </w:footnote>
  <w:footnote w:id="2">
    <w:p w:rsidR="009D42B8" w:rsidRDefault="009D42B8">
      <w:pPr>
        <w:pStyle w:val="FootnoteText"/>
      </w:pPr>
      <w:r>
        <w:rPr>
          <w:rStyle w:val="FootnoteReference"/>
        </w:rPr>
        <w:footnoteRef/>
      </w:r>
      <w:r>
        <w:t xml:space="preserve"> In order to avoid any ambiguity about the Commission’s intent to enter an order rather than have the petitions be denied by force of law, on April 25, 2011, the Commission electronically notified all parties of its intent to enter an order no later than May 20, 2011. </w:t>
      </w:r>
    </w:p>
    <w:p w:rsidR="009D42B8" w:rsidRDefault="009D42B8">
      <w:pPr>
        <w:pStyle w:val="FootnoteText"/>
      </w:pPr>
    </w:p>
  </w:footnote>
  <w:footnote w:id="3">
    <w:p w:rsidR="009D42B8" w:rsidRDefault="009D42B8">
      <w:pPr>
        <w:pStyle w:val="FootnoteText"/>
        <w:rPr>
          <w:szCs w:val="22"/>
        </w:rPr>
      </w:pPr>
      <w:r>
        <w:rPr>
          <w:rStyle w:val="FootnoteReference"/>
        </w:rPr>
        <w:footnoteRef/>
      </w:r>
      <w:r>
        <w:t xml:space="preserve"> </w:t>
      </w:r>
      <w:r w:rsidRPr="00682FC7">
        <w:rPr>
          <w:szCs w:val="22"/>
        </w:rPr>
        <w:t>WAC 480-07-850 governs the content of petitions for reconsideration.</w:t>
      </w:r>
    </w:p>
    <w:p w:rsidR="009D42B8" w:rsidRDefault="009D42B8">
      <w:pPr>
        <w:pStyle w:val="FootnoteText"/>
      </w:pPr>
    </w:p>
  </w:footnote>
  <w:footnote w:id="4">
    <w:p w:rsidR="009D42B8" w:rsidRDefault="009D42B8">
      <w:pPr>
        <w:pStyle w:val="FootnoteText"/>
      </w:pPr>
      <w:r>
        <w:rPr>
          <w:rStyle w:val="FootnoteReference"/>
        </w:rPr>
        <w:footnoteRef/>
      </w:r>
      <w:r>
        <w:t xml:space="preserve"> WAC 480-07-850(2).</w:t>
      </w:r>
    </w:p>
    <w:p w:rsidR="009D42B8" w:rsidRDefault="009D42B8">
      <w:pPr>
        <w:pStyle w:val="FootnoteText"/>
      </w:pPr>
    </w:p>
  </w:footnote>
  <w:footnote w:id="5">
    <w:p w:rsidR="009D42B8" w:rsidRDefault="009D42B8">
      <w:pPr>
        <w:pStyle w:val="FootnoteText"/>
      </w:pPr>
      <w:r>
        <w:rPr>
          <w:rStyle w:val="FootnoteReference"/>
        </w:rPr>
        <w:footnoteRef/>
      </w:r>
      <w:r>
        <w:t xml:space="preserve"> WAC 480-07-850(5).</w:t>
      </w:r>
    </w:p>
    <w:p w:rsidR="009D42B8" w:rsidRDefault="009D42B8">
      <w:pPr>
        <w:pStyle w:val="FootnoteText"/>
      </w:pPr>
      <w:r>
        <w:t xml:space="preserve"> </w:t>
      </w:r>
    </w:p>
  </w:footnote>
  <w:footnote w:id="6">
    <w:p w:rsidR="009D42B8" w:rsidRDefault="009D42B8">
      <w:pPr>
        <w:pStyle w:val="FootnoteText"/>
      </w:pPr>
      <w:r>
        <w:rPr>
          <w:rStyle w:val="FootnoteReference"/>
        </w:rPr>
        <w:footnoteRef/>
      </w:r>
      <w:r>
        <w:t xml:space="preserve"> Order 06 ¶¶ 21 – 43.</w:t>
      </w:r>
    </w:p>
    <w:p w:rsidR="009D42B8" w:rsidRDefault="009D42B8">
      <w:pPr>
        <w:pStyle w:val="FootnoteText"/>
      </w:pPr>
    </w:p>
  </w:footnote>
  <w:footnote w:id="7">
    <w:p w:rsidR="009D42B8" w:rsidRDefault="009D42B8">
      <w:pPr>
        <w:pStyle w:val="FootnoteText"/>
      </w:pPr>
      <w:r>
        <w:rPr>
          <w:rStyle w:val="FootnoteReference"/>
        </w:rPr>
        <w:footnoteRef/>
      </w:r>
      <w:r>
        <w:t xml:space="preserve"> Order 06 </w:t>
      </w:r>
      <m:oMath>
        <m:r>
          <w:rPr>
            <w:rFonts w:ascii="Cambria Math" w:hAnsi="Cambria Math"/>
          </w:rPr>
          <m:t>¶</m:t>
        </m:r>
      </m:oMath>
      <w:r>
        <w:t xml:space="preserve"> 39; </w:t>
      </w:r>
      <w:r>
        <w:rPr>
          <w:i/>
        </w:rPr>
        <w:t xml:space="preserve">Federal Power Commission v. Hope Natural Gas Co., </w:t>
      </w:r>
      <w:r>
        <w:t xml:space="preserve">320 U.S. 591, 603 (1942). </w:t>
      </w:r>
    </w:p>
    <w:p w:rsidR="009D42B8" w:rsidRPr="00661961" w:rsidRDefault="009D42B8">
      <w:pPr>
        <w:pStyle w:val="FootnoteText"/>
      </w:pPr>
    </w:p>
  </w:footnote>
  <w:footnote w:id="8">
    <w:p w:rsidR="009D42B8" w:rsidRPr="006E4820" w:rsidRDefault="009D42B8" w:rsidP="00E07395">
      <w:pPr>
        <w:pStyle w:val="FootnoteText"/>
        <w:rPr>
          <w:szCs w:val="22"/>
        </w:rPr>
      </w:pPr>
      <w:r>
        <w:rPr>
          <w:rStyle w:val="FootnoteReference"/>
        </w:rPr>
        <w:footnoteRef/>
      </w:r>
      <w:r>
        <w:t xml:space="preserve"> Order 06 ¶ 39.  </w:t>
      </w:r>
      <w:r w:rsidRPr="000B20B6">
        <w:rPr>
          <w:szCs w:val="22"/>
        </w:rPr>
        <w:t>PacifiCorp’s actual equity component represents 52.1</w:t>
      </w:r>
      <w:r>
        <w:rPr>
          <w:szCs w:val="22"/>
        </w:rPr>
        <w:t xml:space="preserve"> percent </w:t>
      </w:r>
      <w:r w:rsidRPr="000B20B6">
        <w:rPr>
          <w:szCs w:val="22"/>
        </w:rPr>
        <w:t>of its capital structure</w:t>
      </w:r>
      <w:r>
        <w:rPr>
          <w:szCs w:val="22"/>
        </w:rPr>
        <w:t>.</w:t>
      </w:r>
    </w:p>
    <w:p w:rsidR="009D42B8" w:rsidRDefault="009D42B8" w:rsidP="00E07395">
      <w:pPr>
        <w:pStyle w:val="FootnoteText"/>
      </w:pPr>
    </w:p>
  </w:footnote>
  <w:footnote w:id="9">
    <w:p w:rsidR="009D42B8" w:rsidRDefault="009D42B8" w:rsidP="00E07395">
      <w:pPr>
        <w:pStyle w:val="FootnoteText"/>
      </w:pPr>
      <w:r>
        <w:rPr>
          <w:rStyle w:val="FootnoteReference"/>
        </w:rPr>
        <w:footnoteRef/>
      </w:r>
      <w:r>
        <w:t xml:space="preserve"> Order 06 ¶ 43.</w:t>
      </w:r>
    </w:p>
    <w:p w:rsidR="009D42B8" w:rsidRDefault="009D42B8" w:rsidP="00E07395">
      <w:pPr>
        <w:pStyle w:val="FootnoteText"/>
      </w:pPr>
    </w:p>
  </w:footnote>
  <w:footnote w:id="10">
    <w:p w:rsidR="009D42B8" w:rsidRDefault="009D42B8" w:rsidP="000601FB">
      <w:pPr>
        <w:pStyle w:val="FootnoteText"/>
      </w:pPr>
      <w:r>
        <w:rPr>
          <w:rStyle w:val="FootnoteReference"/>
        </w:rPr>
        <w:footnoteRef/>
      </w:r>
      <w:r>
        <w:t xml:space="preserve"> PacifiCorp’s Petition ¶ 65.</w:t>
      </w:r>
    </w:p>
    <w:p w:rsidR="009D42B8" w:rsidRDefault="009D42B8" w:rsidP="000601FB">
      <w:pPr>
        <w:pStyle w:val="FootnoteText"/>
      </w:pPr>
    </w:p>
  </w:footnote>
  <w:footnote w:id="11">
    <w:p w:rsidR="009D42B8" w:rsidRDefault="009D42B8" w:rsidP="000601FB">
      <w:pPr>
        <w:pStyle w:val="FootnoteText"/>
      </w:pPr>
      <w:r>
        <w:rPr>
          <w:rStyle w:val="FootnoteReference"/>
        </w:rPr>
        <w:footnoteRef/>
      </w:r>
      <w:r>
        <w:t xml:space="preserve"> PacifiCorp’s Petition ¶¶ 65 – 71.</w:t>
      </w:r>
    </w:p>
    <w:p w:rsidR="009D42B8" w:rsidRDefault="009D42B8" w:rsidP="000601FB">
      <w:pPr>
        <w:pStyle w:val="FootnoteText"/>
      </w:pPr>
    </w:p>
  </w:footnote>
  <w:footnote w:id="12">
    <w:p w:rsidR="009D42B8" w:rsidRDefault="009D42B8">
      <w:pPr>
        <w:pStyle w:val="FootnoteText"/>
      </w:pPr>
      <w:r>
        <w:rPr>
          <w:rStyle w:val="FootnoteReference"/>
        </w:rPr>
        <w:footnoteRef/>
      </w:r>
      <w:r>
        <w:t xml:space="preserve"> Staff’s Petition ¶¶ 2 – 11.</w:t>
      </w:r>
    </w:p>
    <w:p w:rsidR="009D42B8" w:rsidRDefault="009D42B8">
      <w:pPr>
        <w:pStyle w:val="FootnoteText"/>
      </w:pPr>
    </w:p>
  </w:footnote>
  <w:footnote w:id="13">
    <w:p w:rsidR="009D42B8" w:rsidRDefault="009D42B8">
      <w:pPr>
        <w:pStyle w:val="FootnoteText"/>
      </w:pPr>
      <w:r>
        <w:rPr>
          <w:rStyle w:val="FootnoteReference"/>
        </w:rPr>
        <w:footnoteRef/>
      </w:r>
      <w:r>
        <w:t xml:space="preserve"> Staff’s Petition ¶¶ 12 – 20. </w:t>
      </w:r>
    </w:p>
    <w:p w:rsidR="009D42B8" w:rsidRDefault="009D42B8">
      <w:pPr>
        <w:pStyle w:val="FootnoteText"/>
      </w:pPr>
    </w:p>
  </w:footnote>
  <w:footnote w:id="14">
    <w:p w:rsidR="009D42B8" w:rsidRDefault="009D42B8">
      <w:pPr>
        <w:pStyle w:val="FootnoteText"/>
      </w:pPr>
      <w:r>
        <w:rPr>
          <w:rStyle w:val="FootnoteReference"/>
        </w:rPr>
        <w:footnoteRef/>
      </w:r>
      <w:r>
        <w:t xml:space="preserve"> Order 06 ¶ 38.</w:t>
      </w:r>
    </w:p>
    <w:p w:rsidR="009D42B8" w:rsidRDefault="009D42B8">
      <w:pPr>
        <w:pStyle w:val="FootnoteText"/>
      </w:pPr>
    </w:p>
  </w:footnote>
  <w:footnote w:id="15">
    <w:p w:rsidR="009D42B8" w:rsidRDefault="009D42B8">
      <w:pPr>
        <w:pStyle w:val="FootnoteText"/>
      </w:pPr>
      <w:r>
        <w:rPr>
          <w:rStyle w:val="FootnoteReference"/>
        </w:rPr>
        <w:footnoteRef/>
      </w:r>
      <w:r>
        <w:t xml:space="preserve"> </w:t>
      </w:r>
      <w:r>
        <w:rPr>
          <w:i/>
        </w:rPr>
        <w:t xml:space="preserve">Washington Utilities and Transportation Commission v. Puget Sound Energy, </w:t>
      </w:r>
      <w:r>
        <w:t>Docket UE-090740, Order 11 at 99 (April 2, 2010)</w:t>
      </w:r>
      <w:r w:rsidR="00B904F6">
        <w:t>,</w:t>
      </w:r>
      <w:r>
        <w:t xml:space="preserve"> </w:t>
      </w:r>
      <w:r>
        <w:rPr>
          <w:i/>
        </w:rPr>
        <w:t>citing</w:t>
      </w:r>
      <w:r>
        <w:t xml:space="preserve"> </w:t>
      </w:r>
      <w:r>
        <w:rPr>
          <w:i/>
        </w:rPr>
        <w:t>Washington Utilities and Transportation Commission v. Puget Sound Energy</w:t>
      </w:r>
      <w:r>
        <w:t>, Docket UE-060266, Order 08 at 27 (January 5, 2007).</w:t>
      </w:r>
    </w:p>
    <w:p w:rsidR="009D42B8" w:rsidRPr="00381F39" w:rsidRDefault="009D42B8">
      <w:pPr>
        <w:pStyle w:val="FootnoteText"/>
      </w:pPr>
    </w:p>
  </w:footnote>
  <w:footnote w:id="16">
    <w:p w:rsidR="009D42B8" w:rsidRDefault="009D42B8">
      <w:pPr>
        <w:pStyle w:val="FootnoteText"/>
        <w:rPr>
          <w:szCs w:val="24"/>
        </w:rPr>
      </w:pPr>
      <w:r>
        <w:rPr>
          <w:rStyle w:val="FootnoteReference"/>
        </w:rPr>
        <w:footnoteRef/>
      </w:r>
      <w:r>
        <w:t xml:space="preserve"> “</w:t>
      </w:r>
      <w:r w:rsidRPr="00FD71B2">
        <w:rPr>
          <w:szCs w:val="24"/>
        </w:rPr>
        <w:t>In these prior cases, the Commission was focused on balancing economy and safety by reducing the Company’s leverage and improving the safety in its balance sheet</w:t>
      </w:r>
      <w:r>
        <w:rPr>
          <w:szCs w:val="24"/>
        </w:rPr>
        <w:t xml:space="preserve">.”  </w:t>
      </w:r>
      <w:r>
        <w:rPr>
          <w:i/>
          <w:szCs w:val="24"/>
        </w:rPr>
        <w:t xml:space="preserve">Washington Utilities and Transportation Commission v. Puget Sound Energy, </w:t>
      </w:r>
      <w:r>
        <w:rPr>
          <w:szCs w:val="24"/>
        </w:rPr>
        <w:t>Docket UE-060266 at 27 (January 5, 2007).</w:t>
      </w:r>
    </w:p>
    <w:p w:rsidR="009D42B8" w:rsidRDefault="009D42B8">
      <w:pPr>
        <w:pStyle w:val="FootnoteText"/>
      </w:pPr>
    </w:p>
  </w:footnote>
  <w:footnote w:id="17">
    <w:p w:rsidR="009D42B8" w:rsidRDefault="009D42B8">
      <w:pPr>
        <w:pStyle w:val="FootnoteText"/>
      </w:pPr>
      <w:r>
        <w:rPr>
          <w:rStyle w:val="FootnoteReference"/>
        </w:rPr>
        <w:footnoteRef/>
      </w:r>
      <w:r>
        <w:t xml:space="preserve"> Furthermore, w</w:t>
      </w:r>
      <w:r w:rsidRPr="000B20B6">
        <w:rPr>
          <w:szCs w:val="22"/>
        </w:rPr>
        <w:t>e agree with the Commission Staff that PacifiCorp’s argument that there must be</w:t>
      </w:r>
      <w:r w:rsidR="008450E1">
        <w:rPr>
          <w:szCs w:val="22"/>
        </w:rPr>
        <w:t xml:space="preserve"> </w:t>
      </w:r>
      <w:r w:rsidRPr="000B20B6">
        <w:rPr>
          <w:szCs w:val="22"/>
        </w:rPr>
        <w:t>“clear and compelling evidence” to depart from a company’s actual capital structure in effect shifts the burden of proof from PacifiCorp to the other parties to this proceeding.</w:t>
      </w:r>
      <w:r>
        <w:rPr>
          <w:szCs w:val="22"/>
        </w:rPr>
        <w:t xml:space="preserve">  </w:t>
      </w:r>
      <w:r>
        <w:t>Staff’s Answer, ¶¶ 5 – 11.</w:t>
      </w:r>
    </w:p>
    <w:p w:rsidR="009D42B8" w:rsidRPr="005751CD" w:rsidRDefault="009D42B8">
      <w:pPr>
        <w:pStyle w:val="FootnoteText"/>
        <w:rPr>
          <w:szCs w:val="22"/>
        </w:rPr>
      </w:pPr>
    </w:p>
  </w:footnote>
  <w:footnote w:id="18">
    <w:p w:rsidR="009D42B8" w:rsidRDefault="009D42B8" w:rsidP="006F1601">
      <w:pPr>
        <w:pStyle w:val="FootnoteText"/>
      </w:pPr>
      <w:r>
        <w:rPr>
          <w:rStyle w:val="FootnoteReference"/>
        </w:rPr>
        <w:footnoteRef/>
      </w:r>
      <w:r>
        <w:t xml:space="preserve"> Order 06 </w:t>
      </w:r>
      <w:r w:rsidRPr="00F77920">
        <w:t>¶ 40</w:t>
      </w:r>
      <w:r>
        <w:t>.</w:t>
      </w:r>
    </w:p>
    <w:p w:rsidR="009D42B8" w:rsidRDefault="009D42B8" w:rsidP="006F1601">
      <w:pPr>
        <w:pStyle w:val="FootnoteText"/>
      </w:pPr>
    </w:p>
  </w:footnote>
  <w:footnote w:id="19">
    <w:p w:rsidR="009D42B8" w:rsidRDefault="009D42B8" w:rsidP="006F1601">
      <w:pPr>
        <w:pStyle w:val="FootnoteText"/>
      </w:pPr>
      <w:r>
        <w:rPr>
          <w:rStyle w:val="FootnoteReference"/>
        </w:rPr>
        <w:footnoteRef/>
      </w:r>
      <w:r>
        <w:t xml:space="preserve"> Standard &amp; Poor’s Rating Direct, February 17, 2010, Williams, Exh. No. BNW-3.</w:t>
      </w:r>
    </w:p>
    <w:p w:rsidR="009D42B8" w:rsidRDefault="009D42B8" w:rsidP="006F1601">
      <w:pPr>
        <w:pStyle w:val="FootnoteText"/>
      </w:pPr>
    </w:p>
  </w:footnote>
  <w:footnote w:id="20">
    <w:p w:rsidR="009D42B8" w:rsidRDefault="009D42B8" w:rsidP="006F1601">
      <w:pPr>
        <w:pStyle w:val="FootnoteText"/>
      </w:pPr>
      <w:r>
        <w:rPr>
          <w:rStyle w:val="FootnoteReference"/>
        </w:rPr>
        <w:footnoteRef/>
      </w:r>
      <w:r>
        <w:t xml:space="preserve"> Order 06 ¶ 41.</w:t>
      </w:r>
    </w:p>
    <w:p w:rsidR="009D42B8" w:rsidRDefault="009D42B8" w:rsidP="006F1601">
      <w:pPr>
        <w:pStyle w:val="FootnoteText"/>
      </w:pPr>
    </w:p>
  </w:footnote>
  <w:footnote w:id="21">
    <w:p w:rsidR="009D42B8" w:rsidRDefault="009D42B8" w:rsidP="006F1601">
      <w:pPr>
        <w:pStyle w:val="FootnoteText"/>
      </w:pPr>
      <w:r>
        <w:rPr>
          <w:rStyle w:val="FootnoteReference"/>
        </w:rPr>
        <w:footnoteRef/>
      </w:r>
      <w:r>
        <w:t xml:space="preserve"> Order 06 ¶¶ 40 -</w:t>
      </w:r>
      <w:r w:rsidR="00B904F6">
        <w:t xml:space="preserve"> </w:t>
      </w:r>
      <w:r>
        <w:t xml:space="preserve">41.  </w:t>
      </w:r>
      <w:r w:rsidRPr="006F1601">
        <w:rPr>
          <w:szCs w:val="22"/>
        </w:rPr>
        <w:t>As we recognize in the Order in Para. 41, the parent compan</w:t>
      </w:r>
      <w:r>
        <w:rPr>
          <w:szCs w:val="22"/>
        </w:rPr>
        <w:t>y</w:t>
      </w:r>
      <w:r w:rsidRPr="006F1601">
        <w:rPr>
          <w:szCs w:val="22"/>
        </w:rPr>
        <w:t xml:space="preserve"> of Pacifi</w:t>
      </w:r>
      <w:r>
        <w:rPr>
          <w:szCs w:val="22"/>
        </w:rPr>
        <w:t>C</w:t>
      </w:r>
      <w:r w:rsidRPr="006F1601">
        <w:rPr>
          <w:szCs w:val="22"/>
        </w:rPr>
        <w:t>orp may easily adjust the capital structure of its subsidiary for a variety of economic and financial reasons, some of which ma</w:t>
      </w:r>
      <w:r>
        <w:rPr>
          <w:szCs w:val="22"/>
        </w:rPr>
        <w:t>y have little to do with PacifiC</w:t>
      </w:r>
      <w:r w:rsidRPr="006F1601">
        <w:rPr>
          <w:szCs w:val="22"/>
        </w:rPr>
        <w:t>orp’s financing requirements.</w:t>
      </w:r>
    </w:p>
    <w:p w:rsidR="009D42B8" w:rsidRDefault="009D42B8" w:rsidP="006F1601">
      <w:pPr>
        <w:pStyle w:val="FootnoteText"/>
      </w:pPr>
    </w:p>
  </w:footnote>
  <w:footnote w:id="22">
    <w:p w:rsidR="009D42B8" w:rsidRDefault="009D42B8" w:rsidP="006F1601">
      <w:pPr>
        <w:pStyle w:val="FootnoteText"/>
      </w:pPr>
      <w:r>
        <w:rPr>
          <w:rStyle w:val="FootnoteReference"/>
        </w:rPr>
        <w:footnoteRef/>
      </w:r>
      <w:r>
        <w:t xml:space="preserve"> Order 06 ¶ 40.</w:t>
      </w:r>
    </w:p>
    <w:p w:rsidR="009D42B8" w:rsidRDefault="009D42B8" w:rsidP="006F1601">
      <w:pPr>
        <w:pStyle w:val="FootnoteText"/>
      </w:pPr>
    </w:p>
  </w:footnote>
  <w:footnote w:id="23">
    <w:p w:rsidR="009D42B8" w:rsidRDefault="009D42B8" w:rsidP="006F1601">
      <w:pPr>
        <w:pStyle w:val="FootnoteText"/>
      </w:pPr>
      <w:r>
        <w:rPr>
          <w:rStyle w:val="FootnoteReference"/>
        </w:rPr>
        <w:footnoteRef/>
      </w:r>
      <w:r>
        <w:t xml:space="preserve"> </w:t>
      </w:r>
      <w:r w:rsidR="00B3628C" w:rsidRPr="00B3628C">
        <w:rPr>
          <w:i/>
        </w:rPr>
        <w:t>Id</w:t>
      </w:r>
      <w:r w:rsidR="00B3628C">
        <w:t>.</w:t>
      </w:r>
    </w:p>
    <w:p w:rsidR="009D42B8" w:rsidRDefault="009D42B8" w:rsidP="006F1601">
      <w:pPr>
        <w:pStyle w:val="FootnoteText"/>
      </w:pPr>
    </w:p>
  </w:footnote>
  <w:footnote w:id="24">
    <w:p w:rsidR="009D42B8" w:rsidRDefault="009D42B8" w:rsidP="006F1601">
      <w:pPr>
        <w:pStyle w:val="FootnoteText"/>
      </w:pPr>
      <w:r>
        <w:rPr>
          <w:rStyle w:val="FootnoteReference"/>
        </w:rPr>
        <w:footnoteRef/>
      </w:r>
      <w:r>
        <w:t xml:space="preserve"> Order 06 ¶ 39.</w:t>
      </w:r>
    </w:p>
    <w:p w:rsidR="009D42B8" w:rsidRDefault="009D42B8" w:rsidP="006F1601">
      <w:pPr>
        <w:pStyle w:val="FootnoteText"/>
      </w:pPr>
    </w:p>
  </w:footnote>
  <w:footnote w:id="25">
    <w:p w:rsidR="009D42B8" w:rsidRDefault="009D42B8" w:rsidP="00EF7F0E">
      <w:pPr>
        <w:pStyle w:val="FootnoteText"/>
      </w:pPr>
      <w:r>
        <w:rPr>
          <w:rStyle w:val="FootnoteReference"/>
        </w:rPr>
        <w:footnoteRef/>
      </w:r>
      <w:r>
        <w:t xml:space="preserve"> Staff’s Petition ¶¶ 2 – 5.</w:t>
      </w:r>
    </w:p>
    <w:p w:rsidR="009D42B8" w:rsidRDefault="009D42B8" w:rsidP="00EF7F0E">
      <w:pPr>
        <w:pStyle w:val="FootnoteText"/>
      </w:pPr>
    </w:p>
  </w:footnote>
  <w:footnote w:id="26">
    <w:p w:rsidR="009D42B8" w:rsidRDefault="009D42B8">
      <w:pPr>
        <w:pStyle w:val="FootnoteText"/>
      </w:pPr>
      <w:r>
        <w:rPr>
          <w:rStyle w:val="FootnoteReference"/>
        </w:rPr>
        <w:footnoteRef/>
      </w:r>
      <w:r>
        <w:t xml:space="preserve"> Staff’s Petition ¶ 7; Order 06 ¶ 41.</w:t>
      </w:r>
    </w:p>
    <w:p w:rsidR="009D42B8" w:rsidRDefault="009D42B8">
      <w:pPr>
        <w:pStyle w:val="FootnoteText"/>
      </w:pPr>
    </w:p>
  </w:footnote>
  <w:footnote w:id="27">
    <w:p w:rsidR="009D42B8" w:rsidRDefault="009D42B8">
      <w:pPr>
        <w:pStyle w:val="FootnoteText"/>
      </w:pPr>
      <w:r>
        <w:rPr>
          <w:rStyle w:val="FootnoteReference"/>
        </w:rPr>
        <w:footnoteRef/>
      </w:r>
      <w:r>
        <w:t xml:space="preserve"> Staff’s Petition ¶ 7.</w:t>
      </w:r>
    </w:p>
    <w:p w:rsidR="009D42B8" w:rsidRDefault="009D42B8">
      <w:pPr>
        <w:pStyle w:val="FootnoteText"/>
      </w:pPr>
    </w:p>
  </w:footnote>
  <w:footnote w:id="28">
    <w:p w:rsidR="009D42B8" w:rsidRDefault="009D42B8">
      <w:pPr>
        <w:pStyle w:val="FootnoteText"/>
      </w:pPr>
      <w:r>
        <w:rPr>
          <w:rStyle w:val="FootnoteReference"/>
        </w:rPr>
        <w:footnoteRef/>
      </w:r>
      <w:r>
        <w:t xml:space="preserve"> Order 06 ¶ 43, </w:t>
      </w:r>
      <w:r w:rsidRPr="00B904F6">
        <w:rPr>
          <w:i/>
        </w:rPr>
        <w:t xml:space="preserve">quoting </w:t>
      </w:r>
      <w:r>
        <w:rPr>
          <w:i/>
        </w:rPr>
        <w:t xml:space="preserve">Washington Utilities and Transportation Commission v. PacifiCorp, </w:t>
      </w:r>
      <w:r>
        <w:t xml:space="preserve">Docket UE-050684, Order 04, at 79 (April 17, 2006).  In paragraph 43 of Order 06, we quoted the 2006 PacifiCorp rate case, stating that “[t]he Commission has traditionally included a component for short-term debt, </w:t>
      </w:r>
      <w:r>
        <w:rPr>
          <w:i/>
        </w:rPr>
        <w:t>based on a company’s actual capital structure.</w:t>
      </w:r>
      <w:r>
        <w:t>”  That statement could be read to indicate that we would not impute short-term debt and would include it in a capital structure only if it was part of the company’s actual structure.  To the extent Order 06 may be so interpreted, we modify it.  Just as there are circumstances justifying the imputation of a hypothetical equity component for rate-making purposes, there may be circumstances justifying the imputation of short-term debt.  We simply choose not to so impute short-term debt in this case.</w:t>
      </w:r>
    </w:p>
    <w:p w:rsidR="009D42B8" w:rsidRPr="00D91769" w:rsidRDefault="009D42B8">
      <w:pPr>
        <w:pStyle w:val="FootnoteText"/>
      </w:pPr>
    </w:p>
  </w:footnote>
  <w:footnote w:id="29">
    <w:p w:rsidR="009D42B8" w:rsidRDefault="009D42B8">
      <w:pPr>
        <w:pStyle w:val="FootnoteText"/>
      </w:pPr>
      <w:r>
        <w:rPr>
          <w:rStyle w:val="FootnoteReference"/>
        </w:rPr>
        <w:footnoteRef/>
      </w:r>
      <w:r>
        <w:t xml:space="preserve"> Order</w:t>
      </w:r>
      <w:r w:rsidRPr="003230AB">
        <w:t xml:space="preserve"> 06 ¶</w:t>
      </w:r>
      <w:r>
        <w:t xml:space="preserve"> 42.</w:t>
      </w:r>
    </w:p>
    <w:p w:rsidR="009D42B8" w:rsidRDefault="009D42B8">
      <w:pPr>
        <w:pStyle w:val="FootnoteText"/>
      </w:pPr>
    </w:p>
  </w:footnote>
  <w:footnote w:id="30">
    <w:p w:rsidR="009D42B8" w:rsidRDefault="009D42B8">
      <w:pPr>
        <w:pStyle w:val="FootnoteText"/>
      </w:pPr>
      <w:r>
        <w:rPr>
          <w:rStyle w:val="FootnoteReference"/>
        </w:rPr>
        <w:footnoteRef/>
      </w:r>
      <w:r>
        <w:t xml:space="preserve"> Order 06 ¶¶ 44 – 96.</w:t>
      </w:r>
    </w:p>
    <w:p w:rsidR="009D42B8" w:rsidRDefault="009D42B8">
      <w:pPr>
        <w:pStyle w:val="FootnoteText"/>
      </w:pPr>
    </w:p>
  </w:footnote>
  <w:footnote w:id="31">
    <w:p w:rsidR="009D42B8" w:rsidRDefault="009D42B8">
      <w:pPr>
        <w:pStyle w:val="FootnoteText"/>
      </w:pPr>
      <w:r>
        <w:rPr>
          <w:rStyle w:val="FootnoteReference"/>
        </w:rPr>
        <w:footnoteRef/>
      </w:r>
      <w:r>
        <w:t xml:space="preserve"> Order 06 ¶¶ 81 – 85, 87.</w:t>
      </w:r>
    </w:p>
    <w:p w:rsidR="009D42B8" w:rsidRDefault="009D42B8">
      <w:pPr>
        <w:pStyle w:val="FootnoteText"/>
      </w:pPr>
    </w:p>
  </w:footnote>
  <w:footnote w:id="32">
    <w:p w:rsidR="009D42B8" w:rsidRDefault="009D42B8">
      <w:pPr>
        <w:pStyle w:val="FootnoteText"/>
      </w:pPr>
      <w:r>
        <w:rPr>
          <w:rStyle w:val="FootnoteReference"/>
        </w:rPr>
        <w:footnoteRef/>
      </w:r>
      <w:r>
        <w:t xml:space="preserve"> Order 06 ¶¶ 93 – 94.</w:t>
      </w:r>
    </w:p>
    <w:p w:rsidR="009D42B8" w:rsidRDefault="009D42B8">
      <w:pPr>
        <w:pStyle w:val="FootnoteText"/>
      </w:pPr>
    </w:p>
  </w:footnote>
  <w:footnote w:id="33">
    <w:p w:rsidR="009D42B8" w:rsidRDefault="009D42B8" w:rsidP="00950B47">
      <w:pPr>
        <w:pStyle w:val="FootnoteText"/>
      </w:pPr>
      <w:r>
        <w:rPr>
          <w:rStyle w:val="FootnoteReference"/>
        </w:rPr>
        <w:footnoteRef/>
      </w:r>
      <w:r>
        <w:t>PacifiCorp’s Petition ¶¶ 49 – 71.</w:t>
      </w:r>
    </w:p>
    <w:p w:rsidR="009D42B8" w:rsidRDefault="009D42B8" w:rsidP="00950B47">
      <w:pPr>
        <w:pStyle w:val="FootnoteText"/>
      </w:pPr>
    </w:p>
  </w:footnote>
  <w:footnote w:id="34">
    <w:p w:rsidR="009D42B8" w:rsidRDefault="009D42B8">
      <w:pPr>
        <w:pStyle w:val="FootnoteText"/>
      </w:pPr>
      <w:r>
        <w:rPr>
          <w:rStyle w:val="FootnoteReference"/>
        </w:rPr>
        <w:footnoteRef/>
      </w:r>
      <w:r>
        <w:t xml:space="preserve"> Order 06 ¶¶ 45 – 94.</w:t>
      </w:r>
    </w:p>
    <w:p w:rsidR="009D42B8" w:rsidRDefault="009D42B8">
      <w:pPr>
        <w:pStyle w:val="FootnoteText"/>
      </w:pPr>
    </w:p>
  </w:footnote>
  <w:footnote w:id="35">
    <w:p w:rsidR="009D42B8" w:rsidRDefault="009D42B8">
      <w:pPr>
        <w:pStyle w:val="FootnoteText"/>
      </w:pPr>
      <w:r>
        <w:rPr>
          <w:rStyle w:val="FootnoteReference"/>
        </w:rPr>
        <w:footnoteRef/>
      </w:r>
      <w:r>
        <w:t xml:space="preserve"> Order 06 ¶ 91.  </w:t>
      </w:r>
    </w:p>
    <w:p w:rsidR="009D42B8" w:rsidRDefault="009D42B8">
      <w:pPr>
        <w:pStyle w:val="FootnoteText"/>
      </w:pPr>
    </w:p>
  </w:footnote>
  <w:footnote w:id="36">
    <w:p w:rsidR="009D42B8" w:rsidRDefault="009D42B8">
      <w:pPr>
        <w:pStyle w:val="FootnoteText"/>
      </w:pPr>
      <w:r>
        <w:rPr>
          <w:rStyle w:val="FootnoteReference"/>
        </w:rPr>
        <w:footnoteRef/>
      </w:r>
      <w:r>
        <w:t xml:space="preserve"> Staff’s Answer ¶ 23.</w:t>
      </w:r>
    </w:p>
    <w:p w:rsidR="009D42B8" w:rsidRDefault="009D42B8">
      <w:pPr>
        <w:pStyle w:val="FootnoteText"/>
      </w:pPr>
    </w:p>
  </w:footnote>
  <w:footnote w:id="37">
    <w:p w:rsidR="009D42B8" w:rsidRDefault="009D42B8" w:rsidP="00882657">
      <w:pPr>
        <w:pStyle w:val="FootnoteText"/>
      </w:pPr>
      <w:r>
        <w:rPr>
          <w:rStyle w:val="FootnoteReference"/>
        </w:rPr>
        <w:footnoteRef/>
      </w:r>
      <w:r>
        <w:t xml:space="preserve"> Order 06 ¶</w:t>
      </w:r>
      <w:r w:rsidR="00B904F6">
        <w:t>¶</w:t>
      </w:r>
      <w:r>
        <w:t xml:space="preserve"> 76, 80 - 81, </w:t>
      </w:r>
      <w:proofErr w:type="gramStart"/>
      <w:r>
        <w:t>89</w:t>
      </w:r>
      <w:proofErr w:type="gramEnd"/>
      <w:r>
        <w:t xml:space="preserve"> - 91.</w:t>
      </w:r>
    </w:p>
    <w:p w:rsidR="009D42B8" w:rsidRDefault="009D42B8" w:rsidP="00882657">
      <w:pPr>
        <w:pStyle w:val="FootnoteText"/>
      </w:pPr>
    </w:p>
  </w:footnote>
  <w:footnote w:id="38">
    <w:p w:rsidR="009D42B8" w:rsidRDefault="009D42B8">
      <w:pPr>
        <w:pStyle w:val="FootnoteText"/>
      </w:pPr>
      <w:r>
        <w:rPr>
          <w:rStyle w:val="FootnoteReference"/>
        </w:rPr>
        <w:footnoteRef/>
      </w:r>
      <w:r>
        <w:t xml:space="preserve"> Order 06 ¶ 81.</w:t>
      </w:r>
    </w:p>
    <w:p w:rsidR="009D42B8" w:rsidRDefault="009D42B8">
      <w:pPr>
        <w:pStyle w:val="FootnoteText"/>
      </w:pPr>
    </w:p>
  </w:footnote>
  <w:footnote w:id="39">
    <w:p w:rsidR="009D42B8" w:rsidRDefault="009D42B8">
      <w:pPr>
        <w:pStyle w:val="FootnoteText"/>
      </w:pPr>
      <w:r>
        <w:rPr>
          <w:rStyle w:val="FootnoteReference"/>
        </w:rPr>
        <w:footnoteRef/>
      </w:r>
      <w:r>
        <w:t xml:space="preserve"> PacifiCorp’s Petition ¶ 51.</w:t>
      </w:r>
    </w:p>
    <w:p w:rsidR="009D42B8" w:rsidRDefault="009D42B8">
      <w:pPr>
        <w:pStyle w:val="FootnoteText"/>
      </w:pPr>
    </w:p>
  </w:footnote>
  <w:footnote w:id="40">
    <w:p w:rsidR="009D42B8" w:rsidRDefault="009D42B8">
      <w:pPr>
        <w:pStyle w:val="FootnoteText"/>
      </w:pPr>
      <w:r>
        <w:rPr>
          <w:rStyle w:val="FootnoteReference"/>
        </w:rPr>
        <w:footnoteRef/>
      </w:r>
      <w:r>
        <w:t xml:space="preserve"> PacifiCorp’s Petition ¶ 52.</w:t>
      </w:r>
    </w:p>
    <w:p w:rsidR="009D42B8" w:rsidRDefault="009D42B8">
      <w:pPr>
        <w:pStyle w:val="FootnoteText"/>
      </w:pPr>
    </w:p>
  </w:footnote>
  <w:footnote w:id="41">
    <w:p w:rsidR="009D42B8" w:rsidRDefault="009D42B8">
      <w:pPr>
        <w:pStyle w:val="FootnoteText"/>
      </w:pPr>
      <w:r>
        <w:rPr>
          <w:rStyle w:val="FootnoteReference"/>
        </w:rPr>
        <w:footnoteRef/>
      </w:r>
      <w:r>
        <w:t xml:space="preserve"> </w:t>
      </w:r>
      <w:r w:rsidR="000B6043" w:rsidRPr="000B6043">
        <w:rPr>
          <w:i/>
        </w:rPr>
        <w:t>Id</w:t>
      </w:r>
      <w:r w:rsidR="000B6043">
        <w:t>.</w:t>
      </w:r>
    </w:p>
    <w:p w:rsidR="009D42B8" w:rsidRDefault="009D42B8">
      <w:pPr>
        <w:pStyle w:val="FootnoteText"/>
      </w:pPr>
    </w:p>
  </w:footnote>
  <w:footnote w:id="42">
    <w:p w:rsidR="009D42B8" w:rsidRDefault="009D42B8" w:rsidP="007D35A5">
      <w:pPr>
        <w:pStyle w:val="FootnoteText"/>
      </w:pPr>
      <w:r>
        <w:rPr>
          <w:rStyle w:val="FootnoteReference"/>
        </w:rPr>
        <w:footnoteRef/>
      </w:r>
      <w:r>
        <w:t xml:space="preserve"> Of course, even if we were to determine that the economic conditions were identical, it would be just as valid to conclude that our decision in 2006 resulted in an ROE that was too high as to conclude that our decision in 2011 resulted in an ROE that is too low.</w:t>
      </w:r>
    </w:p>
    <w:p w:rsidR="009D42B8" w:rsidRDefault="009D42B8" w:rsidP="007D35A5">
      <w:pPr>
        <w:pStyle w:val="FootnoteText"/>
      </w:pPr>
    </w:p>
  </w:footnote>
  <w:footnote w:id="43">
    <w:p w:rsidR="009D42B8" w:rsidRDefault="009D42B8" w:rsidP="007D35A5">
      <w:pPr>
        <w:pStyle w:val="FootnoteText"/>
      </w:pPr>
      <w:r>
        <w:rPr>
          <w:rStyle w:val="FootnoteReference"/>
        </w:rPr>
        <w:footnoteRef/>
      </w:r>
      <w:r>
        <w:t xml:space="preserve"> There are a multitude of other factors that we also consider; factors that were extensively described in Order 06.</w:t>
      </w:r>
    </w:p>
    <w:p w:rsidR="009D42B8" w:rsidRDefault="009D42B8" w:rsidP="007D35A5">
      <w:pPr>
        <w:pStyle w:val="FootnoteText"/>
      </w:pPr>
    </w:p>
  </w:footnote>
  <w:footnote w:id="44">
    <w:p w:rsidR="009D42B8" w:rsidRDefault="009D42B8" w:rsidP="007D35A5">
      <w:pPr>
        <w:pStyle w:val="FootnoteText"/>
      </w:pPr>
      <w:r>
        <w:rPr>
          <w:rStyle w:val="FootnoteReference"/>
        </w:rPr>
        <w:footnoteRef/>
      </w:r>
      <w:r>
        <w:t xml:space="preserve"> </w:t>
      </w:r>
      <w:proofErr w:type="gramStart"/>
      <w:r>
        <w:t>Staff’s Answer ¶¶ 25 – 26, Gorman, Exh.</w:t>
      </w:r>
      <w:proofErr w:type="gramEnd"/>
      <w:r>
        <w:t xml:space="preserve"> No. MPG-1T at 49 – 50.</w:t>
      </w:r>
    </w:p>
    <w:p w:rsidR="009D42B8" w:rsidRDefault="009D42B8" w:rsidP="007D35A5">
      <w:pPr>
        <w:pStyle w:val="FootnoteText"/>
      </w:pPr>
    </w:p>
  </w:footnote>
  <w:footnote w:id="45">
    <w:p w:rsidR="009D42B8" w:rsidRDefault="009D42B8">
      <w:pPr>
        <w:pStyle w:val="FootnoteText"/>
      </w:pPr>
      <w:r>
        <w:rPr>
          <w:rStyle w:val="FootnoteReference"/>
        </w:rPr>
        <w:footnoteRef/>
      </w:r>
      <w:r>
        <w:t xml:space="preserve"> </w:t>
      </w:r>
      <w:proofErr w:type="gramStart"/>
      <w:r>
        <w:t>PacifiCorp’s Petition ¶ 53.</w:t>
      </w:r>
      <w:proofErr w:type="gramEnd"/>
    </w:p>
    <w:p w:rsidR="009D42B8" w:rsidRDefault="009D42B8">
      <w:pPr>
        <w:pStyle w:val="FootnoteText"/>
      </w:pPr>
    </w:p>
  </w:footnote>
  <w:footnote w:id="46">
    <w:p w:rsidR="009D42B8" w:rsidRDefault="009D42B8" w:rsidP="00A74D5B">
      <w:pPr>
        <w:pStyle w:val="FootnoteText"/>
      </w:pPr>
      <w:r>
        <w:rPr>
          <w:rStyle w:val="FootnoteReference"/>
        </w:rPr>
        <w:footnoteRef/>
      </w:r>
      <w:r>
        <w:t xml:space="preserve"> Order 06 ¶ 92.</w:t>
      </w:r>
    </w:p>
    <w:p w:rsidR="009D42B8" w:rsidRDefault="009D42B8" w:rsidP="00A74D5B">
      <w:pPr>
        <w:pStyle w:val="FootnoteText"/>
      </w:pPr>
    </w:p>
  </w:footnote>
  <w:footnote w:id="47">
    <w:p w:rsidR="009D42B8" w:rsidRDefault="009D42B8">
      <w:pPr>
        <w:pStyle w:val="FootnoteText"/>
      </w:pPr>
      <w:r>
        <w:rPr>
          <w:rStyle w:val="FootnoteReference"/>
        </w:rPr>
        <w:footnoteRef/>
      </w:r>
      <w:r>
        <w:t xml:space="preserve"> Order 06 ¶ 92.</w:t>
      </w:r>
    </w:p>
    <w:p w:rsidR="009D42B8" w:rsidRDefault="009D42B8">
      <w:pPr>
        <w:pStyle w:val="FootnoteText"/>
      </w:pPr>
    </w:p>
  </w:footnote>
  <w:footnote w:id="48">
    <w:p w:rsidR="009D42B8" w:rsidRPr="00B904F6" w:rsidRDefault="009D42B8" w:rsidP="00735049">
      <w:pPr>
        <w:pStyle w:val="FootnoteText"/>
        <w:rPr>
          <w:szCs w:val="22"/>
        </w:rPr>
      </w:pPr>
      <w:r>
        <w:rPr>
          <w:rStyle w:val="FootnoteReference"/>
        </w:rPr>
        <w:footnoteRef/>
      </w:r>
      <w:r>
        <w:t xml:space="preserve"> </w:t>
      </w:r>
      <w:r w:rsidRPr="00B904F6">
        <w:rPr>
          <w:szCs w:val="22"/>
        </w:rPr>
        <w:t xml:space="preserve">In addition, in its Answer, ICNU cites yet another Northwest case decided shortly before the Avista case setting the ROE for Portland General Electric at 10.0 percent, again an ROE lower than that requested by PacifiCorp.  </w:t>
      </w:r>
      <w:proofErr w:type="gramStart"/>
      <w:r w:rsidRPr="00B904F6">
        <w:rPr>
          <w:szCs w:val="22"/>
        </w:rPr>
        <w:t xml:space="preserve">ICNU’s Answer </w:t>
      </w:r>
      <w:r w:rsidRPr="00B904F6">
        <w:rPr>
          <w:i/>
          <w:szCs w:val="22"/>
        </w:rPr>
        <w:t>citing</w:t>
      </w:r>
      <w:r w:rsidRPr="00B904F6">
        <w:rPr>
          <w:szCs w:val="22"/>
        </w:rPr>
        <w:t xml:space="preserve"> </w:t>
      </w:r>
      <w:r w:rsidRPr="00B904F6">
        <w:rPr>
          <w:i/>
          <w:szCs w:val="22"/>
        </w:rPr>
        <w:t xml:space="preserve">Re Portland General Electric Co., </w:t>
      </w:r>
      <w:r w:rsidRPr="00B904F6">
        <w:rPr>
          <w:szCs w:val="22"/>
        </w:rPr>
        <w:t>Docket No.</w:t>
      </w:r>
      <w:proofErr w:type="gramEnd"/>
      <w:r w:rsidRPr="00B904F6">
        <w:rPr>
          <w:szCs w:val="22"/>
        </w:rPr>
        <w:t xml:space="preserve"> UE 215, Order No. 10-478 (December 17, 2010).</w:t>
      </w:r>
    </w:p>
    <w:p w:rsidR="009D42B8" w:rsidRPr="00AA49C5" w:rsidRDefault="009D42B8" w:rsidP="00735049">
      <w:pPr>
        <w:pStyle w:val="FootnoteText"/>
      </w:pPr>
    </w:p>
  </w:footnote>
  <w:footnote w:id="49">
    <w:p w:rsidR="009D42B8" w:rsidRDefault="009D42B8">
      <w:pPr>
        <w:pStyle w:val="FootnoteText"/>
      </w:pPr>
      <w:r>
        <w:rPr>
          <w:rStyle w:val="FootnoteReference"/>
        </w:rPr>
        <w:footnoteRef/>
      </w:r>
      <w:r>
        <w:t xml:space="preserve"> PacifiCorp’s Petition ¶¶ 55 – 56.</w:t>
      </w:r>
    </w:p>
    <w:p w:rsidR="009D42B8" w:rsidRDefault="009D42B8">
      <w:pPr>
        <w:pStyle w:val="FootnoteText"/>
      </w:pPr>
    </w:p>
  </w:footnote>
  <w:footnote w:id="50">
    <w:p w:rsidR="009D42B8" w:rsidRDefault="009D42B8">
      <w:pPr>
        <w:pStyle w:val="FootnoteText"/>
      </w:pPr>
      <w:r>
        <w:rPr>
          <w:rStyle w:val="FootnoteReference"/>
        </w:rPr>
        <w:footnoteRef/>
      </w:r>
      <w:r>
        <w:t xml:space="preserve"> Order 06 ¶ 76.</w:t>
      </w:r>
    </w:p>
    <w:p w:rsidR="009D42B8" w:rsidRDefault="009D42B8">
      <w:pPr>
        <w:pStyle w:val="FootnoteText"/>
      </w:pPr>
    </w:p>
  </w:footnote>
  <w:footnote w:id="51">
    <w:p w:rsidR="009D42B8" w:rsidRDefault="009D42B8" w:rsidP="00735049">
      <w:pPr>
        <w:pStyle w:val="FootnoteText"/>
      </w:pPr>
      <w:r>
        <w:rPr>
          <w:rStyle w:val="FootnoteReference"/>
        </w:rPr>
        <w:footnoteRef/>
      </w:r>
      <w:r>
        <w:t xml:space="preserve"> Staff’s Answer ¶ 30, Order 06 ¶ 82.</w:t>
      </w:r>
    </w:p>
    <w:p w:rsidR="009D42B8" w:rsidRDefault="009D42B8" w:rsidP="00735049">
      <w:pPr>
        <w:pStyle w:val="FootnoteText"/>
      </w:pPr>
    </w:p>
  </w:footnote>
  <w:footnote w:id="52">
    <w:p w:rsidR="009D42B8" w:rsidRDefault="009D42B8">
      <w:pPr>
        <w:pStyle w:val="FootnoteText"/>
      </w:pPr>
      <w:r>
        <w:rPr>
          <w:rStyle w:val="FootnoteReference"/>
        </w:rPr>
        <w:footnoteRef/>
      </w:r>
      <w:r>
        <w:t xml:space="preserve"> Order 06 ¶ 82.</w:t>
      </w:r>
    </w:p>
    <w:p w:rsidR="009D42B8" w:rsidRDefault="009D42B8">
      <w:pPr>
        <w:pStyle w:val="FootnoteText"/>
      </w:pPr>
    </w:p>
  </w:footnote>
  <w:footnote w:id="53">
    <w:p w:rsidR="009D42B8" w:rsidRDefault="009D42B8">
      <w:pPr>
        <w:pStyle w:val="FootnoteText"/>
      </w:pPr>
      <w:r>
        <w:rPr>
          <w:rStyle w:val="FootnoteReference"/>
        </w:rPr>
        <w:footnoteRef/>
      </w:r>
      <w:r>
        <w:t xml:space="preserve"> ICNU’s Answer ¶ 27. </w:t>
      </w:r>
    </w:p>
    <w:p w:rsidR="009D42B8" w:rsidRDefault="009D42B8">
      <w:pPr>
        <w:pStyle w:val="FootnoteText"/>
      </w:pPr>
    </w:p>
  </w:footnote>
  <w:footnote w:id="54">
    <w:p w:rsidR="009D42B8" w:rsidRDefault="009D42B8">
      <w:pPr>
        <w:pStyle w:val="FootnoteText"/>
      </w:pPr>
      <w:r>
        <w:rPr>
          <w:rStyle w:val="FootnoteReference"/>
        </w:rPr>
        <w:footnoteRef/>
      </w:r>
      <w:r>
        <w:t xml:space="preserve"> Order 06 ¶ 93.</w:t>
      </w:r>
    </w:p>
    <w:p w:rsidR="009D42B8" w:rsidRDefault="009D42B8">
      <w:pPr>
        <w:pStyle w:val="FootnoteText"/>
      </w:pPr>
    </w:p>
  </w:footnote>
  <w:footnote w:id="55">
    <w:p w:rsidR="009D42B8" w:rsidRDefault="009D42B8">
      <w:pPr>
        <w:pStyle w:val="FootnoteText"/>
      </w:pPr>
      <w:r>
        <w:rPr>
          <w:rStyle w:val="FootnoteReference"/>
        </w:rPr>
        <w:footnoteRef/>
      </w:r>
      <w:r>
        <w:t xml:space="preserve"> PacifiCorp’s Petition ¶¶ 57 -59.</w:t>
      </w:r>
    </w:p>
    <w:p w:rsidR="009D42B8" w:rsidRDefault="009D42B8">
      <w:pPr>
        <w:pStyle w:val="FootnoteText"/>
      </w:pPr>
      <w:r>
        <w:t xml:space="preserve"> </w:t>
      </w:r>
    </w:p>
  </w:footnote>
  <w:footnote w:id="56">
    <w:p w:rsidR="009D42B8" w:rsidRDefault="009D42B8">
      <w:pPr>
        <w:pStyle w:val="FootnoteText"/>
      </w:pPr>
      <w:r>
        <w:rPr>
          <w:rStyle w:val="FootnoteReference"/>
        </w:rPr>
        <w:footnoteRef/>
      </w:r>
      <w:r>
        <w:t xml:space="preserve"> Order 06 ¶ 93.</w:t>
      </w:r>
    </w:p>
    <w:p w:rsidR="009D42B8" w:rsidRDefault="009D42B8">
      <w:pPr>
        <w:pStyle w:val="FootnoteText"/>
      </w:pPr>
    </w:p>
  </w:footnote>
  <w:footnote w:id="57">
    <w:p w:rsidR="009D42B8" w:rsidRDefault="009D42B8">
      <w:pPr>
        <w:pStyle w:val="FootnoteText"/>
      </w:pPr>
      <w:r>
        <w:rPr>
          <w:rStyle w:val="FootnoteReference"/>
        </w:rPr>
        <w:footnoteRef/>
      </w:r>
      <w:r>
        <w:t xml:space="preserve"> Staff’s Answer ¶¶ 38 – 41, ICNU’s Answer ¶¶ 30 – 31.</w:t>
      </w:r>
    </w:p>
    <w:p w:rsidR="009D42B8" w:rsidRDefault="009D42B8">
      <w:pPr>
        <w:pStyle w:val="FootnoteText"/>
      </w:pPr>
    </w:p>
  </w:footnote>
  <w:footnote w:id="58">
    <w:p w:rsidR="009D42B8" w:rsidRDefault="009D42B8">
      <w:pPr>
        <w:pStyle w:val="FootnoteText"/>
      </w:pPr>
      <w:r>
        <w:rPr>
          <w:rStyle w:val="FootnoteReference"/>
        </w:rPr>
        <w:footnoteRef/>
      </w:r>
      <w:r>
        <w:t xml:space="preserve"> ICNU’s Answer ¶ 31, Staff’s Answer ¶¶ 39 – 40.</w:t>
      </w:r>
    </w:p>
    <w:p w:rsidR="009D42B8" w:rsidRDefault="009D42B8">
      <w:pPr>
        <w:pStyle w:val="FootnoteText"/>
      </w:pPr>
    </w:p>
  </w:footnote>
  <w:footnote w:id="59">
    <w:p w:rsidR="009D42B8" w:rsidRDefault="009D42B8">
      <w:pPr>
        <w:pStyle w:val="FootnoteText"/>
      </w:pPr>
      <w:r>
        <w:rPr>
          <w:rStyle w:val="FootnoteReference"/>
        </w:rPr>
        <w:footnoteRef/>
      </w:r>
      <w:r>
        <w:t xml:space="preserve"> </w:t>
      </w:r>
      <w:proofErr w:type="gramStart"/>
      <w:r>
        <w:t>PacifiCorp’s Petition ¶ 62.</w:t>
      </w:r>
      <w:proofErr w:type="gramEnd"/>
    </w:p>
    <w:p w:rsidR="009D42B8" w:rsidRDefault="009D42B8">
      <w:pPr>
        <w:pStyle w:val="FootnoteText"/>
      </w:pPr>
    </w:p>
  </w:footnote>
  <w:footnote w:id="60">
    <w:p w:rsidR="009D42B8" w:rsidRDefault="009D42B8">
      <w:pPr>
        <w:pStyle w:val="FootnoteText"/>
      </w:pPr>
      <w:r>
        <w:rPr>
          <w:rStyle w:val="FootnoteReference"/>
        </w:rPr>
        <w:footnoteRef/>
      </w:r>
      <w:r>
        <w:t xml:space="preserve"> Order 06 ¶ 90.  (emphasis supplied).</w:t>
      </w:r>
    </w:p>
    <w:p w:rsidR="009D42B8" w:rsidRDefault="009D42B8">
      <w:pPr>
        <w:pStyle w:val="FootnoteText"/>
      </w:pPr>
    </w:p>
  </w:footnote>
  <w:footnote w:id="61">
    <w:p w:rsidR="009D42B8" w:rsidRDefault="009D42B8">
      <w:pPr>
        <w:pStyle w:val="FootnoteText"/>
      </w:pPr>
      <w:r>
        <w:rPr>
          <w:rStyle w:val="FootnoteReference"/>
        </w:rPr>
        <w:footnoteRef/>
      </w:r>
      <w:r>
        <w:t xml:space="preserve"> Order 06 ¶¶ 90 – 91.</w:t>
      </w:r>
    </w:p>
    <w:p w:rsidR="009D42B8" w:rsidRDefault="009D42B8">
      <w:pPr>
        <w:pStyle w:val="FootnoteText"/>
      </w:pPr>
    </w:p>
  </w:footnote>
  <w:footnote w:id="62">
    <w:p w:rsidR="009D42B8" w:rsidRDefault="009D42B8">
      <w:pPr>
        <w:pStyle w:val="FootnoteText"/>
      </w:pPr>
      <w:r>
        <w:rPr>
          <w:rStyle w:val="FootnoteReference"/>
        </w:rPr>
        <w:footnoteRef/>
      </w:r>
      <w:r>
        <w:t xml:space="preserve"> Order 06, ¶ 91, n. 130.  </w:t>
      </w:r>
    </w:p>
    <w:p w:rsidR="009D42B8" w:rsidRDefault="009D42B8">
      <w:pPr>
        <w:pStyle w:val="FootnoteText"/>
      </w:pPr>
    </w:p>
  </w:footnote>
  <w:footnote w:id="63">
    <w:p w:rsidR="009D42B8" w:rsidRDefault="009D42B8">
      <w:pPr>
        <w:pStyle w:val="FootnoteText"/>
      </w:pPr>
      <w:r>
        <w:rPr>
          <w:rStyle w:val="FootnoteReference"/>
        </w:rPr>
        <w:footnoteRef/>
      </w:r>
      <w:r>
        <w:t xml:space="preserve"> Order 06 ¶ 93.</w:t>
      </w:r>
    </w:p>
    <w:p w:rsidR="009D42B8" w:rsidRDefault="009D42B8">
      <w:pPr>
        <w:pStyle w:val="FootnoteText"/>
      </w:pPr>
    </w:p>
  </w:footnote>
  <w:footnote w:id="64">
    <w:p w:rsidR="009D42B8" w:rsidRDefault="009D42B8">
      <w:pPr>
        <w:pStyle w:val="FootnoteText"/>
      </w:pPr>
      <w:r>
        <w:rPr>
          <w:rStyle w:val="FootnoteReference"/>
        </w:rPr>
        <w:footnoteRef/>
      </w:r>
      <w:r>
        <w:t xml:space="preserve"> Order 06 ¶¶ 88 -90.</w:t>
      </w:r>
    </w:p>
    <w:p w:rsidR="009D42B8" w:rsidRDefault="009D42B8">
      <w:pPr>
        <w:pStyle w:val="FootnoteText"/>
      </w:pPr>
    </w:p>
  </w:footnote>
  <w:footnote w:id="65">
    <w:p w:rsidR="009D42B8" w:rsidRDefault="009D42B8">
      <w:pPr>
        <w:pStyle w:val="FootnoteText"/>
      </w:pPr>
      <w:r>
        <w:rPr>
          <w:rStyle w:val="FootnoteReference"/>
        </w:rPr>
        <w:footnoteRef/>
      </w:r>
      <w:r>
        <w:t xml:space="preserve"> Order 06 ¶ 91.</w:t>
      </w:r>
    </w:p>
    <w:p w:rsidR="009D42B8" w:rsidRDefault="009D42B8">
      <w:pPr>
        <w:pStyle w:val="FootnoteText"/>
      </w:pPr>
    </w:p>
  </w:footnote>
  <w:footnote w:id="66">
    <w:p w:rsidR="009D42B8" w:rsidRDefault="009D42B8">
      <w:pPr>
        <w:pStyle w:val="FootnoteText"/>
      </w:pPr>
      <w:r>
        <w:rPr>
          <w:rStyle w:val="FootnoteReference"/>
        </w:rPr>
        <w:footnoteRef/>
      </w:r>
      <w:r>
        <w:t xml:space="preserve"> PacifiCorp’s Petition ¶¶ 63 – 64.</w:t>
      </w:r>
    </w:p>
    <w:p w:rsidR="009D42B8" w:rsidRDefault="009D42B8">
      <w:pPr>
        <w:pStyle w:val="FootnoteText"/>
      </w:pPr>
    </w:p>
  </w:footnote>
  <w:footnote w:id="67">
    <w:p w:rsidR="009D42B8" w:rsidRDefault="009D42B8">
      <w:pPr>
        <w:pStyle w:val="FootnoteText"/>
      </w:pPr>
      <w:r>
        <w:rPr>
          <w:rStyle w:val="FootnoteReference"/>
        </w:rPr>
        <w:footnoteRef/>
      </w:r>
      <w:r>
        <w:t xml:space="preserve"> ICNU’s Answer ¶ 35, Gorman, Exh. No. MPG-1T at 50, Staff’s Answer ¶¶ 25, 35 – 37.</w:t>
      </w:r>
    </w:p>
    <w:p w:rsidR="009D42B8" w:rsidRDefault="009D42B8">
      <w:pPr>
        <w:pStyle w:val="FootnoteText"/>
      </w:pPr>
    </w:p>
  </w:footnote>
  <w:footnote w:id="68">
    <w:p w:rsidR="009D42B8" w:rsidRDefault="009D42B8">
      <w:pPr>
        <w:pStyle w:val="FootnoteText"/>
      </w:pPr>
      <w:r>
        <w:rPr>
          <w:rStyle w:val="FootnoteReference"/>
        </w:rPr>
        <w:footnoteRef/>
      </w:r>
      <w:r>
        <w:t xml:space="preserve"> Order 06 ¶ 86.</w:t>
      </w:r>
    </w:p>
    <w:p w:rsidR="009D42B8" w:rsidRDefault="009D42B8">
      <w:pPr>
        <w:pStyle w:val="FootnoteText"/>
      </w:pPr>
    </w:p>
  </w:footnote>
  <w:footnote w:id="69">
    <w:p w:rsidR="009D42B8" w:rsidRDefault="009D42B8">
      <w:pPr>
        <w:pStyle w:val="FootnoteText"/>
      </w:pPr>
      <w:r>
        <w:rPr>
          <w:rStyle w:val="FootnoteReference"/>
        </w:rPr>
        <w:footnoteRef/>
      </w:r>
      <w:r>
        <w:t xml:space="preserve"> Order 06 </w:t>
      </w:r>
      <w:r w:rsidRPr="003230AB">
        <w:t>¶¶</w:t>
      </w:r>
      <w:r w:rsidR="00655BB2">
        <w:t xml:space="preserve"> </w:t>
      </w:r>
      <w:r w:rsidRPr="00655BB2">
        <w:t>106 – 13</w:t>
      </w:r>
      <w:r>
        <w:t>.</w:t>
      </w:r>
    </w:p>
    <w:p w:rsidR="009D42B8" w:rsidRDefault="009D42B8">
      <w:pPr>
        <w:pStyle w:val="FootnoteText"/>
      </w:pPr>
    </w:p>
  </w:footnote>
  <w:footnote w:id="70">
    <w:p w:rsidR="009D42B8" w:rsidRDefault="009D42B8">
      <w:pPr>
        <w:pStyle w:val="FootnoteText"/>
      </w:pPr>
      <w:r>
        <w:rPr>
          <w:rStyle w:val="FootnoteReference"/>
        </w:rPr>
        <w:footnoteRef/>
      </w:r>
      <w:r>
        <w:t xml:space="preserve"> Order 06 ¶ 113.</w:t>
      </w:r>
    </w:p>
    <w:p w:rsidR="009D42B8" w:rsidRDefault="009D42B8">
      <w:pPr>
        <w:pStyle w:val="FootnoteText"/>
      </w:pPr>
    </w:p>
  </w:footnote>
  <w:footnote w:id="71">
    <w:p w:rsidR="009D42B8" w:rsidRDefault="009D42B8">
      <w:pPr>
        <w:pStyle w:val="FootnoteText"/>
      </w:pPr>
      <w:r>
        <w:rPr>
          <w:rStyle w:val="FootnoteReference"/>
        </w:rPr>
        <w:footnoteRef/>
      </w:r>
      <w:r>
        <w:t xml:space="preserve"> PacifiCorp’s Petition ¶ 33.</w:t>
      </w:r>
    </w:p>
    <w:p w:rsidR="009D42B8" w:rsidRDefault="009D42B8">
      <w:pPr>
        <w:pStyle w:val="FootnoteText"/>
      </w:pPr>
    </w:p>
  </w:footnote>
  <w:footnote w:id="72">
    <w:p w:rsidR="009D42B8" w:rsidRDefault="009D42B8">
      <w:pPr>
        <w:pStyle w:val="FootnoteText"/>
      </w:pPr>
      <w:r>
        <w:rPr>
          <w:rStyle w:val="FootnoteReference"/>
        </w:rPr>
        <w:footnoteRef/>
      </w:r>
      <w:r>
        <w:t xml:space="preserve"> Falkenberg, TR. 667.</w:t>
      </w:r>
    </w:p>
    <w:p w:rsidR="009D42B8" w:rsidRDefault="009D42B8">
      <w:pPr>
        <w:pStyle w:val="FootnoteText"/>
      </w:pPr>
    </w:p>
  </w:footnote>
  <w:footnote w:id="73">
    <w:p w:rsidR="009D42B8" w:rsidRDefault="009D42B8">
      <w:pPr>
        <w:pStyle w:val="FootnoteText"/>
      </w:pPr>
      <w:r>
        <w:rPr>
          <w:rStyle w:val="FootnoteReference"/>
        </w:rPr>
        <w:footnoteRef/>
      </w:r>
      <w:r>
        <w:t xml:space="preserve"> </w:t>
      </w:r>
      <w:r w:rsidR="00B904F6" w:rsidRPr="00B904F6">
        <w:rPr>
          <w:i/>
        </w:rPr>
        <w:t>Id.</w:t>
      </w:r>
    </w:p>
    <w:p w:rsidR="009D42B8" w:rsidRDefault="009D42B8">
      <w:pPr>
        <w:pStyle w:val="FootnoteText"/>
      </w:pPr>
    </w:p>
  </w:footnote>
  <w:footnote w:id="74">
    <w:p w:rsidR="009D42B8" w:rsidRDefault="009D42B8" w:rsidP="00C92DBB">
      <w:pPr>
        <w:pStyle w:val="FootnoteText"/>
      </w:pPr>
      <w:r>
        <w:rPr>
          <w:rStyle w:val="FootnoteReference"/>
        </w:rPr>
        <w:footnoteRef/>
      </w:r>
      <w:r>
        <w:t xml:space="preserve"> </w:t>
      </w:r>
      <w:r w:rsidR="00B904F6" w:rsidRPr="00B904F6">
        <w:rPr>
          <w:i/>
        </w:rPr>
        <w:t>Id.</w:t>
      </w:r>
    </w:p>
    <w:p w:rsidR="009D42B8" w:rsidRDefault="009D42B8" w:rsidP="00C92DBB">
      <w:pPr>
        <w:pStyle w:val="FootnoteText"/>
      </w:pPr>
    </w:p>
  </w:footnote>
  <w:footnote w:id="75">
    <w:p w:rsidR="009D42B8" w:rsidRDefault="009D42B8">
      <w:pPr>
        <w:pStyle w:val="FootnoteText"/>
      </w:pPr>
      <w:r>
        <w:rPr>
          <w:rStyle w:val="FootnoteReference"/>
        </w:rPr>
        <w:footnoteRef/>
      </w:r>
      <w:r>
        <w:t xml:space="preserve"> Buckley, Exh. No. APB-1CT at 6 – 7.</w:t>
      </w:r>
    </w:p>
    <w:p w:rsidR="009D42B8" w:rsidRDefault="009D42B8">
      <w:pPr>
        <w:pStyle w:val="FootnoteText"/>
      </w:pPr>
    </w:p>
  </w:footnote>
  <w:footnote w:id="76">
    <w:p w:rsidR="009D42B8" w:rsidRDefault="009D42B8">
      <w:pPr>
        <w:pStyle w:val="FootnoteText"/>
      </w:pPr>
      <w:r>
        <w:rPr>
          <w:rStyle w:val="FootnoteReference"/>
        </w:rPr>
        <w:footnoteRef/>
      </w:r>
      <w:r>
        <w:t xml:space="preserve"> Order 06 ¶125.</w:t>
      </w:r>
    </w:p>
    <w:p w:rsidR="009D42B8" w:rsidRDefault="009D42B8">
      <w:pPr>
        <w:pStyle w:val="FootnoteText"/>
      </w:pPr>
    </w:p>
  </w:footnote>
  <w:footnote w:id="77">
    <w:p w:rsidR="009D42B8" w:rsidRDefault="009D42B8">
      <w:pPr>
        <w:pStyle w:val="FootnoteText"/>
      </w:pPr>
      <w:r>
        <w:rPr>
          <w:rStyle w:val="FootnoteReference"/>
        </w:rPr>
        <w:footnoteRef/>
      </w:r>
      <w:r>
        <w:t xml:space="preserve"> Order 06 ¶ 126.</w:t>
      </w:r>
    </w:p>
    <w:p w:rsidR="009D42B8" w:rsidRDefault="009D42B8">
      <w:pPr>
        <w:pStyle w:val="FootnoteText"/>
      </w:pPr>
    </w:p>
  </w:footnote>
  <w:footnote w:id="78">
    <w:p w:rsidR="009D42B8" w:rsidRDefault="009D42B8">
      <w:pPr>
        <w:pStyle w:val="FootnoteText"/>
      </w:pPr>
      <w:r>
        <w:rPr>
          <w:rStyle w:val="FootnoteReference"/>
        </w:rPr>
        <w:footnoteRef/>
      </w:r>
      <w:r>
        <w:t xml:space="preserve"> </w:t>
      </w:r>
      <w:r w:rsidR="00B904F6" w:rsidRPr="00B904F6">
        <w:rPr>
          <w:i/>
        </w:rPr>
        <w:t>Id.</w:t>
      </w:r>
    </w:p>
    <w:p w:rsidR="009D42B8" w:rsidRDefault="009D42B8">
      <w:pPr>
        <w:pStyle w:val="FootnoteText"/>
      </w:pPr>
    </w:p>
  </w:footnote>
  <w:footnote w:id="79">
    <w:p w:rsidR="009D42B8" w:rsidRDefault="009D42B8">
      <w:pPr>
        <w:pStyle w:val="FootnoteText"/>
      </w:pPr>
      <w:r>
        <w:rPr>
          <w:rStyle w:val="FootnoteReference"/>
        </w:rPr>
        <w:footnoteRef/>
      </w:r>
      <w:r>
        <w:t xml:space="preserve"> </w:t>
      </w:r>
      <w:proofErr w:type="gramStart"/>
      <w:r>
        <w:t>PacifiCorp’s Petition ¶¶ 42</w:t>
      </w:r>
      <w:r w:rsidR="0037690E">
        <w:t xml:space="preserve"> </w:t>
      </w:r>
      <w:r>
        <w:t>-</w:t>
      </w:r>
      <w:r w:rsidR="0037690E">
        <w:t xml:space="preserve"> </w:t>
      </w:r>
      <w:r>
        <w:t>45.</w:t>
      </w:r>
      <w:proofErr w:type="gramEnd"/>
    </w:p>
    <w:p w:rsidR="009D42B8" w:rsidRDefault="009D42B8">
      <w:pPr>
        <w:pStyle w:val="FootnoteText"/>
      </w:pPr>
    </w:p>
  </w:footnote>
  <w:footnote w:id="80">
    <w:p w:rsidR="009D42B8" w:rsidRDefault="009D42B8">
      <w:pPr>
        <w:pStyle w:val="FootnoteText"/>
      </w:pPr>
      <w:r>
        <w:rPr>
          <w:rStyle w:val="FootnoteReference"/>
        </w:rPr>
        <w:footnoteRef/>
      </w:r>
      <w:r>
        <w:t xml:space="preserve"> Order 06 ¶ 125.</w:t>
      </w:r>
    </w:p>
    <w:p w:rsidR="009D42B8" w:rsidRDefault="009D42B8">
      <w:pPr>
        <w:pStyle w:val="FootnoteText"/>
      </w:pPr>
    </w:p>
  </w:footnote>
  <w:footnote w:id="81">
    <w:p w:rsidR="009D42B8" w:rsidRDefault="009D42B8">
      <w:pPr>
        <w:pStyle w:val="FootnoteText"/>
      </w:pPr>
      <w:r>
        <w:rPr>
          <w:rStyle w:val="FootnoteReference"/>
        </w:rPr>
        <w:footnoteRef/>
      </w:r>
      <w:r>
        <w:t xml:space="preserve"> Order 06 ¶ 119.  ICNU also opposed recovery of these costs contending that they were inaccurate and high.  Order 06 ¶¶ 121 – 22.</w:t>
      </w:r>
    </w:p>
    <w:p w:rsidR="009D42B8" w:rsidRDefault="009D42B8">
      <w:pPr>
        <w:pStyle w:val="FootnoteText"/>
      </w:pPr>
    </w:p>
  </w:footnote>
  <w:footnote w:id="82">
    <w:p w:rsidR="009D42B8" w:rsidRDefault="009D42B8">
      <w:pPr>
        <w:pStyle w:val="FootnoteText"/>
      </w:pPr>
      <w:r>
        <w:rPr>
          <w:rStyle w:val="FootnoteReference"/>
        </w:rPr>
        <w:footnoteRef/>
      </w:r>
      <w:r>
        <w:t xml:space="preserve"> Order 06 ¶ 120.</w:t>
      </w:r>
    </w:p>
    <w:p w:rsidR="009D42B8" w:rsidRDefault="009D42B8">
      <w:pPr>
        <w:pStyle w:val="FootnoteText"/>
      </w:pPr>
    </w:p>
  </w:footnote>
  <w:footnote w:id="83">
    <w:p w:rsidR="009D42B8" w:rsidRDefault="009D42B8">
      <w:pPr>
        <w:pStyle w:val="FootnoteText"/>
      </w:pPr>
      <w:r>
        <w:rPr>
          <w:rStyle w:val="FootnoteReference"/>
        </w:rPr>
        <w:footnoteRef/>
      </w:r>
      <w:r>
        <w:t xml:space="preserve"> Order 06 ¶¶ 118, 125.</w:t>
      </w:r>
    </w:p>
    <w:p w:rsidR="009D42B8" w:rsidRDefault="009D42B8">
      <w:pPr>
        <w:pStyle w:val="FootnoteText"/>
      </w:pPr>
    </w:p>
  </w:footnote>
  <w:footnote w:id="84">
    <w:p w:rsidR="009D42B8" w:rsidRDefault="009D42B8">
      <w:pPr>
        <w:pStyle w:val="FootnoteText"/>
      </w:pPr>
      <w:r>
        <w:rPr>
          <w:rStyle w:val="FootnoteReference"/>
        </w:rPr>
        <w:footnoteRef/>
      </w:r>
      <w:r>
        <w:t xml:space="preserve"> Order 06 ¶¶ 120, 125.</w:t>
      </w:r>
    </w:p>
    <w:p w:rsidR="009D42B8" w:rsidRDefault="009D42B8">
      <w:pPr>
        <w:pStyle w:val="FootnoteText"/>
      </w:pPr>
    </w:p>
  </w:footnote>
  <w:footnote w:id="85">
    <w:p w:rsidR="009D42B8" w:rsidRDefault="009D42B8">
      <w:pPr>
        <w:pStyle w:val="FootnoteText"/>
      </w:pPr>
      <w:r>
        <w:rPr>
          <w:rStyle w:val="FootnoteReference"/>
        </w:rPr>
        <w:footnoteRef/>
      </w:r>
      <w:r>
        <w:t xml:space="preserve"> Order 06 ¶ 120.</w:t>
      </w:r>
    </w:p>
    <w:p w:rsidR="009D42B8" w:rsidRDefault="009D42B8">
      <w:pPr>
        <w:pStyle w:val="FootnoteText"/>
      </w:pPr>
    </w:p>
  </w:footnote>
  <w:footnote w:id="86">
    <w:p w:rsidR="009D42B8" w:rsidRDefault="009D42B8">
      <w:pPr>
        <w:pStyle w:val="FootnoteText"/>
      </w:pPr>
      <w:r>
        <w:rPr>
          <w:rStyle w:val="FootnoteReference"/>
        </w:rPr>
        <w:footnoteRef/>
      </w:r>
      <w:r>
        <w:t xml:space="preserve"> </w:t>
      </w:r>
      <w:r w:rsidR="00B904F6" w:rsidRPr="00B904F6">
        <w:rPr>
          <w:i/>
        </w:rPr>
        <w:t>Id.</w:t>
      </w:r>
    </w:p>
    <w:p w:rsidR="009D42B8" w:rsidRDefault="009D42B8">
      <w:pPr>
        <w:pStyle w:val="FootnoteText"/>
      </w:pPr>
    </w:p>
  </w:footnote>
  <w:footnote w:id="87">
    <w:p w:rsidR="009D42B8" w:rsidRDefault="009D42B8">
      <w:pPr>
        <w:pStyle w:val="FootnoteText"/>
      </w:pPr>
      <w:r>
        <w:rPr>
          <w:rStyle w:val="FootnoteReference"/>
        </w:rPr>
        <w:footnoteRef/>
      </w:r>
      <w:r>
        <w:t xml:space="preserve"> Order 06 ¶¶ 125 – 26.</w:t>
      </w:r>
    </w:p>
    <w:p w:rsidR="009D42B8" w:rsidRDefault="009D42B8">
      <w:pPr>
        <w:pStyle w:val="FootnoteText"/>
      </w:pPr>
    </w:p>
  </w:footnote>
  <w:footnote w:id="88">
    <w:p w:rsidR="009D42B8" w:rsidRDefault="009D42B8">
      <w:pPr>
        <w:pStyle w:val="FootnoteText"/>
      </w:pPr>
      <w:r>
        <w:rPr>
          <w:rStyle w:val="FootnoteReference"/>
        </w:rPr>
        <w:footnoteRef/>
      </w:r>
      <w:r>
        <w:t xml:space="preserve"> PacifiCorp’s Petition ¶ 38.</w:t>
      </w:r>
    </w:p>
    <w:p w:rsidR="009D42B8" w:rsidRDefault="009D42B8">
      <w:pPr>
        <w:pStyle w:val="FootnoteText"/>
      </w:pPr>
    </w:p>
  </w:footnote>
  <w:footnote w:id="89">
    <w:p w:rsidR="009D42B8" w:rsidRDefault="009D42B8">
      <w:pPr>
        <w:pStyle w:val="FootnoteText"/>
      </w:pPr>
      <w:r>
        <w:rPr>
          <w:rStyle w:val="FootnoteReference"/>
        </w:rPr>
        <w:footnoteRef/>
      </w:r>
      <w:r>
        <w:t xml:space="preserve"> Staff’s Answer ¶¶ 56 – 58.</w:t>
      </w:r>
    </w:p>
    <w:p w:rsidR="009D42B8" w:rsidRDefault="009D42B8">
      <w:pPr>
        <w:pStyle w:val="FootnoteText"/>
      </w:pPr>
    </w:p>
  </w:footnote>
  <w:footnote w:id="90">
    <w:p w:rsidR="009D42B8" w:rsidRDefault="009D42B8">
      <w:pPr>
        <w:pStyle w:val="FootnoteText"/>
      </w:pPr>
      <w:r>
        <w:rPr>
          <w:rStyle w:val="FootnoteReference"/>
        </w:rPr>
        <w:footnoteRef/>
      </w:r>
      <w:r>
        <w:t xml:space="preserve"> </w:t>
      </w:r>
      <w:r>
        <w:rPr>
          <w:i/>
        </w:rPr>
        <w:t xml:space="preserve">Nantahala Power &amp; Light Co. v. Thornberg, </w:t>
      </w:r>
      <w:r>
        <w:t xml:space="preserve">476 U.S. 953 (1986); </w:t>
      </w:r>
      <w:r>
        <w:rPr>
          <w:i/>
        </w:rPr>
        <w:t xml:space="preserve">Mississippi Power &amp; Light Co. v. Mississippi, </w:t>
      </w:r>
      <w:r>
        <w:t>487 U.S. 354 (1988).</w:t>
      </w:r>
    </w:p>
    <w:p w:rsidR="009D42B8" w:rsidRPr="005E1F4A" w:rsidRDefault="009D42B8">
      <w:pPr>
        <w:pStyle w:val="FootnoteText"/>
      </w:pPr>
    </w:p>
  </w:footnote>
  <w:footnote w:id="91">
    <w:p w:rsidR="009D42B8" w:rsidRDefault="009D42B8">
      <w:pPr>
        <w:pStyle w:val="FootnoteText"/>
      </w:pPr>
      <w:r>
        <w:rPr>
          <w:rStyle w:val="FootnoteReference"/>
        </w:rPr>
        <w:footnoteRef/>
      </w:r>
      <w:r>
        <w:t xml:space="preserve"> Staff’s Answer ¶ 58; Order 06 ¶ 126.</w:t>
      </w:r>
    </w:p>
    <w:p w:rsidR="009D42B8" w:rsidRDefault="009D42B8">
      <w:pPr>
        <w:pStyle w:val="FootnoteText"/>
      </w:pPr>
    </w:p>
  </w:footnote>
  <w:footnote w:id="92">
    <w:p w:rsidR="009D42B8" w:rsidRDefault="009D42B8">
      <w:pPr>
        <w:pStyle w:val="FootnoteText"/>
      </w:pPr>
      <w:r>
        <w:rPr>
          <w:rStyle w:val="FootnoteReference"/>
        </w:rPr>
        <w:footnoteRef/>
      </w:r>
      <w:r>
        <w:t xml:space="preserve"> Staff’s Answer ¶ 61.</w:t>
      </w:r>
    </w:p>
  </w:footnote>
  <w:footnote w:id="93">
    <w:p w:rsidR="009D42B8" w:rsidRDefault="009D42B8">
      <w:pPr>
        <w:pStyle w:val="FootnoteText"/>
      </w:pPr>
    </w:p>
  </w:footnote>
  <w:footnote w:id="94">
    <w:p w:rsidR="009D42B8" w:rsidRDefault="009D42B8">
      <w:pPr>
        <w:pStyle w:val="FootnoteText"/>
      </w:pPr>
      <w:r>
        <w:rPr>
          <w:rStyle w:val="FootnoteReference"/>
        </w:rPr>
        <w:footnoteRef/>
      </w:r>
      <w:r>
        <w:t xml:space="preserve"> Order 06 ¶¶</w:t>
      </w:r>
      <w:r w:rsidR="00A923D8">
        <w:t xml:space="preserve"> </w:t>
      </w:r>
      <w:r>
        <w:t xml:space="preserve">148 – 52. </w:t>
      </w:r>
    </w:p>
    <w:p w:rsidR="009D42B8" w:rsidRDefault="009D42B8">
      <w:pPr>
        <w:pStyle w:val="FootnoteText"/>
      </w:pPr>
    </w:p>
  </w:footnote>
  <w:footnote w:id="95">
    <w:p w:rsidR="009D42B8" w:rsidRDefault="009D42B8">
      <w:pPr>
        <w:pStyle w:val="FootnoteText"/>
      </w:pPr>
      <w:r>
        <w:rPr>
          <w:rStyle w:val="FootnoteReference"/>
        </w:rPr>
        <w:footnoteRef/>
      </w:r>
      <w:r>
        <w:t xml:space="preserve"> Order 06 ¶¶ 148, 152.  </w:t>
      </w:r>
    </w:p>
    <w:p w:rsidR="009D42B8" w:rsidRDefault="009D42B8">
      <w:pPr>
        <w:pStyle w:val="FootnoteText"/>
      </w:pPr>
    </w:p>
  </w:footnote>
  <w:footnote w:id="96">
    <w:p w:rsidR="009D42B8" w:rsidRDefault="009D42B8">
      <w:pPr>
        <w:pStyle w:val="FootnoteText"/>
      </w:pPr>
      <w:r>
        <w:rPr>
          <w:rStyle w:val="FootnoteReference"/>
        </w:rPr>
        <w:footnoteRef/>
      </w:r>
      <w:r>
        <w:t xml:space="preserve"> PacifiCorp’s Petition ¶¶ 30 -32.</w:t>
      </w:r>
    </w:p>
    <w:p w:rsidR="009D42B8" w:rsidRDefault="009D42B8">
      <w:pPr>
        <w:pStyle w:val="FootnoteText"/>
      </w:pPr>
    </w:p>
  </w:footnote>
  <w:footnote w:id="97">
    <w:p w:rsidR="009D42B8" w:rsidRDefault="009D42B8">
      <w:pPr>
        <w:pStyle w:val="FootnoteText"/>
      </w:pPr>
      <w:r>
        <w:rPr>
          <w:rStyle w:val="FootnoteReference"/>
        </w:rPr>
        <w:footnoteRef/>
      </w:r>
      <w:r>
        <w:t xml:space="preserve"> PacifiCorp’s Petition ¶ 31, </w:t>
      </w:r>
      <w:r w:rsidRPr="000B20B6">
        <w:rPr>
          <w:i/>
        </w:rPr>
        <w:t>citing</w:t>
      </w:r>
      <w:r>
        <w:t xml:space="preserve"> Duvall, TR. 304.</w:t>
      </w:r>
    </w:p>
    <w:p w:rsidR="009D42B8" w:rsidRDefault="009D42B8">
      <w:pPr>
        <w:pStyle w:val="FootnoteText"/>
      </w:pPr>
    </w:p>
  </w:footnote>
  <w:footnote w:id="98">
    <w:p w:rsidR="009D42B8" w:rsidRDefault="009D42B8" w:rsidP="00B25BF7">
      <w:pPr>
        <w:pStyle w:val="FootnoteText"/>
      </w:pPr>
      <w:r>
        <w:rPr>
          <w:rStyle w:val="FootnoteReference"/>
        </w:rPr>
        <w:footnoteRef/>
      </w:r>
      <w:r>
        <w:t xml:space="preserve"> Staff’s Answer ¶ 44.</w:t>
      </w:r>
    </w:p>
    <w:p w:rsidR="009D42B8" w:rsidRDefault="009D42B8" w:rsidP="00B25BF7">
      <w:pPr>
        <w:pStyle w:val="FootnoteText"/>
      </w:pPr>
    </w:p>
  </w:footnote>
  <w:footnote w:id="99">
    <w:p w:rsidR="009D42B8" w:rsidRPr="00117D15" w:rsidRDefault="009D42B8" w:rsidP="00117D15">
      <w:pPr>
        <w:rPr>
          <w:sz w:val="22"/>
          <w:szCs w:val="22"/>
        </w:rPr>
      </w:pPr>
      <w:r w:rsidRPr="000B20B6">
        <w:rPr>
          <w:rStyle w:val="FootnoteReference"/>
          <w:sz w:val="22"/>
          <w:szCs w:val="22"/>
        </w:rPr>
        <w:footnoteRef/>
      </w:r>
      <w:r w:rsidRPr="000B20B6">
        <w:rPr>
          <w:sz w:val="22"/>
          <w:szCs w:val="22"/>
        </w:rPr>
        <w:t xml:space="preserve"> </w:t>
      </w:r>
      <w:r w:rsidRPr="000B20B6">
        <w:rPr>
          <w:i/>
          <w:sz w:val="22"/>
          <w:szCs w:val="22"/>
        </w:rPr>
        <w:t xml:space="preserve">See </w:t>
      </w:r>
      <w:r w:rsidRPr="000B20B6">
        <w:rPr>
          <w:sz w:val="22"/>
          <w:szCs w:val="22"/>
        </w:rPr>
        <w:t>Staff’s Answer ¶¶ 43-47.  Indeed, in its Petition, PacifiCorp notably ignores the language in our Order regarding a Company’s obligation to demonstrate benefits.  Specifically, we noted the Company’s “ongoing obligation to manage the resource . . . to provide a benefit to . . . its ratepayers.”</w:t>
      </w:r>
      <w:r>
        <w:rPr>
          <w:sz w:val="22"/>
          <w:szCs w:val="22"/>
        </w:rPr>
        <w:t xml:space="preserve"> </w:t>
      </w:r>
      <w:r w:rsidRPr="000B20B6">
        <w:rPr>
          <w:sz w:val="22"/>
          <w:szCs w:val="22"/>
        </w:rPr>
        <w:t xml:space="preserve"> Order 06 ¶ 148.  We concluded that “PacifiCorp failed to demonstrate that the DC intertie contract would provide benefits to Washington ratepayers during the rate year.” Order 06 ¶ 152.  In its Answer, Staff accurately notes that a utility must demonstrate benefits that at least equal costs if a utility expects cost recovery.  Staff’s Answer ¶ 47.  As we stated earlier, the Company did not cite ratepayer benefits but rather relied on the results of its GRID model (which do not reflect any transactions) and its argument that we should consider whether the contract was prudent when entered into.  This reliance led to the obvious conclusion that the Company failed to demonstrate any benefits or, stated differently, meet its burden of proof.  </w:t>
      </w:r>
    </w:p>
    <w:p w:rsidR="009D42B8" w:rsidRPr="00B25BF7" w:rsidRDefault="009D42B8">
      <w:pPr>
        <w:pStyle w:val="FootnoteText"/>
      </w:pPr>
    </w:p>
  </w:footnote>
  <w:footnote w:id="100">
    <w:p w:rsidR="009D42B8" w:rsidRDefault="009D42B8">
      <w:pPr>
        <w:pStyle w:val="FootnoteText"/>
      </w:pPr>
      <w:r>
        <w:rPr>
          <w:rStyle w:val="FootnoteReference"/>
        </w:rPr>
        <w:footnoteRef/>
      </w:r>
      <w:r>
        <w:t xml:space="preserve"> Duvall, TR. 303 – 04 (emphasis supplied).</w:t>
      </w:r>
    </w:p>
    <w:p w:rsidR="009D42B8" w:rsidRDefault="009D42B8">
      <w:pPr>
        <w:pStyle w:val="FootnoteText"/>
      </w:pPr>
    </w:p>
  </w:footnote>
  <w:footnote w:id="101">
    <w:p w:rsidR="009D42B8" w:rsidRDefault="009D42B8">
      <w:pPr>
        <w:pStyle w:val="FootnoteText"/>
      </w:pPr>
      <w:r>
        <w:rPr>
          <w:rStyle w:val="FootnoteReference"/>
        </w:rPr>
        <w:footnoteRef/>
      </w:r>
      <w:r>
        <w:t xml:space="preserve"> ICNU’s Answer ¶¶ 6 – 7, 9.</w:t>
      </w:r>
    </w:p>
    <w:p w:rsidR="009D42B8" w:rsidRDefault="009D42B8">
      <w:pPr>
        <w:pStyle w:val="FootnoteText"/>
      </w:pPr>
    </w:p>
  </w:footnote>
  <w:footnote w:id="102">
    <w:p w:rsidR="009D42B8" w:rsidRDefault="009D42B8">
      <w:pPr>
        <w:pStyle w:val="FootnoteText"/>
      </w:pPr>
      <w:r>
        <w:rPr>
          <w:rStyle w:val="FootnoteReference"/>
        </w:rPr>
        <w:footnoteRef/>
      </w:r>
      <w:r>
        <w:t xml:space="preserve"> Order 06 ¶¶ 190 – 91.</w:t>
      </w:r>
    </w:p>
    <w:p w:rsidR="009D42B8" w:rsidRDefault="009D42B8">
      <w:pPr>
        <w:pStyle w:val="FootnoteText"/>
      </w:pPr>
    </w:p>
  </w:footnote>
  <w:footnote w:id="103">
    <w:p w:rsidR="009D42B8" w:rsidRDefault="009D42B8">
      <w:pPr>
        <w:pStyle w:val="FootnoteText"/>
      </w:pPr>
      <w:r>
        <w:rPr>
          <w:rStyle w:val="FootnoteReference"/>
        </w:rPr>
        <w:footnoteRef/>
      </w:r>
      <w:r>
        <w:t xml:space="preserve"> Order 06 ¶ 188.</w:t>
      </w:r>
    </w:p>
    <w:p w:rsidR="009D42B8" w:rsidRDefault="009D42B8">
      <w:pPr>
        <w:pStyle w:val="FootnoteText"/>
      </w:pPr>
    </w:p>
  </w:footnote>
  <w:footnote w:id="104">
    <w:p w:rsidR="009D42B8" w:rsidRDefault="009D42B8">
      <w:pPr>
        <w:pStyle w:val="FootnoteText"/>
      </w:pPr>
      <w:r>
        <w:rPr>
          <w:rStyle w:val="FootnoteReference"/>
        </w:rPr>
        <w:footnoteRef/>
      </w:r>
      <w:r>
        <w:t xml:space="preserve"> Order 06 ¶ 191.</w:t>
      </w:r>
    </w:p>
    <w:p w:rsidR="009D42B8" w:rsidRDefault="009D42B8">
      <w:pPr>
        <w:pStyle w:val="FootnoteText"/>
      </w:pPr>
    </w:p>
  </w:footnote>
  <w:footnote w:id="105">
    <w:p w:rsidR="009D42B8" w:rsidRDefault="009D42B8">
      <w:pPr>
        <w:pStyle w:val="FootnoteText"/>
      </w:pPr>
      <w:r>
        <w:rPr>
          <w:rStyle w:val="FootnoteReference"/>
        </w:rPr>
        <w:footnoteRef/>
      </w:r>
      <w:r>
        <w:t xml:space="preserve"> </w:t>
      </w:r>
      <w:proofErr w:type="gramStart"/>
      <w:r>
        <w:t>PacifiCorp’s Petition ¶¶ 46 -</w:t>
      </w:r>
      <w:r w:rsidR="00B904F6">
        <w:t xml:space="preserve"> </w:t>
      </w:r>
      <w:r>
        <w:t>48.</w:t>
      </w:r>
      <w:proofErr w:type="gramEnd"/>
    </w:p>
    <w:p w:rsidR="009D42B8" w:rsidRDefault="009D42B8">
      <w:pPr>
        <w:pStyle w:val="FootnoteText"/>
      </w:pPr>
    </w:p>
  </w:footnote>
  <w:footnote w:id="106">
    <w:p w:rsidR="009D42B8" w:rsidRDefault="009D42B8">
      <w:pPr>
        <w:pStyle w:val="FootnoteText"/>
      </w:pPr>
      <w:r>
        <w:rPr>
          <w:rStyle w:val="FootnoteReference"/>
        </w:rPr>
        <w:footnoteRef/>
      </w:r>
      <w:r>
        <w:t xml:space="preserve"> PacifiCorp’s Petition ¶ 47.</w:t>
      </w:r>
    </w:p>
    <w:p w:rsidR="009D42B8" w:rsidRDefault="009D42B8">
      <w:pPr>
        <w:pStyle w:val="FootnoteText"/>
      </w:pPr>
    </w:p>
  </w:footnote>
  <w:footnote w:id="107">
    <w:p w:rsidR="009D42B8" w:rsidRDefault="009D42B8">
      <w:pPr>
        <w:pStyle w:val="FootnoteText"/>
      </w:pPr>
      <w:r>
        <w:rPr>
          <w:rStyle w:val="FootnoteReference"/>
        </w:rPr>
        <w:footnoteRef/>
      </w:r>
      <w:r>
        <w:t xml:space="preserve"> </w:t>
      </w:r>
      <w:r w:rsidR="000B6043" w:rsidRPr="000B6043">
        <w:rPr>
          <w:i/>
        </w:rPr>
        <w:t>Id</w:t>
      </w:r>
      <w:r w:rsidR="000B6043">
        <w:t>.</w:t>
      </w:r>
    </w:p>
    <w:p w:rsidR="009D42B8" w:rsidRDefault="009D42B8">
      <w:pPr>
        <w:pStyle w:val="FootnoteText"/>
      </w:pPr>
    </w:p>
  </w:footnote>
  <w:footnote w:id="108">
    <w:p w:rsidR="009D42B8" w:rsidRDefault="009D42B8">
      <w:pPr>
        <w:pStyle w:val="FootnoteText"/>
      </w:pPr>
      <w:r>
        <w:rPr>
          <w:rStyle w:val="FootnoteReference"/>
        </w:rPr>
        <w:footnoteRef/>
      </w:r>
      <w:r>
        <w:t xml:space="preserve"> Order 06 ¶ 190.</w:t>
      </w:r>
    </w:p>
    <w:p w:rsidR="009D42B8" w:rsidRDefault="009D42B8">
      <w:pPr>
        <w:pStyle w:val="FootnoteText"/>
      </w:pPr>
    </w:p>
  </w:footnote>
  <w:footnote w:id="109">
    <w:p w:rsidR="009D42B8" w:rsidRDefault="009D42B8">
      <w:pPr>
        <w:pStyle w:val="FootnoteText"/>
      </w:pPr>
      <w:r>
        <w:rPr>
          <w:rStyle w:val="FootnoteReference"/>
        </w:rPr>
        <w:footnoteRef/>
      </w:r>
      <w:r>
        <w:t xml:space="preserve"> Order 06 ¶ 191.</w:t>
      </w:r>
    </w:p>
    <w:p w:rsidR="009D42B8" w:rsidRDefault="009D42B8">
      <w:pPr>
        <w:pStyle w:val="FootnoteText"/>
      </w:pPr>
    </w:p>
  </w:footnote>
  <w:footnote w:id="110">
    <w:p w:rsidR="009D42B8" w:rsidRDefault="009D42B8">
      <w:pPr>
        <w:pStyle w:val="FootnoteText"/>
      </w:pPr>
      <w:r>
        <w:rPr>
          <w:rStyle w:val="FootnoteReference"/>
        </w:rPr>
        <w:footnoteRef/>
      </w:r>
      <w:r>
        <w:t xml:space="preserve"> Order 06 ¶¶ 277 - 281.</w:t>
      </w:r>
    </w:p>
    <w:p w:rsidR="009D42B8" w:rsidRDefault="009D42B8">
      <w:pPr>
        <w:pStyle w:val="FootnoteText"/>
      </w:pPr>
    </w:p>
  </w:footnote>
  <w:footnote w:id="111">
    <w:p w:rsidR="009D42B8" w:rsidRDefault="009D42B8">
      <w:pPr>
        <w:pStyle w:val="FootnoteText"/>
      </w:pPr>
      <w:r>
        <w:rPr>
          <w:rStyle w:val="FootnoteReference"/>
        </w:rPr>
        <w:footnoteRef/>
      </w:r>
      <w:r>
        <w:t xml:space="preserve"> Order 06 ¶ 277.</w:t>
      </w:r>
    </w:p>
    <w:p w:rsidR="009D42B8" w:rsidRDefault="009D42B8">
      <w:pPr>
        <w:pStyle w:val="FootnoteText"/>
      </w:pPr>
    </w:p>
  </w:footnote>
  <w:footnote w:id="112">
    <w:p w:rsidR="009D42B8" w:rsidRDefault="009D42B8">
      <w:pPr>
        <w:pStyle w:val="FootnoteText"/>
      </w:pPr>
      <w:r>
        <w:rPr>
          <w:rStyle w:val="FootnoteReference"/>
        </w:rPr>
        <w:footnoteRef/>
      </w:r>
      <w:r>
        <w:t xml:space="preserve"> Order 06 ¶ 278.</w:t>
      </w:r>
    </w:p>
    <w:p w:rsidR="009D42B8" w:rsidRDefault="009D42B8">
      <w:pPr>
        <w:pStyle w:val="FootnoteText"/>
      </w:pPr>
    </w:p>
  </w:footnote>
  <w:footnote w:id="113">
    <w:p w:rsidR="009D42B8" w:rsidRDefault="009D42B8">
      <w:pPr>
        <w:pStyle w:val="FootnoteText"/>
      </w:pPr>
      <w:r>
        <w:rPr>
          <w:rStyle w:val="FootnoteReference"/>
        </w:rPr>
        <w:footnoteRef/>
      </w:r>
      <w:r>
        <w:t xml:space="preserve"> Order 06 ¶¶ 279 – 281.</w:t>
      </w:r>
    </w:p>
    <w:p w:rsidR="009D42B8" w:rsidRDefault="009D42B8">
      <w:pPr>
        <w:pStyle w:val="FootnoteText"/>
      </w:pPr>
    </w:p>
  </w:footnote>
  <w:footnote w:id="114">
    <w:p w:rsidR="009D42B8" w:rsidRDefault="009D42B8">
      <w:pPr>
        <w:pStyle w:val="FootnoteText"/>
      </w:pPr>
      <w:r>
        <w:rPr>
          <w:rStyle w:val="FootnoteReference"/>
        </w:rPr>
        <w:footnoteRef/>
      </w:r>
      <w:r>
        <w:t xml:space="preserve"> PacifiCorp’s Petition ¶¶ 8 – 11.</w:t>
      </w:r>
    </w:p>
    <w:p w:rsidR="009D42B8" w:rsidRDefault="009D42B8">
      <w:pPr>
        <w:pStyle w:val="FootnoteText"/>
      </w:pPr>
    </w:p>
  </w:footnote>
  <w:footnote w:id="115">
    <w:p w:rsidR="009D42B8" w:rsidRDefault="009D42B8">
      <w:pPr>
        <w:pStyle w:val="FootnoteText"/>
      </w:pPr>
      <w:r>
        <w:rPr>
          <w:rStyle w:val="FootnoteReference"/>
        </w:rPr>
        <w:footnoteRef/>
      </w:r>
      <w:r>
        <w:t xml:space="preserve"> PacifiCorp’s Petition ¶¶ 13 – 15.</w:t>
      </w:r>
    </w:p>
    <w:p w:rsidR="009D42B8" w:rsidRDefault="009D42B8">
      <w:pPr>
        <w:pStyle w:val="FootnoteText"/>
      </w:pPr>
    </w:p>
  </w:footnote>
  <w:footnote w:id="116">
    <w:p w:rsidR="009D42B8" w:rsidRDefault="009D42B8">
      <w:pPr>
        <w:pStyle w:val="FootnoteText"/>
      </w:pPr>
      <w:r>
        <w:rPr>
          <w:rStyle w:val="FootnoteReference"/>
        </w:rPr>
        <w:footnoteRef/>
      </w:r>
      <w:r>
        <w:t xml:space="preserve"> Order 06 ¶ 278.</w:t>
      </w:r>
    </w:p>
    <w:p w:rsidR="009D42B8" w:rsidRDefault="009D42B8">
      <w:pPr>
        <w:pStyle w:val="FootnoteText"/>
      </w:pPr>
    </w:p>
  </w:footnote>
  <w:footnote w:id="117">
    <w:p w:rsidR="009D42B8" w:rsidRDefault="009D42B8">
      <w:pPr>
        <w:pStyle w:val="FootnoteText"/>
      </w:pPr>
      <w:r>
        <w:rPr>
          <w:rStyle w:val="FootnoteReference"/>
        </w:rPr>
        <w:footnoteRef/>
      </w:r>
      <w:r>
        <w:t xml:space="preserve"> </w:t>
      </w:r>
      <w:proofErr w:type="gramStart"/>
      <w:r>
        <w:t>Staff’s Answe</w:t>
      </w:r>
      <w:r w:rsidR="008450E1">
        <w:t>r</w:t>
      </w:r>
      <w:r>
        <w:t xml:space="preserve"> ¶ 66.</w:t>
      </w:r>
      <w:proofErr w:type="gramEnd"/>
      <w:r>
        <w:t xml:space="preserve">  Staff’s Answer also notes that neither of the other two major electric utilities within our jurisdiction appears to share PacifiCorp’s confusion with that policy.  </w:t>
      </w:r>
      <w:proofErr w:type="gramStart"/>
      <w:r>
        <w:t xml:space="preserve">Staff’s Answer ¶¶ 68 </w:t>
      </w:r>
      <w:r w:rsidRPr="009D42B8">
        <w:t xml:space="preserve">– </w:t>
      </w:r>
      <w:r w:rsidR="00B904F6">
        <w:t>6</w:t>
      </w:r>
      <w:r w:rsidRPr="009D42B8">
        <w:t>9</w:t>
      </w:r>
      <w:r>
        <w:t>.</w:t>
      </w:r>
      <w:proofErr w:type="gramEnd"/>
    </w:p>
    <w:p w:rsidR="009D42B8" w:rsidRDefault="009D42B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2B8" w:rsidRPr="003F2878" w:rsidRDefault="009D42B8" w:rsidP="00DF5368">
    <w:pPr>
      <w:pStyle w:val="Header"/>
      <w:tabs>
        <w:tab w:val="clear" w:pos="8640"/>
        <w:tab w:val="right" w:pos="8460"/>
      </w:tabs>
      <w:rPr>
        <w:rStyle w:val="PageNumber"/>
        <w:b/>
        <w:sz w:val="20"/>
        <w:szCs w:val="20"/>
      </w:rPr>
    </w:pPr>
    <w:r>
      <w:rPr>
        <w:b/>
        <w:sz w:val="20"/>
        <w:szCs w:val="20"/>
      </w:rPr>
      <w:t>DOCKET</w:t>
    </w:r>
    <w:r w:rsidRPr="003F2878">
      <w:rPr>
        <w:b/>
        <w:sz w:val="20"/>
        <w:szCs w:val="20"/>
      </w:rPr>
      <w:t xml:space="preserve"> </w:t>
    </w:r>
    <w:r>
      <w:rPr>
        <w:b/>
        <w:sz w:val="20"/>
        <w:szCs w:val="20"/>
      </w:rPr>
      <w:t>UE-100749</w:t>
    </w:r>
    <w:r>
      <w:rPr>
        <w:b/>
        <w:sz w:val="20"/>
        <w:szCs w:val="20"/>
      </w:rPr>
      <w:tab/>
    </w:r>
    <w:r>
      <w:rPr>
        <w:b/>
        <w:sz w:val="20"/>
        <w:szCs w:val="20"/>
      </w:rPr>
      <w:tab/>
    </w:r>
    <w:r w:rsidRPr="003F2878">
      <w:rPr>
        <w:b/>
        <w:sz w:val="20"/>
        <w:szCs w:val="20"/>
      </w:rPr>
      <w:t xml:space="preserve">PAGE </w:t>
    </w:r>
    <w:r w:rsidRPr="003F2878">
      <w:rPr>
        <w:rStyle w:val="PageNumber"/>
        <w:b/>
        <w:sz w:val="20"/>
        <w:szCs w:val="20"/>
      </w:rPr>
      <w:fldChar w:fldCharType="begin"/>
    </w:r>
    <w:r w:rsidRPr="003F2878">
      <w:rPr>
        <w:rStyle w:val="PageNumber"/>
        <w:b/>
        <w:sz w:val="20"/>
        <w:szCs w:val="20"/>
      </w:rPr>
      <w:instrText xml:space="preserve"> PAGE </w:instrText>
    </w:r>
    <w:r w:rsidRPr="003F2878">
      <w:rPr>
        <w:rStyle w:val="PageNumber"/>
        <w:b/>
        <w:sz w:val="20"/>
        <w:szCs w:val="20"/>
      </w:rPr>
      <w:fldChar w:fldCharType="separate"/>
    </w:r>
    <w:r w:rsidR="00D8285E">
      <w:rPr>
        <w:rStyle w:val="PageNumber"/>
        <w:b/>
        <w:noProof/>
        <w:sz w:val="20"/>
        <w:szCs w:val="20"/>
      </w:rPr>
      <w:t>2</w:t>
    </w:r>
    <w:r w:rsidRPr="003F2878">
      <w:rPr>
        <w:rStyle w:val="PageNumber"/>
        <w:b/>
        <w:sz w:val="20"/>
        <w:szCs w:val="20"/>
      </w:rPr>
      <w:fldChar w:fldCharType="end"/>
    </w:r>
  </w:p>
  <w:p w:rsidR="009D42B8" w:rsidRPr="003F2878" w:rsidRDefault="009D42B8">
    <w:pPr>
      <w:pStyle w:val="Header"/>
      <w:rPr>
        <w:rStyle w:val="PageNumber"/>
        <w:b/>
        <w:bCs/>
        <w:sz w:val="20"/>
        <w:szCs w:val="20"/>
      </w:rPr>
    </w:pPr>
    <w:r>
      <w:rPr>
        <w:rStyle w:val="PageNumber"/>
        <w:b/>
        <w:sz w:val="20"/>
        <w:szCs w:val="20"/>
      </w:rPr>
      <w:t>ORDER</w:t>
    </w:r>
    <w:r w:rsidRPr="003F2878">
      <w:rPr>
        <w:rStyle w:val="PageNumber"/>
        <w:b/>
        <w:sz w:val="20"/>
        <w:szCs w:val="20"/>
      </w:rPr>
      <w:t xml:space="preserve"> </w:t>
    </w:r>
    <w:r>
      <w:rPr>
        <w:rStyle w:val="PageNumber"/>
        <w:b/>
        <w:sz w:val="20"/>
        <w:szCs w:val="20"/>
      </w:rPr>
      <w:t>07</w:t>
    </w:r>
  </w:p>
  <w:p w:rsidR="009D42B8" w:rsidRPr="00F94149" w:rsidRDefault="009D42B8">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2B8" w:rsidRPr="004533F1" w:rsidRDefault="009D42B8" w:rsidP="00E1124B">
    <w:pPr>
      <w:pStyle w:val="Header"/>
      <w:tabs>
        <w:tab w:val="clear" w:pos="4320"/>
        <w:tab w:val="clear" w:pos="8640"/>
        <w:tab w:val="right" w:pos="8460"/>
      </w:tabs>
      <w:rPr>
        <w:b/>
      </w:rPr>
    </w:pPr>
    <w:r>
      <w:rPr>
        <w:b/>
        <w:sz w:val="20"/>
        <w:szCs w:val="20"/>
      </w:rPr>
      <w:tab/>
    </w:r>
    <w:r w:rsidR="00E3373C">
      <w:rPr>
        <w:b/>
        <w:sz w:val="20"/>
        <w:szCs w:val="20"/>
      </w:rPr>
      <w:t>[Service Date May 12,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F83CBA"/>
    <w:lvl w:ilvl="0">
      <w:start w:val="1"/>
      <w:numFmt w:val="decimal"/>
      <w:lvlText w:val="%1."/>
      <w:lvlJc w:val="left"/>
      <w:pPr>
        <w:tabs>
          <w:tab w:val="num" w:pos="1800"/>
        </w:tabs>
        <w:ind w:left="1800" w:hanging="360"/>
      </w:pPr>
    </w:lvl>
  </w:abstractNum>
  <w:abstractNum w:abstractNumId="1">
    <w:nsid w:val="FFFFFF7D"/>
    <w:multiLevelType w:val="singleLevel"/>
    <w:tmpl w:val="0420C17E"/>
    <w:lvl w:ilvl="0">
      <w:start w:val="1"/>
      <w:numFmt w:val="decimal"/>
      <w:lvlText w:val="%1."/>
      <w:lvlJc w:val="left"/>
      <w:pPr>
        <w:tabs>
          <w:tab w:val="num" w:pos="1440"/>
        </w:tabs>
        <w:ind w:left="1440" w:hanging="360"/>
      </w:pPr>
    </w:lvl>
  </w:abstractNum>
  <w:abstractNum w:abstractNumId="2">
    <w:nsid w:val="FFFFFF7E"/>
    <w:multiLevelType w:val="singleLevel"/>
    <w:tmpl w:val="53D20F88"/>
    <w:lvl w:ilvl="0">
      <w:start w:val="1"/>
      <w:numFmt w:val="decimal"/>
      <w:lvlText w:val="%1."/>
      <w:lvlJc w:val="left"/>
      <w:pPr>
        <w:tabs>
          <w:tab w:val="num" w:pos="1080"/>
        </w:tabs>
        <w:ind w:left="1080" w:hanging="360"/>
      </w:pPr>
    </w:lvl>
  </w:abstractNum>
  <w:abstractNum w:abstractNumId="3">
    <w:nsid w:val="FFFFFF7F"/>
    <w:multiLevelType w:val="singleLevel"/>
    <w:tmpl w:val="E7A2F80E"/>
    <w:lvl w:ilvl="0">
      <w:start w:val="1"/>
      <w:numFmt w:val="decimal"/>
      <w:lvlText w:val="%1."/>
      <w:lvlJc w:val="left"/>
      <w:pPr>
        <w:tabs>
          <w:tab w:val="num" w:pos="720"/>
        </w:tabs>
        <w:ind w:left="720" w:hanging="360"/>
      </w:pPr>
    </w:lvl>
  </w:abstractNum>
  <w:abstractNum w:abstractNumId="4">
    <w:nsid w:val="FFFFFF80"/>
    <w:multiLevelType w:val="singleLevel"/>
    <w:tmpl w:val="28B02F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02A26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4CB1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86A5B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5CE3E58"/>
    <w:lvl w:ilvl="0">
      <w:start w:val="1"/>
      <w:numFmt w:val="decimal"/>
      <w:lvlText w:val="%1."/>
      <w:lvlJc w:val="left"/>
      <w:pPr>
        <w:tabs>
          <w:tab w:val="num" w:pos="360"/>
        </w:tabs>
        <w:ind w:left="360" w:hanging="360"/>
      </w:pPr>
    </w:lvl>
  </w:abstractNum>
  <w:abstractNum w:abstractNumId="9">
    <w:nsid w:val="FFFFFF89"/>
    <w:multiLevelType w:val="singleLevel"/>
    <w:tmpl w:val="14206A6C"/>
    <w:lvl w:ilvl="0">
      <w:start w:val="1"/>
      <w:numFmt w:val="bullet"/>
      <w:lvlText w:val=""/>
      <w:lvlJc w:val="left"/>
      <w:pPr>
        <w:tabs>
          <w:tab w:val="num" w:pos="360"/>
        </w:tabs>
        <w:ind w:left="360" w:hanging="360"/>
      </w:pPr>
      <w:rPr>
        <w:rFonts w:ascii="Symbol" w:hAnsi="Symbol" w:hint="default"/>
      </w:rPr>
    </w:lvl>
  </w:abstractNum>
  <w:abstractNum w:abstractNumId="10">
    <w:nsid w:val="01775D4B"/>
    <w:multiLevelType w:val="hybridMultilevel"/>
    <w:tmpl w:val="9750592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0A006064"/>
    <w:multiLevelType w:val="hybridMultilevel"/>
    <w:tmpl w:val="9B56B082"/>
    <w:lvl w:ilvl="0" w:tplc="04090001">
      <w:start w:val="1"/>
      <w:numFmt w:val="bullet"/>
      <w:lvlText w:val=""/>
      <w:lvlJc w:val="left"/>
      <w:pPr>
        <w:tabs>
          <w:tab w:val="num" w:pos="720"/>
        </w:tabs>
        <w:ind w:left="720" w:hanging="360"/>
      </w:pPr>
      <w:rPr>
        <w:rFonts w:ascii="Symbol" w:hAnsi="Symbol" w:hint="default"/>
      </w:rPr>
    </w:lvl>
    <w:lvl w:ilvl="1" w:tplc="F3F20CA0">
      <w:numFmt w:val="bullet"/>
      <w:lvlText w:val=""/>
      <w:lvlJc w:val="left"/>
      <w:pPr>
        <w:tabs>
          <w:tab w:val="num" w:pos="1620"/>
        </w:tabs>
        <w:ind w:left="162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59789B"/>
    <w:multiLevelType w:val="hybridMultilevel"/>
    <w:tmpl w:val="8F94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F77849"/>
    <w:multiLevelType w:val="hybridMultilevel"/>
    <w:tmpl w:val="B0623206"/>
    <w:lvl w:ilvl="0" w:tplc="F990CF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012033"/>
    <w:multiLevelType w:val="hybridMultilevel"/>
    <w:tmpl w:val="825470BE"/>
    <w:lvl w:ilvl="0" w:tplc="6BBCAC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8A0DBB"/>
    <w:multiLevelType w:val="hybridMultilevel"/>
    <w:tmpl w:val="5A2C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2B0A37"/>
    <w:multiLevelType w:val="hybridMultilevel"/>
    <w:tmpl w:val="51047C82"/>
    <w:lvl w:ilvl="0" w:tplc="D14CEC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94A6762"/>
    <w:multiLevelType w:val="hybridMultilevel"/>
    <w:tmpl w:val="C1D6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16694F"/>
    <w:multiLevelType w:val="hybridMultilevel"/>
    <w:tmpl w:val="5D447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457133"/>
    <w:multiLevelType w:val="hybridMultilevel"/>
    <w:tmpl w:val="06A090C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230646AF"/>
    <w:multiLevelType w:val="hybridMultilevel"/>
    <w:tmpl w:val="C0446820"/>
    <w:lvl w:ilvl="0" w:tplc="229AD9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0A84FE4"/>
    <w:multiLevelType w:val="hybridMultilevel"/>
    <w:tmpl w:val="A646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E90CC8"/>
    <w:multiLevelType w:val="hybridMultilevel"/>
    <w:tmpl w:val="01C68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027F1B"/>
    <w:multiLevelType w:val="hybridMultilevel"/>
    <w:tmpl w:val="CE7C0334"/>
    <w:lvl w:ilvl="0" w:tplc="E320FC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C92E5F"/>
    <w:multiLevelType w:val="hybridMultilevel"/>
    <w:tmpl w:val="515CC8BA"/>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25">
    <w:nsid w:val="463E74E9"/>
    <w:multiLevelType w:val="hybridMultilevel"/>
    <w:tmpl w:val="899C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8B0E23"/>
    <w:multiLevelType w:val="hybridMultilevel"/>
    <w:tmpl w:val="0270F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BB77F4A"/>
    <w:multiLevelType w:val="hybridMultilevel"/>
    <w:tmpl w:val="336C3D6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4FE139B4"/>
    <w:multiLevelType w:val="hybridMultilevel"/>
    <w:tmpl w:val="F0F8F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DA551D0"/>
    <w:multiLevelType w:val="hybridMultilevel"/>
    <w:tmpl w:val="11C29938"/>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2A2CFF"/>
    <w:multiLevelType w:val="hybridMultilevel"/>
    <w:tmpl w:val="EC8C7A36"/>
    <w:lvl w:ilvl="0" w:tplc="59D81B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EC5A08"/>
    <w:multiLevelType w:val="hybridMultilevel"/>
    <w:tmpl w:val="A02EB3C2"/>
    <w:lvl w:ilvl="0" w:tplc="6C82132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F644B2"/>
    <w:multiLevelType w:val="hybridMultilevel"/>
    <w:tmpl w:val="9F72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053F9E"/>
    <w:multiLevelType w:val="hybridMultilevel"/>
    <w:tmpl w:val="BFBE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5616A6"/>
    <w:multiLevelType w:val="hybridMultilevel"/>
    <w:tmpl w:val="0C64C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F850F75"/>
    <w:multiLevelType w:val="hybridMultilevel"/>
    <w:tmpl w:val="C0446820"/>
    <w:lvl w:ilvl="0" w:tplc="229AD9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731653A"/>
    <w:multiLevelType w:val="hybridMultilevel"/>
    <w:tmpl w:val="4E30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001003"/>
    <w:multiLevelType w:val="singleLevel"/>
    <w:tmpl w:val="26D8A346"/>
    <w:lvl w:ilvl="0">
      <w:start w:val="1"/>
      <w:numFmt w:val="decimal"/>
      <w:pStyle w:val="ParNumber"/>
      <w:lvlText w:val="%1."/>
      <w:lvlJc w:val="left"/>
      <w:pPr>
        <w:tabs>
          <w:tab w:val="num" w:pos="360"/>
        </w:tabs>
        <w:ind w:left="360" w:hanging="360"/>
      </w:pPr>
      <w:rPr>
        <w:b w:val="0"/>
        <w:i/>
      </w:rPr>
    </w:lvl>
  </w:abstractNum>
  <w:abstractNum w:abstractNumId="38">
    <w:nsid w:val="7B7C094A"/>
    <w:multiLevelType w:val="hybridMultilevel"/>
    <w:tmpl w:val="BDCE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22"/>
  </w:num>
  <w:num w:numId="4">
    <w:abstractNumId w:val="26"/>
  </w:num>
  <w:num w:numId="5">
    <w:abstractNumId w:val="11"/>
  </w:num>
  <w:num w:numId="6">
    <w:abstractNumId w:val="37"/>
  </w:num>
  <w:num w:numId="7">
    <w:abstractNumId w:val="10"/>
  </w:num>
  <w:num w:numId="8">
    <w:abstractNumId w:val="18"/>
  </w:num>
  <w:num w:numId="9">
    <w:abstractNumId w:val="24"/>
  </w:num>
  <w:num w:numId="10">
    <w:abstractNumId w:val="17"/>
  </w:num>
  <w:num w:numId="11">
    <w:abstractNumId w:val="9"/>
  </w:num>
  <w:num w:numId="12">
    <w:abstractNumId w:val="33"/>
  </w:num>
  <w:num w:numId="13">
    <w:abstractNumId w:val="36"/>
  </w:num>
  <w:num w:numId="14">
    <w:abstractNumId w:val="21"/>
  </w:num>
  <w:num w:numId="15">
    <w:abstractNumId w:val="25"/>
  </w:num>
  <w:num w:numId="16">
    <w:abstractNumId w:val="38"/>
  </w:num>
  <w:num w:numId="17">
    <w:abstractNumId w:val="12"/>
  </w:num>
  <w:num w:numId="18">
    <w:abstractNumId w:val="15"/>
  </w:num>
  <w:num w:numId="19">
    <w:abstractNumId w:val="32"/>
  </w:num>
  <w:num w:numId="20">
    <w:abstractNumId w:val="23"/>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5"/>
  </w:num>
  <w:num w:numId="31">
    <w:abstractNumId w:val="16"/>
  </w:num>
  <w:num w:numId="32">
    <w:abstractNumId w:val="28"/>
  </w:num>
  <w:num w:numId="33">
    <w:abstractNumId w:val="30"/>
  </w:num>
  <w:num w:numId="34">
    <w:abstractNumId w:val="27"/>
  </w:num>
  <w:num w:numId="35">
    <w:abstractNumId w:val="19"/>
  </w:num>
  <w:num w:numId="36">
    <w:abstractNumId w:val="20"/>
  </w:num>
  <w:num w:numId="37">
    <w:abstractNumId w:val="13"/>
  </w:num>
  <w:num w:numId="38">
    <w:abstractNumId w:val="14"/>
  </w:num>
  <w:num w:numId="39">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32"/>
    <w:rsid w:val="00001D22"/>
    <w:rsid w:val="000024FA"/>
    <w:rsid w:val="00002C4D"/>
    <w:rsid w:val="000047CE"/>
    <w:rsid w:val="000051AC"/>
    <w:rsid w:val="00007ADB"/>
    <w:rsid w:val="00010C5C"/>
    <w:rsid w:val="00015B85"/>
    <w:rsid w:val="0001676E"/>
    <w:rsid w:val="000171A8"/>
    <w:rsid w:val="0001789C"/>
    <w:rsid w:val="00020CA7"/>
    <w:rsid w:val="00020CDC"/>
    <w:rsid w:val="00021C24"/>
    <w:rsid w:val="00021D73"/>
    <w:rsid w:val="0002222E"/>
    <w:rsid w:val="00022311"/>
    <w:rsid w:val="00022A22"/>
    <w:rsid w:val="00022FE3"/>
    <w:rsid w:val="0002311B"/>
    <w:rsid w:val="0002437F"/>
    <w:rsid w:val="0002697F"/>
    <w:rsid w:val="00026FFF"/>
    <w:rsid w:val="000270AD"/>
    <w:rsid w:val="000273BC"/>
    <w:rsid w:val="000273BF"/>
    <w:rsid w:val="00027588"/>
    <w:rsid w:val="00027E6F"/>
    <w:rsid w:val="00030D04"/>
    <w:rsid w:val="00030DBA"/>
    <w:rsid w:val="00031190"/>
    <w:rsid w:val="000318CE"/>
    <w:rsid w:val="0003192E"/>
    <w:rsid w:val="0003204E"/>
    <w:rsid w:val="00032307"/>
    <w:rsid w:val="00033545"/>
    <w:rsid w:val="00033662"/>
    <w:rsid w:val="00033CDA"/>
    <w:rsid w:val="0003509A"/>
    <w:rsid w:val="00035851"/>
    <w:rsid w:val="00035D79"/>
    <w:rsid w:val="00036CD2"/>
    <w:rsid w:val="00037C14"/>
    <w:rsid w:val="00037DEA"/>
    <w:rsid w:val="00040828"/>
    <w:rsid w:val="000415DA"/>
    <w:rsid w:val="000419E0"/>
    <w:rsid w:val="00043045"/>
    <w:rsid w:val="0004359F"/>
    <w:rsid w:val="0004471E"/>
    <w:rsid w:val="000447B5"/>
    <w:rsid w:val="00045ADF"/>
    <w:rsid w:val="000460EF"/>
    <w:rsid w:val="00050009"/>
    <w:rsid w:val="00052414"/>
    <w:rsid w:val="00053980"/>
    <w:rsid w:val="00053AB9"/>
    <w:rsid w:val="00054C1F"/>
    <w:rsid w:val="00055C4A"/>
    <w:rsid w:val="00056AC4"/>
    <w:rsid w:val="000601FB"/>
    <w:rsid w:val="000606DB"/>
    <w:rsid w:val="0006075F"/>
    <w:rsid w:val="00061A9E"/>
    <w:rsid w:val="000624D0"/>
    <w:rsid w:val="0006260A"/>
    <w:rsid w:val="00063764"/>
    <w:rsid w:val="000653BE"/>
    <w:rsid w:val="0006644A"/>
    <w:rsid w:val="000672A0"/>
    <w:rsid w:val="0006767F"/>
    <w:rsid w:val="00070352"/>
    <w:rsid w:val="000705D3"/>
    <w:rsid w:val="000709DD"/>
    <w:rsid w:val="00071710"/>
    <w:rsid w:val="000729EC"/>
    <w:rsid w:val="000734E5"/>
    <w:rsid w:val="0007477B"/>
    <w:rsid w:val="00074840"/>
    <w:rsid w:val="00075E91"/>
    <w:rsid w:val="00076ACD"/>
    <w:rsid w:val="00077001"/>
    <w:rsid w:val="000776ED"/>
    <w:rsid w:val="000808B3"/>
    <w:rsid w:val="000808F2"/>
    <w:rsid w:val="00081956"/>
    <w:rsid w:val="00084031"/>
    <w:rsid w:val="000843C5"/>
    <w:rsid w:val="00084D8F"/>
    <w:rsid w:val="00084DF6"/>
    <w:rsid w:val="00085450"/>
    <w:rsid w:val="00086640"/>
    <w:rsid w:val="00091DA9"/>
    <w:rsid w:val="000922A5"/>
    <w:rsid w:val="00093EA0"/>
    <w:rsid w:val="00093EB1"/>
    <w:rsid w:val="0009489C"/>
    <w:rsid w:val="00095912"/>
    <w:rsid w:val="000960C0"/>
    <w:rsid w:val="000965BA"/>
    <w:rsid w:val="00096ACB"/>
    <w:rsid w:val="000A0748"/>
    <w:rsid w:val="000A0CC5"/>
    <w:rsid w:val="000A289E"/>
    <w:rsid w:val="000A3774"/>
    <w:rsid w:val="000A3B71"/>
    <w:rsid w:val="000A3C5D"/>
    <w:rsid w:val="000A3C6C"/>
    <w:rsid w:val="000A4701"/>
    <w:rsid w:val="000A4D0C"/>
    <w:rsid w:val="000A5135"/>
    <w:rsid w:val="000A5521"/>
    <w:rsid w:val="000A5B6F"/>
    <w:rsid w:val="000B0377"/>
    <w:rsid w:val="000B0B9C"/>
    <w:rsid w:val="000B15CF"/>
    <w:rsid w:val="000B1CE0"/>
    <w:rsid w:val="000B20B6"/>
    <w:rsid w:val="000B43E5"/>
    <w:rsid w:val="000B4978"/>
    <w:rsid w:val="000B4BF8"/>
    <w:rsid w:val="000B5E5A"/>
    <w:rsid w:val="000B6043"/>
    <w:rsid w:val="000B63AD"/>
    <w:rsid w:val="000C0065"/>
    <w:rsid w:val="000C0B3A"/>
    <w:rsid w:val="000C11E1"/>
    <w:rsid w:val="000C3B67"/>
    <w:rsid w:val="000C4A79"/>
    <w:rsid w:val="000C4BB0"/>
    <w:rsid w:val="000C4EFD"/>
    <w:rsid w:val="000C5B77"/>
    <w:rsid w:val="000C732C"/>
    <w:rsid w:val="000D1161"/>
    <w:rsid w:val="000D28AC"/>
    <w:rsid w:val="000D320A"/>
    <w:rsid w:val="000D3DD0"/>
    <w:rsid w:val="000D48A8"/>
    <w:rsid w:val="000D4E50"/>
    <w:rsid w:val="000D572A"/>
    <w:rsid w:val="000D6186"/>
    <w:rsid w:val="000D6FD8"/>
    <w:rsid w:val="000D7A32"/>
    <w:rsid w:val="000D7E31"/>
    <w:rsid w:val="000E090F"/>
    <w:rsid w:val="000E101D"/>
    <w:rsid w:val="000E10F8"/>
    <w:rsid w:val="000E143E"/>
    <w:rsid w:val="000E1DF9"/>
    <w:rsid w:val="000E50EC"/>
    <w:rsid w:val="000E5877"/>
    <w:rsid w:val="000E6B2C"/>
    <w:rsid w:val="000E7749"/>
    <w:rsid w:val="000E7AEB"/>
    <w:rsid w:val="000F0923"/>
    <w:rsid w:val="000F12D3"/>
    <w:rsid w:val="000F18D0"/>
    <w:rsid w:val="000F2C90"/>
    <w:rsid w:val="000F2D6A"/>
    <w:rsid w:val="000F5557"/>
    <w:rsid w:val="000F7071"/>
    <w:rsid w:val="000F77DD"/>
    <w:rsid w:val="00101D68"/>
    <w:rsid w:val="00101E6F"/>
    <w:rsid w:val="00102339"/>
    <w:rsid w:val="00102DDC"/>
    <w:rsid w:val="00102E33"/>
    <w:rsid w:val="00103C1E"/>
    <w:rsid w:val="00104CEF"/>
    <w:rsid w:val="00105A13"/>
    <w:rsid w:val="00107A8B"/>
    <w:rsid w:val="0011169A"/>
    <w:rsid w:val="00112DBE"/>
    <w:rsid w:val="001130F4"/>
    <w:rsid w:val="00113836"/>
    <w:rsid w:val="00113B21"/>
    <w:rsid w:val="00114E85"/>
    <w:rsid w:val="00116600"/>
    <w:rsid w:val="0011728E"/>
    <w:rsid w:val="00117D15"/>
    <w:rsid w:val="001227E0"/>
    <w:rsid w:val="00122E52"/>
    <w:rsid w:val="00123212"/>
    <w:rsid w:val="0012569B"/>
    <w:rsid w:val="00126B4D"/>
    <w:rsid w:val="00130144"/>
    <w:rsid w:val="001303D3"/>
    <w:rsid w:val="00133CE6"/>
    <w:rsid w:val="00133DF6"/>
    <w:rsid w:val="00134B72"/>
    <w:rsid w:val="0013583E"/>
    <w:rsid w:val="00136F32"/>
    <w:rsid w:val="0013762A"/>
    <w:rsid w:val="001377FC"/>
    <w:rsid w:val="00137A69"/>
    <w:rsid w:val="00140814"/>
    <w:rsid w:val="001441FB"/>
    <w:rsid w:val="001442AD"/>
    <w:rsid w:val="00144565"/>
    <w:rsid w:val="00146B27"/>
    <w:rsid w:val="00152A87"/>
    <w:rsid w:val="00152F9C"/>
    <w:rsid w:val="0015651E"/>
    <w:rsid w:val="001608FB"/>
    <w:rsid w:val="00160B41"/>
    <w:rsid w:val="0016233D"/>
    <w:rsid w:val="00162876"/>
    <w:rsid w:val="00163369"/>
    <w:rsid w:val="00163D56"/>
    <w:rsid w:val="00164A35"/>
    <w:rsid w:val="00166FD3"/>
    <w:rsid w:val="0016717A"/>
    <w:rsid w:val="00167A55"/>
    <w:rsid w:val="001713E9"/>
    <w:rsid w:val="00171900"/>
    <w:rsid w:val="0017530A"/>
    <w:rsid w:val="00175357"/>
    <w:rsid w:val="001756B7"/>
    <w:rsid w:val="00176582"/>
    <w:rsid w:val="001767C3"/>
    <w:rsid w:val="00180081"/>
    <w:rsid w:val="00180AD2"/>
    <w:rsid w:val="00180CEC"/>
    <w:rsid w:val="001812DB"/>
    <w:rsid w:val="001824CC"/>
    <w:rsid w:val="00183037"/>
    <w:rsid w:val="0018346B"/>
    <w:rsid w:val="00183984"/>
    <w:rsid w:val="00183AD4"/>
    <w:rsid w:val="001848B3"/>
    <w:rsid w:val="001860D8"/>
    <w:rsid w:val="00186351"/>
    <w:rsid w:val="00187EF9"/>
    <w:rsid w:val="00190696"/>
    <w:rsid w:val="0019105D"/>
    <w:rsid w:val="001910A3"/>
    <w:rsid w:val="00191B2C"/>
    <w:rsid w:val="00191F2E"/>
    <w:rsid w:val="001923D0"/>
    <w:rsid w:val="0019261B"/>
    <w:rsid w:val="001929B4"/>
    <w:rsid w:val="001935BB"/>
    <w:rsid w:val="00193DD4"/>
    <w:rsid w:val="00194993"/>
    <w:rsid w:val="00195892"/>
    <w:rsid w:val="00195DD0"/>
    <w:rsid w:val="00196E2D"/>
    <w:rsid w:val="001A0A3A"/>
    <w:rsid w:val="001A20C0"/>
    <w:rsid w:val="001A262B"/>
    <w:rsid w:val="001A2DC5"/>
    <w:rsid w:val="001A2E1D"/>
    <w:rsid w:val="001A2FFC"/>
    <w:rsid w:val="001A3F89"/>
    <w:rsid w:val="001A60D2"/>
    <w:rsid w:val="001A68DD"/>
    <w:rsid w:val="001A6992"/>
    <w:rsid w:val="001B0EF4"/>
    <w:rsid w:val="001B2040"/>
    <w:rsid w:val="001B2C0A"/>
    <w:rsid w:val="001B411C"/>
    <w:rsid w:val="001B423B"/>
    <w:rsid w:val="001B4814"/>
    <w:rsid w:val="001B4B79"/>
    <w:rsid w:val="001B5A02"/>
    <w:rsid w:val="001B69B3"/>
    <w:rsid w:val="001B6CE7"/>
    <w:rsid w:val="001B74E0"/>
    <w:rsid w:val="001C0545"/>
    <w:rsid w:val="001C2323"/>
    <w:rsid w:val="001C2F2D"/>
    <w:rsid w:val="001C4A1D"/>
    <w:rsid w:val="001C4EFA"/>
    <w:rsid w:val="001C59CF"/>
    <w:rsid w:val="001C777D"/>
    <w:rsid w:val="001C782F"/>
    <w:rsid w:val="001D05B9"/>
    <w:rsid w:val="001D0C00"/>
    <w:rsid w:val="001D0D08"/>
    <w:rsid w:val="001D1655"/>
    <w:rsid w:val="001D19E5"/>
    <w:rsid w:val="001D1DEC"/>
    <w:rsid w:val="001D204E"/>
    <w:rsid w:val="001D277B"/>
    <w:rsid w:val="001D3A17"/>
    <w:rsid w:val="001D4B83"/>
    <w:rsid w:val="001D6AE8"/>
    <w:rsid w:val="001D7CF6"/>
    <w:rsid w:val="001E0B05"/>
    <w:rsid w:val="001E15AD"/>
    <w:rsid w:val="001E2F09"/>
    <w:rsid w:val="001E3774"/>
    <w:rsid w:val="001E3FDB"/>
    <w:rsid w:val="001E4B73"/>
    <w:rsid w:val="001E5B5C"/>
    <w:rsid w:val="001E7D21"/>
    <w:rsid w:val="001F02A8"/>
    <w:rsid w:val="001F0365"/>
    <w:rsid w:val="001F071B"/>
    <w:rsid w:val="001F0E8B"/>
    <w:rsid w:val="001F1114"/>
    <w:rsid w:val="001F2E7D"/>
    <w:rsid w:val="001F48AA"/>
    <w:rsid w:val="001F4FC8"/>
    <w:rsid w:val="001F7204"/>
    <w:rsid w:val="001F7836"/>
    <w:rsid w:val="002010AF"/>
    <w:rsid w:val="00202CAD"/>
    <w:rsid w:val="00202FDB"/>
    <w:rsid w:val="002043A1"/>
    <w:rsid w:val="0021483D"/>
    <w:rsid w:val="00215A32"/>
    <w:rsid w:val="00216190"/>
    <w:rsid w:val="002174E6"/>
    <w:rsid w:val="0021768F"/>
    <w:rsid w:val="0021791F"/>
    <w:rsid w:val="00223905"/>
    <w:rsid w:val="00223963"/>
    <w:rsid w:val="00224D52"/>
    <w:rsid w:val="00224EA4"/>
    <w:rsid w:val="00227BC6"/>
    <w:rsid w:val="00227DCB"/>
    <w:rsid w:val="00232955"/>
    <w:rsid w:val="002333B4"/>
    <w:rsid w:val="00234E2D"/>
    <w:rsid w:val="00235236"/>
    <w:rsid w:val="00235728"/>
    <w:rsid w:val="00236060"/>
    <w:rsid w:val="0023703F"/>
    <w:rsid w:val="00237680"/>
    <w:rsid w:val="00237764"/>
    <w:rsid w:val="00237A1D"/>
    <w:rsid w:val="00237E68"/>
    <w:rsid w:val="0024069F"/>
    <w:rsid w:val="002416FD"/>
    <w:rsid w:val="00242071"/>
    <w:rsid w:val="002421E5"/>
    <w:rsid w:val="00243564"/>
    <w:rsid w:val="00243B72"/>
    <w:rsid w:val="0024450C"/>
    <w:rsid w:val="00244553"/>
    <w:rsid w:val="00245010"/>
    <w:rsid w:val="00245329"/>
    <w:rsid w:val="00245B52"/>
    <w:rsid w:val="00250786"/>
    <w:rsid w:val="002507F5"/>
    <w:rsid w:val="00250A8E"/>
    <w:rsid w:val="00251A74"/>
    <w:rsid w:val="00251B8D"/>
    <w:rsid w:val="002524B9"/>
    <w:rsid w:val="00253228"/>
    <w:rsid w:val="002532DF"/>
    <w:rsid w:val="00253349"/>
    <w:rsid w:val="00253F0F"/>
    <w:rsid w:val="002540E0"/>
    <w:rsid w:val="00254288"/>
    <w:rsid w:val="0025576A"/>
    <w:rsid w:val="00255AC4"/>
    <w:rsid w:val="00257CD8"/>
    <w:rsid w:val="0026076D"/>
    <w:rsid w:val="002609FF"/>
    <w:rsid w:val="00262ACC"/>
    <w:rsid w:val="00263DA3"/>
    <w:rsid w:val="00265A19"/>
    <w:rsid w:val="0026638B"/>
    <w:rsid w:val="00266717"/>
    <w:rsid w:val="00266A95"/>
    <w:rsid w:val="00266C55"/>
    <w:rsid w:val="00267EB0"/>
    <w:rsid w:val="002711B8"/>
    <w:rsid w:val="002717E5"/>
    <w:rsid w:val="00271BA8"/>
    <w:rsid w:val="002723D0"/>
    <w:rsid w:val="00272ABA"/>
    <w:rsid w:val="00273B65"/>
    <w:rsid w:val="0027487A"/>
    <w:rsid w:val="00275AC5"/>
    <w:rsid w:val="0027671D"/>
    <w:rsid w:val="002777C7"/>
    <w:rsid w:val="00277D6A"/>
    <w:rsid w:val="0028021F"/>
    <w:rsid w:val="0028077B"/>
    <w:rsid w:val="0028130D"/>
    <w:rsid w:val="00281AA7"/>
    <w:rsid w:val="00282080"/>
    <w:rsid w:val="0028219C"/>
    <w:rsid w:val="00282614"/>
    <w:rsid w:val="00282A81"/>
    <w:rsid w:val="00283C30"/>
    <w:rsid w:val="00284AEA"/>
    <w:rsid w:val="00284F96"/>
    <w:rsid w:val="00285423"/>
    <w:rsid w:val="00285844"/>
    <w:rsid w:val="0028623B"/>
    <w:rsid w:val="00286C04"/>
    <w:rsid w:val="0029066B"/>
    <w:rsid w:val="002912B1"/>
    <w:rsid w:val="0029198F"/>
    <w:rsid w:val="00291D73"/>
    <w:rsid w:val="0029352A"/>
    <w:rsid w:val="00296286"/>
    <w:rsid w:val="002A15C4"/>
    <w:rsid w:val="002A2241"/>
    <w:rsid w:val="002A272A"/>
    <w:rsid w:val="002A3098"/>
    <w:rsid w:val="002A43DF"/>
    <w:rsid w:val="002A468B"/>
    <w:rsid w:val="002A5221"/>
    <w:rsid w:val="002A61CC"/>
    <w:rsid w:val="002A63AC"/>
    <w:rsid w:val="002A66BB"/>
    <w:rsid w:val="002A67D6"/>
    <w:rsid w:val="002A6B75"/>
    <w:rsid w:val="002A79D8"/>
    <w:rsid w:val="002B0753"/>
    <w:rsid w:val="002B0D09"/>
    <w:rsid w:val="002B1E75"/>
    <w:rsid w:val="002B3116"/>
    <w:rsid w:val="002B3224"/>
    <w:rsid w:val="002B36A7"/>
    <w:rsid w:val="002B4BC7"/>
    <w:rsid w:val="002B4BD4"/>
    <w:rsid w:val="002B4F34"/>
    <w:rsid w:val="002B512B"/>
    <w:rsid w:val="002B548D"/>
    <w:rsid w:val="002B666B"/>
    <w:rsid w:val="002B70FC"/>
    <w:rsid w:val="002B7589"/>
    <w:rsid w:val="002C04A9"/>
    <w:rsid w:val="002C17B9"/>
    <w:rsid w:val="002C23D9"/>
    <w:rsid w:val="002C357B"/>
    <w:rsid w:val="002C5025"/>
    <w:rsid w:val="002C5C6E"/>
    <w:rsid w:val="002C6061"/>
    <w:rsid w:val="002D0F1F"/>
    <w:rsid w:val="002D17DD"/>
    <w:rsid w:val="002D1F87"/>
    <w:rsid w:val="002D260B"/>
    <w:rsid w:val="002D31FC"/>
    <w:rsid w:val="002D463B"/>
    <w:rsid w:val="002D4B3B"/>
    <w:rsid w:val="002D689A"/>
    <w:rsid w:val="002D6FF0"/>
    <w:rsid w:val="002D7DDF"/>
    <w:rsid w:val="002E206A"/>
    <w:rsid w:val="002E2A14"/>
    <w:rsid w:val="002E2B4D"/>
    <w:rsid w:val="002E5C74"/>
    <w:rsid w:val="002E6C0C"/>
    <w:rsid w:val="002E7496"/>
    <w:rsid w:val="002E7914"/>
    <w:rsid w:val="002E7A49"/>
    <w:rsid w:val="002E7DD1"/>
    <w:rsid w:val="002F1B71"/>
    <w:rsid w:val="002F4635"/>
    <w:rsid w:val="002F4FFA"/>
    <w:rsid w:val="002F65FA"/>
    <w:rsid w:val="00301558"/>
    <w:rsid w:val="00301BEC"/>
    <w:rsid w:val="00304EFF"/>
    <w:rsid w:val="0030553E"/>
    <w:rsid w:val="00305AEB"/>
    <w:rsid w:val="00307B99"/>
    <w:rsid w:val="003103FF"/>
    <w:rsid w:val="003109CE"/>
    <w:rsid w:val="003112B8"/>
    <w:rsid w:val="00311D29"/>
    <w:rsid w:val="003142F1"/>
    <w:rsid w:val="003151B4"/>
    <w:rsid w:val="00316B76"/>
    <w:rsid w:val="00317356"/>
    <w:rsid w:val="00317C18"/>
    <w:rsid w:val="00317C4B"/>
    <w:rsid w:val="003207E2"/>
    <w:rsid w:val="003209B7"/>
    <w:rsid w:val="00320BF1"/>
    <w:rsid w:val="00320C1B"/>
    <w:rsid w:val="003211D4"/>
    <w:rsid w:val="003219DB"/>
    <w:rsid w:val="00322705"/>
    <w:rsid w:val="00322732"/>
    <w:rsid w:val="0032284E"/>
    <w:rsid w:val="003230AB"/>
    <w:rsid w:val="00326719"/>
    <w:rsid w:val="0032694D"/>
    <w:rsid w:val="0033078F"/>
    <w:rsid w:val="003320C0"/>
    <w:rsid w:val="0033219C"/>
    <w:rsid w:val="0033350F"/>
    <w:rsid w:val="00333A90"/>
    <w:rsid w:val="00334828"/>
    <w:rsid w:val="00334DFF"/>
    <w:rsid w:val="00334E4F"/>
    <w:rsid w:val="00335370"/>
    <w:rsid w:val="00335599"/>
    <w:rsid w:val="00336DC3"/>
    <w:rsid w:val="003370E9"/>
    <w:rsid w:val="00337C14"/>
    <w:rsid w:val="003405A8"/>
    <w:rsid w:val="00340E98"/>
    <w:rsid w:val="00341E22"/>
    <w:rsid w:val="00343378"/>
    <w:rsid w:val="003434F2"/>
    <w:rsid w:val="00343EF4"/>
    <w:rsid w:val="00345592"/>
    <w:rsid w:val="003470D6"/>
    <w:rsid w:val="003474AE"/>
    <w:rsid w:val="003475A1"/>
    <w:rsid w:val="00347DF0"/>
    <w:rsid w:val="003503F0"/>
    <w:rsid w:val="003529E0"/>
    <w:rsid w:val="003536EB"/>
    <w:rsid w:val="0035571C"/>
    <w:rsid w:val="00356687"/>
    <w:rsid w:val="0035732E"/>
    <w:rsid w:val="003575B0"/>
    <w:rsid w:val="0036024E"/>
    <w:rsid w:val="00360835"/>
    <w:rsid w:val="00360D44"/>
    <w:rsid w:val="003618F5"/>
    <w:rsid w:val="003627A8"/>
    <w:rsid w:val="0036285F"/>
    <w:rsid w:val="003628F2"/>
    <w:rsid w:val="00363C50"/>
    <w:rsid w:val="00365C58"/>
    <w:rsid w:val="003666D5"/>
    <w:rsid w:val="003674B4"/>
    <w:rsid w:val="00367FCD"/>
    <w:rsid w:val="00370428"/>
    <w:rsid w:val="0037095C"/>
    <w:rsid w:val="0037157C"/>
    <w:rsid w:val="00373EF4"/>
    <w:rsid w:val="0037644C"/>
    <w:rsid w:val="0037690E"/>
    <w:rsid w:val="00377072"/>
    <w:rsid w:val="0037767C"/>
    <w:rsid w:val="003810EA"/>
    <w:rsid w:val="00381F39"/>
    <w:rsid w:val="003821F4"/>
    <w:rsid w:val="00382A70"/>
    <w:rsid w:val="00382E89"/>
    <w:rsid w:val="0038320E"/>
    <w:rsid w:val="0038399D"/>
    <w:rsid w:val="00384675"/>
    <w:rsid w:val="003858DF"/>
    <w:rsid w:val="00386399"/>
    <w:rsid w:val="003869D5"/>
    <w:rsid w:val="003871EF"/>
    <w:rsid w:val="0038765B"/>
    <w:rsid w:val="00392275"/>
    <w:rsid w:val="00392EB9"/>
    <w:rsid w:val="00394375"/>
    <w:rsid w:val="003945C4"/>
    <w:rsid w:val="00394837"/>
    <w:rsid w:val="003955E5"/>
    <w:rsid w:val="00395D52"/>
    <w:rsid w:val="00397B4E"/>
    <w:rsid w:val="003A0581"/>
    <w:rsid w:val="003A1B25"/>
    <w:rsid w:val="003A344C"/>
    <w:rsid w:val="003A3698"/>
    <w:rsid w:val="003A3C21"/>
    <w:rsid w:val="003A41D1"/>
    <w:rsid w:val="003A481C"/>
    <w:rsid w:val="003A5FF3"/>
    <w:rsid w:val="003B0D7F"/>
    <w:rsid w:val="003B14B1"/>
    <w:rsid w:val="003B15E7"/>
    <w:rsid w:val="003B19B0"/>
    <w:rsid w:val="003B1C63"/>
    <w:rsid w:val="003B47D4"/>
    <w:rsid w:val="003C20A2"/>
    <w:rsid w:val="003C21A0"/>
    <w:rsid w:val="003C3A26"/>
    <w:rsid w:val="003C4801"/>
    <w:rsid w:val="003C53CF"/>
    <w:rsid w:val="003C614F"/>
    <w:rsid w:val="003C6557"/>
    <w:rsid w:val="003C797B"/>
    <w:rsid w:val="003D0F95"/>
    <w:rsid w:val="003D0FF2"/>
    <w:rsid w:val="003D1CFD"/>
    <w:rsid w:val="003D27A2"/>
    <w:rsid w:val="003D27F2"/>
    <w:rsid w:val="003D28FF"/>
    <w:rsid w:val="003D3FF2"/>
    <w:rsid w:val="003D6299"/>
    <w:rsid w:val="003D7BF3"/>
    <w:rsid w:val="003E0042"/>
    <w:rsid w:val="003E01E2"/>
    <w:rsid w:val="003E1AF8"/>
    <w:rsid w:val="003E3402"/>
    <w:rsid w:val="003E4CD3"/>
    <w:rsid w:val="003E518C"/>
    <w:rsid w:val="003E774F"/>
    <w:rsid w:val="003E783E"/>
    <w:rsid w:val="003E7B57"/>
    <w:rsid w:val="003E7ED9"/>
    <w:rsid w:val="003F09D8"/>
    <w:rsid w:val="003F0CB2"/>
    <w:rsid w:val="003F143E"/>
    <w:rsid w:val="003F2878"/>
    <w:rsid w:val="003F2972"/>
    <w:rsid w:val="003F2C81"/>
    <w:rsid w:val="003F3970"/>
    <w:rsid w:val="003F4A5E"/>
    <w:rsid w:val="003F51AE"/>
    <w:rsid w:val="003F547C"/>
    <w:rsid w:val="00400EF5"/>
    <w:rsid w:val="004015DE"/>
    <w:rsid w:val="004019D2"/>
    <w:rsid w:val="00402013"/>
    <w:rsid w:val="00403DA6"/>
    <w:rsid w:val="004042E2"/>
    <w:rsid w:val="00404612"/>
    <w:rsid w:val="00404D1A"/>
    <w:rsid w:val="00410281"/>
    <w:rsid w:val="004102C6"/>
    <w:rsid w:val="004114AB"/>
    <w:rsid w:val="00411ADA"/>
    <w:rsid w:val="0041402D"/>
    <w:rsid w:val="00414362"/>
    <w:rsid w:val="00414929"/>
    <w:rsid w:val="00416037"/>
    <w:rsid w:val="0041609B"/>
    <w:rsid w:val="00416273"/>
    <w:rsid w:val="00417D1C"/>
    <w:rsid w:val="00417FB9"/>
    <w:rsid w:val="00421AEE"/>
    <w:rsid w:val="00421F92"/>
    <w:rsid w:val="004234FA"/>
    <w:rsid w:val="00423F05"/>
    <w:rsid w:val="00424C6B"/>
    <w:rsid w:val="0042527A"/>
    <w:rsid w:val="004252E8"/>
    <w:rsid w:val="00425DF3"/>
    <w:rsid w:val="00427759"/>
    <w:rsid w:val="004305BD"/>
    <w:rsid w:val="00431334"/>
    <w:rsid w:val="00431BCE"/>
    <w:rsid w:val="00431D5F"/>
    <w:rsid w:val="00435472"/>
    <w:rsid w:val="00435E25"/>
    <w:rsid w:val="00436833"/>
    <w:rsid w:val="00437268"/>
    <w:rsid w:val="00437FEA"/>
    <w:rsid w:val="004404DF"/>
    <w:rsid w:val="00440812"/>
    <w:rsid w:val="00441C1C"/>
    <w:rsid w:val="00442080"/>
    <w:rsid w:val="00442A6C"/>
    <w:rsid w:val="0044311E"/>
    <w:rsid w:val="00443686"/>
    <w:rsid w:val="00444F29"/>
    <w:rsid w:val="00445222"/>
    <w:rsid w:val="0044599E"/>
    <w:rsid w:val="004467EA"/>
    <w:rsid w:val="00446942"/>
    <w:rsid w:val="00446B88"/>
    <w:rsid w:val="00447580"/>
    <w:rsid w:val="0045041A"/>
    <w:rsid w:val="00450A26"/>
    <w:rsid w:val="0045117B"/>
    <w:rsid w:val="0045136C"/>
    <w:rsid w:val="00451834"/>
    <w:rsid w:val="00451FC5"/>
    <w:rsid w:val="004532BC"/>
    <w:rsid w:val="004533F1"/>
    <w:rsid w:val="004541D5"/>
    <w:rsid w:val="00454EBF"/>
    <w:rsid w:val="00455A70"/>
    <w:rsid w:val="00455B84"/>
    <w:rsid w:val="00455E7F"/>
    <w:rsid w:val="004570C1"/>
    <w:rsid w:val="0045717F"/>
    <w:rsid w:val="00457FE6"/>
    <w:rsid w:val="0046119C"/>
    <w:rsid w:val="004616C2"/>
    <w:rsid w:val="00462A00"/>
    <w:rsid w:val="004632A6"/>
    <w:rsid w:val="004634EC"/>
    <w:rsid w:val="0046428A"/>
    <w:rsid w:val="004644D3"/>
    <w:rsid w:val="00464C7E"/>
    <w:rsid w:val="00465EFD"/>
    <w:rsid w:val="004666DD"/>
    <w:rsid w:val="00467825"/>
    <w:rsid w:val="00470167"/>
    <w:rsid w:val="004703C7"/>
    <w:rsid w:val="004704BD"/>
    <w:rsid w:val="00470D0C"/>
    <w:rsid w:val="004711CA"/>
    <w:rsid w:val="004716BB"/>
    <w:rsid w:val="004718E7"/>
    <w:rsid w:val="004725B0"/>
    <w:rsid w:val="004725B7"/>
    <w:rsid w:val="00472FC2"/>
    <w:rsid w:val="00473E98"/>
    <w:rsid w:val="00474A6C"/>
    <w:rsid w:val="004751FC"/>
    <w:rsid w:val="00475810"/>
    <w:rsid w:val="00475C15"/>
    <w:rsid w:val="0047653A"/>
    <w:rsid w:val="0047705B"/>
    <w:rsid w:val="00477733"/>
    <w:rsid w:val="00477FD3"/>
    <w:rsid w:val="004801D4"/>
    <w:rsid w:val="00480327"/>
    <w:rsid w:val="004809A3"/>
    <w:rsid w:val="00480F16"/>
    <w:rsid w:val="00481777"/>
    <w:rsid w:val="004821C2"/>
    <w:rsid w:val="0048261C"/>
    <w:rsid w:val="00483FEF"/>
    <w:rsid w:val="0048464D"/>
    <w:rsid w:val="004846BC"/>
    <w:rsid w:val="00484B0A"/>
    <w:rsid w:val="0048503B"/>
    <w:rsid w:val="00485473"/>
    <w:rsid w:val="00486C38"/>
    <w:rsid w:val="004876D6"/>
    <w:rsid w:val="004900A9"/>
    <w:rsid w:val="0049073C"/>
    <w:rsid w:val="0049147E"/>
    <w:rsid w:val="00492F38"/>
    <w:rsid w:val="00494642"/>
    <w:rsid w:val="00495314"/>
    <w:rsid w:val="00497E17"/>
    <w:rsid w:val="004A05D1"/>
    <w:rsid w:val="004A0F6B"/>
    <w:rsid w:val="004A17CD"/>
    <w:rsid w:val="004A17D4"/>
    <w:rsid w:val="004A2ED5"/>
    <w:rsid w:val="004A5368"/>
    <w:rsid w:val="004A583F"/>
    <w:rsid w:val="004B04E0"/>
    <w:rsid w:val="004B1567"/>
    <w:rsid w:val="004B1ADD"/>
    <w:rsid w:val="004B1BCA"/>
    <w:rsid w:val="004B2132"/>
    <w:rsid w:val="004B4812"/>
    <w:rsid w:val="004B52A0"/>
    <w:rsid w:val="004B5937"/>
    <w:rsid w:val="004B5AB4"/>
    <w:rsid w:val="004B5CFE"/>
    <w:rsid w:val="004B67D7"/>
    <w:rsid w:val="004B67DC"/>
    <w:rsid w:val="004C0E45"/>
    <w:rsid w:val="004C1866"/>
    <w:rsid w:val="004C1FC3"/>
    <w:rsid w:val="004C389F"/>
    <w:rsid w:val="004C4661"/>
    <w:rsid w:val="004C4942"/>
    <w:rsid w:val="004D15A7"/>
    <w:rsid w:val="004D1D2F"/>
    <w:rsid w:val="004D2006"/>
    <w:rsid w:val="004D334C"/>
    <w:rsid w:val="004D3609"/>
    <w:rsid w:val="004D3E84"/>
    <w:rsid w:val="004D3FA7"/>
    <w:rsid w:val="004D439D"/>
    <w:rsid w:val="004D5428"/>
    <w:rsid w:val="004D794A"/>
    <w:rsid w:val="004E1B6C"/>
    <w:rsid w:val="004E23EB"/>
    <w:rsid w:val="004E2C85"/>
    <w:rsid w:val="004E2F40"/>
    <w:rsid w:val="004E3689"/>
    <w:rsid w:val="004E3D76"/>
    <w:rsid w:val="004E4048"/>
    <w:rsid w:val="004E44F7"/>
    <w:rsid w:val="004E455A"/>
    <w:rsid w:val="004E4E4A"/>
    <w:rsid w:val="004E57CB"/>
    <w:rsid w:val="004E5F67"/>
    <w:rsid w:val="004E7D10"/>
    <w:rsid w:val="004F0722"/>
    <w:rsid w:val="004F0939"/>
    <w:rsid w:val="004F0F06"/>
    <w:rsid w:val="004F115A"/>
    <w:rsid w:val="004F407E"/>
    <w:rsid w:val="004F572B"/>
    <w:rsid w:val="004F5964"/>
    <w:rsid w:val="00501F12"/>
    <w:rsid w:val="00502010"/>
    <w:rsid w:val="005020F5"/>
    <w:rsid w:val="00502282"/>
    <w:rsid w:val="00503C0A"/>
    <w:rsid w:val="0050407C"/>
    <w:rsid w:val="00504F84"/>
    <w:rsid w:val="00505D6E"/>
    <w:rsid w:val="005102B9"/>
    <w:rsid w:val="00510743"/>
    <w:rsid w:val="005122E2"/>
    <w:rsid w:val="00513B13"/>
    <w:rsid w:val="00515570"/>
    <w:rsid w:val="005169DD"/>
    <w:rsid w:val="00521576"/>
    <w:rsid w:val="00522162"/>
    <w:rsid w:val="005224F1"/>
    <w:rsid w:val="0052342D"/>
    <w:rsid w:val="005239E6"/>
    <w:rsid w:val="005243D3"/>
    <w:rsid w:val="005261DF"/>
    <w:rsid w:val="005262C0"/>
    <w:rsid w:val="0052681E"/>
    <w:rsid w:val="0053064B"/>
    <w:rsid w:val="005319D5"/>
    <w:rsid w:val="00531C8B"/>
    <w:rsid w:val="00532056"/>
    <w:rsid w:val="005320B8"/>
    <w:rsid w:val="00534B57"/>
    <w:rsid w:val="00535DBD"/>
    <w:rsid w:val="00536518"/>
    <w:rsid w:val="0053672C"/>
    <w:rsid w:val="00536E13"/>
    <w:rsid w:val="00537880"/>
    <w:rsid w:val="00537974"/>
    <w:rsid w:val="005406D7"/>
    <w:rsid w:val="005411D3"/>
    <w:rsid w:val="005413FC"/>
    <w:rsid w:val="00542187"/>
    <w:rsid w:val="005425CB"/>
    <w:rsid w:val="0054430B"/>
    <w:rsid w:val="0054453B"/>
    <w:rsid w:val="00544CB5"/>
    <w:rsid w:val="00546253"/>
    <w:rsid w:val="0054714D"/>
    <w:rsid w:val="00551578"/>
    <w:rsid w:val="00551998"/>
    <w:rsid w:val="00552999"/>
    <w:rsid w:val="00552DB8"/>
    <w:rsid w:val="005532B2"/>
    <w:rsid w:val="00553A73"/>
    <w:rsid w:val="00555392"/>
    <w:rsid w:val="00556409"/>
    <w:rsid w:val="005576EF"/>
    <w:rsid w:val="00557838"/>
    <w:rsid w:val="00557BC8"/>
    <w:rsid w:val="005617DC"/>
    <w:rsid w:val="00563019"/>
    <w:rsid w:val="00563AFA"/>
    <w:rsid w:val="005640A8"/>
    <w:rsid w:val="005645B7"/>
    <w:rsid w:val="00565010"/>
    <w:rsid w:val="0056535F"/>
    <w:rsid w:val="005653FC"/>
    <w:rsid w:val="0056600F"/>
    <w:rsid w:val="0056711D"/>
    <w:rsid w:val="00567166"/>
    <w:rsid w:val="00567A0C"/>
    <w:rsid w:val="00571602"/>
    <w:rsid w:val="00572B9C"/>
    <w:rsid w:val="00573861"/>
    <w:rsid w:val="005751CD"/>
    <w:rsid w:val="00575FCF"/>
    <w:rsid w:val="0057652A"/>
    <w:rsid w:val="00576AD0"/>
    <w:rsid w:val="00576C09"/>
    <w:rsid w:val="00577768"/>
    <w:rsid w:val="00580B82"/>
    <w:rsid w:val="0058236B"/>
    <w:rsid w:val="00582E35"/>
    <w:rsid w:val="00583046"/>
    <w:rsid w:val="00583C8C"/>
    <w:rsid w:val="00586BD4"/>
    <w:rsid w:val="00592210"/>
    <w:rsid w:val="005925F6"/>
    <w:rsid w:val="00592E5B"/>
    <w:rsid w:val="0059416E"/>
    <w:rsid w:val="00597A85"/>
    <w:rsid w:val="005A0474"/>
    <w:rsid w:val="005A07C7"/>
    <w:rsid w:val="005A0D18"/>
    <w:rsid w:val="005A15E9"/>
    <w:rsid w:val="005A1619"/>
    <w:rsid w:val="005A2115"/>
    <w:rsid w:val="005A290A"/>
    <w:rsid w:val="005A2BF9"/>
    <w:rsid w:val="005A3738"/>
    <w:rsid w:val="005A3F9A"/>
    <w:rsid w:val="005A44FD"/>
    <w:rsid w:val="005A49CE"/>
    <w:rsid w:val="005A4AF1"/>
    <w:rsid w:val="005A4C24"/>
    <w:rsid w:val="005A5855"/>
    <w:rsid w:val="005A7752"/>
    <w:rsid w:val="005B0455"/>
    <w:rsid w:val="005B0783"/>
    <w:rsid w:val="005B0968"/>
    <w:rsid w:val="005B0C97"/>
    <w:rsid w:val="005B0F51"/>
    <w:rsid w:val="005B13CC"/>
    <w:rsid w:val="005B1944"/>
    <w:rsid w:val="005B2397"/>
    <w:rsid w:val="005B394E"/>
    <w:rsid w:val="005B437E"/>
    <w:rsid w:val="005B641D"/>
    <w:rsid w:val="005B6484"/>
    <w:rsid w:val="005B74E6"/>
    <w:rsid w:val="005B79C2"/>
    <w:rsid w:val="005B7D2B"/>
    <w:rsid w:val="005C0274"/>
    <w:rsid w:val="005C0B7C"/>
    <w:rsid w:val="005C1971"/>
    <w:rsid w:val="005C355D"/>
    <w:rsid w:val="005C46DF"/>
    <w:rsid w:val="005C4C9E"/>
    <w:rsid w:val="005C5E96"/>
    <w:rsid w:val="005C7C6B"/>
    <w:rsid w:val="005C7DB4"/>
    <w:rsid w:val="005D00CC"/>
    <w:rsid w:val="005D3597"/>
    <w:rsid w:val="005D3CE0"/>
    <w:rsid w:val="005D539D"/>
    <w:rsid w:val="005D5920"/>
    <w:rsid w:val="005D5D38"/>
    <w:rsid w:val="005D5E44"/>
    <w:rsid w:val="005D5F54"/>
    <w:rsid w:val="005D74DC"/>
    <w:rsid w:val="005D7640"/>
    <w:rsid w:val="005E028C"/>
    <w:rsid w:val="005E1993"/>
    <w:rsid w:val="005E1F4A"/>
    <w:rsid w:val="005E20AA"/>
    <w:rsid w:val="005E3DE0"/>
    <w:rsid w:val="005E446A"/>
    <w:rsid w:val="005E50ED"/>
    <w:rsid w:val="005E5BF9"/>
    <w:rsid w:val="005E669F"/>
    <w:rsid w:val="005E784A"/>
    <w:rsid w:val="005F057F"/>
    <w:rsid w:val="005F07DE"/>
    <w:rsid w:val="005F2005"/>
    <w:rsid w:val="005F229D"/>
    <w:rsid w:val="005F2516"/>
    <w:rsid w:val="005F2542"/>
    <w:rsid w:val="005F2A9F"/>
    <w:rsid w:val="005F49D9"/>
    <w:rsid w:val="005F5E9E"/>
    <w:rsid w:val="005F6FD1"/>
    <w:rsid w:val="005F7503"/>
    <w:rsid w:val="005F7A1C"/>
    <w:rsid w:val="006010C0"/>
    <w:rsid w:val="00601686"/>
    <w:rsid w:val="0060184A"/>
    <w:rsid w:val="006021D8"/>
    <w:rsid w:val="00604937"/>
    <w:rsid w:val="00605914"/>
    <w:rsid w:val="00605BC3"/>
    <w:rsid w:val="0060676F"/>
    <w:rsid w:val="006068E3"/>
    <w:rsid w:val="00606C7B"/>
    <w:rsid w:val="00607A7F"/>
    <w:rsid w:val="00607CD6"/>
    <w:rsid w:val="00611388"/>
    <w:rsid w:val="00615A16"/>
    <w:rsid w:val="00616136"/>
    <w:rsid w:val="006161D2"/>
    <w:rsid w:val="006175CE"/>
    <w:rsid w:val="0061768F"/>
    <w:rsid w:val="00620432"/>
    <w:rsid w:val="0062150A"/>
    <w:rsid w:val="0062256F"/>
    <w:rsid w:val="00622FEA"/>
    <w:rsid w:val="00623524"/>
    <w:rsid w:val="00624167"/>
    <w:rsid w:val="006242D4"/>
    <w:rsid w:val="0062493A"/>
    <w:rsid w:val="00625CF7"/>
    <w:rsid w:val="00626B34"/>
    <w:rsid w:val="006275B2"/>
    <w:rsid w:val="00627AEC"/>
    <w:rsid w:val="00627FC1"/>
    <w:rsid w:val="00630A02"/>
    <w:rsid w:val="006322EC"/>
    <w:rsid w:val="00633306"/>
    <w:rsid w:val="00635132"/>
    <w:rsid w:val="00635E90"/>
    <w:rsid w:val="0064070A"/>
    <w:rsid w:val="00640836"/>
    <w:rsid w:val="0064193A"/>
    <w:rsid w:val="0064302F"/>
    <w:rsid w:val="00643835"/>
    <w:rsid w:val="00643B5B"/>
    <w:rsid w:val="00643DC5"/>
    <w:rsid w:val="0064412B"/>
    <w:rsid w:val="00645A19"/>
    <w:rsid w:val="00646B5D"/>
    <w:rsid w:val="00646B9C"/>
    <w:rsid w:val="00646E11"/>
    <w:rsid w:val="0064733A"/>
    <w:rsid w:val="006476F1"/>
    <w:rsid w:val="006507B7"/>
    <w:rsid w:val="006517E3"/>
    <w:rsid w:val="00651869"/>
    <w:rsid w:val="00652171"/>
    <w:rsid w:val="00652600"/>
    <w:rsid w:val="00652735"/>
    <w:rsid w:val="006528DB"/>
    <w:rsid w:val="0065345A"/>
    <w:rsid w:val="00653AB7"/>
    <w:rsid w:val="00655BB2"/>
    <w:rsid w:val="00656FDA"/>
    <w:rsid w:val="006577E8"/>
    <w:rsid w:val="00661084"/>
    <w:rsid w:val="00661789"/>
    <w:rsid w:val="00661961"/>
    <w:rsid w:val="00662747"/>
    <w:rsid w:val="006637EC"/>
    <w:rsid w:val="00663F39"/>
    <w:rsid w:val="006641A7"/>
    <w:rsid w:val="00664F4D"/>
    <w:rsid w:val="00664F6B"/>
    <w:rsid w:val="006668F5"/>
    <w:rsid w:val="00666AC0"/>
    <w:rsid w:val="00666B4C"/>
    <w:rsid w:val="00666C83"/>
    <w:rsid w:val="00667898"/>
    <w:rsid w:val="00667BFD"/>
    <w:rsid w:val="00670368"/>
    <w:rsid w:val="00670A7E"/>
    <w:rsid w:val="00672083"/>
    <w:rsid w:val="006723A4"/>
    <w:rsid w:val="00673710"/>
    <w:rsid w:val="0067439E"/>
    <w:rsid w:val="00674737"/>
    <w:rsid w:val="00675E4C"/>
    <w:rsid w:val="00677D66"/>
    <w:rsid w:val="00681846"/>
    <w:rsid w:val="00682FC7"/>
    <w:rsid w:val="0068441D"/>
    <w:rsid w:val="00684C02"/>
    <w:rsid w:val="00684E38"/>
    <w:rsid w:val="006858A1"/>
    <w:rsid w:val="00687272"/>
    <w:rsid w:val="00687858"/>
    <w:rsid w:val="006906A4"/>
    <w:rsid w:val="00691F37"/>
    <w:rsid w:val="00692260"/>
    <w:rsid w:val="00692303"/>
    <w:rsid w:val="00692654"/>
    <w:rsid w:val="00692C1A"/>
    <w:rsid w:val="0069447E"/>
    <w:rsid w:val="00695EE3"/>
    <w:rsid w:val="00696A4A"/>
    <w:rsid w:val="00696D66"/>
    <w:rsid w:val="006A15BA"/>
    <w:rsid w:val="006A299A"/>
    <w:rsid w:val="006A312D"/>
    <w:rsid w:val="006A3D99"/>
    <w:rsid w:val="006A46F2"/>
    <w:rsid w:val="006A4BE6"/>
    <w:rsid w:val="006A5021"/>
    <w:rsid w:val="006A5E09"/>
    <w:rsid w:val="006A6227"/>
    <w:rsid w:val="006A6C81"/>
    <w:rsid w:val="006A7777"/>
    <w:rsid w:val="006B017B"/>
    <w:rsid w:val="006B07EE"/>
    <w:rsid w:val="006B0E19"/>
    <w:rsid w:val="006B1D1F"/>
    <w:rsid w:val="006B1E72"/>
    <w:rsid w:val="006B1ED7"/>
    <w:rsid w:val="006B331A"/>
    <w:rsid w:val="006B3457"/>
    <w:rsid w:val="006B3FE5"/>
    <w:rsid w:val="006B4684"/>
    <w:rsid w:val="006B6E6C"/>
    <w:rsid w:val="006B7CB8"/>
    <w:rsid w:val="006B7F1D"/>
    <w:rsid w:val="006C06F3"/>
    <w:rsid w:val="006C0B2A"/>
    <w:rsid w:val="006C0BD4"/>
    <w:rsid w:val="006C0E0E"/>
    <w:rsid w:val="006C190E"/>
    <w:rsid w:val="006C1920"/>
    <w:rsid w:val="006C1CDE"/>
    <w:rsid w:val="006C34B5"/>
    <w:rsid w:val="006C4C97"/>
    <w:rsid w:val="006C60AB"/>
    <w:rsid w:val="006C6D81"/>
    <w:rsid w:val="006C6E74"/>
    <w:rsid w:val="006C7B19"/>
    <w:rsid w:val="006D0F92"/>
    <w:rsid w:val="006D289A"/>
    <w:rsid w:val="006D2D67"/>
    <w:rsid w:val="006D37E4"/>
    <w:rsid w:val="006D3FB1"/>
    <w:rsid w:val="006D50C3"/>
    <w:rsid w:val="006D528D"/>
    <w:rsid w:val="006D52C8"/>
    <w:rsid w:val="006D5401"/>
    <w:rsid w:val="006D57D2"/>
    <w:rsid w:val="006D592D"/>
    <w:rsid w:val="006D7C60"/>
    <w:rsid w:val="006E04A5"/>
    <w:rsid w:val="006E0EDA"/>
    <w:rsid w:val="006E0FC4"/>
    <w:rsid w:val="006E1A20"/>
    <w:rsid w:val="006E236D"/>
    <w:rsid w:val="006E328D"/>
    <w:rsid w:val="006E3311"/>
    <w:rsid w:val="006E4820"/>
    <w:rsid w:val="006E79D1"/>
    <w:rsid w:val="006F1601"/>
    <w:rsid w:val="006F1B90"/>
    <w:rsid w:val="006F206A"/>
    <w:rsid w:val="006F42B3"/>
    <w:rsid w:val="006F4501"/>
    <w:rsid w:val="006F5B55"/>
    <w:rsid w:val="006F5C05"/>
    <w:rsid w:val="006F641E"/>
    <w:rsid w:val="0070182E"/>
    <w:rsid w:val="00702121"/>
    <w:rsid w:val="0070220B"/>
    <w:rsid w:val="00703171"/>
    <w:rsid w:val="00703E47"/>
    <w:rsid w:val="007045B9"/>
    <w:rsid w:val="00704668"/>
    <w:rsid w:val="0070496A"/>
    <w:rsid w:val="00704DF2"/>
    <w:rsid w:val="00706A31"/>
    <w:rsid w:val="00706BF2"/>
    <w:rsid w:val="00706EB2"/>
    <w:rsid w:val="007070E2"/>
    <w:rsid w:val="00711B4E"/>
    <w:rsid w:val="00712347"/>
    <w:rsid w:val="00712378"/>
    <w:rsid w:val="007123C4"/>
    <w:rsid w:val="00714508"/>
    <w:rsid w:val="0071488A"/>
    <w:rsid w:val="00714E28"/>
    <w:rsid w:val="00715609"/>
    <w:rsid w:val="00716018"/>
    <w:rsid w:val="00716917"/>
    <w:rsid w:val="00717032"/>
    <w:rsid w:val="0072066A"/>
    <w:rsid w:val="00720867"/>
    <w:rsid w:val="00720B64"/>
    <w:rsid w:val="00721167"/>
    <w:rsid w:val="00722890"/>
    <w:rsid w:val="00723E37"/>
    <w:rsid w:val="00724A02"/>
    <w:rsid w:val="00725588"/>
    <w:rsid w:val="00726AD8"/>
    <w:rsid w:val="00726FC1"/>
    <w:rsid w:val="00727064"/>
    <w:rsid w:val="00727713"/>
    <w:rsid w:val="00727923"/>
    <w:rsid w:val="00730EE7"/>
    <w:rsid w:val="007327D3"/>
    <w:rsid w:val="007329EF"/>
    <w:rsid w:val="00733E6A"/>
    <w:rsid w:val="00734656"/>
    <w:rsid w:val="00734A0D"/>
    <w:rsid w:val="00734F73"/>
    <w:rsid w:val="00735049"/>
    <w:rsid w:val="007354BD"/>
    <w:rsid w:val="00736899"/>
    <w:rsid w:val="00737028"/>
    <w:rsid w:val="0073771C"/>
    <w:rsid w:val="00737CEF"/>
    <w:rsid w:val="00740B95"/>
    <w:rsid w:val="00741D85"/>
    <w:rsid w:val="00741F38"/>
    <w:rsid w:val="007425FA"/>
    <w:rsid w:val="00742758"/>
    <w:rsid w:val="00742A31"/>
    <w:rsid w:val="00743D3C"/>
    <w:rsid w:val="00743F35"/>
    <w:rsid w:val="007444E9"/>
    <w:rsid w:val="007447F4"/>
    <w:rsid w:val="007449FA"/>
    <w:rsid w:val="00745730"/>
    <w:rsid w:val="00746B91"/>
    <w:rsid w:val="007474EF"/>
    <w:rsid w:val="00753273"/>
    <w:rsid w:val="007537FF"/>
    <w:rsid w:val="007543BB"/>
    <w:rsid w:val="00754E4D"/>
    <w:rsid w:val="00754FA3"/>
    <w:rsid w:val="00756CC8"/>
    <w:rsid w:val="00762036"/>
    <w:rsid w:val="00762D89"/>
    <w:rsid w:val="00763CE7"/>
    <w:rsid w:val="00764685"/>
    <w:rsid w:val="00764EFF"/>
    <w:rsid w:val="00765F3D"/>
    <w:rsid w:val="00766CCD"/>
    <w:rsid w:val="00766DA1"/>
    <w:rsid w:val="007676FF"/>
    <w:rsid w:val="007704AC"/>
    <w:rsid w:val="00771254"/>
    <w:rsid w:val="007721D4"/>
    <w:rsid w:val="00772258"/>
    <w:rsid w:val="007733E1"/>
    <w:rsid w:val="00773C37"/>
    <w:rsid w:val="0077426E"/>
    <w:rsid w:val="00774710"/>
    <w:rsid w:val="007747C9"/>
    <w:rsid w:val="00780547"/>
    <w:rsid w:val="00783293"/>
    <w:rsid w:val="00783DD3"/>
    <w:rsid w:val="007841AF"/>
    <w:rsid w:val="0078423E"/>
    <w:rsid w:val="00785C8E"/>
    <w:rsid w:val="00786425"/>
    <w:rsid w:val="00787D41"/>
    <w:rsid w:val="00790696"/>
    <w:rsid w:val="00791A30"/>
    <w:rsid w:val="00791F94"/>
    <w:rsid w:val="00792260"/>
    <w:rsid w:val="0079273B"/>
    <w:rsid w:val="007929B3"/>
    <w:rsid w:val="007944F0"/>
    <w:rsid w:val="00794A7F"/>
    <w:rsid w:val="0079500C"/>
    <w:rsid w:val="007A01F6"/>
    <w:rsid w:val="007A087F"/>
    <w:rsid w:val="007A110B"/>
    <w:rsid w:val="007A1375"/>
    <w:rsid w:val="007A18A9"/>
    <w:rsid w:val="007A1EE2"/>
    <w:rsid w:val="007A2459"/>
    <w:rsid w:val="007A2D4E"/>
    <w:rsid w:val="007A32E6"/>
    <w:rsid w:val="007A3F19"/>
    <w:rsid w:val="007A6191"/>
    <w:rsid w:val="007A6251"/>
    <w:rsid w:val="007A71D2"/>
    <w:rsid w:val="007A7AED"/>
    <w:rsid w:val="007B213A"/>
    <w:rsid w:val="007B5248"/>
    <w:rsid w:val="007B6C48"/>
    <w:rsid w:val="007C1ABC"/>
    <w:rsid w:val="007C21B1"/>
    <w:rsid w:val="007C2F2A"/>
    <w:rsid w:val="007C3065"/>
    <w:rsid w:val="007C3534"/>
    <w:rsid w:val="007C398C"/>
    <w:rsid w:val="007C75D9"/>
    <w:rsid w:val="007D0083"/>
    <w:rsid w:val="007D05E9"/>
    <w:rsid w:val="007D2AA2"/>
    <w:rsid w:val="007D2D10"/>
    <w:rsid w:val="007D354A"/>
    <w:rsid w:val="007D35A5"/>
    <w:rsid w:val="007D3BCF"/>
    <w:rsid w:val="007D4124"/>
    <w:rsid w:val="007D5BEA"/>
    <w:rsid w:val="007D6473"/>
    <w:rsid w:val="007D7A64"/>
    <w:rsid w:val="007E054F"/>
    <w:rsid w:val="007E05AC"/>
    <w:rsid w:val="007E0A3E"/>
    <w:rsid w:val="007E421F"/>
    <w:rsid w:val="007E4948"/>
    <w:rsid w:val="007E56AB"/>
    <w:rsid w:val="007E6E37"/>
    <w:rsid w:val="007E7C19"/>
    <w:rsid w:val="007F0DAF"/>
    <w:rsid w:val="007F16D4"/>
    <w:rsid w:val="007F1AC8"/>
    <w:rsid w:val="007F22D0"/>
    <w:rsid w:val="007F25B3"/>
    <w:rsid w:val="007F302A"/>
    <w:rsid w:val="007F4F3F"/>
    <w:rsid w:val="007F57FA"/>
    <w:rsid w:val="007F713C"/>
    <w:rsid w:val="007F7F5E"/>
    <w:rsid w:val="008003BB"/>
    <w:rsid w:val="00800B8B"/>
    <w:rsid w:val="00801613"/>
    <w:rsid w:val="00801E00"/>
    <w:rsid w:val="008028DF"/>
    <w:rsid w:val="008032CF"/>
    <w:rsid w:val="00805D80"/>
    <w:rsid w:val="00806ECE"/>
    <w:rsid w:val="00814ADB"/>
    <w:rsid w:val="00815226"/>
    <w:rsid w:val="008160EE"/>
    <w:rsid w:val="00816167"/>
    <w:rsid w:val="00816D88"/>
    <w:rsid w:val="008172CE"/>
    <w:rsid w:val="00817CE0"/>
    <w:rsid w:val="00817E21"/>
    <w:rsid w:val="00817EA0"/>
    <w:rsid w:val="008205A3"/>
    <w:rsid w:val="00820E9C"/>
    <w:rsid w:val="008212B4"/>
    <w:rsid w:val="008215A1"/>
    <w:rsid w:val="00822EBC"/>
    <w:rsid w:val="00824109"/>
    <w:rsid w:val="008252F2"/>
    <w:rsid w:val="00826B6E"/>
    <w:rsid w:val="00827ABC"/>
    <w:rsid w:val="00827ABE"/>
    <w:rsid w:val="00827D2B"/>
    <w:rsid w:val="00827F0E"/>
    <w:rsid w:val="008309F0"/>
    <w:rsid w:val="00830E33"/>
    <w:rsid w:val="0083257F"/>
    <w:rsid w:val="00833140"/>
    <w:rsid w:val="008369BA"/>
    <w:rsid w:val="00840306"/>
    <w:rsid w:val="008410F9"/>
    <w:rsid w:val="00841BF2"/>
    <w:rsid w:val="008450E1"/>
    <w:rsid w:val="00845D54"/>
    <w:rsid w:val="00845DEF"/>
    <w:rsid w:val="00850A5C"/>
    <w:rsid w:val="00852458"/>
    <w:rsid w:val="008525F9"/>
    <w:rsid w:val="00852956"/>
    <w:rsid w:val="00852A66"/>
    <w:rsid w:val="00852CCB"/>
    <w:rsid w:val="00852F2C"/>
    <w:rsid w:val="008532EF"/>
    <w:rsid w:val="008568EA"/>
    <w:rsid w:val="00857653"/>
    <w:rsid w:val="0085794D"/>
    <w:rsid w:val="00857E65"/>
    <w:rsid w:val="00860533"/>
    <w:rsid w:val="00861A3A"/>
    <w:rsid w:val="00862ABD"/>
    <w:rsid w:val="00863C9E"/>
    <w:rsid w:val="00863ED7"/>
    <w:rsid w:val="00864F26"/>
    <w:rsid w:val="00865DD4"/>
    <w:rsid w:val="00866707"/>
    <w:rsid w:val="0086728B"/>
    <w:rsid w:val="00867B25"/>
    <w:rsid w:val="00870A12"/>
    <w:rsid w:val="00870A2B"/>
    <w:rsid w:val="008735BF"/>
    <w:rsid w:val="008751D0"/>
    <w:rsid w:val="008754E2"/>
    <w:rsid w:val="00875868"/>
    <w:rsid w:val="008759F6"/>
    <w:rsid w:val="00876C97"/>
    <w:rsid w:val="00876CB0"/>
    <w:rsid w:val="00877533"/>
    <w:rsid w:val="00877EDC"/>
    <w:rsid w:val="008800DF"/>
    <w:rsid w:val="00881D03"/>
    <w:rsid w:val="00881D0C"/>
    <w:rsid w:val="00882657"/>
    <w:rsid w:val="00882769"/>
    <w:rsid w:val="00883D91"/>
    <w:rsid w:val="00884FC8"/>
    <w:rsid w:val="00885EF4"/>
    <w:rsid w:val="00885F06"/>
    <w:rsid w:val="00886AA9"/>
    <w:rsid w:val="00887F48"/>
    <w:rsid w:val="00890E5C"/>
    <w:rsid w:val="00892BA4"/>
    <w:rsid w:val="00892E94"/>
    <w:rsid w:val="00892ECF"/>
    <w:rsid w:val="00894F08"/>
    <w:rsid w:val="0089699F"/>
    <w:rsid w:val="00896A98"/>
    <w:rsid w:val="00896E4A"/>
    <w:rsid w:val="0089797E"/>
    <w:rsid w:val="00897BE8"/>
    <w:rsid w:val="008A0BE7"/>
    <w:rsid w:val="008A0E98"/>
    <w:rsid w:val="008A1085"/>
    <w:rsid w:val="008A32B4"/>
    <w:rsid w:val="008A3781"/>
    <w:rsid w:val="008A3B2F"/>
    <w:rsid w:val="008A40E6"/>
    <w:rsid w:val="008A441B"/>
    <w:rsid w:val="008A5A88"/>
    <w:rsid w:val="008A5D0C"/>
    <w:rsid w:val="008A6CE2"/>
    <w:rsid w:val="008A7279"/>
    <w:rsid w:val="008A7392"/>
    <w:rsid w:val="008A7814"/>
    <w:rsid w:val="008B4290"/>
    <w:rsid w:val="008B5390"/>
    <w:rsid w:val="008B5B91"/>
    <w:rsid w:val="008B68B6"/>
    <w:rsid w:val="008B6938"/>
    <w:rsid w:val="008B6A3D"/>
    <w:rsid w:val="008B76BE"/>
    <w:rsid w:val="008B7B42"/>
    <w:rsid w:val="008B7D5B"/>
    <w:rsid w:val="008B7E9D"/>
    <w:rsid w:val="008C00C9"/>
    <w:rsid w:val="008C19C8"/>
    <w:rsid w:val="008C1BE5"/>
    <w:rsid w:val="008C1E25"/>
    <w:rsid w:val="008C35B9"/>
    <w:rsid w:val="008C57F4"/>
    <w:rsid w:val="008C6042"/>
    <w:rsid w:val="008D05E1"/>
    <w:rsid w:val="008D0A1B"/>
    <w:rsid w:val="008D6A22"/>
    <w:rsid w:val="008D73E1"/>
    <w:rsid w:val="008D746F"/>
    <w:rsid w:val="008D7C61"/>
    <w:rsid w:val="008E1000"/>
    <w:rsid w:val="008E2DCB"/>
    <w:rsid w:val="008E372C"/>
    <w:rsid w:val="008E44D0"/>
    <w:rsid w:val="008E4EEB"/>
    <w:rsid w:val="008E4F5A"/>
    <w:rsid w:val="008E5E7D"/>
    <w:rsid w:val="008E6B28"/>
    <w:rsid w:val="008E6BD0"/>
    <w:rsid w:val="008E7274"/>
    <w:rsid w:val="008E74B6"/>
    <w:rsid w:val="008E7680"/>
    <w:rsid w:val="008E7CA5"/>
    <w:rsid w:val="008F05C8"/>
    <w:rsid w:val="008F1053"/>
    <w:rsid w:val="008F1434"/>
    <w:rsid w:val="008F3584"/>
    <w:rsid w:val="008F6452"/>
    <w:rsid w:val="00900849"/>
    <w:rsid w:val="0090112A"/>
    <w:rsid w:val="00902224"/>
    <w:rsid w:val="009038E7"/>
    <w:rsid w:val="00903AF9"/>
    <w:rsid w:val="009048E8"/>
    <w:rsid w:val="009067EF"/>
    <w:rsid w:val="00906AE1"/>
    <w:rsid w:val="009106E3"/>
    <w:rsid w:val="009113C7"/>
    <w:rsid w:val="00911B7F"/>
    <w:rsid w:val="009133C0"/>
    <w:rsid w:val="00913727"/>
    <w:rsid w:val="00913855"/>
    <w:rsid w:val="00915B26"/>
    <w:rsid w:val="00915C09"/>
    <w:rsid w:val="00916C16"/>
    <w:rsid w:val="009208E5"/>
    <w:rsid w:val="00920EF4"/>
    <w:rsid w:val="00920FC8"/>
    <w:rsid w:val="00924D18"/>
    <w:rsid w:val="00925D5C"/>
    <w:rsid w:val="00925F9D"/>
    <w:rsid w:val="00926732"/>
    <w:rsid w:val="00926E57"/>
    <w:rsid w:val="00927DD4"/>
    <w:rsid w:val="009301B4"/>
    <w:rsid w:val="009311C2"/>
    <w:rsid w:val="00934A46"/>
    <w:rsid w:val="0093761A"/>
    <w:rsid w:val="00940B49"/>
    <w:rsid w:val="00940DE9"/>
    <w:rsid w:val="0094136E"/>
    <w:rsid w:val="009422A5"/>
    <w:rsid w:val="00942507"/>
    <w:rsid w:val="00944120"/>
    <w:rsid w:val="00944670"/>
    <w:rsid w:val="00945012"/>
    <w:rsid w:val="009454D5"/>
    <w:rsid w:val="00945C6F"/>
    <w:rsid w:val="009462DC"/>
    <w:rsid w:val="00947595"/>
    <w:rsid w:val="00950667"/>
    <w:rsid w:val="0095090C"/>
    <w:rsid w:val="00950B47"/>
    <w:rsid w:val="0095480F"/>
    <w:rsid w:val="00954CDA"/>
    <w:rsid w:val="009552A6"/>
    <w:rsid w:val="00955BBC"/>
    <w:rsid w:val="00956E1D"/>
    <w:rsid w:val="009571EC"/>
    <w:rsid w:val="00957EF9"/>
    <w:rsid w:val="00960B6F"/>
    <w:rsid w:val="00961790"/>
    <w:rsid w:val="00963100"/>
    <w:rsid w:val="00964B96"/>
    <w:rsid w:val="00965EAA"/>
    <w:rsid w:val="00966516"/>
    <w:rsid w:val="00966690"/>
    <w:rsid w:val="0096768E"/>
    <w:rsid w:val="009677A6"/>
    <w:rsid w:val="00967C58"/>
    <w:rsid w:val="0097014B"/>
    <w:rsid w:val="009706CF"/>
    <w:rsid w:val="00970BAF"/>
    <w:rsid w:val="00971A82"/>
    <w:rsid w:val="00971EFF"/>
    <w:rsid w:val="0097233E"/>
    <w:rsid w:val="0097251A"/>
    <w:rsid w:val="00972A54"/>
    <w:rsid w:val="009739FF"/>
    <w:rsid w:val="00973B0D"/>
    <w:rsid w:val="00973F65"/>
    <w:rsid w:val="00975A30"/>
    <w:rsid w:val="00976D09"/>
    <w:rsid w:val="009800D1"/>
    <w:rsid w:val="00981084"/>
    <w:rsid w:val="00981AC2"/>
    <w:rsid w:val="00982BC5"/>
    <w:rsid w:val="00982D8D"/>
    <w:rsid w:val="00983A29"/>
    <w:rsid w:val="00983DDF"/>
    <w:rsid w:val="00985A6C"/>
    <w:rsid w:val="00986298"/>
    <w:rsid w:val="00986995"/>
    <w:rsid w:val="00986C0D"/>
    <w:rsid w:val="00987E61"/>
    <w:rsid w:val="00990877"/>
    <w:rsid w:val="009913CB"/>
    <w:rsid w:val="009921F4"/>
    <w:rsid w:val="00992EB6"/>
    <w:rsid w:val="00993FD0"/>
    <w:rsid w:val="009940F0"/>
    <w:rsid w:val="00995B37"/>
    <w:rsid w:val="00996957"/>
    <w:rsid w:val="009A0B14"/>
    <w:rsid w:val="009A13D3"/>
    <w:rsid w:val="009A2A9C"/>
    <w:rsid w:val="009A36CF"/>
    <w:rsid w:val="009A3C3A"/>
    <w:rsid w:val="009A48BF"/>
    <w:rsid w:val="009A498D"/>
    <w:rsid w:val="009A5DDB"/>
    <w:rsid w:val="009A5E6F"/>
    <w:rsid w:val="009A633B"/>
    <w:rsid w:val="009A65B8"/>
    <w:rsid w:val="009A6EC5"/>
    <w:rsid w:val="009B01B6"/>
    <w:rsid w:val="009B22B7"/>
    <w:rsid w:val="009B485A"/>
    <w:rsid w:val="009B48D3"/>
    <w:rsid w:val="009B4F62"/>
    <w:rsid w:val="009B64B4"/>
    <w:rsid w:val="009B655D"/>
    <w:rsid w:val="009B6BEA"/>
    <w:rsid w:val="009B74E2"/>
    <w:rsid w:val="009C1543"/>
    <w:rsid w:val="009C1CA2"/>
    <w:rsid w:val="009C2FD1"/>
    <w:rsid w:val="009C31C5"/>
    <w:rsid w:val="009C39DF"/>
    <w:rsid w:val="009C4F90"/>
    <w:rsid w:val="009C6293"/>
    <w:rsid w:val="009C7C4F"/>
    <w:rsid w:val="009D04CC"/>
    <w:rsid w:val="009D0A5E"/>
    <w:rsid w:val="009D119D"/>
    <w:rsid w:val="009D1334"/>
    <w:rsid w:val="009D18FE"/>
    <w:rsid w:val="009D251E"/>
    <w:rsid w:val="009D2B06"/>
    <w:rsid w:val="009D3B15"/>
    <w:rsid w:val="009D3D37"/>
    <w:rsid w:val="009D41FA"/>
    <w:rsid w:val="009D42B8"/>
    <w:rsid w:val="009D5495"/>
    <w:rsid w:val="009D55C8"/>
    <w:rsid w:val="009D56E7"/>
    <w:rsid w:val="009D5C27"/>
    <w:rsid w:val="009D6E5E"/>
    <w:rsid w:val="009E0E4F"/>
    <w:rsid w:val="009E1B68"/>
    <w:rsid w:val="009E2255"/>
    <w:rsid w:val="009E240C"/>
    <w:rsid w:val="009E2971"/>
    <w:rsid w:val="009E2B59"/>
    <w:rsid w:val="009E3F34"/>
    <w:rsid w:val="009E4D59"/>
    <w:rsid w:val="009E59FC"/>
    <w:rsid w:val="009F141B"/>
    <w:rsid w:val="009F3137"/>
    <w:rsid w:val="009F350B"/>
    <w:rsid w:val="009F483D"/>
    <w:rsid w:val="009F4E11"/>
    <w:rsid w:val="009F4FAC"/>
    <w:rsid w:val="009F57CA"/>
    <w:rsid w:val="00A0023E"/>
    <w:rsid w:val="00A010D1"/>
    <w:rsid w:val="00A011E5"/>
    <w:rsid w:val="00A01567"/>
    <w:rsid w:val="00A02F37"/>
    <w:rsid w:val="00A04580"/>
    <w:rsid w:val="00A06D0A"/>
    <w:rsid w:val="00A06EB7"/>
    <w:rsid w:val="00A072F1"/>
    <w:rsid w:val="00A07418"/>
    <w:rsid w:val="00A1095D"/>
    <w:rsid w:val="00A11001"/>
    <w:rsid w:val="00A11545"/>
    <w:rsid w:val="00A12162"/>
    <w:rsid w:val="00A12FC6"/>
    <w:rsid w:val="00A13008"/>
    <w:rsid w:val="00A1372C"/>
    <w:rsid w:val="00A1481E"/>
    <w:rsid w:val="00A150F0"/>
    <w:rsid w:val="00A15753"/>
    <w:rsid w:val="00A164E8"/>
    <w:rsid w:val="00A16601"/>
    <w:rsid w:val="00A17BDE"/>
    <w:rsid w:val="00A21E02"/>
    <w:rsid w:val="00A21FDE"/>
    <w:rsid w:val="00A22FE9"/>
    <w:rsid w:val="00A25B5F"/>
    <w:rsid w:val="00A26527"/>
    <w:rsid w:val="00A265FF"/>
    <w:rsid w:val="00A26ACC"/>
    <w:rsid w:val="00A271E5"/>
    <w:rsid w:val="00A27459"/>
    <w:rsid w:val="00A303B0"/>
    <w:rsid w:val="00A340F3"/>
    <w:rsid w:val="00A3414F"/>
    <w:rsid w:val="00A35EBE"/>
    <w:rsid w:val="00A36A03"/>
    <w:rsid w:val="00A373D1"/>
    <w:rsid w:val="00A37761"/>
    <w:rsid w:val="00A37E7C"/>
    <w:rsid w:val="00A40CA9"/>
    <w:rsid w:val="00A4132C"/>
    <w:rsid w:val="00A41ED7"/>
    <w:rsid w:val="00A447F4"/>
    <w:rsid w:val="00A453A4"/>
    <w:rsid w:val="00A46530"/>
    <w:rsid w:val="00A46D8F"/>
    <w:rsid w:val="00A5070F"/>
    <w:rsid w:val="00A509B2"/>
    <w:rsid w:val="00A52B80"/>
    <w:rsid w:val="00A53F94"/>
    <w:rsid w:val="00A541B5"/>
    <w:rsid w:val="00A54377"/>
    <w:rsid w:val="00A54981"/>
    <w:rsid w:val="00A54A3F"/>
    <w:rsid w:val="00A54A44"/>
    <w:rsid w:val="00A54DC8"/>
    <w:rsid w:val="00A55722"/>
    <w:rsid w:val="00A5646A"/>
    <w:rsid w:val="00A56678"/>
    <w:rsid w:val="00A57745"/>
    <w:rsid w:val="00A57B8A"/>
    <w:rsid w:val="00A60771"/>
    <w:rsid w:val="00A60804"/>
    <w:rsid w:val="00A641E3"/>
    <w:rsid w:val="00A65161"/>
    <w:rsid w:val="00A665D1"/>
    <w:rsid w:val="00A673F4"/>
    <w:rsid w:val="00A6743A"/>
    <w:rsid w:val="00A700DC"/>
    <w:rsid w:val="00A702C4"/>
    <w:rsid w:val="00A703CB"/>
    <w:rsid w:val="00A70C87"/>
    <w:rsid w:val="00A71197"/>
    <w:rsid w:val="00A71DDE"/>
    <w:rsid w:val="00A71E0F"/>
    <w:rsid w:val="00A720E0"/>
    <w:rsid w:val="00A73467"/>
    <w:rsid w:val="00A739EE"/>
    <w:rsid w:val="00A74D5B"/>
    <w:rsid w:val="00A75A72"/>
    <w:rsid w:val="00A7606C"/>
    <w:rsid w:val="00A76A90"/>
    <w:rsid w:val="00A77821"/>
    <w:rsid w:val="00A77F30"/>
    <w:rsid w:val="00A805C6"/>
    <w:rsid w:val="00A813A1"/>
    <w:rsid w:val="00A8141E"/>
    <w:rsid w:val="00A835E7"/>
    <w:rsid w:val="00A83C99"/>
    <w:rsid w:val="00A8495A"/>
    <w:rsid w:val="00A867FE"/>
    <w:rsid w:val="00A875C3"/>
    <w:rsid w:val="00A87DCD"/>
    <w:rsid w:val="00A91900"/>
    <w:rsid w:val="00A91C11"/>
    <w:rsid w:val="00A91C69"/>
    <w:rsid w:val="00A91FEC"/>
    <w:rsid w:val="00A92029"/>
    <w:rsid w:val="00A923D8"/>
    <w:rsid w:val="00A92BA8"/>
    <w:rsid w:val="00A9318F"/>
    <w:rsid w:val="00A9336B"/>
    <w:rsid w:val="00A936B1"/>
    <w:rsid w:val="00A93CE3"/>
    <w:rsid w:val="00A94954"/>
    <w:rsid w:val="00A95CC3"/>
    <w:rsid w:val="00A961B6"/>
    <w:rsid w:val="00A97060"/>
    <w:rsid w:val="00AA0565"/>
    <w:rsid w:val="00AA083B"/>
    <w:rsid w:val="00AA1E36"/>
    <w:rsid w:val="00AA2A0B"/>
    <w:rsid w:val="00AA2A7B"/>
    <w:rsid w:val="00AA32C3"/>
    <w:rsid w:val="00AA358F"/>
    <w:rsid w:val="00AA3669"/>
    <w:rsid w:val="00AA49C5"/>
    <w:rsid w:val="00AA5185"/>
    <w:rsid w:val="00AA6684"/>
    <w:rsid w:val="00AA6728"/>
    <w:rsid w:val="00AA73AA"/>
    <w:rsid w:val="00AA78FD"/>
    <w:rsid w:val="00AB3573"/>
    <w:rsid w:val="00AB3B32"/>
    <w:rsid w:val="00AB638A"/>
    <w:rsid w:val="00AB78C8"/>
    <w:rsid w:val="00AC05F0"/>
    <w:rsid w:val="00AC14FA"/>
    <w:rsid w:val="00AC1D33"/>
    <w:rsid w:val="00AC3401"/>
    <w:rsid w:val="00AC3419"/>
    <w:rsid w:val="00AC3B67"/>
    <w:rsid w:val="00AC4233"/>
    <w:rsid w:val="00AC575B"/>
    <w:rsid w:val="00AC5C29"/>
    <w:rsid w:val="00AC6466"/>
    <w:rsid w:val="00AC6820"/>
    <w:rsid w:val="00AC70BF"/>
    <w:rsid w:val="00AC7888"/>
    <w:rsid w:val="00AD0537"/>
    <w:rsid w:val="00AD0B90"/>
    <w:rsid w:val="00AD0D35"/>
    <w:rsid w:val="00AD210D"/>
    <w:rsid w:val="00AD2819"/>
    <w:rsid w:val="00AD2BA5"/>
    <w:rsid w:val="00AD45E6"/>
    <w:rsid w:val="00AD528D"/>
    <w:rsid w:val="00AD6764"/>
    <w:rsid w:val="00AD7B11"/>
    <w:rsid w:val="00AE0012"/>
    <w:rsid w:val="00AE1052"/>
    <w:rsid w:val="00AE262A"/>
    <w:rsid w:val="00AE2639"/>
    <w:rsid w:val="00AE2C31"/>
    <w:rsid w:val="00AE2C79"/>
    <w:rsid w:val="00AE379F"/>
    <w:rsid w:val="00AE38B0"/>
    <w:rsid w:val="00AE38EE"/>
    <w:rsid w:val="00AE50B2"/>
    <w:rsid w:val="00AE53E9"/>
    <w:rsid w:val="00AE5848"/>
    <w:rsid w:val="00AE6089"/>
    <w:rsid w:val="00AF29CC"/>
    <w:rsid w:val="00AF36C7"/>
    <w:rsid w:val="00AF3FB3"/>
    <w:rsid w:val="00AF585C"/>
    <w:rsid w:val="00AF6C8E"/>
    <w:rsid w:val="00AF6ED9"/>
    <w:rsid w:val="00AF74BD"/>
    <w:rsid w:val="00B00D69"/>
    <w:rsid w:val="00B0104A"/>
    <w:rsid w:val="00B017A0"/>
    <w:rsid w:val="00B0215C"/>
    <w:rsid w:val="00B0328A"/>
    <w:rsid w:val="00B03CF8"/>
    <w:rsid w:val="00B0411B"/>
    <w:rsid w:val="00B04956"/>
    <w:rsid w:val="00B05AE3"/>
    <w:rsid w:val="00B05CC5"/>
    <w:rsid w:val="00B05DCB"/>
    <w:rsid w:val="00B07743"/>
    <w:rsid w:val="00B077A8"/>
    <w:rsid w:val="00B07EA9"/>
    <w:rsid w:val="00B100DF"/>
    <w:rsid w:val="00B10B41"/>
    <w:rsid w:val="00B113DF"/>
    <w:rsid w:val="00B11759"/>
    <w:rsid w:val="00B117E6"/>
    <w:rsid w:val="00B11985"/>
    <w:rsid w:val="00B120DC"/>
    <w:rsid w:val="00B1230A"/>
    <w:rsid w:val="00B16560"/>
    <w:rsid w:val="00B16B21"/>
    <w:rsid w:val="00B172CD"/>
    <w:rsid w:val="00B20C27"/>
    <w:rsid w:val="00B2304A"/>
    <w:rsid w:val="00B232F0"/>
    <w:rsid w:val="00B237D7"/>
    <w:rsid w:val="00B23995"/>
    <w:rsid w:val="00B252EC"/>
    <w:rsid w:val="00B25BF7"/>
    <w:rsid w:val="00B25DB7"/>
    <w:rsid w:val="00B267C4"/>
    <w:rsid w:val="00B26B04"/>
    <w:rsid w:val="00B277D4"/>
    <w:rsid w:val="00B27FA2"/>
    <w:rsid w:val="00B327B6"/>
    <w:rsid w:val="00B32C47"/>
    <w:rsid w:val="00B32CAC"/>
    <w:rsid w:val="00B33546"/>
    <w:rsid w:val="00B34FB2"/>
    <w:rsid w:val="00B3628C"/>
    <w:rsid w:val="00B368A8"/>
    <w:rsid w:val="00B368C9"/>
    <w:rsid w:val="00B40BEA"/>
    <w:rsid w:val="00B40F0C"/>
    <w:rsid w:val="00B41127"/>
    <w:rsid w:val="00B42CF6"/>
    <w:rsid w:val="00B4496A"/>
    <w:rsid w:val="00B450E4"/>
    <w:rsid w:val="00B452B3"/>
    <w:rsid w:val="00B45808"/>
    <w:rsid w:val="00B459E7"/>
    <w:rsid w:val="00B4618E"/>
    <w:rsid w:val="00B468CC"/>
    <w:rsid w:val="00B46AF4"/>
    <w:rsid w:val="00B46CEC"/>
    <w:rsid w:val="00B478AF"/>
    <w:rsid w:val="00B47E14"/>
    <w:rsid w:val="00B501C1"/>
    <w:rsid w:val="00B50319"/>
    <w:rsid w:val="00B50510"/>
    <w:rsid w:val="00B51075"/>
    <w:rsid w:val="00B51DDE"/>
    <w:rsid w:val="00B524E2"/>
    <w:rsid w:val="00B542A6"/>
    <w:rsid w:val="00B54E1D"/>
    <w:rsid w:val="00B54FA0"/>
    <w:rsid w:val="00B5542E"/>
    <w:rsid w:val="00B5632F"/>
    <w:rsid w:val="00B56B85"/>
    <w:rsid w:val="00B57044"/>
    <w:rsid w:val="00B576C3"/>
    <w:rsid w:val="00B612A6"/>
    <w:rsid w:val="00B61E8D"/>
    <w:rsid w:val="00B625E3"/>
    <w:rsid w:val="00B62B07"/>
    <w:rsid w:val="00B63538"/>
    <w:rsid w:val="00B63949"/>
    <w:rsid w:val="00B63D48"/>
    <w:rsid w:val="00B648FC"/>
    <w:rsid w:val="00B65B4E"/>
    <w:rsid w:val="00B665E9"/>
    <w:rsid w:val="00B676B4"/>
    <w:rsid w:val="00B67775"/>
    <w:rsid w:val="00B67822"/>
    <w:rsid w:val="00B70995"/>
    <w:rsid w:val="00B70C7B"/>
    <w:rsid w:val="00B71039"/>
    <w:rsid w:val="00B71A5F"/>
    <w:rsid w:val="00B71AED"/>
    <w:rsid w:val="00B71C5E"/>
    <w:rsid w:val="00B7234E"/>
    <w:rsid w:val="00B73393"/>
    <w:rsid w:val="00B77CFC"/>
    <w:rsid w:val="00B80474"/>
    <w:rsid w:val="00B80FDF"/>
    <w:rsid w:val="00B81494"/>
    <w:rsid w:val="00B81B24"/>
    <w:rsid w:val="00B81C47"/>
    <w:rsid w:val="00B83D21"/>
    <w:rsid w:val="00B85BB7"/>
    <w:rsid w:val="00B8683E"/>
    <w:rsid w:val="00B878D9"/>
    <w:rsid w:val="00B87A63"/>
    <w:rsid w:val="00B904F6"/>
    <w:rsid w:val="00B915AC"/>
    <w:rsid w:val="00B915F8"/>
    <w:rsid w:val="00B91B67"/>
    <w:rsid w:val="00B94A37"/>
    <w:rsid w:val="00B94B96"/>
    <w:rsid w:val="00B94E43"/>
    <w:rsid w:val="00B951A0"/>
    <w:rsid w:val="00B9532B"/>
    <w:rsid w:val="00B958A2"/>
    <w:rsid w:val="00B96290"/>
    <w:rsid w:val="00B96327"/>
    <w:rsid w:val="00B97C29"/>
    <w:rsid w:val="00BA102A"/>
    <w:rsid w:val="00BA1886"/>
    <w:rsid w:val="00BA1BE8"/>
    <w:rsid w:val="00BA1D76"/>
    <w:rsid w:val="00BA45EC"/>
    <w:rsid w:val="00BA5906"/>
    <w:rsid w:val="00BA5A2A"/>
    <w:rsid w:val="00BA60FE"/>
    <w:rsid w:val="00BA61F4"/>
    <w:rsid w:val="00BA753B"/>
    <w:rsid w:val="00BA7EB5"/>
    <w:rsid w:val="00BB16CE"/>
    <w:rsid w:val="00BB236F"/>
    <w:rsid w:val="00BB2438"/>
    <w:rsid w:val="00BB27B0"/>
    <w:rsid w:val="00BB27C3"/>
    <w:rsid w:val="00BB2E46"/>
    <w:rsid w:val="00BB3848"/>
    <w:rsid w:val="00BB450C"/>
    <w:rsid w:val="00BB4B36"/>
    <w:rsid w:val="00BB5034"/>
    <w:rsid w:val="00BB622D"/>
    <w:rsid w:val="00BB62FC"/>
    <w:rsid w:val="00BB654A"/>
    <w:rsid w:val="00BB6E18"/>
    <w:rsid w:val="00BC0075"/>
    <w:rsid w:val="00BC2BC2"/>
    <w:rsid w:val="00BC2E3A"/>
    <w:rsid w:val="00BC30E6"/>
    <w:rsid w:val="00BC3542"/>
    <w:rsid w:val="00BC3EC6"/>
    <w:rsid w:val="00BC54D7"/>
    <w:rsid w:val="00BC5DDF"/>
    <w:rsid w:val="00BC6850"/>
    <w:rsid w:val="00BC6AFB"/>
    <w:rsid w:val="00BC75F7"/>
    <w:rsid w:val="00BC780E"/>
    <w:rsid w:val="00BC7A11"/>
    <w:rsid w:val="00BD11FE"/>
    <w:rsid w:val="00BD185F"/>
    <w:rsid w:val="00BD2EB0"/>
    <w:rsid w:val="00BD2EE3"/>
    <w:rsid w:val="00BD3E3D"/>
    <w:rsid w:val="00BD5766"/>
    <w:rsid w:val="00BD587C"/>
    <w:rsid w:val="00BD6E09"/>
    <w:rsid w:val="00BD7816"/>
    <w:rsid w:val="00BE05C6"/>
    <w:rsid w:val="00BE12B2"/>
    <w:rsid w:val="00BE2784"/>
    <w:rsid w:val="00BE2BE2"/>
    <w:rsid w:val="00BE31E8"/>
    <w:rsid w:val="00BE4660"/>
    <w:rsid w:val="00BE55EB"/>
    <w:rsid w:val="00BE5846"/>
    <w:rsid w:val="00BF046D"/>
    <w:rsid w:val="00BF1748"/>
    <w:rsid w:val="00BF27AF"/>
    <w:rsid w:val="00BF56D3"/>
    <w:rsid w:val="00BF637A"/>
    <w:rsid w:val="00C01460"/>
    <w:rsid w:val="00C0156B"/>
    <w:rsid w:val="00C02C10"/>
    <w:rsid w:val="00C04B4F"/>
    <w:rsid w:val="00C058FD"/>
    <w:rsid w:val="00C06250"/>
    <w:rsid w:val="00C106D7"/>
    <w:rsid w:val="00C10C2F"/>
    <w:rsid w:val="00C12883"/>
    <w:rsid w:val="00C128D8"/>
    <w:rsid w:val="00C12A61"/>
    <w:rsid w:val="00C130AA"/>
    <w:rsid w:val="00C13217"/>
    <w:rsid w:val="00C13AE7"/>
    <w:rsid w:val="00C146B0"/>
    <w:rsid w:val="00C14F44"/>
    <w:rsid w:val="00C15354"/>
    <w:rsid w:val="00C154D2"/>
    <w:rsid w:val="00C15C05"/>
    <w:rsid w:val="00C169D3"/>
    <w:rsid w:val="00C173FB"/>
    <w:rsid w:val="00C17D42"/>
    <w:rsid w:val="00C17E16"/>
    <w:rsid w:val="00C2040E"/>
    <w:rsid w:val="00C21F69"/>
    <w:rsid w:val="00C22220"/>
    <w:rsid w:val="00C24AF2"/>
    <w:rsid w:val="00C252BC"/>
    <w:rsid w:val="00C261CE"/>
    <w:rsid w:val="00C27864"/>
    <w:rsid w:val="00C31F73"/>
    <w:rsid w:val="00C321BE"/>
    <w:rsid w:val="00C3335A"/>
    <w:rsid w:val="00C34E2F"/>
    <w:rsid w:val="00C35571"/>
    <w:rsid w:val="00C36E15"/>
    <w:rsid w:val="00C373D0"/>
    <w:rsid w:val="00C3760B"/>
    <w:rsid w:val="00C4168E"/>
    <w:rsid w:val="00C41AD0"/>
    <w:rsid w:val="00C41ED5"/>
    <w:rsid w:val="00C420CA"/>
    <w:rsid w:val="00C4374F"/>
    <w:rsid w:val="00C45273"/>
    <w:rsid w:val="00C45C84"/>
    <w:rsid w:val="00C46208"/>
    <w:rsid w:val="00C47C11"/>
    <w:rsid w:val="00C517E0"/>
    <w:rsid w:val="00C517F4"/>
    <w:rsid w:val="00C521CE"/>
    <w:rsid w:val="00C54A4A"/>
    <w:rsid w:val="00C558D6"/>
    <w:rsid w:val="00C56569"/>
    <w:rsid w:val="00C60273"/>
    <w:rsid w:val="00C60943"/>
    <w:rsid w:val="00C61013"/>
    <w:rsid w:val="00C61B42"/>
    <w:rsid w:val="00C62392"/>
    <w:rsid w:val="00C62D1B"/>
    <w:rsid w:val="00C62D1E"/>
    <w:rsid w:val="00C63C64"/>
    <w:rsid w:val="00C64B22"/>
    <w:rsid w:val="00C65065"/>
    <w:rsid w:val="00C658A4"/>
    <w:rsid w:val="00C65A36"/>
    <w:rsid w:val="00C70108"/>
    <w:rsid w:val="00C707B9"/>
    <w:rsid w:val="00C707DE"/>
    <w:rsid w:val="00C74CDE"/>
    <w:rsid w:val="00C75701"/>
    <w:rsid w:val="00C766B6"/>
    <w:rsid w:val="00C80CB2"/>
    <w:rsid w:val="00C80D0B"/>
    <w:rsid w:val="00C82188"/>
    <w:rsid w:val="00C82A76"/>
    <w:rsid w:val="00C82B94"/>
    <w:rsid w:val="00C83533"/>
    <w:rsid w:val="00C836A6"/>
    <w:rsid w:val="00C83BCE"/>
    <w:rsid w:val="00C84904"/>
    <w:rsid w:val="00C86D1A"/>
    <w:rsid w:val="00C87B47"/>
    <w:rsid w:val="00C87C3B"/>
    <w:rsid w:val="00C90E43"/>
    <w:rsid w:val="00C9253C"/>
    <w:rsid w:val="00C9289A"/>
    <w:rsid w:val="00C928A8"/>
    <w:rsid w:val="00C92DBB"/>
    <w:rsid w:val="00C92E8D"/>
    <w:rsid w:val="00C92F1E"/>
    <w:rsid w:val="00C93C2C"/>
    <w:rsid w:val="00C93DBA"/>
    <w:rsid w:val="00C95153"/>
    <w:rsid w:val="00C95942"/>
    <w:rsid w:val="00C96494"/>
    <w:rsid w:val="00C975CF"/>
    <w:rsid w:val="00C97907"/>
    <w:rsid w:val="00CA0172"/>
    <w:rsid w:val="00CA34A2"/>
    <w:rsid w:val="00CA3600"/>
    <w:rsid w:val="00CA5405"/>
    <w:rsid w:val="00CA62F6"/>
    <w:rsid w:val="00CA6B4B"/>
    <w:rsid w:val="00CB1411"/>
    <w:rsid w:val="00CB20F5"/>
    <w:rsid w:val="00CB2776"/>
    <w:rsid w:val="00CB34D5"/>
    <w:rsid w:val="00CB51BC"/>
    <w:rsid w:val="00CB67F6"/>
    <w:rsid w:val="00CB6A5A"/>
    <w:rsid w:val="00CC05CC"/>
    <w:rsid w:val="00CC1CDB"/>
    <w:rsid w:val="00CC25EA"/>
    <w:rsid w:val="00CC3262"/>
    <w:rsid w:val="00CC39E4"/>
    <w:rsid w:val="00CC4011"/>
    <w:rsid w:val="00CC468C"/>
    <w:rsid w:val="00CC5239"/>
    <w:rsid w:val="00CC76F9"/>
    <w:rsid w:val="00CD04AA"/>
    <w:rsid w:val="00CD068A"/>
    <w:rsid w:val="00CD107D"/>
    <w:rsid w:val="00CD109E"/>
    <w:rsid w:val="00CD37A3"/>
    <w:rsid w:val="00CD3844"/>
    <w:rsid w:val="00CD43D6"/>
    <w:rsid w:val="00CD4727"/>
    <w:rsid w:val="00CD472E"/>
    <w:rsid w:val="00CD6C98"/>
    <w:rsid w:val="00CD70B9"/>
    <w:rsid w:val="00CD74AB"/>
    <w:rsid w:val="00CD7B7A"/>
    <w:rsid w:val="00CE003D"/>
    <w:rsid w:val="00CE0B4D"/>
    <w:rsid w:val="00CE0C8D"/>
    <w:rsid w:val="00CE0DD0"/>
    <w:rsid w:val="00CE1FCA"/>
    <w:rsid w:val="00CE3C02"/>
    <w:rsid w:val="00CE40B0"/>
    <w:rsid w:val="00CE4A36"/>
    <w:rsid w:val="00CE5D25"/>
    <w:rsid w:val="00CE608E"/>
    <w:rsid w:val="00CE65F0"/>
    <w:rsid w:val="00CE72D3"/>
    <w:rsid w:val="00CE75D9"/>
    <w:rsid w:val="00CE7CF3"/>
    <w:rsid w:val="00CF0521"/>
    <w:rsid w:val="00CF08B8"/>
    <w:rsid w:val="00CF189F"/>
    <w:rsid w:val="00CF1E4A"/>
    <w:rsid w:val="00CF3C67"/>
    <w:rsid w:val="00CF4C57"/>
    <w:rsid w:val="00CF5DFB"/>
    <w:rsid w:val="00D01632"/>
    <w:rsid w:val="00D01AD2"/>
    <w:rsid w:val="00D02803"/>
    <w:rsid w:val="00D0450C"/>
    <w:rsid w:val="00D0484E"/>
    <w:rsid w:val="00D05100"/>
    <w:rsid w:val="00D052CE"/>
    <w:rsid w:val="00D05CB9"/>
    <w:rsid w:val="00D06480"/>
    <w:rsid w:val="00D1183A"/>
    <w:rsid w:val="00D12804"/>
    <w:rsid w:val="00D14E02"/>
    <w:rsid w:val="00D16ED2"/>
    <w:rsid w:val="00D17347"/>
    <w:rsid w:val="00D2288C"/>
    <w:rsid w:val="00D236FC"/>
    <w:rsid w:val="00D239B5"/>
    <w:rsid w:val="00D23E2D"/>
    <w:rsid w:val="00D242DB"/>
    <w:rsid w:val="00D24E5E"/>
    <w:rsid w:val="00D25C46"/>
    <w:rsid w:val="00D26033"/>
    <w:rsid w:val="00D26E53"/>
    <w:rsid w:val="00D26FE1"/>
    <w:rsid w:val="00D2739A"/>
    <w:rsid w:val="00D32144"/>
    <w:rsid w:val="00D32425"/>
    <w:rsid w:val="00D32D59"/>
    <w:rsid w:val="00D337A8"/>
    <w:rsid w:val="00D340C2"/>
    <w:rsid w:val="00D34C88"/>
    <w:rsid w:val="00D365CE"/>
    <w:rsid w:val="00D36C40"/>
    <w:rsid w:val="00D37AAD"/>
    <w:rsid w:val="00D40563"/>
    <w:rsid w:val="00D40B51"/>
    <w:rsid w:val="00D41BEA"/>
    <w:rsid w:val="00D42DA8"/>
    <w:rsid w:val="00D44352"/>
    <w:rsid w:val="00D4598B"/>
    <w:rsid w:val="00D51429"/>
    <w:rsid w:val="00D53362"/>
    <w:rsid w:val="00D53468"/>
    <w:rsid w:val="00D535B8"/>
    <w:rsid w:val="00D55073"/>
    <w:rsid w:val="00D552F1"/>
    <w:rsid w:val="00D56945"/>
    <w:rsid w:val="00D57521"/>
    <w:rsid w:val="00D57B6A"/>
    <w:rsid w:val="00D61502"/>
    <w:rsid w:val="00D62604"/>
    <w:rsid w:val="00D63B30"/>
    <w:rsid w:val="00D63C51"/>
    <w:rsid w:val="00D63FD5"/>
    <w:rsid w:val="00D64833"/>
    <w:rsid w:val="00D64F71"/>
    <w:rsid w:val="00D65969"/>
    <w:rsid w:val="00D65C01"/>
    <w:rsid w:val="00D66DD2"/>
    <w:rsid w:val="00D67252"/>
    <w:rsid w:val="00D70DE0"/>
    <w:rsid w:val="00D71154"/>
    <w:rsid w:val="00D71C57"/>
    <w:rsid w:val="00D71D09"/>
    <w:rsid w:val="00D7255E"/>
    <w:rsid w:val="00D73D59"/>
    <w:rsid w:val="00D74726"/>
    <w:rsid w:val="00D747C3"/>
    <w:rsid w:val="00D74E5E"/>
    <w:rsid w:val="00D752A0"/>
    <w:rsid w:val="00D778C4"/>
    <w:rsid w:val="00D80908"/>
    <w:rsid w:val="00D81659"/>
    <w:rsid w:val="00D8285E"/>
    <w:rsid w:val="00D84BE4"/>
    <w:rsid w:val="00D85C6F"/>
    <w:rsid w:val="00D86351"/>
    <w:rsid w:val="00D86407"/>
    <w:rsid w:val="00D879BC"/>
    <w:rsid w:val="00D87A3A"/>
    <w:rsid w:val="00D9027F"/>
    <w:rsid w:val="00D90F51"/>
    <w:rsid w:val="00D91769"/>
    <w:rsid w:val="00D91D5C"/>
    <w:rsid w:val="00D9217D"/>
    <w:rsid w:val="00D922C4"/>
    <w:rsid w:val="00D930CB"/>
    <w:rsid w:val="00D95562"/>
    <w:rsid w:val="00D95675"/>
    <w:rsid w:val="00D972E8"/>
    <w:rsid w:val="00D97DDB"/>
    <w:rsid w:val="00DA040F"/>
    <w:rsid w:val="00DA0C7B"/>
    <w:rsid w:val="00DA1929"/>
    <w:rsid w:val="00DA27C5"/>
    <w:rsid w:val="00DA36AC"/>
    <w:rsid w:val="00DA394D"/>
    <w:rsid w:val="00DA39AE"/>
    <w:rsid w:val="00DA41B4"/>
    <w:rsid w:val="00DA41CF"/>
    <w:rsid w:val="00DA49BA"/>
    <w:rsid w:val="00DA6007"/>
    <w:rsid w:val="00DA61D8"/>
    <w:rsid w:val="00DA701A"/>
    <w:rsid w:val="00DA751D"/>
    <w:rsid w:val="00DA7FF6"/>
    <w:rsid w:val="00DB0B29"/>
    <w:rsid w:val="00DB1FA7"/>
    <w:rsid w:val="00DB3CF3"/>
    <w:rsid w:val="00DB3D14"/>
    <w:rsid w:val="00DB3F5A"/>
    <w:rsid w:val="00DB43A8"/>
    <w:rsid w:val="00DB4467"/>
    <w:rsid w:val="00DB5472"/>
    <w:rsid w:val="00DB558B"/>
    <w:rsid w:val="00DB5C5D"/>
    <w:rsid w:val="00DB6123"/>
    <w:rsid w:val="00DB75D4"/>
    <w:rsid w:val="00DB7E55"/>
    <w:rsid w:val="00DC154A"/>
    <w:rsid w:val="00DC26CD"/>
    <w:rsid w:val="00DC3140"/>
    <w:rsid w:val="00DC3ACA"/>
    <w:rsid w:val="00DC757A"/>
    <w:rsid w:val="00DC76CA"/>
    <w:rsid w:val="00DD1140"/>
    <w:rsid w:val="00DD1858"/>
    <w:rsid w:val="00DD20EE"/>
    <w:rsid w:val="00DD2C57"/>
    <w:rsid w:val="00DD39A3"/>
    <w:rsid w:val="00DD428E"/>
    <w:rsid w:val="00DD46BD"/>
    <w:rsid w:val="00DD6127"/>
    <w:rsid w:val="00DD6644"/>
    <w:rsid w:val="00DD6A3A"/>
    <w:rsid w:val="00DD744E"/>
    <w:rsid w:val="00DD7989"/>
    <w:rsid w:val="00DE0D92"/>
    <w:rsid w:val="00DE1176"/>
    <w:rsid w:val="00DE251E"/>
    <w:rsid w:val="00DE2944"/>
    <w:rsid w:val="00DE32E1"/>
    <w:rsid w:val="00DE6DE2"/>
    <w:rsid w:val="00DF0647"/>
    <w:rsid w:val="00DF3377"/>
    <w:rsid w:val="00DF350F"/>
    <w:rsid w:val="00DF37A7"/>
    <w:rsid w:val="00DF470B"/>
    <w:rsid w:val="00DF5368"/>
    <w:rsid w:val="00DF59D4"/>
    <w:rsid w:val="00DF78B9"/>
    <w:rsid w:val="00DF7CB0"/>
    <w:rsid w:val="00DF7CD2"/>
    <w:rsid w:val="00E02C4D"/>
    <w:rsid w:val="00E05E27"/>
    <w:rsid w:val="00E05EFA"/>
    <w:rsid w:val="00E06095"/>
    <w:rsid w:val="00E07395"/>
    <w:rsid w:val="00E10BDB"/>
    <w:rsid w:val="00E1124B"/>
    <w:rsid w:val="00E1268C"/>
    <w:rsid w:val="00E12FBA"/>
    <w:rsid w:val="00E1322C"/>
    <w:rsid w:val="00E13B85"/>
    <w:rsid w:val="00E14E96"/>
    <w:rsid w:val="00E15344"/>
    <w:rsid w:val="00E153E7"/>
    <w:rsid w:val="00E1753E"/>
    <w:rsid w:val="00E1776C"/>
    <w:rsid w:val="00E203C0"/>
    <w:rsid w:val="00E20765"/>
    <w:rsid w:val="00E208DC"/>
    <w:rsid w:val="00E21F4B"/>
    <w:rsid w:val="00E223B1"/>
    <w:rsid w:val="00E22464"/>
    <w:rsid w:val="00E22F45"/>
    <w:rsid w:val="00E23FBE"/>
    <w:rsid w:val="00E2431B"/>
    <w:rsid w:val="00E24C41"/>
    <w:rsid w:val="00E258A8"/>
    <w:rsid w:val="00E26244"/>
    <w:rsid w:val="00E2745D"/>
    <w:rsid w:val="00E2786A"/>
    <w:rsid w:val="00E27B29"/>
    <w:rsid w:val="00E27FC1"/>
    <w:rsid w:val="00E31091"/>
    <w:rsid w:val="00E32C46"/>
    <w:rsid w:val="00E3373C"/>
    <w:rsid w:val="00E33841"/>
    <w:rsid w:val="00E34D80"/>
    <w:rsid w:val="00E353A6"/>
    <w:rsid w:val="00E36D19"/>
    <w:rsid w:val="00E36EBF"/>
    <w:rsid w:val="00E3767F"/>
    <w:rsid w:val="00E37F4C"/>
    <w:rsid w:val="00E37FBD"/>
    <w:rsid w:val="00E400AB"/>
    <w:rsid w:val="00E428B9"/>
    <w:rsid w:val="00E42CCD"/>
    <w:rsid w:val="00E43F96"/>
    <w:rsid w:val="00E44276"/>
    <w:rsid w:val="00E449FB"/>
    <w:rsid w:val="00E47307"/>
    <w:rsid w:val="00E4780F"/>
    <w:rsid w:val="00E518FA"/>
    <w:rsid w:val="00E52159"/>
    <w:rsid w:val="00E5234B"/>
    <w:rsid w:val="00E53520"/>
    <w:rsid w:val="00E54F62"/>
    <w:rsid w:val="00E552AF"/>
    <w:rsid w:val="00E55A99"/>
    <w:rsid w:val="00E56A2F"/>
    <w:rsid w:val="00E56A3B"/>
    <w:rsid w:val="00E57D10"/>
    <w:rsid w:val="00E57D83"/>
    <w:rsid w:val="00E63C73"/>
    <w:rsid w:val="00E63D93"/>
    <w:rsid w:val="00E64748"/>
    <w:rsid w:val="00E64932"/>
    <w:rsid w:val="00E65D40"/>
    <w:rsid w:val="00E66661"/>
    <w:rsid w:val="00E67D1F"/>
    <w:rsid w:val="00E67F9A"/>
    <w:rsid w:val="00E7041C"/>
    <w:rsid w:val="00E70B76"/>
    <w:rsid w:val="00E70D5D"/>
    <w:rsid w:val="00E70E5B"/>
    <w:rsid w:val="00E7267A"/>
    <w:rsid w:val="00E727E5"/>
    <w:rsid w:val="00E72E26"/>
    <w:rsid w:val="00E7322D"/>
    <w:rsid w:val="00E744B0"/>
    <w:rsid w:val="00E7453B"/>
    <w:rsid w:val="00E74626"/>
    <w:rsid w:val="00E7540C"/>
    <w:rsid w:val="00E76236"/>
    <w:rsid w:val="00E772B4"/>
    <w:rsid w:val="00E77D4E"/>
    <w:rsid w:val="00E80286"/>
    <w:rsid w:val="00E804C5"/>
    <w:rsid w:val="00E81150"/>
    <w:rsid w:val="00E84F17"/>
    <w:rsid w:val="00E85938"/>
    <w:rsid w:val="00E85C26"/>
    <w:rsid w:val="00E85EC4"/>
    <w:rsid w:val="00E87939"/>
    <w:rsid w:val="00E87A44"/>
    <w:rsid w:val="00E90DE1"/>
    <w:rsid w:val="00E929A6"/>
    <w:rsid w:val="00E93EE2"/>
    <w:rsid w:val="00E95261"/>
    <w:rsid w:val="00E97C73"/>
    <w:rsid w:val="00EA1225"/>
    <w:rsid w:val="00EA190B"/>
    <w:rsid w:val="00EA34B0"/>
    <w:rsid w:val="00EA466F"/>
    <w:rsid w:val="00EA49DE"/>
    <w:rsid w:val="00EA6B1E"/>
    <w:rsid w:val="00EA78A9"/>
    <w:rsid w:val="00EB06B7"/>
    <w:rsid w:val="00EB243C"/>
    <w:rsid w:val="00EB34C5"/>
    <w:rsid w:val="00EB3CC4"/>
    <w:rsid w:val="00EB4909"/>
    <w:rsid w:val="00EB73C9"/>
    <w:rsid w:val="00EB79AA"/>
    <w:rsid w:val="00EC08CB"/>
    <w:rsid w:val="00EC1198"/>
    <w:rsid w:val="00EC1E0E"/>
    <w:rsid w:val="00EC28C6"/>
    <w:rsid w:val="00EC2D18"/>
    <w:rsid w:val="00EC2DA9"/>
    <w:rsid w:val="00EC2F4B"/>
    <w:rsid w:val="00EC3ECA"/>
    <w:rsid w:val="00EC43A9"/>
    <w:rsid w:val="00EC45A4"/>
    <w:rsid w:val="00EC5736"/>
    <w:rsid w:val="00EC6A90"/>
    <w:rsid w:val="00EC78AA"/>
    <w:rsid w:val="00ED3ABF"/>
    <w:rsid w:val="00ED3AC4"/>
    <w:rsid w:val="00ED4705"/>
    <w:rsid w:val="00ED599D"/>
    <w:rsid w:val="00ED5ECA"/>
    <w:rsid w:val="00ED69D9"/>
    <w:rsid w:val="00ED757F"/>
    <w:rsid w:val="00EE06DB"/>
    <w:rsid w:val="00EE0C9B"/>
    <w:rsid w:val="00EE1342"/>
    <w:rsid w:val="00EE2DC4"/>
    <w:rsid w:val="00EE3C91"/>
    <w:rsid w:val="00EE4793"/>
    <w:rsid w:val="00EE4D0C"/>
    <w:rsid w:val="00EE75F7"/>
    <w:rsid w:val="00EF0946"/>
    <w:rsid w:val="00EF150B"/>
    <w:rsid w:val="00EF2C1C"/>
    <w:rsid w:val="00EF3364"/>
    <w:rsid w:val="00EF3EBA"/>
    <w:rsid w:val="00EF486D"/>
    <w:rsid w:val="00EF4D6E"/>
    <w:rsid w:val="00EF5A55"/>
    <w:rsid w:val="00EF5C1E"/>
    <w:rsid w:val="00EF6A93"/>
    <w:rsid w:val="00EF7F0E"/>
    <w:rsid w:val="00EF7F0F"/>
    <w:rsid w:val="00F00CDE"/>
    <w:rsid w:val="00F0129E"/>
    <w:rsid w:val="00F019D4"/>
    <w:rsid w:val="00F01B11"/>
    <w:rsid w:val="00F02ADD"/>
    <w:rsid w:val="00F045AA"/>
    <w:rsid w:val="00F051F1"/>
    <w:rsid w:val="00F067FF"/>
    <w:rsid w:val="00F06B60"/>
    <w:rsid w:val="00F113B6"/>
    <w:rsid w:val="00F13FC7"/>
    <w:rsid w:val="00F157E8"/>
    <w:rsid w:val="00F17639"/>
    <w:rsid w:val="00F178E5"/>
    <w:rsid w:val="00F17AF9"/>
    <w:rsid w:val="00F17F54"/>
    <w:rsid w:val="00F209DD"/>
    <w:rsid w:val="00F21F83"/>
    <w:rsid w:val="00F2211A"/>
    <w:rsid w:val="00F22A0A"/>
    <w:rsid w:val="00F23660"/>
    <w:rsid w:val="00F24224"/>
    <w:rsid w:val="00F25364"/>
    <w:rsid w:val="00F25D1A"/>
    <w:rsid w:val="00F27132"/>
    <w:rsid w:val="00F27BC8"/>
    <w:rsid w:val="00F27BDF"/>
    <w:rsid w:val="00F30321"/>
    <w:rsid w:val="00F326CB"/>
    <w:rsid w:val="00F336C8"/>
    <w:rsid w:val="00F3387D"/>
    <w:rsid w:val="00F360BC"/>
    <w:rsid w:val="00F40FCC"/>
    <w:rsid w:val="00F41A5A"/>
    <w:rsid w:val="00F42AC9"/>
    <w:rsid w:val="00F42C95"/>
    <w:rsid w:val="00F42EFD"/>
    <w:rsid w:val="00F43AA5"/>
    <w:rsid w:val="00F4478D"/>
    <w:rsid w:val="00F4560F"/>
    <w:rsid w:val="00F46AC8"/>
    <w:rsid w:val="00F46D68"/>
    <w:rsid w:val="00F46E19"/>
    <w:rsid w:val="00F47BA6"/>
    <w:rsid w:val="00F50A67"/>
    <w:rsid w:val="00F516BC"/>
    <w:rsid w:val="00F51C13"/>
    <w:rsid w:val="00F52F5D"/>
    <w:rsid w:val="00F54568"/>
    <w:rsid w:val="00F54BE2"/>
    <w:rsid w:val="00F5510F"/>
    <w:rsid w:val="00F56A56"/>
    <w:rsid w:val="00F56ADA"/>
    <w:rsid w:val="00F60E6A"/>
    <w:rsid w:val="00F628E6"/>
    <w:rsid w:val="00F62A00"/>
    <w:rsid w:val="00F634A2"/>
    <w:rsid w:val="00F6459F"/>
    <w:rsid w:val="00F64A59"/>
    <w:rsid w:val="00F64EE7"/>
    <w:rsid w:val="00F654F5"/>
    <w:rsid w:val="00F6582D"/>
    <w:rsid w:val="00F65F19"/>
    <w:rsid w:val="00F6769D"/>
    <w:rsid w:val="00F67833"/>
    <w:rsid w:val="00F67B46"/>
    <w:rsid w:val="00F701A0"/>
    <w:rsid w:val="00F71A30"/>
    <w:rsid w:val="00F7249B"/>
    <w:rsid w:val="00F73694"/>
    <w:rsid w:val="00F73BA4"/>
    <w:rsid w:val="00F74807"/>
    <w:rsid w:val="00F74993"/>
    <w:rsid w:val="00F74DEB"/>
    <w:rsid w:val="00F75812"/>
    <w:rsid w:val="00F77545"/>
    <w:rsid w:val="00F777B2"/>
    <w:rsid w:val="00F77920"/>
    <w:rsid w:val="00F8003E"/>
    <w:rsid w:val="00F810A5"/>
    <w:rsid w:val="00F817F2"/>
    <w:rsid w:val="00F824D1"/>
    <w:rsid w:val="00F824D2"/>
    <w:rsid w:val="00F83687"/>
    <w:rsid w:val="00F84BC8"/>
    <w:rsid w:val="00F85CBB"/>
    <w:rsid w:val="00F86278"/>
    <w:rsid w:val="00F87745"/>
    <w:rsid w:val="00F87F8A"/>
    <w:rsid w:val="00F9037C"/>
    <w:rsid w:val="00F93A45"/>
    <w:rsid w:val="00F93E2F"/>
    <w:rsid w:val="00F94149"/>
    <w:rsid w:val="00F94628"/>
    <w:rsid w:val="00F94B5A"/>
    <w:rsid w:val="00F968C7"/>
    <w:rsid w:val="00F9699B"/>
    <w:rsid w:val="00FA031D"/>
    <w:rsid w:val="00FA2EB5"/>
    <w:rsid w:val="00FA5654"/>
    <w:rsid w:val="00FA700F"/>
    <w:rsid w:val="00FA7995"/>
    <w:rsid w:val="00FB191E"/>
    <w:rsid w:val="00FB1AC6"/>
    <w:rsid w:val="00FB2C15"/>
    <w:rsid w:val="00FB4F1F"/>
    <w:rsid w:val="00FB4F4C"/>
    <w:rsid w:val="00FB55CC"/>
    <w:rsid w:val="00FB5792"/>
    <w:rsid w:val="00FB6463"/>
    <w:rsid w:val="00FB7087"/>
    <w:rsid w:val="00FC0521"/>
    <w:rsid w:val="00FC1047"/>
    <w:rsid w:val="00FC12D1"/>
    <w:rsid w:val="00FC1651"/>
    <w:rsid w:val="00FC1749"/>
    <w:rsid w:val="00FC1B57"/>
    <w:rsid w:val="00FC2003"/>
    <w:rsid w:val="00FC23ED"/>
    <w:rsid w:val="00FC43A3"/>
    <w:rsid w:val="00FC5AC6"/>
    <w:rsid w:val="00FC5ED3"/>
    <w:rsid w:val="00FC642E"/>
    <w:rsid w:val="00FD11A6"/>
    <w:rsid w:val="00FD203D"/>
    <w:rsid w:val="00FD2247"/>
    <w:rsid w:val="00FD27BC"/>
    <w:rsid w:val="00FD475E"/>
    <w:rsid w:val="00FD48B6"/>
    <w:rsid w:val="00FD48D2"/>
    <w:rsid w:val="00FD5090"/>
    <w:rsid w:val="00FD57F2"/>
    <w:rsid w:val="00FD5857"/>
    <w:rsid w:val="00FD65A0"/>
    <w:rsid w:val="00FD6B27"/>
    <w:rsid w:val="00FD7210"/>
    <w:rsid w:val="00FD72F9"/>
    <w:rsid w:val="00FE0A3B"/>
    <w:rsid w:val="00FE1722"/>
    <w:rsid w:val="00FE2E67"/>
    <w:rsid w:val="00FE3754"/>
    <w:rsid w:val="00FE37F4"/>
    <w:rsid w:val="00FE3B38"/>
    <w:rsid w:val="00FE4770"/>
    <w:rsid w:val="00FE5A7F"/>
    <w:rsid w:val="00FE6943"/>
    <w:rsid w:val="00FF0387"/>
    <w:rsid w:val="00FF0DBA"/>
    <w:rsid w:val="00FF1207"/>
    <w:rsid w:val="00FF1695"/>
    <w:rsid w:val="00FF261E"/>
    <w:rsid w:val="00FF45D4"/>
    <w:rsid w:val="00FF4902"/>
    <w:rsid w:val="00FF5290"/>
    <w:rsid w:val="00FF5C03"/>
    <w:rsid w:val="00FF7229"/>
    <w:rsid w:val="00FF75AB"/>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8FF"/>
    <w:rPr>
      <w:sz w:val="24"/>
      <w:szCs w:val="24"/>
    </w:rPr>
  </w:style>
  <w:style w:type="paragraph" w:styleId="Heading1">
    <w:name w:val="heading 1"/>
    <w:basedOn w:val="Normal"/>
    <w:next w:val="Normal"/>
    <w:link w:val="Heading1Char"/>
    <w:uiPriority w:val="9"/>
    <w:qFormat/>
    <w:rsid w:val="009E297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9048E8"/>
    <w:pPr>
      <w:keepNext/>
      <w:jc w:val="center"/>
      <w:outlineLvl w:val="1"/>
    </w:pPr>
    <w:rPr>
      <w:u w:val="single"/>
    </w:rPr>
  </w:style>
  <w:style w:type="paragraph" w:styleId="Heading3">
    <w:name w:val="heading 3"/>
    <w:basedOn w:val="Normal"/>
    <w:next w:val="Normal"/>
    <w:link w:val="Heading3Char"/>
    <w:unhideWhenUsed/>
    <w:qFormat/>
    <w:rsid w:val="00D337A8"/>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D337A8"/>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D0648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C7B"/>
    <w:rPr>
      <w:rFonts w:ascii="Arial" w:hAnsi="Arial" w:cs="Arial"/>
      <w:b/>
      <w:bCs/>
      <w:kern w:val="32"/>
      <w:sz w:val="32"/>
      <w:szCs w:val="32"/>
    </w:rPr>
  </w:style>
  <w:style w:type="character" w:customStyle="1" w:styleId="Heading2Char">
    <w:name w:val="Heading 2 Char"/>
    <w:link w:val="Heading2"/>
    <w:uiPriority w:val="9"/>
    <w:rsid w:val="00DA0C7B"/>
    <w:rPr>
      <w:sz w:val="24"/>
      <w:szCs w:val="24"/>
      <w:u w:val="single"/>
    </w:rPr>
  </w:style>
  <w:style w:type="paragraph" w:styleId="Header">
    <w:name w:val="header"/>
    <w:basedOn w:val="Normal"/>
    <w:link w:val="HeaderChar"/>
    <w:uiPriority w:val="99"/>
    <w:rsid w:val="00E53520"/>
    <w:pPr>
      <w:tabs>
        <w:tab w:val="center" w:pos="4320"/>
        <w:tab w:val="right" w:pos="8640"/>
      </w:tabs>
    </w:pPr>
  </w:style>
  <w:style w:type="character" w:customStyle="1" w:styleId="HeaderChar">
    <w:name w:val="Header Char"/>
    <w:link w:val="Header"/>
    <w:uiPriority w:val="99"/>
    <w:rsid w:val="00B117E6"/>
    <w:rPr>
      <w:sz w:val="24"/>
      <w:szCs w:val="24"/>
    </w:rPr>
  </w:style>
  <w:style w:type="paragraph" w:styleId="Footer">
    <w:name w:val="footer"/>
    <w:basedOn w:val="Normal"/>
    <w:link w:val="FooterChar"/>
    <w:uiPriority w:val="99"/>
    <w:rsid w:val="00E53520"/>
    <w:pPr>
      <w:tabs>
        <w:tab w:val="center" w:pos="4320"/>
        <w:tab w:val="right" w:pos="8640"/>
      </w:tabs>
    </w:pPr>
  </w:style>
  <w:style w:type="character" w:customStyle="1" w:styleId="FooterChar">
    <w:name w:val="Footer Char"/>
    <w:link w:val="Footer"/>
    <w:uiPriority w:val="99"/>
    <w:rsid w:val="00DA0C7B"/>
    <w:rPr>
      <w:sz w:val="24"/>
      <w:szCs w:val="24"/>
    </w:rPr>
  </w:style>
  <w:style w:type="paragraph" w:styleId="BodyText">
    <w:name w:val="Body Text"/>
    <w:basedOn w:val="Normal"/>
    <w:link w:val="BodyTextChar"/>
    <w:rsid w:val="00E53520"/>
    <w:pPr>
      <w:jc w:val="center"/>
    </w:pPr>
    <w:rPr>
      <w:rFonts w:ascii="Palatino Linotype" w:hAnsi="Palatino Linotype"/>
    </w:rPr>
  </w:style>
  <w:style w:type="character" w:styleId="PageNumber">
    <w:name w:val="page number"/>
    <w:basedOn w:val="DefaultParagraphFont"/>
    <w:rsid w:val="00E53520"/>
  </w:style>
  <w:style w:type="paragraph" w:styleId="Title">
    <w:name w:val="Title"/>
    <w:basedOn w:val="Normal"/>
    <w:qFormat/>
    <w:rsid w:val="00E53520"/>
    <w:pPr>
      <w:jc w:val="center"/>
    </w:pPr>
    <w:rPr>
      <w:rFonts w:ascii="Palatino Linotype" w:hAnsi="Palatino Linotype"/>
      <w:b/>
    </w:rPr>
  </w:style>
  <w:style w:type="paragraph" w:styleId="BalloonText">
    <w:name w:val="Balloon Text"/>
    <w:basedOn w:val="Normal"/>
    <w:link w:val="BalloonTextChar"/>
    <w:uiPriority w:val="99"/>
    <w:semiHidden/>
    <w:rsid w:val="00D365CE"/>
    <w:rPr>
      <w:rFonts w:ascii="Tahoma" w:hAnsi="Tahoma"/>
      <w:sz w:val="16"/>
      <w:szCs w:val="16"/>
    </w:rPr>
  </w:style>
  <w:style w:type="character" w:customStyle="1" w:styleId="BalloonTextChar">
    <w:name w:val="Balloon Text Char"/>
    <w:link w:val="BalloonText"/>
    <w:uiPriority w:val="99"/>
    <w:semiHidden/>
    <w:rsid w:val="00DA0C7B"/>
    <w:rPr>
      <w:rFonts w:ascii="Tahoma" w:hAnsi="Tahoma" w:cs="Tahoma"/>
      <w:sz w:val="16"/>
      <w:szCs w:val="16"/>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rsid w:val="003D28FF"/>
    <w:rPr>
      <w:sz w:val="22"/>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rsid w:val="003D28FF"/>
    <w:rPr>
      <w:sz w:val="22"/>
    </w:rPr>
  </w:style>
  <w:style w:type="character" w:styleId="FootnoteReference">
    <w:name w:val="footnote reference"/>
    <w:uiPriority w:val="99"/>
    <w:rsid w:val="00022311"/>
    <w:rPr>
      <w:vertAlign w:val="superscript"/>
    </w:rPr>
  </w:style>
  <w:style w:type="paragraph" w:customStyle="1" w:styleId="plain">
    <w:name w:val="plain"/>
    <w:basedOn w:val="Normal"/>
    <w:rsid w:val="009048E8"/>
    <w:pPr>
      <w:spacing w:line="240" w:lineRule="atLeast"/>
    </w:pPr>
    <w:rPr>
      <w:sz w:val="26"/>
      <w:szCs w:val="20"/>
    </w:rPr>
  </w:style>
  <w:style w:type="paragraph" w:styleId="TOC1">
    <w:name w:val="toc 1"/>
    <w:basedOn w:val="Normal"/>
    <w:next w:val="Normal"/>
    <w:autoRedefine/>
    <w:uiPriority w:val="39"/>
    <w:qFormat/>
    <w:rsid w:val="000E101D"/>
    <w:pPr>
      <w:spacing w:before="360"/>
    </w:pPr>
    <w:rPr>
      <w:rFonts w:ascii="Cambria" w:hAnsi="Cambria"/>
      <w:b/>
      <w:bCs/>
      <w:caps/>
    </w:rPr>
  </w:style>
  <w:style w:type="paragraph" w:styleId="TOC2">
    <w:name w:val="toc 2"/>
    <w:basedOn w:val="Normal"/>
    <w:next w:val="Normal"/>
    <w:autoRedefine/>
    <w:uiPriority w:val="39"/>
    <w:qFormat/>
    <w:rsid w:val="002C5025"/>
    <w:pPr>
      <w:spacing w:before="240"/>
    </w:pPr>
    <w:rPr>
      <w:rFonts w:ascii="Calibri" w:hAnsi="Calibri" w:cs="Calibri"/>
      <w:b/>
      <w:bCs/>
      <w:sz w:val="20"/>
      <w:szCs w:val="20"/>
    </w:rPr>
  </w:style>
  <w:style w:type="paragraph" w:styleId="TOC3">
    <w:name w:val="toc 3"/>
    <w:basedOn w:val="Normal"/>
    <w:next w:val="Normal"/>
    <w:autoRedefine/>
    <w:uiPriority w:val="39"/>
    <w:qFormat/>
    <w:rsid w:val="002C5025"/>
    <w:pPr>
      <w:ind w:left="240"/>
    </w:pPr>
    <w:rPr>
      <w:rFonts w:ascii="Calibri" w:hAnsi="Calibri" w:cs="Calibri"/>
      <w:sz w:val="20"/>
      <w:szCs w:val="20"/>
    </w:rPr>
  </w:style>
  <w:style w:type="paragraph" w:styleId="TOC4">
    <w:name w:val="toc 4"/>
    <w:basedOn w:val="Normal"/>
    <w:next w:val="Normal"/>
    <w:autoRedefine/>
    <w:uiPriority w:val="39"/>
    <w:rsid w:val="00266C55"/>
    <w:pPr>
      <w:tabs>
        <w:tab w:val="left" w:pos="960"/>
        <w:tab w:val="right" w:leader="dot" w:pos="8630"/>
      </w:tabs>
      <w:spacing w:line="264" w:lineRule="auto"/>
      <w:ind w:left="475"/>
    </w:pPr>
    <w:rPr>
      <w:rFonts w:ascii="Calibri" w:hAnsi="Calibri" w:cs="Calibri"/>
      <w:sz w:val="20"/>
      <w:szCs w:val="20"/>
    </w:rPr>
  </w:style>
  <w:style w:type="paragraph" w:styleId="TOC5">
    <w:name w:val="toc 5"/>
    <w:basedOn w:val="Normal"/>
    <w:next w:val="Normal"/>
    <w:autoRedefine/>
    <w:uiPriority w:val="39"/>
    <w:rsid w:val="002C5025"/>
    <w:pPr>
      <w:ind w:left="720"/>
    </w:pPr>
    <w:rPr>
      <w:rFonts w:ascii="Calibri" w:hAnsi="Calibri" w:cs="Calibri"/>
      <w:sz w:val="20"/>
      <w:szCs w:val="20"/>
    </w:rPr>
  </w:style>
  <w:style w:type="paragraph" w:styleId="TOC6">
    <w:name w:val="toc 6"/>
    <w:basedOn w:val="Normal"/>
    <w:next w:val="Normal"/>
    <w:autoRedefine/>
    <w:semiHidden/>
    <w:rsid w:val="002C5025"/>
    <w:pPr>
      <w:ind w:left="960"/>
    </w:pPr>
    <w:rPr>
      <w:rFonts w:ascii="Calibri" w:hAnsi="Calibri" w:cs="Calibri"/>
      <w:sz w:val="20"/>
      <w:szCs w:val="20"/>
    </w:rPr>
  </w:style>
  <w:style w:type="paragraph" w:styleId="TOC7">
    <w:name w:val="toc 7"/>
    <w:basedOn w:val="Normal"/>
    <w:next w:val="Normal"/>
    <w:autoRedefine/>
    <w:semiHidden/>
    <w:rsid w:val="002C5025"/>
    <w:pPr>
      <w:ind w:left="1200"/>
    </w:pPr>
    <w:rPr>
      <w:rFonts w:ascii="Calibri" w:hAnsi="Calibri" w:cs="Calibri"/>
      <w:sz w:val="20"/>
      <w:szCs w:val="20"/>
    </w:rPr>
  </w:style>
  <w:style w:type="paragraph" w:styleId="TOC8">
    <w:name w:val="toc 8"/>
    <w:basedOn w:val="Normal"/>
    <w:next w:val="Normal"/>
    <w:autoRedefine/>
    <w:semiHidden/>
    <w:rsid w:val="002C5025"/>
    <w:pPr>
      <w:ind w:left="1440"/>
    </w:pPr>
    <w:rPr>
      <w:rFonts w:ascii="Calibri" w:hAnsi="Calibri" w:cs="Calibri"/>
      <w:sz w:val="20"/>
      <w:szCs w:val="20"/>
    </w:rPr>
  </w:style>
  <w:style w:type="paragraph" w:styleId="TOC9">
    <w:name w:val="toc 9"/>
    <w:basedOn w:val="Normal"/>
    <w:next w:val="Normal"/>
    <w:autoRedefine/>
    <w:semiHidden/>
    <w:rsid w:val="002C5025"/>
    <w:pPr>
      <w:ind w:left="1680"/>
    </w:pPr>
    <w:rPr>
      <w:rFonts w:ascii="Calibri" w:hAnsi="Calibri" w:cs="Calibri"/>
      <w:sz w:val="20"/>
      <w:szCs w:val="20"/>
    </w:rPr>
  </w:style>
  <w:style w:type="character" w:styleId="Hyperlink">
    <w:name w:val="Hyperlink"/>
    <w:uiPriority w:val="99"/>
    <w:rsid w:val="002C5025"/>
    <w:rPr>
      <w:color w:val="0000FF"/>
      <w:u w:val="single"/>
    </w:rPr>
  </w:style>
  <w:style w:type="table" w:styleId="TableGrid">
    <w:name w:val="Table Grid"/>
    <w:basedOn w:val="TableNormal"/>
    <w:uiPriority w:val="59"/>
    <w:rsid w:val="002A6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367FCD"/>
    <w:pPr>
      <w:spacing w:after="120" w:line="480" w:lineRule="auto"/>
    </w:pPr>
    <w:rPr>
      <w:rFonts w:ascii="Palatino Linotype" w:hAnsi="Palatino Linotype"/>
      <w:szCs w:val="12"/>
    </w:rPr>
  </w:style>
  <w:style w:type="character" w:customStyle="1" w:styleId="RCWSLText">
    <w:name w:val="RCWSLText"/>
    <w:rsid w:val="00F85CBB"/>
    <w:rPr>
      <w:rFonts w:ascii="Courier New" w:hAnsi="Courier New" w:cs="Courier New"/>
      <w:sz w:val="24"/>
      <w:szCs w:val="24"/>
      <w:lang w:val="en-US"/>
    </w:rPr>
  </w:style>
  <w:style w:type="paragraph" w:styleId="Quote">
    <w:name w:val="Quote"/>
    <w:basedOn w:val="Normal"/>
    <w:next w:val="Normal"/>
    <w:qFormat/>
    <w:rsid w:val="0029066B"/>
    <w:pPr>
      <w:spacing w:before="240"/>
      <w:ind w:left="1440" w:right="360"/>
    </w:pPr>
    <w:rPr>
      <w:spacing w:val="-2"/>
      <w:szCs w:val="20"/>
    </w:rPr>
  </w:style>
  <w:style w:type="paragraph" w:customStyle="1" w:styleId="ParNumber">
    <w:name w:val="ParNumber"/>
    <w:basedOn w:val="Normal"/>
    <w:rsid w:val="00882769"/>
    <w:pPr>
      <w:numPr>
        <w:numId w:val="6"/>
      </w:numPr>
      <w:tabs>
        <w:tab w:val="clear" w:pos="360"/>
        <w:tab w:val="left" w:pos="720"/>
      </w:tabs>
      <w:ind w:left="0" w:hanging="720"/>
    </w:pPr>
  </w:style>
  <w:style w:type="character" w:customStyle="1" w:styleId="iii-std1">
    <w:name w:val="iii-std1"/>
    <w:rsid w:val="006D528D"/>
    <w:rPr>
      <w:rFonts w:ascii="Arial" w:hAnsi="Arial" w:cs="Arial" w:hint="default"/>
      <w:sz w:val="18"/>
      <w:szCs w:val="18"/>
    </w:rPr>
  </w:style>
  <w:style w:type="paragraph" w:styleId="ListParagraph">
    <w:name w:val="List Paragraph"/>
    <w:basedOn w:val="Normal"/>
    <w:uiPriority w:val="34"/>
    <w:qFormat/>
    <w:rsid w:val="00BC3EC6"/>
    <w:pPr>
      <w:ind w:left="720"/>
    </w:pPr>
  </w:style>
  <w:style w:type="paragraph" w:customStyle="1" w:styleId="answer">
    <w:name w:val="answer"/>
    <w:basedOn w:val="Normal"/>
    <w:link w:val="answerChar"/>
    <w:rsid w:val="00DA0C7B"/>
    <w:pPr>
      <w:spacing w:before="120" w:after="120" w:line="480" w:lineRule="auto"/>
      <w:ind w:left="720" w:hanging="720"/>
    </w:pPr>
    <w:rPr>
      <w:rFonts w:eastAsia="SimSun"/>
      <w:sz w:val="20"/>
      <w:lang w:eastAsia="zh-CN"/>
    </w:rPr>
  </w:style>
  <w:style w:type="character" w:customStyle="1" w:styleId="answerChar">
    <w:name w:val="answer Char"/>
    <w:link w:val="answer"/>
    <w:rsid w:val="00DA0C7B"/>
    <w:rPr>
      <w:rFonts w:eastAsia="SimSun"/>
      <w:szCs w:val="24"/>
      <w:lang w:eastAsia="zh-CN"/>
    </w:rPr>
  </w:style>
  <w:style w:type="character" w:styleId="CommentReference">
    <w:name w:val="annotation reference"/>
    <w:uiPriority w:val="99"/>
    <w:unhideWhenUsed/>
    <w:rsid w:val="00DA0C7B"/>
    <w:rPr>
      <w:sz w:val="16"/>
      <w:szCs w:val="16"/>
    </w:rPr>
  </w:style>
  <w:style w:type="paragraph" w:styleId="CommentText">
    <w:name w:val="annotation text"/>
    <w:basedOn w:val="Normal"/>
    <w:link w:val="CommentTextChar"/>
    <w:uiPriority w:val="99"/>
    <w:unhideWhenUsed/>
    <w:rsid w:val="00DA0C7B"/>
    <w:pPr>
      <w:spacing w:after="200"/>
    </w:pPr>
    <w:rPr>
      <w:rFonts w:eastAsia="Calibri"/>
      <w:sz w:val="20"/>
      <w:szCs w:val="20"/>
    </w:rPr>
  </w:style>
  <w:style w:type="character" w:customStyle="1" w:styleId="CommentTextChar">
    <w:name w:val="Comment Text Char"/>
    <w:link w:val="CommentText"/>
    <w:uiPriority w:val="99"/>
    <w:rsid w:val="00DA0C7B"/>
    <w:rPr>
      <w:rFonts w:eastAsia="Calibri"/>
    </w:rPr>
  </w:style>
  <w:style w:type="character" w:customStyle="1" w:styleId="CommentSubjectChar">
    <w:name w:val="Comment Subject Char"/>
    <w:link w:val="CommentSubject"/>
    <w:uiPriority w:val="99"/>
    <w:rsid w:val="00DA0C7B"/>
    <w:rPr>
      <w:b/>
      <w:bCs/>
    </w:rPr>
  </w:style>
  <w:style w:type="paragraph" w:styleId="CommentSubject">
    <w:name w:val="annotation subject"/>
    <w:basedOn w:val="CommentText"/>
    <w:next w:val="CommentText"/>
    <w:link w:val="CommentSubjectChar"/>
    <w:uiPriority w:val="99"/>
    <w:unhideWhenUsed/>
    <w:rsid w:val="00DA0C7B"/>
    <w:rPr>
      <w:rFonts w:eastAsia="Times New Roman"/>
      <w:b/>
      <w:bCs/>
    </w:rPr>
  </w:style>
  <w:style w:type="character" w:customStyle="1" w:styleId="CommentSubjectChar1">
    <w:name w:val="Comment Subject Char1"/>
    <w:rsid w:val="00DA0C7B"/>
    <w:rPr>
      <w:rFonts w:eastAsia="Calibri"/>
      <w:b/>
      <w:bCs/>
    </w:rPr>
  </w:style>
  <w:style w:type="paragraph" w:styleId="Revision">
    <w:name w:val="Revision"/>
    <w:hidden/>
    <w:uiPriority w:val="99"/>
    <w:semiHidden/>
    <w:rsid w:val="00DA0C7B"/>
    <w:rPr>
      <w:rFonts w:eastAsia="Calibri"/>
      <w:sz w:val="26"/>
      <w:szCs w:val="26"/>
    </w:rPr>
  </w:style>
  <w:style w:type="paragraph" w:styleId="NoSpacing">
    <w:name w:val="No Spacing"/>
    <w:uiPriority w:val="1"/>
    <w:qFormat/>
    <w:rsid w:val="00DA0C7B"/>
    <w:rPr>
      <w:rFonts w:eastAsia="Calibri"/>
      <w:sz w:val="26"/>
      <w:szCs w:val="26"/>
    </w:rPr>
  </w:style>
  <w:style w:type="character" w:customStyle="1" w:styleId="Heading3Char">
    <w:name w:val="Heading 3 Char"/>
    <w:link w:val="Heading3"/>
    <w:rsid w:val="00D337A8"/>
    <w:rPr>
      <w:rFonts w:ascii="Cambria" w:eastAsia="Times New Roman" w:hAnsi="Cambria" w:cs="Times New Roman"/>
      <w:b/>
      <w:bCs/>
      <w:sz w:val="26"/>
      <w:szCs w:val="26"/>
    </w:rPr>
  </w:style>
  <w:style w:type="character" w:customStyle="1" w:styleId="BodyTextChar">
    <w:name w:val="Body Text Char"/>
    <w:link w:val="BodyText"/>
    <w:rsid w:val="00D337A8"/>
    <w:rPr>
      <w:rFonts w:ascii="Palatino Linotype" w:hAnsi="Palatino Linotype"/>
      <w:sz w:val="24"/>
      <w:szCs w:val="24"/>
    </w:rPr>
  </w:style>
  <w:style w:type="character" w:customStyle="1" w:styleId="Heading4Char">
    <w:name w:val="Heading 4 Char"/>
    <w:link w:val="Heading4"/>
    <w:rsid w:val="00D337A8"/>
    <w:rPr>
      <w:rFonts w:ascii="Calibri" w:eastAsia="Times New Roman" w:hAnsi="Calibri" w:cs="Times New Roman"/>
      <w:b/>
      <w:bCs/>
      <w:sz w:val="28"/>
      <w:szCs w:val="28"/>
    </w:rPr>
  </w:style>
  <w:style w:type="character" w:customStyle="1" w:styleId="Heading5Char">
    <w:name w:val="Heading 5 Char"/>
    <w:link w:val="Heading5"/>
    <w:rsid w:val="00D06480"/>
    <w:rPr>
      <w:rFonts w:ascii="Calibri" w:eastAsia="Times New Roman" w:hAnsi="Calibri" w:cs="Times New Roman"/>
      <w:b/>
      <w:bCs/>
      <w:i/>
      <w:iCs/>
      <w:sz w:val="26"/>
      <w:szCs w:val="26"/>
    </w:rPr>
  </w:style>
  <w:style w:type="paragraph" w:styleId="TOCHeading">
    <w:name w:val="TOC Heading"/>
    <w:basedOn w:val="Heading1"/>
    <w:next w:val="Normal"/>
    <w:uiPriority w:val="39"/>
    <w:semiHidden/>
    <w:unhideWhenUsed/>
    <w:qFormat/>
    <w:rsid w:val="00563AFA"/>
    <w:pPr>
      <w:keepLines/>
      <w:spacing w:before="480" w:after="0" w:line="276" w:lineRule="auto"/>
      <w:outlineLvl w:val="9"/>
    </w:pPr>
    <w:rPr>
      <w:rFonts w:ascii="Cambria" w:eastAsia="MS Gothic" w:hAnsi="Cambria"/>
      <w:color w:val="365F91"/>
      <w:kern w:val="0"/>
      <w:sz w:val="28"/>
      <w:szCs w:val="28"/>
      <w:lang w:eastAsia="ja-JP"/>
    </w:rPr>
  </w:style>
  <w:style w:type="character" w:styleId="PlaceholderText">
    <w:name w:val="Placeholder Text"/>
    <w:basedOn w:val="DefaultParagraphFont"/>
    <w:uiPriority w:val="99"/>
    <w:semiHidden/>
    <w:rsid w:val="0097233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8FF"/>
    <w:rPr>
      <w:sz w:val="24"/>
      <w:szCs w:val="24"/>
    </w:rPr>
  </w:style>
  <w:style w:type="paragraph" w:styleId="Heading1">
    <w:name w:val="heading 1"/>
    <w:basedOn w:val="Normal"/>
    <w:next w:val="Normal"/>
    <w:link w:val="Heading1Char"/>
    <w:uiPriority w:val="9"/>
    <w:qFormat/>
    <w:rsid w:val="009E297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9048E8"/>
    <w:pPr>
      <w:keepNext/>
      <w:jc w:val="center"/>
      <w:outlineLvl w:val="1"/>
    </w:pPr>
    <w:rPr>
      <w:u w:val="single"/>
    </w:rPr>
  </w:style>
  <w:style w:type="paragraph" w:styleId="Heading3">
    <w:name w:val="heading 3"/>
    <w:basedOn w:val="Normal"/>
    <w:next w:val="Normal"/>
    <w:link w:val="Heading3Char"/>
    <w:unhideWhenUsed/>
    <w:qFormat/>
    <w:rsid w:val="00D337A8"/>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D337A8"/>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D0648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C7B"/>
    <w:rPr>
      <w:rFonts w:ascii="Arial" w:hAnsi="Arial" w:cs="Arial"/>
      <w:b/>
      <w:bCs/>
      <w:kern w:val="32"/>
      <w:sz w:val="32"/>
      <w:szCs w:val="32"/>
    </w:rPr>
  </w:style>
  <w:style w:type="character" w:customStyle="1" w:styleId="Heading2Char">
    <w:name w:val="Heading 2 Char"/>
    <w:link w:val="Heading2"/>
    <w:uiPriority w:val="9"/>
    <w:rsid w:val="00DA0C7B"/>
    <w:rPr>
      <w:sz w:val="24"/>
      <w:szCs w:val="24"/>
      <w:u w:val="single"/>
    </w:rPr>
  </w:style>
  <w:style w:type="paragraph" w:styleId="Header">
    <w:name w:val="header"/>
    <w:basedOn w:val="Normal"/>
    <w:link w:val="HeaderChar"/>
    <w:uiPriority w:val="99"/>
    <w:rsid w:val="00E53520"/>
    <w:pPr>
      <w:tabs>
        <w:tab w:val="center" w:pos="4320"/>
        <w:tab w:val="right" w:pos="8640"/>
      </w:tabs>
    </w:pPr>
  </w:style>
  <w:style w:type="character" w:customStyle="1" w:styleId="HeaderChar">
    <w:name w:val="Header Char"/>
    <w:link w:val="Header"/>
    <w:uiPriority w:val="99"/>
    <w:rsid w:val="00B117E6"/>
    <w:rPr>
      <w:sz w:val="24"/>
      <w:szCs w:val="24"/>
    </w:rPr>
  </w:style>
  <w:style w:type="paragraph" w:styleId="Footer">
    <w:name w:val="footer"/>
    <w:basedOn w:val="Normal"/>
    <w:link w:val="FooterChar"/>
    <w:uiPriority w:val="99"/>
    <w:rsid w:val="00E53520"/>
    <w:pPr>
      <w:tabs>
        <w:tab w:val="center" w:pos="4320"/>
        <w:tab w:val="right" w:pos="8640"/>
      </w:tabs>
    </w:pPr>
  </w:style>
  <w:style w:type="character" w:customStyle="1" w:styleId="FooterChar">
    <w:name w:val="Footer Char"/>
    <w:link w:val="Footer"/>
    <w:uiPriority w:val="99"/>
    <w:rsid w:val="00DA0C7B"/>
    <w:rPr>
      <w:sz w:val="24"/>
      <w:szCs w:val="24"/>
    </w:rPr>
  </w:style>
  <w:style w:type="paragraph" w:styleId="BodyText">
    <w:name w:val="Body Text"/>
    <w:basedOn w:val="Normal"/>
    <w:link w:val="BodyTextChar"/>
    <w:rsid w:val="00E53520"/>
    <w:pPr>
      <w:jc w:val="center"/>
    </w:pPr>
    <w:rPr>
      <w:rFonts w:ascii="Palatino Linotype" w:hAnsi="Palatino Linotype"/>
    </w:rPr>
  </w:style>
  <w:style w:type="character" w:styleId="PageNumber">
    <w:name w:val="page number"/>
    <w:basedOn w:val="DefaultParagraphFont"/>
    <w:rsid w:val="00E53520"/>
  </w:style>
  <w:style w:type="paragraph" w:styleId="Title">
    <w:name w:val="Title"/>
    <w:basedOn w:val="Normal"/>
    <w:qFormat/>
    <w:rsid w:val="00E53520"/>
    <w:pPr>
      <w:jc w:val="center"/>
    </w:pPr>
    <w:rPr>
      <w:rFonts w:ascii="Palatino Linotype" w:hAnsi="Palatino Linotype"/>
      <w:b/>
    </w:rPr>
  </w:style>
  <w:style w:type="paragraph" w:styleId="BalloonText">
    <w:name w:val="Balloon Text"/>
    <w:basedOn w:val="Normal"/>
    <w:link w:val="BalloonTextChar"/>
    <w:uiPriority w:val="99"/>
    <w:semiHidden/>
    <w:rsid w:val="00D365CE"/>
    <w:rPr>
      <w:rFonts w:ascii="Tahoma" w:hAnsi="Tahoma"/>
      <w:sz w:val="16"/>
      <w:szCs w:val="16"/>
    </w:rPr>
  </w:style>
  <w:style w:type="character" w:customStyle="1" w:styleId="BalloonTextChar">
    <w:name w:val="Balloon Text Char"/>
    <w:link w:val="BalloonText"/>
    <w:uiPriority w:val="99"/>
    <w:semiHidden/>
    <w:rsid w:val="00DA0C7B"/>
    <w:rPr>
      <w:rFonts w:ascii="Tahoma" w:hAnsi="Tahoma" w:cs="Tahoma"/>
      <w:sz w:val="16"/>
      <w:szCs w:val="16"/>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rsid w:val="003D28FF"/>
    <w:rPr>
      <w:sz w:val="22"/>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rsid w:val="003D28FF"/>
    <w:rPr>
      <w:sz w:val="22"/>
    </w:rPr>
  </w:style>
  <w:style w:type="character" w:styleId="FootnoteReference">
    <w:name w:val="footnote reference"/>
    <w:uiPriority w:val="99"/>
    <w:rsid w:val="00022311"/>
    <w:rPr>
      <w:vertAlign w:val="superscript"/>
    </w:rPr>
  </w:style>
  <w:style w:type="paragraph" w:customStyle="1" w:styleId="plain">
    <w:name w:val="plain"/>
    <w:basedOn w:val="Normal"/>
    <w:rsid w:val="009048E8"/>
    <w:pPr>
      <w:spacing w:line="240" w:lineRule="atLeast"/>
    </w:pPr>
    <w:rPr>
      <w:sz w:val="26"/>
      <w:szCs w:val="20"/>
    </w:rPr>
  </w:style>
  <w:style w:type="paragraph" w:styleId="TOC1">
    <w:name w:val="toc 1"/>
    <w:basedOn w:val="Normal"/>
    <w:next w:val="Normal"/>
    <w:autoRedefine/>
    <w:uiPriority w:val="39"/>
    <w:qFormat/>
    <w:rsid w:val="000E101D"/>
    <w:pPr>
      <w:spacing w:before="360"/>
    </w:pPr>
    <w:rPr>
      <w:rFonts w:ascii="Cambria" w:hAnsi="Cambria"/>
      <w:b/>
      <w:bCs/>
      <w:caps/>
    </w:rPr>
  </w:style>
  <w:style w:type="paragraph" w:styleId="TOC2">
    <w:name w:val="toc 2"/>
    <w:basedOn w:val="Normal"/>
    <w:next w:val="Normal"/>
    <w:autoRedefine/>
    <w:uiPriority w:val="39"/>
    <w:qFormat/>
    <w:rsid w:val="002C5025"/>
    <w:pPr>
      <w:spacing w:before="240"/>
    </w:pPr>
    <w:rPr>
      <w:rFonts w:ascii="Calibri" w:hAnsi="Calibri" w:cs="Calibri"/>
      <w:b/>
      <w:bCs/>
      <w:sz w:val="20"/>
      <w:szCs w:val="20"/>
    </w:rPr>
  </w:style>
  <w:style w:type="paragraph" w:styleId="TOC3">
    <w:name w:val="toc 3"/>
    <w:basedOn w:val="Normal"/>
    <w:next w:val="Normal"/>
    <w:autoRedefine/>
    <w:uiPriority w:val="39"/>
    <w:qFormat/>
    <w:rsid w:val="002C5025"/>
    <w:pPr>
      <w:ind w:left="240"/>
    </w:pPr>
    <w:rPr>
      <w:rFonts w:ascii="Calibri" w:hAnsi="Calibri" w:cs="Calibri"/>
      <w:sz w:val="20"/>
      <w:szCs w:val="20"/>
    </w:rPr>
  </w:style>
  <w:style w:type="paragraph" w:styleId="TOC4">
    <w:name w:val="toc 4"/>
    <w:basedOn w:val="Normal"/>
    <w:next w:val="Normal"/>
    <w:autoRedefine/>
    <w:uiPriority w:val="39"/>
    <w:rsid w:val="00266C55"/>
    <w:pPr>
      <w:tabs>
        <w:tab w:val="left" w:pos="960"/>
        <w:tab w:val="right" w:leader="dot" w:pos="8630"/>
      </w:tabs>
      <w:spacing w:line="264" w:lineRule="auto"/>
      <w:ind w:left="475"/>
    </w:pPr>
    <w:rPr>
      <w:rFonts w:ascii="Calibri" w:hAnsi="Calibri" w:cs="Calibri"/>
      <w:sz w:val="20"/>
      <w:szCs w:val="20"/>
    </w:rPr>
  </w:style>
  <w:style w:type="paragraph" w:styleId="TOC5">
    <w:name w:val="toc 5"/>
    <w:basedOn w:val="Normal"/>
    <w:next w:val="Normal"/>
    <w:autoRedefine/>
    <w:uiPriority w:val="39"/>
    <w:rsid w:val="002C5025"/>
    <w:pPr>
      <w:ind w:left="720"/>
    </w:pPr>
    <w:rPr>
      <w:rFonts w:ascii="Calibri" w:hAnsi="Calibri" w:cs="Calibri"/>
      <w:sz w:val="20"/>
      <w:szCs w:val="20"/>
    </w:rPr>
  </w:style>
  <w:style w:type="paragraph" w:styleId="TOC6">
    <w:name w:val="toc 6"/>
    <w:basedOn w:val="Normal"/>
    <w:next w:val="Normal"/>
    <w:autoRedefine/>
    <w:semiHidden/>
    <w:rsid w:val="002C5025"/>
    <w:pPr>
      <w:ind w:left="960"/>
    </w:pPr>
    <w:rPr>
      <w:rFonts w:ascii="Calibri" w:hAnsi="Calibri" w:cs="Calibri"/>
      <w:sz w:val="20"/>
      <w:szCs w:val="20"/>
    </w:rPr>
  </w:style>
  <w:style w:type="paragraph" w:styleId="TOC7">
    <w:name w:val="toc 7"/>
    <w:basedOn w:val="Normal"/>
    <w:next w:val="Normal"/>
    <w:autoRedefine/>
    <w:semiHidden/>
    <w:rsid w:val="002C5025"/>
    <w:pPr>
      <w:ind w:left="1200"/>
    </w:pPr>
    <w:rPr>
      <w:rFonts w:ascii="Calibri" w:hAnsi="Calibri" w:cs="Calibri"/>
      <w:sz w:val="20"/>
      <w:szCs w:val="20"/>
    </w:rPr>
  </w:style>
  <w:style w:type="paragraph" w:styleId="TOC8">
    <w:name w:val="toc 8"/>
    <w:basedOn w:val="Normal"/>
    <w:next w:val="Normal"/>
    <w:autoRedefine/>
    <w:semiHidden/>
    <w:rsid w:val="002C5025"/>
    <w:pPr>
      <w:ind w:left="1440"/>
    </w:pPr>
    <w:rPr>
      <w:rFonts w:ascii="Calibri" w:hAnsi="Calibri" w:cs="Calibri"/>
      <w:sz w:val="20"/>
      <w:szCs w:val="20"/>
    </w:rPr>
  </w:style>
  <w:style w:type="paragraph" w:styleId="TOC9">
    <w:name w:val="toc 9"/>
    <w:basedOn w:val="Normal"/>
    <w:next w:val="Normal"/>
    <w:autoRedefine/>
    <w:semiHidden/>
    <w:rsid w:val="002C5025"/>
    <w:pPr>
      <w:ind w:left="1680"/>
    </w:pPr>
    <w:rPr>
      <w:rFonts w:ascii="Calibri" w:hAnsi="Calibri" w:cs="Calibri"/>
      <w:sz w:val="20"/>
      <w:szCs w:val="20"/>
    </w:rPr>
  </w:style>
  <w:style w:type="character" w:styleId="Hyperlink">
    <w:name w:val="Hyperlink"/>
    <w:uiPriority w:val="99"/>
    <w:rsid w:val="002C5025"/>
    <w:rPr>
      <w:color w:val="0000FF"/>
      <w:u w:val="single"/>
    </w:rPr>
  </w:style>
  <w:style w:type="table" w:styleId="TableGrid">
    <w:name w:val="Table Grid"/>
    <w:basedOn w:val="TableNormal"/>
    <w:uiPriority w:val="59"/>
    <w:rsid w:val="002A6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367FCD"/>
    <w:pPr>
      <w:spacing w:after="120" w:line="480" w:lineRule="auto"/>
    </w:pPr>
    <w:rPr>
      <w:rFonts w:ascii="Palatino Linotype" w:hAnsi="Palatino Linotype"/>
      <w:szCs w:val="12"/>
    </w:rPr>
  </w:style>
  <w:style w:type="character" w:customStyle="1" w:styleId="RCWSLText">
    <w:name w:val="RCWSLText"/>
    <w:rsid w:val="00F85CBB"/>
    <w:rPr>
      <w:rFonts w:ascii="Courier New" w:hAnsi="Courier New" w:cs="Courier New"/>
      <w:sz w:val="24"/>
      <w:szCs w:val="24"/>
      <w:lang w:val="en-US"/>
    </w:rPr>
  </w:style>
  <w:style w:type="paragraph" w:styleId="Quote">
    <w:name w:val="Quote"/>
    <w:basedOn w:val="Normal"/>
    <w:next w:val="Normal"/>
    <w:qFormat/>
    <w:rsid w:val="0029066B"/>
    <w:pPr>
      <w:spacing w:before="240"/>
      <w:ind w:left="1440" w:right="360"/>
    </w:pPr>
    <w:rPr>
      <w:spacing w:val="-2"/>
      <w:szCs w:val="20"/>
    </w:rPr>
  </w:style>
  <w:style w:type="paragraph" w:customStyle="1" w:styleId="ParNumber">
    <w:name w:val="ParNumber"/>
    <w:basedOn w:val="Normal"/>
    <w:rsid w:val="00882769"/>
    <w:pPr>
      <w:numPr>
        <w:numId w:val="6"/>
      </w:numPr>
      <w:tabs>
        <w:tab w:val="clear" w:pos="360"/>
        <w:tab w:val="left" w:pos="720"/>
      </w:tabs>
      <w:ind w:left="0" w:hanging="720"/>
    </w:pPr>
  </w:style>
  <w:style w:type="character" w:customStyle="1" w:styleId="iii-std1">
    <w:name w:val="iii-std1"/>
    <w:rsid w:val="006D528D"/>
    <w:rPr>
      <w:rFonts w:ascii="Arial" w:hAnsi="Arial" w:cs="Arial" w:hint="default"/>
      <w:sz w:val="18"/>
      <w:szCs w:val="18"/>
    </w:rPr>
  </w:style>
  <w:style w:type="paragraph" w:styleId="ListParagraph">
    <w:name w:val="List Paragraph"/>
    <w:basedOn w:val="Normal"/>
    <w:uiPriority w:val="34"/>
    <w:qFormat/>
    <w:rsid w:val="00BC3EC6"/>
    <w:pPr>
      <w:ind w:left="720"/>
    </w:pPr>
  </w:style>
  <w:style w:type="paragraph" w:customStyle="1" w:styleId="answer">
    <w:name w:val="answer"/>
    <w:basedOn w:val="Normal"/>
    <w:link w:val="answerChar"/>
    <w:rsid w:val="00DA0C7B"/>
    <w:pPr>
      <w:spacing w:before="120" w:after="120" w:line="480" w:lineRule="auto"/>
      <w:ind w:left="720" w:hanging="720"/>
    </w:pPr>
    <w:rPr>
      <w:rFonts w:eastAsia="SimSun"/>
      <w:sz w:val="20"/>
      <w:lang w:eastAsia="zh-CN"/>
    </w:rPr>
  </w:style>
  <w:style w:type="character" w:customStyle="1" w:styleId="answerChar">
    <w:name w:val="answer Char"/>
    <w:link w:val="answer"/>
    <w:rsid w:val="00DA0C7B"/>
    <w:rPr>
      <w:rFonts w:eastAsia="SimSun"/>
      <w:szCs w:val="24"/>
      <w:lang w:eastAsia="zh-CN"/>
    </w:rPr>
  </w:style>
  <w:style w:type="character" w:styleId="CommentReference">
    <w:name w:val="annotation reference"/>
    <w:uiPriority w:val="99"/>
    <w:unhideWhenUsed/>
    <w:rsid w:val="00DA0C7B"/>
    <w:rPr>
      <w:sz w:val="16"/>
      <w:szCs w:val="16"/>
    </w:rPr>
  </w:style>
  <w:style w:type="paragraph" w:styleId="CommentText">
    <w:name w:val="annotation text"/>
    <w:basedOn w:val="Normal"/>
    <w:link w:val="CommentTextChar"/>
    <w:uiPriority w:val="99"/>
    <w:unhideWhenUsed/>
    <w:rsid w:val="00DA0C7B"/>
    <w:pPr>
      <w:spacing w:after="200"/>
    </w:pPr>
    <w:rPr>
      <w:rFonts w:eastAsia="Calibri"/>
      <w:sz w:val="20"/>
      <w:szCs w:val="20"/>
    </w:rPr>
  </w:style>
  <w:style w:type="character" w:customStyle="1" w:styleId="CommentTextChar">
    <w:name w:val="Comment Text Char"/>
    <w:link w:val="CommentText"/>
    <w:uiPriority w:val="99"/>
    <w:rsid w:val="00DA0C7B"/>
    <w:rPr>
      <w:rFonts w:eastAsia="Calibri"/>
    </w:rPr>
  </w:style>
  <w:style w:type="character" w:customStyle="1" w:styleId="CommentSubjectChar">
    <w:name w:val="Comment Subject Char"/>
    <w:link w:val="CommentSubject"/>
    <w:uiPriority w:val="99"/>
    <w:rsid w:val="00DA0C7B"/>
    <w:rPr>
      <w:b/>
      <w:bCs/>
    </w:rPr>
  </w:style>
  <w:style w:type="paragraph" w:styleId="CommentSubject">
    <w:name w:val="annotation subject"/>
    <w:basedOn w:val="CommentText"/>
    <w:next w:val="CommentText"/>
    <w:link w:val="CommentSubjectChar"/>
    <w:uiPriority w:val="99"/>
    <w:unhideWhenUsed/>
    <w:rsid w:val="00DA0C7B"/>
    <w:rPr>
      <w:rFonts w:eastAsia="Times New Roman"/>
      <w:b/>
      <w:bCs/>
    </w:rPr>
  </w:style>
  <w:style w:type="character" w:customStyle="1" w:styleId="CommentSubjectChar1">
    <w:name w:val="Comment Subject Char1"/>
    <w:rsid w:val="00DA0C7B"/>
    <w:rPr>
      <w:rFonts w:eastAsia="Calibri"/>
      <w:b/>
      <w:bCs/>
    </w:rPr>
  </w:style>
  <w:style w:type="paragraph" w:styleId="Revision">
    <w:name w:val="Revision"/>
    <w:hidden/>
    <w:uiPriority w:val="99"/>
    <w:semiHidden/>
    <w:rsid w:val="00DA0C7B"/>
    <w:rPr>
      <w:rFonts w:eastAsia="Calibri"/>
      <w:sz w:val="26"/>
      <w:szCs w:val="26"/>
    </w:rPr>
  </w:style>
  <w:style w:type="paragraph" w:styleId="NoSpacing">
    <w:name w:val="No Spacing"/>
    <w:uiPriority w:val="1"/>
    <w:qFormat/>
    <w:rsid w:val="00DA0C7B"/>
    <w:rPr>
      <w:rFonts w:eastAsia="Calibri"/>
      <w:sz w:val="26"/>
      <w:szCs w:val="26"/>
    </w:rPr>
  </w:style>
  <w:style w:type="character" w:customStyle="1" w:styleId="Heading3Char">
    <w:name w:val="Heading 3 Char"/>
    <w:link w:val="Heading3"/>
    <w:rsid w:val="00D337A8"/>
    <w:rPr>
      <w:rFonts w:ascii="Cambria" w:eastAsia="Times New Roman" w:hAnsi="Cambria" w:cs="Times New Roman"/>
      <w:b/>
      <w:bCs/>
      <w:sz w:val="26"/>
      <w:szCs w:val="26"/>
    </w:rPr>
  </w:style>
  <w:style w:type="character" w:customStyle="1" w:styleId="BodyTextChar">
    <w:name w:val="Body Text Char"/>
    <w:link w:val="BodyText"/>
    <w:rsid w:val="00D337A8"/>
    <w:rPr>
      <w:rFonts w:ascii="Palatino Linotype" w:hAnsi="Palatino Linotype"/>
      <w:sz w:val="24"/>
      <w:szCs w:val="24"/>
    </w:rPr>
  </w:style>
  <w:style w:type="character" w:customStyle="1" w:styleId="Heading4Char">
    <w:name w:val="Heading 4 Char"/>
    <w:link w:val="Heading4"/>
    <w:rsid w:val="00D337A8"/>
    <w:rPr>
      <w:rFonts w:ascii="Calibri" w:eastAsia="Times New Roman" w:hAnsi="Calibri" w:cs="Times New Roman"/>
      <w:b/>
      <w:bCs/>
      <w:sz w:val="28"/>
      <w:szCs w:val="28"/>
    </w:rPr>
  </w:style>
  <w:style w:type="character" w:customStyle="1" w:styleId="Heading5Char">
    <w:name w:val="Heading 5 Char"/>
    <w:link w:val="Heading5"/>
    <w:rsid w:val="00D06480"/>
    <w:rPr>
      <w:rFonts w:ascii="Calibri" w:eastAsia="Times New Roman" w:hAnsi="Calibri" w:cs="Times New Roman"/>
      <w:b/>
      <w:bCs/>
      <w:i/>
      <w:iCs/>
      <w:sz w:val="26"/>
      <w:szCs w:val="26"/>
    </w:rPr>
  </w:style>
  <w:style w:type="paragraph" w:styleId="TOCHeading">
    <w:name w:val="TOC Heading"/>
    <w:basedOn w:val="Heading1"/>
    <w:next w:val="Normal"/>
    <w:uiPriority w:val="39"/>
    <w:semiHidden/>
    <w:unhideWhenUsed/>
    <w:qFormat/>
    <w:rsid w:val="00563AFA"/>
    <w:pPr>
      <w:keepLines/>
      <w:spacing w:before="480" w:after="0" w:line="276" w:lineRule="auto"/>
      <w:outlineLvl w:val="9"/>
    </w:pPr>
    <w:rPr>
      <w:rFonts w:ascii="Cambria" w:eastAsia="MS Gothic" w:hAnsi="Cambria"/>
      <w:color w:val="365F91"/>
      <w:kern w:val="0"/>
      <w:sz w:val="28"/>
      <w:szCs w:val="28"/>
      <w:lang w:eastAsia="ja-JP"/>
    </w:rPr>
  </w:style>
  <w:style w:type="character" w:styleId="PlaceholderText">
    <w:name w:val="Placeholder Text"/>
    <w:basedOn w:val="DefaultParagraphFont"/>
    <w:uiPriority w:val="99"/>
    <w:semiHidden/>
    <w:rsid w:val="009723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2011-05-12T07:00:00+00:00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C319783-D1AD-4344-B18D-22D3BA2230FC}"/>
</file>

<file path=customXml/itemProps2.xml><?xml version="1.0" encoding="utf-8"?>
<ds:datastoreItem xmlns:ds="http://schemas.openxmlformats.org/officeDocument/2006/customXml" ds:itemID="{87C6C27B-4A85-4CAB-B11B-602FE02598C8}"/>
</file>

<file path=customXml/itemProps3.xml><?xml version="1.0" encoding="utf-8"?>
<ds:datastoreItem xmlns:ds="http://schemas.openxmlformats.org/officeDocument/2006/customXml" ds:itemID="{5B614A6D-3841-4B59-B420-1C49975ADDC2}"/>
</file>

<file path=customXml/itemProps4.xml><?xml version="1.0" encoding="utf-8"?>
<ds:datastoreItem xmlns:ds="http://schemas.openxmlformats.org/officeDocument/2006/customXml" ds:itemID="{BB0296B4-948F-4EFA-BFBF-5DCA64AB2064}"/>
</file>

<file path=customXml/itemProps5.xml><?xml version="1.0" encoding="utf-8"?>
<ds:datastoreItem xmlns:ds="http://schemas.openxmlformats.org/officeDocument/2006/customXml" ds:itemID="{306A5840-F65C-44DA-8018-DAEC223F6E6C}"/>
</file>

<file path=docProps/app.xml><?xml version="1.0" encoding="utf-8"?>
<Properties xmlns="http://schemas.openxmlformats.org/officeDocument/2006/extended-properties" xmlns:vt="http://schemas.openxmlformats.org/officeDocument/2006/docPropsVTypes">
  <Template>Normal.dotm</Template>
  <TotalTime>0</TotalTime>
  <Pages>26</Pages>
  <Words>6737</Words>
  <Characters>36116</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42768</CharactersWithSpaces>
  <SharedDoc>false</SharedDoc>
  <HLinks>
    <vt:vector size="330" baseType="variant">
      <vt:variant>
        <vt:i4>1572914</vt:i4>
      </vt:variant>
      <vt:variant>
        <vt:i4>326</vt:i4>
      </vt:variant>
      <vt:variant>
        <vt:i4>0</vt:i4>
      </vt:variant>
      <vt:variant>
        <vt:i4>5</vt:i4>
      </vt:variant>
      <vt:variant>
        <vt:lpwstr/>
      </vt:variant>
      <vt:variant>
        <vt:lpwstr>_Toc286750308</vt:lpwstr>
      </vt:variant>
      <vt:variant>
        <vt:i4>1572914</vt:i4>
      </vt:variant>
      <vt:variant>
        <vt:i4>320</vt:i4>
      </vt:variant>
      <vt:variant>
        <vt:i4>0</vt:i4>
      </vt:variant>
      <vt:variant>
        <vt:i4>5</vt:i4>
      </vt:variant>
      <vt:variant>
        <vt:lpwstr/>
      </vt:variant>
      <vt:variant>
        <vt:lpwstr>_Toc286750307</vt:lpwstr>
      </vt:variant>
      <vt:variant>
        <vt:i4>1572914</vt:i4>
      </vt:variant>
      <vt:variant>
        <vt:i4>314</vt:i4>
      </vt:variant>
      <vt:variant>
        <vt:i4>0</vt:i4>
      </vt:variant>
      <vt:variant>
        <vt:i4>5</vt:i4>
      </vt:variant>
      <vt:variant>
        <vt:lpwstr/>
      </vt:variant>
      <vt:variant>
        <vt:lpwstr>_Toc286750306</vt:lpwstr>
      </vt:variant>
      <vt:variant>
        <vt:i4>1572914</vt:i4>
      </vt:variant>
      <vt:variant>
        <vt:i4>308</vt:i4>
      </vt:variant>
      <vt:variant>
        <vt:i4>0</vt:i4>
      </vt:variant>
      <vt:variant>
        <vt:i4>5</vt:i4>
      </vt:variant>
      <vt:variant>
        <vt:lpwstr/>
      </vt:variant>
      <vt:variant>
        <vt:lpwstr>_Toc286750305</vt:lpwstr>
      </vt:variant>
      <vt:variant>
        <vt:i4>1572914</vt:i4>
      </vt:variant>
      <vt:variant>
        <vt:i4>302</vt:i4>
      </vt:variant>
      <vt:variant>
        <vt:i4>0</vt:i4>
      </vt:variant>
      <vt:variant>
        <vt:i4>5</vt:i4>
      </vt:variant>
      <vt:variant>
        <vt:lpwstr/>
      </vt:variant>
      <vt:variant>
        <vt:lpwstr>_Toc286750304</vt:lpwstr>
      </vt:variant>
      <vt:variant>
        <vt:i4>1572914</vt:i4>
      </vt:variant>
      <vt:variant>
        <vt:i4>296</vt:i4>
      </vt:variant>
      <vt:variant>
        <vt:i4>0</vt:i4>
      </vt:variant>
      <vt:variant>
        <vt:i4>5</vt:i4>
      </vt:variant>
      <vt:variant>
        <vt:lpwstr/>
      </vt:variant>
      <vt:variant>
        <vt:lpwstr>_Toc286750303</vt:lpwstr>
      </vt:variant>
      <vt:variant>
        <vt:i4>1572914</vt:i4>
      </vt:variant>
      <vt:variant>
        <vt:i4>290</vt:i4>
      </vt:variant>
      <vt:variant>
        <vt:i4>0</vt:i4>
      </vt:variant>
      <vt:variant>
        <vt:i4>5</vt:i4>
      </vt:variant>
      <vt:variant>
        <vt:lpwstr/>
      </vt:variant>
      <vt:variant>
        <vt:lpwstr>_Toc286750302</vt:lpwstr>
      </vt:variant>
      <vt:variant>
        <vt:i4>1572914</vt:i4>
      </vt:variant>
      <vt:variant>
        <vt:i4>284</vt:i4>
      </vt:variant>
      <vt:variant>
        <vt:i4>0</vt:i4>
      </vt:variant>
      <vt:variant>
        <vt:i4>5</vt:i4>
      </vt:variant>
      <vt:variant>
        <vt:lpwstr/>
      </vt:variant>
      <vt:variant>
        <vt:lpwstr>_Toc286750301</vt:lpwstr>
      </vt:variant>
      <vt:variant>
        <vt:i4>1572914</vt:i4>
      </vt:variant>
      <vt:variant>
        <vt:i4>278</vt:i4>
      </vt:variant>
      <vt:variant>
        <vt:i4>0</vt:i4>
      </vt:variant>
      <vt:variant>
        <vt:i4>5</vt:i4>
      </vt:variant>
      <vt:variant>
        <vt:lpwstr/>
      </vt:variant>
      <vt:variant>
        <vt:lpwstr>_Toc286750300</vt:lpwstr>
      </vt:variant>
      <vt:variant>
        <vt:i4>1114163</vt:i4>
      </vt:variant>
      <vt:variant>
        <vt:i4>272</vt:i4>
      </vt:variant>
      <vt:variant>
        <vt:i4>0</vt:i4>
      </vt:variant>
      <vt:variant>
        <vt:i4>5</vt:i4>
      </vt:variant>
      <vt:variant>
        <vt:lpwstr/>
      </vt:variant>
      <vt:variant>
        <vt:lpwstr>_Toc286750299</vt:lpwstr>
      </vt:variant>
      <vt:variant>
        <vt:i4>1114163</vt:i4>
      </vt:variant>
      <vt:variant>
        <vt:i4>266</vt:i4>
      </vt:variant>
      <vt:variant>
        <vt:i4>0</vt:i4>
      </vt:variant>
      <vt:variant>
        <vt:i4>5</vt:i4>
      </vt:variant>
      <vt:variant>
        <vt:lpwstr/>
      </vt:variant>
      <vt:variant>
        <vt:lpwstr>_Toc286750298</vt:lpwstr>
      </vt:variant>
      <vt:variant>
        <vt:i4>1114163</vt:i4>
      </vt:variant>
      <vt:variant>
        <vt:i4>260</vt:i4>
      </vt:variant>
      <vt:variant>
        <vt:i4>0</vt:i4>
      </vt:variant>
      <vt:variant>
        <vt:i4>5</vt:i4>
      </vt:variant>
      <vt:variant>
        <vt:lpwstr/>
      </vt:variant>
      <vt:variant>
        <vt:lpwstr>_Toc286750297</vt:lpwstr>
      </vt:variant>
      <vt:variant>
        <vt:i4>1114163</vt:i4>
      </vt:variant>
      <vt:variant>
        <vt:i4>254</vt:i4>
      </vt:variant>
      <vt:variant>
        <vt:i4>0</vt:i4>
      </vt:variant>
      <vt:variant>
        <vt:i4>5</vt:i4>
      </vt:variant>
      <vt:variant>
        <vt:lpwstr/>
      </vt:variant>
      <vt:variant>
        <vt:lpwstr>_Toc286750296</vt:lpwstr>
      </vt:variant>
      <vt:variant>
        <vt:i4>1114163</vt:i4>
      </vt:variant>
      <vt:variant>
        <vt:i4>248</vt:i4>
      </vt:variant>
      <vt:variant>
        <vt:i4>0</vt:i4>
      </vt:variant>
      <vt:variant>
        <vt:i4>5</vt:i4>
      </vt:variant>
      <vt:variant>
        <vt:lpwstr/>
      </vt:variant>
      <vt:variant>
        <vt:lpwstr>_Toc286750295</vt:lpwstr>
      </vt:variant>
      <vt:variant>
        <vt:i4>1114163</vt:i4>
      </vt:variant>
      <vt:variant>
        <vt:i4>242</vt:i4>
      </vt:variant>
      <vt:variant>
        <vt:i4>0</vt:i4>
      </vt:variant>
      <vt:variant>
        <vt:i4>5</vt:i4>
      </vt:variant>
      <vt:variant>
        <vt:lpwstr/>
      </vt:variant>
      <vt:variant>
        <vt:lpwstr>_Toc286750294</vt:lpwstr>
      </vt:variant>
      <vt:variant>
        <vt:i4>1114163</vt:i4>
      </vt:variant>
      <vt:variant>
        <vt:i4>236</vt:i4>
      </vt:variant>
      <vt:variant>
        <vt:i4>0</vt:i4>
      </vt:variant>
      <vt:variant>
        <vt:i4>5</vt:i4>
      </vt:variant>
      <vt:variant>
        <vt:lpwstr/>
      </vt:variant>
      <vt:variant>
        <vt:lpwstr>_Toc286750293</vt:lpwstr>
      </vt:variant>
      <vt:variant>
        <vt:i4>1114163</vt:i4>
      </vt:variant>
      <vt:variant>
        <vt:i4>230</vt:i4>
      </vt:variant>
      <vt:variant>
        <vt:i4>0</vt:i4>
      </vt:variant>
      <vt:variant>
        <vt:i4>5</vt:i4>
      </vt:variant>
      <vt:variant>
        <vt:lpwstr/>
      </vt:variant>
      <vt:variant>
        <vt:lpwstr>_Toc286750292</vt:lpwstr>
      </vt:variant>
      <vt:variant>
        <vt:i4>1114163</vt:i4>
      </vt:variant>
      <vt:variant>
        <vt:i4>224</vt:i4>
      </vt:variant>
      <vt:variant>
        <vt:i4>0</vt:i4>
      </vt:variant>
      <vt:variant>
        <vt:i4>5</vt:i4>
      </vt:variant>
      <vt:variant>
        <vt:lpwstr/>
      </vt:variant>
      <vt:variant>
        <vt:lpwstr>_Toc286750291</vt:lpwstr>
      </vt:variant>
      <vt:variant>
        <vt:i4>1114163</vt:i4>
      </vt:variant>
      <vt:variant>
        <vt:i4>218</vt:i4>
      </vt:variant>
      <vt:variant>
        <vt:i4>0</vt:i4>
      </vt:variant>
      <vt:variant>
        <vt:i4>5</vt:i4>
      </vt:variant>
      <vt:variant>
        <vt:lpwstr/>
      </vt:variant>
      <vt:variant>
        <vt:lpwstr>_Toc286750290</vt:lpwstr>
      </vt:variant>
      <vt:variant>
        <vt:i4>1048627</vt:i4>
      </vt:variant>
      <vt:variant>
        <vt:i4>212</vt:i4>
      </vt:variant>
      <vt:variant>
        <vt:i4>0</vt:i4>
      </vt:variant>
      <vt:variant>
        <vt:i4>5</vt:i4>
      </vt:variant>
      <vt:variant>
        <vt:lpwstr/>
      </vt:variant>
      <vt:variant>
        <vt:lpwstr>_Toc286750289</vt:lpwstr>
      </vt:variant>
      <vt:variant>
        <vt:i4>1048627</vt:i4>
      </vt:variant>
      <vt:variant>
        <vt:i4>206</vt:i4>
      </vt:variant>
      <vt:variant>
        <vt:i4>0</vt:i4>
      </vt:variant>
      <vt:variant>
        <vt:i4>5</vt:i4>
      </vt:variant>
      <vt:variant>
        <vt:lpwstr/>
      </vt:variant>
      <vt:variant>
        <vt:lpwstr>_Toc286750288</vt:lpwstr>
      </vt:variant>
      <vt:variant>
        <vt:i4>1048627</vt:i4>
      </vt:variant>
      <vt:variant>
        <vt:i4>200</vt:i4>
      </vt:variant>
      <vt:variant>
        <vt:i4>0</vt:i4>
      </vt:variant>
      <vt:variant>
        <vt:i4>5</vt:i4>
      </vt:variant>
      <vt:variant>
        <vt:lpwstr/>
      </vt:variant>
      <vt:variant>
        <vt:lpwstr>_Toc286750287</vt:lpwstr>
      </vt:variant>
      <vt:variant>
        <vt:i4>1048627</vt:i4>
      </vt:variant>
      <vt:variant>
        <vt:i4>194</vt:i4>
      </vt:variant>
      <vt:variant>
        <vt:i4>0</vt:i4>
      </vt:variant>
      <vt:variant>
        <vt:i4>5</vt:i4>
      </vt:variant>
      <vt:variant>
        <vt:lpwstr/>
      </vt:variant>
      <vt:variant>
        <vt:lpwstr>_Toc286750286</vt:lpwstr>
      </vt:variant>
      <vt:variant>
        <vt:i4>1048627</vt:i4>
      </vt:variant>
      <vt:variant>
        <vt:i4>188</vt:i4>
      </vt:variant>
      <vt:variant>
        <vt:i4>0</vt:i4>
      </vt:variant>
      <vt:variant>
        <vt:i4>5</vt:i4>
      </vt:variant>
      <vt:variant>
        <vt:lpwstr/>
      </vt:variant>
      <vt:variant>
        <vt:lpwstr>_Toc286750285</vt:lpwstr>
      </vt:variant>
      <vt:variant>
        <vt:i4>1048627</vt:i4>
      </vt:variant>
      <vt:variant>
        <vt:i4>182</vt:i4>
      </vt:variant>
      <vt:variant>
        <vt:i4>0</vt:i4>
      </vt:variant>
      <vt:variant>
        <vt:i4>5</vt:i4>
      </vt:variant>
      <vt:variant>
        <vt:lpwstr/>
      </vt:variant>
      <vt:variant>
        <vt:lpwstr>_Toc286750284</vt:lpwstr>
      </vt:variant>
      <vt:variant>
        <vt:i4>1048627</vt:i4>
      </vt:variant>
      <vt:variant>
        <vt:i4>176</vt:i4>
      </vt:variant>
      <vt:variant>
        <vt:i4>0</vt:i4>
      </vt:variant>
      <vt:variant>
        <vt:i4>5</vt:i4>
      </vt:variant>
      <vt:variant>
        <vt:lpwstr/>
      </vt:variant>
      <vt:variant>
        <vt:lpwstr>_Toc286750283</vt:lpwstr>
      </vt:variant>
      <vt:variant>
        <vt:i4>1048627</vt:i4>
      </vt:variant>
      <vt:variant>
        <vt:i4>170</vt:i4>
      </vt:variant>
      <vt:variant>
        <vt:i4>0</vt:i4>
      </vt:variant>
      <vt:variant>
        <vt:i4>5</vt:i4>
      </vt:variant>
      <vt:variant>
        <vt:lpwstr/>
      </vt:variant>
      <vt:variant>
        <vt:lpwstr>_Toc286750282</vt:lpwstr>
      </vt:variant>
      <vt:variant>
        <vt:i4>1048627</vt:i4>
      </vt:variant>
      <vt:variant>
        <vt:i4>164</vt:i4>
      </vt:variant>
      <vt:variant>
        <vt:i4>0</vt:i4>
      </vt:variant>
      <vt:variant>
        <vt:i4>5</vt:i4>
      </vt:variant>
      <vt:variant>
        <vt:lpwstr/>
      </vt:variant>
      <vt:variant>
        <vt:lpwstr>_Toc286750281</vt:lpwstr>
      </vt:variant>
      <vt:variant>
        <vt:i4>1048627</vt:i4>
      </vt:variant>
      <vt:variant>
        <vt:i4>158</vt:i4>
      </vt:variant>
      <vt:variant>
        <vt:i4>0</vt:i4>
      </vt:variant>
      <vt:variant>
        <vt:i4>5</vt:i4>
      </vt:variant>
      <vt:variant>
        <vt:lpwstr/>
      </vt:variant>
      <vt:variant>
        <vt:lpwstr>_Toc286750280</vt:lpwstr>
      </vt:variant>
      <vt:variant>
        <vt:i4>2031667</vt:i4>
      </vt:variant>
      <vt:variant>
        <vt:i4>152</vt:i4>
      </vt:variant>
      <vt:variant>
        <vt:i4>0</vt:i4>
      </vt:variant>
      <vt:variant>
        <vt:i4>5</vt:i4>
      </vt:variant>
      <vt:variant>
        <vt:lpwstr/>
      </vt:variant>
      <vt:variant>
        <vt:lpwstr>_Toc286750279</vt:lpwstr>
      </vt:variant>
      <vt:variant>
        <vt:i4>2031667</vt:i4>
      </vt:variant>
      <vt:variant>
        <vt:i4>146</vt:i4>
      </vt:variant>
      <vt:variant>
        <vt:i4>0</vt:i4>
      </vt:variant>
      <vt:variant>
        <vt:i4>5</vt:i4>
      </vt:variant>
      <vt:variant>
        <vt:lpwstr/>
      </vt:variant>
      <vt:variant>
        <vt:lpwstr>_Toc286750278</vt:lpwstr>
      </vt:variant>
      <vt:variant>
        <vt:i4>2031667</vt:i4>
      </vt:variant>
      <vt:variant>
        <vt:i4>140</vt:i4>
      </vt:variant>
      <vt:variant>
        <vt:i4>0</vt:i4>
      </vt:variant>
      <vt:variant>
        <vt:i4>5</vt:i4>
      </vt:variant>
      <vt:variant>
        <vt:lpwstr/>
      </vt:variant>
      <vt:variant>
        <vt:lpwstr>_Toc286750277</vt:lpwstr>
      </vt:variant>
      <vt:variant>
        <vt:i4>2031667</vt:i4>
      </vt:variant>
      <vt:variant>
        <vt:i4>134</vt:i4>
      </vt:variant>
      <vt:variant>
        <vt:i4>0</vt:i4>
      </vt:variant>
      <vt:variant>
        <vt:i4>5</vt:i4>
      </vt:variant>
      <vt:variant>
        <vt:lpwstr/>
      </vt:variant>
      <vt:variant>
        <vt:lpwstr>_Toc286750276</vt:lpwstr>
      </vt:variant>
      <vt:variant>
        <vt:i4>2031667</vt:i4>
      </vt:variant>
      <vt:variant>
        <vt:i4>128</vt:i4>
      </vt:variant>
      <vt:variant>
        <vt:i4>0</vt:i4>
      </vt:variant>
      <vt:variant>
        <vt:i4>5</vt:i4>
      </vt:variant>
      <vt:variant>
        <vt:lpwstr/>
      </vt:variant>
      <vt:variant>
        <vt:lpwstr>_Toc286750275</vt:lpwstr>
      </vt:variant>
      <vt:variant>
        <vt:i4>2031667</vt:i4>
      </vt:variant>
      <vt:variant>
        <vt:i4>122</vt:i4>
      </vt:variant>
      <vt:variant>
        <vt:i4>0</vt:i4>
      </vt:variant>
      <vt:variant>
        <vt:i4>5</vt:i4>
      </vt:variant>
      <vt:variant>
        <vt:lpwstr/>
      </vt:variant>
      <vt:variant>
        <vt:lpwstr>_Toc286750274</vt:lpwstr>
      </vt:variant>
      <vt:variant>
        <vt:i4>2031667</vt:i4>
      </vt:variant>
      <vt:variant>
        <vt:i4>116</vt:i4>
      </vt:variant>
      <vt:variant>
        <vt:i4>0</vt:i4>
      </vt:variant>
      <vt:variant>
        <vt:i4>5</vt:i4>
      </vt:variant>
      <vt:variant>
        <vt:lpwstr/>
      </vt:variant>
      <vt:variant>
        <vt:lpwstr>_Toc286750273</vt:lpwstr>
      </vt:variant>
      <vt:variant>
        <vt:i4>2031667</vt:i4>
      </vt:variant>
      <vt:variant>
        <vt:i4>110</vt:i4>
      </vt:variant>
      <vt:variant>
        <vt:i4>0</vt:i4>
      </vt:variant>
      <vt:variant>
        <vt:i4>5</vt:i4>
      </vt:variant>
      <vt:variant>
        <vt:lpwstr/>
      </vt:variant>
      <vt:variant>
        <vt:lpwstr>_Toc286750272</vt:lpwstr>
      </vt:variant>
      <vt:variant>
        <vt:i4>2031667</vt:i4>
      </vt:variant>
      <vt:variant>
        <vt:i4>104</vt:i4>
      </vt:variant>
      <vt:variant>
        <vt:i4>0</vt:i4>
      </vt:variant>
      <vt:variant>
        <vt:i4>5</vt:i4>
      </vt:variant>
      <vt:variant>
        <vt:lpwstr/>
      </vt:variant>
      <vt:variant>
        <vt:lpwstr>_Toc286750271</vt:lpwstr>
      </vt:variant>
      <vt:variant>
        <vt:i4>2031667</vt:i4>
      </vt:variant>
      <vt:variant>
        <vt:i4>98</vt:i4>
      </vt:variant>
      <vt:variant>
        <vt:i4>0</vt:i4>
      </vt:variant>
      <vt:variant>
        <vt:i4>5</vt:i4>
      </vt:variant>
      <vt:variant>
        <vt:lpwstr/>
      </vt:variant>
      <vt:variant>
        <vt:lpwstr>_Toc286750270</vt:lpwstr>
      </vt:variant>
      <vt:variant>
        <vt:i4>1966131</vt:i4>
      </vt:variant>
      <vt:variant>
        <vt:i4>92</vt:i4>
      </vt:variant>
      <vt:variant>
        <vt:i4>0</vt:i4>
      </vt:variant>
      <vt:variant>
        <vt:i4>5</vt:i4>
      </vt:variant>
      <vt:variant>
        <vt:lpwstr/>
      </vt:variant>
      <vt:variant>
        <vt:lpwstr>_Toc286750269</vt:lpwstr>
      </vt:variant>
      <vt:variant>
        <vt:i4>1966131</vt:i4>
      </vt:variant>
      <vt:variant>
        <vt:i4>86</vt:i4>
      </vt:variant>
      <vt:variant>
        <vt:i4>0</vt:i4>
      </vt:variant>
      <vt:variant>
        <vt:i4>5</vt:i4>
      </vt:variant>
      <vt:variant>
        <vt:lpwstr/>
      </vt:variant>
      <vt:variant>
        <vt:lpwstr>_Toc286750268</vt:lpwstr>
      </vt:variant>
      <vt:variant>
        <vt:i4>1966131</vt:i4>
      </vt:variant>
      <vt:variant>
        <vt:i4>80</vt:i4>
      </vt:variant>
      <vt:variant>
        <vt:i4>0</vt:i4>
      </vt:variant>
      <vt:variant>
        <vt:i4>5</vt:i4>
      </vt:variant>
      <vt:variant>
        <vt:lpwstr/>
      </vt:variant>
      <vt:variant>
        <vt:lpwstr>_Toc286750267</vt:lpwstr>
      </vt:variant>
      <vt:variant>
        <vt:i4>1966131</vt:i4>
      </vt:variant>
      <vt:variant>
        <vt:i4>74</vt:i4>
      </vt:variant>
      <vt:variant>
        <vt:i4>0</vt:i4>
      </vt:variant>
      <vt:variant>
        <vt:i4>5</vt:i4>
      </vt:variant>
      <vt:variant>
        <vt:lpwstr/>
      </vt:variant>
      <vt:variant>
        <vt:lpwstr>_Toc286750266</vt:lpwstr>
      </vt:variant>
      <vt:variant>
        <vt:i4>1966131</vt:i4>
      </vt:variant>
      <vt:variant>
        <vt:i4>68</vt:i4>
      </vt:variant>
      <vt:variant>
        <vt:i4>0</vt:i4>
      </vt:variant>
      <vt:variant>
        <vt:i4>5</vt:i4>
      </vt:variant>
      <vt:variant>
        <vt:lpwstr/>
      </vt:variant>
      <vt:variant>
        <vt:lpwstr>_Toc286750265</vt:lpwstr>
      </vt:variant>
      <vt:variant>
        <vt:i4>1966131</vt:i4>
      </vt:variant>
      <vt:variant>
        <vt:i4>62</vt:i4>
      </vt:variant>
      <vt:variant>
        <vt:i4>0</vt:i4>
      </vt:variant>
      <vt:variant>
        <vt:i4>5</vt:i4>
      </vt:variant>
      <vt:variant>
        <vt:lpwstr/>
      </vt:variant>
      <vt:variant>
        <vt:lpwstr>_Toc286750264</vt:lpwstr>
      </vt:variant>
      <vt:variant>
        <vt:i4>1966131</vt:i4>
      </vt:variant>
      <vt:variant>
        <vt:i4>56</vt:i4>
      </vt:variant>
      <vt:variant>
        <vt:i4>0</vt:i4>
      </vt:variant>
      <vt:variant>
        <vt:i4>5</vt:i4>
      </vt:variant>
      <vt:variant>
        <vt:lpwstr/>
      </vt:variant>
      <vt:variant>
        <vt:lpwstr>_Toc286750263</vt:lpwstr>
      </vt:variant>
      <vt:variant>
        <vt:i4>1966131</vt:i4>
      </vt:variant>
      <vt:variant>
        <vt:i4>50</vt:i4>
      </vt:variant>
      <vt:variant>
        <vt:i4>0</vt:i4>
      </vt:variant>
      <vt:variant>
        <vt:i4>5</vt:i4>
      </vt:variant>
      <vt:variant>
        <vt:lpwstr/>
      </vt:variant>
      <vt:variant>
        <vt:lpwstr>_Toc286750262</vt:lpwstr>
      </vt:variant>
      <vt:variant>
        <vt:i4>1966131</vt:i4>
      </vt:variant>
      <vt:variant>
        <vt:i4>44</vt:i4>
      </vt:variant>
      <vt:variant>
        <vt:i4>0</vt:i4>
      </vt:variant>
      <vt:variant>
        <vt:i4>5</vt:i4>
      </vt:variant>
      <vt:variant>
        <vt:lpwstr/>
      </vt:variant>
      <vt:variant>
        <vt:lpwstr>_Toc286750261</vt:lpwstr>
      </vt:variant>
      <vt:variant>
        <vt:i4>1966131</vt:i4>
      </vt:variant>
      <vt:variant>
        <vt:i4>38</vt:i4>
      </vt:variant>
      <vt:variant>
        <vt:i4>0</vt:i4>
      </vt:variant>
      <vt:variant>
        <vt:i4>5</vt:i4>
      </vt:variant>
      <vt:variant>
        <vt:lpwstr/>
      </vt:variant>
      <vt:variant>
        <vt:lpwstr>_Toc286750260</vt:lpwstr>
      </vt:variant>
      <vt:variant>
        <vt:i4>1900595</vt:i4>
      </vt:variant>
      <vt:variant>
        <vt:i4>32</vt:i4>
      </vt:variant>
      <vt:variant>
        <vt:i4>0</vt:i4>
      </vt:variant>
      <vt:variant>
        <vt:i4>5</vt:i4>
      </vt:variant>
      <vt:variant>
        <vt:lpwstr/>
      </vt:variant>
      <vt:variant>
        <vt:lpwstr>_Toc286750258</vt:lpwstr>
      </vt:variant>
      <vt:variant>
        <vt:i4>1900595</vt:i4>
      </vt:variant>
      <vt:variant>
        <vt:i4>26</vt:i4>
      </vt:variant>
      <vt:variant>
        <vt:i4>0</vt:i4>
      </vt:variant>
      <vt:variant>
        <vt:i4>5</vt:i4>
      </vt:variant>
      <vt:variant>
        <vt:lpwstr/>
      </vt:variant>
      <vt:variant>
        <vt:lpwstr>_Toc286750257</vt:lpwstr>
      </vt:variant>
      <vt:variant>
        <vt:i4>1900595</vt:i4>
      </vt:variant>
      <vt:variant>
        <vt:i4>20</vt:i4>
      </vt:variant>
      <vt:variant>
        <vt:i4>0</vt:i4>
      </vt:variant>
      <vt:variant>
        <vt:i4>5</vt:i4>
      </vt:variant>
      <vt:variant>
        <vt:lpwstr/>
      </vt:variant>
      <vt:variant>
        <vt:lpwstr>_Toc286750256</vt:lpwstr>
      </vt:variant>
      <vt:variant>
        <vt:i4>1900595</vt:i4>
      </vt:variant>
      <vt:variant>
        <vt:i4>14</vt:i4>
      </vt:variant>
      <vt:variant>
        <vt:i4>0</vt:i4>
      </vt:variant>
      <vt:variant>
        <vt:i4>5</vt:i4>
      </vt:variant>
      <vt:variant>
        <vt:lpwstr/>
      </vt:variant>
      <vt:variant>
        <vt:lpwstr>_Toc286750255</vt:lpwstr>
      </vt:variant>
      <vt:variant>
        <vt:i4>1900595</vt:i4>
      </vt:variant>
      <vt:variant>
        <vt:i4>8</vt:i4>
      </vt:variant>
      <vt:variant>
        <vt:i4>0</vt:i4>
      </vt:variant>
      <vt:variant>
        <vt:i4>5</vt:i4>
      </vt:variant>
      <vt:variant>
        <vt:lpwstr/>
      </vt:variant>
      <vt:variant>
        <vt:lpwstr>_Toc286750254</vt:lpwstr>
      </vt:variant>
      <vt:variant>
        <vt:i4>1900595</vt:i4>
      </vt:variant>
      <vt:variant>
        <vt:i4>2</vt:i4>
      </vt:variant>
      <vt:variant>
        <vt:i4>0</vt:i4>
      </vt:variant>
      <vt:variant>
        <vt:i4>5</vt:i4>
      </vt:variant>
      <vt:variant>
        <vt:lpwstr/>
      </vt:variant>
      <vt:variant>
        <vt:lpwstr>_Toc286750253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2011-05-11T22:26:00Z</dcterms:created>
  <dcterms:modified xsi:type="dcterms:W3CDTF">2011-05-12T15:47:00Z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