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78D0F" w14:textId="77777777" w:rsidR="006429BA" w:rsidRPr="00D50B37" w:rsidRDefault="006429BA" w:rsidP="000C3EE2">
      <w:pPr>
        <w:pStyle w:val="Heading1"/>
      </w:pPr>
      <w:bookmarkStart w:id="0" w:name="_GoBack"/>
      <w:bookmarkEnd w:id="0"/>
      <w:r w:rsidRPr="00D50B37">
        <w:t>Commission Staff Request for Direct Benefit to Customer Information</w:t>
      </w:r>
    </w:p>
    <w:p w14:paraId="36678D10" w14:textId="77777777" w:rsidR="00D50B37" w:rsidRDefault="00933984" w:rsidP="000C5876">
      <w:r w:rsidRPr="00D50B37" w:rsidDel="00933984">
        <w:rPr>
          <w:rFonts w:cs="Arial"/>
          <w:b/>
        </w:rPr>
        <w:t xml:space="preserve"> </w:t>
      </w:r>
      <w:r w:rsidR="00D50B37">
        <w:t>(Extracted Excerpts from Commission Staff’ email of December 21, 2016.)</w:t>
      </w:r>
    </w:p>
    <w:p w14:paraId="36678D11" w14:textId="77777777" w:rsidR="001B08B7" w:rsidRPr="00933984" w:rsidRDefault="001B08B7" w:rsidP="001B08B7">
      <w:pPr>
        <w:rPr>
          <w:rFonts w:ascii="Times New Roman" w:hAnsi="Times New Roman"/>
        </w:rPr>
      </w:pPr>
      <w:r w:rsidRPr="00933984">
        <w:rPr>
          <w:rFonts w:ascii="Times New Roman" w:hAnsi="Times New Roman"/>
        </w:rPr>
        <w:t>Staff would like to clarify the issue that caused the delay of</w:t>
      </w:r>
      <w:r w:rsidRPr="00933984">
        <w:rPr>
          <w:rFonts w:ascii="Times New Roman" w:hAnsi="Times New Roman"/>
          <w:color w:val="1F497D"/>
        </w:rPr>
        <w:t xml:space="preserve"> </w:t>
      </w:r>
      <w:r w:rsidRPr="00933984">
        <w:rPr>
          <w:rFonts w:ascii="Times New Roman" w:hAnsi="Times New Roman"/>
        </w:rPr>
        <w:t>the conservation portion of the December 22 Open Meeting. We have found an issue with the ratio of incentives to total budget; our analysis shows that the ratio has been declining over the last few years among several of the utility conservation programs. Staff believes this percentage should be no lower than 60%</w:t>
      </w:r>
      <w:r w:rsidRPr="00933984">
        <w:rPr>
          <w:rFonts w:ascii="Times New Roman" w:hAnsi="Times New Roman"/>
          <w:color w:val="1F497D"/>
        </w:rPr>
        <w:t xml:space="preserve">. </w:t>
      </w:r>
      <w:r w:rsidRPr="00933984">
        <w:rPr>
          <w:rFonts w:ascii="Times New Roman" w:hAnsi="Times New Roman"/>
        </w:rPr>
        <w:t xml:space="preserve">Currently, for Washington utilities, there is a range of 45% to 70% of direct benefits (incentive) to administrative costs. </w:t>
      </w:r>
    </w:p>
    <w:p w14:paraId="36678D12" w14:textId="77777777" w:rsidR="001B08B7" w:rsidRPr="00933984" w:rsidRDefault="001B08B7" w:rsidP="001B08B7">
      <w:pPr>
        <w:rPr>
          <w:rFonts w:ascii="Times New Roman" w:hAnsi="Times New Roman"/>
          <w:color w:val="FFC000"/>
        </w:rPr>
      </w:pPr>
      <w:r w:rsidRPr="00933984">
        <w:rPr>
          <w:rFonts w:ascii="Times New Roman" w:hAnsi="Times New Roman"/>
        </w:rPr>
        <w:t>Based on the figures provided for Puget Sound Energy, staff has calculated a ratio of 68% for electric and 64% for gas.</w:t>
      </w:r>
    </w:p>
    <w:p w14:paraId="36678D13" w14:textId="77777777" w:rsidR="001B08B7" w:rsidRPr="00933984" w:rsidRDefault="001B08B7" w:rsidP="001B08B7">
      <w:pPr>
        <w:rPr>
          <w:rFonts w:ascii="Times New Roman" w:hAnsi="Times New Roman"/>
          <w:color w:val="1F497D"/>
        </w:rPr>
      </w:pPr>
      <w:r w:rsidRPr="00933984">
        <w:rPr>
          <w:rFonts w:ascii="Times New Roman" w:hAnsi="Times New Roman"/>
        </w:rPr>
        <w:t>In order to acknowledge the 2017 conservation plan, staff requests that each utility file a supplement to their current plan</w:t>
      </w:r>
      <w:r w:rsidRPr="00933984">
        <w:rPr>
          <w:rFonts w:ascii="Times New Roman" w:hAnsi="Times New Roman"/>
          <w:color w:val="1F497D"/>
        </w:rPr>
        <w:t xml:space="preserve">, </w:t>
      </w:r>
      <w:r w:rsidRPr="00933984">
        <w:rPr>
          <w:rFonts w:ascii="Times New Roman" w:hAnsi="Times New Roman"/>
        </w:rPr>
        <w:t>explaining the current budget status of their program by January 6.</w:t>
      </w:r>
    </w:p>
    <w:p w14:paraId="36678D14" w14:textId="77777777" w:rsidR="001B08B7" w:rsidRPr="00933984" w:rsidRDefault="001B08B7" w:rsidP="001B08B7">
      <w:pPr>
        <w:rPr>
          <w:rFonts w:ascii="Times New Roman" w:hAnsi="Times New Roman"/>
          <w:color w:val="1F497D"/>
        </w:rPr>
      </w:pPr>
      <w:r w:rsidRPr="00933984">
        <w:rPr>
          <w:rFonts w:ascii="Times New Roman" w:hAnsi="Times New Roman"/>
        </w:rPr>
        <w:t>Staff would like each company to provide costs associated with all “direct benefits to customers,” including but not limited to: customer incentives, rebates, bill credits, credits on purchases, payments to CAP agencies, free efficiency measures, and upstream incentives to partners or trade allies.</w:t>
      </w:r>
      <w:r w:rsidRPr="00933984">
        <w:rPr>
          <w:rFonts w:ascii="Times New Roman" w:hAnsi="Times New Roman"/>
          <w:color w:val="1F497D"/>
        </w:rPr>
        <w:t xml:space="preserve"> </w:t>
      </w:r>
      <w:r w:rsidRPr="00933984">
        <w:rPr>
          <w:rFonts w:ascii="Times New Roman" w:hAnsi="Times New Roman"/>
        </w:rPr>
        <w:t xml:space="preserve">This direct benefit number should be compared, at the portfolio level, to the total conservation budget. </w:t>
      </w:r>
    </w:p>
    <w:p w14:paraId="36678D15" w14:textId="77777777" w:rsidR="001B08B7" w:rsidRPr="00933984" w:rsidRDefault="001B08B7" w:rsidP="001B08B7">
      <w:pPr>
        <w:rPr>
          <w:rFonts w:ascii="Times New Roman" w:hAnsi="Times New Roman"/>
          <w:color w:val="1F497D"/>
        </w:rPr>
      </w:pPr>
      <w:r w:rsidRPr="00933984">
        <w:rPr>
          <w:rFonts w:ascii="Times New Roman" w:hAnsi="Times New Roman"/>
        </w:rPr>
        <w:t>The table below outlines the minimum amount of information we expect from each company. PSE has adequately provided this information as part of Exhibit 1.</w:t>
      </w:r>
    </w:p>
    <w:tbl>
      <w:tblPr>
        <w:tblW w:w="0" w:type="auto"/>
        <w:tblCellMar>
          <w:left w:w="0" w:type="dxa"/>
          <w:right w:w="0" w:type="dxa"/>
        </w:tblCellMar>
        <w:tblLook w:val="04A0" w:firstRow="1" w:lastRow="0" w:firstColumn="1" w:lastColumn="0" w:noHBand="0" w:noVBand="1"/>
      </w:tblPr>
      <w:tblGrid>
        <w:gridCol w:w="2219"/>
        <w:gridCol w:w="2215"/>
        <w:gridCol w:w="2168"/>
        <w:gridCol w:w="2168"/>
      </w:tblGrid>
      <w:tr w:rsidR="001B08B7" w:rsidRPr="00933984" w14:paraId="36678D1A" w14:textId="77777777" w:rsidTr="001B08B7">
        <w:tc>
          <w:tcPr>
            <w:tcW w:w="22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678D16" w14:textId="77777777" w:rsidR="001B08B7" w:rsidRPr="00933984" w:rsidRDefault="001B08B7" w:rsidP="001B08B7">
            <w:pPr>
              <w:spacing w:after="0" w:line="252" w:lineRule="auto"/>
              <w:rPr>
                <w:rFonts w:ascii="Times New Roman" w:hAnsi="Times New Roman"/>
              </w:rPr>
            </w:pPr>
          </w:p>
        </w:tc>
        <w:tc>
          <w:tcPr>
            <w:tcW w:w="22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678D17" w14:textId="77777777" w:rsidR="001B08B7" w:rsidRPr="00933984" w:rsidRDefault="001B08B7" w:rsidP="001B08B7">
            <w:pPr>
              <w:spacing w:after="0" w:line="252" w:lineRule="auto"/>
              <w:rPr>
                <w:rFonts w:ascii="Times New Roman" w:hAnsi="Times New Roman"/>
              </w:rPr>
            </w:pPr>
            <w:r w:rsidRPr="00933984">
              <w:rPr>
                <w:rFonts w:ascii="Times New Roman" w:hAnsi="Times New Roman"/>
              </w:rPr>
              <w:t>Direct Benefit to Customers</w:t>
            </w:r>
          </w:p>
        </w:tc>
        <w:tc>
          <w:tcPr>
            <w:tcW w:w="21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678D18" w14:textId="77777777" w:rsidR="001B08B7" w:rsidRPr="00933984" w:rsidRDefault="001B08B7" w:rsidP="001B08B7">
            <w:pPr>
              <w:spacing w:after="0" w:line="252" w:lineRule="auto"/>
              <w:rPr>
                <w:rFonts w:ascii="Times New Roman" w:hAnsi="Times New Roman"/>
              </w:rPr>
            </w:pPr>
            <w:r w:rsidRPr="00933984">
              <w:rPr>
                <w:rFonts w:ascii="Times New Roman" w:hAnsi="Times New Roman"/>
              </w:rPr>
              <w:t>Other Costs</w:t>
            </w:r>
          </w:p>
        </w:tc>
        <w:tc>
          <w:tcPr>
            <w:tcW w:w="21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678D19" w14:textId="77777777" w:rsidR="001B08B7" w:rsidRPr="00933984" w:rsidRDefault="001B08B7" w:rsidP="001B08B7">
            <w:pPr>
              <w:spacing w:after="0" w:line="252" w:lineRule="auto"/>
              <w:rPr>
                <w:rFonts w:ascii="Times New Roman" w:hAnsi="Times New Roman"/>
              </w:rPr>
            </w:pPr>
            <w:r w:rsidRPr="00933984">
              <w:rPr>
                <w:rFonts w:ascii="Times New Roman" w:hAnsi="Times New Roman"/>
              </w:rPr>
              <w:t>Total Utility Costs</w:t>
            </w:r>
          </w:p>
        </w:tc>
      </w:tr>
      <w:tr w:rsidR="001B08B7" w:rsidRPr="00933984" w14:paraId="36678D1F" w14:textId="77777777" w:rsidTr="001B08B7">
        <w:tc>
          <w:tcPr>
            <w:tcW w:w="2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78D1B" w14:textId="77777777" w:rsidR="001B08B7" w:rsidRPr="00933984" w:rsidRDefault="001B08B7" w:rsidP="001B08B7">
            <w:pPr>
              <w:spacing w:after="0" w:line="252" w:lineRule="auto"/>
              <w:rPr>
                <w:rFonts w:ascii="Times New Roman" w:hAnsi="Times New Roman"/>
              </w:rPr>
            </w:pPr>
            <w:r w:rsidRPr="00933984">
              <w:rPr>
                <w:rFonts w:ascii="Times New Roman" w:hAnsi="Times New Roman"/>
              </w:rPr>
              <w:t>Residential</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14:paraId="36678D1C"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1D"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1E" w14:textId="77777777" w:rsidR="001B08B7" w:rsidRPr="00933984" w:rsidRDefault="001B08B7" w:rsidP="001B08B7">
            <w:pPr>
              <w:spacing w:after="0" w:line="252" w:lineRule="auto"/>
              <w:rPr>
                <w:rFonts w:ascii="Times New Roman" w:hAnsi="Times New Roman"/>
              </w:rPr>
            </w:pPr>
          </w:p>
        </w:tc>
      </w:tr>
      <w:tr w:rsidR="001B08B7" w:rsidRPr="00933984" w14:paraId="36678D24" w14:textId="77777777" w:rsidTr="001B08B7">
        <w:tc>
          <w:tcPr>
            <w:tcW w:w="2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78D20" w14:textId="77777777" w:rsidR="001B08B7" w:rsidRPr="00933984" w:rsidRDefault="001B08B7" w:rsidP="001B08B7">
            <w:pPr>
              <w:spacing w:after="0" w:line="252" w:lineRule="auto"/>
              <w:rPr>
                <w:rFonts w:ascii="Times New Roman" w:hAnsi="Times New Roman"/>
              </w:rPr>
            </w:pPr>
            <w:r w:rsidRPr="00933984">
              <w:rPr>
                <w:rFonts w:ascii="Times New Roman" w:hAnsi="Times New Roman"/>
              </w:rPr>
              <w:t>Non-residential</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14:paraId="36678D21"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22"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23" w14:textId="77777777" w:rsidR="001B08B7" w:rsidRPr="00933984" w:rsidRDefault="001B08B7" w:rsidP="001B08B7">
            <w:pPr>
              <w:spacing w:after="0" w:line="252" w:lineRule="auto"/>
              <w:rPr>
                <w:rFonts w:ascii="Times New Roman" w:hAnsi="Times New Roman"/>
              </w:rPr>
            </w:pPr>
          </w:p>
        </w:tc>
      </w:tr>
      <w:tr w:rsidR="001B08B7" w:rsidRPr="00933984" w14:paraId="36678D29" w14:textId="77777777" w:rsidTr="001B08B7">
        <w:tc>
          <w:tcPr>
            <w:tcW w:w="2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78D25" w14:textId="77777777" w:rsidR="001B08B7" w:rsidRPr="00933984" w:rsidRDefault="001B08B7" w:rsidP="001B08B7">
            <w:pPr>
              <w:spacing w:after="0" w:line="252" w:lineRule="auto"/>
              <w:rPr>
                <w:rFonts w:ascii="Times New Roman" w:hAnsi="Times New Roman"/>
              </w:rPr>
            </w:pPr>
            <w:r w:rsidRPr="00933984">
              <w:rPr>
                <w:rFonts w:ascii="Times New Roman" w:hAnsi="Times New Roman"/>
              </w:rPr>
              <w:t>Low income</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14:paraId="36678D26"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27"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28" w14:textId="77777777" w:rsidR="001B08B7" w:rsidRPr="00933984" w:rsidRDefault="001B08B7" w:rsidP="001B08B7">
            <w:pPr>
              <w:spacing w:after="0" w:line="252" w:lineRule="auto"/>
              <w:rPr>
                <w:rFonts w:ascii="Times New Roman" w:hAnsi="Times New Roman"/>
              </w:rPr>
            </w:pPr>
          </w:p>
        </w:tc>
      </w:tr>
      <w:tr w:rsidR="001B08B7" w:rsidRPr="00933984" w14:paraId="36678D2E" w14:textId="77777777" w:rsidTr="001B08B7">
        <w:tc>
          <w:tcPr>
            <w:tcW w:w="2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78D2A" w14:textId="77777777" w:rsidR="001B08B7" w:rsidRPr="00933984" w:rsidRDefault="001B08B7" w:rsidP="001B08B7">
            <w:pPr>
              <w:spacing w:after="0" w:line="252" w:lineRule="auto"/>
              <w:rPr>
                <w:rFonts w:ascii="Times New Roman" w:hAnsi="Times New Roman"/>
                <w:color w:val="1F497D"/>
              </w:rPr>
            </w:pPr>
            <w:r w:rsidRPr="00933984">
              <w:rPr>
                <w:rFonts w:ascii="Times New Roman" w:hAnsi="Times New Roman"/>
              </w:rPr>
              <w:t>NEEA</w:t>
            </w:r>
            <w:r w:rsidRPr="00933984">
              <w:rPr>
                <w:rFonts w:ascii="Times New Roman" w:hAnsi="Times New Roman"/>
                <w:color w:val="1F497D"/>
              </w:rPr>
              <w:t xml:space="preserve"> </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14:paraId="36678D2B"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2C"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2D" w14:textId="77777777" w:rsidR="001B08B7" w:rsidRPr="00933984" w:rsidRDefault="001B08B7" w:rsidP="001B08B7">
            <w:pPr>
              <w:spacing w:after="0" w:line="252" w:lineRule="auto"/>
              <w:rPr>
                <w:rFonts w:ascii="Times New Roman" w:hAnsi="Times New Roman"/>
              </w:rPr>
            </w:pPr>
          </w:p>
        </w:tc>
      </w:tr>
      <w:tr w:rsidR="001B08B7" w:rsidRPr="00933984" w14:paraId="36678D33" w14:textId="77777777" w:rsidTr="001B08B7">
        <w:tc>
          <w:tcPr>
            <w:tcW w:w="2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78D2F" w14:textId="77777777" w:rsidR="001B08B7" w:rsidRPr="00933984" w:rsidRDefault="001B08B7" w:rsidP="001B08B7">
            <w:pPr>
              <w:spacing w:after="0" w:line="252" w:lineRule="auto"/>
              <w:rPr>
                <w:rFonts w:ascii="Times New Roman" w:hAnsi="Times New Roman"/>
              </w:rPr>
            </w:pPr>
            <w:r w:rsidRPr="00933984">
              <w:rPr>
                <w:rFonts w:ascii="Times New Roman" w:hAnsi="Times New Roman"/>
              </w:rPr>
              <w:t>Total</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14:paraId="36678D30"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31"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hideMark/>
          </w:tcPr>
          <w:p w14:paraId="36678D32" w14:textId="77777777" w:rsidR="001B08B7" w:rsidRPr="00933984" w:rsidRDefault="001B08B7" w:rsidP="001B08B7">
            <w:pPr>
              <w:spacing w:after="0" w:line="252" w:lineRule="auto"/>
              <w:rPr>
                <w:rFonts w:ascii="Times New Roman" w:hAnsi="Times New Roman"/>
              </w:rPr>
            </w:pPr>
            <w:r w:rsidRPr="00933984">
              <w:rPr>
                <w:rFonts w:ascii="Times New Roman" w:hAnsi="Times New Roman"/>
              </w:rPr>
              <w:t>*</w:t>
            </w:r>
          </w:p>
        </w:tc>
      </w:tr>
    </w:tbl>
    <w:p w14:paraId="36678D34" w14:textId="77777777" w:rsidR="001B08B7" w:rsidRPr="00933984" w:rsidRDefault="001B08B7" w:rsidP="001B08B7">
      <w:pPr>
        <w:pStyle w:val="ListParagraph"/>
        <w:rPr>
          <w:sz w:val="22"/>
          <w:szCs w:val="22"/>
        </w:rPr>
      </w:pPr>
      <w:r w:rsidRPr="00933984">
        <w:rPr>
          <w:sz w:val="22"/>
          <w:szCs w:val="22"/>
        </w:rPr>
        <w:t xml:space="preserve">*For gas programs, NEEA should be </w:t>
      </w:r>
      <w:r w:rsidRPr="00933984">
        <w:rPr>
          <w:sz w:val="22"/>
          <w:szCs w:val="22"/>
          <w:u w:val="single"/>
        </w:rPr>
        <w:t>excluded</w:t>
      </w:r>
      <w:r w:rsidRPr="00933984">
        <w:rPr>
          <w:sz w:val="22"/>
          <w:szCs w:val="22"/>
        </w:rPr>
        <w:t xml:space="preserve"> from the total budget at this time.</w:t>
      </w:r>
    </w:p>
    <w:p w14:paraId="36678D35" w14:textId="77777777" w:rsidR="001B08B7" w:rsidRPr="00933984" w:rsidRDefault="001B08B7" w:rsidP="001B08B7">
      <w:pPr>
        <w:rPr>
          <w:rFonts w:ascii="Times New Roman" w:hAnsi="Times New Roman"/>
        </w:rPr>
      </w:pPr>
      <w:r w:rsidRPr="00933984">
        <w:rPr>
          <w:rFonts w:ascii="Times New Roman" w:hAnsi="Times New Roman"/>
        </w:rPr>
        <w:t>Each company must explain why the current ratio is appropriate for your company’s conservation programs.</w:t>
      </w:r>
      <w:r w:rsidRPr="00933984">
        <w:rPr>
          <w:rFonts w:ascii="Times New Roman" w:hAnsi="Times New Roman"/>
          <w:color w:val="1F497D"/>
        </w:rPr>
        <w:t xml:space="preserve"> </w:t>
      </w:r>
      <w:r w:rsidRPr="00933984">
        <w:rPr>
          <w:rFonts w:ascii="Times New Roman" w:hAnsi="Times New Roman"/>
        </w:rPr>
        <w:t>We plan to place the 2017 conservation plans on the January 26 Open Meeting Agenda.</w:t>
      </w:r>
    </w:p>
    <w:p w14:paraId="36678D36" w14:textId="77777777" w:rsidR="000C5876" w:rsidRDefault="000C5876" w:rsidP="000C5876"/>
    <w:p w14:paraId="36678D37" w14:textId="77777777" w:rsidR="000C3EE2" w:rsidRPr="000C3EE2" w:rsidRDefault="000C3EE2" w:rsidP="000C3EE2">
      <w:pPr>
        <w:pStyle w:val="Heading1"/>
      </w:pPr>
      <w:r w:rsidRPr="000C3EE2">
        <w:lastRenderedPageBreak/>
        <w:t>PSE Response</w:t>
      </w:r>
    </w:p>
    <w:p w14:paraId="36678D38" w14:textId="77777777" w:rsidR="000C5876" w:rsidRPr="00301805" w:rsidRDefault="00C60D28" w:rsidP="000C3EE2">
      <w:pPr>
        <w:pStyle w:val="Heading2"/>
      </w:pPr>
      <w:r>
        <w:t>PSE’s Direct Benefit to Customer Ratio is Appropriate</w:t>
      </w:r>
    </w:p>
    <w:p w14:paraId="36678D39" w14:textId="77777777" w:rsidR="002D117A" w:rsidRDefault="002D117A" w:rsidP="000C3EE2">
      <w:r>
        <w:t>PSE</w:t>
      </w:r>
      <w:r w:rsidR="001B08B7">
        <w:t xml:space="preserve"> ensured a high degree of involvement and engagement with its Conservation Resource Advisory Group (“CRAG”) throughout the development of both its 2016-2017 Biennial Conservation Plan and the updates provided in its 2017 Annual Conservation Plan. PSE reviewed</w:t>
      </w:r>
      <w:r w:rsidR="001B08B7">
        <w:rPr>
          <w:rFonts w:cs="Arial"/>
        </w:rPr>
        <w:t>—</w:t>
      </w:r>
      <w:r w:rsidR="001B08B7">
        <w:t>at regular intervals throughout 2015 and 2016</w:t>
      </w:r>
      <w:r w:rsidR="001B08B7">
        <w:rPr>
          <w:rFonts w:cs="Arial"/>
        </w:rPr>
        <w:t>—</w:t>
      </w:r>
      <w:r w:rsidR="001B08B7">
        <w:t>the business and market climates affecting its conservation programs, and the adaptive management steps that Energy Efficiency program staff consistently made to their suite of offerings throughout the time period to ensure maximum customer participation and prudent management of its customers’ funding. PSE’s</w:t>
      </w:r>
      <w:r>
        <w:t xml:space="preserve"> </w:t>
      </w:r>
      <w:r w:rsidR="00301805">
        <w:t>estimated</w:t>
      </w:r>
      <w:r>
        <w:t xml:space="preserve"> Direct Benefit to Customer (“DBtC”) ratio </w:t>
      </w:r>
      <w:r w:rsidR="00301805">
        <w:t xml:space="preserve">for 2017 </w:t>
      </w:r>
      <w:r>
        <w:t xml:space="preserve">is appropriate. </w:t>
      </w:r>
      <w:r w:rsidR="00D50B37">
        <w:t>It is expected that the ratios remain fairly consistent, given the nature of</w:t>
      </w:r>
      <w:r w:rsidR="00187A9B">
        <w:t xml:space="preserve"> the spectrum of Portfolio costs, discussed below.</w:t>
      </w:r>
    </w:p>
    <w:p w14:paraId="36678D3A" w14:textId="77777777" w:rsidR="006429BA" w:rsidRDefault="006429BA" w:rsidP="000C3EE2">
      <w:r>
        <w:t xml:space="preserve">PSE appreciates Commission staff’s observation that the elements comprising the table </w:t>
      </w:r>
      <w:r w:rsidR="001B08B7">
        <w:t xml:space="preserve">contained in their email request </w:t>
      </w:r>
      <w:r>
        <w:t>are already provided in its Exhibit 1: Savings and Budgets.</w:t>
      </w:r>
      <w:r w:rsidR="001B08B7">
        <w:t xml:space="preserve"> It should be pointed out that PSE has included this information since developing Exhibit 1 in 2011.</w:t>
      </w:r>
    </w:p>
    <w:p w14:paraId="36678D3B" w14:textId="77777777" w:rsidR="00D50B37" w:rsidRDefault="00D50B37" w:rsidP="000C3EE2">
      <w:r>
        <w:t xml:space="preserve">PSE provides the DBtC ratios, as requested in the </w:t>
      </w:r>
      <w:r w:rsidR="00187A9B">
        <w:t>below section “Reporting on Direct Benefit to Customer”</w:t>
      </w:r>
      <w:r>
        <w:t>.</w:t>
      </w:r>
    </w:p>
    <w:p w14:paraId="36678D3C" w14:textId="77777777" w:rsidR="002D0179" w:rsidRPr="002D0179" w:rsidRDefault="002D0179" w:rsidP="000C3EE2">
      <w:pPr>
        <w:pStyle w:val="Heading2"/>
      </w:pPr>
      <w:r w:rsidRPr="002D0179">
        <w:t>PSE’s Direct Benefit to Customer Background</w:t>
      </w:r>
    </w:p>
    <w:p w14:paraId="36678D3D" w14:textId="77777777" w:rsidR="000C5876" w:rsidRPr="003F14DB" w:rsidRDefault="00480FA4" w:rsidP="000C5876">
      <w:pPr>
        <w:rPr>
          <w:rFonts w:cs="Arial"/>
        </w:rPr>
      </w:pPr>
      <w:r>
        <w:rPr>
          <w:rFonts w:cs="Arial"/>
        </w:rPr>
        <w:t xml:space="preserve">All PSE customers—whether participating in Energy Efficiency programs or not—derive benefit from cost-effective Energy Efficiency programs through delaying the need for more expensive energy resources. </w:t>
      </w:r>
      <w:r w:rsidR="000C5876" w:rsidRPr="003F14DB">
        <w:rPr>
          <w:rFonts w:cs="Arial"/>
        </w:rPr>
        <w:t xml:space="preserve">It is important to </w:t>
      </w:r>
      <w:r w:rsidR="00BE1B2D">
        <w:rPr>
          <w:rFonts w:cs="Arial"/>
        </w:rPr>
        <w:t>clarify</w:t>
      </w:r>
      <w:r w:rsidR="000C5876" w:rsidRPr="003F14DB">
        <w:rPr>
          <w:rFonts w:cs="Arial"/>
        </w:rPr>
        <w:t xml:space="preserve"> that </w:t>
      </w:r>
      <w:r w:rsidR="00526CE6">
        <w:rPr>
          <w:rFonts w:cs="Arial"/>
        </w:rPr>
        <w:t xml:space="preserve">(1) </w:t>
      </w:r>
      <w:r w:rsidR="000C5876" w:rsidRPr="003F14DB">
        <w:rPr>
          <w:rFonts w:cs="Arial"/>
        </w:rPr>
        <w:t xml:space="preserve">PSE’s Direct Benefit to Customer (DBtC) metric represents the concept that </w:t>
      </w:r>
      <w:r w:rsidR="001B31CB">
        <w:rPr>
          <w:rFonts w:cs="Arial"/>
        </w:rPr>
        <w:t xml:space="preserve">participating </w:t>
      </w:r>
      <w:r w:rsidR="000C5876" w:rsidRPr="003F14DB">
        <w:rPr>
          <w:rFonts w:cs="Arial"/>
        </w:rPr>
        <w:t>customers derive benefits from PSE’s Energy Efficiency programs</w:t>
      </w:r>
      <w:r w:rsidR="00BE1B2D">
        <w:rPr>
          <w:rFonts w:cs="Arial"/>
        </w:rPr>
        <w:t xml:space="preserve"> other than simple remuneration, and </w:t>
      </w:r>
      <w:r w:rsidR="00526CE6">
        <w:rPr>
          <w:rFonts w:cs="Arial"/>
        </w:rPr>
        <w:t xml:space="preserve">(2) PSE </w:t>
      </w:r>
      <w:r w:rsidR="00BE1B2D">
        <w:rPr>
          <w:rFonts w:cs="Arial"/>
        </w:rPr>
        <w:t xml:space="preserve">deems </w:t>
      </w:r>
      <w:r w:rsidR="00526CE6">
        <w:rPr>
          <w:rFonts w:cs="Arial"/>
        </w:rPr>
        <w:t xml:space="preserve">that </w:t>
      </w:r>
      <w:r w:rsidR="001B31CB">
        <w:rPr>
          <w:rFonts w:cs="Arial"/>
        </w:rPr>
        <w:t xml:space="preserve">DBtC </w:t>
      </w:r>
      <w:r w:rsidR="00916D94">
        <w:rPr>
          <w:rFonts w:cs="Arial"/>
        </w:rPr>
        <w:t xml:space="preserve">is a conservative determination of that value. </w:t>
      </w:r>
      <w:r w:rsidR="00B6025A">
        <w:rPr>
          <w:rFonts w:cs="Arial"/>
        </w:rPr>
        <w:t>The metric is also intended to make the point that a simple “administrative versus incentives” ratio</w:t>
      </w:r>
      <w:r w:rsidR="00D75F31">
        <w:rPr>
          <w:rFonts w:cs="Arial"/>
        </w:rPr>
        <w:t xml:space="preserve"> is an incomplete analysis</w:t>
      </w:r>
      <w:r w:rsidR="00B6025A">
        <w:rPr>
          <w:rFonts w:cs="Arial"/>
        </w:rPr>
        <w:t>.</w:t>
      </w:r>
    </w:p>
    <w:p w14:paraId="36678D3E" w14:textId="77777777" w:rsidR="00BE1B2D" w:rsidRDefault="00127A7A" w:rsidP="00526CE6">
      <w:pPr>
        <w:numPr>
          <w:ilvl w:val="0"/>
          <w:numId w:val="12"/>
        </w:numPr>
        <w:rPr>
          <w:rFonts w:cs="Arial"/>
        </w:rPr>
      </w:pPr>
      <w:r>
        <w:rPr>
          <w:rFonts w:cs="Arial"/>
        </w:rPr>
        <w:t>One</w:t>
      </w:r>
      <w:r w:rsidR="000C5876" w:rsidRPr="003F14DB">
        <w:rPr>
          <w:rFonts w:cs="Arial"/>
        </w:rPr>
        <w:t xml:space="preserve"> example </w:t>
      </w:r>
      <w:r w:rsidR="00BE1B2D">
        <w:rPr>
          <w:rFonts w:cs="Arial"/>
        </w:rPr>
        <w:t xml:space="preserve">of </w:t>
      </w:r>
      <w:r w:rsidR="000E2E05">
        <w:rPr>
          <w:rFonts w:cs="Arial"/>
        </w:rPr>
        <w:t xml:space="preserve">customers deriving benefits beyond simple remuneration </w:t>
      </w:r>
      <w:r w:rsidR="000C5876" w:rsidRPr="003F14DB">
        <w:rPr>
          <w:rFonts w:cs="Arial"/>
        </w:rPr>
        <w:t xml:space="preserve">is PSE’s </w:t>
      </w:r>
      <w:r w:rsidR="00301805">
        <w:rPr>
          <w:rFonts w:cs="Arial"/>
        </w:rPr>
        <w:t xml:space="preserve">residential </w:t>
      </w:r>
      <w:r w:rsidR="000C5876" w:rsidRPr="003F14DB">
        <w:rPr>
          <w:rFonts w:cs="Arial"/>
        </w:rPr>
        <w:t>refriger</w:t>
      </w:r>
      <w:r>
        <w:rPr>
          <w:rFonts w:cs="Arial"/>
        </w:rPr>
        <w:t>ator decommissioning program.  The program offers a $35 incentive for qualifying customers. I</w:t>
      </w:r>
      <w:r w:rsidR="000C5876" w:rsidRPr="003F14DB">
        <w:rPr>
          <w:rFonts w:cs="Arial"/>
        </w:rPr>
        <w:t>n addit</w:t>
      </w:r>
      <w:r w:rsidR="00301805">
        <w:rPr>
          <w:rFonts w:cs="Arial"/>
        </w:rPr>
        <w:t xml:space="preserve">ion to a $35 incentive payment however, </w:t>
      </w:r>
      <w:r w:rsidR="000C5876" w:rsidRPr="003F14DB">
        <w:rPr>
          <w:rFonts w:cs="Arial"/>
        </w:rPr>
        <w:t xml:space="preserve">customers also receive the substantial </w:t>
      </w:r>
      <w:r>
        <w:rPr>
          <w:rFonts w:cs="Arial"/>
        </w:rPr>
        <w:t xml:space="preserve">intangible </w:t>
      </w:r>
      <w:r w:rsidR="000C5876" w:rsidRPr="003F14DB">
        <w:rPr>
          <w:rFonts w:cs="Arial"/>
        </w:rPr>
        <w:t xml:space="preserve">benefit of avoiding the </w:t>
      </w:r>
      <w:r w:rsidR="00301805">
        <w:rPr>
          <w:rFonts w:cs="Arial"/>
        </w:rPr>
        <w:t>costs associated with transporting their old refrigerator to the recycling plant or transfer station.</w:t>
      </w:r>
    </w:p>
    <w:p w14:paraId="36678D3F" w14:textId="77777777" w:rsidR="000E2E05" w:rsidRDefault="00301805" w:rsidP="000C5876">
      <w:pPr>
        <w:numPr>
          <w:ilvl w:val="0"/>
          <w:numId w:val="12"/>
        </w:numPr>
        <w:rPr>
          <w:rFonts w:cs="Arial"/>
        </w:rPr>
      </w:pPr>
      <w:r w:rsidRPr="001D3A73">
        <w:rPr>
          <w:rFonts w:cs="Arial"/>
        </w:rPr>
        <w:lastRenderedPageBreak/>
        <w:t xml:space="preserve">Customers also derive </w:t>
      </w:r>
      <w:r w:rsidR="000E2E05">
        <w:rPr>
          <w:rFonts w:cs="Arial"/>
        </w:rPr>
        <w:t xml:space="preserve">intangible </w:t>
      </w:r>
      <w:r w:rsidR="000C5876" w:rsidRPr="001D3A73">
        <w:rPr>
          <w:rFonts w:cs="Arial"/>
        </w:rPr>
        <w:t>benefit</w:t>
      </w:r>
      <w:r w:rsidRPr="001D3A73">
        <w:rPr>
          <w:rFonts w:cs="Arial"/>
        </w:rPr>
        <w:t>s</w:t>
      </w:r>
      <w:r w:rsidR="000C5876" w:rsidRPr="001D3A73">
        <w:rPr>
          <w:rFonts w:cs="Arial"/>
        </w:rPr>
        <w:t xml:space="preserve"> from their interactions with Energy Advisors, which often lead to Home Energy Assessments or the direct installation of measures.  Commercial customers derive a substantial benefit by working with Energy Efficiency Energy Management Engineers (EMEs), who perform evaluation, project management guidance, and verification tasks throughout the customer’s project</w:t>
      </w:r>
      <w:r w:rsidRPr="001D3A73">
        <w:rPr>
          <w:rFonts w:cs="Arial"/>
        </w:rPr>
        <w:t>, which can sometimes span over a year</w:t>
      </w:r>
      <w:r w:rsidR="000C5876" w:rsidRPr="001D3A73">
        <w:rPr>
          <w:rFonts w:cs="Arial"/>
        </w:rPr>
        <w:t>.</w:t>
      </w:r>
      <w:r w:rsidR="000E2E05">
        <w:rPr>
          <w:rFonts w:cs="Arial"/>
        </w:rPr>
        <w:t xml:space="preserve"> These elements also represent a direct benefit, although PSE excludes them from the DBtC calculation.</w:t>
      </w:r>
    </w:p>
    <w:p w14:paraId="36678D40" w14:textId="77777777" w:rsidR="000C5876" w:rsidRPr="000E2E05" w:rsidRDefault="000C5876" w:rsidP="000E2E05">
      <w:pPr>
        <w:ind w:left="720"/>
        <w:rPr>
          <w:rFonts w:cs="Arial"/>
        </w:rPr>
      </w:pPr>
      <w:r w:rsidRPr="000E2E05">
        <w:rPr>
          <w:rFonts w:cs="Arial"/>
        </w:rPr>
        <w:t>These intangible benefits also need to be considered when reviewing overall Portfolio budgets and actual expenditures.</w:t>
      </w:r>
      <w:r w:rsidR="003F14DB" w:rsidRPr="000E2E05">
        <w:rPr>
          <w:rFonts w:cs="Arial"/>
        </w:rPr>
        <w:t xml:space="preserve"> It isn’</w:t>
      </w:r>
      <w:r w:rsidR="00301805" w:rsidRPr="000E2E05">
        <w:rPr>
          <w:rFonts w:cs="Arial"/>
        </w:rPr>
        <w:t>t possible to quantify labor costs associated with the intangible benefits</w:t>
      </w:r>
      <w:r w:rsidR="003F14DB" w:rsidRPr="000E2E05">
        <w:rPr>
          <w:rFonts w:cs="Arial"/>
        </w:rPr>
        <w:t xml:space="preserve">, as the administrative burden to track, assimilate and report these activities would </w:t>
      </w:r>
      <w:r w:rsidR="00301805" w:rsidRPr="000E2E05">
        <w:rPr>
          <w:rFonts w:cs="Arial"/>
        </w:rPr>
        <w:t xml:space="preserve">be </w:t>
      </w:r>
      <w:r w:rsidR="003F14DB" w:rsidRPr="000E2E05">
        <w:rPr>
          <w:rFonts w:cs="Arial"/>
        </w:rPr>
        <w:t>unreasonable, and would result in many projects and programs becoming non-cost effective.</w:t>
      </w:r>
    </w:p>
    <w:p w14:paraId="36678D41" w14:textId="77777777" w:rsidR="002D0179" w:rsidRDefault="00A424F4" w:rsidP="002D0179">
      <w:pPr>
        <w:rPr>
          <w:rFonts w:cs="Arial"/>
        </w:rPr>
      </w:pPr>
      <w:r>
        <w:rPr>
          <w:rFonts w:cs="Arial"/>
        </w:rPr>
        <w:t>In</w:t>
      </w:r>
      <w:r w:rsidR="002D0179">
        <w:rPr>
          <w:rFonts w:cs="Arial"/>
        </w:rPr>
        <w:t xml:space="preserve"> varying degrees of detail, </w:t>
      </w:r>
      <w:r w:rsidR="002D0179" w:rsidRPr="003F14DB">
        <w:rPr>
          <w:rFonts w:cs="Arial"/>
        </w:rPr>
        <w:t xml:space="preserve">PSE has </w:t>
      </w:r>
      <w:r w:rsidR="002D0179">
        <w:rPr>
          <w:rFonts w:cs="Arial"/>
        </w:rPr>
        <w:t xml:space="preserve">tracked and </w:t>
      </w:r>
      <w:r w:rsidR="002D0179" w:rsidRPr="003F14DB">
        <w:rPr>
          <w:rFonts w:cs="Arial"/>
        </w:rPr>
        <w:t xml:space="preserve">discussed this in its </w:t>
      </w:r>
      <w:r w:rsidR="002D0179">
        <w:rPr>
          <w:rFonts w:cs="Arial"/>
        </w:rPr>
        <w:t xml:space="preserve">recent </w:t>
      </w:r>
      <w:r w:rsidR="002D0179" w:rsidRPr="003F14DB">
        <w:rPr>
          <w:rFonts w:cs="Arial"/>
        </w:rPr>
        <w:t>Annual Reports and Bienni</w:t>
      </w:r>
      <w:r w:rsidR="002D0179">
        <w:rPr>
          <w:rFonts w:cs="Arial"/>
        </w:rPr>
        <w:t>al Conservation Plans</w:t>
      </w:r>
      <w:r w:rsidR="002D0179" w:rsidRPr="003F14DB">
        <w:rPr>
          <w:rFonts w:cs="Arial"/>
        </w:rPr>
        <w:t>.</w:t>
      </w:r>
      <w:r w:rsidR="002D0179">
        <w:rPr>
          <w:rStyle w:val="FootnoteReference"/>
        </w:rPr>
        <w:footnoteReference w:id="1"/>
      </w:r>
    </w:p>
    <w:p w14:paraId="36678D42" w14:textId="77777777" w:rsidR="002D0179" w:rsidRPr="002D0179" w:rsidRDefault="002D0179" w:rsidP="000C3EE2">
      <w:pPr>
        <w:pStyle w:val="Heading2"/>
      </w:pPr>
      <w:r w:rsidRPr="002D0179">
        <w:t>Impacts on Direct Benefit to Customer Ratios</w:t>
      </w:r>
    </w:p>
    <w:p w14:paraId="36678D43" w14:textId="77777777" w:rsidR="00301805" w:rsidRDefault="00A424F4" w:rsidP="000C5876">
      <w:pPr>
        <w:rPr>
          <w:rFonts w:cs="Arial"/>
        </w:rPr>
      </w:pPr>
      <w:r>
        <w:rPr>
          <w:rFonts w:cs="Arial"/>
        </w:rPr>
        <w:t>Program staff</w:t>
      </w:r>
      <w:r w:rsidR="00301805">
        <w:rPr>
          <w:rFonts w:cs="Arial"/>
        </w:rPr>
        <w:t xml:space="preserve"> </w:t>
      </w:r>
      <w:r>
        <w:rPr>
          <w:rFonts w:cs="Arial"/>
        </w:rPr>
        <w:t>constantly analyze and manage</w:t>
      </w:r>
      <w:r w:rsidR="00301805">
        <w:rPr>
          <w:rFonts w:cs="Arial"/>
        </w:rPr>
        <w:t xml:space="preserve"> customer incentives</w:t>
      </w:r>
      <w:r>
        <w:rPr>
          <w:rFonts w:cs="Arial"/>
        </w:rPr>
        <w:t xml:space="preserve"> (rebates and custom grants) to maximize the greatest level of customer participation and impact the marketplace.</w:t>
      </w:r>
      <w:r w:rsidR="00301805">
        <w:rPr>
          <w:rFonts w:cs="Arial"/>
        </w:rPr>
        <w:t xml:space="preserve"> </w:t>
      </w:r>
      <w:r>
        <w:rPr>
          <w:rFonts w:cs="Arial"/>
        </w:rPr>
        <w:t xml:space="preserve">In addition to incentive levels, other key </w:t>
      </w:r>
      <w:r w:rsidR="00301805">
        <w:rPr>
          <w:rFonts w:cs="Arial"/>
        </w:rPr>
        <w:t>impacts on</w:t>
      </w:r>
      <w:r w:rsidR="000C5876" w:rsidRPr="003F14DB">
        <w:rPr>
          <w:rFonts w:cs="Arial"/>
        </w:rPr>
        <w:t xml:space="preserve"> </w:t>
      </w:r>
      <w:r>
        <w:rPr>
          <w:rFonts w:cs="Arial"/>
        </w:rPr>
        <w:t xml:space="preserve">PSE’s </w:t>
      </w:r>
      <w:r w:rsidR="000C5876" w:rsidRPr="003F14DB">
        <w:rPr>
          <w:rFonts w:cs="Arial"/>
        </w:rPr>
        <w:t xml:space="preserve">DBtC ratio </w:t>
      </w:r>
      <w:r w:rsidR="00301805">
        <w:rPr>
          <w:rFonts w:cs="Arial"/>
        </w:rPr>
        <w:t>include, but are not limited to:</w:t>
      </w:r>
      <w:r w:rsidR="000C5876" w:rsidRPr="003F14DB">
        <w:rPr>
          <w:rFonts w:cs="Arial"/>
        </w:rPr>
        <w:t xml:space="preserve"> </w:t>
      </w:r>
    </w:p>
    <w:p w14:paraId="36678D44" w14:textId="77777777" w:rsidR="00301805" w:rsidRDefault="00301805" w:rsidP="00E77B7F">
      <w:pPr>
        <w:numPr>
          <w:ilvl w:val="0"/>
          <w:numId w:val="11"/>
        </w:numPr>
        <w:spacing w:after="60"/>
        <w:rPr>
          <w:rFonts w:cs="Arial"/>
        </w:rPr>
      </w:pPr>
      <w:r>
        <w:rPr>
          <w:rFonts w:cs="Arial"/>
        </w:rPr>
        <w:t>O</w:t>
      </w:r>
      <w:r w:rsidR="000C5876" w:rsidRPr="003F14DB">
        <w:rPr>
          <w:rFonts w:cs="Arial"/>
        </w:rPr>
        <w:t xml:space="preserve">ne-time expenditures (for instance, </w:t>
      </w:r>
      <w:r w:rsidR="00C912D6">
        <w:rPr>
          <w:rFonts w:cs="Arial"/>
        </w:rPr>
        <w:t xml:space="preserve">the costs associated with </w:t>
      </w:r>
      <w:r w:rsidR="000C5876" w:rsidRPr="003F14DB">
        <w:rPr>
          <w:rFonts w:cs="Arial"/>
        </w:rPr>
        <w:t xml:space="preserve">upgrading to a new tracking system), </w:t>
      </w:r>
    </w:p>
    <w:p w14:paraId="36678D45" w14:textId="77777777" w:rsidR="00301805" w:rsidRDefault="00301805" w:rsidP="00E77B7F">
      <w:pPr>
        <w:numPr>
          <w:ilvl w:val="0"/>
          <w:numId w:val="11"/>
        </w:numPr>
        <w:spacing w:after="60"/>
        <w:rPr>
          <w:rFonts w:cs="Arial"/>
        </w:rPr>
      </w:pPr>
      <w:r>
        <w:rPr>
          <w:rFonts w:cs="Arial"/>
        </w:rPr>
        <w:t>R</w:t>
      </w:r>
      <w:r w:rsidR="000C5876" w:rsidRPr="003F14DB">
        <w:rPr>
          <w:rFonts w:cs="Arial"/>
        </w:rPr>
        <w:t xml:space="preserve">egulatory requirements (the BECAR, minimum spending requirements on evaluations, participating in regional collaboratives, </w:t>
      </w:r>
      <w:r w:rsidR="002D0179">
        <w:rPr>
          <w:rFonts w:cs="Arial"/>
        </w:rPr>
        <w:t>evolving</w:t>
      </w:r>
      <w:r w:rsidR="000C5876" w:rsidRPr="003F14DB">
        <w:rPr>
          <w:rFonts w:cs="Arial"/>
        </w:rPr>
        <w:t xml:space="preserve"> reporting </w:t>
      </w:r>
      <w:r w:rsidR="002D0179">
        <w:rPr>
          <w:rFonts w:cs="Arial"/>
        </w:rPr>
        <w:t xml:space="preserve">and data </w:t>
      </w:r>
      <w:r w:rsidR="000C5876" w:rsidRPr="003F14DB">
        <w:rPr>
          <w:rFonts w:cs="Arial"/>
        </w:rPr>
        <w:t>requirements</w:t>
      </w:r>
      <w:r w:rsidR="00DA1E26">
        <w:rPr>
          <w:rFonts w:cs="Arial"/>
        </w:rPr>
        <w:t>, for instance</w:t>
      </w:r>
      <w:r w:rsidR="000C5876" w:rsidRPr="003F14DB">
        <w:rPr>
          <w:rFonts w:cs="Arial"/>
        </w:rPr>
        <w:t xml:space="preserve">), </w:t>
      </w:r>
    </w:p>
    <w:p w14:paraId="36678D46" w14:textId="77777777" w:rsidR="00BE1B2D" w:rsidRDefault="00301805" w:rsidP="00E77B7F">
      <w:pPr>
        <w:numPr>
          <w:ilvl w:val="0"/>
          <w:numId w:val="11"/>
        </w:numPr>
        <w:spacing w:after="60"/>
        <w:rPr>
          <w:rFonts w:cs="Arial"/>
        </w:rPr>
      </w:pPr>
      <w:r>
        <w:rPr>
          <w:rFonts w:cs="Arial"/>
        </w:rPr>
        <w:t>M</w:t>
      </w:r>
      <w:r w:rsidR="000C5876" w:rsidRPr="003F14DB">
        <w:rPr>
          <w:rFonts w:cs="Arial"/>
        </w:rPr>
        <w:t>easure cost</w:t>
      </w:r>
      <w:r w:rsidR="002D0179">
        <w:rPr>
          <w:rFonts w:cs="Arial"/>
        </w:rPr>
        <w:t xml:space="preserve"> adjustments</w:t>
      </w:r>
      <w:r w:rsidR="000C5876" w:rsidRPr="003F14DB">
        <w:rPr>
          <w:rFonts w:cs="Arial"/>
        </w:rPr>
        <w:t xml:space="preserve"> (</w:t>
      </w:r>
      <w:r w:rsidR="00C912D6">
        <w:rPr>
          <w:rFonts w:cs="Arial"/>
        </w:rPr>
        <w:t xml:space="preserve">either increased or decreased costs, </w:t>
      </w:r>
      <w:r w:rsidR="000C5876" w:rsidRPr="003F14DB">
        <w:rPr>
          <w:rFonts w:cs="Arial"/>
        </w:rPr>
        <w:t xml:space="preserve">which are impacted by </w:t>
      </w:r>
      <w:r w:rsidR="002D0179">
        <w:rPr>
          <w:rFonts w:cs="Arial"/>
        </w:rPr>
        <w:t xml:space="preserve">manufacturing costs, </w:t>
      </w:r>
      <w:r w:rsidR="000C5876" w:rsidRPr="003F14DB">
        <w:rPr>
          <w:rFonts w:cs="Arial"/>
        </w:rPr>
        <w:t xml:space="preserve">etc.), </w:t>
      </w:r>
    </w:p>
    <w:p w14:paraId="36678D47" w14:textId="77777777" w:rsidR="00301805" w:rsidRDefault="00BE1B2D" w:rsidP="00E77B7F">
      <w:pPr>
        <w:numPr>
          <w:ilvl w:val="0"/>
          <w:numId w:val="11"/>
        </w:numPr>
        <w:spacing w:after="60"/>
        <w:rPr>
          <w:rFonts w:cs="Arial"/>
        </w:rPr>
      </w:pPr>
      <w:r>
        <w:rPr>
          <w:rFonts w:cs="Arial"/>
        </w:rPr>
        <w:t xml:space="preserve">Hard-to-Reach market segments often require significantly more staff time, effort, and cost to have any kind of impact, </w:t>
      </w:r>
      <w:r w:rsidR="002D0179">
        <w:rPr>
          <w:rFonts w:cs="Arial"/>
        </w:rPr>
        <w:t xml:space="preserve">and </w:t>
      </w:r>
    </w:p>
    <w:p w14:paraId="36678D48" w14:textId="77777777" w:rsidR="001B31CB" w:rsidRDefault="001B31CB" w:rsidP="00E77B7F">
      <w:pPr>
        <w:numPr>
          <w:ilvl w:val="0"/>
          <w:numId w:val="11"/>
        </w:numPr>
        <w:rPr>
          <w:rFonts w:cs="Arial"/>
        </w:rPr>
      </w:pPr>
      <w:r>
        <w:rPr>
          <w:rFonts w:cs="Arial"/>
        </w:rPr>
        <w:br w:type="page"/>
      </w:r>
    </w:p>
    <w:p w14:paraId="36678D49" w14:textId="77777777" w:rsidR="00301805" w:rsidRDefault="00301805" w:rsidP="00E77B7F">
      <w:pPr>
        <w:numPr>
          <w:ilvl w:val="0"/>
          <w:numId w:val="11"/>
        </w:numPr>
        <w:rPr>
          <w:rFonts w:cs="Arial"/>
        </w:rPr>
      </w:pPr>
      <w:r>
        <w:rPr>
          <w:rFonts w:cs="Arial"/>
        </w:rPr>
        <w:lastRenderedPageBreak/>
        <w:t>M</w:t>
      </w:r>
      <w:r w:rsidR="00DA1E26">
        <w:rPr>
          <w:rFonts w:cs="Arial"/>
        </w:rPr>
        <w:t xml:space="preserve">arketplace circumstances: </w:t>
      </w:r>
      <w:r w:rsidR="002D0179" w:rsidRPr="003F14DB">
        <w:rPr>
          <w:rFonts w:cs="Arial"/>
        </w:rPr>
        <w:t>saturation</w:t>
      </w:r>
      <w:r w:rsidR="002D0179">
        <w:rPr>
          <w:rFonts w:cs="Arial"/>
        </w:rPr>
        <w:t xml:space="preserve"> of certain measures leave only higher-cost measures availability</w:t>
      </w:r>
      <w:r w:rsidR="002D0179" w:rsidRPr="003F14DB">
        <w:rPr>
          <w:rFonts w:cs="Arial"/>
        </w:rPr>
        <w:t xml:space="preserve">, </w:t>
      </w:r>
      <w:r w:rsidR="002D0179">
        <w:rPr>
          <w:rFonts w:cs="Arial"/>
        </w:rPr>
        <w:t xml:space="preserve">increased or decreased </w:t>
      </w:r>
      <w:r w:rsidR="002D0179" w:rsidRPr="003F14DB">
        <w:rPr>
          <w:rFonts w:cs="Arial"/>
        </w:rPr>
        <w:t>customer demand</w:t>
      </w:r>
      <w:r w:rsidR="002D0179">
        <w:rPr>
          <w:rFonts w:cs="Arial"/>
        </w:rPr>
        <w:t xml:space="preserve"> may require less incentives to move the market, </w:t>
      </w:r>
      <w:r w:rsidR="00DA1E26" w:rsidRPr="00DA1E26">
        <w:rPr>
          <w:rFonts w:cs="Arial"/>
        </w:rPr>
        <w:t>(</w:t>
      </w:r>
      <w:r w:rsidR="00480FA4">
        <w:rPr>
          <w:rFonts w:cs="Arial"/>
        </w:rPr>
        <w:t>a</w:t>
      </w:r>
      <w:r w:rsidR="00DA1E26" w:rsidRPr="00DA1E26">
        <w:rPr>
          <w:rFonts w:cs="Arial"/>
        </w:rPr>
        <w:t>rtificially keeping incentive high is not a prudent use of ratepayer funding)</w:t>
      </w:r>
      <w:r w:rsidR="00DA1E26">
        <w:rPr>
          <w:rFonts w:cs="Arial"/>
        </w:rPr>
        <w:t xml:space="preserve"> </w:t>
      </w:r>
      <w:r w:rsidR="002D0179" w:rsidRPr="003F14DB">
        <w:rPr>
          <w:rFonts w:cs="Arial"/>
        </w:rPr>
        <w:t>market saturation</w:t>
      </w:r>
      <w:r w:rsidR="002D0179">
        <w:rPr>
          <w:rFonts w:cs="Arial"/>
        </w:rPr>
        <w:t xml:space="preserve"> may make some measures no longer desirable</w:t>
      </w:r>
      <w:r w:rsidR="002D0179" w:rsidRPr="003F14DB">
        <w:rPr>
          <w:rFonts w:cs="Arial"/>
        </w:rPr>
        <w:t xml:space="preserve">, </w:t>
      </w:r>
      <w:r w:rsidR="002D0179">
        <w:rPr>
          <w:rFonts w:cs="Arial"/>
        </w:rPr>
        <w:t xml:space="preserve">building codes </w:t>
      </w:r>
      <w:r w:rsidR="00DA1E26">
        <w:rPr>
          <w:rFonts w:cs="Arial"/>
        </w:rPr>
        <w:t>make some measure obsolete</w:t>
      </w:r>
      <w:r w:rsidR="002D0179">
        <w:rPr>
          <w:rFonts w:cs="Arial"/>
        </w:rPr>
        <w:t xml:space="preserve">. </w:t>
      </w:r>
    </w:p>
    <w:p w14:paraId="36678D4A" w14:textId="77777777" w:rsidR="000C5876" w:rsidRPr="00301805" w:rsidRDefault="00A424F4" w:rsidP="00301805">
      <w:pPr>
        <w:rPr>
          <w:rFonts w:cs="Arial"/>
        </w:rPr>
      </w:pPr>
      <w:r>
        <w:rPr>
          <w:rFonts w:cs="Arial"/>
        </w:rPr>
        <w:t>Each</w:t>
      </w:r>
      <w:r w:rsidR="002D0179" w:rsidRPr="00301805">
        <w:rPr>
          <w:rFonts w:cs="Arial"/>
        </w:rPr>
        <w:t xml:space="preserve"> of these </w:t>
      </w:r>
      <w:r>
        <w:rPr>
          <w:rFonts w:cs="Arial"/>
        </w:rPr>
        <w:t xml:space="preserve">has the potential to </w:t>
      </w:r>
      <w:r w:rsidR="002D0179" w:rsidRPr="00301805">
        <w:rPr>
          <w:rFonts w:cs="Arial"/>
        </w:rPr>
        <w:t xml:space="preserve">impact </w:t>
      </w:r>
      <w:r>
        <w:rPr>
          <w:rFonts w:cs="Arial"/>
        </w:rPr>
        <w:t>a program’s</w:t>
      </w:r>
      <w:r w:rsidR="002D0179" w:rsidRPr="00301805">
        <w:rPr>
          <w:rFonts w:cs="Arial"/>
        </w:rPr>
        <w:t xml:space="preserve"> </w:t>
      </w:r>
      <w:r w:rsidR="000C5876" w:rsidRPr="00301805">
        <w:rPr>
          <w:rFonts w:cs="Arial"/>
        </w:rPr>
        <w:t>cost-effectiveness</w:t>
      </w:r>
      <w:r w:rsidR="00BE1B2D">
        <w:rPr>
          <w:rFonts w:cs="Arial"/>
        </w:rPr>
        <w:t>. Every element is</w:t>
      </w:r>
      <w:r w:rsidR="002D0179" w:rsidRPr="00301805">
        <w:rPr>
          <w:rFonts w:cs="Arial"/>
        </w:rPr>
        <w:t xml:space="preserve"> actively managed by program staff</w:t>
      </w:r>
      <w:r w:rsidR="000C5876" w:rsidRPr="00301805">
        <w:rPr>
          <w:rFonts w:cs="Arial"/>
        </w:rPr>
        <w:t xml:space="preserve"> in order to continue offering </w:t>
      </w:r>
      <w:r w:rsidR="002D117A" w:rsidRPr="00301805">
        <w:rPr>
          <w:rFonts w:cs="Arial"/>
        </w:rPr>
        <w:t xml:space="preserve">cost-effective </w:t>
      </w:r>
      <w:r w:rsidR="000C5876" w:rsidRPr="00301805">
        <w:rPr>
          <w:rFonts w:cs="Arial"/>
        </w:rPr>
        <w:t>program</w:t>
      </w:r>
      <w:r w:rsidR="002D0179" w:rsidRPr="00301805">
        <w:rPr>
          <w:rFonts w:cs="Arial"/>
        </w:rPr>
        <w:t>s</w:t>
      </w:r>
      <w:r>
        <w:rPr>
          <w:rFonts w:cs="Arial"/>
        </w:rPr>
        <w:t xml:space="preserve"> while demonstrating prudent use of customer funding</w:t>
      </w:r>
      <w:r w:rsidR="000C5876" w:rsidRPr="00301805">
        <w:rPr>
          <w:rFonts w:cs="Arial"/>
        </w:rPr>
        <w:t xml:space="preserve">. </w:t>
      </w:r>
    </w:p>
    <w:p w14:paraId="36678D4B" w14:textId="77777777" w:rsidR="002D0179" w:rsidRPr="002D0179" w:rsidRDefault="002D0179" w:rsidP="000C3EE2">
      <w:pPr>
        <w:pStyle w:val="Heading2"/>
      </w:pPr>
      <w:r w:rsidRPr="002D0179">
        <w:t>Reporting on Direct Benefit to Customer</w:t>
      </w:r>
    </w:p>
    <w:p w14:paraId="36678D4C" w14:textId="77777777" w:rsidR="000C5876" w:rsidRDefault="00DA1E26" w:rsidP="000C5876">
      <w:pPr>
        <w:rPr>
          <w:rFonts w:cs="Arial"/>
        </w:rPr>
      </w:pPr>
      <w:r>
        <w:rPr>
          <w:rFonts w:cs="Arial"/>
        </w:rPr>
        <w:t>PSE views its DBtC two ways:</w:t>
      </w:r>
      <w:r w:rsidR="000C5876" w:rsidRPr="003F14DB">
        <w:rPr>
          <w:rFonts w:cs="Arial"/>
        </w:rPr>
        <w:t xml:space="preserve"> </w:t>
      </w:r>
      <w:r>
        <w:rPr>
          <w:rFonts w:cs="Arial"/>
        </w:rPr>
        <w:t>first,</w:t>
      </w:r>
      <w:r w:rsidR="00A424F4">
        <w:rPr>
          <w:rFonts w:cs="Arial"/>
        </w:rPr>
        <w:t xml:space="preserve"> </w:t>
      </w:r>
      <w:r w:rsidR="000C5876" w:rsidRPr="003F14DB">
        <w:rPr>
          <w:rFonts w:cs="Arial"/>
        </w:rPr>
        <w:t xml:space="preserve">at the Program level (comparing the DBtC of its Sectors to the expenditures of those same Sectors)—which PSE believes is  a more true view of DBtC—and </w:t>
      </w:r>
      <w:r>
        <w:rPr>
          <w:rFonts w:cs="Arial"/>
        </w:rPr>
        <w:t>secondarily</w:t>
      </w:r>
      <w:r w:rsidR="000C5876" w:rsidRPr="003F14DB">
        <w:rPr>
          <w:rFonts w:cs="Arial"/>
        </w:rPr>
        <w:t xml:space="preserve">, at the Portfolio level, which </w:t>
      </w:r>
      <w:r>
        <w:rPr>
          <w:rFonts w:cs="Arial"/>
        </w:rPr>
        <w:t>accounts for</w:t>
      </w:r>
      <w:r w:rsidR="000C5876" w:rsidRPr="003F14DB">
        <w:rPr>
          <w:rFonts w:cs="Arial"/>
        </w:rPr>
        <w:t xml:space="preserve"> </w:t>
      </w:r>
      <w:r w:rsidR="00480FA4">
        <w:rPr>
          <w:rFonts w:cs="Arial"/>
        </w:rPr>
        <w:t>Energy Advisors, Market Integration</w:t>
      </w:r>
      <w:r w:rsidR="000C5876" w:rsidRPr="003F14DB">
        <w:rPr>
          <w:rFonts w:cs="Arial"/>
        </w:rPr>
        <w:t xml:space="preserve">, </w:t>
      </w:r>
      <w:r w:rsidR="00480FA4">
        <w:rPr>
          <w:rFonts w:cs="Arial"/>
        </w:rPr>
        <w:t xml:space="preserve">Strategic Planning, Market Research, </w:t>
      </w:r>
      <w:r w:rsidR="000C5876" w:rsidRPr="003F14DB">
        <w:rPr>
          <w:rFonts w:cs="Arial"/>
        </w:rPr>
        <w:t xml:space="preserve">other </w:t>
      </w:r>
      <w:r w:rsidR="00480FA4">
        <w:rPr>
          <w:rFonts w:cs="Arial"/>
        </w:rPr>
        <w:t>Portfolio</w:t>
      </w:r>
      <w:r w:rsidR="00480FA4" w:rsidRPr="003F14DB">
        <w:rPr>
          <w:rFonts w:cs="Arial"/>
        </w:rPr>
        <w:t xml:space="preserve"> </w:t>
      </w:r>
      <w:r w:rsidR="000C5876" w:rsidRPr="003F14DB">
        <w:rPr>
          <w:rFonts w:cs="Arial"/>
        </w:rPr>
        <w:t>support costs, and excludes Other Electric Programs.</w:t>
      </w:r>
    </w:p>
    <w:p w14:paraId="36678D4D" w14:textId="77777777" w:rsidR="002D117A" w:rsidRDefault="00DA1E26" w:rsidP="000C5876">
      <w:pPr>
        <w:rPr>
          <w:rFonts w:cs="Arial"/>
        </w:rPr>
      </w:pPr>
      <w:r>
        <w:rPr>
          <w:rFonts w:cs="Arial"/>
        </w:rPr>
        <w:t>In the first view</w:t>
      </w:r>
      <w:r w:rsidR="002D117A">
        <w:rPr>
          <w:rFonts w:cs="Arial"/>
        </w:rPr>
        <w:t xml:space="preserve">, if one considers the DBtC ratio of the Sectors that generate savings (Residential and Business Energy Management, Pilots, Regional Programs) on their own, the electric ratio for the 2017 ACP is 76.7 percent.  At the </w:t>
      </w:r>
      <w:r>
        <w:rPr>
          <w:rFonts w:cs="Arial"/>
        </w:rPr>
        <w:t>secondary, Portfolio level—</w:t>
      </w:r>
      <w:r w:rsidR="002D117A">
        <w:rPr>
          <w:rFonts w:cs="Arial"/>
        </w:rPr>
        <w:t>if one removes single-time an</w:t>
      </w:r>
      <w:r>
        <w:rPr>
          <w:rFonts w:cs="Arial"/>
        </w:rPr>
        <w:t>d regulatory-required spending—</w:t>
      </w:r>
      <w:r w:rsidR="002D117A">
        <w:rPr>
          <w:rFonts w:cs="Arial"/>
        </w:rPr>
        <w:t>the electric ratio is 70.4 percent, versus the 69.1 percent</w:t>
      </w:r>
      <w:r w:rsidR="00301805">
        <w:rPr>
          <w:rFonts w:cs="Arial"/>
        </w:rPr>
        <w:t xml:space="preserve"> that one can derive from the budget categories listed in Exhibit 1: Savings and Budgets</w:t>
      </w:r>
      <w:r w:rsidR="002D117A">
        <w:rPr>
          <w:rFonts w:cs="Arial"/>
        </w:rPr>
        <w:t>.</w:t>
      </w:r>
    </w:p>
    <w:p w14:paraId="36678D4E" w14:textId="77777777" w:rsidR="002D117A" w:rsidRPr="003F14DB" w:rsidRDefault="002D117A" w:rsidP="000C5876">
      <w:pPr>
        <w:rPr>
          <w:rFonts w:cs="Arial"/>
        </w:rPr>
      </w:pPr>
      <w:r>
        <w:rPr>
          <w:rFonts w:cs="Arial"/>
        </w:rPr>
        <w:t>The impact is more substantial in the natural gas Sector: savings-generating progra</w:t>
      </w:r>
      <w:r w:rsidR="00D50B37">
        <w:rPr>
          <w:rFonts w:cs="Arial"/>
        </w:rPr>
        <w:t>ms have a DBtC ratio of 64.4 per</w:t>
      </w:r>
      <w:r>
        <w:rPr>
          <w:rFonts w:cs="Arial"/>
        </w:rPr>
        <w:t>cent. At the Portfolio level, if required expenses are excluded, the ratio goes from 57.8 percent (which includes NEEA natural gas market transformation) to 65.6 percent.</w:t>
      </w:r>
    </w:p>
    <w:p w14:paraId="36678D4F" w14:textId="77777777" w:rsidR="006429BA" w:rsidRDefault="006429BA" w:rsidP="006429BA">
      <w:pPr>
        <w:rPr>
          <w:rFonts w:cs="Arial"/>
        </w:rPr>
      </w:pPr>
      <w:r>
        <w:rPr>
          <w:rFonts w:cs="Arial"/>
        </w:rPr>
        <w:t>PSE created its</w:t>
      </w:r>
      <w:r w:rsidRPr="003F14DB">
        <w:rPr>
          <w:rFonts w:cs="Arial"/>
        </w:rPr>
        <w:t xml:space="preserve"> DBtC </w:t>
      </w:r>
      <w:r>
        <w:rPr>
          <w:rFonts w:cs="Arial"/>
        </w:rPr>
        <w:t xml:space="preserve">metric several years ago as </w:t>
      </w:r>
      <w:r w:rsidRPr="003F14DB">
        <w:rPr>
          <w:rFonts w:cs="Arial"/>
        </w:rPr>
        <w:t>simply a way for PSE to consistently measure the value that Energy Efficiency is returning to its customers</w:t>
      </w:r>
      <w:r>
        <w:rPr>
          <w:rFonts w:cs="Arial"/>
        </w:rPr>
        <w:t xml:space="preserve"> year-over-year</w:t>
      </w:r>
      <w:r w:rsidRPr="003F14DB">
        <w:rPr>
          <w:rFonts w:cs="Arial"/>
        </w:rPr>
        <w:t xml:space="preserve">. It is not </w:t>
      </w:r>
      <w:r>
        <w:rPr>
          <w:rFonts w:cs="Arial"/>
        </w:rPr>
        <w:t xml:space="preserve">intended as </w:t>
      </w:r>
      <w:r w:rsidRPr="003F14DB">
        <w:rPr>
          <w:rFonts w:cs="Arial"/>
        </w:rPr>
        <w:t>a means to indicate the Portfolio’s operational efficiency</w:t>
      </w:r>
      <w:r>
        <w:rPr>
          <w:rFonts w:cs="Arial"/>
        </w:rPr>
        <w:t xml:space="preserve">, nor </w:t>
      </w:r>
      <w:r w:rsidR="00DA1E26">
        <w:rPr>
          <w:rFonts w:cs="Arial"/>
        </w:rPr>
        <w:t xml:space="preserve">is it intended </w:t>
      </w:r>
      <w:r>
        <w:rPr>
          <w:rFonts w:cs="Arial"/>
        </w:rPr>
        <w:t>to be compared against other utilities</w:t>
      </w:r>
      <w:r w:rsidRPr="003F14DB">
        <w:rPr>
          <w:rFonts w:cs="Arial"/>
        </w:rPr>
        <w:t xml:space="preserve">.  </w:t>
      </w:r>
    </w:p>
    <w:p w14:paraId="36678D50" w14:textId="77777777" w:rsidR="001B31CB" w:rsidRDefault="00D50B37" w:rsidP="00272A32">
      <w:pPr>
        <w:rPr>
          <w:rFonts w:cs="Arial"/>
        </w:rPr>
      </w:pPr>
      <w:r>
        <w:rPr>
          <w:rFonts w:cs="Arial"/>
        </w:rPr>
        <w:t>It is also important to consider that the actual DBtC ratio, as reported in PSE’s Annual Report of Energy Conservation Accomplishments, is consistently higher than the DBtC ratio provided in its Biennial and Annual Conservation Plans. This is a result of program staff’s consistent focus on adaptive management and prudent cost control.</w:t>
      </w:r>
      <w:r w:rsidR="00272A32">
        <w:rPr>
          <w:rFonts w:cs="Arial"/>
        </w:rPr>
        <w:t xml:space="preserve"> </w:t>
      </w:r>
      <w:r w:rsidR="00DA1E26">
        <w:rPr>
          <w:rFonts w:cs="Arial"/>
        </w:rPr>
        <w:t xml:space="preserve"> The below tables present sector-level views of DBtC planned expenditures compared with other program costs. </w:t>
      </w:r>
      <w:r w:rsidR="001B31CB">
        <w:rPr>
          <w:rFonts w:cs="Arial"/>
        </w:rPr>
        <w:br w:type="page"/>
      </w:r>
    </w:p>
    <w:p w14:paraId="36678D51" w14:textId="77777777" w:rsidR="00272A32" w:rsidRDefault="00DA1E26" w:rsidP="00272A32">
      <w:pPr>
        <w:rPr>
          <w:rFonts w:cs="Arial"/>
        </w:rPr>
      </w:pPr>
      <w:r>
        <w:rPr>
          <w:rFonts w:cs="Arial"/>
        </w:rPr>
        <w:lastRenderedPageBreak/>
        <w:t>Please note that Portfolio Support, Research &amp; Compliance and Other Electric Program planned expenditures are excluded for purposes of this discussion.</w:t>
      </w:r>
    </w:p>
    <w:p w14:paraId="36678D52" w14:textId="77777777" w:rsidR="00DA1E26" w:rsidRDefault="00AD4ADE" w:rsidP="00272A32">
      <w:pPr>
        <w:rPr>
          <w:rFonts w:cs="Arial"/>
        </w:rPr>
      </w:pPr>
      <w:r w:rsidRPr="00AD4ADE">
        <w:rPr>
          <w:noProof/>
        </w:rPr>
        <w:drawing>
          <wp:anchor distT="0" distB="0" distL="114300" distR="114300" simplePos="0" relativeHeight="251663360" behindDoc="0" locked="0" layoutInCell="1" allowOverlap="1" wp14:anchorId="36678D61" wp14:editId="36678D62">
            <wp:simplePos x="0" y="0"/>
            <wp:positionH relativeFrom="column">
              <wp:posOffset>-494996</wp:posOffset>
            </wp:positionH>
            <wp:positionV relativeFrom="paragraph">
              <wp:posOffset>3175</wp:posOffset>
            </wp:positionV>
            <wp:extent cx="8110330" cy="20655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10330" cy="20655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78D53" w14:textId="77777777" w:rsidR="00D50B37" w:rsidRPr="00272A32" w:rsidRDefault="00D50B37" w:rsidP="006429BA">
      <w:pPr>
        <w:rPr>
          <w:rFonts w:cs="Arial"/>
          <w:b/>
        </w:rPr>
      </w:pPr>
    </w:p>
    <w:p w14:paraId="36678D54" w14:textId="77777777" w:rsidR="00D50B37" w:rsidRDefault="00D50B37" w:rsidP="000C5876">
      <w:pPr>
        <w:rPr>
          <w:rFonts w:cs="Arial"/>
          <w:b/>
        </w:rPr>
      </w:pPr>
    </w:p>
    <w:p w14:paraId="36678D55" w14:textId="77777777" w:rsidR="00526CE6" w:rsidRDefault="00526CE6" w:rsidP="000C5876">
      <w:pPr>
        <w:rPr>
          <w:rFonts w:cs="Arial"/>
          <w:b/>
        </w:rPr>
      </w:pPr>
    </w:p>
    <w:p w14:paraId="36678D56" w14:textId="77777777" w:rsidR="00526CE6" w:rsidRDefault="00526CE6" w:rsidP="000C5876">
      <w:pPr>
        <w:rPr>
          <w:rFonts w:cs="Arial"/>
          <w:b/>
        </w:rPr>
      </w:pPr>
    </w:p>
    <w:p w14:paraId="36678D57" w14:textId="77777777" w:rsidR="00526CE6" w:rsidRDefault="00526CE6" w:rsidP="000C5876">
      <w:pPr>
        <w:rPr>
          <w:rFonts w:cs="Arial"/>
          <w:b/>
        </w:rPr>
      </w:pPr>
    </w:p>
    <w:p w14:paraId="36678D58" w14:textId="77777777" w:rsidR="00526CE6" w:rsidRDefault="00AD4ADE" w:rsidP="000C5876">
      <w:pPr>
        <w:rPr>
          <w:rFonts w:cs="Arial"/>
          <w:b/>
        </w:rPr>
      </w:pPr>
      <w:r w:rsidRPr="00AD4ADE">
        <w:rPr>
          <w:noProof/>
        </w:rPr>
        <w:drawing>
          <wp:anchor distT="0" distB="0" distL="114300" distR="114300" simplePos="0" relativeHeight="251665408" behindDoc="0" locked="0" layoutInCell="1" allowOverlap="1" wp14:anchorId="36678D63" wp14:editId="36678D64">
            <wp:simplePos x="0" y="0"/>
            <wp:positionH relativeFrom="column">
              <wp:posOffset>-508304</wp:posOffset>
            </wp:positionH>
            <wp:positionV relativeFrom="paragraph">
              <wp:posOffset>23495</wp:posOffset>
            </wp:positionV>
            <wp:extent cx="8023745" cy="20434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23745" cy="2043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78D59" w14:textId="77777777" w:rsidR="00526CE6" w:rsidRDefault="00526CE6" w:rsidP="000C5876">
      <w:pPr>
        <w:rPr>
          <w:rFonts w:cs="Arial"/>
          <w:b/>
        </w:rPr>
      </w:pPr>
    </w:p>
    <w:p w14:paraId="36678D5A" w14:textId="77777777" w:rsidR="00526CE6" w:rsidRDefault="00526CE6" w:rsidP="000C5876">
      <w:pPr>
        <w:rPr>
          <w:rFonts w:cs="Arial"/>
          <w:b/>
        </w:rPr>
      </w:pPr>
    </w:p>
    <w:p w14:paraId="36678D5B" w14:textId="77777777" w:rsidR="000C3EE2" w:rsidRDefault="000C3EE2" w:rsidP="000C5876">
      <w:pPr>
        <w:rPr>
          <w:rFonts w:cs="Arial"/>
          <w:b/>
        </w:rPr>
      </w:pPr>
    </w:p>
    <w:p w14:paraId="36678D5C" w14:textId="77777777" w:rsidR="000C3EE2" w:rsidRDefault="000C3EE2" w:rsidP="000C5876">
      <w:pPr>
        <w:rPr>
          <w:rFonts w:cs="Arial"/>
          <w:b/>
        </w:rPr>
      </w:pPr>
    </w:p>
    <w:p w14:paraId="36678D5D" w14:textId="77777777" w:rsidR="00526CE6" w:rsidRDefault="00526CE6" w:rsidP="000C5876">
      <w:pPr>
        <w:rPr>
          <w:rFonts w:cs="Arial"/>
          <w:b/>
        </w:rPr>
      </w:pPr>
    </w:p>
    <w:p w14:paraId="36678D5E" w14:textId="77777777" w:rsidR="00301805" w:rsidRPr="00301805" w:rsidRDefault="00AD4ADE" w:rsidP="000C3EE2">
      <w:pPr>
        <w:pStyle w:val="Heading2"/>
      </w:pPr>
      <w:r>
        <w:t>Additional/Potential</w:t>
      </w:r>
      <w:r w:rsidRPr="00301805">
        <w:t xml:space="preserve"> </w:t>
      </w:r>
      <w:r w:rsidR="00301805" w:rsidRPr="00301805">
        <w:t>Avenues for Providing Direct Benefit to Customers</w:t>
      </w:r>
    </w:p>
    <w:p w14:paraId="36678D5F" w14:textId="77777777" w:rsidR="000C5876" w:rsidRPr="003F14DB" w:rsidRDefault="00127A7A" w:rsidP="000C5876">
      <w:pPr>
        <w:rPr>
          <w:rFonts w:cs="Arial"/>
        </w:rPr>
      </w:pPr>
      <w:r>
        <w:rPr>
          <w:rFonts w:cs="Arial"/>
        </w:rPr>
        <w:t xml:space="preserve">While many </w:t>
      </w:r>
      <w:r w:rsidR="00BF2EB7">
        <w:rPr>
          <w:rFonts w:cs="Arial"/>
        </w:rPr>
        <w:t>programs fulfill direct benefits to custo</w:t>
      </w:r>
      <w:r w:rsidR="00C912D6">
        <w:rPr>
          <w:rFonts w:cs="Arial"/>
        </w:rPr>
        <w:t>mers via what may be considere</w:t>
      </w:r>
      <w:r w:rsidR="00D50B37">
        <w:rPr>
          <w:rFonts w:cs="Arial"/>
        </w:rPr>
        <w:t>d “standard” incentives, or mone</w:t>
      </w:r>
      <w:r w:rsidR="00C912D6">
        <w:rPr>
          <w:rFonts w:cs="Arial"/>
        </w:rPr>
        <w:t>tary remuneration—custom grants and</w:t>
      </w:r>
      <w:r w:rsidR="00BF2EB7">
        <w:rPr>
          <w:rFonts w:cs="Arial"/>
        </w:rPr>
        <w:t xml:space="preserve"> rebates</w:t>
      </w:r>
      <w:r w:rsidR="00C912D6">
        <w:rPr>
          <w:rFonts w:cs="Arial"/>
        </w:rPr>
        <w:t xml:space="preserve">—other benefits that PSE provides to its energy efficiency customers that are classified as DBtC include, but aren’t limited to Thank You Kits, </w:t>
      </w:r>
      <w:r w:rsidR="000C3EE2">
        <w:rPr>
          <w:rFonts w:cs="Arial"/>
        </w:rPr>
        <w:t>direct installation of measures—including labor and measures</w:t>
      </w:r>
      <w:r w:rsidR="00C912D6">
        <w:rPr>
          <w:rFonts w:cs="Arial"/>
        </w:rPr>
        <w:t xml:space="preserve">, CFL recycling, Leave-Behind Kits, Pop-Up Events, and </w:t>
      </w:r>
      <w:r w:rsidR="000C3EE2">
        <w:rPr>
          <w:rFonts w:cs="Arial"/>
        </w:rPr>
        <w:t>payments</w:t>
      </w:r>
      <w:r w:rsidR="00C912D6">
        <w:rPr>
          <w:rFonts w:cs="Arial"/>
        </w:rPr>
        <w:t xml:space="preserve"> paid to low-income CAP agencies.</w:t>
      </w:r>
      <w:r w:rsidR="002D0179">
        <w:rPr>
          <w:rFonts w:cs="Arial"/>
        </w:rPr>
        <w:t xml:space="preserve"> PSE will consider other avenues of providing its energy-efficiency customers direct benefit, such as on-bill </w:t>
      </w:r>
      <w:r w:rsidR="000C3EE2">
        <w:rPr>
          <w:rFonts w:cs="Arial"/>
        </w:rPr>
        <w:t>re</w:t>
      </w:r>
      <w:r w:rsidR="002D0179">
        <w:rPr>
          <w:rFonts w:cs="Arial"/>
        </w:rPr>
        <w:t>payments, in the near future.</w:t>
      </w:r>
    </w:p>
    <w:p w14:paraId="36678D60" w14:textId="77777777" w:rsidR="00D87B08" w:rsidRDefault="00D87B08">
      <w:pPr>
        <w:rPr>
          <w:rFonts w:cs="Arial"/>
        </w:rPr>
      </w:pPr>
    </w:p>
    <w:sectPr w:rsidR="00D87B0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78D67" w14:textId="77777777" w:rsidR="003F14DB" w:rsidRDefault="003F14DB" w:rsidP="003F14DB">
      <w:r>
        <w:separator/>
      </w:r>
    </w:p>
  </w:endnote>
  <w:endnote w:type="continuationSeparator" w:id="0">
    <w:p w14:paraId="36678D68" w14:textId="77777777" w:rsidR="003F14DB" w:rsidRDefault="003F14DB" w:rsidP="003F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78D6B" w14:textId="77777777" w:rsidR="00933984" w:rsidRDefault="00933984">
    <w:pPr>
      <w:pStyle w:val="Footer"/>
    </w:pPr>
  </w:p>
  <w:p w14:paraId="36678D6C" w14:textId="77777777" w:rsidR="00933984" w:rsidRDefault="00933984" w:rsidP="00933984">
    <w:pPr>
      <w:pStyle w:val="Footer"/>
      <w:pBdr>
        <w:top w:val="double" w:sz="4" w:space="1" w:color="auto"/>
      </w:pBdr>
      <w:spacing w:after="0"/>
    </w:pPr>
    <w:r>
      <w:rPr>
        <w:rFonts w:ascii="Arial" w:hAnsi="Arial" w:cs="Arial"/>
        <w:noProof/>
        <w:sz w:val="24"/>
      </w:rPr>
      <w:drawing>
        <wp:anchor distT="0" distB="0" distL="114300" distR="114300" simplePos="0" relativeHeight="251660288" behindDoc="0" locked="0" layoutInCell="1" allowOverlap="1" wp14:anchorId="36678D71" wp14:editId="36678D72">
          <wp:simplePos x="0" y="0"/>
          <wp:positionH relativeFrom="column">
            <wp:posOffset>-27940</wp:posOffset>
          </wp:positionH>
          <wp:positionV relativeFrom="paragraph">
            <wp:posOffset>169261</wp:posOffset>
          </wp:positionV>
          <wp:extent cx="3077210" cy="490220"/>
          <wp:effectExtent l="0" t="0" r="889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3077210" cy="490220"/>
                  </a:xfrm>
                  <a:prstGeom prst="rect">
                    <a:avLst/>
                  </a:prstGeom>
                </pic:spPr>
              </pic:pic>
            </a:graphicData>
          </a:graphic>
          <wp14:sizeRelH relativeFrom="margin">
            <wp14:pctWidth>0</wp14:pctWidth>
          </wp14:sizeRelH>
          <wp14:sizeRelV relativeFrom="margin">
            <wp14:pctHeight>0</wp14:pctHeight>
          </wp14:sizeRelV>
        </wp:anchor>
      </w:drawing>
    </w:r>
  </w:p>
  <w:p w14:paraId="36678D6D" w14:textId="77777777" w:rsidR="00933984" w:rsidRPr="00034C27" w:rsidRDefault="00933984" w:rsidP="00933984">
    <w:pPr>
      <w:pStyle w:val="Footer"/>
      <w:pBdr>
        <w:top w:val="double" w:sz="4" w:space="1" w:color="auto"/>
      </w:pBdr>
      <w:spacing w:after="0"/>
      <w:rPr>
        <w:rFonts w:ascii="Arial" w:hAnsi="Arial" w:cs="Arial"/>
      </w:rPr>
    </w:pPr>
    <w:r>
      <w:tab/>
    </w:r>
    <w:r>
      <w:tab/>
    </w:r>
    <w:sdt>
      <w:sdtPr>
        <w:rPr>
          <w:rFonts w:ascii="Arial" w:hAnsi="Arial" w:cs="Arial"/>
        </w:rPr>
        <w:id w:val="1710680485"/>
        <w:docPartObj>
          <w:docPartGallery w:val="Page Numbers (Bottom of Page)"/>
          <w:docPartUnique/>
        </w:docPartObj>
      </w:sdtPr>
      <w:sdtEndPr>
        <w:rPr>
          <w:noProof/>
        </w:rPr>
      </w:sdtEndPr>
      <w:sdtContent>
        <w:r w:rsidRPr="00034C27">
          <w:rPr>
            <w:rFonts w:ascii="Arial" w:hAnsi="Arial" w:cs="Arial"/>
          </w:rPr>
          <w:fldChar w:fldCharType="begin"/>
        </w:r>
        <w:r w:rsidRPr="00034C27">
          <w:rPr>
            <w:rFonts w:ascii="Arial" w:hAnsi="Arial" w:cs="Arial"/>
          </w:rPr>
          <w:instrText xml:space="preserve"> PAGE   \* MERGEFORMAT </w:instrText>
        </w:r>
        <w:r w:rsidRPr="00034C27">
          <w:rPr>
            <w:rFonts w:ascii="Arial" w:hAnsi="Arial" w:cs="Arial"/>
          </w:rPr>
          <w:fldChar w:fldCharType="separate"/>
        </w:r>
        <w:r w:rsidR="004E6239">
          <w:rPr>
            <w:rFonts w:ascii="Arial" w:hAnsi="Arial" w:cs="Arial"/>
            <w:noProof/>
          </w:rPr>
          <w:t>1</w:t>
        </w:r>
        <w:r w:rsidRPr="00034C27">
          <w:rPr>
            <w:rFonts w:ascii="Arial" w:hAnsi="Arial" w:cs="Arial"/>
            <w:noProof/>
          </w:rPr>
          <w:fldChar w:fldCharType="end"/>
        </w:r>
      </w:sdtContent>
    </w:sdt>
  </w:p>
  <w:p w14:paraId="36678D6E" w14:textId="77777777" w:rsidR="00916D94" w:rsidRDefault="00916D94" w:rsidP="00AD4ADE">
    <w:pPr>
      <w:pStyle w:val="Foote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78D65" w14:textId="77777777" w:rsidR="003F14DB" w:rsidRDefault="003F14DB" w:rsidP="003F14DB">
      <w:r>
        <w:separator/>
      </w:r>
    </w:p>
  </w:footnote>
  <w:footnote w:type="continuationSeparator" w:id="0">
    <w:p w14:paraId="36678D66" w14:textId="77777777" w:rsidR="003F14DB" w:rsidRDefault="003F14DB" w:rsidP="003F14DB">
      <w:r>
        <w:continuationSeparator/>
      </w:r>
    </w:p>
  </w:footnote>
  <w:footnote w:id="1">
    <w:p w14:paraId="36678D73" w14:textId="77777777" w:rsidR="002D0179" w:rsidRDefault="002D0179" w:rsidP="004772C3">
      <w:pPr>
        <w:pStyle w:val="FootnoteText"/>
        <w:spacing w:line="240" w:lineRule="auto"/>
      </w:pPr>
      <w:r>
        <w:rPr>
          <w:rStyle w:val="FootnoteReference"/>
        </w:rPr>
        <w:footnoteRef/>
      </w:r>
      <w:r>
        <w:t xml:space="preserve">  Some of the most recent examples include page 13 of the 2015 Annual Report of Energy Conservation Accomplishments, pages 20, 21 of the 2016-2017 Biennial Conservation Plan, and page 10 of the 2014 Annual Report of Energy Conservation Accomplishments.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78D69" w14:textId="77777777" w:rsidR="00933984" w:rsidRDefault="00933984" w:rsidP="00933984">
    <w:pPr>
      <w:pStyle w:val="Header"/>
      <w:tabs>
        <w:tab w:val="clear" w:pos="4320"/>
      </w:tabs>
      <w:spacing w:after="0"/>
      <w:ind w:left="5760"/>
      <w:rPr>
        <w:rFonts w:ascii="Arial" w:hAnsi="Arial" w:cs="Arial"/>
        <w:sz w:val="24"/>
      </w:rPr>
    </w:pPr>
    <w:r w:rsidRPr="00933984">
      <w:rPr>
        <w:rFonts w:ascii="Arial" w:hAnsi="Arial" w:cs="Arial"/>
        <w:noProof/>
        <w:sz w:val="24"/>
      </w:rPr>
      <w:drawing>
        <wp:anchor distT="0" distB="0" distL="114300" distR="114300" simplePos="0" relativeHeight="251659264" behindDoc="0" locked="0" layoutInCell="1" allowOverlap="1" wp14:anchorId="36678D6F" wp14:editId="36678D70">
          <wp:simplePos x="0" y="0"/>
          <wp:positionH relativeFrom="column">
            <wp:posOffset>-115428</wp:posOffset>
          </wp:positionH>
          <wp:positionV relativeFrom="paragraph">
            <wp:posOffset>-292934</wp:posOffset>
          </wp:positionV>
          <wp:extent cx="2545307" cy="636327"/>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2545307" cy="636327"/>
                  </a:xfrm>
                  <a:prstGeom prst="rect">
                    <a:avLst/>
                  </a:prstGeom>
                </pic:spPr>
              </pic:pic>
            </a:graphicData>
          </a:graphic>
          <wp14:sizeRelH relativeFrom="margin">
            <wp14:pctWidth>0</wp14:pctWidth>
          </wp14:sizeRelH>
          <wp14:sizeRelV relativeFrom="margin">
            <wp14:pctHeight>0</wp14:pctHeight>
          </wp14:sizeRelV>
        </wp:anchor>
      </w:drawing>
    </w:r>
    <w:r w:rsidRPr="00933984">
      <w:rPr>
        <w:rFonts w:ascii="Arial" w:hAnsi="Arial" w:cs="Arial"/>
        <w:sz w:val="24"/>
      </w:rPr>
      <w:t>2017 Direct Benefit to Customer</w:t>
    </w:r>
  </w:p>
  <w:p w14:paraId="36678D6A" w14:textId="77777777" w:rsidR="00933984" w:rsidRPr="00933984" w:rsidRDefault="00933984" w:rsidP="00933984">
    <w:pPr>
      <w:pStyle w:val="Header"/>
      <w:pBdr>
        <w:bottom w:val="single" w:sz="12" w:space="1" w:color="006A71"/>
      </w:pBdr>
      <w:tabs>
        <w:tab w:val="clear" w:pos="432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5AC3"/>
    <w:multiLevelType w:val="hybridMultilevel"/>
    <w:tmpl w:val="58A4FF7A"/>
    <w:lvl w:ilvl="0" w:tplc="42CE303E">
      <w:start w:val="1"/>
      <w:numFmt w:val="lowerRoman"/>
      <w:pStyle w:val="AndyHeading6"/>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7B106B6"/>
    <w:multiLevelType w:val="hybridMultilevel"/>
    <w:tmpl w:val="02D62882"/>
    <w:lvl w:ilvl="0" w:tplc="0BFAB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9534D"/>
    <w:multiLevelType w:val="hybridMultilevel"/>
    <w:tmpl w:val="34DE79C0"/>
    <w:lvl w:ilvl="0" w:tplc="01DCD32C">
      <w:start w:val="1"/>
      <w:numFmt w:val="upperLetter"/>
      <w:pStyle w:val="Heading2"/>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212EAD"/>
    <w:multiLevelType w:val="hybridMultilevel"/>
    <w:tmpl w:val="8A9C293A"/>
    <w:lvl w:ilvl="0" w:tplc="FF8C4F20">
      <w:start w:val="1"/>
      <w:numFmt w:val="lowerRoman"/>
      <w:pStyle w:val="Quote"/>
      <w:lvlText w:val="%1."/>
      <w:lvlJc w:val="right"/>
      <w:pPr>
        <w:ind w:left="1440" w:hanging="360"/>
      </w:pPr>
      <w:rPr>
        <w:color w:val="006A7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9935E7"/>
    <w:multiLevelType w:val="hybridMultilevel"/>
    <w:tmpl w:val="00C0033C"/>
    <w:lvl w:ilvl="0" w:tplc="A7365602">
      <w:start w:val="1"/>
      <w:numFmt w:val="bullet"/>
      <w:pStyle w:val="JimsStyle"/>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5DB95A52"/>
    <w:multiLevelType w:val="hybridMultilevel"/>
    <w:tmpl w:val="9E34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7650EA"/>
    <w:multiLevelType w:val="hybridMultilevel"/>
    <w:tmpl w:val="B0D2FC70"/>
    <w:lvl w:ilvl="0" w:tplc="43F6986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145556"/>
    <w:multiLevelType w:val="hybridMultilevel"/>
    <w:tmpl w:val="A3AEDA78"/>
    <w:lvl w:ilvl="0" w:tplc="5B484E22">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2F5012"/>
    <w:multiLevelType w:val="hybridMultilevel"/>
    <w:tmpl w:val="61625616"/>
    <w:lvl w:ilvl="0" w:tplc="F9A84294">
      <w:start w:val="1"/>
      <w:numFmt w:val="lowerLetter"/>
      <w:pStyle w:val="Heading4"/>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7"/>
  </w:num>
  <w:num w:numId="6">
    <w:abstractNumId w:val="8"/>
  </w:num>
  <w:num w:numId="7">
    <w:abstractNumId w:val="3"/>
  </w:num>
  <w:num w:numId="8">
    <w:abstractNumId w:val="6"/>
  </w:num>
  <w:num w:numId="9">
    <w:abstractNumId w:val="4"/>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76"/>
    <w:rsid w:val="00034C27"/>
    <w:rsid w:val="000C3EE2"/>
    <w:rsid w:val="000C5876"/>
    <w:rsid w:val="000E2E05"/>
    <w:rsid w:val="0010364F"/>
    <w:rsid w:val="00127A7A"/>
    <w:rsid w:val="00187A9B"/>
    <w:rsid w:val="001B08B7"/>
    <w:rsid w:val="001B31CB"/>
    <w:rsid w:val="001D3A73"/>
    <w:rsid w:val="00272A32"/>
    <w:rsid w:val="002D0179"/>
    <w:rsid w:val="002D117A"/>
    <w:rsid w:val="00301805"/>
    <w:rsid w:val="003779A8"/>
    <w:rsid w:val="003F14DB"/>
    <w:rsid w:val="004772C3"/>
    <w:rsid w:val="00480FA4"/>
    <w:rsid w:val="004E6239"/>
    <w:rsid w:val="00526CE6"/>
    <w:rsid w:val="0055581D"/>
    <w:rsid w:val="00586D61"/>
    <w:rsid w:val="006429BA"/>
    <w:rsid w:val="00685005"/>
    <w:rsid w:val="006F1741"/>
    <w:rsid w:val="00784293"/>
    <w:rsid w:val="007D6ED3"/>
    <w:rsid w:val="008A1080"/>
    <w:rsid w:val="00916D94"/>
    <w:rsid w:val="00933984"/>
    <w:rsid w:val="00A424F4"/>
    <w:rsid w:val="00AD4ADE"/>
    <w:rsid w:val="00B6025A"/>
    <w:rsid w:val="00BE1B2D"/>
    <w:rsid w:val="00BF2EB7"/>
    <w:rsid w:val="00C60D28"/>
    <w:rsid w:val="00C912D6"/>
    <w:rsid w:val="00D40F0B"/>
    <w:rsid w:val="00D50B37"/>
    <w:rsid w:val="00D75F31"/>
    <w:rsid w:val="00D87B08"/>
    <w:rsid w:val="00DA1E26"/>
    <w:rsid w:val="00E1624B"/>
    <w:rsid w:val="00E31B35"/>
    <w:rsid w:val="00E7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678D0F"/>
  <w15:docId w15:val="{C3297AED-B254-48E3-B6A6-9344C48C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locked="1" w:semiHidden="1" w:uiPriority="9" w:unhideWhenUsed="1" w:qFormat="1"/>
    <w:lsdException w:name="heading 8" w:locked="1" w:semiHidden="1" w:uiPriority="9" w:unhideWhenUsed="1" w:qFormat="1"/>
    <w:lsdException w:name="heading 9" w:semiHidden="1"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qFormat="1"/>
    <w:lsdException w:name="Emphasis" w:qFormat="1"/>
    <w:lsdException w:name="Document Map" w:locked="1"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EE2"/>
    <w:pPr>
      <w:spacing w:after="240" w:line="300" w:lineRule="atLeast"/>
    </w:pPr>
    <w:rPr>
      <w:rFonts w:ascii="Arial" w:hAnsi="Arial"/>
      <w:sz w:val="22"/>
      <w:szCs w:val="22"/>
    </w:rPr>
  </w:style>
  <w:style w:type="paragraph" w:styleId="Heading1">
    <w:name w:val="heading 1"/>
    <w:basedOn w:val="Normal"/>
    <w:next w:val="Normal"/>
    <w:link w:val="Heading1Char"/>
    <w:autoRedefine/>
    <w:uiPriority w:val="99"/>
    <w:qFormat/>
    <w:rsid w:val="00586D61"/>
    <w:pPr>
      <w:keepNext/>
      <w:numPr>
        <w:numId w:val="8"/>
      </w:numPr>
      <w:spacing w:before="120"/>
      <w:outlineLvl w:val="0"/>
    </w:pPr>
    <w:rPr>
      <w:rFonts w:ascii="Arial Bold" w:eastAsia="Times New Roman" w:hAnsi="Arial Bold" w:cs="Arial"/>
      <w:b/>
      <w:bCs/>
      <w:caps/>
      <w:kern w:val="28"/>
      <w:sz w:val="28"/>
      <w:szCs w:val="28"/>
    </w:rPr>
  </w:style>
  <w:style w:type="paragraph" w:styleId="Heading2">
    <w:name w:val="heading 2"/>
    <w:basedOn w:val="Normal"/>
    <w:next w:val="Normal"/>
    <w:link w:val="Heading2Char"/>
    <w:uiPriority w:val="99"/>
    <w:qFormat/>
    <w:rsid w:val="00586D61"/>
    <w:pPr>
      <w:keepNext/>
      <w:keepLines/>
      <w:numPr>
        <w:numId w:val="4"/>
      </w:numPr>
      <w:spacing w:before="360" w:line="360" w:lineRule="auto"/>
      <w:outlineLvl w:val="1"/>
    </w:pPr>
    <w:rPr>
      <w:rFonts w:ascii="Arial Bold" w:eastAsia="Times New Roman" w:hAnsi="Arial Bold" w:cs="Arial"/>
      <w:b/>
      <w:bCs/>
      <w:i/>
      <w:iCs/>
      <w:color w:val="000000" w:themeColor="text1"/>
      <w:sz w:val="28"/>
    </w:rPr>
  </w:style>
  <w:style w:type="paragraph" w:styleId="Heading3">
    <w:name w:val="heading 3"/>
    <w:basedOn w:val="Normal"/>
    <w:next w:val="Normal"/>
    <w:link w:val="Heading3Char"/>
    <w:uiPriority w:val="99"/>
    <w:qFormat/>
    <w:rsid w:val="00586D61"/>
    <w:pPr>
      <w:keepNext/>
      <w:numPr>
        <w:numId w:val="5"/>
      </w:numPr>
      <w:spacing w:before="480"/>
      <w:outlineLvl w:val="2"/>
    </w:pPr>
    <w:rPr>
      <w:rFonts w:ascii="Times New Roman" w:eastAsia="Times New Roman" w:hAnsi="Times New Roman" w:cs="Arial"/>
      <w:b/>
      <w:color w:val="006A71"/>
      <w:sz w:val="24"/>
      <w:szCs w:val="20"/>
    </w:rPr>
  </w:style>
  <w:style w:type="paragraph" w:styleId="Heading4">
    <w:name w:val="heading 4"/>
    <w:basedOn w:val="Normal"/>
    <w:next w:val="Normal"/>
    <w:link w:val="Heading4Char"/>
    <w:uiPriority w:val="99"/>
    <w:qFormat/>
    <w:rsid w:val="00586D61"/>
    <w:pPr>
      <w:keepNext/>
      <w:numPr>
        <w:numId w:val="6"/>
      </w:numPr>
      <w:outlineLvl w:val="3"/>
    </w:pPr>
    <w:rPr>
      <w:rFonts w:ascii="Times New Roman" w:eastAsiaTheme="majorEastAsia" w:hAnsi="Times New Roman" w:cstheme="majorBidi"/>
      <w:b/>
      <w:bCs/>
      <w:sz w:val="20"/>
      <w:szCs w:val="28"/>
    </w:rPr>
  </w:style>
  <w:style w:type="paragraph" w:styleId="Heading5">
    <w:name w:val="heading 5"/>
    <w:basedOn w:val="Normal"/>
    <w:next w:val="Normal"/>
    <w:link w:val="Heading5Char"/>
    <w:autoRedefine/>
    <w:uiPriority w:val="99"/>
    <w:qFormat/>
    <w:rsid w:val="00586D61"/>
    <w:pPr>
      <w:keepNext/>
      <w:spacing w:before="360" w:after="360"/>
      <w:jc w:val="center"/>
      <w:outlineLvl w:val="4"/>
    </w:pPr>
    <w:rPr>
      <w:rFonts w:ascii="Times New Roman" w:eastAsia="Times New Roman" w:hAnsi="Times New Roman"/>
      <w:b/>
      <w:iCs/>
      <w:color w:val="000000" w:themeColor="text1"/>
      <w:sz w:val="20"/>
    </w:rPr>
  </w:style>
  <w:style w:type="paragraph" w:styleId="Heading6">
    <w:name w:val="heading 6"/>
    <w:basedOn w:val="Normal"/>
    <w:next w:val="Normal"/>
    <w:link w:val="Heading6Char"/>
    <w:uiPriority w:val="9"/>
    <w:semiHidden/>
    <w:unhideWhenUsed/>
    <w:qFormat/>
    <w:rsid w:val="00586D61"/>
    <w:pPr>
      <w:keepNext/>
      <w:keepLines/>
      <w:spacing w:before="200"/>
      <w:outlineLvl w:val="5"/>
    </w:pPr>
    <w:rPr>
      <w:rFonts w:ascii="Times New Roman" w:eastAsiaTheme="majorEastAsia" w:hAnsi="Times New Roman" w:cstheme="majorBidi"/>
      <w:i/>
      <w:iCs/>
      <w:color w:val="548DD4" w:themeColor="text2" w:themeTint="99"/>
      <w:sz w:val="20"/>
      <w:szCs w:val="20"/>
    </w:rPr>
  </w:style>
  <w:style w:type="paragraph" w:styleId="Heading9">
    <w:name w:val="heading 9"/>
    <w:basedOn w:val="Normal"/>
    <w:next w:val="Normal"/>
    <w:link w:val="Heading9Char"/>
    <w:autoRedefine/>
    <w:uiPriority w:val="99"/>
    <w:qFormat/>
    <w:rsid w:val="00586D61"/>
    <w:pPr>
      <w:keepNext/>
      <w:tabs>
        <w:tab w:val="left" w:pos="9216"/>
      </w:tabs>
      <w:spacing w:before="360" w:after="360"/>
      <w:jc w:val="center"/>
      <w:outlineLvl w:val="8"/>
    </w:pPr>
    <w:rPr>
      <w:rFonts w:ascii="Times New Roman" w:eastAsia="Times New Roman" w:hAnsi="Times New Roman"/>
      <w:b/>
      <w:strike/>
      <w:noProof/>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rial">
    <w:name w:val="Body Arial"/>
    <w:basedOn w:val="Normal"/>
    <w:link w:val="BodyArialChar"/>
    <w:uiPriority w:val="99"/>
    <w:rsid w:val="00586D61"/>
    <w:pPr>
      <w:spacing w:before="60"/>
    </w:pPr>
    <w:rPr>
      <w:rFonts w:eastAsia="Times New Roman" w:cs="Arial"/>
    </w:rPr>
  </w:style>
  <w:style w:type="character" w:customStyle="1" w:styleId="BodyArialChar">
    <w:name w:val="Body Arial Char"/>
    <w:basedOn w:val="DefaultParagraphFont"/>
    <w:link w:val="BodyArial"/>
    <w:uiPriority w:val="99"/>
    <w:locked/>
    <w:rsid w:val="00586D61"/>
    <w:rPr>
      <w:rFonts w:ascii="Arial" w:eastAsia="Times New Roman" w:hAnsi="Arial" w:cs="Arial"/>
    </w:rPr>
  </w:style>
  <w:style w:type="paragraph" w:customStyle="1" w:styleId="Body">
    <w:name w:val="Body"/>
    <w:basedOn w:val="Normal"/>
    <w:uiPriority w:val="99"/>
    <w:rsid w:val="00586D61"/>
    <w:pPr>
      <w:spacing w:before="120"/>
    </w:pPr>
    <w:rPr>
      <w:rFonts w:eastAsia="Times New Roman"/>
    </w:rPr>
  </w:style>
  <w:style w:type="paragraph" w:customStyle="1" w:styleId="bodyarial0">
    <w:name w:val="bodyarial"/>
    <w:basedOn w:val="Normal"/>
    <w:uiPriority w:val="99"/>
    <w:rsid w:val="00586D61"/>
    <w:pPr>
      <w:spacing w:before="100" w:beforeAutospacing="1" w:after="100" w:afterAutospacing="1"/>
    </w:pPr>
    <w:rPr>
      <w:rFonts w:eastAsia="Times New Roman"/>
    </w:rPr>
  </w:style>
  <w:style w:type="character" w:customStyle="1" w:styleId="msoins0">
    <w:name w:val="msoins0"/>
    <w:basedOn w:val="DefaultParagraphFont"/>
    <w:uiPriority w:val="99"/>
    <w:rsid w:val="00586D61"/>
    <w:rPr>
      <w:rFonts w:cs="Times New Roman"/>
    </w:rPr>
  </w:style>
  <w:style w:type="paragraph" w:customStyle="1" w:styleId="StyleBodyCalibrilBefore0pt">
    <w:name w:val="Style Body Calibril + Before:  0 pt"/>
    <w:basedOn w:val="Normal"/>
    <w:uiPriority w:val="99"/>
    <w:rsid w:val="00586D61"/>
    <w:rPr>
      <w:rFonts w:eastAsia="Times New Roman"/>
    </w:rPr>
  </w:style>
  <w:style w:type="paragraph" w:customStyle="1" w:styleId="StyleBodyCalibrilJustifiedBefore0pt">
    <w:name w:val="Style Body Calibril + Justified Before:  0 pt"/>
    <w:basedOn w:val="Normal"/>
    <w:uiPriority w:val="99"/>
    <w:rsid w:val="00586D61"/>
    <w:pPr>
      <w:spacing w:before="120"/>
    </w:pPr>
    <w:rPr>
      <w:rFonts w:eastAsia="Times New Roman"/>
    </w:rPr>
  </w:style>
  <w:style w:type="paragraph" w:customStyle="1" w:styleId="NEEAItalictitles">
    <w:name w:val="NEEA Italic titles"/>
    <w:basedOn w:val="Normal"/>
    <w:uiPriority w:val="99"/>
    <w:rsid w:val="00586D61"/>
    <w:pPr>
      <w:spacing w:after="200"/>
    </w:pPr>
    <w:rPr>
      <w:rFonts w:eastAsia="MS PGothic" w:cs="Arial"/>
      <w:i/>
      <w:color w:val="2AA9E0"/>
      <w:lang w:eastAsia="ja-JP"/>
    </w:rPr>
  </w:style>
  <w:style w:type="paragraph" w:customStyle="1" w:styleId="JimsStyle">
    <w:name w:val="Jim's Style"/>
    <w:basedOn w:val="NoSpacing"/>
    <w:uiPriority w:val="99"/>
    <w:rsid w:val="00586D61"/>
    <w:pPr>
      <w:widowControl/>
      <w:numPr>
        <w:numId w:val="9"/>
      </w:numPr>
      <w:jc w:val="left"/>
    </w:pPr>
    <w:rPr>
      <w:rFonts w:eastAsia="Times New Roman" w:cs="Arial"/>
      <w:szCs w:val="20"/>
    </w:rPr>
  </w:style>
  <w:style w:type="paragraph" w:styleId="NoSpacing">
    <w:name w:val="No Spacing"/>
    <w:uiPriority w:val="1"/>
    <w:qFormat/>
    <w:rsid w:val="00586D61"/>
    <w:pPr>
      <w:widowControl w:val="0"/>
      <w:spacing w:after="240" w:line="360" w:lineRule="auto"/>
      <w:jc w:val="both"/>
    </w:pPr>
    <w:rPr>
      <w:rFonts w:ascii="Arial" w:hAnsi="Arial"/>
      <w:szCs w:val="24"/>
    </w:rPr>
  </w:style>
  <w:style w:type="character" w:customStyle="1" w:styleId="A2">
    <w:name w:val="A2"/>
    <w:uiPriority w:val="99"/>
    <w:rsid w:val="00586D61"/>
    <w:rPr>
      <w:color w:val="221E1F"/>
      <w:sz w:val="18"/>
    </w:rPr>
  </w:style>
  <w:style w:type="paragraph" w:customStyle="1" w:styleId="NEEASubHeadings">
    <w:name w:val="NEEA Sub Headings"/>
    <w:basedOn w:val="Normal"/>
    <w:uiPriority w:val="99"/>
    <w:rsid w:val="00586D61"/>
    <w:pPr>
      <w:shd w:val="clear" w:color="auto" w:fill="262262"/>
      <w:spacing w:before="120"/>
      <w:outlineLvl w:val="0"/>
    </w:pPr>
    <w:rPr>
      <w:rFonts w:eastAsia="MS PGothic"/>
      <w:color w:val="FFFFFF"/>
      <w:position w:val="-36"/>
      <w:sz w:val="24"/>
      <w:lang w:eastAsia="ja-JP"/>
    </w:rPr>
  </w:style>
  <w:style w:type="paragraph" w:customStyle="1" w:styleId="JimsStyle0">
    <w:name w:val="Jims Style"/>
    <w:basedOn w:val="ListParagraph"/>
    <w:uiPriority w:val="99"/>
    <w:rsid w:val="00586D61"/>
    <w:pPr>
      <w:tabs>
        <w:tab w:val="num" w:pos="360"/>
      </w:tabs>
      <w:ind w:left="360" w:hanging="360"/>
    </w:pPr>
    <w:rPr>
      <w:rFonts w:eastAsia="Times New Roman" w:cs="Arial"/>
    </w:rPr>
  </w:style>
  <w:style w:type="paragraph" w:styleId="ListParagraph">
    <w:name w:val="List Paragraph"/>
    <w:aliases w:val="bullet,Bulleted List"/>
    <w:basedOn w:val="Normal"/>
    <w:link w:val="ListParagraphChar"/>
    <w:uiPriority w:val="34"/>
    <w:qFormat/>
    <w:rsid w:val="00586D61"/>
    <w:pPr>
      <w:ind w:left="720"/>
      <w:contextualSpacing/>
    </w:pPr>
    <w:rPr>
      <w:rFonts w:ascii="Times New Roman" w:hAnsi="Times New Roman"/>
      <w:sz w:val="20"/>
      <w:szCs w:val="20"/>
    </w:rPr>
  </w:style>
  <w:style w:type="character" w:customStyle="1" w:styleId="commmembername">
    <w:name w:val="commmembername"/>
    <w:uiPriority w:val="99"/>
    <w:rsid w:val="00586D61"/>
  </w:style>
  <w:style w:type="paragraph" w:customStyle="1" w:styleId="Default">
    <w:name w:val="Default"/>
    <w:basedOn w:val="Normal"/>
    <w:uiPriority w:val="99"/>
    <w:rsid w:val="00586D61"/>
    <w:pPr>
      <w:autoSpaceDE w:val="0"/>
      <w:autoSpaceDN w:val="0"/>
    </w:pPr>
    <w:rPr>
      <w:rFonts w:ascii="Verdana" w:eastAsia="Times New Roman" w:hAnsi="Verdana"/>
      <w:color w:val="000000"/>
      <w:sz w:val="24"/>
    </w:rPr>
  </w:style>
  <w:style w:type="paragraph" w:customStyle="1" w:styleId="Pa8">
    <w:name w:val="Pa8"/>
    <w:basedOn w:val="Normal"/>
    <w:next w:val="Normal"/>
    <w:uiPriority w:val="99"/>
    <w:rsid w:val="00586D61"/>
    <w:pPr>
      <w:autoSpaceDE w:val="0"/>
      <w:autoSpaceDN w:val="0"/>
      <w:adjustRightInd w:val="0"/>
      <w:spacing w:line="221" w:lineRule="atLeast"/>
    </w:pPr>
    <w:rPr>
      <w:rFonts w:ascii="Akzidenz Grotesk BE" w:eastAsia="Times New Roman" w:hAnsi="Akzidenz Grotesk BE"/>
      <w:sz w:val="24"/>
    </w:rPr>
  </w:style>
  <w:style w:type="character" w:customStyle="1" w:styleId="A13">
    <w:name w:val="A13"/>
    <w:uiPriority w:val="99"/>
    <w:rsid w:val="00586D61"/>
    <w:rPr>
      <w:rFonts w:cs="Akzidenz Grotesk BE"/>
      <w:color w:val="000000"/>
      <w:sz w:val="18"/>
      <w:szCs w:val="18"/>
    </w:rPr>
  </w:style>
  <w:style w:type="paragraph" w:customStyle="1" w:styleId="Chapters">
    <w:name w:val="Chapters"/>
    <w:basedOn w:val="Normal"/>
    <w:next w:val="Header"/>
    <w:qFormat/>
    <w:rsid w:val="00586D61"/>
    <w:pPr>
      <w:spacing w:after="120"/>
      <w:jc w:val="right"/>
    </w:pPr>
    <w:rPr>
      <w:rFonts w:ascii="Times New Roman" w:eastAsia="Times New Roman" w:hAnsi="Times New Roman"/>
      <w:sz w:val="24"/>
      <w:szCs w:val="20"/>
    </w:rPr>
  </w:style>
  <w:style w:type="paragraph" w:styleId="Header">
    <w:name w:val="header"/>
    <w:basedOn w:val="Normal"/>
    <w:link w:val="HeaderChar"/>
    <w:uiPriority w:val="99"/>
    <w:rsid w:val="00586D61"/>
    <w:pPr>
      <w:tabs>
        <w:tab w:val="center" w:pos="4320"/>
        <w:tab w:val="right" w:pos="8640"/>
      </w:tabs>
    </w:pPr>
    <w:rPr>
      <w:rFonts w:ascii="Times New Roman" w:hAnsi="Times New Roman"/>
      <w:sz w:val="20"/>
      <w:szCs w:val="20"/>
    </w:rPr>
  </w:style>
  <w:style w:type="character" w:customStyle="1" w:styleId="HeaderChar">
    <w:name w:val="Header Char"/>
    <w:basedOn w:val="DefaultParagraphFont"/>
    <w:link w:val="Header"/>
    <w:uiPriority w:val="99"/>
    <w:rsid w:val="00586D61"/>
    <w:rPr>
      <w:rFonts w:ascii="Arial" w:hAnsi="Arial"/>
      <w:szCs w:val="24"/>
    </w:rPr>
  </w:style>
  <w:style w:type="paragraph" w:customStyle="1" w:styleId="Pa1">
    <w:name w:val="Pa1"/>
    <w:basedOn w:val="Default"/>
    <w:next w:val="Default"/>
    <w:uiPriority w:val="99"/>
    <w:rsid w:val="00586D61"/>
    <w:pPr>
      <w:adjustRightInd w:val="0"/>
      <w:spacing w:line="241" w:lineRule="atLeast"/>
    </w:pPr>
    <w:rPr>
      <w:rFonts w:ascii="HelveticaNeueLT Std" w:hAnsi="HelveticaNeueLT Std"/>
      <w:color w:val="auto"/>
    </w:rPr>
  </w:style>
  <w:style w:type="paragraph" w:customStyle="1" w:styleId="AndyHeading6">
    <w:name w:val="AndyHeading 6"/>
    <w:basedOn w:val="Heading4"/>
    <w:link w:val="AndyHeading6Char"/>
    <w:qFormat/>
    <w:rsid w:val="00586D61"/>
    <w:pPr>
      <w:numPr>
        <w:numId w:val="10"/>
      </w:numPr>
    </w:pPr>
    <w:rPr>
      <w:rFonts w:eastAsia="Times New Roman" w:cs="Times New Roman"/>
      <w:color w:val="006A71"/>
    </w:rPr>
  </w:style>
  <w:style w:type="character" w:customStyle="1" w:styleId="AndyHeading6Char">
    <w:name w:val="AndyHeading 6 Char"/>
    <w:basedOn w:val="Heading4Char"/>
    <w:link w:val="AndyHeading6"/>
    <w:rsid w:val="00586D61"/>
    <w:rPr>
      <w:rFonts w:ascii="Arial" w:eastAsia="Times New Roman" w:hAnsi="Arial" w:cs="Times New Roman"/>
      <w:b/>
      <w:bCs/>
      <w:color w:val="006A71"/>
      <w:szCs w:val="28"/>
    </w:rPr>
  </w:style>
  <w:style w:type="character" w:customStyle="1" w:styleId="Heading4Char">
    <w:name w:val="Heading 4 Char"/>
    <w:basedOn w:val="DefaultParagraphFont"/>
    <w:link w:val="Heading4"/>
    <w:uiPriority w:val="99"/>
    <w:rsid w:val="00586D61"/>
    <w:rPr>
      <w:rFonts w:ascii="Arial" w:eastAsiaTheme="majorEastAsia" w:hAnsi="Arial" w:cstheme="majorBidi"/>
      <w:b/>
      <w:bCs/>
      <w:szCs w:val="28"/>
    </w:rPr>
  </w:style>
  <w:style w:type="character" w:customStyle="1" w:styleId="Heading1Char">
    <w:name w:val="Heading 1 Char"/>
    <w:basedOn w:val="DefaultParagraphFont"/>
    <w:link w:val="Heading1"/>
    <w:uiPriority w:val="99"/>
    <w:rsid w:val="00586D61"/>
    <w:rPr>
      <w:rFonts w:ascii="Arial Bold" w:eastAsia="Times New Roman" w:hAnsi="Arial Bold" w:cs="Arial"/>
      <w:b/>
      <w:bCs/>
      <w:caps/>
      <w:kern w:val="28"/>
      <w:sz w:val="28"/>
      <w:szCs w:val="28"/>
    </w:rPr>
  </w:style>
  <w:style w:type="character" w:customStyle="1" w:styleId="Heading2Char">
    <w:name w:val="Heading 2 Char"/>
    <w:basedOn w:val="DefaultParagraphFont"/>
    <w:link w:val="Heading2"/>
    <w:uiPriority w:val="99"/>
    <w:rsid w:val="00586D61"/>
    <w:rPr>
      <w:rFonts w:ascii="Arial Bold" w:eastAsia="Times New Roman" w:hAnsi="Arial Bold" w:cs="Arial"/>
      <w:b/>
      <w:bCs/>
      <w:i/>
      <w:iCs/>
      <w:color w:val="000000" w:themeColor="text1"/>
      <w:sz w:val="28"/>
    </w:rPr>
  </w:style>
  <w:style w:type="character" w:customStyle="1" w:styleId="Heading3Char">
    <w:name w:val="Heading 3 Char"/>
    <w:basedOn w:val="DefaultParagraphFont"/>
    <w:link w:val="Heading3"/>
    <w:uiPriority w:val="99"/>
    <w:rsid w:val="00586D61"/>
    <w:rPr>
      <w:rFonts w:ascii="Arial" w:eastAsia="Times New Roman" w:hAnsi="Arial" w:cs="Arial"/>
      <w:b/>
      <w:color w:val="006A71"/>
      <w:sz w:val="24"/>
      <w:szCs w:val="24"/>
    </w:rPr>
  </w:style>
  <w:style w:type="character" w:customStyle="1" w:styleId="Heading5Char">
    <w:name w:val="Heading 5 Char"/>
    <w:basedOn w:val="DefaultParagraphFont"/>
    <w:link w:val="Heading5"/>
    <w:uiPriority w:val="99"/>
    <w:rsid w:val="00586D61"/>
    <w:rPr>
      <w:rFonts w:ascii="Arial" w:eastAsia="Times New Roman" w:hAnsi="Arial" w:cs="Times New Roman"/>
      <w:b/>
      <w:iCs/>
      <w:color w:val="000000" w:themeColor="text1"/>
    </w:rPr>
  </w:style>
  <w:style w:type="character" w:customStyle="1" w:styleId="Heading6Char">
    <w:name w:val="Heading 6 Char"/>
    <w:basedOn w:val="DefaultParagraphFont"/>
    <w:link w:val="Heading6"/>
    <w:uiPriority w:val="9"/>
    <w:semiHidden/>
    <w:rsid w:val="00586D61"/>
    <w:rPr>
      <w:rFonts w:ascii="Arial" w:eastAsiaTheme="majorEastAsia" w:hAnsi="Arial" w:cstheme="majorBidi"/>
      <w:i/>
      <w:iCs/>
      <w:color w:val="548DD4" w:themeColor="text2" w:themeTint="99"/>
      <w:szCs w:val="24"/>
    </w:rPr>
  </w:style>
  <w:style w:type="character" w:customStyle="1" w:styleId="Heading9Char">
    <w:name w:val="Heading 9 Char"/>
    <w:basedOn w:val="DefaultParagraphFont"/>
    <w:link w:val="Heading9"/>
    <w:uiPriority w:val="99"/>
    <w:rsid w:val="00586D61"/>
    <w:rPr>
      <w:rFonts w:ascii="Arial" w:eastAsia="Times New Roman" w:hAnsi="Arial" w:cs="Times New Roman"/>
      <w:b/>
      <w:strike/>
      <w:noProof/>
      <w:color w:val="000000" w:themeColor="text1"/>
    </w:rPr>
  </w:style>
  <w:style w:type="paragraph" w:styleId="Index1">
    <w:name w:val="index 1"/>
    <w:basedOn w:val="Normal"/>
    <w:next w:val="Normal"/>
    <w:autoRedefine/>
    <w:uiPriority w:val="99"/>
    <w:semiHidden/>
    <w:unhideWhenUsed/>
    <w:rsid w:val="00586D61"/>
    <w:pPr>
      <w:ind w:left="220" w:hanging="220"/>
    </w:pPr>
    <w:rPr>
      <w:rFonts w:ascii="Times New Roman" w:eastAsia="Times New Roman" w:hAnsi="Times New Roman"/>
      <w:sz w:val="20"/>
      <w:szCs w:val="20"/>
    </w:rPr>
  </w:style>
  <w:style w:type="paragraph" w:styleId="TOC1">
    <w:name w:val="toc 1"/>
    <w:basedOn w:val="Normal"/>
    <w:next w:val="Normal"/>
    <w:autoRedefine/>
    <w:uiPriority w:val="39"/>
    <w:qFormat/>
    <w:rsid w:val="00586D61"/>
    <w:pPr>
      <w:tabs>
        <w:tab w:val="right" w:leader="dot" w:pos="8630"/>
      </w:tabs>
    </w:pPr>
    <w:rPr>
      <w:rFonts w:ascii="Times New Roman" w:eastAsia="Times New Roman" w:hAnsi="Times New Roman"/>
      <w:sz w:val="20"/>
      <w:szCs w:val="20"/>
    </w:rPr>
  </w:style>
  <w:style w:type="paragraph" w:styleId="TOC2">
    <w:name w:val="toc 2"/>
    <w:basedOn w:val="Normal"/>
    <w:next w:val="Normal"/>
    <w:autoRedefine/>
    <w:uiPriority w:val="39"/>
    <w:qFormat/>
    <w:rsid w:val="00586D61"/>
    <w:pPr>
      <w:tabs>
        <w:tab w:val="right" w:leader="dot" w:pos="8630"/>
      </w:tabs>
      <w:ind w:left="245"/>
    </w:pPr>
    <w:rPr>
      <w:rFonts w:ascii="Times New Roman" w:eastAsia="Times New Roman" w:hAnsi="Times New Roman"/>
      <w:sz w:val="20"/>
      <w:szCs w:val="20"/>
    </w:rPr>
  </w:style>
  <w:style w:type="paragraph" w:styleId="TOC3">
    <w:name w:val="toc 3"/>
    <w:basedOn w:val="Normal"/>
    <w:next w:val="Normal"/>
    <w:autoRedefine/>
    <w:uiPriority w:val="39"/>
    <w:qFormat/>
    <w:rsid w:val="00586D61"/>
    <w:pPr>
      <w:tabs>
        <w:tab w:val="right" w:leader="dot" w:pos="8630"/>
      </w:tabs>
      <w:ind w:left="475"/>
    </w:pPr>
    <w:rPr>
      <w:rFonts w:ascii="Times New Roman" w:eastAsia="Times New Roman" w:hAnsi="Times New Roman"/>
      <w:i/>
      <w:sz w:val="18"/>
      <w:szCs w:val="20"/>
    </w:rPr>
  </w:style>
  <w:style w:type="paragraph" w:styleId="TOC4">
    <w:name w:val="toc 4"/>
    <w:basedOn w:val="Normal"/>
    <w:next w:val="Normal"/>
    <w:autoRedefine/>
    <w:uiPriority w:val="39"/>
    <w:rsid w:val="00586D61"/>
    <w:pPr>
      <w:spacing w:after="100" w:line="276" w:lineRule="auto"/>
      <w:ind w:left="660"/>
    </w:pPr>
    <w:rPr>
      <w:rFonts w:eastAsia="Times New Roman"/>
      <w:sz w:val="20"/>
    </w:rPr>
  </w:style>
  <w:style w:type="paragraph" w:styleId="TOC5">
    <w:name w:val="toc 5"/>
    <w:basedOn w:val="Normal"/>
    <w:next w:val="Normal"/>
    <w:autoRedefine/>
    <w:uiPriority w:val="39"/>
    <w:rsid w:val="00586D61"/>
    <w:pPr>
      <w:spacing w:after="100" w:line="276" w:lineRule="auto"/>
      <w:ind w:left="880"/>
    </w:pPr>
    <w:rPr>
      <w:rFonts w:eastAsia="Times New Roman"/>
      <w:sz w:val="20"/>
    </w:rPr>
  </w:style>
  <w:style w:type="paragraph" w:styleId="TOC6">
    <w:name w:val="toc 6"/>
    <w:basedOn w:val="Normal"/>
    <w:next w:val="Normal"/>
    <w:autoRedefine/>
    <w:uiPriority w:val="39"/>
    <w:rsid w:val="00586D61"/>
    <w:pPr>
      <w:spacing w:after="100" w:line="276" w:lineRule="auto"/>
      <w:ind w:left="1100"/>
    </w:pPr>
    <w:rPr>
      <w:rFonts w:eastAsia="Times New Roman"/>
      <w:sz w:val="20"/>
    </w:rPr>
  </w:style>
  <w:style w:type="paragraph" w:styleId="TOC7">
    <w:name w:val="toc 7"/>
    <w:basedOn w:val="Normal"/>
    <w:next w:val="Normal"/>
    <w:autoRedefine/>
    <w:uiPriority w:val="39"/>
    <w:rsid w:val="00586D61"/>
    <w:pPr>
      <w:spacing w:after="100" w:line="276" w:lineRule="auto"/>
      <w:ind w:left="1320"/>
    </w:pPr>
    <w:rPr>
      <w:rFonts w:eastAsia="Times New Roman"/>
      <w:sz w:val="20"/>
    </w:rPr>
  </w:style>
  <w:style w:type="paragraph" w:styleId="TOC8">
    <w:name w:val="toc 8"/>
    <w:basedOn w:val="Normal"/>
    <w:next w:val="Normal"/>
    <w:autoRedefine/>
    <w:uiPriority w:val="39"/>
    <w:rsid w:val="00586D61"/>
    <w:pPr>
      <w:spacing w:after="100" w:line="276" w:lineRule="auto"/>
      <w:ind w:left="1540"/>
    </w:pPr>
    <w:rPr>
      <w:rFonts w:eastAsia="Times New Roman"/>
      <w:sz w:val="20"/>
    </w:rPr>
  </w:style>
  <w:style w:type="paragraph" w:styleId="TOC9">
    <w:name w:val="toc 9"/>
    <w:basedOn w:val="Normal"/>
    <w:next w:val="Normal"/>
    <w:autoRedefine/>
    <w:uiPriority w:val="39"/>
    <w:rsid w:val="00586D61"/>
    <w:pPr>
      <w:spacing w:after="100" w:line="276" w:lineRule="auto"/>
      <w:ind w:left="1760"/>
    </w:pPr>
    <w:rPr>
      <w:rFonts w:eastAsia="Times New Roman"/>
      <w:sz w:val="20"/>
    </w:rPr>
  </w:style>
  <w:style w:type="paragraph" w:styleId="FootnoteText">
    <w:name w:val="footnote text"/>
    <w:basedOn w:val="Normal"/>
    <w:link w:val="FootnoteTextChar"/>
    <w:uiPriority w:val="99"/>
    <w:rsid w:val="00586D61"/>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86D61"/>
    <w:rPr>
      <w:rFonts w:ascii="Arial" w:eastAsia="Times New Roman" w:hAnsi="Arial" w:cs="Times New Roman"/>
      <w:szCs w:val="20"/>
    </w:rPr>
  </w:style>
  <w:style w:type="paragraph" w:styleId="CommentText">
    <w:name w:val="annotation text"/>
    <w:basedOn w:val="Normal"/>
    <w:link w:val="CommentTextChar"/>
    <w:uiPriority w:val="99"/>
    <w:rsid w:val="00586D61"/>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586D61"/>
    <w:rPr>
      <w:rFonts w:ascii="Arial" w:eastAsia="Times New Roman" w:hAnsi="Arial" w:cs="Times New Roman"/>
      <w:szCs w:val="20"/>
    </w:rPr>
  </w:style>
  <w:style w:type="paragraph" w:styleId="Footer">
    <w:name w:val="footer"/>
    <w:basedOn w:val="Normal"/>
    <w:link w:val="FooterChar"/>
    <w:uiPriority w:val="99"/>
    <w:rsid w:val="00586D61"/>
    <w:pPr>
      <w:tabs>
        <w:tab w:val="center" w:pos="4320"/>
        <w:tab w:val="right" w:pos="8640"/>
      </w:tabs>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6D61"/>
    <w:rPr>
      <w:rFonts w:ascii="Arial" w:eastAsia="Times New Roman" w:hAnsi="Arial" w:cs="Times New Roman"/>
      <w:szCs w:val="24"/>
    </w:rPr>
  </w:style>
  <w:style w:type="paragraph" w:styleId="Caption">
    <w:name w:val="caption"/>
    <w:basedOn w:val="Normal"/>
    <w:next w:val="Normal"/>
    <w:link w:val="CaptionChar"/>
    <w:uiPriority w:val="99"/>
    <w:qFormat/>
    <w:rsid w:val="00586D61"/>
    <w:pPr>
      <w:keepNext/>
      <w:spacing w:before="240" w:after="120"/>
      <w:jc w:val="center"/>
    </w:pPr>
    <w:rPr>
      <w:rFonts w:ascii="Palatino Linotype" w:eastAsia="Times New Roman" w:hAnsi="Palatino Linotype"/>
      <w:b/>
      <w:color w:val="993300"/>
      <w:sz w:val="20"/>
      <w:szCs w:val="20"/>
    </w:rPr>
  </w:style>
  <w:style w:type="character" w:customStyle="1" w:styleId="CaptionChar">
    <w:name w:val="Caption Char"/>
    <w:link w:val="Caption"/>
    <w:uiPriority w:val="99"/>
    <w:locked/>
    <w:rsid w:val="00586D61"/>
    <w:rPr>
      <w:rFonts w:ascii="Palatino Linotype" w:eastAsia="Times New Roman" w:hAnsi="Palatino Linotype" w:cs="Times New Roman"/>
      <w:b/>
      <w:color w:val="993300"/>
      <w:szCs w:val="20"/>
    </w:rPr>
  </w:style>
  <w:style w:type="paragraph" w:styleId="TableofFigures">
    <w:name w:val="table of figures"/>
    <w:basedOn w:val="Normal"/>
    <w:next w:val="Normal"/>
    <w:uiPriority w:val="99"/>
    <w:unhideWhenUsed/>
    <w:rsid w:val="00586D61"/>
    <w:rPr>
      <w:rFonts w:ascii="Times New Roman" w:eastAsia="Times New Roman" w:hAnsi="Times New Roman"/>
      <w:sz w:val="20"/>
      <w:szCs w:val="20"/>
    </w:rPr>
  </w:style>
  <w:style w:type="character" w:styleId="FootnoteReference">
    <w:name w:val="footnote reference"/>
    <w:basedOn w:val="DefaultParagraphFont"/>
    <w:uiPriority w:val="99"/>
    <w:rsid w:val="00586D61"/>
    <w:rPr>
      <w:rFonts w:cs="Times New Roman"/>
      <w:vertAlign w:val="superscript"/>
    </w:rPr>
  </w:style>
  <w:style w:type="character" w:styleId="CommentReference">
    <w:name w:val="annotation reference"/>
    <w:basedOn w:val="DefaultParagraphFont"/>
    <w:uiPriority w:val="99"/>
    <w:semiHidden/>
    <w:rsid w:val="00586D61"/>
    <w:rPr>
      <w:rFonts w:cs="Times New Roman"/>
      <w:sz w:val="16"/>
      <w:szCs w:val="16"/>
    </w:rPr>
  </w:style>
  <w:style w:type="character" w:styleId="PageNumber">
    <w:name w:val="page number"/>
    <w:basedOn w:val="DefaultParagraphFont"/>
    <w:uiPriority w:val="99"/>
    <w:rsid w:val="00586D61"/>
    <w:rPr>
      <w:rFonts w:cs="Times New Roman"/>
    </w:rPr>
  </w:style>
  <w:style w:type="paragraph" w:styleId="Title">
    <w:name w:val="Title"/>
    <w:basedOn w:val="Normal"/>
    <w:next w:val="BodyText"/>
    <w:link w:val="TitleChar"/>
    <w:autoRedefine/>
    <w:qFormat/>
    <w:rsid w:val="00586D61"/>
    <w:rPr>
      <w:rFonts w:ascii="Cambria" w:eastAsia="Times New Roman" w:hAnsi="Cambria"/>
      <w:noProof/>
      <w:color w:val="266659"/>
      <w:kern w:val="28"/>
      <w:sz w:val="24"/>
      <w:szCs w:val="20"/>
    </w:rPr>
  </w:style>
  <w:style w:type="character" w:customStyle="1" w:styleId="TitleChar">
    <w:name w:val="Title Char"/>
    <w:basedOn w:val="DefaultParagraphFont"/>
    <w:link w:val="Title"/>
    <w:rsid w:val="00586D61"/>
    <w:rPr>
      <w:rFonts w:ascii="Cambria" w:eastAsia="Times New Roman" w:hAnsi="Cambria" w:cs="Times New Roman"/>
      <w:noProof/>
      <w:color w:val="266659"/>
      <w:kern w:val="28"/>
      <w:sz w:val="24"/>
      <w:szCs w:val="24"/>
    </w:rPr>
  </w:style>
  <w:style w:type="paragraph" w:styleId="BodyText">
    <w:name w:val="Body Text"/>
    <w:basedOn w:val="Normal"/>
    <w:link w:val="BodyTextChar"/>
    <w:uiPriority w:val="99"/>
    <w:rsid w:val="00586D61"/>
    <w:rPr>
      <w:rFonts w:ascii="Times New Roman" w:hAnsi="Times New Roman"/>
      <w:sz w:val="20"/>
      <w:szCs w:val="20"/>
    </w:rPr>
  </w:style>
  <w:style w:type="character" w:customStyle="1" w:styleId="BodyTextChar">
    <w:name w:val="Body Text Char"/>
    <w:basedOn w:val="DefaultParagraphFont"/>
    <w:link w:val="BodyText"/>
    <w:uiPriority w:val="99"/>
    <w:rsid w:val="00586D61"/>
    <w:rPr>
      <w:rFonts w:ascii="Arial" w:hAnsi="Arial"/>
      <w:szCs w:val="20"/>
    </w:rPr>
  </w:style>
  <w:style w:type="character" w:styleId="Hyperlink">
    <w:name w:val="Hyperlink"/>
    <w:basedOn w:val="DefaultParagraphFont"/>
    <w:uiPriority w:val="99"/>
    <w:rsid w:val="00586D61"/>
    <w:rPr>
      <w:rFonts w:cs="Times New Roman"/>
      <w:color w:val="0000FF"/>
      <w:u w:val="single"/>
    </w:rPr>
  </w:style>
  <w:style w:type="character" w:styleId="FollowedHyperlink">
    <w:name w:val="FollowedHyperlink"/>
    <w:basedOn w:val="DefaultParagraphFont"/>
    <w:uiPriority w:val="99"/>
    <w:semiHidden/>
    <w:unhideWhenUsed/>
    <w:rsid w:val="00586D61"/>
    <w:rPr>
      <w:color w:val="800080"/>
      <w:u w:val="single"/>
    </w:rPr>
  </w:style>
  <w:style w:type="character" w:styleId="Strong">
    <w:name w:val="Strong"/>
    <w:aliases w:val="Bold Intro"/>
    <w:basedOn w:val="DefaultParagraphFont"/>
    <w:uiPriority w:val="99"/>
    <w:qFormat/>
    <w:rsid w:val="00586D61"/>
    <w:rPr>
      <w:rFonts w:cs="Times New Roman"/>
      <w:b/>
      <w:bCs/>
    </w:rPr>
  </w:style>
  <w:style w:type="character" w:styleId="Emphasis">
    <w:name w:val="Emphasis"/>
    <w:basedOn w:val="DefaultParagraphFont"/>
    <w:uiPriority w:val="99"/>
    <w:qFormat/>
    <w:rsid w:val="00586D61"/>
    <w:rPr>
      <w:rFonts w:ascii="Arial" w:hAnsi="Arial" w:cs="Times New Roman"/>
      <w:b/>
      <w:sz w:val="22"/>
    </w:rPr>
  </w:style>
  <w:style w:type="paragraph" w:styleId="PlainText">
    <w:name w:val="Plain Text"/>
    <w:basedOn w:val="Normal"/>
    <w:link w:val="PlainTextChar"/>
    <w:uiPriority w:val="99"/>
    <w:rsid w:val="00586D61"/>
    <w:rPr>
      <w:rFonts w:ascii="Consolas" w:eastAsia="Times New Roman" w:hAnsi="Consolas"/>
      <w:sz w:val="21"/>
      <w:szCs w:val="21"/>
    </w:rPr>
  </w:style>
  <w:style w:type="character" w:customStyle="1" w:styleId="PlainTextChar">
    <w:name w:val="Plain Text Char"/>
    <w:basedOn w:val="DefaultParagraphFont"/>
    <w:link w:val="PlainText"/>
    <w:uiPriority w:val="99"/>
    <w:rsid w:val="00586D61"/>
    <w:rPr>
      <w:rFonts w:ascii="Consolas" w:eastAsia="Times New Roman" w:hAnsi="Consolas" w:cs="Times New Roman"/>
      <w:sz w:val="21"/>
      <w:szCs w:val="21"/>
    </w:rPr>
  </w:style>
  <w:style w:type="paragraph" w:styleId="NormalWeb">
    <w:name w:val="Normal (Web)"/>
    <w:basedOn w:val="Normal"/>
    <w:uiPriority w:val="99"/>
    <w:rsid w:val="00586D61"/>
    <w:pPr>
      <w:spacing w:before="100" w:beforeAutospacing="1" w:after="100" w:afterAutospacing="1"/>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rsid w:val="00586D61"/>
    <w:rPr>
      <w:b/>
      <w:bCs/>
    </w:rPr>
  </w:style>
  <w:style w:type="character" w:customStyle="1" w:styleId="CommentSubjectChar">
    <w:name w:val="Comment Subject Char"/>
    <w:basedOn w:val="CommentTextChar"/>
    <w:link w:val="CommentSubject"/>
    <w:uiPriority w:val="99"/>
    <w:semiHidden/>
    <w:rsid w:val="00586D61"/>
    <w:rPr>
      <w:rFonts w:ascii="Arial" w:eastAsia="Times New Roman" w:hAnsi="Arial" w:cs="Times New Roman"/>
      <w:b/>
      <w:bCs/>
      <w:szCs w:val="20"/>
    </w:rPr>
  </w:style>
  <w:style w:type="paragraph" w:styleId="BalloonText">
    <w:name w:val="Balloon Text"/>
    <w:basedOn w:val="Normal"/>
    <w:link w:val="BalloonTextChar"/>
    <w:uiPriority w:val="99"/>
    <w:semiHidden/>
    <w:rsid w:val="00586D6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86D61"/>
    <w:rPr>
      <w:rFonts w:ascii="Tahoma" w:eastAsia="Times New Roman" w:hAnsi="Tahoma" w:cs="Tahoma"/>
      <w:sz w:val="16"/>
      <w:szCs w:val="16"/>
    </w:rPr>
  </w:style>
  <w:style w:type="table" w:styleId="TableGrid">
    <w:name w:val="Table Grid"/>
    <w:basedOn w:val="TableNormal"/>
    <w:uiPriority w:val="99"/>
    <w:rsid w:val="00586D61"/>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Bulleted List Char"/>
    <w:link w:val="ListParagraph"/>
    <w:uiPriority w:val="34"/>
    <w:locked/>
    <w:rsid w:val="00586D61"/>
    <w:rPr>
      <w:rFonts w:ascii="Arial" w:hAnsi="Arial"/>
      <w:sz w:val="20"/>
      <w:szCs w:val="20"/>
    </w:rPr>
  </w:style>
  <w:style w:type="paragraph" w:styleId="Quote">
    <w:name w:val="Quote"/>
    <w:basedOn w:val="Normal"/>
    <w:next w:val="Normal"/>
    <w:link w:val="QuoteChar"/>
    <w:uiPriority w:val="29"/>
    <w:qFormat/>
    <w:rsid w:val="00586D61"/>
    <w:pPr>
      <w:numPr>
        <w:numId w:val="7"/>
      </w:numPr>
    </w:pPr>
    <w:rPr>
      <w:rFonts w:ascii="Times New Roman" w:eastAsia="Times New Roman" w:hAnsi="Times New Roman"/>
      <w:i/>
      <w:iCs/>
      <w:color w:val="006A71"/>
      <w:sz w:val="20"/>
      <w:szCs w:val="20"/>
    </w:rPr>
  </w:style>
  <w:style w:type="character" w:customStyle="1" w:styleId="QuoteChar">
    <w:name w:val="Quote Char"/>
    <w:basedOn w:val="DefaultParagraphFont"/>
    <w:link w:val="Quote"/>
    <w:uiPriority w:val="29"/>
    <w:rsid w:val="00586D61"/>
    <w:rPr>
      <w:rFonts w:ascii="Arial" w:eastAsia="Times New Roman" w:hAnsi="Arial" w:cs="Times New Roman"/>
      <w:i/>
      <w:iCs/>
      <w:color w:val="006A71"/>
      <w:szCs w:val="24"/>
    </w:rPr>
  </w:style>
  <w:style w:type="character" w:styleId="BookTitle">
    <w:name w:val="Book Title"/>
    <w:basedOn w:val="DefaultParagraphFont"/>
    <w:uiPriority w:val="33"/>
    <w:qFormat/>
    <w:rsid w:val="00586D61"/>
    <w:rPr>
      <w:b/>
      <w:bCs/>
      <w:smallCaps/>
      <w:spacing w:val="5"/>
    </w:rPr>
  </w:style>
  <w:style w:type="paragraph" w:styleId="TOCHeading">
    <w:name w:val="TOC Heading"/>
    <w:basedOn w:val="Heading1"/>
    <w:next w:val="Normal"/>
    <w:uiPriority w:val="39"/>
    <w:qFormat/>
    <w:rsid w:val="00586D61"/>
    <w:pPr>
      <w:keepLines/>
      <w:numPr>
        <w:numId w:val="0"/>
      </w:numPr>
      <w:spacing w:before="480" w:line="276" w:lineRule="auto"/>
      <w:outlineLvl w:val="9"/>
    </w:pPr>
    <w:rPr>
      <w:rFonts w:ascii="Cambria" w:hAnsi="Cambria" w:cs="Times New Roman"/>
      <w:color w:val="365F91"/>
      <w:kern w:val="0"/>
    </w:rPr>
  </w:style>
  <w:style w:type="paragraph" w:styleId="Revision">
    <w:name w:val="Revision"/>
    <w:hidden/>
    <w:uiPriority w:val="99"/>
    <w:semiHidden/>
    <w:rsid w:val="001B08B7"/>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0698">
      <w:bodyDiv w:val="1"/>
      <w:marLeft w:val="0"/>
      <w:marRight w:val="0"/>
      <w:marTop w:val="0"/>
      <w:marBottom w:val="0"/>
      <w:divBdr>
        <w:top w:val="none" w:sz="0" w:space="0" w:color="auto"/>
        <w:left w:val="none" w:sz="0" w:space="0" w:color="auto"/>
        <w:bottom w:val="none" w:sz="0" w:space="0" w:color="auto"/>
        <w:right w:val="none" w:sz="0" w:space="0" w:color="auto"/>
      </w:divBdr>
    </w:div>
    <w:div w:id="651952278">
      <w:bodyDiv w:val="1"/>
      <w:marLeft w:val="0"/>
      <w:marRight w:val="0"/>
      <w:marTop w:val="0"/>
      <w:marBottom w:val="0"/>
      <w:divBdr>
        <w:top w:val="none" w:sz="0" w:space="0" w:color="auto"/>
        <w:left w:val="none" w:sz="0" w:space="0" w:color="auto"/>
        <w:bottom w:val="none" w:sz="0" w:space="0" w:color="auto"/>
        <w:right w:val="none" w:sz="0" w:space="0" w:color="auto"/>
      </w:divBdr>
    </w:div>
    <w:div w:id="797527998">
      <w:bodyDiv w:val="1"/>
      <w:marLeft w:val="0"/>
      <w:marRight w:val="0"/>
      <w:marTop w:val="0"/>
      <w:marBottom w:val="0"/>
      <w:divBdr>
        <w:top w:val="none" w:sz="0" w:space="0" w:color="auto"/>
        <w:left w:val="none" w:sz="0" w:space="0" w:color="auto"/>
        <w:bottom w:val="none" w:sz="0" w:space="0" w:color="auto"/>
        <w:right w:val="none" w:sz="0" w:space="0" w:color="auto"/>
      </w:divBdr>
    </w:div>
    <w:div w:id="1830514686">
      <w:bodyDiv w:val="1"/>
      <w:marLeft w:val="0"/>
      <w:marRight w:val="0"/>
      <w:marTop w:val="0"/>
      <w:marBottom w:val="0"/>
      <w:divBdr>
        <w:top w:val="none" w:sz="0" w:space="0" w:color="auto"/>
        <w:left w:val="none" w:sz="0" w:space="0" w:color="auto"/>
        <w:bottom w:val="none" w:sz="0" w:space="0" w:color="auto"/>
        <w:right w:val="none" w:sz="0" w:space="0" w:color="auto"/>
      </w:divBdr>
    </w:div>
    <w:div w:id="21265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2017-01-06T08:00:00+00:00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B4ED74E-45B5-46B6-A4FE-37666465699F}">
  <ds:schemaRef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6a7bd91e-004b-490a-8704-e368d63d59a0"/>
  </ds:schemaRefs>
</ds:datastoreItem>
</file>

<file path=customXml/itemProps2.xml><?xml version="1.0" encoding="utf-8"?>
<ds:datastoreItem xmlns:ds="http://schemas.openxmlformats.org/officeDocument/2006/customXml" ds:itemID="{19500322-F7E4-4D60-948F-6D2D34EE79D2}">
  <ds:schemaRefs>
    <ds:schemaRef ds:uri="http://schemas.microsoft.com/sharepoint/v3/contenttype/forms"/>
  </ds:schemaRefs>
</ds:datastoreItem>
</file>

<file path=customXml/itemProps3.xml><?xml version="1.0" encoding="utf-8"?>
<ds:datastoreItem xmlns:ds="http://schemas.openxmlformats.org/officeDocument/2006/customXml" ds:itemID="{1C7CDD7C-05F0-4B5A-B597-4FA2F7C6290D}"/>
</file>

<file path=customXml/itemProps4.xml><?xml version="1.0" encoding="utf-8"?>
<ds:datastoreItem xmlns:ds="http://schemas.openxmlformats.org/officeDocument/2006/customXml" ds:itemID="{866A7106-4150-4B06-B595-915290F73CC2}"/>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Hemstreet</dc:creator>
  <cp:lastModifiedBy>Kredel, Ashley (UTC)</cp:lastModifiedBy>
  <cp:revision>2</cp:revision>
  <cp:lastPrinted>2017-01-05T18:49:00Z</cp:lastPrinted>
  <dcterms:created xsi:type="dcterms:W3CDTF">2017-01-06T21:45:00Z</dcterms:created>
  <dcterms:modified xsi:type="dcterms:W3CDTF">2017-01-06T21:45:00Z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_docset_NoMedatataSyncRequired">
    <vt:lpwstr>False</vt:lpwstr>
  </property>
</Properties>
</file>