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val="0"/>
          <w:bCs w:val="0"/>
          <w:color w:val="auto"/>
          <w:sz w:val="24"/>
          <w:szCs w:val="24"/>
          <w:lang w:eastAsia="en-US"/>
        </w:rPr>
        <w:id w:val="408197901"/>
        <w:docPartObj>
          <w:docPartGallery w:val="Table of Contents"/>
          <w:docPartUnique/>
        </w:docPartObj>
      </w:sdtPr>
      <w:sdtEndPr>
        <w:rPr>
          <w:noProof/>
        </w:rPr>
      </w:sdtEndPr>
      <w:sdtContent>
        <w:p w:rsidR="00ED636B" w:rsidRPr="00ED636B" w:rsidRDefault="00ED636B" w:rsidP="00ED636B">
          <w:pPr>
            <w:pStyle w:val="TOCHeading"/>
            <w:suppressLineNumbers/>
            <w:jc w:val="center"/>
            <w:rPr>
              <w:rFonts w:ascii="Times New Roman Bold" w:hAnsi="Times New Roman Bold" w:cs="Times New Roman"/>
              <w:caps/>
              <w:color w:val="auto"/>
              <w:sz w:val="24"/>
              <w:szCs w:val="24"/>
            </w:rPr>
          </w:pPr>
          <w:r w:rsidRPr="00ED636B">
            <w:rPr>
              <w:rFonts w:ascii="Times New Roman Bold" w:hAnsi="Times New Roman Bold" w:cs="Times New Roman"/>
              <w:caps/>
              <w:color w:val="auto"/>
              <w:sz w:val="24"/>
              <w:szCs w:val="24"/>
            </w:rPr>
            <w:t>Table of Contents</w:t>
          </w:r>
        </w:p>
        <w:p w:rsidR="00ED636B" w:rsidRDefault="00ED636B" w:rsidP="00ED636B">
          <w:pPr>
            <w:pStyle w:val="TOC1"/>
            <w:rPr>
              <w:noProof/>
            </w:rPr>
          </w:pPr>
          <w:r>
            <w:fldChar w:fldCharType="begin"/>
          </w:r>
          <w:r>
            <w:instrText xml:space="preserve"> TOC \o "1-3" \h \z \u </w:instrText>
          </w:r>
          <w:r>
            <w:fldChar w:fldCharType="separate"/>
          </w:r>
          <w:hyperlink w:anchor="_Toc386626879" w:history="1">
            <w:r w:rsidRPr="00C95046">
              <w:rPr>
                <w:rStyle w:val="Hyperlink"/>
                <w:noProof/>
              </w:rPr>
              <w:t>QUALIFICATIONS</w:t>
            </w:r>
            <w:r>
              <w:rPr>
                <w:noProof/>
                <w:webHidden/>
              </w:rPr>
              <w:tab/>
            </w:r>
            <w:r>
              <w:rPr>
                <w:noProof/>
                <w:webHidden/>
              </w:rPr>
              <w:fldChar w:fldCharType="begin"/>
            </w:r>
            <w:r>
              <w:rPr>
                <w:noProof/>
                <w:webHidden/>
              </w:rPr>
              <w:instrText xml:space="preserve"> PAGEREF _Toc386626879 \h </w:instrText>
            </w:r>
            <w:r>
              <w:rPr>
                <w:noProof/>
                <w:webHidden/>
              </w:rPr>
            </w:r>
            <w:r>
              <w:rPr>
                <w:noProof/>
                <w:webHidden/>
              </w:rPr>
              <w:fldChar w:fldCharType="separate"/>
            </w:r>
            <w:r w:rsidR="00406291">
              <w:rPr>
                <w:noProof/>
                <w:webHidden/>
              </w:rPr>
              <w:t>1</w:t>
            </w:r>
            <w:r>
              <w:rPr>
                <w:noProof/>
                <w:webHidden/>
              </w:rPr>
              <w:fldChar w:fldCharType="end"/>
            </w:r>
          </w:hyperlink>
        </w:p>
        <w:p w:rsidR="00ED636B" w:rsidRDefault="000468CC" w:rsidP="00ED636B">
          <w:pPr>
            <w:pStyle w:val="TOC1"/>
            <w:rPr>
              <w:noProof/>
            </w:rPr>
          </w:pPr>
          <w:hyperlink w:anchor="_Toc386626880" w:history="1">
            <w:r w:rsidR="00ED636B" w:rsidRPr="00C95046">
              <w:rPr>
                <w:rStyle w:val="Hyperlink"/>
                <w:noProof/>
              </w:rPr>
              <w:t>PURPOSE OF TESTIMONY</w:t>
            </w:r>
            <w:r w:rsidR="00ED636B">
              <w:rPr>
                <w:noProof/>
                <w:webHidden/>
              </w:rPr>
              <w:tab/>
            </w:r>
            <w:r w:rsidR="00ED636B">
              <w:rPr>
                <w:noProof/>
                <w:webHidden/>
              </w:rPr>
              <w:fldChar w:fldCharType="begin"/>
            </w:r>
            <w:r w:rsidR="00ED636B">
              <w:rPr>
                <w:noProof/>
                <w:webHidden/>
              </w:rPr>
              <w:instrText xml:space="preserve"> PAGEREF _Toc386626880 \h </w:instrText>
            </w:r>
            <w:r w:rsidR="00ED636B">
              <w:rPr>
                <w:noProof/>
                <w:webHidden/>
              </w:rPr>
            </w:r>
            <w:r w:rsidR="00ED636B">
              <w:rPr>
                <w:noProof/>
                <w:webHidden/>
              </w:rPr>
              <w:fldChar w:fldCharType="separate"/>
            </w:r>
            <w:r w:rsidR="00406291">
              <w:rPr>
                <w:noProof/>
                <w:webHidden/>
              </w:rPr>
              <w:t>2</w:t>
            </w:r>
            <w:r w:rsidR="00ED636B">
              <w:rPr>
                <w:noProof/>
                <w:webHidden/>
              </w:rPr>
              <w:fldChar w:fldCharType="end"/>
            </w:r>
          </w:hyperlink>
        </w:p>
        <w:p w:rsidR="00ED636B" w:rsidRDefault="000468CC" w:rsidP="00ED636B">
          <w:pPr>
            <w:pStyle w:val="TOC1"/>
            <w:rPr>
              <w:noProof/>
            </w:rPr>
          </w:pPr>
          <w:hyperlink w:anchor="_Toc386626881" w:history="1">
            <w:r w:rsidR="00ED636B" w:rsidRPr="00C95046">
              <w:rPr>
                <w:rStyle w:val="Hyperlink"/>
                <w:noProof/>
              </w:rPr>
              <w:t>OVERVIEW OF TEST PERIOD AND ALLOCATION METHODOLOGY</w:t>
            </w:r>
            <w:r w:rsidR="00ED636B">
              <w:rPr>
                <w:noProof/>
                <w:webHidden/>
              </w:rPr>
              <w:tab/>
            </w:r>
            <w:r w:rsidR="00ED636B">
              <w:rPr>
                <w:noProof/>
                <w:webHidden/>
              </w:rPr>
              <w:fldChar w:fldCharType="begin"/>
            </w:r>
            <w:r w:rsidR="00ED636B">
              <w:rPr>
                <w:noProof/>
                <w:webHidden/>
              </w:rPr>
              <w:instrText xml:space="preserve"> PAGEREF _Toc386626881 \h </w:instrText>
            </w:r>
            <w:r w:rsidR="00ED636B">
              <w:rPr>
                <w:noProof/>
                <w:webHidden/>
              </w:rPr>
            </w:r>
            <w:r w:rsidR="00ED636B">
              <w:rPr>
                <w:noProof/>
                <w:webHidden/>
              </w:rPr>
              <w:fldChar w:fldCharType="separate"/>
            </w:r>
            <w:r w:rsidR="00406291">
              <w:rPr>
                <w:noProof/>
                <w:webHidden/>
              </w:rPr>
              <w:t>3</w:t>
            </w:r>
            <w:r w:rsidR="00ED636B">
              <w:rPr>
                <w:noProof/>
                <w:webHidden/>
              </w:rPr>
              <w:fldChar w:fldCharType="end"/>
            </w:r>
          </w:hyperlink>
        </w:p>
        <w:p w:rsidR="00ED636B" w:rsidRDefault="000468CC" w:rsidP="00ED636B">
          <w:pPr>
            <w:pStyle w:val="TOC1"/>
            <w:rPr>
              <w:noProof/>
            </w:rPr>
          </w:pPr>
          <w:hyperlink w:anchor="_Toc386626882" w:history="1">
            <w:r w:rsidR="00ED636B" w:rsidRPr="00C95046">
              <w:rPr>
                <w:rStyle w:val="Hyperlink"/>
                <w:noProof/>
              </w:rPr>
              <w:t>REQUEST FOR AMORTIZATION OF DEFERRED AMOUNTS</w:t>
            </w:r>
            <w:r w:rsidR="00ED636B">
              <w:rPr>
                <w:noProof/>
                <w:webHidden/>
              </w:rPr>
              <w:tab/>
            </w:r>
            <w:r w:rsidR="00ED636B">
              <w:rPr>
                <w:noProof/>
                <w:webHidden/>
              </w:rPr>
              <w:fldChar w:fldCharType="begin"/>
            </w:r>
            <w:r w:rsidR="00ED636B">
              <w:rPr>
                <w:noProof/>
                <w:webHidden/>
              </w:rPr>
              <w:instrText xml:space="preserve"> PAGEREF _Toc386626882 \h </w:instrText>
            </w:r>
            <w:r w:rsidR="00ED636B">
              <w:rPr>
                <w:noProof/>
                <w:webHidden/>
              </w:rPr>
            </w:r>
            <w:r w:rsidR="00ED636B">
              <w:rPr>
                <w:noProof/>
                <w:webHidden/>
              </w:rPr>
              <w:fldChar w:fldCharType="separate"/>
            </w:r>
            <w:r w:rsidR="00406291">
              <w:rPr>
                <w:noProof/>
                <w:webHidden/>
              </w:rPr>
              <w:t>8</w:t>
            </w:r>
            <w:r w:rsidR="00ED636B">
              <w:rPr>
                <w:noProof/>
                <w:webHidden/>
              </w:rPr>
              <w:fldChar w:fldCharType="end"/>
            </w:r>
          </w:hyperlink>
        </w:p>
        <w:p w:rsidR="00ED636B" w:rsidRDefault="000468CC" w:rsidP="00ED636B">
          <w:pPr>
            <w:pStyle w:val="TOC1"/>
            <w:rPr>
              <w:noProof/>
            </w:rPr>
          </w:pPr>
          <w:hyperlink w:anchor="_Toc386626883" w:history="1">
            <w:r w:rsidR="00ED636B" w:rsidRPr="00C95046">
              <w:rPr>
                <w:rStyle w:val="Hyperlink"/>
                <w:noProof/>
              </w:rPr>
              <w:t>REVENUE REQUIREMENT AND RESULTS OF OPERATIONS</w:t>
            </w:r>
            <w:r w:rsidR="00ED636B">
              <w:rPr>
                <w:noProof/>
                <w:webHidden/>
              </w:rPr>
              <w:tab/>
            </w:r>
            <w:r w:rsidR="00ED636B">
              <w:rPr>
                <w:noProof/>
                <w:webHidden/>
              </w:rPr>
              <w:fldChar w:fldCharType="begin"/>
            </w:r>
            <w:r w:rsidR="00ED636B">
              <w:rPr>
                <w:noProof/>
                <w:webHidden/>
              </w:rPr>
              <w:instrText xml:space="preserve"> PAGEREF _Toc386626883 \h </w:instrText>
            </w:r>
            <w:r w:rsidR="00ED636B">
              <w:rPr>
                <w:noProof/>
                <w:webHidden/>
              </w:rPr>
            </w:r>
            <w:r w:rsidR="00ED636B">
              <w:rPr>
                <w:noProof/>
                <w:webHidden/>
              </w:rPr>
              <w:fldChar w:fldCharType="separate"/>
            </w:r>
            <w:r w:rsidR="00406291">
              <w:rPr>
                <w:noProof/>
                <w:webHidden/>
              </w:rPr>
              <w:t>9</w:t>
            </w:r>
            <w:r w:rsidR="00ED636B">
              <w:rPr>
                <w:noProof/>
                <w:webHidden/>
              </w:rPr>
              <w:fldChar w:fldCharType="end"/>
            </w:r>
          </w:hyperlink>
        </w:p>
        <w:p w:rsidR="00ED636B" w:rsidRDefault="000468CC" w:rsidP="00ED636B">
          <w:pPr>
            <w:pStyle w:val="TOC2"/>
            <w:suppressLineNumbers/>
            <w:tabs>
              <w:tab w:val="right" w:leader="dot" w:pos="8990"/>
            </w:tabs>
            <w:rPr>
              <w:noProof/>
            </w:rPr>
          </w:pPr>
          <w:hyperlink w:anchor="_Toc386626884" w:history="1">
            <w:r w:rsidR="00ED636B" w:rsidRPr="00C95046">
              <w:rPr>
                <w:rStyle w:val="Hyperlink"/>
                <w:noProof/>
              </w:rPr>
              <w:t>Revenue Requirement</w:t>
            </w:r>
            <w:r w:rsidR="00ED636B">
              <w:rPr>
                <w:noProof/>
                <w:webHidden/>
              </w:rPr>
              <w:tab/>
            </w:r>
            <w:r w:rsidR="00ED636B">
              <w:rPr>
                <w:noProof/>
                <w:webHidden/>
              </w:rPr>
              <w:fldChar w:fldCharType="begin"/>
            </w:r>
            <w:r w:rsidR="00ED636B">
              <w:rPr>
                <w:noProof/>
                <w:webHidden/>
              </w:rPr>
              <w:instrText xml:space="preserve"> PAGEREF _Toc386626884 \h </w:instrText>
            </w:r>
            <w:r w:rsidR="00ED636B">
              <w:rPr>
                <w:noProof/>
                <w:webHidden/>
              </w:rPr>
            </w:r>
            <w:r w:rsidR="00ED636B">
              <w:rPr>
                <w:noProof/>
                <w:webHidden/>
              </w:rPr>
              <w:fldChar w:fldCharType="separate"/>
            </w:r>
            <w:r w:rsidR="00406291">
              <w:rPr>
                <w:noProof/>
                <w:webHidden/>
              </w:rPr>
              <w:t>9</w:t>
            </w:r>
            <w:r w:rsidR="00ED636B">
              <w:rPr>
                <w:noProof/>
                <w:webHidden/>
              </w:rPr>
              <w:fldChar w:fldCharType="end"/>
            </w:r>
          </w:hyperlink>
        </w:p>
        <w:p w:rsidR="00ED636B" w:rsidRDefault="000468CC" w:rsidP="00ED636B">
          <w:pPr>
            <w:pStyle w:val="TOC2"/>
            <w:suppressLineNumbers/>
            <w:tabs>
              <w:tab w:val="right" w:leader="dot" w:pos="8990"/>
            </w:tabs>
            <w:rPr>
              <w:noProof/>
            </w:rPr>
          </w:pPr>
          <w:hyperlink w:anchor="_Toc386626885" w:history="1">
            <w:r w:rsidR="00ED636B" w:rsidRPr="00C95046">
              <w:rPr>
                <w:rStyle w:val="Hyperlink"/>
                <w:noProof/>
              </w:rPr>
              <w:t>Revenue Requirement Calculation</w:t>
            </w:r>
            <w:r w:rsidR="00ED636B">
              <w:rPr>
                <w:noProof/>
                <w:webHidden/>
              </w:rPr>
              <w:tab/>
            </w:r>
            <w:r w:rsidR="00ED636B">
              <w:rPr>
                <w:noProof/>
                <w:webHidden/>
              </w:rPr>
              <w:fldChar w:fldCharType="begin"/>
            </w:r>
            <w:r w:rsidR="00ED636B">
              <w:rPr>
                <w:noProof/>
                <w:webHidden/>
              </w:rPr>
              <w:instrText xml:space="preserve"> PAGEREF _Toc386626885 \h </w:instrText>
            </w:r>
            <w:r w:rsidR="00ED636B">
              <w:rPr>
                <w:noProof/>
                <w:webHidden/>
              </w:rPr>
            </w:r>
            <w:r w:rsidR="00ED636B">
              <w:rPr>
                <w:noProof/>
                <w:webHidden/>
              </w:rPr>
              <w:fldChar w:fldCharType="separate"/>
            </w:r>
            <w:r w:rsidR="00406291">
              <w:rPr>
                <w:noProof/>
                <w:webHidden/>
              </w:rPr>
              <w:t>10</w:t>
            </w:r>
            <w:r w:rsidR="00ED636B">
              <w:rPr>
                <w:noProof/>
                <w:webHidden/>
              </w:rPr>
              <w:fldChar w:fldCharType="end"/>
            </w:r>
          </w:hyperlink>
        </w:p>
        <w:p w:rsidR="00ED636B" w:rsidRDefault="000468CC" w:rsidP="00ED636B">
          <w:pPr>
            <w:pStyle w:val="TOC2"/>
            <w:suppressLineNumbers/>
            <w:tabs>
              <w:tab w:val="right" w:leader="dot" w:pos="8990"/>
            </w:tabs>
            <w:rPr>
              <w:noProof/>
            </w:rPr>
          </w:pPr>
          <w:hyperlink w:anchor="_Toc386626886" w:history="1">
            <w:r w:rsidR="00ED636B" w:rsidRPr="00C95046">
              <w:rPr>
                <w:rStyle w:val="Hyperlink"/>
                <w:noProof/>
              </w:rPr>
              <w:t>Tab 3—Revenue Adjustments</w:t>
            </w:r>
            <w:r w:rsidR="00ED636B">
              <w:rPr>
                <w:noProof/>
                <w:webHidden/>
              </w:rPr>
              <w:tab/>
            </w:r>
            <w:r w:rsidR="00ED636B">
              <w:rPr>
                <w:noProof/>
                <w:webHidden/>
              </w:rPr>
              <w:fldChar w:fldCharType="begin"/>
            </w:r>
            <w:r w:rsidR="00ED636B">
              <w:rPr>
                <w:noProof/>
                <w:webHidden/>
              </w:rPr>
              <w:instrText xml:space="preserve"> PAGEREF _Toc386626886 \h </w:instrText>
            </w:r>
            <w:r w:rsidR="00ED636B">
              <w:rPr>
                <w:noProof/>
                <w:webHidden/>
              </w:rPr>
            </w:r>
            <w:r w:rsidR="00ED636B">
              <w:rPr>
                <w:noProof/>
                <w:webHidden/>
              </w:rPr>
              <w:fldChar w:fldCharType="separate"/>
            </w:r>
            <w:r w:rsidR="00406291">
              <w:rPr>
                <w:noProof/>
                <w:webHidden/>
              </w:rPr>
              <w:t>13</w:t>
            </w:r>
            <w:r w:rsidR="00ED636B">
              <w:rPr>
                <w:noProof/>
                <w:webHidden/>
              </w:rPr>
              <w:fldChar w:fldCharType="end"/>
            </w:r>
          </w:hyperlink>
        </w:p>
        <w:p w:rsidR="00ED636B" w:rsidRDefault="000468CC" w:rsidP="00ED636B">
          <w:pPr>
            <w:pStyle w:val="TOC2"/>
            <w:suppressLineNumbers/>
            <w:tabs>
              <w:tab w:val="right" w:leader="dot" w:pos="8990"/>
            </w:tabs>
            <w:rPr>
              <w:noProof/>
            </w:rPr>
          </w:pPr>
          <w:hyperlink w:anchor="_Toc386626887" w:history="1">
            <w:r w:rsidR="00ED636B" w:rsidRPr="00C95046">
              <w:rPr>
                <w:rStyle w:val="Hyperlink"/>
                <w:noProof/>
              </w:rPr>
              <w:t>Tab 4—O&amp;M Adjustments</w:t>
            </w:r>
            <w:r w:rsidR="00ED636B">
              <w:rPr>
                <w:noProof/>
                <w:webHidden/>
              </w:rPr>
              <w:tab/>
            </w:r>
            <w:r w:rsidR="00ED636B">
              <w:rPr>
                <w:noProof/>
                <w:webHidden/>
              </w:rPr>
              <w:fldChar w:fldCharType="begin"/>
            </w:r>
            <w:r w:rsidR="00ED636B">
              <w:rPr>
                <w:noProof/>
                <w:webHidden/>
              </w:rPr>
              <w:instrText xml:space="preserve"> PAGEREF _Toc386626887 \h </w:instrText>
            </w:r>
            <w:r w:rsidR="00ED636B">
              <w:rPr>
                <w:noProof/>
                <w:webHidden/>
              </w:rPr>
            </w:r>
            <w:r w:rsidR="00ED636B">
              <w:rPr>
                <w:noProof/>
                <w:webHidden/>
              </w:rPr>
              <w:fldChar w:fldCharType="separate"/>
            </w:r>
            <w:r w:rsidR="00406291">
              <w:rPr>
                <w:noProof/>
                <w:webHidden/>
              </w:rPr>
              <w:t>16</w:t>
            </w:r>
            <w:r w:rsidR="00ED636B">
              <w:rPr>
                <w:noProof/>
                <w:webHidden/>
              </w:rPr>
              <w:fldChar w:fldCharType="end"/>
            </w:r>
          </w:hyperlink>
        </w:p>
        <w:p w:rsidR="00ED636B" w:rsidRDefault="000468CC" w:rsidP="00ED636B">
          <w:pPr>
            <w:pStyle w:val="TOC2"/>
            <w:suppressLineNumbers/>
            <w:tabs>
              <w:tab w:val="right" w:leader="dot" w:pos="8990"/>
            </w:tabs>
            <w:rPr>
              <w:noProof/>
            </w:rPr>
          </w:pPr>
          <w:hyperlink w:anchor="_Toc386626888" w:history="1">
            <w:r w:rsidR="00ED636B" w:rsidRPr="00C95046">
              <w:rPr>
                <w:rStyle w:val="Hyperlink"/>
                <w:noProof/>
              </w:rPr>
              <w:t>Tab 5—Net Power Cost Adjustments</w:t>
            </w:r>
            <w:r w:rsidR="00ED636B">
              <w:rPr>
                <w:noProof/>
                <w:webHidden/>
              </w:rPr>
              <w:tab/>
            </w:r>
            <w:r w:rsidR="00ED636B">
              <w:rPr>
                <w:noProof/>
                <w:webHidden/>
              </w:rPr>
              <w:fldChar w:fldCharType="begin"/>
            </w:r>
            <w:r w:rsidR="00ED636B">
              <w:rPr>
                <w:noProof/>
                <w:webHidden/>
              </w:rPr>
              <w:instrText xml:space="preserve"> PAGEREF _Toc386626888 \h </w:instrText>
            </w:r>
            <w:r w:rsidR="00ED636B">
              <w:rPr>
                <w:noProof/>
                <w:webHidden/>
              </w:rPr>
            </w:r>
            <w:r w:rsidR="00ED636B">
              <w:rPr>
                <w:noProof/>
                <w:webHidden/>
              </w:rPr>
              <w:fldChar w:fldCharType="separate"/>
            </w:r>
            <w:r w:rsidR="00406291">
              <w:rPr>
                <w:noProof/>
                <w:webHidden/>
              </w:rPr>
              <w:t>19</w:t>
            </w:r>
            <w:r w:rsidR="00ED636B">
              <w:rPr>
                <w:noProof/>
                <w:webHidden/>
              </w:rPr>
              <w:fldChar w:fldCharType="end"/>
            </w:r>
          </w:hyperlink>
        </w:p>
        <w:p w:rsidR="00ED636B" w:rsidRDefault="000468CC" w:rsidP="00ED636B">
          <w:pPr>
            <w:pStyle w:val="TOC2"/>
            <w:suppressLineNumbers/>
            <w:tabs>
              <w:tab w:val="right" w:leader="dot" w:pos="8990"/>
            </w:tabs>
            <w:rPr>
              <w:noProof/>
            </w:rPr>
          </w:pPr>
          <w:hyperlink w:anchor="_Toc386626889" w:history="1">
            <w:r w:rsidR="00ED636B" w:rsidRPr="00C95046">
              <w:rPr>
                <w:rStyle w:val="Hyperlink"/>
                <w:noProof/>
              </w:rPr>
              <w:t>Tab 6—Depreciation and Amortization Adjustments</w:t>
            </w:r>
            <w:r w:rsidR="00ED636B">
              <w:rPr>
                <w:noProof/>
                <w:webHidden/>
              </w:rPr>
              <w:tab/>
            </w:r>
            <w:r w:rsidR="00ED636B">
              <w:rPr>
                <w:noProof/>
                <w:webHidden/>
              </w:rPr>
              <w:fldChar w:fldCharType="begin"/>
            </w:r>
            <w:r w:rsidR="00ED636B">
              <w:rPr>
                <w:noProof/>
                <w:webHidden/>
              </w:rPr>
              <w:instrText xml:space="preserve"> PAGEREF _Toc386626889 \h </w:instrText>
            </w:r>
            <w:r w:rsidR="00ED636B">
              <w:rPr>
                <w:noProof/>
                <w:webHidden/>
              </w:rPr>
            </w:r>
            <w:r w:rsidR="00ED636B">
              <w:rPr>
                <w:noProof/>
                <w:webHidden/>
              </w:rPr>
              <w:fldChar w:fldCharType="separate"/>
            </w:r>
            <w:r w:rsidR="00406291">
              <w:rPr>
                <w:noProof/>
                <w:webHidden/>
              </w:rPr>
              <w:t>21</w:t>
            </w:r>
            <w:r w:rsidR="00ED636B">
              <w:rPr>
                <w:noProof/>
                <w:webHidden/>
              </w:rPr>
              <w:fldChar w:fldCharType="end"/>
            </w:r>
          </w:hyperlink>
        </w:p>
        <w:p w:rsidR="00ED636B" w:rsidRDefault="000468CC" w:rsidP="00ED636B">
          <w:pPr>
            <w:pStyle w:val="TOC2"/>
            <w:suppressLineNumbers/>
            <w:tabs>
              <w:tab w:val="right" w:leader="dot" w:pos="8990"/>
            </w:tabs>
            <w:rPr>
              <w:noProof/>
            </w:rPr>
          </w:pPr>
          <w:hyperlink w:anchor="_Toc386626890" w:history="1">
            <w:r w:rsidR="00ED636B" w:rsidRPr="00C95046">
              <w:rPr>
                <w:rStyle w:val="Hyperlink"/>
                <w:noProof/>
              </w:rPr>
              <w:t>Tab 7—Tax Adjustments</w:t>
            </w:r>
            <w:r w:rsidR="00ED636B">
              <w:rPr>
                <w:noProof/>
                <w:webHidden/>
              </w:rPr>
              <w:tab/>
            </w:r>
            <w:r w:rsidR="00ED636B">
              <w:rPr>
                <w:noProof/>
                <w:webHidden/>
              </w:rPr>
              <w:fldChar w:fldCharType="begin"/>
            </w:r>
            <w:r w:rsidR="00ED636B">
              <w:rPr>
                <w:noProof/>
                <w:webHidden/>
              </w:rPr>
              <w:instrText xml:space="preserve"> PAGEREF _Toc386626890 \h </w:instrText>
            </w:r>
            <w:r w:rsidR="00ED636B">
              <w:rPr>
                <w:noProof/>
                <w:webHidden/>
              </w:rPr>
            </w:r>
            <w:r w:rsidR="00ED636B">
              <w:rPr>
                <w:noProof/>
                <w:webHidden/>
              </w:rPr>
              <w:fldChar w:fldCharType="separate"/>
            </w:r>
            <w:r w:rsidR="00406291">
              <w:rPr>
                <w:noProof/>
                <w:webHidden/>
              </w:rPr>
              <w:t>22</w:t>
            </w:r>
            <w:r w:rsidR="00ED636B">
              <w:rPr>
                <w:noProof/>
                <w:webHidden/>
              </w:rPr>
              <w:fldChar w:fldCharType="end"/>
            </w:r>
          </w:hyperlink>
        </w:p>
        <w:p w:rsidR="00ED636B" w:rsidRDefault="000468CC" w:rsidP="00ED636B">
          <w:pPr>
            <w:pStyle w:val="TOC2"/>
            <w:suppressLineNumbers/>
            <w:tabs>
              <w:tab w:val="right" w:leader="dot" w:pos="8990"/>
            </w:tabs>
            <w:rPr>
              <w:noProof/>
            </w:rPr>
          </w:pPr>
          <w:hyperlink w:anchor="_Toc386626891" w:history="1">
            <w:r w:rsidR="00ED636B" w:rsidRPr="00C95046">
              <w:rPr>
                <w:rStyle w:val="Hyperlink"/>
                <w:noProof/>
              </w:rPr>
              <w:t>Tab 8—Rate Base Adjustments</w:t>
            </w:r>
            <w:r w:rsidR="00ED636B">
              <w:rPr>
                <w:noProof/>
                <w:webHidden/>
              </w:rPr>
              <w:tab/>
            </w:r>
            <w:r w:rsidR="00ED636B">
              <w:rPr>
                <w:noProof/>
                <w:webHidden/>
              </w:rPr>
              <w:fldChar w:fldCharType="begin"/>
            </w:r>
            <w:r w:rsidR="00ED636B">
              <w:rPr>
                <w:noProof/>
                <w:webHidden/>
              </w:rPr>
              <w:instrText xml:space="preserve"> PAGEREF _Toc386626891 \h </w:instrText>
            </w:r>
            <w:r w:rsidR="00ED636B">
              <w:rPr>
                <w:noProof/>
                <w:webHidden/>
              </w:rPr>
            </w:r>
            <w:r w:rsidR="00ED636B">
              <w:rPr>
                <w:noProof/>
                <w:webHidden/>
              </w:rPr>
              <w:fldChar w:fldCharType="separate"/>
            </w:r>
            <w:r w:rsidR="00406291">
              <w:rPr>
                <w:noProof/>
                <w:webHidden/>
              </w:rPr>
              <w:t>25</w:t>
            </w:r>
            <w:r w:rsidR="00ED636B">
              <w:rPr>
                <w:noProof/>
                <w:webHidden/>
              </w:rPr>
              <w:fldChar w:fldCharType="end"/>
            </w:r>
          </w:hyperlink>
        </w:p>
        <w:p w:rsidR="00ED636B" w:rsidRDefault="000468CC" w:rsidP="00ED636B">
          <w:pPr>
            <w:pStyle w:val="TOC2"/>
            <w:suppressLineNumbers/>
            <w:tabs>
              <w:tab w:val="right" w:leader="dot" w:pos="8990"/>
            </w:tabs>
            <w:rPr>
              <w:noProof/>
            </w:rPr>
          </w:pPr>
          <w:hyperlink w:anchor="_Toc386626892" w:history="1">
            <w:r w:rsidR="00ED636B" w:rsidRPr="00C95046">
              <w:rPr>
                <w:rStyle w:val="Hyperlink"/>
                <w:noProof/>
              </w:rPr>
              <w:t>Tab 9—Production Factor</w:t>
            </w:r>
            <w:r w:rsidR="00ED636B">
              <w:rPr>
                <w:noProof/>
                <w:webHidden/>
              </w:rPr>
              <w:tab/>
            </w:r>
            <w:r w:rsidR="00ED636B">
              <w:rPr>
                <w:noProof/>
                <w:webHidden/>
              </w:rPr>
              <w:fldChar w:fldCharType="begin"/>
            </w:r>
            <w:r w:rsidR="00ED636B">
              <w:rPr>
                <w:noProof/>
                <w:webHidden/>
              </w:rPr>
              <w:instrText xml:space="preserve"> PAGEREF _Toc386626892 \h </w:instrText>
            </w:r>
            <w:r w:rsidR="00ED636B">
              <w:rPr>
                <w:noProof/>
                <w:webHidden/>
              </w:rPr>
            </w:r>
            <w:r w:rsidR="00ED636B">
              <w:rPr>
                <w:noProof/>
                <w:webHidden/>
              </w:rPr>
              <w:fldChar w:fldCharType="separate"/>
            </w:r>
            <w:r w:rsidR="00406291">
              <w:rPr>
                <w:noProof/>
                <w:webHidden/>
              </w:rPr>
              <w:t>29</w:t>
            </w:r>
            <w:r w:rsidR="00ED636B">
              <w:rPr>
                <w:noProof/>
                <w:webHidden/>
              </w:rPr>
              <w:fldChar w:fldCharType="end"/>
            </w:r>
          </w:hyperlink>
        </w:p>
        <w:p w:rsidR="00ED636B" w:rsidRDefault="000468CC" w:rsidP="00ED636B">
          <w:pPr>
            <w:pStyle w:val="TOC2"/>
            <w:suppressLineNumbers/>
            <w:tabs>
              <w:tab w:val="right" w:leader="dot" w:pos="8990"/>
            </w:tabs>
            <w:rPr>
              <w:noProof/>
            </w:rPr>
          </w:pPr>
          <w:hyperlink w:anchor="_Toc386626893" w:history="1">
            <w:r w:rsidR="00ED636B" w:rsidRPr="00C95046">
              <w:rPr>
                <w:rStyle w:val="Hyperlink"/>
                <w:noProof/>
              </w:rPr>
              <w:t>Tab 10—Allocation Factors</w:t>
            </w:r>
            <w:r w:rsidR="00ED636B">
              <w:rPr>
                <w:noProof/>
                <w:webHidden/>
              </w:rPr>
              <w:tab/>
            </w:r>
            <w:r w:rsidR="00ED636B">
              <w:rPr>
                <w:noProof/>
                <w:webHidden/>
              </w:rPr>
              <w:fldChar w:fldCharType="begin"/>
            </w:r>
            <w:r w:rsidR="00ED636B">
              <w:rPr>
                <w:noProof/>
                <w:webHidden/>
              </w:rPr>
              <w:instrText xml:space="preserve"> PAGEREF _Toc386626893 \h </w:instrText>
            </w:r>
            <w:r w:rsidR="00ED636B">
              <w:rPr>
                <w:noProof/>
                <w:webHidden/>
              </w:rPr>
            </w:r>
            <w:r w:rsidR="00ED636B">
              <w:rPr>
                <w:noProof/>
                <w:webHidden/>
              </w:rPr>
              <w:fldChar w:fldCharType="separate"/>
            </w:r>
            <w:r w:rsidR="00406291">
              <w:rPr>
                <w:noProof/>
                <w:webHidden/>
              </w:rPr>
              <w:t>30</w:t>
            </w:r>
            <w:r w:rsidR="00ED636B">
              <w:rPr>
                <w:noProof/>
                <w:webHidden/>
              </w:rPr>
              <w:fldChar w:fldCharType="end"/>
            </w:r>
          </w:hyperlink>
        </w:p>
        <w:p w:rsidR="00ED636B" w:rsidRDefault="000468CC" w:rsidP="00ED636B">
          <w:pPr>
            <w:pStyle w:val="TOC1"/>
            <w:rPr>
              <w:noProof/>
            </w:rPr>
          </w:pPr>
          <w:hyperlink w:anchor="_Toc386626894" w:history="1">
            <w:r w:rsidR="00ED636B" w:rsidRPr="00C95046">
              <w:rPr>
                <w:rStyle w:val="Hyperlink"/>
                <w:noProof/>
              </w:rPr>
              <w:t>DESCRIPTION OF ADDITIONAL EXHIBITS AND WORKPAPERS</w:t>
            </w:r>
            <w:r w:rsidR="00ED636B">
              <w:rPr>
                <w:noProof/>
                <w:webHidden/>
              </w:rPr>
              <w:tab/>
            </w:r>
            <w:r w:rsidR="00ED636B">
              <w:rPr>
                <w:noProof/>
                <w:webHidden/>
              </w:rPr>
              <w:fldChar w:fldCharType="begin"/>
            </w:r>
            <w:r w:rsidR="00ED636B">
              <w:rPr>
                <w:noProof/>
                <w:webHidden/>
              </w:rPr>
              <w:instrText xml:space="preserve"> PAGEREF _Toc386626894 \h </w:instrText>
            </w:r>
            <w:r w:rsidR="00ED636B">
              <w:rPr>
                <w:noProof/>
                <w:webHidden/>
              </w:rPr>
            </w:r>
            <w:r w:rsidR="00ED636B">
              <w:rPr>
                <w:noProof/>
                <w:webHidden/>
              </w:rPr>
              <w:fldChar w:fldCharType="separate"/>
            </w:r>
            <w:r w:rsidR="00406291">
              <w:rPr>
                <w:noProof/>
                <w:webHidden/>
              </w:rPr>
              <w:t>30</w:t>
            </w:r>
            <w:r w:rsidR="00ED636B">
              <w:rPr>
                <w:noProof/>
                <w:webHidden/>
              </w:rPr>
              <w:fldChar w:fldCharType="end"/>
            </w:r>
          </w:hyperlink>
        </w:p>
        <w:p w:rsidR="00ED636B" w:rsidRDefault="000468CC" w:rsidP="00ED636B">
          <w:pPr>
            <w:pStyle w:val="TOC2"/>
            <w:suppressLineNumbers/>
            <w:tabs>
              <w:tab w:val="right" w:leader="dot" w:pos="8990"/>
            </w:tabs>
            <w:rPr>
              <w:noProof/>
            </w:rPr>
          </w:pPr>
          <w:hyperlink w:anchor="_Toc386626895" w:history="1">
            <w:r w:rsidR="00ED636B" w:rsidRPr="00C95046">
              <w:rPr>
                <w:rStyle w:val="Hyperlink"/>
                <w:noProof/>
              </w:rPr>
              <w:t>Additional Revenue Requirement Exhibits</w:t>
            </w:r>
            <w:r w:rsidR="00ED636B">
              <w:rPr>
                <w:noProof/>
                <w:webHidden/>
              </w:rPr>
              <w:tab/>
            </w:r>
            <w:r w:rsidR="00ED636B">
              <w:rPr>
                <w:noProof/>
                <w:webHidden/>
              </w:rPr>
              <w:fldChar w:fldCharType="begin"/>
            </w:r>
            <w:r w:rsidR="00ED636B">
              <w:rPr>
                <w:noProof/>
                <w:webHidden/>
              </w:rPr>
              <w:instrText xml:space="preserve"> PAGEREF _Toc386626895 \h </w:instrText>
            </w:r>
            <w:r w:rsidR="00ED636B">
              <w:rPr>
                <w:noProof/>
                <w:webHidden/>
              </w:rPr>
            </w:r>
            <w:r w:rsidR="00ED636B">
              <w:rPr>
                <w:noProof/>
                <w:webHidden/>
              </w:rPr>
              <w:fldChar w:fldCharType="separate"/>
            </w:r>
            <w:r w:rsidR="00406291">
              <w:rPr>
                <w:noProof/>
                <w:webHidden/>
              </w:rPr>
              <w:t>30</w:t>
            </w:r>
            <w:r w:rsidR="00ED636B">
              <w:rPr>
                <w:noProof/>
                <w:webHidden/>
              </w:rPr>
              <w:fldChar w:fldCharType="end"/>
            </w:r>
          </w:hyperlink>
        </w:p>
        <w:p w:rsidR="00ED636B" w:rsidRDefault="000468CC" w:rsidP="00ED636B">
          <w:pPr>
            <w:pStyle w:val="TOC2"/>
            <w:suppressLineNumbers/>
            <w:tabs>
              <w:tab w:val="right" w:leader="dot" w:pos="8990"/>
            </w:tabs>
            <w:rPr>
              <w:noProof/>
            </w:rPr>
          </w:pPr>
          <w:hyperlink w:anchor="_Toc386626896" w:history="1">
            <w:r w:rsidR="00ED636B" w:rsidRPr="00C95046">
              <w:rPr>
                <w:rStyle w:val="Hyperlink"/>
                <w:noProof/>
              </w:rPr>
              <w:t>Revenue Requirement Workpapers</w:t>
            </w:r>
            <w:r w:rsidR="00ED636B">
              <w:rPr>
                <w:noProof/>
                <w:webHidden/>
              </w:rPr>
              <w:tab/>
            </w:r>
            <w:r w:rsidR="00ED636B">
              <w:rPr>
                <w:noProof/>
                <w:webHidden/>
              </w:rPr>
              <w:fldChar w:fldCharType="begin"/>
            </w:r>
            <w:r w:rsidR="00ED636B">
              <w:rPr>
                <w:noProof/>
                <w:webHidden/>
              </w:rPr>
              <w:instrText xml:space="preserve"> PAGEREF _Toc386626896 \h </w:instrText>
            </w:r>
            <w:r w:rsidR="00ED636B">
              <w:rPr>
                <w:noProof/>
                <w:webHidden/>
              </w:rPr>
            </w:r>
            <w:r w:rsidR="00ED636B">
              <w:rPr>
                <w:noProof/>
                <w:webHidden/>
              </w:rPr>
              <w:fldChar w:fldCharType="separate"/>
            </w:r>
            <w:r w:rsidR="00406291">
              <w:rPr>
                <w:noProof/>
                <w:webHidden/>
              </w:rPr>
              <w:t>32</w:t>
            </w:r>
            <w:r w:rsidR="00ED636B">
              <w:rPr>
                <w:noProof/>
                <w:webHidden/>
              </w:rPr>
              <w:fldChar w:fldCharType="end"/>
            </w:r>
          </w:hyperlink>
        </w:p>
        <w:p w:rsidR="00ED636B" w:rsidRDefault="00ED636B" w:rsidP="00ED636B">
          <w:pPr>
            <w:suppressLineNumbers/>
          </w:pPr>
          <w:r>
            <w:rPr>
              <w:b/>
              <w:bCs/>
              <w:noProof/>
            </w:rPr>
            <w:fldChar w:fldCharType="end"/>
          </w:r>
        </w:p>
      </w:sdtContent>
    </w:sdt>
    <w:p w:rsidR="00ED636B" w:rsidRDefault="00ED636B" w:rsidP="00ED636B">
      <w:pPr>
        <w:suppressLineNumbers/>
        <w:spacing w:line="480" w:lineRule="auto"/>
        <w:ind w:left="720" w:hanging="720"/>
        <w:jc w:val="center"/>
        <w:rPr>
          <w:b/>
          <w:bCs/>
        </w:rPr>
      </w:pPr>
    </w:p>
    <w:p w:rsidR="00ED636B" w:rsidRPr="00ED636B" w:rsidRDefault="00ED636B" w:rsidP="00ED636B">
      <w:pPr>
        <w:suppressLineNumbers/>
        <w:spacing w:line="480" w:lineRule="auto"/>
        <w:ind w:left="720" w:hanging="720"/>
        <w:jc w:val="center"/>
        <w:rPr>
          <w:b/>
          <w:bCs/>
        </w:rPr>
      </w:pPr>
      <w:r w:rsidRPr="00ED636B">
        <w:rPr>
          <w:b/>
          <w:bCs/>
        </w:rPr>
        <w:t>ATTACHED EXHIBIT</w:t>
      </w:r>
      <w:r w:rsidR="00FB6251">
        <w:rPr>
          <w:b/>
          <w:bCs/>
        </w:rPr>
        <w:t>S</w:t>
      </w:r>
    </w:p>
    <w:p w:rsidR="00ED636B" w:rsidRPr="00ED636B" w:rsidRDefault="00ED636B" w:rsidP="00ED636B">
      <w:pPr>
        <w:suppressLineNumbers/>
        <w:tabs>
          <w:tab w:val="left" w:pos="2610"/>
        </w:tabs>
        <w:jc w:val="left"/>
        <w:rPr>
          <w:bCs/>
        </w:rPr>
      </w:pPr>
      <w:r>
        <w:rPr>
          <w:bCs/>
        </w:rPr>
        <w:t>Exhibit No.___(NCS</w:t>
      </w:r>
      <w:r w:rsidRPr="00ED636B">
        <w:rPr>
          <w:bCs/>
        </w:rPr>
        <w:t xml:space="preserve">-2)—Summary </w:t>
      </w:r>
      <w:r>
        <w:rPr>
          <w:bCs/>
        </w:rPr>
        <w:t>of the Washington Results of Operations for the Test</w:t>
      </w:r>
      <w:r w:rsidRPr="00ED636B">
        <w:rPr>
          <w:bCs/>
        </w:rPr>
        <w:t xml:space="preserve"> </w:t>
      </w:r>
      <w:r w:rsidRPr="00ED636B">
        <w:rPr>
          <w:bCs/>
        </w:rPr>
        <w:tab/>
      </w:r>
      <w:r>
        <w:rPr>
          <w:bCs/>
        </w:rPr>
        <w:t>Period</w:t>
      </w:r>
    </w:p>
    <w:p w:rsidR="00ED636B" w:rsidRDefault="00ED636B" w:rsidP="00ED636B">
      <w:pPr>
        <w:suppressLineNumbers/>
        <w:tabs>
          <w:tab w:val="left" w:pos="2610"/>
        </w:tabs>
        <w:jc w:val="left"/>
        <w:rPr>
          <w:bCs/>
        </w:rPr>
      </w:pPr>
      <w:r>
        <w:rPr>
          <w:bCs/>
        </w:rPr>
        <w:t>Exhibit No.___(NCS-3</w:t>
      </w:r>
      <w:r w:rsidRPr="00ED636B">
        <w:rPr>
          <w:bCs/>
        </w:rPr>
        <w:t>)—</w:t>
      </w:r>
      <w:r>
        <w:rPr>
          <w:bCs/>
        </w:rPr>
        <w:t>R</w:t>
      </w:r>
      <w:r w:rsidR="002C3890">
        <w:rPr>
          <w:bCs/>
        </w:rPr>
        <w:t>esults of Operations 12 Months E</w:t>
      </w:r>
      <w:r>
        <w:rPr>
          <w:bCs/>
        </w:rPr>
        <w:t>nded December 2013</w:t>
      </w:r>
    </w:p>
    <w:p w:rsidR="00ED636B" w:rsidRPr="00ED636B" w:rsidRDefault="00ED636B" w:rsidP="00ED636B">
      <w:pPr>
        <w:suppressLineNumbers/>
        <w:tabs>
          <w:tab w:val="left" w:pos="2610"/>
        </w:tabs>
        <w:jc w:val="left"/>
        <w:rPr>
          <w:bCs/>
        </w:rPr>
      </w:pPr>
      <w:r>
        <w:rPr>
          <w:bCs/>
        </w:rPr>
        <w:t>Exhibit No.___(NCS</w:t>
      </w:r>
      <w:r w:rsidRPr="00ED636B">
        <w:rPr>
          <w:bCs/>
        </w:rPr>
        <w:t>-</w:t>
      </w:r>
      <w:r>
        <w:rPr>
          <w:bCs/>
        </w:rPr>
        <w:t>4</w:t>
      </w:r>
      <w:r w:rsidR="00FB6251">
        <w:rPr>
          <w:bCs/>
        </w:rPr>
        <w:t>C</w:t>
      </w:r>
      <w:r w:rsidRPr="00ED636B">
        <w:rPr>
          <w:bCs/>
        </w:rPr>
        <w:t>)—</w:t>
      </w:r>
      <w:r>
        <w:rPr>
          <w:bCs/>
        </w:rPr>
        <w:t>Confidential Property Tax Estimation Procedure</w:t>
      </w:r>
    </w:p>
    <w:p w:rsidR="00ED636B" w:rsidRPr="00ED636B" w:rsidRDefault="00ED636B" w:rsidP="00636353">
      <w:pPr>
        <w:suppressLineNumbers/>
        <w:tabs>
          <w:tab w:val="left" w:pos="2610"/>
        </w:tabs>
        <w:ind w:left="2610" w:hanging="2610"/>
        <w:jc w:val="left"/>
        <w:rPr>
          <w:bCs/>
        </w:rPr>
      </w:pPr>
      <w:r>
        <w:rPr>
          <w:bCs/>
        </w:rPr>
        <w:t>Exhibit No.___(NCS-5</w:t>
      </w:r>
      <w:r w:rsidRPr="00ED636B">
        <w:rPr>
          <w:bCs/>
        </w:rPr>
        <w:t>)—</w:t>
      </w:r>
      <w:r>
        <w:rPr>
          <w:bCs/>
        </w:rPr>
        <w:t xml:space="preserve">Washington West Control Area Inter-Jurisdictional Allocation </w:t>
      </w:r>
      <w:r w:rsidR="00636353">
        <w:rPr>
          <w:bCs/>
        </w:rPr>
        <w:t xml:space="preserve"> </w:t>
      </w:r>
      <w:r>
        <w:rPr>
          <w:bCs/>
        </w:rPr>
        <w:t>Methodology (WCA) Manual</w:t>
      </w:r>
    </w:p>
    <w:p w:rsidR="00ED636B" w:rsidRPr="00ED636B" w:rsidRDefault="00ED636B" w:rsidP="00636353">
      <w:pPr>
        <w:suppressLineNumbers/>
        <w:tabs>
          <w:tab w:val="left" w:pos="2610"/>
        </w:tabs>
        <w:ind w:left="2610" w:hanging="2610"/>
        <w:jc w:val="left"/>
        <w:rPr>
          <w:bCs/>
        </w:rPr>
      </w:pPr>
      <w:r>
        <w:rPr>
          <w:bCs/>
        </w:rPr>
        <w:t>Exhibit No.___(NCS-6</w:t>
      </w:r>
      <w:r w:rsidRPr="00ED636B">
        <w:rPr>
          <w:bCs/>
        </w:rPr>
        <w:t xml:space="preserve">)—Summary </w:t>
      </w:r>
      <w:r>
        <w:rPr>
          <w:bCs/>
        </w:rPr>
        <w:t xml:space="preserve">of </w:t>
      </w:r>
      <w:r w:rsidR="00636353">
        <w:rPr>
          <w:bCs/>
        </w:rPr>
        <w:t>Revenue Requirement Scenario with Alternative Capital Structure</w:t>
      </w:r>
    </w:p>
    <w:p w:rsidR="00ED636B" w:rsidRPr="00ED636B" w:rsidRDefault="00ED636B" w:rsidP="00636353">
      <w:pPr>
        <w:suppressLineNumbers/>
        <w:tabs>
          <w:tab w:val="left" w:pos="2610"/>
        </w:tabs>
        <w:ind w:left="2610" w:hanging="2610"/>
        <w:jc w:val="left"/>
        <w:rPr>
          <w:bCs/>
        </w:rPr>
      </w:pPr>
      <w:r>
        <w:rPr>
          <w:bCs/>
        </w:rPr>
        <w:t>Exhibit No.___(NCS-7</w:t>
      </w:r>
      <w:r w:rsidRPr="00ED636B">
        <w:rPr>
          <w:bCs/>
        </w:rPr>
        <w:t xml:space="preserve">)—Summary </w:t>
      </w:r>
      <w:r>
        <w:rPr>
          <w:bCs/>
        </w:rPr>
        <w:t xml:space="preserve">of </w:t>
      </w:r>
      <w:r w:rsidR="00636353">
        <w:rPr>
          <w:bCs/>
        </w:rPr>
        <w:t>Revenue Requirement Scenarios with Net Power Cost QF Alternatives</w:t>
      </w:r>
    </w:p>
    <w:p w:rsidR="00ED636B" w:rsidRDefault="00ED636B" w:rsidP="00ED636B">
      <w:pPr>
        <w:suppressLineNumbers/>
        <w:tabs>
          <w:tab w:val="left" w:pos="2610"/>
        </w:tabs>
        <w:jc w:val="left"/>
        <w:rPr>
          <w:bCs/>
        </w:rPr>
      </w:pPr>
      <w:r>
        <w:rPr>
          <w:bCs/>
        </w:rPr>
        <w:t>Exhibit No.___(NCS-8</w:t>
      </w:r>
      <w:r w:rsidR="00FB6251">
        <w:rPr>
          <w:bCs/>
        </w:rPr>
        <w:t>C</w:t>
      </w:r>
      <w:r w:rsidRPr="00ED636B">
        <w:rPr>
          <w:bCs/>
        </w:rPr>
        <w:t>)—</w:t>
      </w:r>
      <w:r w:rsidR="002C3890">
        <w:rPr>
          <w:bCs/>
        </w:rPr>
        <w:t xml:space="preserve">Confidential </w:t>
      </w:r>
      <w:r w:rsidR="00636353">
        <w:rPr>
          <w:bCs/>
        </w:rPr>
        <w:t>I</w:t>
      </w:r>
      <w:r w:rsidR="002C3890">
        <w:rPr>
          <w:bCs/>
        </w:rPr>
        <w:t>H</w:t>
      </w:r>
      <w:r w:rsidR="00636353">
        <w:rPr>
          <w:bCs/>
        </w:rPr>
        <w:t>S Global Insight Indices</w:t>
      </w:r>
    </w:p>
    <w:p w:rsidR="00282EDC" w:rsidRDefault="00636353" w:rsidP="00636353">
      <w:pPr>
        <w:suppressLineNumbers/>
        <w:tabs>
          <w:tab w:val="left" w:pos="2610"/>
        </w:tabs>
        <w:jc w:val="left"/>
      </w:pPr>
      <w:r>
        <w:rPr>
          <w:bCs/>
        </w:rPr>
        <w:t>Exhibit No.___(NCS-9</w:t>
      </w:r>
      <w:r w:rsidRPr="00ED636B">
        <w:rPr>
          <w:bCs/>
        </w:rPr>
        <w:t>)—</w:t>
      </w:r>
      <w:r>
        <w:rPr>
          <w:bCs/>
        </w:rPr>
        <w:t>Summary and Calculation of Deferred Amounts Requested</w:t>
      </w:r>
    </w:p>
    <w:p w:rsidR="00282EDC" w:rsidRDefault="00282EDC" w:rsidP="00282EDC">
      <w:pPr>
        <w:suppressLineNumbers/>
        <w:rPr>
          <w:szCs w:val="20"/>
        </w:rPr>
      </w:pPr>
      <w:r>
        <w:br w:type="page"/>
      </w:r>
    </w:p>
    <w:p w:rsidR="00ED636B" w:rsidRDefault="00ED636B" w:rsidP="00274E8D">
      <w:pPr>
        <w:pStyle w:val="Question"/>
        <w:jc w:val="left"/>
        <w:sectPr w:rsidR="00ED636B" w:rsidSect="0063635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lnNumType w:countBy="1"/>
          <w:pgNumType w:fmt="lowerRoman" w:start="1"/>
          <w:cols w:space="720"/>
          <w:docGrid w:linePitch="360"/>
        </w:sectPr>
      </w:pPr>
    </w:p>
    <w:p w:rsidR="000B348A" w:rsidRDefault="000B348A" w:rsidP="00274E8D">
      <w:pPr>
        <w:pStyle w:val="Question"/>
        <w:jc w:val="left"/>
      </w:pPr>
      <w:r>
        <w:lastRenderedPageBreak/>
        <w:t>Q.</w:t>
      </w:r>
      <w:r>
        <w:tab/>
        <w:t xml:space="preserve">Please state your </w:t>
      </w:r>
      <w:r>
        <w:rPr>
          <w:rStyle w:val="LineNumber"/>
        </w:rPr>
        <w:t xml:space="preserve">name, </w:t>
      </w:r>
      <w:r>
        <w:t>business address</w:t>
      </w:r>
      <w:r w:rsidR="002304CA">
        <w:t>,</w:t>
      </w:r>
      <w:r>
        <w:t xml:space="preserve"> and present position with </w:t>
      </w:r>
      <w:r w:rsidR="002304CA">
        <w:t>Pacifi</w:t>
      </w:r>
      <w:r w:rsidR="007A15D3">
        <w:t>c Power &amp; Light Company (</w:t>
      </w:r>
      <w:r w:rsidR="002304CA">
        <w:t>Pacific Power or Company)</w:t>
      </w:r>
      <w:r w:rsidR="007A15D3">
        <w:t xml:space="preserve">, a </w:t>
      </w:r>
      <w:r w:rsidR="000956F2">
        <w:t>division</w:t>
      </w:r>
      <w:r w:rsidR="007A15D3">
        <w:t xml:space="preserve"> of PacifiCorp</w:t>
      </w:r>
      <w:r w:rsidR="002304CA">
        <w:t>.</w:t>
      </w:r>
    </w:p>
    <w:p w:rsidR="000B348A" w:rsidRDefault="000B348A" w:rsidP="00274E8D">
      <w:pPr>
        <w:pStyle w:val="Answer"/>
        <w:jc w:val="left"/>
      </w:pPr>
      <w:r w:rsidRPr="00025235">
        <w:t>A.</w:t>
      </w:r>
      <w:r w:rsidRPr="00025235">
        <w:tab/>
        <w:t xml:space="preserve">My name is </w:t>
      </w:r>
      <w:r w:rsidR="00834947">
        <w:t>Natasha C. Siores</w:t>
      </w:r>
      <w:r w:rsidR="007A15D3">
        <w:t xml:space="preserve">. </w:t>
      </w:r>
      <w:r w:rsidR="0015482E">
        <w:t xml:space="preserve"> </w:t>
      </w:r>
      <w:r w:rsidR="007A15D3">
        <w:t>M</w:t>
      </w:r>
      <w:r w:rsidRPr="00025235">
        <w:t>y business address is</w:t>
      </w:r>
      <w:r w:rsidR="00834947">
        <w:t xml:space="preserve"> 825 NE Multnomah Street, </w:t>
      </w:r>
      <w:r w:rsidR="007A15D3">
        <w:t xml:space="preserve">Suite </w:t>
      </w:r>
      <w:r w:rsidR="008C78E7">
        <w:t>2000</w:t>
      </w:r>
      <w:r w:rsidR="007A15D3">
        <w:t xml:space="preserve">, </w:t>
      </w:r>
      <w:r w:rsidR="00834947">
        <w:t>Portland, O</w:t>
      </w:r>
      <w:r w:rsidR="007A15D3">
        <w:t>regon</w:t>
      </w:r>
      <w:r w:rsidR="00834947">
        <w:t xml:space="preserve"> 97232</w:t>
      </w:r>
      <w:r w:rsidR="00E728FE">
        <w:t xml:space="preserve">.  </w:t>
      </w:r>
      <w:r>
        <w:t xml:space="preserve">I am currently employed as </w:t>
      </w:r>
      <w:r w:rsidR="00FF205A">
        <w:t>D</w:t>
      </w:r>
      <w:r>
        <w:t>irector</w:t>
      </w:r>
      <w:r w:rsidR="007A15D3">
        <w:t xml:space="preserve"> of Regulatory Affairs and </w:t>
      </w:r>
      <w:r w:rsidR="00FF205A">
        <w:t>R</w:t>
      </w:r>
      <w:r>
        <w:t xml:space="preserve">evenue </w:t>
      </w:r>
      <w:r w:rsidR="00FF205A">
        <w:t>R</w:t>
      </w:r>
      <w:r w:rsidRPr="00C11338">
        <w:t>equirement</w:t>
      </w:r>
      <w:r>
        <w:t>.</w:t>
      </w:r>
    </w:p>
    <w:p w:rsidR="000B348A" w:rsidRPr="004C24E5" w:rsidRDefault="00175261" w:rsidP="00282EDC">
      <w:pPr>
        <w:pStyle w:val="Heading1"/>
      </w:pPr>
      <w:bookmarkStart w:id="1" w:name="_Toc386626879"/>
      <w:r>
        <w:t>QUALIFICATIONS</w:t>
      </w:r>
      <w:bookmarkEnd w:id="1"/>
    </w:p>
    <w:p w:rsidR="000B348A" w:rsidRDefault="000B348A" w:rsidP="00274E8D">
      <w:pPr>
        <w:pStyle w:val="Question"/>
        <w:jc w:val="left"/>
      </w:pPr>
      <w:r w:rsidRPr="00C11338">
        <w:t>Q.</w:t>
      </w:r>
      <w:r w:rsidRPr="00C11338">
        <w:tab/>
      </w:r>
      <w:r w:rsidR="0015482E">
        <w:t>Please</w:t>
      </w:r>
      <w:r w:rsidR="00B07AE8">
        <w:t xml:space="preserve"> describe your education</w:t>
      </w:r>
      <w:r>
        <w:t xml:space="preserve"> and professional </w:t>
      </w:r>
      <w:r w:rsidR="009E0A8E">
        <w:t>experience</w:t>
      </w:r>
      <w:r>
        <w:t>.</w:t>
      </w:r>
    </w:p>
    <w:p w:rsidR="000812A9" w:rsidRDefault="000B348A" w:rsidP="00834947">
      <w:pPr>
        <w:pStyle w:val="Answer"/>
        <w:jc w:val="left"/>
      </w:pPr>
      <w:r w:rsidRPr="00C11338">
        <w:t>A.</w:t>
      </w:r>
      <w:r w:rsidRPr="00C11338">
        <w:tab/>
      </w:r>
      <w:r w:rsidR="00834947">
        <w:t>I earned my Bachelor of Science degree in Commerce (Accountancy honors program) from DePaul University in Chicago in 1993 and am a Registered Certified Public Accountant in the state of Illinois.</w:t>
      </w:r>
      <w:r w:rsidR="0084787E">
        <w:t xml:space="preserve"> </w:t>
      </w:r>
      <w:r w:rsidR="00834947">
        <w:t xml:space="preserve"> </w:t>
      </w:r>
      <w:r w:rsidR="007247FC">
        <w:t xml:space="preserve">In addition to my formal education, </w:t>
      </w:r>
      <w:r w:rsidR="001A776D">
        <w:rPr>
          <w:rFonts w:ascii="Times" w:hAnsi="Times"/>
        </w:rPr>
        <w:t>I have attended several utility accounting, ratemaking</w:t>
      </w:r>
      <w:r w:rsidR="0084787E">
        <w:rPr>
          <w:rFonts w:ascii="Times" w:hAnsi="Times"/>
        </w:rPr>
        <w:t>,</w:t>
      </w:r>
      <w:r w:rsidR="001A776D">
        <w:rPr>
          <w:rFonts w:ascii="Times" w:hAnsi="Times"/>
        </w:rPr>
        <w:t xml:space="preserve"> and leadership seminars and courses.</w:t>
      </w:r>
    </w:p>
    <w:p w:rsidR="000B348A" w:rsidRDefault="007247FC" w:rsidP="000812A9">
      <w:pPr>
        <w:pStyle w:val="Answer"/>
        <w:ind w:firstLine="720"/>
        <w:jc w:val="left"/>
      </w:pPr>
      <w:r>
        <w:t xml:space="preserve">I have been employed by the Company since September 2013.  </w:t>
      </w:r>
      <w:r w:rsidR="00C175F7">
        <w:t>Before</w:t>
      </w:r>
      <w:r w:rsidR="001731B7">
        <w:t xml:space="preserve"> PacifiCorp, I spent 10 years working for N</w:t>
      </w:r>
      <w:r w:rsidR="009510C9">
        <w:t xml:space="preserve">orthwest </w:t>
      </w:r>
      <w:r w:rsidR="001731B7">
        <w:t xml:space="preserve">Natural </w:t>
      </w:r>
      <w:r w:rsidR="009510C9">
        <w:t xml:space="preserve">Gas Company </w:t>
      </w:r>
      <w:r w:rsidR="008E7603">
        <w:t xml:space="preserve">in </w:t>
      </w:r>
      <w:r>
        <w:t>the rates and regulatory affairs department</w:t>
      </w:r>
      <w:r w:rsidR="009510C9">
        <w:t xml:space="preserve">.  My </w:t>
      </w:r>
      <w:r w:rsidR="005E3D2B">
        <w:t xml:space="preserve">responsibilities included development of revenue requirement, </w:t>
      </w:r>
      <w:r w:rsidR="000812A9">
        <w:t xml:space="preserve">analysis of </w:t>
      </w:r>
      <w:r w:rsidR="005E3D2B">
        <w:t xml:space="preserve">cost of service and rate base issues, pricing, regulatory mechanisms, regulatory accounting </w:t>
      </w:r>
      <w:r w:rsidR="000812A9">
        <w:t>and reporting</w:t>
      </w:r>
      <w:r w:rsidR="0084787E">
        <w:t>,</w:t>
      </w:r>
      <w:r w:rsidR="000812A9">
        <w:t xml:space="preserve"> </w:t>
      </w:r>
      <w:r w:rsidR="005E3D2B">
        <w:t>and develop</w:t>
      </w:r>
      <w:r w:rsidR="000812A9">
        <w:t>ment of</w:t>
      </w:r>
      <w:r w:rsidR="005E3D2B">
        <w:t xml:space="preserve"> rate filings</w:t>
      </w:r>
      <w:r w:rsidR="001731B7">
        <w:t>.</w:t>
      </w:r>
      <w:r w:rsidR="0084787E">
        <w:t xml:space="preserve"> </w:t>
      </w:r>
      <w:r w:rsidR="001731B7">
        <w:t xml:space="preserve"> I have previously testified </w:t>
      </w:r>
      <w:r>
        <w:t xml:space="preserve">in proceedings before the Washington Utilities and Transportation Commission </w:t>
      </w:r>
      <w:r w:rsidR="006C3894">
        <w:t xml:space="preserve">(Commission) </w:t>
      </w:r>
      <w:r>
        <w:t>and the Public Utility Commission of Oregon</w:t>
      </w:r>
      <w:r w:rsidR="001731B7">
        <w:t xml:space="preserve">. </w:t>
      </w:r>
    </w:p>
    <w:p w:rsidR="008E2A78" w:rsidRDefault="000B348A" w:rsidP="0084787E">
      <w:pPr>
        <w:pStyle w:val="Question"/>
        <w:jc w:val="left"/>
      </w:pPr>
      <w:r w:rsidRPr="00C11338">
        <w:t>Q.</w:t>
      </w:r>
      <w:r w:rsidRPr="00C11338">
        <w:tab/>
        <w:t>Wha</w:t>
      </w:r>
      <w:r>
        <w:t xml:space="preserve">t are your </w:t>
      </w:r>
      <w:r w:rsidR="009510C9">
        <w:t>present duties?</w:t>
      </w:r>
    </w:p>
    <w:p w:rsidR="00A75377" w:rsidRPr="007D576B" w:rsidRDefault="000B348A" w:rsidP="00C3041A">
      <w:pPr>
        <w:pStyle w:val="Question"/>
        <w:jc w:val="left"/>
      </w:pPr>
      <w:r w:rsidRPr="00C3041A">
        <w:rPr>
          <w:b w:val="0"/>
        </w:rPr>
        <w:t>A.</w:t>
      </w:r>
      <w:r w:rsidRPr="00C11338">
        <w:tab/>
      </w:r>
      <w:r w:rsidR="000812A9" w:rsidRPr="00C3041A">
        <w:rPr>
          <w:b w:val="0"/>
        </w:rPr>
        <w:t xml:space="preserve">My primary responsibilities include oversight of regulatory proceedings and filings in </w:t>
      </w:r>
      <w:r w:rsidR="0084787E" w:rsidRPr="00C3041A">
        <w:rPr>
          <w:b w:val="0"/>
        </w:rPr>
        <w:t>Washington</w:t>
      </w:r>
      <w:r w:rsidR="0084787E">
        <w:rPr>
          <w:b w:val="0"/>
        </w:rPr>
        <w:t>,</w:t>
      </w:r>
      <w:r w:rsidR="0084787E" w:rsidRPr="00C3041A">
        <w:rPr>
          <w:b w:val="0"/>
        </w:rPr>
        <w:t xml:space="preserve"> </w:t>
      </w:r>
      <w:r w:rsidR="000812A9" w:rsidRPr="00C3041A">
        <w:rPr>
          <w:b w:val="0"/>
        </w:rPr>
        <w:t xml:space="preserve">California, </w:t>
      </w:r>
      <w:r w:rsidR="0084787E" w:rsidRPr="00C3041A">
        <w:rPr>
          <w:b w:val="0"/>
        </w:rPr>
        <w:t xml:space="preserve">and </w:t>
      </w:r>
      <w:r w:rsidR="000812A9" w:rsidRPr="00C3041A">
        <w:rPr>
          <w:b w:val="0"/>
        </w:rPr>
        <w:t xml:space="preserve">Oregon.  I am also responsible for the calculation and reporting of the Company’s regulated earnings and revenue requirement, application </w:t>
      </w:r>
      <w:r w:rsidR="000812A9" w:rsidRPr="00C3041A">
        <w:rPr>
          <w:b w:val="0"/>
        </w:rPr>
        <w:lastRenderedPageBreak/>
        <w:t>of the inter-jurisdictional allocation methodologies</w:t>
      </w:r>
      <w:r w:rsidR="0084787E">
        <w:rPr>
          <w:b w:val="0"/>
        </w:rPr>
        <w:t>,</w:t>
      </w:r>
      <w:r w:rsidR="000812A9" w:rsidRPr="00C3041A">
        <w:rPr>
          <w:b w:val="0"/>
        </w:rPr>
        <w:t xml:space="preserve"> and the explanation of those calculations to regulators in the jurisdictions in which the Company operates.</w:t>
      </w:r>
    </w:p>
    <w:p w:rsidR="00987E13" w:rsidRDefault="00175261" w:rsidP="00282EDC">
      <w:pPr>
        <w:pStyle w:val="Heading1"/>
      </w:pPr>
      <w:bookmarkStart w:id="2" w:name="_Toc386626880"/>
      <w:r>
        <w:t>PURPOSE OF TESTIMONY</w:t>
      </w:r>
      <w:bookmarkEnd w:id="2"/>
    </w:p>
    <w:p w:rsidR="00C212B3" w:rsidRDefault="00C212B3" w:rsidP="003F7952">
      <w:pPr>
        <w:pStyle w:val="Question"/>
        <w:widowControl w:val="0"/>
        <w:jc w:val="left"/>
      </w:pPr>
      <w:r w:rsidRPr="00C11338">
        <w:t>Q.</w:t>
      </w:r>
      <w:r w:rsidRPr="00C11338">
        <w:tab/>
        <w:t>What is the purpose of your testimony</w:t>
      </w:r>
      <w:r w:rsidR="00D92FAF">
        <w:t xml:space="preserve"> in this proceeding</w:t>
      </w:r>
      <w:r w:rsidRPr="00C11338">
        <w:t>?</w:t>
      </w:r>
    </w:p>
    <w:p w:rsidR="002B1E51" w:rsidRDefault="00712D5E" w:rsidP="003F7952">
      <w:pPr>
        <w:pStyle w:val="Answer"/>
        <w:widowControl w:val="0"/>
        <w:jc w:val="left"/>
      </w:pPr>
      <w:r w:rsidRPr="00712D5E">
        <w:t>A.</w:t>
      </w:r>
      <w:r>
        <w:tab/>
      </w:r>
      <w:r w:rsidR="0089636E" w:rsidRPr="00BF20EE">
        <w:t xml:space="preserve">My direct testimony addresses the calculation of the Company’s </w:t>
      </w:r>
      <w:r w:rsidR="0089636E">
        <w:t xml:space="preserve">Washington-allocated revenue requirement </w:t>
      </w:r>
      <w:r w:rsidR="0089636E" w:rsidRPr="00BF20EE">
        <w:t xml:space="preserve">and the revenue increase requested in the Company’s </w:t>
      </w:r>
      <w:r w:rsidR="0089636E">
        <w:t>filing</w:t>
      </w:r>
      <w:r w:rsidR="00CA36C3">
        <w:t xml:space="preserve"> and requests authorization to begin amortization of deferred amounts</w:t>
      </w:r>
      <w:r w:rsidR="00E728FE">
        <w:t xml:space="preserve">.  </w:t>
      </w:r>
      <w:r w:rsidR="0089636E">
        <w:t>Specifically</w:t>
      </w:r>
      <w:r w:rsidR="0089636E" w:rsidRPr="00BF20EE">
        <w:t xml:space="preserve">, </w:t>
      </w:r>
      <w:r w:rsidR="00C3514E">
        <w:t>my testimony provides the</w:t>
      </w:r>
      <w:r w:rsidR="0089636E" w:rsidRPr="00BF20EE">
        <w:t xml:space="preserve"> following:</w:t>
      </w:r>
    </w:p>
    <w:p w:rsidR="00A2676E" w:rsidRDefault="00A2676E" w:rsidP="003F7952">
      <w:pPr>
        <w:pStyle w:val="Answer"/>
        <w:widowControl w:val="0"/>
        <w:numPr>
          <w:ilvl w:val="0"/>
          <w:numId w:val="3"/>
        </w:numPr>
        <w:jc w:val="left"/>
      </w:pPr>
      <w:r w:rsidRPr="005B308B">
        <w:t xml:space="preserve">A description of the test period used in this case, which </w:t>
      </w:r>
      <w:r>
        <w:t xml:space="preserve">is the </w:t>
      </w:r>
      <w:r w:rsidR="00E728FE">
        <w:t>historical</w:t>
      </w:r>
      <w:r>
        <w:t xml:space="preserve"> </w:t>
      </w:r>
      <w:r w:rsidR="00DC224A">
        <w:t>12</w:t>
      </w:r>
      <w:r w:rsidR="0084787E">
        <w:t> </w:t>
      </w:r>
      <w:r>
        <w:t>months ended</w:t>
      </w:r>
      <w:r w:rsidRPr="005B308B">
        <w:t xml:space="preserve"> </w:t>
      </w:r>
      <w:r w:rsidR="007461F0">
        <w:t>December</w:t>
      </w:r>
      <w:r w:rsidR="000C27E4">
        <w:t xml:space="preserve"> </w:t>
      </w:r>
      <w:r>
        <w:t>3</w:t>
      </w:r>
      <w:r w:rsidR="007461F0">
        <w:t>1</w:t>
      </w:r>
      <w:r>
        <w:t>, 201</w:t>
      </w:r>
      <w:r w:rsidR="007461F0">
        <w:t>3</w:t>
      </w:r>
      <w:r w:rsidRPr="005B308B">
        <w:t xml:space="preserve"> </w:t>
      </w:r>
      <w:r>
        <w:t>(Test Period) with restating and pro forma adjustments</w:t>
      </w:r>
      <w:r w:rsidR="00E728FE">
        <w:t xml:space="preserve">. </w:t>
      </w:r>
    </w:p>
    <w:p w:rsidR="0089636E" w:rsidRDefault="0089636E" w:rsidP="003F7952">
      <w:pPr>
        <w:pStyle w:val="Bullet"/>
        <w:widowControl w:val="0"/>
        <w:numPr>
          <w:ilvl w:val="0"/>
          <w:numId w:val="3"/>
        </w:numPr>
        <w:jc w:val="left"/>
      </w:pPr>
      <w:r w:rsidDel="00A847F5">
        <w:t>The c</w:t>
      </w:r>
      <w:r w:rsidRPr="00BF20EE" w:rsidDel="00A847F5">
        <w:t xml:space="preserve">alculation of </w:t>
      </w:r>
      <w:r w:rsidRPr="009510C9" w:rsidDel="00A847F5">
        <w:t xml:space="preserve">the </w:t>
      </w:r>
      <w:r w:rsidR="009510C9" w:rsidRPr="009510C9">
        <w:t>$</w:t>
      </w:r>
      <w:r w:rsidR="009510C9">
        <w:t>2</w:t>
      </w:r>
      <w:r w:rsidR="00CE7AD8">
        <w:t>7.2</w:t>
      </w:r>
      <w:r w:rsidRPr="009510C9" w:rsidDel="00A847F5">
        <w:t xml:space="preserve"> million revenue increase</w:t>
      </w:r>
      <w:r w:rsidRPr="00BF20EE" w:rsidDel="00A847F5">
        <w:t xml:space="preserve"> requested in this general rate case representing the increase over current rates required for the Company to recover its </w:t>
      </w:r>
      <w:r w:rsidDel="00A847F5">
        <w:t xml:space="preserve">Washington-allocated </w:t>
      </w:r>
      <w:r w:rsidRPr="00BF20EE" w:rsidDel="00A847F5">
        <w:t>revenue requirement</w:t>
      </w:r>
      <w:r w:rsidR="00AD12E3" w:rsidDel="00A847F5">
        <w:t>.</w:t>
      </w:r>
    </w:p>
    <w:p w:rsidR="00095B70" w:rsidDel="00A847F5" w:rsidRDefault="00095B70" w:rsidP="003F7952">
      <w:pPr>
        <w:pStyle w:val="Bullet"/>
        <w:widowControl w:val="0"/>
        <w:numPr>
          <w:ilvl w:val="0"/>
          <w:numId w:val="3"/>
        </w:numPr>
        <w:jc w:val="left"/>
      </w:pPr>
      <w:r>
        <w:t xml:space="preserve">A description of the </w:t>
      </w:r>
      <w:r w:rsidR="00175261">
        <w:t xml:space="preserve">deferred </w:t>
      </w:r>
      <w:r>
        <w:t>amounts that the Company requests to begin amortizing concurrent with the rate effective period.</w:t>
      </w:r>
    </w:p>
    <w:p w:rsidR="0089636E" w:rsidRDefault="0089636E" w:rsidP="003F7952">
      <w:pPr>
        <w:pStyle w:val="Bullet"/>
        <w:numPr>
          <w:ilvl w:val="0"/>
          <w:numId w:val="1"/>
        </w:numPr>
        <w:ind w:left="1440"/>
        <w:jc w:val="left"/>
      </w:pPr>
      <w:r w:rsidRPr="00BF20EE">
        <w:t xml:space="preserve">The </w:t>
      </w:r>
      <w:r>
        <w:t xml:space="preserve">presentation of the </w:t>
      </w:r>
      <w:r w:rsidR="00A847F5">
        <w:t>normalized</w:t>
      </w:r>
      <w:r w:rsidR="00A847F5" w:rsidRPr="00BF20EE">
        <w:t xml:space="preserve"> </w:t>
      </w:r>
      <w:r w:rsidRPr="00BF20EE">
        <w:t xml:space="preserve">results of operations for the </w:t>
      </w:r>
      <w:r w:rsidR="006C3894">
        <w:t>T</w:t>
      </w:r>
      <w:r w:rsidRPr="00BF20EE">
        <w:t xml:space="preserve">est </w:t>
      </w:r>
      <w:r w:rsidR="006C3894">
        <w:t>P</w:t>
      </w:r>
      <w:r w:rsidRPr="00BF20EE">
        <w:t xml:space="preserve">eriod demonstrating that under current rates the Company will earn an overall return on equity (ROE) in </w:t>
      </w:r>
      <w:r>
        <w:t>Washington</w:t>
      </w:r>
      <w:r w:rsidRPr="00BF20EE">
        <w:t xml:space="preserve"> </w:t>
      </w:r>
      <w:r w:rsidRPr="00CB585D">
        <w:t xml:space="preserve">of </w:t>
      </w:r>
      <w:r w:rsidR="00856A6D">
        <w:t>6.</w:t>
      </w:r>
      <w:r w:rsidR="002F5153">
        <w:t>16</w:t>
      </w:r>
      <w:r w:rsidRPr="006C3894">
        <w:t xml:space="preserve"> percent</w:t>
      </w:r>
      <w:r w:rsidR="00FA0003">
        <w:t xml:space="preserve">.  This </w:t>
      </w:r>
      <w:r w:rsidRPr="00BF20EE">
        <w:t xml:space="preserve">is </w:t>
      </w:r>
      <w:r w:rsidR="00154695">
        <w:t xml:space="preserve">less than the </w:t>
      </w:r>
      <w:r w:rsidR="00C438CE">
        <w:t>9.5</w:t>
      </w:r>
      <w:r w:rsidR="0084787E">
        <w:t> </w:t>
      </w:r>
      <w:r w:rsidR="00154695">
        <w:t xml:space="preserve">percent ROE </w:t>
      </w:r>
      <w:r w:rsidR="0084787E">
        <w:t xml:space="preserve">authorized </w:t>
      </w:r>
      <w:r w:rsidR="00154695">
        <w:t xml:space="preserve">by the Commission in the </w:t>
      </w:r>
      <w:r w:rsidR="00E728FE">
        <w:t xml:space="preserve">Company’s </w:t>
      </w:r>
      <w:r w:rsidR="001B7F05">
        <w:rPr>
          <w:rFonts w:ascii="CG Times" w:hAnsi="CG Times"/>
        </w:rPr>
        <w:t>201</w:t>
      </w:r>
      <w:r w:rsidR="000E4BC5">
        <w:rPr>
          <w:rFonts w:ascii="CG Times" w:hAnsi="CG Times"/>
        </w:rPr>
        <w:t>3</w:t>
      </w:r>
      <w:r w:rsidR="001B7F05">
        <w:rPr>
          <w:rFonts w:ascii="CG Times" w:hAnsi="CG Times"/>
        </w:rPr>
        <w:t xml:space="preserve"> </w:t>
      </w:r>
      <w:r w:rsidR="00E728FE">
        <w:rPr>
          <w:rFonts w:ascii="CG Times" w:hAnsi="CG Times"/>
        </w:rPr>
        <w:t>general r</w:t>
      </w:r>
      <w:r w:rsidR="001B7F05">
        <w:rPr>
          <w:rFonts w:ascii="CG Times" w:hAnsi="CG Times"/>
        </w:rPr>
        <w:t xml:space="preserve">ate </w:t>
      </w:r>
      <w:r w:rsidR="00E728FE">
        <w:rPr>
          <w:rFonts w:ascii="CG Times" w:hAnsi="CG Times"/>
        </w:rPr>
        <w:t>c</w:t>
      </w:r>
      <w:r w:rsidR="001B7F05">
        <w:rPr>
          <w:rFonts w:ascii="CG Times" w:hAnsi="CG Times"/>
        </w:rPr>
        <w:t>ase</w:t>
      </w:r>
      <w:r w:rsidR="00E728FE">
        <w:rPr>
          <w:rFonts w:ascii="CG Times" w:hAnsi="CG Times"/>
        </w:rPr>
        <w:t>,</w:t>
      </w:r>
      <w:r w:rsidR="001B7F05">
        <w:t xml:space="preserve"> </w:t>
      </w:r>
      <w:r w:rsidR="0028435E">
        <w:t>Docket UE-</w:t>
      </w:r>
      <w:r w:rsidR="000E4BC5">
        <w:t xml:space="preserve">130043 </w:t>
      </w:r>
      <w:r w:rsidR="0028435E">
        <w:t>(201</w:t>
      </w:r>
      <w:r w:rsidR="000E4BC5">
        <w:t>3</w:t>
      </w:r>
      <w:r w:rsidR="0028435E">
        <w:t xml:space="preserve"> Rate Case)</w:t>
      </w:r>
      <w:r w:rsidR="00E728FE">
        <w:t>,</w:t>
      </w:r>
      <w:r w:rsidR="00992764">
        <w:t xml:space="preserve"> and less than the 10</w:t>
      </w:r>
      <w:r w:rsidR="00FF205A">
        <w:t>.0</w:t>
      </w:r>
      <w:r w:rsidR="0084787E">
        <w:t> </w:t>
      </w:r>
      <w:r w:rsidR="00E728FE">
        <w:t>percent</w:t>
      </w:r>
      <w:r w:rsidR="00992764">
        <w:t xml:space="preserve"> requested by </w:t>
      </w:r>
      <w:r w:rsidR="00FF205A">
        <w:t xml:space="preserve">the Company and supported by </w:t>
      </w:r>
      <w:r w:rsidR="00175261">
        <w:t>M</w:t>
      </w:r>
      <w:r w:rsidR="00992764">
        <w:t>r</w:t>
      </w:r>
      <w:r w:rsidR="00E728FE">
        <w:t xml:space="preserve">. </w:t>
      </w:r>
      <w:r w:rsidR="007A15D3">
        <w:t xml:space="preserve">Kurt </w:t>
      </w:r>
      <w:r w:rsidR="00175261">
        <w:t>G.</w:t>
      </w:r>
      <w:r w:rsidR="0084787E">
        <w:t xml:space="preserve"> </w:t>
      </w:r>
      <w:r w:rsidR="007A15D3">
        <w:t>Strunk</w:t>
      </w:r>
      <w:r w:rsidR="00992764">
        <w:t xml:space="preserve"> in this proceeding</w:t>
      </w:r>
      <w:r w:rsidR="0028435E">
        <w:t>.</w:t>
      </w:r>
    </w:p>
    <w:p w:rsidR="00987E13" w:rsidRPr="008E2A78" w:rsidRDefault="00AD2418" w:rsidP="00C75573">
      <w:pPr>
        <w:pStyle w:val="Bullet"/>
        <w:keepNext/>
        <w:numPr>
          <w:ilvl w:val="0"/>
          <w:numId w:val="1"/>
        </w:numPr>
        <w:tabs>
          <w:tab w:val="num" w:pos="1080"/>
        </w:tabs>
        <w:ind w:left="1440"/>
        <w:jc w:val="left"/>
      </w:pPr>
      <w:r w:rsidRPr="008E2A78">
        <w:lastRenderedPageBreak/>
        <w:t>A</w:t>
      </w:r>
      <w:r w:rsidR="00095B70" w:rsidRPr="008E2A78">
        <w:t>n explanation</w:t>
      </w:r>
      <w:r w:rsidRPr="008E2A78">
        <w:t xml:space="preserve"> of the revenue requirement workpapers </w:t>
      </w:r>
      <w:r w:rsidR="00F53272" w:rsidRPr="008E2A78">
        <w:t xml:space="preserve">supporting the proposed revenue increase and normalized results of operations for the </w:t>
      </w:r>
      <w:r w:rsidR="00175261">
        <w:t>T</w:t>
      </w:r>
      <w:r w:rsidR="00175261" w:rsidRPr="008E2A78">
        <w:t xml:space="preserve">est </w:t>
      </w:r>
      <w:r w:rsidR="00175261">
        <w:t>P</w:t>
      </w:r>
      <w:r w:rsidR="00F53272" w:rsidRPr="008E2A78">
        <w:t>eriod</w:t>
      </w:r>
      <w:r w:rsidR="00E728FE" w:rsidRPr="008E2A78">
        <w:t xml:space="preserve">.  </w:t>
      </w:r>
      <w:r w:rsidR="006A2C04" w:rsidRPr="008E2A78">
        <w:t xml:space="preserve">Included as part of my workpapers is a summary revenue requirement model, which is similar in design to the model used by </w:t>
      </w:r>
      <w:r w:rsidR="00744BFB" w:rsidRPr="008E2A78">
        <w:t xml:space="preserve">Commission </w:t>
      </w:r>
      <w:r w:rsidR="00DC224A" w:rsidRPr="008E2A78">
        <w:t>Staff</w:t>
      </w:r>
      <w:r w:rsidR="00E728FE" w:rsidRPr="008E2A78">
        <w:t xml:space="preserve">.  </w:t>
      </w:r>
      <w:r w:rsidR="006A2C04" w:rsidRPr="008E2A78">
        <w:t xml:space="preserve">This summary model is designed to facilitate easier review of the filing and </w:t>
      </w:r>
      <w:r w:rsidR="00685309" w:rsidRPr="008E2A78">
        <w:t>is consistent with the model</w:t>
      </w:r>
      <w:r w:rsidR="00FA0003">
        <w:t>s</w:t>
      </w:r>
      <w:r w:rsidR="00685309" w:rsidRPr="008E2A78">
        <w:t xml:space="preserve"> used in the Company’s </w:t>
      </w:r>
      <w:r w:rsidR="00FA0003">
        <w:t>past rate cases</w:t>
      </w:r>
      <w:r w:rsidR="00E728FE" w:rsidRPr="008E2A78">
        <w:t xml:space="preserve">.  </w:t>
      </w:r>
    </w:p>
    <w:p w:rsidR="00D77405" w:rsidRDefault="00FD0AA9" w:rsidP="00282EDC">
      <w:pPr>
        <w:pStyle w:val="Heading1"/>
      </w:pPr>
      <w:bookmarkStart w:id="3" w:name="_Toc386626881"/>
      <w:r>
        <w:rPr>
          <w:rStyle w:val="AnswerChar1"/>
        </w:rPr>
        <w:t xml:space="preserve">OVERVIEW OF </w:t>
      </w:r>
      <w:r w:rsidR="0084787E">
        <w:rPr>
          <w:rStyle w:val="AnswerChar1"/>
        </w:rPr>
        <w:t xml:space="preserve">TEST PERIOD AND </w:t>
      </w:r>
      <w:r>
        <w:rPr>
          <w:rStyle w:val="AnswerChar1"/>
        </w:rPr>
        <w:t>ALLOCATION METHODOLOGY</w:t>
      </w:r>
      <w:bookmarkEnd w:id="3"/>
    </w:p>
    <w:p w:rsidR="00757B70" w:rsidRPr="00C11338" w:rsidRDefault="00757B70" w:rsidP="00274E8D">
      <w:pPr>
        <w:pStyle w:val="Question"/>
        <w:widowControl w:val="0"/>
        <w:jc w:val="left"/>
      </w:pPr>
      <w:r w:rsidRPr="00C11338">
        <w:t>Q.</w:t>
      </w:r>
      <w:r w:rsidRPr="00C11338">
        <w:tab/>
      </w:r>
      <w:r w:rsidR="00DC4893">
        <w:t>Please provide an overview of the development of the Test Period</w:t>
      </w:r>
      <w:r w:rsidR="000956F2">
        <w:t>.</w:t>
      </w:r>
    </w:p>
    <w:p w:rsidR="00065965" w:rsidRDefault="00757B70" w:rsidP="003F7952">
      <w:pPr>
        <w:pStyle w:val="Answer"/>
        <w:widowControl w:val="0"/>
        <w:jc w:val="left"/>
      </w:pPr>
      <w:r w:rsidRPr="00C11338">
        <w:t>A.</w:t>
      </w:r>
      <w:r w:rsidRPr="00C11338">
        <w:tab/>
      </w:r>
      <w:r w:rsidR="00DC4893">
        <w:t xml:space="preserve">The Test Period was </w:t>
      </w:r>
      <w:r w:rsidR="00065965">
        <w:t>develop</w:t>
      </w:r>
      <w:r w:rsidR="00DC4893">
        <w:t>ed by analyzing</w:t>
      </w:r>
      <w:r w:rsidR="00065965">
        <w:t xml:space="preserve"> the revenue requirement components in the </w:t>
      </w:r>
      <w:r w:rsidR="00E728FE">
        <w:t>historical</w:t>
      </w:r>
      <w:r w:rsidR="00065965">
        <w:t xml:space="preserve"> period to determine if restating or pro forma adjustment</w:t>
      </w:r>
      <w:r w:rsidR="00856A6D">
        <w:t>s</w:t>
      </w:r>
      <w:r w:rsidR="00065965">
        <w:t xml:space="preserve"> w</w:t>
      </w:r>
      <w:r w:rsidR="00856A6D">
        <w:t>ere</w:t>
      </w:r>
      <w:r w:rsidR="00065965">
        <w:t xml:space="preserve"> warranted to reflect normal</w:t>
      </w:r>
      <w:r w:rsidR="00DC4893">
        <w:t xml:space="preserve"> or expected</w:t>
      </w:r>
      <w:r w:rsidR="00065965">
        <w:t xml:space="preserve"> operating conditions</w:t>
      </w:r>
      <w:r w:rsidR="00E728FE">
        <w:t xml:space="preserve">.  </w:t>
      </w:r>
    </w:p>
    <w:p w:rsidR="00C02F80" w:rsidRDefault="00C02F80" w:rsidP="003F7952">
      <w:pPr>
        <w:pStyle w:val="Answer"/>
        <w:widowControl w:val="0"/>
        <w:ind w:firstLine="720"/>
        <w:jc w:val="left"/>
      </w:pPr>
      <w:r>
        <w:t>T</w:t>
      </w:r>
      <w:r w:rsidRPr="00C02F80">
        <w:t xml:space="preserve">he Company’s </w:t>
      </w:r>
      <w:r w:rsidR="00415E41">
        <w:t xml:space="preserve">proposed </w:t>
      </w:r>
      <w:r w:rsidRPr="00C02F80">
        <w:t xml:space="preserve">net power costs are based on </w:t>
      </w:r>
      <w:r w:rsidR="00415E41">
        <w:t>pro forma normalized</w:t>
      </w:r>
      <w:r w:rsidR="00415E41" w:rsidRPr="00C02F80">
        <w:t xml:space="preserve"> </w:t>
      </w:r>
      <w:r w:rsidRPr="00C02F80">
        <w:t xml:space="preserve">net power costs for the </w:t>
      </w:r>
      <w:r w:rsidR="00DC4893">
        <w:t xml:space="preserve">12 </w:t>
      </w:r>
      <w:r w:rsidR="00D65B29">
        <w:t>months ending</w:t>
      </w:r>
      <w:r w:rsidR="004D6550">
        <w:t xml:space="preserve"> </w:t>
      </w:r>
      <w:r w:rsidR="0062491A">
        <w:t>March 31, 2016</w:t>
      </w:r>
      <w:r w:rsidRPr="00C02F80">
        <w:t xml:space="preserve">, which </w:t>
      </w:r>
      <w:r w:rsidR="000956F2">
        <w:t xml:space="preserve">is </w:t>
      </w:r>
      <w:r w:rsidRPr="00C02F80">
        <w:t>the rate effective period</w:t>
      </w:r>
      <w:r w:rsidR="000956F2">
        <w:t xml:space="preserve"> in this case</w:t>
      </w:r>
      <w:r w:rsidR="00E728FE">
        <w:t xml:space="preserve">.  </w:t>
      </w:r>
      <w:r>
        <w:t xml:space="preserve">This approach to </w:t>
      </w:r>
      <w:r w:rsidR="00E0114C">
        <w:t xml:space="preserve">calculating </w:t>
      </w:r>
      <w:r>
        <w:t>net power costs is c</w:t>
      </w:r>
      <w:r w:rsidRPr="00C02F80">
        <w:t>onsistent with prior rate cases and recent Commission orders</w:t>
      </w:r>
      <w:r w:rsidR="00E728FE">
        <w:t xml:space="preserve">.  </w:t>
      </w:r>
    </w:p>
    <w:p w:rsidR="004405B0" w:rsidRDefault="00415E41" w:rsidP="003F7952">
      <w:pPr>
        <w:pStyle w:val="Answer"/>
        <w:widowControl w:val="0"/>
        <w:ind w:firstLine="720"/>
        <w:jc w:val="left"/>
      </w:pPr>
      <w:r>
        <w:t>F</w:t>
      </w:r>
      <w:r w:rsidR="003B2C76">
        <w:t>or consistency with the net power cost study used in this case</w:t>
      </w:r>
      <w:r>
        <w:t>, several generation-related items</w:t>
      </w:r>
      <w:r w:rsidR="00CF493E">
        <w:t xml:space="preserve">, </w:t>
      </w:r>
      <w:r w:rsidR="007F1BF3">
        <w:t xml:space="preserve">such as production tax credits, </w:t>
      </w:r>
      <w:r w:rsidR="00856A6D">
        <w:t>reflect</w:t>
      </w:r>
      <w:r w:rsidR="00DC4893">
        <w:t xml:space="preserve"> amounts for </w:t>
      </w:r>
      <w:r>
        <w:t xml:space="preserve">the </w:t>
      </w:r>
      <w:r w:rsidR="00DC4893">
        <w:t>12</w:t>
      </w:r>
      <w:r w:rsidR="000956F2">
        <w:t> </w:t>
      </w:r>
      <w:r>
        <w:t>months ending</w:t>
      </w:r>
      <w:r w:rsidR="00250185">
        <w:t xml:space="preserve"> </w:t>
      </w:r>
      <w:r w:rsidR="0062491A">
        <w:t>March 31, 2016</w:t>
      </w:r>
      <w:r w:rsidR="00E728FE">
        <w:t xml:space="preserve">.  </w:t>
      </w:r>
      <w:r w:rsidR="007F1BF3">
        <w:t xml:space="preserve">These generation-related items </w:t>
      </w:r>
      <w:r w:rsidR="00DC4893">
        <w:t xml:space="preserve">are </w:t>
      </w:r>
      <w:r w:rsidR="00D77405">
        <w:t xml:space="preserve">adjusted </w:t>
      </w:r>
      <w:r w:rsidR="007F1BF3">
        <w:t xml:space="preserve">to the Test Period </w:t>
      </w:r>
      <w:r w:rsidR="00D77405">
        <w:t>using the production factor methodology discussed later in my testimony</w:t>
      </w:r>
      <w:r w:rsidR="00E728FE">
        <w:t>.</w:t>
      </w:r>
    </w:p>
    <w:p w:rsidR="00FD0AA9" w:rsidRPr="00C11338" w:rsidRDefault="00FD0AA9" w:rsidP="00D57A3B">
      <w:pPr>
        <w:pStyle w:val="Question"/>
        <w:keepNext/>
        <w:widowControl w:val="0"/>
        <w:jc w:val="left"/>
      </w:pPr>
      <w:r w:rsidRPr="00C11338">
        <w:t>Q.</w:t>
      </w:r>
      <w:r w:rsidRPr="00C11338">
        <w:tab/>
        <w:t xml:space="preserve">What allocation methodology </w:t>
      </w:r>
      <w:r>
        <w:t>has been applied</w:t>
      </w:r>
      <w:r w:rsidRPr="00C11338">
        <w:t xml:space="preserve"> in </w:t>
      </w:r>
      <w:r>
        <w:t xml:space="preserve">the </w:t>
      </w:r>
      <w:r w:rsidRPr="00C11338">
        <w:t xml:space="preserve">calculation </w:t>
      </w:r>
      <w:r>
        <w:t>of the Washington</w:t>
      </w:r>
      <w:r w:rsidRPr="00C11338">
        <w:t xml:space="preserve"> </w:t>
      </w:r>
      <w:r>
        <w:t>r</w:t>
      </w:r>
      <w:r w:rsidRPr="00C11338">
        <w:t xml:space="preserve">esults of </w:t>
      </w:r>
      <w:r>
        <w:t>o</w:t>
      </w:r>
      <w:r w:rsidRPr="00C11338">
        <w:t>perations?</w:t>
      </w:r>
    </w:p>
    <w:p w:rsidR="00FD0AA9" w:rsidRDefault="00FD0AA9" w:rsidP="00FD0AA9">
      <w:pPr>
        <w:pStyle w:val="Answer"/>
        <w:widowControl w:val="0"/>
        <w:jc w:val="left"/>
      </w:pPr>
      <w:r w:rsidRPr="00C11338">
        <w:t>A.</w:t>
      </w:r>
      <w:r w:rsidRPr="00C11338">
        <w:tab/>
      </w:r>
      <w:r>
        <w:t xml:space="preserve">Washington results of operations in this proceeding are developed using allocation factors under the </w:t>
      </w:r>
      <w:r w:rsidR="00FD110B">
        <w:t>W</w:t>
      </w:r>
      <w:r>
        <w:t xml:space="preserve">est </w:t>
      </w:r>
      <w:r w:rsidR="00FD110B">
        <w:t>C</w:t>
      </w:r>
      <w:r>
        <w:t xml:space="preserve">ontrol </w:t>
      </w:r>
      <w:r w:rsidR="00FD110B">
        <w:t>A</w:t>
      </w:r>
      <w:r>
        <w:t xml:space="preserve">rea inter-jurisdictional allocation methodology </w:t>
      </w:r>
      <w:r>
        <w:lastRenderedPageBreak/>
        <w:t>(WCA)</w:t>
      </w:r>
      <w:r w:rsidRPr="00C11338">
        <w:t xml:space="preserve">, as approved by the </w:t>
      </w:r>
      <w:r>
        <w:t xml:space="preserve">Commission </w:t>
      </w:r>
      <w:r w:rsidRPr="00C11338">
        <w:t>in</w:t>
      </w:r>
      <w:r>
        <w:t xml:space="preserve"> Order 08,</w:t>
      </w:r>
      <w:r w:rsidRPr="00C11338">
        <w:t xml:space="preserve"> </w:t>
      </w:r>
      <w:r>
        <w:t>d</w:t>
      </w:r>
      <w:r w:rsidRPr="00F41F48">
        <w:t>ocket UE-061546</w:t>
      </w:r>
      <w:r>
        <w:t>,</w:t>
      </w:r>
      <w:r>
        <w:rPr>
          <w:rStyle w:val="FootnoteReference"/>
        </w:rPr>
        <w:footnoteReference w:id="1"/>
      </w:r>
      <w:r>
        <w:t xml:space="preserve"> and reaffirmed in Order 05 of the 2013 Rate Case. </w:t>
      </w:r>
      <w:r w:rsidR="005753C2">
        <w:t xml:space="preserve"> </w:t>
      </w:r>
      <w:r w:rsidR="00996A97">
        <w:t xml:space="preserve">As discussed </w:t>
      </w:r>
      <w:r w:rsidR="00996A97" w:rsidRPr="0009215C">
        <w:t>in the testimon</w:t>
      </w:r>
      <w:r w:rsidR="00996A97">
        <w:t>y</w:t>
      </w:r>
      <w:r w:rsidR="00996A97" w:rsidRPr="0009215C">
        <w:t xml:space="preserve"> of Mr.</w:t>
      </w:r>
      <w:r w:rsidR="00FD110B">
        <w:t> </w:t>
      </w:r>
      <w:r w:rsidR="00996A97" w:rsidRPr="0009215C">
        <w:t>Gregory N. Duvall</w:t>
      </w:r>
      <w:r w:rsidR="00996A97">
        <w:t>,</w:t>
      </w:r>
      <w:r>
        <w:t xml:space="preserve"> </w:t>
      </w:r>
      <w:r w:rsidR="005753C2">
        <w:t xml:space="preserve">in this case </w:t>
      </w:r>
      <w:r w:rsidR="002C3890">
        <w:t>the Company proposes</w:t>
      </w:r>
      <w:r w:rsidR="00996A97">
        <w:t xml:space="preserve"> a </w:t>
      </w:r>
      <w:r>
        <w:t xml:space="preserve">modification regarding the treatment of </w:t>
      </w:r>
      <w:r w:rsidR="00996A97">
        <w:t xml:space="preserve">power </w:t>
      </w:r>
      <w:r w:rsidR="00EF6DB9">
        <w:t xml:space="preserve">purchase </w:t>
      </w:r>
      <w:r w:rsidR="00996A97">
        <w:t xml:space="preserve">agreements (PPAs) </w:t>
      </w:r>
      <w:r w:rsidR="00EF6DB9">
        <w:t xml:space="preserve">with all </w:t>
      </w:r>
      <w:r w:rsidR="00996A97">
        <w:t xml:space="preserve">Oregon and California </w:t>
      </w:r>
      <w:r w:rsidR="002A0C76">
        <w:t>qualifying f</w:t>
      </w:r>
      <w:r>
        <w:t>acilit</w:t>
      </w:r>
      <w:r w:rsidR="00EF6DB9">
        <w:t>ies</w:t>
      </w:r>
      <w:r>
        <w:t xml:space="preserve"> (QF</w:t>
      </w:r>
      <w:r w:rsidR="00EF6DB9">
        <w:t>s</w:t>
      </w:r>
      <w:r>
        <w:t xml:space="preserve">) in </w:t>
      </w:r>
      <w:r w:rsidR="007F1BF3">
        <w:t xml:space="preserve">the development of </w:t>
      </w:r>
      <w:r>
        <w:t>net power costs</w:t>
      </w:r>
      <w:r w:rsidRPr="0009215C">
        <w:t>.</w:t>
      </w:r>
    </w:p>
    <w:p w:rsidR="0007097D" w:rsidRPr="00C11338" w:rsidRDefault="0007097D" w:rsidP="003F7952">
      <w:pPr>
        <w:pStyle w:val="Question"/>
        <w:widowControl w:val="0"/>
        <w:jc w:val="left"/>
      </w:pPr>
      <w:r w:rsidRPr="00C11338">
        <w:t>Q.</w:t>
      </w:r>
      <w:r w:rsidRPr="00C11338">
        <w:tab/>
        <w:t xml:space="preserve">Please describe the process used to </w:t>
      </w:r>
      <w:r w:rsidR="00F8509C">
        <w:t>develop</w:t>
      </w:r>
      <w:r w:rsidRPr="00C11338">
        <w:t xml:space="preserve"> </w:t>
      </w:r>
      <w:r w:rsidR="00AD12E3">
        <w:t>T</w:t>
      </w:r>
      <w:r w:rsidRPr="00C11338">
        <w:t xml:space="preserve">est </w:t>
      </w:r>
      <w:r w:rsidR="00AD12E3">
        <w:t>P</w:t>
      </w:r>
      <w:r w:rsidRPr="00C11338">
        <w:t xml:space="preserve">eriod </w:t>
      </w:r>
      <w:r w:rsidR="005753C2">
        <w:t>operations and maintenance (O&amp;M) expenses</w:t>
      </w:r>
      <w:r w:rsidRPr="00C11338">
        <w:t>.</w:t>
      </w:r>
    </w:p>
    <w:p w:rsidR="008E7603" w:rsidRDefault="0007097D" w:rsidP="008E7603">
      <w:pPr>
        <w:pStyle w:val="Answer"/>
        <w:widowControl w:val="0"/>
        <w:jc w:val="left"/>
      </w:pPr>
      <w:r w:rsidRPr="00C11338">
        <w:t>A.</w:t>
      </w:r>
      <w:r w:rsidR="00DA6907">
        <w:tab/>
      </w:r>
      <w:r w:rsidR="000817CE">
        <w:t>O&amp;</w:t>
      </w:r>
      <w:r w:rsidR="005753C2">
        <w:t>M</w:t>
      </w:r>
      <w:r w:rsidR="00C91D65">
        <w:t xml:space="preserve"> expenses were developed using</w:t>
      </w:r>
      <w:r w:rsidR="0010676F">
        <w:t xml:space="preserve"> </w:t>
      </w:r>
      <w:r w:rsidR="00E728FE">
        <w:t>historical</w:t>
      </w:r>
      <w:r w:rsidR="0010676F">
        <w:t xml:space="preserve"> expense levels for the </w:t>
      </w:r>
      <w:r w:rsidR="00DC4893">
        <w:t xml:space="preserve">12 </w:t>
      </w:r>
      <w:r w:rsidR="00A86F4D">
        <w:t>months</w:t>
      </w:r>
      <w:r w:rsidR="005B35C0">
        <w:t xml:space="preserve"> </w:t>
      </w:r>
      <w:r w:rsidR="00064289">
        <w:t>ended</w:t>
      </w:r>
      <w:r w:rsidR="005B35C0">
        <w:t xml:space="preserve"> </w:t>
      </w:r>
      <w:r w:rsidR="00B52332">
        <w:t>December 31</w:t>
      </w:r>
      <w:r w:rsidR="00BD64AD">
        <w:t xml:space="preserve">, </w:t>
      </w:r>
      <w:r w:rsidR="00B52332">
        <w:t>2013</w:t>
      </w:r>
      <w:r w:rsidR="0010676F">
        <w:t xml:space="preserve">, </w:t>
      </w:r>
      <w:r w:rsidR="000858D3">
        <w:t>normalized with restating and pro forma adjustments</w:t>
      </w:r>
      <w:r w:rsidR="00E728FE">
        <w:t>.</w:t>
      </w:r>
    </w:p>
    <w:p w:rsidR="0025755A" w:rsidRDefault="0025755A" w:rsidP="008E7603">
      <w:pPr>
        <w:pStyle w:val="Answer"/>
        <w:widowControl w:val="0"/>
        <w:jc w:val="left"/>
        <w:rPr>
          <w:b/>
        </w:rPr>
      </w:pPr>
      <w:r w:rsidRPr="0025755A">
        <w:rPr>
          <w:b/>
        </w:rPr>
        <w:t>Q.</w:t>
      </w:r>
      <w:r w:rsidRPr="0025755A">
        <w:rPr>
          <w:b/>
        </w:rPr>
        <w:tab/>
      </w:r>
      <w:r w:rsidR="005753C2">
        <w:rPr>
          <w:b/>
        </w:rPr>
        <w:t xml:space="preserve">Is the Company proposing an adjustment to better reflect O&amp;M expenses expected during the </w:t>
      </w:r>
      <w:r>
        <w:rPr>
          <w:b/>
        </w:rPr>
        <w:t>rate effective period?</w:t>
      </w:r>
    </w:p>
    <w:p w:rsidR="00405F3C" w:rsidRDefault="005753C2" w:rsidP="008E7603">
      <w:pPr>
        <w:pStyle w:val="Answer"/>
        <w:widowControl w:val="0"/>
        <w:jc w:val="left"/>
      </w:pPr>
      <w:r>
        <w:t>A.</w:t>
      </w:r>
      <w:r>
        <w:tab/>
        <w:t>Yes.  As discussed in the direct testimony of Mr. R. Bryce Dalley, t</w:t>
      </w:r>
      <w:r w:rsidR="0025755A">
        <w:t xml:space="preserve">he Company proposes to include </w:t>
      </w:r>
      <w:r w:rsidR="007F1BF3">
        <w:t xml:space="preserve">a </w:t>
      </w:r>
      <w:r w:rsidR="0025755A">
        <w:t>pro</w:t>
      </w:r>
      <w:r w:rsidR="00FA0003">
        <w:t xml:space="preserve"> </w:t>
      </w:r>
      <w:r w:rsidR="0025755A">
        <w:t xml:space="preserve">forma adjustment to </w:t>
      </w:r>
      <w:r w:rsidR="007F1BF3">
        <w:t xml:space="preserve">non-labor </w:t>
      </w:r>
      <w:r w:rsidR="0025755A">
        <w:t xml:space="preserve">O&amp;M expenses </w:t>
      </w:r>
      <w:r>
        <w:t>using I</w:t>
      </w:r>
      <w:r w:rsidR="00CA46B3">
        <w:t>H</w:t>
      </w:r>
      <w:r>
        <w:t xml:space="preserve">S Global Insight indices </w:t>
      </w:r>
      <w:r w:rsidR="0025755A">
        <w:t xml:space="preserve">to </w:t>
      </w:r>
      <w:r>
        <w:t xml:space="preserve">better </w:t>
      </w:r>
      <w:r w:rsidR="0025755A">
        <w:t>reflect the cost levels expected during the rate effective year</w:t>
      </w:r>
      <w:r>
        <w:t xml:space="preserve">.  </w:t>
      </w:r>
    </w:p>
    <w:p w:rsidR="00405F3C" w:rsidRPr="00D57A3B" w:rsidRDefault="00405F3C" w:rsidP="00D57A3B">
      <w:pPr>
        <w:pStyle w:val="Answer"/>
        <w:widowControl w:val="0"/>
        <w:ind w:firstLine="720"/>
        <w:jc w:val="left"/>
      </w:pPr>
      <w:r w:rsidRPr="00D57A3B">
        <w:t>In addition, f</w:t>
      </w:r>
      <w:r w:rsidRPr="00405F3C">
        <w:t xml:space="preserve">or labor-related O&amp;M, the Company has included a pro forma adjustment to reflect </w:t>
      </w:r>
      <w:r w:rsidRPr="00D57A3B">
        <w:t xml:space="preserve">salary and wage expenses at levels expected </w:t>
      </w:r>
      <w:r w:rsidR="00EF6DB9">
        <w:t>in</w:t>
      </w:r>
      <w:r w:rsidR="00EF6DB9" w:rsidRPr="00D57A3B">
        <w:t xml:space="preserve"> </w:t>
      </w:r>
      <w:r w:rsidRPr="00D57A3B">
        <w:t>the rate effective period.  The adjustment is based upon known and measurable increases under union contracts and known or anticipated increase</w:t>
      </w:r>
      <w:r w:rsidRPr="00405F3C">
        <w:t>s for the non-union workforce.</w:t>
      </w:r>
    </w:p>
    <w:p w:rsidR="0025755A" w:rsidRDefault="00405F3C" w:rsidP="00D57A3B">
      <w:pPr>
        <w:pStyle w:val="Answer"/>
        <w:widowControl w:val="0"/>
        <w:ind w:firstLine="720"/>
        <w:jc w:val="left"/>
      </w:pPr>
      <w:r>
        <w:t xml:space="preserve">These adjustments are discussed in greater detail later in my testimony. </w:t>
      </w:r>
    </w:p>
    <w:p w:rsidR="00B44153" w:rsidRPr="00D57A3B" w:rsidRDefault="00B44153" w:rsidP="00D57A3B">
      <w:pPr>
        <w:pStyle w:val="Answer"/>
        <w:keepNext/>
        <w:jc w:val="left"/>
      </w:pPr>
      <w:r w:rsidRPr="00D57A3B">
        <w:rPr>
          <w:b/>
        </w:rPr>
        <w:lastRenderedPageBreak/>
        <w:t>Q.</w:t>
      </w:r>
      <w:r w:rsidRPr="00D57A3B">
        <w:rPr>
          <w:b/>
        </w:rPr>
        <w:tab/>
      </w:r>
      <w:r w:rsidR="000F5644" w:rsidRPr="00D57A3B">
        <w:rPr>
          <w:b/>
        </w:rPr>
        <w:t xml:space="preserve">Has the Company </w:t>
      </w:r>
      <w:r w:rsidR="00CA46B3" w:rsidRPr="00D57A3B">
        <w:rPr>
          <w:b/>
        </w:rPr>
        <w:t xml:space="preserve">used </w:t>
      </w:r>
      <w:r w:rsidR="000F5644" w:rsidRPr="00D57A3B">
        <w:rPr>
          <w:b/>
        </w:rPr>
        <w:t xml:space="preserve">O&amp;M escalation adjustments in its </w:t>
      </w:r>
      <w:r w:rsidR="00D63235" w:rsidRPr="00D57A3B">
        <w:rPr>
          <w:b/>
        </w:rPr>
        <w:t xml:space="preserve">previous </w:t>
      </w:r>
      <w:r w:rsidR="000F5644" w:rsidRPr="00D57A3B">
        <w:rPr>
          <w:b/>
        </w:rPr>
        <w:t>rate case filings?</w:t>
      </w:r>
    </w:p>
    <w:p w:rsidR="000F5644" w:rsidRDefault="000F5644" w:rsidP="00B44153">
      <w:pPr>
        <w:pStyle w:val="Question"/>
        <w:widowControl w:val="0"/>
        <w:jc w:val="left"/>
        <w:rPr>
          <w:b w:val="0"/>
        </w:rPr>
      </w:pPr>
      <w:r w:rsidRPr="000F5644">
        <w:rPr>
          <w:b w:val="0"/>
        </w:rPr>
        <w:t>A.</w:t>
      </w:r>
      <w:r>
        <w:rPr>
          <w:b w:val="0"/>
        </w:rPr>
        <w:tab/>
        <w:t xml:space="preserve">Yes, the Company includes </w:t>
      </w:r>
      <w:r w:rsidR="009E4607">
        <w:rPr>
          <w:b w:val="0"/>
        </w:rPr>
        <w:t xml:space="preserve">non-labor </w:t>
      </w:r>
      <w:r>
        <w:rPr>
          <w:b w:val="0"/>
        </w:rPr>
        <w:t>O&amp;M escalation adjustment</w:t>
      </w:r>
      <w:r w:rsidR="009E4607">
        <w:rPr>
          <w:b w:val="0"/>
        </w:rPr>
        <w:t>s</w:t>
      </w:r>
      <w:r>
        <w:rPr>
          <w:b w:val="0"/>
        </w:rPr>
        <w:t xml:space="preserve"> </w:t>
      </w:r>
      <w:r w:rsidR="004A12F4">
        <w:rPr>
          <w:b w:val="0"/>
        </w:rPr>
        <w:t>in its other jurisdictions</w:t>
      </w:r>
      <w:r>
        <w:rPr>
          <w:b w:val="0"/>
        </w:rPr>
        <w:t>.  The adjustment proposed in this case uses th</w:t>
      </w:r>
      <w:r w:rsidR="003A0345">
        <w:rPr>
          <w:b w:val="0"/>
        </w:rPr>
        <w:t>e same approach that ha</w:t>
      </w:r>
      <w:r w:rsidR="009E4607">
        <w:rPr>
          <w:b w:val="0"/>
        </w:rPr>
        <w:t>s</w:t>
      </w:r>
      <w:r w:rsidR="003A0345">
        <w:rPr>
          <w:b w:val="0"/>
        </w:rPr>
        <w:t xml:space="preserve"> been </w:t>
      </w:r>
      <w:r>
        <w:rPr>
          <w:b w:val="0"/>
        </w:rPr>
        <w:t xml:space="preserve">approved in </w:t>
      </w:r>
      <w:r w:rsidR="009E4607">
        <w:rPr>
          <w:b w:val="0"/>
        </w:rPr>
        <w:t>California, Oregon, Utah</w:t>
      </w:r>
      <w:r w:rsidR="00405F3C">
        <w:rPr>
          <w:b w:val="0"/>
        </w:rPr>
        <w:t>,</w:t>
      </w:r>
      <w:r w:rsidR="009E4607">
        <w:rPr>
          <w:b w:val="0"/>
        </w:rPr>
        <w:t xml:space="preserve"> and Wyoming</w:t>
      </w:r>
      <w:r>
        <w:rPr>
          <w:b w:val="0"/>
        </w:rPr>
        <w:t>.</w:t>
      </w:r>
    </w:p>
    <w:p w:rsidR="00B44153" w:rsidRPr="00870791" w:rsidRDefault="003A0345" w:rsidP="00D57A3B">
      <w:pPr>
        <w:pStyle w:val="Question"/>
        <w:widowControl w:val="0"/>
        <w:jc w:val="left"/>
      </w:pPr>
      <w:r w:rsidRPr="00870791">
        <w:t>Q.</w:t>
      </w:r>
      <w:r w:rsidRPr="00870791">
        <w:tab/>
        <w:t>Do other utilities in Washington include O&amp;M escalation adjustments in their rate cases?</w:t>
      </w:r>
    </w:p>
    <w:p w:rsidR="003A0345" w:rsidRPr="0025755A" w:rsidRDefault="003A2C16" w:rsidP="008E7603">
      <w:pPr>
        <w:pStyle w:val="Answer"/>
        <w:widowControl w:val="0"/>
        <w:jc w:val="left"/>
      </w:pPr>
      <w:r>
        <w:t>A.</w:t>
      </w:r>
      <w:r>
        <w:tab/>
        <w:t xml:space="preserve">Yes, </w:t>
      </w:r>
      <w:r w:rsidR="00AA362E">
        <w:t xml:space="preserve">in their last several rate cases, </w:t>
      </w:r>
      <w:r>
        <w:t>Avista has included a pro forma adjustment for labor that reflects the cost</w:t>
      </w:r>
      <w:r w:rsidR="00D63235">
        <w:t xml:space="preserve"> levels</w:t>
      </w:r>
      <w:r>
        <w:t xml:space="preserve"> that are expected in the rate effective year</w:t>
      </w:r>
      <w:r w:rsidR="00D63235">
        <w:t xml:space="preserve"> based on the union and non-union wage increases known at the time</w:t>
      </w:r>
      <w:r>
        <w:t xml:space="preserve">. </w:t>
      </w:r>
    </w:p>
    <w:p w:rsidR="008E7603" w:rsidRDefault="008E7603" w:rsidP="008E7603">
      <w:pPr>
        <w:pStyle w:val="Question"/>
        <w:widowControl w:val="0"/>
        <w:jc w:val="left"/>
      </w:pPr>
      <w:r w:rsidRPr="00C11338">
        <w:t>Q.</w:t>
      </w:r>
      <w:r w:rsidRPr="00C11338">
        <w:tab/>
        <w:t xml:space="preserve">Please </w:t>
      </w:r>
      <w:r w:rsidR="00691817">
        <w:t>describe</w:t>
      </w:r>
      <w:r>
        <w:t xml:space="preserve"> the </w:t>
      </w:r>
      <w:r w:rsidRPr="00C11338">
        <w:t xml:space="preserve">process used to </w:t>
      </w:r>
      <w:r>
        <w:t>develop</w:t>
      </w:r>
      <w:r w:rsidRPr="00C11338">
        <w:t xml:space="preserve"> </w:t>
      </w:r>
      <w:r>
        <w:t>T</w:t>
      </w:r>
      <w:r w:rsidRPr="00C11338">
        <w:t xml:space="preserve">est </w:t>
      </w:r>
      <w:r>
        <w:t>P</w:t>
      </w:r>
      <w:r w:rsidRPr="00C11338">
        <w:t xml:space="preserve">eriod </w:t>
      </w:r>
      <w:r w:rsidR="004A12F4">
        <w:t xml:space="preserve">electric </w:t>
      </w:r>
      <w:r w:rsidR="00691817">
        <w:t xml:space="preserve">plant </w:t>
      </w:r>
      <w:r w:rsidR="004A12F4">
        <w:t xml:space="preserve">in service </w:t>
      </w:r>
      <w:r w:rsidR="00691817">
        <w:t>and associated accumulated depreciation balances</w:t>
      </w:r>
      <w:r w:rsidRPr="00C11338">
        <w:t>.</w:t>
      </w:r>
    </w:p>
    <w:p w:rsidR="00E61E46" w:rsidRDefault="00F90C13" w:rsidP="002A0C76">
      <w:pPr>
        <w:pStyle w:val="Answer"/>
        <w:widowControl w:val="0"/>
        <w:jc w:val="left"/>
      </w:pPr>
      <w:r>
        <w:t>A.</w:t>
      </w:r>
      <w:r>
        <w:tab/>
      </w:r>
      <w:r w:rsidR="004A12F4">
        <w:t>Electric p</w:t>
      </w:r>
      <w:r w:rsidR="00C91D65">
        <w:t>lant</w:t>
      </w:r>
      <w:r w:rsidR="00772415">
        <w:t xml:space="preserve"> </w:t>
      </w:r>
      <w:r w:rsidR="004A12F4">
        <w:t xml:space="preserve">in service </w:t>
      </w:r>
      <w:r w:rsidR="00C91D65">
        <w:t xml:space="preserve">and associated accumulated </w:t>
      </w:r>
      <w:r w:rsidR="00D77405">
        <w:t>depreciation</w:t>
      </w:r>
      <w:r w:rsidR="00772415">
        <w:t xml:space="preserve"> balances</w:t>
      </w:r>
      <w:r w:rsidR="00C91D65">
        <w:t xml:space="preserve"> were developed using </w:t>
      </w:r>
      <w:r w:rsidR="00E728FE">
        <w:t>historical</w:t>
      </w:r>
      <w:r w:rsidR="00C91D65">
        <w:t xml:space="preserve"> </w:t>
      </w:r>
      <w:r w:rsidR="005563F6">
        <w:t>average</w:t>
      </w:r>
      <w:r w:rsidR="00405F3C">
        <w:t>-</w:t>
      </w:r>
      <w:r w:rsidR="005563F6">
        <w:t>of</w:t>
      </w:r>
      <w:r w:rsidR="00405F3C">
        <w:t>-</w:t>
      </w:r>
      <w:r w:rsidR="005563F6">
        <w:t>monthly</w:t>
      </w:r>
      <w:r w:rsidR="00405F3C">
        <w:t>-</w:t>
      </w:r>
      <w:r w:rsidR="005563F6">
        <w:t>average</w:t>
      </w:r>
      <w:r w:rsidR="00405F3C">
        <w:t>s</w:t>
      </w:r>
      <w:r w:rsidR="005563F6">
        <w:t xml:space="preserve"> (</w:t>
      </w:r>
      <w:r w:rsidR="00F5250C">
        <w:t>AMA</w:t>
      </w:r>
      <w:r w:rsidR="005563F6">
        <w:t>)</w:t>
      </w:r>
      <w:r w:rsidR="00F5250C">
        <w:t xml:space="preserve"> </w:t>
      </w:r>
      <w:r w:rsidR="00C91D65">
        <w:t>balan</w:t>
      </w:r>
      <w:r w:rsidR="00F5250C">
        <w:t xml:space="preserve">ces for the </w:t>
      </w:r>
      <w:r w:rsidR="00DC224A">
        <w:t>1</w:t>
      </w:r>
      <w:r w:rsidR="00BD64AD">
        <w:t>3</w:t>
      </w:r>
      <w:r w:rsidR="00405F3C">
        <w:t> </w:t>
      </w:r>
      <w:r w:rsidR="00A86F4D">
        <w:t>months</w:t>
      </w:r>
      <w:r w:rsidR="00F5250C">
        <w:t xml:space="preserve"> </w:t>
      </w:r>
      <w:r w:rsidR="00064289">
        <w:t>ended</w:t>
      </w:r>
      <w:r w:rsidR="002A1E06">
        <w:t xml:space="preserve"> </w:t>
      </w:r>
      <w:r w:rsidR="00B52332">
        <w:t>December 31</w:t>
      </w:r>
      <w:r w:rsidR="00BD64AD">
        <w:t>, 201</w:t>
      </w:r>
      <w:r w:rsidR="00B52332">
        <w:t>3</w:t>
      </w:r>
      <w:r w:rsidR="00E728FE">
        <w:t xml:space="preserve">.  </w:t>
      </w:r>
      <w:r w:rsidR="00691817">
        <w:t>T</w:t>
      </w:r>
      <w:r w:rsidR="00DC4893">
        <w:t xml:space="preserve">hrough a </w:t>
      </w:r>
      <w:r w:rsidR="004A12F4">
        <w:t>restating</w:t>
      </w:r>
      <w:r w:rsidR="00DC4893">
        <w:t xml:space="preserve"> adjustment, </w:t>
      </w:r>
      <w:r w:rsidR="00EE0548">
        <w:t xml:space="preserve">the average net electric </w:t>
      </w:r>
      <w:r w:rsidR="00DC4893">
        <w:t xml:space="preserve">plant in service balances are </w:t>
      </w:r>
      <w:r w:rsidR="00691817">
        <w:t xml:space="preserve">then </w:t>
      </w:r>
      <w:r w:rsidR="00DC4893">
        <w:t>adjusted</w:t>
      </w:r>
      <w:r w:rsidR="00EE0548">
        <w:t xml:space="preserve"> to </w:t>
      </w:r>
      <w:r w:rsidR="00DC4893">
        <w:t xml:space="preserve">actual </w:t>
      </w:r>
      <w:r w:rsidR="00EE0548">
        <w:t>ending balance</w:t>
      </w:r>
      <w:r w:rsidR="00DC4893">
        <w:t>s</w:t>
      </w:r>
      <w:r w:rsidR="00EE0548">
        <w:t xml:space="preserve"> as of </w:t>
      </w:r>
      <w:r w:rsidR="00B52332">
        <w:t>December 31, 2013</w:t>
      </w:r>
      <w:r w:rsidR="00E728FE">
        <w:t xml:space="preserve">.  </w:t>
      </w:r>
      <w:r w:rsidR="00691817">
        <w:t xml:space="preserve">Next, </w:t>
      </w:r>
      <w:r w:rsidR="00EE0548">
        <w:t xml:space="preserve">pro forma capital additions that </w:t>
      </w:r>
      <w:r w:rsidR="0024243A">
        <w:t xml:space="preserve">are </w:t>
      </w:r>
      <w:r w:rsidR="003D5ADB">
        <w:t>greater than $250</w:t>
      </w:r>
      <w:r w:rsidR="00501853">
        <w:t>,000</w:t>
      </w:r>
      <w:r w:rsidR="003D5ADB">
        <w:t xml:space="preserve"> on a Washington-allocated basis </w:t>
      </w:r>
      <w:r w:rsidR="0024243A">
        <w:t>projected to be placed</w:t>
      </w:r>
      <w:r w:rsidR="00EE0548">
        <w:t xml:space="preserve"> in service </w:t>
      </w:r>
      <w:r w:rsidR="0024243A">
        <w:t>before</w:t>
      </w:r>
      <w:r w:rsidR="00EE0548">
        <w:t xml:space="preserve"> </w:t>
      </w:r>
      <w:r w:rsidR="00A715E9">
        <w:t>March 31, 2015</w:t>
      </w:r>
      <w:r w:rsidR="00405F3C">
        <w:t>,</w:t>
      </w:r>
      <w:r w:rsidR="00691817">
        <w:t xml:space="preserve"> </w:t>
      </w:r>
      <w:r w:rsidR="003D5ADB">
        <w:t xml:space="preserve">were </w:t>
      </w:r>
      <w:r w:rsidR="00691817">
        <w:t>added to rate base at end</w:t>
      </w:r>
      <w:r w:rsidR="00405F3C">
        <w:t>-</w:t>
      </w:r>
      <w:r w:rsidR="00691817">
        <w:t>of</w:t>
      </w:r>
      <w:r w:rsidR="00405F3C">
        <w:t>-</w:t>
      </w:r>
      <w:r w:rsidR="00691817">
        <w:t>period balances</w:t>
      </w:r>
      <w:r w:rsidR="00A715E9">
        <w:t>.</w:t>
      </w:r>
      <w:r w:rsidR="0024243A">
        <w:t xml:space="preserve">  </w:t>
      </w:r>
      <w:r w:rsidR="00691817">
        <w:t xml:space="preserve">Finally, </w:t>
      </w:r>
      <w:r w:rsidR="00691817" w:rsidRPr="00691817">
        <w:t xml:space="preserve">the production factor adjustment was applied to the </w:t>
      </w:r>
      <w:r w:rsidR="00F12B6A">
        <w:t xml:space="preserve">generation-related </w:t>
      </w:r>
      <w:r w:rsidR="00691817" w:rsidRPr="00691817">
        <w:t>pro forma capital additions and associated revenue requirement components to adjust the pro forma cost levels to the historical Test Period.</w:t>
      </w:r>
      <w:r w:rsidR="00691817">
        <w:t xml:space="preserve">  </w:t>
      </w:r>
    </w:p>
    <w:p w:rsidR="002C3890" w:rsidRDefault="002C3890" w:rsidP="002C3890">
      <w:pPr>
        <w:pStyle w:val="Answer"/>
        <w:widowControl w:val="0"/>
        <w:suppressLineNumbers/>
        <w:jc w:val="left"/>
      </w:pPr>
    </w:p>
    <w:p w:rsidR="003D5ADB" w:rsidRDefault="00405F3C" w:rsidP="002A0C76">
      <w:pPr>
        <w:pStyle w:val="Answer"/>
        <w:widowControl w:val="0"/>
        <w:ind w:firstLine="720"/>
        <w:jc w:val="left"/>
      </w:pPr>
      <w:r>
        <w:lastRenderedPageBreak/>
        <w:t>Testimony is provided for p</w:t>
      </w:r>
      <w:r w:rsidR="0086543D">
        <w:t xml:space="preserve">ro forma capital </w:t>
      </w:r>
      <w:r w:rsidR="00E61E46">
        <w:t xml:space="preserve">additions </w:t>
      </w:r>
      <w:r w:rsidR="003D5ADB">
        <w:t>exceeding $1</w:t>
      </w:r>
      <w:r>
        <w:t>.0</w:t>
      </w:r>
      <w:r w:rsidR="003D5ADB">
        <w:t xml:space="preserve"> million on a Washington-allocated basis</w:t>
      </w:r>
      <w:r>
        <w:t xml:space="preserve">.  Mr. </w:t>
      </w:r>
      <w:r w:rsidR="00EF6DB9">
        <w:t xml:space="preserve">Richard </w:t>
      </w:r>
      <w:r>
        <w:t>A. Vail testifies about the Union Gap Substation Upgrade Project, Selah Substation Capacity Relief Project, and Fry Substation Project.  Mr. Mark R. Tallman testifies about the Merwin Fish Collector.  And Mr. Dana M. Ralston testifies about a cooling tower replacement at Unit 1 of the Jim Bridger generating plant.  Plant additions greater than $250,000 on a Washington-allocated basis, but less than $1.0 million, are separately identified and described in my exhibits.</w:t>
      </w:r>
    </w:p>
    <w:p w:rsidR="00E61E46" w:rsidRDefault="00F90C13" w:rsidP="00E61E46">
      <w:pPr>
        <w:pStyle w:val="Answer"/>
        <w:widowControl w:val="0"/>
        <w:jc w:val="left"/>
        <w:rPr>
          <w:b/>
        </w:rPr>
      </w:pPr>
      <w:r w:rsidRPr="00F90C13">
        <w:rPr>
          <w:b/>
        </w:rPr>
        <w:t>Q.</w:t>
      </w:r>
      <w:r w:rsidRPr="00F90C13">
        <w:rPr>
          <w:b/>
        </w:rPr>
        <w:tab/>
        <w:t xml:space="preserve">Is the use of </w:t>
      </w:r>
      <w:r w:rsidR="005577CE">
        <w:rPr>
          <w:b/>
        </w:rPr>
        <w:t xml:space="preserve">pro forma plant additions </w:t>
      </w:r>
      <w:r w:rsidRPr="00F90C13">
        <w:rPr>
          <w:b/>
        </w:rPr>
        <w:t>and associated accumulated depreciation balances consistent with prior Commission orders?</w:t>
      </w:r>
    </w:p>
    <w:p w:rsidR="00F12B6A" w:rsidRDefault="00E61E46" w:rsidP="00E61E46">
      <w:pPr>
        <w:pStyle w:val="Answer"/>
        <w:widowControl w:val="0"/>
        <w:jc w:val="left"/>
      </w:pPr>
      <w:r w:rsidRPr="00E61E46">
        <w:t>A.</w:t>
      </w:r>
      <w:r w:rsidRPr="00E61E46">
        <w:tab/>
      </w:r>
      <w:r w:rsidR="003B52C4">
        <w:t xml:space="preserve">Yes.  </w:t>
      </w:r>
      <w:r w:rsidR="004E46F6">
        <w:t xml:space="preserve">The Commission allowed pro forma major plant additions in </w:t>
      </w:r>
      <w:r w:rsidR="00F12B6A">
        <w:t xml:space="preserve">the </w:t>
      </w:r>
      <w:r w:rsidR="00405F3C">
        <w:t xml:space="preserve">Company’s </w:t>
      </w:r>
      <w:r w:rsidR="00F12B6A">
        <w:t>2013 Rate Case</w:t>
      </w:r>
      <w:r w:rsidR="004E46F6">
        <w:rPr>
          <w:rStyle w:val="FootnoteReference"/>
        </w:rPr>
        <w:footnoteReference w:id="2"/>
      </w:r>
      <w:r w:rsidR="00F12B6A">
        <w:t xml:space="preserve"> and </w:t>
      </w:r>
      <w:r w:rsidR="00405F3C">
        <w:t xml:space="preserve">in cases for other Washington utilities.  </w:t>
      </w:r>
      <w:r w:rsidR="00F12B6A">
        <w:t xml:space="preserve">By including pro forma plant additions in this case, the Company’s rate base better reflects balances during the rate effective period.  </w:t>
      </w:r>
    </w:p>
    <w:p w:rsidR="00F90C13" w:rsidRDefault="00F12B6A" w:rsidP="00E61E46">
      <w:pPr>
        <w:pStyle w:val="Answer"/>
        <w:widowControl w:val="0"/>
        <w:jc w:val="left"/>
      </w:pPr>
      <w:r w:rsidRPr="00913B00">
        <w:rPr>
          <w:b/>
        </w:rPr>
        <w:t>Q.</w:t>
      </w:r>
      <w:r w:rsidRPr="00913B00">
        <w:rPr>
          <w:b/>
        </w:rPr>
        <w:tab/>
        <w:t>Is the use of end-of-period balances for electric plant in service and associated accumulated depreciation consistent with prior Commission orders?</w:t>
      </w:r>
    </w:p>
    <w:p w:rsidR="00F12B6A" w:rsidRPr="00913B00" w:rsidRDefault="00F12B6A" w:rsidP="00E61E46">
      <w:pPr>
        <w:pStyle w:val="Answer"/>
        <w:widowControl w:val="0"/>
        <w:jc w:val="left"/>
      </w:pPr>
      <w:r w:rsidRPr="00913B00">
        <w:t>A.</w:t>
      </w:r>
      <w:r>
        <w:tab/>
      </w:r>
      <w:r w:rsidR="00F96A2A">
        <w:t>Yes.  The Commission has allowed end of period rate base for the Company</w:t>
      </w:r>
      <w:r w:rsidR="00F96A2A">
        <w:rPr>
          <w:rStyle w:val="FootnoteReference"/>
        </w:rPr>
        <w:footnoteReference w:id="3"/>
      </w:r>
      <w:r w:rsidR="00F96A2A">
        <w:t xml:space="preserve"> as well as for P</w:t>
      </w:r>
      <w:r w:rsidR="00F91BF6">
        <w:t>uget Sound Energy (P</w:t>
      </w:r>
      <w:r w:rsidR="00F96A2A">
        <w:t>SE</w:t>
      </w:r>
      <w:r w:rsidR="00F91BF6">
        <w:t>)</w:t>
      </w:r>
      <w:r w:rsidR="00F96A2A">
        <w:t>.</w:t>
      </w:r>
      <w:r w:rsidR="00F96A2A">
        <w:rPr>
          <w:rStyle w:val="FootnoteReference"/>
        </w:rPr>
        <w:footnoteReference w:id="4"/>
      </w:r>
      <w:r w:rsidR="00F91BF6" w:rsidRPr="00F91BF6">
        <w:t xml:space="preserve"> </w:t>
      </w:r>
      <w:r w:rsidR="00F91BF6">
        <w:t xml:space="preserve"> Use of end-of-period rate base and inclusion of pro forma plant additions continue to be an appropriate method of reducing regulatory lag for plant additions that will be used and useful in serving customers during the rate effective period.</w:t>
      </w:r>
    </w:p>
    <w:p w:rsidR="00691817" w:rsidRDefault="00691817" w:rsidP="00D57A3B">
      <w:pPr>
        <w:pStyle w:val="Question"/>
        <w:keepNext/>
        <w:jc w:val="left"/>
      </w:pPr>
      <w:r w:rsidRPr="00C11338">
        <w:lastRenderedPageBreak/>
        <w:t>Q.</w:t>
      </w:r>
      <w:r w:rsidRPr="00C11338">
        <w:tab/>
        <w:t xml:space="preserve">Please </w:t>
      </w:r>
      <w:r>
        <w:t xml:space="preserve">describe the </w:t>
      </w:r>
      <w:r w:rsidRPr="00C11338">
        <w:t xml:space="preserve">process used to </w:t>
      </w:r>
      <w:r>
        <w:t>develop</w:t>
      </w:r>
      <w:r w:rsidRPr="00C11338">
        <w:t xml:space="preserve"> </w:t>
      </w:r>
      <w:r>
        <w:t>T</w:t>
      </w:r>
      <w:r w:rsidRPr="00C11338">
        <w:t xml:space="preserve">est </w:t>
      </w:r>
      <w:r>
        <w:t>P</w:t>
      </w:r>
      <w:r w:rsidRPr="00C11338">
        <w:t xml:space="preserve">eriod </w:t>
      </w:r>
      <w:r>
        <w:t>net power costs</w:t>
      </w:r>
      <w:r w:rsidRPr="00C11338">
        <w:t>.</w:t>
      </w:r>
    </w:p>
    <w:p w:rsidR="003C0B33" w:rsidRDefault="00691817" w:rsidP="00691817">
      <w:pPr>
        <w:widowControl w:val="0"/>
        <w:spacing w:line="480" w:lineRule="auto"/>
        <w:ind w:left="720" w:hanging="720"/>
        <w:jc w:val="left"/>
      </w:pPr>
      <w:bookmarkStart w:id="4" w:name="OLE_LINK5"/>
      <w:r>
        <w:t>A.</w:t>
      </w:r>
      <w:r>
        <w:tab/>
      </w:r>
      <w:r w:rsidR="00821661" w:rsidRPr="00821661">
        <w:t xml:space="preserve">Net power costs for the west control area were developed using the Generation and Regulation Initiatives Decision </w:t>
      </w:r>
      <w:r w:rsidR="002C3890">
        <w:t>T</w:t>
      </w:r>
      <w:r w:rsidR="006F0CC7">
        <w:t xml:space="preserve">ools </w:t>
      </w:r>
      <w:r w:rsidR="00821661" w:rsidRPr="00821661">
        <w:t xml:space="preserve">model (GRID), based on terms of existing contracts, plant availabilities that are normalized using </w:t>
      </w:r>
      <w:r w:rsidR="00E728FE">
        <w:t>historical</w:t>
      </w:r>
      <w:r w:rsidR="00821661" w:rsidRPr="00821661">
        <w:t xml:space="preserve"> information, and pro</w:t>
      </w:r>
      <w:r w:rsidR="00821661">
        <w:t xml:space="preserve"> </w:t>
      </w:r>
      <w:r w:rsidR="00821661" w:rsidRPr="00821661">
        <w:t>forma retail load and market prices for</w:t>
      </w:r>
      <w:r w:rsidR="0024243A">
        <w:t xml:space="preserve"> the</w:t>
      </w:r>
      <w:r w:rsidR="00443C88">
        <w:t xml:space="preserve"> </w:t>
      </w:r>
      <w:r w:rsidR="00DC4893">
        <w:t xml:space="preserve">12 </w:t>
      </w:r>
      <w:r w:rsidR="00443C88">
        <w:t xml:space="preserve">months ending </w:t>
      </w:r>
      <w:r w:rsidR="00A715E9">
        <w:t>March 31, 2016</w:t>
      </w:r>
      <w:r w:rsidR="00E728FE">
        <w:t xml:space="preserve">.  </w:t>
      </w:r>
      <w:r w:rsidR="003C4B4B">
        <w:t>The production factor</w:t>
      </w:r>
      <w:r w:rsidR="000817CE">
        <w:t xml:space="preserve"> </w:t>
      </w:r>
      <w:r w:rsidR="0024243A">
        <w:t>adjustment</w:t>
      </w:r>
      <w:r w:rsidR="00FA0003">
        <w:t>,</w:t>
      </w:r>
      <w:r w:rsidR="0024243A">
        <w:t xml:space="preserve"> </w:t>
      </w:r>
      <w:r w:rsidR="00FA0003">
        <w:t xml:space="preserve">described later in my testimony, </w:t>
      </w:r>
      <w:r w:rsidR="000817CE">
        <w:t>was</w:t>
      </w:r>
      <w:r w:rsidR="003C4B4B">
        <w:t xml:space="preserve"> applied to the pro forma level of net power costs to adjust the cost levels to the </w:t>
      </w:r>
      <w:r w:rsidR="00E728FE">
        <w:t>historical</w:t>
      </w:r>
      <w:r w:rsidR="003C4B4B">
        <w:t xml:space="preserve"> </w:t>
      </w:r>
      <w:r w:rsidR="00AF449E">
        <w:t>T</w:t>
      </w:r>
      <w:r w:rsidR="003C4B4B">
        <w:t xml:space="preserve">est </w:t>
      </w:r>
      <w:r w:rsidR="00AF449E">
        <w:t>P</w:t>
      </w:r>
      <w:r w:rsidR="003C4B4B">
        <w:t>eriod</w:t>
      </w:r>
      <w:r w:rsidR="00E728FE">
        <w:t>.</w:t>
      </w:r>
      <w:r w:rsidR="006F0CC7">
        <w:t xml:space="preserve">  The development of net power costs is discussed in detail in the testimony of Mr.</w:t>
      </w:r>
      <w:r w:rsidR="00F91BF6">
        <w:t> </w:t>
      </w:r>
      <w:r w:rsidR="006F0CC7">
        <w:t>Duvall.</w:t>
      </w:r>
    </w:p>
    <w:p w:rsidR="005E156F" w:rsidRDefault="005E156F" w:rsidP="005E156F">
      <w:pPr>
        <w:pStyle w:val="Question"/>
        <w:widowControl w:val="0"/>
        <w:jc w:val="left"/>
      </w:pPr>
      <w:r w:rsidRPr="00C11338">
        <w:t>Q.</w:t>
      </w:r>
      <w:r w:rsidRPr="00C11338">
        <w:tab/>
        <w:t xml:space="preserve">Please </w:t>
      </w:r>
      <w:r>
        <w:t xml:space="preserve">describe the </w:t>
      </w:r>
      <w:r w:rsidRPr="00C11338">
        <w:t xml:space="preserve">process used to </w:t>
      </w:r>
      <w:r>
        <w:t>develop</w:t>
      </w:r>
      <w:r w:rsidRPr="00C11338">
        <w:t xml:space="preserve"> </w:t>
      </w:r>
      <w:r>
        <w:t>T</w:t>
      </w:r>
      <w:r w:rsidRPr="00C11338">
        <w:t xml:space="preserve">est </w:t>
      </w:r>
      <w:r>
        <w:t>P</w:t>
      </w:r>
      <w:r w:rsidRPr="00C11338">
        <w:t xml:space="preserve">eriod </w:t>
      </w:r>
      <w:r>
        <w:t>revenues</w:t>
      </w:r>
      <w:r w:rsidRPr="00C11338">
        <w:t>.</w:t>
      </w:r>
    </w:p>
    <w:bookmarkEnd w:id="4"/>
    <w:p w:rsidR="009B27AE" w:rsidRDefault="006F0CC7" w:rsidP="00913B00">
      <w:pPr>
        <w:pStyle w:val="Answer"/>
        <w:widowControl w:val="0"/>
        <w:jc w:val="left"/>
      </w:pPr>
      <w:r>
        <w:t>A.</w:t>
      </w:r>
      <w:r>
        <w:tab/>
      </w:r>
      <w:r w:rsidR="00443C88">
        <w:t>R</w:t>
      </w:r>
      <w:r w:rsidR="003C0B33">
        <w:t>etail revenues were developed</w:t>
      </w:r>
      <w:r w:rsidR="003C0B33" w:rsidRPr="00C11338">
        <w:t xml:space="preserve"> by applying the current Commission-approved tariff</w:t>
      </w:r>
      <w:r w:rsidR="003C0B33">
        <w:t xml:space="preserve"> rates</w:t>
      </w:r>
      <w:r w:rsidR="003C0B33" w:rsidRPr="00C11338">
        <w:t xml:space="preserve"> to the</w:t>
      </w:r>
      <w:r w:rsidR="00821661">
        <w:t xml:space="preserve"> </w:t>
      </w:r>
      <w:r w:rsidR="00194DD9">
        <w:t xml:space="preserve">Washington </w:t>
      </w:r>
      <w:r w:rsidR="00E728FE">
        <w:t>historical</w:t>
      </w:r>
      <w:r w:rsidR="00194DD9">
        <w:t xml:space="preserve"> normalized</w:t>
      </w:r>
      <w:r w:rsidR="00821661">
        <w:t xml:space="preserve"> load</w:t>
      </w:r>
      <w:r w:rsidR="00772415">
        <w:t>s</w:t>
      </w:r>
      <w:r w:rsidR="00194DD9">
        <w:t xml:space="preserve"> for the </w:t>
      </w:r>
      <w:r w:rsidR="00DC4893">
        <w:t>12</w:t>
      </w:r>
      <w:r w:rsidR="0024243A">
        <w:t> </w:t>
      </w:r>
      <w:r w:rsidR="00194DD9">
        <w:t xml:space="preserve">months </w:t>
      </w:r>
      <w:r w:rsidR="00064289">
        <w:t>ended</w:t>
      </w:r>
      <w:r w:rsidR="00194DD9">
        <w:t xml:space="preserve"> </w:t>
      </w:r>
      <w:r w:rsidR="00A715E9">
        <w:t>December 31, 2013</w:t>
      </w:r>
      <w:r w:rsidR="00E728FE">
        <w:t xml:space="preserve">.  </w:t>
      </w:r>
      <w:r w:rsidR="0024243A">
        <w:t xml:space="preserve">For consistency, </w:t>
      </w:r>
      <w:r>
        <w:t xml:space="preserve">inter-jurisdictional </w:t>
      </w:r>
      <w:r w:rsidR="0024243A">
        <w:t>allocation factors were developed using normalized loads for the west control area for the same time period.</w:t>
      </w:r>
    </w:p>
    <w:p w:rsidR="005E156F" w:rsidRPr="00FE7256" w:rsidRDefault="005E156F" w:rsidP="005E156F">
      <w:pPr>
        <w:pStyle w:val="Answer"/>
        <w:widowControl w:val="0"/>
        <w:jc w:val="left"/>
        <w:rPr>
          <w:b/>
        </w:rPr>
      </w:pPr>
      <w:r w:rsidRPr="00850B50">
        <w:rPr>
          <w:b/>
        </w:rPr>
        <w:t>Q.</w:t>
      </w:r>
      <w:r w:rsidRPr="00850B50">
        <w:rPr>
          <w:b/>
        </w:rPr>
        <w:tab/>
      </w:r>
      <w:r w:rsidR="00A561AB" w:rsidRPr="00FE7256">
        <w:rPr>
          <w:b/>
        </w:rPr>
        <w:t>O</w:t>
      </w:r>
      <w:r w:rsidR="00A561AB" w:rsidRPr="00913B00">
        <w:rPr>
          <w:b/>
        </w:rPr>
        <w:t xml:space="preserve">n April 14, 2014, the Company filed </w:t>
      </w:r>
      <w:r w:rsidR="00F91BF6">
        <w:rPr>
          <w:b/>
        </w:rPr>
        <w:t>A</w:t>
      </w:r>
      <w:r w:rsidR="00A561AB" w:rsidRPr="00913B00">
        <w:rPr>
          <w:b/>
        </w:rPr>
        <w:t xml:space="preserve">dvice </w:t>
      </w:r>
      <w:r w:rsidR="00F91BF6">
        <w:rPr>
          <w:b/>
        </w:rPr>
        <w:t xml:space="preserve">No. </w:t>
      </w:r>
      <w:r w:rsidR="00A561AB" w:rsidRPr="00913B00">
        <w:rPr>
          <w:b/>
        </w:rPr>
        <w:t>14-03 for</w:t>
      </w:r>
      <w:r w:rsidR="002E6639" w:rsidRPr="002E6639">
        <w:rPr>
          <w:b/>
        </w:rPr>
        <w:t xml:space="preserve"> a </w:t>
      </w:r>
      <w:r w:rsidR="00F91BF6">
        <w:rPr>
          <w:b/>
        </w:rPr>
        <w:t xml:space="preserve">separate </w:t>
      </w:r>
      <w:r w:rsidR="002E6639" w:rsidRPr="002E6639">
        <w:rPr>
          <w:b/>
        </w:rPr>
        <w:t>tariff rider for the Merwi</w:t>
      </w:r>
      <w:r w:rsidR="002E6639">
        <w:rPr>
          <w:b/>
        </w:rPr>
        <w:t>n</w:t>
      </w:r>
      <w:r w:rsidR="00A561AB" w:rsidRPr="00913B00">
        <w:rPr>
          <w:b/>
        </w:rPr>
        <w:t xml:space="preserve"> Fish Collector.  </w:t>
      </w:r>
      <w:r w:rsidRPr="00850B50">
        <w:rPr>
          <w:b/>
        </w:rPr>
        <w:t>Do Test Period base revenues include th</w:t>
      </w:r>
      <w:r w:rsidR="00A561AB" w:rsidRPr="00FE7256">
        <w:rPr>
          <w:b/>
        </w:rPr>
        <w:t>is</w:t>
      </w:r>
      <w:r w:rsidRPr="00FE7256">
        <w:rPr>
          <w:b/>
        </w:rPr>
        <w:t xml:space="preserve"> tariff rider?</w:t>
      </w:r>
    </w:p>
    <w:p w:rsidR="00A561AB" w:rsidRDefault="005E156F" w:rsidP="005E156F">
      <w:pPr>
        <w:pStyle w:val="Answer"/>
        <w:widowControl w:val="0"/>
        <w:jc w:val="left"/>
      </w:pPr>
      <w:r w:rsidRPr="005E156F">
        <w:t>A.</w:t>
      </w:r>
      <w:r>
        <w:tab/>
        <w:t xml:space="preserve">No.  The </w:t>
      </w:r>
      <w:r w:rsidR="00A561AB">
        <w:t xml:space="preserve">Commission has not ruled on the proposed tariff rider.  Accordingly, </w:t>
      </w:r>
      <w:r>
        <w:t xml:space="preserve">Test Period </w:t>
      </w:r>
      <w:r w:rsidR="00A561AB">
        <w:t xml:space="preserve">base revenues </w:t>
      </w:r>
      <w:r>
        <w:t>do not include the Merwin tariff rider</w:t>
      </w:r>
      <w:r w:rsidR="00A561AB">
        <w:t>.</w:t>
      </w:r>
    </w:p>
    <w:p w:rsidR="00A561AB" w:rsidRPr="00913B00" w:rsidRDefault="00A561AB" w:rsidP="005E156F">
      <w:pPr>
        <w:pStyle w:val="Answer"/>
        <w:widowControl w:val="0"/>
        <w:jc w:val="left"/>
        <w:rPr>
          <w:b/>
        </w:rPr>
      </w:pPr>
      <w:r w:rsidRPr="00913B00">
        <w:rPr>
          <w:b/>
        </w:rPr>
        <w:t>Q.</w:t>
      </w:r>
      <w:r w:rsidRPr="00913B00">
        <w:rPr>
          <w:b/>
        </w:rPr>
        <w:tab/>
        <w:t xml:space="preserve">What </w:t>
      </w:r>
      <w:r w:rsidR="00F91BF6">
        <w:rPr>
          <w:b/>
        </w:rPr>
        <w:t>will</w:t>
      </w:r>
      <w:r w:rsidRPr="00913B00">
        <w:rPr>
          <w:b/>
        </w:rPr>
        <w:t xml:space="preserve"> the Company </w:t>
      </w:r>
      <w:r w:rsidR="00F91BF6">
        <w:rPr>
          <w:b/>
        </w:rPr>
        <w:t>do</w:t>
      </w:r>
      <w:r w:rsidRPr="00913B00">
        <w:rPr>
          <w:b/>
        </w:rPr>
        <w:t xml:space="preserve"> if the </w:t>
      </w:r>
      <w:r w:rsidR="00F91BF6">
        <w:rPr>
          <w:b/>
        </w:rPr>
        <w:t>separate</w:t>
      </w:r>
      <w:r w:rsidR="00F91BF6" w:rsidRPr="00913B00">
        <w:rPr>
          <w:b/>
        </w:rPr>
        <w:t xml:space="preserve"> </w:t>
      </w:r>
      <w:r w:rsidRPr="00913B00">
        <w:rPr>
          <w:b/>
        </w:rPr>
        <w:t>tariff rider</w:t>
      </w:r>
      <w:r w:rsidR="00F91BF6">
        <w:rPr>
          <w:b/>
        </w:rPr>
        <w:t xml:space="preserve"> for the Merwin Fish Collector</w:t>
      </w:r>
      <w:r w:rsidRPr="00913B00">
        <w:rPr>
          <w:b/>
        </w:rPr>
        <w:t>, docketed as UE-140617, is approved by the Commission?</w:t>
      </w:r>
    </w:p>
    <w:p w:rsidR="005E156F" w:rsidRDefault="00A561AB" w:rsidP="005E156F">
      <w:pPr>
        <w:pStyle w:val="Answer"/>
        <w:widowControl w:val="0"/>
        <w:jc w:val="left"/>
      </w:pPr>
      <w:r>
        <w:t>A.</w:t>
      </w:r>
      <w:r>
        <w:tab/>
        <w:t>If the Commission approve</w:t>
      </w:r>
      <w:r w:rsidR="002F5153">
        <w:t>s</w:t>
      </w:r>
      <w:r>
        <w:t xml:space="preserve"> </w:t>
      </w:r>
      <w:r w:rsidR="00F91BF6">
        <w:t xml:space="preserve">the separate </w:t>
      </w:r>
      <w:r>
        <w:t xml:space="preserve">tariff rider, the Company </w:t>
      </w:r>
      <w:r w:rsidR="00F91BF6">
        <w:t xml:space="preserve">will </w:t>
      </w:r>
      <w:r>
        <w:t xml:space="preserve">update its request in this case to reflect </w:t>
      </w:r>
      <w:r w:rsidR="000F050E">
        <w:t>revenues from the tariff</w:t>
      </w:r>
      <w:r>
        <w:t xml:space="preserve"> rider in the Test Period.  This </w:t>
      </w:r>
      <w:r>
        <w:lastRenderedPageBreak/>
        <w:t>w</w:t>
      </w:r>
      <w:r w:rsidR="00F91BF6">
        <w:t>ould</w:t>
      </w:r>
      <w:r>
        <w:t xml:space="preserve"> reduce the revenue requirement in this case by approximately $1.7 million.</w:t>
      </w:r>
    </w:p>
    <w:p w:rsidR="000F050E" w:rsidRPr="005E156F" w:rsidRDefault="000F050E" w:rsidP="005E156F">
      <w:pPr>
        <w:pStyle w:val="Answer"/>
        <w:widowControl w:val="0"/>
        <w:jc w:val="left"/>
      </w:pPr>
      <w:r>
        <w:tab/>
      </w:r>
      <w:r>
        <w:tab/>
        <w:t>If the Commission rejects the tariff rider and approves the alternative petition for an accounting order to defer the Washington-allocated revenue requirement associated with the Merwin Fish Collector, the Company will seek to amortize the deferral by including it in Schedule 92, to be effective concurrent with the rates approved in this case</w:t>
      </w:r>
      <w:r w:rsidR="003531BA">
        <w:t>.</w:t>
      </w:r>
    </w:p>
    <w:p w:rsidR="00560D6F" w:rsidRDefault="00560D6F" w:rsidP="00282EDC">
      <w:pPr>
        <w:pStyle w:val="Heading1"/>
      </w:pPr>
      <w:bookmarkStart w:id="5" w:name="_Toc386626882"/>
      <w:r>
        <w:t>REQUEST FOR AMORTIZATION OF DEFERRED AMOUNTS</w:t>
      </w:r>
      <w:bookmarkEnd w:id="5"/>
    </w:p>
    <w:p w:rsidR="00A752EC" w:rsidRDefault="00A752EC" w:rsidP="00A752EC">
      <w:pPr>
        <w:pStyle w:val="Bullet"/>
        <w:tabs>
          <w:tab w:val="clear" w:pos="2160"/>
        </w:tabs>
        <w:ind w:left="0" w:firstLine="0"/>
        <w:jc w:val="left"/>
        <w:rPr>
          <w:b/>
        </w:rPr>
      </w:pPr>
      <w:r w:rsidRPr="00A752EC">
        <w:rPr>
          <w:b/>
        </w:rPr>
        <w:t>Q.</w:t>
      </w:r>
      <w:r w:rsidRPr="00A752EC">
        <w:rPr>
          <w:b/>
        </w:rPr>
        <w:tab/>
      </w:r>
      <w:r>
        <w:rPr>
          <w:b/>
        </w:rPr>
        <w:t>What is the Company requesting to amortize</w:t>
      </w:r>
      <w:r w:rsidRPr="00A752EC">
        <w:rPr>
          <w:b/>
        </w:rPr>
        <w:t>?</w:t>
      </w:r>
    </w:p>
    <w:p w:rsidR="00560D6F" w:rsidRDefault="00A752EC" w:rsidP="00560D6F">
      <w:pPr>
        <w:pStyle w:val="Bullet"/>
        <w:tabs>
          <w:tab w:val="clear" w:pos="2160"/>
        </w:tabs>
        <w:ind w:left="720" w:hanging="720"/>
        <w:jc w:val="left"/>
      </w:pPr>
      <w:r w:rsidRPr="00A752EC">
        <w:t>A.</w:t>
      </w:r>
      <w:r>
        <w:tab/>
        <w:t xml:space="preserve">In this filing, the Company is requesting to begin amortization of deferred amounts related to the following dockets: </w:t>
      </w:r>
      <w:r w:rsidR="00F91BF6">
        <w:t xml:space="preserve"> </w:t>
      </w:r>
      <w:r>
        <w:t>UE</w:t>
      </w:r>
      <w:r w:rsidR="00FE7256">
        <w:t>-</w:t>
      </w:r>
      <w:r>
        <w:t>131384</w:t>
      </w:r>
      <w:r w:rsidR="00F91BF6">
        <w:t>—</w:t>
      </w:r>
      <w:r>
        <w:t>Deferral of Costs Related to Colstrip Outage</w:t>
      </w:r>
      <w:r w:rsidR="000E2A89">
        <w:t xml:space="preserve"> (Colstrip deferral)</w:t>
      </w:r>
      <w:r w:rsidR="00F91BF6">
        <w:t xml:space="preserve">; </w:t>
      </w:r>
      <w:r>
        <w:t>UE</w:t>
      </w:r>
      <w:r w:rsidR="00FE7256">
        <w:t>-</w:t>
      </w:r>
      <w:r>
        <w:t>132350</w:t>
      </w:r>
      <w:r w:rsidR="00F91BF6">
        <w:t>—</w:t>
      </w:r>
      <w:r>
        <w:t xml:space="preserve">Deferral of </w:t>
      </w:r>
      <w:r w:rsidR="000E2A89">
        <w:t>Reduced Depreciation Expense (depreciation deferral)</w:t>
      </w:r>
      <w:r w:rsidR="00F91BF6">
        <w:t xml:space="preserve">; </w:t>
      </w:r>
      <w:r w:rsidR="000E2A89">
        <w:t xml:space="preserve">and </w:t>
      </w:r>
      <w:r>
        <w:t>UE-140094</w:t>
      </w:r>
      <w:r w:rsidR="00F91BF6">
        <w:t>—</w:t>
      </w:r>
      <w:r>
        <w:t>Deferral of Costs Related to Declining Hydro Generation</w:t>
      </w:r>
      <w:r w:rsidR="000E2A89">
        <w:t xml:space="preserve"> (hydro deferral).  </w:t>
      </w:r>
      <w:r w:rsidR="00BC112A">
        <w:t xml:space="preserve">A summary of the estimated deferral amounts are provided in the following </w:t>
      </w:r>
      <w:r w:rsidR="0065535A">
        <w:t>table</w:t>
      </w:r>
      <w:r w:rsidR="00BC112A">
        <w:t>:</w:t>
      </w:r>
    </w:p>
    <w:p w:rsidR="00560D6F" w:rsidRPr="00D57A3B" w:rsidRDefault="00560D6F" w:rsidP="0015482E">
      <w:pPr>
        <w:pStyle w:val="Caption"/>
        <w:keepNext/>
        <w:suppressLineNumbers/>
        <w:spacing w:after="0"/>
        <w:jc w:val="center"/>
        <w:rPr>
          <w:color w:val="000000" w:themeColor="text1"/>
        </w:rPr>
      </w:pPr>
      <w:r w:rsidRPr="00D57A3B">
        <w:rPr>
          <w:color w:val="000000" w:themeColor="text1"/>
          <w:sz w:val="24"/>
        </w:rPr>
        <w:t xml:space="preserve">Table </w:t>
      </w:r>
      <w:r w:rsidRPr="00D57A3B">
        <w:rPr>
          <w:color w:val="000000" w:themeColor="text1"/>
          <w:sz w:val="24"/>
        </w:rPr>
        <w:fldChar w:fldCharType="begin"/>
      </w:r>
      <w:r w:rsidRPr="00D57A3B">
        <w:rPr>
          <w:color w:val="000000" w:themeColor="text1"/>
          <w:sz w:val="24"/>
        </w:rPr>
        <w:instrText xml:space="preserve"> SEQ Table \* ARABIC </w:instrText>
      </w:r>
      <w:r w:rsidRPr="00D57A3B">
        <w:rPr>
          <w:color w:val="000000" w:themeColor="text1"/>
          <w:sz w:val="24"/>
        </w:rPr>
        <w:fldChar w:fldCharType="separate"/>
      </w:r>
      <w:r w:rsidR="00CA738D">
        <w:rPr>
          <w:noProof/>
          <w:color w:val="000000" w:themeColor="text1"/>
          <w:sz w:val="24"/>
        </w:rPr>
        <w:t>1</w:t>
      </w:r>
      <w:r w:rsidRPr="00D57A3B">
        <w:rPr>
          <w:color w:val="000000" w:themeColor="text1"/>
          <w:sz w:val="24"/>
        </w:rPr>
        <w:fldChar w:fldCharType="end"/>
      </w:r>
    </w:p>
    <w:tbl>
      <w:tblPr>
        <w:tblStyle w:val="LightList"/>
        <w:tblW w:w="0" w:type="auto"/>
        <w:jc w:val="center"/>
        <w:tblInd w:w="1127" w:type="dxa"/>
        <w:tblBorders>
          <w:insideH w:val="single" w:sz="8" w:space="0" w:color="000000" w:themeColor="text1"/>
          <w:insideV w:val="single" w:sz="8" w:space="0" w:color="000000" w:themeColor="text1"/>
        </w:tblBorders>
        <w:tblLook w:val="04A0" w:firstRow="1" w:lastRow="0" w:firstColumn="1" w:lastColumn="0" w:noHBand="0" w:noVBand="1"/>
      </w:tblPr>
      <w:tblGrid>
        <w:gridCol w:w="3420"/>
        <w:gridCol w:w="2814"/>
      </w:tblGrid>
      <w:tr w:rsidR="00BC112A" w:rsidRPr="00BC112A" w:rsidTr="00D57A3B">
        <w:trPr>
          <w:cnfStyle w:val="100000000000" w:firstRow="1" w:lastRow="0" w:firstColumn="0" w:lastColumn="0" w:oddVBand="0" w:evenVBand="0" w:oddHBand="0"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3420" w:type="dxa"/>
            <w:vAlign w:val="center"/>
          </w:tcPr>
          <w:p w:rsidR="00BC112A" w:rsidRPr="00D57A3B" w:rsidRDefault="00BC112A" w:rsidP="00874716">
            <w:pPr>
              <w:pStyle w:val="Bullet"/>
              <w:tabs>
                <w:tab w:val="clear" w:pos="2160"/>
              </w:tabs>
              <w:spacing w:line="240" w:lineRule="auto"/>
              <w:ind w:left="0" w:firstLine="0"/>
              <w:jc w:val="left"/>
            </w:pPr>
            <w:r w:rsidRPr="00F91BF6">
              <w:t>Description</w:t>
            </w:r>
          </w:p>
        </w:tc>
        <w:tc>
          <w:tcPr>
            <w:tcW w:w="2814" w:type="dxa"/>
            <w:vAlign w:val="center"/>
          </w:tcPr>
          <w:p w:rsidR="00BC112A" w:rsidRPr="00D57A3B" w:rsidRDefault="00BC112A" w:rsidP="00D57A3B">
            <w:pPr>
              <w:pStyle w:val="Bullet"/>
              <w:tabs>
                <w:tab w:val="clear" w:pos="2160"/>
              </w:tabs>
              <w:spacing w:line="240" w:lineRule="auto"/>
              <w:ind w:left="0" w:firstLine="0"/>
              <w:jc w:val="center"/>
              <w:cnfStyle w:val="100000000000" w:firstRow="1" w:lastRow="0" w:firstColumn="0" w:lastColumn="0" w:oddVBand="0" w:evenVBand="0" w:oddHBand="0" w:evenHBand="0" w:firstRowFirstColumn="0" w:firstRowLastColumn="0" w:lastRowFirstColumn="0" w:lastRowLastColumn="0"/>
            </w:pPr>
            <w:r w:rsidRPr="00F91BF6">
              <w:t>Estimated Deferral Amount</w:t>
            </w:r>
          </w:p>
        </w:tc>
      </w:tr>
      <w:tr w:rsidR="00BC112A" w:rsidTr="00D57A3B">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3420" w:type="dxa"/>
            <w:tcBorders>
              <w:top w:val="none" w:sz="0" w:space="0" w:color="auto"/>
              <w:left w:val="none" w:sz="0" w:space="0" w:color="auto"/>
              <w:bottom w:val="none" w:sz="0" w:space="0" w:color="auto"/>
            </w:tcBorders>
          </w:tcPr>
          <w:p w:rsidR="00BC112A" w:rsidRPr="002C3890" w:rsidRDefault="00BC112A" w:rsidP="00F91BF6">
            <w:pPr>
              <w:pStyle w:val="Bullet"/>
              <w:tabs>
                <w:tab w:val="clear" w:pos="2160"/>
              </w:tabs>
              <w:spacing w:line="240" w:lineRule="auto"/>
              <w:ind w:left="0" w:firstLine="0"/>
              <w:jc w:val="left"/>
              <w:rPr>
                <w:b w:val="0"/>
                <w:i/>
              </w:rPr>
            </w:pPr>
            <w:r w:rsidRPr="002C3890">
              <w:rPr>
                <w:b w:val="0"/>
              </w:rPr>
              <w:t>Colstrip Deferral</w:t>
            </w:r>
          </w:p>
        </w:tc>
        <w:tc>
          <w:tcPr>
            <w:tcW w:w="2814" w:type="dxa"/>
            <w:tcBorders>
              <w:top w:val="none" w:sz="0" w:space="0" w:color="auto"/>
              <w:bottom w:val="none" w:sz="0" w:space="0" w:color="auto"/>
              <w:right w:val="none" w:sz="0" w:space="0" w:color="auto"/>
            </w:tcBorders>
          </w:tcPr>
          <w:p w:rsidR="00BC112A" w:rsidRDefault="00BC112A" w:rsidP="00D57A3B">
            <w:pPr>
              <w:pStyle w:val="Bullet"/>
              <w:tabs>
                <w:tab w:val="clear" w:pos="2160"/>
              </w:tabs>
              <w:spacing w:line="240" w:lineRule="auto"/>
              <w:ind w:left="0" w:firstLine="0"/>
              <w:jc w:val="center"/>
              <w:cnfStyle w:val="000000100000" w:firstRow="0" w:lastRow="0" w:firstColumn="0" w:lastColumn="0" w:oddVBand="0" w:evenVBand="0" w:oddHBand="1" w:evenHBand="0" w:firstRowFirstColumn="0" w:firstRowLastColumn="0" w:lastRowFirstColumn="0" w:lastRowLastColumn="0"/>
            </w:pPr>
            <w:r>
              <w:t>$</w:t>
            </w:r>
            <w:r w:rsidR="0065535A">
              <w:t>1.98 million</w:t>
            </w:r>
          </w:p>
        </w:tc>
      </w:tr>
      <w:tr w:rsidR="00BC112A" w:rsidTr="00D57A3B">
        <w:trPr>
          <w:trHeight w:val="313"/>
          <w:jc w:val="center"/>
        </w:trPr>
        <w:tc>
          <w:tcPr>
            <w:cnfStyle w:val="001000000000" w:firstRow="0" w:lastRow="0" w:firstColumn="1" w:lastColumn="0" w:oddVBand="0" w:evenVBand="0" w:oddHBand="0" w:evenHBand="0" w:firstRowFirstColumn="0" w:firstRowLastColumn="0" w:lastRowFirstColumn="0" w:lastRowLastColumn="0"/>
            <w:tcW w:w="3420" w:type="dxa"/>
          </w:tcPr>
          <w:p w:rsidR="00BC112A" w:rsidRPr="002C3890" w:rsidRDefault="00BC112A" w:rsidP="00F91BF6">
            <w:pPr>
              <w:pStyle w:val="Bullet"/>
              <w:tabs>
                <w:tab w:val="clear" w:pos="2160"/>
              </w:tabs>
              <w:spacing w:line="240" w:lineRule="auto"/>
              <w:ind w:left="0" w:firstLine="0"/>
              <w:jc w:val="left"/>
              <w:rPr>
                <w:b w:val="0"/>
                <w:i/>
              </w:rPr>
            </w:pPr>
            <w:r w:rsidRPr="002C3890">
              <w:rPr>
                <w:b w:val="0"/>
              </w:rPr>
              <w:t>Depreciation Deferral</w:t>
            </w:r>
          </w:p>
        </w:tc>
        <w:tc>
          <w:tcPr>
            <w:tcW w:w="2814" w:type="dxa"/>
          </w:tcPr>
          <w:p w:rsidR="00BC112A" w:rsidRDefault="00BC112A" w:rsidP="00D57A3B">
            <w:pPr>
              <w:pStyle w:val="Bullet"/>
              <w:tabs>
                <w:tab w:val="clear" w:pos="2160"/>
              </w:tabs>
              <w:spacing w:line="240" w:lineRule="auto"/>
              <w:ind w:left="0" w:firstLine="0"/>
              <w:jc w:val="center"/>
              <w:cnfStyle w:val="000000000000" w:firstRow="0" w:lastRow="0" w:firstColumn="0" w:lastColumn="0" w:oddVBand="0" w:evenVBand="0" w:oddHBand="0" w:evenHBand="0" w:firstRowFirstColumn="0" w:firstRowLastColumn="0" w:lastRowFirstColumn="0" w:lastRowLastColumn="0"/>
            </w:pPr>
            <w:r>
              <w:t>($</w:t>
            </w:r>
            <w:r w:rsidR="0065535A">
              <w:t>0.</w:t>
            </w:r>
            <w:r w:rsidR="00FE7256">
              <w:t xml:space="preserve">88 </w:t>
            </w:r>
            <w:r w:rsidR="0065535A">
              <w:t>million)</w:t>
            </w:r>
          </w:p>
        </w:tc>
      </w:tr>
      <w:tr w:rsidR="00BC112A" w:rsidTr="00D57A3B">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3420" w:type="dxa"/>
            <w:tcBorders>
              <w:top w:val="none" w:sz="0" w:space="0" w:color="auto"/>
              <w:left w:val="none" w:sz="0" w:space="0" w:color="auto"/>
              <w:bottom w:val="none" w:sz="0" w:space="0" w:color="auto"/>
            </w:tcBorders>
          </w:tcPr>
          <w:p w:rsidR="00BC112A" w:rsidRPr="002C3890" w:rsidRDefault="00BC112A" w:rsidP="00F91BF6">
            <w:pPr>
              <w:pStyle w:val="Bullet"/>
              <w:tabs>
                <w:tab w:val="clear" w:pos="2160"/>
              </w:tabs>
              <w:spacing w:line="240" w:lineRule="auto"/>
              <w:ind w:left="0" w:firstLine="0"/>
              <w:jc w:val="left"/>
              <w:rPr>
                <w:b w:val="0"/>
                <w:i/>
              </w:rPr>
            </w:pPr>
            <w:r w:rsidRPr="002C3890">
              <w:rPr>
                <w:b w:val="0"/>
              </w:rPr>
              <w:t>Hydro Deferral</w:t>
            </w:r>
          </w:p>
        </w:tc>
        <w:tc>
          <w:tcPr>
            <w:tcW w:w="2814" w:type="dxa"/>
            <w:tcBorders>
              <w:top w:val="none" w:sz="0" w:space="0" w:color="auto"/>
              <w:bottom w:val="none" w:sz="0" w:space="0" w:color="auto"/>
              <w:right w:val="none" w:sz="0" w:space="0" w:color="auto"/>
            </w:tcBorders>
          </w:tcPr>
          <w:p w:rsidR="00BC112A" w:rsidRDefault="00BC112A" w:rsidP="00D57A3B">
            <w:pPr>
              <w:pStyle w:val="Bullet"/>
              <w:tabs>
                <w:tab w:val="clear" w:pos="2160"/>
              </w:tabs>
              <w:spacing w:line="240" w:lineRule="auto"/>
              <w:ind w:left="0" w:firstLine="0"/>
              <w:jc w:val="center"/>
              <w:cnfStyle w:val="000000100000" w:firstRow="0" w:lastRow="0" w:firstColumn="0" w:lastColumn="0" w:oddVBand="0" w:evenVBand="0" w:oddHBand="1" w:evenHBand="0" w:firstRowFirstColumn="0" w:firstRowLastColumn="0" w:lastRowFirstColumn="0" w:lastRowLastColumn="0"/>
            </w:pPr>
            <w:r>
              <w:t>$</w:t>
            </w:r>
            <w:r w:rsidR="0065535A">
              <w:t>3.</w:t>
            </w:r>
            <w:r w:rsidR="00FE7256">
              <w:t xml:space="preserve">29 </w:t>
            </w:r>
            <w:r w:rsidR="0065535A">
              <w:t>million</w:t>
            </w:r>
          </w:p>
        </w:tc>
      </w:tr>
      <w:tr w:rsidR="0065535A" w:rsidRPr="00BC112A" w:rsidTr="00D57A3B">
        <w:trPr>
          <w:trHeight w:val="322"/>
          <w:jc w:val="center"/>
        </w:trPr>
        <w:tc>
          <w:tcPr>
            <w:cnfStyle w:val="001000000000" w:firstRow="0" w:lastRow="0" w:firstColumn="1" w:lastColumn="0" w:oddVBand="0" w:evenVBand="0" w:oddHBand="0" w:evenHBand="0" w:firstRowFirstColumn="0" w:firstRowLastColumn="0" w:lastRowFirstColumn="0" w:lastRowLastColumn="0"/>
            <w:tcW w:w="3420" w:type="dxa"/>
            <w:tcBorders>
              <w:bottom w:val="double" w:sz="4" w:space="0" w:color="auto"/>
            </w:tcBorders>
          </w:tcPr>
          <w:p w:rsidR="0065535A" w:rsidRPr="002C3890" w:rsidRDefault="0065535A" w:rsidP="00D57A3B">
            <w:pPr>
              <w:pStyle w:val="Bullet"/>
              <w:tabs>
                <w:tab w:val="clear" w:pos="2160"/>
              </w:tabs>
              <w:spacing w:line="240" w:lineRule="auto"/>
              <w:ind w:left="0" w:firstLine="0"/>
              <w:jc w:val="left"/>
              <w:rPr>
                <w:b w:val="0"/>
              </w:rPr>
            </w:pPr>
            <w:r w:rsidRPr="002C3890">
              <w:rPr>
                <w:b w:val="0"/>
              </w:rPr>
              <w:t>Interest</w:t>
            </w:r>
          </w:p>
        </w:tc>
        <w:tc>
          <w:tcPr>
            <w:tcW w:w="2814" w:type="dxa"/>
            <w:tcBorders>
              <w:bottom w:val="double" w:sz="4" w:space="0" w:color="auto"/>
            </w:tcBorders>
          </w:tcPr>
          <w:p w:rsidR="0065535A" w:rsidRPr="0065535A" w:rsidRDefault="0065535A" w:rsidP="00D57A3B">
            <w:pPr>
              <w:pStyle w:val="Bullet"/>
              <w:tabs>
                <w:tab w:val="clear" w:pos="2160"/>
              </w:tabs>
              <w:spacing w:line="240" w:lineRule="auto"/>
              <w:ind w:left="0" w:firstLine="0"/>
              <w:jc w:val="center"/>
              <w:cnfStyle w:val="000000000000" w:firstRow="0" w:lastRow="0" w:firstColumn="0" w:lastColumn="0" w:oddVBand="0" w:evenVBand="0" w:oddHBand="0" w:evenHBand="0" w:firstRowFirstColumn="0" w:firstRowLastColumn="0" w:lastRowFirstColumn="0" w:lastRowLastColumn="0"/>
            </w:pPr>
            <w:r w:rsidRPr="0065535A">
              <w:t>$0.55</w:t>
            </w:r>
            <w:r>
              <w:t xml:space="preserve"> million</w:t>
            </w:r>
          </w:p>
        </w:tc>
      </w:tr>
      <w:tr w:rsidR="00BC112A" w:rsidRPr="00BC112A" w:rsidTr="00D57A3B">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3420" w:type="dxa"/>
            <w:tcBorders>
              <w:top w:val="double" w:sz="4" w:space="0" w:color="auto"/>
              <w:left w:val="none" w:sz="0" w:space="0" w:color="auto"/>
              <w:bottom w:val="none" w:sz="0" w:space="0" w:color="auto"/>
            </w:tcBorders>
          </w:tcPr>
          <w:p w:rsidR="00BC112A" w:rsidRPr="00F91BF6" w:rsidRDefault="00BC112A" w:rsidP="00D57A3B">
            <w:pPr>
              <w:pStyle w:val="Bullet"/>
              <w:tabs>
                <w:tab w:val="clear" w:pos="2160"/>
              </w:tabs>
              <w:spacing w:line="240" w:lineRule="auto"/>
              <w:ind w:left="0" w:firstLine="0"/>
              <w:jc w:val="left"/>
              <w:rPr>
                <w:b w:val="0"/>
                <w:bCs w:val="0"/>
              </w:rPr>
            </w:pPr>
            <w:r w:rsidRPr="00F91BF6">
              <w:t>Total</w:t>
            </w:r>
          </w:p>
        </w:tc>
        <w:tc>
          <w:tcPr>
            <w:tcW w:w="2814" w:type="dxa"/>
            <w:tcBorders>
              <w:top w:val="double" w:sz="4" w:space="0" w:color="auto"/>
              <w:bottom w:val="none" w:sz="0" w:space="0" w:color="auto"/>
              <w:right w:val="none" w:sz="0" w:space="0" w:color="auto"/>
            </w:tcBorders>
          </w:tcPr>
          <w:p w:rsidR="00BC112A" w:rsidRPr="00874716" w:rsidRDefault="00BC112A" w:rsidP="00D57A3B">
            <w:pPr>
              <w:pStyle w:val="Bullet"/>
              <w:tabs>
                <w:tab w:val="clear" w:pos="2160"/>
              </w:tabs>
              <w:spacing w:line="240" w:lineRule="auto"/>
              <w:ind w:left="0" w:firstLine="0"/>
              <w:jc w:val="center"/>
              <w:cnfStyle w:val="000000100000" w:firstRow="0" w:lastRow="0" w:firstColumn="0" w:lastColumn="0" w:oddVBand="0" w:evenVBand="0" w:oddHBand="1" w:evenHBand="0" w:firstRowFirstColumn="0" w:firstRowLastColumn="0" w:lastRowFirstColumn="0" w:lastRowLastColumn="0"/>
              <w:rPr>
                <w:b/>
              </w:rPr>
            </w:pPr>
            <w:r w:rsidRPr="00F91BF6">
              <w:rPr>
                <w:b/>
              </w:rPr>
              <w:t>$</w:t>
            </w:r>
            <w:r w:rsidR="0065535A" w:rsidRPr="00874716">
              <w:rPr>
                <w:b/>
              </w:rPr>
              <w:t>4.94 million</w:t>
            </w:r>
          </w:p>
        </w:tc>
      </w:tr>
    </w:tbl>
    <w:p w:rsidR="00BC112A" w:rsidRDefault="000E2A89" w:rsidP="00D57A3B">
      <w:pPr>
        <w:pStyle w:val="Bullet"/>
        <w:tabs>
          <w:tab w:val="clear" w:pos="2160"/>
        </w:tabs>
        <w:spacing w:before="240"/>
        <w:ind w:left="720" w:firstLine="0"/>
        <w:jc w:val="left"/>
      </w:pPr>
      <w:r>
        <w:t>The Company propos</w:t>
      </w:r>
      <w:r w:rsidR="00874716">
        <w:t>es</w:t>
      </w:r>
      <w:r>
        <w:t xml:space="preserve"> to amortize the </w:t>
      </w:r>
      <w:r w:rsidR="00FE7256">
        <w:t>sum</w:t>
      </w:r>
      <w:r>
        <w:t xml:space="preserve"> of these deferrals in </w:t>
      </w:r>
      <w:r w:rsidR="003F1F0F">
        <w:t>S</w:t>
      </w:r>
      <w:r>
        <w:t xml:space="preserve">chedule </w:t>
      </w:r>
      <w:r w:rsidR="003F1F0F">
        <w:t xml:space="preserve">92, </w:t>
      </w:r>
      <w:r w:rsidR="00874716">
        <w:t>which is</w:t>
      </w:r>
      <w:r>
        <w:t xml:space="preserve"> included </w:t>
      </w:r>
      <w:r w:rsidR="00874716">
        <w:t xml:space="preserve">in Exhibit No.___(JRS-12) accompanying the direct testimony of </w:t>
      </w:r>
      <w:r>
        <w:t>Ms.</w:t>
      </w:r>
      <w:r w:rsidR="00874716">
        <w:t> </w:t>
      </w:r>
      <w:r>
        <w:t xml:space="preserve">Joelle </w:t>
      </w:r>
      <w:r w:rsidR="009E5F94">
        <w:t xml:space="preserve">R. </w:t>
      </w:r>
      <w:r>
        <w:t xml:space="preserve">Steward.  </w:t>
      </w:r>
      <w:r w:rsidR="003531BA">
        <w:t>As discussed above, if the Commission approve</w:t>
      </w:r>
      <w:r w:rsidR="00874716">
        <w:t>s</w:t>
      </w:r>
      <w:r w:rsidR="003531BA">
        <w:t xml:space="preserve"> the </w:t>
      </w:r>
      <w:r w:rsidR="003531BA">
        <w:lastRenderedPageBreak/>
        <w:t>accounting order for the deferral related to the Merwin Fish Collector</w:t>
      </w:r>
      <w:r w:rsidR="00426297">
        <w:t xml:space="preserve">, the Company </w:t>
      </w:r>
      <w:r w:rsidR="00CC1CDD">
        <w:t>will</w:t>
      </w:r>
      <w:r w:rsidR="00426297">
        <w:t xml:space="preserve"> propose to amortize that deferral </w:t>
      </w:r>
      <w:r w:rsidR="0050570A">
        <w:t>in addition to</w:t>
      </w:r>
      <w:r w:rsidR="00D11FD8">
        <w:t xml:space="preserve"> the deferrals shown in Table 1.</w:t>
      </w:r>
    </w:p>
    <w:p w:rsidR="00A341A7" w:rsidRDefault="00A341A7" w:rsidP="0015482E">
      <w:pPr>
        <w:pStyle w:val="Bullet"/>
        <w:widowControl w:val="0"/>
        <w:tabs>
          <w:tab w:val="clear" w:pos="2160"/>
        </w:tabs>
        <w:ind w:left="720" w:hanging="720"/>
        <w:jc w:val="left"/>
        <w:rPr>
          <w:b/>
        </w:rPr>
      </w:pPr>
      <w:r>
        <w:rPr>
          <w:b/>
        </w:rPr>
        <w:t>Q.</w:t>
      </w:r>
      <w:r>
        <w:rPr>
          <w:b/>
        </w:rPr>
        <w:tab/>
        <w:t>Is the $4.94 million included in the $2</w:t>
      </w:r>
      <w:r w:rsidR="00CE7AD8">
        <w:rPr>
          <w:b/>
        </w:rPr>
        <w:t>7.2</w:t>
      </w:r>
      <w:r>
        <w:rPr>
          <w:b/>
        </w:rPr>
        <w:t xml:space="preserve"> million revenue increase requested in this case?</w:t>
      </w:r>
    </w:p>
    <w:p w:rsidR="00A341A7" w:rsidRPr="00913B00" w:rsidRDefault="00A341A7" w:rsidP="0015482E">
      <w:pPr>
        <w:pStyle w:val="Bullet"/>
        <w:widowControl w:val="0"/>
        <w:tabs>
          <w:tab w:val="clear" w:pos="2160"/>
        </w:tabs>
        <w:ind w:left="720" w:hanging="720"/>
        <w:jc w:val="left"/>
      </w:pPr>
      <w:r w:rsidRPr="00913B00">
        <w:t>A</w:t>
      </w:r>
      <w:r>
        <w:t>.</w:t>
      </w:r>
      <w:r>
        <w:tab/>
      </w:r>
      <w:r w:rsidR="008B35A6">
        <w:t>No.  Since the Company is proposing to recover these deferrals in a separate temporary rate schedule, the $4.94 million is not included in the requested $2</w:t>
      </w:r>
      <w:r w:rsidR="00CE7AD8">
        <w:t>7.2</w:t>
      </w:r>
      <w:r w:rsidR="00874716">
        <w:t> </w:t>
      </w:r>
      <w:r w:rsidR="008B35A6">
        <w:t>million base rate increase.</w:t>
      </w:r>
      <w:r w:rsidR="00565B23">
        <w:t xml:space="preserve">  Please see Exhibit No.___(NCS-9) for the calculations detailing the $4.94 million that the Company is requesting to amortize.</w:t>
      </w:r>
    </w:p>
    <w:p w:rsidR="00A341A7" w:rsidRPr="00BC112A" w:rsidRDefault="00BC112A" w:rsidP="000E2A89">
      <w:pPr>
        <w:pStyle w:val="Bullet"/>
        <w:tabs>
          <w:tab w:val="clear" w:pos="2160"/>
        </w:tabs>
        <w:ind w:left="720" w:hanging="720"/>
        <w:jc w:val="left"/>
        <w:rPr>
          <w:b/>
        </w:rPr>
      </w:pPr>
      <w:r w:rsidRPr="00BC112A">
        <w:rPr>
          <w:b/>
        </w:rPr>
        <w:t>Q.</w:t>
      </w:r>
      <w:r w:rsidRPr="00BC112A">
        <w:rPr>
          <w:b/>
        </w:rPr>
        <w:tab/>
        <w:t>What is the status of these deferral filings?</w:t>
      </w:r>
    </w:p>
    <w:p w:rsidR="005E156F" w:rsidRPr="005E156F" w:rsidRDefault="00A341A7" w:rsidP="00913B00">
      <w:pPr>
        <w:pStyle w:val="Bullet"/>
        <w:tabs>
          <w:tab w:val="clear" w:pos="2160"/>
        </w:tabs>
        <w:ind w:left="720" w:hanging="720"/>
        <w:jc w:val="left"/>
      </w:pPr>
      <w:r>
        <w:t>A.</w:t>
      </w:r>
      <w:r>
        <w:tab/>
        <w:t>T</w:t>
      </w:r>
      <w:r w:rsidR="000E2A89">
        <w:t xml:space="preserve">he depreciation deferral was approved by Commission Order 01 in </w:t>
      </w:r>
      <w:r w:rsidR="002A0C76">
        <w:t xml:space="preserve">                 </w:t>
      </w:r>
      <w:r w:rsidR="00874716">
        <w:t>D</w:t>
      </w:r>
      <w:r w:rsidR="000E2A89">
        <w:t>ocket</w:t>
      </w:r>
      <w:r>
        <w:t xml:space="preserve"> UE-132350</w:t>
      </w:r>
      <w:r w:rsidR="00874716">
        <w:t>.  The</w:t>
      </w:r>
      <w:r w:rsidR="000E2A89">
        <w:t xml:space="preserve"> Colstrip and hydro deferral</w:t>
      </w:r>
      <w:r w:rsidR="00874716">
        <w:t>s</w:t>
      </w:r>
      <w:r w:rsidR="000E2A89">
        <w:t xml:space="preserve"> are </w:t>
      </w:r>
      <w:r w:rsidR="00874716">
        <w:t>pending</w:t>
      </w:r>
      <w:r w:rsidR="000E2A89">
        <w:t xml:space="preserve"> Commission action.</w:t>
      </w:r>
      <w:r w:rsidR="00BC112A">
        <w:t xml:space="preserve">  For efficiency</w:t>
      </w:r>
      <w:r w:rsidR="00874716">
        <w:t>,</w:t>
      </w:r>
      <w:r w:rsidR="00FA0003">
        <w:t xml:space="preserve"> and to minimize the frequency of rate changes,</w:t>
      </w:r>
      <w:r w:rsidR="00BC112A">
        <w:t xml:space="preserve"> the Company is requesting </w:t>
      </w:r>
      <w:r w:rsidR="00CC1CDD">
        <w:t xml:space="preserve">to </w:t>
      </w:r>
      <w:r w:rsidR="00EA4410">
        <w:t>amortiz</w:t>
      </w:r>
      <w:r w:rsidR="00CC1CDD">
        <w:t xml:space="preserve">e </w:t>
      </w:r>
      <w:r w:rsidR="000F5644">
        <w:t>the</w:t>
      </w:r>
      <w:r w:rsidR="00CC1CDD">
        <w:t>se deferrals through Schedule 92 concurrent with the rate effective period</w:t>
      </w:r>
      <w:r w:rsidR="00EA4410">
        <w:t xml:space="preserve"> in this case</w:t>
      </w:r>
      <w:r w:rsidR="005E156F">
        <w:t>.</w:t>
      </w:r>
    </w:p>
    <w:p w:rsidR="00BD1303" w:rsidRDefault="00BD1303" w:rsidP="00282EDC">
      <w:pPr>
        <w:pStyle w:val="Heading1"/>
      </w:pPr>
      <w:bookmarkStart w:id="6" w:name="_Toc386626883"/>
      <w:r>
        <w:t>REVENUE REQUIREMENT AND RESULTS OF OPERATIONS</w:t>
      </w:r>
      <w:bookmarkEnd w:id="6"/>
    </w:p>
    <w:p w:rsidR="00F53272" w:rsidRPr="00BF20EE" w:rsidRDefault="00F53272" w:rsidP="00282EDC">
      <w:pPr>
        <w:pStyle w:val="Heading2"/>
      </w:pPr>
      <w:bookmarkStart w:id="7" w:name="_Toc386626884"/>
      <w:r w:rsidRPr="00BF20EE">
        <w:t>Revenue Requirement</w:t>
      </w:r>
      <w:bookmarkEnd w:id="7"/>
    </w:p>
    <w:p w:rsidR="00F53272" w:rsidRPr="00BF20EE" w:rsidRDefault="00F53272" w:rsidP="003F7952">
      <w:pPr>
        <w:pStyle w:val="Question"/>
        <w:widowControl w:val="0"/>
        <w:jc w:val="left"/>
      </w:pPr>
      <w:r w:rsidRPr="00BF20EE">
        <w:t>Q.</w:t>
      </w:r>
      <w:r w:rsidRPr="00BF20EE">
        <w:tab/>
      </w:r>
      <w:r w:rsidR="00D00463">
        <w:t>What is the Company’s Washington revenue requirement for the Test Period</w:t>
      </w:r>
      <w:r w:rsidRPr="00BF20EE">
        <w:t>?</w:t>
      </w:r>
    </w:p>
    <w:p w:rsidR="00CE3831" w:rsidRDefault="00F53272" w:rsidP="003F7952">
      <w:pPr>
        <w:pStyle w:val="Answer"/>
        <w:jc w:val="left"/>
      </w:pPr>
      <w:r w:rsidRPr="00D77405">
        <w:rPr>
          <w:rStyle w:val="AnswerChar1"/>
        </w:rPr>
        <w:t>A.</w:t>
      </w:r>
      <w:r w:rsidRPr="00D77405">
        <w:rPr>
          <w:rStyle w:val="AnswerChar1"/>
          <w:b/>
        </w:rPr>
        <w:tab/>
      </w:r>
      <w:r w:rsidR="00D97688" w:rsidRPr="005C74BD">
        <w:rPr>
          <w:rStyle w:val="AnswerChar1"/>
        </w:rPr>
        <w:t xml:space="preserve">The Company’s revenue requirement for the Test Period is </w:t>
      </w:r>
      <w:r w:rsidR="00D00463" w:rsidRPr="00D00463">
        <w:rPr>
          <w:rStyle w:val="AnswerChar1"/>
        </w:rPr>
        <w:t>$</w:t>
      </w:r>
      <w:r w:rsidR="00447091">
        <w:rPr>
          <w:rStyle w:val="AnswerChar1"/>
        </w:rPr>
        <w:t>348.</w:t>
      </w:r>
      <w:r w:rsidR="002F5153">
        <w:rPr>
          <w:rStyle w:val="AnswerChar1"/>
        </w:rPr>
        <w:t>8</w:t>
      </w:r>
      <w:r w:rsidR="00D00463" w:rsidRPr="007B10CB">
        <w:rPr>
          <w:rStyle w:val="AnswerChar1"/>
        </w:rPr>
        <w:t xml:space="preserve"> million</w:t>
      </w:r>
      <w:r w:rsidR="00D00463">
        <w:rPr>
          <w:rStyle w:val="AnswerChar1"/>
        </w:rPr>
        <w:t>.  This level of revenue will allow the Company to earn its recommended 10</w:t>
      </w:r>
      <w:r w:rsidR="00671CBA">
        <w:rPr>
          <w:rStyle w:val="AnswerChar1"/>
        </w:rPr>
        <w:t>.0</w:t>
      </w:r>
      <w:r w:rsidR="00D00463">
        <w:rPr>
          <w:rStyle w:val="AnswerChar1"/>
        </w:rPr>
        <w:t xml:space="preserve"> percent ROE for the Test Period</w:t>
      </w:r>
      <w:r w:rsidR="00D97688" w:rsidRPr="005C74BD">
        <w:rPr>
          <w:rStyle w:val="AnswerChar1"/>
        </w:rPr>
        <w:t>.</w:t>
      </w:r>
      <w:r w:rsidR="00D00463">
        <w:rPr>
          <w:rStyle w:val="AnswerChar1"/>
          <w:b/>
        </w:rPr>
        <w:t xml:space="preserve">  </w:t>
      </w:r>
      <w:r w:rsidRPr="00BF20EE">
        <w:t xml:space="preserve">At current rate levels, the Company will earn an ROE in </w:t>
      </w:r>
      <w:r>
        <w:t>Washington</w:t>
      </w:r>
      <w:r w:rsidRPr="00BF20EE">
        <w:t xml:space="preserve"> of </w:t>
      </w:r>
      <w:r w:rsidR="00447091">
        <w:t>6.</w:t>
      </w:r>
      <w:r w:rsidR="002F5153">
        <w:t xml:space="preserve">16 </w:t>
      </w:r>
      <w:r w:rsidRPr="00BF20EE">
        <w:t xml:space="preserve">percent during the </w:t>
      </w:r>
      <w:r>
        <w:t>T</w:t>
      </w:r>
      <w:r w:rsidRPr="00BF20EE">
        <w:t xml:space="preserve">est </w:t>
      </w:r>
      <w:r>
        <w:t>P</w:t>
      </w:r>
      <w:r w:rsidRPr="00BF20EE">
        <w:t>eriod</w:t>
      </w:r>
      <w:r w:rsidR="00E728FE">
        <w:t xml:space="preserve">.  </w:t>
      </w:r>
    </w:p>
    <w:p w:rsidR="002A0C76" w:rsidRDefault="002A0C76" w:rsidP="002A0C76">
      <w:pPr>
        <w:pStyle w:val="Answer"/>
        <w:suppressLineNumbers/>
        <w:jc w:val="left"/>
      </w:pPr>
    </w:p>
    <w:p w:rsidR="0002692B" w:rsidRPr="00282EDC" w:rsidRDefault="00A60994" w:rsidP="00282EDC">
      <w:pPr>
        <w:pStyle w:val="Heading2"/>
      </w:pPr>
      <w:bookmarkStart w:id="8" w:name="_Toc386626885"/>
      <w:r w:rsidRPr="00282EDC">
        <w:lastRenderedPageBreak/>
        <w:t>Revenue Requirement Calculation</w:t>
      </w:r>
      <w:bookmarkEnd w:id="8"/>
    </w:p>
    <w:p w:rsidR="0055169C" w:rsidRDefault="0055169C" w:rsidP="003F7952">
      <w:pPr>
        <w:pStyle w:val="Question"/>
        <w:jc w:val="left"/>
      </w:pPr>
      <w:r>
        <w:t>Q.</w:t>
      </w:r>
      <w:r>
        <w:tab/>
      </w:r>
      <w:r w:rsidRPr="005B308B">
        <w:t xml:space="preserve">Please describe </w:t>
      </w:r>
      <w:r w:rsidRPr="00967D90">
        <w:rPr>
          <w:bCs w:val="0"/>
        </w:rPr>
        <w:t>Exhibit No.</w:t>
      </w:r>
      <w:r>
        <w:rPr>
          <w:bCs w:val="0"/>
        </w:rPr>
        <w:t>_</w:t>
      </w:r>
      <w:r w:rsidR="00FD6EB5">
        <w:rPr>
          <w:bCs w:val="0"/>
        </w:rPr>
        <w:t>_</w:t>
      </w:r>
      <w:r>
        <w:rPr>
          <w:bCs w:val="0"/>
        </w:rPr>
        <w:t>_</w:t>
      </w:r>
      <w:r w:rsidR="00D1710A">
        <w:rPr>
          <w:bCs w:val="0"/>
        </w:rPr>
        <w:t>(</w:t>
      </w:r>
      <w:r w:rsidR="00447091">
        <w:rPr>
          <w:bCs w:val="0"/>
        </w:rPr>
        <w:t>NCS</w:t>
      </w:r>
      <w:r w:rsidRPr="003B558F">
        <w:rPr>
          <w:bCs w:val="0"/>
        </w:rPr>
        <w:t>-</w:t>
      </w:r>
      <w:r>
        <w:rPr>
          <w:bCs w:val="0"/>
        </w:rPr>
        <w:t>2</w:t>
      </w:r>
      <w:r w:rsidRPr="00967D90">
        <w:rPr>
          <w:bCs w:val="0"/>
        </w:rPr>
        <w:t>)</w:t>
      </w:r>
      <w:r w:rsidRPr="00967D90">
        <w:t>.</w:t>
      </w:r>
    </w:p>
    <w:p w:rsidR="0055169C" w:rsidRPr="0055169C" w:rsidRDefault="0055169C" w:rsidP="003F7952">
      <w:pPr>
        <w:pStyle w:val="Question"/>
        <w:jc w:val="left"/>
        <w:rPr>
          <w:b w:val="0"/>
        </w:rPr>
      </w:pPr>
      <w:r w:rsidRPr="0055169C">
        <w:rPr>
          <w:b w:val="0"/>
        </w:rPr>
        <w:t>A.</w:t>
      </w:r>
      <w:r w:rsidRPr="0055169C">
        <w:rPr>
          <w:b w:val="0"/>
        </w:rPr>
        <w:tab/>
      </w:r>
      <w:r w:rsidR="00523EE1" w:rsidRPr="0055169C">
        <w:rPr>
          <w:b w:val="0"/>
        </w:rPr>
        <w:t>Exhibit No._</w:t>
      </w:r>
      <w:r w:rsidR="00523EE1">
        <w:rPr>
          <w:b w:val="0"/>
        </w:rPr>
        <w:t>_</w:t>
      </w:r>
      <w:r w:rsidR="00523EE1" w:rsidRPr="0055169C">
        <w:rPr>
          <w:b w:val="0"/>
        </w:rPr>
        <w:t>_</w:t>
      </w:r>
      <w:r w:rsidR="00D1710A">
        <w:rPr>
          <w:b w:val="0"/>
        </w:rPr>
        <w:t>(</w:t>
      </w:r>
      <w:r w:rsidR="00447091">
        <w:rPr>
          <w:b w:val="0"/>
        </w:rPr>
        <w:t>NCS</w:t>
      </w:r>
      <w:r w:rsidR="00523EE1" w:rsidRPr="0055169C">
        <w:rPr>
          <w:b w:val="0"/>
        </w:rPr>
        <w:t xml:space="preserve">-2) </w:t>
      </w:r>
      <w:r w:rsidR="00D00463">
        <w:rPr>
          <w:b w:val="0"/>
        </w:rPr>
        <w:t>is</w:t>
      </w:r>
      <w:r w:rsidR="006248A1">
        <w:rPr>
          <w:b w:val="0"/>
        </w:rPr>
        <w:t xml:space="preserve"> a summary </w:t>
      </w:r>
      <w:r w:rsidR="003B558F">
        <w:rPr>
          <w:b w:val="0"/>
        </w:rPr>
        <w:t>of the W</w:t>
      </w:r>
      <w:r w:rsidRPr="0055169C">
        <w:rPr>
          <w:b w:val="0"/>
        </w:rPr>
        <w:t xml:space="preserve">ashington </w:t>
      </w:r>
      <w:r w:rsidR="005F48E2">
        <w:rPr>
          <w:b w:val="0"/>
        </w:rPr>
        <w:t>r</w:t>
      </w:r>
      <w:r w:rsidRPr="0055169C">
        <w:rPr>
          <w:b w:val="0"/>
        </w:rPr>
        <w:t xml:space="preserve">esults of </w:t>
      </w:r>
      <w:r w:rsidR="005F48E2">
        <w:rPr>
          <w:b w:val="0"/>
        </w:rPr>
        <w:t>o</w:t>
      </w:r>
      <w:r w:rsidRPr="0055169C">
        <w:rPr>
          <w:b w:val="0"/>
        </w:rPr>
        <w:t xml:space="preserve">perations for the </w:t>
      </w:r>
      <w:r w:rsidR="005D3ECC">
        <w:rPr>
          <w:b w:val="0"/>
        </w:rPr>
        <w:t>T</w:t>
      </w:r>
      <w:r w:rsidRPr="0055169C">
        <w:rPr>
          <w:b w:val="0"/>
        </w:rPr>
        <w:t xml:space="preserve">est </w:t>
      </w:r>
      <w:r w:rsidR="005D3ECC">
        <w:rPr>
          <w:b w:val="0"/>
        </w:rPr>
        <w:t>P</w:t>
      </w:r>
      <w:r w:rsidRPr="0055169C">
        <w:rPr>
          <w:b w:val="0"/>
        </w:rPr>
        <w:t>eriod</w:t>
      </w:r>
      <w:r w:rsidR="002C3890">
        <w:rPr>
          <w:b w:val="0"/>
        </w:rPr>
        <w:t>.</w:t>
      </w:r>
      <w:r w:rsidR="0049499D">
        <w:rPr>
          <w:rStyle w:val="FootnoteReference"/>
          <w:b w:val="0"/>
        </w:rPr>
        <w:footnoteReference w:id="5"/>
      </w:r>
      <w:r w:rsidR="00E728FE">
        <w:rPr>
          <w:b w:val="0"/>
        </w:rPr>
        <w:t xml:space="preserve">  </w:t>
      </w:r>
      <w:r w:rsidR="00523EE1">
        <w:rPr>
          <w:b w:val="0"/>
        </w:rPr>
        <w:t xml:space="preserve">This exhibit </w:t>
      </w:r>
      <w:r w:rsidR="00CE7AD8">
        <w:rPr>
          <w:b w:val="0"/>
        </w:rPr>
        <w:t xml:space="preserve">summarizes </w:t>
      </w:r>
      <w:r w:rsidR="00523EE1">
        <w:rPr>
          <w:b w:val="0"/>
        </w:rPr>
        <w:t xml:space="preserve">the detailed calculations and supporting documents that are presented in </w:t>
      </w:r>
      <w:r w:rsidR="00523EE1" w:rsidRPr="0055169C">
        <w:rPr>
          <w:b w:val="0"/>
          <w:bCs w:val="0"/>
        </w:rPr>
        <w:t>Exhibit No.___</w:t>
      </w:r>
      <w:r w:rsidR="00D1710A">
        <w:rPr>
          <w:b w:val="0"/>
          <w:bCs w:val="0"/>
        </w:rPr>
        <w:t>(</w:t>
      </w:r>
      <w:r w:rsidR="00447091">
        <w:rPr>
          <w:b w:val="0"/>
          <w:bCs w:val="0"/>
        </w:rPr>
        <w:t>NCS</w:t>
      </w:r>
      <w:r w:rsidR="00523EE1" w:rsidRPr="003B558F">
        <w:rPr>
          <w:b w:val="0"/>
          <w:bCs w:val="0"/>
        </w:rPr>
        <w:t>-</w:t>
      </w:r>
      <w:r w:rsidR="00523EE1" w:rsidRPr="0055169C">
        <w:rPr>
          <w:b w:val="0"/>
          <w:bCs w:val="0"/>
        </w:rPr>
        <w:t>3)</w:t>
      </w:r>
      <w:r w:rsidR="00E728FE">
        <w:rPr>
          <w:b w:val="0"/>
          <w:bCs w:val="0"/>
        </w:rPr>
        <w:t xml:space="preserve">.  </w:t>
      </w:r>
      <w:r w:rsidR="00EB50F4">
        <w:rPr>
          <w:b w:val="0"/>
        </w:rPr>
        <w:t>Page 1 is a revenue requirement adjustment summary</w:t>
      </w:r>
      <w:r w:rsidR="00E728FE">
        <w:rPr>
          <w:b w:val="0"/>
        </w:rPr>
        <w:t xml:space="preserve">.  </w:t>
      </w:r>
      <w:r w:rsidR="00EB50F4">
        <w:rPr>
          <w:b w:val="0"/>
        </w:rPr>
        <w:t>This page shows the rate base, net operating income</w:t>
      </w:r>
      <w:r w:rsidR="00D00463">
        <w:rPr>
          <w:b w:val="0"/>
        </w:rPr>
        <w:t xml:space="preserve"> (NOI),</w:t>
      </w:r>
      <w:r w:rsidR="00AE16D9">
        <w:rPr>
          <w:rStyle w:val="FootnoteReference"/>
          <w:b w:val="0"/>
        </w:rPr>
        <w:footnoteReference w:id="6"/>
      </w:r>
      <w:r w:rsidR="00F64FD3">
        <w:rPr>
          <w:b w:val="0"/>
        </w:rPr>
        <w:t xml:space="preserve"> </w:t>
      </w:r>
      <w:r w:rsidR="00EB50F4">
        <w:rPr>
          <w:b w:val="0"/>
        </w:rPr>
        <w:t xml:space="preserve">and </w:t>
      </w:r>
      <w:r w:rsidR="00FA390D">
        <w:rPr>
          <w:b w:val="0"/>
        </w:rPr>
        <w:t xml:space="preserve">the </w:t>
      </w:r>
      <w:r w:rsidR="00E17A9A">
        <w:rPr>
          <w:b w:val="0"/>
        </w:rPr>
        <w:t xml:space="preserve">cumulative </w:t>
      </w:r>
      <w:r w:rsidR="00EB50F4">
        <w:rPr>
          <w:b w:val="0"/>
        </w:rPr>
        <w:t xml:space="preserve">impact </w:t>
      </w:r>
      <w:r w:rsidR="00E17A9A">
        <w:rPr>
          <w:b w:val="0"/>
        </w:rPr>
        <w:t xml:space="preserve">of </w:t>
      </w:r>
      <w:r w:rsidR="00D00463">
        <w:rPr>
          <w:b w:val="0"/>
        </w:rPr>
        <w:t xml:space="preserve">restating and pro forma </w:t>
      </w:r>
      <w:r w:rsidR="00EB50F4">
        <w:rPr>
          <w:b w:val="0"/>
        </w:rPr>
        <w:t>adjustments</w:t>
      </w:r>
      <w:r w:rsidR="00E728FE">
        <w:rPr>
          <w:b w:val="0"/>
        </w:rPr>
        <w:t xml:space="preserve">.  </w:t>
      </w:r>
      <w:r w:rsidR="006248A1">
        <w:rPr>
          <w:b w:val="0"/>
        </w:rPr>
        <w:t>Page</w:t>
      </w:r>
      <w:r w:rsidR="000F0968">
        <w:rPr>
          <w:b w:val="0"/>
        </w:rPr>
        <w:t>s</w:t>
      </w:r>
      <w:r w:rsidR="006248A1">
        <w:rPr>
          <w:b w:val="0"/>
        </w:rPr>
        <w:t xml:space="preserve"> 2</w:t>
      </w:r>
      <w:r w:rsidR="000F0968">
        <w:rPr>
          <w:b w:val="0"/>
        </w:rPr>
        <w:t xml:space="preserve"> and 3</w:t>
      </w:r>
      <w:r w:rsidR="006248A1">
        <w:rPr>
          <w:b w:val="0"/>
        </w:rPr>
        <w:t xml:space="preserve"> </w:t>
      </w:r>
      <w:r w:rsidR="000F0968">
        <w:rPr>
          <w:b w:val="0"/>
        </w:rPr>
        <w:t>show</w:t>
      </w:r>
      <w:r>
        <w:rPr>
          <w:b w:val="0"/>
        </w:rPr>
        <w:t xml:space="preserve"> </w:t>
      </w:r>
      <w:r w:rsidR="005D3ECC">
        <w:rPr>
          <w:b w:val="0"/>
        </w:rPr>
        <w:t>t</w:t>
      </w:r>
      <w:r>
        <w:rPr>
          <w:b w:val="0"/>
        </w:rPr>
        <w:t>he Washington</w:t>
      </w:r>
      <w:r w:rsidR="004B69CE">
        <w:rPr>
          <w:b w:val="0"/>
        </w:rPr>
        <w:t>-</w:t>
      </w:r>
      <w:r>
        <w:rPr>
          <w:b w:val="0"/>
        </w:rPr>
        <w:t xml:space="preserve">allocated </w:t>
      </w:r>
      <w:r w:rsidR="004214C8">
        <w:rPr>
          <w:b w:val="0"/>
        </w:rPr>
        <w:t>per-book</w:t>
      </w:r>
      <w:r w:rsidR="00523EE1">
        <w:rPr>
          <w:b w:val="0"/>
        </w:rPr>
        <w:t>s</w:t>
      </w:r>
      <w:r>
        <w:rPr>
          <w:b w:val="0"/>
        </w:rPr>
        <w:t xml:space="preserve"> results </w:t>
      </w:r>
      <w:r w:rsidR="00D00463">
        <w:rPr>
          <w:b w:val="0"/>
        </w:rPr>
        <w:t>and</w:t>
      </w:r>
      <w:r>
        <w:rPr>
          <w:b w:val="0"/>
        </w:rPr>
        <w:t xml:space="preserve"> the </w:t>
      </w:r>
      <w:r w:rsidR="00D00463">
        <w:rPr>
          <w:b w:val="0"/>
        </w:rPr>
        <w:t>cumulative</w:t>
      </w:r>
      <w:r w:rsidR="00F32EF2">
        <w:rPr>
          <w:b w:val="0"/>
        </w:rPr>
        <w:t xml:space="preserve"> </w:t>
      </w:r>
      <w:r>
        <w:rPr>
          <w:b w:val="0"/>
        </w:rPr>
        <w:t xml:space="preserve">impact of </w:t>
      </w:r>
      <w:r w:rsidR="00E17A9A">
        <w:rPr>
          <w:b w:val="0"/>
        </w:rPr>
        <w:t xml:space="preserve">each of the major </w:t>
      </w:r>
      <w:r>
        <w:rPr>
          <w:b w:val="0"/>
        </w:rPr>
        <w:t>adjustment section</w:t>
      </w:r>
      <w:r w:rsidR="00D00463">
        <w:rPr>
          <w:b w:val="0"/>
        </w:rPr>
        <w:t xml:space="preserve">s </w:t>
      </w:r>
      <w:r w:rsidR="00E17A9A">
        <w:rPr>
          <w:b w:val="0"/>
        </w:rPr>
        <w:t>presented in Exhibit No.___(</w:t>
      </w:r>
      <w:r w:rsidR="00447091">
        <w:rPr>
          <w:b w:val="0"/>
        </w:rPr>
        <w:t>NCS</w:t>
      </w:r>
      <w:r w:rsidR="00E17A9A">
        <w:rPr>
          <w:b w:val="0"/>
        </w:rPr>
        <w:t>-3)</w:t>
      </w:r>
      <w:r w:rsidR="00E728FE">
        <w:rPr>
          <w:b w:val="0"/>
        </w:rPr>
        <w:t xml:space="preserve">.  </w:t>
      </w:r>
      <w:r w:rsidR="00523EE1">
        <w:rPr>
          <w:b w:val="0"/>
        </w:rPr>
        <w:t>The far right column of page 3</w:t>
      </w:r>
      <w:r w:rsidR="003B558F">
        <w:rPr>
          <w:b w:val="0"/>
        </w:rPr>
        <w:t xml:space="preserve"> shows the Washington-allocated normalized results for the </w:t>
      </w:r>
      <w:r w:rsidR="005D3ECC">
        <w:rPr>
          <w:b w:val="0"/>
        </w:rPr>
        <w:t>T</w:t>
      </w:r>
      <w:r w:rsidR="003B558F">
        <w:rPr>
          <w:b w:val="0"/>
        </w:rPr>
        <w:t xml:space="preserve">est </w:t>
      </w:r>
      <w:r w:rsidR="005D3ECC">
        <w:rPr>
          <w:b w:val="0"/>
        </w:rPr>
        <w:t>P</w:t>
      </w:r>
      <w:r w:rsidR="003B558F">
        <w:rPr>
          <w:b w:val="0"/>
        </w:rPr>
        <w:t>eriod</w:t>
      </w:r>
      <w:r w:rsidR="00E728FE">
        <w:rPr>
          <w:b w:val="0"/>
        </w:rPr>
        <w:t>.</w:t>
      </w:r>
      <w:r w:rsidR="0049499D">
        <w:rPr>
          <w:b w:val="0"/>
        </w:rPr>
        <w:t xml:space="preserve"> </w:t>
      </w:r>
    </w:p>
    <w:p w:rsidR="0002692B" w:rsidRPr="00967D90" w:rsidRDefault="0002692B" w:rsidP="003F7952">
      <w:pPr>
        <w:pStyle w:val="Question"/>
        <w:jc w:val="left"/>
      </w:pPr>
      <w:r>
        <w:t>Q.</w:t>
      </w:r>
      <w:r>
        <w:tab/>
      </w:r>
      <w:r w:rsidRPr="005B308B">
        <w:t xml:space="preserve">Please describe </w:t>
      </w:r>
      <w:r w:rsidR="00EE7852" w:rsidRPr="00967D90">
        <w:rPr>
          <w:bCs w:val="0"/>
        </w:rPr>
        <w:t>Exhibit No</w:t>
      </w:r>
      <w:r w:rsidR="00916400" w:rsidRPr="00967D90">
        <w:rPr>
          <w:bCs w:val="0"/>
        </w:rPr>
        <w:t>.</w:t>
      </w:r>
      <w:r w:rsidR="00EE7852" w:rsidRPr="00967D90">
        <w:rPr>
          <w:bCs w:val="0"/>
        </w:rPr>
        <w:t>___</w:t>
      </w:r>
      <w:r w:rsidR="00D1710A">
        <w:rPr>
          <w:bCs w:val="0"/>
        </w:rPr>
        <w:t>(</w:t>
      </w:r>
      <w:r w:rsidR="00447091">
        <w:rPr>
          <w:bCs w:val="0"/>
        </w:rPr>
        <w:t>NCS</w:t>
      </w:r>
      <w:r w:rsidR="00EE7852" w:rsidRPr="00F002E6">
        <w:rPr>
          <w:bCs w:val="0"/>
        </w:rPr>
        <w:t>-</w:t>
      </w:r>
      <w:r w:rsidR="003F484E" w:rsidRPr="00F002E6">
        <w:rPr>
          <w:bCs w:val="0"/>
        </w:rPr>
        <w:t>3</w:t>
      </w:r>
      <w:r w:rsidR="00EE7852" w:rsidRPr="00967D90">
        <w:rPr>
          <w:bCs w:val="0"/>
        </w:rPr>
        <w:t>)</w:t>
      </w:r>
      <w:r w:rsidRPr="00967D90">
        <w:t>.</w:t>
      </w:r>
    </w:p>
    <w:p w:rsidR="00E83689" w:rsidRDefault="0002692B" w:rsidP="003F7952">
      <w:pPr>
        <w:pStyle w:val="Answer"/>
        <w:widowControl w:val="0"/>
        <w:jc w:val="left"/>
      </w:pPr>
      <w:r w:rsidRPr="005B308B">
        <w:t>A.</w:t>
      </w:r>
      <w:r w:rsidRPr="005B308B">
        <w:tab/>
      </w:r>
      <w:r w:rsidR="00EE7852" w:rsidRPr="00500C92">
        <w:rPr>
          <w:bCs/>
        </w:rPr>
        <w:t>Exhibit No</w:t>
      </w:r>
      <w:r w:rsidR="00916400">
        <w:rPr>
          <w:bCs/>
        </w:rPr>
        <w:t>.</w:t>
      </w:r>
      <w:r w:rsidR="00EE7852" w:rsidRPr="00500C92">
        <w:rPr>
          <w:bCs/>
        </w:rPr>
        <w:t>___</w:t>
      </w:r>
      <w:r w:rsidR="00D1710A">
        <w:rPr>
          <w:bCs/>
        </w:rPr>
        <w:t>(</w:t>
      </w:r>
      <w:r w:rsidR="00447091">
        <w:rPr>
          <w:bCs/>
        </w:rPr>
        <w:t>NCS</w:t>
      </w:r>
      <w:r w:rsidR="00EE7852" w:rsidRPr="00F002E6">
        <w:rPr>
          <w:bCs/>
        </w:rPr>
        <w:t>-</w:t>
      </w:r>
      <w:r w:rsidR="003F484E">
        <w:rPr>
          <w:bCs/>
        </w:rPr>
        <w:t>3</w:t>
      </w:r>
      <w:r w:rsidR="00EE7852" w:rsidRPr="00500C92">
        <w:rPr>
          <w:bCs/>
        </w:rPr>
        <w:t>)</w:t>
      </w:r>
      <w:r w:rsidRPr="00500C92">
        <w:t xml:space="preserve"> </w:t>
      </w:r>
      <w:r w:rsidR="00DB4315" w:rsidRPr="00212B33">
        <w:t xml:space="preserve">is </w:t>
      </w:r>
      <w:r w:rsidR="00DB4315">
        <w:t>the Company’s</w:t>
      </w:r>
      <w:r w:rsidR="00DB4315" w:rsidRPr="00212B33">
        <w:t xml:space="preserve"> </w:t>
      </w:r>
      <w:r w:rsidR="00DB4315">
        <w:t>Washington</w:t>
      </w:r>
      <w:r w:rsidR="00DB4315" w:rsidRPr="00212B33">
        <w:t xml:space="preserve"> </w:t>
      </w:r>
      <w:r w:rsidR="00600225">
        <w:t>R</w:t>
      </w:r>
      <w:r w:rsidR="00DB4315" w:rsidRPr="00212B33">
        <w:t>esults</w:t>
      </w:r>
      <w:r w:rsidR="00DB4315">
        <w:t xml:space="preserve"> of </w:t>
      </w:r>
      <w:r w:rsidR="00600225">
        <w:t>O</w:t>
      </w:r>
      <w:r w:rsidR="00DB4315">
        <w:t xml:space="preserve">perations </w:t>
      </w:r>
      <w:r w:rsidR="00600225">
        <w:t>R</w:t>
      </w:r>
      <w:r w:rsidR="00DB4315" w:rsidRPr="00C11338">
        <w:t>eport (Report)</w:t>
      </w:r>
      <w:r w:rsidR="00E728FE">
        <w:t xml:space="preserve">.  </w:t>
      </w:r>
      <w:r w:rsidR="00DB4315" w:rsidRPr="00C11338">
        <w:t xml:space="preserve">The Report provides </w:t>
      </w:r>
      <w:r w:rsidR="00CC02D1">
        <w:t xml:space="preserve">the </w:t>
      </w:r>
      <w:r w:rsidR="00A6799C">
        <w:t>actual</w:t>
      </w:r>
      <w:r w:rsidR="00CC02D1">
        <w:t xml:space="preserve"> </w:t>
      </w:r>
      <w:r w:rsidR="009843FA">
        <w:t xml:space="preserve">and normalized </w:t>
      </w:r>
      <w:r w:rsidR="00DB4315" w:rsidRPr="00C11338">
        <w:t>totals for revenue, expenses, depreciation, net power costs, taxes, rate base</w:t>
      </w:r>
      <w:r w:rsidR="005F48E2">
        <w:t>,</w:t>
      </w:r>
      <w:r w:rsidR="00DB4315" w:rsidRPr="00C11338">
        <w:t xml:space="preserve"> and loads </w:t>
      </w:r>
      <w:r w:rsidR="00E17A9A">
        <w:t>for</w:t>
      </w:r>
      <w:r w:rsidR="00E17A9A" w:rsidRPr="00C11338">
        <w:t xml:space="preserve"> </w:t>
      </w:r>
      <w:r w:rsidR="00DB4315" w:rsidRPr="00C11338">
        <w:t xml:space="preserve">the </w:t>
      </w:r>
      <w:r w:rsidR="00272CE1">
        <w:t>T</w:t>
      </w:r>
      <w:r w:rsidR="00DB4315">
        <w:t xml:space="preserve">est </w:t>
      </w:r>
      <w:r w:rsidR="00272CE1">
        <w:t>P</w:t>
      </w:r>
      <w:r w:rsidR="00DB4315">
        <w:t>eriod</w:t>
      </w:r>
      <w:r w:rsidR="00E728FE">
        <w:t xml:space="preserve">.  </w:t>
      </w:r>
      <w:r w:rsidR="009843FA">
        <w:t xml:space="preserve">Additionally, the Report provides </w:t>
      </w:r>
      <w:r w:rsidR="00E83689">
        <w:t xml:space="preserve">the </w:t>
      </w:r>
      <w:r w:rsidR="009843FA">
        <w:t xml:space="preserve">calculation of the WCA </w:t>
      </w:r>
      <w:r w:rsidR="00E17A9A">
        <w:t xml:space="preserve">inter-jurisdictional </w:t>
      </w:r>
      <w:r w:rsidR="009843FA">
        <w:t xml:space="preserve">allocation factors, a summary of monthly rate base balances used to develop the </w:t>
      </w:r>
      <w:r w:rsidR="00E728FE">
        <w:t>historical</w:t>
      </w:r>
      <w:r w:rsidR="009843FA">
        <w:t xml:space="preserve"> AMA balances</w:t>
      </w:r>
      <w:r w:rsidR="00E83689">
        <w:t xml:space="preserve">, </w:t>
      </w:r>
      <w:r w:rsidR="009843FA">
        <w:t>and</w:t>
      </w:r>
      <w:r w:rsidR="0029262E">
        <w:t xml:space="preserve"> </w:t>
      </w:r>
      <w:r w:rsidR="00E83689">
        <w:t xml:space="preserve">detailed accounting extracts </w:t>
      </w:r>
      <w:r w:rsidR="0029262E">
        <w:t xml:space="preserve">for the </w:t>
      </w:r>
      <w:r w:rsidR="00E728FE">
        <w:t>historical</w:t>
      </w:r>
      <w:r w:rsidR="0029262E">
        <w:t xml:space="preserve"> period</w:t>
      </w:r>
      <w:r w:rsidR="00E728FE">
        <w:t>.</w:t>
      </w:r>
    </w:p>
    <w:p w:rsidR="00CE3831" w:rsidRDefault="00DB4315" w:rsidP="003F7952">
      <w:pPr>
        <w:pStyle w:val="Answer"/>
        <w:widowControl w:val="0"/>
        <w:ind w:firstLine="720"/>
        <w:jc w:val="left"/>
      </w:pPr>
      <w:r w:rsidRPr="00212B33">
        <w:t>The Report presents operating results in terms of both return on rate base and ROE</w:t>
      </w:r>
      <w:r w:rsidR="00E728FE">
        <w:t xml:space="preserve">.  </w:t>
      </w:r>
      <w:r w:rsidR="00E17A9A">
        <w:t xml:space="preserve">In </w:t>
      </w:r>
      <w:r>
        <w:t>the Report</w:t>
      </w:r>
      <w:r w:rsidR="000817CE">
        <w:t>,</w:t>
      </w:r>
      <w:r>
        <w:t xml:space="preserve"> n</w:t>
      </w:r>
      <w:r w:rsidR="00500C92">
        <w:t xml:space="preserve">et power costs are presented </w:t>
      </w:r>
      <w:r w:rsidR="008633C4">
        <w:t xml:space="preserve">on a </w:t>
      </w:r>
      <w:r w:rsidR="00CD66FF">
        <w:t>west control area</w:t>
      </w:r>
      <w:r w:rsidR="008633C4">
        <w:t xml:space="preserve"> basis </w:t>
      </w:r>
      <w:r w:rsidR="00500C92">
        <w:t xml:space="preserve">and as </w:t>
      </w:r>
      <w:r w:rsidR="00500C92">
        <w:lastRenderedPageBreak/>
        <w:t>allocated to the Washington jurisdiction</w:t>
      </w:r>
      <w:r w:rsidR="00E728FE">
        <w:t>.</w:t>
      </w:r>
    </w:p>
    <w:p w:rsidR="00A421E4" w:rsidRPr="005B308B" w:rsidRDefault="0002692B" w:rsidP="00D57A3B">
      <w:pPr>
        <w:keepNext/>
        <w:spacing w:line="480" w:lineRule="auto"/>
        <w:ind w:left="720" w:hanging="720"/>
        <w:jc w:val="left"/>
        <w:rPr>
          <w:b/>
          <w:bCs/>
        </w:rPr>
      </w:pPr>
      <w:r w:rsidRPr="005B308B">
        <w:rPr>
          <w:b/>
          <w:bCs/>
        </w:rPr>
        <w:t>Q.</w:t>
      </w:r>
      <w:r w:rsidRPr="005B308B">
        <w:rPr>
          <w:b/>
          <w:bCs/>
        </w:rPr>
        <w:tab/>
        <w:t xml:space="preserve">Please describe how </w:t>
      </w:r>
      <w:r w:rsidR="00E17A9A">
        <w:rPr>
          <w:b/>
          <w:bCs/>
        </w:rPr>
        <w:t>the Report</w:t>
      </w:r>
      <w:r w:rsidRPr="005B308B">
        <w:rPr>
          <w:b/>
          <w:bCs/>
        </w:rPr>
        <w:t xml:space="preserve"> is organized.</w:t>
      </w:r>
    </w:p>
    <w:p w:rsidR="00A421E4" w:rsidRDefault="0002692B" w:rsidP="003F7952">
      <w:pPr>
        <w:widowControl w:val="0"/>
        <w:spacing w:line="480" w:lineRule="auto"/>
        <w:ind w:left="720" w:hanging="720"/>
        <w:jc w:val="left"/>
      </w:pPr>
      <w:r>
        <w:t>A.</w:t>
      </w:r>
      <w:r>
        <w:tab/>
      </w:r>
      <w:r w:rsidR="00A421E4" w:rsidRPr="00212B33">
        <w:t xml:space="preserve">The Report is organized into </w:t>
      </w:r>
      <w:r w:rsidR="00E17A9A">
        <w:t xml:space="preserve">the following </w:t>
      </w:r>
      <w:r w:rsidR="00A421E4" w:rsidRPr="00212B33">
        <w:t xml:space="preserve">sections </w:t>
      </w:r>
      <w:r w:rsidR="00E17A9A">
        <w:t>or</w:t>
      </w:r>
      <w:r w:rsidR="00A421E4">
        <w:t xml:space="preserve"> tabs:</w:t>
      </w:r>
    </w:p>
    <w:p w:rsidR="00CD66FF" w:rsidRDefault="0002692B" w:rsidP="003F7952">
      <w:pPr>
        <w:widowControl w:val="0"/>
        <w:numPr>
          <w:ilvl w:val="0"/>
          <w:numId w:val="4"/>
        </w:numPr>
        <w:spacing w:line="480" w:lineRule="auto"/>
        <w:jc w:val="left"/>
      </w:pPr>
      <w:r>
        <w:t>Tab 1</w:t>
      </w:r>
      <w:r w:rsidR="00E17A9A">
        <w:t>—</w:t>
      </w:r>
      <w:r>
        <w:t xml:space="preserve">Summary </w:t>
      </w:r>
      <w:r w:rsidR="00E17A9A">
        <w:t xml:space="preserve">reflects </w:t>
      </w:r>
      <w:r>
        <w:t xml:space="preserve">the </w:t>
      </w:r>
      <w:r w:rsidR="00A86F4D">
        <w:t>Washington-allocated</w:t>
      </w:r>
      <w:r w:rsidRPr="005B308B">
        <w:t xml:space="preserve"> results based on the </w:t>
      </w:r>
      <w:r w:rsidR="00967D90">
        <w:t>WCA</w:t>
      </w:r>
      <w:r w:rsidR="00A6799C">
        <w:t xml:space="preserve"> allocation methodology</w:t>
      </w:r>
      <w:r w:rsidR="00E728FE">
        <w:t>.</w:t>
      </w:r>
    </w:p>
    <w:p w:rsidR="00CD66FF" w:rsidRDefault="0002692B" w:rsidP="00913B00">
      <w:pPr>
        <w:widowControl w:val="0"/>
        <w:numPr>
          <w:ilvl w:val="1"/>
          <w:numId w:val="4"/>
        </w:numPr>
        <w:spacing w:line="480" w:lineRule="auto"/>
        <w:jc w:val="left"/>
      </w:pPr>
      <w:r>
        <w:t>C</w:t>
      </w:r>
      <w:r w:rsidRPr="005B308B">
        <w:t>olumn 1</w:t>
      </w:r>
      <w:r w:rsidR="00E17A9A">
        <w:t xml:space="preserve"> (</w:t>
      </w:r>
      <w:r w:rsidR="00967D90">
        <w:t>Unadjusted</w:t>
      </w:r>
      <w:r w:rsidRPr="005B308B">
        <w:t xml:space="preserve"> Results</w:t>
      </w:r>
      <w:r w:rsidR="00E17A9A">
        <w:t>)</w:t>
      </w:r>
      <w:r>
        <w:t xml:space="preserve"> on </w:t>
      </w:r>
      <w:r w:rsidRPr="005B308B">
        <w:t>Page 1.</w:t>
      </w:r>
      <w:r w:rsidR="00967D90">
        <w:t>0</w:t>
      </w:r>
      <w:r>
        <w:t xml:space="preserve"> </w:t>
      </w:r>
      <w:r w:rsidR="00E17A9A">
        <w:t xml:space="preserve">reflects </w:t>
      </w:r>
      <w:r w:rsidR="00A6799C">
        <w:t>unadjusted actual</w:t>
      </w:r>
      <w:r w:rsidR="00E17A9A">
        <w:t xml:space="preserve"> </w:t>
      </w:r>
      <w:r>
        <w:t>Washington</w:t>
      </w:r>
      <w:r w:rsidRPr="005B308B">
        <w:t xml:space="preserve"> results </w:t>
      </w:r>
      <w:r>
        <w:t xml:space="preserve">and shows Washington </w:t>
      </w:r>
      <w:r w:rsidR="00E17A9A">
        <w:t xml:space="preserve">ROE </w:t>
      </w:r>
      <w:r w:rsidR="00967D90">
        <w:t xml:space="preserve">of </w:t>
      </w:r>
      <w:r w:rsidR="0001257C">
        <w:t>5.07</w:t>
      </w:r>
      <w:r w:rsidR="00640E35">
        <w:t xml:space="preserve"> </w:t>
      </w:r>
      <w:r w:rsidR="00902F83">
        <w:t>percent</w:t>
      </w:r>
      <w:r w:rsidR="00967D90">
        <w:t xml:space="preserve"> </w:t>
      </w:r>
      <w:r w:rsidR="00C75573">
        <w:t>for the 12 </w:t>
      </w:r>
      <w:r w:rsidR="00E17A9A">
        <w:t xml:space="preserve">months ended </w:t>
      </w:r>
      <w:r w:rsidR="00C45A98">
        <w:t>December 31, 2013</w:t>
      </w:r>
      <w:r w:rsidR="00CD66FF">
        <w:t>.</w:t>
      </w:r>
    </w:p>
    <w:p w:rsidR="00CD66FF" w:rsidRDefault="0002692B" w:rsidP="00913B00">
      <w:pPr>
        <w:widowControl w:val="0"/>
        <w:numPr>
          <w:ilvl w:val="1"/>
          <w:numId w:val="4"/>
        </w:numPr>
        <w:spacing w:line="480" w:lineRule="auto"/>
        <w:jc w:val="left"/>
      </w:pPr>
      <w:r>
        <w:t xml:space="preserve">Column 2 </w:t>
      </w:r>
      <w:r w:rsidR="00E17A9A">
        <w:t>(</w:t>
      </w:r>
      <w:r w:rsidR="00DD05BB">
        <w:t xml:space="preserve">Restating </w:t>
      </w:r>
      <w:r w:rsidR="00967D90">
        <w:t>Adjustments</w:t>
      </w:r>
      <w:r w:rsidR="00E17A9A">
        <w:t>)</w:t>
      </w:r>
      <w:r w:rsidR="00967D90">
        <w:t xml:space="preserve"> shows the </w:t>
      </w:r>
      <w:r w:rsidR="00E17A9A">
        <w:t xml:space="preserve">cumulative </w:t>
      </w:r>
      <w:r w:rsidR="00967D90">
        <w:t xml:space="preserve">impact of the </w:t>
      </w:r>
      <w:r w:rsidR="00902F83">
        <w:t>Washington</w:t>
      </w:r>
      <w:r w:rsidR="000817CE">
        <w:t>-</w:t>
      </w:r>
      <w:r w:rsidR="00902F83">
        <w:t xml:space="preserve">allocated </w:t>
      </w:r>
      <w:r w:rsidR="00AA6998">
        <w:t xml:space="preserve">restating </w:t>
      </w:r>
      <w:r w:rsidR="00967D90">
        <w:t>adjustment</w:t>
      </w:r>
      <w:r w:rsidR="00D03729">
        <w:t>s</w:t>
      </w:r>
      <w:r w:rsidR="00967D90">
        <w:t xml:space="preserve"> included in the filing</w:t>
      </w:r>
      <w:r w:rsidR="00E728FE">
        <w:t>.</w:t>
      </w:r>
    </w:p>
    <w:p w:rsidR="00CD66FF" w:rsidRDefault="00967D90" w:rsidP="00913B00">
      <w:pPr>
        <w:widowControl w:val="0"/>
        <w:numPr>
          <w:ilvl w:val="1"/>
          <w:numId w:val="4"/>
        </w:numPr>
        <w:spacing w:line="480" w:lineRule="auto"/>
        <w:jc w:val="left"/>
      </w:pPr>
      <w:r>
        <w:t xml:space="preserve">Column 3 </w:t>
      </w:r>
      <w:r w:rsidR="00E17A9A">
        <w:t>(</w:t>
      </w:r>
      <w:r w:rsidR="00DD05BB">
        <w:t>Total Adjusted Actual Results</w:t>
      </w:r>
      <w:r w:rsidR="00E17A9A">
        <w:t>)</w:t>
      </w:r>
      <w:r w:rsidR="00DD05BB">
        <w:t xml:space="preserve"> shows the Washington results </w:t>
      </w:r>
      <w:r w:rsidR="00E17A9A">
        <w:t xml:space="preserve">including </w:t>
      </w:r>
      <w:r w:rsidR="00DD05BB">
        <w:t>the restating adjustments</w:t>
      </w:r>
      <w:r w:rsidR="00E728FE">
        <w:t>.</w:t>
      </w:r>
    </w:p>
    <w:p w:rsidR="00CD66FF" w:rsidRDefault="00DD05BB" w:rsidP="00913B00">
      <w:pPr>
        <w:widowControl w:val="0"/>
        <w:numPr>
          <w:ilvl w:val="1"/>
          <w:numId w:val="4"/>
        </w:numPr>
        <w:spacing w:line="480" w:lineRule="auto"/>
        <w:jc w:val="left"/>
      </w:pPr>
      <w:r>
        <w:t xml:space="preserve">Column 4 </w:t>
      </w:r>
      <w:r w:rsidR="00E17A9A">
        <w:t>(</w:t>
      </w:r>
      <w:r>
        <w:t>Pro Forma Adjustments</w:t>
      </w:r>
      <w:r w:rsidR="00E17A9A">
        <w:t>)</w:t>
      </w:r>
      <w:r>
        <w:t xml:space="preserve"> shows the </w:t>
      </w:r>
      <w:r w:rsidR="00E17A9A">
        <w:t xml:space="preserve">cumulative </w:t>
      </w:r>
      <w:r>
        <w:t>impact of the Washington-allocated pro forma adjustments included in the filing</w:t>
      </w:r>
      <w:r w:rsidR="00E728FE">
        <w:t>.</w:t>
      </w:r>
    </w:p>
    <w:p w:rsidR="00CD66FF" w:rsidRDefault="00DD05BB" w:rsidP="00913B00">
      <w:pPr>
        <w:widowControl w:val="0"/>
        <w:numPr>
          <w:ilvl w:val="1"/>
          <w:numId w:val="4"/>
        </w:numPr>
        <w:spacing w:line="480" w:lineRule="auto"/>
        <w:jc w:val="left"/>
      </w:pPr>
      <w:r>
        <w:t xml:space="preserve">Column 5 </w:t>
      </w:r>
      <w:r w:rsidR="00E17A9A">
        <w:t>(</w:t>
      </w:r>
      <w:r w:rsidR="00967D90">
        <w:t>Total Normalized Results</w:t>
      </w:r>
      <w:r w:rsidR="00E17A9A">
        <w:t>)</w:t>
      </w:r>
      <w:r w:rsidR="00967D90">
        <w:t xml:space="preserve"> shows the Washington</w:t>
      </w:r>
      <w:r w:rsidR="000817CE">
        <w:t>-</w:t>
      </w:r>
      <w:r w:rsidR="00967D90">
        <w:t xml:space="preserve">allocated normalized results </w:t>
      </w:r>
      <w:r w:rsidR="00902F83">
        <w:t>for</w:t>
      </w:r>
      <w:r w:rsidR="00967D90">
        <w:t xml:space="preserve"> the </w:t>
      </w:r>
      <w:r w:rsidR="00AF449E">
        <w:t>T</w:t>
      </w:r>
      <w:r w:rsidR="00967D90">
        <w:t xml:space="preserve">est </w:t>
      </w:r>
      <w:r w:rsidR="00AF449E">
        <w:t>P</w:t>
      </w:r>
      <w:r w:rsidR="00967D90">
        <w:t>eriod</w:t>
      </w:r>
      <w:r w:rsidR="006827A6">
        <w:t>, including all restating and pro forma adjustments,</w:t>
      </w:r>
      <w:r w:rsidR="00967D90">
        <w:t xml:space="preserve"> with an ROE of </w:t>
      </w:r>
      <w:r w:rsidR="0001257C">
        <w:t>6.</w:t>
      </w:r>
      <w:r w:rsidR="00CE7AD8">
        <w:t>16</w:t>
      </w:r>
      <w:r w:rsidR="005F48E2">
        <w:t xml:space="preserve"> </w:t>
      </w:r>
      <w:r w:rsidR="00902F83">
        <w:t>percen</w:t>
      </w:r>
      <w:r w:rsidR="00CD66FF">
        <w:t>t.</w:t>
      </w:r>
    </w:p>
    <w:p w:rsidR="00CD66FF" w:rsidRDefault="00902F83" w:rsidP="00913B00">
      <w:pPr>
        <w:widowControl w:val="0"/>
        <w:numPr>
          <w:ilvl w:val="1"/>
          <w:numId w:val="4"/>
        </w:numPr>
        <w:spacing w:line="480" w:lineRule="auto"/>
        <w:jc w:val="left"/>
      </w:pPr>
      <w:r>
        <w:t xml:space="preserve">Column </w:t>
      </w:r>
      <w:r w:rsidR="00DD05BB">
        <w:t>6</w:t>
      </w:r>
      <w:r>
        <w:t xml:space="preserve"> </w:t>
      </w:r>
      <w:r w:rsidR="006827A6">
        <w:t>(</w:t>
      </w:r>
      <w:r>
        <w:t>Price Change</w:t>
      </w:r>
      <w:r w:rsidR="006827A6">
        <w:t>)</w:t>
      </w:r>
      <w:r>
        <w:t xml:space="preserve"> reflects the necessary </w:t>
      </w:r>
      <w:r w:rsidR="006827A6">
        <w:t xml:space="preserve">revenue </w:t>
      </w:r>
      <w:r>
        <w:t>increase of $</w:t>
      </w:r>
      <w:r w:rsidR="0001257C">
        <w:t>2</w:t>
      </w:r>
      <w:r w:rsidR="00CE7AD8">
        <w:t>7.2</w:t>
      </w:r>
      <w:r w:rsidR="005F48E2">
        <w:t xml:space="preserve"> </w:t>
      </w:r>
      <w:r>
        <w:t xml:space="preserve">million to </w:t>
      </w:r>
      <w:r w:rsidR="006827A6">
        <w:t>achieve a 10</w:t>
      </w:r>
      <w:r w:rsidR="00CD66FF">
        <w:t>.0</w:t>
      </w:r>
      <w:r w:rsidR="00C75573">
        <w:t> </w:t>
      </w:r>
      <w:r w:rsidR="006827A6">
        <w:t xml:space="preserve">percent </w:t>
      </w:r>
      <w:r>
        <w:t>ROE</w:t>
      </w:r>
      <w:r w:rsidR="006827A6">
        <w:t>.</w:t>
      </w:r>
    </w:p>
    <w:p w:rsidR="00DB4315" w:rsidRDefault="0002692B" w:rsidP="00913B00">
      <w:pPr>
        <w:widowControl w:val="0"/>
        <w:numPr>
          <w:ilvl w:val="1"/>
          <w:numId w:val="4"/>
        </w:numPr>
        <w:spacing w:line="480" w:lineRule="auto"/>
        <w:jc w:val="left"/>
      </w:pPr>
      <w:r w:rsidRPr="005B308B">
        <w:t xml:space="preserve">Column </w:t>
      </w:r>
      <w:r w:rsidR="00DD05BB">
        <w:t>7</w:t>
      </w:r>
      <w:r w:rsidRPr="005B308B">
        <w:t xml:space="preserve"> </w:t>
      </w:r>
      <w:r w:rsidR="006827A6">
        <w:t>(</w:t>
      </w:r>
      <w:r>
        <w:t>Results with Price Change</w:t>
      </w:r>
      <w:r w:rsidR="006827A6">
        <w:t>)</w:t>
      </w:r>
      <w:r>
        <w:t xml:space="preserve"> </w:t>
      </w:r>
      <w:r w:rsidRPr="005B308B">
        <w:t xml:space="preserve">reflects the </w:t>
      </w:r>
      <w:r>
        <w:t>Washington</w:t>
      </w:r>
      <w:r w:rsidRPr="005B308B">
        <w:t xml:space="preserve"> </w:t>
      </w:r>
      <w:r w:rsidR="00A421E4">
        <w:t>normalized</w:t>
      </w:r>
      <w:r w:rsidR="006827A6">
        <w:t xml:space="preserve"> results</w:t>
      </w:r>
      <w:r w:rsidR="00A421E4">
        <w:t xml:space="preserve"> </w:t>
      </w:r>
      <w:r w:rsidR="006827A6">
        <w:t xml:space="preserve">including </w:t>
      </w:r>
      <w:r>
        <w:t>the $</w:t>
      </w:r>
      <w:r w:rsidR="0001257C">
        <w:t>2</w:t>
      </w:r>
      <w:r w:rsidR="00CE7AD8">
        <w:t>7.2</w:t>
      </w:r>
      <w:r w:rsidR="005F48E2">
        <w:t xml:space="preserve"> </w:t>
      </w:r>
      <w:r w:rsidRPr="005B308B">
        <w:t xml:space="preserve">million </w:t>
      </w:r>
      <w:r w:rsidR="00600225">
        <w:t xml:space="preserve">proposed </w:t>
      </w:r>
      <w:r w:rsidR="006827A6">
        <w:t xml:space="preserve">revenue </w:t>
      </w:r>
      <w:r w:rsidR="00902F83">
        <w:t>increase</w:t>
      </w:r>
      <w:r w:rsidR="00E728FE">
        <w:t>.</w:t>
      </w:r>
    </w:p>
    <w:p w:rsidR="002C3890" w:rsidRDefault="002C3890" w:rsidP="002C3890">
      <w:pPr>
        <w:widowControl w:val="0"/>
        <w:suppressLineNumbers/>
        <w:spacing w:line="480" w:lineRule="auto"/>
        <w:ind w:left="2160"/>
        <w:jc w:val="left"/>
      </w:pPr>
    </w:p>
    <w:p w:rsidR="0002692B" w:rsidRDefault="00902F83" w:rsidP="003F7952">
      <w:pPr>
        <w:widowControl w:val="0"/>
        <w:spacing w:line="480" w:lineRule="auto"/>
        <w:ind w:left="1440" w:firstLine="720"/>
        <w:jc w:val="left"/>
      </w:pPr>
      <w:r>
        <w:lastRenderedPageBreak/>
        <w:t xml:space="preserve">Page 1.1 </w:t>
      </w:r>
      <w:r w:rsidR="006827A6">
        <w:t xml:space="preserve">of the Report </w:t>
      </w:r>
      <w:r>
        <w:t xml:space="preserve">shows the </w:t>
      </w:r>
      <w:r w:rsidR="006827A6">
        <w:t>results of operations</w:t>
      </w:r>
      <w:r w:rsidR="00DD05BB">
        <w:t xml:space="preserve"> without the requested price change</w:t>
      </w:r>
      <w:r w:rsidR="006827A6">
        <w:t>.</w:t>
      </w:r>
      <w:r w:rsidR="005F48E2">
        <w:t xml:space="preserve"> </w:t>
      </w:r>
      <w:r w:rsidR="00E728FE">
        <w:t xml:space="preserve"> </w:t>
      </w:r>
      <w:r>
        <w:t>Page</w:t>
      </w:r>
      <w:r w:rsidR="00BA189C">
        <w:t>s</w:t>
      </w:r>
      <w:r>
        <w:t xml:space="preserve"> 1.2</w:t>
      </w:r>
      <w:r w:rsidR="00BA189C">
        <w:t xml:space="preserve"> and 1.3 support</w:t>
      </w:r>
      <w:r w:rsidR="0002692B" w:rsidRPr="005B308B">
        <w:t xml:space="preserve"> the calculation</w:t>
      </w:r>
      <w:r w:rsidR="00BA189C">
        <w:t xml:space="preserve"> of the requested </w:t>
      </w:r>
      <w:r w:rsidR="006827A6">
        <w:t xml:space="preserve">revenue </w:t>
      </w:r>
      <w:r w:rsidR="00BA189C">
        <w:t xml:space="preserve">increase and provide further details on the development of the net-to-gross </w:t>
      </w:r>
      <w:r w:rsidR="00AE16D9">
        <w:t>conversion</w:t>
      </w:r>
      <w:r w:rsidR="00BA189C">
        <w:t xml:space="preserve"> factor</w:t>
      </w:r>
      <w:r w:rsidR="006827A6">
        <w:rPr>
          <w:rStyle w:val="FootnoteReference"/>
        </w:rPr>
        <w:footnoteReference w:id="7"/>
      </w:r>
      <w:r w:rsidR="00BA189C">
        <w:t xml:space="preserve"> which incorporates income taxes, uncollectible expenses, Washington </w:t>
      </w:r>
      <w:r w:rsidR="00EE1A44">
        <w:t>Public Utility Tax</w:t>
      </w:r>
      <w:r w:rsidR="00824B53">
        <w:t>,</w:t>
      </w:r>
      <w:r w:rsidR="00BA189C">
        <w:t xml:space="preserve"> and the Commission regulatory fee</w:t>
      </w:r>
      <w:r w:rsidR="00E728FE">
        <w:t xml:space="preserve">.  </w:t>
      </w:r>
      <w:r w:rsidR="00BA189C">
        <w:t>Page</w:t>
      </w:r>
      <w:r w:rsidR="000C096A">
        <w:t>s</w:t>
      </w:r>
      <w:r w:rsidR="00BA189C">
        <w:t xml:space="preserve"> 1.4</w:t>
      </w:r>
      <w:r w:rsidR="000C096A">
        <w:t xml:space="preserve"> through 1.6</w:t>
      </w:r>
      <w:r w:rsidR="00BA189C">
        <w:t xml:space="preserve"> summarize the impact of each of the adjustment sections</w:t>
      </w:r>
      <w:r w:rsidR="006827A6">
        <w:t xml:space="preserve">, </w:t>
      </w:r>
      <w:r w:rsidR="00BA189C">
        <w:t>which follow in tabs 3 through 9</w:t>
      </w:r>
      <w:r w:rsidR="000C096A">
        <w:t>.</w:t>
      </w:r>
    </w:p>
    <w:p w:rsidR="002A0C76" w:rsidRDefault="00A421E4" w:rsidP="003F7952">
      <w:pPr>
        <w:pStyle w:val="Answer"/>
        <w:widowControl w:val="0"/>
        <w:numPr>
          <w:ilvl w:val="0"/>
          <w:numId w:val="4"/>
        </w:numPr>
        <w:jc w:val="left"/>
      </w:pPr>
      <w:r>
        <w:t>Tab 2</w:t>
      </w:r>
      <w:r w:rsidR="006827A6">
        <w:t>—</w:t>
      </w:r>
      <w:r>
        <w:t xml:space="preserve">Results of Operations details the Company’s overall revenue requirement, showing </w:t>
      </w:r>
      <w:r w:rsidR="004214C8">
        <w:t>per-book</w:t>
      </w:r>
      <w:r w:rsidR="00CC02D1">
        <w:t>s revenues, expenses, and rate base balances</w:t>
      </w:r>
      <w:r w:rsidR="00C75573">
        <w:t xml:space="preserve">, on </w:t>
      </w:r>
      <w:r w:rsidR="00CB0B63">
        <w:t>total</w:t>
      </w:r>
      <w:r w:rsidR="00C40B6E">
        <w:t>-</w:t>
      </w:r>
      <w:r w:rsidR="00CB0B63">
        <w:t>company and Washington-allocated bas</w:t>
      </w:r>
      <w:r w:rsidR="00C40B6E">
        <w:t>es</w:t>
      </w:r>
      <w:r w:rsidR="00CB0B63">
        <w:t xml:space="preserve">, </w:t>
      </w:r>
      <w:r>
        <w:t xml:space="preserve">for the </w:t>
      </w:r>
      <w:r w:rsidR="00C75573">
        <w:t>12 </w:t>
      </w:r>
      <w:r>
        <w:t xml:space="preserve">months </w:t>
      </w:r>
      <w:r w:rsidR="00064289">
        <w:t>ended</w:t>
      </w:r>
      <w:r>
        <w:t xml:space="preserve"> </w:t>
      </w:r>
      <w:r w:rsidR="00C45A98">
        <w:t>December 31, 2013</w:t>
      </w:r>
      <w:r w:rsidR="00C86737">
        <w:t>,</w:t>
      </w:r>
      <w:r>
        <w:t xml:space="preserve"> and fully normalized </w:t>
      </w:r>
      <w:r w:rsidR="00CB0B63">
        <w:t xml:space="preserve">Washington-allocated </w:t>
      </w:r>
      <w:r>
        <w:t xml:space="preserve">results of operations for the </w:t>
      </w:r>
      <w:r w:rsidR="000C096A">
        <w:t>T</w:t>
      </w:r>
      <w:r>
        <w:t xml:space="preserve">est </w:t>
      </w:r>
      <w:r w:rsidR="000C096A">
        <w:t>P</w:t>
      </w:r>
      <w:r>
        <w:t xml:space="preserve">eriod by </w:t>
      </w:r>
      <w:r w:rsidR="009F7B29" w:rsidRPr="00B5048A">
        <w:t>Federal Energy Regulatory Commission (FERC) account</w:t>
      </w:r>
      <w:r w:rsidR="00E728FE">
        <w:t xml:space="preserve">.  </w:t>
      </w:r>
      <w:r w:rsidR="004F0C43">
        <w:t>The name of e</w:t>
      </w:r>
      <w:r w:rsidR="000F5A79">
        <w:t xml:space="preserve">ach FERC account provides a brief description of the </w:t>
      </w:r>
      <w:r w:rsidR="004F0C43">
        <w:t xml:space="preserve">revenues, expenses, or balances </w:t>
      </w:r>
      <w:r w:rsidR="000F5A79">
        <w:t>included in the account</w:t>
      </w:r>
      <w:r w:rsidR="00E728FE">
        <w:t xml:space="preserve">.  </w:t>
      </w:r>
      <w:r w:rsidR="000F5A79">
        <w:t>For a more detailed description</w:t>
      </w:r>
      <w:r w:rsidR="00E44251">
        <w:t xml:space="preserve"> of each account</w:t>
      </w:r>
      <w:r w:rsidR="000F5A79">
        <w:t xml:space="preserve"> please </w:t>
      </w:r>
      <w:r w:rsidR="00E44251">
        <w:t>refer to the FERC Uniform System of</w:t>
      </w:r>
      <w:r w:rsidR="00DD05BB">
        <w:t xml:space="preserve"> Accounts (</w:t>
      </w:r>
      <w:r w:rsidR="00E44251">
        <w:t xml:space="preserve">Code of Federal Regulations, Title 18, </w:t>
      </w:r>
    </w:p>
    <w:p w:rsidR="0002692B" w:rsidRDefault="00E44251" w:rsidP="002A0C76">
      <w:pPr>
        <w:pStyle w:val="Answer"/>
        <w:widowControl w:val="0"/>
        <w:ind w:left="1440" w:firstLine="0"/>
        <w:jc w:val="left"/>
      </w:pPr>
      <w:r>
        <w:t>part 101</w:t>
      </w:r>
      <w:r w:rsidR="004F0C43">
        <w:t>).</w:t>
      </w:r>
    </w:p>
    <w:p w:rsidR="00A421E4" w:rsidRDefault="00A421E4" w:rsidP="003F7952">
      <w:pPr>
        <w:pStyle w:val="Answer"/>
        <w:widowControl w:val="0"/>
        <w:numPr>
          <w:ilvl w:val="0"/>
          <w:numId w:val="4"/>
        </w:numPr>
        <w:tabs>
          <w:tab w:val="num" w:pos="1800"/>
        </w:tabs>
        <w:jc w:val="left"/>
      </w:pPr>
      <w:r>
        <w:t>Tabs 3 through 9 provide supporting documentation for the</w:t>
      </w:r>
      <w:r w:rsidRPr="00C11338">
        <w:t xml:space="preserve"> </w:t>
      </w:r>
      <w:r w:rsidR="00D14107">
        <w:t>restating and pro forma</w:t>
      </w:r>
      <w:r w:rsidR="00D14107" w:rsidRPr="00C11338">
        <w:t xml:space="preserve"> </w:t>
      </w:r>
      <w:r w:rsidRPr="00C11338">
        <w:t xml:space="preserve">adjustments </w:t>
      </w:r>
      <w:r>
        <w:t>required</w:t>
      </w:r>
      <w:r w:rsidRPr="00C11338">
        <w:t xml:space="preserve"> to reflect </w:t>
      </w:r>
      <w:r w:rsidR="004F0C43">
        <w:t>normal or expected operating conditions</w:t>
      </w:r>
      <w:r w:rsidR="004F0C43" w:rsidRPr="00C11338">
        <w:t xml:space="preserve"> </w:t>
      </w:r>
      <w:r w:rsidRPr="00C11338">
        <w:t>of the Company</w:t>
      </w:r>
      <w:r w:rsidR="00E728FE">
        <w:t xml:space="preserve">.  </w:t>
      </w:r>
      <w:r>
        <w:t xml:space="preserve">Each of these sections </w:t>
      </w:r>
      <w:r w:rsidRPr="00C11338">
        <w:t>begin</w:t>
      </w:r>
      <w:r>
        <w:t>s</w:t>
      </w:r>
      <w:r w:rsidRPr="00C11338">
        <w:t xml:space="preserve"> with</w:t>
      </w:r>
      <w:r>
        <w:t xml:space="preserve"> a numerical summary</w:t>
      </w:r>
      <w:r w:rsidR="00F64FD3">
        <w:t xml:space="preserve"> in columnar format</w:t>
      </w:r>
      <w:r>
        <w:t xml:space="preserve"> that identifies each adjustment made to the </w:t>
      </w:r>
      <w:r w:rsidR="004214C8">
        <w:t>per-book</w:t>
      </w:r>
      <w:r w:rsidR="00F32EF2">
        <w:t>s data</w:t>
      </w:r>
      <w:r>
        <w:t xml:space="preserve"> and the adjustment’s impact on the </w:t>
      </w:r>
      <w:r w:rsidR="00F32EF2">
        <w:t>Test Period</w:t>
      </w:r>
      <w:r w:rsidR="00E728FE">
        <w:t xml:space="preserve">.  </w:t>
      </w:r>
      <w:r w:rsidRPr="00D60243">
        <w:t xml:space="preserve">Each column has a numerical reference to a corresponding page in </w:t>
      </w:r>
      <w:r>
        <w:t>the Report</w:t>
      </w:r>
      <w:r w:rsidRPr="008F2AEB">
        <w:t>,</w:t>
      </w:r>
      <w:r w:rsidRPr="00D60243">
        <w:t xml:space="preserve"> which contains a </w:t>
      </w:r>
      <w:r w:rsidR="004F0C43">
        <w:t>“</w:t>
      </w:r>
      <w:r w:rsidRPr="00D60243">
        <w:t>lead sheet</w:t>
      </w:r>
      <w:r w:rsidR="004F0C43">
        <w:t>”</w:t>
      </w:r>
      <w:r w:rsidRPr="00D60243">
        <w:t xml:space="preserve"> </w:t>
      </w:r>
      <w:r w:rsidRPr="00D60243">
        <w:lastRenderedPageBreak/>
        <w:t xml:space="preserve">showing the </w:t>
      </w:r>
      <w:r w:rsidR="00AA6998">
        <w:t>type of adjustment</w:t>
      </w:r>
      <w:r w:rsidR="00E03DE6">
        <w:t xml:space="preserve"> </w:t>
      </w:r>
      <w:r w:rsidR="004F0C43">
        <w:t>(</w:t>
      </w:r>
      <w:r w:rsidR="00AA6998">
        <w:t>restating or pro forma</w:t>
      </w:r>
      <w:r w:rsidR="004F0C43">
        <w:t>)</w:t>
      </w:r>
      <w:r w:rsidR="00AA6998">
        <w:t xml:space="preserve">, the </w:t>
      </w:r>
      <w:r w:rsidRPr="00D60243">
        <w:t>FERC accou</w:t>
      </w:r>
      <w:r>
        <w:t>nt</w:t>
      </w:r>
      <w:r w:rsidR="004F0C43">
        <w:t>(s)</w:t>
      </w:r>
      <w:r w:rsidRPr="00C11338">
        <w:t xml:space="preserve">, </w:t>
      </w:r>
      <w:r w:rsidR="00E03DE6">
        <w:t xml:space="preserve">the </w:t>
      </w:r>
      <w:r w:rsidR="00AA6998">
        <w:t xml:space="preserve">WCA </w:t>
      </w:r>
      <w:r w:rsidRPr="00C11338">
        <w:t>allocation factor</w:t>
      </w:r>
      <w:r w:rsidR="004F0C43">
        <w:t>(s)</w:t>
      </w:r>
      <w:r w:rsidRPr="00C11338">
        <w:t>, dollar amount</w:t>
      </w:r>
      <w:r w:rsidR="004F0C43">
        <w:t>(s)</w:t>
      </w:r>
      <w:r w:rsidR="00B06E1A">
        <w:t>,</w:t>
      </w:r>
      <w:r w:rsidRPr="00C11338">
        <w:t xml:space="preserve"> and a </w:t>
      </w:r>
      <w:r w:rsidR="004F0C43">
        <w:t xml:space="preserve">brief </w:t>
      </w:r>
      <w:r w:rsidRPr="00C11338">
        <w:t>description of the adjustment</w:t>
      </w:r>
      <w:r w:rsidR="00E728FE">
        <w:t xml:space="preserve">.  </w:t>
      </w:r>
      <w:r>
        <w:t>The specific adjustments included in each of these tab</w:t>
      </w:r>
      <w:r w:rsidR="004F0C43">
        <w:t xml:space="preserve">s </w:t>
      </w:r>
      <w:r>
        <w:t>are described in more detail below.</w:t>
      </w:r>
    </w:p>
    <w:p w:rsidR="00A421E4" w:rsidRDefault="00A421E4" w:rsidP="003F7952">
      <w:pPr>
        <w:numPr>
          <w:ilvl w:val="0"/>
          <w:numId w:val="4"/>
        </w:numPr>
        <w:spacing w:line="480" w:lineRule="auto"/>
        <w:jc w:val="left"/>
      </w:pPr>
      <w:r w:rsidRPr="005B308B">
        <w:t xml:space="preserve">Tab 10 contains the calculation of the </w:t>
      </w:r>
      <w:r w:rsidR="001E5A2D">
        <w:t>WCA</w:t>
      </w:r>
      <w:r w:rsidRPr="005B308B">
        <w:t xml:space="preserve"> allocation factors.</w:t>
      </w:r>
    </w:p>
    <w:p w:rsidR="00AB491C" w:rsidRDefault="00AB491C" w:rsidP="003F7952">
      <w:pPr>
        <w:numPr>
          <w:ilvl w:val="0"/>
          <w:numId w:val="4"/>
        </w:numPr>
        <w:spacing w:line="480" w:lineRule="auto"/>
        <w:jc w:val="left"/>
      </w:pPr>
      <w:r>
        <w:t xml:space="preserve">Tab 11 contains a summary of the Washington-allocated </w:t>
      </w:r>
      <w:r w:rsidR="004214C8">
        <w:t>per-book</w:t>
      </w:r>
      <w:r w:rsidR="003440DE">
        <w:t xml:space="preserve">s </w:t>
      </w:r>
      <w:r>
        <w:t xml:space="preserve">rate base balances by month for the </w:t>
      </w:r>
      <w:r w:rsidR="00DC4893">
        <w:t xml:space="preserve">12 </w:t>
      </w:r>
      <w:r w:rsidR="00F32EF2">
        <w:t xml:space="preserve">months ended </w:t>
      </w:r>
      <w:r w:rsidR="00C45A98">
        <w:t>December 31, 2013</w:t>
      </w:r>
      <w:r w:rsidR="00E728FE">
        <w:t xml:space="preserve">.  </w:t>
      </w:r>
      <w:r>
        <w:t>These balances are shown by FERC account and WCA allocation factor.</w:t>
      </w:r>
    </w:p>
    <w:p w:rsidR="00250D66" w:rsidRDefault="00250D66" w:rsidP="003F7952">
      <w:pPr>
        <w:numPr>
          <w:ilvl w:val="0"/>
          <w:numId w:val="4"/>
        </w:numPr>
        <w:spacing w:line="480" w:lineRule="auto"/>
        <w:jc w:val="left"/>
      </w:pPr>
      <w:r>
        <w:t>Tabs B1 through B2</w:t>
      </w:r>
      <w:r w:rsidR="00970DD8">
        <w:t>0</w:t>
      </w:r>
      <w:r>
        <w:t xml:space="preserve"> contain the </w:t>
      </w:r>
      <w:r w:rsidR="004214C8">
        <w:t>per-book</w:t>
      </w:r>
      <w:r w:rsidR="00CC02D1">
        <w:t xml:space="preserve">s </w:t>
      </w:r>
      <w:r w:rsidR="00E728FE">
        <w:t>historical</w:t>
      </w:r>
      <w:r>
        <w:t xml:space="preserve"> </w:t>
      </w:r>
      <w:r w:rsidR="00E83689">
        <w:t xml:space="preserve">accounting system extracts </w:t>
      </w:r>
      <w:r>
        <w:t xml:space="preserve">for the </w:t>
      </w:r>
      <w:r w:rsidR="00824B53">
        <w:t>12-</w:t>
      </w:r>
      <w:r>
        <w:t>m</w:t>
      </w:r>
      <w:r w:rsidR="00A421E4">
        <w:t xml:space="preserve">onth period </w:t>
      </w:r>
      <w:r w:rsidR="00064289">
        <w:t>ended</w:t>
      </w:r>
      <w:r w:rsidR="00A421E4">
        <w:t xml:space="preserve"> </w:t>
      </w:r>
      <w:r w:rsidR="00C45A98">
        <w:t>December 31, 2013</w:t>
      </w:r>
      <w:r w:rsidR="00C40B6E">
        <w:t xml:space="preserve">, </w:t>
      </w:r>
      <w:r>
        <w:t>and are organized by major FERC function.</w:t>
      </w:r>
    </w:p>
    <w:p w:rsidR="00C212B3" w:rsidRPr="00282EDC" w:rsidRDefault="00643255" w:rsidP="00282EDC">
      <w:pPr>
        <w:pStyle w:val="Heading2"/>
      </w:pPr>
      <w:bookmarkStart w:id="9" w:name="_Toc386626886"/>
      <w:r w:rsidRPr="00282EDC">
        <w:t>Tab 3</w:t>
      </w:r>
      <w:r w:rsidR="00CC02D1" w:rsidRPr="00282EDC">
        <w:t>—</w:t>
      </w:r>
      <w:r w:rsidRPr="00282EDC">
        <w:t>Revenue Adjustments</w:t>
      </w:r>
      <w:bookmarkEnd w:id="9"/>
    </w:p>
    <w:p w:rsidR="0015007D" w:rsidRPr="00C11338" w:rsidRDefault="0015007D" w:rsidP="003F7952">
      <w:pPr>
        <w:pStyle w:val="Question"/>
        <w:widowControl w:val="0"/>
        <w:jc w:val="left"/>
      </w:pPr>
      <w:r w:rsidRPr="00C11338">
        <w:t>Q.</w:t>
      </w:r>
      <w:r w:rsidRPr="00C11338">
        <w:tab/>
        <w:t xml:space="preserve">Please describe the adjustments made in Tab </w:t>
      </w:r>
      <w:r>
        <w:t>3</w:t>
      </w:r>
      <w:r w:rsidRPr="00C11338">
        <w:t>.</w:t>
      </w:r>
    </w:p>
    <w:p w:rsidR="0090266A" w:rsidRDefault="000A059F" w:rsidP="003F7952">
      <w:pPr>
        <w:pStyle w:val="Answer"/>
        <w:widowControl w:val="0"/>
        <w:tabs>
          <w:tab w:val="left" w:pos="720"/>
        </w:tabs>
        <w:jc w:val="left"/>
        <w:rPr>
          <w:b/>
        </w:rPr>
      </w:pPr>
      <w:r>
        <w:t>A.</w:t>
      </w:r>
      <w:r w:rsidR="002566EE">
        <w:rPr>
          <w:b/>
        </w:rPr>
        <w:tab/>
        <w:t>Temperature Normalization</w:t>
      </w:r>
      <w:r w:rsidR="002566EE" w:rsidRPr="00C11338">
        <w:rPr>
          <w:b/>
        </w:rPr>
        <w:t xml:space="preserve"> (page 3.1)</w:t>
      </w:r>
      <w:r w:rsidR="00C40B6E">
        <w:t>—</w:t>
      </w:r>
      <w:r w:rsidR="006E35D1" w:rsidRPr="006E35D1">
        <w:t xml:space="preserve">This restating adjustment normalizes revenues in the </w:t>
      </w:r>
      <w:r w:rsidR="00D127B1">
        <w:t>T</w:t>
      </w:r>
      <w:r w:rsidR="006E35D1" w:rsidRPr="006E35D1">
        <w:t xml:space="preserve">est </w:t>
      </w:r>
      <w:r w:rsidR="00D127B1">
        <w:t>P</w:t>
      </w:r>
      <w:r w:rsidR="006E35D1" w:rsidRPr="006E35D1">
        <w:t>eriod by comparing actual sales to temperature normalized sales</w:t>
      </w:r>
      <w:r w:rsidR="00E728FE">
        <w:t xml:space="preserve">.  </w:t>
      </w:r>
      <w:r w:rsidR="007A0DD4">
        <w:t>Temperature</w:t>
      </w:r>
      <w:r w:rsidR="007A0DD4" w:rsidRPr="006E35D1">
        <w:t xml:space="preserve"> </w:t>
      </w:r>
      <w:r w:rsidR="006E35D1" w:rsidRPr="006E35D1">
        <w:t xml:space="preserve">normalization reflects temperature patterns </w:t>
      </w:r>
      <w:r w:rsidR="00C40B6E">
        <w:t>that</w:t>
      </w:r>
      <w:r w:rsidR="00C40B6E" w:rsidRPr="006E35D1">
        <w:t xml:space="preserve"> </w:t>
      </w:r>
      <w:r w:rsidR="006E35D1" w:rsidRPr="006E35D1">
        <w:t xml:space="preserve">can be measurably different than normal, defined as the average </w:t>
      </w:r>
      <w:r w:rsidR="008B7A11">
        <w:t>temperature</w:t>
      </w:r>
      <w:r w:rsidR="006E35D1" w:rsidRPr="006E35D1">
        <w:t xml:space="preserve"> over a 20-year rolling time period (currently 199</w:t>
      </w:r>
      <w:r w:rsidR="00AA362E">
        <w:t>3</w:t>
      </w:r>
      <w:r w:rsidR="006E35D1" w:rsidRPr="006E35D1">
        <w:t xml:space="preserve"> to 201</w:t>
      </w:r>
      <w:r w:rsidR="00AA362E">
        <w:t>2</w:t>
      </w:r>
      <w:r w:rsidR="006E35D1" w:rsidRPr="006E35D1">
        <w:t>)</w:t>
      </w:r>
      <w:r w:rsidR="00E728FE">
        <w:t xml:space="preserve">.  </w:t>
      </w:r>
      <w:r w:rsidR="00D127B1">
        <w:t>Pages 3.1.4 through 3.1.</w:t>
      </w:r>
      <w:r w:rsidR="00D127B1" w:rsidRPr="00443969">
        <w:t xml:space="preserve">6 provide </w:t>
      </w:r>
      <w:r w:rsidR="00C20CDA" w:rsidRPr="00443969">
        <w:t>the detailed support</w:t>
      </w:r>
      <w:r w:rsidR="00D127B1" w:rsidRPr="00443969">
        <w:t xml:space="preserve"> of </w:t>
      </w:r>
      <w:r w:rsidR="00C20CDA" w:rsidRPr="00443969">
        <w:t xml:space="preserve">the </w:t>
      </w:r>
      <w:r w:rsidR="00D127B1" w:rsidRPr="00443969">
        <w:t xml:space="preserve">revenue </w:t>
      </w:r>
      <w:r w:rsidR="00C20CDA" w:rsidRPr="00443969">
        <w:t xml:space="preserve">adjustments from the </w:t>
      </w:r>
      <w:r w:rsidR="004214C8">
        <w:t>per-book</w:t>
      </w:r>
      <w:r w:rsidR="00C20CDA" w:rsidRPr="00443969">
        <w:t>s data.</w:t>
      </w:r>
      <w:r w:rsidR="00443969" w:rsidRPr="00443969">
        <w:t xml:space="preserve"> </w:t>
      </w:r>
      <w:r w:rsidR="00C40B6E">
        <w:t xml:space="preserve"> </w:t>
      </w:r>
    </w:p>
    <w:p w:rsidR="00A36676" w:rsidRDefault="0090266A" w:rsidP="003F7952">
      <w:pPr>
        <w:pStyle w:val="Answer"/>
        <w:widowControl w:val="0"/>
        <w:tabs>
          <w:tab w:val="left" w:pos="720"/>
        </w:tabs>
        <w:jc w:val="left"/>
        <w:rPr>
          <w:rStyle w:val="AnswerChar0"/>
        </w:rPr>
      </w:pPr>
      <w:r>
        <w:rPr>
          <w:b/>
        </w:rPr>
        <w:tab/>
      </w:r>
      <w:r w:rsidR="00A36676">
        <w:rPr>
          <w:b/>
        </w:rPr>
        <w:t>Revenue Normalization</w:t>
      </w:r>
      <w:r w:rsidR="00A36676" w:rsidRPr="00C11338">
        <w:rPr>
          <w:b/>
        </w:rPr>
        <w:t xml:space="preserve"> (page 3.2)</w:t>
      </w:r>
      <w:r w:rsidR="00C40B6E">
        <w:t>—</w:t>
      </w:r>
      <w:r w:rsidR="006E35D1" w:rsidRPr="006E35D1">
        <w:t>This restating adjustment removes revenue items that should not be included in regulatory results</w:t>
      </w:r>
      <w:r w:rsidR="00E728FE">
        <w:t xml:space="preserve">.  </w:t>
      </w:r>
      <w:r w:rsidR="006E35D1" w:rsidRPr="005B308B">
        <w:t xml:space="preserve">This adjustment normalizes base year revenue by removing items that should not be included </w:t>
      </w:r>
      <w:r w:rsidR="00C40B6E">
        <w:t>in</w:t>
      </w:r>
      <w:r w:rsidR="00C40B6E" w:rsidRPr="005B308B">
        <w:t xml:space="preserve"> </w:t>
      </w:r>
      <w:r w:rsidR="006E35D1" w:rsidRPr="005B308B">
        <w:t>determin</w:t>
      </w:r>
      <w:r w:rsidR="00C40B6E">
        <w:t>ing</w:t>
      </w:r>
      <w:r w:rsidR="006E35D1" w:rsidRPr="005B308B">
        <w:t xml:space="preserve"> retail rates, such as</w:t>
      </w:r>
      <w:r w:rsidR="006E35D1" w:rsidRPr="006E35D1">
        <w:t xml:space="preserve"> Schedu</w:t>
      </w:r>
      <w:r w:rsidR="006E35D1">
        <w:t xml:space="preserve">le 191 (System Benefits Charge), </w:t>
      </w:r>
      <w:r w:rsidR="006E35D1" w:rsidRPr="006E35D1">
        <w:t>Schedule 96 (Hydro</w:t>
      </w:r>
      <w:r w:rsidR="006E35D1">
        <w:t xml:space="preserve"> Deferral </w:t>
      </w:r>
      <w:r w:rsidR="006E35D1">
        <w:lastRenderedPageBreak/>
        <w:t>Amortization</w:t>
      </w:r>
      <w:r w:rsidR="006E35D1" w:rsidRPr="006E35D1">
        <w:t>)</w:t>
      </w:r>
      <w:r w:rsidR="006E35D1">
        <w:t xml:space="preserve">, </w:t>
      </w:r>
      <w:r w:rsidR="00EC5FB8">
        <w:t>and out of period items</w:t>
      </w:r>
      <w:r w:rsidR="00E728FE">
        <w:t xml:space="preserve">.  </w:t>
      </w:r>
      <w:r w:rsidR="00EC5FB8">
        <w:t xml:space="preserve">The </w:t>
      </w:r>
      <w:r w:rsidR="006E35D1">
        <w:t>associated</w:t>
      </w:r>
      <w:r w:rsidR="00EC5FB8">
        <w:t xml:space="preserve"> tax impacts are also removed from the Test Period in this adjustment</w:t>
      </w:r>
      <w:r w:rsidR="00E728FE">
        <w:t>.</w:t>
      </w:r>
    </w:p>
    <w:p w:rsidR="006E35D1" w:rsidRDefault="00A36676" w:rsidP="00CA738D">
      <w:pPr>
        <w:pStyle w:val="Answer"/>
        <w:widowControl w:val="0"/>
        <w:ind w:firstLine="0"/>
        <w:jc w:val="left"/>
      </w:pPr>
      <w:r>
        <w:rPr>
          <w:b/>
        </w:rPr>
        <w:t>Effective Price Change (page 3</w:t>
      </w:r>
      <w:r w:rsidRPr="00A36676">
        <w:t>.</w:t>
      </w:r>
      <w:r w:rsidRPr="00640CF1">
        <w:rPr>
          <w:b/>
        </w:rPr>
        <w:t>3)</w:t>
      </w:r>
      <w:r w:rsidR="00C40B6E">
        <w:t>—</w:t>
      </w:r>
      <w:r w:rsidR="006E35D1" w:rsidRPr="006E35D1">
        <w:t xml:space="preserve">This </w:t>
      </w:r>
      <w:r w:rsidR="00C40B6E">
        <w:t>restating</w:t>
      </w:r>
      <w:r w:rsidR="006E35D1" w:rsidRPr="006E35D1">
        <w:t xml:space="preserve"> adjustment normalizes retail revenues for known and measurable changes </w:t>
      </w:r>
      <w:r w:rsidR="006E35D1">
        <w:t xml:space="preserve">since the end of the </w:t>
      </w:r>
      <w:r w:rsidR="00E728FE">
        <w:t>historical</w:t>
      </w:r>
      <w:r w:rsidR="006E35D1">
        <w:t xml:space="preserve"> period ended </w:t>
      </w:r>
      <w:r w:rsidR="0001257C">
        <w:t>December 31, 2013</w:t>
      </w:r>
      <w:r w:rsidR="00E728FE">
        <w:t xml:space="preserve">.  </w:t>
      </w:r>
      <w:r w:rsidR="006E35D1" w:rsidRPr="006E35D1">
        <w:t>This adjustment adds approximately $</w:t>
      </w:r>
      <w:r w:rsidR="0001257C">
        <w:t>17</w:t>
      </w:r>
      <w:r w:rsidR="006E35D1" w:rsidRPr="006E35D1">
        <w:t xml:space="preserve"> million of revenues for the rate increase </w:t>
      </w:r>
      <w:r w:rsidR="006E35D1">
        <w:t>approved</w:t>
      </w:r>
      <w:r w:rsidR="006E35D1" w:rsidRPr="006E35D1">
        <w:t xml:space="preserve"> </w:t>
      </w:r>
      <w:r w:rsidR="006E35D1">
        <w:t>by the Commission in the 201</w:t>
      </w:r>
      <w:r w:rsidR="0001257C">
        <w:t>3</w:t>
      </w:r>
      <w:r w:rsidR="006E35D1">
        <w:t xml:space="preserve"> Rate Case, </w:t>
      </w:r>
      <w:r w:rsidR="006E35D1" w:rsidRPr="006E35D1">
        <w:t>effective</w:t>
      </w:r>
      <w:r w:rsidR="00583435">
        <w:t xml:space="preserve"> </w:t>
      </w:r>
      <w:r w:rsidR="0001257C">
        <w:t>December 11, 2013.</w:t>
      </w:r>
    </w:p>
    <w:p w:rsidR="00D81CFD" w:rsidRDefault="00235E1F" w:rsidP="00CA738D">
      <w:pPr>
        <w:pStyle w:val="Answer"/>
        <w:widowControl w:val="0"/>
        <w:ind w:firstLine="0"/>
        <w:jc w:val="left"/>
      </w:pPr>
      <w:r w:rsidRPr="00781A97">
        <w:rPr>
          <w:b/>
        </w:rPr>
        <w:t>S</w:t>
      </w:r>
      <w:r>
        <w:rPr>
          <w:b/>
        </w:rPr>
        <w:t>O2 Emission Allowances (page 3.4</w:t>
      </w:r>
      <w:r w:rsidRPr="00781A97">
        <w:rPr>
          <w:b/>
        </w:rPr>
        <w:t>)</w:t>
      </w:r>
      <w:r w:rsidR="008F2618">
        <w:t>—</w:t>
      </w:r>
      <w:r w:rsidR="00D81CFD" w:rsidRPr="00042230">
        <w:t xml:space="preserve">This </w:t>
      </w:r>
      <w:r w:rsidR="00D81CFD">
        <w:t>pro forma</w:t>
      </w:r>
      <w:r w:rsidR="00D81CFD" w:rsidRPr="00042230">
        <w:t xml:space="preserve"> adjustment removes the sales revenue booked during the </w:t>
      </w:r>
      <w:r w:rsidR="00D81CFD">
        <w:t xml:space="preserve">12 </w:t>
      </w:r>
      <w:r w:rsidR="00D81CFD" w:rsidRPr="00042230">
        <w:t xml:space="preserve">months ended </w:t>
      </w:r>
      <w:r w:rsidR="00D81CFD">
        <w:t>December 31, 2013</w:t>
      </w:r>
      <w:r w:rsidR="00D81CFD" w:rsidRPr="00042230">
        <w:t xml:space="preserve">, and includes amortization of sales revenues over a </w:t>
      </w:r>
      <w:r w:rsidR="00D81CFD">
        <w:t>five</w:t>
      </w:r>
      <w:r w:rsidR="00D81CFD" w:rsidRPr="00042230">
        <w:t>-year period</w:t>
      </w:r>
      <w:r w:rsidR="00D81CFD">
        <w:t xml:space="preserve">.  </w:t>
      </w:r>
      <w:r w:rsidR="00D81CFD" w:rsidRPr="00042230">
        <w:t xml:space="preserve">This </w:t>
      </w:r>
      <w:r w:rsidR="00D81CFD">
        <w:t>method</w:t>
      </w:r>
      <w:r w:rsidR="00D81CFD" w:rsidRPr="00042230">
        <w:t xml:space="preserve"> was approved </w:t>
      </w:r>
      <w:r w:rsidR="00D81CFD">
        <w:t xml:space="preserve">in </w:t>
      </w:r>
      <w:r w:rsidR="002A4BA2">
        <w:t xml:space="preserve">previous rate cases for the Company, including in </w:t>
      </w:r>
      <w:r w:rsidR="00D81CFD">
        <w:t>Order 06</w:t>
      </w:r>
      <w:r w:rsidR="00D81CFD" w:rsidRPr="00042230">
        <w:t xml:space="preserve"> </w:t>
      </w:r>
      <w:r w:rsidR="002A4BA2">
        <w:t>of</w:t>
      </w:r>
      <w:r w:rsidR="00D81CFD" w:rsidRPr="00042230">
        <w:t xml:space="preserve"> </w:t>
      </w:r>
      <w:r w:rsidR="00D81CFD">
        <w:t xml:space="preserve">the </w:t>
      </w:r>
      <w:r w:rsidR="009522E4">
        <w:t>Company’s 2010 general rate case in Docket UE-100749 (</w:t>
      </w:r>
      <w:r w:rsidR="00D81CFD">
        <w:t>2010 Rate Case</w:t>
      </w:r>
      <w:r w:rsidR="009522E4">
        <w:t>)</w:t>
      </w:r>
      <w:r w:rsidR="002A4BA2">
        <w:t>, as well as in the Company’s 2011 general rate case in Docket UE-111190 (2011 Rate Case) and the 2013 Rate Case.</w:t>
      </w:r>
      <w:r w:rsidR="00D81CFD">
        <w:t xml:space="preserve">  </w:t>
      </w:r>
      <w:r w:rsidR="00D81CFD" w:rsidRPr="00042230">
        <w:t xml:space="preserve">Washington’s allocation of </w:t>
      </w:r>
      <w:r w:rsidR="00D81CFD">
        <w:t xml:space="preserve">these </w:t>
      </w:r>
      <w:r w:rsidR="00D81CFD" w:rsidRPr="00042230">
        <w:t xml:space="preserve">revenues is determined by the allowances provided by the </w:t>
      </w:r>
      <w:r w:rsidR="00D81CFD">
        <w:t xml:space="preserve">Chehalis, Hermiston, </w:t>
      </w:r>
      <w:r w:rsidR="00D81CFD" w:rsidRPr="00042230">
        <w:t>Jim Bridger</w:t>
      </w:r>
      <w:r w:rsidR="00CC1CDD">
        <w:t>,</w:t>
      </w:r>
      <w:r w:rsidR="00D81CFD" w:rsidRPr="00042230">
        <w:t xml:space="preserve"> and Colstrip Unit 4 generating resources</w:t>
      </w:r>
      <w:r w:rsidR="00D81CFD">
        <w:t>.</w:t>
      </w:r>
    </w:p>
    <w:p w:rsidR="00042230" w:rsidRDefault="00042230" w:rsidP="00443969">
      <w:pPr>
        <w:pStyle w:val="Answer"/>
        <w:widowControl w:val="0"/>
        <w:ind w:firstLine="0"/>
        <w:jc w:val="left"/>
      </w:pPr>
      <w:r>
        <w:rPr>
          <w:b/>
        </w:rPr>
        <w:t>Renewable Energy Credit (REC)</w:t>
      </w:r>
      <w:r w:rsidR="008F2618">
        <w:rPr>
          <w:b/>
        </w:rPr>
        <w:t xml:space="preserve"> and Renewable Energy Attribute (REA)</w:t>
      </w:r>
      <w:r>
        <w:rPr>
          <w:b/>
        </w:rPr>
        <w:t xml:space="preserve"> </w:t>
      </w:r>
      <w:r w:rsidR="005E759E" w:rsidRPr="00C11338">
        <w:rPr>
          <w:b/>
        </w:rPr>
        <w:t>Revenue (page 3.</w:t>
      </w:r>
      <w:r w:rsidR="00CF43A5">
        <w:rPr>
          <w:b/>
        </w:rPr>
        <w:t>5</w:t>
      </w:r>
      <w:r w:rsidR="005E759E" w:rsidRPr="00C11338">
        <w:rPr>
          <w:b/>
        </w:rPr>
        <w:t>)</w:t>
      </w:r>
      <w:r w:rsidR="008F2618">
        <w:t xml:space="preserve">—In compliance with </w:t>
      </w:r>
      <w:r>
        <w:t>Commission Order 06 in the 2010 Rate Case, REC</w:t>
      </w:r>
      <w:r w:rsidR="008F2618">
        <w:t xml:space="preserve"> and REA</w:t>
      </w:r>
      <w:r>
        <w:t xml:space="preserve"> revenues are passed back to </w:t>
      </w:r>
      <w:r w:rsidR="008F2618">
        <w:t xml:space="preserve">Washington </w:t>
      </w:r>
      <w:r>
        <w:t>customers through a separate tracker mechanism effective April</w:t>
      </w:r>
      <w:r w:rsidR="008F2618">
        <w:t xml:space="preserve"> 3, </w:t>
      </w:r>
      <w:r>
        <w:t>2011</w:t>
      </w:r>
      <w:r w:rsidR="00E728FE">
        <w:t xml:space="preserve">.  </w:t>
      </w:r>
      <w:r>
        <w:t>Consistent with this ordered treatment</w:t>
      </w:r>
      <w:r w:rsidR="002A4BA2">
        <w:t xml:space="preserve"> and as included in the 2011 Rate Case and 2013 Rate Case</w:t>
      </w:r>
      <w:r>
        <w:t>, th</w:t>
      </w:r>
      <w:r w:rsidR="00AB100B">
        <w:t xml:space="preserve">is restating </w:t>
      </w:r>
      <w:r>
        <w:t>adjustment removes all REC</w:t>
      </w:r>
      <w:r w:rsidR="008F2618">
        <w:t xml:space="preserve"> and REA</w:t>
      </w:r>
      <w:r>
        <w:t xml:space="preserve"> revenues from the Test Period.</w:t>
      </w:r>
    </w:p>
    <w:p w:rsidR="002A0C76" w:rsidRDefault="003866AE" w:rsidP="003F7952">
      <w:pPr>
        <w:pStyle w:val="Answer"/>
        <w:widowControl w:val="0"/>
        <w:jc w:val="left"/>
      </w:pPr>
      <w:r>
        <w:tab/>
      </w:r>
      <w:r w:rsidR="00235E1F">
        <w:rPr>
          <w:b/>
        </w:rPr>
        <w:t>Wheeling Revenue (page 3.6</w:t>
      </w:r>
      <w:r w:rsidR="00235E1F" w:rsidRPr="001F282F">
        <w:rPr>
          <w:b/>
        </w:rPr>
        <w:t>)</w:t>
      </w:r>
      <w:r w:rsidR="008F2618">
        <w:t>—</w:t>
      </w:r>
      <w:r w:rsidR="00B9229A" w:rsidRPr="00B9229A">
        <w:t xml:space="preserve">This adjustment reflects </w:t>
      </w:r>
      <w:r w:rsidR="00210D58">
        <w:t xml:space="preserve">known and measurable </w:t>
      </w:r>
      <w:r w:rsidR="00210D58">
        <w:lastRenderedPageBreak/>
        <w:t xml:space="preserve">changes to actual wheeling revenue for </w:t>
      </w:r>
      <w:r w:rsidR="00B9229A" w:rsidRPr="00B9229A">
        <w:t xml:space="preserve">the 12 months ended December 31, 2013.  Imbalance penalty revenue and expense is removed to avoid any impact on regulated results. </w:t>
      </w:r>
      <w:r w:rsidR="00BB6DCA">
        <w:t xml:space="preserve"> </w:t>
      </w:r>
      <w:r w:rsidR="00B9229A" w:rsidRPr="00B9229A">
        <w:t xml:space="preserve">This adjustment reflects the impact of the FERC rate case, FERC </w:t>
      </w:r>
    </w:p>
    <w:p w:rsidR="0001257C" w:rsidRDefault="00B9229A" w:rsidP="002A0C76">
      <w:pPr>
        <w:pStyle w:val="Answer"/>
        <w:widowControl w:val="0"/>
        <w:ind w:firstLine="0"/>
        <w:jc w:val="left"/>
      </w:pPr>
      <w:r w:rsidRPr="00B9229A">
        <w:t>Docket No. ER 11-3643.</w:t>
      </w:r>
    </w:p>
    <w:p w:rsidR="003866AE" w:rsidRDefault="00F81B51" w:rsidP="003F7952">
      <w:pPr>
        <w:pStyle w:val="Answer"/>
        <w:widowControl w:val="0"/>
        <w:jc w:val="left"/>
      </w:pPr>
      <w:r>
        <w:rPr>
          <w:b/>
        </w:rPr>
        <w:tab/>
        <w:t>Ancillary Revenue (page 3</w:t>
      </w:r>
      <w:r>
        <w:t>.</w:t>
      </w:r>
      <w:r w:rsidR="00697EA5" w:rsidRPr="00697EA5">
        <w:rPr>
          <w:b/>
        </w:rPr>
        <w:t>7)</w:t>
      </w:r>
      <w:r w:rsidR="008F2618">
        <w:t>—</w:t>
      </w:r>
      <w:r w:rsidR="00F930A5" w:rsidRPr="00F930A5">
        <w:t>This adjusts revenue to account for the contract the Company entered into with Seattle City Light (SCL) to receive real time output from SCL</w:t>
      </w:r>
      <w:r w:rsidR="00BB6DCA">
        <w:t>’</w:t>
      </w:r>
      <w:r w:rsidR="00F930A5" w:rsidRPr="00F930A5">
        <w:t>s share of the Stateline wind farm and return power two months later</w:t>
      </w:r>
      <w:r w:rsidR="00210D58">
        <w:t>.  This contract</w:t>
      </w:r>
      <w:r w:rsidR="00F930A5" w:rsidRPr="00F930A5">
        <w:t xml:space="preserve"> was renewed in December 2011. The ancillary revenue booked in the 12</w:t>
      </w:r>
      <w:r w:rsidR="00BB6DCA">
        <w:t> </w:t>
      </w:r>
      <w:r w:rsidR="00F930A5" w:rsidRPr="00F930A5">
        <w:t xml:space="preserve">months ended December </w:t>
      </w:r>
      <w:r w:rsidR="00FA0003">
        <w:t xml:space="preserve">31, </w:t>
      </w:r>
      <w:r w:rsidR="00F930A5" w:rsidRPr="00F930A5">
        <w:t>2013</w:t>
      </w:r>
      <w:r w:rsidR="00BB6DCA">
        <w:t>,</w:t>
      </w:r>
      <w:r w:rsidR="00F930A5" w:rsidRPr="00F930A5">
        <w:t xml:space="preserve"> is adjusted to reflect the expected revenue </w:t>
      </w:r>
      <w:r w:rsidR="00F67FB9" w:rsidRPr="00F930A5">
        <w:t xml:space="preserve">per the terms of the </w:t>
      </w:r>
      <w:r w:rsidR="00F67FB9">
        <w:t>SCL</w:t>
      </w:r>
      <w:r w:rsidR="00F67FB9" w:rsidRPr="00F930A5">
        <w:t xml:space="preserve"> contract </w:t>
      </w:r>
      <w:r w:rsidR="00F930A5" w:rsidRPr="00F930A5">
        <w:t xml:space="preserve">for the 12 months ending </w:t>
      </w:r>
      <w:r w:rsidR="00F67FB9">
        <w:t>March 31, 2016</w:t>
      </w:r>
      <w:r w:rsidR="00F930A5" w:rsidRPr="00F930A5">
        <w:t xml:space="preserve">, </w:t>
      </w:r>
      <w:r w:rsidR="00210D58">
        <w:t xml:space="preserve">to be </w:t>
      </w:r>
      <w:r w:rsidR="00F930A5" w:rsidRPr="00F930A5">
        <w:t>consistent with</w:t>
      </w:r>
      <w:r w:rsidR="00210D58">
        <w:t xml:space="preserve"> the pro forma</w:t>
      </w:r>
      <w:r w:rsidR="00F930A5" w:rsidRPr="00F930A5">
        <w:t xml:space="preserve"> net power costs treatment </w:t>
      </w:r>
      <w:r w:rsidR="00210D58">
        <w:t xml:space="preserve">reflected </w:t>
      </w:r>
      <w:r w:rsidR="00F930A5" w:rsidRPr="00F930A5">
        <w:t>in adjustment 5.1</w:t>
      </w:r>
      <w:r w:rsidR="00210D58">
        <w:t xml:space="preserve"> discussed below</w:t>
      </w:r>
      <w:r w:rsidR="00F930A5" w:rsidRPr="00F930A5">
        <w:t>.</w:t>
      </w:r>
    </w:p>
    <w:p w:rsidR="002A0C76" w:rsidRDefault="00B67739" w:rsidP="00274E8D">
      <w:pPr>
        <w:pStyle w:val="Answer"/>
        <w:widowControl w:val="0"/>
        <w:ind w:firstLine="0"/>
        <w:jc w:val="left"/>
      </w:pPr>
      <w:r w:rsidRPr="00B67739">
        <w:rPr>
          <w:b/>
        </w:rPr>
        <w:t>Schedule 300 Fee Change (page 3.8)</w:t>
      </w:r>
      <w:r w:rsidR="008F2618">
        <w:t xml:space="preserve">—As discussed in the direct testimony of </w:t>
      </w:r>
    </w:p>
    <w:p w:rsidR="00B67739" w:rsidRDefault="00D96CC5" w:rsidP="00274E8D">
      <w:pPr>
        <w:pStyle w:val="Answer"/>
        <w:widowControl w:val="0"/>
        <w:ind w:firstLine="0"/>
        <w:jc w:val="left"/>
      </w:pPr>
      <w:r>
        <w:t>Ms.</w:t>
      </w:r>
      <w:r w:rsidR="00B67739" w:rsidRPr="00274E8D">
        <w:t xml:space="preserve"> Barb</w:t>
      </w:r>
      <w:r>
        <w:t>ara A.</w:t>
      </w:r>
      <w:r w:rsidR="00B67739" w:rsidRPr="00274E8D">
        <w:t xml:space="preserve"> Coughlin,</w:t>
      </w:r>
      <w:r w:rsidR="008F2618">
        <w:t xml:space="preserve"> the Company is proposing changes to </w:t>
      </w:r>
      <w:r w:rsidR="00B67739" w:rsidRPr="00274E8D">
        <w:t>Schedule 300</w:t>
      </w:r>
      <w:r w:rsidR="008F2618">
        <w:t xml:space="preserve"> </w:t>
      </w:r>
      <w:r w:rsidR="00210D58">
        <w:t xml:space="preserve">reconnection </w:t>
      </w:r>
      <w:r w:rsidR="008F2618">
        <w:t>charges</w:t>
      </w:r>
      <w:r>
        <w:t xml:space="preserve">. </w:t>
      </w:r>
      <w:r w:rsidR="00B67739" w:rsidRPr="00274E8D">
        <w:t xml:space="preserve"> This pro forma adjustment </w:t>
      </w:r>
      <w:r w:rsidR="008F2618" w:rsidRPr="00274E8D">
        <w:t>re</w:t>
      </w:r>
      <w:r w:rsidR="008F2618">
        <w:t xml:space="preserve">flects the </w:t>
      </w:r>
      <w:r w:rsidR="00FA0003">
        <w:t xml:space="preserve">estimated </w:t>
      </w:r>
      <w:r w:rsidR="008F2618">
        <w:t>additiona</w:t>
      </w:r>
      <w:r w:rsidR="00C9411C">
        <w:t xml:space="preserve">l revenue expected based on these </w:t>
      </w:r>
      <w:r w:rsidR="008F2618">
        <w:t xml:space="preserve">tariff </w:t>
      </w:r>
      <w:r w:rsidR="007B5FD5">
        <w:t>chan</w:t>
      </w:r>
      <w:r w:rsidR="008F2618">
        <w:t>ges.</w:t>
      </w:r>
    </w:p>
    <w:p w:rsidR="00F67FB9" w:rsidRPr="00F67FB9" w:rsidRDefault="00F67FB9" w:rsidP="00274E8D">
      <w:pPr>
        <w:pStyle w:val="Answer"/>
        <w:widowControl w:val="0"/>
        <w:ind w:firstLine="0"/>
        <w:jc w:val="left"/>
      </w:pPr>
      <w:r>
        <w:rPr>
          <w:b/>
        </w:rPr>
        <w:t>Wind Wake Loss Revenues (page 3</w:t>
      </w:r>
      <w:r w:rsidRPr="00F67FB9">
        <w:rPr>
          <w:b/>
        </w:rPr>
        <w:t>.9)</w:t>
      </w:r>
      <w:r>
        <w:rPr>
          <w:b/>
        </w:rPr>
        <w:t>—</w:t>
      </w:r>
      <w:r>
        <w:t>The Company receives compensation for losses incurred at the Leaning Juniper wind plant due to another wind plant nearby that disturbs the wind patterns around Leaning Juniper.  This adjustment reflects the expected revenue for the 12 months ended March 31, 2016, consistent with the net power costs treatment in adjustment 5.1</w:t>
      </w:r>
      <w:r w:rsidR="00210D58">
        <w:t>.  This adjustment is</w:t>
      </w:r>
      <w:r>
        <w:t xml:space="preserve"> necessary </w:t>
      </w:r>
      <w:r w:rsidR="00256DE2">
        <w:t>for</w:t>
      </w:r>
      <w:r w:rsidR="00210D58">
        <w:t xml:space="preserve"> proper</w:t>
      </w:r>
      <w:r>
        <w:t xml:space="preserve"> matching</w:t>
      </w:r>
      <w:r w:rsidR="00210D58">
        <w:t>, as</w:t>
      </w:r>
      <w:r>
        <w:t xml:space="preserve"> the compensation for lost energy is embedded within the pro</w:t>
      </w:r>
      <w:r w:rsidR="00BB6DCA">
        <w:t xml:space="preserve"> </w:t>
      </w:r>
      <w:r>
        <w:t>forma net power cost calculation.</w:t>
      </w:r>
    </w:p>
    <w:p w:rsidR="00856031" w:rsidRPr="00282EDC" w:rsidRDefault="00856031" w:rsidP="00282EDC">
      <w:pPr>
        <w:pStyle w:val="Heading2"/>
      </w:pPr>
      <w:bookmarkStart w:id="10" w:name="_Toc386626887"/>
      <w:r w:rsidRPr="00282EDC">
        <w:lastRenderedPageBreak/>
        <w:t>Tab 4</w:t>
      </w:r>
      <w:r w:rsidR="00C9411C" w:rsidRPr="00282EDC">
        <w:t>—</w:t>
      </w:r>
      <w:r w:rsidRPr="00282EDC">
        <w:t>O&amp;M Adjustments</w:t>
      </w:r>
      <w:bookmarkEnd w:id="10"/>
    </w:p>
    <w:p w:rsidR="00856031" w:rsidRPr="00C11338" w:rsidRDefault="00856031" w:rsidP="00D57A3B">
      <w:pPr>
        <w:pStyle w:val="Question"/>
        <w:keepNext/>
        <w:jc w:val="left"/>
      </w:pPr>
      <w:r w:rsidRPr="00C11338">
        <w:t>Q.</w:t>
      </w:r>
      <w:r w:rsidRPr="00C11338">
        <w:tab/>
        <w:t xml:space="preserve">Please describe the adjustments </w:t>
      </w:r>
      <w:r w:rsidR="00D7457C">
        <w:t>included</w:t>
      </w:r>
      <w:r w:rsidRPr="00C11338">
        <w:t xml:space="preserve"> in Tab </w:t>
      </w:r>
      <w:r>
        <w:t>4</w:t>
      </w:r>
      <w:r w:rsidRPr="00C11338">
        <w:t>.</w:t>
      </w:r>
    </w:p>
    <w:p w:rsidR="00856031" w:rsidRDefault="00856031" w:rsidP="003F7952">
      <w:pPr>
        <w:pStyle w:val="Answer"/>
        <w:widowControl w:val="0"/>
        <w:jc w:val="left"/>
      </w:pPr>
      <w:r w:rsidRPr="00C11338">
        <w:t>A.</w:t>
      </w:r>
      <w:r w:rsidRPr="00C11338">
        <w:tab/>
      </w:r>
      <w:r w:rsidRPr="00C11338">
        <w:rPr>
          <w:b/>
        </w:rPr>
        <w:t>Miscellaneous General Expense</w:t>
      </w:r>
      <w:r>
        <w:rPr>
          <w:b/>
        </w:rPr>
        <w:t xml:space="preserve"> Adjustment</w:t>
      </w:r>
      <w:r w:rsidRPr="00C11338">
        <w:rPr>
          <w:b/>
        </w:rPr>
        <w:t xml:space="preserve"> (page 4.1)</w:t>
      </w:r>
      <w:r w:rsidR="007B5FD5">
        <w:t>—</w:t>
      </w:r>
      <w:r w:rsidRPr="00C11338">
        <w:t xml:space="preserve">This </w:t>
      </w:r>
      <w:r w:rsidR="004A058C">
        <w:t xml:space="preserve">restating </w:t>
      </w:r>
      <w:r w:rsidRPr="00C11338">
        <w:t>adjustment removes certain miscellaneous expenses that should have been charged below</w:t>
      </w:r>
      <w:r>
        <w:t>-</w:t>
      </w:r>
      <w:r w:rsidRPr="00C11338">
        <w:t>the</w:t>
      </w:r>
      <w:r>
        <w:t>-</w:t>
      </w:r>
      <w:r w:rsidRPr="00C11338">
        <w:t>line to non-regulated expenses</w:t>
      </w:r>
      <w:r w:rsidR="001C144F">
        <w:t xml:space="preserve"> and reallocates gains and losses on property sales to reflect appropriate allocation among the Company’s jurisdictions.</w:t>
      </w:r>
    </w:p>
    <w:p w:rsidR="005C650C" w:rsidRDefault="00436808" w:rsidP="003F7952">
      <w:pPr>
        <w:pStyle w:val="Answer"/>
        <w:widowControl w:val="0"/>
        <w:ind w:firstLine="0"/>
        <w:jc w:val="left"/>
      </w:pPr>
      <w:r>
        <w:rPr>
          <w:b/>
          <w:bCs/>
        </w:rPr>
        <w:t>General Wage Increase</w:t>
      </w:r>
      <w:r w:rsidR="00B34D63">
        <w:rPr>
          <w:b/>
          <w:bCs/>
        </w:rPr>
        <w:t xml:space="preserve"> Adjustment (page</w:t>
      </w:r>
      <w:r w:rsidR="00E9190D">
        <w:rPr>
          <w:b/>
          <w:bCs/>
        </w:rPr>
        <w:t>s</w:t>
      </w:r>
      <w:r w:rsidR="00B34D63">
        <w:rPr>
          <w:b/>
          <w:bCs/>
        </w:rPr>
        <w:t xml:space="preserve"> 4.2 and 4.3</w:t>
      </w:r>
      <w:r w:rsidR="00B34D63" w:rsidRPr="00C11338">
        <w:rPr>
          <w:b/>
          <w:bCs/>
        </w:rPr>
        <w:t>)</w:t>
      </w:r>
      <w:r w:rsidR="007B5FD5">
        <w:t>—</w:t>
      </w:r>
      <w:r w:rsidR="00B34D63" w:rsidRPr="00C11338">
        <w:t xml:space="preserve">This </w:t>
      </w:r>
      <w:r w:rsidR="004A058C">
        <w:t xml:space="preserve">restating and pro forma </w:t>
      </w:r>
      <w:r w:rsidR="00B34D63" w:rsidRPr="00C11338">
        <w:t>adjustment</w:t>
      </w:r>
      <w:r w:rsidR="00B34D63">
        <w:t xml:space="preserve"> is used to compute </w:t>
      </w:r>
      <w:r>
        <w:t>general wage</w:t>
      </w:r>
      <w:r w:rsidR="00B34D63">
        <w:t xml:space="preserve">-related costs for the </w:t>
      </w:r>
      <w:r>
        <w:t>T</w:t>
      </w:r>
      <w:r w:rsidR="00B34D63">
        <w:t xml:space="preserve">est </w:t>
      </w:r>
      <w:r>
        <w:t>P</w:t>
      </w:r>
      <w:r w:rsidR="00B34D63">
        <w:t>eriod</w:t>
      </w:r>
      <w:r w:rsidR="00E728FE">
        <w:t xml:space="preserve">.  </w:t>
      </w:r>
      <w:r w:rsidRPr="00436808">
        <w:t>The Company has several labor groups, each with different effective contract renewal dates</w:t>
      </w:r>
      <w:r w:rsidR="00E728FE">
        <w:t xml:space="preserve">.  </w:t>
      </w:r>
      <w:r w:rsidRPr="00DF68CA">
        <w:t xml:space="preserve">The </w:t>
      </w:r>
      <w:r w:rsidR="001C144F">
        <w:t>purpose of</w:t>
      </w:r>
      <w:r>
        <w:t xml:space="preserve"> adjustment</w:t>
      </w:r>
      <w:r w:rsidRPr="00DF68CA">
        <w:t xml:space="preserve"> </w:t>
      </w:r>
      <w:r w:rsidR="001C144F">
        <w:t xml:space="preserve">4.2 </w:t>
      </w:r>
      <w:r>
        <w:t>is to</w:t>
      </w:r>
      <w:r w:rsidRPr="00DF68CA">
        <w:t xml:space="preserve"> </w:t>
      </w:r>
      <w:r w:rsidR="00CD66FF">
        <w:t>normalize</w:t>
      </w:r>
      <w:r w:rsidR="00CD66FF" w:rsidRPr="00DF68CA">
        <w:t xml:space="preserve"> </w:t>
      </w:r>
      <w:r w:rsidR="004214C8">
        <w:t>per-book</w:t>
      </w:r>
      <w:r w:rsidR="007B5FD5">
        <w:t xml:space="preserve">s wage </w:t>
      </w:r>
      <w:r>
        <w:t xml:space="preserve">expenses by </w:t>
      </w:r>
      <w:r w:rsidRPr="00DF68CA">
        <w:t>annualiz</w:t>
      </w:r>
      <w:r>
        <w:t>ing</w:t>
      </w:r>
      <w:r w:rsidRPr="00DF68CA">
        <w:t xml:space="preserve"> </w:t>
      </w:r>
      <w:r w:rsidR="007B5FD5">
        <w:t>wage</w:t>
      </w:r>
      <w:r w:rsidR="007B5FD5" w:rsidRPr="00DF68CA">
        <w:t xml:space="preserve"> </w:t>
      </w:r>
      <w:r w:rsidRPr="00DF68CA">
        <w:t>inc</w:t>
      </w:r>
      <w:r>
        <w:t xml:space="preserve">reases that occurred during the </w:t>
      </w:r>
      <w:r w:rsidR="007B5FD5">
        <w:t xml:space="preserve">12 months ended </w:t>
      </w:r>
      <w:r w:rsidR="00F930A5">
        <w:t>December 31, 2013</w:t>
      </w:r>
      <w:r w:rsidR="00E728FE">
        <w:t xml:space="preserve">.  </w:t>
      </w:r>
      <w:r w:rsidRPr="00DF68CA">
        <w:t>This was done by identifying actual wages by labor group by month along with the date each labor group received wage increases</w:t>
      </w:r>
      <w:r w:rsidR="00E728FE">
        <w:t xml:space="preserve">.  </w:t>
      </w:r>
      <w:r w:rsidR="005C650C">
        <w:t xml:space="preserve">This treatment of wages reflected in the Test Period is consistent with the method approved by the Commission in the Company’s past rate cases.  </w:t>
      </w:r>
    </w:p>
    <w:p w:rsidR="00E876D3" w:rsidRDefault="001C144F" w:rsidP="003F7952">
      <w:pPr>
        <w:pStyle w:val="Answer"/>
        <w:widowControl w:val="0"/>
        <w:ind w:firstLine="720"/>
        <w:jc w:val="left"/>
      </w:pPr>
      <w:r>
        <w:t xml:space="preserve">Adjustment 4.3 was then completed by </w:t>
      </w:r>
      <w:r w:rsidR="00436808" w:rsidRPr="00DF68CA">
        <w:t>apply</w:t>
      </w:r>
      <w:r>
        <w:t>ing</w:t>
      </w:r>
      <w:r w:rsidR="00436808">
        <w:t xml:space="preserve"> known and measurable</w:t>
      </w:r>
      <w:r w:rsidR="009E7E76">
        <w:t xml:space="preserve"> pro forma</w:t>
      </w:r>
      <w:r w:rsidR="00436808">
        <w:t xml:space="preserve"> </w:t>
      </w:r>
      <w:r w:rsidR="00436808" w:rsidRPr="00DF68CA">
        <w:t>wage increases</w:t>
      </w:r>
      <w:r w:rsidR="002C3890">
        <w:t xml:space="preserve"> that have occurred or are expected to</w:t>
      </w:r>
      <w:r w:rsidR="00436808">
        <w:t xml:space="preserve"> occur</w:t>
      </w:r>
      <w:r w:rsidR="00436808" w:rsidRPr="00DF68CA">
        <w:t xml:space="preserve"> through </w:t>
      </w:r>
      <w:r>
        <w:t>March 31, 2016</w:t>
      </w:r>
      <w:r w:rsidR="00496269">
        <w:t>,</w:t>
      </w:r>
      <w:r w:rsidR="00436808" w:rsidRPr="00DF68CA">
        <w:t xml:space="preserve"> to the annualized </w:t>
      </w:r>
      <w:r w:rsidR="00F930A5">
        <w:t>December 31, 2013</w:t>
      </w:r>
      <w:r w:rsidR="005B5D5E">
        <w:t xml:space="preserve"> </w:t>
      </w:r>
      <w:r w:rsidR="007B5FD5">
        <w:t>wage amounts</w:t>
      </w:r>
      <w:r w:rsidR="00256DE2">
        <w:t xml:space="preserve"> calculated in adjustment 4.2</w:t>
      </w:r>
      <w:r w:rsidR="007B5FD5">
        <w:t>.</w:t>
      </w:r>
      <w:r w:rsidR="00BB6DCA">
        <w:t xml:space="preserve">  </w:t>
      </w:r>
      <w:r w:rsidR="00436808" w:rsidRPr="00DF68CA">
        <w:t xml:space="preserve">The Company used union contract agreements to </w:t>
      </w:r>
      <w:r w:rsidR="00BB6DCA">
        <w:t>adjust</w:t>
      </w:r>
      <w:r w:rsidR="00BB6DCA" w:rsidRPr="00DF68CA">
        <w:t xml:space="preserve"> </w:t>
      </w:r>
      <w:r w:rsidR="00436808" w:rsidRPr="00DF68CA">
        <w:t xml:space="preserve">union labor group wages, while increases for non-union and exempt employees were based on </w:t>
      </w:r>
      <w:r w:rsidR="00436808">
        <w:t xml:space="preserve">actual </w:t>
      </w:r>
      <w:r w:rsidR="00BB6DCA">
        <w:t xml:space="preserve">or anticipated </w:t>
      </w:r>
      <w:r w:rsidR="00436808" w:rsidRPr="00DF68CA">
        <w:t>increases</w:t>
      </w:r>
      <w:r w:rsidR="00E728FE">
        <w:t xml:space="preserve">.  </w:t>
      </w:r>
      <w:r w:rsidR="00436808" w:rsidRPr="00C11338">
        <w:t>Payroll taxes were updated to capture the impact of the</w:t>
      </w:r>
      <w:r w:rsidR="00436808">
        <w:t xml:space="preserve"> </w:t>
      </w:r>
      <w:r w:rsidR="00436808" w:rsidRPr="00C11338">
        <w:t xml:space="preserve">changes to employee </w:t>
      </w:r>
      <w:r w:rsidR="007B5FD5">
        <w:t>wages</w:t>
      </w:r>
      <w:r w:rsidR="00205503">
        <w:t>.</w:t>
      </w:r>
    </w:p>
    <w:p w:rsidR="00E876D3" w:rsidRDefault="00E876D3" w:rsidP="00D57A3B">
      <w:pPr>
        <w:pStyle w:val="Answer"/>
        <w:ind w:firstLine="720"/>
        <w:jc w:val="left"/>
      </w:pPr>
      <w:r>
        <w:lastRenderedPageBreak/>
        <w:t xml:space="preserve">As part of this adjustment, Supplemental Executive Retirement Plan (SERP) expenses booked during the </w:t>
      </w:r>
      <w:r w:rsidR="00E728FE">
        <w:t>historical</w:t>
      </w:r>
      <w:r>
        <w:t xml:space="preserve"> period </w:t>
      </w:r>
      <w:r w:rsidR="00BB6DCA">
        <w:t>were</w:t>
      </w:r>
      <w:r>
        <w:t xml:space="preserve"> removed from the Test Period</w:t>
      </w:r>
      <w:r w:rsidR="00E728FE">
        <w:t>.</w:t>
      </w:r>
    </w:p>
    <w:p w:rsidR="00256DE2" w:rsidRDefault="00256DE2" w:rsidP="00913B00">
      <w:pPr>
        <w:pStyle w:val="Answer"/>
        <w:widowControl w:val="0"/>
        <w:ind w:left="0" w:firstLine="0"/>
        <w:jc w:val="left"/>
        <w:rPr>
          <w:b/>
        </w:rPr>
      </w:pPr>
      <w:r w:rsidRPr="00913B00">
        <w:rPr>
          <w:b/>
        </w:rPr>
        <w:t>Q.</w:t>
      </w:r>
      <w:r w:rsidRPr="00913B00">
        <w:rPr>
          <w:b/>
        </w:rPr>
        <w:tab/>
        <w:t>Has the Company included any pro forma adjustments to employee benefits?</w:t>
      </w:r>
    </w:p>
    <w:p w:rsidR="00256DE2" w:rsidRPr="00256DE2" w:rsidRDefault="00256DE2" w:rsidP="00913B00">
      <w:pPr>
        <w:pStyle w:val="Answer"/>
        <w:widowControl w:val="0"/>
        <w:jc w:val="left"/>
      </w:pPr>
      <w:r w:rsidRPr="00913B00">
        <w:t>A</w:t>
      </w:r>
      <w:r>
        <w:t>.</w:t>
      </w:r>
      <w:r>
        <w:tab/>
        <w:t>No.  Consistent with prior filings, the Company has not included any pro forma adjustments to pro forma benefits from the amounts reflected in the historic</w:t>
      </w:r>
      <w:r w:rsidR="00BB6DCA">
        <w:t>al</w:t>
      </w:r>
      <w:r>
        <w:t xml:space="preserve"> </w:t>
      </w:r>
      <w:r w:rsidR="00BB6DCA">
        <w:t>Test</w:t>
      </w:r>
      <w:r>
        <w:t xml:space="preserve"> </w:t>
      </w:r>
      <w:r w:rsidR="00BB6DCA">
        <w:t>P</w:t>
      </w:r>
      <w:r>
        <w:t xml:space="preserve">eriod.  This has been done to minimize </w:t>
      </w:r>
      <w:r w:rsidR="00CD66FF">
        <w:t>controversy in the case</w:t>
      </w:r>
      <w:r>
        <w:t>.  The Company, however, reserves the right to include such adjustments in future filings.</w:t>
      </w:r>
    </w:p>
    <w:p w:rsidR="00AD4518" w:rsidRDefault="00920952" w:rsidP="00AD4518">
      <w:pPr>
        <w:pStyle w:val="Answer"/>
        <w:widowControl w:val="0"/>
        <w:ind w:left="0" w:firstLine="0"/>
        <w:jc w:val="left"/>
        <w:rPr>
          <w:b/>
        </w:rPr>
      </w:pPr>
      <w:bookmarkStart w:id="11" w:name="OLE_LINK3"/>
      <w:r>
        <w:rPr>
          <w:b/>
        </w:rPr>
        <w:t>Q.</w:t>
      </w:r>
      <w:r>
        <w:rPr>
          <w:b/>
        </w:rPr>
        <w:tab/>
        <w:t>Please continue with your description of O&amp;M adjustments in Tab 4.</w:t>
      </w:r>
    </w:p>
    <w:p w:rsidR="00F6775C" w:rsidRDefault="00143F81" w:rsidP="00075C36">
      <w:pPr>
        <w:pStyle w:val="Answer"/>
        <w:widowControl w:val="0"/>
        <w:jc w:val="left"/>
        <w:rPr>
          <w:b/>
        </w:rPr>
      </w:pPr>
      <w:r w:rsidRPr="00913B00">
        <w:t>A.</w:t>
      </w:r>
      <w:r w:rsidR="00F6775C">
        <w:rPr>
          <w:b/>
        </w:rPr>
        <w:tab/>
        <w:t>Irrigation Load Control Program (page 4.4)</w:t>
      </w:r>
      <w:r w:rsidR="007B5FD5">
        <w:t>—</w:t>
      </w:r>
      <w:r w:rsidR="00075C36" w:rsidRPr="00075C36">
        <w:t>Payments</w:t>
      </w:r>
      <w:r w:rsidR="00075C36">
        <w:t xml:space="preserve"> are made to Idaho irrigators as part of the Idaho Irrigation Load Control Program</w:t>
      </w:r>
      <w:r w:rsidR="00BB6DCA">
        <w:t>,</w:t>
      </w:r>
      <w:r w:rsidR="00075C36">
        <w:t xml:space="preserve"> and a portion of the program’s administrative costs are system</w:t>
      </w:r>
      <w:r w:rsidR="00303301">
        <w:t>-</w:t>
      </w:r>
      <w:r w:rsidR="00075C36">
        <w:t xml:space="preserve">allocated in the Company’s </w:t>
      </w:r>
      <w:r w:rsidR="004214C8">
        <w:t>per-book</w:t>
      </w:r>
      <w:r w:rsidR="007B5FD5">
        <w:t xml:space="preserve">s </w:t>
      </w:r>
      <w:r w:rsidR="00075C36">
        <w:t>data</w:t>
      </w:r>
      <w:r w:rsidR="00E728FE">
        <w:t xml:space="preserve">.  </w:t>
      </w:r>
      <w:r w:rsidR="00075C36">
        <w:t>This restating adjustment re</w:t>
      </w:r>
      <w:r w:rsidR="007B5FD5">
        <w:t>allocates</w:t>
      </w:r>
      <w:r w:rsidR="00075C36">
        <w:t xml:space="preserve"> th</w:t>
      </w:r>
      <w:r w:rsidR="007B5FD5">
        <w:t>e</w:t>
      </w:r>
      <w:r w:rsidR="00075C36">
        <w:t xml:space="preserve">se costs </w:t>
      </w:r>
      <w:r w:rsidR="007B5FD5">
        <w:t>to the Company’s Idaho customers.</w:t>
      </w:r>
    </w:p>
    <w:p w:rsidR="00E4587A" w:rsidRDefault="005D6848" w:rsidP="00D57A3B">
      <w:pPr>
        <w:autoSpaceDE w:val="0"/>
        <w:autoSpaceDN w:val="0"/>
        <w:adjustRightInd w:val="0"/>
        <w:spacing w:line="480" w:lineRule="auto"/>
        <w:ind w:left="720"/>
        <w:jc w:val="left"/>
      </w:pPr>
      <w:r>
        <w:rPr>
          <w:b/>
        </w:rPr>
        <w:t xml:space="preserve">Remove </w:t>
      </w:r>
      <w:r w:rsidRPr="00C11338">
        <w:rPr>
          <w:b/>
        </w:rPr>
        <w:t>Non</w:t>
      </w:r>
      <w:r w:rsidR="00D96CC5">
        <w:rPr>
          <w:b/>
        </w:rPr>
        <w:t>-</w:t>
      </w:r>
      <w:r w:rsidRPr="00C11338">
        <w:rPr>
          <w:b/>
        </w:rPr>
        <w:t xml:space="preserve">Recurring </w:t>
      </w:r>
      <w:r>
        <w:rPr>
          <w:b/>
        </w:rPr>
        <w:t>Entries (page 4.5</w:t>
      </w:r>
      <w:r w:rsidRPr="00C11338">
        <w:rPr>
          <w:b/>
        </w:rPr>
        <w:t>)</w:t>
      </w:r>
      <w:r w:rsidR="007B5FD5">
        <w:t>—</w:t>
      </w:r>
      <w:r w:rsidR="00CD66FF">
        <w:t>Two accounting</w:t>
      </w:r>
      <w:r w:rsidR="00303301">
        <w:t xml:space="preserve"> </w:t>
      </w:r>
      <w:r w:rsidR="00D81CFD">
        <w:t xml:space="preserve">entries were made during the 12 months ended December </w:t>
      </w:r>
      <w:r w:rsidR="00BB6DCA">
        <w:t>31</w:t>
      </w:r>
      <w:r w:rsidR="00D81CFD">
        <w:t xml:space="preserve">, 2013, that are non-recurring in nature or relate to prior periods. </w:t>
      </w:r>
      <w:r w:rsidR="00BB6DCA">
        <w:t xml:space="preserve"> </w:t>
      </w:r>
      <w:r w:rsidR="00D81CFD">
        <w:t xml:space="preserve">This restating adjustment removes these items from the Test Period to reflect normalized results. </w:t>
      </w:r>
      <w:r w:rsidR="00BB6DCA">
        <w:t xml:space="preserve"> </w:t>
      </w:r>
      <w:r w:rsidR="00D81CFD">
        <w:t>Details on the specific items in the adjustment can be found on page 4.5.1.</w:t>
      </w:r>
      <w:bookmarkEnd w:id="11"/>
    </w:p>
    <w:p w:rsidR="00E4587A" w:rsidRDefault="00295408" w:rsidP="00D57A3B">
      <w:pPr>
        <w:autoSpaceDE w:val="0"/>
        <w:autoSpaceDN w:val="0"/>
        <w:adjustRightInd w:val="0"/>
        <w:spacing w:line="480" w:lineRule="auto"/>
        <w:ind w:left="720"/>
        <w:jc w:val="left"/>
        <w:rPr>
          <w:bCs/>
        </w:rPr>
      </w:pPr>
      <w:r>
        <w:rPr>
          <w:b/>
          <w:bCs/>
        </w:rPr>
        <w:t>DSM Removal Adjustment (page 4.</w:t>
      </w:r>
      <w:r w:rsidR="00E4587A">
        <w:rPr>
          <w:b/>
          <w:bCs/>
        </w:rPr>
        <w:t>6</w:t>
      </w:r>
      <w:r w:rsidRPr="00C61A99">
        <w:rPr>
          <w:b/>
          <w:bCs/>
        </w:rPr>
        <w:t>)</w:t>
      </w:r>
      <w:r w:rsidR="00AB4AAB">
        <w:t>—</w:t>
      </w:r>
      <w:r w:rsidRPr="007E5129">
        <w:rPr>
          <w:bCs/>
        </w:rPr>
        <w:t xml:space="preserve">This </w:t>
      </w:r>
      <w:r>
        <w:rPr>
          <w:bCs/>
        </w:rPr>
        <w:t xml:space="preserve">restating </w:t>
      </w:r>
      <w:r w:rsidRPr="007E5129">
        <w:rPr>
          <w:bCs/>
        </w:rPr>
        <w:t xml:space="preserve">adjustment removes </w:t>
      </w:r>
      <w:r w:rsidR="00303301">
        <w:rPr>
          <w:bCs/>
        </w:rPr>
        <w:t xml:space="preserve">actual </w:t>
      </w:r>
      <w:r w:rsidR="004214C8">
        <w:rPr>
          <w:bCs/>
        </w:rPr>
        <w:t>per-book</w:t>
      </w:r>
      <w:r w:rsidR="00E4587A">
        <w:rPr>
          <w:bCs/>
        </w:rPr>
        <w:t xml:space="preserve">s </w:t>
      </w:r>
      <w:r w:rsidR="00824B53">
        <w:rPr>
          <w:bCs/>
        </w:rPr>
        <w:t>d</w:t>
      </w:r>
      <w:r>
        <w:rPr>
          <w:bCs/>
        </w:rPr>
        <w:t>emand</w:t>
      </w:r>
      <w:r w:rsidR="00824B53">
        <w:rPr>
          <w:bCs/>
        </w:rPr>
        <w:t>-side m</w:t>
      </w:r>
      <w:r>
        <w:rPr>
          <w:bCs/>
        </w:rPr>
        <w:t>anagement (</w:t>
      </w:r>
      <w:r w:rsidRPr="007E5129">
        <w:rPr>
          <w:bCs/>
        </w:rPr>
        <w:t>DSM</w:t>
      </w:r>
      <w:r>
        <w:rPr>
          <w:bCs/>
        </w:rPr>
        <w:t>)</w:t>
      </w:r>
      <w:r w:rsidRPr="007E5129">
        <w:rPr>
          <w:bCs/>
        </w:rPr>
        <w:t xml:space="preserve"> </w:t>
      </w:r>
      <w:r>
        <w:rPr>
          <w:bCs/>
        </w:rPr>
        <w:t xml:space="preserve">revenues and </w:t>
      </w:r>
      <w:r w:rsidRPr="007E5129">
        <w:rPr>
          <w:bCs/>
        </w:rPr>
        <w:t>expenses from regulated results</w:t>
      </w:r>
      <w:r>
        <w:rPr>
          <w:bCs/>
        </w:rPr>
        <w:t xml:space="preserve"> since they are recovered through a separate tariff rider (Schedule 191</w:t>
      </w:r>
      <w:r w:rsidR="00AB4AAB">
        <w:rPr>
          <w:bCs/>
        </w:rPr>
        <w:t>—System Benefits Charge Adjustment</w:t>
      </w:r>
      <w:r>
        <w:rPr>
          <w:bCs/>
        </w:rPr>
        <w:t>)</w:t>
      </w:r>
      <w:r w:rsidR="00E728FE">
        <w:rPr>
          <w:bCs/>
        </w:rPr>
        <w:t xml:space="preserve">.  </w:t>
      </w:r>
      <w:r>
        <w:rPr>
          <w:bCs/>
        </w:rPr>
        <w:t xml:space="preserve">The associated tax entries are </w:t>
      </w:r>
      <w:r w:rsidRPr="00C66416">
        <w:rPr>
          <w:bCs/>
        </w:rPr>
        <w:t>also removed through this adjustment</w:t>
      </w:r>
      <w:r w:rsidR="00E728FE">
        <w:rPr>
          <w:bCs/>
        </w:rPr>
        <w:t>.</w:t>
      </w:r>
    </w:p>
    <w:p w:rsidR="00003AA3" w:rsidRPr="00003AA3" w:rsidRDefault="00C66416" w:rsidP="00D57A3B">
      <w:pPr>
        <w:autoSpaceDE w:val="0"/>
        <w:autoSpaceDN w:val="0"/>
        <w:adjustRightInd w:val="0"/>
        <w:spacing w:line="480" w:lineRule="auto"/>
        <w:ind w:left="720"/>
        <w:jc w:val="left"/>
      </w:pPr>
      <w:r w:rsidRPr="00C66416">
        <w:rPr>
          <w:b/>
        </w:rPr>
        <w:lastRenderedPageBreak/>
        <w:t>Insurance Expense</w:t>
      </w:r>
      <w:r w:rsidR="00C203FA">
        <w:rPr>
          <w:b/>
        </w:rPr>
        <w:t xml:space="preserve"> Adjustment</w:t>
      </w:r>
      <w:r w:rsidRPr="00C66416">
        <w:rPr>
          <w:b/>
        </w:rPr>
        <w:t xml:space="preserve"> (page 4.</w:t>
      </w:r>
      <w:r w:rsidR="00E4587A">
        <w:rPr>
          <w:b/>
        </w:rPr>
        <w:t>7)</w:t>
      </w:r>
      <w:r w:rsidR="00AB4AAB">
        <w:t>—</w:t>
      </w:r>
      <w:r w:rsidR="00A85672" w:rsidRPr="00A85672">
        <w:t xml:space="preserve"> Consistent with prior Washington rate cases, the Company replaced the </w:t>
      </w:r>
      <w:r w:rsidR="004214C8">
        <w:t xml:space="preserve">actual per-books </w:t>
      </w:r>
      <w:r w:rsidR="00A85672" w:rsidRPr="00A85672">
        <w:t xml:space="preserve">base period liability and property damage expense with a rolling six-year average of damage expenses.  </w:t>
      </w:r>
    </w:p>
    <w:p w:rsidR="00C203FA" w:rsidRDefault="00C203FA" w:rsidP="00E4587A">
      <w:pPr>
        <w:pStyle w:val="Answer"/>
        <w:ind w:firstLine="0"/>
        <w:jc w:val="left"/>
      </w:pPr>
      <w:r>
        <w:rPr>
          <w:b/>
        </w:rPr>
        <w:t>Advertising Adjustment (page 4.</w:t>
      </w:r>
      <w:r w:rsidR="00E4587A">
        <w:rPr>
          <w:b/>
        </w:rPr>
        <w:t>8</w:t>
      </w:r>
      <w:r>
        <w:rPr>
          <w:b/>
        </w:rPr>
        <w:t>)</w:t>
      </w:r>
      <w:r w:rsidR="00A57543">
        <w:rPr>
          <w:b/>
        </w:rPr>
        <w:t xml:space="preserve"> and Memberships and Subscriptions Adjustment (</w:t>
      </w:r>
      <w:r w:rsidR="00A4101D">
        <w:rPr>
          <w:b/>
        </w:rPr>
        <w:t xml:space="preserve">page </w:t>
      </w:r>
      <w:r w:rsidR="00A57543">
        <w:rPr>
          <w:b/>
        </w:rPr>
        <w:t>4.</w:t>
      </w:r>
      <w:r w:rsidR="00E4587A">
        <w:rPr>
          <w:b/>
        </w:rPr>
        <w:t>9</w:t>
      </w:r>
      <w:r w:rsidR="00A57543">
        <w:rPr>
          <w:b/>
        </w:rPr>
        <w:t>)</w:t>
      </w:r>
      <w:r w:rsidR="00AB4AAB">
        <w:t>—</w:t>
      </w:r>
      <w:r w:rsidR="00E728FE">
        <w:t xml:space="preserve"> </w:t>
      </w:r>
      <w:r w:rsidR="00E4587A">
        <w:t>Consistent with recent prior cases, the Company includes these</w:t>
      </w:r>
      <w:r w:rsidR="001B486A">
        <w:t xml:space="preserve"> restating adjustment</w:t>
      </w:r>
      <w:r w:rsidR="00AB4AAB">
        <w:t>s</w:t>
      </w:r>
      <w:r w:rsidR="001B486A">
        <w:t xml:space="preserve"> </w:t>
      </w:r>
      <w:r w:rsidR="00BB6DCA">
        <w:t xml:space="preserve">to </w:t>
      </w:r>
      <w:r w:rsidR="00EC6940">
        <w:t>situs</w:t>
      </w:r>
      <w:r w:rsidR="00CD66FF">
        <w:t>-</w:t>
      </w:r>
      <w:r w:rsidR="00EC6940">
        <w:t xml:space="preserve">assign advertising and membership costs </w:t>
      </w:r>
      <w:r w:rsidR="003A0ED7">
        <w:t>that</w:t>
      </w:r>
      <w:r w:rsidR="00EC6940">
        <w:t xml:space="preserve"> were booked on a system</w:t>
      </w:r>
      <w:r w:rsidR="00AB4AAB">
        <w:t>-</w:t>
      </w:r>
      <w:r w:rsidR="00EC6940">
        <w:t xml:space="preserve">allocated basis </w:t>
      </w:r>
      <w:r w:rsidR="00BB6DCA">
        <w:t>to the extent attributable</w:t>
      </w:r>
      <w:r w:rsidR="001B486A">
        <w:t xml:space="preserve"> to a specific jurisdiction.</w:t>
      </w:r>
      <w:r w:rsidR="00642D25">
        <w:t xml:space="preserve">  This approach was the result of collaboration with parties after the 2010 Rate Case</w:t>
      </w:r>
      <w:r w:rsidR="002A4BA2">
        <w:t xml:space="preserve">, </w:t>
      </w:r>
      <w:r w:rsidR="002C3890">
        <w:t xml:space="preserve">and </w:t>
      </w:r>
      <w:r w:rsidR="002A4BA2">
        <w:t>was included in the 2011 Rate Case and 2013 Rate Case</w:t>
      </w:r>
      <w:r w:rsidR="00642D25">
        <w:t>.</w:t>
      </w:r>
    </w:p>
    <w:p w:rsidR="00A4101D" w:rsidRDefault="00A4101D" w:rsidP="003237AE">
      <w:pPr>
        <w:pStyle w:val="Answer"/>
        <w:widowControl w:val="0"/>
        <w:jc w:val="left"/>
      </w:pPr>
      <w:r>
        <w:tab/>
      </w:r>
      <w:r w:rsidRPr="00A4101D">
        <w:rPr>
          <w:b/>
        </w:rPr>
        <w:t>Uncollectible Expense (page 4.1</w:t>
      </w:r>
      <w:r w:rsidR="00E4587A">
        <w:rPr>
          <w:b/>
        </w:rPr>
        <w:t>0</w:t>
      </w:r>
      <w:r w:rsidRPr="00A4101D">
        <w:rPr>
          <w:b/>
        </w:rPr>
        <w:t>)</w:t>
      </w:r>
      <w:r w:rsidR="004E384F">
        <w:t>—</w:t>
      </w:r>
      <w:r w:rsidRPr="00A4101D">
        <w:t>This restating</w:t>
      </w:r>
      <w:r w:rsidR="003A0ED7">
        <w:t xml:space="preserve"> adjustment adjusts the Company’</w:t>
      </w:r>
      <w:r w:rsidRPr="00A4101D">
        <w:t xml:space="preserve">s </w:t>
      </w:r>
      <w:r w:rsidR="00BB6DCA">
        <w:t xml:space="preserve">actual </w:t>
      </w:r>
      <w:r w:rsidR="00BB6DCA" w:rsidRPr="00A4101D">
        <w:t>uncollectible</w:t>
      </w:r>
      <w:r w:rsidR="00BB6DCA" w:rsidDel="00BB6DCA">
        <w:t xml:space="preserve"> </w:t>
      </w:r>
      <w:r w:rsidRPr="00A4101D">
        <w:t xml:space="preserve">expense </w:t>
      </w:r>
      <w:r w:rsidR="00BB6DCA">
        <w:t xml:space="preserve">for the 12 months ended December 2013 </w:t>
      </w:r>
      <w:r w:rsidRPr="00A4101D">
        <w:t xml:space="preserve">to </w:t>
      </w:r>
      <w:r w:rsidR="00642D25">
        <w:t>a four</w:t>
      </w:r>
      <w:r w:rsidR="00BB6DCA">
        <w:t>-</w:t>
      </w:r>
      <w:r w:rsidR="00642D25">
        <w:t>year average</w:t>
      </w:r>
      <w:r w:rsidRPr="00A4101D">
        <w:t xml:space="preserve"> normalized level</w:t>
      </w:r>
      <w:r w:rsidR="00642D25">
        <w:t>.  This is done</w:t>
      </w:r>
      <w:r w:rsidRPr="00A4101D">
        <w:t xml:space="preserve"> by applying the </w:t>
      </w:r>
      <w:r w:rsidR="00642D25">
        <w:t>four</w:t>
      </w:r>
      <w:r w:rsidR="00BB6DCA">
        <w:t>-</w:t>
      </w:r>
      <w:r w:rsidR="00642D25">
        <w:t xml:space="preserve">year average unadjusted </w:t>
      </w:r>
      <w:r w:rsidRPr="00A4101D">
        <w:t>uncollectible rate (uncollectible expense</w:t>
      </w:r>
      <w:r w:rsidR="004E384F">
        <w:t xml:space="preserve"> divided by </w:t>
      </w:r>
      <w:r w:rsidR="00642D25">
        <w:t xml:space="preserve">unadjusted </w:t>
      </w:r>
      <w:r w:rsidRPr="00A4101D">
        <w:t>general business revenues) to the normalized level of general business revenues.</w:t>
      </w:r>
      <w:r w:rsidR="00642D25">
        <w:t xml:space="preserve">  The </w:t>
      </w:r>
      <w:r w:rsidR="00BB6DCA">
        <w:t xml:space="preserve">Company agreed to the </w:t>
      </w:r>
      <w:r w:rsidR="00642D25">
        <w:t>use of a four</w:t>
      </w:r>
      <w:r w:rsidR="00BB6DCA">
        <w:t>-</w:t>
      </w:r>
      <w:r w:rsidR="00642D25">
        <w:t>year average uncollectible rate in the 2013 Rate Case.</w:t>
      </w:r>
    </w:p>
    <w:p w:rsidR="00A4101D" w:rsidRDefault="00A4101D" w:rsidP="00A4101D">
      <w:pPr>
        <w:pStyle w:val="Answer"/>
        <w:widowControl w:val="0"/>
        <w:jc w:val="left"/>
      </w:pPr>
      <w:r>
        <w:rPr>
          <w:b/>
        </w:rPr>
        <w:tab/>
      </w:r>
      <w:r w:rsidR="008C1587">
        <w:rPr>
          <w:b/>
        </w:rPr>
        <w:t>Legal Expense (page 4.1</w:t>
      </w:r>
      <w:r w:rsidR="00E4587A">
        <w:rPr>
          <w:b/>
        </w:rPr>
        <w:t>1</w:t>
      </w:r>
      <w:r w:rsidR="005C650C">
        <w:rPr>
          <w:b/>
        </w:rPr>
        <w:t>-4.11.1</w:t>
      </w:r>
      <w:r w:rsidR="008C1587">
        <w:rPr>
          <w:b/>
        </w:rPr>
        <w:t>)</w:t>
      </w:r>
      <w:r w:rsidR="004E384F">
        <w:t xml:space="preserve">—Consistent with </w:t>
      </w:r>
      <w:r w:rsidR="00FA0003">
        <w:t>past rate case treatment</w:t>
      </w:r>
      <w:r w:rsidR="004E384F">
        <w:t xml:space="preserve">, </w:t>
      </w:r>
      <w:r w:rsidR="002A4BA2">
        <w:t xml:space="preserve">including the 2013 Rate Case, </w:t>
      </w:r>
      <w:r w:rsidR="004E384F">
        <w:t>t</w:t>
      </w:r>
      <w:r w:rsidR="008C1587" w:rsidRPr="008C1587">
        <w:t xml:space="preserve">his restating adjustment </w:t>
      </w:r>
      <w:r w:rsidR="004E384F">
        <w:t xml:space="preserve">reallocates the Company’s </w:t>
      </w:r>
      <w:r w:rsidR="00BB6DCA">
        <w:t xml:space="preserve">actual legal expenses for the </w:t>
      </w:r>
      <w:r w:rsidR="00A6799C">
        <w:t>12 months ended December</w:t>
      </w:r>
      <w:r w:rsidR="00CD66FF">
        <w:t xml:space="preserve"> </w:t>
      </w:r>
      <w:r w:rsidR="00BB6DCA">
        <w:t xml:space="preserve">31, </w:t>
      </w:r>
      <w:r w:rsidR="00CD66FF">
        <w:t>2013</w:t>
      </w:r>
      <w:r w:rsidR="004E384F">
        <w:t xml:space="preserve">.  </w:t>
      </w:r>
      <w:r w:rsidR="00E87735">
        <w:t>L</w:t>
      </w:r>
      <w:r w:rsidR="004E384F">
        <w:t xml:space="preserve">egal expenses </w:t>
      </w:r>
      <w:r w:rsidR="00E87735">
        <w:t>are situs</w:t>
      </w:r>
      <w:r w:rsidR="00BB6DCA">
        <w:t xml:space="preserve"> </w:t>
      </w:r>
      <w:r w:rsidR="00E87735">
        <w:t xml:space="preserve">assigned to the extent </w:t>
      </w:r>
      <w:r w:rsidR="00BB6DCA">
        <w:t>attributable</w:t>
      </w:r>
      <w:r w:rsidR="004E384F">
        <w:t xml:space="preserve"> to a specific jurisdiction.</w:t>
      </w:r>
    </w:p>
    <w:p w:rsidR="009954DC" w:rsidRDefault="009954DC" w:rsidP="00EE16D8">
      <w:pPr>
        <w:pStyle w:val="Answer"/>
        <w:widowControl w:val="0"/>
        <w:jc w:val="left"/>
      </w:pPr>
      <w:r>
        <w:rPr>
          <w:b/>
        </w:rPr>
        <w:tab/>
      </w:r>
      <w:r w:rsidR="00EE16D8">
        <w:rPr>
          <w:b/>
        </w:rPr>
        <w:t>Collection Agency Fees (</w:t>
      </w:r>
      <w:r w:rsidR="00E4587A">
        <w:rPr>
          <w:b/>
        </w:rPr>
        <w:t>p</w:t>
      </w:r>
      <w:r w:rsidR="00EE16D8">
        <w:rPr>
          <w:b/>
        </w:rPr>
        <w:t>age 4.1</w:t>
      </w:r>
      <w:r w:rsidR="00E4587A">
        <w:rPr>
          <w:b/>
        </w:rPr>
        <w:t>2</w:t>
      </w:r>
      <w:r w:rsidR="00EE16D8">
        <w:rPr>
          <w:b/>
        </w:rPr>
        <w:t>)</w:t>
      </w:r>
      <w:r w:rsidR="00E4587A">
        <w:rPr>
          <w:b/>
        </w:rPr>
        <w:t>—</w:t>
      </w:r>
      <w:r w:rsidR="00E4587A">
        <w:t>As discussed in the testimony of Ms.</w:t>
      </w:r>
      <w:r w:rsidR="00BB6DCA">
        <w:t> </w:t>
      </w:r>
      <w:r w:rsidR="00E4587A">
        <w:t>Coughlin, the Company is proposing a change to the method in payment of collection agency fees.  This adjustment reflects the expected cost savings result</w:t>
      </w:r>
      <w:r w:rsidR="00FA0003">
        <w:t xml:space="preserve">ing </w:t>
      </w:r>
      <w:r w:rsidR="00FA0003">
        <w:lastRenderedPageBreak/>
        <w:t>from</w:t>
      </w:r>
      <w:r w:rsidR="00E4587A">
        <w:t xml:space="preserve"> the change in method.</w:t>
      </w:r>
    </w:p>
    <w:p w:rsidR="00F90829" w:rsidRDefault="00BD20AB" w:rsidP="00EE16D8">
      <w:pPr>
        <w:pStyle w:val="Answer"/>
        <w:widowControl w:val="0"/>
        <w:jc w:val="left"/>
      </w:pPr>
      <w:r>
        <w:rPr>
          <w:b/>
        </w:rPr>
        <w:tab/>
        <w:t>IHS Global Insights Escalation (page 4.</w:t>
      </w:r>
      <w:r w:rsidRPr="00BD20AB">
        <w:rPr>
          <w:b/>
        </w:rPr>
        <w:t>13)</w:t>
      </w:r>
      <w:r>
        <w:rPr>
          <w:b/>
        </w:rPr>
        <w:t>—</w:t>
      </w:r>
      <w:r>
        <w:t xml:space="preserve">As mentioned above, this adjustment escalates non-labor and non-power cost O&amp;M expenses using industry-specific escalation </w:t>
      </w:r>
      <w:r w:rsidR="00CF740D">
        <w:t xml:space="preserve">indices. </w:t>
      </w:r>
      <w:r w:rsidR="00BB6DCA">
        <w:t xml:space="preserve"> </w:t>
      </w:r>
      <w:r w:rsidR="00F90829">
        <w:t>Projected increases or decreases in this adjustment are based on IHS Global Insight indices that provide a detailed assessment of the electric utility costs for materials and services only, and exclude labor expense, according to the Uniform Syste</w:t>
      </w:r>
      <w:r w:rsidR="002F5153">
        <w:t>m</w:t>
      </w:r>
      <w:r w:rsidR="00F90829">
        <w:t xml:space="preserve"> of Accounts defined by FERC for major electric utilities.</w:t>
      </w:r>
    </w:p>
    <w:p w:rsidR="00BD20AB" w:rsidRPr="00BD20AB" w:rsidRDefault="00F90829" w:rsidP="00D57A3B">
      <w:pPr>
        <w:pStyle w:val="Answer"/>
        <w:widowControl w:val="0"/>
        <w:jc w:val="left"/>
      </w:pPr>
      <w:r w:rsidRPr="00913B00">
        <w:tab/>
      </w:r>
      <w:r w:rsidRPr="00913B00">
        <w:tab/>
        <w:t xml:space="preserve">The </w:t>
      </w:r>
      <w:r>
        <w:t>IHS indices are prepared at the FERC functional subcategory and are denoted with their corresponding FERC account number.  The individual FERC account indices are then combined into broader indices representing operation, maintenance or total operation and maintenance expen</w:t>
      </w:r>
      <w:r w:rsidR="006752F5">
        <w:t xml:space="preserve">ses.  </w:t>
      </w:r>
      <w:r>
        <w:t xml:space="preserve">The IHS study used to prepare this filing was the fourth quarter 2013 forecast, released </w:t>
      </w:r>
      <w:r w:rsidR="003201AC">
        <w:t xml:space="preserve">February 4, 2014.  The IHS data is proprietary and subject to copyright protection, therefore the indices </w:t>
      </w:r>
      <w:r w:rsidR="00BB6DCA">
        <w:t xml:space="preserve">used </w:t>
      </w:r>
      <w:r w:rsidR="003201AC">
        <w:t>in the Company’s case are provided in Con</w:t>
      </w:r>
      <w:r w:rsidR="00DE327C">
        <w:t>fidential Exhibit No.___(NCS-8</w:t>
      </w:r>
      <w:r w:rsidR="003201AC">
        <w:t>C).</w:t>
      </w:r>
      <w:r w:rsidR="00BB6DCA">
        <w:t xml:space="preserve">  </w:t>
      </w:r>
      <w:r w:rsidR="006D4BDF">
        <w:t>Th</w:t>
      </w:r>
      <w:r w:rsidR="005255C0">
        <w:t xml:space="preserve">e resulting </w:t>
      </w:r>
      <w:r w:rsidR="006D4BDF">
        <w:t xml:space="preserve">O&amp;M </w:t>
      </w:r>
      <w:r w:rsidR="005255C0">
        <w:t xml:space="preserve">expense better reflects </w:t>
      </w:r>
      <w:r w:rsidR="006D4BDF">
        <w:t>cost levels</w:t>
      </w:r>
      <w:r w:rsidR="006D4BDF" w:rsidRPr="006D4BDF">
        <w:t xml:space="preserve"> during the test year</w:t>
      </w:r>
      <w:r w:rsidR="006D4BDF">
        <w:t xml:space="preserve">.  </w:t>
      </w:r>
    </w:p>
    <w:p w:rsidR="006732A9" w:rsidRPr="00282EDC" w:rsidRDefault="006732A9" w:rsidP="00282EDC">
      <w:pPr>
        <w:pStyle w:val="Heading2"/>
      </w:pPr>
      <w:bookmarkStart w:id="12" w:name="_Toc386626888"/>
      <w:r w:rsidRPr="00282EDC">
        <w:t>Tab 5</w:t>
      </w:r>
      <w:r w:rsidR="00A75377" w:rsidRPr="00282EDC">
        <w:t>—</w:t>
      </w:r>
      <w:r w:rsidRPr="00282EDC">
        <w:t>Net Power Cost Adjustments</w:t>
      </w:r>
      <w:bookmarkEnd w:id="12"/>
    </w:p>
    <w:p w:rsidR="006732A9" w:rsidRDefault="006732A9" w:rsidP="003F7952">
      <w:pPr>
        <w:pStyle w:val="Question"/>
        <w:widowControl w:val="0"/>
        <w:jc w:val="left"/>
      </w:pPr>
      <w:r w:rsidRPr="00C11338">
        <w:t>Q.</w:t>
      </w:r>
      <w:r w:rsidRPr="00C11338">
        <w:tab/>
        <w:t xml:space="preserve">Please describe the adjustments </w:t>
      </w:r>
      <w:r w:rsidR="00D7457C">
        <w:t>included</w:t>
      </w:r>
      <w:r w:rsidRPr="00C11338">
        <w:t xml:space="preserve"> in Tab </w:t>
      </w:r>
      <w:r>
        <w:t>5</w:t>
      </w:r>
      <w:r w:rsidRPr="00C11338">
        <w:t>.</w:t>
      </w:r>
    </w:p>
    <w:p w:rsidR="001C36AD" w:rsidRDefault="006732A9" w:rsidP="00A85672">
      <w:pPr>
        <w:pStyle w:val="Question"/>
        <w:widowControl w:val="0"/>
        <w:jc w:val="left"/>
        <w:rPr>
          <w:b w:val="0"/>
        </w:rPr>
      </w:pPr>
      <w:r w:rsidRPr="006732A9">
        <w:rPr>
          <w:b w:val="0"/>
        </w:rPr>
        <w:t>A.</w:t>
      </w:r>
      <w:r>
        <w:tab/>
      </w:r>
      <w:r w:rsidRPr="006732A9">
        <w:t>Net Power Costs (page</w:t>
      </w:r>
      <w:r w:rsidR="001428B4">
        <w:t>s</w:t>
      </w:r>
      <w:r w:rsidRPr="006732A9">
        <w:t xml:space="preserve"> 5.1</w:t>
      </w:r>
      <w:r w:rsidR="005C650C">
        <w:t>-5.1.1</w:t>
      </w:r>
      <w:r w:rsidRPr="006732A9">
        <w:t>)</w:t>
      </w:r>
      <w:r w:rsidR="00E87735">
        <w:t>—</w:t>
      </w:r>
      <w:r w:rsidR="00A85672" w:rsidRPr="00A85672">
        <w:t xml:space="preserve"> </w:t>
      </w:r>
      <w:r w:rsidR="002C3890" w:rsidRPr="002C3890">
        <w:rPr>
          <w:b w:val="0"/>
        </w:rPr>
        <w:t>T</w:t>
      </w:r>
      <w:r w:rsidR="001C0AB3" w:rsidRPr="00E4587A">
        <w:rPr>
          <w:b w:val="0"/>
        </w:rPr>
        <w:t xml:space="preserve">he net power cost adjustments normalize power costs by adjusting sales for resale, purchase power, wheeling, and fuel in a manner consistent with the contractual terms of sales and purchase agreements, and normal hydro and weather conditions for the </w:t>
      </w:r>
      <w:r w:rsidR="005255C0">
        <w:rPr>
          <w:b w:val="0"/>
        </w:rPr>
        <w:t>west control area</w:t>
      </w:r>
      <w:r w:rsidR="001C0AB3" w:rsidRPr="00E4587A">
        <w:rPr>
          <w:b w:val="0"/>
        </w:rPr>
        <w:t>.  Three separate net power cost studies are included in the Report.  The results of each study are summarized on page 5.1.2.</w:t>
      </w:r>
    </w:p>
    <w:p w:rsidR="00A85672" w:rsidRPr="00E4587A" w:rsidRDefault="001C0AB3" w:rsidP="00913B00">
      <w:pPr>
        <w:pStyle w:val="Question"/>
        <w:widowControl w:val="0"/>
        <w:ind w:firstLine="720"/>
        <w:jc w:val="left"/>
        <w:rPr>
          <w:b w:val="0"/>
        </w:rPr>
      </w:pPr>
      <w:r w:rsidRPr="00E4587A">
        <w:rPr>
          <w:b w:val="0"/>
        </w:rPr>
        <w:lastRenderedPageBreak/>
        <w:t xml:space="preserve">The first study </w:t>
      </w:r>
      <w:r w:rsidR="00BB6DCA">
        <w:rPr>
          <w:b w:val="0"/>
        </w:rPr>
        <w:t>reflects</w:t>
      </w:r>
      <w:r w:rsidR="00BB6DCA" w:rsidRPr="00E4587A">
        <w:rPr>
          <w:b w:val="0"/>
        </w:rPr>
        <w:t xml:space="preserve"> </w:t>
      </w:r>
      <w:r w:rsidRPr="00E4587A">
        <w:rPr>
          <w:b w:val="0"/>
        </w:rPr>
        <w:t xml:space="preserve">actual </w:t>
      </w:r>
      <w:r w:rsidR="009522E4">
        <w:rPr>
          <w:b w:val="0"/>
        </w:rPr>
        <w:t>west control area</w:t>
      </w:r>
      <w:r w:rsidR="009522E4" w:rsidRPr="00E4587A">
        <w:rPr>
          <w:b w:val="0"/>
        </w:rPr>
        <w:t xml:space="preserve"> </w:t>
      </w:r>
      <w:r w:rsidRPr="00E4587A">
        <w:rPr>
          <w:b w:val="0"/>
        </w:rPr>
        <w:t>net power costs for the 12</w:t>
      </w:r>
      <w:r w:rsidR="00BB6DCA">
        <w:rPr>
          <w:b w:val="0"/>
        </w:rPr>
        <w:t>-</w:t>
      </w:r>
      <w:r w:rsidRPr="00E4587A">
        <w:rPr>
          <w:b w:val="0"/>
        </w:rPr>
        <w:t xml:space="preserve">month period ended December 31, 2013.  The second study reflects restated net power costs for the same period.  The third is a study of pro forma net power costs for the 12 months ending March 31, 2016, which </w:t>
      </w:r>
      <w:r w:rsidR="000100EE">
        <w:rPr>
          <w:b w:val="0"/>
        </w:rPr>
        <w:t>is</w:t>
      </w:r>
      <w:r w:rsidRPr="00E4587A">
        <w:rPr>
          <w:b w:val="0"/>
        </w:rPr>
        <w:t xml:space="preserve"> the rate effective period.</w:t>
      </w:r>
      <w:r w:rsidR="00E4587A" w:rsidRPr="007A15D3">
        <w:rPr>
          <w:b w:val="0"/>
          <w:bCs w:val="0"/>
        </w:rPr>
        <w:t xml:space="preserve"> </w:t>
      </w:r>
      <w:r w:rsidR="00E4587A">
        <w:rPr>
          <w:b w:val="0"/>
          <w:bCs w:val="0"/>
        </w:rPr>
        <w:t xml:space="preserve"> </w:t>
      </w:r>
      <w:r w:rsidR="002A4BA2">
        <w:rPr>
          <w:b w:val="0"/>
          <w:bCs w:val="0"/>
        </w:rPr>
        <w:t xml:space="preserve">The use of pro forma net power costs is consistent with approved treatment in prior rate cases, including </w:t>
      </w:r>
      <w:r w:rsidR="000100EE">
        <w:rPr>
          <w:b w:val="0"/>
          <w:bCs w:val="0"/>
        </w:rPr>
        <w:t>the Company’s 2010, 2011, and 2013 rate cases</w:t>
      </w:r>
      <w:r w:rsidR="002A4BA2">
        <w:rPr>
          <w:b w:val="0"/>
          <w:bCs w:val="0"/>
        </w:rPr>
        <w:t xml:space="preserve">.  </w:t>
      </w:r>
      <w:r w:rsidR="00E4587A" w:rsidRPr="007A15D3">
        <w:rPr>
          <w:b w:val="0"/>
          <w:bCs w:val="0"/>
        </w:rPr>
        <w:t>Please refer to the direct testimony of Mr. Duvall for more information on the development of net power costs included in this filing</w:t>
      </w:r>
      <w:r w:rsidR="00E4587A">
        <w:t>.</w:t>
      </w:r>
    </w:p>
    <w:p w:rsidR="00DD4786" w:rsidRDefault="00A85672" w:rsidP="00E4587A">
      <w:pPr>
        <w:pStyle w:val="Question"/>
        <w:widowControl w:val="0"/>
        <w:ind w:firstLine="720"/>
        <w:jc w:val="left"/>
        <w:rPr>
          <w:b w:val="0"/>
        </w:rPr>
      </w:pPr>
      <w:r w:rsidRPr="007A15D3">
        <w:rPr>
          <w:b w:val="0"/>
          <w:bCs w:val="0"/>
        </w:rPr>
        <w:t xml:space="preserve">The pro forma power costs are adjusted to </w:t>
      </w:r>
      <w:r w:rsidR="002A4BA2">
        <w:rPr>
          <w:b w:val="0"/>
          <w:bCs w:val="0"/>
        </w:rPr>
        <w:t>Test P</w:t>
      </w:r>
      <w:r w:rsidRPr="007A15D3">
        <w:rPr>
          <w:b w:val="0"/>
          <w:bCs w:val="0"/>
        </w:rPr>
        <w:t xml:space="preserve">eriod </w:t>
      </w:r>
      <w:r w:rsidR="002A4BA2">
        <w:rPr>
          <w:b w:val="0"/>
          <w:bCs w:val="0"/>
        </w:rPr>
        <w:t xml:space="preserve">levels </w:t>
      </w:r>
      <w:r w:rsidRPr="007A15D3">
        <w:rPr>
          <w:b w:val="0"/>
          <w:bCs w:val="0"/>
        </w:rPr>
        <w:t>using the production factor adjustment as shown on page 9.1</w:t>
      </w:r>
    </w:p>
    <w:p w:rsidR="00A276F6" w:rsidRDefault="00A276F6" w:rsidP="003F7952">
      <w:pPr>
        <w:pStyle w:val="Answer"/>
        <w:ind w:firstLine="0"/>
        <w:jc w:val="left"/>
      </w:pPr>
      <w:r w:rsidRPr="00C11338">
        <w:rPr>
          <w:b/>
        </w:rPr>
        <w:t xml:space="preserve">James River Royalty Offset </w:t>
      </w:r>
      <w:r>
        <w:rPr>
          <w:b/>
        </w:rPr>
        <w:t>(page 5.2</w:t>
      </w:r>
      <w:r w:rsidRPr="00C11338">
        <w:rPr>
          <w:b/>
        </w:rPr>
        <w:t>)</w:t>
      </w:r>
      <w:r w:rsidR="00172C2E">
        <w:t>—</w:t>
      </w:r>
      <w:r w:rsidR="00A85672" w:rsidRPr="00C11338">
        <w:t xml:space="preserve">On January 13, 1993, </w:t>
      </w:r>
      <w:r w:rsidR="00A85672">
        <w:t>the Company</w:t>
      </w:r>
      <w:r w:rsidR="00A85672" w:rsidRPr="00C11338">
        <w:t xml:space="preserve"> executed a contract with James River Paper Company with respect to the Camas mill, later acquired by Georgia Pacific</w:t>
      </w:r>
      <w:r w:rsidR="00A85672">
        <w:t xml:space="preserve">.  </w:t>
      </w:r>
      <w:r w:rsidR="00A85672" w:rsidRPr="00C11338">
        <w:t xml:space="preserve">Under the agreement, the Company built a steam turbine and is recovering the capital investment over </w:t>
      </w:r>
      <w:r w:rsidR="000100EE">
        <w:t xml:space="preserve">the </w:t>
      </w:r>
      <w:r w:rsidR="00A85672" w:rsidRPr="00C11338">
        <w:t>operational term of the agreement as a</w:t>
      </w:r>
      <w:r w:rsidR="00A85672">
        <w:t xml:space="preserve">n offset to </w:t>
      </w:r>
      <w:r w:rsidR="00A85672" w:rsidRPr="00C11338">
        <w:t xml:space="preserve">royalties </w:t>
      </w:r>
      <w:r w:rsidR="00A85672">
        <w:t>paid</w:t>
      </w:r>
      <w:r w:rsidR="00A85672" w:rsidRPr="00C11338">
        <w:t xml:space="preserve"> to James River based on contract provisions</w:t>
      </w:r>
      <w:r w:rsidR="00A85672">
        <w:t xml:space="preserve">.  </w:t>
      </w:r>
      <w:r w:rsidR="001C36AD">
        <w:t xml:space="preserve">The contract is set to expire </w:t>
      </w:r>
      <w:r w:rsidR="000100EE">
        <w:t>on</w:t>
      </w:r>
      <w:r w:rsidR="001C36AD">
        <w:t xml:space="preserve"> December 31, 2015.  </w:t>
      </w:r>
      <w:r w:rsidR="00A85672">
        <w:t>T</w:t>
      </w:r>
      <w:r w:rsidR="00A85672" w:rsidRPr="00C11338">
        <w:t xml:space="preserve">he contract costs of energy for the Camas unit </w:t>
      </w:r>
      <w:r w:rsidR="00A85672">
        <w:t>are i</w:t>
      </w:r>
      <w:r w:rsidR="00A85672" w:rsidRPr="00C11338">
        <w:t xml:space="preserve">ncluded in </w:t>
      </w:r>
      <w:r w:rsidR="00A85672">
        <w:t>the Company</w:t>
      </w:r>
      <w:r w:rsidR="00A85672" w:rsidRPr="00C11338">
        <w:t>’s net power cost</w:t>
      </w:r>
      <w:r w:rsidR="00A85672">
        <w:t xml:space="preserve">s as purchased power expense, </w:t>
      </w:r>
      <w:r w:rsidR="00A85672" w:rsidRPr="00C11338">
        <w:t xml:space="preserve">but GRID does not include an offsetting revenue credit for the capital </w:t>
      </w:r>
      <w:r w:rsidR="00A85672">
        <w:t xml:space="preserve">and maintenance </w:t>
      </w:r>
      <w:r w:rsidR="00A85672" w:rsidRPr="00C11338">
        <w:t>cost recovery</w:t>
      </w:r>
      <w:r w:rsidR="00A85672">
        <w:t>.  This pro forma adjustment</w:t>
      </w:r>
      <w:r w:rsidR="00A85672" w:rsidRPr="00C11338">
        <w:t xml:space="preserve"> adds </w:t>
      </w:r>
      <w:r w:rsidR="00A85672">
        <w:t>the</w:t>
      </w:r>
      <w:r w:rsidR="00A85672" w:rsidRPr="00C11338">
        <w:t xml:space="preserve"> royalty offset to </w:t>
      </w:r>
      <w:r w:rsidR="00A85672">
        <w:t xml:space="preserve">FERC </w:t>
      </w:r>
      <w:r w:rsidR="00A85672" w:rsidRPr="00C11338">
        <w:t xml:space="preserve">account 456, </w:t>
      </w:r>
      <w:r w:rsidR="00A85672">
        <w:t>o</w:t>
      </w:r>
      <w:r w:rsidR="00A85672" w:rsidRPr="00C11338">
        <w:t xml:space="preserve">ther </w:t>
      </w:r>
      <w:r w:rsidR="00A85672">
        <w:t>e</w:t>
      </w:r>
      <w:r w:rsidR="00A85672" w:rsidRPr="00C11338">
        <w:t xml:space="preserve">lectric </w:t>
      </w:r>
      <w:r w:rsidR="00A85672">
        <w:t>r</w:t>
      </w:r>
      <w:r w:rsidR="00A85672" w:rsidRPr="00C11338">
        <w:t xml:space="preserve">evenue, for the </w:t>
      </w:r>
      <w:r w:rsidR="00A85672">
        <w:t>12</w:t>
      </w:r>
      <w:r w:rsidR="000100EE">
        <w:t>-</w:t>
      </w:r>
      <w:r w:rsidR="00A85672">
        <w:t>month period ending March 31, 2016, the same period used in determining pro forma net power costs in this filing.</w:t>
      </w:r>
    </w:p>
    <w:p w:rsidR="00A276F6" w:rsidRDefault="00A276F6" w:rsidP="003F7952">
      <w:pPr>
        <w:pStyle w:val="Answer"/>
        <w:ind w:firstLine="0"/>
        <w:jc w:val="left"/>
      </w:pPr>
      <w:r w:rsidRPr="005844BC">
        <w:rPr>
          <w:b/>
        </w:rPr>
        <w:lastRenderedPageBreak/>
        <w:t>Co</w:t>
      </w:r>
      <w:r>
        <w:rPr>
          <w:b/>
        </w:rPr>
        <w:t>lstrip Unit No</w:t>
      </w:r>
      <w:r w:rsidR="00E728FE">
        <w:rPr>
          <w:b/>
        </w:rPr>
        <w:t xml:space="preserve">.  </w:t>
      </w:r>
      <w:r>
        <w:rPr>
          <w:b/>
        </w:rPr>
        <w:t>3 Removal (page 5.</w:t>
      </w:r>
      <w:r w:rsidR="00A85672">
        <w:rPr>
          <w:b/>
        </w:rPr>
        <w:t>3</w:t>
      </w:r>
      <w:r w:rsidRPr="005844BC">
        <w:rPr>
          <w:b/>
        </w:rPr>
        <w:t>)</w:t>
      </w:r>
      <w:r w:rsidR="00646B4E">
        <w:t>—</w:t>
      </w:r>
      <w:r w:rsidRPr="005844BC">
        <w:t>As directed by the Commission in Cause U-8</w:t>
      </w:r>
      <w:r>
        <w:t>3</w:t>
      </w:r>
      <w:r w:rsidRPr="005844BC">
        <w:t>-</w:t>
      </w:r>
      <w:r>
        <w:t>57</w:t>
      </w:r>
      <w:r w:rsidR="002C3890">
        <w:t>,</w:t>
      </w:r>
      <w:r w:rsidR="00894375">
        <w:rPr>
          <w:rStyle w:val="FootnoteReference"/>
        </w:rPr>
        <w:footnoteReference w:id="8"/>
      </w:r>
      <w:r w:rsidRPr="005844BC">
        <w:t xml:space="preserve"> this </w:t>
      </w:r>
      <w:r>
        <w:t xml:space="preserve">restating </w:t>
      </w:r>
      <w:r w:rsidRPr="005844BC">
        <w:t xml:space="preserve">adjustment removes the </w:t>
      </w:r>
      <w:r w:rsidR="001C36AD">
        <w:t>costs and balances</w:t>
      </w:r>
      <w:r>
        <w:t xml:space="preserve"> of </w:t>
      </w:r>
      <w:r w:rsidR="000100EE">
        <w:t xml:space="preserve">Unit 3 of the </w:t>
      </w:r>
      <w:r>
        <w:t xml:space="preserve">Colstrip </w:t>
      </w:r>
      <w:r w:rsidR="000100EE">
        <w:t>generating plant</w:t>
      </w:r>
      <w:r w:rsidRPr="005844BC">
        <w:t xml:space="preserve"> from the </w:t>
      </w:r>
      <w:r w:rsidR="002401A6">
        <w:t>Test Period</w:t>
      </w:r>
      <w:r>
        <w:t>.</w:t>
      </w:r>
    </w:p>
    <w:p w:rsidR="00D7457C" w:rsidRPr="00282EDC" w:rsidRDefault="00D7457C" w:rsidP="00282EDC">
      <w:pPr>
        <w:pStyle w:val="Heading2"/>
      </w:pPr>
      <w:bookmarkStart w:id="13" w:name="_Toc386626889"/>
      <w:r w:rsidRPr="00282EDC">
        <w:t>Tab 6</w:t>
      </w:r>
      <w:r w:rsidR="00646B4E" w:rsidRPr="00282EDC">
        <w:t>—</w:t>
      </w:r>
      <w:r w:rsidRPr="00282EDC">
        <w:t>Depreciation and Amortization Adjustments</w:t>
      </w:r>
      <w:bookmarkEnd w:id="13"/>
    </w:p>
    <w:p w:rsidR="00987E13" w:rsidRDefault="00D7457C" w:rsidP="005C74BD">
      <w:pPr>
        <w:pStyle w:val="Question"/>
        <w:keepNext/>
        <w:widowControl w:val="0"/>
        <w:jc w:val="left"/>
      </w:pPr>
      <w:r w:rsidRPr="00C11338">
        <w:t>Q.</w:t>
      </w:r>
      <w:r w:rsidRPr="00C11338">
        <w:tab/>
        <w:t xml:space="preserve">Please describe the adjustments </w:t>
      </w:r>
      <w:r>
        <w:t>included</w:t>
      </w:r>
      <w:r w:rsidRPr="00C11338">
        <w:t xml:space="preserve"> in Tab </w:t>
      </w:r>
      <w:r>
        <w:t>6</w:t>
      </w:r>
      <w:r w:rsidRPr="00C11338">
        <w:t>.</w:t>
      </w:r>
    </w:p>
    <w:p w:rsidR="002C3890" w:rsidRDefault="00D7457C" w:rsidP="00640F85">
      <w:pPr>
        <w:pStyle w:val="Answer"/>
        <w:jc w:val="left"/>
      </w:pPr>
      <w:r>
        <w:t>A.</w:t>
      </w:r>
      <w:r>
        <w:tab/>
      </w:r>
      <w:r w:rsidRPr="00DF68CA">
        <w:rPr>
          <w:b/>
        </w:rPr>
        <w:t>Hydro Decommissioning (</w:t>
      </w:r>
      <w:r>
        <w:rPr>
          <w:b/>
        </w:rPr>
        <w:t>page 6.1</w:t>
      </w:r>
      <w:r w:rsidRPr="001F282F">
        <w:rPr>
          <w:b/>
        </w:rPr>
        <w:t>)</w:t>
      </w:r>
      <w:r w:rsidR="00646B4E">
        <w:t>—</w:t>
      </w:r>
      <w:r w:rsidR="005255C0" w:rsidRPr="005255C0">
        <w:t>Based on the Company</w:t>
      </w:r>
      <w:r w:rsidR="002C3890">
        <w:t>’</w:t>
      </w:r>
      <w:r w:rsidR="005255C0" w:rsidRPr="005255C0">
        <w:t>s latest depreciation study approved in Docket UE-130052, an additional $8.85 million is required for the decommissioning of various hydro facilities.</w:t>
      </w:r>
      <w:r w:rsidR="00E728FE">
        <w:t xml:space="preserve"> </w:t>
      </w:r>
      <w:r w:rsidR="000100EE">
        <w:t xml:space="preserve"> </w:t>
      </w:r>
      <w:r w:rsidR="00A276F6" w:rsidRPr="00A276F6">
        <w:t>Th</w:t>
      </w:r>
      <w:r w:rsidR="00261D4F">
        <w:t>is</w:t>
      </w:r>
      <w:r w:rsidR="00A276F6" w:rsidRPr="00A276F6">
        <w:t xml:space="preserve"> pro forma adjustment walks forward the decommissioning expenditures through </w:t>
      </w:r>
      <w:r w:rsidR="00D606FE">
        <w:t>December 2014</w:t>
      </w:r>
      <w:r w:rsidR="00E728FE">
        <w:t xml:space="preserve">.  </w:t>
      </w:r>
      <w:r w:rsidR="00A276F6" w:rsidRPr="00A276F6">
        <w:t>The reserve does not include funds for Powerdale, which was reclassified to unrecovered plant</w:t>
      </w:r>
      <w:r w:rsidR="00E728FE">
        <w:t xml:space="preserve">.  </w:t>
      </w:r>
    </w:p>
    <w:p w:rsidR="00D7457C" w:rsidRDefault="00A276F6" w:rsidP="002C3890">
      <w:pPr>
        <w:pStyle w:val="Answer"/>
        <w:ind w:firstLine="0"/>
        <w:jc w:val="left"/>
      </w:pPr>
      <w:r w:rsidRPr="00A276F6">
        <w:t xml:space="preserve">A separate </w:t>
      </w:r>
      <w:r w:rsidR="00646B4E">
        <w:t xml:space="preserve">Commission </w:t>
      </w:r>
      <w:r w:rsidRPr="00A276F6">
        <w:t xml:space="preserve">order </w:t>
      </w:r>
      <w:r w:rsidR="000100EE">
        <w:t>allows recovery of</w:t>
      </w:r>
      <w:r w:rsidRPr="00A276F6">
        <w:t xml:space="preserve"> the estimated decommissionin</w:t>
      </w:r>
      <w:r>
        <w:t xml:space="preserve">g costs of Powerdale as </w:t>
      </w:r>
      <w:r w:rsidR="00646B4E">
        <w:t xml:space="preserve">reflected </w:t>
      </w:r>
      <w:r>
        <w:t>on page</w:t>
      </w:r>
      <w:r w:rsidR="00A75377">
        <w:t> </w:t>
      </w:r>
      <w:r w:rsidRPr="00A276F6">
        <w:t>8.</w:t>
      </w:r>
      <w:r w:rsidR="00261D4F">
        <w:t>6</w:t>
      </w:r>
      <w:r w:rsidR="00646B4E">
        <w:t xml:space="preserve"> of the Report</w:t>
      </w:r>
      <w:r w:rsidRPr="00A276F6">
        <w:t>.</w:t>
      </w:r>
    </w:p>
    <w:p w:rsidR="00E54E58" w:rsidRDefault="00E54E58" w:rsidP="003F7952">
      <w:pPr>
        <w:pStyle w:val="Answer"/>
        <w:jc w:val="left"/>
      </w:pPr>
      <w:r>
        <w:tab/>
      </w:r>
      <w:r>
        <w:rPr>
          <w:b/>
        </w:rPr>
        <w:t xml:space="preserve">Depreciation and Amortization Reserve to </w:t>
      </w:r>
      <w:r w:rsidR="00FA0003">
        <w:rPr>
          <w:b/>
        </w:rPr>
        <w:t>December 2013</w:t>
      </w:r>
      <w:r>
        <w:rPr>
          <w:b/>
        </w:rPr>
        <w:t xml:space="preserve"> Balance</w:t>
      </w:r>
      <w:r w:rsidRPr="00DF68CA">
        <w:rPr>
          <w:b/>
        </w:rPr>
        <w:t xml:space="preserve"> (</w:t>
      </w:r>
      <w:r>
        <w:rPr>
          <w:b/>
        </w:rPr>
        <w:t>page 6.2</w:t>
      </w:r>
      <w:r w:rsidR="005C650C">
        <w:rPr>
          <w:b/>
        </w:rPr>
        <w:t>-6.2.2</w:t>
      </w:r>
      <w:r w:rsidRPr="001F282F">
        <w:rPr>
          <w:b/>
        </w:rPr>
        <w:t>)</w:t>
      </w:r>
      <w:r w:rsidR="00646B4E">
        <w:t>—</w:t>
      </w:r>
      <w:r>
        <w:t xml:space="preserve">This restating adjustment </w:t>
      </w:r>
      <w:r w:rsidR="000100EE">
        <w:t xml:space="preserve">changes </w:t>
      </w:r>
      <w:r>
        <w:t xml:space="preserve">the depreciation and amortization reserve from </w:t>
      </w:r>
      <w:r w:rsidR="00D606FE">
        <w:t>December 2013</w:t>
      </w:r>
      <w:r>
        <w:t xml:space="preserve"> AMA balance</w:t>
      </w:r>
      <w:r w:rsidR="00D31212">
        <w:t>s</w:t>
      </w:r>
      <w:r>
        <w:t xml:space="preserve"> to </w:t>
      </w:r>
      <w:r w:rsidR="00064972">
        <w:t>actual</w:t>
      </w:r>
      <w:r>
        <w:t xml:space="preserve"> </w:t>
      </w:r>
      <w:r w:rsidR="00D606FE">
        <w:t xml:space="preserve">December </w:t>
      </w:r>
      <w:r w:rsidR="00FA0003">
        <w:t xml:space="preserve">31, </w:t>
      </w:r>
      <w:r w:rsidR="00D606FE">
        <w:t>2013</w:t>
      </w:r>
      <w:r w:rsidR="00646B4E">
        <w:t xml:space="preserve"> </w:t>
      </w:r>
      <w:r>
        <w:t>balance</w:t>
      </w:r>
      <w:r w:rsidR="00064972">
        <w:t>s</w:t>
      </w:r>
      <w:r>
        <w:t>.</w:t>
      </w:r>
      <w:r w:rsidR="00064972">
        <w:t xml:space="preserve"> </w:t>
      </w:r>
      <w:r w:rsidR="000100EE">
        <w:t xml:space="preserve"> </w:t>
      </w:r>
      <w:r w:rsidR="00064972">
        <w:t>This matches Adjustment 8.12</w:t>
      </w:r>
      <w:r w:rsidR="000100EE">
        <w:t>,</w:t>
      </w:r>
      <w:r w:rsidR="00064972">
        <w:t xml:space="preserve"> Plant Balances to December 2013 Balance</w:t>
      </w:r>
      <w:r w:rsidR="000100EE">
        <w:t>,</w:t>
      </w:r>
      <w:r w:rsidR="00064972">
        <w:t xml:space="preserve"> as discussed in detail below.</w:t>
      </w:r>
    </w:p>
    <w:p w:rsidR="00E54E58" w:rsidRDefault="00E54E58" w:rsidP="003F7952">
      <w:pPr>
        <w:pStyle w:val="Answer"/>
        <w:jc w:val="left"/>
      </w:pPr>
      <w:r>
        <w:tab/>
      </w:r>
      <w:r>
        <w:rPr>
          <w:b/>
        </w:rPr>
        <w:t xml:space="preserve">Depreciation </w:t>
      </w:r>
      <w:r w:rsidR="005C650C">
        <w:rPr>
          <w:b/>
        </w:rPr>
        <w:t>Study</w:t>
      </w:r>
      <w:r w:rsidRPr="00DF68CA">
        <w:rPr>
          <w:b/>
        </w:rPr>
        <w:t xml:space="preserve"> </w:t>
      </w:r>
      <w:r w:rsidR="009D5D37">
        <w:rPr>
          <w:b/>
        </w:rPr>
        <w:t xml:space="preserve">and Annual Depreciation </w:t>
      </w:r>
      <w:r w:rsidRPr="00DF68CA">
        <w:rPr>
          <w:b/>
        </w:rPr>
        <w:t>(</w:t>
      </w:r>
      <w:r>
        <w:rPr>
          <w:b/>
        </w:rPr>
        <w:t>page 6.3</w:t>
      </w:r>
      <w:r w:rsidR="005C650C">
        <w:rPr>
          <w:b/>
        </w:rPr>
        <w:t>-6.3.2</w:t>
      </w:r>
      <w:r w:rsidRPr="001F282F">
        <w:rPr>
          <w:b/>
        </w:rPr>
        <w:t>)</w:t>
      </w:r>
      <w:r w:rsidR="008C518F">
        <w:t>—</w:t>
      </w:r>
      <w:r>
        <w:t xml:space="preserve">This restating adjustment normalizes </w:t>
      </w:r>
      <w:r w:rsidR="005C12FF">
        <w:t xml:space="preserve">depreciation expense and reserve </w:t>
      </w:r>
      <w:r w:rsidR="000100EE">
        <w:t xml:space="preserve">in the historical Test Period </w:t>
      </w:r>
      <w:r w:rsidR="005C12FF">
        <w:t xml:space="preserve">to reflect </w:t>
      </w:r>
      <w:r w:rsidR="008E27AC">
        <w:t xml:space="preserve">both </w:t>
      </w:r>
      <w:r w:rsidR="005C12FF">
        <w:t xml:space="preserve">the impact of the depreciation rates </w:t>
      </w:r>
      <w:r w:rsidR="00D606FE">
        <w:t xml:space="preserve">approved by the Commission in </w:t>
      </w:r>
      <w:r w:rsidR="000100EE">
        <w:t xml:space="preserve">Docket </w:t>
      </w:r>
      <w:r w:rsidR="00D606FE">
        <w:t>UE-130052</w:t>
      </w:r>
      <w:r w:rsidR="008E27AC">
        <w:t xml:space="preserve"> and the impact of adjusting plant balances from a December 2013 </w:t>
      </w:r>
      <w:r w:rsidR="008E27AC">
        <w:lastRenderedPageBreak/>
        <w:t>AMA basis to a year-end December 31, 2013 basis.</w:t>
      </w:r>
      <w:r w:rsidR="009D5D37">
        <w:t xml:space="preserve">  This treatment is consistent with that approved in the 2013 Rate Case.</w:t>
      </w:r>
    </w:p>
    <w:p w:rsidR="005C650C" w:rsidRPr="001F282F" w:rsidRDefault="005C650C" w:rsidP="00B10A72">
      <w:pPr>
        <w:pStyle w:val="Answer"/>
        <w:ind w:firstLine="0"/>
        <w:jc w:val="left"/>
      </w:pPr>
      <w:r>
        <w:rPr>
          <w:b/>
        </w:rPr>
        <w:t>Vehicle Depreciation</w:t>
      </w:r>
      <w:r w:rsidR="000100EE">
        <w:rPr>
          <w:b/>
        </w:rPr>
        <w:t>—</w:t>
      </w:r>
      <w:r>
        <w:rPr>
          <w:b/>
        </w:rPr>
        <w:t xml:space="preserve">Depreciation Study </w:t>
      </w:r>
      <w:r w:rsidRPr="00DF68CA">
        <w:rPr>
          <w:b/>
        </w:rPr>
        <w:t>(</w:t>
      </w:r>
      <w:r>
        <w:rPr>
          <w:b/>
        </w:rPr>
        <w:t>page 6.4-6.4.2</w:t>
      </w:r>
      <w:r w:rsidRPr="001F282F">
        <w:rPr>
          <w:b/>
        </w:rPr>
        <w:t>)</w:t>
      </w:r>
      <w:r>
        <w:t>—</w:t>
      </w:r>
      <w:r w:rsidR="00B10A72">
        <w:t xml:space="preserve">This restating adjustment normalizes depreciation expense </w:t>
      </w:r>
      <w:r w:rsidR="000100EE">
        <w:t xml:space="preserve">and reserve </w:t>
      </w:r>
      <w:r w:rsidR="00B10A72">
        <w:t>to reflect the impact of the depreciation rates for vehicles</w:t>
      </w:r>
      <w:r w:rsidR="002A0C76">
        <w:t xml:space="preserve"> approved by the Commission in D</w:t>
      </w:r>
      <w:r w:rsidR="00B10A72">
        <w:t xml:space="preserve">ocket UE-130052.  </w:t>
      </w:r>
    </w:p>
    <w:p w:rsidR="00237FBC" w:rsidRPr="00282EDC" w:rsidRDefault="00237FBC" w:rsidP="00282EDC">
      <w:pPr>
        <w:pStyle w:val="Heading2"/>
      </w:pPr>
      <w:bookmarkStart w:id="14" w:name="_Toc386626890"/>
      <w:r w:rsidRPr="00282EDC">
        <w:t>Tab 7</w:t>
      </w:r>
      <w:r w:rsidR="003F6D87" w:rsidRPr="00282EDC">
        <w:t>—</w:t>
      </w:r>
      <w:r w:rsidRPr="00282EDC">
        <w:t>Tax Adjustments</w:t>
      </w:r>
      <w:bookmarkEnd w:id="14"/>
    </w:p>
    <w:p w:rsidR="008F380B" w:rsidRDefault="008F380B" w:rsidP="003F7952">
      <w:pPr>
        <w:pStyle w:val="Answer"/>
        <w:jc w:val="left"/>
        <w:rPr>
          <w:b/>
          <w:szCs w:val="24"/>
        </w:rPr>
      </w:pPr>
      <w:r w:rsidRPr="00EF0E3D">
        <w:rPr>
          <w:b/>
          <w:szCs w:val="24"/>
        </w:rPr>
        <w:t>Q.</w:t>
      </w:r>
      <w:r w:rsidRPr="00EF0E3D">
        <w:rPr>
          <w:b/>
          <w:szCs w:val="24"/>
        </w:rPr>
        <w:tab/>
      </w:r>
      <w:r>
        <w:rPr>
          <w:b/>
          <w:szCs w:val="24"/>
        </w:rPr>
        <w:t>Please describe how state i</w:t>
      </w:r>
      <w:r w:rsidR="000E413A">
        <w:rPr>
          <w:b/>
          <w:szCs w:val="24"/>
        </w:rPr>
        <w:t>ncome tax expense is</w:t>
      </w:r>
      <w:r>
        <w:rPr>
          <w:b/>
          <w:szCs w:val="24"/>
        </w:rPr>
        <w:t xml:space="preserve"> treated in this filing.</w:t>
      </w:r>
    </w:p>
    <w:p w:rsidR="00CA738D" w:rsidRDefault="008F380B" w:rsidP="002A0C76">
      <w:pPr>
        <w:pStyle w:val="Answer"/>
        <w:jc w:val="left"/>
      </w:pPr>
      <w:r w:rsidRPr="00B543D0">
        <w:t>A.</w:t>
      </w:r>
      <w:r w:rsidRPr="00B543D0">
        <w:tab/>
      </w:r>
      <w:r w:rsidR="000E413A">
        <w:t>No state income tax expense is</w:t>
      </w:r>
      <w:r w:rsidRPr="00B543D0">
        <w:t xml:space="preserve"> included in the calculation of Washington’s revenue requirement</w:t>
      </w:r>
      <w:r w:rsidR="00E728FE">
        <w:t xml:space="preserve">.  </w:t>
      </w:r>
      <w:r>
        <w:t>U</w:t>
      </w:r>
      <w:r w:rsidRPr="00B543D0">
        <w:t>nder the WCA</w:t>
      </w:r>
      <w:r>
        <w:t xml:space="preserve">, </w:t>
      </w:r>
      <w:r w:rsidRPr="00B543D0">
        <w:t xml:space="preserve">state income taxes are </w:t>
      </w:r>
      <w:r>
        <w:t>situs assigned</w:t>
      </w:r>
      <w:r w:rsidRPr="00B543D0">
        <w:t xml:space="preserve"> based on each state’s </w:t>
      </w:r>
      <w:r>
        <w:t>statutory</w:t>
      </w:r>
      <w:r w:rsidRPr="00B543D0">
        <w:t xml:space="preserve"> tax rate</w:t>
      </w:r>
      <w:r w:rsidR="00E728FE">
        <w:t xml:space="preserve">.  </w:t>
      </w:r>
      <w:r>
        <w:t>Because</w:t>
      </w:r>
      <w:r w:rsidRPr="00B543D0">
        <w:t xml:space="preserve"> Washington has no state income tax, no state income tax</w:t>
      </w:r>
      <w:r>
        <w:t xml:space="preserve"> expense</w:t>
      </w:r>
      <w:r w:rsidRPr="00B543D0">
        <w:t xml:space="preserve"> is included</w:t>
      </w:r>
      <w:r>
        <w:t xml:space="preserve"> in this filing.</w:t>
      </w:r>
    </w:p>
    <w:p w:rsidR="008F380B" w:rsidRPr="00B543D0" w:rsidRDefault="000E413A" w:rsidP="003F7952">
      <w:pPr>
        <w:pStyle w:val="Answer"/>
        <w:jc w:val="left"/>
        <w:rPr>
          <w:b/>
        </w:rPr>
      </w:pPr>
      <w:r>
        <w:rPr>
          <w:b/>
        </w:rPr>
        <w:t>Q.</w:t>
      </w:r>
      <w:r>
        <w:rPr>
          <w:b/>
        </w:rPr>
        <w:tab/>
        <w:t>How has federal income tax expense</w:t>
      </w:r>
      <w:r w:rsidR="008F380B" w:rsidRPr="00B543D0">
        <w:rPr>
          <w:b/>
        </w:rPr>
        <w:t xml:space="preserve"> been calculated?</w:t>
      </w:r>
    </w:p>
    <w:p w:rsidR="00081991" w:rsidRDefault="008F380B" w:rsidP="003F7952">
      <w:pPr>
        <w:pStyle w:val="Answer"/>
        <w:jc w:val="left"/>
      </w:pPr>
      <w:r w:rsidRPr="00C11338">
        <w:t>A.</w:t>
      </w:r>
      <w:r w:rsidRPr="00C11338">
        <w:tab/>
      </w:r>
      <w:r>
        <w:t>F</w:t>
      </w:r>
      <w:r w:rsidRPr="00C11338">
        <w:t xml:space="preserve">ederal income tax expense </w:t>
      </w:r>
      <w:r>
        <w:t xml:space="preserve">for </w:t>
      </w:r>
      <w:r w:rsidRPr="00C11338">
        <w:t>ratemaking is calculated using the same methodology that the Company uses in preparing its filed income tax returns</w:t>
      </w:r>
      <w:r w:rsidR="00E728FE">
        <w:t xml:space="preserve">.  </w:t>
      </w:r>
      <w:r w:rsidRPr="00C11338">
        <w:t xml:space="preserve">The detail supporting this calculation is </w:t>
      </w:r>
      <w:r>
        <w:t>summarized</w:t>
      </w:r>
      <w:r w:rsidRPr="00C11338">
        <w:t xml:space="preserve"> on</w:t>
      </w:r>
      <w:r w:rsidRPr="00C11338">
        <w:rPr>
          <w:b/>
        </w:rPr>
        <w:t xml:space="preserve"> </w:t>
      </w:r>
      <w:r>
        <w:t>page 2.22 of the Report.</w:t>
      </w:r>
    </w:p>
    <w:p w:rsidR="00237FBC" w:rsidRPr="000E413A" w:rsidRDefault="00AD544F" w:rsidP="003F7952">
      <w:pPr>
        <w:pStyle w:val="Answer"/>
        <w:jc w:val="left"/>
        <w:rPr>
          <w:b/>
        </w:rPr>
      </w:pPr>
      <w:r w:rsidRPr="00AD544F">
        <w:rPr>
          <w:b/>
        </w:rPr>
        <w:t>Q.</w:t>
      </w:r>
      <w:r w:rsidRPr="00AD544F">
        <w:rPr>
          <w:b/>
        </w:rPr>
        <w:tab/>
        <w:t>Please describe the adjustments included in Tab 7.</w:t>
      </w:r>
    </w:p>
    <w:p w:rsidR="00237FBC" w:rsidRDefault="00237FBC" w:rsidP="003F7952">
      <w:pPr>
        <w:pStyle w:val="Answer"/>
        <w:jc w:val="left"/>
      </w:pPr>
      <w:r w:rsidRPr="00C03A14">
        <w:t>A.</w:t>
      </w:r>
      <w:r>
        <w:rPr>
          <w:b/>
        </w:rPr>
        <w:tab/>
        <w:t>Interest True</w:t>
      </w:r>
      <w:r w:rsidR="00C736F3">
        <w:rPr>
          <w:b/>
        </w:rPr>
        <w:t>-</w:t>
      </w:r>
      <w:r>
        <w:rPr>
          <w:b/>
        </w:rPr>
        <w:t>Up (page 7.1)</w:t>
      </w:r>
      <w:r w:rsidR="008C518F">
        <w:t>—</w:t>
      </w:r>
      <w:r w:rsidRPr="009710C6">
        <w:t xml:space="preserve">This </w:t>
      </w:r>
      <w:r w:rsidR="007820AC">
        <w:t xml:space="preserve">restating and pro forma </w:t>
      </w:r>
      <w:r w:rsidRPr="009710C6">
        <w:t xml:space="preserve">adjustment </w:t>
      </w:r>
      <w:r>
        <w:t xml:space="preserve">details the adjustment to </w:t>
      </w:r>
      <w:r w:rsidRPr="009710C6">
        <w:t xml:space="preserve">interest expense </w:t>
      </w:r>
      <w:r>
        <w:t xml:space="preserve">required to synchronize the </w:t>
      </w:r>
      <w:r w:rsidR="00BC0810">
        <w:t>T</w:t>
      </w:r>
      <w:r>
        <w:t xml:space="preserve">est </w:t>
      </w:r>
      <w:r w:rsidR="00BC0810">
        <w:t>P</w:t>
      </w:r>
      <w:r>
        <w:t xml:space="preserve">eriod </w:t>
      </w:r>
      <w:r w:rsidR="00717E5C">
        <w:t xml:space="preserve">interest </w:t>
      </w:r>
      <w:r>
        <w:t xml:space="preserve">expense </w:t>
      </w:r>
      <w:r w:rsidRPr="009710C6">
        <w:t>with rate base</w:t>
      </w:r>
      <w:r w:rsidR="00E728FE">
        <w:t xml:space="preserve">.  </w:t>
      </w:r>
      <w:r w:rsidRPr="009710C6">
        <w:t xml:space="preserve">This is done by multiplying </w:t>
      </w:r>
      <w:r>
        <w:t xml:space="preserve">Washington </w:t>
      </w:r>
      <w:r w:rsidRPr="009710C6">
        <w:t>net rate base by the Company’s weighted cost of debt</w:t>
      </w:r>
      <w:r>
        <w:t xml:space="preserve"> in this case</w:t>
      </w:r>
      <w:r w:rsidR="00E728FE">
        <w:t xml:space="preserve">.  </w:t>
      </w:r>
      <w:r w:rsidR="007820AC">
        <w:t>This adjustment is calculated in two parts</w:t>
      </w:r>
      <w:r w:rsidR="00E728FE">
        <w:t xml:space="preserve">.  </w:t>
      </w:r>
      <w:r w:rsidR="007820AC">
        <w:t>First, the interest expense is calculated for all of the restating adjustments included in th</w:t>
      </w:r>
      <w:r w:rsidR="001734C3">
        <w:t>is</w:t>
      </w:r>
      <w:r w:rsidR="007820AC">
        <w:t xml:space="preserve"> filing</w:t>
      </w:r>
      <w:r w:rsidR="00E728FE">
        <w:t xml:space="preserve">.  </w:t>
      </w:r>
      <w:r w:rsidR="007820AC">
        <w:t>Second, the interest expense is calculated for all of the adjustment</w:t>
      </w:r>
      <w:r w:rsidR="008631E9">
        <w:t>s</w:t>
      </w:r>
      <w:r w:rsidR="007820AC">
        <w:t xml:space="preserve"> included in the filing, including those </w:t>
      </w:r>
      <w:r w:rsidR="00CD3750">
        <w:t xml:space="preserve">that are </w:t>
      </w:r>
      <w:r w:rsidR="007820AC">
        <w:t>pro forma in nature.</w:t>
      </w:r>
    </w:p>
    <w:p w:rsidR="005C12FF" w:rsidRDefault="005C12FF" w:rsidP="003F7952">
      <w:pPr>
        <w:pStyle w:val="Answer"/>
        <w:ind w:firstLine="0"/>
        <w:jc w:val="left"/>
        <w:rPr>
          <w:b/>
        </w:rPr>
      </w:pPr>
      <w:r>
        <w:rPr>
          <w:b/>
        </w:rPr>
        <w:lastRenderedPageBreak/>
        <w:t>Property Tax Expense</w:t>
      </w:r>
      <w:r w:rsidRPr="00C11338">
        <w:rPr>
          <w:b/>
        </w:rPr>
        <w:t xml:space="preserve"> (page 7</w:t>
      </w:r>
      <w:r>
        <w:rPr>
          <w:b/>
        </w:rPr>
        <w:t>.2</w:t>
      </w:r>
      <w:r w:rsidRPr="00C11338">
        <w:rPr>
          <w:b/>
        </w:rPr>
        <w:t>)</w:t>
      </w:r>
      <w:r w:rsidR="008C518F">
        <w:t>—</w:t>
      </w:r>
      <w:r w:rsidRPr="000F4823">
        <w:t>Th</w:t>
      </w:r>
      <w:r>
        <w:t xml:space="preserve">is pro forma adjustment normalizes the difference between </w:t>
      </w:r>
      <w:r w:rsidR="00161366">
        <w:t xml:space="preserve">actual </w:t>
      </w:r>
      <w:r>
        <w:t xml:space="preserve">accrued property tax expense and the pro forma property </w:t>
      </w:r>
      <w:r w:rsidR="00E73313">
        <w:t xml:space="preserve">tax </w:t>
      </w:r>
      <w:r>
        <w:t xml:space="preserve">expense </w:t>
      </w:r>
      <w:r w:rsidR="008C518F">
        <w:t xml:space="preserve">for the 12 months ending </w:t>
      </w:r>
      <w:r w:rsidR="00D606FE">
        <w:t xml:space="preserve">December </w:t>
      </w:r>
      <w:r w:rsidR="00FA0003">
        <w:t xml:space="preserve">31, </w:t>
      </w:r>
      <w:r w:rsidR="00D606FE">
        <w:t>2014</w:t>
      </w:r>
      <w:r w:rsidR="003A0ED7">
        <w:t>.  Details supporting the C</w:t>
      </w:r>
      <w:r w:rsidR="008C518F">
        <w:t xml:space="preserve">ompany’s calculation of pro forma property tax expense are included as </w:t>
      </w:r>
      <w:r w:rsidR="00D97688" w:rsidRPr="003A0ED7">
        <w:t>Confidential Exhibit No.___(</w:t>
      </w:r>
      <w:r w:rsidR="00447091">
        <w:t>NCS</w:t>
      </w:r>
      <w:r w:rsidR="00D97688" w:rsidRPr="003A0ED7">
        <w:t>-</w:t>
      </w:r>
      <w:r w:rsidR="00D05BBE" w:rsidRPr="003A0ED7">
        <w:t>4</w:t>
      </w:r>
      <w:r w:rsidR="003A0ED7" w:rsidRPr="003A0ED7">
        <w:t>C</w:t>
      </w:r>
      <w:r w:rsidR="00D97688" w:rsidRPr="003A0ED7">
        <w:t>)</w:t>
      </w:r>
      <w:r w:rsidR="008C518F" w:rsidRPr="003A0ED7">
        <w:t>.</w:t>
      </w:r>
      <w:r w:rsidR="005255C0">
        <w:t xml:space="preserve">  This </w:t>
      </w:r>
      <w:r w:rsidR="00DE327C">
        <w:t xml:space="preserve">approach </w:t>
      </w:r>
      <w:r w:rsidR="005255C0">
        <w:t xml:space="preserve">is consistent with the </w:t>
      </w:r>
      <w:r w:rsidR="000100EE">
        <w:t xml:space="preserve">treatment </w:t>
      </w:r>
      <w:r w:rsidR="005255C0">
        <w:t>in the 2013 Rate Case.</w:t>
      </w:r>
    </w:p>
    <w:p w:rsidR="00DE327C" w:rsidRDefault="009169D0" w:rsidP="00640F85">
      <w:pPr>
        <w:pStyle w:val="Answer"/>
        <w:widowControl w:val="0"/>
        <w:ind w:firstLine="0"/>
        <w:jc w:val="left"/>
      </w:pPr>
      <w:r>
        <w:rPr>
          <w:b/>
        </w:rPr>
        <w:t>Renewable Energy Tax Credit</w:t>
      </w:r>
      <w:r w:rsidRPr="00C11338">
        <w:rPr>
          <w:b/>
        </w:rPr>
        <w:t xml:space="preserve"> (page 7</w:t>
      </w:r>
      <w:r>
        <w:rPr>
          <w:b/>
        </w:rPr>
        <w:t>.</w:t>
      </w:r>
      <w:r w:rsidR="005C12FF">
        <w:rPr>
          <w:b/>
        </w:rPr>
        <w:t>3</w:t>
      </w:r>
      <w:r w:rsidRPr="00C11338">
        <w:rPr>
          <w:b/>
        </w:rPr>
        <w:t>)</w:t>
      </w:r>
      <w:r w:rsidR="009467BF">
        <w:t>—</w:t>
      </w:r>
      <w:r w:rsidRPr="000F4823">
        <w:t xml:space="preserve">The Company is entitled to recognize a federal income tax credit as a result of placing </w:t>
      </w:r>
      <w:r>
        <w:t>renewable</w:t>
      </w:r>
      <w:r w:rsidRPr="000F4823">
        <w:t xml:space="preserve"> generating plants in service</w:t>
      </w:r>
      <w:r w:rsidR="00E728FE">
        <w:t xml:space="preserve">.  </w:t>
      </w:r>
      <w:r w:rsidRPr="000F4823">
        <w:t xml:space="preserve">The </w:t>
      </w:r>
      <w:r w:rsidR="00DE327C">
        <w:t xml:space="preserve">federal </w:t>
      </w:r>
      <w:r w:rsidRPr="000F4823">
        <w:t xml:space="preserve">tax credit is based on the </w:t>
      </w:r>
      <w:r>
        <w:t xml:space="preserve">kilowatt-hours </w:t>
      </w:r>
      <w:r w:rsidRPr="000F4823">
        <w:t>generat</w:t>
      </w:r>
      <w:r>
        <w:t>ed</w:t>
      </w:r>
      <w:r w:rsidRPr="000F4823">
        <w:t xml:space="preserve"> </w:t>
      </w:r>
      <w:r>
        <w:t>by a qualif</w:t>
      </w:r>
      <w:r w:rsidR="000100EE">
        <w:t>ying</w:t>
      </w:r>
      <w:r>
        <w:t xml:space="preserve"> facility during the facility’s first ten years of service</w:t>
      </w:r>
      <w:r w:rsidR="00E728FE">
        <w:t xml:space="preserve">.  </w:t>
      </w:r>
      <w:r>
        <w:t xml:space="preserve">The credits are </w:t>
      </w:r>
      <w:r w:rsidR="000100EE">
        <w:t xml:space="preserve">used </w:t>
      </w:r>
      <w:r>
        <w:t>in the year of production to the extent current federal income taxes are due, or, should the credits not be fully utilized in the year they are generated, they are carried back one year and forward 20 years to offset taxes in those years</w:t>
      </w:r>
      <w:r w:rsidR="00E728FE">
        <w:t xml:space="preserve">.  </w:t>
      </w:r>
    </w:p>
    <w:p w:rsidR="00640F85" w:rsidRDefault="009169D0" w:rsidP="00913B00">
      <w:pPr>
        <w:pStyle w:val="Answer"/>
        <w:widowControl w:val="0"/>
        <w:ind w:firstLine="720"/>
        <w:jc w:val="left"/>
      </w:pPr>
      <w:r>
        <w:t>This</w:t>
      </w:r>
      <w:r w:rsidR="009467BF">
        <w:t xml:space="preserve"> restating and</w:t>
      </w:r>
      <w:r>
        <w:t xml:space="preserve"> pro forma adjustment reflects this credit based on the qualifying production as modeled in GRID for the pro forma net power cost study</w:t>
      </w:r>
      <w:r w:rsidR="007B55F3">
        <w:t>.</w:t>
      </w:r>
    </w:p>
    <w:p w:rsidR="005C12FF" w:rsidRPr="000000E7" w:rsidRDefault="009467BF" w:rsidP="00640F85">
      <w:pPr>
        <w:pStyle w:val="Answer"/>
        <w:widowControl w:val="0"/>
        <w:ind w:firstLine="0"/>
        <w:jc w:val="left"/>
      </w:pPr>
      <w:r>
        <w:rPr>
          <w:b/>
        </w:rPr>
        <w:t xml:space="preserve">PowerTax </w:t>
      </w:r>
      <w:r w:rsidR="005C12FF">
        <w:rPr>
          <w:b/>
        </w:rPr>
        <w:t xml:space="preserve">Accumulated Deferred Income Tax (ADIT) Balance Adjustment </w:t>
      </w:r>
      <w:r w:rsidR="005C12FF" w:rsidRPr="008D49A8">
        <w:rPr>
          <w:b/>
        </w:rPr>
        <w:t xml:space="preserve">(page </w:t>
      </w:r>
      <w:r w:rsidR="005C12FF">
        <w:rPr>
          <w:b/>
        </w:rPr>
        <w:t>7</w:t>
      </w:r>
      <w:r w:rsidR="005C12FF" w:rsidRPr="008D49A8">
        <w:rPr>
          <w:b/>
        </w:rPr>
        <w:t>.</w:t>
      </w:r>
      <w:r w:rsidR="005C12FF">
        <w:rPr>
          <w:b/>
        </w:rPr>
        <w:t>4</w:t>
      </w:r>
      <w:r>
        <w:rPr>
          <w:b/>
        </w:rPr>
        <w:t>)</w:t>
      </w:r>
      <w:r>
        <w:t>—</w:t>
      </w:r>
      <w:r w:rsidR="005C12FF" w:rsidRPr="000000E7">
        <w:t xml:space="preserve">This restating adjustment  </w:t>
      </w:r>
      <w:r w:rsidRPr="000000E7">
        <w:t>re</w:t>
      </w:r>
      <w:r>
        <w:t>flects</w:t>
      </w:r>
      <w:r w:rsidRPr="000000E7">
        <w:t xml:space="preserve"> </w:t>
      </w:r>
      <w:r w:rsidR="002C3890">
        <w:t>the Company’</w:t>
      </w:r>
      <w:r w:rsidR="005C12FF" w:rsidRPr="000000E7">
        <w:t>s property-related accumulated deferred income tax balances on a jurisdictional basis using results from the Company</w:t>
      </w:r>
      <w:r w:rsidR="000100EE">
        <w:t>’</w:t>
      </w:r>
      <w:r w:rsidR="005C12FF" w:rsidRPr="000000E7">
        <w:t>s tax fixed asset system</w:t>
      </w:r>
      <w:r>
        <w:t>, PowerTax</w:t>
      </w:r>
      <w:r w:rsidR="00E728FE">
        <w:t>.</w:t>
      </w:r>
    </w:p>
    <w:p w:rsidR="005C12FF" w:rsidRDefault="005C12FF" w:rsidP="00D57A3B">
      <w:pPr>
        <w:pStyle w:val="Answer"/>
        <w:ind w:firstLine="0"/>
        <w:jc w:val="left"/>
      </w:pPr>
      <w:r>
        <w:rPr>
          <w:b/>
        </w:rPr>
        <w:t xml:space="preserve">Washington Low Income Tax Credit </w:t>
      </w:r>
      <w:r w:rsidRPr="0047125C">
        <w:rPr>
          <w:b/>
        </w:rPr>
        <w:t>(page 7.</w:t>
      </w:r>
      <w:r>
        <w:rPr>
          <w:b/>
        </w:rPr>
        <w:t>5</w:t>
      </w:r>
      <w:r w:rsidRPr="0047125C">
        <w:rPr>
          <w:b/>
        </w:rPr>
        <w:t>)</w:t>
      </w:r>
      <w:r w:rsidR="009467BF">
        <w:t>—</w:t>
      </w:r>
      <w:r w:rsidRPr="0047125C">
        <w:t xml:space="preserve">This </w:t>
      </w:r>
      <w:r>
        <w:t xml:space="preserve">pro forma adjustment reflects </w:t>
      </w:r>
      <w:r w:rsidR="009467BF">
        <w:t>the change</w:t>
      </w:r>
      <w:r>
        <w:t xml:space="preserve"> to</w:t>
      </w:r>
      <w:r w:rsidR="009467BF">
        <w:t xml:space="preserve"> </w:t>
      </w:r>
      <w:r>
        <w:t xml:space="preserve">Public Utility Tax Credit for </w:t>
      </w:r>
      <w:r w:rsidR="009467BF">
        <w:t xml:space="preserve">the </w:t>
      </w:r>
      <w:r>
        <w:t>Low Income Home Energy Assistance Program (LIHEAP), per a July 26, 201</w:t>
      </w:r>
      <w:r w:rsidR="005255C0">
        <w:t>3</w:t>
      </w:r>
      <w:r>
        <w:t xml:space="preserve"> letter from the Washington Department of Revenue.</w:t>
      </w:r>
    </w:p>
    <w:p w:rsidR="005C12FF" w:rsidRDefault="005C12FF" w:rsidP="005C12FF">
      <w:pPr>
        <w:pStyle w:val="Answer"/>
        <w:ind w:firstLine="0"/>
        <w:jc w:val="left"/>
      </w:pPr>
      <w:r>
        <w:rPr>
          <w:b/>
        </w:rPr>
        <w:lastRenderedPageBreak/>
        <w:t>Washington Flow-Through Adjustment (page 7.6</w:t>
      </w:r>
      <w:r w:rsidR="003E2FD7">
        <w:rPr>
          <w:b/>
        </w:rPr>
        <w:t>-7.6.1</w:t>
      </w:r>
      <w:r>
        <w:rPr>
          <w:b/>
        </w:rPr>
        <w:t>)</w:t>
      </w:r>
      <w:r w:rsidR="00B062CC">
        <w:t>—</w:t>
      </w:r>
      <w:r>
        <w:t xml:space="preserve">The Company’s </w:t>
      </w:r>
      <w:r w:rsidR="004214C8">
        <w:t>per-book</w:t>
      </w:r>
      <w:r>
        <w:t xml:space="preserve">s data for income taxes is reported on a </w:t>
      </w:r>
      <w:r w:rsidR="00B062CC">
        <w:t>tax-</w:t>
      </w:r>
      <w:r>
        <w:t>normalized basis</w:t>
      </w:r>
      <w:r w:rsidR="00E728FE">
        <w:t xml:space="preserve">.  </w:t>
      </w:r>
      <w:r>
        <w:t xml:space="preserve">This restating adjustment converts the </w:t>
      </w:r>
      <w:r w:rsidR="004214C8">
        <w:t>per-book</w:t>
      </w:r>
      <w:r>
        <w:t xml:space="preserve">s data for income taxes from a normalized basis to a partial flow-through basis, consistent with </w:t>
      </w:r>
      <w:r w:rsidR="00DE29CF">
        <w:t>prior Commission orders</w:t>
      </w:r>
      <w:r w:rsidR="002C3890">
        <w:t xml:space="preserve"> including those in the 2010, 2011, and 2013 rate cases.</w:t>
      </w:r>
      <w:r>
        <w:rPr>
          <w:rStyle w:val="FootnoteReference"/>
        </w:rPr>
        <w:footnoteReference w:id="9"/>
      </w:r>
      <w:r>
        <w:t xml:space="preserve"> This is accomplished by removing the deferred income tax benefits/expense and accumulated deferred income tax assets/liabilities for temporary book-tax differences that are not </w:t>
      </w:r>
      <w:r w:rsidR="000100EE">
        <w:t>(</w:t>
      </w:r>
      <w:r>
        <w:t xml:space="preserve">1) required to be normalized by law, or </w:t>
      </w:r>
      <w:r w:rsidR="000100EE">
        <w:t>(</w:t>
      </w:r>
      <w:r>
        <w:t>2) required to be normalized by Commission order</w:t>
      </w:r>
      <w:r w:rsidR="00E728FE">
        <w:t>.</w:t>
      </w:r>
    </w:p>
    <w:p w:rsidR="005C12FF" w:rsidRDefault="00D07A42" w:rsidP="003F7952">
      <w:pPr>
        <w:pStyle w:val="Answer"/>
        <w:widowControl w:val="0"/>
        <w:ind w:firstLine="0"/>
        <w:jc w:val="left"/>
      </w:pPr>
      <w:r>
        <w:rPr>
          <w:b/>
        </w:rPr>
        <w:t xml:space="preserve">Remove Deferred State Tax Expense and Balance </w:t>
      </w:r>
      <w:r w:rsidRPr="0047125C">
        <w:rPr>
          <w:b/>
        </w:rPr>
        <w:t>(page 7.</w:t>
      </w:r>
      <w:r>
        <w:rPr>
          <w:b/>
        </w:rPr>
        <w:t>7</w:t>
      </w:r>
      <w:r w:rsidRPr="0047125C">
        <w:rPr>
          <w:b/>
        </w:rPr>
        <w:t>)</w:t>
      </w:r>
      <w:r w:rsidR="00B062CC">
        <w:t>—</w:t>
      </w:r>
      <w:r>
        <w:t>The Company’s  provision for deferred income tax and balance for accumulated deferred income tax are computed using the Company’s blended federal and state statutory tax rate</w:t>
      </w:r>
      <w:r w:rsidR="00E728FE">
        <w:t xml:space="preserve">.  </w:t>
      </w:r>
      <w:r>
        <w:t>State income taxes are a system cost for the Company that is not recoverable in Washington</w:t>
      </w:r>
      <w:r w:rsidR="00B062CC">
        <w:t xml:space="preserve"> under the WCA</w:t>
      </w:r>
      <w:r w:rsidR="005472F5">
        <w:t xml:space="preserve"> allocation methodology</w:t>
      </w:r>
      <w:r w:rsidR="00E728FE">
        <w:t xml:space="preserve">.  </w:t>
      </w:r>
      <w:r>
        <w:t xml:space="preserve">Accordingly, after all adjustments are made to income taxes, this final adjustment is made to remove </w:t>
      </w:r>
      <w:r w:rsidR="00B062CC">
        <w:t xml:space="preserve">deferred </w:t>
      </w:r>
      <w:r>
        <w:t xml:space="preserve">state income tax </w:t>
      </w:r>
      <w:r w:rsidR="00B062CC">
        <w:t>expense</w:t>
      </w:r>
      <w:r w:rsidR="0052016B">
        <w:t>s</w:t>
      </w:r>
      <w:r w:rsidR="00B062CC">
        <w:t xml:space="preserve"> and balances </w:t>
      </w:r>
      <w:r>
        <w:t xml:space="preserve">from the </w:t>
      </w:r>
      <w:r w:rsidR="00B062CC">
        <w:t>Test Period</w:t>
      </w:r>
      <w:r>
        <w:t>.</w:t>
      </w:r>
    </w:p>
    <w:p w:rsidR="00D606FE" w:rsidRPr="00D606FE" w:rsidRDefault="00D606FE" w:rsidP="003F7952">
      <w:pPr>
        <w:pStyle w:val="Answer"/>
        <w:widowControl w:val="0"/>
        <w:ind w:firstLine="0"/>
        <w:jc w:val="left"/>
      </w:pPr>
      <w:r>
        <w:rPr>
          <w:b/>
        </w:rPr>
        <w:tab/>
      </w:r>
      <w:r w:rsidRPr="00D606FE">
        <w:t>It</w:t>
      </w:r>
      <w:r>
        <w:t xml:space="preserve"> is important to note that if additional adjustments by any party are proposed in this case, the impact of such adjustment will need to include an adjustment to remove the deferred state tax expense and balance as described on page 7.7.</w:t>
      </w:r>
    </w:p>
    <w:p w:rsidR="00D07A42" w:rsidRDefault="009169D0" w:rsidP="00D57A3B">
      <w:pPr>
        <w:pStyle w:val="Answer"/>
        <w:ind w:firstLine="0"/>
        <w:jc w:val="left"/>
      </w:pPr>
      <w:r>
        <w:rPr>
          <w:b/>
        </w:rPr>
        <w:t xml:space="preserve">Washington Public Utility Tax Adjustment </w:t>
      </w:r>
      <w:r w:rsidRPr="0047125C">
        <w:rPr>
          <w:b/>
        </w:rPr>
        <w:t>(page 7.</w:t>
      </w:r>
      <w:r w:rsidR="00D07A42">
        <w:rPr>
          <w:b/>
        </w:rPr>
        <w:t>8</w:t>
      </w:r>
      <w:r w:rsidRPr="0047125C">
        <w:rPr>
          <w:b/>
        </w:rPr>
        <w:t>)</w:t>
      </w:r>
      <w:r w:rsidR="00B062CC">
        <w:t>—</w:t>
      </w:r>
      <w:r w:rsidRPr="0047125C">
        <w:t xml:space="preserve">This </w:t>
      </w:r>
      <w:r>
        <w:t xml:space="preserve">pro forma </w:t>
      </w:r>
      <w:r w:rsidRPr="0047125C">
        <w:t xml:space="preserve">adjustment recalculates the Washington Public Utility Tax expense based on the normalized revenues included in </w:t>
      </w:r>
      <w:r w:rsidR="00B062CC">
        <w:t>the Test Period</w:t>
      </w:r>
      <w:r>
        <w:t>, as discussed in adjustment</w:t>
      </w:r>
      <w:r w:rsidR="0052016B">
        <w:t xml:space="preserve"> pages</w:t>
      </w:r>
      <w:r>
        <w:t xml:space="preserve"> 3.1, 3.2, and 3.3 above</w:t>
      </w:r>
      <w:r w:rsidR="00E728FE">
        <w:t>.</w:t>
      </w:r>
    </w:p>
    <w:p w:rsidR="00835215" w:rsidRPr="00282EDC" w:rsidRDefault="00835215" w:rsidP="00282EDC">
      <w:pPr>
        <w:pStyle w:val="Heading2"/>
      </w:pPr>
      <w:bookmarkStart w:id="15" w:name="_Toc386626891"/>
      <w:r w:rsidRPr="00282EDC">
        <w:lastRenderedPageBreak/>
        <w:t>Tab 8</w:t>
      </w:r>
      <w:r w:rsidR="003F6D87" w:rsidRPr="00282EDC">
        <w:t>—</w:t>
      </w:r>
      <w:r w:rsidRPr="00282EDC">
        <w:t>Rate Base Adjustments</w:t>
      </w:r>
      <w:bookmarkEnd w:id="15"/>
    </w:p>
    <w:p w:rsidR="00835215" w:rsidRDefault="00835215" w:rsidP="003F7952">
      <w:pPr>
        <w:pStyle w:val="Question"/>
        <w:jc w:val="left"/>
      </w:pPr>
      <w:r w:rsidRPr="00944CF5">
        <w:t>Q.</w:t>
      </w:r>
      <w:r>
        <w:rPr>
          <w:b w:val="0"/>
        </w:rPr>
        <w:tab/>
      </w:r>
      <w:r w:rsidRPr="00C11338">
        <w:t xml:space="preserve">Please describe the adjustments included in Tab </w:t>
      </w:r>
      <w:r>
        <w:t>8</w:t>
      </w:r>
      <w:r w:rsidRPr="00C11338">
        <w:t>.</w:t>
      </w:r>
    </w:p>
    <w:p w:rsidR="00D4402C" w:rsidRPr="00D4402C" w:rsidRDefault="00697EA5" w:rsidP="00D4402C">
      <w:pPr>
        <w:spacing w:line="480" w:lineRule="auto"/>
        <w:ind w:left="720" w:hanging="720"/>
        <w:jc w:val="left"/>
      </w:pPr>
      <w:r w:rsidRPr="00697EA5">
        <w:t>A.</w:t>
      </w:r>
      <w:r w:rsidR="00835215">
        <w:tab/>
      </w:r>
      <w:r w:rsidR="00D4402C">
        <w:rPr>
          <w:b/>
        </w:rPr>
        <w:t>Jim Bridger Mine (page 8.1</w:t>
      </w:r>
      <w:r w:rsidR="00D4402C" w:rsidRPr="00C11338">
        <w:rPr>
          <w:b/>
        </w:rPr>
        <w:t>)</w:t>
      </w:r>
      <w:r w:rsidR="00B062CC">
        <w:t>—</w:t>
      </w:r>
      <w:r w:rsidR="00D4402C">
        <w:t>The Company</w:t>
      </w:r>
      <w:r w:rsidR="00D4402C" w:rsidRPr="00B32EBC">
        <w:t xml:space="preserve"> owns a two-thirds interest in the Bridger Coal Company (BCC), which supplies coal to the Jim Bridger generating plant</w:t>
      </w:r>
      <w:r w:rsidR="00E728FE">
        <w:t xml:space="preserve">.  </w:t>
      </w:r>
      <w:r w:rsidR="00D4402C" w:rsidRPr="00B32EBC">
        <w:t>The Company</w:t>
      </w:r>
      <w:r w:rsidR="00D4402C">
        <w:t>’</w:t>
      </w:r>
      <w:r w:rsidR="00D4402C" w:rsidRPr="00B32EBC">
        <w:t>s investment in BCC is recorded on the books of Pacific Minerals, I</w:t>
      </w:r>
      <w:r w:rsidR="00D4402C">
        <w:t>nc.</w:t>
      </w:r>
      <w:r w:rsidR="00D4402C" w:rsidRPr="00B32EBC">
        <w:t>, a wholly-owned subsidiary</w:t>
      </w:r>
      <w:r w:rsidR="00E728FE">
        <w:t xml:space="preserve">.  </w:t>
      </w:r>
      <w:r w:rsidR="00D4402C" w:rsidRPr="00B32EBC">
        <w:t xml:space="preserve">Because of this ownership arrangement, the coal mine investment is not included in </w:t>
      </w:r>
      <w:r w:rsidR="006637F9">
        <w:t>FERC a</w:t>
      </w:r>
      <w:r w:rsidR="00D4402C" w:rsidRPr="00B32EBC">
        <w:t>ccount 101</w:t>
      </w:r>
      <w:r w:rsidR="00810F93">
        <w:t>, Electric </w:t>
      </w:r>
      <w:r w:rsidR="00D4402C" w:rsidRPr="00B32EBC">
        <w:t>Plant in Service</w:t>
      </w:r>
      <w:r w:rsidR="00E728FE">
        <w:t xml:space="preserve">.  </w:t>
      </w:r>
      <w:r w:rsidR="00D4402C" w:rsidRPr="00B32EBC">
        <w:t xml:space="preserve">This </w:t>
      </w:r>
      <w:r w:rsidR="00D4402C">
        <w:t xml:space="preserve">restating </w:t>
      </w:r>
      <w:r w:rsidR="00D4402C" w:rsidRPr="00B32EBC">
        <w:t xml:space="preserve">adjustment is necessary to properly reflect </w:t>
      </w:r>
      <w:r w:rsidR="00D4402C">
        <w:t xml:space="preserve">the </w:t>
      </w:r>
      <w:r w:rsidR="00FA0003">
        <w:t xml:space="preserve">December 2013 </w:t>
      </w:r>
      <w:r w:rsidR="00D4402C">
        <w:t xml:space="preserve">balance associated with </w:t>
      </w:r>
      <w:r w:rsidR="00D4402C" w:rsidRPr="00B32EBC">
        <w:t xml:space="preserve">the BCC plant investment in the </w:t>
      </w:r>
      <w:r w:rsidR="00D4402C">
        <w:t>Test Period</w:t>
      </w:r>
      <w:r w:rsidR="00E728FE">
        <w:t xml:space="preserve">.  </w:t>
      </w:r>
      <w:r w:rsidR="00D4402C" w:rsidRPr="00B32EBC">
        <w:t xml:space="preserve">The Bridger Mine adjustment was stipulated to and approved in </w:t>
      </w:r>
      <w:r w:rsidR="000D4763">
        <w:t xml:space="preserve">the Company’s 2003 general rate case, </w:t>
      </w:r>
      <w:r w:rsidR="006637F9">
        <w:t>D</w:t>
      </w:r>
      <w:r w:rsidR="00D4402C">
        <w:t>ocket</w:t>
      </w:r>
      <w:r w:rsidR="00D4402C" w:rsidRPr="00B32EBC">
        <w:t xml:space="preserve"> UE-032065</w:t>
      </w:r>
      <w:r w:rsidR="00D4402C">
        <w:rPr>
          <w:rStyle w:val="FootnoteReference"/>
        </w:rPr>
        <w:footnoteReference w:id="10"/>
      </w:r>
      <w:r w:rsidR="00D4402C" w:rsidRPr="00B32EBC">
        <w:t xml:space="preserve">, and has been included in all </w:t>
      </w:r>
      <w:r w:rsidR="00D4402C">
        <w:t>rate case</w:t>
      </w:r>
      <w:r w:rsidR="00D4402C" w:rsidRPr="00B32EBC">
        <w:t xml:space="preserve"> filings since</w:t>
      </w:r>
      <w:r w:rsidR="00E728FE">
        <w:t xml:space="preserve">.  </w:t>
      </w:r>
      <w:r w:rsidR="00D4402C" w:rsidRPr="00D4402C">
        <w:t xml:space="preserve">Consistent with the </w:t>
      </w:r>
      <w:r w:rsidR="006637F9">
        <w:t xml:space="preserve">Company’s </w:t>
      </w:r>
      <w:r w:rsidR="00D4402C" w:rsidRPr="00D4402C">
        <w:t>2010</w:t>
      </w:r>
      <w:r w:rsidR="006637F9">
        <w:t>,</w:t>
      </w:r>
      <w:r w:rsidR="00D4402C" w:rsidRPr="00D4402C">
        <w:t xml:space="preserve"> </w:t>
      </w:r>
      <w:r w:rsidR="009B03E4">
        <w:t>2011,</w:t>
      </w:r>
      <w:r w:rsidR="00501853">
        <w:t xml:space="preserve"> and 2013 </w:t>
      </w:r>
      <w:r w:rsidR="006637F9">
        <w:t>r</w:t>
      </w:r>
      <w:r w:rsidR="00501853">
        <w:t xml:space="preserve">ate </w:t>
      </w:r>
      <w:r w:rsidR="006637F9">
        <w:t>c</w:t>
      </w:r>
      <w:r w:rsidR="00501853">
        <w:t>ase</w:t>
      </w:r>
      <w:r w:rsidR="006637F9">
        <w:t>s</w:t>
      </w:r>
      <w:r w:rsidR="00D4402C" w:rsidRPr="00D4402C">
        <w:t xml:space="preserve">, materials and supplies and pit inventory balances associated with the </w:t>
      </w:r>
      <w:r w:rsidR="0052016B">
        <w:t>BCC</w:t>
      </w:r>
      <w:r w:rsidR="00D4402C" w:rsidRPr="00D4402C">
        <w:t xml:space="preserve"> have been excluded from the Test Period</w:t>
      </w:r>
      <w:r w:rsidR="00E728FE">
        <w:t>.</w:t>
      </w:r>
    </w:p>
    <w:p w:rsidR="002C3890" w:rsidRDefault="000F1952" w:rsidP="00D4402C">
      <w:pPr>
        <w:pStyle w:val="Question"/>
        <w:widowControl w:val="0"/>
        <w:ind w:firstLine="0"/>
        <w:jc w:val="left"/>
        <w:rPr>
          <w:b w:val="0"/>
        </w:rPr>
      </w:pPr>
      <w:r w:rsidRPr="00B32EBC">
        <w:t xml:space="preserve">Environmental </w:t>
      </w:r>
      <w:r w:rsidRPr="000F1952">
        <w:t xml:space="preserve">Settlement </w:t>
      </w:r>
      <w:r w:rsidRPr="00B32EBC">
        <w:t>(page 8.</w:t>
      </w:r>
      <w:r w:rsidRPr="000F1952">
        <w:t>2)</w:t>
      </w:r>
      <w:r w:rsidR="00AE3C18">
        <w:t>—</w:t>
      </w:r>
      <w:r w:rsidRPr="000F1952">
        <w:rPr>
          <w:b w:val="0"/>
        </w:rPr>
        <w:t>The Commission authorized the Company to record and defer costs prudently incurred in connection with its environmental remediation program</w:t>
      </w:r>
      <w:r w:rsidR="001A68AE">
        <w:rPr>
          <w:b w:val="0"/>
        </w:rPr>
        <w:t xml:space="preserve"> in D</w:t>
      </w:r>
      <w:r w:rsidR="007E5816">
        <w:rPr>
          <w:b w:val="0"/>
        </w:rPr>
        <w:t xml:space="preserve">ocket </w:t>
      </w:r>
      <w:r w:rsidR="007E5816" w:rsidRPr="000F1952">
        <w:rPr>
          <w:b w:val="0"/>
        </w:rPr>
        <w:t>UE-031658.</w:t>
      </w:r>
      <w:r w:rsidR="007E5816" w:rsidRPr="000F1952">
        <w:rPr>
          <w:rStyle w:val="FootnoteReference"/>
          <w:b w:val="0"/>
        </w:rPr>
        <w:footnoteReference w:id="11"/>
      </w:r>
      <w:r w:rsidR="007E5816" w:rsidRPr="000F1952">
        <w:rPr>
          <w:b w:val="0"/>
        </w:rPr>
        <w:t xml:space="preserve">  </w:t>
      </w:r>
      <w:r w:rsidRPr="000F1952">
        <w:rPr>
          <w:b w:val="0"/>
        </w:rPr>
        <w:t xml:space="preserve">Costs of projects in excess of </w:t>
      </w:r>
    </w:p>
    <w:p w:rsidR="000F1952" w:rsidRPr="000F1952" w:rsidRDefault="000F1952" w:rsidP="00D4402C">
      <w:pPr>
        <w:pStyle w:val="Question"/>
        <w:widowControl w:val="0"/>
        <w:ind w:firstLine="0"/>
        <w:jc w:val="left"/>
        <w:rPr>
          <w:b w:val="0"/>
        </w:rPr>
      </w:pPr>
      <w:r w:rsidRPr="000F1952">
        <w:rPr>
          <w:b w:val="0"/>
        </w:rPr>
        <w:t xml:space="preserve">$3 million </w:t>
      </w:r>
      <w:r w:rsidR="00AE3C18">
        <w:rPr>
          <w:b w:val="0"/>
        </w:rPr>
        <w:t>on a total-company basis</w:t>
      </w:r>
      <w:r w:rsidRPr="000F1952">
        <w:rPr>
          <w:b w:val="0"/>
        </w:rPr>
        <w:t xml:space="preserve">, incurred from October 2003 through March 2005, </w:t>
      </w:r>
      <w:r w:rsidR="00AE3C18">
        <w:rPr>
          <w:b w:val="0"/>
        </w:rPr>
        <w:t>were authorized</w:t>
      </w:r>
      <w:r w:rsidR="00AE3C18" w:rsidRPr="000F1952">
        <w:rPr>
          <w:b w:val="0"/>
        </w:rPr>
        <w:t xml:space="preserve"> </w:t>
      </w:r>
      <w:r w:rsidRPr="000F1952">
        <w:rPr>
          <w:b w:val="0"/>
        </w:rPr>
        <w:t>to be deferred and amortized over a ten-year period</w:t>
      </w:r>
      <w:r w:rsidR="00E728FE">
        <w:rPr>
          <w:b w:val="0"/>
        </w:rPr>
        <w:t xml:space="preserve">.  </w:t>
      </w:r>
      <w:r w:rsidR="00FA0003">
        <w:rPr>
          <w:b w:val="0"/>
        </w:rPr>
        <w:t>T</w:t>
      </w:r>
      <w:r w:rsidRPr="000F1952">
        <w:rPr>
          <w:b w:val="0"/>
        </w:rPr>
        <w:t>he Third West Substation Cleanup qualifie</w:t>
      </w:r>
      <w:r w:rsidR="00AE3C18">
        <w:rPr>
          <w:b w:val="0"/>
        </w:rPr>
        <w:t>d</w:t>
      </w:r>
      <w:r w:rsidRPr="000F1952">
        <w:rPr>
          <w:b w:val="0"/>
        </w:rPr>
        <w:t xml:space="preserve"> for this treatment</w:t>
      </w:r>
      <w:r w:rsidR="00E728FE">
        <w:rPr>
          <w:b w:val="0"/>
        </w:rPr>
        <w:t xml:space="preserve">.  </w:t>
      </w:r>
      <w:r w:rsidRPr="000F1952">
        <w:rPr>
          <w:b w:val="0"/>
        </w:rPr>
        <w:t>This restating adjustment removes the balance and amortization</w:t>
      </w:r>
      <w:r w:rsidR="00AE3C18">
        <w:rPr>
          <w:b w:val="0"/>
        </w:rPr>
        <w:t xml:space="preserve"> expense</w:t>
      </w:r>
      <w:r w:rsidRPr="000F1952">
        <w:rPr>
          <w:b w:val="0"/>
        </w:rPr>
        <w:t xml:space="preserve"> from FERC accounts 182.391 and </w:t>
      </w:r>
      <w:r w:rsidRPr="000F1952">
        <w:rPr>
          <w:b w:val="0"/>
        </w:rPr>
        <w:lastRenderedPageBreak/>
        <w:t xml:space="preserve">925, except for the Third West Substation Cleanup, and adds </w:t>
      </w:r>
      <w:r w:rsidR="00AE3C18">
        <w:rPr>
          <w:b w:val="0"/>
        </w:rPr>
        <w:t>to the Test Period actual expenditure amounts</w:t>
      </w:r>
      <w:r w:rsidR="00AE3C18" w:rsidRPr="000F1952">
        <w:rPr>
          <w:b w:val="0"/>
        </w:rPr>
        <w:t xml:space="preserve"> </w:t>
      </w:r>
      <w:r w:rsidRPr="000F1952">
        <w:rPr>
          <w:b w:val="0"/>
        </w:rPr>
        <w:t>for small remediation projects</w:t>
      </w:r>
      <w:r w:rsidR="00AE3C18">
        <w:rPr>
          <w:b w:val="0"/>
        </w:rPr>
        <w:t xml:space="preserve"> </w:t>
      </w:r>
      <w:r w:rsidR="00DE29CF">
        <w:rPr>
          <w:b w:val="0"/>
        </w:rPr>
        <w:t xml:space="preserve">that </w:t>
      </w:r>
      <w:r w:rsidR="006637F9">
        <w:rPr>
          <w:b w:val="0"/>
        </w:rPr>
        <w:t>are not</w:t>
      </w:r>
      <w:r w:rsidR="00DE29CF">
        <w:rPr>
          <w:b w:val="0"/>
        </w:rPr>
        <w:t xml:space="preserve"> deferred </w:t>
      </w:r>
      <w:r w:rsidR="00E7506C">
        <w:rPr>
          <w:b w:val="0"/>
        </w:rPr>
        <w:t>per the Commission’s order</w:t>
      </w:r>
      <w:r w:rsidR="00824B53">
        <w:rPr>
          <w:b w:val="0"/>
        </w:rPr>
        <w:t>.</w:t>
      </w:r>
    </w:p>
    <w:p w:rsidR="000F1952" w:rsidRDefault="000F1952" w:rsidP="000F1952">
      <w:pPr>
        <w:spacing w:line="480" w:lineRule="auto"/>
        <w:ind w:left="720"/>
        <w:jc w:val="left"/>
      </w:pPr>
      <w:r w:rsidRPr="00C11338">
        <w:rPr>
          <w:b/>
        </w:rPr>
        <w:t>Customer Advances for Construction (page 8.</w:t>
      </w:r>
      <w:r>
        <w:rPr>
          <w:b/>
        </w:rPr>
        <w:t>3</w:t>
      </w:r>
      <w:r w:rsidRPr="00C11338">
        <w:rPr>
          <w:b/>
        </w:rPr>
        <w:t>)</w:t>
      </w:r>
      <w:r w:rsidR="00AE3C18">
        <w:t>—</w:t>
      </w:r>
      <w:r w:rsidRPr="00E40CD6">
        <w:t>Customer adva</w:t>
      </w:r>
      <w:r w:rsidRPr="00C11338">
        <w:t xml:space="preserve">nces were recorded in </w:t>
      </w:r>
      <w:r>
        <w:t xml:space="preserve">the </w:t>
      </w:r>
      <w:r w:rsidR="00E728FE">
        <w:t>historical</w:t>
      </w:r>
      <w:r>
        <w:t xml:space="preserve"> period using </w:t>
      </w:r>
      <w:r w:rsidRPr="00C11338">
        <w:t>a corporate cost center location rather than state-specific locations</w:t>
      </w:r>
      <w:r w:rsidR="00E728FE">
        <w:t xml:space="preserve">.  </w:t>
      </w:r>
      <w:r w:rsidRPr="00C11338">
        <w:t xml:space="preserve">This </w:t>
      </w:r>
      <w:r>
        <w:t xml:space="preserve">restating </w:t>
      </w:r>
      <w:r w:rsidRPr="00C11338">
        <w:t xml:space="preserve">adjustment corrects the </w:t>
      </w:r>
      <w:r w:rsidR="00E7506C">
        <w:t xml:space="preserve">jurisdictional </w:t>
      </w:r>
      <w:r w:rsidRPr="00C11338">
        <w:t xml:space="preserve">allocation of customer </w:t>
      </w:r>
      <w:r>
        <w:t>advances reflected in the Test Period.</w:t>
      </w:r>
    </w:p>
    <w:p w:rsidR="009B1B7A" w:rsidRDefault="000F1952" w:rsidP="000F1952">
      <w:pPr>
        <w:widowControl w:val="0"/>
        <w:spacing w:line="480" w:lineRule="auto"/>
        <w:ind w:left="720"/>
        <w:jc w:val="left"/>
      </w:pPr>
      <w:r>
        <w:rPr>
          <w:b/>
        </w:rPr>
        <w:t>Major Plant Additions (page 8</w:t>
      </w:r>
      <w:r w:rsidRPr="000F1952">
        <w:t>.</w:t>
      </w:r>
      <w:r w:rsidRPr="000F1952">
        <w:rPr>
          <w:b/>
        </w:rPr>
        <w:t>4</w:t>
      </w:r>
      <w:r w:rsidR="003E2FD7">
        <w:rPr>
          <w:b/>
        </w:rPr>
        <w:t>-8.4.1</w:t>
      </w:r>
      <w:r w:rsidRPr="000F1952">
        <w:rPr>
          <w:b/>
        </w:rPr>
        <w:t>)</w:t>
      </w:r>
      <w:r w:rsidR="00AE3C18">
        <w:t>—</w:t>
      </w:r>
      <w:r>
        <w:t xml:space="preserve">This pro forma adjustment </w:t>
      </w:r>
      <w:r w:rsidR="00AE3C18">
        <w:t>adds to</w:t>
      </w:r>
      <w:r>
        <w:t xml:space="preserve"> rate base </w:t>
      </w:r>
      <w:r w:rsidR="00E7506C">
        <w:t xml:space="preserve">west control area </w:t>
      </w:r>
      <w:r w:rsidR="00AE3C18">
        <w:t>plant</w:t>
      </w:r>
      <w:r>
        <w:t xml:space="preserve"> additions greater than $</w:t>
      </w:r>
      <w:r w:rsidR="00D606FE">
        <w:t>250</w:t>
      </w:r>
      <w:r w:rsidR="00501853">
        <w:t>,000</w:t>
      </w:r>
      <w:r w:rsidR="00D606FE">
        <w:t xml:space="preserve"> on a Washington</w:t>
      </w:r>
      <w:r w:rsidR="00501853">
        <w:t>-</w:t>
      </w:r>
      <w:r w:rsidR="00D606FE">
        <w:t>allocated basis</w:t>
      </w:r>
      <w:r>
        <w:t xml:space="preserve"> </w:t>
      </w:r>
      <w:r w:rsidR="009B1B7A">
        <w:t xml:space="preserve">that </w:t>
      </w:r>
      <w:r w:rsidR="006637F9">
        <w:t>will</w:t>
      </w:r>
      <w:r w:rsidR="009B1B7A">
        <w:t xml:space="preserve"> be placed in service between</w:t>
      </w:r>
      <w:r>
        <w:t xml:space="preserve"> </w:t>
      </w:r>
      <w:r w:rsidR="00D606FE">
        <w:t xml:space="preserve">January </w:t>
      </w:r>
      <w:r w:rsidR="006637F9">
        <w:t xml:space="preserve">1, </w:t>
      </w:r>
      <w:r w:rsidR="00D606FE">
        <w:t>2014</w:t>
      </w:r>
      <w:r w:rsidR="006637F9">
        <w:t>,</w:t>
      </w:r>
      <w:r>
        <w:t xml:space="preserve"> through </w:t>
      </w:r>
      <w:r w:rsidR="00D606FE">
        <w:t>March</w:t>
      </w:r>
      <w:r w:rsidR="006637F9">
        <w:t xml:space="preserve"> 31, </w:t>
      </w:r>
      <w:r w:rsidR="00D606FE">
        <w:t>2015</w:t>
      </w:r>
      <w:r w:rsidR="00E728FE">
        <w:t xml:space="preserve">.  </w:t>
      </w:r>
      <w:r w:rsidR="009B1B7A">
        <w:t>Descriptions of the</w:t>
      </w:r>
      <w:r w:rsidR="00E7506C">
        <w:t>se</w:t>
      </w:r>
      <w:r w:rsidR="009B1B7A">
        <w:t xml:space="preserve"> capital additions are included beginning on page 8.4.4.</w:t>
      </w:r>
      <w:r w:rsidR="00E7506C">
        <w:t xml:space="preserve">  As discussed above, inclusion of </w:t>
      </w:r>
      <w:r w:rsidR="006637F9">
        <w:t>pro forma</w:t>
      </w:r>
      <w:r w:rsidR="00E7506C">
        <w:t xml:space="preserve"> plant additions is consistent </w:t>
      </w:r>
      <w:r w:rsidR="009B03E4">
        <w:t>with Commission Order 05 in the 2013 Rate Case</w:t>
      </w:r>
      <w:r w:rsidR="00E7506C">
        <w:t>.</w:t>
      </w:r>
      <w:r w:rsidR="006637F9">
        <w:rPr>
          <w:rStyle w:val="FootnoteReference"/>
        </w:rPr>
        <w:footnoteReference w:id="12"/>
      </w:r>
    </w:p>
    <w:p w:rsidR="000F1952" w:rsidRDefault="000F1952" w:rsidP="009B1B7A">
      <w:pPr>
        <w:widowControl w:val="0"/>
        <w:spacing w:line="480" w:lineRule="auto"/>
        <w:ind w:left="720" w:firstLine="720"/>
        <w:jc w:val="left"/>
      </w:pPr>
      <w:r>
        <w:t>This adjustment also incorporates the associated depreciation expense and accumulated reserve impacts</w:t>
      </w:r>
      <w:r w:rsidR="00E728FE">
        <w:t xml:space="preserve">.  </w:t>
      </w:r>
      <w:r w:rsidR="00E7506C">
        <w:t>T</w:t>
      </w:r>
      <w:r>
        <w:t xml:space="preserve">he production factor </w:t>
      </w:r>
      <w:r w:rsidR="00AE3C18">
        <w:t xml:space="preserve">adjustment </w:t>
      </w:r>
      <w:r w:rsidR="009B1B7A">
        <w:t xml:space="preserve">on page 9.1 </w:t>
      </w:r>
      <w:r w:rsidR="00CD5E6A">
        <w:t xml:space="preserve">is </w:t>
      </w:r>
      <w:r>
        <w:t>applied to the pro forma capital addition</w:t>
      </w:r>
      <w:r w:rsidR="00AE3C18">
        <w:t xml:space="preserve"> revenue requirement components</w:t>
      </w:r>
      <w:r>
        <w:t xml:space="preserve"> to adjust the </w:t>
      </w:r>
      <w:r w:rsidR="00AE3C18">
        <w:t xml:space="preserve">costs and balances to </w:t>
      </w:r>
      <w:r>
        <w:t>Test Period</w:t>
      </w:r>
      <w:r w:rsidR="00AE3C18">
        <w:t xml:space="preserve"> levels</w:t>
      </w:r>
      <w:r w:rsidR="00E728FE">
        <w:t>.</w:t>
      </w:r>
    </w:p>
    <w:p w:rsidR="00712FDA" w:rsidRDefault="00712FDA" w:rsidP="00D57A3B">
      <w:pPr>
        <w:pStyle w:val="Answer"/>
        <w:ind w:firstLine="0"/>
        <w:jc w:val="left"/>
      </w:pPr>
      <w:r w:rsidRPr="003B37C8">
        <w:rPr>
          <w:b/>
        </w:rPr>
        <w:t>Miscellaneous Rate Base Adjustment (page 8.</w:t>
      </w:r>
      <w:r>
        <w:rPr>
          <w:b/>
        </w:rPr>
        <w:t>5</w:t>
      </w:r>
      <w:r w:rsidR="003E2FD7">
        <w:rPr>
          <w:b/>
        </w:rPr>
        <w:t>-8.5.1</w:t>
      </w:r>
      <w:r w:rsidRPr="003B37C8">
        <w:rPr>
          <w:b/>
        </w:rPr>
        <w:t>)</w:t>
      </w:r>
      <w:r w:rsidR="00AE3C18">
        <w:t>—</w:t>
      </w:r>
      <w:r w:rsidRPr="003B37C8">
        <w:t xml:space="preserve">This </w:t>
      </w:r>
      <w:r>
        <w:t xml:space="preserve">restating </w:t>
      </w:r>
      <w:r w:rsidRPr="003B37C8">
        <w:t>adjustment removes</w:t>
      </w:r>
      <w:r>
        <w:t xml:space="preserve"> working capital, fuel stock, materials and supplies, prepayments, and other miscellaneous rate base balances from the Test Period in compliance with </w:t>
      </w:r>
      <w:r w:rsidR="009B1B7A">
        <w:t xml:space="preserve">prior rate </w:t>
      </w:r>
      <w:r w:rsidR="009B1B7A">
        <w:lastRenderedPageBreak/>
        <w:t>case treatment</w:t>
      </w:r>
      <w:r w:rsidR="00E728FE">
        <w:t xml:space="preserve">.  </w:t>
      </w:r>
      <w:r>
        <w:t>The associated tax impacts related to these balances are also removed in this adjustment.</w:t>
      </w:r>
    </w:p>
    <w:p w:rsidR="001A68AE" w:rsidRDefault="00712FDA" w:rsidP="005C74BD">
      <w:pPr>
        <w:pStyle w:val="Question"/>
        <w:widowControl w:val="0"/>
        <w:ind w:firstLine="0"/>
        <w:jc w:val="left"/>
        <w:rPr>
          <w:rStyle w:val="AnswerChar1"/>
          <w:b w:val="0"/>
        </w:rPr>
      </w:pPr>
      <w:r w:rsidRPr="00FD38BC">
        <w:t>Powerdale Hydro Removal (page 8.</w:t>
      </w:r>
      <w:r>
        <w:t>6)</w:t>
      </w:r>
      <w:r w:rsidR="00AE3C18">
        <w:t>—</w:t>
      </w:r>
      <w:r w:rsidR="000D4763">
        <w:rPr>
          <w:rStyle w:val="AnswerChar1"/>
          <w:b w:val="0"/>
        </w:rPr>
        <w:t xml:space="preserve">As authorized in 2007 in </w:t>
      </w:r>
    </w:p>
    <w:p w:rsidR="00E7506C" w:rsidRDefault="006637F9" w:rsidP="005C74BD">
      <w:pPr>
        <w:pStyle w:val="Question"/>
        <w:widowControl w:val="0"/>
        <w:ind w:firstLine="0"/>
        <w:jc w:val="left"/>
        <w:rPr>
          <w:rStyle w:val="AnswerChar1"/>
          <w:b w:val="0"/>
        </w:rPr>
      </w:pPr>
      <w:r>
        <w:rPr>
          <w:rStyle w:val="AnswerChar1"/>
          <w:b w:val="0"/>
        </w:rPr>
        <w:t>D</w:t>
      </w:r>
      <w:r w:rsidRPr="004C76B4">
        <w:rPr>
          <w:rStyle w:val="AnswerChar1"/>
          <w:b w:val="0"/>
        </w:rPr>
        <w:t xml:space="preserve">ocket </w:t>
      </w:r>
      <w:r w:rsidR="00712FDA" w:rsidRPr="004C76B4">
        <w:rPr>
          <w:rStyle w:val="AnswerChar1"/>
          <w:b w:val="0"/>
        </w:rPr>
        <w:t>UE-070624</w:t>
      </w:r>
      <w:r w:rsidR="00810F93">
        <w:rPr>
          <w:rStyle w:val="AnswerChar1"/>
          <w:b w:val="0"/>
        </w:rPr>
        <w:t>,</w:t>
      </w:r>
      <w:r w:rsidR="00712FDA">
        <w:rPr>
          <w:rStyle w:val="FootnoteReference"/>
          <w:b w:val="0"/>
        </w:rPr>
        <w:footnoteReference w:id="13"/>
      </w:r>
      <w:r w:rsidR="00712FDA" w:rsidRPr="004C76B4">
        <w:rPr>
          <w:rStyle w:val="AnswerChar1"/>
          <w:b w:val="0"/>
        </w:rPr>
        <w:t xml:space="preserve"> the unrecovered plant balance associated with the Powerdale hydro plant was transferred to a regulatory asset and amortized over three years</w:t>
      </w:r>
      <w:r w:rsidR="00E728FE">
        <w:rPr>
          <w:rStyle w:val="AnswerChar1"/>
          <w:b w:val="0"/>
        </w:rPr>
        <w:t xml:space="preserve">.  </w:t>
      </w:r>
      <w:r w:rsidR="00712FDA" w:rsidRPr="004C76B4">
        <w:rPr>
          <w:rStyle w:val="AnswerChar1"/>
          <w:b w:val="0"/>
        </w:rPr>
        <w:t>The Powerdale unrecovered plant regulatory asset was fully amortized in December 2010</w:t>
      </w:r>
      <w:r w:rsidR="00E728FE">
        <w:rPr>
          <w:rStyle w:val="AnswerChar1"/>
          <w:b w:val="0"/>
        </w:rPr>
        <w:t>.</w:t>
      </w:r>
    </w:p>
    <w:p w:rsidR="00987E13" w:rsidRDefault="00712FDA" w:rsidP="00531387">
      <w:pPr>
        <w:pStyle w:val="Question"/>
        <w:widowControl w:val="0"/>
        <w:ind w:firstLine="720"/>
        <w:jc w:val="left"/>
        <w:rPr>
          <w:rStyle w:val="AnswerChar1"/>
          <w:b w:val="0"/>
          <w:bCs w:val="0"/>
          <w:szCs w:val="24"/>
        </w:rPr>
      </w:pPr>
      <w:r w:rsidRPr="004C76B4">
        <w:rPr>
          <w:rStyle w:val="AnswerChar1"/>
          <w:b w:val="0"/>
        </w:rPr>
        <w:t xml:space="preserve">This pro forma adjustment removes the unrecovered plant amortization expense and regulatory asset balance from </w:t>
      </w:r>
      <w:r>
        <w:rPr>
          <w:rStyle w:val="AnswerChar1"/>
          <w:b w:val="0"/>
        </w:rPr>
        <w:t>the Test Period</w:t>
      </w:r>
      <w:r w:rsidR="00E728FE">
        <w:rPr>
          <w:rStyle w:val="AnswerChar1"/>
          <w:b w:val="0"/>
        </w:rPr>
        <w:t xml:space="preserve">.  </w:t>
      </w:r>
      <w:r w:rsidRPr="004C76B4">
        <w:rPr>
          <w:rStyle w:val="AnswerChar1"/>
          <w:b w:val="0"/>
        </w:rPr>
        <w:t>In addition, the decommissioning of the Powerdale plant was substantially completed during 2010</w:t>
      </w:r>
      <w:r w:rsidR="00E728FE">
        <w:rPr>
          <w:rStyle w:val="AnswerChar1"/>
          <w:b w:val="0"/>
        </w:rPr>
        <w:t xml:space="preserve">.  </w:t>
      </w:r>
      <w:r w:rsidRPr="004C76B4">
        <w:rPr>
          <w:rStyle w:val="AnswerChar1"/>
          <w:b w:val="0"/>
        </w:rPr>
        <w:t>The Company began amortizing the decommissioning regulatory asset in April 2011</w:t>
      </w:r>
      <w:r w:rsidR="006637F9">
        <w:rPr>
          <w:rStyle w:val="AnswerChar1"/>
          <w:b w:val="0"/>
        </w:rPr>
        <w:t>,</w:t>
      </w:r>
      <w:r w:rsidRPr="004C76B4">
        <w:rPr>
          <w:rStyle w:val="AnswerChar1"/>
          <w:b w:val="0"/>
        </w:rPr>
        <w:t xml:space="preserve"> as authorized in </w:t>
      </w:r>
      <w:r>
        <w:rPr>
          <w:rStyle w:val="AnswerChar1"/>
          <w:b w:val="0"/>
        </w:rPr>
        <w:t>the 2010 Rate Case</w:t>
      </w:r>
      <w:r w:rsidR="00E728FE">
        <w:rPr>
          <w:rStyle w:val="AnswerChar1"/>
          <w:b w:val="0"/>
        </w:rPr>
        <w:t xml:space="preserve">.  </w:t>
      </w:r>
      <w:r>
        <w:rPr>
          <w:rStyle w:val="AnswerChar1"/>
          <w:b w:val="0"/>
        </w:rPr>
        <w:t xml:space="preserve">This adjustment removes the Powerdale operating expenses and regulatory asset balance from the Test Period results and </w:t>
      </w:r>
      <w:r w:rsidR="00AE3C18">
        <w:rPr>
          <w:rStyle w:val="AnswerChar1"/>
          <w:b w:val="0"/>
        </w:rPr>
        <w:t xml:space="preserve">adds </w:t>
      </w:r>
      <w:r w:rsidR="00A61631">
        <w:rPr>
          <w:rStyle w:val="AnswerChar1"/>
          <w:b w:val="0"/>
        </w:rPr>
        <w:t xml:space="preserve">the decommissioning amortization expense and asset balances for the </w:t>
      </w:r>
      <w:r w:rsidR="00DC4893">
        <w:rPr>
          <w:rStyle w:val="AnswerChar1"/>
          <w:b w:val="0"/>
        </w:rPr>
        <w:t xml:space="preserve">12 </w:t>
      </w:r>
      <w:r>
        <w:rPr>
          <w:rStyle w:val="AnswerChar1"/>
          <w:b w:val="0"/>
        </w:rPr>
        <w:t xml:space="preserve">months ending </w:t>
      </w:r>
      <w:r w:rsidR="009B1B7A">
        <w:rPr>
          <w:rStyle w:val="AnswerChar1"/>
          <w:b w:val="0"/>
        </w:rPr>
        <w:t xml:space="preserve">December </w:t>
      </w:r>
      <w:r w:rsidR="00BD20AB">
        <w:rPr>
          <w:rStyle w:val="AnswerChar1"/>
          <w:b w:val="0"/>
        </w:rPr>
        <w:t xml:space="preserve">31, </w:t>
      </w:r>
      <w:r w:rsidR="009B1B7A">
        <w:rPr>
          <w:rStyle w:val="AnswerChar1"/>
          <w:b w:val="0"/>
        </w:rPr>
        <w:t>201</w:t>
      </w:r>
      <w:r w:rsidR="00531387">
        <w:rPr>
          <w:rStyle w:val="AnswerChar1"/>
          <w:b w:val="0"/>
        </w:rPr>
        <w:t>4</w:t>
      </w:r>
      <w:r>
        <w:rPr>
          <w:rStyle w:val="AnswerChar1"/>
          <w:b w:val="0"/>
        </w:rPr>
        <w:t>.</w:t>
      </w:r>
    </w:p>
    <w:p w:rsidR="007D55AE" w:rsidRDefault="007D55AE" w:rsidP="003F7952">
      <w:pPr>
        <w:pStyle w:val="Question"/>
        <w:ind w:firstLine="0"/>
        <w:jc w:val="left"/>
        <w:rPr>
          <w:b w:val="0"/>
          <w:bCs w:val="0"/>
        </w:rPr>
      </w:pPr>
      <w:r w:rsidRPr="005E2BA9">
        <w:rPr>
          <w:bCs w:val="0"/>
        </w:rPr>
        <w:t>Removal of</w:t>
      </w:r>
      <w:r>
        <w:rPr>
          <w:bCs w:val="0"/>
        </w:rPr>
        <w:t xml:space="preserve"> Colstrip Unit 4 AFUDC (page 8.</w:t>
      </w:r>
      <w:r w:rsidR="00712FDA">
        <w:rPr>
          <w:bCs w:val="0"/>
        </w:rPr>
        <w:t>7</w:t>
      </w:r>
      <w:r w:rsidRPr="005E2BA9">
        <w:rPr>
          <w:bCs w:val="0"/>
        </w:rPr>
        <w:t>)</w:t>
      </w:r>
      <w:r w:rsidR="00A61631">
        <w:t>—</w:t>
      </w:r>
      <w:r w:rsidRPr="005E2BA9">
        <w:rPr>
          <w:b w:val="0"/>
          <w:bCs w:val="0"/>
        </w:rPr>
        <w:t xml:space="preserve">This </w:t>
      </w:r>
      <w:r>
        <w:rPr>
          <w:b w:val="0"/>
          <w:bCs w:val="0"/>
        </w:rPr>
        <w:t xml:space="preserve">restating </w:t>
      </w:r>
      <w:r w:rsidRPr="005E2BA9">
        <w:rPr>
          <w:b w:val="0"/>
          <w:bCs w:val="0"/>
        </w:rPr>
        <w:t xml:space="preserve">adjustment removes </w:t>
      </w:r>
      <w:r w:rsidR="006637F9">
        <w:rPr>
          <w:b w:val="0"/>
          <w:bCs w:val="0"/>
        </w:rPr>
        <w:t>allowance for funds used during construction (AFUDC)</w:t>
      </w:r>
      <w:r w:rsidR="006637F9" w:rsidRPr="005E2BA9">
        <w:rPr>
          <w:b w:val="0"/>
          <w:bCs w:val="0"/>
        </w:rPr>
        <w:t xml:space="preserve"> </w:t>
      </w:r>
      <w:r w:rsidRPr="005E2BA9">
        <w:rPr>
          <w:b w:val="0"/>
          <w:bCs w:val="0"/>
        </w:rPr>
        <w:t xml:space="preserve">from </w:t>
      </w:r>
      <w:r>
        <w:rPr>
          <w:b w:val="0"/>
          <w:bCs w:val="0"/>
        </w:rPr>
        <w:t xml:space="preserve">electric </w:t>
      </w:r>
      <w:r w:rsidRPr="005E2BA9">
        <w:rPr>
          <w:b w:val="0"/>
          <w:bCs w:val="0"/>
        </w:rPr>
        <w:t xml:space="preserve">plant </w:t>
      </w:r>
      <w:r>
        <w:rPr>
          <w:b w:val="0"/>
          <w:bCs w:val="0"/>
        </w:rPr>
        <w:t>in service for the period that Colstrip construction work in p</w:t>
      </w:r>
      <w:r w:rsidRPr="005E2BA9">
        <w:rPr>
          <w:b w:val="0"/>
          <w:bCs w:val="0"/>
        </w:rPr>
        <w:t>rogress (CWIP) was allowed in rate base</w:t>
      </w:r>
      <w:r w:rsidR="00E728FE">
        <w:rPr>
          <w:b w:val="0"/>
          <w:bCs w:val="0"/>
        </w:rPr>
        <w:t xml:space="preserve">.  </w:t>
      </w:r>
      <w:r w:rsidRPr="005E2BA9">
        <w:rPr>
          <w:b w:val="0"/>
          <w:bCs w:val="0"/>
        </w:rPr>
        <w:t>This treatment was authorized in Cause U-81-17</w:t>
      </w:r>
      <w:r w:rsidR="00DD2AAF">
        <w:rPr>
          <w:rStyle w:val="FootnoteReference"/>
          <w:b w:val="0"/>
          <w:bCs w:val="0"/>
        </w:rPr>
        <w:footnoteReference w:id="14"/>
      </w:r>
      <w:r w:rsidRPr="005E2BA9">
        <w:rPr>
          <w:b w:val="0"/>
          <w:bCs w:val="0"/>
        </w:rPr>
        <w:t xml:space="preserve"> and has been included in all </w:t>
      </w:r>
      <w:r>
        <w:rPr>
          <w:b w:val="0"/>
          <w:bCs w:val="0"/>
        </w:rPr>
        <w:t xml:space="preserve">the Company’s </w:t>
      </w:r>
      <w:r w:rsidR="00A61631">
        <w:rPr>
          <w:b w:val="0"/>
          <w:bCs w:val="0"/>
        </w:rPr>
        <w:t xml:space="preserve">Washington </w:t>
      </w:r>
      <w:r>
        <w:rPr>
          <w:b w:val="0"/>
          <w:bCs w:val="0"/>
        </w:rPr>
        <w:t>rate case filings</w:t>
      </w:r>
      <w:r w:rsidRPr="005E2BA9">
        <w:rPr>
          <w:b w:val="0"/>
          <w:bCs w:val="0"/>
        </w:rPr>
        <w:t xml:space="preserve"> since</w:t>
      </w:r>
      <w:r>
        <w:rPr>
          <w:b w:val="0"/>
          <w:bCs w:val="0"/>
        </w:rPr>
        <w:t xml:space="preserve"> </w:t>
      </w:r>
      <w:r w:rsidR="00A61631">
        <w:rPr>
          <w:b w:val="0"/>
          <w:bCs w:val="0"/>
        </w:rPr>
        <w:t>that time</w:t>
      </w:r>
      <w:r w:rsidRPr="005E2BA9">
        <w:rPr>
          <w:b w:val="0"/>
          <w:bCs w:val="0"/>
        </w:rPr>
        <w:t>.</w:t>
      </w:r>
    </w:p>
    <w:p w:rsidR="00712FDA" w:rsidRDefault="00712FDA" w:rsidP="00712FDA">
      <w:pPr>
        <w:pStyle w:val="Question"/>
        <w:widowControl w:val="0"/>
        <w:ind w:firstLine="0"/>
        <w:jc w:val="left"/>
        <w:rPr>
          <w:b w:val="0"/>
          <w:bCs w:val="0"/>
        </w:rPr>
      </w:pPr>
      <w:r>
        <w:rPr>
          <w:bCs w:val="0"/>
        </w:rPr>
        <w:t xml:space="preserve">Trojan Removal </w:t>
      </w:r>
      <w:r w:rsidRPr="005F4B42">
        <w:rPr>
          <w:bCs w:val="0"/>
        </w:rPr>
        <w:t>Adjustment (page 8.</w:t>
      </w:r>
      <w:r>
        <w:rPr>
          <w:bCs w:val="0"/>
        </w:rPr>
        <w:t>8</w:t>
      </w:r>
      <w:r w:rsidRPr="005F4B42">
        <w:rPr>
          <w:bCs w:val="0"/>
        </w:rPr>
        <w:t>)</w:t>
      </w:r>
      <w:r w:rsidR="00A61631">
        <w:t>—</w:t>
      </w:r>
      <w:r w:rsidRPr="005F4B42">
        <w:rPr>
          <w:b w:val="0"/>
          <w:bCs w:val="0"/>
        </w:rPr>
        <w:t xml:space="preserve">This </w:t>
      </w:r>
      <w:r>
        <w:rPr>
          <w:b w:val="0"/>
          <w:bCs w:val="0"/>
        </w:rPr>
        <w:t xml:space="preserve">restating </w:t>
      </w:r>
      <w:r w:rsidRPr="005F4B42">
        <w:rPr>
          <w:b w:val="0"/>
          <w:bCs w:val="0"/>
        </w:rPr>
        <w:t>adjustment removes the Trojan amortization expe</w:t>
      </w:r>
      <w:r>
        <w:rPr>
          <w:b w:val="0"/>
          <w:bCs w:val="0"/>
        </w:rPr>
        <w:t>nse, balances, and tax impacts from the Test Period</w:t>
      </w:r>
      <w:r w:rsidRPr="005F4B42">
        <w:rPr>
          <w:b w:val="0"/>
          <w:bCs w:val="0"/>
        </w:rPr>
        <w:t xml:space="preserve"> a</w:t>
      </w:r>
      <w:r w:rsidR="000D4763">
        <w:rPr>
          <w:b w:val="0"/>
          <w:bCs w:val="0"/>
        </w:rPr>
        <w:t xml:space="preserve">s </w:t>
      </w:r>
      <w:r w:rsidR="00406291">
        <w:rPr>
          <w:b w:val="0"/>
          <w:bCs w:val="0"/>
        </w:rPr>
        <w:lastRenderedPageBreak/>
        <w:t>ordered by the Commission in D</w:t>
      </w:r>
      <w:r w:rsidRPr="005F4B42">
        <w:rPr>
          <w:b w:val="0"/>
          <w:bCs w:val="0"/>
        </w:rPr>
        <w:t>ocket UE-991832</w:t>
      </w:r>
      <w:r>
        <w:rPr>
          <w:b w:val="0"/>
          <w:bCs w:val="0"/>
        </w:rPr>
        <w:t>.</w:t>
      </w:r>
      <w:r>
        <w:rPr>
          <w:rStyle w:val="FootnoteReference"/>
          <w:b w:val="0"/>
          <w:bCs w:val="0"/>
        </w:rPr>
        <w:footnoteReference w:id="15"/>
      </w:r>
    </w:p>
    <w:p w:rsidR="00712FDA" w:rsidRDefault="00712FDA" w:rsidP="00712FDA">
      <w:pPr>
        <w:pStyle w:val="Question"/>
        <w:widowControl w:val="0"/>
        <w:ind w:firstLine="0"/>
        <w:jc w:val="left"/>
      </w:pPr>
      <w:r w:rsidRPr="00C11338">
        <w:t>Customer Service Deposits (p</w:t>
      </w:r>
      <w:r>
        <w:t>age 8.9</w:t>
      </w:r>
      <w:r w:rsidRPr="00C11338">
        <w:t>)</w:t>
      </w:r>
      <w:r w:rsidR="00A61631">
        <w:t>—</w:t>
      </w:r>
      <w:r w:rsidRPr="00A667E6">
        <w:rPr>
          <w:b w:val="0"/>
        </w:rPr>
        <w:t>This restating adjustment includes customer service deposits as a reduction to rate base</w:t>
      </w:r>
      <w:r w:rsidR="00E728FE">
        <w:rPr>
          <w:b w:val="0"/>
        </w:rPr>
        <w:t xml:space="preserve">.  </w:t>
      </w:r>
      <w:r w:rsidRPr="00A667E6">
        <w:rPr>
          <w:b w:val="0"/>
        </w:rPr>
        <w:t>It also reflects the interest paid on the customer service deposits</w:t>
      </w:r>
      <w:r w:rsidR="00E728FE">
        <w:rPr>
          <w:b w:val="0"/>
        </w:rPr>
        <w:t xml:space="preserve">.  </w:t>
      </w:r>
      <w:r w:rsidRPr="00A667E6">
        <w:rPr>
          <w:b w:val="0"/>
        </w:rPr>
        <w:t xml:space="preserve">This adjustment was accepted by the Commission in </w:t>
      </w:r>
      <w:r w:rsidR="000D4763">
        <w:rPr>
          <w:b w:val="0"/>
        </w:rPr>
        <w:t>the 2006 Rate Case</w:t>
      </w:r>
      <w:r>
        <w:rPr>
          <w:rStyle w:val="FootnoteReference"/>
          <w:b w:val="0"/>
        </w:rPr>
        <w:footnoteReference w:id="16"/>
      </w:r>
      <w:r w:rsidRPr="00A667E6">
        <w:rPr>
          <w:b w:val="0"/>
        </w:rPr>
        <w:t xml:space="preserve"> and is consistent with </w:t>
      </w:r>
      <w:r w:rsidR="00A61631">
        <w:rPr>
          <w:b w:val="0"/>
        </w:rPr>
        <w:t xml:space="preserve">all of </w:t>
      </w:r>
      <w:r w:rsidRPr="00A667E6">
        <w:rPr>
          <w:b w:val="0"/>
        </w:rPr>
        <w:t xml:space="preserve">the </w:t>
      </w:r>
      <w:r>
        <w:rPr>
          <w:b w:val="0"/>
        </w:rPr>
        <w:t xml:space="preserve">Company’s </w:t>
      </w:r>
      <w:r w:rsidR="00A61631">
        <w:rPr>
          <w:b w:val="0"/>
        </w:rPr>
        <w:t xml:space="preserve">rate </w:t>
      </w:r>
      <w:r w:rsidRPr="00A667E6">
        <w:rPr>
          <w:b w:val="0"/>
        </w:rPr>
        <w:t>cases</w:t>
      </w:r>
      <w:r w:rsidR="00A61631">
        <w:rPr>
          <w:b w:val="0"/>
        </w:rPr>
        <w:t xml:space="preserve"> filings since that time</w:t>
      </w:r>
      <w:r w:rsidR="00531387">
        <w:rPr>
          <w:b w:val="0"/>
        </w:rPr>
        <w:t>.</w:t>
      </w:r>
    </w:p>
    <w:p w:rsidR="00691E72" w:rsidRDefault="00712FDA" w:rsidP="001476F2">
      <w:pPr>
        <w:pStyle w:val="Question"/>
        <w:widowControl w:val="0"/>
        <w:ind w:firstLine="0"/>
        <w:jc w:val="left"/>
        <w:rPr>
          <w:b w:val="0"/>
        </w:rPr>
      </w:pPr>
      <w:r>
        <w:t>Regulatory Asset Amortization Adjustment (page 8.10)</w:t>
      </w:r>
      <w:r w:rsidR="00A61631">
        <w:t>—</w:t>
      </w:r>
      <w:r w:rsidR="00691E72">
        <w:rPr>
          <w:b w:val="0"/>
        </w:rPr>
        <w:t>The Chehalis Regulatory Asset</w:t>
      </w:r>
      <w:r w:rsidR="00691E72" w:rsidRPr="00E26CB9">
        <w:rPr>
          <w:b w:val="0"/>
        </w:rPr>
        <w:t xml:space="preserve"> was </w:t>
      </w:r>
      <w:r w:rsidR="00691E72">
        <w:rPr>
          <w:b w:val="0"/>
        </w:rPr>
        <w:t>booked</w:t>
      </w:r>
      <w:r w:rsidR="00691E72" w:rsidRPr="00E26CB9">
        <w:rPr>
          <w:b w:val="0"/>
        </w:rPr>
        <w:t xml:space="preserve"> in December 2009 in accordance with </w:t>
      </w:r>
      <w:r w:rsidR="006637F9">
        <w:rPr>
          <w:b w:val="0"/>
        </w:rPr>
        <w:t xml:space="preserve">Docket </w:t>
      </w:r>
      <w:r w:rsidR="00691E72" w:rsidRPr="00E26CB9">
        <w:rPr>
          <w:b w:val="0"/>
        </w:rPr>
        <w:t>UE-090205</w:t>
      </w:r>
      <w:r w:rsidR="00691E72">
        <w:rPr>
          <w:b w:val="0"/>
        </w:rPr>
        <w:t>.</w:t>
      </w:r>
      <w:r w:rsidR="00691E72">
        <w:rPr>
          <w:rStyle w:val="FootnoteReference"/>
          <w:b w:val="0"/>
        </w:rPr>
        <w:footnoteReference w:id="17"/>
      </w:r>
      <w:r w:rsidR="00691E72" w:rsidRPr="00E26CB9">
        <w:rPr>
          <w:b w:val="0"/>
        </w:rPr>
        <w:t xml:space="preserve">  The general business revenues charged as the regulatory asset was amortized</w:t>
      </w:r>
      <w:r w:rsidR="00691E72">
        <w:rPr>
          <w:b w:val="0"/>
        </w:rPr>
        <w:t xml:space="preserve"> during the 12 months ended December 31, 2013,</w:t>
      </w:r>
      <w:r w:rsidR="00691E72" w:rsidRPr="00E26CB9">
        <w:rPr>
          <w:b w:val="0"/>
        </w:rPr>
        <w:t xml:space="preserve"> </w:t>
      </w:r>
      <w:r w:rsidR="006637F9">
        <w:rPr>
          <w:b w:val="0"/>
        </w:rPr>
        <w:t>a</w:t>
      </w:r>
      <w:r w:rsidR="006637F9" w:rsidRPr="00E26CB9">
        <w:rPr>
          <w:b w:val="0"/>
        </w:rPr>
        <w:t xml:space="preserve">re </w:t>
      </w:r>
      <w:r w:rsidR="00691E72" w:rsidRPr="00E26CB9">
        <w:rPr>
          <w:b w:val="0"/>
        </w:rPr>
        <w:t xml:space="preserve">removed from </w:t>
      </w:r>
      <w:r w:rsidR="004214C8">
        <w:rPr>
          <w:b w:val="0"/>
        </w:rPr>
        <w:t>per-book</w:t>
      </w:r>
      <w:r w:rsidR="00691E72">
        <w:rPr>
          <w:b w:val="0"/>
        </w:rPr>
        <w:t>s</w:t>
      </w:r>
      <w:r w:rsidR="00691E72" w:rsidRPr="00E26CB9">
        <w:rPr>
          <w:b w:val="0"/>
        </w:rPr>
        <w:t xml:space="preserve"> results in the revenue normalization adjustment </w:t>
      </w:r>
      <w:r w:rsidR="00691E72">
        <w:rPr>
          <w:b w:val="0"/>
        </w:rPr>
        <w:t xml:space="preserve">page </w:t>
      </w:r>
      <w:r w:rsidR="00691E72" w:rsidRPr="00E26CB9">
        <w:rPr>
          <w:b w:val="0"/>
        </w:rPr>
        <w:t>3.2</w:t>
      </w:r>
      <w:r w:rsidR="00691E72">
        <w:rPr>
          <w:b w:val="0"/>
        </w:rPr>
        <w:t xml:space="preserve">.  </w:t>
      </w:r>
      <w:r w:rsidR="00691E72" w:rsidRPr="00E26CB9">
        <w:rPr>
          <w:b w:val="0"/>
        </w:rPr>
        <w:t xml:space="preserve">This </w:t>
      </w:r>
      <w:r w:rsidR="00691E72">
        <w:rPr>
          <w:b w:val="0"/>
        </w:rPr>
        <w:t xml:space="preserve">adjustment </w:t>
      </w:r>
      <w:r w:rsidR="00531387">
        <w:rPr>
          <w:b w:val="0"/>
        </w:rPr>
        <w:t>recognizes the amortization of the regulatory asset for the 12 months ended December 2013</w:t>
      </w:r>
      <w:r w:rsidR="00691E72">
        <w:rPr>
          <w:b w:val="0"/>
        </w:rPr>
        <w:t xml:space="preserve">.  </w:t>
      </w:r>
    </w:p>
    <w:p w:rsidR="00FF7A02" w:rsidRDefault="00DB6F0F" w:rsidP="00DB6F0F">
      <w:pPr>
        <w:pStyle w:val="Question"/>
        <w:ind w:firstLine="0"/>
        <w:jc w:val="left"/>
        <w:rPr>
          <w:b w:val="0"/>
        </w:rPr>
      </w:pPr>
      <w:r>
        <w:t>Miscellaneous Asset Sales and Removals Adjustment (page 8.11)</w:t>
      </w:r>
      <w:r w:rsidR="00AE29F5">
        <w:t>—</w:t>
      </w:r>
      <w:r>
        <w:rPr>
          <w:b w:val="0"/>
        </w:rPr>
        <w:t>This adjustment removes the electric plan</w:t>
      </w:r>
      <w:r w:rsidR="00B56EB0">
        <w:rPr>
          <w:b w:val="0"/>
        </w:rPr>
        <w:t>t</w:t>
      </w:r>
      <w:r>
        <w:rPr>
          <w:b w:val="0"/>
        </w:rPr>
        <w:t xml:space="preserve"> in service balances, accumulated depreciation balances, depreciation expenses</w:t>
      </w:r>
      <w:r w:rsidR="006637F9">
        <w:rPr>
          <w:b w:val="0"/>
        </w:rPr>
        <w:t>,</w:t>
      </w:r>
      <w:r>
        <w:rPr>
          <w:b w:val="0"/>
        </w:rPr>
        <w:t xml:space="preserve"> and O&amp;M expenses from the </w:t>
      </w:r>
      <w:r w:rsidR="00827268">
        <w:rPr>
          <w:b w:val="0"/>
        </w:rPr>
        <w:t>actual unadjusted</w:t>
      </w:r>
      <w:r>
        <w:rPr>
          <w:b w:val="0"/>
        </w:rPr>
        <w:t xml:space="preserve"> data for the </w:t>
      </w:r>
      <w:r w:rsidR="00DC4893">
        <w:rPr>
          <w:b w:val="0"/>
        </w:rPr>
        <w:t xml:space="preserve">12 </w:t>
      </w:r>
      <w:r>
        <w:rPr>
          <w:b w:val="0"/>
        </w:rPr>
        <w:t xml:space="preserve">months ended </w:t>
      </w:r>
      <w:r w:rsidR="00FF7A02">
        <w:rPr>
          <w:b w:val="0"/>
        </w:rPr>
        <w:t>December 31, 2013,</w:t>
      </w:r>
      <w:r>
        <w:rPr>
          <w:b w:val="0"/>
        </w:rPr>
        <w:t xml:space="preserve"> for the </w:t>
      </w:r>
      <w:r w:rsidR="00FF7A02">
        <w:rPr>
          <w:b w:val="0"/>
        </w:rPr>
        <w:t xml:space="preserve">sale or removal of </w:t>
      </w:r>
      <w:r w:rsidR="00BD20AB">
        <w:rPr>
          <w:b w:val="0"/>
        </w:rPr>
        <w:t xml:space="preserve">the following assets: </w:t>
      </w:r>
      <w:r w:rsidR="006637F9">
        <w:rPr>
          <w:b w:val="0"/>
        </w:rPr>
        <w:t xml:space="preserve"> </w:t>
      </w:r>
      <w:r w:rsidR="00FF7A02">
        <w:rPr>
          <w:b w:val="0"/>
        </w:rPr>
        <w:t>Snake Creek hydroelectric plant, Deseret Power’s portion of Hunter Unit 2 scrubber and turbine upgrade, Condit</w:t>
      </w:r>
      <w:r>
        <w:rPr>
          <w:b w:val="0"/>
        </w:rPr>
        <w:t xml:space="preserve"> </w:t>
      </w:r>
      <w:r w:rsidR="00827268">
        <w:rPr>
          <w:b w:val="0"/>
        </w:rPr>
        <w:t>hydroelectric plant</w:t>
      </w:r>
      <w:r w:rsidR="00BD20AB">
        <w:rPr>
          <w:b w:val="0"/>
        </w:rPr>
        <w:t>,</w:t>
      </w:r>
      <w:r w:rsidR="00FF7A02">
        <w:rPr>
          <w:b w:val="0"/>
        </w:rPr>
        <w:t xml:space="preserve"> and St. Anthony hydroelectric plant</w:t>
      </w:r>
      <w:r w:rsidR="00E728FE">
        <w:rPr>
          <w:b w:val="0"/>
        </w:rPr>
        <w:t xml:space="preserve">.  </w:t>
      </w:r>
    </w:p>
    <w:p w:rsidR="00B2259D" w:rsidRPr="00B2259D" w:rsidRDefault="00B2259D" w:rsidP="00DB6F0F">
      <w:pPr>
        <w:pStyle w:val="Question"/>
        <w:ind w:firstLine="0"/>
        <w:jc w:val="left"/>
        <w:rPr>
          <w:b w:val="0"/>
        </w:rPr>
      </w:pPr>
      <w:r>
        <w:lastRenderedPageBreak/>
        <w:t xml:space="preserve">Plant Balances to </w:t>
      </w:r>
      <w:r w:rsidR="00FF7A02">
        <w:t>December 2013</w:t>
      </w:r>
      <w:r>
        <w:t xml:space="preserve"> Balance (page 8.12</w:t>
      </w:r>
      <w:r w:rsidR="003E2FD7">
        <w:t>-8.12.6</w:t>
      </w:r>
      <w:r>
        <w:t>)</w:t>
      </w:r>
      <w:r w:rsidR="00AE29F5">
        <w:t>—</w:t>
      </w:r>
      <w:r>
        <w:rPr>
          <w:b w:val="0"/>
        </w:rPr>
        <w:t xml:space="preserve">This adjustment </w:t>
      </w:r>
      <w:r w:rsidR="00AE29F5">
        <w:rPr>
          <w:b w:val="0"/>
        </w:rPr>
        <w:t xml:space="preserve">modifies </w:t>
      </w:r>
      <w:r>
        <w:rPr>
          <w:b w:val="0"/>
        </w:rPr>
        <w:t xml:space="preserve">the </w:t>
      </w:r>
      <w:r w:rsidR="00AE29F5">
        <w:rPr>
          <w:b w:val="0"/>
        </w:rPr>
        <w:t xml:space="preserve">gross </w:t>
      </w:r>
      <w:r>
        <w:rPr>
          <w:b w:val="0"/>
        </w:rPr>
        <w:t xml:space="preserve">plant balances from </w:t>
      </w:r>
      <w:r w:rsidR="00970ED9">
        <w:rPr>
          <w:b w:val="0"/>
        </w:rPr>
        <w:t>December 2013</w:t>
      </w:r>
      <w:r>
        <w:rPr>
          <w:b w:val="0"/>
        </w:rPr>
        <w:t xml:space="preserve"> AMA</w:t>
      </w:r>
      <w:r w:rsidR="00AE29F5">
        <w:rPr>
          <w:b w:val="0"/>
        </w:rPr>
        <w:t xml:space="preserve"> levels</w:t>
      </w:r>
      <w:r>
        <w:rPr>
          <w:b w:val="0"/>
        </w:rPr>
        <w:t xml:space="preserve"> to </w:t>
      </w:r>
      <w:r w:rsidR="00AE29F5">
        <w:rPr>
          <w:b w:val="0"/>
        </w:rPr>
        <w:t xml:space="preserve">the actual </w:t>
      </w:r>
      <w:r w:rsidR="00970ED9">
        <w:rPr>
          <w:b w:val="0"/>
        </w:rPr>
        <w:t xml:space="preserve">December </w:t>
      </w:r>
      <w:r w:rsidR="00BD20AB">
        <w:rPr>
          <w:b w:val="0"/>
        </w:rPr>
        <w:t xml:space="preserve">31, </w:t>
      </w:r>
      <w:r w:rsidR="00970ED9">
        <w:rPr>
          <w:b w:val="0"/>
        </w:rPr>
        <w:t>2013</w:t>
      </w:r>
      <w:r>
        <w:rPr>
          <w:b w:val="0"/>
        </w:rPr>
        <w:t xml:space="preserve"> </w:t>
      </w:r>
      <w:r w:rsidR="00AE29F5">
        <w:rPr>
          <w:b w:val="0"/>
        </w:rPr>
        <w:t>ending balances</w:t>
      </w:r>
      <w:r w:rsidR="00E728FE">
        <w:rPr>
          <w:b w:val="0"/>
        </w:rPr>
        <w:t xml:space="preserve">.  </w:t>
      </w:r>
      <w:r w:rsidR="00970ED9">
        <w:rPr>
          <w:b w:val="0"/>
        </w:rPr>
        <w:t xml:space="preserve">This adjustment to gross plant balances </w:t>
      </w:r>
      <w:r w:rsidR="006637F9">
        <w:rPr>
          <w:b w:val="0"/>
        </w:rPr>
        <w:t>reduces</w:t>
      </w:r>
      <w:r w:rsidR="00E97149" w:rsidRPr="00E97149">
        <w:rPr>
          <w:b w:val="0"/>
        </w:rPr>
        <w:t xml:space="preserve"> regulatory lag by reflecting rate base balances </w:t>
      </w:r>
      <w:r w:rsidR="006637F9">
        <w:rPr>
          <w:b w:val="0"/>
        </w:rPr>
        <w:t>at end of Test Period levels</w:t>
      </w:r>
      <w:r w:rsidR="00E97149">
        <w:rPr>
          <w:b w:val="0"/>
        </w:rPr>
        <w:t xml:space="preserve">. </w:t>
      </w:r>
      <w:r w:rsidR="006637F9">
        <w:rPr>
          <w:b w:val="0"/>
        </w:rPr>
        <w:t xml:space="preserve"> </w:t>
      </w:r>
      <w:r w:rsidR="00E97149">
        <w:rPr>
          <w:b w:val="0"/>
        </w:rPr>
        <w:t>This method</w:t>
      </w:r>
      <w:r w:rsidR="00827268">
        <w:rPr>
          <w:b w:val="0"/>
        </w:rPr>
        <w:t>ology</w:t>
      </w:r>
      <w:r w:rsidR="00E97149" w:rsidRPr="00E97149">
        <w:t xml:space="preserve"> </w:t>
      </w:r>
      <w:r w:rsidR="00970ED9">
        <w:rPr>
          <w:b w:val="0"/>
        </w:rPr>
        <w:t xml:space="preserve">was approved in the 2013 Rate Case.  </w:t>
      </w:r>
      <w:r>
        <w:rPr>
          <w:b w:val="0"/>
        </w:rPr>
        <w:t xml:space="preserve">The associated accumulated reserve </w:t>
      </w:r>
      <w:r w:rsidR="00CD5E6A">
        <w:rPr>
          <w:b w:val="0"/>
        </w:rPr>
        <w:t xml:space="preserve">and depreciation expense </w:t>
      </w:r>
      <w:r>
        <w:rPr>
          <w:b w:val="0"/>
        </w:rPr>
        <w:t xml:space="preserve">impacts are accounted for </w:t>
      </w:r>
      <w:r w:rsidR="00827268">
        <w:rPr>
          <w:b w:val="0"/>
        </w:rPr>
        <w:t>in</w:t>
      </w:r>
      <w:r>
        <w:rPr>
          <w:b w:val="0"/>
        </w:rPr>
        <w:t xml:space="preserve"> adjustment</w:t>
      </w:r>
      <w:r w:rsidR="00CD5E6A">
        <w:rPr>
          <w:b w:val="0"/>
        </w:rPr>
        <w:t>s</w:t>
      </w:r>
      <w:r>
        <w:rPr>
          <w:b w:val="0"/>
        </w:rPr>
        <w:t xml:space="preserve"> 6.</w:t>
      </w:r>
      <w:r w:rsidR="00691E72">
        <w:rPr>
          <w:b w:val="0"/>
        </w:rPr>
        <w:t>2</w:t>
      </w:r>
      <w:r w:rsidR="00CD5E6A">
        <w:rPr>
          <w:b w:val="0"/>
        </w:rPr>
        <w:t xml:space="preserve"> and 6.3, respectively.</w:t>
      </w:r>
    </w:p>
    <w:p w:rsidR="00DB6F0F" w:rsidRDefault="00827268" w:rsidP="00827268">
      <w:pPr>
        <w:pStyle w:val="Answer"/>
        <w:widowControl w:val="0"/>
        <w:jc w:val="left"/>
      </w:pPr>
      <w:bookmarkStart w:id="16" w:name="OLE_LINK1"/>
      <w:r w:rsidRPr="00827268">
        <w:rPr>
          <w:b/>
        </w:rPr>
        <w:tab/>
      </w:r>
      <w:r w:rsidRPr="00913B00">
        <w:rPr>
          <w:b/>
        </w:rPr>
        <w:t>Investor Supplied Working Capital (page 8.13)</w:t>
      </w:r>
      <w:r w:rsidR="00CD5674" w:rsidRPr="00CD5674">
        <w:t xml:space="preserve"> </w:t>
      </w:r>
      <w:r w:rsidR="00CD5674">
        <w:t>—</w:t>
      </w:r>
      <w:r>
        <w:t>This</w:t>
      </w:r>
      <w:r w:rsidR="00E728FE">
        <w:t xml:space="preserve"> </w:t>
      </w:r>
      <w:r>
        <w:t>a</w:t>
      </w:r>
      <w:r w:rsidR="00AE29F5">
        <w:t xml:space="preserve">djustment </w:t>
      </w:r>
      <w:r>
        <w:t>adds</w:t>
      </w:r>
      <w:r w:rsidR="009522E4">
        <w:t xml:space="preserve"> to rate base</w:t>
      </w:r>
      <w:r>
        <w:t xml:space="preserve"> cash working capital</w:t>
      </w:r>
      <w:r w:rsidR="00DB6F0F" w:rsidRPr="00DB6F0F">
        <w:t xml:space="preserve"> </w:t>
      </w:r>
      <w:r w:rsidR="00AE29F5">
        <w:t>using the I</w:t>
      </w:r>
      <w:r w:rsidR="00BD1303">
        <w:t>nvestor-</w:t>
      </w:r>
      <w:r w:rsidR="00AE29F5">
        <w:t>S</w:t>
      </w:r>
      <w:r w:rsidR="00BD1303">
        <w:t xml:space="preserve">upplied </w:t>
      </w:r>
      <w:r w:rsidR="00AE29F5">
        <w:t>W</w:t>
      </w:r>
      <w:r w:rsidR="00BD1303">
        <w:t xml:space="preserve">orking </w:t>
      </w:r>
      <w:r w:rsidR="00AE29F5">
        <w:t>C</w:t>
      </w:r>
      <w:r w:rsidR="00BD1303">
        <w:t>apital</w:t>
      </w:r>
      <w:r>
        <w:t xml:space="preserve"> (ISWC)</w:t>
      </w:r>
      <w:r w:rsidR="00AE29F5">
        <w:t xml:space="preserve"> method </w:t>
      </w:r>
      <w:r w:rsidR="00706BD6">
        <w:t>consistent with the method approved in the 2013 Rate Case.</w:t>
      </w:r>
    </w:p>
    <w:p w:rsidR="004405B0" w:rsidRPr="00282EDC" w:rsidRDefault="00944CF5" w:rsidP="00282EDC">
      <w:pPr>
        <w:pStyle w:val="Heading2"/>
      </w:pPr>
      <w:bookmarkStart w:id="17" w:name="_Toc386626892"/>
      <w:bookmarkEnd w:id="16"/>
      <w:r w:rsidRPr="00282EDC">
        <w:t>Tab 9</w:t>
      </w:r>
      <w:r w:rsidR="009C4477" w:rsidRPr="00282EDC">
        <w:t>—</w:t>
      </w:r>
      <w:r w:rsidRPr="00282EDC">
        <w:t>Production Factor</w:t>
      </w:r>
      <w:bookmarkEnd w:id="17"/>
    </w:p>
    <w:p w:rsidR="00944CF5" w:rsidRDefault="00944CF5" w:rsidP="003F7952">
      <w:pPr>
        <w:pStyle w:val="Question"/>
        <w:jc w:val="left"/>
      </w:pPr>
      <w:r w:rsidRPr="00944CF5">
        <w:t>Q.</w:t>
      </w:r>
      <w:r>
        <w:rPr>
          <w:b w:val="0"/>
        </w:rPr>
        <w:tab/>
      </w:r>
      <w:r w:rsidRPr="00C11338">
        <w:t xml:space="preserve">Please describe the adjustments included in Tab </w:t>
      </w:r>
      <w:r>
        <w:t>9</w:t>
      </w:r>
      <w:r w:rsidRPr="00C11338">
        <w:t>.</w:t>
      </w:r>
    </w:p>
    <w:p w:rsidR="00507DAC" w:rsidRDefault="00944CF5" w:rsidP="003F7952">
      <w:pPr>
        <w:pStyle w:val="Question"/>
        <w:jc w:val="left"/>
        <w:rPr>
          <w:b w:val="0"/>
        </w:rPr>
      </w:pPr>
      <w:r w:rsidRPr="00EA1465">
        <w:rPr>
          <w:b w:val="0"/>
        </w:rPr>
        <w:t>A.</w:t>
      </w:r>
      <w:r>
        <w:tab/>
        <w:t>Production Factor (page 9.1</w:t>
      </w:r>
      <w:r w:rsidR="003E2FD7">
        <w:t>-9.1.1</w:t>
      </w:r>
      <w:r>
        <w:t>)</w:t>
      </w:r>
      <w:r w:rsidR="009C4477">
        <w:t>—</w:t>
      </w:r>
      <w:r w:rsidR="00334533" w:rsidRPr="00334533">
        <w:rPr>
          <w:b w:val="0"/>
        </w:rPr>
        <w:t xml:space="preserve">The production factor is a means of adjusting </w:t>
      </w:r>
      <w:r w:rsidR="009C4477">
        <w:rPr>
          <w:b w:val="0"/>
        </w:rPr>
        <w:t xml:space="preserve">pro forma </w:t>
      </w:r>
      <w:r w:rsidR="00AE2545">
        <w:rPr>
          <w:b w:val="0"/>
        </w:rPr>
        <w:t xml:space="preserve">generation-related </w:t>
      </w:r>
      <w:r w:rsidR="00334533">
        <w:rPr>
          <w:b w:val="0"/>
        </w:rPr>
        <w:t xml:space="preserve">components of the revenue requirement to </w:t>
      </w:r>
      <w:r w:rsidR="00AE2545">
        <w:rPr>
          <w:b w:val="0"/>
        </w:rPr>
        <w:t>T</w:t>
      </w:r>
      <w:r w:rsidR="00334533" w:rsidRPr="00334533">
        <w:rPr>
          <w:b w:val="0"/>
        </w:rPr>
        <w:t xml:space="preserve">est </w:t>
      </w:r>
      <w:r w:rsidR="00AE2545">
        <w:rPr>
          <w:b w:val="0"/>
        </w:rPr>
        <w:t>Period</w:t>
      </w:r>
      <w:r w:rsidR="00AE2545" w:rsidRPr="00334533">
        <w:rPr>
          <w:b w:val="0"/>
        </w:rPr>
        <w:t xml:space="preserve"> </w:t>
      </w:r>
      <w:r w:rsidR="00334533" w:rsidRPr="00334533">
        <w:rPr>
          <w:b w:val="0"/>
        </w:rPr>
        <w:t>expense and balance levels</w:t>
      </w:r>
      <w:r w:rsidR="00E728FE">
        <w:rPr>
          <w:b w:val="0"/>
        </w:rPr>
        <w:t xml:space="preserve">.  </w:t>
      </w:r>
      <w:r w:rsidR="00334533" w:rsidRPr="00334533">
        <w:rPr>
          <w:b w:val="0"/>
        </w:rPr>
        <w:t xml:space="preserve">The production factor </w:t>
      </w:r>
      <w:r w:rsidR="00F31628">
        <w:rPr>
          <w:b w:val="0"/>
        </w:rPr>
        <w:t xml:space="preserve">was </w:t>
      </w:r>
      <w:r w:rsidR="00334533" w:rsidRPr="00334533">
        <w:rPr>
          <w:b w:val="0"/>
        </w:rPr>
        <w:t xml:space="preserve">calculated by dividing Washington’s normalized </w:t>
      </w:r>
      <w:r w:rsidR="00E728FE">
        <w:rPr>
          <w:b w:val="0"/>
        </w:rPr>
        <w:t>historical</w:t>
      </w:r>
      <w:r w:rsidR="00334533" w:rsidRPr="00334533">
        <w:rPr>
          <w:b w:val="0"/>
        </w:rPr>
        <w:t xml:space="preserve"> retail load by the Washington pro forma load for</w:t>
      </w:r>
      <w:r w:rsidR="009C4477">
        <w:rPr>
          <w:b w:val="0"/>
        </w:rPr>
        <w:t xml:space="preserve"> the</w:t>
      </w:r>
      <w:r w:rsidR="001A041D">
        <w:rPr>
          <w:b w:val="0"/>
        </w:rPr>
        <w:t xml:space="preserve"> </w:t>
      </w:r>
      <w:r w:rsidR="00DC4893">
        <w:rPr>
          <w:b w:val="0"/>
        </w:rPr>
        <w:t xml:space="preserve">12 </w:t>
      </w:r>
      <w:r w:rsidR="001A041D">
        <w:rPr>
          <w:b w:val="0"/>
        </w:rPr>
        <w:t xml:space="preserve">months ending </w:t>
      </w:r>
      <w:r w:rsidR="00BD1303">
        <w:rPr>
          <w:b w:val="0"/>
        </w:rPr>
        <w:t xml:space="preserve">March </w:t>
      </w:r>
      <w:r w:rsidR="00B2259D">
        <w:rPr>
          <w:b w:val="0"/>
        </w:rPr>
        <w:t>31, 201</w:t>
      </w:r>
      <w:r w:rsidR="00F31628">
        <w:rPr>
          <w:b w:val="0"/>
        </w:rPr>
        <w:t>6</w:t>
      </w:r>
      <w:r w:rsidR="00E728FE">
        <w:rPr>
          <w:b w:val="0"/>
        </w:rPr>
        <w:t xml:space="preserve">.  </w:t>
      </w:r>
      <w:r w:rsidR="00C318F8" w:rsidRPr="00334533">
        <w:rPr>
          <w:b w:val="0"/>
        </w:rPr>
        <w:t>T</w:t>
      </w:r>
      <w:r w:rsidR="00C318F8">
        <w:rPr>
          <w:b w:val="0"/>
        </w:rPr>
        <w:t xml:space="preserve">his factor is then </w:t>
      </w:r>
      <w:r w:rsidR="00C318F8" w:rsidRPr="00334533">
        <w:rPr>
          <w:b w:val="0"/>
        </w:rPr>
        <w:t xml:space="preserve">applied to the </w:t>
      </w:r>
      <w:r w:rsidR="009C4477">
        <w:rPr>
          <w:b w:val="0"/>
        </w:rPr>
        <w:t xml:space="preserve">pro forma </w:t>
      </w:r>
      <w:r w:rsidR="00C318F8">
        <w:rPr>
          <w:b w:val="0"/>
        </w:rPr>
        <w:t>net power cost</w:t>
      </w:r>
      <w:r w:rsidR="00FF7A02">
        <w:rPr>
          <w:b w:val="0"/>
        </w:rPr>
        <w:t xml:space="preserve">, pro forma ancillary services revenue, pro forma James River royalty offset, pro forma renewable energy tax credits, </w:t>
      </w:r>
      <w:r w:rsidR="00C318F8">
        <w:rPr>
          <w:b w:val="0"/>
        </w:rPr>
        <w:t xml:space="preserve">and </w:t>
      </w:r>
      <w:r w:rsidR="009C4477">
        <w:rPr>
          <w:b w:val="0"/>
        </w:rPr>
        <w:t xml:space="preserve">pro forma </w:t>
      </w:r>
      <w:r w:rsidR="00C318F8">
        <w:rPr>
          <w:b w:val="0"/>
        </w:rPr>
        <w:t>plant addition</w:t>
      </w:r>
      <w:r w:rsidR="009C4477">
        <w:rPr>
          <w:b w:val="0"/>
        </w:rPr>
        <w:t xml:space="preserve"> revenue requirement components</w:t>
      </w:r>
      <w:r w:rsidR="00C318F8">
        <w:rPr>
          <w:b w:val="0"/>
        </w:rPr>
        <w:t>.</w:t>
      </w:r>
    </w:p>
    <w:p w:rsidR="005C74BD" w:rsidRDefault="009C4477" w:rsidP="00810F93">
      <w:pPr>
        <w:pStyle w:val="Answer"/>
        <w:tabs>
          <w:tab w:val="left" w:pos="720"/>
        </w:tabs>
        <w:jc w:val="left"/>
      </w:pPr>
      <w:r>
        <w:tab/>
      </w:r>
      <w:r>
        <w:tab/>
      </w:r>
      <w:r w:rsidR="00BD20AB">
        <w:t xml:space="preserve">Consistent with prior rate cases, </w:t>
      </w:r>
      <w:r w:rsidR="009B03E4">
        <w:t xml:space="preserve">including the 2013 Rate Case and 2011 Rate Case, </w:t>
      </w:r>
      <w:r>
        <w:t>the production</w:t>
      </w:r>
      <w:r w:rsidR="00810F93">
        <w:t xml:space="preserve"> factor</w:t>
      </w:r>
      <w:r>
        <w:t xml:space="preserve"> </w:t>
      </w:r>
      <w:r w:rsidR="00BD20AB">
        <w:t>is</w:t>
      </w:r>
      <w:r>
        <w:t xml:space="preserve"> applied</w:t>
      </w:r>
      <w:r w:rsidR="00810F93">
        <w:t xml:space="preserve"> only</w:t>
      </w:r>
      <w:r>
        <w:t xml:space="preserve"> to revenue requirement components that are adjusted beyond the historical </w:t>
      </w:r>
      <w:r w:rsidR="00706BD6">
        <w:t>T</w:t>
      </w:r>
      <w:r>
        <w:t xml:space="preserve">est </w:t>
      </w:r>
      <w:r w:rsidR="00706BD6">
        <w:t>P</w:t>
      </w:r>
      <w:r>
        <w:t>eriod.</w:t>
      </w:r>
    </w:p>
    <w:p w:rsidR="003F6D87" w:rsidRDefault="00A4343D" w:rsidP="00282EDC">
      <w:pPr>
        <w:pStyle w:val="Heading2"/>
      </w:pPr>
      <w:bookmarkStart w:id="18" w:name="_Toc386626893"/>
      <w:r w:rsidRPr="00C11338">
        <w:lastRenderedPageBreak/>
        <w:t>Tab 10</w:t>
      </w:r>
      <w:r w:rsidR="003F6D87">
        <w:t>—</w:t>
      </w:r>
      <w:r w:rsidRPr="00C11338">
        <w:t>Allocation Factors</w:t>
      </w:r>
      <w:bookmarkEnd w:id="18"/>
    </w:p>
    <w:p w:rsidR="003F6D87" w:rsidRDefault="003F6D87" w:rsidP="00C318F8">
      <w:pPr>
        <w:pStyle w:val="Answer"/>
        <w:widowControl w:val="0"/>
        <w:tabs>
          <w:tab w:val="left" w:pos="720"/>
        </w:tabs>
        <w:jc w:val="left"/>
        <w:rPr>
          <w:b/>
        </w:rPr>
      </w:pPr>
      <w:r>
        <w:rPr>
          <w:b/>
        </w:rPr>
        <w:t>Q.</w:t>
      </w:r>
      <w:r>
        <w:rPr>
          <w:b/>
        </w:rPr>
        <w:tab/>
        <w:t>Please describe the data included in Tab 10.</w:t>
      </w:r>
    </w:p>
    <w:p w:rsidR="00C318F8" w:rsidRDefault="00D97688" w:rsidP="00C318F8">
      <w:pPr>
        <w:pStyle w:val="Answer"/>
        <w:widowControl w:val="0"/>
        <w:tabs>
          <w:tab w:val="left" w:pos="720"/>
        </w:tabs>
        <w:jc w:val="left"/>
        <w:rPr>
          <w:b/>
        </w:rPr>
      </w:pPr>
      <w:r w:rsidRPr="005C74BD">
        <w:t>A.</w:t>
      </w:r>
      <w:r w:rsidRPr="005C74BD">
        <w:tab/>
      </w:r>
      <w:r w:rsidR="00F31628">
        <w:t>T</w:t>
      </w:r>
      <w:r w:rsidR="00897CB2">
        <w:t xml:space="preserve">he </w:t>
      </w:r>
      <w:r w:rsidR="00A4343D" w:rsidRPr="00C11338">
        <w:t xml:space="preserve">derivation of the </w:t>
      </w:r>
      <w:r w:rsidR="00706BD6">
        <w:t>inter-</w:t>
      </w:r>
      <w:r w:rsidR="00A4343D" w:rsidRPr="00C11338">
        <w:t xml:space="preserve">jurisdictional allocation factors using </w:t>
      </w:r>
      <w:r w:rsidR="00A4343D">
        <w:t xml:space="preserve">the </w:t>
      </w:r>
      <w:r w:rsidR="001E5A2D">
        <w:t>WCA</w:t>
      </w:r>
      <w:r w:rsidR="00F31628">
        <w:t xml:space="preserve"> </w:t>
      </w:r>
      <w:r w:rsidR="00897CB2">
        <w:t>is summarized</w:t>
      </w:r>
      <w:r w:rsidR="00F31628">
        <w:t xml:space="preserve"> in Tab 10</w:t>
      </w:r>
      <w:r w:rsidR="00897CB2">
        <w:t>.</w:t>
      </w:r>
      <w:r w:rsidR="00E728FE">
        <w:t xml:space="preserve">  </w:t>
      </w:r>
      <w:r w:rsidR="00A4343D" w:rsidRPr="00C11338">
        <w:t xml:space="preserve">These factors are based on the </w:t>
      </w:r>
      <w:r w:rsidR="00765784">
        <w:t xml:space="preserve">normalized </w:t>
      </w:r>
      <w:r w:rsidR="00E728FE">
        <w:t>historical</w:t>
      </w:r>
      <w:r w:rsidR="00765784">
        <w:t xml:space="preserve"> </w:t>
      </w:r>
      <w:r w:rsidR="00A4343D" w:rsidRPr="00C11338">
        <w:t>loads</w:t>
      </w:r>
      <w:r w:rsidR="00AA6998" w:rsidRPr="00AA6998">
        <w:t xml:space="preserve"> </w:t>
      </w:r>
      <w:r w:rsidR="00AA6998" w:rsidRPr="00C11338">
        <w:t>and the plant balances</w:t>
      </w:r>
      <w:r w:rsidR="00765784">
        <w:t xml:space="preserve"> for the </w:t>
      </w:r>
      <w:r w:rsidR="00DC4893">
        <w:t xml:space="preserve">12 </w:t>
      </w:r>
      <w:r w:rsidR="00A86F4D">
        <w:t>months</w:t>
      </w:r>
      <w:r w:rsidR="00765784">
        <w:t xml:space="preserve"> ended </w:t>
      </w:r>
      <w:r w:rsidR="00B500DE">
        <w:t>December 31, 2013</w:t>
      </w:r>
      <w:r w:rsidR="00E728FE">
        <w:t xml:space="preserve">.  </w:t>
      </w:r>
    </w:p>
    <w:p w:rsidR="00640F85" w:rsidRDefault="00AA6998" w:rsidP="00D20F57">
      <w:pPr>
        <w:pStyle w:val="Answer"/>
        <w:widowControl w:val="0"/>
        <w:ind w:firstLine="720"/>
        <w:jc w:val="left"/>
      </w:pPr>
      <w:r>
        <w:t xml:space="preserve">Page 10.2 shows each of the WCA allocation factors applied in this filing, as well as a page reference to the corresponding backup page within </w:t>
      </w:r>
      <w:r w:rsidR="00620DA2">
        <w:t>the Report</w:t>
      </w:r>
      <w:r>
        <w:t xml:space="preserve"> that shows the calculation of that factor.</w:t>
      </w:r>
    </w:p>
    <w:p w:rsidR="003F6D87" w:rsidRPr="00C11338" w:rsidRDefault="003F6D87" w:rsidP="003F6D87">
      <w:pPr>
        <w:pStyle w:val="Question"/>
        <w:jc w:val="left"/>
      </w:pPr>
      <w:r w:rsidRPr="00C11338">
        <w:t>Q.</w:t>
      </w:r>
      <w:r w:rsidRPr="00C11338">
        <w:tab/>
        <w:t>Please describe the r</w:t>
      </w:r>
      <w:r>
        <w:t>emaining portions</w:t>
      </w:r>
      <w:r w:rsidRPr="00C11338">
        <w:t xml:space="preserve"> </w:t>
      </w:r>
      <w:r w:rsidR="007D3DF3">
        <w:t>of the Report.</w:t>
      </w:r>
    </w:p>
    <w:p w:rsidR="00CE15C5" w:rsidRPr="00CE15C5" w:rsidRDefault="00CE15C5" w:rsidP="003F7952">
      <w:pPr>
        <w:pStyle w:val="Answer"/>
        <w:widowControl w:val="0"/>
        <w:ind w:firstLine="0"/>
        <w:jc w:val="left"/>
      </w:pPr>
      <w:r w:rsidRPr="00CE15C5">
        <w:rPr>
          <w:b/>
        </w:rPr>
        <w:t>Tab 11</w:t>
      </w:r>
      <w:r w:rsidR="003F6D87">
        <w:t>—</w:t>
      </w:r>
      <w:r w:rsidR="00E728FE">
        <w:rPr>
          <w:b/>
        </w:rPr>
        <w:t>Historical</w:t>
      </w:r>
      <w:r w:rsidRPr="00CE15C5">
        <w:rPr>
          <w:b/>
        </w:rPr>
        <w:t xml:space="preserve"> Rate Base</w:t>
      </w:r>
      <w:r w:rsidR="0086430B">
        <w:rPr>
          <w:b/>
        </w:rPr>
        <w:t>:</w:t>
      </w:r>
      <w:r w:rsidR="0086430B">
        <w:t xml:space="preserve">  T</w:t>
      </w:r>
      <w:r w:rsidRPr="00CE15C5">
        <w:t>his section</w:t>
      </w:r>
      <w:r>
        <w:t xml:space="preserve"> </w:t>
      </w:r>
      <w:r>
        <w:rPr>
          <w:szCs w:val="24"/>
        </w:rPr>
        <w:t xml:space="preserve">shows the Washington-allocated monthly balances used in the calculation of the AMA balance for the </w:t>
      </w:r>
      <w:r w:rsidR="00E728FE">
        <w:rPr>
          <w:szCs w:val="24"/>
        </w:rPr>
        <w:t>historical</w:t>
      </w:r>
      <w:r>
        <w:rPr>
          <w:szCs w:val="24"/>
        </w:rPr>
        <w:t xml:space="preserve"> period by FERC account and WCA allocation factor</w:t>
      </w:r>
      <w:r w:rsidR="00810F93">
        <w:rPr>
          <w:szCs w:val="24"/>
        </w:rPr>
        <w:t>.</w:t>
      </w:r>
    </w:p>
    <w:p w:rsidR="00706BD6" w:rsidRDefault="00CE15C5" w:rsidP="00D57A3B">
      <w:pPr>
        <w:pStyle w:val="Answer"/>
        <w:ind w:firstLine="0"/>
        <w:jc w:val="left"/>
      </w:pPr>
      <w:r w:rsidRPr="00CE15C5">
        <w:rPr>
          <w:b/>
        </w:rPr>
        <w:t>Tabs B1 through B20</w:t>
      </w:r>
      <w:r w:rsidR="0086430B">
        <w:rPr>
          <w:b/>
        </w:rPr>
        <w:t xml:space="preserve">:  </w:t>
      </w:r>
      <w:r>
        <w:t xml:space="preserve">These tabs </w:t>
      </w:r>
      <w:r w:rsidRPr="00DC73A6">
        <w:t xml:space="preserve">contain </w:t>
      </w:r>
      <w:r w:rsidR="001E2E3C">
        <w:t xml:space="preserve">extracts of </w:t>
      </w:r>
      <w:r w:rsidRPr="00DC73A6">
        <w:t xml:space="preserve">the </w:t>
      </w:r>
      <w:r w:rsidR="00E728FE">
        <w:t>historical</w:t>
      </w:r>
      <w:r w:rsidRPr="00DC73A6">
        <w:t xml:space="preserve"> results</w:t>
      </w:r>
      <w:r w:rsidR="001E2E3C">
        <w:t xml:space="preserve"> from the Company’s accounting system</w:t>
      </w:r>
      <w:r w:rsidRPr="00DC73A6">
        <w:t xml:space="preserve"> for the </w:t>
      </w:r>
      <w:r>
        <w:t>Test Period and are</w:t>
      </w:r>
      <w:r w:rsidRPr="00DC73A6">
        <w:t xml:space="preserve"> organized by major FERC function</w:t>
      </w:r>
      <w:r w:rsidR="00E728FE">
        <w:t xml:space="preserve">.  </w:t>
      </w:r>
      <w:r>
        <w:t xml:space="preserve">The data contained in this section of the exhibit </w:t>
      </w:r>
      <w:r w:rsidR="007D3DF3">
        <w:t>ties to the</w:t>
      </w:r>
      <w:r>
        <w:t xml:space="preserve"> </w:t>
      </w:r>
      <w:r w:rsidR="004214C8">
        <w:t>per-book</w:t>
      </w:r>
      <w:r w:rsidR="00620DA2">
        <w:t>s</w:t>
      </w:r>
      <w:r>
        <w:t xml:space="preserve"> data found under Tab 2</w:t>
      </w:r>
      <w:r w:rsidR="007D3DF3">
        <w:t>—</w:t>
      </w:r>
      <w:r>
        <w:t>Results of Operations.</w:t>
      </w:r>
    </w:p>
    <w:p w:rsidR="00BD1303" w:rsidRDefault="00BD1303" w:rsidP="00282EDC">
      <w:pPr>
        <w:pStyle w:val="Heading1"/>
      </w:pPr>
      <w:bookmarkStart w:id="19" w:name="_Toc386626894"/>
      <w:r>
        <w:t xml:space="preserve">DESCRIPTION OF </w:t>
      </w:r>
      <w:r w:rsidR="008C78E7">
        <w:t>ADDITIONAL</w:t>
      </w:r>
      <w:r>
        <w:t xml:space="preserve"> EXHIBITS AND WORKPAPERS</w:t>
      </w:r>
      <w:bookmarkEnd w:id="19"/>
    </w:p>
    <w:p w:rsidR="00BD1303" w:rsidRDefault="008C78E7" w:rsidP="00282EDC">
      <w:pPr>
        <w:pStyle w:val="Heading2"/>
      </w:pPr>
      <w:bookmarkStart w:id="20" w:name="_Toc386626895"/>
      <w:r>
        <w:t>Additional</w:t>
      </w:r>
      <w:r w:rsidR="00BD1303">
        <w:t xml:space="preserve"> Revenue Requirement Exhibits</w:t>
      </w:r>
      <w:bookmarkEnd w:id="20"/>
    </w:p>
    <w:p w:rsidR="00BD1303" w:rsidRPr="005C74BD" w:rsidRDefault="00BD1303" w:rsidP="00BD1303">
      <w:pPr>
        <w:pStyle w:val="Answer"/>
        <w:jc w:val="left"/>
        <w:rPr>
          <w:b/>
        </w:rPr>
      </w:pPr>
      <w:r w:rsidRPr="00A11249">
        <w:rPr>
          <w:b/>
        </w:rPr>
        <w:t>Q.</w:t>
      </w:r>
      <w:r w:rsidRPr="005C74BD">
        <w:rPr>
          <w:b/>
        </w:rPr>
        <w:tab/>
        <w:t xml:space="preserve">Please describe </w:t>
      </w:r>
      <w:r>
        <w:rPr>
          <w:b/>
        </w:rPr>
        <w:t>Confidential Exhibit No.</w:t>
      </w:r>
      <w:r w:rsidRPr="003A0ED7">
        <w:rPr>
          <w:b/>
        </w:rPr>
        <w:t>___(</w:t>
      </w:r>
      <w:r>
        <w:rPr>
          <w:b/>
        </w:rPr>
        <w:t>NCS</w:t>
      </w:r>
      <w:r w:rsidRPr="003A0ED7">
        <w:rPr>
          <w:b/>
        </w:rPr>
        <w:t>-</w:t>
      </w:r>
      <w:r>
        <w:rPr>
          <w:b/>
        </w:rPr>
        <w:t>4C</w:t>
      </w:r>
      <w:r w:rsidRPr="003A0ED7">
        <w:rPr>
          <w:b/>
        </w:rPr>
        <w:t>).</w:t>
      </w:r>
    </w:p>
    <w:p w:rsidR="00BD1303" w:rsidRDefault="00BD1303" w:rsidP="00BD1303">
      <w:pPr>
        <w:pStyle w:val="Answer"/>
        <w:jc w:val="left"/>
      </w:pPr>
      <w:r w:rsidRPr="005C74BD">
        <w:t>A.</w:t>
      </w:r>
      <w:r w:rsidRPr="00A11249">
        <w:tab/>
      </w:r>
      <w:r w:rsidR="00F31628">
        <w:t xml:space="preserve">As mentioned above in the description of adjustment 7.2 Property Tax Expense, </w:t>
      </w:r>
      <w:r>
        <w:t>Confidential Exhibit No.___(NCS-4C</w:t>
      </w:r>
      <w:r w:rsidRPr="003A0ED7">
        <w:t>)</w:t>
      </w:r>
      <w:r w:rsidR="00F31628">
        <w:t xml:space="preserve"> provides a description of the methodology and calculation of pro forma property tax expense.</w:t>
      </w:r>
    </w:p>
    <w:p w:rsidR="00406291" w:rsidRDefault="00406291" w:rsidP="00406291">
      <w:pPr>
        <w:pStyle w:val="Answer"/>
        <w:suppressLineNumbers/>
        <w:jc w:val="left"/>
        <w:rPr>
          <w:b/>
        </w:rPr>
      </w:pPr>
    </w:p>
    <w:p w:rsidR="00987E13" w:rsidRPr="005C74BD" w:rsidRDefault="00A11249" w:rsidP="005C74BD">
      <w:pPr>
        <w:pStyle w:val="Answer"/>
        <w:jc w:val="left"/>
        <w:rPr>
          <w:b/>
        </w:rPr>
      </w:pPr>
      <w:r w:rsidRPr="00A11249">
        <w:rPr>
          <w:b/>
        </w:rPr>
        <w:lastRenderedPageBreak/>
        <w:t>Q.</w:t>
      </w:r>
      <w:r w:rsidR="00D97688" w:rsidRPr="005C74BD">
        <w:rPr>
          <w:b/>
        </w:rPr>
        <w:tab/>
        <w:t xml:space="preserve">Please describe </w:t>
      </w:r>
      <w:r w:rsidR="003A0ED7">
        <w:rPr>
          <w:b/>
        </w:rPr>
        <w:t>Exhibit No.</w:t>
      </w:r>
      <w:r w:rsidR="00D97688" w:rsidRPr="003A0ED7">
        <w:rPr>
          <w:b/>
        </w:rPr>
        <w:t>___(</w:t>
      </w:r>
      <w:r w:rsidR="00447091">
        <w:rPr>
          <w:b/>
        </w:rPr>
        <w:t>NCS</w:t>
      </w:r>
      <w:r w:rsidR="00D97688" w:rsidRPr="003A0ED7">
        <w:rPr>
          <w:b/>
        </w:rPr>
        <w:t>-</w:t>
      </w:r>
      <w:r w:rsidR="003A0ED7" w:rsidRPr="003A0ED7">
        <w:rPr>
          <w:b/>
        </w:rPr>
        <w:t>5</w:t>
      </w:r>
      <w:r w:rsidR="00D97688" w:rsidRPr="003A0ED7">
        <w:rPr>
          <w:b/>
        </w:rPr>
        <w:t>).</w:t>
      </w:r>
    </w:p>
    <w:p w:rsidR="00987E13" w:rsidRDefault="00D97688" w:rsidP="005C74BD">
      <w:pPr>
        <w:pStyle w:val="Answer"/>
        <w:jc w:val="left"/>
      </w:pPr>
      <w:r w:rsidRPr="005C74BD">
        <w:t>A.</w:t>
      </w:r>
      <w:r w:rsidR="00A11249" w:rsidRPr="00A11249">
        <w:tab/>
      </w:r>
      <w:r w:rsidR="003A0ED7">
        <w:t>Exhibit No.___(</w:t>
      </w:r>
      <w:r w:rsidR="00447091">
        <w:t>NCS</w:t>
      </w:r>
      <w:r w:rsidR="003A0ED7">
        <w:t>-5</w:t>
      </w:r>
      <w:r w:rsidR="00A11249" w:rsidRPr="003A0ED7">
        <w:t>)</w:t>
      </w:r>
      <w:r w:rsidR="00A11249">
        <w:t xml:space="preserve"> is the WCA</w:t>
      </w:r>
      <w:r w:rsidR="00F31628">
        <w:t xml:space="preserve"> </w:t>
      </w:r>
      <w:r w:rsidR="00A11249">
        <w:t>Manual</w:t>
      </w:r>
      <w:r w:rsidR="00F31628">
        <w:t xml:space="preserve"> that</w:t>
      </w:r>
      <w:r w:rsidR="00D20F57">
        <w:t xml:space="preserve"> provides explanations and derivations of the allocation factors used</w:t>
      </w:r>
      <w:r w:rsidR="00810F93">
        <w:t xml:space="preserve"> in this case.</w:t>
      </w:r>
    </w:p>
    <w:p w:rsidR="00BD1303" w:rsidRPr="005C74BD" w:rsidRDefault="00BD1303" w:rsidP="00BD1303">
      <w:pPr>
        <w:pStyle w:val="Answer"/>
        <w:jc w:val="left"/>
        <w:rPr>
          <w:b/>
        </w:rPr>
      </w:pPr>
      <w:r w:rsidRPr="00A11249">
        <w:rPr>
          <w:b/>
        </w:rPr>
        <w:t>Q.</w:t>
      </w:r>
      <w:r w:rsidRPr="005C74BD">
        <w:rPr>
          <w:b/>
        </w:rPr>
        <w:tab/>
        <w:t xml:space="preserve">Please describe </w:t>
      </w:r>
      <w:r>
        <w:rPr>
          <w:b/>
        </w:rPr>
        <w:t>Exhibit No.</w:t>
      </w:r>
      <w:r w:rsidRPr="003A0ED7">
        <w:rPr>
          <w:b/>
        </w:rPr>
        <w:t>___(</w:t>
      </w:r>
      <w:r>
        <w:rPr>
          <w:b/>
        </w:rPr>
        <w:t>NCS</w:t>
      </w:r>
      <w:r w:rsidRPr="003A0ED7">
        <w:rPr>
          <w:b/>
        </w:rPr>
        <w:t>-</w:t>
      </w:r>
      <w:r>
        <w:rPr>
          <w:b/>
        </w:rPr>
        <w:t>6</w:t>
      </w:r>
      <w:r w:rsidRPr="003A0ED7">
        <w:rPr>
          <w:b/>
        </w:rPr>
        <w:t>).</w:t>
      </w:r>
    </w:p>
    <w:p w:rsidR="00406291" w:rsidRDefault="00BD1303" w:rsidP="00BD1303">
      <w:pPr>
        <w:pStyle w:val="Answer"/>
        <w:jc w:val="left"/>
      </w:pPr>
      <w:r w:rsidRPr="005C74BD">
        <w:t>A.</w:t>
      </w:r>
      <w:r w:rsidRPr="00A11249">
        <w:tab/>
      </w:r>
      <w:r>
        <w:t>Exhibit No.___(NCS-6</w:t>
      </w:r>
      <w:r w:rsidRPr="003A0ED7">
        <w:t>)</w:t>
      </w:r>
      <w:r w:rsidR="00F90CB2">
        <w:t xml:space="preserve"> details the calculation of revenue requirement results using the </w:t>
      </w:r>
      <w:r w:rsidR="006541D2">
        <w:t>cost of capital alternatives and scenarios</w:t>
      </w:r>
      <w:r w:rsidR="00F90CB2">
        <w:t xml:space="preserve"> discussed in the testimony of </w:t>
      </w:r>
    </w:p>
    <w:p w:rsidR="00BD1303" w:rsidRDefault="00F90CB2" w:rsidP="00406291">
      <w:pPr>
        <w:pStyle w:val="Answer"/>
        <w:ind w:firstLine="0"/>
        <w:jc w:val="left"/>
      </w:pPr>
      <w:r>
        <w:t>Mr. Bruce N. Williams.  This exhibit provides support for the revenue requirement impacts mentioned in Mr. Williams’</w:t>
      </w:r>
      <w:r w:rsidR="00CD5674">
        <w:t>s</w:t>
      </w:r>
      <w:r>
        <w:t xml:space="preserve"> testimony.</w:t>
      </w:r>
    </w:p>
    <w:p w:rsidR="00BD1303" w:rsidRPr="005C74BD" w:rsidRDefault="00BD1303" w:rsidP="00BD1303">
      <w:pPr>
        <w:pStyle w:val="Answer"/>
        <w:jc w:val="left"/>
        <w:rPr>
          <w:b/>
        </w:rPr>
      </w:pPr>
      <w:r w:rsidRPr="00A11249">
        <w:rPr>
          <w:b/>
        </w:rPr>
        <w:t>Q.</w:t>
      </w:r>
      <w:r w:rsidRPr="005C74BD">
        <w:rPr>
          <w:b/>
        </w:rPr>
        <w:tab/>
        <w:t xml:space="preserve">Please describe </w:t>
      </w:r>
      <w:r>
        <w:rPr>
          <w:b/>
        </w:rPr>
        <w:t>Exhibit No.</w:t>
      </w:r>
      <w:r w:rsidRPr="003A0ED7">
        <w:rPr>
          <w:b/>
        </w:rPr>
        <w:t>___(</w:t>
      </w:r>
      <w:r>
        <w:rPr>
          <w:b/>
        </w:rPr>
        <w:t>NCS</w:t>
      </w:r>
      <w:r w:rsidRPr="003A0ED7">
        <w:rPr>
          <w:b/>
        </w:rPr>
        <w:t>-</w:t>
      </w:r>
      <w:r>
        <w:rPr>
          <w:b/>
        </w:rPr>
        <w:t>7</w:t>
      </w:r>
      <w:r w:rsidRPr="003A0ED7">
        <w:rPr>
          <w:b/>
        </w:rPr>
        <w:t>).</w:t>
      </w:r>
    </w:p>
    <w:p w:rsidR="00BD1303" w:rsidRDefault="00BD1303" w:rsidP="00BD1303">
      <w:pPr>
        <w:pStyle w:val="Answer"/>
        <w:jc w:val="left"/>
      </w:pPr>
      <w:r w:rsidRPr="005C74BD">
        <w:t>A.</w:t>
      </w:r>
      <w:r w:rsidRPr="00A11249">
        <w:tab/>
      </w:r>
      <w:r>
        <w:t>Exhibit No.___(NCS-7</w:t>
      </w:r>
      <w:r w:rsidRPr="003A0ED7">
        <w:t>)</w:t>
      </w:r>
      <w:r w:rsidR="00F90CB2">
        <w:t xml:space="preserve"> details the calculation of revenue requirement results using the net power cost </w:t>
      </w:r>
      <w:r w:rsidR="006541D2">
        <w:t xml:space="preserve">alternatives </w:t>
      </w:r>
      <w:r w:rsidR="00F90CB2">
        <w:t>discussed in the testimony of Mr. Duvall.  This exhibit provides support for the revenue requirement impacts mentioned in Mr. Duvall’s testimony.</w:t>
      </w:r>
    </w:p>
    <w:p w:rsidR="00BD1303" w:rsidRPr="005C74BD" w:rsidRDefault="00BD1303" w:rsidP="001476F2">
      <w:pPr>
        <w:pStyle w:val="Answer"/>
        <w:widowControl w:val="0"/>
        <w:jc w:val="left"/>
        <w:rPr>
          <w:b/>
        </w:rPr>
      </w:pPr>
      <w:r w:rsidRPr="00A11249">
        <w:rPr>
          <w:b/>
        </w:rPr>
        <w:t>Q.</w:t>
      </w:r>
      <w:r w:rsidRPr="005C74BD">
        <w:rPr>
          <w:b/>
        </w:rPr>
        <w:tab/>
        <w:t xml:space="preserve">Please describe </w:t>
      </w:r>
      <w:r>
        <w:rPr>
          <w:b/>
        </w:rPr>
        <w:t>Confidential Exhibit No.</w:t>
      </w:r>
      <w:r w:rsidRPr="003A0ED7">
        <w:rPr>
          <w:b/>
        </w:rPr>
        <w:t>___(</w:t>
      </w:r>
      <w:r>
        <w:rPr>
          <w:b/>
        </w:rPr>
        <w:t>NCS</w:t>
      </w:r>
      <w:r w:rsidRPr="003A0ED7">
        <w:rPr>
          <w:b/>
        </w:rPr>
        <w:t>-</w:t>
      </w:r>
      <w:r>
        <w:rPr>
          <w:b/>
        </w:rPr>
        <w:t>8C</w:t>
      </w:r>
      <w:r w:rsidRPr="003A0ED7">
        <w:rPr>
          <w:b/>
        </w:rPr>
        <w:t>).</w:t>
      </w:r>
    </w:p>
    <w:p w:rsidR="00BD1303" w:rsidRDefault="00BD1303" w:rsidP="001476F2">
      <w:pPr>
        <w:pStyle w:val="Answer"/>
        <w:widowControl w:val="0"/>
        <w:jc w:val="left"/>
      </w:pPr>
      <w:r w:rsidRPr="005C74BD">
        <w:t>A.</w:t>
      </w:r>
      <w:r w:rsidRPr="00A11249">
        <w:tab/>
      </w:r>
      <w:r w:rsidR="00F90CB2">
        <w:t xml:space="preserve">As detailed above in the description for adjustment 4.13, IHS Global Insight Escalation, the indices are proprietary information and are therefore provided in this Confidential </w:t>
      </w:r>
      <w:r>
        <w:t>Exhibit No.___(NCS-8C</w:t>
      </w:r>
      <w:r w:rsidRPr="003A0ED7">
        <w:t>)</w:t>
      </w:r>
    </w:p>
    <w:p w:rsidR="00BD1303" w:rsidRPr="005C74BD" w:rsidRDefault="00BD1303" w:rsidP="00BD1303">
      <w:pPr>
        <w:pStyle w:val="Answer"/>
        <w:jc w:val="left"/>
        <w:rPr>
          <w:b/>
        </w:rPr>
      </w:pPr>
      <w:r w:rsidRPr="00A11249">
        <w:rPr>
          <w:b/>
        </w:rPr>
        <w:t>Q.</w:t>
      </w:r>
      <w:r w:rsidRPr="005C74BD">
        <w:rPr>
          <w:b/>
        </w:rPr>
        <w:tab/>
        <w:t xml:space="preserve">Please describe </w:t>
      </w:r>
      <w:r>
        <w:rPr>
          <w:b/>
        </w:rPr>
        <w:t>Exhibit No.</w:t>
      </w:r>
      <w:r w:rsidRPr="003A0ED7">
        <w:rPr>
          <w:b/>
        </w:rPr>
        <w:t>___(</w:t>
      </w:r>
      <w:r>
        <w:rPr>
          <w:b/>
        </w:rPr>
        <w:t>NCS</w:t>
      </w:r>
      <w:r w:rsidRPr="003A0ED7">
        <w:rPr>
          <w:b/>
        </w:rPr>
        <w:t>-</w:t>
      </w:r>
      <w:r>
        <w:rPr>
          <w:b/>
        </w:rPr>
        <w:t>9</w:t>
      </w:r>
      <w:r w:rsidRPr="003A0ED7">
        <w:rPr>
          <w:b/>
        </w:rPr>
        <w:t>).</w:t>
      </w:r>
    </w:p>
    <w:p w:rsidR="00406291" w:rsidRDefault="00BD1303" w:rsidP="00BD1303">
      <w:pPr>
        <w:pStyle w:val="Answer"/>
        <w:jc w:val="left"/>
      </w:pPr>
      <w:r w:rsidRPr="005C74BD">
        <w:t>A.</w:t>
      </w:r>
      <w:r w:rsidRPr="00A11249">
        <w:tab/>
      </w:r>
      <w:r w:rsidR="00565B23">
        <w:t>As mentioned above, the Company is requesting to be</w:t>
      </w:r>
      <w:r w:rsidR="009D5D37">
        <w:t>gin</w:t>
      </w:r>
      <w:r w:rsidR="00565B23">
        <w:t xml:space="preserve"> amortiz</w:t>
      </w:r>
      <w:r w:rsidR="006541D2">
        <w:t>ing</w:t>
      </w:r>
      <w:r w:rsidR="00565B23">
        <w:t xml:space="preserve"> </w:t>
      </w:r>
      <w:r w:rsidR="009D5D37">
        <w:t xml:space="preserve">the </w:t>
      </w:r>
      <w:r w:rsidR="00565B23">
        <w:t>Colstrip, hydro</w:t>
      </w:r>
      <w:r w:rsidR="006541D2">
        <w:t>,</w:t>
      </w:r>
      <w:r w:rsidR="00565B23">
        <w:t xml:space="preserve"> and depreciation deferrals concurrent with rates approved in this case.  </w:t>
      </w:r>
    </w:p>
    <w:p w:rsidR="00BD1303" w:rsidRDefault="00BD1303" w:rsidP="00406291">
      <w:pPr>
        <w:pStyle w:val="Answer"/>
        <w:ind w:firstLine="0"/>
        <w:jc w:val="left"/>
      </w:pPr>
      <w:r>
        <w:t>Exhibit No.___(NCS-9</w:t>
      </w:r>
      <w:r w:rsidRPr="003A0ED7">
        <w:t>)</w:t>
      </w:r>
      <w:r w:rsidR="00565B23">
        <w:t xml:space="preserve"> provides calculations detailing the $4.94 million that the Company is requesting to amortize for these three deferrals.</w:t>
      </w:r>
    </w:p>
    <w:p w:rsidR="004405B0" w:rsidRPr="00282EDC" w:rsidRDefault="005B748E" w:rsidP="00282EDC">
      <w:pPr>
        <w:pStyle w:val="Heading2"/>
      </w:pPr>
      <w:bookmarkStart w:id="21" w:name="_Toc386626896"/>
      <w:r w:rsidRPr="00282EDC">
        <w:lastRenderedPageBreak/>
        <w:t>Revenue Requirement Workpapers</w:t>
      </w:r>
      <w:bookmarkEnd w:id="21"/>
    </w:p>
    <w:p w:rsidR="00322D67" w:rsidRDefault="005B748E" w:rsidP="003F7952">
      <w:pPr>
        <w:pStyle w:val="Answer"/>
        <w:widowControl w:val="0"/>
        <w:jc w:val="left"/>
        <w:rPr>
          <w:b/>
        </w:rPr>
      </w:pPr>
      <w:r>
        <w:rPr>
          <w:b/>
        </w:rPr>
        <w:t>Q.</w:t>
      </w:r>
      <w:r>
        <w:rPr>
          <w:b/>
        </w:rPr>
        <w:tab/>
      </w:r>
      <w:r w:rsidR="00CD2E1A">
        <w:rPr>
          <w:b/>
        </w:rPr>
        <w:t>Please describe the workpapers supporting the revenue requirement calculations.</w:t>
      </w:r>
    </w:p>
    <w:p w:rsidR="005D4F79" w:rsidRDefault="00CD2E1A" w:rsidP="00640F85">
      <w:pPr>
        <w:pStyle w:val="Answer"/>
        <w:jc w:val="left"/>
      </w:pPr>
      <w:r w:rsidRPr="00130868">
        <w:t>A.</w:t>
      </w:r>
      <w:r>
        <w:rPr>
          <w:b/>
        </w:rPr>
        <w:tab/>
      </w:r>
      <w:r w:rsidR="00130868" w:rsidRPr="00130868">
        <w:t xml:space="preserve">In compliance </w:t>
      </w:r>
      <w:r w:rsidR="00130868" w:rsidRPr="00E07A7D">
        <w:t>with WAC 480-07-510(3), s</w:t>
      </w:r>
      <w:r w:rsidR="00AD544F" w:rsidRPr="00E07A7D">
        <w:t>everal</w:t>
      </w:r>
      <w:r w:rsidR="00AD544F" w:rsidRPr="00AD544F">
        <w:t xml:space="preserve"> revenue requirement </w:t>
      </w:r>
      <w:r>
        <w:t xml:space="preserve">workpapers </w:t>
      </w:r>
      <w:r w:rsidR="00AD544F" w:rsidRPr="00AD544F">
        <w:t xml:space="preserve">have been </w:t>
      </w:r>
      <w:r w:rsidR="007F6011">
        <w:t>provided</w:t>
      </w:r>
      <w:r w:rsidR="00AD544F" w:rsidRPr="00AD544F">
        <w:t xml:space="preserve"> as part of the Company’s filing</w:t>
      </w:r>
      <w:r w:rsidR="00E728FE">
        <w:t xml:space="preserve">.  </w:t>
      </w:r>
      <w:r w:rsidR="00AD544F" w:rsidRPr="00AD544F">
        <w:t xml:space="preserve">Two summary files have been prepared outlining the organization of </w:t>
      </w:r>
      <w:r>
        <w:t>these files and serve as a guide to the other workpapers</w:t>
      </w:r>
      <w:r w:rsidR="00E728FE">
        <w:t xml:space="preserve">.  </w:t>
      </w:r>
      <w:r w:rsidR="00AD544F" w:rsidRPr="00AD544F">
        <w:t>The</w:t>
      </w:r>
      <w:r>
        <w:t xml:space="preserve"> document</w:t>
      </w:r>
      <w:r w:rsidR="00AD544F" w:rsidRPr="00AD544F">
        <w:t xml:space="preserve"> titled “Revenue Requirement Workpaper Summary” contains a written description of the workpapers</w:t>
      </w:r>
      <w:r w:rsidR="007F6011">
        <w:t>,</w:t>
      </w:r>
      <w:r w:rsidR="00AD544F" w:rsidRPr="00AD544F">
        <w:t xml:space="preserve"> as well as a brief discussion of the Company’s revenue requirement models</w:t>
      </w:r>
      <w:r w:rsidR="00E728FE">
        <w:t xml:space="preserve">.  </w:t>
      </w:r>
      <w:r>
        <w:t>The file named “Revenue Requirement Workpaper Flow Chart” provides an illustrative example of the interconnection of the workpapers and h</w:t>
      </w:r>
      <w:r w:rsidR="005B6614">
        <w:t xml:space="preserve">ow the individual </w:t>
      </w:r>
      <w:r w:rsidR="00575532">
        <w:t>files</w:t>
      </w:r>
      <w:r w:rsidR="005B6614">
        <w:t xml:space="preserve"> are included in the exhibits described above</w:t>
      </w:r>
      <w:r>
        <w:t>.</w:t>
      </w:r>
    </w:p>
    <w:p w:rsidR="00A4343D" w:rsidRPr="00C11338" w:rsidRDefault="00A4343D" w:rsidP="003F7952">
      <w:pPr>
        <w:pStyle w:val="Question"/>
        <w:jc w:val="left"/>
      </w:pPr>
      <w:r w:rsidRPr="00C11338">
        <w:t>Q.</w:t>
      </w:r>
      <w:r w:rsidRPr="00C11338">
        <w:tab/>
        <w:t xml:space="preserve">Does this conclude your </w:t>
      </w:r>
      <w:r>
        <w:t xml:space="preserve">direct </w:t>
      </w:r>
      <w:r w:rsidRPr="00C11338">
        <w:t>testimony?</w:t>
      </w:r>
    </w:p>
    <w:p w:rsidR="00A4343D" w:rsidRDefault="00A4343D" w:rsidP="003F7952">
      <w:pPr>
        <w:pStyle w:val="Answer"/>
        <w:jc w:val="left"/>
      </w:pPr>
      <w:r w:rsidRPr="003C203D">
        <w:t>A.</w:t>
      </w:r>
      <w:r w:rsidRPr="003C203D">
        <w:tab/>
        <w:t>Yes.</w:t>
      </w:r>
    </w:p>
    <w:sectPr w:rsidR="00A4343D" w:rsidSect="00636353">
      <w:pgSz w:w="12240" w:h="15840" w:code="1"/>
      <w:pgMar w:top="1440" w:right="1440" w:bottom="1440"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F70" w:rsidRDefault="00236F70">
      <w:r>
        <w:separator/>
      </w:r>
    </w:p>
  </w:endnote>
  <w:endnote w:type="continuationSeparator" w:id="0">
    <w:p w:rsidR="00236F70" w:rsidRDefault="0023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1003A87" w:usb1="00000000" w:usb2="00000000" w:usb3="00420000" w:csb0="006F006F" w:csb1="006D006B"/>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Batang"/>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8CC" w:rsidRDefault="000468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DD" w:rsidRDefault="00CC1CDD">
    <w:pPr>
      <w:pStyle w:val="Footer"/>
      <w:rPr>
        <w:rStyle w:val="PageNumber"/>
      </w:rPr>
    </w:pPr>
    <w:r>
      <w:rPr>
        <w:rStyle w:val="PageNumber"/>
      </w:rPr>
      <w:t>Direct Testimony of Natasha C. Siores</w:t>
    </w:r>
    <w:r>
      <w:rPr>
        <w:rStyle w:val="PageNumber"/>
      </w:rPr>
      <w:tab/>
    </w:r>
    <w:r>
      <w:rPr>
        <w:rStyle w:val="PageNumber"/>
      </w:rPr>
      <w:ptab w:relativeTo="margin" w:alignment="right" w:leader="none"/>
    </w:r>
    <w:r>
      <w:rPr>
        <w:rStyle w:val="PageNumber"/>
      </w:rPr>
      <w:t>Exhibit No.___(NCS-1T)</w:t>
    </w:r>
  </w:p>
  <w:p w:rsidR="00CC1CDD" w:rsidRDefault="00CC1CDD" w:rsidP="00422C1E">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468CC">
      <w:rPr>
        <w:rStyle w:val="PageNumber"/>
        <w:noProof/>
      </w:rPr>
      <w:t>i</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8CC" w:rsidRDefault="000468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F70" w:rsidRDefault="00236F70">
      <w:r>
        <w:separator/>
      </w:r>
    </w:p>
  </w:footnote>
  <w:footnote w:type="continuationSeparator" w:id="0">
    <w:p w:rsidR="00236F70" w:rsidRDefault="00236F70">
      <w:r>
        <w:continuationSeparator/>
      </w:r>
    </w:p>
  </w:footnote>
  <w:footnote w:id="1">
    <w:p w:rsidR="00CC1CDD" w:rsidRPr="00DC224A" w:rsidRDefault="00CC1CDD" w:rsidP="00FD0AA9">
      <w:pPr>
        <w:pStyle w:val="FootnoteText"/>
        <w:jc w:val="left"/>
      </w:pPr>
      <w:r w:rsidRPr="00DC224A">
        <w:rPr>
          <w:rStyle w:val="FootnoteReference"/>
        </w:rPr>
        <w:footnoteRef/>
      </w:r>
      <w:r w:rsidRPr="00DC224A">
        <w:t xml:space="preserve"> </w:t>
      </w:r>
      <w:r w:rsidRPr="00DC224A">
        <w:rPr>
          <w:i/>
          <w:iCs/>
        </w:rPr>
        <w:t>Wash</w:t>
      </w:r>
      <w:r>
        <w:rPr>
          <w:i/>
          <w:iCs/>
        </w:rPr>
        <w:t xml:space="preserve">. </w:t>
      </w:r>
      <w:r w:rsidRPr="00DC224A">
        <w:rPr>
          <w:i/>
          <w:iCs/>
        </w:rPr>
        <w:t>Utils</w:t>
      </w:r>
      <w:r>
        <w:rPr>
          <w:i/>
          <w:iCs/>
        </w:rPr>
        <w:t xml:space="preserve">. </w:t>
      </w:r>
      <w:r w:rsidRPr="00DC224A">
        <w:rPr>
          <w:i/>
          <w:iCs/>
        </w:rPr>
        <w:t>&amp; Transp</w:t>
      </w:r>
      <w:r>
        <w:rPr>
          <w:i/>
          <w:iCs/>
        </w:rPr>
        <w:t xml:space="preserve">. </w:t>
      </w:r>
      <w:r w:rsidRPr="00DC224A">
        <w:rPr>
          <w:i/>
          <w:iCs/>
        </w:rPr>
        <w:t>Comm</w:t>
      </w:r>
      <w:r>
        <w:rPr>
          <w:i/>
          <w:iCs/>
        </w:rPr>
        <w:t>’</w:t>
      </w:r>
      <w:r w:rsidRPr="00DC224A">
        <w:rPr>
          <w:i/>
          <w:iCs/>
        </w:rPr>
        <w:t>n v</w:t>
      </w:r>
      <w:r>
        <w:rPr>
          <w:i/>
          <w:iCs/>
        </w:rPr>
        <w:t xml:space="preserve">. </w:t>
      </w:r>
      <w:r w:rsidRPr="00DC224A">
        <w:rPr>
          <w:i/>
          <w:iCs/>
        </w:rPr>
        <w:t>PacifiCorp</w:t>
      </w:r>
      <w:r w:rsidR="002A0C76">
        <w:rPr>
          <w:i/>
          <w:iCs/>
        </w:rPr>
        <w:t xml:space="preserve"> d/b/a Pacific Power &amp; Light Co.</w:t>
      </w:r>
      <w:r w:rsidRPr="00DC224A">
        <w:t>,</w:t>
      </w:r>
      <w:r w:rsidRPr="00DC224A">
        <w:rPr>
          <w:iCs/>
        </w:rPr>
        <w:t xml:space="preserve"> </w:t>
      </w:r>
      <w:r w:rsidR="0015482E">
        <w:t>Docket</w:t>
      </w:r>
      <w:r>
        <w:t xml:space="preserve"> </w:t>
      </w:r>
      <w:r w:rsidRPr="00DC224A">
        <w:t>UE-061546, Order 08</w:t>
      </w:r>
      <w:r>
        <w:t xml:space="preserve">, </w:t>
      </w:r>
      <w:r w:rsidRPr="00DC224A">
        <w:t>¶ 43 (June 21, 2007).</w:t>
      </w:r>
    </w:p>
  </w:footnote>
  <w:footnote w:id="2">
    <w:p w:rsidR="002A0C76" w:rsidRDefault="00CC1CDD" w:rsidP="00CA738D">
      <w:pPr>
        <w:autoSpaceDE w:val="0"/>
        <w:autoSpaceDN w:val="0"/>
        <w:adjustRightInd w:val="0"/>
        <w:jc w:val="left"/>
        <w:rPr>
          <w:sz w:val="20"/>
          <w:szCs w:val="20"/>
        </w:rPr>
      </w:pPr>
      <w:r w:rsidRPr="0015482E">
        <w:rPr>
          <w:rStyle w:val="FootnoteReference"/>
          <w:sz w:val="20"/>
          <w:szCs w:val="20"/>
        </w:rPr>
        <w:footnoteRef/>
      </w:r>
      <w:r w:rsidRPr="0015482E">
        <w:rPr>
          <w:sz w:val="20"/>
          <w:szCs w:val="20"/>
        </w:rPr>
        <w:t xml:space="preserve"> </w:t>
      </w:r>
      <w:r w:rsidRPr="0015482E">
        <w:rPr>
          <w:i/>
          <w:iCs/>
          <w:sz w:val="20"/>
          <w:szCs w:val="20"/>
        </w:rPr>
        <w:t>See Wash. Utils. &amp; Transp. Comm’n v. Pacificorp d/b/a Pacific Power &amp; Light Company</w:t>
      </w:r>
      <w:r w:rsidR="0015482E" w:rsidRPr="0015482E">
        <w:rPr>
          <w:sz w:val="20"/>
          <w:szCs w:val="20"/>
        </w:rPr>
        <w:t xml:space="preserve">, </w:t>
      </w:r>
    </w:p>
    <w:p w:rsidR="00CC1CDD" w:rsidRPr="0015482E" w:rsidRDefault="0015482E" w:rsidP="00CA738D">
      <w:pPr>
        <w:autoSpaceDE w:val="0"/>
        <w:autoSpaceDN w:val="0"/>
        <w:adjustRightInd w:val="0"/>
        <w:jc w:val="left"/>
        <w:rPr>
          <w:sz w:val="20"/>
          <w:szCs w:val="20"/>
        </w:rPr>
      </w:pPr>
      <w:r w:rsidRPr="0015482E">
        <w:rPr>
          <w:sz w:val="20"/>
          <w:szCs w:val="20"/>
        </w:rPr>
        <w:t>Docket</w:t>
      </w:r>
      <w:r w:rsidR="002A0C76">
        <w:rPr>
          <w:sz w:val="20"/>
          <w:szCs w:val="20"/>
        </w:rPr>
        <w:t xml:space="preserve"> </w:t>
      </w:r>
      <w:r w:rsidR="00CC1CDD" w:rsidRPr="0015482E">
        <w:rPr>
          <w:sz w:val="20"/>
          <w:szCs w:val="20"/>
        </w:rPr>
        <w:t>UE-130043, Order 05, ¶ 184 (December 4, 2013).</w:t>
      </w:r>
    </w:p>
  </w:footnote>
  <w:footnote w:id="3">
    <w:p w:rsidR="00CC1CDD" w:rsidRPr="0015482E" w:rsidRDefault="00CC1CDD" w:rsidP="00CA738D">
      <w:pPr>
        <w:pStyle w:val="FootnoteText"/>
        <w:jc w:val="left"/>
      </w:pPr>
      <w:r w:rsidRPr="0015482E">
        <w:rPr>
          <w:rStyle w:val="FootnoteReference"/>
        </w:rPr>
        <w:footnoteRef/>
      </w:r>
      <w:r w:rsidRPr="0015482E">
        <w:t xml:space="preserve"> </w:t>
      </w:r>
      <w:r w:rsidRPr="0015482E">
        <w:rPr>
          <w:i/>
        </w:rPr>
        <w:t>Id.</w:t>
      </w:r>
      <w:r w:rsidRPr="0015482E">
        <w:t xml:space="preserve"> at 184.</w:t>
      </w:r>
    </w:p>
  </w:footnote>
  <w:footnote w:id="4">
    <w:p w:rsidR="00CC1CDD" w:rsidRDefault="00CC1CDD" w:rsidP="00CA738D">
      <w:pPr>
        <w:pStyle w:val="FootnoteText"/>
        <w:jc w:val="left"/>
      </w:pPr>
      <w:r w:rsidRPr="0015482E">
        <w:rPr>
          <w:rStyle w:val="FootnoteReference"/>
        </w:rPr>
        <w:footnoteRef/>
      </w:r>
      <w:r w:rsidRPr="0015482E">
        <w:t xml:space="preserve"> </w:t>
      </w:r>
      <w:r w:rsidRPr="0015482E">
        <w:rPr>
          <w:i/>
          <w:iCs/>
        </w:rPr>
        <w:t>See Wash. Utils. &amp; Transp. Comm’n v. Puget Sound Energy, Inc.</w:t>
      </w:r>
      <w:r w:rsidR="002C3890">
        <w:t>, Dockets UE-130137/</w:t>
      </w:r>
      <w:r w:rsidRPr="0015482E">
        <w:t xml:space="preserve">UG-130138, </w:t>
      </w:r>
      <w:r w:rsidRPr="0015482E">
        <w:br/>
        <w:t>Order 07, ¶¶ 46-48 (June 25, 2013).</w:t>
      </w:r>
    </w:p>
  </w:footnote>
  <w:footnote w:id="5">
    <w:p w:rsidR="00CC1CDD" w:rsidRDefault="00CC1CDD" w:rsidP="00D57A3B">
      <w:pPr>
        <w:pStyle w:val="FootnoteText"/>
        <w:jc w:val="left"/>
      </w:pPr>
      <w:r>
        <w:rPr>
          <w:rStyle w:val="FootnoteReference"/>
        </w:rPr>
        <w:footnoteRef/>
      </w:r>
      <w:r w:rsidRPr="00CC1CDD">
        <w:t xml:space="preserve"> </w:t>
      </w:r>
      <w:r w:rsidRPr="00D57A3B">
        <w:t xml:space="preserve">Exhibit No.___(NCS-2) is an extract from the revenue requirement summary model included in my workpapers.  Thus, the “live” version of the summary, with formulas and references intact, can be found in the summary model.  </w:t>
      </w:r>
    </w:p>
  </w:footnote>
  <w:footnote w:id="6">
    <w:p w:rsidR="00CC1CDD" w:rsidRPr="00DC224A" w:rsidRDefault="00CC1CDD">
      <w:pPr>
        <w:pStyle w:val="FootnoteText"/>
        <w:jc w:val="left"/>
      </w:pPr>
      <w:r w:rsidRPr="00DC224A">
        <w:rPr>
          <w:rStyle w:val="FootnoteReference"/>
        </w:rPr>
        <w:footnoteRef/>
      </w:r>
      <w:r w:rsidRPr="00DC224A">
        <w:t xml:space="preserve"> NOI is also referred to as “Operating Revenue for Return” in the Company’s exhibits and workpapers.</w:t>
      </w:r>
    </w:p>
  </w:footnote>
  <w:footnote w:id="7">
    <w:p w:rsidR="00CC1CDD" w:rsidRDefault="00CC1CDD" w:rsidP="00CA738D">
      <w:pPr>
        <w:pStyle w:val="FootnoteText"/>
        <w:jc w:val="left"/>
      </w:pPr>
      <w:r>
        <w:rPr>
          <w:rStyle w:val="FootnoteReference"/>
        </w:rPr>
        <w:footnoteRef/>
      </w:r>
      <w:r>
        <w:t xml:space="preserve"> The net-to-gross conversion factor is also referred to as the net-to-gross bump up factor in the Report.</w:t>
      </w:r>
    </w:p>
  </w:footnote>
  <w:footnote w:id="8">
    <w:p w:rsidR="00CC1CDD" w:rsidRPr="00994365" w:rsidRDefault="00CC1CDD">
      <w:pPr>
        <w:pStyle w:val="FootnoteText"/>
        <w:jc w:val="left"/>
      </w:pPr>
      <w:r w:rsidRPr="00994365">
        <w:rPr>
          <w:rStyle w:val="FootnoteReference"/>
        </w:rPr>
        <w:footnoteRef/>
      </w:r>
      <w:r w:rsidRPr="00994365">
        <w:t xml:space="preserve"> </w:t>
      </w:r>
      <w:r w:rsidRPr="00994365">
        <w:rPr>
          <w:i/>
          <w:iCs/>
        </w:rPr>
        <w:t>Wash</w:t>
      </w:r>
      <w:r>
        <w:rPr>
          <w:i/>
          <w:iCs/>
        </w:rPr>
        <w:t xml:space="preserve">. </w:t>
      </w:r>
      <w:r w:rsidRPr="00994365">
        <w:rPr>
          <w:i/>
          <w:iCs/>
        </w:rPr>
        <w:t>Utils</w:t>
      </w:r>
      <w:r>
        <w:rPr>
          <w:i/>
          <w:iCs/>
        </w:rPr>
        <w:t xml:space="preserve">. </w:t>
      </w:r>
      <w:r w:rsidRPr="00994365">
        <w:rPr>
          <w:i/>
          <w:iCs/>
        </w:rPr>
        <w:t>&amp; Transp</w:t>
      </w:r>
      <w:r>
        <w:rPr>
          <w:i/>
          <w:iCs/>
        </w:rPr>
        <w:t xml:space="preserve">. </w:t>
      </w:r>
      <w:r w:rsidRPr="00994365">
        <w:rPr>
          <w:i/>
          <w:iCs/>
        </w:rPr>
        <w:t>Comm</w:t>
      </w:r>
      <w:r w:rsidR="002C3890">
        <w:rPr>
          <w:i/>
          <w:iCs/>
        </w:rPr>
        <w:t>’</w:t>
      </w:r>
      <w:r w:rsidRPr="00994365">
        <w:rPr>
          <w:i/>
          <w:iCs/>
        </w:rPr>
        <w:t>n v</w:t>
      </w:r>
      <w:r>
        <w:rPr>
          <w:i/>
          <w:iCs/>
        </w:rPr>
        <w:t xml:space="preserve">. </w:t>
      </w:r>
      <w:r w:rsidRPr="00994365">
        <w:rPr>
          <w:i/>
          <w:iCs/>
        </w:rPr>
        <w:t>Pacific Power &amp; Light Co</w:t>
      </w:r>
      <w:r w:rsidR="002A0C76">
        <w:rPr>
          <w:i/>
          <w:iCs/>
        </w:rPr>
        <w:t>.</w:t>
      </w:r>
      <w:r w:rsidRPr="00994365">
        <w:t>,</w:t>
      </w:r>
      <w:r w:rsidRPr="00994365">
        <w:rPr>
          <w:iCs/>
        </w:rPr>
        <w:t xml:space="preserve"> </w:t>
      </w:r>
      <w:r w:rsidRPr="00994365">
        <w:t>Cause No</w:t>
      </w:r>
      <w:r w:rsidR="0015482E">
        <w:t xml:space="preserve">. </w:t>
      </w:r>
      <w:r w:rsidRPr="00994365">
        <w:t>U-83-57, Second Supplemental Order (June 12, 1984).</w:t>
      </w:r>
    </w:p>
  </w:footnote>
  <w:footnote w:id="9">
    <w:p w:rsidR="00CC1CDD" w:rsidRPr="00994365" w:rsidRDefault="00CC1CDD" w:rsidP="00CA738D">
      <w:pPr>
        <w:pStyle w:val="FootnoteText"/>
        <w:jc w:val="left"/>
      </w:pPr>
      <w:r w:rsidRPr="00994365">
        <w:rPr>
          <w:rStyle w:val="FootnoteReference"/>
        </w:rPr>
        <w:footnoteRef/>
      </w:r>
      <w:r w:rsidRPr="00994365">
        <w:t xml:space="preserve"> </w:t>
      </w:r>
      <w:r w:rsidRPr="00994365">
        <w:rPr>
          <w:i/>
        </w:rPr>
        <w:t>See</w:t>
      </w:r>
      <w:r w:rsidRPr="00994365">
        <w:t xml:space="preserve"> </w:t>
      </w:r>
      <w:r w:rsidRPr="00994365">
        <w:rPr>
          <w:i/>
          <w:iCs/>
        </w:rPr>
        <w:t>Wash</w:t>
      </w:r>
      <w:r>
        <w:rPr>
          <w:i/>
          <w:iCs/>
        </w:rPr>
        <w:t xml:space="preserve">. </w:t>
      </w:r>
      <w:r w:rsidRPr="00994365">
        <w:rPr>
          <w:i/>
          <w:iCs/>
        </w:rPr>
        <w:t>Utils</w:t>
      </w:r>
      <w:r>
        <w:rPr>
          <w:i/>
          <w:iCs/>
        </w:rPr>
        <w:t xml:space="preserve">. </w:t>
      </w:r>
      <w:r w:rsidRPr="00994365">
        <w:rPr>
          <w:i/>
          <w:iCs/>
        </w:rPr>
        <w:t>&amp; Transp</w:t>
      </w:r>
      <w:r>
        <w:rPr>
          <w:i/>
          <w:iCs/>
        </w:rPr>
        <w:t xml:space="preserve">. </w:t>
      </w:r>
      <w:r w:rsidRPr="00994365">
        <w:rPr>
          <w:i/>
          <w:iCs/>
        </w:rPr>
        <w:t>Comm</w:t>
      </w:r>
      <w:r w:rsidR="006637F9">
        <w:rPr>
          <w:i/>
          <w:iCs/>
        </w:rPr>
        <w:t>’</w:t>
      </w:r>
      <w:r w:rsidRPr="00994365">
        <w:rPr>
          <w:i/>
          <w:iCs/>
        </w:rPr>
        <w:t>n v</w:t>
      </w:r>
      <w:r>
        <w:rPr>
          <w:i/>
          <w:iCs/>
        </w:rPr>
        <w:t xml:space="preserve">. </w:t>
      </w:r>
      <w:r w:rsidRPr="00994365">
        <w:rPr>
          <w:i/>
          <w:iCs/>
        </w:rPr>
        <w:t>PacifiCorp</w:t>
      </w:r>
      <w:r w:rsidR="002A0C76">
        <w:rPr>
          <w:i/>
          <w:iCs/>
        </w:rPr>
        <w:t xml:space="preserve"> d/b/a Pacific Power &amp; Light Co.</w:t>
      </w:r>
      <w:r w:rsidRPr="00994365">
        <w:t>,</w:t>
      </w:r>
      <w:r w:rsidRPr="00994365">
        <w:rPr>
          <w:i/>
          <w:iCs/>
        </w:rPr>
        <w:t xml:space="preserve"> </w:t>
      </w:r>
      <w:r w:rsidRPr="00994365">
        <w:t>Docket UE-100749, Order 07 (May 12, 2011)</w:t>
      </w:r>
      <w:r>
        <w:t xml:space="preserve">.  </w:t>
      </w:r>
    </w:p>
  </w:footnote>
  <w:footnote w:id="10">
    <w:p w:rsidR="00CC1CDD" w:rsidRPr="00994365" w:rsidRDefault="00CC1CDD" w:rsidP="00D4402C">
      <w:pPr>
        <w:pStyle w:val="FootnoteText"/>
        <w:jc w:val="left"/>
      </w:pPr>
      <w:r w:rsidRPr="00994365">
        <w:rPr>
          <w:rStyle w:val="FootnoteReference"/>
        </w:rPr>
        <w:footnoteRef/>
      </w:r>
      <w:r w:rsidRPr="00994365">
        <w:t xml:space="preserve"> </w:t>
      </w:r>
      <w:r w:rsidRPr="00994365">
        <w:rPr>
          <w:i/>
        </w:rPr>
        <w:t>See</w:t>
      </w:r>
      <w:r w:rsidRPr="00994365">
        <w:t xml:space="preserve"> </w:t>
      </w:r>
      <w:r w:rsidRPr="00994365">
        <w:rPr>
          <w:i/>
          <w:iCs/>
        </w:rPr>
        <w:t>Wash</w:t>
      </w:r>
      <w:r>
        <w:rPr>
          <w:i/>
          <w:iCs/>
        </w:rPr>
        <w:t xml:space="preserve">. </w:t>
      </w:r>
      <w:r w:rsidRPr="00994365">
        <w:rPr>
          <w:i/>
          <w:iCs/>
        </w:rPr>
        <w:t>Utils</w:t>
      </w:r>
      <w:r>
        <w:rPr>
          <w:i/>
          <w:iCs/>
        </w:rPr>
        <w:t>.</w:t>
      </w:r>
      <w:r w:rsidRPr="00994365">
        <w:rPr>
          <w:i/>
          <w:iCs/>
        </w:rPr>
        <w:t>&amp; Transp</w:t>
      </w:r>
      <w:r>
        <w:rPr>
          <w:i/>
          <w:iCs/>
        </w:rPr>
        <w:t xml:space="preserve">. </w:t>
      </w:r>
      <w:r w:rsidRPr="00994365">
        <w:rPr>
          <w:i/>
          <w:iCs/>
        </w:rPr>
        <w:t>Comm</w:t>
      </w:r>
      <w:r w:rsidR="002C3890">
        <w:rPr>
          <w:i/>
          <w:iCs/>
        </w:rPr>
        <w:t>’</w:t>
      </w:r>
      <w:r w:rsidRPr="00994365">
        <w:rPr>
          <w:i/>
          <w:iCs/>
        </w:rPr>
        <w:t>n v</w:t>
      </w:r>
      <w:r>
        <w:rPr>
          <w:i/>
          <w:iCs/>
        </w:rPr>
        <w:t xml:space="preserve">. </w:t>
      </w:r>
      <w:r w:rsidRPr="00994365">
        <w:rPr>
          <w:i/>
          <w:iCs/>
        </w:rPr>
        <w:t>PacifiCorp</w:t>
      </w:r>
      <w:r w:rsidR="001A68AE">
        <w:rPr>
          <w:i/>
          <w:iCs/>
        </w:rPr>
        <w:t xml:space="preserve"> d/b/a Pacific Power &amp; Light C</w:t>
      </w:r>
      <w:r w:rsidR="002C3890">
        <w:rPr>
          <w:i/>
          <w:iCs/>
        </w:rPr>
        <w:t>o</w:t>
      </w:r>
      <w:r w:rsidR="001A68AE">
        <w:rPr>
          <w:i/>
          <w:iCs/>
        </w:rPr>
        <w:t>.</w:t>
      </w:r>
      <w:r w:rsidRPr="00994365">
        <w:t>,</w:t>
      </w:r>
      <w:r w:rsidRPr="00994365">
        <w:rPr>
          <w:i/>
          <w:iCs/>
        </w:rPr>
        <w:t xml:space="preserve"> </w:t>
      </w:r>
      <w:r w:rsidRPr="00994365">
        <w:t>Docket UE-032065, Order 06 (October 27, 2004).</w:t>
      </w:r>
    </w:p>
  </w:footnote>
  <w:footnote w:id="11">
    <w:p w:rsidR="00CC1CDD" w:rsidRPr="00322D67" w:rsidRDefault="00CC1CDD" w:rsidP="007E5816">
      <w:pPr>
        <w:pStyle w:val="FootnoteText"/>
        <w:jc w:val="left"/>
      </w:pPr>
      <w:r w:rsidRPr="00322D67">
        <w:rPr>
          <w:rStyle w:val="FootnoteReference"/>
        </w:rPr>
        <w:footnoteRef/>
      </w:r>
      <w:r w:rsidRPr="00322D67">
        <w:t xml:space="preserve"> </w:t>
      </w:r>
      <w:r w:rsidRPr="00322D67">
        <w:rPr>
          <w:i/>
        </w:rPr>
        <w:t>See</w:t>
      </w:r>
      <w:r w:rsidRPr="00322D67">
        <w:t xml:space="preserve"> </w:t>
      </w:r>
      <w:r w:rsidRPr="00322D67">
        <w:rPr>
          <w:i/>
          <w:iCs/>
        </w:rPr>
        <w:t>Wash</w:t>
      </w:r>
      <w:r>
        <w:rPr>
          <w:i/>
          <w:iCs/>
        </w:rPr>
        <w:t xml:space="preserve">. </w:t>
      </w:r>
      <w:r w:rsidRPr="00322D67">
        <w:rPr>
          <w:i/>
          <w:iCs/>
        </w:rPr>
        <w:t>Utils</w:t>
      </w:r>
      <w:r>
        <w:rPr>
          <w:i/>
          <w:iCs/>
        </w:rPr>
        <w:t xml:space="preserve">. </w:t>
      </w:r>
      <w:r w:rsidRPr="00322D67">
        <w:rPr>
          <w:i/>
          <w:iCs/>
        </w:rPr>
        <w:t>&amp; Transp</w:t>
      </w:r>
      <w:r>
        <w:rPr>
          <w:i/>
          <w:iCs/>
        </w:rPr>
        <w:t xml:space="preserve">. </w:t>
      </w:r>
      <w:r w:rsidR="002C3890">
        <w:rPr>
          <w:i/>
          <w:iCs/>
        </w:rPr>
        <w:t>Comm’</w:t>
      </w:r>
      <w:r w:rsidRPr="00322D67">
        <w:rPr>
          <w:i/>
          <w:iCs/>
        </w:rPr>
        <w:t>n v</w:t>
      </w:r>
      <w:r>
        <w:rPr>
          <w:i/>
          <w:iCs/>
        </w:rPr>
        <w:t xml:space="preserve">. </w:t>
      </w:r>
      <w:r w:rsidRPr="00322D67">
        <w:rPr>
          <w:i/>
          <w:iCs/>
        </w:rPr>
        <w:t>PacifiCorp</w:t>
      </w:r>
      <w:r w:rsidR="001A68AE">
        <w:rPr>
          <w:i/>
          <w:iCs/>
        </w:rPr>
        <w:t xml:space="preserve"> d/b/a Pacific Power &amp; Light Co.</w:t>
      </w:r>
      <w:r w:rsidRPr="00322D67">
        <w:t>,</w:t>
      </w:r>
      <w:r w:rsidRPr="00322D67">
        <w:rPr>
          <w:i/>
          <w:iCs/>
        </w:rPr>
        <w:t xml:space="preserve"> </w:t>
      </w:r>
      <w:r w:rsidRPr="00322D67">
        <w:t>Docket UE-031658, Order 01 (April 27, 2005).</w:t>
      </w:r>
    </w:p>
  </w:footnote>
  <w:footnote w:id="12">
    <w:p w:rsidR="006637F9" w:rsidRDefault="006637F9" w:rsidP="00D57A3B">
      <w:pPr>
        <w:pStyle w:val="FootnoteText"/>
        <w:jc w:val="left"/>
      </w:pPr>
      <w:r>
        <w:rPr>
          <w:rStyle w:val="FootnoteReference"/>
        </w:rPr>
        <w:footnoteRef/>
      </w:r>
      <w:r>
        <w:t xml:space="preserve"> </w:t>
      </w:r>
      <w:r w:rsidRPr="006637F9">
        <w:t>Please note that the investment amount for the Merwin Fish Collector project included in this pro forma adjustment reflects only the investment placed in service after December 31, 2013, which was $49.333 million on a system basis.  This is in addition to investment of $9.036 million that was placed in</w:t>
      </w:r>
      <w:r>
        <w:t xml:space="preserve"> service in December 2013 and</w:t>
      </w:r>
      <w:r w:rsidRPr="006637F9">
        <w:t xml:space="preserve"> included in </w:t>
      </w:r>
      <w:r>
        <w:t>p</w:t>
      </w:r>
      <w:r w:rsidR="00EF6DB9">
        <w:t>er</w:t>
      </w:r>
      <w:r>
        <w:t>-books balances</w:t>
      </w:r>
      <w:r w:rsidRPr="006637F9">
        <w:t>.  Thus, the total</w:t>
      </w:r>
      <w:r>
        <w:t xml:space="preserve">-company investment in </w:t>
      </w:r>
      <w:r w:rsidRPr="006637F9">
        <w:t>the Merwin Fish Collector included in this case is $58.4 million.</w:t>
      </w:r>
    </w:p>
  </w:footnote>
  <w:footnote w:id="13">
    <w:p w:rsidR="00CC1CDD" w:rsidRPr="00322D67" w:rsidRDefault="00CC1CDD" w:rsidP="00D57A3B">
      <w:pPr>
        <w:pStyle w:val="FootnoteText"/>
        <w:jc w:val="left"/>
      </w:pPr>
      <w:r w:rsidRPr="00322D67">
        <w:rPr>
          <w:rStyle w:val="FootnoteReference"/>
        </w:rPr>
        <w:footnoteRef/>
      </w:r>
      <w:r w:rsidRPr="00322D67">
        <w:t xml:space="preserve"> </w:t>
      </w:r>
      <w:r w:rsidRPr="00322D67">
        <w:rPr>
          <w:i/>
        </w:rPr>
        <w:t>See</w:t>
      </w:r>
      <w:r w:rsidRPr="00322D67">
        <w:t xml:space="preserve"> </w:t>
      </w:r>
      <w:r w:rsidRPr="00322D67">
        <w:rPr>
          <w:i/>
          <w:iCs/>
        </w:rPr>
        <w:t>Wash</w:t>
      </w:r>
      <w:r>
        <w:rPr>
          <w:i/>
          <w:iCs/>
        </w:rPr>
        <w:t xml:space="preserve">. </w:t>
      </w:r>
      <w:r w:rsidRPr="00322D67">
        <w:rPr>
          <w:i/>
          <w:iCs/>
        </w:rPr>
        <w:t>Utils</w:t>
      </w:r>
      <w:r>
        <w:rPr>
          <w:i/>
          <w:iCs/>
        </w:rPr>
        <w:t xml:space="preserve">. </w:t>
      </w:r>
      <w:r w:rsidRPr="00322D67">
        <w:rPr>
          <w:i/>
          <w:iCs/>
        </w:rPr>
        <w:t>&amp; Transp</w:t>
      </w:r>
      <w:r>
        <w:rPr>
          <w:i/>
          <w:iCs/>
        </w:rPr>
        <w:t xml:space="preserve">. </w:t>
      </w:r>
      <w:r w:rsidR="002C3890">
        <w:rPr>
          <w:i/>
          <w:iCs/>
        </w:rPr>
        <w:t>Comm’</w:t>
      </w:r>
      <w:r w:rsidRPr="00322D67">
        <w:rPr>
          <w:i/>
          <w:iCs/>
        </w:rPr>
        <w:t>n v</w:t>
      </w:r>
      <w:r>
        <w:rPr>
          <w:i/>
          <w:iCs/>
        </w:rPr>
        <w:t xml:space="preserve">. </w:t>
      </w:r>
      <w:r w:rsidRPr="00322D67">
        <w:rPr>
          <w:i/>
          <w:iCs/>
        </w:rPr>
        <w:t>PacifiCorp</w:t>
      </w:r>
      <w:r w:rsidR="00406291">
        <w:rPr>
          <w:i/>
          <w:iCs/>
        </w:rPr>
        <w:t xml:space="preserve"> d/b/a Pacific Power &amp; Light Co.</w:t>
      </w:r>
      <w:r w:rsidRPr="00322D67">
        <w:t>,</w:t>
      </w:r>
      <w:r w:rsidRPr="00322D67">
        <w:rPr>
          <w:i/>
          <w:iCs/>
        </w:rPr>
        <w:t xml:space="preserve"> </w:t>
      </w:r>
      <w:r w:rsidR="0015482E">
        <w:t>Docket</w:t>
      </w:r>
      <w:r w:rsidR="006637F9">
        <w:t xml:space="preserve"> </w:t>
      </w:r>
      <w:r w:rsidRPr="00322D67">
        <w:t>UE-070624, Order 01 (October 24, 2007).</w:t>
      </w:r>
    </w:p>
  </w:footnote>
  <w:footnote w:id="14">
    <w:p w:rsidR="00CC1CDD" w:rsidRPr="00322D67" w:rsidRDefault="00CC1CDD">
      <w:pPr>
        <w:pStyle w:val="FootnoteText"/>
        <w:jc w:val="left"/>
      </w:pPr>
      <w:r w:rsidRPr="00322D67">
        <w:rPr>
          <w:rStyle w:val="FootnoteReference"/>
        </w:rPr>
        <w:footnoteRef/>
      </w:r>
      <w:r w:rsidRPr="00322D67">
        <w:t xml:space="preserve"> </w:t>
      </w:r>
      <w:r w:rsidRPr="00322D67">
        <w:rPr>
          <w:i/>
        </w:rPr>
        <w:t>See</w:t>
      </w:r>
      <w:r w:rsidRPr="00322D67">
        <w:t xml:space="preserve"> </w:t>
      </w:r>
      <w:r w:rsidRPr="00322D67">
        <w:rPr>
          <w:i/>
          <w:iCs/>
        </w:rPr>
        <w:t>Wash</w:t>
      </w:r>
      <w:r>
        <w:rPr>
          <w:i/>
          <w:iCs/>
        </w:rPr>
        <w:t xml:space="preserve">. </w:t>
      </w:r>
      <w:r w:rsidRPr="00322D67">
        <w:rPr>
          <w:i/>
          <w:iCs/>
        </w:rPr>
        <w:t>Utils</w:t>
      </w:r>
      <w:r>
        <w:rPr>
          <w:i/>
          <w:iCs/>
        </w:rPr>
        <w:t xml:space="preserve">. </w:t>
      </w:r>
      <w:r w:rsidRPr="00322D67">
        <w:rPr>
          <w:i/>
          <w:iCs/>
        </w:rPr>
        <w:t>&amp; Transp</w:t>
      </w:r>
      <w:r>
        <w:rPr>
          <w:i/>
          <w:iCs/>
        </w:rPr>
        <w:t xml:space="preserve">. </w:t>
      </w:r>
      <w:r w:rsidRPr="00322D67">
        <w:rPr>
          <w:i/>
          <w:iCs/>
        </w:rPr>
        <w:t>Comm</w:t>
      </w:r>
      <w:r w:rsidR="006637F9">
        <w:rPr>
          <w:i/>
          <w:iCs/>
        </w:rPr>
        <w:t>’</w:t>
      </w:r>
      <w:r w:rsidRPr="00322D67">
        <w:rPr>
          <w:i/>
          <w:iCs/>
        </w:rPr>
        <w:t>n v</w:t>
      </w:r>
      <w:r>
        <w:rPr>
          <w:i/>
          <w:iCs/>
        </w:rPr>
        <w:t xml:space="preserve">. </w:t>
      </w:r>
      <w:r w:rsidRPr="00322D67">
        <w:rPr>
          <w:i/>
          <w:iCs/>
        </w:rPr>
        <w:t>Pacific Power &amp; Light Co</w:t>
      </w:r>
      <w:r w:rsidR="00406291">
        <w:rPr>
          <w:i/>
          <w:iCs/>
        </w:rPr>
        <w:t>.</w:t>
      </w:r>
      <w:r w:rsidRPr="00322D67">
        <w:t>,</w:t>
      </w:r>
      <w:r w:rsidRPr="00322D67">
        <w:rPr>
          <w:i/>
          <w:iCs/>
        </w:rPr>
        <w:t xml:space="preserve"> </w:t>
      </w:r>
      <w:r w:rsidRPr="00322D67">
        <w:t>Cause No</w:t>
      </w:r>
      <w:r>
        <w:t xml:space="preserve">. </w:t>
      </w:r>
      <w:r w:rsidRPr="00322D67">
        <w:t>U-81-17, Second Supplemental Order (December 16, 1981).</w:t>
      </w:r>
    </w:p>
  </w:footnote>
  <w:footnote w:id="15">
    <w:p w:rsidR="00CC1CDD" w:rsidRDefault="00CC1CDD" w:rsidP="005C74BD">
      <w:pPr>
        <w:pStyle w:val="FootnoteText"/>
        <w:jc w:val="left"/>
      </w:pPr>
      <w:r w:rsidRPr="00322D67">
        <w:rPr>
          <w:rStyle w:val="FootnoteReference"/>
        </w:rPr>
        <w:footnoteRef/>
      </w:r>
      <w:r>
        <w:t xml:space="preserve"> </w:t>
      </w:r>
      <w:r w:rsidRPr="00322D67">
        <w:rPr>
          <w:i/>
        </w:rPr>
        <w:t>See</w:t>
      </w:r>
      <w:r w:rsidRPr="00322D67">
        <w:t xml:space="preserve"> </w:t>
      </w:r>
      <w:r w:rsidRPr="00322D67">
        <w:rPr>
          <w:i/>
          <w:iCs/>
        </w:rPr>
        <w:t>Wash</w:t>
      </w:r>
      <w:r>
        <w:rPr>
          <w:i/>
          <w:iCs/>
        </w:rPr>
        <w:t xml:space="preserve">. </w:t>
      </w:r>
      <w:r w:rsidRPr="00322D67">
        <w:rPr>
          <w:i/>
          <w:iCs/>
        </w:rPr>
        <w:t>Utils</w:t>
      </w:r>
      <w:r>
        <w:rPr>
          <w:i/>
          <w:iCs/>
        </w:rPr>
        <w:t xml:space="preserve">. </w:t>
      </w:r>
      <w:r w:rsidRPr="00322D67">
        <w:rPr>
          <w:i/>
          <w:iCs/>
        </w:rPr>
        <w:t>&amp; Transp</w:t>
      </w:r>
      <w:r>
        <w:rPr>
          <w:i/>
          <w:iCs/>
        </w:rPr>
        <w:t xml:space="preserve">. </w:t>
      </w:r>
      <w:r w:rsidRPr="00322D67">
        <w:rPr>
          <w:i/>
          <w:iCs/>
        </w:rPr>
        <w:t>Comm</w:t>
      </w:r>
      <w:r w:rsidR="006637F9">
        <w:rPr>
          <w:i/>
          <w:iCs/>
        </w:rPr>
        <w:t>’</w:t>
      </w:r>
      <w:r w:rsidRPr="00322D67">
        <w:rPr>
          <w:i/>
          <w:iCs/>
        </w:rPr>
        <w:t>n v</w:t>
      </w:r>
      <w:r>
        <w:rPr>
          <w:i/>
          <w:iCs/>
        </w:rPr>
        <w:t xml:space="preserve">. </w:t>
      </w:r>
      <w:r w:rsidR="00406291" w:rsidRPr="00322D67">
        <w:rPr>
          <w:i/>
          <w:iCs/>
        </w:rPr>
        <w:t>PacifiCorp</w:t>
      </w:r>
      <w:r w:rsidR="00406291">
        <w:rPr>
          <w:i/>
          <w:iCs/>
        </w:rPr>
        <w:t xml:space="preserve"> d/b/a Pacific Power &amp; Light Co.</w:t>
      </w:r>
      <w:r w:rsidR="00406291" w:rsidRPr="00322D67">
        <w:t>,</w:t>
      </w:r>
      <w:r w:rsidRPr="00322D67">
        <w:rPr>
          <w:iCs/>
        </w:rPr>
        <w:t xml:space="preserve"> </w:t>
      </w:r>
      <w:r w:rsidR="0015482E">
        <w:t>Docket</w:t>
      </w:r>
      <w:r w:rsidR="006637F9">
        <w:t xml:space="preserve"> </w:t>
      </w:r>
      <w:r w:rsidRPr="00322D67">
        <w:t>UE-991832, Third Supplemental Order</w:t>
      </w:r>
      <w:r w:rsidR="006637F9">
        <w:t xml:space="preserve">, </w:t>
      </w:r>
      <w:r w:rsidRPr="00322D67">
        <w:t>¶</w:t>
      </w:r>
      <w:r>
        <w:t> </w:t>
      </w:r>
      <w:r w:rsidRPr="00322D67">
        <w:t>42 (August 9, 2000).</w:t>
      </w:r>
    </w:p>
  </w:footnote>
  <w:footnote w:id="16">
    <w:p w:rsidR="00CC1CDD" w:rsidRPr="00994365" w:rsidRDefault="00CC1CDD" w:rsidP="00712FDA">
      <w:pPr>
        <w:pStyle w:val="FootnoteText"/>
        <w:jc w:val="left"/>
      </w:pPr>
      <w:r w:rsidRPr="00994365">
        <w:rPr>
          <w:rStyle w:val="FootnoteReference"/>
        </w:rPr>
        <w:footnoteRef/>
      </w:r>
      <w:r w:rsidRPr="00994365">
        <w:t xml:space="preserve"> </w:t>
      </w:r>
      <w:r w:rsidRPr="00994365">
        <w:rPr>
          <w:i/>
        </w:rPr>
        <w:t>See</w:t>
      </w:r>
      <w:r w:rsidRPr="00994365">
        <w:t xml:space="preserve"> </w:t>
      </w:r>
      <w:r w:rsidRPr="00994365">
        <w:rPr>
          <w:i/>
          <w:iCs/>
        </w:rPr>
        <w:t>Wash</w:t>
      </w:r>
      <w:r>
        <w:rPr>
          <w:i/>
          <w:iCs/>
        </w:rPr>
        <w:t xml:space="preserve">. </w:t>
      </w:r>
      <w:r w:rsidRPr="00994365">
        <w:rPr>
          <w:i/>
          <w:iCs/>
        </w:rPr>
        <w:t>Utils</w:t>
      </w:r>
      <w:r>
        <w:rPr>
          <w:i/>
          <w:iCs/>
        </w:rPr>
        <w:t xml:space="preserve">. </w:t>
      </w:r>
      <w:r w:rsidRPr="00994365">
        <w:rPr>
          <w:i/>
          <w:iCs/>
        </w:rPr>
        <w:t>&amp; Transp</w:t>
      </w:r>
      <w:r>
        <w:rPr>
          <w:i/>
          <w:iCs/>
        </w:rPr>
        <w:t xml:space="preserve">. </w:t>
      </w:r>
      <w:r w:rsidRPr="00994365">
        <w:rPr>
          <w:i/>
          <w:iCs/>
        </w:rPr>
        <w:t>Comm</w:t>
      </w:r>
      <w:r w:rsidR="006637F9">
        <w:rPr>
          <w:i/>
          <w:iCs/>
        </w:rPr>
        <w:t>’</w:t>
      </w:r>
      <w:r w:rsidRPr="00994365">
        <w:rPr>
          <w:i/>
          <w:iCs/>
        </w:rPr>
        <w:t>n v</w:t>
      </w:r>
      <w:r>
        <w:rPr>
          <w:i/>
          <w:iCs/>
        </w:rPr>
        <w:t xml:space="preserve">. </w:t>
      </w:r>
      <w:r w:rsidR="00406291" w:rsidRPr="00322D67">
        <w:rPr>
          <w:i/>
          <w:iCs/>
        </w:rPr>
        <w:t>PacifiCorp</w:t>
      </w:r>
      <w:r w:rsidR="00406291">
        <w:rPr>
          <w:i/>
          <w:iCs/>
        </w:rPr>
        <w:t xml:space="preserve"> d/b/a Pacific Power &amp; Light Co.</w:t>
      </w:r>
      <w:r w:rsidRPr="00994365">
        <w:t>,</w:t>
      </w:r>
      <w:r w:rsidRPr="00994365">
        <w:rPr>
          <w:iCs/>
        </w:rPr>
        <w:t xml:space="preserve"> </w:t>
      </w:r>
      <w:r w:rsidR="0015482E">
        <w:t>Docket</w:t>
      </w:r>
      <w:r w:rsidR="006637F9">
        <w:t xml:space="preserve"> </w:t>
      </w:r>
      <w:r w:rsidRPr="00994365">
        <w:t>UE-061546, Order 08 (June 21, 2007).</w:t>
      </w:r>
    </w:p>
  </w:footnote>
  <w:footnote w:id="17">
    <w:p w:rsidR="00CC1CDD" w:rsidRPr="00322D67" w:rsidRDefault="00CC1CDD" w:rsidP="00691E72">
      <w:pPr>
        <w:pStyle w:val="FootnoteText"/>
        <w:jc w:val="left"/>
      </w:pPr>
      <w:r w:rsidRPr="00322D67">
        <w:rPr>
          <w:rStyle w:val="FootnoteReference"/>
        </w:rPr>
        <w:footnoteRef/>
      </w:r>
      <w:r w:rsidRPr="00322D67">
        <w:t xml:space="preserve"> </w:t>
      </w:r>
      <w:r w:rsidRPr="00322D67">
        <w:rPr>
          <w:i/>
        </w:rPr>
        <w:t>See</w:t>
      </w:r>
      <w:r w:rsidRPr="00322D67">
        <w:t xml:space="preserve"> </w:t>
      </w:r>
      <w:r w:rsidRPr="00322D67">
        <w:rPr>
          <w:i/>
          <w:iCs/>
        </w:rPr>
        <w:t>Wash</w:t>
      </w:r>
      <w:r>
        <w:rPr>
          <w:i/>
          <w:iCs/>
        </w:rPr>
        <w:t xml:space="preserve">. </w:t>
      </w:r>
      <w:r w:rsidRPr="00322D67">
        <w:rPr>
          <w:i/>
          <w:iCs/>
        </w:rPr>
        <w:t>Utils</w:t>
      </w:r>
      <w:r>
        <w:rPr>
          <w:i/>
          <w:iCs/>
        </w:rPr>
        <w:t xml:space="preserve">. </w:t>
      </w:r>
      <w:r w:rsidRPr="00322D67">
        <w:rPr>
          <w:i/>
          <w:iCs/>
        </w:rPr>
        <w:t>&amp; Transp</w:t>
      </w:r>
      <w:r>
        <w:rPr>
          <w:i/>
          <w:iCs/>
        </w:rPr>
        <w:t xml:space="preserve">. </w:t>
      </w:r>
      <w:r w:rsidRPr="00322D67">
        <w:rPr>
          <w:i/>
          <w:iCs/>
        </w:rPr>
        <w:t>Comm</w:t>
      </w:r>
      <w:r w:rsidR="006637F9">
        <w:rPr>
          <w:i/>
          <w:iCs/>
        </w:rPr>
        <w:t>’</w:t>
      </w:r>
      <w:r w:rsidRPr="00322D67">
        <w:rPr>
          <w:i/>
          <w:iCs/>
        </w:rPr>
        <w:t>n v</w:t>
      </w:r>
      <w:r>
        <w:rPr>
          <w:i/>
          <w:iCs/>
        </w:rPr>
        <w:t xml:space="preserve">. </w:t>
      </w:r>
      <w:r w:rsidR="00406291" w:rsidRPr="00322D67">
        <w:rPr>
          <w:i/>
          <w:iCs/>
        </w:rPr>
        <w:t>PacifiCorp</w:t>
      </w:r>
      <w:r w:rsidR="00406291">
        <w:rPr>
          <w:i/>
          <w:iCs/>
        </w:rPr>
        <w:t xml:space="preserve"> d/b/a Pacific Power &amp; Light Co.</w:t>
      </w:r>
      <w:r w:rsidRPr="00322D67">
        <w:t>,</w:t>
      </w:r>
      <w:r w:rsidRPr="00322D67">
        <w:rPr>
          <w:iCs/>
        </w:rPr>
        <w:t xml:space="preserve"> </w:t>
      </w:r>
      <w:r w:rsidR="0015482E">
        <w:t>Docket</w:t>
      </w:r>
      <w:r w:rsidR="006637F9">
        <w:t xml:space="preserve"> </w:t>
      </w:r>
      <w:r w:rsidRPr="00322D67">
        <w:t>UE-090205, Order 09</w:t>
      </w:r>
      <w:r w:rsidR="006637F9">
        <w:t>,</w:t>
      </w:r>
      <w:r w:rsidRPr="00322D67">
        <w:t xml:space="preserve"> ¶ 15 (December 16,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8CC" w:rsidRDefault="000468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DD" w:rsidRDefault="00CC1CDD" w:rsidP="00422C1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8CC" w:rsidRDefault="000468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95A"/>
    <w:multiLevelType w:val="hybridMultilevel"/>
    <w:tmpl w:val="9DC40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7D5406B"/>
    <w:multiLevelType w:val="multilevel"/>
    <w:tmpl w:val="9AC4D5DC"/>
    <w:lvl w:ilvl="0">
      <w:start w:val="1"/>
      <w:numFmt w:val="bullet"/>
      <w:lvlText w:val=""/>
      <w:lvlJc w:val="left"/>
      <w:pPr>
        <w:tabs>
          <w:tab w:val="num" w:pos="1440"/>
        </w:tabs>
        <w:ind w:left="1440" w:hanging="360"/>
      </w:pPr>
      <w:rPr>
        <w:rFonts w:ascii="Symbol" w:hAnsi="Symbol" w:hint="default"/>
        <w:sz w:val="24"/>
      </w:rPr>
    </w:lvl>
    <w:lvl w:ilvl="1">
      <w:start w:val="1"/>
      <w:numFmt w:val="bullet"/>
      <w:lvlText w:val="o"/>
      <w:lvlJc w:val="left"/>
      <w:pPr>
        <w:tabs>
          <w:tab w:val="num" w:pos="2160"/>
        </w:tabs>
        <w:ind w:left="2160" w:hanging="360"/>
      </w:pPr>
      <w:rPr>
        <w:rFonts w:ascii="Courier New" w:hAnsi="Courier New" w:hint="default"/>
        <w:color w:val="auto"/>
        <w:sz w:val="24"/>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80"/>
        </w:tabs>
        <w:ind w:left="180" w:hanging="360"/>
      </w:pPr>
      <w:rPr>
        <w:rFonts w:ascii="Symbol" w:hAnsi="Symbol" w:hint="default"/>
      </w:rPr>
    </w:lvl>
    <w:lvl w:ilvl="4">
      <w:start w:val="1"/>
      <w:numFmt w:val="bullet"/>
      <w:lvlText w:val="o"/>
      <w:lvlJc w:val="left"/>
      <w:pPr>
        <w:tabs>
          <w:tab w:val="num" w:pos="900"/>
        </w:tabs>
        <w:ind w:left="900" w:hanging="360"/>
      </w:pPr>
      <w:rPr>
        <w:rFonts w:ascii="Courier New" w:hAnsi="Courier New" w:hint="default"/>
      </w:rPr>
    </w:lvl>
    <w:lvl w:ilvl="5">
      <w:start w:val="1"/>
      <w:numFmt w:val="bullet"/>
      <w:lvlText w:val=""/>
      <w:lvlJc w:val="left"/>
      <w:pPr>
        <w:tabs>
          <w:tab w:val="num" w:pos="1620"/>
        </w:tabs>
        <w:ind w:left="1620" w:hanging="360"/>
      </w:pPr>
      <w:rPr>
        <w:rFonts w:ascii="Wingdings" w:hAnsi="Wingdings" w:hint="default"/>
      </w:rPr>
    </w:lvl>
    <w:lvl w:ilvl="6">
      <w:start w:val="1"/>
      <w:numFmt w:val="bullet"/>
      <w:lvlText w:val=""/>
      <w:lvlJc w:val="left"/>
      <w:pPr>
        <w:tabs>
          <w:tab w:val="num" w:pos="2340"/>
        </w:tabs>
        <w:ind w:left="2340" w:hanging="360"/>
      </w:pPr>
      <w:rPr>
        <w:rFonts w:ascii="Symbol" w:hAnsi="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hint="default"/>
      </w:rPr>
    </w:lvl>
  </w:abstractNum>
  <w:abstractNum w:abstractNumId="2">
    <w:nsid w:val="339103DE"/>
    <w:multiLevelType w:val="hybridMultilevel"/>
    <w:tmpl w:val="3A286F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5D86663"/>
    <w:multiLevelType w:val="hybridMultilevel"/>
    <w:tmpl w:val="8F145E3E"/>
    <w:lvl w:ilvl="0" w:tplc="99421BD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3F475ABD"/>
    <w:multiLevelType w:val="multilevel"/>
    <w:tmpl w:val="CA94107A"/>
    <w:lvl w:ilvl="0">
      <w:start w:val="1"/>
      <w:numFmt w:val="bullet"/>
      <w:lvlText w:val=""/>
      <w:lvlJc w:val="left"/>
      <w:pPr>
        <w:tabs>
          <w:tab w:val="num" w:pos="7560"/>
        </w:tabs>
        <w:ind w:left="7560" w:hanging="360"/>
      </w:pPr>
      <w:rPr>
        <w:rFonts w:ascii="Symbol" w:hAnsi="Symbol"/>
        <w:sz w:val="24"/>
      </w:rPr>
    </w:lvl>
    <w:lvl w:ilvl="1">
      <w:start w:val="1"/>
      <w:numFmt w:val="bullet"/>
      <w:lvlText w:val="o"/>
      <w:lvlJc w:val="left"/>
      <w:pPr>
        <w:tabs>
          <w:tab w:val="num" w:pos="4860"/>
        </w:tabs>
        <w:ind w:left="4860" w:hanging="360"/>
      </w:pPr>
      <w:rPr>
        <w:rFonts w:ascii="Courier New" w:hAnsi="Courier New" w:cs="Courier New" w:hint="default"/>
      </w:rPr>
    </w:lvl>
    <w:lvl w:ilvl="2">
      <w:start w:val="1"/>
      <w:numFmt w:val="bullet"/>
      <w:lvlText w:val=""/>
      <w:lvlJc w:val="left"/>
      <w:pPr>
        <w:tabs>
          <w:tab w:val="num" w:pos="5580"/>
        </w:tabs>
        <w:ind w:left="5580" w:hanging="360"/>
      </w:pPr>
      <w:rPr>
        <w:rFonts w:ascii="Wingdings" w:hAnsi="Wingdings" w:hint="default"/>
      </w:rPr>
    </w:lvl>
    <w:lvl w:ilvl="3">
      <w:start w:val="1"/>
      <w:numFmt w:val="bullet"/>
      <w:lvlText w:val=""/>
      <w:lvlJc w:val="left"/>
      <w:pPr>
        <w:tabs>
          <w:tab w:val="num" w:pos="6300"/>
        </w:tabs>
        <w:ind w:left="6300" w:hanging="360"/>
      </w:pPr>
      <w:rPr>
        <w:rFonts w:ascii="Symbol" w:hAnsi="Symbol" w:hint="default"/>
      </w:rPr>
    </w:lvl>
    <w:lvl w:ilvl="4">
      <w:start w:val="1"/>
      <w:numFmt w:val="bullet"/>
      <w:lvlText w:val="o"/>
      <w:lvlJc w:val="left"/>
      <w:pPr>
        <w:tabs>
          <w:tab w:val="num" w:pos="7020"/>
        </w:tabs>
        <w:ind w:left="7020" w:hanging="360"/>
      </w:pPr>
      <w:rPr>
        <w:rFonts w:ascii="Courier New" w:hAnsi="Courier New" w:cs="Courier New" w:hint="default"/>
      </w:rPr>
    </w:lvl>
    <w:lvl w:ilvl="5">
      <w:start w:val="1"/>
      <w:numFmt w:val="bullet"/>
      <w:lvlText w:val=""/>
      <w:lvlJc w:val="left"/>
      <w:pPr>
        <w:tabs>
          <w:tab w:val="num" w:pos="7740"/>
        </w:tabs>
        <w:ind w:left="7740" w:hanging="360"/>
      </w:pPr>
      <w:rPr>
        <w:rFonts w:ascii="Wingdings" w:hAnsi="Wingdings" w:hint="default"/>
      </w:rPr>
    </w:lvl>
    <w:lvl w:ilvl="6">
      <w:start w:val="1"/>
      <w:numFmt w:val="bullet"/>
      <w:lvlText w:val=""/>
      <w:lvlJc w:val="left"/>
      <w:pPr>
        <w:tabs>
          <w:tab w:val="num" w:pos="8460"/>
        </w:tabs>
        <w:ind w:left="8460" w:hanging="360"/>
      </w:pPr>
      <w:rPr>
        <w:rFonts w:ascii="Symbol" w:hAnsi="Symbol" w:hint="default"/>
      </w:rPr>
    </w:lvl>
    <w:lvl w:ilvl="7">
      <w:start w:val="1"/>
      <w:numFmt w:val="bullet"/>
      <w:lvlText w:val="o"/>
      <w:lvlJc w:val="left"/>
      <w:pPr>
        <w:tabs>
          <w:tab w:val="num" w:pos="9180"/>
        </w:tabs>
        <w:ind w:left="9180" w:hanging="360"/>
      </w:pPr>
      <w:rPr>
        <w:rFonts w:ascii="Courier New" w:hAnsi="Courier New" w:cs="Courier New" w:hint="default"/>
      </w:rPr>
    </w:lvl>
    <w:lvl w:ilvl="8">
      <w:start w:val="1"/>
      <w:numFmt w:val="bullet"/>
      <w:lvlText w:val=""/>
      <w:lvlJc w:val="left"/>
      <w:pPr>
        <w:tabs>
          <w:tab w:val="num" w:pos="9900"/>
        </w:tabs>
        <w:ind w:left="9900" w:hanging="360"/>
      </w:pPr>
      <w:rPr>
        <w:rFonts w:ascii="Wingdings" w:hAnsi="Wingdings" w:hint="default"/>
      </w:rPr>
    </w:lvl>
  </w:abstractNum>
  <w:abstractNum w:abstractNumId="5">
    <w:nsid w:val="451B65C8"/>
    <w:multiLevelType w:val="hybridMultilevel"/>
    <w:tmpl w:val="3C26CE1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A9867CA"/>
    <w:multiLevelType w:val="hybridMultilevel"/>
    <w:tmpl w:val="0CB0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DF7404"/>
    <w:multiLevelType w:val="hybridMultilevel"/>
    <w:tmpl w:val="FE92AB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7EC052D5"/>
    <w:multiLevelType w:val="hybridMultilevel"/>
    <w:tmpl w:val="1DD24B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
  </w:num>
  <w:num w:numId="3">
    <w:abstractNumId w:val="7"/>
  </w:num>
  <w:num w:numId="4">
    <w:abstractNumId w:val="5"/>
  </w:num>
  <w:num w:numId="5">
    <w:abstractNumId w:val="8"/>
  </w:num>
  <w:num w:numId="6">
    <w:abstractNumId w:val="2"/>
  </w:num>
  <w:num w:numId="7">
    <w:abstractNumId w:val="3"/>
  </w:num>
  <w:num w:numId="8">
    <w:abstractNumId w:val="6"/>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ED"/>
    <w:rsid w:val="000000E7"/>
    <w:rsid w:val="00000B97"/>
    <w:rsid w:val="00000CA7"/>
    <w:rsid w:val="00000D55"/>
    <w:rsid w:val="00000F08"/>
    <w:rsid w:val="00001380"/>
    <w:rsid w:val="0000367F"/>
    <w:rsid w:val="00003AA3"/>
    <w:rsid w:val="000045C5"/>
    <w:rsid w:val="000051B8"/>
    <w:rsid w:val="00006901"/>
    <w:rsid w:val="00006CE5"/>
    <w:rsid w:val="00010042"/>
    <w:rsid w:val="000100EE"/>
    <w:rsid w:val="00010CD9"/>
    <w:rsid w:val="00011270"/>
    <w:rsid w:val="0001257C"/>
    <w:rsid w:val="000133C4"/>
    <w:rsid w:val="000137A9"/>
    <w:rsid w:val="00014C14"/>
    <w:rsid w:val="00017D99"/>
    <w:rsid w:val="00017EFF"/>
    <w:rsid w:val="00020B67"/>
    <w:rsid w:val="00021457"/>
    <w:rsid w:val="00024672"/>
    <w:rsid w:val="00025AB9"/>
    <w:rsid w:val="0002692B"/>
    <w:rsid w:val="00026EE2"/>
    <w:rsid w:val="000275B7"/>
    <w:rsid w:val="00027EA3"/>
    <w:rsid w:val="00027F29"/>
    <w:rsid w:val="0003006A"/>
    <w:rsid w:val="0003091D"/>
    <w:rsid w:val="00030BCF"/>
    <w:rsid w:val="0003142F"/>
    <w:rsid w:val="000339D1"/>
    <w:rsid w:val="00034979"/>
    <w:rsid w:val="00042230"/>
    <w:rsid w:val="00044931"/>
    <w:rsid w:val="000468CC"/>
    <w:rsid w:val="00051A38"/>
    <w:rsid w:val="00052601"/>
    <w:rsid w:val="00053612"/>
    <w:rsid w:val="00053E88"/>
    <w:rsid w:val="0005649E"/>
    <w:rsid w:val="00056EC9"/>
    <w:rsid w:val="000576E2"/>
    <w:rsid w:val="000579A1"/>
    <w:rsid w:val="000604C1"/>
    <w:rsid w:val="000612FD"/>
    <w:rsid w:val="00063D8B"/>
    <w:rsid w:val="0006417F"/>
    <w:rsid w:val="000641A2"/>
    <w:rsid w:val="00064289"/>
    <w:rsid w:val="000647DF"/>
    <w:rsid w:val="00064972"/>
    <w:rsid w:val="00065965"/>
    <w:rsid w:val="00066E9D"/>
    <w:rsid w:val="00067C4E"/>
    <w:rsid w:val="0007097D"/>
    <w:rsid w:val="00073FF0"/>
    <w:rsid w:val="00075C36"/>
    <w:rsid w:val="00077049"/>
    <w:rsid w:val="00077EA3"/>
    <w:rsid w:val="0008059B"/>
    <w:rsid w:val="000812A9"/>
    <w:rsid w:val="000817CE"/>
    <w:rsid w:val="00081991"/>
    <w:rsid w:val="000831F1"/>
    <w:rsid w:val="00084F13"/>
    <w:rsid w:val="000858D3"/>
    <w:rsid w:val="0008721E"/>
    <w:rsid w:val="00091B1B"/>
    <w:rsid w:val="00091EF7"/>
    <w:rsid w:val="0009215C"/>
    <w:rsid w:val="00093B5B"/>
    <w:rsid w:val="00093C59"/>
    <w:rsid w:val="000956F2"/>
    <w:rsid w:val="00095B70"/>
    <w:rsid w:val="000978BB"/>
    <w:rsid w:val="000A059F"/>
    <w:rsid w:val="000A4290"/>
    <w:rsid w:val="000A49D1"/>
    <w:rsid w:val="000A4BD9"/>
    <w:rsid w:val="000A5264"/>
    <w:rsid w:val="000A7191"/>
    <w:rsid w:val="000B0596"/>
    <w:rsid w:val="000B0A23"/>
    <w:rsid w:val="000B1623"/>
    <w:rsid w:val="000B184C"/>
    <w:rsid w:val="000B1CBF"/>
    <w:rsid w:val="000B2679"/>
    <w:rsid w:val="000B348A"/>
    <w:rsid w:val="000C08C0"/>
    <w:rsid w:val="000C08CA"/>
    <w:rsid w:val="000C096A"/>
    <w:rsid w:val="000C27E4"/>
    <w:rsid w:val="000C3CE2"/>
    <w:rsid w:val="000C4959"/>
    <w:rsid w:val="000C6469"/>
    <w:rsid w:val="000D058F"/>
    <w:rsid w:val="000D1C7D"/>
    <w:rsid w:val="000D3C05"/>
    <w:rsid w:val="000D4763"/>
    <w:rsid w:val="000D49B6"/>
    <w:rsid w:val="000D6957"/>
    <w:rsid w:val="000D7282"/>
    <w:rsid w:val="000E2A89"/>
    <w:rsid w:val="000E413A"/>
    <w:rsid w:val="000E442A"/>
    <w:rsid w:val="000E4BC5"/>
    <w:rsid w:val="000F050E"/>
    <w:rsid w:val="000F0968"/>
    <w:rsid w:val="000F1156"/>
    <w:rsid w:val="000F1952"/>
    <w:rsid w:val="000F44A0"/>
    <w:rsid w:val="000F5644"/>
    <w:rsid w:val="000F59EA"/>
    <w:rsid w:val="000F5A79"/>
    <w:rsid w:val="000F6127"/>
    <w:rsid w:val="000F7B7D"/>
    <w:rsid w:val="001004B6"/>
    <w:rsid w:val="00105EBF"/>
    <w:rsid w:val="0010676F"/>
    <w:rsid w:val="00106A6B"/>
    <w:rsid w:val="00107C02"/>
    <w:rsid w:val="00111679"/>
    <w:rsid w:val="0011579F"/>
    <w:rsid w:val="00116594"/>
    <w:rsid w:val="00116996"/>
    <w:rsid w:val="00116A61"/>
    <w:rsid w:val="001177C8"/>
    <w:rsid w:val="001229D5"/>
    <w:rsid w:val="00124669"/>
    <w:rsid w:val="00126E87"/>
    <w:rsid w:val="001301B0"/>
    <w:rsid w:val="0013033E"/>
    <w:rsid w:val="00130868"/>
    <w:rsid w:val="001316F2"/>
    <w:rsid w:val="00131881"/>
    <w:rsid w:val="00131D77"/>
    <w:rsid w:val="0013252B"/>
    <w:rsid w:val="00133C14"/>
    <w:rsid w:val="001350A8"/>
    <w:rsid w:val="00135851"/>
    <w:rsid w:val="00136187"/>
    <w:rsid w:val="001364D9"/>
    <w:rsid w:val="00141071"/>
    <w:rsid w:val="00141D3D"/>
    <w:rsid w:val="001428B4"/>
    <w:rsid w:val="00143F81"/>
    <w:rsid w:val="00144108"/>
    <w:rsid w:val="00144D82"/>
    <w:rsid w:val="001473A6"/>
    <w:rsid w:val="001476F2"/>
    <w:rsid w:val="0015007D"/>
    <w:rsid w:val="00153BB5"/>
    <w:rsid w:val="00154695"/>
    <w:rsid w:val="0015482E"/>
    <w:rsid w:val="00154BA6"/>
    <w:rsid w:val="00157A65"/>
    <w:rsid w:val="0016090F"/>
    <w:rsid w:val="0016099F"/>
    <w:rsid w:val="00160A98"/>
    <w:rsid w:val="00161366"/>
    <w:rsid w:val="0016195B"/>
    <w:rsid w:val="00161BB2"/>
    <w:rsid w:val="0016334B"/>
    <w:rsid w:val="00164054"/>
    <w:rsid w:val="001652DD"/>
    <w:rsid w:val="001653DD"/>
    <w:rsid w:val="00165A56"/>
    <w:rsid w:val="0016712B"/>
    <w:rsid w:val="001701E5"/>
    <w:rsid w:val="00172C2E"/>
    <w:rsid w:val="001731B7"/>
    <w:rsid w:val="001734C3"/>
    <w:rsid w:val="00175261"/>
    <w:rsid w:val="001759AC"/>
    <w:rsid w:val="00183A00"/>
    <w:rsid w:val="001854A6"/>
    <w:rsid w:val="001862DD"/>
    <w:rsid w:val="00190C40"/>
    <w:rsid w:val="001913B3"/>
    <w:rsid w:val="001914B7"/>
    <w:rsid w:val="00194042"/>
    <w:rsid w:val="00194DD9"/>
    <w:rsid w:val="001A041D"/>
    <w:rsid w:val="001A3907"/>
    <w:rsid w:val="001A506B"/>
    <w:rsid w:val="001A5D0F"/>
    <w:rsid w:val="001A68AE"/>
    <w:rsid w:val="001A776D"/>
    <w:rsid w:val="001A7E97"/>
    <w:rsid w:val="001B191C"/>
    <w:rsid w:val="001B1987"/>
    <w:rsid w:val="001B286B"/>
    <w:rsid w:val="001B4400"/>
    <w:rsid w:val="001B4683"/>
    <w:rsid w:val="001B486A"/>
    <w:rsid w:val="001B5FFD"/>
    <w:rsid w:val="001B707E"/>
    <w:rsid w:val="001B7F05"/>
    <w:rsid w:val="001C04AC"/>
    <w:rsid w:val="001C0AB3"/>
    <w:rsid w:val="001C144F"/>
    <w:rsid w:val="001C2E9F"/>
    <w:rsid w:val="001C36AD"/>
    <w:rsid w:val="001C4E25"/>
    <w:rsid w:val="001D06B6"/>
    <w:rsid w:val="001D186B"/>
    <w:rsid w:val="001D1C88"/>
    <w:rsid w:val="001D45E2"/>
    <w:rsid w:val="001D4656"/>
    <w:rsid w:val="001D53CE"/>
    <w:rsid w:val="001D5443"/>
    <w:rsid w:val="001E2E3C"/>
    <w:rsid w:val="001E379A"/>
    <w:rsid w:val="001E5A2D"/>
    <w:rsid w:val="001E7201"/>
    <w:rsid w:val="001F0DB7"/>
    <w:rsid w:val="001F1275"/>
    <w:rsid w:val="002005A9"/>
    <w:rsid w:val="00200EB7"/>
    <w:rsid w:val="00203ABB"/>
    <w:rsid w:val="00205503"/>
    <w:rsid w:val="002079BD"/>
    <w:rsid w:val="00210D58"/>
    <w:rsid w:val="00211A0B"/>
    <w:rsid w:val="002128A6"/>
    <w:rsid w:val="00215FD3"/>
    <w:rsid w:val="00217819"/>
    <w:rsid w:val="00217A7B"/>
    <w:rsid w:val="002225BA"/>
    <w:rsid w:val="00223E72"/>
    <w:rsid w:val="00224D16"/>
    <w:rsid w:val="00225432"/>
    <w:rsid w:val="002304CA"/>
    <w:rsid w:val="00230765"/>
    <w:rsid w:val="00230782"/>
    <w:rsid w:val="0023147E"/>
    <w:rsid w:val="002316AC"/>
    <w:rsid w:val="0023233B"/>
    <w:rsid w:val="00232E26"/>
    <w:rsid w:val="00234E26"/>
    <w:rsid w:val="00234EB0"/>
    <w:rsid w:val="00235E1F"/>
    <w:rsid w:val="00236F70"/>
    <w:rsid w:val="00237FBC"/>
    <w:rsid w:val="002401A6"/>
    <w:rsid w:val="0024243A"/>
    <w:rsid w:val="00242E2F"/>
    <w:rsid w:val="00243879"/>
    <w:rsid w:val="00250185"/>
    <w:rsid w:val="00250D66"/>
    <w:rsid w:val="00251A3C"/>
    <w:rsid w:val="002557D9"/>
    <w:rsid w:val="002566EE"/>
    <w:rsid w:val="00256C4D"/>
    <w:rsid w:val="00256DE2"/>
    <w:rsid w:val="0025755A"/>
    <w:rsid w:val="0026092C"/>
    <w:rsid w:val="00260BBA"/>
    <w:rsid w:val="00261A6D"/>
    <w:rsid w:val="00261D4F"/>
    <w:rsid w:val="002656B0"/>
    <w:rsid w:val="00265ABF"/>
    <w:rsid w:val="0026613E"/>
    <w:rsid w:val="002723E4"/>
    <w:rsid w:val="00272CE1"/>
    <w:rsid w:val="00274739"/>
    <w:rsid w:val="00274D81"/>
    <w:rsid w:val="00274E8D"/>
    <w:rsid w:val="00274EAF"/>
    <w:rsid w:val="002755A6"/>
    <w:rsid w:val="00276792"/>
    <w:rsid w:val="00277B0C"/>
    <w:rsid w:val="00281163"/>
    <w:rsid w:val="00282EDC"/>
    <w:rsid w:val="0028408C"/>
    <w:rsid w:val="0028435E"/>
    <w:rsid w:val="00285A58"/>
    <w:rsid w:val="002865EA"/>
    <w:rsid w:val="002872E9"/>
    <w:rsid w:val="00291CE6"/>
    <w:rsid w:val="0029262E"/>
    <w:rsid w:val="00295408"/>
    <w:rsid w:val="00295B5F"/>
    <w:rsid w:val="002A0C76"/>
    <w:rsid w:val="002A1165"/>
    <w:rsid w:val="002A1E06"/>
    <w:rsid w:val="002A2104"/>
    <w:rsid w:val="002A371C"/>
    <w:rsid w:val="002A3BB1"/>
    <w:rsid w:val="002A4BA2"/>
    <w:rsid w:val="002A4CD8"/>
    <w:rsid w:val="002A7B2B"/>
    <w:rsid w:val="002B1E51"/>
    <w:rsid w:val="002B50A0"/>
    <w:rsid w:val="002B536A"/>
    <w:rsid w:val="002B5650"/>
    <w:rsid w:val="002B6A3A"/>
    <w:rsid w:val="002B79FC"/>
    <w:rsid w:val="002B7A77"/>
    <w:rsid w:val="002C28E6"/>
    <w:rsid w:val="002C3890"/>
    <w:rsid w:val="002C4EF6"/>
    <w:rsid w:val="002C53EC"/>
    <w:rsid w:val="002D1471"/>
    <w:rsid w:val="002D3F4F"/>
    <w:rsid w:val="002D410A"/>
    <w:rsid w:val="002D420E"/>
    <w:rsid w:val="002D4B0C"/>
    <w:rsid w:val="002D4FF0"/>
    <w:rsid w:val="002E0911"/>
    <w:rsid w:val="002E0ED6"/>
    <w:rsid w:val="002E152F"/>
    <w:rsid w:val="002E3322"/>
    <w:rsid w:val="002E55FC"/>
    <w:rsid w:val="002E5966"/>
    <w:rsid w:val="002E6639"/>
    <w:rsid w:val="002E7D3D"/>
    <w:rsid w:val="002F1FF5"/>
    <w:rsid w:val="002F2DB9"/>
    <w:rsid w:val="002F305D"/>
    <w:rsid w:val="002F3A67"/>
    <w:rsid w:val="002F5153"/>
    <w:rsid w:val="002F5350"/>
    <w:rsid w:val="002F668B"/>
    <w:rsid w:val="002F6EBB"/>
    <w:rsid w:val="00300E4D"/>
    <w:rsid w:val="00303301"/>
    <w:rsid w:val="0030584F"/>
    <w:rsid w:val="0030634F"/>
    <w:rsid w:val="003071E8"/>
    <w:rsid w:val="00307B43"/>
    <w:rsid w:val="00307B8B"/>
    <w:rsid w:val="00310AF5"/>
    <w:rsid w:val="003138B5"/>
    <w:rsid w:val="00313FEC"/>
    <w:rsid w:val="00314277"/>
    <w:rsid w:val="00315543"/>
    <w:rsid w:val="003155E5"/>
    <w:rsid w:val="00317622"/>
    <w:rsid w:val="003201AC"/>
    <w:rsid w:val="003219E5"/>
    <w:rsid w:val="00321E76"/>
    <w:rsid w:val="0032296F"/>
    <w:rsid w:val="00322D67"/>
    <w:rsid w:val="003237AE"/>
    <w:rsid w:val="003258BF"/>
    <w:rsid w:val="00325D6B"/>
    <w:rsid w:val="003267CD"/>
    <w:rsid w:val="00327138"/>
    <w:rsid w:val="00331481"/>
    <w:rsid w:val="00334533"/>
    <w:rsid w:val="00336DD0"/>
    <w:rsid w:val="00337AF5"/>
    <w:rsid w:val="00340AAA"/>
    <w:rsid w:val="00340CAA"/>
    <w:rsid w:val="003410E3"/>
    <w:rsid w:val="003414F4"/>
    <w:rsid w:val="0034271D"/>
    <w:rsid w:val="00342C9A"/>
    <w:rsid w:val="00343793"/>
    <w:rsid w:val="003440DE"/>
    <w:rsid w:val="0034432B"/>
    <w:rsid w:val="00344AB9"/>
    <w:rsid w:val="003465B9"/>
    <w:rsid w:val="00350162"/>
    <w:rsid w:val="00352074"/>
    <w:rsid w:val="003531BA"/>
    <w:rsid w:val="00353455"/>
    <w:rsid w:val="0035577B"/>
    <w:rsid w:val="003624E9"/>
    <w:rsid w:val="00363366"/>
    <w:rsid w:val="00363AC7"/>
    <w:rsid w:val="003710B8"/>
    <w:rsid w:val="00372AAE"/>
    <w:rsid w:val="00373C60"/>
    <w:rsid w:val="00376287"/>
    <w:rsid w:val="00376FFA"/>
    <w:rsid w:val="0037737D"/>
    <w:rsid w:val="003823FC"/>
    <w:rsid w:val="003866AE"/>
    <w:rsid w:val="0038689E"/>
    <w:rsid w:val="00386B2E"/>
    <w:rsid w:val="00387CBA"/>
    <w:rsid w:val="003903DF"/>
    <w:rsid w:val="003916B2"/>
    <w:rsid w:val="00391E6A"/>
    <w:rsid w:val="00394F3B"/>
    <w:rsid w:val="0039591E"/>
    <w:rsid w:val="003965CB"/>
    <w:rsid w:val="003971E5"/>
    <w:rsid w:val="003A006C"/>
    <w:rsid w:val="003A0345"/>
    <w:rsid w:val="003A0ED7"/>
    <w:rsid w:val="003A1B53"/>
    <w:rsid w:val="003A2C16"/>
    <w:rsid w:val="003A3A99"/>
    <w:rsid w:val="003A61A6"/>
    <w:rsid w:val="003A67F6"/>
    <w:rsid w:val="003B0C80"/>
    <w:rsid w:val="003B0C8A"/>
    <w:rsid w:val="003B253A"/>
    <w:rsid w:val="003B2B11"/>
    <w:rsid w:val="003B2C76"/>
    <w:rsid w:val="003B322E"/>
    <w:rsid w:val="003B37C8"/>
    <w:rsid w:val="003B456E"/>
    <w:rsid w:val="003B49E3"/>
    <w:rsid w:val="003B52C4"/>
    <w:rsid w:val="003B558F"/>
    <w:rsid w:val="003C0B33"/>
    <w:rsid w:val="003C0CDB"/>
    <w:rsid w:val="003C203D"/>
    <w:rsid w:val="003C29D2"/>
    <w:rsid w:val="003C2F98"/>
    <w:rsid w:val="003C2FB3"/>
    <w:rsid w:val="003C3D61"/>
    <w:rsid w:val="003C415D"/>
    <w:rsid w:val="003C4B4B"/>
    <w:rsid w:val="003C530C"/>
    <w:rsid w:val="003C5B94"/>
    <w:rsid w:val="003D0827"/>
    <w:rsid w:val="003D0DE7"/>
    <w:rsid w:val="003D17E5"/>
    <w:rsid w:val="003D3608"/>
    <w:rsid w:val="003D3AF1"/>
    <w:rsid w:val="003D48CE"/>
    <w:rsid w:val="003D5ADB"/>
    <w:rsid w:val="003E14B8"/>
    <w:rsid w:val="003E2FD7"/>
    <w:rsid w:val="003E4F6A"/>
    <w:rsid w:val="003E75CA"/>
    <w:rsid w:val="003F03D4"/>
    <w:rsid w:val="003F1F0F"/>
    <w:rsid w:val="003F3661"/>
    <w:rsid w:val="003F484E"/>
    <w:rsid w:val="003F5EF3"/>
    <w:rsid w:val="003F6D87"/>
    <w:rsid w:val="003F7952"/>
    <w:rsid w:val="00400085"/>
    <w:rsid w:val="004002A9"/>
    <w:rsid w:val="004057CE"/>
    <w:rsid w:val="00405B31"/>
    <w:rsid w:val="00405F3C"/>
    <w:rsid w:val="0040619F"/>
    <w:rsid w:val="00406291"/>
    <w:rsid w:val="00406A1F"/>
    <w:rsid w:val="004077D0"/>
    <w:rsid w:val="004109EC"/>
    <w:rsid w:val="00412E2E"/>
    <w:rsid w:val="00413869"/>
    <w:rsid w:val="00413E3A"/>
    <w:rsid w:val="00415E41"/>
    <w:rsid w:val="004171E1"/>
    <w:rsid w:val="00417A07"/>
    <w:rsid w:val="00417DDE"/>
    <w:rsid w:val="00417E79"/>
    <w:rsid w:val="0042103E"/>
    <w:rsid w:val="004213C1"/>
    <w:rsid w:val="004214C8"/>
    <w:rsid w:val="00422C1E"/>
    <w:rsid w:val="00423399"/>
    <w:rsid w:val="00426297"/>
    <w:rsid w:val="00426312"/>
    <w:rsid w:val="004267A5"/>
    <w:rsid w:val="00427402"/>
    <w:rsid w:val="00427FB4"/>
    <w:rsid w:val="00430148"/>
    <w:rsid w:val="00431206"/>
    <w:rsid w:val="00433A9E"/>
    <w:rsid w:val="00434C77"/>
    <w:rsid w:val="0043593A"/>
    <w:rsid w:val="00436808"/>
    <w:rsid w:val="00437853"/>
    <w:rsid w:val="004405B0"/>
    <w:rsid w:val="00442406"/>
    <w:rsid w:val="00442BA6"/>
    <w:rsid w:val="00443969"/>
    <w:rsid w:val="00443C88"/>
    <w:rsid w:val="0044464C"/>
    <w:rsid w:val="00447091"/>
    <w:rsid w:val="004475AA"/>
    <w:rsid w:val="00447AEF"/>
    <w:rsid w:val="004532E2"/>
    <w:rsid w:val="00453988"/>
    <w:rsid w:val="00456BE6"/>
    <w:rsid w:val="00456FEF"/>
    <w:rsid w:val="00457A78"/>
    <w:rsid w:val="00460091"/>
    <w:rsid w:val="0046281C"/>
    <w:rsid w:val="00465C1D"/>
    <w:rsid w:val="004678CF"/>
    <w:rsid w:val="00470896"/>
    <w:rsid w:val="004709EA"/>
    <w:rsid w:val="00471086"/>
    <w:rsid w:val="0047125C"/>
    <w:rsid w:val="00471606"/>
    <w:rsid w:val="00471A11"/>
    <w:rsid w:val="004757CC"/>
    <w:rsid w:val="0047657B"/>
    <w:rsid w:val="00480889"/>
    <w:rsid w:val="0048153F"/>
    <w:rsid w:val="004816A8"/>
    <w:rsid w:val="00481E04"/>
    <w:rsid w:val="00482567"/>
    <w:rsid w:val="00483F0B"/>
    <w:rsid w:val="004903AE"/>
    <w:rsid w:val="004905E7"/>
    <w:rsid w:val="00491C17"/>
    <w:rsid w:val="0049499D"/>
    <w:rsid w:val="0049541F"/>
    <w:rsid w:val="00496269"/>
    <w:rsid w:val="004A058C"/>
    <w:rsid w:val="004A12F4"/>
    <w:rsid w:val="004A2E0B"/>
    <w:rsid w:val="004A698D"/>
    <w:rsid w:val="004A7243"/>
    <w:rsid w:val="004A7748"/>
    <w:rsid w:val="004A7858"/>
    <w:rsid w:val="004B593E"/>
    <w:rsid w:val="004B5C0B"/>
    <w:rsid w:val="004B69CE"/>
    <w:rsid w:val="004B6F88"/>
    <w:rsid w:val="004B78BE"/>
    <w:rsid w:val="004B7B16"/>
    <w:rsid w:val="004B7D52"/>
    <w:rsid w:val="004C271B"/>
    <w:rsid w:val="004C29BF"/>
    <w:rsid w:val="004C4368"/>
    <w:rsid w:val="004C4723"/>
    <w:rsid w:val="004C6BA1"/>
    <w:rsid w:val="004C719D"/>
    <w:rsid w:val="004C76B4"/>
    <w:rsid w:val="004D2ABC"/>
    <w:rsid w:val="004D43E0"/>
    <w:rsid w:val="004D6550"/>
    <w:rsid w:val="004D70B8"/>
    <w:rsid w:val="004D747A"/>
    <w:rsid w:val="004D77EA"/>
    <w:rsid w:val="004E370C"/>
    <w:rsid w:val="004E384F"/>
    <w:rsid w:val="004E46F6"/>
    <w:rsid w:val="004E5750"/>
    <w:rsid w:val="004E6FFE"/>
    <w:rsid w:val="004F0C43"/>
    <w:rsid w:val="004F1B51"/>
    <w:rsid w:val="004F4847"/>
    <w:rsid w:val="004F5149"/>
    <w:rsid w:val="004F74A6"/>
    <w:rsid w:val="004F78BB"/>
    <w:rsid w:val="004F7B30"/>
    <w:rsid w:val="004F7F68"/>
    <w:rsid w:val="00500C92"/>
    <w:rsid w:val="00501853"/>
    <w:rsid w:val="005029C8"/>
    <w:rsid w:val="00503D92"/>
    <w:rsid w:val="0050570A"/>
    <w:rsid w:val="00506F66"/>
    <w:rsid w:val="005078DF"/>
    <w:rsid w:val="00507DAC"/>
    <w:rsid w:val="00510835"/>
    <w:rsid w:val="00512CF7"/>
    <w:rsid w:val="00513614"/>
    <w:rsid w:val="0051467A"/>
    <w:rsid w:val="00514B24"/>
    <w:rsid w:val="00515614"/>
    <w:rsid w:val="0052016B"/>
    <w:rsid w:val="00523EE1"/>
    <w:rsid w:val="005246B9"/>
    <w:rsid w:val="0052484B"/>
    <w:rsid w:val="005255C0"/>
    <w:rsid w:val="00525966"/>
    <w:rsid w:val="005269C1"/>
    <w:rsid w:val="00527743"/>
    <w:rsid w:val="005308EA"/>
    <w:rsid w:val="00530E86"/>
    <w:rsid w:val="00531387"/>
    <w:rsid w:val="0053151C"/>
    <w:rsid w:val="005359D3"/>
    <w:rsid w:val="00535A2B"/>
    <w:rsid w:val="00536D87"/>
    <w:rsid w:val="00541C46"/>
    <w:rsid w:val="00546EE2"/>
    <w:rsid w:val="005472F5"/>
    <w:rsid w:val="00550923"/>
    <w:rsid w:val="005509A8"/>
    <w:rsid w:val="00551334"/>
    <w:rsid w:val="0055139D"/>
    <w:rsid w:val="0055169C"/>
    <w:rsid w:val="0055194E"/>
    <w:rsid w:val="00552B4A"/>
    <w:rsid w:val="0055320C"/>
    <w:rsid w:val="0055385B"/>
    <w:rsid w:val="005563F6"/>
    <w:rsid w:val="0055698B"/>
    <w:rsid w:val="005577CE"/>
    <w:rsid w:val="0055785E"/>
    <w:rsid w:val="005578EC"/>
    <w:rsid w:val="005579B4"/>
    <w:rsid w:val="00560D6F"/>
    <w:rsid w:val="0056145D"/>
    <w:rsid w:val="005637E9"/>
    <w:rsid w:val="005638A4"/>
    <w:rsid w:val="00565489"/>
    <w:rsid w:val="00565B23"/>
    <w:rsid w:val="00572776"/>
    <w:rsid w:val="00572F4F"/>
    <w:rsid w:val="005753C2"/>
    <w:rsid w:val="00575532"/>
    <w:rsid w:val="00577DE9"/>
    <w:rsid w:val="005808C7"/>
    <w:rsid w:val="00583435"/>
    <w:rsid w:val="005841B2"/>
    <w:rsid w:val="005844BC"/>
    <w:rsid w:val="00585147"/>
    <w:rsid w:val="00586733"/>
    <w:rsid w:val="005907D4"/>
    <w:rsid w:val="00591C40"/>
    <w:rsid w:val="00592FD6"/>
    <w:rsid w:val="005932AA"/>
    <w:rsid w:val="0059377C"/>
    <w:rsid w:val="00594E36"/>
    <w:rsid w:val="00595B6B"/>
    <w:rsid w:val="00596A77"/>
    <w:rsid w:val="005974D7"/>
    <w:rsid w:val="005A246D"/>
    <w:rsid w:val="005A28D5"/>
    <w:rsid w:val="005A30BA"/>
    <w:rsid w:val="005A391E"/>
    <w:rsid w:val="005A723B"/>
    <w:rsid w:val="005B35C0"/>
    <w:rsid w:val="005B5D5E"/>
    <w:rsid w:val="005B6614"/>
    <w:rsid w:val="005B748E"/>
    <w:rsid w:val="005C02EF"/>
    <w:rsid w:val="005C12FF"/>
    <w:rsid w:val="005C4463"/>
    <w:rsid w:val="005C650C"/>
    <w:rsid w:val="005C6B32"/>
    <w:rsid w:val="005C71E6"/>
    <w:rsid w:val="005C74BD"/>
    <w:rsid w:val="005D0960"/>
    <w:rsid w:val="005D2483"/>
    <w:rsid w:val="005D2485"/>
    <w:rsid w:val="005D3759"/>
    <w:rsid w:val="005D39D0"/>
    <w:rsid w:val="005D3ECC"/>
    <w:rsid w:val="005D4F79"/>
    <w:rsid w:val="005D5531"/>
    <w:rsid w:val="005D6848"/>
    <w:rsid w:val="005D747F"/>
    <w:rsid w:val="005D769E"/>
    <w:rsid w:val="005E0C1C"/>
    <w:rsid w:val="005E156F"/>
    <w:rsid w:val="005E2BA9"/>
    <w:rsid w:val="005E3D2B"/>
    <w:rsid w:val="005E4259"/>
    <w:rsid w:val="005E50AC"/>
    <w:rsid w:val="005E759E"/>
    <w:rsid w:val="005F0A75"/>
    <w:rsid w:val="005F0EED"/>
    <w:rsid w:val="005F2635"/>
    <w:rsid w:val="005F2BA2"/>
    <w:rsid w:val="005F48E2"/>
    <w:rsid w:val="005F4B42"/>
    <w:rsid w:val="005F54BA"/>
    <w:rsid w:val="00600225"/>
    <w:rsid w:val="006032DF"/>
    <w:rsid w:val="00616C58"/>
    <w:rsid w:val="00620424"/>
    <w:rsid w:val="00620DA2"/>
    <w:rsid w:val="00623B42"/>
    <w:rsid w:val="006248A1"/>
    <w:rsid w:val="0062491A"/>
    <w:rsid w:val="00625166"/>
    <w:rsid w:val="006314EA"/>
    <w:rsid w:val="00636353"/>
    <w:rsid w:val="00636412"/>
    <w:rsid w:val="006365E9"/>
    <w:rsid w:val="00637689"/>
    <w:rsid w:val="00640CF1"/>
    <w:rsid w:val="00640E35"/>
    <w:rsid w:val="00640F85"/>
    <w:rsid w:val="00641C04"/>
    <w:rsid w:val="00642D25"/>
    <w:rsid w:val="00643255"/>
    <w:rsid w:val="00645005"/>
    <w:rsid w:val="00646B4E"/>
    <w:rsid w:val="006478BB"/>
    <w:rsid w:val="006514FE"/>
    <w:rsid w:val="00652A10"/>
    <w:rsid w:val="006541D2"/>
    <w:rsid w:val="00654FA2"/>
    <w:rsid w:val="0065535A"/>
    <w:rsid w:val="00660C91"/>
    <w:rsid w:val="006637F9"/>
    <w:rsid w:val="006643C2"/>
    <w:rsid w:val="00665A08"/>
    <w:rsid w:val="00666E5A"/>
    <w:rsid w:val="006678F2"/>
    <w:rsid w:val="00667FF5"/>
    <w:rsid w:val="00670506"/>
    <w:rsid w:val="00671CBA"/>
    <w:rsid w:val="006732A9"/>
    <w:rsid w:val="00673621"/>
    <w:rsid w:val="00673684"/>
    <w:rsid w:val="006745B4"/>
    <w:rsid w:val="00674EA5"/>
    <w:rsid w:val="006752F5"/>
    <w:rsid w:val="0067634F"/>
    <w:rsid w:val="006802FE"/>
    <w:rsid w:val="006827A6"/>
    <w:rsid w:val="006844B6"/>
    <w:rsid w:val="00685309"/>
    <w:rsid w:val="00686194"/>
    <w:rsid w:val="00687C84"/>
    <w:rsid w:val="00690BCC"/>
    <w:rsid w:val="00691817"/>
    <w:rsid w:val="00691E72"/>
    <w:rsid w:val="00692517"/>
    <w:rsid w:val="00692B54"/>
    <w:rsid w:val="006936A9"/>
    <w:rsid w:val="00694ACB"/>
    <w:rsid w:val="00697EA5"/>
    <w:rsid w:val="006A0F03"/>
    <w:rsid w:val="006A1B5E"/>
    <w:rsid w:val="006A2C04"/>
    <w:rsid w:val="006A5E48"/>
    <w:rsid w:val="006A5F0C"/>
    <w:rsid w:val="006B3996"/>
    <w:rsid w:val="006B51DB"/>
    <w:rsid w:val="006B6BB8"/>
    <w:rsid w:val="006B7462"/>
    <w:rsid w:val="006C2815"/>
    <w:rsid w:val="006C3894"/>
    <w:rsid w:val="006C4429"/>
    <w:rsid w:val="006C6C52"/>
    <w:rsid w:val="006C7C7B"/>
    <w:rsid w:val="006D03ED"/>
    <w:rsid w:val="006D13B7"/>
    <w:rsid w:val="006D46B6"/>
    <w:rsid w:val="006D4BDF"/>
    <w:rsid w:val="006D5E03"/>
    <w:rsid w:val="006D64F6"/>
    <w:rsid w:val="006D7D82"/>
    <w:rsid w:val="006E0F94"/>
    <w:rsid w:val="006E1072"/>
    <w:rsid w:val="006E11CE"/>
    <w:rsid w:val="006E35D1"/>
    <w:rsid w:val="006E6159"/>
    <w:rsid w:val="006F0CC7"/>
    <w:rsid w:val="006F189A"/>
    <w:rsid w:val="006F6375"/>
    <w:rsid w:val="0070176F"/>
    <w:rsid w:val="00702C78"/>
    <w:rsid w:val="00703667"/>
    <w:rsid w:val="007055AC"/>
    <w:rsid w:val="007061A1"/>
    <w:rsid w:val="00706BD6"/>
    <w:rsid w:val="00706D42"/>
    <w:rsid w:val="00710403"/>
    <w:rsid w:val="0071158C"/>
    <w:rsid w:val="00711D2F"/>
    <w:rsid w:val="007126D1"/>
    <w:rsid w:val="00712D5E"/>
    <w:rsid w:val="00712FDA"/>
    <w:rsid w:val="00717955"/>
    <w:rsid w:val="00717E5C"/>
    <w:rsid w:val="007247FC"/>
    <w:rsid w:val="007301F7"/>
    <w:rsid w:val="00732036"/>
    <w:rsid w:val="0073259B"/>
    <w:rsid w:val="0073318E"/>
    <w:rsid w:val="00733862"/>
    <w:rsid w:val="0073486B"/>
    <w:rsid w:val="0073713D"/>
    <w:rsid w:val="007400E2"/>
    <w:rsid w:val="00744BFB"/>
    <w:rsid w:val="007450F9"/>
    <w:rsid w:val="007451D1"/>
    <w:rsid w:val="007461F0"/>
    <w:rsid w:val="00747EA5"/>
    <w:rsid w:val="00750807"/>
    <w:rsid w:val="00750948"/>
    <w:rsid w:val="007517BF"/>
    <w:rsid w:val="0075355F"/>
    <w:rsid w:val="00757988"/>
    <w:rsid w:val="00757B70"/>
    <w:rsid w:val="007611FB"/>
    <w:rsid w:val="00763769"/>
    <w:rsid w:val="00763E92"/>
    <w:rsid w:val="00765784"/>
    <w:rsid w:val="00765AA4"/>
    <w:rsid w:val="00766FDD"/>
    <w:rsid w:val="00770000"/>
    <w:rsid w:val="007703C8"/>
    <w:rsid w:val="00770DA4"/>
    <w:rsid w:val="00772415"/>
    <w:rsid w:val="007734A5"/>
    <w:rsid w:val="00773608"/>
    <w:rsid w:val="007749AC"/>
    <w:rsid w:val="00774EAC"/>
    <w:rsid w:val="00775D27"/>
    <w:rsid w:val="00775D6B"/>
    <w:rsid w:val="007771F3"/>
    <w:rsid w:val="007820AC"/>
    <w:rsid w:val="0078449D"/>
    <w:rsid w:val="00785C53"/>
    <w:rsid w:val="00787C84"/>
    <w:rsid w:val="007907DB"/>
    <w:rsid w:val="00793AA7"/>
    <w:rsid w:val="0079408F"/>
    <w:rsid w:val="00794C81"/>
    <w:rsid w:val="0079683B"/>
    <w:rsid w:val="007A0DD4"/>
    <w:rsid w:val="007A15D3"/>
    <w:rsid w:val="007A2104"/>
    <w:rsid w:val="007A76E8"/>
    <w:rsid w:val="007B046A"/>
    <w:rsid w:val="007B55F3"/>
    <w:rsid w:val="007B5FD5"/>
    <w:rsid w:val="007B6EF7"/>
    <w:rsid w:val="007C101E"/>
    <w:rsid w:val="007C1311"/>
    <w:rsid w:val="007C170A"/>
    <w:rsid w:val="007C1DBE"/>
    <w:rsid w:val="007C2E15"/>
    <w:rsid w:val="007C4ECC"/>
    <w:rsid w:val="007C612F"/>
    <w:rsid w:val="007C62B3"/>
    <w:rsid w:val="007D210E"/>
    <w:rsid w:val="007D32C2"/>
    <w:rsid w:val="007D3DF3"/>
    <w:rsid w:val="007D5379"/>
    <w:rsid w:val="007D55AE"/>
    <w:rsid w:val="007D576B"/>
    <w:rsid w:val="007E4217"/>
    <w:rsid w:val="007E5129"/>
    <w:rsid w:val="007E5816"/>
    <w:rsid w:val="007E60B7"/>
    <w:rsid w:val="007F1BF3"/>
    <w:rsid w:val="007F2A00"/>
    <w:rsid w:val="007F6011"/>
    <w:rsid w:val="007F6FEE"/>
    <w:rsid w:val="007F7980"/>
    <w:rsid w:val="007F7BAB"/>
    <w:rsid w:val="0080061E"/>
    <w:rsid w:val="00800767"/>
    <w:rsid w:val="00800C10"/>
    <w:rsid w:val="008019AC"/>
    <w:rsid w:val="008020CB"/>
    <w:rsid w:val="00802508"/>
    <w:rsid w:val="00802FDA"/>
    <w:rsid w:val="00804632"/>
    <w:rsid w:val="00804B9A"/>
    <w:rsid w:val="00804D22"/>
    <w:rsid w:val="00807631"/>
    <w:rsid w:val="00810F93"/>
    <w:rsid w:val="0081339B"/>
    <w:rsid w:val="008169D4"/>
    <w:rsid w:val="0082029B"/>
    <w:rsid w:val="00820906"/>
    <w:rsid w:val="00821661"/>
    <w:rsid w:val="00823EDD"/>
    <w:rsid w:val="00824B53"/>
    <w:rsid w:val="00825796"/>
    <w:rsid w:val="00827268"/>
    <w:rsid w:val="00831D77"/>
    <w:rsid w:val="00834947"/>
    <w:rsid w:val="00835215"/>
    <w:rsid w:val="00837DBA"/>
    <w:rsid w:val="00840FC4"/>
    <w:rsid w:val="0084148D"/>
    <w:rsid w:val="00841928"/>
    <w:rsid w:val="0084452C"/>
    <w:rsid w:val="0084513B"/>
    <w:rsid w:val="0084787E"/>
    <w:rsid w:val="00850B50"/>
    <w:rsid w:val="008511CD"/>
    <w:rsid w:val="00856031"/>
    <w:rsid w:val="00856A2B"/>
    <w:rsid w:val="00856A6D"/>
    <w:rsid w:val="0085757D"/>
    <w:rsid w:val="00860056"/>
    <w:rsid w:val="0086165B"/>
    <w:rsid w:val="00861936"/>
    <w:rsid w:val="008631E9"/>
    <w:rsid w:val="00863375"/>
    <w:rsid w:val="008633C4"/>
    <w:rsid w:val="00863CBF"/>
    <w:rsid w:val="00863D08"/>
    <w:rsid w:val="0086430B"/>
    <w:rsid w:val="0086543D"/>
    <w:rsid w:val="00866F59"/>
    <w:rsid w:val="00870791"/>
    <w:rsid w:val="00874716"/>
    <w:rsid w:val="00880788"/>
    <w:rsid w:val="008810A4"/>
    <w:rsid w:val="00881E49"/>
    <w:rsid w:val="008832A4"/>
    <w:rsid w:val="0088428E"/>
    <w:rsid w:val="00885F3E"/>
    <w:rsid w:val="00892FB6"/>
    <w:rsid w:val="00894375"/>
    <w:rsid w:val="0089636E"/>
    <w:rsid w:val="00896576"/>
    <w:rsid w:val="00897166"/>
    <w:rsid w:val="00897CB2"/>
    <w:rsid w:val="008A101F"/>
    <w:rsid w:val="008A3161"/>
    <w:rsid w:val="008A344B"/>
    <w:rsid w:val="008A4ABF"/>
    <w:rsid w:val="008B0B49"/>
    <w:rsid w:val="008B0EA6"/>
    <w:rsid w:val="008B2A52"/>
    <w:rsid w:val="008B2FB9"/>
    <w:rsid w:val="008B35A6"/>
    <w:rsid w:val="008B5FF1"/>
    <w:rsid w:val="008B7A11"/>
    <w:rsid w:val="008C1587"/>
    <w:rsid w:val="008C2AA4"/>
    <w:rsid w:val="008C2BE2"/>
    <w:rsid w:val="008C2C58"/>
    <w:rsid w:val="008C4E45"/>
    <w:rsid w:val="008C518F"/>
    <w:rsid w:val="008C78E7"/>
    <w:rsid w:val="008D00BA"/>
    <w:rsid w:val="008D389A"/>
    <w:rsid w:val="008D49A8"/>
    <w:rsid w:val="008D6874"/>
    <w:rsid w:val="008D72B2"/>
    <w:rsid w:val="008D72ED"/>
    <w:rsid w:val="008E27AC"/>
    <w:rsid w:val="008E2A78"/>
    <w:rsid w:val="008E3BAC"/>
    <w:rsid w:val="008E5512"/>
    <w:rsid w:val="008E55E5"/>
    <w:rsid w:val="008E5EA0"/>
    <w:rsid w:val="008E6CAC"/>
    <w:rsid w:val="008E72DC"/>
    <w:rsid w:val="008E7603"/>
    <w:rsid w:val="008F031E"/>
    <w:rsid w:val="008F0576"/>
    <w:rsid w:val="008F2618"/>
    <w:rsid w:val="008F380B"/>
    <w:rsid w:val="008F5838"/>
    <w:rsid w:val="00901EDB"/>
    <w:rsid w:val="0090266A"/>
    <w:rsid w:val="00902937"/>
    <w:rsid w:val="00902F83"/>
    <w:rsid w:val="0090339E"/>
    <w:rsid w:val="009051CF"/>
    <w:rsid w:val="00905B24"/>
    <w:rsid w:val="00907148"/>
    <w:rsid w:val="00907607"/>
    <w:rsid w:val="00911C10"/>
    <w:rsid w:val="0091204D"/>
    <w:rsid w:val="00913B00"/>
    <w:rsid w:val="00915190"/>
    <w:rsid w:val="00916400"/>
    <w:rsid w:val="009169D0"/>
    <w:rsid w:val="00920952"/>
    <w:rsid w:val="0092096D"/>
    <w:rsid w:val="0092241A"/>
    <w:rsid w:val="009233A8"/>
    <w:rsid w:val="00926798"/>
    <w:rsid w:val="009313DC"/>
    <w:rsid w:val="00932485"/>
    <w:rsid w:val="00932C32"/>
    <w:rsid w:val="00932DAF"/>
    <w:rsid w:val="0093789A"/>
    <w:rsid w:val="009417D4"/>
    <w:rsid w:val="00942483"/>
    <w:rsid w:val="00943B6D"/>
    <w:rsid w:val="00944B95"/>
    <w:rsid w:val="00944C93"/>
    <w:rsid w:val="00944CF5"/>
    <w:rsid w:val="009467BF"/>
    <w:rsid w:val="009475DC"/>
    <w:rsid w:val="009506E1"/>
    <w:rsid w:val="009510C9"/>
    <w:rsid w:val="00951B11"/>
    <w:rsid w:val="009522E4"/>
    <w:rsid w:val="00952F94"/>
    <w:rsid w:val="009538A2"/>
    <w:rsid w:val="00953E57"/>
    <w:rsid w:val="00961CF4"/>
    <w:rsid w:val="0096433D"/>
    <w:rsid w:val="009673BA"/>
    <w:rsid w:val="00967D90"/>
    <w:rsid w:val="00970CB5"/>
    <w:rsid w:val="00970DD8"/>
    <w:rsid w:val="00970ED9"/>
    <w:rsid w:val="00974403"/>
    <w:rsid w:val="00976AF0"/>
    <w:rsid w:val="00977026"/>
    <w:rsid w:val="009772D3"/>
    <w:rsid w:val="00977A7A"/>
    <w:rsid w:val="009817FF"/>
    <w:rsid w:val="009821FA"/>
    <w:rsid w:val="009826F2"/>
    <w:rsid w:val="009843FA"/>
    <w:rsid w:val="009844E5"/>
    <w:rsid w:val="00985448"/>
    <w:rsid w:val="009858AC"/>
    <w:rsid w:val="00987E13"/>
    <w:rsid w:val="00990189"/>
    <w:rsid w:val="009901BB"/>
    <w:rsid w:val="00991804"/>
    <w:rsid w:val="0099260A"/>
    <w:rsid w:val="00992764"/>
    <w:rsid w:val="00993D21"/>
    <w:rsid w:val="00994136"/>
    <w:rsid w:val="00994365"/>
    <w:rsid w:val="00994706"/>
    <w:rsid w:val="009950C9"/>
    <w:rsid w:val="009954DC"/>
    <w:rsid w:val="00995D74"/>
    <w:rsid w:val="00995EAF"/>
    <w:rsid w:val="00996A97"/>
    <w:rsid w:val="00997460"/>
    <w:rsid w:val="009A024F"/>
    <w:rsid w:val="009A03C0"/>
    <w:rsid w:val="009A045F"/>
    <w:rsid w:val="009B03E4"/>
    <w:rsid w:val="009B03E6"/>
    <w:rsid w:val="009B1B7A"/>
    <w:rsid w:val="009B27AE"/>
    <w:rsid w:val="009B2B16"/>
    <w:rsid w:val="009B2D3A"/>
    <w:rsid w:val="009B47ED"/>
    <w:rsid w:val="009B4AB2"/>
    <w:rsid w:val="009B4DD6"/>
    <w:rsid w:val="009C1C7E"/>
    <w:rsid w:val="009C4477"/>
    <w:rsid w:val="009C4F0D"/>
    <w:rsid w:val="009C732F"/>
    <w:rsid w:val="009C776C"/>
    <w:rsid w:val="009D0482"/>
    <w:rsid w:val="009D1226"/>
    <w:rsid w:val="009D39E2"/>
    <w:rsid w:val="009D42CE"/>
    <w:rsid w:val="009D4A83"/>
    <w:rsid w:val="009D4FD2"/>
    <w:rsid w:val="009D5718"/>
    <w:rsid w:val="009D5D37"/>
    <w:rsid w:val="009D6EC8"/>
    <w:rsid w:val="009E0A8E"/>
    <w:rsid w:val="009E1C9F"/>
    <w:rsid w:val="009E39AB"/>
    <w:rsid w:val="009E4607"/>
    <w:rsid w:val="009E5F94"/>
    <w:rsid w:val="009E783C"/>
    <w:rsid w:val="009E78A8"/>
    <w:rsid w:val="009E7E76"/>
    <w:rsid w:val="009F1D61"/>
    <w:rsid w:val="009F32CA"/>
    <w:rsid w:val="009F476E"/>
    <w:rsid w:val="009F6154"/>
    <w:rsid w:val="009F7B29"/>
    <w:rsid w:val="00A0239C"/>
    <w:rsid w:val="00A02D32"/>
    <w:rsid w:val="00A03F2D"/>
    <w:rsid w:val="00A11249"/>
    <w:rsid w:val="00A12B38"/>
    <w:rsid w:val="00A12CCA"/>
    <w:rsid w:val="00A2069F"/>
    <w:rsid w:val="00A214AF"/>
    <w:rsid w:val="00A21D77"/>
    <w:rsid w:val="00A22C3C"/>
    <w:rsid w:val="00A23026"/>
    <w:rsid w:val="00A23E53"/>
    <w:rsid w:val="00A2676E"/>
    <w:rsid w:val="00A2742C"/>
    <w:rsid w:val="00A27579"/>
    <w:rsid w:val="00A276F6"/>
    <w:rsid w:val="00A27F7A"/>
    <w:rsid w:val="00A324A6"/>
    <w:rsid w:val="00A32DBA"/>
    <w:rsid w:val="00A33F3E"/>
    <w:rsid w:val="00A341A7"/>
    <w:rsid w:val="00A34A96"/>
    <w:rsid w:val="00A35ADC"/>
    <w:rsid w:val="00A36676"/>
    <w:rsid w:val="00A37A56"/>
    <w:rsid w:val="00A4101D"/>
    <w:rsid w:val="00A41674"/>
    <w:rsid w:val="00A421E4"/>
    <w:rsid w:val="00A42C0D"/>
    <w:rsid w:val="00A4343D"/>
    <w:rsid w:val="00A46FCB"/>
    <w:rsid w:val="00A5093C"/>
    <w:rsid w:val="00A524B4"/>
    <w:rsid w:val="00A53BCB"/>
    <w:rsid w:val="00A561AB"/>
    <w:rsid w:val="00A5642C"/>
    <w:rsid w:val="00A56C31"/>
    <w:rsid w:val="00A57543"/>
    <w:rsid w:val="00A60994"/>
    <w:rsid w:val="00A61631"/>
    <w:rsid w:val="00A61CBD"/>
    <w:rsid w:val="00A63914"/>
    <w:rsid w:val="00A6462B"/>
    <w:rsid w:val="00A667E6"/>
    <w:rsid w:val="00A66A80"/>
    <w:rsid w:val="00A6799C"/>
    <w:rsid w:val="00A7012B"/>
    <w:rsid w:val="00A715E9"/>
    <w:rsid w:val="00A743E7"/>
    <w:rsid w:val="00A752EC"/>
    <w:rsid w:val="00A75377"/>
    <w:rsid w:val="00A760E5"/>
    <w:rsid w:val="00A7769E"/>
    <w:rsid w:val="00A803DD"/>
    <w:rsid w:val="00A81375"/>
    <w:rsid w:val="00A8445B"/>
    <w:rsid w:val="00A844EC"/>
    <w:rsid w:val="00A847F5"/>
    <w:rsid w:val="00A85672"/>
    <w:rsid w:val="00A86F4D"/>
    <w:rsid w:val="00A913F6"/>
    <w:rsid w:val="00A92753"/>
    <w:rsid w:val="00AA0288"/>
    <w:rsid w:val="00AA0A75"/>
    <w:rsid w:val="00AA2D38"/>
    <w:rsid w:val="00AA362E"/>
    <w:rsid w:val="00AA3669"/>
    <w:rsid w:val="00AA63A0"/>
    <w:rsid w:val="00AA6998"/>
    <w:rsid w:val="00AA7C7A"/>
    <w:rsid w:val="00AA7D10"/>
    <w:rsid w:val="00AB100B"/>
    <w:rsid w:val="00AB34C6"/>
    <w:rsid w:val="00AB491C"/>
    <w:rsid w:val="00AB4AAB"/>
    <w:rsid w:val="00AB6D9E"/>
    <w:rsid w:val="00AC0172"/>
    <w:rsid w:val="00AC0C1F"/>
    <w:rsid w:val="00AC539F"/>
    <w:rsid w:val="00AC5EFB"/>
    <w:rsid w:val="00AC6AD2"/>
    <w:rsid w:val="00AD12E3"/>
    <w:rsid w:val="00AD2418"/>
    <w:rsid w:val="00AD28DF"/>
    <w:rsid w:val="00AD291C"/>
    <w:rsid w:val="00AD4518"/>
    <w:rsid w:val="00AD544F"/>
    <w:rsid w:val="00AD5456"/>
    <w:rsid w:val="00AD60D4"/>
    <w:rsid w:val="00AD6792"/>
    <w:rsid w:val="00AD68F1"/>
    <w:rsid w:val="00AD7783"/>
    <w:rsid w:val="00AE0A50"/>
    <w:rsid w:val="00AE16D9"/>
    <w:rsid w:val="00AE2545"/>
    <w:rsid w:val="00AE29F5"/>
    <w:rsid w:val="00AE2EBC"/>
    <w:rsid w:val="00AE3C18"/>
    <w:rsid w:val="00AE5E66"/>
    <w:rsid w:val="00AE6463"/>
    <w:rsid w:val="00AE7042"/>
    <w:rsid w:val="00AF31BD"/>
    <w:rsid w:val="00AF449E"/>
    <w:rsid w:val="00AF506C"/>
    <w:rsid w:val="00AF7F61"/>
    <w:rsid w:val="00B004E4"/>
    <w:rsid w:val="00B02446"/>
    <w:rsid w:val="00B03466"/>
    <w:rsid w:val="00B044DD"/>
    <w:rsid w:val="00B062CC"/>
    <w:rsid w:val="00B06E1A"/>
    <w:rsid w:val="00B06EA9"/>
    <w:rsid w:val="00B07AE8"/>
    <w:rsid w:val="00B106B8"/>
    <w:rsid w:val="00B10A72"/>
    <w:rsid w:val="00B11DBE"/>
    <w:rsid w:val="00B14FFC"/>
    <w:rsid w:val="00B16AC7"/>
    <w:rsid w:val="00B200E3"/>
    <w:rsid w:val="00B2259D"/>
    <w:rsid w:val="00B24DB8"/>
    <w:rsid w:val="00B24EEF"/>
    <w:rsid w:val="00B256B7"/>
    <w:rsid w:val="00B32EBC"/>
    <w:rsid w:val="00B34D63"/>
    <w:rsid w:val="00B44153"/>
    <w:rsid w:val="00B500DE"/>
    <w:rsid w:val="00B50A35"/>
    <w:rsid w:val="00B51196"/>
    <w:rsid w:val="00B51AA7"/>
    <w:rsid w:val="00B51D86"/>
    <w:rsid w:val="00B52332"/>
    <w:rsid w:val="00B52E58"/>
    <w:rsid w:val="00B53B35"/>
    <w:rsid w:val="00B543D0"/>
    <w:rsid w:val="00B56EB0"/>
    <w:rsid w:val="00B61584"/>
    <w:rsid w:val="00B658C9"/>
    <w:rsid w:val="00B66088"/>
    <w:rsid w:val="00B672B9"/>
    <w:rsid w:val="00B67739"/>
    <w:rsid w:val="00B707BD"/>
    <w:rsid w:val="00B74219"/>
    <w:rsid w:val="00B75E56"/>
    <w:rsid w:val="00B91138"/>
    <w:rsid w:val="00B9229A"/>
    <w:rsid w:val="00B94A26"/>
    <w:rsid w:val="00B9630B"/>
    <w:rsid w:val="00B974CF"/>
    <w:rsid w:val="00BA00DF"/>
    <w:rsid w:val="00BA189C"/>
    <w:rsid w:val="00BA2BF0"/>
    <w:rsid w:val="00BA3EDA"/>
    <w:rsid w:val="00BA4B9B"/>
    <w:rsid w:val="00BA572B"/>
    <w:rsid w:val="00BA5EDE"/>
    <w:rsid w:val="00BA6931"/>
    <w:rsid w:val="00BA6CAF"/>
    <w:rsid w:val="00BB0E0B"/>
    <w:rsid w:val="00BB1ADC"/>
    <w:rsid w:val="00BB4772"/>
    <w:rsid w:val="00BB49A2"/>
    <w:rsid w:val="00BB5D18"/>
    <w:rsid w:val="00BB66A0"/>
    <w:rsid w:val="00BB6DCA"/>
    <w:rsid w:val="00BB7183"/>
    <w:rsid w:val="00BC0810"/>
    <w:rsid w:val="00BC112A"/>
    <w:rsid w:val="00BC3866"/>
    <w:rsid w:val="00BC53EC"/>
    <w:rsid w:val="00BC6B6A"/>
    <w:rsid w:val="00BD1303"/>
    <w:rsid w:val="00BD20AB"/>
    <w:rsid w:val="00BD49BE"/>
    <w:rsid w:val="00BD6099"/>
    <w:rsid w:val="00BD64AD"/>
    <w:rsid w:val="00BD67BA"/>
    <w:rsid w:val="00BE1877"/>
    <w:rsid w:val="00BE3BF6"/>
    <w:rsid w:val="00BE5146"/>
    <w:rsid w:val="00BE7F52"/>
    <w:rsid w:val="00C00078"/>
    <w:rsid w:val="00C010FC"/>
    <w:rsid w:val="00C01D31"/>
    <w:rsid w:val="00C02F80"/>
    <w:rsid w:val="00C036EC"/>
    <w:rsid w:val="00C03BF2"/>
    <w:rsid w:val="00C03EE7"/>
    <w:rsid w:val="00C06F43"/>
    <w:rsid w:val="00C11338"/>
    <w:rsid w:val="00C11806"/>
    <w:rsid w:val="00C11F1B"/>
    <w:rsid w:val="00C13E98"/>
    <w:rsid w:val="00C16DAC"/>
    <w:rsid w:val="00C175F7"/>
    <w:rsid w:val="00C203FA"/>
    <w:rsid w:val="00C20CDA"/>
    <w:rsid w:val="00C212B3"/>
    <w:rsid w:val="00C2209D"/>
    <w:rsid w:val="00C24017"/>
    <w:rsid w:val="00C24E7A"/>
    <w:rsid w:val="00C3041A"/>
    <w:rsid w:val="00C30A5E"/>
    <w:rsid w:val="00C318F8"/>
    <w:rsid w:val="00C3514E"/>
    <w:rsid w:val="00C40B29"/>
    <w:rsid w:val="00C40B6E"/>
    <w:rsid w:val="00C42094"/>
    <w:rsid w:val="00C42938"/>
    <w:rsid w:val="00C42B53"/>
    <w:rsid w:val="00C43352"/>
    <w:rsid w:val="00C438CE"/>
    <w:rsid w:val="00C45A98"/>
    <w:rsid w:val="00C51198"/>
    <w:rsid w:val="00C51E66"/>
    <w:rsid w:val="00C54B13"/>
    <w:rsid w:val="00C618F9"/>
    <w:rsid w:val="00C61A99"/>
    <w:rsid w:val="00C625E0"/>
    <w:rsid w:val="00C633C5"/>
    <w:rsid w:val="00C644EC"/>
    <w:rsid w:val="00C6499D"/>
    <w:rsid w:val="00C66416"/>
    <w:rsid w:val="00C67CEF"/>
    <w:rsid w:val="00C72BA5"/>
    <w:rsid w:val="00C72D82"/>
    <w:rsid w:val="00C733B6"/>
    <w:rsid w:val="00C736F3"/>
    <w:rsid w:val="00C75573"/>
    <w:rsid w:val="00C77DF5"/>
    <w:rsid w:val="00C8088A"/>
    <w:rsid w:val="00C82408"/>
    <w:rsid w:val="00C82BC4"/>
    <w:rsid w:val="00C835AF"/>
    <w:rsid w:val="00C86737"/>
    <w:rsid w:val="00C87562"/>
    <w:rsid w:val="00C91D65"/>
    <w:rsid w:val="00C92AD3"/>
    <w:rsid w:val="00C9411C"/>
    <w:rsid w:val="00C949DA"/>
    <w:rsid w:val="00C95224"/>
    <w:rsid w:val="00C95CA4"/>
    <w:rsid w:val="00C97400"/>
    <w:rsid w:val="00C97527"/>
    <w:rsid w:val="00CA36C3"/>
    <w:rsid w:val="00CA46B3"/>
    <w:rsid w:val="00CA4A6F"/>
    <w:rsid w:val="00CA68D7"/>
    <w:rsid w:val="00CA6E5C"/>
    <w:rsid w:val="00CA72CC"/>
    <w:rsid w:val="00CA738D"/>
    <w:rsid w:val="00CA7DDE"/>
    <w:rsid w:val="00CB0136"/>
    <w:rsid w:val="00CB0221"/>
    <w:rsid w:val="00CB0B63"/>
    <w:rsid w:val="00CB585D"/>
    <w:rsid w:val="00CB7C04"/>
    <w:rsid w:val="00CC02D1"/>
    <w:rsid w:val="00CC1CDD"/>
    <w:rsid w:val="00CC3357"/>
    <w:rsid w:val="00CC649D"/>
    <w:rsid w:val="00CC7AF4"/>
    <w:rsid w:val="00CD2E1A"/>
    <w:rsid w:val="00CD3750"/>
    <w:rsid w:val="00CD465F"/>
    <w:rsid w:val="00CD4C86"/>
    <w:rsid w:val="00CD5674"/>
    <w:rsid w:val="00CD5E6A"/>
    <w:rsid w:val="00CD643F"/>
    <w:rsid w:val="00CD66FF"/>
    <w:rsid w:val="00CD6C4E"/>
    <w:rsid w:val="00CD7390"/>
    <w:rsid w:val="00CE0413"/>
    <w:rsid w:val="00CE15C5"/>
    <w:rsid w:val="00CE3831"/>
    <w:rsid w:val="00CE3ADC"/>
    <w:rsid w:val="00CE54EA"/>
    <w:rsid w:val="00CE6FE6"/>
    <w:rsid w:val="00CE764D"/>
    <w:rsid w:val="00CE7AD8"/>
    <w:rsid w:val="00CF0C9D"/>
    <w:rsid w:val="00CF15B9"/>
    <w:rsid w:val="00CF38F2"/>
    <w:rsid w:val="00CF43A5"/>
    <w:rsid w:val="00CF493E"/>
    <w:rsid w:val="00CF5A45"/>
    <w:rsid w:val="00CF5E17"/>
    <w:rsid w:val="00CF740D"/>
    <w:rsid w:val="00D00463"/>
    <w:rsid w:val="00D02030"/>
    <w:rsid w:val="00D02B6F"/>
    <w:rsid w:val="00D03729"/>
    <w:rsid w:val="00D03BB7"/>
    <w:rsid w:val="00D05A75"/>
    <w:rsid w:val="00D05BBE"/>
    <w:rsid w:val="00D065FD"/>
    <w:rsid w:val="00D07A42"/>
    <w:rsid w:val="00D07FE3"/>
    <w:rsid w:val="00D1095E"/>
    <w:rsid w:val="00D11FD8"/>
    <w:rsid w:val="00D127B1"/>
    <w:rsid w:val="00D14107"/>
    <w:rsid w:val="00D14E95"/>
    <w:rsid w:val="00D16FE4"/>
    <w:rsid w:val="00D1710A"/>
    <w:rsid w:val="00D20F57"/>
    <w:rsid w:val="00D212AD"/>
    <w:rsid w:val="00D21972"/>
    <w:rsid w:val="00D21B75"/>
    <w:rsid w:val="00D2248A"/>
    <w:rsid w:val="00D24A29"/>
    <w:rsid w:val="00D27923"/>
    <w:rsid w:val="00D31212"/>
    <w:rsid w:val="00D4018E"/>
    <w:rsid w:val="00D41D6C"/>
    <w:rsid w:val="00D42C78"/>
    <w:rsid w:val="00D4402C"/>
    <w:rsid w:val="00D448BA"/>
    <w:rsid w:val="00D451DA"/>
    <w:rsid w:val="00D45B82"/>
    <w:rsid w:val="00D4677C"/>
    <w:rsid w:val="00D47B7A"/>
    <w:rsid w:val="00D51362"/>
    <w:rsid w:val="00D51834"/>
    <w:rsid w:val="00D51914"/>
    <w:rsid w:val="00D521F0"/>
    <w:rsid w:val="00D53D0B"/>
    <w:rsid w:val="00D5553D"/>
    <w:rsid w:val="00D56F00"/>
    <w:rsid w:val="00D574DA"/>
    <w:rsid w:val="00D57A3B"/>
    <w:rsid w:val="00D606FE"/>
    <w:rsid w:val="00D60CA9"/>
    <w:rsid w:val="00D61BDC"/>
    <w:rsid w:val="00D63235"/>
    <w:rsid w:val="00D63653"/>
    <w:rsid w:val="00D63EF9"/>
    <w:rsid w:val="00D642FA"/>
    <w:rsid w:val="00D65B29"/>
    <w:rsid w:val="00D71021"/>
    <w:rsid w:val="00D713CD"/>
    <w:rsid w:val="00D72041"/>
    <w:rsid w:val="00D721DE"/>
    <w:rsid w:val="00D72953"/>
    <w:rsid w:val="00D7457C"/>
    <w:rsid w:val="00D74DDF"/>
    <w:rsid w:val="00D752F3"/>
    <w:rsid w:val="00D77405"/>
    <w:rsid w:val="00D803CF"/>
    <w:rsid w:val="00D8070E"/>
    <w:rsid w:val="00D81CFD"/>
    <w:rsid w:val="00D82574"/>
    <w:rsid w:val="00D83F6A"/>
    <w:rsid w:val="00D843FF"/>
    <w:rsid w:val="00D9024C"/>
    <w:rsid w:val="00D91DDF"/>
    <w:rsid w:val="00D92FAF"/>
    <w:rsid w:val="00D9410B"/>
    <w:rsid w:val="00D96CC5"/>
    <w:rsid w:val="00D96EEE"/>
    <w:rsid w:val="00D97688"/>
    <w:rsid w:val="00D97BED"/>
    <w:rsid w:val="00DA6741"/>
    <w:rsid w:val="00DA6907"/>
    <w:rsid w:val="00DA6FA6"/>
    <w:rsid w:val="00DB4315"/>
    <w:rsid w:val="00DB6F0F"/>
    <w:rsid w:val="00DC0E80"/>
    <w:rsid w:val="00DC15C6"/>
    <w:rsid w:val="00DC224A"/>
    <w:rsid w:val="00DC4893"/>
    <w:rsid w:val="00DD05BB"/>
    <w:rsid w:val="00DD2AAF"/>
    <w:rsid w:val="00DD3E70"/>
    <w:rsid w:val="00DD4786"/>
    <w:rsid w:val="00DD58EC"/>
    <w:rsid w:val="00DD5DAF"/>
    <w:rsid w:val="00DD6DA3"/>
    <w:rsid w:val="00DE0336"/>
    <w:rsid w:val="00DE07A3"/>
    <w:rsid w:val="00DE24ED"/>
    <w:rsid w:val="00DE29CF"/>
    <w:rsid w:val="00DE327C"/>
    <w:rsid w:val="00DE4599"/>
    <w:rsid w:val="00DE4BB6"/>
    <w:rsid w:val="00DE4D45"/>
    <w:rsid w:val="00DE5FEC"/>
    <w:rsid w:val="00DE6FE5"/>
    <w:rsid w:val="00DE787A"/>
    <w:rsid w:val="00DE7BBA"/>
    <w:rsid w:val="00DF02A6"/>
    <w:rsid w:val="00DF093D"/>
    <w:rsid w:val="00DF2E8E"/>
    <w:rsid w:val="00DF597C"/>
    <w:rsid w:val="00DF6519"/>
    <w:rsid w:val="00E0114C"/>
    <w:rsid w:val="00E02CDB"/>
    <w:rsid w:val="00E03DE6"/>
    <w:rsid w:val="00E058F2"/>
    <w:rsid w:val="00E079D7"/>
    <w:rsid w:val="00E07A7D"/>
    <w:rsid w:val="00E14718"/>
    <w:rsid w:val="00E15D27"/>
    <w:rsid w:val="00E1702A"/>
    <w:rsid w:val="00E17A9A"/>
    <w:rsid w:val="00E17DD1"/>
    <w:rsid w:val="00E215E8"/>
    <w:rsid w:val="00E21760"/>
    <w:rsid w:val="00E25DDD"/>
    <w:rsid w:val="00E26CA7"/>
    <w:rsid w:val="00E26CB9"/>
    <w:rsid w:val="00E277A1"/>
    <w:rsid w:val="00E32496"/>
    <w:rsid w:val="00E33A2D"/>
    <w:rsid w:val="00E36237"/>
    <w:rsid w:val="00E3698C"/>
    <w:rsid w:val="00E36A9C"/>
    <w:rsid w:val="00E375A5"/>
    <w:rsid w:val="00E40CD6"/>
    <w:rsid w:val="00E44030"/>
    <w:rsid w:val="00E44251"/>
    <w:rsid w:val="00E4587A"/>
    <w:rsid w:val="00E45B3E"/>
    <w:rsid w:val="00E46541"/>
    <w:rsid w:val="00E501E3"/>
    <w:rsid w:val="00E5295D"/>
    <w:rsid w:val="00E5384E"/>
    <w:rsid w:val="00E54875"/>
    <w:rsid w:val="00E54E58"/>
    <w:rsid w:val="00E55640"/>
    <w:rsid w:val="00E57D3C"/>
    <w:rsid w:val="00E61E46"/>
    <w:rsid w:val="00E61ED6"/>
    <w:rsid w:val="00E679F5"/>
    <w:rsid w:val="00E67FF7"/>
    <w:rsid w:val="00E708D8"/>
    <w:rsid w:val="00E710F7"/>
    <w:rsid w:val="00E722D4"/>
    <w:rsid w:val="00E728FE"/>
    <w:rsid w:val="00E73313"/>
    <w:rsid w:val="00E73A49"/>
    <w:rsid w:val="00E7506C"/>
    <w:rsid w:val="00E8036A"/>
    <w:rsid w:val="00E81627"/>
    <w:rsid w:val="00E8228F"/>
    <w:rsid w:val="00E831FC"/>
    <w:rsid w:val="00E83689"/>
    <w:rsid w:val="00E84958"/>
    <w:rsid w:val="00E876D3"/>
    <w:rsid w:val="00E87735"/>
    <w:rsid w:val="00E90B68"/>
    <w:rsid w:val="00E9190D"/>
    <w:rsid w:val="00E92266"/>
    <w:rsid w:val="00E92F04"/>
    <w:rsid w:val="00E94940"/>
    <w:rsid w:val="00E94C4F"/>
    <w:rsid w:val="00E94E64"/>
    <w:rsid w:val="00E952A0"/>
    <w:rsid w:val="00E97149"/>
    <w:rsid w:val="00E9732D"/>
    <w:rsid w:val="00E976AF"/>
    <w:rsid w:val="00EA1465"/>
    <w:rsid w:val="00EA2F9C"/>
    <w:rsid w:val="00EA3474"/>
    <w:rsid w:val="00EA4410"/>
    <w:rsid w:val="00EA4AD0"/>
    <w:rsid w:val="00EA748C"/>
    <w:rsid w:val="00EB01C9"/>
    <w:rsid w:val="00EB50F4"/>
    <w:rsid w:val="00EB5DC7"/>
    <w:rsid w:val="00EC13B0"/>
    <w:rsid w:val="00EC30A8"/>
    <w:rsid w:val="00EC3664"/>
    <w:rsid w:val="00EC4808"/>
    <w:rsid w:val="00EC5F9B"/>
    <w:rsid w:val="00EC5FB8"/>
    <w:rsid w:val="00EC6940"/>
    <w:rsid w:val="00EC7822"/>
    <w:rsid w:val="00EC7D16"/>
    <w:rsid w:val="00ED00A0"/>
    <w:rsid w:val="00ED0366"/>
    <w:rsid w:val="00ED1914"/>
    <w:rsid w:val="00ED3D08"/>
    <w:rsid w:val="00ED4B56"/>
    <w:rsid w:val="00ED4CFB"/>
    <w:rsid w:val="00ED4F81"/>
    <w:rsid w:val="00ED5411"/>
    <w:rsid w:val="00ED636B"/>
    <w:rsid w:val="00ED6ACC"/>
    <w:rsid w:val="00ED70C7"/>
    <w:rsid w:val="00ED7504"/>
    <w:rsid w:val="00EE0548"/>
    <w:rsid w:val="00EE09A7"/>
    <w:rsid w:val="00EE108C"/>
    <w:rsid w:val="00EE16D8"/>
    <w:rsid w:val="00EE1A44"/>
    <w:rsid w:val="00EE49CD"/>
    <w:rsid w:val="00EE62B3"/>
    <w:rsid w:val="00EE7852"/>
    <w:rsid w:val="00EF0A02"/>
    <w:rsid w:val="00EF0E3D"/>
    <w:rsid w:val="00EF3DE7"/>
    <w:rsid w:val="00EF49E2"/>
    <w:rsid w:val="00EF576D"/>
    <w:rsid w:val="00EF6DB9"/>
    <w:rsid w:val="00EF72D0"/>
    <w:rsid w:val="00EF78A1"/>
    <w:rsid w:val="00F002E6"/>
    <w:rsid w:val="00F004A3"/>
    <w:rsid w:val="00F0286D"/>
    <w:rsid w:val="00F03B32"/>
    <w:rsid w:val="00F06733"/>
    <w:rsid w:val="00F06898"/>
    <w:rsid w:val="00F07420"/>
    <w:rsid w:val="00F079AF"/>
    <w:rsid w:val="00F12B6A"/>
    <w:rsid w:val="00F1472F"/>
    <w:rsid w:val="00F2036E"/>
    <w:rsid w:val="00F215BD"/>
    <w:rsid w:val="00F2170E"/>
    <w:rsid w:val="00F219FF"/>
    <w:rsid w:val="00F31004"/>
    <w:rsid w:val="00F311C6"/>
    <w:rsid w:val="00F31628"/>
    <w:rsid w:val="00F32EF2"/>
    <w:rsid w:val="00F35849"/>
    <w:rsid w:val="00F35E4C"/>
    <w:rsid w:val="00F367C2"/>
    <w:rsid w:val="00F37865"/>
    <w:rsid w:val="00F400DB"/>
    <w:rsid w:val="00F40183"/>
    <w:rsid w:val="00F406DE"/>
    <w:rsid w:val="00F41F48"/>
    <w:rsid w:val="00F42E9F"/>
    <w:rsid w:val="00F441A8"/>
    <w:rsid w:val="00F4543A"/>
    <w:rsid w:val="00F4615E"/>
    <w:rsid w:val="00F5012F"/>
    <w:rsid w:val="00F509D2"/>
    <w:rsid w:val="00F52169"/>
    <w:rsid w:val="00F5250C"/>
    <w:rsid w:val="00F53272"/>
    <w:rsid w:val="00F53331"/>
    <w:rsid w:val="00F53CAD"/>
    <w:rsid w:val="00F64FD3"/>
    <w:rsid w:val="00F66819"/>
    <w:rsid w:val="00F6775C"/>
    <w:rsid w:val="00F67FB9"/>
    <w:rsid w:val="00F7021D"/>
    <w:rsid w:val="00F70898"/>
    <w:rsid w:val="00F70BAD"/>
    <w:rsid w:val="00F71EA6"/>
    <w:rsid w:val="00F73A9D"/>
    <w:rsid w:val="00F750FC"/>
    <w:rsid w:val="00F7520C"/>
    <w:rsid w:val="00F75756"/>
    <w:rsid w:val="00F75787"/>
    <w:rsid w:val="00F75B16"/>
    <w:rsid w:val="00F75D09"/>
    <w:rsid w:val="00F76544"/>
    <w:rsid w:val="00F80C68"/>
    <w:rsid w:val="00F81B51"/>
    <w:rsid w:val="00F8479C"/>
    <w:rsid w:val="00F8509C"/>
    <w:rsid w:val="00F854B9"/>
    <w:rsid w:val="00F90199"/>
    <w:rsid w:val="00F90829"/>
    <w:rsid w:val="00F90C13"/>
    <w:rsid w:val="00F90CB2"/>
    <w:rsid w:val="00F91BF6"/>
    <w:rsid w:val="00F92D1A"/>
    <w:rsid w:val="00F930A5"/>
    <w:rsid w:val="00F9337E"/>
    <w:rsid w:val="00F93455"/>
    <w:rsid w:val="00F93F21"/>
    <w:rsid w:val="00F94B81"/>
    <w:rsid w:val="00F955D1"/>
    <w:rsid w:val="00F96A2A"/>
    <w:rsid w:val="00FA0003"/>
    <w:rsid w:val="00FA04D7"/>
    <w:rsid w:val="00FA0BB6"/>
    <w:rsid w:val="00FA13E5"/>
    <w:rsid w:val="00FA192E"/>
    <w:rsid w:val="00FA2383"/>
    <w:rsid w:val="00FA3015"/>
    <w:rsid w:val="00FA390D"/>
    <w:rsid w:val="00FA661F"/>
    <w:rsid w:val="00FA76CB"/>
    <w:rsid w:val="00FB203E"/>
    <w:rsid w:val="00FB27FA"/>
    <w:rsid w:val="00FB2FCD"/>
    <w:rsid w:val="00FB6251"/>
    <w:rsid w:val="00FC2733"/>
    <w:rsid w:val="00FC2D5B"/>
    <w:rsid w:val="00FC348B"/>
    <w:rsid w:val="00FC4FB6"/>
    <w:rsid w:val="00FC4FD8"/>
    <w:rsid w:val="00FC59ED"/>
    <w:rsid w:val="00FC68D8"/>
    <w:rsid w:val="00FD07CA"/>
    <w:rsid w:val="00FD0AA9"/>
    <w:rsid w:val="00FD110B"/>
    <w:rsid w:val="00FD1B1D"/>
    <w:rsid w:val="00FD38BC"/>
    <w:rsid w:val="00FD69F1"/>
    <w:rsid w:val="00FD6BAD"/>
    <w:rsid w:val="00FD6EB5"/>
    <w:rsid w:val="00FE0246"/>
    <w:rsid w:val="00FE090C"/>
    <w:rsid w:val="00FE0D5C"/>
    <w:rsid w:val="00FE1824"/>
    <w:rsid w:val="00FE1CED"/>
    <w:rsid w:val="00FE30D8"/>
    <w:rsid w:val="00FE538E"/>
    <w:rsid w:val="00FE5D9F"/>
    <w:rsid w:val="00FE6484"/>
    <w:rsid w:val="00FE7256"/>
    <w:rsid w:val="00FE74E3"/>
    <w:rsid w:val="00FE76B8"/>
    <w:rsid w:val="00FF17E3"/>
    <w:rsid w:val="00FF1DC9"/>
    <w:rsid w:val="00FF205A"/>
    <w:rsid w:val="00FF46B0"/>
    <w:rsid w:val="00FF67A1"/>
    <w:rsid w:val="00FF7A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EDC"/>
    <w:pPr>
      <w:jc w:val="both"/>
    </w:pPr>
    <w:rPr>
      <w:sz w:val="24"/>
      <w:szCs w:val="24"/>
    </w:rPr>
  </w:style>
  <w:style w:type="paragraph" w:styleId="Heading1">
    <w:name w:val="heading 1"/>
    <w:basedOn w:val="Heading2"/>
    <w:next w:val="Normal"/>
    <w:qFormat/>
    <w:rsid w:val="00282EDC"/>
    <w:pPr>
      <w:jc w:val="center"/>
      <w:outlineLvl w:val="0"/>
    </w:pPr>
    <w:rPr>
      <w:caps/>
      <w:szCs w:val="28"/>
    </w:rPr>
  </w:style>
  <w:style w:type="paragraph" w:styleId="Heading2">
    <w:name w:val="heading 2"/>
    <w:basedOn w:val="Normal"/>
    <w:next w:val="Normal"/>
    <w:qFormat/>
    <w:rsid w:val="00282EDC"/>
    <w:pPr>
      <w:keepNext/>
      <w:spacing w:line="480" w:lineRule="auto"/>
      <w:jc w:val="left"/>
      <w:outlineLvl w:val="1"/>
    </w:pPr>
    <w:rPr>
      <w:rFonts w:ascii="Times New Roman Bold" w:hAnsi="Times New Roman Bold"/>
      <w:b/>
      <w:bCs/>
      <w:iCs/>
    </w:rPr>
  </w:style>
  <w:style w:type="paragraph" w:styleId="Heading3">
    <w:name w:val="heading 3"/>
    <w:basedOn w:val="Heading2"/>
    <w:next w:val="Normal"/>
    <w:qFormat/>
    <w:rsid w:val="00F75787"/>
    <w:pPr>
      <w:outlineLvl w:val="2"/>
    </w:pPr>
    <w:rPr>
      <w:b w:val="0"/>
      <w:u w:val="single"/>
    </w:rPr>
  </w:style>
  <w:style w:type="paragraph" w:styleId="Heading6">
    <w:name w:val="heading 6"/>
    <w:basedOn w:val="Normal"/>
    <w:next w:val="Normal"/>
    <w:qFormat/>
    <w:rsid w:val="00F757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706D42"/>
  </w:style>
  <w:style w:type="paragraph" w:customStyle="1" w:styleId="Question">
    <w:name w:val="Question"/>
    <w:basedOn w:val="Normal"/>
    <w:link w:val="QuestionChar"/>
    <w:rsid w:val="00F75787"/>
    <w:pPr>
      <w:spacing w:line="480" w:lineRule="auto"/>
      <w:ind w:left="720" w:hanging="720"/>
    </w:pPr>
    <w:rPr>
      <w:b/>
      <w:bCs/>
      <w:szCs w:val="20"/>
    </w:rPr>
  </w:style>
  <w:style w:type="character" w:customStyle="1" w:styleId="QuestionChar">
    <w:name w:val="Question Char"/>
    <w:basedOn w:val="DefaultParagraphFont"/>
    <w:link w:val="Question"/>
    <w:rsid w:val="00D91DDF"/>
    <w:rPr>
      <w:b/>
      <w:bCs/>
      <w:sz w:val="24"/>
      <w:lang w:val="en-US" w:eastAsia="en-US" w:bidi="ar-SA"/>
    </w:rPr>
  </w:style>
  <w:style w:type="paragraph" w:customStyle="1" w:styleId="Answer">
    <w:name w:val="Answer"/>
    <w:basedOn w:val="Normal"/>
    <w:link w:val="AnswerChar1"/>
    <w:rsid w:val="00F75787"/>
    <w:pPr>
      <w:spacing w:line="480" w:lineRule="auto"/>
      <w:ind w:left="720" w:hanging="720"/>
    </w:pPr>
    <w:rPr>
      <w:szCs w:val="20"/>
    </w:rPr>
  </w:style>
  <w:style w:type="character" w:customStyle="1" w:styleId="AnswerChar1">
    <w:name w:val="Answer Char1"/>
    <w:basedOn w:val="DefaultParagraphFont"/>
    <w:link w:val="Answer"/>
    <w:rsid w:val="00841928"/>
    <w:rPr>
      <w:sz w:val="24"/>
      <w:lang w:val="en-US" w:eastAsia="en-US" w:bidi="ar-SA"/>
    </w:rPr>
  </w:style>
  <w:style w:type="character" w:styleId="PageNumber">
    <w:name w:val="page number"/>
    <w:basedOn w:val="DefaultParagraphFont"/>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semiHidden/>
    <w:rsid w:val="00F75787"/>
    <w:rPr>
      <w:sz w:val="16"/>
      <w:szCs w:val="16"/>
    </w:rPr>
  </w:style>
  <w:style w:type="paragraph" w:styleId="CommentText">
    <w:name w:val="annotation text"/>
    <w:basedOn w:val="Normal"/>
    <w:semiHidden/>
    <w:rsid w:val="00F75787"/>
    <w:rPr>
      <w:sz w:val="20"/>
      <w:szCs w:val="20"/>
    </w:rPr>
  </w:style>
  <w:style w:type="paragraph" w:styleId="CommentSubject">
    <w:name w:val="annotation subject"/>
    <w:basedOn w:val="CommentText"/>
    <w:next w:val="CommentText"/>
    <w:semiHidden/>
    <w:rsid w:val="00F75787"/>
    <w:rPr>
      <w:b/>
      <w:bCs/>
    </w:rPr>
  </w:style>
  <w:style w:type="paragraph" w:styleId="Header">
    <w:name w:val="header"/>
    <w:basedOn w:val="Normal"/>
    <w:rsid w:val="00F75787"/>
    <w:pPr>
      <w:tabs>
        <w:tab w:val="center" w:pos="4320"/>
        <w:tab w:val="right" w:pos="8640"/>
      </w:tabs>
    </w:pPr>
  </w:style>
  <w:style w:type="paragraph" w:styleId="Footer">
    <w:name w:val="footer"/>
    <w:basedOn w:val="Normal"/>
    <w:link w:val="FooterChar"/>
    <w:uiPriority w:val="99"/>
    <w:rsid w:val="00F75787"/>
    <w:pPr>
      <w:tabs>
        <w:tab w:val="center" w:pos="4320"/>
        <w:tab w:val="right" w:pos="8640"/>
      </w:tabs>
    </w:pPr>
  </w:style>
  <w:style w:type="paragraph" w:styleId="BalloonText">
    <w:name w:val="Balloon Text"/>
    <w:basedOn w:val="Normal"/>
    <w:semiHidden/>
    <w:rsid w:val="00217819"/>
    <w:rPr>
      <w:rFonts w:ascii="Tahoma" w:hAnsi="Tahoma" w:cs="Tahoma"/>
      <w:sz w:val="16"/>
      <w:szCs w:val="16"/>
    </w:rPr>
  </w:style>
  <w:style w:type="paragraph" w:styleId="Quote">
    <w:name w:val="Quote"/>
    <w:basedOn w:val="Normal"/>
    <w:qFormat/>
    <w:rsid w:val="00EF0A02"/>
    <w:pPr>
      <w:spacing w:after="240"/>
      <w:ind w:left="1440"/>
    </w:pPr>
  </w:style>
  <w:style w:type="paragraph" w:customStyle="1" w:styleId="answer0">
    <w:name w:val="answer"/>
    <w:basedOn w:val="Normal"/>
    <w:link w:val="answerChar"/>
    <w:rsid w:val="003B49E3"/>
    <w:pPr>
      <w:spacing w:before="100" w:beforeAutospacing="1" w:after="100" w:afterAutospacing="1"/>
      <w:jc w:val="left"/>
    </w:pPr>
  </w:style>
  <w:style w:type="character" w:customStyle="1" w:styleId="answerChar">
    <w:name w:val="answer Char"/>
    <w:basedOn w:val="DefaultParagraphFont"/>
    <w:link w:val="answer0"/>
    <w:rsid w:val="003C203D"/>
    <w:rPr>
      <w:sz w:val="24"/>
      <w:szCs w:val="24"/>
      <w:lang w:val="en-US" w:eastAsia="en-US" w:bidi="ar-SA"/>
    </w:rPr>
  </w:style>
  <w:style w:type="paragraph" w:customStyle="1" w:styleId="CharChar">
    <w:name w:val="Char Char"/>
    <w:basedOn w:val="Normal"/>
    <w:rsid w:val="00001380"/>
    <w:pPr>
      <w:spacing w:after="160" w:line="240" w:lineRule="exact"/>
      <w:jc w:val="left"/>
    </w:pPr>
    <w:rPr>
      <w:rFonts w:ascii="Verdana" w:hAnsi="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semiHidden/>
    <w:rsid w:val="004A698D"/>
    <w:rPr>
      <w:sz w:val="20"/>
      <w:szCs w:val="20"/>
    </w:rPr>
  </w:style>
  <w:style w:type="character" w:styleId="FootnoteReference">
    <w:name w:val="footnote reference"/>
    <w:basedOn w:val="DefaultParagraphFont"/>
    <w:semiHidden/>
    <w:rsid w:val="004A698D"/>
    <w:rPr>
      <w:vertAlign w:val="superscript"/>
    </w:rPr>
  </w:style>
  <w:style w:type="character" w:customStyle="1" w:styleId="AnswerChar0">
    <w:name w:val="Answer Char"/>
    <w:basedOn w:val="DefaultParagraphFont"/>
    <w:rsid w:val="00712D5E"/>
    <w:rPr>
      <w:sz w:val="24"/>
      <w:lang w:val="en-US" w:eastAsia="en-US" w:bidi="ar-SA"/>
    </w:rPr>
  </w:style>
  <w:style w:type="paragraph" w:customStyle="1" w:styleId="Commitmenttable">
    <w:name w:val="Commitment table"/>
    <w:basedOn w:val="Normal"/>
    <w:rsid w:val="00D14E95"/>
    <w:pPr>
      <w:spacing w:before="60" w:after="60"/>
    </w:pPr>
    <w:rPr>
      <w:sz w:val="20"/>
      <w:szCs w:val="20"/>
    </w:rPr>
  </w:style>
  <w:style w:type="paragraph" w:customStyle="1" w:styleId="CommitmenttableIndent">
    <w:name w:val="Commitment table Indent"/>
    <w:basedOn w:val="Normal"/>
    <w:rsid w:val="00D14E95"/>
    <w:pPr>
      <w:spacing w:before="60" w:after="60"/>
      <w:ind w:left="720"/>
    </w:pPr>
    <w:rPr>
      <w:sz w:val="20"/>
      <w:szCs w:val="20"/>
    </w:rPr>
  </w:style>
  <w:style w:type="table" w:styleId="TableGrid">
    <w:name w:val="Table Grid"/>
    <w:basedOn w:val="TableNormal"/>
    <w:rsid w:val="00B0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70176F"/>
    <w:pPr>
      <w:spacing w:after="160" w:line="240" w:lineRule="exact"/>
      <w:jc w:val="left"/>
    </w:pPr>
    <w:rPr>
      <w:rFonts w:ascii="Verdana" w:hAnsi="Verdana"/>
      <w:sz w:val="20"/>
      <w:szCs w:val="20"/>
    </w:rPr>
  </w:style>
  <w:style w:type="paragraph" w:styleId="BodyText">
    <w:name w:val="Body Text"/>
    <w:basedOn w:val="Normal"/>
    <w:rsid w:val="00AF506C"/>
    <w:pPr>
      <w:spacing w:line="480" w:lineRule="auto"/>
      <w:ind w:firstLine="720"/>
      <w:jc w:val="left"/>
    </w:pPr>
    <w:rPr>
      <w:szCs w:val="20"/>
    </w:rPr>
  </w:style>
  <w:style w:type="paragraph" w:customStyle="1" w:styleId="CharChar2">
    <w:name w:val="Char Char2"/>
    <w:basedOn w:val="Normal"/>
    <w:rsid w:val="005246B9"/>
    <w:pPr>
      <w:spacing w:after="160" w:line="240" w:lineRule="exact"/>
      <w:jc w:val="left"/>
    </w:pPr>
    <w:rPr>
      <w:rFonts w:ascii="Verdana" w:hAnsi="Verdana"/>
      <w:sz w:val="20"/>
      <w:szCs w:val="20"/>
    </w:rPr>
  </w:style>
  <w:style w:type="paragraph" w:styleId="NormalWeb">
    <w:name w:val="Normal (Web)"/>
    <w:basedOn w:val="Normal"/>
    <w:uiPriority w:val="99"/>
    <w:semiHidden/>
    <w:unhideWhenUsed/>
    <w:rsid w:val="000F44A0"/>
    <w:pPr>
      <w:spacing w:before="100" w:beforeAutospacing="1" w:after="100" w:afterAutospacing="1"/>
      <w:jc w:val="left"/>
    </w:pPr>
  </w:style>
  <w:style w:type="paragraph" w:styleId="EndnoteText">
    <w:name w:val="endnote text"/>
    <w:basedOn w:val="Normal"/>
    <w:link w:val="EndnoteTextChar"/>
    <w:uiPriority w:val="99"/>
    <w:semiHidden/>
    <w:unhideWhenUsed/>
    <w:rsid w:val="00154695"/>
    <w:rPr>
      <w:sz w:val="20"/>
      <w:szCs w:val="20"/>
    </w:rPr>
  </w:style>
  <w:style w:type="character" w:customStyle="1" w:styleId="EndnoteTextChar">
    <w:name w:val="Endnote Text Char"/>
    <w:basedOn w:val="DefaultParagraphFont"/>
    <w:link w:val="EndnoteText"/>
    <w:uiPriority w:val="99"/>
    <w:semiHidden/>
    <w:rsid w:val="00154695"/>
  </w:style>
  <w:style w:type="character" w:styleId="EndnoteReference">
    <w:name w:val="endnote reference"/>
    <w:basedOn w:val="DefaultParagraphFont"/>
    <w:uiPriority w:val="99"/>
    <w:semiHidden/>
    <w:unhideWhenUsed/>
    <w:rsid w:val="00154695"/>
    <w:rPr>
      <w:vertAlign w:val="superscript"/>
    </w:rPr>
  </w:style>
  <w:style w:type="paragraph" w:customStyle="1" w:styleId="StyleBodyTextIndentLeft0LinespacingDouble">
    <w:name w:val="Style Body Text Indent + Left:  0&quot; Line spacing:  Double"/>
    <w:basedOn w:val="FootnoteText"/>
    <w:next w:val="BodyTextIndent"/>
    <w:rsid w:val="00D45B82"/>
    <w:pPr>
      <w:spacing w:after="120" w:line="480" w:lineRule="auto"/>
      <w:ind w:firstLine="720"/>
      <w:jc w:val="left"/>
    </w:pPr>
    <w:rPr>
      <w:sz w:val="24"/>
    </w:rPr>
  </w:style>
  <w:style w:type="paragraph" w:styleId="BodyTextIndent">
    <w:name w:val="Body Text Indent"/>
    <w:basedOn w:val="Normal"/>
    <w:link w:val="BodyTextIndentChar"/>
    <w:uiPriority w:val="99"/>
    <w:semiHidden/>
    <w:unhideWhenUsed/>
    <w:rsid w:val="00D45B82"/>
    <w:pPr>
      <w:spacing w:after="120"/>
      <w:ind w:left="360"/>
    </w:pPr>
  </w:style>
  <w:style w:type="character" w:customStyle="1" w:styleId="BodyTextIndentChar">
    <w:name w:val="Body Text Indent Char"/>
    <w:basedOn w:val="DefaultParagraphFont"/>
    <w:link w:val="BodyTextIndent"/>
    <w:uiPriority w:val="99"/>
    <w:semiHidden/>
    <w:rsid w:val="00D45B82"/>
    <w:rPr>
      <w:sz w:val="24"/>
      <w:szCs w:val="24"/>
    </w:rPr>
  </w:style>
  <w:style w:type="paragraph" w:styleId="Revision">
    <w:name w:val="Revision"/>
    <w:hidden/>
    <w:uiPriority w:val="99"/>
    <w:semiHidden/>
    <w:rsid w:val="00415E41"/>
    <w:rPr>
      <w:sz w:val="24"/>
      <w:szCs w:val="24"/>
    </w:rPr>
  </w:style>
  <w:style w:type="paragraph" w:styleId="ListParagraph">
    <w:name w:val="List Paragraph"/>
    <w:basedOn w:val="Normal"/>
    <w:uiPriority w:val="34"/>
    <w:qFormat/>
    <w:rsid w:val="006B6BB8"/>
    <w:pPr>
      <w:ind w:left="720"/>
      <w:contextualSpacing/>
    </w:pPr>
  </w:style>
  <w:style w:type="character" w:customStyle="1" w:styleId="FooterChar">
    <w:name w:val="Footer Char"/>
    <w:basedOn w:val="DefaultParagraphFont"/>
    <w:link w:val="Footer"/>
    <w:uiPriority w:val="99"/>
    <w:rsid w:val="000B348A"/>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link w:val="FootnoteText"/>
    <w:semiHidden/>
    <w:rsid w:val="00691E72"/>
  </w:style>
  <w:style w:type="table" w:styleId="LightShading">
    <w:name w:val="Light Shading"/>
    <w:basedOn w:val="TableNormal"/>
    <w:uiPriority w:val="60"/>
    <w:rsid w:val="00BC112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BC112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BC112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rsid w:val="00BC112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560D6F"/>
    <w:pPr>
      <w:spacing w:after="200"/>
    </w:pPr>
    <w:rPr>
      <w:b/>
      <w:bCs/>
      <w:color w:val="4F81BD" w:themeColor="accent1"/>
      <w:sz w:val="18"/>
      <w:szCs w:val="18"/>
    </w:rPr>
  </w:style>
  <w:style w:type="paragraph" w:styleId="TOCHeading">
    <w:name w:val="TOC Heading"/>
    <w:basedOn w:val="Heading1"/>
    <w:next w:val="Normal"/>
    <w:uiPriority w:val="39"/>
    <w:semiHidden/>
    <w:unhideWhenUsed/>
    <w:qFormat/>
    <w:rsid w:val="00ED636B"/>
    <w:pPr>
      <w:keepLines/>
      <w:spacing w:before="480" w:line="276" w:lineRule="auto"/>
      <w:jc w:val="left"/>
      <w:outlineLvl w:val="9"/>
    </w:pPr>
    <w:rPr>
      <w:rFonts w:asciiTheme="majorHAnsi" w:eastAsiaTheme="majorEastAsia" w:hAnsiTheme="majorHAnsi" w:cstheme="majorBidi"/>
      <w:iCs w:val="0"/>
      <w:caps w:val="0"/>
      <w:color w:val="365F91" w:themeColor="accent1" w:themeShade="BF"/>
      <w:sz w:val="28"/>
      <w:lang w:eastAsia="ja-JP"/>
    </w:rPr>
  </w:style>
  <w:style w:type="paragraph" w:styleId="TOC1">
    <w:name w:val="toc 1"/>
    <w:basedOn w:val="Normal"/>
    <w:next w:val="Normal"/>
    <w:autoRedefine/>
    <w:uiPriority w:val="39"/>
    <w:unhideWhenUsed/>
    <w:rsid w:val="00ED636B"/>
    <w:pPr>
      <w:suppressLineNumbers/>
      <w:tabs>
        <w:tab w:val="right" w:leader="dot" w:pos="8990"/>
      </w:tabs>
      <w:spacing w:line="360" w:lineRule="auto"/>
    </w:pPr>
  </w:style>
  <w:style w:type="paragraph" w:styleId="TOC2">
    <w:name w:val="toc 2"/>
    <w:basedOn w:val="Normal"/>
    <w:next w:val="Normal"/>
    <w:autoRedefine/>
    <w:uiPriority w:val="39"/>
    <w:unhideWhenUsed/>
    <w:rsid w:val="00ED636B"/>
    <w:pPr>
      <w:spacing w:after="100"/>
      <w:ind w:left="240"/>
    </w:pPr>
  </w:style>
  <w:style w:type="character" w:styleId="Hyperlink">
    <w:name w:val="Hyperlink"/>
    <w:basedOn w:val="DefaultParagraphFont"/>
    <w:uiPriority w:val="99"/>
    <w:unhideWhenUsed/>
    <w:rsid w:val="00ED63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EDC"/>
    <w:pPr>
      <w:jc w:val="both"/>
    </w:pPr>
    <w:rPr>
      <w:sz w:val="24"/>
      <w:szCs w:val="24"/>
    </w:rPr>
  </w:style>
  <w:style w:type="paragraph" w:styleId="Heading1">
    <w:name w:val="heading 1"/>
    <w:basedOn w:val="Heading2"/>
    <w:next w:val="Normal"/>
    <w:qFormat/>
    <w:rsid w:val="00282EDC"/>
    <w:pPr>
      <w:jc w:val="center"/>
      <w:outlineLvl w:val="0"/>
    </w:pPr>
    <w:rPr>
      <w:caps/>
      <w:szCs w:val="28"/>
    </w:rPr>
  </w:style>
  <w:style w:type="paragraph" w:styleId="Heading2">
    <w:name w:val="heading 2"/>
    <w:basedOn w:val="Normal"/>
    <w:next w:val="Normal"/>
    <w:qFormat/>
    <w:rsid w:val="00282EDC"/>
    <w:pPr>
      <w:keepNext/>
      <w:spacing w:line="480" w:lineRule="auto"/>
      <w:jc w:val="left"/>
      <w:outlineLvl w:val="1"/>
    </w:pPr>
    <w:rPr>
      <w:rFonts w:ascii="Times New Roman Bold" w:hAnsi="Times New Roman Bold"/>
      <w:b/>
      <w:bCs/>
      <w:iCs/>
    </w:rPr>
  </w:style>
  <w:style w:type="paragraph" w:styleId="Heading3">
    <w:name w:val="heading 3"/>
    <w:basedOn w:val="Heading2"/>
    <w:next w:val="Normal"/>
    <w:qFormat/>
    <w:rsid w:val="00F75787"/>
    <w:pPr>
      <w:outlineLvl w:val="2"/>
    </w:pPr>
    <w:rPr>
      <w:b w:val="0"/>
      <w:u w:val="single"/>
    </w:rPr>
  </w:style>
  <w:style w:type="paragraph" w:styleId="Heading6">
    <w:name w:val="heading 6"/>
    <w:basedOn w:val="Normal"/>
    <w:next w:val="Normal"/>
    <w:qFormat/>
    <w:rsid w:val="00F757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706D42"/>
  </w:style>
  <w:style w:type="paragraph" w:customStyle="1" w:styleId="Question">
    <w:name w:val="Question"/>
    <w:basedOn w:val="Normal"/>
    <w:link w:val="QuestionChar"/>
    <w:rsid w:val="00F75787"/>
    <w:pPr>
      <w:spacing w:line="480" w:lineRule="auto"/>
      <w:ind w:left="720" w:hanging="720"/>
    </w:pPr>
    <w:rPr>
      <w:b/>
      <w:bCs/>
      <w:szCs w:val="20"/>
    </w:rPr>
  </w:style>
  <w:style w:type="character" w:customStyle="1" w:styleId="QuestionChar">
    <w:name w:val="Question Char"/>
    <w:basedOn w:val="DefaultParagraphFont"/>
    <w:link w:val="Question"/>
    <w:rsid w:val="00D91DDF"/>
    <w:rPr>
      <w:b/>
      <w:bCs/>
      <w:sz w:val="24"/>
      <w:lang w:val="en-US" w:eastAsia="en-US" w:bidi="ar-SA"/>
    </w:rPr>
  </w:style>
  <w:style w:type="paragraph" w:customStyle="1" w:styleId="Answer">
    <w:name w:val="Answer"/>
    <w:basedOn w:val="Normal"/>
    <w:link w:val="AnswerChar1"/>
    <w:rsid w:val="00F75787"/>
    <w:pPr>
      <w:spacing w:line="480" w:lineRule="auto"/>
      <w:ind w:left="720" w:hanging="720"/>
    </w:pPr>
    <w:rPr>
      <w:szCs w:val="20"/>
    </w:rPr>
  </w:style>
  <w:style w:type="character" w:customStyle="1" w:styleId="AnswerChar1">
    <w:name w:val="Answer Char1"/>
    <w:basedOn w:val="DefaultParagraphFont"/>
    <w:link w:val="Answer"/>
    <w:rsid w:val="00841928"/>
    <w:rPr>
      <w:sz w:val="24"/>
      <w:lang w:val="en-US" w:eastAsia="en-US" w:bidi="ar-SA"/>
    </w:rPr>
  </w:style>
  <w:style w:type="character" w:styleId="PageNumber">
    <w:name w:val="page number"/>
    <w:basedOn w:val="DefaultParagraphFont"/>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semiHidden/>
    <w:rsid w:val="00F75787"/>
    <w:rPr>
      <w:sz w:val="16"/>
      <w:szCs w:val="16"/>
    </w:rPr>
  </w:style>
  <w:style w:type="paragraph" w:styleId="CommentText">
    <w:name w:val="annotation text"/>
    <w:basedOn w:val="Normal"/>
    <w:semiHidden/>
    <w:rsid w:val="00F75787"/>
    <w:rPr>
      <w:sz w:val="20"/>
      <w:szCs w:val="20"/>
    </w:rPr>
  </w:style>
  <w:style w:type="paragraph" w:styleId="CommentSubject">
    <w:name w:val="annotation subject"/>
    <w:basedOn w:val="CommentText"/>
    <w:next w:val="CommentText"/>
    <w:semiHidden/>
    <w:rsid w:val="00F75787"/>
    <w:rPr>
      <w:b/>
      <w:bCs/>
    </w:rPr>
  </w:style>
  <w:style w:type="paragraph" w:styleId="Header">
    <w:name w:val="header"/>
    <w:basedOn w:val="Normal"/>
    <w:rsid w:val="00F75787"/>
    <w:pPr>
      <w:tabs>
        <w:tab w:val="center" w:pos="4320"/>
        <w:tab w:val="right" w:pos="8640"/>
      </w:tabs>
    </w:pPr>
  </w:style>
  <w:style w:type="paragraph" w:styleId="Footer">
    <w:name w:val="footer"/>
    <w:basedOn w:val="Normal"/>
    <w:link w:val="FooterChar"/>
    <w:uiPriority w:val="99"/>
    <w:rsid w:val="00F75787"/>
    <w:pPr>
      <w:tabs>
        <w:tab w:val="center" w:pos="4320"/>
        <w:tab w:val="right" w:pos="8640"/>
      </w:tabs>
    </w:pPr>
  </w:style>
  <w:style w:type="paragraph" w:styleId="BalloonText">
    <w:name w:val="Balloon Text"/>
    <w:basedOn w:val="Normal"/>
    <w:semiHidden/>
    <w:rsid w:val="00217819"/>
    <w:rPr>
      <w:rFonts w:ascii="Tahoma" w:hAnsi="Tahoma" w:cs="Tahoma"/>
      <w:sz w:val="16"/>
      <w:szCs w:val="16"/>
    </w:rPr>
  </w:style>
  <w:style w:type="paragraph" w:styleId="Quote">
    <w:name w:val="Quote"/>
    <w:basedOn w:val="Normal"/>
    <w:qFormat/>
    <w:rsid w:val="00EF0A02"/>
    <w:pPr>
      <w:spacing w:after="240"/>
      <w:ind w:left="1440"/>
    </w:pPr>
  </w:style>
  <w:style w:type="paragraph" w:customStyle="1" w:styleId="answer0">
    <w:name w:val="answer"/>
    <w:basedOn w:val="Normal"/>
    <w:link w:val="answerChar"/>
    <w:rsid w:val="003B49E3"/>
    <w:pPr>
      <w:spacing w:before="100" w:beforeAutospacing="1" w:after="100" w:afterAutospacing="1"/>
      <w:jc w:val="left"/>
    </w:pPr>
  </w:style>
  <w:style w:type="character" w:customStyle="1" w:styleId="answerChar">
    <w:name w:val="answer Char"/>
    <w:basedOn w:val="DefaultParagraphFont"/>
    <w:link w:val="answer0"/>
    <w:rsid w:val="003C203D"/>
    <w:rPr>
      <w:sz w:val="24"/>
      <w:szCs w:val="24"/>
      <w:lang w:val="en-US" w:eastAsia="en-US" w:bidi="ar-SA"/>
    </w:rPr>
  </w:style>
  <w:style w:type="paragraph" w:customStyle="1" w:styleId="CharChar">
    <w:name w:val="Char Char"/>
    <w:basedOn w:val="Normal"/>
    <w:rsid w:val="00001380"/>
    <w:pPr>
      <w:spacing w:after="160" w:line="240" w:lineRule="exact"/>
      <w:jc w:val="left"/>
    </w:pPr>
    <w:rPr>
      <w:rFonts w:ascii="Verdana" w:hAnsi="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semiHidden/>
    <w:rsid w:val="004A698D"/>
    <w:rPr>
      <w:sz w:val="20"/>
      <w:szCs w:val="20"/>
    </w:rPr>
  </w:style>
  <w:style w:type="character" w:styleId="FootnoteReference">
    <w:name w:val="footnote reference"/>
    <w:basedOn w:val="DefaultParagraphFont"/>
    <w:semiHidden/>
    <w:rsid w:val="004A698D"/>
    <w:rPr>
      <w:vertAlign w:val="superscript"/>
    </w:rPr>
  </w:style>
  <w:style w:type="character" w:customStyle="1" w:styleId="AnswerChar0">
    <w:name w:val="Answer Char"/>
    <w:basedOn w:val="DefaultParagraphFont"/>
    <w:rsid w:val="00712D5E"/>
    <w:rPr>
      <w:sz w:val="24"/>
      <w:lang w:val="en-US" w:eastAsia="en-US" w:bidi="ar-SA"/>
    </w:rPr>
  </w:style>
  <w:style w:type="paragraph" w:customStyle="1" w:styleId="Commitmenttable">
    <w:name w:val="Commitment table"/>
    <w:basedOn w:val="Normal"/>
    <w:rsid w:val="00D14E95"/>
    <w:pPr>
      <w:spacing w:before="60" w:after="60"/>
    </w:pPr>
    <w:rPr>
      <w:sz w:val="20"/>
      <w:szCs w:val="20"/>
    </w:rPr>
  </w:style>
  <w:style w:type="paragraph" w:customStyle="1" w:styleId="CommitmenttableIndent">
    <w:name w:val="Commitment table Indent"/>
    <w:basedOn w:val="Normal"/>
    <w:rsid w:val="00D14E95"/>
    <w:pPr>
      <w:spacing w:before="60" w:after="60"/>
      <w:ind w:left="720"/>
    </w:pPr>
    <w:rPr>
      <w:sz w:val="20"/>
      <w:szCs w:val="20"/>
    </w:rPr>
  </w:style>
  <w:style w:type="table" w:styleId="TableGrid">
    <w:name w:val="Table Grid"/>
    <w:basedOn w:val="TableNormal"/>
    <w:rsid w:val="00B0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70176F"/>
    <w:pPr>
      <w:spacing w:after="160" w:line="240" w:lineRule="exact"/>
      <w:jc w:val="left"/>
    </w:pPr>
    <w:rPr>
      <w:rFonts w:ascii="Verdana" w:hAnsi="Verdana"/>
      <w:sz w:val="20"/>
      <w:szCs w:val="20"/>
    </w:rPr>
  </w:style>
  <w:style w:type="paragraph" w:styleId="BodyText">
    <w:name w:val="Body Text"/>
    <w:basedOn w:val="Normal"/>
    <w:rsid w:val="00AF506C"/>
    <w:pPr>
      <w:spacing w:line="480" w:lineRule="auto"/>
      <w:ind w:firstLine="720"/>
      <w:jc w:val="left"/>
    </w:pPr>
    <w:rPr>
      <w:szCs w:val="20"/>
    </w:rPr>
  </w:style>
  <w:style w:type="paragraph" w:customStyle="1" w:styleId="CharChar2">
    <w:name w:val="Char Char2"/>
    <w:basedOn w:val="Normal"/>
    <w:rsid w:val="005246B9"/>
    <w:pPr>
      <w:spacing w:after="160" w:line="240" w:lineRule="exact"/>
      <w:jc w:val="left"/>
    </w:pPr>
    <w:rPr>
      <w:rFonts w:ascii="Verdana" w:hAnsi="Verdana"/>
      <w:sz w:val="20"/>
      <w:szCs w:val="20"/>
    </w:rPr>
  </w:style>
  <w:style w:type="paragraph" w:styleId="NormalWeb">
    <w:name w:val="Normal (Web)"/>
    <w:basedOn w:val="Normal"/>
    <w:uiPriority w:val="99"/>
    <w:semiHidden/>
    <w:unhideWhenUsed/>
    <w:rsid w:val="000F44A0"/>
    <w:pPr>
      <w:spacing w:before="100" w:beforeAutospacing="1" w:after="100" w:afterAutospacing="1"/>
      <w:jc w:val="left"/>
    </w:pPr>
  </w:style>
  <w:style w:type="paragraph" w:styleId="EndnoteText">
    <w:name w:val="endnote text"/>
    <w:basedOn w:val="Normal"/>
    <w:link w:val="EndnoteTextChar"/>
    <w:uiPriority w:val="99"/>
    <w:semiHidden/>
    <w:unhideWhenUsed/>
    <w:rsid w:val="00154695"/>
    <w:rPr>
      <w:sz w:val="20"/>
      <w:szCs w:val="20"/>
    </w:rPr>
  </w:style>
  <w:style w:type="character" w:customStyle="1" w:styleId="EndnoteTextChar">
    <w:name w:val="Endnote Text Char"/>
    <w:basedOn w:val="DefaultParagraphFont"/>
    <w:link w:val="EndnoteText"/>
    <w:uiPriority w:val="99"/>
    <w:semiHidden/>
    <w:rsid w:val="00154695"/>
  </w:style>
  <w:style w:type="character" w:styleId="EndnoteReference">
    <w:name w:val="endnote reference"/>
    <w:basedOn w:val="DefaultParagraphFont"/>
    <w:uiPriority w:val="99"/>
    <w:semiHidden/>
    <w:unhideWhenUsed/>
    <w:rsid w:val="00154695"/>
    <w:rPr>
      <w:vertAlign w:val="superscript"/>
    </w:rPr>
  </w:style>
  <w:style w:type="paragraph" w:customStyle="1" w:styleId="StyleBodyTextIndentLeft0LinespacingDouble">
    <w:name w:val="Style Body Text Indent + Left:  0&quot; Line spacing:  Double"/>
    <w:basedOn w:val="FootnoteText"/>
    <w:next w:val="BodyTextIndent"/>
    <w:rsid w:val="00D45B82"/>
    <w:pPr>
      <w:spacing w:after="120" w:line="480" w:lineRule="auto"/>
      <w:ind w:firstLine="720"/>
      <w:jc w:val="left"/>
    </w:pPr>
    <w:rPr>
      <w:sz w:val="24"/>
    </w:rPr>
  </w:style>
  <w:style w:type="paragraph" w:styleId="BodyTextIndent">
    <w:name w:val="Body Text Indent"/>
    <w:basedOn w:val="Normal"/>
    <w:link w:val="BodyTextIndentChar"/>
    <w:uiPriority w:val="99"/>
    <w:semiHidden/>
    <w:unhideWhenUsed/>
    <w:rsid w:val="00D45B82"/>
    <w:pPr>
      <w:spacing w:after="120"/>
      <w:ind w:left="360"/>
    </w:pPr>
  </w:style>
  <w:style w:type="character" w:customStyle="1" w:styleId="BodyTextIndentChar">
    <w:name w:val="Body Text Indent Char"/>
    <w:basedOn w:val="DefaultParagraphFont"/>
    <w:link w:val="BodyTextIndent"/>
    <w:uiPriority w:val="99"/>
    <w:semiHidden/>
    <w:rsid w:val="00D45B82"/>
    <w:rPr>
      <w:sz w:val="24"/>
      <w:szCs w:val="24"/>
    </w:rPr>
  </w:style>
  <w:style w:type="paragraph" w:styleId="Revision">
    <w:name w:val="Revision"/>
    <w:hidden/>
    <w:uiPriority w:val="99"/>
    <w:semiHidden/>
    <w:rsid w:val="00415E41"/>
    <w:rPr>
      <w:sz w:val="24"/>
      <w:szCs w:val="24"/>
    </w:rPr>
  </w:style>
  <w:style w:type="paragraph" w:styleId="ListParagraph">
    <w:name w:val="List Paragraph"/>
    <w:basedOn w:val="Normal"/>
    <w:uiPriority w:val="34"/>
    <w:qFormat/>
    <w:rsid w:val="006B6BB8"/>
    <w:pPr>
      <w:ind w:left="720"/>
      <w:contextualSpacing/>
    </w:pPr>
  </w:style>
  <w:style w:type="character" w:customStyle="1" w:styleId="FooterChar">
    <w:name w:val="Footer Char"/>
    <w:basedOn w:val="DefaultParagraphFont"/>
    <w:link w:val="Footer"/>
    <w:uiPriority w:val="99"/>
    <w:rsid w:val="000B348A"/>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link w:val="FootnoteText"/>
    <w:semiHidden/>
    <w:rsid w:val="00691E72"/>
  </w:style>
  <w:style w:type="table" w:styleId="LightShading">
    <w:name w:val="Light Shading"/>
    <w:basedOn w:val="TableNormal"/>
    <w:uiPriority w:val="60"/>
    <w:rsid w:val="00BC112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BC112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BC112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rsid w:val="00BC112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560D6F"/>
    <w:pPr>
      <w:spacing w:after="200"/>
    </w:pPr>
    <w:rPr>
      <w:b/>
      <w:bCs/>
      <w:color w:val="4F81BD" w:themeColor="accent1"/>
      <w:sz w:val="18"/>
      <w:szCs w:val="18"/>
    </w:rPr>
  </w:style>
  <w:style w:type="paragraph" w:styleId="TOCHeading">
    <w:name w:val="TOC Heading"/>
    <w:basedOn w:val="Heading1"/>
    <w:next w:val="Normal"/>
    <w:uiPriority w:val="39"/>
    <w:semiHidden/>
    <w:unhideWhenUsed/>
    <w:qFormat/>
    <w:rsid w:val="00ED636B"/>
    <w:pPr>
      <w:keepLines/>
      <w:spacing w:before="480" w:line="276" w:lineRule="auto"/>
      <w:jc w:val="left"/>
      <w:outlineLvl w:val="9"/>
    </w:pPr>
    <w:rPr>
      <w:rFonts w:asciiTheme="majorHAnsi" w:eastAsiaTheme="majorEastAsia" w:hAnsiTheme="majorHAnsi" w:cstheme="majorBidi"/>
      <w:iCs w:val="0"/>
      <w:caps w:val="0"/>
      <w:color w:val="365F91" w:themeColor="accent1" w:themeShade="BF"/>
      <w:sz w:val="28"/>
      <w:lang w:eastAsia="ja-JP"/>
    </w:rPr>
  </w:style>
  <w:style w:type="paragraph" w:styleId="TOC1">
    <w:name w:val="toc 1"/>
    <w:basedOn w:val="Normal"/>
    <w:next w:val="Normal"/>
    <w:autoRedefine/>
    <w:uiPriority w:val="39"/>
    <w:unhideWhenUsed/>
    <w:rsid w:val="00ED636B"/>
    <w:pPr>
      <w:suppressLineNumbers/>
      <w:tabs>
        <w:tab w:val="right" w:leader="dot" w:pos="8990"/>
      </w:tabs>
      <w:spacing w:line="360" w:lineRule="auto"/>
    </w:pPr>
  </w:style>
  <w:style w:type="paragraph" w:styleId="TOC2">
    <w:name w:val="toc 2"/>
    <w:basedOn w:val="Normal"/>
    <w:next w:val="Normal"/>
    <w:autoRedefine/>
    <w:uiPriority w:val="39"/>
    <w:unhideWhenUsed/>
    <w:rsid w:val="00ED636B"/>
    <w:pPr>
      <w:spacing w:after="100"/>
      <w:ind w:left="240"/>
    </w:pPr>
  </w:style>
  <w:style w:type="character" w:styleId="Hyperlink">
    <w:name w:val="Hyperlink"/>
    <w:basedOn w:val="DefaultParagraphFont"/>
    <w:uiPriority w:val="99"/>
    <w:unhideWhenUsed/>
    <w:rsid w:val="00ED63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6630">
      <w:bodyDiv w:val="1"/>
      <w:marLeft w:val="0"/>
      <w:marRight w:val="0"/>
      <w:marTop w:val="0"/>
      <w:marBottom w:val="0"/>
      <w:divBdr>
        <w:top w:val="none" w:sz="0" w:space="0" w:color="auto"/>
        <w:left w:val="none" w:sz="0" w:space="0" w:color="auto"/>
        <w:bottom w:val="none" w:sz="0" w:space="0" w:color="auto"/>
        <w:right w:val="none" w:sz="0" w:space="0" w:color="auto"/>
      </w:divBdr>
    </w:div>
    <w:div w:id="121927622">
      <w:bodyDiv w:val="1"/>
      <w:marLeft w:val="0"/>
      <w:marRight w:val="0"/>
      <w:marTop w:val="0"/>
      <w:marBottom w:val="0"/>
      <w:divBdr>
        <w:top w:val="none" w:sz="0" w:space="0" w:color="auto"/>
        <w:left w:val="none" w:sz="0" w:space="0" w:color="auto"/>
        <w:bottom w:val="none" w:sz="0" w:space="0" w:color="auto"/>
        <w:right w:val="none" w:sz="0" w:space="0" w:color="auto"/>
      </w:divBdr>
    </w:div>
    <w:div w:id="384762035">
      <w:bodyDiv w:val="1"/>
      <w:marLeft w:val="0"/>
      <w:marRight w:val="0"/>
      <w:marTop w:val="0"/>
      <w:marBottom w:val="0"/>
      <w:divBdr>
        <w:top w:val="none" w:sz="0" w:space="0" w:color="auto"/>
        <w:left w:val="none" w:sz="0" w:space="0" w:color="auto"/>
        <w:bottom w:val="none" w:sz="0" w:space="0" w:color="auto"/>
        <w:right w:val="none" w:sz="0" w:space="0" w:color="auto"/>
      </w:divBdr>
    </w:div>
    <w:div w:id="584850836">
      <w:bodyDiv w:val="1"/>
      <w:marLeft w:val="0"/>
      <w:marRight w:val="0"/>
      <w:marTop w:val="0"/>
      <w:marBottom w:val="0"/>
      <w:divBdr>
        <w:top w:val="none" w:sz="0" w:space="0" w:color="auto"/>
        <w:left w:val="none" w:sz="0" w:space="0" w:color="auto"/>
        <w:bottom w:val="none" w:sz="0" w:space="0" w:color="auto"/>
        <w:right w:val="none" w:sz="0" w:space="0" w:color="auto"/>
      </w:divBdr>
      <w:divsChild>
        <w:div w:id="240650461">
          <w:marLeft w:val="0"/>
          <w:marRight w:val="0"/>
          <w:marTop w:val="0"/>
          <w:marBottom w:val="0"/>
          <w:divBdr>
            <w:top w:val="none" w:sz="0" w:space="0" w:color="auto"/>
            <w:left w:val="none" w:sz="0" w:space="0" w:color="auto"/>
            <w:bottom w:val="none" w:sz="0" w:space="0" w:color="auto"/>
            <w:right w:val="none" w:sz="0" w:space="0" w:color="auto"/>
          </w:divBdr>
        </w:div>
      </w:divsChild>
    </w:div>
    <w:div w:id="705523810">
      <w:bodyDiv w:val="1"/>
      <w:marLeft w:val="0"/>
      <w:marRight w:val="0"/>
      <w:marTop w:val="0"/>
      <w:marBottom w:val="0"/>
      <w:divBdr>
        <w:top w:val="none" w:sz="0" w:space="0" w:color="auto"/>
        <w:left w:val="none" w:sz="0" w:space="0" w:color="auto"/>
        <w:bottom w:val="none" w:sz="0" w:space="0" w:color="auto"/>
        <w:right w:val="none" w:sz="0" w:space="0" w:color="auto"/>
      </w:divBdr>
    </w:div>
    <w:div w:id="760100593">
      <w:bodyDiv w:val="1"/>
      <w:marLeft w:val="0"/>
      <w:marRight w:val="0"/>
      <w:marTop w:val="0"/>
      <w:marBottom w:val="0"/>
      <w:divBdr>
        <w:top w:val="none" w:sz="0" w:space="0" w:color="auto"/>
        <w:left w:val="none" w:sz="0" w:space="0" w:color="auto"/>
        <w:bottom w:val="none" w:sz="0" w:space="0" w:color="auto"/>
        <w:right w:val="none" w:sz="0" w:space="0" w:color="auto"/>
      </w:divBdr>
    </w:div>
    <w:div w:id="866214910">
      <w:bodyDiv w:val="1"/>
      <w:marLeft w:val="0"/>
      <w:marRight w:val="0"/>
      <w:marTop w:val="0"/>
      <w:marBottom w:val="0"/>
      <w:divBdr>
        <w:top w:val="none" w:sz="0" w:space="0" w:color="auto"/>
        <w:left w:val="none" w:sz="0" w:space="0" w:color="auto"/>
        <w:bottom w:val="none" w:sz="0" w:space="0" w:color="auto"/>
        <w:right w:val="none" w:sz="0" w:space="0" w:color="auto"/>
      </w:divBdr>
    </w:div>
    <w:div w:id="908611295">
      <w:bodyDiv w:val="1"/>
      <w:marLeft w:val="0"/>
      <w:marRight w:val="0"/>
      <w:marTop w:val="0"/>
      <w:marBottom w:val="0"/>
      <w:divBdr>
        <w:top w:val="none" w:sz="0" w:space="0" w:color="auto"/>
        <w:left w:val="none" w:sz="0" w:space="0" w:color="auto"/>
        <w:bottom w:val="none" w:sz="0" w:space="0" w:color="auto"/>
        <w:right w:val="none" w:sz="0" w:space="0" w:color="auto"/>
      </w:divBdr>
    </w:div>
    <w:div w:id="1019045031">
      <w:bodyDiv w:val="1"/>
      <w:marLeft w:val="0"/>
      <w:marRight w:val="0"/>
      <w:marTop w:val="0"/>
      <w:marBottom w:val="0"/>
      <w:divBdr>
        <w:top w:val="none" w:sz="0" w:space="0" w:color="auto"/>
        <w:left w:val="none" w:sz="0" w:space="0" w:color="auto"/>
        <w:bottom w:val="none" w:sz="0" w:space="0" w:color="auto"/>
        <w:right w:val="none" w:sz="0" w:space="0" w:color="auto"/>
      </w:divBdr>
    </w:div>
    <w:div w:id="1029064622">
      <w:bodyDiv w:val="1"/>
      <w:marLeft w:val="0"/>
      <w:marRight w:val="0"/>
      <w:marTop w:val="0"/>
      <w:marBottom w:val="0"/>
      <w:divBdr>
        <w:top w:val="none" w:sz="0" w:space="0" w:color="auto"/>
        <w:left w:val="none" w:sz="0" w:space="0" w:color="auto"/>
        <w:bottom w:val="none" w:sz="0" w:space="0" w:color="auto"/>
        <w:right w:val="none" w:sz="0" w:space="0" w:color="auto"/>
      </w:divBdr>
    </w:div>
    <w:div w:id="1044713137">
      <w:bodyDiv w:val="1"/>
      <w:marLeft w:val="0"/>
      <w:marRight w:val="0"/>
      <w:marTop w:val="0"/>
      <w:marBottom w:val="0"/>
      <w:divBdr>
        <w:top w:val="none" w:sz="0" w:space="0" w:color="auto"/>
        <w:left w:val="none" w:sz="0" w:space="0" w:color="auto"/>
        <w:bottom w:val="none" w:sz="0" w:space="0" w:color="auto"/>
        <w:right w:val="none" w:sz="0" w:space="0" w:color="auto"/>
      </w:divBdr>
    </w:div>
    <w:div w:id="1078405178">
      <w:bodyDiv w:val="1"/>
      <w:marLeft w:val="0"/>
      <w:marRight w:val="0"/>
      <w:marTop w:val="0"/>
      <w:marBottom w:val="0"/>
      <w:divBdr>
        <w:top w:val="none" w:sz="0" w:space="0" w:color="auto"/>
        <w:left w:val="none" w:sz="0" w:space="0" w:color="auto"/>
        <w:bottom w:val="none" w:sz="0" w:space="0" w:color="auto"/>
        <w:right w:val="none" w:sz="0" w:space="0" w:color="auto"/>
      </w:divBdr>
    </w:div>
    <w:div w:id="1211917333">
      <w:bodyDiv w:val="1"/>
      <w:marLeft w:val="0"/>
      <w:marRight w:val="0"/>
      <w:marTop w:val="0"/>
      <w:marBottom w:val="0"/>
      <w:divBdr>
        <w:top w:val="none" w:sz="0" w:space="0" w:color="auto"/>
        <w:left w:val="none" w:sz="0" w:space="0" w:color="auto"/>
        <w:bottom w:val="none" w:sz="0" w:space="0" w:color="auto"/>
        <w:right w:val="none" w:sz="0" w:space="0" w:color="auto"/>
      </w:divBdr>
      <w:divsChild>
        <w:div w:id="73209646">
          <w:marLeft w:val="0"/>
          <w:marRight w:val="0"/>
          <w:marTop w:val="0"/>
          <w:marBottom w:val="0"/>
          <w:divBdr>
            <w:top w:val="none" w:sz="0" w:space="0" w:color="auto"/>
            <w:left w:val="none" w:sz="0" w:space="0" w:color="auto"/>
            <w:bottom w:val="none" w:sz="0" w:space="0" w:color="auto"/>
            <w:right w:val="none" w:sz="0" w:space="0" w:color="auto"/>
          </w:divBdr>
        </w:div>
      </w:divsChild>
    </w:div>
    <w:div w:id="1295017173">
      <w:bodyDiv w:val="1"/>
      <w:marLeft w:val="0"/>
      <w:marRight w:val="0"/>
      <w:marTop w:val="0"/>
      <w:marBottom w:val="0"/>
      <w:divBdr>
        <w:top w:val="none" w:sz="0" w:space="0" w:color="auto"/>
        <w:left w:val="none" w:sz="0" w:space="0" w:color="auto"/>
        <w:bottom w:val="none" w:sz="0" w:space="0" w:color="auto"/>
        <w:right w:val="none" w:sz="0" w:space="0" w:color="auto"/>
      </w:divBdr>
    </w:div>
    <w:div w:id="1504007231">
      <w:bodyDiv w:val="1"/>
      <w:marLeft w:val="0"/>
      <w:marRight w:val="0"/>
      <w:marTop w:val="0"/>
      <w:marBottom w:val="0"/>
      <w:divBdr>
        <w:top w:val="none" w:sz="0" w:space="0" w:color="auto"/>
        <w:left w:val="none" w:sz="0" w:space="0" w:color="auto"/>
        <w:bottom w:val="none" w:sz="0" w:space="0" w:color="auto"/>
        <w:right w:val="none" w:sz="0" w:space="0" w:color="auto"/>
      </w:divBdr>
    </w:div>
    <w:div w:id="1769736570">
      <w:bodyDiv w:val="1"/>
      <w:marLeft w:val="0"/>
      <w:marRight w:val="0"/>
      <w:marTop w:val="0"/>
      <w:marBottom w:val="0"/>
      <w:divBdr>
        <w:top w:val="none" w:sz="0" w:space="0" w:color="auto"/>
        <w:left w:val="none" w:sz="0" w:space="0" w:color="auto"/>
        <w:bottom w:val="none" w:sz="0" w:space="0" w:color="auto"/>
        <w:right w:val="none" w:sz="0" w:space="0" w:color="auto"/>
      </w:divBdr>
    </w:div>
    <w:div w:id="1917785327">
      <w:bodyDiv w:val="1"/>
      <w:marLeft w:val="0"/>
      <w:marRight w:val="0"/>
      <w:marTop w:val="0"/>
      <w:marBottom w:val="0"/>
      <w:divBdr>
        <w:top w:val="none" w:sz="0" w:space="0" w:color="auto"/>
        <w:left w:val="none" w:sz="0" w:space="0" w:color="auto"/>
        <w:bottom w:val="none" w:sz="0" w:space="0" w:color="auto"/>
        <w:right w:val="none" w:sz="0" w:space="0" w:color="auto"/>
      </w:divBdr>
    </w:div>
    <w:div w:id="19279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CDC662E-3952-410C-8287-D23D8CA59A88}"/>
</file>

<file path=customXml/itemProps2.xml><?xml version="1.0" encoding="utf-8"?>
<ds:datastoreItem xmlns:ds="http://schemas.openxmlformats.org/officeDocument/2006/customXml" ds:itemID="{1C8F4ABF-D275-43AD-930E-DD5AC139F1E7}"/>
</file>

<file path=customXml/itemProps3.xml><?xml version="1.0" encoding="utf-8"?>
<ds:datastoreItem xmlns:ds="http://schemas.openxmlformats.org/officeDocument/2006/customXml" ds:itemID="{E59D09B7-9DFF-47EC-A50E-EC3BDF9664D0}"/>
</file>

<file path=customXml/itemProps4.xml><?xml version="1.0" encoding="utf-8"?>
<ds:datastoreItem xmlns:ds="http://schemas.openxmlformats.org/officeDocument/2006/customXml" ds:itemID="{1FD31910-2885-47BA-9B09-234E441AF077}"/>
</file>

<file path=docProps/app.xml><?xml version="1.0" encoding="utf-8"?>
<Properties xmlns="http://schemas.openxmlformats.org/officeDocument/2006/extended-properties" xmlns:vt="http://schemas.openxmlformats.org/officeDocument/2006/docPropsVTypes">
  <Template>Normal</Template>
  <TotalTime>0</TotalTime>
  <Pages>33</Pages>
  <Words>7676</Words>
  <Characters>43757</Characters>
  <Application>Microsoft Office Word</Application>
  <DocSecurity>0</DocSecurity>
  <Lines>364</Lines>
  <Paragraphs>102</Paragraphs>
  <ScaleCrop>false</ScaleCrop>
  <Company/>
  <LinksUpToDate>false</LinksUpToDate>
  <CharactersWithSpaces>51331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2014-05-01T14:04:00Z</dcterms:created>
  <dcterms:modified xsi:type="dcterms:W3CDTF">2014-05-01T14:04:00Z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0x0101006E56B4D1795A2E4DB2F0B01679ED314A00F7932BF0E43BA441AC308742D5F08A91</vt:lpwstr>
  </property>
  <property fmtid="{D5CDD505-2E9C-101B-9397-08002B2CF9AE}" pid="4" name="_docset_NoMedatataSyncRequired">
    <vt:lpwstr>False</vt:lpwstr>
  </property>
</Properties>
</file>