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D7" w:rsidRDefault="009303D7" w:rsidP="00C31624">
      <w:pPr>
        <w:tabs>
          <w:tab w:val="center" w:pos="4680"/>
        </w:tabs>
        <w:spacing w:after="0" w:line="240" w:lineRule="auto"/>
        <w:ind w:right="-108"/>
        <w:jc w:val="both"/>
        <w:rPr>
          <w:rFonts w:ascii="Times New Roman" w:hAnsi="Times New Roman" w:cs="Times New Roman"/>
          <w:sz w:val="24"/>
          <w:szCs w:val="24"/>
        </w:rPr>
      </w:pPr>
    </w:p>
    <w:p w:rsidR="009303D7" w:rsidRDefault="009303D7" w:rsidP="00C31624">
      <w:pPr>
        <w:tabs>
          <w:tab w:val="center" w:pos="4680"/>
        </w:tabs>
        <w:spacing w:after="0" w:line="240" w:lineRule="auto"/>
        <w:ind w:right="-108"/>
        <w:jc w:val="both"/>
        <w:rPr>
          <w:rFonts w:ascii="Times New Roman" w:hAnsi="Times New Roman" w:cs="Times New Roman"/>
          <w:sz w:val="24"/>
          <w:szCs w:val="24"/>
        </w:rPr>
      </w:pPr>
    </w:p>
    <w:p w:rsidR="009303D7" w:rsidRPr="00FB66B2" w:rsidRDefault="009303D7" w:rsidP="00C31624">
      <w:pPr>
        <w:tabs>
          <w:tab w:val="center" w:pos="4680"/>
        </w:tabs>
        <w:spacing w:after="0" w:line="240" w:lineRule="auto"/>
        <w:ind w:right="-108"/>
        <w:jc w:val="both"/>
        <w:rPr>
          <w:rFonts w:ascii="Times New Roman" w:hAnsi="Times New Roman" w:cs="Times New Roman"/>
          <w:sz w:val="24"/>
          <w:szCs w:val="24"/>
        </w:rPr>
      </w:pPr>
    </w:p>
    <w:p w:rsidR="009303D7" w:rsidRPr="00FB66B2" w:rsidRDefault="009303D7" w:rsidP="00C31624">
      <w:pPr>
        <w:tabs>
          <w:tab w:val="center" w:pos="4680"/>
        </w:tabs>
        <w:spacing w:after="0" w:line="240" w:lineRule="auto"/>
        <w:ind w:right="-108"/>
        <w:jc w:val="both"/>
        <w:rPr>
          <w:rFonts w:ascii="Times New Roman" w:hAnsi="Times New Roman" w:cs="Times New Roman"/>
          <w:sz w:val="24"/>
          <w:szCs w:val="24"/>
        </w:rPr>
      </w:pPr>
    </w:p>
    <w:p w:rsidR="009303D7" w:rsidRPr="00FB66B2" w:rsidRDefault="009303D7" w:rsidP="00C31624">
      <w:pPr>
        <w:tabs>
          <w:tab w:val="center" w:pos="4680"/>
        </w:tabs>
        <w:spacing w:after="0" w:line="240" w:lineRule="auto"/>
        <w:ind w:right="-360"/>
        <w:jc w:val="both"/>
        <w:rPr>
          <w:rFonts w:ascii="Times New Roman" w:hAnsi="Times New Roman" w:cs="Times New Roman"/>
          <w:sz w:val="24"/>
          <w:szCs w:val="24"/>
        </w:rPr>
      </w:pPr>
    </w:p>
    <w:p w:rsidR="0078626C" w:rsidRDefault="0078626C" w:rsidP="00880682">
      <w:pPr>
        <w:spacing w:after="0" w:line="240" w:lineRule="auto"/>
        <w:ind w:right="-252"/>
        <w:rPr>
          <w:rFonts w:ascii="Times New Roman" w:hAnsi="Times New Roman" w:cs="Times New Roman"/>
          <w:sz w:val="24"/>
          <w:szCs w:val="24"/>
        </w:rPr>
      </w:pPr>
    </w:p>
    <w:p w:rsidR="009303D7" w:rsidRPr="00FB66B2" w:rsidRDefault="009303D7" w:rsidP="00C31624">
      <w:pPr>
        <w:spacing w:after="0" w:line="240" w:lineRule="auto"/>
        <w:ind w:right="-252" w:hanging="360"/>
        <w:jc w:val="center"/>
        <w:rPr>
          <w:rFonts w:ascii="Times New Roman" w:hAnsi="Times New Roman" w:cs="Times New Roman"/>
          <w:sz w:val="24"/>
          <w:szCs w:val="24"/>
        </w:rPr>
      </w:pPr>
      <w:r w:rsidRPr="00FB66B2">
        <w:rPr>
          <w:rFonts w:ascii="Times New Roman" w:hAnsi="Times New Roman" w:cs="Times New Roman"/>
          <w:sz w:val="24"/>
          <w:szCs w:val="24"/>
        </w:rPr>
        <w:t>BEFORE THE WASHINGTON UTILITIES AND TRANSPORTATION COMMISSION</w:t>
      </w:r>
    </w:p>
    <w:p w:rsidR="009303D7" w:rsidRDefault="009303D7" w:rsidP="009303D7">
      <w:pPr>
        <w:spacing w:after="0" w:line="240" w:lineRule="auto"/>
        <w:jc w:val="both"/>
        <w:rPr>
          <w:rFonts w:ascii="Times New Roman" w:hAnsi="Times New Roman" w:cs="Times New Roman"/>
          <w:sz w:val="24"/>
          <w:szCs w:val="24"/>
        </w:rPr>
      </w:pPr>
    </w:p>
    <w:p w:rsidR="009303D7" w:rsidRPr="00FB66B2" w:rsidRDefault="009303D7" w:rsidP="009303D7">
      <w:pPr>
        <w:spacing w:after="0" w:line="240" w:lineRule="auto"/>
        <w:jc w:val="both"/>
        <w:rPr>
          <w:rFonts w:ascii="Times New Roman" w:hAnsi="Times New Roman" w:cs="Times New Roman"/>
          <w:sz w:val="24"/>
          <w:szCs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9303D7" w:rsidRPr="00FB66B2" w:rsidTr="002F498A">
        <w:tc>
          <w:tcPr>
            <w:tcW w:w="4590" w:type="dxa"/>
            <w:tcBorders>
              <w:top w:val="single" w:sz="6" w:space="0" w:color="FFFFFF"/>
              <w:left w:val="single" w:sz="6" w:space="0" w:color="FFFFFF"/>
              <w:bottom w:val="single" w:sz="7" w:space="0" w:color="000000"/>
              <w:right w:val="single" w:sz="6" w:space="0" w:color="FFFFFF"/>
            </w:tcBorders>
          </w:tcPr>
          <w:p w:rsidR="009303D7" w:rsidRPr="00FB66B2" w:rsidRDefault="009303D7" w:rsidP="002F498A">
            <w:pPr>
              <w:spacing w:after="0" w:line="240" w:lineRule="auto"/>
              <w:rPr>
                <w:rFonts w:ascii="Times New Roman" w:hAnsi="Times New Roman" w:cs="Times New Roman"/>
                <w:sz w:val="24"/>
                <w:szCs w:val="24"/>
              </w:rPr>
            </w:pPr>
            <w:r w:rsidRPr="00FB66B2">
              <w:rPr>
                <w:rFonts w:ascii="Times New Roman" w:hAnsi="Times New Roman" w:cs="Times New Roman"/>
                <w:sz w:val="24"/>
                <w:szCs w:val="24"/>
              </w:rPr>
              <w:t xml:space="preserve">WASHINGTON UTILITIES AND TRANSPORTATION COMMISSION, </w:t>
            </w:r>
          </w:p>
          <w:p w:rsidR="009303D7" w:rsidRPr="00FB66B2" w:rsidRDefault="009303D7" w:rsidP="002F498A">
            <w:pPr>
              <w:spacing w:after="0" w:line="240" w:lineRule="auto"/>
              <w:rPr>
                <w:rFonts w:ascii="Times New Roman" w:hAnsi="Times New Roman" w:cs="Times New Roman"/>
                <w:sz w:val="24"/>
                <w:szCs w:val="24"/>
              </w:rPr>
            </w:pPr>
          </w:p>
          <w:p w:rsidR="009303D7" w:rsidRPr="00FB66B2" w:rsidRDefault="009303D7" w:rsidP="002F498A">
            <w:pPr>
              <w:spacing w:after="0" w:line="240" w:lineRule="auto"/>
              <w:rPr>
                <w:rFonts w:ascii="Times New Roman" w:hAnsi="Times New Roman" w:cs="Times New Roman"/>
                <w:sz w:val="24"/>
                <w:szCs w:val="24"/>
              </w:rPr>
            </w:pPr>
            <w:r w:rsidRPr="00FB66B2">
              <w:rPr>
                <w:rFonts w:ascii="Times New Roman" w:hAnsi="Times New Roman" w:cs="Times New Roman"/>
                <w:sz w:val="24"/>
                <w:szCs w:val="24"/>
              </w:rPr>
              <w:tab/>
            </w:r>
            <w:r w:rsidRPr="00FB66B2">
              <w:rPr>
                <w:rFonts w:ascii="Times New Roman" w:hAnsi="Times New Roman" w:cs="Times New Roman"/>
                <w:sz w:val="24"/>
                <w:szCs w:val="24"/>
              </w:rPr>
              <w:tab/>
              <w:t>Complainant,</w:t>
            </w:r>
          </w:p>
          <w:p w:rsidR="009303D7" w:rsidRPr="00FB66B2" w:rsidRDefault="009303D7" w:rsidP="002F498A">
            <w:pPr>
              <w:spacing w:after="0" w:line="240" w:lineRule="auto"/>
              <w:rPr>
                <w:rFonts w:ascii="Times New Roman" w:hAnsi="Times New Roman" w:cs="Times New Roman"/>
                <w:sz w:val="24"/>
                <w:szCs w:val="24"/>
              </w:rPr>
            </w:pPr>
          </w:p>
          <w:p w:rsidR="009303D7" w:rsidRPr="00FB66B2" w:rsidRDefault="009303D7" w:rsidP="002F498A">
            <w:pPr>
              <w:spacing w:after="0" w:line="240" w:lineRule="auto"/>
              <w:rPr>
                <w:rFonts w:ascii="Times New Roman" w:hAnsi="Times New Roman" w:cs="Times New Roman"/>
                <w:sz w:val="24"/>
                <w:szCs w:val="24"/>
              </w:rPr>
            </w:pPr>
            <w:r w:rsidRPr="00FB66B2">
              <w:rPr>
                <w:rFonts w:ascii="Times New Roman" w:hAnsi="Times New Roman" w:cs="Times New Roman"/>
                <w:sz w:val="24"/>
                <w:szCs w:val="24"/>
              </w:rPr>
              <w:tab/>
              <w:t>v.</w:t>
            </w:r>
          </w:p>
          <w:p w:rsidR="009303D7" w:rsidRPr="00FB66B2" w:rsidRDefault="009303D7" w:rsidP="002F498A">
            <w:pPr>
              <w:spacing w:after="0" w:line="240" w:lineRule="auto"/>
              <w:rPr>
                <w:rFonts w:ascii="Times New Roman" w:hAnsi="Times New Roman" w:cs="Times New Roman"/>
                <w:sz w:val="24"/>
                <w:szCs w:val="24"/>
              </w:rPr>
            </w:pPr>
          </w:p>
          <w:p w:rsidR="009303D7" w:rsidRPr="00FB66B2" w:rsidRDefault="009303D7" w:rsidP="002F498A">
            <w:pPr>
              <w:spacing w:after="0" w:line="240" w:lineRule="auto"/>
              <w:rPr>
                <w:rFonts w:ascii="Times New Roman" w:hAnsi="Times New Roman" w:cs="Times New Roman"/>
                <w:sz w:val="24"/>
                <w:szCs w:val="24"/>
              </w:rPr>
            </w:pPr>
            <w:r w:rsidRPr="00FB66B2">
              <w:rPr>
                <w:rFonts w:ascii="Times New Roman" w:hAnsi="Times New Roman" w:cs="Times New Roman"/>
                <w:sz w:val="24"/>
                <w:szCs w:val="24"/>
              </w:rPr>
              <w:t xml:space="preserve">PACIFICORP D/B/A PACIFIC POWER &amp; LIGHT COMPANY, </w:t>
            </w:r>
          </w:p>
          <w:p w:rsidR="009303D7" w:rsidRPr="00FB66B2" w:rsidRDefault="009303D7" w:rsidP="002F498A">
            <w:pPr>
              <w:spacing w:after="0" w:line="240" w:lineRule="auto"/>
              <w:rPr>
                <w:rFonts w:ascii="Times New Roman" w:hAnsi="Times New Roman" w:cs="Times New Roman"/>
                <w:sz w:val="24"/>
                <w:szCs w:val="24"/>
              </w:rPr>
            </w:pPr>
          </w:p>
          <w:p w:rsidR="009303D7" w:rsidRPr="00FB66B2" w:rsidRDefault="009303D7" w:rsidP="002F498A">
            <w:pPr>
              <w:spacing w:after="0" w:line="240" w:lineRule="auto"/>
              <w:rPr>
                <w:rFonts w:ascii="Times New Roman" w:hAnsi="Times New Roman" w:cs="Times New Roman"/>
                <w:sz w:val="24"/>
                <w:szCs w:val="24"/>
              </w:rPr>
            </w:pPr>
            <w:r w:rsidRPr="00FB66B2">
              <w:rPr>
                <w:rFonts w:ascii="Times New Roman" w:hAnsi="Times New Roman" w:cs="Times New Roman"/>
                <w:sz w:val="24"/>
                <w:szCs w:val="24"/>
              </w:rPr>
              <w:tab/>
            </w:r>
            <w:r w:rsidRPr="00FB66B2">
              <w:rPr>
                <w:rFonts w:ascii="Times New Roman" w:hAnsi="Times New Roman" w:cs="Times New Roman"/>
                <w:sz w:val="24"/>
                <w:szCs w:val="24"/>
              </w:rPr>
              <w:tab/>
              <w:t>Respondent.</w:t>
            </w:r>
          </w:p>
          <w:p w:rsidR="009303D7" w:rsidRPr="00FB66B2" w:rsidRDefault="009303D7" w:rsidP="002F498A">
            <w:pPr>
              <w:spacing w:after="0" w:line="240" w:lineRule="auto"/>
              <w:rPr>
                <w:rFonts w:ascii="Times New Roman" w:hAnsi="Times New Roman" w:cs="Times New Roman"/>
                <w:sz w:val="24"/>
                <w:szCs w:val="24"/>
              </w:rPr>
            </w:pPr>
          </w:p>
        </w:tc>
        <w:tc>
          <w:tcPr>
            <w:tcW w:w="4590" w:type="dxa"/>
            <w:tcBorders>
              <w:top w:val="single" w:sz="6" w:space="0" w:color="FFFFFF"/>
              <w:left w:val="single" w:sz="7" w:space="0" w:color="000000"/>
              <w:bottom w:val="single" w:sz="6" w:space="0" w:color="FFFFFF"/>
              <w:right w:val="single" w:sz="6" w:space="0" w:color="FFFFFF"/>
            </w:tcBorders>
          </w:tcPr>
          <w:p w:rsidR="009303D7" w:rsidRPr="00FB66B2" w:rsidRDefault="009303D7" w:rsidP="002F498A">
            <w:pPr>
              <w:spacing w:after="0" w:line="240" w:lineRule="auto"/>
              <w:ind w:firstLine="720"/>
              <w:rPr>
                <w:rFonts w:ascii="Times New Roman" w:hAnsi="Times New Roman" w:cs="Times New Roman"/>
                <w:sz w:val="24"/>
                <w:szCs w:val="24"/>
              </w:rPr>
            </w:pPr>
            <w:r w:rsidRPr="00FB66B2">
              <w:rPr>
                <w:rFonts w:ascii="Times New Roman" w:hAnsi="Times New Roman" w:cs="Times New Roman"/>
                <w:sz w:val="24"/>
                <w:szCs w:val="24"/>
              </w:rPr>
              <w:t xml:space="preserve">DOCKET UE-100749 </w:t>
            </w:r>
          </w:p>
          <w:p w:rsidR="009303D7" w:rsidRPr="00FB66B2" w:rsidRDefault="009303D7" w:rsidP="002F498A">
            <w:pPr>
              <w:spacing w:after="0" w:line="240" w:lineRule="auto"/>
              <w:rPr>
                <w:rFonts w:ascii="Times New Roman" w:hAnsi="Times New Roman" w:cs="Times New Roman"/>
                <w:sz w:val="24"/>
                <w:szCs w:val="24"/>
              </w:rPr>
            </w:pPr>
          </w:p>
          <w:p w:rsidR="009303D7" w:rsidRPr="00FB66B2" w:rsidRDefault="009303D7" w:rsidP="003870C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COMMISSION STAFF </w:t>
            </w:r>
            <w:r w:rsidR="00171CF0">
              <w:rPr>
                <w:rFonts w:ascii="Times New Roman" w:hAnsi="Times New Roman" w:cs="Times New Roman"/>
                <w:sz w:val="24"/>
                <w:szCs w:val="24"/>
              </w:rPr>
              <w:t xml:space="preserve">RESPONSE TO PACIFICORP </w:t>
            </w:r>
            <w:r w:rsidRPr="00FB66B2">
              <w:rPr>
                <w:rFonts w:ascii="Times New Roman" w:hAnsi="Times New Roman" w:cs="Times New Roman"/>
                <w:sz w:val="24"/>
                <w:szCs w:val="24"/>
              </w:rPr>
              <w:t xml:space="preserve">PETITION FOR RECONSIDERATION </w:t>
            </w:r>
          </w:p>
        </w:tc>
      </w:tr>
    </w:tbl>
    <w:p w:rsidR="0078626C" w:rsidRDefault="0078626C" w:rsidP="002C19AD">
      <w:pPr>
        <w:spacing w:after="0" w:line="480" w:lineRule="auto"/>
        <w:jc w:val="both"/>
        <w:rPr>
          <w:rFonts w:ascii="Times New Roman" w:hAnsi="Times New Roman" w:cs="Times New Roman"/>
          <w:sz w:val="24"/>
          <w:szCs w:val="24"/>
        </w:rPr>
      </w:pPr>
    </w:p>
    <w:p w:rsidR="003870CF" w:rsidRDefault="003870CF" w:rsidP="002C19AD">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Pr="003870CF">
        <w:rPr>
          <w:rFonts w:ascii="Times New Roman" w:hAnsi="Times New Roman" w:cs="Times New Roman"/>
          <w:sz w:val="24"/>
          <w:szCs w:val="24"/>
        </w:rPr>
        <w:t>P</w:t>
      </w:r>
      <w:r>
        <w:rPr>
          <w:rFonts w:ascii="Times New Roman" w:hAnsi="Times New Roman" w:cs="Times New Roman"/>
          <w:sz w:val="24"/>
          <w:szCs w:val="24"/>
        </w:rPr>
        <w:t>acifiCorp’s Petition for Reconsideration (PacifiCorp Petition or Petition) seek</w:t>
      </w:r>
      <w:r w:rsidR="00144F90">
        <w:rPr>
          <w:rFonts w:ascii="Times New Roman" w:hAnsi="Times New Roman" w:cs="Times New Roman"/>
          <w:sz w:val="24"/>
          <w:szCs w:val="24"/>
        </w:rPr>
        <w:t>s</w:t>
      </w:r>
      <w:r>
        <w:rPr>
          <w:rFonts w:ascii="Times New Roman" w:hAnsi="Times New Roman" w:cs="Times New Roman"/>
          <w:sz w:val="24"/>
          <w:szCs w:val="24"/>
        </w:rPr>
        <w:t xml:space="preserve"> reconsideration of the Commission’s Final Order</w:t>
      </w:r>
      <w:r>
        <w:rPr>
          <w:rStyle w:val="FootnoteReference"/>
          <w:rFonts w:cs="Times New Roman"/>
          <w:szCs w:val="24"/>
        </w:rPr>
        <w:footnoteReference w:id="1"/>
      </w:r>
      <w:r>
        <w:rPr>
          <w:rFonts w:ascii="Times New Roman" w:hAnsi="Times New Roman" w:cs="Times New Roman"/>
          <w:sz w:val="24"/>
          <w:szCs w:val="24"/>
        </w:rPr>
        <w:t xml:space="preserve"> (Order) in this docket</w:t>
      </w:r>
      <w:r w:rsidR="00144F90">
        <w:rPr>
          <w:rFonts w:ascii="Times New Roman" w:hAnsi="Times New Roman" w:cs="Times New Roman"/>
          <w:sz w:val="24"/>
          <w:szCs w:val="24"/>
        </w:rPr>
        <w:t xml:space="preserve"> on cost of capital, certain net power cost issues, and federal income tax issues</w:t>
      </w:r>
      <w:r>
        <w:rPr>
          <w:rFonts w:ascii="Times New Roman" w:hAnsi="Times New Roman" w:cs="Times New Roman"/>
          <w:sz w:val="24"/>
          <w:szCs w:val="24"/>
        </w:rPr>
        <w:t>.  For the most part, PacifiCorp simply repeats the arguments it offered before, making only cursory reference to the Order.  The Commission has already considered and rejected those arguments, and it should do so again here</w:t>
      </w:r>
      <w:r w:rsidR="002D696B">
        <w:rPr>
          <w:rFonts w:ascii="Times New Roman" w:hAnsi="Times New Roman" w:cs="Times New Roman"/>
          <w:sz w:val="24"/>
          <w:szCs w:val="24"/>
        </w:rPr>
        <w:t xml:space="preserve">, except </w:t>
      </w:r>
      <w:r w:rsidR="00177E3C">
        <w:rPr>
          <w:rFonts w:ascii="Times New Roman" w:hAnsi="Times New Roman" w:cs="Times New Roman"/>
          <w:sz w:val="24"/>
          <w:szCs w:val="24"/>
        </w:rPr>
        <w:t xml:space="preserve">for </w:t>
      </w:r>
      <w:r w:rsidR="002D696B">
        <w:rPr>
          <w:rFonts w:ascii="Times New Roman" w:hAnsi="Times New Roman" w:cs="Times New Roman"/>
          <w:sz w:val="24"/>
          <w:szCs w:val="24"/>
        </w:rPr>
        <w:t>one correction that may be immaterial</w:t>
      </w:r>
      <w:r>
        <w:rPr>
          <w:rFonts w:ascii="Times New Roman" w:hAnsi="Times New Roman" w:cs="Times New Roman"/>
          <w:sz w:val="24"/>
          <w:szCs w:val="24"/>
        </w:rPr>
        <w:t>.</w:t>
      </w:r>
    </w:p>
    <w:p w:rsidR="0078626C" w:rsidRDefault="00144F90">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DISCUSSION</w:t>
      </w:r>
    </w:p>
    <w:p w:rsidR="003870CF" w:rsidRPr="003870CF" w:rsidRDefault="003870CF" w:rsidP="003870CF">
      <w:pPr>
        <w:pStyle w:val="ListParagraph"/>
        <w:spacing w:after="0" w:line="480" w:lineRule="auto"/>
        <w:ind w:left="0"/>
        <w:rPr>
          <w:rFonts w:ascii="Times New Roman" w:hAnsi="Times New Roman" w:cs="Times New Roman"/>
          <w:b/>
          <w:sz w:val="24"/>
          <w:szCs w:val="24"/>
        </w:rPr>
      </w:pPr>
      <w:r w:rsidRPr="003870CF">
        <w:rPr>
          <w:rFonts w:ascii="Times New Roman" w:hAnsi="Times New Roman" w:cs="Times New Roman"/>
          <w:b/>
          <w:sz w:val="24"/>
          <w:szCs w:val="24"/>
        </w:rPr>
        <w:t>A.</w:t>
      </w:r>
      <w:r w:rsidRPr="003870CF">
        <w:rPr>
          <w:rFonts w:ascii="Times New Roman" w:hAnsi="Times New Roman" w:cs="Times New Roman"/>
          <w:b/>
          <w:sz w:val="24"/>
          <w:szCs w:val="24"/>
        </w:rPr>
        <w:tab/>
        <w:t>Cost of Capital Issues</w:t>
      </w:r>
    </w:p>
    <w:p w:rsidR="00993832" w:rsidRPr="002C19AD" w:rsidRDefault="002C19AD" w:rsidP="002C19AD">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sz w:val="24"/>
          <w:szCs w:val="24"/>
        </w:rPr>
        <w:tab/>
      </w:r>
      <w:r w:rsidR="00993832" w:rsidRPr="002C19AD">
        <w:rPr>
          <w:rFonts w:ascii="Times New Roman" w:hAnsi="Times New Roman" w:cs="Times New Roman"/>
          <w:sz w:val="24"/>
          <w:szCs w:val="24"/>
        </w:rPr>
        <w:t xml:space="preserve">PacifiCorp expends considerable effort challenging the Commission’s decisions on </w:t>
      </w:r>
      <w:r w:rsidR="00495C52" w:rsidRPr="002C19AD">
        <w:rPr>
          <w:rFonts w:ascii="Times New Roman" w:hAnsi="Times New Roman" w:cs="Times New Roman"/>
          <w:sz w:val="24"/>
          <w:szCs w:val="24"/>
        </w:rPr>
        <w:t xml:space="preserve">both </w:t>
      </w:r>
      <w:r w:rsidR="00993832" w:rsidRPr="002C19AD">
        <w:rPr>
          <w:rFonts w:ascii="Times New Roman" w:hAnsi="Times New Roman" w:cs="Times New Roman"/>
          <w:sz w:val="24"/>
          <w:szCs w:val="24"/>
        </w:rPr>
        <w:t xml:space="preserve">capital structure and rate of return on common equity (ROE).  In fact, the record proves the Commission’s decisions on these subjects are </w:t>
      </w:r>
      <w:r w:rsidR="00AC6DA0" w:rsidRPr="002C19AD">
        <w:rPr>
          <w:rFonts w:ascii="Times New Roman" w:hAnsi="Times New Roman" w:cs="Times New Roman"/>
          <w:sz w:val="24"/>
          <w:szCs w:val="24"/>
        </w:rPr>
        <w:t xml:space="preserve">very </w:t>
      </w:r>
      <w:r w:rsidR="00993832" w:rsidRPr="002C19AD">
        <w:rPr>
          <w:rFonts w:ascii="Times New Roman" w:hAnsi="Times New Roman" w:cs="Times New Roman"/>
          <w:sz w:val="24"/>
          <w:szCs w:val="24"/>
        </w:rPr>
        <w:t>generous</w:t>
      </w:r>
      <w:r w:rsidR="00AC6DA0" w:rsidRPr="002C19AD">
        <w:rPr>
          <w:rFonts w:ascii="Times New Roman" w:hAnsi="Times New Roman" w:cs="Times New Roman"/>
          <w:sz w:val="24"/>
          <w:szCs w:val="24"/>
        </w:rPr>
        <w:t xml:space="preserve"> to the Company</w:t>
      </w:r>
      <w:r w:rsidR="00993832" w:rsidRPr="002C19AD">
        <w:rPr>
          <w:rFonts w:ascii="Times New Roman" w:hAnsi="Times New Roman" w:cs="Times New Roman"/>
          <w:sz w:val="24"/>
          <w:szCs w:val="24"/>
        </w:rPr>
        <w:t>.  The</w:t>
      </w:r>
      <w:r w:rsidR="003870CF">
        <w:rPr>
          <w:rFonts w:ascii="Times New Roman" w:hAnsi="Times New Roman" w:cs="Times New Roman"/>
          <w:sz w:val="24"/>
          <w:szCs w:val="24"/>
        </w:rPr>
        <w:t xml:space="preserve"> </w:t>
      </w:r>
      <w:r w:rsidR="003870CF">
        <w:rPr>
          <w:rFonts w:ascii="Times New Roman" w:hAnsi="Times New Roman" w:cs="Times New Roman"/>
          <w:sz w:val="24"/>
          <w:szCs w:val="24"/>
        </w:rPr>
        <w:lastRenderedPageBreak/>
        <w:t>record also proves the Company’s arguments lack merit.  The</w:t>
      </w:r>
      <w:r w:rsidR="00993832" w:rsidRPr="002C19AD">
        <w:rPr>
          <w:rFonts w:ascii="Times New Roman" w:hAnsi="Times New Roman" w:cs="Times New Roman"/>
          <w:sz w:val="24"/>
          <w:szCs w:val="24"/>
        </w:rPr>
        <w:t xml:space="preserve"> Commission should reject the Company’s Petition on these issues.</w:t>
      </w:r>
    </w:p>
    <w:p w:rsidR="00F9192A" w:rsidRDefault="00F9192A" w:rsidP="002C19AD">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ab/>
        <w:t>1.</w:t>
      </w:r>
      <w:r>
        <w:rPr>
          <w:rFonts w:ascii="Times New Roman" w:hAnsi="Times New Roman" w:cs="Times New Roman"/>
          <w:b/>
          <w:sz w:val="24"/>
          <w:szCs w:val="24"/>
        </w:rPr>
        <w:tab/>
        <w:t>Capital Structure</w:t>
      </w:r>
    </w:p>
    <w:p w:rsidR="00B33246" w:rsidRPr="002C19AD" w:rsidRDefault="002C19AD" w:rsidP="002C19AD">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725C3" w:rsidRPr="002C19AD">
        <w:rPr>
          <w:rFonts w:ascii="Times New Roman" w:hAnsi="Times New Roman" w:cs="Times New Roman"/>
          <w:sz w:val="24"/>
          <w:szCs w:val="24"/>
        </w:rPr>
        <w:t xml:space="preserve">PacifiCorp challenges both the “economy and safety” standard the Commission applied, and the Commission’s acceptance of ICNU’s adjustments to calculate the Company’s actual capital structure.  The Commission should reject the Company’s Petition on capital structure because PacifiCorp’s case is based on the </w:t>
      </w:r>
      <w:r w:rsidR="003870CF">
        <w:rPr>
          <w:rFonts w:ascii="Times New Roman" w:hAnsi="Times New Roman" w:cs="Times New Roman"/>
          <w:sz w:val="24"/>
          <w:szCs w:val="24"/>
        </w:rPr>
        <w:t xml:space="preserve">“clear and compelling” standard, which is the </w:t>
      </w:r>
      <w:r w:rsidR="007725C3" w:rsidRPr="002C19AD">
        <w:rPr>
          <w:rFonts w:ascii="Times New Roman" w:hAnsi="Times New Roman" w:cs="Times New Roman"/>
          <w:sz w:val="24"/>
          <w:szCs w:val="24"/>
        </w:rPr>
        <w:t>wrong legal standard</w:t>
      </w:r>
      <w:r w:rsidR="003870CF">
        <w:rPr>
          <w:rFonts w:ascii="Times New Roman" w:hAnsi="Times New Roman" w:cs="Times New Roman"/>
          <w:sz w:val="24"/>
          <w:szCs w:val="24"/>
        </w:rPr>
        <w:t xml:space="preserve">.  </w:t>
      </w:r>
      <w:r w:rsidR="00A3428E">
        <w:rPr>
          <w:rFonts w:ascii="Times New Roman" w:hAnsi="Times New Roman" w:cs="Times New Roman"/>
          <w:sz w:val="24"/>
          <w:szCs w:val="24"/>
        </w:rPr>
        <w:t>In fact, that language appears in only two Commission orders</w:t>
      </w:r>
      <w:r w:rsidR="00185EFA">
        <w:rPr>
          <w:rFonts w:ascii="Times New Roman" w:hAnsi="Times New Roman" w:cs="Times New Roman"/>
          <w:sz w:val="24"/>
          <w:szCs w:val="24"/>
        </w:rPr>
        <w:t xml:space="preserve"> in which</w:t>
      </w:r>
      <w:r w:rsidR="00A3428E">
        <w:rPr>
          <w:rFonts w:ascii="Times New Roman" w:hAnsi="Times New Roman" w:cs="Times New Roman"/>
          <w:sz w:val="24"/>
          <w:szCs w:val="24"/>
        </w:rPr>
        <w:t xml:space="preserve"> </w:t>
      </w:r>
      <w:r w:rsidR="00384811">
        <w:rPr>
          <w:rFonts w:ascii="Times New Roman" w:hAnsi="Times New Roman" w:cs="Times New Roman"/>
          <w:sz w:val="24"/>
          <w:szCs w:val="24"/>
        </w:rPr>
        <w:t>the Commission applie</w:t>
      </w:r>
      <w:r w:rsidR="00185EFA">
        <w:rPr>
          <w:rFonts w:ascii="Times New Roman" w:hAnsi="Times New Roman" w:cs="Times New Roman"/>
          <w:sz w:val="24"/>
          <w:szCs w:val="24"/>
        </w:rPr>
        <w:t>d</w:t>
      </w:r>
      <w:r w:rsidR="00384811">
        <w:rPr>
          <w:rFonts w:ascii="Times New Roman" w:hAnsi="Times New Roman" w:cs="Times New Roman"/>
          <w:sz w:val="24"/>
          <w:szCs w:val="24"/>
        </w:rPr>
        <w:t xml:space="preserve"> that language in a completely different context; that language otherwise is </w:t>
      </w:r>
      <w:r w:rsidR="007725C3" w:rsidRPr="002C19AD">
        <w:rPr>
          <w:rFonts w:ascii="Times New Roman" w:hAnsi="Times New Roman" w:cs="Times New Roman"/>
          <w:sz w:val="24"/>
          <w:szCs w:val="24"/>
        </w:rPr>
        <w:t xml:space="preserve">without precedent.  </w:t>
      </w:r>
    </w:p>
    <w:p w:rsidR="007725C3" w:rsidRPr="002C19AD" w:rsidRDefault="002C19AD" w:rsidP="002C19AD">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725C3" w:rsidRPr="002C19AD">
        <w:rPr>
          <w:rFonts w:ascii="Times New Roman" w:hAnsi="Times New Roman" w:cs="Times New Roman"/>
          <w:sz w:val="24"/>
          <w:szCs w:val="24"/>
        </w:rPr>
        <w:t>Moreover, PacifiCorp fail</w:t>
      </w:r>
      <w:r w:rsidR="00F561CD">
        <w:rPr>
          <w:rFonts w:ascii="Times New Roman" w:hAnsi="Times New Roman" w:cs="Times New Roman"/>
          <w:sz w:val="24"/>
          <w:szCs w:val="24"/>
        </w:rPr>
        <w:t>s</w:t>
      </w:r>
      <w:r w:rsidR="007725C3" w:rsidRPr="002C19AD">
        <w:rPr>
          <w:rFonts w:ascii="Times New Roman" w:hAnsi="Times New Roman" w:cs="Times New Roman"/>
          <w:sz w:val="24"/>
          <w:szCs w:val="24"/>
        </w:rPr>
        <w:t xml:space="preserve"> to demonstrate how it is prejudiced by the Commission’s decision on capital structure.  In fact, the record proves PacifiCorp benefits by that decision, because nowhere did the Company or ICNU prove their </w:t>
      </w:r>
      <w:r w:rsidR="00F561CD">
        <w:rPr>
          <w:rFonts w:ascii="Times New Roman" w:hAnsi="Times New Roman" w:cs="Times New Roman"/>
          <w:sz w:val="24"/>
          <w:szCs w:val="24"/>
        </w:rPr>
        <w:t xml:space="preserve">proposed </w:t>
      </w:r>
      <w:r w:rsidR="00495C52" w:rsidRPr="002C19AD">
        <w:rPr>
          <w:rFonts w:ascii="Times New Roman" w:hAnsi="Times New Roman" w:cs="Times New Roman"/>
          <w:sz w:val="24"/>
          <w:szCs w:val="24"/>
        </w:rPr>
        <w:t xml:space="preserve">actual </w:t>
      </w:r>
      <w:r w:rsidR="007725C3" w:rsidRPr="002C19AD">
        <w:rPr>
          <w:rFonts w:ascii="Times New Roman" w:hAnsi="Times New Roman" w:cs="Times New Roman"/>
          <w:sz w:val="24"/>
          <w:szCs w:val="24"/>
        </w:rPr>
        <w:t xml:space="preserve">capital structures were more economical than Staff’s proposed capital structure, nor did PacifiCorp or ICNU </w:t>
      </w:r>
      <w:r w:rsidR="00185EFA">
        <w:rPr>
          <w:rFonts w:ascii="Times New Roman" w:hAnsi="Times New Roman" w:cs="Times New Roman"/>
          <w:sz w:val="24"/>
          <w:szCs w:val="24"/>
        </w:rPr>
        <w:t xml:space="preserve">contend </w:t>
      </w:r>
      <w:r w:rsidR="002D696B">
        <w:rPr>
          <w:rFonts w:ascii="Times New Roman" w:hAnsi="Times New Roman" w:cs="Times New Roman"/>
          <w:sz w:val="24"/>
          <w:szCs w:val="24"/>
        </w:rPr>
        <w:t xml:space="preserve">the Company cannot </w:t>
      </w:r>
      <w:r w:rsidR="002D696B" w:rsidRPr="002D696B">
        <w:rPr>
          <w:rFonts w:ascii="Times New Roman" w:hAnsi="Times New Roman" w:cs="Times New Roman"/>
          <w:sz w:val="24"/>
          <w:szCs w:val="24"/>
        </w:rPr>
        <w:t xml:space="preserve">obtain new capital on reasonable terms </w:t>
      </w:r>
      <w:r w:rsidR="002D696B">
        <w:rPr>
          <w:rFonts w:ascii="Times New Roman" w:hAnsi="Times New Roman" w:cs="Times New Roman"/>
          <w:sz w:val="24"/>
          <w:szCs w:val="24"/>
        </w:rPr>
        <w:t xml:space="preserve">under Staff’s </w:t>
      </w:r>
      <w:r w:rsidR="007725C3" w:rsidRPr="002C19AD">
        <w:rPr>
          <w:rFonts w:ascii="Times New Roman" w:hAnsi="Times New Roman" w:cs="Times New Roman"/>
          <w:sz w:val="24"/>
          <w:szCs w:val="24"/>
        </w:rPr>
        <w:t>more economical capital structure</w:t>
      </w:r>
      <w:r w:rsidR="002D696B">
        <w:rPr>
          <w:rFonts w:ascii="Times New Roman" w:hAnsi="Times New Roman" w:cs="Times New Roman"/>
          <w:sz w:val="24"/>
          <w:szCs w:val="24"/>
        </w:rPr>
        <w:t>.</w:t>
      </w:r>
    </w:p>
    <w:p w:rsidR="007725C3" w:rsidRPr="007725C3" w:rsidRDefault="007725C3" w:rsidP="002C19AD">
      <w:pPr>
        <w:spacing w:after="0" w:line="240" w:lineRule="auto"/>
        <w:ind w:left="2160" w:hanging="720"/>
        <w:contextualSpacing/>
        <w:rPr>
          <w:rFonts w:ascii="Times New Roman" w:hAnsi="Times New Roman" w:cs="Times New Roman"/>
          <w:b/>
          <w:sz w:val="24"/>
          <w:szCs w:val="24"/>
        </w:rPr>
      </w:pPr>
      <w:r w:rsidRPr="007725C3">
        <w:rPr>
          <w:rFonts w:ascii="Times New Roman" w:hAnsi="Times New Roman" w:cs="Times New Roman"/>
          <w:b/>
          <w:sz w:val="24"/>
          <w:szCs w:val="24"/>
        </w:rPr>
        <w:t>a.</w:t>
      </w:r>
      <w:r w:rsidRPr="007725C3">
        <w:rPr>
          <w:rFonts w:ascii="Times New Roman" w:hAnsi="Times New Roman" w:cs="Times New Roman"/>
          <w:b/>
          <w:sz w:val="24"/>
          <w:szCs w:val="24"/>
        </w:rPr>
        <w:tab/>
        <w:t xml:space="preserve">The Commission Adopted the Correct Standard, Which is the “Safety and Economy” Standard, not PacifiCorp’s “Clear and Compelling” Standard </w:t>
      </w:r>
    </w:p>
    <w:p w:rsidR="00BB272A" w:rsidRDefault="00BB272A" w:rsidP="00F54608">
      <w:pPr>
        <w:spacing w:after="0" w:line="240" w:lineRule="auto"/>
        <w:contextualSpacing/>
        <w:rPr>
          <w:rFonts w:ascii="Times New Roman" w:hAnsi="Times New Roman" w:cs="Times New Roman"/>
          <w:sz w:val="24"/>
          <w:szCs w:val="24"/>
        </w:rPr>
      </w:pPr>
    </w:p>
    <w:p w:rsidR="00F561CD" w:rsidRDefault="002C19AD" w:rsidP="002C19AD">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725C3" w:rsidRPr="002C19AD">
        <w:rPr>
          <w:rFonts w:ascii="Times New Roman" w:hAnsi="Times New Roman" w:cs="Times New Roman"/>
          <w:sz w:val="24"/>
          <w:szCs w:val="24"/>
        </w:rPr>
        <w:t xml:space="preserve">PacifiCorp assails the Order’s analysis on capital structure on the basis the Commission failed </w:t>
      </w:r>
      <w:r w:rsidR="00BE0D4B">
        <w:rPr>
          <w:rFonts w:ascii="Times New Roman" w:hAnsi="Times New Roman" w:cs="Times New Roman"/>
          <w:sz w:val="24"/>
          <w:szCs w:val="24"/>
        </w:rPr>
        <w:t xml:space="preserve">to </w:t>
      </w:r>
      <w:r w:rsidR="00D3064D">
        <w:rPr>
          <w:rFonts w:ascii="Times New Roman" w:hAnsi="Times New Roman" w:cs="Times New Roman"/>
          <w:sz w:val="24"/>
          <w:szCs w:val="24"/>
        </w:rPr>
        <w:t xml:space="preserve">impose the burden of proof on </w:t>
      </w:r>
      <w:r w:rsidR="00D3064D" w:rsidRPr="00D3064D">
        <w:rPr>
          <w:rFonts w:ascii="Times New Roman" w:hAnsi="Times New Roman" w:cs="Times New Roman"/>
          <w:sz w:val="24"/>
          <w:szCs w:val="24"/>
        </w:rPr>
        <w:t xml:space="preserve">Staff and other parties to </w:t>
      </w:r>
      <w:r w:rsidR="00D3064D">
        <w:rPr>
          <w:rFonts w:ascii="Times New Roman" w:hAnsi="Times New Roman" w:cs="Times New Roman"/>
          <w:sz w:val="24"/>
          <w:szCs w:val="24"/>
        </w:rPr>
        <w:t xml:space="preserve">prove by “clear and </w:t>
      </w:r>
      <w:r w:rsidR="00D3064D" w:rsidRPr="00D3064D">
        <w:rPr>
          <w:rFonts w:ascii="Times New Roman" w:hAnsi="Times New Roman" w:cs="Times New Roman"/>
          <w:sz w:val="24"/>
          <w:szCs w:val="24"/>
        </w:rPr>
        <w:t>compelling</w:t>
      </w:r>
      <w:r w:rsidR="00D3064D">
        <w:rPr>
          <w:rFonts w:ascii="Times New Roman" w:hAnsi="Times New Roman" w:cs="Times New Roman"/>
          <w:sz w:val="24"/>
          <w:szCs w:val="24"/>
        </w:rPr>
        <w:t>”</w:t>
      </w:r>
      <w:r w:rsidR="00D3064D" w:rsidRPr="00D3064D">
        <w:rPr>
          <w:rFonts w:ascii="Times New Roman" w:hAnsi="Times New Roman" w:cs="Times New Roman"/>
          <w:sz w:val="24"/>
          <w:szCs w:val="24"/>
        </w:rPr>
        <w:t xml:space="preserve"> </w:t>
      </w:r>
      <w:r w:rsidR="00D3064D">
        <w:rPr>
          <w:rFonts w:ascii="Times New Roman" w:hAnsi="Times New Roman" w:cs="Times New Roman"/>
          <w:sz w:val="24"/>
          <w:szCs w:val="24"/>
        </w:rPr>
        <w:t xml:space="preserve">evidence </w:t>
      </w:r>
      <w:r w:rsidR="00D3064D" w:rsidRPr="00D3064D">
        <w:rPr>
          <w:rFonts w:ascii="Times New Roman" w:hAnsi="Times New Roman" w:cs="Times New Roman"/>
          <w:sz w:val="24"/>
          <w:szCs w:val="24"/>
        </w:rPr>
        <w:t xml:space="preserve">that </w:t>
      </w:r>
      <w:r w:rsidR="00D3064D">
        <w:rPr>
          <w:rFonts w:ascii="Times New Roman" w:hAnsi="Times New Roman" w:cs="Times New Roman"/>
          <w:sz w:val="24"/>
          <w:szCs w:val="24"/>
        </w:rPr>
        <w:t xml:space="preserve">PacifiCorp’s </w:t>
      </w:r>
      <w:r w:rsidR="00D3064D" w:rsidRPr="00D3064D">
        <w:rPr>
          <w:rFonts w:ascii="Times New Roman" w:hAnsi="Times New Roman" w:cs="Times New Roman"/>
          <w:sz w:val="24"/>
          <w:szCs w:val="24"/>
        </w:rPr>
        <w:t>actual capital structure is unreasonable.</w:t>
      </w:r>
      <w:r w:rsidR="00D3064D">
        <w:rPr>
          <w:rFonts w:ascii="Times New Roman" w:hAnsi="Times New Roman" w:cs="Times New Roman"/>
          <w:sz w:val="24"/>
          <w:szCs w:val="24"/>
        </w:rPr>
        <w:t xml:space="preserve">  </w:t>
      </w:r>
      <w:r w:rsidR="00185EFA">
        <w:rPr>
          <w:rFonts w:ascii="Times New Roman" w:hAnsi="Times New Roman" w:cs="Times New Roman"/>
          <w:sz w:val="24"/>
          <w:szCs w:val="24"/>
        </w:rPr>
        <w:lastRenderedPageBreak/>
        <w:t>P</w:t>
      </w:r>
      <w:r w:rsidR="00D3064D">
        <w:rPr>
          <w:rFonts w:ascii="Times New Roman" w:hAnsi="Times New Roman" w:cs="Times New Roman"/>
          <w:sz w:val="24"/>
          <w:szCs w:val="24"/>
        </w:rPr>
        <w:t xml:space="preserve">acifiCorp persists in calling this “clear and compelling” language the </w:t>
      </w:r>
      <w:r w:rsidR="007725C3" w:rsidRPr="002C19AD">
        <w:rPr>
          <w:rFonts w:ascii="Times New Roman" w:hAnsi="Times New Roman" w:cs="Times New Roman"/>
          <w:sz w:val="24"/>
          <w:szCs w:val="24"/>
        </w:rPr>
        <w:t>“legal standard”</w:t>
      </w:r>
      <w:r w:rsidR="00D3064D">
        <w:rPr>
          <w:rFonts w:ascii="Times New Roman" w:hAnsi="Times New Roman" w:cs="Times New Roman"/>
          <w:sz w:val="24"/>
          <w:szCs w:val="24"/>
        </w:rPr>
        <w:t xml:space="preserve"> for capital structure.</w:t>
      </w:r>
      <w:r w:rsidR="007725C3" w:rsidRPr="007725C3">
        <w:rPr>
          <w:vertAlign w:val="superscript"/>
        </w:rPr>
        <w:footnoteReference w:id="2"/>
      </w:r>
      <w:r w:rsidR="007725C3" w:rsidRPr="002C19AD">
        <w:rPr>
          <w:rFonts w:ascii="Times New Roman" w:hAnsi="Times New Roman" w:cs="Times New Roman"/>
          <w:sz w:val="24"/>
          <w:szCs w:val="24"/>
        </w:rPr>
        <w:t xml:space="preserve">  </w:t>
      </w:r>
      <w:r w:rsidR="00AC6DA0" w:rsidRPr="002C19AD">
        <w:rPr>
          <w:rFonts w:ascii="Times New Roman" w:hAnsi="Times New Roman" w:cs="Times New Roman"/>
          <w:sz w:val="24"/>
          <w:szCs w:val="24"/>
        </w:rPr>
        <w:t xml:space="preserve"> </w:t>
      </w:r>
    </w:p>
    <w:p w:rsidR="00D3064D" w:rsidRPr="00D3064D" w:rsidRDefault="00F561CD" w:rsidP="00D3064D">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44F90">
        <w:rPr>
          <w:rFonts w:ascii="Times New Roman" w:hAnsi="Times New Roman" w:cs="Times New Roman"/>
          <w:sz w:val="24"/>
          <w:szCs w:val="24"/>
        </w:rPr>
        <w:t>A</w:t>
      </w:r>
      <w:r w:rsidR="00AB01C7">
        <w:rPr>
          <w:rFonts w:ascii="Times New Roman" w:hAnsi="Times New Roman" w:cs="Times New Roman"/>
          <w:sz w:val="24"/>
          <w:szCs w:val="24"/>
        </w:rPr>
        <w:t xml:space="preserve">pplying the </w:t>
      </w:r>
      <w:r w:rsidR="00144F90" w:rsidRPr="00144F90">
        <w:rPr>
          <w:rFonts w:ascii="Times New Roman" w:hAnsi="Times New Roman" w:cs="Times New Roman"/>
          <w:sz w:val="24"/>
          <w:szCs w:val="24"/>
        </w:rPr>
        <w:t xml:space="preserve">“clear and compelling” capital structure </w:t>
      </w:r>
      <w:r w:rsidR="00AB01C7">
        <w:rPr>
          <w:rFonts w:ascii="Times New Roman" w:hAnsi="Times New Roman" w:cs="Times New Roman"/>
          <w:sz w:val="24"/>
          <w:szCs w:val="24"/>
        </w:rPr>
        <w:t>“</w:t>
      </w:r>
      <w:r w:rsidR="00144F90" w:rsidRPr="00144F90">
        <w:rPr>
          <w:rFonts w:ascii="Times New Roman" w:hAnsi="Times New Roman" w:cs="Times New Roman"/>
          <w:sz w:val="24"/>
          <w:szCs w:val="24"/>
        </w:rPr>
        <w:t>standard</w:t>
      </w:r>
      <w:r w:rsidR="00AB01C7">
        <w:rPr>
          <w:rFonts w:ascii="Times New Roman" w:hAnsi="Times New Roman" w:cs="Times New Roman"/>
          <w:sz w:val="24"/>
          <w:szCs w:val="24"/>
        </w:rPr>
        <w:t>”</w:t>
      </w:r>
      <w:r w:rsidR="00144F90" w:rsidRPr="00144F90">
        <w:rPr>
          <w:rFonts w:ascii="Times New Roman" w:hAnsi="Times New Roman" w:cs="Times New Roman"/>
          <w:sz w:val="24"/>
          <w:szCs w:val="24"/>
        </w:rPr>
        <w:t xml:space="preserve"> </w:t>
      </w:r>
      <w:r w:rsidR="00AB01C7">
        <w:rPr>
          <w:rFonts w:ascii="Times New Roman" w:hAnsi="Times New Roman" w:cs="Times New Roman"/>
          <w:sz w:val="24"/>
          <w:szCs w:val="24"/>
        </w:rPr>
        <w:t xml:space="preserve">in this case </w:t>
      </w:r>
      <w:r w:rsidR="00144F90" w:rsidRPr="00144F90">
        <w:rPr>
          <w:rFonts w:ascii="Times New Roman" w:hAnsi="Times New Roman" w:cs="Times New Roman"/>
          <w:sz w:val="24"/>
          <w:szCs w:val="24"/>
        </w:rPr>
        <w:t xml:space="preserve">is </w:t>
      </w:r>
      <w:r w:rsidR="00AB01C7">
        <w:rPr>
          <w:rFonts w:ascii="Times New Roman" w:hAnsi="Times New Roman" w:cs="Times New Roman"/>
          <w:sz w:val="24"/>
          <w:szCs w:val="24"/>
        </w:rPr>
        <w:t>improper</w:t>
      </w:r>
      <w:r w:rsidR="00144F90">
        <w:rPr>
          <w:rFonts w:ascii="Times New Roman" w:hAnsi="Times New Roman" w:cs="Times New Roman"/>
          <w:sz w:val="24"/>
          <w:szCs w:val="24"/>
        </w:rPr>
        <w:t xml:space="preserve"> because it </w:t>
      </w:r>
      <w:r w:rsidR="00AC6DA0" w:rsidRPr="002C19AD">
        <w:rPr>
          <w:rFonts w:ascii="Times New Roman" w:hAnsi="Times New Roman" w:cs="Times New Roman"/>
          <w:sz w:val="24"/>
          <w:szCs w:val="24"/>
        </w:rPr>
        <w:t>turn</w:t>
      </w:r>
      <w:r w:rsidR="00144F90">
        <w:rPr>
          <w:rFonts w:ascii="Times New Roman" w:hAnsi="Times New Roman" w:cs="Times New Roman"/>
          <w:sz w:val="24"/>
          <w:szCs w:val="24"/>
        </w:rPr>
        <w:t>s</w:t>
      </w:r>
      <w:r w:rsidR="00AC6DA0" w:rsidRPr="002C19AD">
        <w:rPr>
          <w:rFonts w:ascii="Times New Roman" w:hAnsi="Times New Roman" w:cs="Times New Roman"/>
          <w:sz w:val="24"/>
          <w:szCs w:val="24"/>
        </w:rPr>
        <w:t xml:space="preserve"> PacifiCorp’s statutory burden of proof</w:t>
      </w:r>
      <w:r w:rsidR="00AC6DA0">
        <w:rPr>
          <w:rStyle w:val="FootnoteReference"/>
          <w:rFonts w:cs="Times New Roman"/>
          <w:sz w:val="24"/>
          <w:szCs w:val="24"/>
        </w:rPr>
        <w:footnoteReference w:id="3"/>
      </w:r>
      <w:r w:rsidR="00AC6DA0" w:rsidRPr="002C19AD">
        <w:rPr>
          <w:rFonts w:ascii="Times New Roman" w:hAnsi="Times New Roman" w:cs="Times New Roman"/>
          <w:sz w:val="24"/>
          <w:szCs w:val="24"/>
        </w:rPr>
        <w:t xml:space="preserve"> on its head</w:t>
      </w:r>
      <w:r w:rsidR="002D696B" w:rsidRPr="00D3064D">
        <w:rPr>
          <w:rFonts w:ascii="Times New Roman" w:hAnsi="Times New Roman" w:cs="Times New Roman"/>
          <w:sz w:val="24"/>
          <w:szCs w:val="24"/>
        </w:rPr>
        <w:t xml:space="preserve">.  </w:t>
      </w:r>
      <w:r w:rsidR="00D3064D" w:rsidRPr="00D3064D">
        <w:rPr>
          <w:rFonts w:ascii="Times New Roman" w:hAnsi="Times New Roman" w:cs="Times New Roman"/>
          <w:sz w:val="24"/>
          <w:szCs w:val="24"/>
        </w:rPr>
        <w:t>This is clear from the context of the two PSE cases PacifiCorp relies on for its argument</w:t>
      </w:r>
      <w:r w:rsidR="00E25F62">
        <w:rPr>
          <w:rFonts w:ascii="Times New Roman" w:hAnsi="Times New Roman" w:cs="Times New Roman"/>
          <w:sz w:val="24"/>
          <w:szCs w:val="24"/>
        </w:rPr>
        <w:t>.  In those two PSE cases, the Commission found it necessary to impute additional common equity in order to assist PSE in achieving and maintaining investment grade status.  As the Commission stated:</w:t>
      </w:r>
    </w:p>
    <w:p w:rsidR="00D3064D" w:rsidRPr="00941AC6" w:rsidRDefault="00D3064D" w:rsidP="00D3064D">
      <w:pPr>
        <w:spacing w:line="240" w:lineRule="auto"/>
        <w:ind w:left="720"/>
        <w:contextualSpacing/>
        <w:rPr>
          <w:rFonts w:ascii="Times New Roman" w:hAnsi="Times New Roman" w:cs="Times New Roman"/>
          <w:sz w:val="24"/>
          <w:szCs w:val="24"/>
        </w:rPr>
      </w:pPr>
      <w:r w:rsidRPr="00C07E79">
        <w:rPr>
          <w:rFonts w:ascii="Times New Roman" w:hAnsi="Times New Roman" w:cs="Times New Roman"/>
          <w:sz w:val="24"/>
          <w:szCs w:val="24"/>
        </w:rPr>
        <w:t>We are mindful of our responsibility to set the allowed return on capital at a level “sufficient to assure confidence in the financial integrity of the enterprise, so as to maintain its credit and to attract capital.</w:t>
      </w:r>
      <w:r>
        <w:rPr>
          <w:rFonts w:ascii="Times New Roman" w:hAnsi="Times New Roman" w:cs="Times New Roman"/>
          <w:sz w:val="24"/>
          <w:szCs w:val="24"/>
        </w:rPr>
        <w:t xml:space="preserve">”  …  </w:t>
      </w:r>
      <w:r w:rsidRPr="00941AC6">
        <w:rPr>
          <w:rFonts w:ascii="Times New Roman" w:hAnsi="Times New Roman" w:cs="Times New Roman"/>
          <w:sz w:val="24"/>
          <w:szCs w:val="24"/>
        </w:rPr>
        <w:t>We have carefully examined this evidence and are satisfied to find that the ratios Mr. Gaines calculates for Staff’s case fall within the S&amp;P ranges for a company rated BBB with the excellent business and aggressive financial risk profiles S&amp;P assigns to PSE.  Considering that the results of our Order here allow for a higher rate of return and recovery of more revenue than what Staff recommends, we are confident that our decision will allow the Company, with prudent management, to maintain or improve its current credit rating.</w:t>
      </w:r>
      <w:r>
        <w:rPr>
          <w:rStyle w:val="FootnoteReference"/>
          <w:rFonts w:cs="Times New Roman"/>
          <w:sz w:val="24"/>
          <w:szCs w:val="24"/>
        </w:rPr>
        <w:footnoteReference w:id="4"/>
      </w:r>
      <w:r w:rsidRPr="00941AC6">
        <w:rPr>
          <w:rFonts w:ascii="Times New Roman" w:hAnsi="Times New Roman" w:cs="Times New Roman"/>
          <w:sz w:val="24"/>
          <w:szCs w:val="24"/>
        </w:rPr>
        <w:t xml:space="preserve"> </w:t>
      </w:r>
    </w:p>
    <w:p w:rsidR="00D3064D" w:rsidRDefault="00D3064D" w:rsidP="00D3064D">
      <w:pPr>
        <w:spacing w:after="0" w:line="240" w:lineRule="auto"/>
        <w:contextualSpacing/>
        <w:rPr>
          <w:rFonts w:ascii="Times New Roman" w:hAnsi="Times New Roman" w:cs="Times New Roman"/>
          <w:sz w:val="24"/>
          <w:szCs w:val="24"/>
        </w:rPr>
      </w:pPr>
    </w:p>
    <w:p w:rsidR="0094412E" w:rsidRDefault="00D3064D" w:rsidP="00D3064D">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84811">
        <w:rPr>
          <w:rFonts w:ascii="Times New Roman" w:hAnsi="Times New Roman" w:cs="Times New Roman"/>
          <w:sz w:val="24"/>
          <w:szCs w:val="24"/>
        </w:rPr>
        <w:t>Thus</w:t>
      </w:r>
      <w:r w:rsidRPr="00D92EA3">
        <w:rPr>
          <w:rFonts w:ascii="Times New Roman" w:hAnsi="Times New Roman" w:cs="Times New Roman"/>
          <w:sz w:val="24"/>
          <w:szCs w:val="24"/>
        </w:rPr>
        <w:t xml:space="preserve">, in the </w:t>
      </w:r>
      <w:r w:rsidR="00384811">
        <w:rPr>
          <w:rFonts w:ascii="Times New Roman" w:hAnsi="Times New Roman" w:cs="Times New Roman"/>
          <w:sz w:val="24"/>
          <w:szCs w:val="24"/>
        </w:rPr>
        <w:t xml:space="preserve">two </w:t>
      </w:r>
      <w:r w:rsidRPr="00D92EA3">
        <w:rPr>
          <w:rFonts w:ascii="Times New Roman" w:hAnsi="Times New Roman" w:cs="Times New Roman"/>
          <w:sz w:val="24"/>
          <w:szCs w:val="24"/>
        </w:rPr>
        <w:t xml:space="preserve">PSE cases PacifiCorp relies on, the Commission recognized that to protect </w:t>
      </w:r>
      <w:r>
        <w:rPr>
          <w:rFonts w:ascii="Times New Roman" w:hAnsi="Times New Roman" w:cs="Times New Roman"/>
          <w:sz w:val="24"/>
          <w:szCs w:val="24"/>
        </w:rPr>
        <w:t xml:space="preserve">the utility’s </w:t>
      </w:r>
      <w:r w:rsidRPr="00D92EA3">
        <w:rPr>
          <w:rFonts w:ascii="Times New Roman" w:hAnsi="Times New Roman" w:cs="Times New Roman"/>
          <w:sz w:val="24"/>
          <w:szCs w:val="24"/>
        </w:rPr>
        <w:t xml:space="preserve">financial integrity, the Commission </w:t>
      </w:r>
      <w:r w:rsidR="00384811">
        <w:rPr>
          <w:rFonts w:ascii="Times New Roman" w:hAnsi="Times New Roman" w:cs="Times New Roman"/>
          <w:sz w:val="24"/>
          <w:szCs w:val="24"/>
        </w:rPr>
        <w:t xml:space="preserve">might </w:t>
      </w:r>
      <w:r w:rsidRPr="00D92EA3">
        <w:rPr>
          <w:rFonts w:ascii="Times New Roman" w:hAnsi="Times New Roman" w:cs="Times New Roman"/>
          <w:sz w:val="24"/>
          <w:szCs w:val="24"/>
        </w:rPr>
        <w:t xml:space="preserve">need to use a hypothetical capital structure </w:t>
      </w:r>
      <w:r>
        <w:rPr>
          <w:rFonts w:ascii="Times New Roman" w:hAnsi="Times New Roman" w:cs="Times New Roman"/>
          <w:sz w:val="24"/>
          <w:szCs w:val="24"/>
        </w:rPr>
        <w:t xml:space="preserve">containing </w:t>
      </w:r>
      <w:r w:rsidRPr="00D92EA3">
        <w:rPr>
          <w:rFonts w:ascii="Times New Roman" w:hAnsi="Times New Roman" w:cs="Times New Roman"/>
          <w:i/>
          <w:sz w:val="24"/>
          <w:szCs w:val="24"/>
        </w:rPr>
        <w:t>more</w:t>
      </w:r>
      <w:r w:rsidRPr="00D92EA3">
        <w:rPr>
          <w:rFonts w:ascii="Times New Roman" w:hAnsi="Times New Roman" w:cs="Times New Roman"/>
          <w:sz w:val="24"/>
          <w:szCs w:val="24"/>
        </w:rPr>
        <w:t xml:space="preserve"> equity, resulting in a </w:t>
      </w:r>
      <w:r w:rsidR="00383346" w:rsidRPr="00383346">
        <w:rPr>
          <w:rFonts w:ascii="Times New Roman" w:hAnsi="Times New Roman" w:cs="Times New Roman"/>
          <w:i/>
          <w:sz w:val="24"/>
          <w:szCs w:val="24"/>
        </w:rPr>
        <w:t>higher</w:t>
      </w:r>
      <w:r w:rsidRPr="00D92EA3">
        <w:rPr>
          <w:rFonts w:ascii="Times New Roman" w:hAnsi="Times New Roman" w:cs="Times New Roman"/>
          <w:sz w:val="24"/>
          <w:szCs w:val="24"/>
        </w:rPr>
        <w:t xml:space="preserve"> cost of capital </w:t>
      </w:r>
      <w:r w:rsidR="00A3428E">
        <w:rPr>
          <w:rFonts w:ascii="Times New Roman" w:hAnsi="Times New Roman" w:cs="Times New Roman"/>
          <w:sz w:val="24"/>
          <w:szCs w:val="24"/>
        </w:rPr>
        <w:t xml:space="preserve">than would result from using </w:t>
      </w:r>
      <w:r w:rsidRPr="00D92EA3">
        <w:rPr>
          <w:rFonts w:ascii="Times New Roman" w:hAnsi="Times New Roman" w:cs="Times New Roman"/>
          <w:sz w:val="24"/>
          <w:szCs w:val="24"/>
        </w:rPr>
        <w:t xml:space="preserve">the </w:t>
      </w:r>
      <w:r>
        <w:rPr>
          <w:rFonts w:ascii="Times New Roman" w:hAnsi="Times New Roman" w:cs="Times New Roman"/>
          <w:sz w:val="24"/>
          <w:szCs w:val="24"/>
        </w:rPr>
        <w:t xml:space="preserve">utility’s </w:t>
      </w:r>
      <w:r w:rsidRPr="00D92EA3">
        <w:rPr>
          <w:rFonts w:ascii="Times New Roman" w:hAnsi="Times New Roman" w:cs="Times New Roman"/>
          <w:sz w:val="24"/>
          <w:szCs w:val="24"/>
        </w:rPr>
        <w:t xml:space="preserve">actual capital structure.  </w:t>
      </w:r>
      <w:r w:rsidR="00384811">
        <w:rPr>
          <w:rFonts w:ascii="Times New Roman" w:hAnsi="Times New Roman" w:cs="Times New Roman"/>
          <w:sz w:val="24"/>
          <w:szCs w:val="24"/>
        </w:rPr>
        <w:t>However, b</w:t>
      </w:r>
      <w:r w:rsidR="00BE0D4B">
        <w:rPr>
          <w:rFonts w:ascii="Times New Roman" w:hAnsi="Times New Roman" w:cs="Times New Roman"/>
          <w:sz w:val="24"/>
          <w:szCs w:val="24"/>
        </w:rPr>
        <w:t xml:space="preserve">efore approving a higher cost of capital and </w:t>
      </w:r>
      <w:r w:rsidR="00384811">
        <w:rPr>
          <w:rFonts w:ascii="Times New Roman" w:hAnsi="Times New Roman" w:cs="Times New Roman"/>
          <w:sz w:val="24"/>
          <w:szCs w:val="24"/>
        </w:rPr>
        <w:t xml:space="preserve">imposing </w:t>
      </w:r>
      <w:r w:rsidR="00BE0D4B">
        <w:rPr>
          <w:rFonts w:ascii="Times New Roman" w:hAnsi="Times New Roman" w:cs="Times New Roman"/>
          <w:sz w:val="24"/>
          <w:szCs w:val="24"/>
        </w:rPr>
        <w:t>th</w:t>
      </w:r>
      <w:r w:rsidR="00384811">
        <w:rPr>
          <w:rFonts w:ascii="Times New Roman" w:hAnsi="Times New Roman" w:cs="Times New Roman"/>
          <w:sz w:val="24"/>
          <w:szCs w:val="24"/>
        </w:rPr>
        <w:t>at</w:t>
      </w:r>
      <w:r w:rsidR="00BE0D4B">
        <w:rPr>
          <w:rFonts w:ascii="Times New Roman" w:hAnsi="Times New Roman" w:cs="Times New Roman"/>
          <w:sz w:val="24"/>
          <w:szCs w:val="24"/>
        </w:rPr>
        <w:t xml:space="preserve"> additional burden on ratepayers, t</w:t>
      </w:r>
      <w:r w:rsidR="0094412E">
        <w:rPr>
          <w:rFonts w:ascii="Times New Roman" w:hAnsi="Times New Roman" w:cs="Times New Roman"/>
          <w:sz w:val="24"/>
          <w:szCs w:val="24"/>
        </w:rPr>
        <w:t xml:space="preserve">he Commission required </w:t>
      </w:r>
      <w:r w:rsidR="00177E3C">
        <w:rPr>
          <w:rFonts w:ascii="Times New Roman" w:hAnsi="Times New Roman" w:cs="Times New Roman"/>
          <w:sz w:val="24"/>
          <w:szCs w:val="24"/>
        </w:rPr>
        <w:t xml:space="preserve">the utility to make </w:t>
      </w:r>
      <w:r w:rsidR="0094412E">
        <w:rPr>
          <w:rFonts w:ascii="Times New Roman" w:hAnsi="Times New Roman" w:cs="Times New Roman"/>
          <w:sz w:val="24"/>
          <w:szCs w:val="24"/>
        </w:rPr>
        <w:t>a “clear and convin</w:t>
      </w:r>
      <w:r w:rsidR="00BE0D4B">
        <w:rPr>
          <w:rFonts w:ascii="Times New Roman" w:hAnsi="Times New Roman" w:cs="Times New Roman"/>
          <w:sz w:val="24"/>
          <w:szCs w:val="24"/>
        </w:rPr>
        <w:t>c</w:t>
      </w:r>
      <w:r w:rsidR="0094412E">
        <w:rPr>
          <w:rFonts w:ascii="Times New Roman" w:hAnsi="Times New Roman" w:cs="Times New Roman"/>
          <w:sz w:val="24"/>
          <w:szCs w:val="24"/>
        </w:rPr>
        <w:t>ing” showing</w:t>
      </w:r>
      <w:r w:rsidR="00177E3C">
        <w:rPr>
          <w:rFonts w:ascii="Times New Roman" w:hAnsi="Times New Roman" w:cs="Times New Roman"/>
          <w:sz w:val="24"/>
          <w:szCs w:val="24"/>
        </w:rPr>
        <w:t xml:space="preserve"> this </w:t>
      </w:r>
      <w:r w:rsidR="00384811">
        <w:rPr>
          <w:rFonts w:ascii="Times New Roman" w:hAnsi="Times New Roman" w:cs="Times New Roman"/>
          <w:sz w:val="24"/>
          <w:szCs w:val="24"/>
        </w:rPr>
        <w:t>is</w:t>
      </w:r>
      <w:r w:rsidR="00177E3C">
        <w:rPr>
          <w:rFonts w:ascii="Times New Roman" w:hAnsi="Times New Roman" w:cs="Times New Roman"/>
          <w:sz w:val="24"/>
          <w:szCs w:val="24"/>
        </w:rPr>
        <w:t xml:space="preserve"> appropriate</w:t>
      </w:r>
      <w:r w:rsidR="0094412E">
        <w:rPr>
          <w:rFonts w:ascii="Times New Roman" w:hAnsi="Times New Roman" w:cs="Times New Roman"/>
          <w:sz w:val="24"/>
          <w:szCs w:val="24"/>
        </w:rPr>
        <w:t xml:space="preserve">.  </w:t>
      </w:r>
    </w:p>
    <w:p w:rsidR="00880682" w:rsidRDefault="0094412E" w:rsidP="00D3064D">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3064D" w:rsidRPr="00D92EA3">
        <w:rPr>
          <w:rFonts w:ascii="Times New Roman" w:hAnsi="Times New Roman" w:cs="Times New Roman"/>
          <w:sz w:val="24"/>
          <w:szCs w:val="24"/>
        </w:rPr>
        <w:t>Surely, the Commission never intended th</w:t>
      </w:r>
      <w:r w:rsidR="00D3064D">
        <w:rPr>
          <w:rFonts w:ascii="Times New Roman" w:hAnsi="Times New Roman" w:cs="Times New Roman"/>
          <w:sz w:val="24"/>
          <w:szCs w:val="24"/>
        </w:rPr>
        <w:t>at</w:t>
      </w:r>
      <w:r w:rsidR="00D3064D" w:rsidRPr="00D92EA3">
        <w:rPr>
          <w:rFonts w:ascii="Times New Roman" w:hAnsi="Times New Roman" w:cs="Times New Roman"/>
          <w:sz w:val="24"/>
          <w:szCs w:val="24"/>
        </w:rPr>
        <w:t xml:space="preserve"> </w:t>
      </w:r>
      <w:r>
        <w:rPr>
          <w:rFonts w:ascii="Times New Roman" w:hAnsi="Times New Roman" w:cs="Times New Roman"/>
          <w:sz w:val="24"/>
          <w:szCs w:val="24"/>
        </w:rPr>
        <w:t xml:space="preserve">same </w:t>
      </w:r>
      <w:r w:rsidR="00D3064D" w:rsidRPr="00D92EA3">
        <w:rPr>
          <w:rFonts w:ascii="Times New Roman" w:hAnsi="Times New Roman" w:cs="Times New Roman"/>
          <w:sz w:val="24"/>
          <w:szCs w:val="24"/>
        </w:rPr>
        <w:t xml:space="preserve">“clear and compelling” language to be used </w:t>
      </w:r>
      <w:r>
        <w:rPr>
          <w:rFonts w:ascii="Times New Roman" w:hAnsi="Times New Roman" w:cs="Times New Roman"/>
          <w:sz w:val="24"/>
          <w:szCs w:val="24"/>
        </w:rPr>
        <w:t xml:space="preserve">as </w:t>
      </w:r>
      <w:r w:rsidR="00D3064D" w:rsidRPr="00D92EA3">
        <w:rPr>
          <w:rFonts w:ascii="Times New Roman" w:hAnsi="Times New Roman" w:cs="Times New Roman"/>
          <w:sz w:val="24"/>
          <w:szCs w:val="24"/>
        </w:rPr>
        <w:t>a legal impediment to the Commission</w:t>
      </w:r>
      <w:r w:rsidR="00D3064D">
        <w:rPr>
          <w:rFonts w:ascii="Times New Roman" w:hAnsi="Times New Roman" w:cs="Times New Roman"/>
          <w:sz w:val="24"/>
          <w:szCs w:val="24"/>
        </w:rPr>
        <w:t>’s</w:t>
      </w:r>
      <w:r w:rsidR="00D3064D" w:rsidRPr="00D92EA3">
        <w:rPr>
          <w:rFonts w:ascii="Times New Roman" w:hAnsi="Times New Roman" w:cs="Times New Roman"/>
          <w:sz w:val="24"/>
          <w:szCs w:val="24"/>
        </w:rPr>
        <w:t xml:space="preserve"> us</w:t>
      </w:r>
      <w:r w:rsidR="00D3064D">
        <w:rPr>
          <w:rFonts w:ascii="Times New Roman" w:hAnsi="Times New Roman" w:cs="Times New Roman"/>
          <w:sz w:val="24"/>
          <w:szCs w:val="24"/>
        </w:rPr>
        <w:t>e of</w:t>
      </w:r>
      <w:r w:rsidR="00D3064D" w:rsidRPr="00D92EA3">
        <w:rPr>
          <w:rFonts w:ascii="Times New Roman" w:hAnsi="Times New Roman" w:cs="Times New Roman"/>
          <w:sz w:val="24"/>
          <w:szCs w:val="24"/>
        </w:rPr>
        <w:t xml:space="preserve"> a lower equity ratio than actual, </w:t>
      </w:r>
      <w:r w:rsidR="00D3064D" w:rsidRPr="00D92EA3">
        <w:rPr>
          <w:rFonts w:ascii="Times New Roman" w:hAnsi="Times New Roman" w:cs="Times New Roman"/>
          <w:sz w:val="24"/>
          <w:szCs w:val="24"/>
        </w:rPr>
        <w:lastRenderedPageBreak/>
        <w:t xml:space="preserve">when that lower equity ratio is </w:t>
      </w:r>
      <w:r w:rsidR="00D3064D">
        <w:rPr>
          <w:rFonts w:ascii="Times New Roman" w:hAnsi="Times New Roman" w:cs="Times New Roman"/>
          <w:sz w:val="24"/>
          <w:szCs w:val="24"/>
        </w:rPr>
        <w:t>more economical</w:t>
      </w:r>
      <w:r>
        <w:rPr>
          <w:rFonts w:ascii="Times New Roman" w:hAnsi="Times New Roman" w:cs="Times New Roman"/>
          <w:sz w:val="24"/>
          <w:szCs w:val="24"/>
        </w:rPr>
        <w:t xml:space="preserve">, but </w:t>
      </w:r>
      <w:r w:rsidR="00D3064D">
        <w:rPr>
          <w:rFonts w:ascii="Times New Roman" w:hAnsi="Times New Roman" w:cs="Times New Roman"/>
          <w:sz w:val="24"/>
          <w:szCs w:val="24"/>
        </w:rPr>
        <w:t xml:space="preserve">still </w:t>
      </w:r>
      <w:r>
        <w:rPr>
          <w:rFonts w:ascii="Times New Roman" w:hAnsi="Times New Roman" w:cs="Times New Roman"/>
          <w:sz w:val="24"/>
          <w:szCs w:val="24"/>
        </w:rPr>
        <w:t xml:space="preserve">safe and </w:t>
      </w:r>
      <w:r w:rsidR="00D3064D" w:rsidRPr="00D92EA3">
        <w:rPr>
          <w:rFonts w:ascii="Times New Roman" w:hAnsi="Times New Roman" w:cs="Times New Roman"/>
          <w:sz w:val="24"/>
          <w:szCs w:val="24"/>
        </w:rPr>
        <w:t>sufficient to enable PacifiCorp to successfully finance on reasonable terms to meet its public service obligations.</w:t>
      </w:r>
      <w:r>
        <w:rPr>
          <w:rFonts w:ascii="Times New Roman" w:hAnsi="Times New Roman" w:cs="Times New Roman"/>
          <w:sz w:val="24"/>
          <w:szCs w:val="24"/>
        </w:rPr>
        <w:t xml:space="preserve">  </w:t>
      </w:r>
    </w:p>
    <w:p w:rsidR="00D3064D" w:rsidRDefault="00BE0D4B" w:rsidP="00D3064D">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4412E">
        <w:rPr>
          <w:rFonts w:ascii="Times New Roman" w:hAnsi="Times New Roman" w:cs="Times New Roman"/>
          <w:sz w:val="24"/>
          <w:szCs w:val="24"/>
        </w:rPr>
        <w:t xml:space="preserve">In other words, </w:t>
      </w:r>
      <w:r>
        <w:rPr>
          <w:rFonts w:ascii="Times New Roman" w:hAnsi="Times New Roman" w:cs="Times New Roman"/>
          <w:sz w:val="24"/>
          <w:szCs w:val="24"/>
        </w:rPr>
        <w:t xml:space="preserve">in </w:t>
      </w:r>
      <w:r w:rsidR="00693F49">
        <w:rPr>
          <w:rFonts w:ascii="Times New Roman" w:hAnsi="Times New Roman" w:cs="Times New Roman"/>
          <w:sz w:val="24"/>
          <w:szCs w:val="24"/>
        </w:rPr>
        <w:t xml:space="preserve">the </w:t>
      </w:r>
      <w:r>
        <w:rPr>
          <w:rFonts w:ascii="Times New Roman" w:hAnsi="Times New Roman" w:cs="Times New Roman"/>
          <w:sz w:val="24"/>
          <w:szCs w:val="24"/>
        </w:rPr>
        <w:t xml:space="preserve">PSE orders PacifiCorp relies on, the Commission was trying to protect ratepayer and investor interests by assuring the financial integrity of the utility, when PSE’s actual capital structure failed to do so.  PacifiCorp should not be allowed to use those orders to prevent the Commission from protecting ratepayers when, as here, the </w:t>
      </w:r>
      <w:r w:rsidR="00A3428E">
        <w:rPr>
          <w:rFonts w:ascii="Times New Roman" w:hAnsi="Times New Roman" w:cs="Times New Roman"/>
          <w:sz w:val="24"/>
          <w:szCs w:val="24"/>
        </w:rPr>
        <w:t xml:space="preserve">utility’s </w:t>
      </w:r>
      <w:r>
        <w:rPr>
          <w:rFonts w:ascii="Times New Roman" w:hAnsi="Times New Roman" w:cs="Times New Roman"/>
          <w:sz w:val="24"/>
          <w:szCs w:val="24"/>
        </w:rPr>
        <w:t>actual capital structure is more expensive than necessary.</w:t>
      </w:r>
    </w:p>
    <w:p w:rsidR="007725C3" w:rsidRPr="00F561CD" w:rsidRDefault="0094412E" w:rsidP="00144F90">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t>In fact</w:t>
      </w:r>
      <w:r w:rsidR="002D696B">
        <w:rPr>
          <w:rFonts w:ascii="Times New Roman" w:hAnsi="Times New Roman" w:cs="Times New Roman"/>
          <w:sz w:val="24"/>
          <w:szCs w:val="24"/>
        </w:rPr>
        <w:t xml:space="preserve">, </w:t>
      </w:r>
      <w:r w:rsidR="007725C3" w:rsidRPr="00F561CD">
        <w:rPr>
          <w:rFonts w:ascii="Times New Roman" w:hAnsi="Times New Roman" w:cs="Times New Roman"/>
          <w:sz w:val="24"/>
          <w:szCs w:val="24"/>
        </w:rPr>
        <w:t>if there is any “compelling” issue in this case, it is whether un</w:t>
      </w:r>
      <w:r w:rsidR="007725C3" w:rsidRPr="00F54608">
        <w:rPr>
          <w:rFonts w:ascii="Times New Roman" w:hAnsi="Times New Roman" w:cs="Times New Roman"/>
          <w:sz w:val="24"/>
          <w:szCs w:val="24"/>
        </w:rPr>
        <w:t>d</w:t>
      </w:r>
      <w:r w:rsidR="007725C3" w:rsidRPr="00F561CD">
        <w:rPr>
          <w:rFonts w:ascii="Times New Roman" w:hAnsi="Times New Roman" w:cs="Times New Roman"/>
          <w:sz w:val="24"/>
          <w:szCs w:val="24"/>
        </w:rPr>
        <w:t xml:space="preserve">er the Company’s </w:t>
      </w:r>
      <w:r w:rsidR="00384811">
        <w:rPr>
          <w:rFonts w:ascii="Times New Roman" w:hAnsi="Times New Roman" w:cs="Times New Roman"/>
          <w:sz w:val="24"/>
          <w:szCs w:val="24"/>
        </w:rPr>
        <w:t>“standard”</w:t>
      </w:r>
      <w:r w:rsidR="007725C3" w:rsidRPr="00F561CD">
        <w:rPr>
          <w:rFonts w:ascii="Times New Roman" w:hAnsi="Times New Roman" w:cs="Times New Roman"/>
          <w:sz w:val="24"/>
          <w:szCs w:val="24"/>
        </w:rPr>
        <w:t xml:space="preserve">, the Commission can effectively exercise its </w:t>
      </w:r>
      <w:r w:rsidR="00AC6DA0" w:rsidRPr="00F561CD">
        <w:rPr>
          <w:rFonts w:ascii="Times New Roman" w:hAnsi="Times New Roman" w:cs="Times New Roman"/>
          <w:sz w:val="24"/>
          <w:szCs w:val="24"/>
        </w:rPr>
        <w:t xml:space="preserve">duty to </w:t>
      </w:r>
      <w:r w:rsidR="007725C3" w:rsidRPr="00F561CD">
        <w:rPr>
          <w:rFonts w:ascii="Times New Roman" w:hAnsi="Times New Roman" w:cs="Times New Roman"/>
          <w:sz w:val="24"/>
          <w:szCs w:val="24"/>
        </w:rPr>
        <w:t xml:space="preserve">determine whether the Company is actually financing its operations in a manner consistent with the </w:t>
      </w:r>
      <w:r w:rsidR="007725C3" w:rsidRPr="00F561CD">
        <w:rPr>
          <w:rFonts w:ascii="Times New Roman" w:hAnsi="Times New Roman" w:cs="Times New Roman"/>
          <w:i/>
          <w:sz w:val="24"/>
          <w:szCs w:val="24"/>
        </w:rPr>
        <w:t>Hope</w:t>
      </w:r>
      <w:r w:rsidR="007725C3" w:rsidRPr="00F561CD">
        <w:rPr>
          <w:rFonts w:ascii="Times New Roman" w:hAnsi="Times New Roman" w:cs="Times New Roman"/>
          <w:sz w:val="24"/>
          <w:szCs w:val="24"/>
        </w:rPr>
        <w:t xml:space="preserve"> and </w:t>
      </w:r>
      <w:r w:rsidR="007725C3" w:rsidRPr="00F561CD">
        <w:rPr>
          <w:rFonts w:ascii="Times New Roman" w:hAnsi="Times New Roman" w:cs="Times New Roman"/>
          <w:i/>
          <w:sz w:val="24"/>
          <w:szCs w:val="24"/>
        </w:rPr>
        <w:t>Bluefield</w:t>
      </w:r>
      <w:r w:rsidR="007725C3" w:rsidRPr="00F561CD">
        <w:rPr>
          <w:rFonts w:ascii="Times New Roman" w:hAnsi="Times New Roman" w:cs="Times New Roman"/>
          <w:sz w:val="24"/>
          <w:szCs w:val="24"/>
        </w:rPr>
        <w:t xml:space="preserve"> standards.</w:t>
      </w:r>
      <w:r w:rsidR="00383346" w:rsidRPr="00383346">
        <w:rPr>
          <w:rFonts w:ascii="Times New Roman" w:hAnsi="Times New Roman" w:cs="Times New Roman"/>
          <w:sz w:val="24"/>
          <w:szCs w:val="24"/>
          <w:vertAlign w:val="superscript"/>
        </w:rPr>
        <w:footnoteReference w:id="5"/>
      </w:r>
      <w:r w:rsidR="007725C3" w:rsidRPr="00F561CD">
        <w:rPr>
          <w:rFonts w:ascii="Times New Roman" w:hAnsi="Times New Roman" w:cs="Times New Roman"/>
          <w:sz w:val="24"/>
          <w:szCs w:val="24"/>
        </w:rPr>
        <w:t xml:space="preserve">  </w:t>
      </w:r>
      <w:r w:rsidR="00144F90">
        <w:rPr>
          <w:rFonts w:ascii="Times New Roman" w:hAnsi="Times New Roman" w:cs="Times New Roman"/>
          <w:sz w:val="24"/>
          <w:szCs w:val="24"/>
        </w:rPr>
        <w:t>If accepted, t</w:t>
      </w:r>
      <w:r w:rsidR="007725C3" w:rsidRPr="00F561CD">
        <w:rPr>
          <w:rFonts w:ascii="Times New Roman" w:hAnsi="Times New Roman" w:cs="Times New Roman"/>
          <w:sz w:val="24"/>
          <w:szCs w:val="24"/>
        </w:rPr>
        <w:t>he Company’s argument</w:t>
      </w:r>
      <w:r w:rsidR="00AC6DA0" w:rsidRPr="00F561CD">
        <w:rPr>
          <w:rFonts w:ascii="Times New Roman" w:hAnsi="Times New Roman" w:cs="Times New Roman"/>
          <w:sz w:val="24"/>
          <w:szCs w:val="24"/>
        </w:rPr>
        <w:t>s</w:t>
      </w:r>
      <w:r w:rsidR="007725C3" w:rsidRPr="00F561CD">
        <w:rPr>
          <w:rFonts w:ascii="Times New Roman" w:hAnsi="Times New Roman" w:cs="Times New Roman"/>
          <w:sz w:val="24"/>
          <w:szCs w:val="24"/>
        </w:rPr>
        <w:t xml:space="preserve"> </w:t>
      </w:r>
      <w:r w:rsidR="00144F90">
        <w:rPr>
          <w:rFonts w:ascii="Times New Roman" w:hAnsi="Times New Roman" w:cs="Times New Roman"/>
          <w:sz w:val="24"/>
          <w:szCs w:val="24"/>
        </w:rPr>
        <w:t xml:space="preserve">would </w:t>
      </w:r>
      <w:r w:rsidR="007725C3" w:rsidRPr="00F561CD">
        <w:rPr>
          <w:rFonts w:ascii="Times New Roman" w:hAnsi="Times New Roman" w:cs="Times New Roman"/>
          <w:sz w:val="24"/>
          <w:szCs w:val="24"/>
        </w:rPr>
        <w:t>effectively and improperly remove a</w:t>
      </w:r>
      <w:r w:rsidR="00383346" w:rsidRPr="00383346">
        <w:rPr>
          <w:rFonts w:ascii="Times New Roman" w:hAnsi="Times New Roman" w:cs="Times New Roman"/>
          <w:i/>
          <w:sz w:val="24"/>
          <w:szCs w:val="24"/>
        </w:rPr>
        <w:t xml:space="preserve"> </w:t>
      </w:r>
      <w:r w:rsidR="007725C3" w:rsidRPr="00144F90">
        <w:rPr>
          <w:rFonts w:ascii="Times New Roman" w:hAnsi="Times New Roman" w:cs="Times New Roman"/>
          <w:sz w:val="24"/>
          <w:szCs w:val="24"/>
        </w:rPr>
        <w:t>critical Commission</w:t>
      </w:r>
      <w:r w:rsidR="007725C3" w:rsidRPr="00F561CD">
        <w:rPr>
          <w:rFonts w:ascii="Times New Roman" w:hAnsi="Times New Roman" w:cs="Times New Roman"/>
          <w:sz w:val="24"/>
          <w:szCs w:val="24"/>
        </w:rPr>
        <w:t xml:space="preserve"> ratemaki</w:t>
      </w:r>
      <w:r w:rsidR="007725C3" w:rsidRPr="00F54608">
        <w:rPr>
          <w:rFonts w:ascii="Times New Roman" w:hAnsi="Times New Roman" w:cs="Times New Roman"/>
          <w:sz w:val="24"/>
          <w:szCs w:val="24"/>
        </w:rPr>
        <w:t>n</w:t>
      </w:r>
      <w:r w:rsidR="007725C3" w:rsidRPr="00F561CD">
        <w:rPr>
          <w:rFonts w:ascii="Times New Roman" w:hAnsi="Times New Roman" w:cs="Times New Roman"/>
          <w:sz w:val="24"/>
          <w:szCs w:val="24"/>
        </w:rPr>
        <w:t xml:space="preserve">g tool by forcing Staff and other parties to bear a burden found in no Commission law.  </w:t>
      </w:r>
    </w:p>
    <w:p w:rsidR="00384811" w:rsidRDefault="00F54608" w:rsidP="00410E8F">
      <w:pPr>
        <w:pStyle w:val="ListParagraph"/>
        <w:numPr>
          <w:ilvl w:val="0"/>
          <w:numId w:val="1"/>
        </w:numPr>
        <w:spacing w:after="0" w:line="480" w:lineRule="auto"/>
        <w:rPr>
          <w:rFonts w:ascii="Times New Roman" w:hAnsi="Times New Roman" w:cs="Times New Roman"/>
          <w:sz w:val="24"/>
          <w:szCs w:val="24"/>
        </w:rPr>
      </w:pPr>
      <w:r w:rsidRPr="00384811">
        <w:rPr>
          <w:rFonts w:ascii="Times New Roman" w:hAnsi="Times New Roman" w:cs="Times New Roman"/>
          <w:sz w:val="24"/>
          <w:szCs w:val="24"/>
        </w:rPr>
        <w:tab/>
      </w:r>
      <w:r w:rsidR="0094412E" w:rsidRPr="00384811">
        <w:rPr>
          <w:rFonts w:ascii="Times New Roman" w:hAnsi="Times New Roman" w:cs="Times New Roman"/>
          <w:sz w:val="24"/>
          <w:szCs w:val="24"/>
        </w:rPr>
        <w:t xml:space="preserve">This explains why </w:t>
      </w:r>
      <w:r w:rsidR="00177E3C" w:rsidRPr="00384811">
        <w:rPr>
          <w:rFonts w:ascii="Times New Roman" w:hAnsi="Times New Roman" w:cs="Times New Roman"/>
          <w:sz w:val="24"/>
          <w:szCs w:val="24"/>
        </w:rPr>
        <w:t xml:space="preserve">it is no surprise </w:t>
      </w:r>
      <w:r w:rsidR="0094412E" w:rsidRPr="00384811">
        <w:rPr>
          <w:rFonts w:ascii="Times New Roman" w:hAnsi="Times New Roman" w:cs="Times New Roman"/>
          <w:sz w:val="24"/>
          <w:szCs w:val="24"/>
        </w:rPr>
        <w:t>the</w:t>
      </w:r>
      <w:r w:rsidR="00AB01C7" w:rsidRPr="00384811">
        <w:rPr>
          <w:rFonts w:ascii="Times New Roman" w:hAnsi="Times New Roman" w:cs="Times New Roman"/>
          <w:sz w:val="24"/>
          <w:szCs w:val="24"/>
        </w:rPr>
        <w:t xml:space="preserve"> </w:t>
      </w:r>
      <w:r w:rsidR="007725C3" w:rsidRPr="00384811">
        <w:rPr>
          <w:rFonts w:ascii="Times New Roman" w:hAnsi="Times New Roman" w:cs="Times New Roman"/>
          <w:sz w:val="24"/>
          <w:szCs w:val="24"/>
        </w:rPr>
        <w:t>Company</w:t>
      </w:r>
      <w:r w:rsidR="0094412E" w:rsidRPr="00384811">
        <w:rPr>
          <w:rFonts w:ascii="Times New Roman" w:hAnsi="Times New Roman" w:cs="Times New Roman"/>
          <w:sz w:val="24"/>
          <w:szCs w:val="24"/>
        </w:rPr>
        <w:t xml:space="preserve"> cite</w:t>
      </w:r>
      <w:r w:rsidR="008D20A7">
        <w:rPr>
          <w:rFonts w:ascii="Times New Roman" w:hAnsi="Times New Roman" w:cs="Times New Roman"/>
          <w:sz w:val="24"/>
          <w:szCs w:val="24"/>
        </w:rPr>
        <w:t>s</w:t>
      </w:r>
      <w:r w:rsidR="0094412E" w:rsidRPr="00384811">
        <w:rPr>
          <w:rFonts w:ascii="Times New Roman" w:hAnsi="Times New Roman" w:cs="Times New Roman"/>
          <w:sz w:val="24"/>
          <w:szCs w:val="24"/>
        </w:rPr>
        <w:t xml:space="preserve"> no case from any</w:t>
      </w:r>
      <w:r w:rsidR="00A3428E" w:rsidRPr="00384811">
        <w:rPr>
          <w:rFonts w:ascii="Times New Roman" w:hAnsi="Times New Roman" w:cs="Times New Roman"/>
          <w:sz w:val="24"/>
          <w:szCs w:val="24"/>
        </w:rPr>
        <w:t xml:space="preserve"> jurisdiction requiring “clear and compelling” evidence before a commission can protect ratepayers by using a more economical capital structure than the one employed by the utility.</w:t>
      </w:r>
      <w:r w:rsidR="007725C3" w:rsidRPr="00384811">
        <w:rPr>
          <w:rFonts w:ascii="Times New Roman" w:hAnsi="Times New Roman" w:cs="Times New Roman"/>
          <w:sz w:val="24"/>
          <w:szCs w:val="24"/>
        </w:rPr>
        <w:t xml:space="preserve">  </w:t>
      </w:r>
      <w:r w:rsidR="0094412E" w:rsidRPr="00384811">
        <w:rPr>
          <w:rFonts w:ascii="Times New Roman" w:hAnsi="Times New Roman" w:cs="Times New Roman"/>
          <w:sz w:val="24"/>
          <w:szCs w:val="24"/>
        </w:rPr>
        <w:t xml:space="preserve">It also explains why, </w:t>
      </w:r>
      <w:r w:rsidR="00A3428E" w:rsidRPr="00384811">
        <w:rPr>
          <w:rFonts w:ascii="Times New Roman" w:hAnsi="Times New Roman" w:cs="Times New Roman"/>
          <w:sz w:val="24"/>
          <w:szCs w:val="24"/>
        </w:rPr>
        <w:t xml:space="preserve">as </w:t>
      </w:r>
      <w:r w:rsidR="0094412E" w:rsidRPr="00384811">
        <w:rPr>
          <w:rFonts w:ascii="Times New Roman" w:hAnsi="Times New Roman" w:cs="Times New Roman"/>
          <w:sz w:val="24"/>
          <w:szCs w:val="24"/>
        </w:rPr>
        <w:t>the Company</w:t>
      </w:r>
      <w:r w:rsidR="00A3428E" w:rsidRPr="00384811">
        <w:rPr>
          <w:rFonts w:ascii="Times New Roman" w:hAnsi="Times New Roman" w:cs="Times New Roman"/>
          <w:sz w:val="24"/>
          <w:szCs w:val="24"/>
        </w:rPr>
        <w:t xml:space="preserve"> confirmed in a </w:t>
      </w:r>
      <w:r w:rsidR="0094412E" w:rsidRPr="00384811">
        <w:rPr>
          <w:rFonts w:ascii="Times New Roman" w:hAnsi="Times New Roman" w:cs="Times New Roman"/>
          <w:sz w:val="24"/>
          <w:szCs w:val="24"/>
        </w:rPr>
        <w:t>discovery response</w:t>
      </w:r>
      <w:r w:rsidR="007725C3" w:rsidRPr="00384811">
        <w:rPr>
          <w:rFonts w:ascii="Times New Roman" w:hAnsi="Times New Roman" w:cs="Times New Roman"/>
          <w:sz w:val="24"/>
          <w:szCs w:val="24"/>
        </w:rPr>
        <w:t>, the Commission has used the “safety and economy” standard</w:t>
      </w:r>
      <w:r w:rsidR="00A3428E" w:rsidRPr="00384811">
        <w:rPr>
          <w:rFonts w:ascii="Times New Roman" w:hAnsi="Times New Roman" w:cs="Times New Roman"/>
          <w:sz w:val="24"/>
          <w:szCs w:val="24"/>
        </w:rPr>
        <w:t xml:space="preserve"> for PacifiCorp</w:t>
      </w:r>
      <w:r w:rsidR="007725C3" w:rsidRPr="00384811">
        <w:rPr>
          <w:rFonts w:ascii="Times New Roman" w:hAnsi="Times New Roman" w:cs="Times New Roman"/>
          <w:sz w:val="24"/>
          <w:szCs w:val="24"/>
        </w:rPr>
        <w:t>,</w:t>
      </w:r>
      <w:r w:rsidR="007725C3" w:rsidRPr="007725C3">
        <w:rPr>
          <w:vertAlign w:val="superscript"/>
        </w:rPr>
        <w:footnoteReference w:id="6"/>
      </w:r>
      <w:r w:rsidR="007725C3" w:rsidRPr="00384811">
        <w:rPr>
          <w:rFonts w:ascii="Times New Roman" w:hAnsi="Times New Roman" w:cs="Times New Roman"/>
          <w:sz w:val="24"/>
          <w:szCs w:val="24"/>
        </w:rPr>
        <w:t xml:space="preserve"> including the Company’s last contested rate case.</w:t>
      </w:r>
      <w:r w:rsidR="007725C3" w:rsidRPr="007725C3">
        <w:rPr>
          <w:vertAlign w:val="superscript"/>
        </w:rPr>
        <w:footnoteReference w:id="7"/>
      </w:r>
      <w:r w:rsidR="007725C3" w:rsidRPr="00384811">
        <w:rPr>
          <w:rFonts w:ascii="Times New Roman" w:hAnsi="Times New Roman" w:cs="Times New Roman"/>
          <w:sz w:val="24"/>
          <w:szCs w:val="24"/>
        </w:rPr>
        <w:t xml:space="preserve">  </w:t>
      </w:r>
    </w:p>
    <w:p w:rsidR="0078626C" w:rsidRPr="00384811" w:rsidRDefault="00384811" w:rsidP="00384811">
      <w:pPr>
        <w:pStyle w:val="ListParagraph"/>
        <w:numPr>
          <w:ilvl w:val="0"/>
          <w:numId w:val="1"/>
        </w:numPr>
        <w:spacing w:after="0" w:line="480" w:lineRule="auto"/>
        <w:rPr>
          <w:rFonts w:ascii="Times New Roman" w:hAnsi="Times New Roman" w:cs="Times New Roman"/>
          <w:b/>
          <w:sz w:val="24"/>
          <w:szCs w:val="24"/>
        </w:rPr>
      </w:pPr>
      <w:r w:rsidRPr="00384811">
        <w:rPr>
          <w:rFonts w:ascii="Times New Roman" w:hAnsi="Times New Roman" w:cs="Times New Roman"/>
          <w:sz w:val="24"/>
          <w:szCs w:val="24"/>
        </w:rPr>
        <w:lastRenderedPageBreak/>
        <w:tab/>
      </w:r>
      <w:r w:rsidR="007725C3" w:rsidRPr="00384811">
        <w:rPr>
          <w:rFonts w:ascii="Times New Roman" w:hAnsi="Times New Roman" w:cs="Times New Roman"/>
          <w:sz w:val="24"/>
          <w:szCs w:val="24"/>
        </w:rPr>
        <w:t xml:space="preserve">In sum, the Commission was eminently correct to reaffirm the “safety and economy” standard and </w:t>
      </w:r>
      <w:r w:rsidRPr="00384811">
        <w:rPr>
          <w:rFonts w:ascii="Times New Roman" w:hAnsi="Times New Roman" w:cs="Times New Roman"/>
          <w:sz w:val="24"/>
          <w:szCs w:val="24"/>
        </w:rPr>
        <w:t xml:space="preserve">again </w:t>
      </w:r>
      <w:r w:rsidR="007725C3" w:rsidRPr="00384811">
        <w:rPr>
          <w:rFonts w:ascii="Times New Roman" w:hAnsi="Times New Roman" w:cs="Times New Roman"/>
          <w:sz w:val="24"/>
          <w:szCs w:val="24"/>
        </w:rPr>
        <w:t xml:space="preserve">apply it to PacifiCorp </w:t>
      </w:r>
      <w:r w:rsidR="00185EFA">
        <w:rPr>
          <w:rFonts w:ascii="Times New Roman" w:hAnsi="Times New Roman" w:cs="Times New Roman"/>
          <w:sz w:val="24"/>
          <w:szCs w:val="24"/>
        </w:rPr>
        <w:t>here</w:t>
      </w:r>
      <w:r w:rsidR="007725C3" w:rsidRPr="00384811">
        <w:rPr>
          <w:rFonts w:ascii="Times New Roman" w:hAnsi="Times New Roman" w:cs="Times New Roman"/>
          <w:sz w:val="24"/>
          <w:szCs w:val="24"/>
        </w:rPr>
        <w:t>.</w:t>
      </w:r>
      <w:r w:rsidR="007725C3" w:rsidRPr="007725C3">
        <w:rPr>
          <w:vertAlign w:val="superscript"/>
        </w:rPr>
        <w:footnoteReference w:id="8"/>
      </w:r>
    </w:p>
    <w:p w:rsidR="007725C3" w:rsidRPr="007725C3" w:rsidRDefault="006849B6" w:rsidP="007725C3">
      <w:pPr>
        <w:spacing w:line="240" w:lineRule="auto"/>
        <w:ind w:left="2160" w:hanging="720"/>
        <w:contextualSpacing/>
        <w:rPr>
          <w:rFonts w:ascii="Times New Roman" w:hAnsi="Times New Roman" w:cs="Times New Roman"/>
          <w:b/>
          <w:sz w:val="24"/>
          <w:szCs w:val="24"/>
        </w:rPr>
      </w:pPr>
      <w:r w:rsidRPr="006849B6">
        <w:rPr>
          <w:rFonts w:ascii="Times New Roman" w:hAnsi="Times New Roman" w:cs="Times New Roman"/>
          <w:b/>
          <w:sz w:val="24"/>
          <w:szCs w:val="24"/>
        </w:rPr>
        <w:t>b.</w:t>
      </w:r>
      <w:r w:rsidRPr="006849B6">
        <w:rPr>
          <w:rFonts w:ascii="Times New Roman" w:hAnsi="Times New Roman" w:cs="Times New Roman"/>
          <w:b/>
          <w:sz w:val="24"/>
          <w:szCs w:val="24"/>
        </w:rPr>
        <w:tab/>
        <w:t xml:space="preserve">The Commission Should </w:t>
      </w:r>
      <w:r w:rsidR="00B33246">
        <w:rPr>
          <w:rFonts w:ascii="Times New Roman" w:hAnsi="Times New Roman" w:cs="Times New Roman"/>
          <w:b/>
          <w:sz w:val="24"/>
          <w:szCs w:val="24"/>
        </w:rPr>
        <w:t xml:space="preserve">Continue to </w:t>
      </w:r>
      <w:r w:rsidRPr="006849B6">
        <w:rPr>
          <w:rFonts w:ascii="Times New Roman" w:hAnsi="Times New Roman" w:cs="Times New Roman"/>
          <w:b/>
          <w:sz w:val="24"/>
          <w:szCs w:val="24"/>
        </w:rPr>
        <w:t xml:space="preserve">Reject PacifiCorp’s Case </w:t>
      </w:r>
      <w:r w:rsidR="00B33246">
        <w:rPr>
          <w:rFonts w:ascii="Times New Roman" w:hAnsi="Times New Roman" w:cs="Times New Roman"/>
          <w:b/>
          <w:sz w:val="24"/>
          <w:szCs w:val="24"/>
        </w:rPr>
        <w:t>on Capital Structure B</w:t>
      </w:r>
      <w:r w:rsidRPr="006849B6">
        <w:rPr>
          <w:rFonts w:ascii="Times New Roman" w:hAnsi="Times New Roman" w:cs="Times New Roman"/>
          <w:b/>
          <w:sz w:val="24"/>
          <w:szCs w:val="24"/>
        </w:rPr>
        <w:t xml:space="preserve">ecause it is </w:t>
      </w:r>
      <w:r w:rsidR="004305C7">
        <w:rPr>
          <w:rFonts w:ascii="Times New Roman" w:hAnsi="Times New Roman" w:cs="Times New Roman"/>
          <w:b/>
          <w:sz w:val="24"/>
          <w:szCs w:val="24"/>
        </w:rPr>
        <w:t>Fail</w:t>
      </w:r>
      <w:r w:rsidR="00615B74">
        <w:rPr>
          <w:rFonts w:ascii="Times New Roman" w:hAnsi="Times New Roman" w:cs="Times New Roman"/>
          <w:b/>
          <w:sz w:val="24"/>
          <w:szCs w:val="24"/>
        </w:rPr>
        <w:t>s</w:t>
      </w:r>
      <w:r w:rsidR="004305C7">
        <w:rPr>
          <w:rFonts w:ascii="Times New Roman" w:hAnsi="Times New Roman" w:cs="Times New Roman"/>
          <w:b/>
          <w:sz w:val="24"/>
          <w:szCs w:val="24"/>
        </w:rPr>
        <w:t xml:space="preserve"> to </w:t>
      </w:r>
      <w:r w:rsidR="00615B74">
        <w:rPr>
          <w:rFonts w:ascii="Times New Roman" w:hAnsi="Times New Roman" w:cs="Times New Roman"/>
          <w:b/>
          <w:sz w:val="24"/>
          <w:szCs w:val="24"/>
        </w:rPr>
        <w:t>Satisfy</w:t>
      </w:r>
      <w:r w:rsidR="004305C7">
        <w:rPr>
          <w:rFonts w:ascii="Times New Roman" w:hAnsi="Times New Roman" w:cs="Times New Roman"/>
          <w:b/>
          <w:sz w:val="24"/>
          <w:szCs w:val="24"/>
        </w:rPr>
        <w:t xml:space="preserve"> the “Safety and Economy” </w:t>
      </w:r>
      <w:r w:rsidRPr="006849B6">
        <w:rPr>
          <w:rFonts w:ascii="Times New Roman" w:hAnsi="Times New Roman" w:cs="Times New Roman"/>
          <w:b/>
          <w:sz w:val="24"/>
          <w:szCs w:val="24"/>
        </w:rPr>
        <w:t xml:space="preserve">Standard </w:t>
      </w:r>
    </w:p>
    <w:p w:rsidR="007725C3" w:rsidRDefault="007725C3" w:rsidP="00171CF0">
      <w:pPr>
        <w:spacing w:after="0" w:line="240" w:lineRule="auto"/>
        <w:contextualSpacing/>
        <w:rPr>
          <w:rFonts w:ascii="Times New Roman" w:hAnsi="Times New Roman" w:cs="Times New Roman"/>
          <w:sz w:val="24"/>
          <w:szCs w:val="24"/>
        </w:rPr>
      </w:pPr>
    </w:p>
    <w:p w:rsidR="007725C3" w:rsidRPr="00BE7140" w:rsidRDefault="00BE7140" w:rsidP="00BE71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7725C3" w:rsidRPr="00BE7140">
        <w:rPr>
          <w:rFonts w:ascii="Times New Roman" w:hAnsi="Times New Roman" w:cs="Times New Roman"/>
          <w:sz w:val="24"/>
          <w:szCs w:val="24"/>
        </w:rPr>
        <w:t>Because PacifiCorp based its case on the wrong standard</w:t>
      </w:r>
      <w:r w:rsidR="009E1CC0">
        <w:rPr>
          <w:rFonts w:ascii="Times New Roman" w:hAnsi="Times New Roman" w:cs="Times New Roman"/>
          <w:sz w:val="24"/>
          <w:szCs w:val="24"/>
        </w:rPr>
        <w:t xml:space="preserve"> for evaluating capital structure</w:t>
      </w:r>
      <w:r w:rsidR="007725C3" w:rsidRPr="00BE7140">
        <w:rPr>
          <w:rFonts w:ascii="Times New Roman" w:hAnsi="Times New Roman" w:cs="Times New Roman"/>
          <w:sz w:val="24"/>
          <w:szCs w:val="24"/>
        </w:rPr>
        <w:t xml:space="preserve">, the Commission is fully justified in rejecting PacifiCorp’s Petition on capital structure.  In fact, the Company’s </w:t>
      </w:r>
      <w:r w:rsidR="004305C7">
        <w:rPr>
          <w:rFonts w:ascii="Times New Roman" w:hAnsi="Times New Roman" w:cs="Times New Roman"/>
          <w:sz w:val="24"/>
          <w:szCs w:val="24"/>
        </w:rPr>
        <w:t xml:space="preserve">careful </w:t>
      </w:r>
      <w:r w:rsidR="007725C3" w:rsidRPr="00BE7140">
        <w:rPr>
          <w:rFonts w:ascii="Times New Roman" w:hAnsi="Times New Roman" w:cs="Times New Roman"/>
          <w:sz w:val="24"/>
          <w:szCs w:val="24"/>
        </w:rPr>
        <w:t xml:space="preserve">avoidance of the proper standard is showcased </w:t>
      </w:r>
      <w:r w:rsidR="004305C7">
        <w:rPr>
          <w:rFonts w:ascii="Times New Roman" w:hAnsi="Times New Roman" w:cs="Times New Roman"/>
          <w:sz w:val="24"/>
          <w:szCs w:val="24"/>
        </w:rPr>
        <w:t xml:space="preserve">again </w:t>
      </w:r>
      <w:r w:rsidR="0094412E">
        <w:rPr>
          <w:rFonts w:ascii="Times New Roman" w:hAnsi="Times New Roman" w:cs="Times New Roman"/>
          <w:sz w:val="24"/>
          <w:szCs w:val="24"/>
        </w:rPr>
        <w:t xml:space="preserve">in its Petition, where the </w:t>
      </w:r>
      <w:r w:rsidR="00AB01C7">
        <w:rPr>
          <w:rFonts w:ascii="Times New Roman" w:hAnsi="Times New Roman" w:cs="Times New Roman"/>
          <w:sz w:val="24"/>
          <w:szCs w:val="24"/>
        </w:rPr>
        <w:t xml:space="preserve">Company </w:t>
      </w:r>
      <w:r w:rsidR="007725C3" w:rsidRPr="00BE7140">
        <w:rPr>
          <w:rFonts w:ascii="Times New Roman" w:hAnsi="Times New Roman" w:cs="Times New Roman"/>
          <w:sz w:val="24"/>
          <w:szCs w:val="24"/>
        </w:rPr>
        <w:t>admi</w:t>
      </w:r>
      <w:r w:rsidR="0094412E">
        <w:rPr>
          <w:rFonts w:ascii="Times New Roman" w:hAnsi="Times New Roman" w:cs="Times New Roman"/>
          <w:sz w:val="24"/>
          <w:szCs w:val="24"/>
        </w:rPr>
        <w:t xml:space="preserve">ts to </w:t>
      </w:r>
      <w:r w:rsidR="007725C3" w:rsidRPr="00BE7140">
        <w:rPr>
          <w:rFonts w:ascii="Times New Roman" w:hAnsi="Times New Roman" w:cs="Times New Roman"/>
          <w:sz w:val="24"/>
          <w:szCs w:val="24"/>
        </w:rPr>
        <w:t>justif</w:t>
      </w:r>
      <w:r w:rsidR="0094412E">
        <w:rPr>
          <w:rFonts w:ascii="Times New Roman" w:hAnsi="Times New Roman" w:cs="Times New Roman"/>
          <w:sz w:val="24"/>
          <w:szCs w:val="24"/>
        </w:rPr>
        <w:t>ying</w:t>
      </w:r>
      <w:r w:rsidR="007725C3" w:rsidRPr="00BE7140">
        <w:rPr>
          <w:rFonts w:ascii="Times New Roman" w:hAnsi="Times New Roman" w:cs="Times New Roman"/>
          <w:sz w:val="24"/>
          <w:szCs w:val="24"/>
        </w:rPr>
        <w:t xml:space="preserve"> its proposed capital structure </w:t>
      </w:r>
      <w:r w:rsidR="0094412E">
        <w:rPr>
          <w:rFonts w:ascii="Times New Roman" w:hAnsi="Times New Roman" w:cs="Times New Roman"/>
          <w:sz w:val="24"/>
          <w:szCs w:val="24"/>
        </w:rPr>
        <w:t xml:space="preserve">solely </w:t>
      </w:r>
      <w:r w:rsidR="007725C3" w:rsidRPr="00BE7140">
        <w:rPr>
          <w:rFonts w:ascii="Times New Roman" w:hAnsi="Times New Roman" w:cs="Times New Roman"/>
          <w:sz w:val="24"/>
          <w:szCs w:val="24"/>
        </w:rPr>
        <w:t>on maintaining its A- credit rating,</w:t>
      </w:r>
      <w:r w:rsidR="007725C3" w:rsidRPr="007725C3">
        <w:rPr>
          <w:vertAlign w:val="superscript"/>
        </w:rPr>
        <w:footnoteReference w:id="9"/>
      </w:r>
      <w:r w:rsidR="007725C3" w:rsidRPr="00BE7140">
        <w:rPr>
          <w:rFonts w:ascii="Times New Roman" w:hAnsi="Times New Roman" w:cs="Times New Roman"/>
          <w:sz w:val="24"/>
          <w:szCs w:val="24"/>
        </w:rPr>
        <w:t xml:space="preserve"> i.e., not on the overall safety and economy of that capital structure.   </w:t>
      </w:r>
    </w:p>
    <w:p w:rsidR="007725C3" w:rsidRPr="00BE7140" w:rsidRDefault="00BE7140" w:rsidP="00BE71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7725C3" w:rsidRPr="00BE7140">
        <w:rPr>
          <w:rFonts w:ascii="Times New Roman" w:hAnsi="Times New Roman" w:cs="Times New Roman"/>
          <w:sz w:val="24"/>
          <w:szCs w:val="24"/>
        </w:rPr>
        <w:t>To be sure, PacifiCorp is quick to point to the Commission’s recognition of the customer benefits of a very high equity ratio,</w:t>
      </w:r>
      <w:r w:rsidR="007725C3" w:rsidRPr="007725C3">
        <w:rPr>
          <w:vertAlign w:val="superscript"/>
        </w:rPr>
        <w:footnoteReference w:id="10"/>
      </w:r>
      <w:r w:rsidR="007725C3" w:rsidRPr="00BE7140">
        <w:rPr>
          <w:rFonts w:ascii="Times New Roman" w:hAnsi="Times New Roman" w:cs="Times New Roman"/>
          <w:sz w:val="24"/>
          <w:szCs w:val="24"/>
        </w:rPr>
        <w:t xml:space="preserve"> but under the “economy” part of the Commission’s “safety and economy” standard, that is not enough; the Company also </w:t>
      </w:r>
      <w:r w:rsidR="009E1CC0">
        <w:rPr>
          <w:rFonts w:ascii="Times New Roman" w:hAnsi="Times New Roman" w:cs="Times New Roman"/>
          <w:sz w:val="24"/>
          <w:szCs w:val="24"/>
        </w:rPr>
        <w:t xml:space="preserve">bears the burden to </w:t>
      </w:r>
      <w:r w:rsidR="007725C3" w:rsidRPr="00BE7140">
        <w:rPr>
          <w:rFonts w:ascii="Times New Roman" w:hAnsi="Times New Roman" w:cs="Times New Roman"/>
          <w:sz w:val="24"/>
          <w:szCs w:val="24"/>
        </w:rPr>
        <w:t>prove those “benefits” meet or exceed the cost</w:t>
      </w:r>
      <w:r w:rsidR="009E1CC0">
        <w:rPr>
          <w:rFonts w:ascii="Times New Roman" w:hAnsi="Times New Roman" w:cs="Times New Roman"/>
          <w:sz w:val="24"/>
          <w:szCs w:val="24"/>
        </w:rPr>
        <w:t xml:space="preserve"> of that high equity ratio</w:t>
      </w:r>
      <w:r w:rsidR="007725C3" w:rsidRPr="00BE7140">
        <w:rPr>
          <w:rFonts w:ascii="Times New Roman" w:hAnsi="Times New Roman" w:cs="Times New Roman"/>
          <w:sz w:val="24"/>
          <w:szCs w:val="24"/>
        </w:rPr>
        <w:t xml:space="preserve">.  </w:t>
      </w:r>
    </w:p>
    <w:p w:rsidR="009E1CC0" w:rsidRDefault="00BE7140" w:rsidP="00BE7140">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725C3" w:rsidRPr="00BE7140">
        <w:rPr>
          <w:rFonts w:ascii="Times New Roman" w:hAnsi="Times New Roman" w:cs="Times New Roman"/>
          <w:sz w:val="24"/>
          <w:szCs w:val="24"/>
        </w:rPr>
        <w:t>PacifiCorp offer</w:t>
      </w:r>
      <w:r w:rsidR="009E1CC0">
        <w:rPr>
          <w:rFonts w:ascii="Times New Roman" w:hAnsi="Times New Roman" w:cs="Times New Roman"/>
          <w:sz w:val="24"/>
          <w:szCs w:val="24"/>
        </w:rPr>
        <w:t xml:space="preserve">ed </w:t>
      </w:r>
      <w:r w:rsidR="007725C3" w:rsidRPr="00BE7140">
        <w:rPr>
          <w:rFonts w:ascii="Times New Roman" w:hAnsi="Times New Roman" w:cs="Times New Roman"/>
          <w:sz w:val="24"/>
          <w:szCs w:val="24"/>
        </w:rPr>
        <w:t xml:space="preserve">nothing </w:t>
      </w:r>
      <w:r w:rsidR="009E1CC0">
        <w:rPr>
          <w:rFonts w:ascii="Times New Roman" w:hAnsi="Times New Roman" w:cs="Times New Roman"/>
          <w:sz w:val="24"/>
          <w:szCs w:val="24"/>
        </w:rPr>
        <w:t xml:space="preserve">at hearing </w:t>
      </w:r>
      <w:r w:rsidR="001E0F9B">
        <w:rPr>
          <w:rFonts w:ascii="Times New Roman" w:hAnsi="Times New Roman" w:cs="Times New Roman"/>
          <w:sz w:val="24"/>
          <w:szCs w:val="24"/>
        </w:rPr>
        <w:t>or</w:t>
      </w:r>
      <w:r w:rsidR="009E1CC0">
        <w:rPr>
          <w:rFonts w:ascii="Times New Roman" w:hAnsi="Times New Roman" w:cs="Times New Roman"/>
          <w:sz w:val="24"/>
          <w:szCs w:val="24"/>
        </w:rPr>
        <w:t xml:space="preserve"> in its Petition </w:t>
      </w:r>
      <w:r w:rsidR="007725C3" w:rsidRPr="00BE7140">
        <w:rPr>
          <w:rFonts w:ascii="Times New Roman" w:hAnsi="Times New Roman" w:cs="Times New Roman"/>
          <w:sz w:val="24"/>
          <w:szCs w:val="24"/>
        </w:rPr>
        <w:t>on that score,</w:t>
      </w:r>
      <w:r w:rsidR="00E7340C">
        <w:rPr>
          <w:rStyle w:val="FootnoteReference"/>
          <w:rFonts w:cs="Times New Roman"/>
          <w:sz w:val="24"/>
          <w:szCs w:val="24"/>
        </w:rPr>
        <w:footnoteReference w:id="11"/>
      </w:r>
      <w:r w:rsidR="007725C3" w:rsidRPr="00BE7140">
        <w:rPr>
          <w:rFonts w:ascii="Times New Roman" w:hAnsi="Times New Roman" w:cs="Times New Roman"/>
          <w:sz w:val="24"/>
          <w:szCs w:val="24"/>
        </w:rPr>
        <w:t xml:space="preserve"> nor could it.  With Standard &amp; Poor’s recognizing that the “predominance” of utilities in this country are rated BBB, and a</w:t>
      </w:r>
      <w:r w:rsidR="00693F49">
        <w:rPr>
          <w:rFonts w:ascii="Times New Roman" w:hAnsi="Times New Roman" w:cs="Times New Roman"/>
          <w:sz w:val="24"/>
          <w:szCs w:val="24"/>
        </w:rPr>
        <w:t>ny electric company with a</w:t>
      </w:r>
      <w:r w:rsidR="007725C3" w:rsidRPr="00BE7140">
        <w:rPr>
          <w:rFonts w:ascii="Times New Roman" w:hAnsi="Times New Roman" w:cs="Times New Roman"/>
          <w:sz w:val="24"/>
          <w:szCs w:val="24"/>
        </w:rPr>
        <w:t xml:space="preserve"> 46.5 percent common equity ratio is “firmly investment grade”,</w:t>
      </w:r>
      <w:r w:rsidR="007725C3" w:rsidRPr="007725C3">
        <w:rPr>
          <w:vertAlign w:val="superscript"/>
        </w:rPr>
        <w:footnoteReference w:id="12"/>
      </w:r>
      <w:r w:rsidR="007725C3" w:rsidRPr="00BE7140">
        <w:rPr>
          <w:rFonts w:ascii="Times New Roman" w:hAnsi="Times New Roman" w:cs="Times New Roman"/>
          <w:sz w:val="24"/>
          <w:szCs w:val="24"/>
        </w:rPr>
        <w:t xml:space="preserve"> there is no way PacifiCorp can satisfy the “economy” part of the </w:t>
      </w:r>
      <w:r w:rsidR="007725C3" w:rsidRPr="00BE7140">
        <w:rPr>
          <w:rFonts w:ascii="Times New Roman" w:hAnsi="Times New Roman" w:cs="Times New Roman"/>
          <w:sz w:val="24"/>
          <w:szCs w:val="24"/>
        </w:rPr>
        <w:lastRenderedPageBreak/>
        <w:t xml:space="preserve">“safety and economy” standard using even the 49.1 percent equity ratio the Commission allowed, let alone </w:t>
      </w:r>
      <w:r w:rsidR="009E1CC0">
        <w:rPr>
          <w:rFonts w:ascii="Times New Roman" w:hAnsi="Times New Roman" w:cs="Times New Roman"/>
          <w:sz w:val="24"/>
          <w:szCs w:val="24"/>
        </w:rPr>
        <w:t>the</w:t>
      </w:r>
      <w:r w:rsidR="007725C3" w:rsidRPr="00BE7140">
        <w:rPr>
          <w:rFonts w:ascii="Times New Roman" w:hAnsi="Times New Roman" w:cs="Times New Roman"/>
          <w:sz w:val="24"/>
          <w:szCs w:val="24"/>
        </w:rPr>
        <w:t xml:space="preserve"> 52</w:t>
      </w:r>
      <w:r w:rsidR="009E1CC0">
        <w:rPr>
          <w:rFonts w:ascii="Times New Roman" w:hAnsi="Times New Roman" w:cs="Times New Roman"/>
          <w:sz w:val="24"/>
          <w:szCs w:val="24"/>
        </w:rPr>
        <w:t>.1</w:t>
      </w:r>
      <w:r w:rsidR="007725C3" w:rsidRPr="00BE7140">
        <w:rPr>
          <w:rFonts w:ascii="Times New Roman" w:hAnsi="Times New Roman" w:cs="Times New Roman"/>
          <w:sz w:val="24"/>
          <w:szCs w:val="24"/>
        </w:rPr>
        <w:t xml:space="preserve"> percent equity ratio</w:t>
      </w:r>
      <w:r w:rsidR="009E1CC0">
        <w:rPr>
          <w:rFonts w:ascii="Times New Roman" w:hAnsi="Times New Roman" w:cs="Times New Roman"/>
          <w:sz w:val="24"/>
          <w:szCs w:val="24"/>
        </w:rPr>
        <w:t xml:space="preserve"> the Company </w:t>
      </w:r>
      <w:r w:rsidR="00693F49">
        <w:rPr>
          <w:rFonts w:ascii="Times New Roman" w:hAnsi="Times New Roman" w:cs="Times New Roman"/>
          <w:sz w:val="24"/>
          <w:szCs w:val="24"/>
        </w:rPr>
        <w:t>advocates now</w:t>
      </w:r>
      <w:r w:rsidR="007725C3" w:rsidRPr="00BE7140">
        <w:rPr>
          <w:rFonts w:ascii="Times New Roman" w:hAnsi="Times New Roman" w:cs="Times New Roman"/>
          <w:sz w:val="24"/>
          <w:szCs w:val="24"/>
        </w:rPr>
        <w:t>.</w:t>
      </w:r>
      <w:r w:rsidR="007725C3" w:rsidRPr="007725C3">
        <w:rPr>
          <w:vertAlign w:val="superscript"/>
        </w:rPr>
        <w:footnoteReference w:id="13"/>
      </w:r>
      <w:r w:rsidR="007725C3" w:rsidRPr="00BE7140">
        <w:rPr>
          <w:rFonts w:ascii="Times New Roman" w:hAnsi="Times New Roman" w:cs="Times New Roman"/>
          <w:sz w:val="24"/>
          <w:szCs w:val="24"/>
        </w:rPr>
        <w:t xml:space="preserve"> </w:t>
      </w:r>
      <w:r w:rsidR="00C07E79" w:rsidRPr="00BE7140">
        <w:rPr>
          <w:rFonts w:ascii="Times New Roman" w:hAnsi="Times New Roman" w:cs="Times New Roman"/>
          <w:sz w:val="24"/>
          <w:szCs w:val="24"/>
        </w:rPr>
        <w:t xml:space="preserve"> </w:t>
      </w:r>
    </w:p>
    <w:p w:rsidR="007725C3" w:rsidRPr="00BE7140" w:rsidRDefault="009E1CC0" w:rsidP="00BE7140">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07E79" w:rsidRPr="00BE7140">
        <w:rPr>
          <w:rFonts w:ascii="Times New Roman" w:hAnsi="Times New Roman" w:cs="Times New Roman"/>
          <w:sz w:val="24"/>
          <w:szCs w:val="24"/>
        </w:rPr>
        <w:t xml:space="preserve">The Commission </w:t>
      </w:r>
      <w:r>
        <w:rPr>
          <w:rFonts w:ascii="Times New Roman" w:hAnsi="Times New Roman" w:cs="Times New Roman"/>
          <w:sz w:val="24"/>
          <w:szCs w:val="24"/>
        </w:rPr>
        <w:t xml:space="preserve">properly applied the correct principles </w:t>
      </w:r>
      <w:r w:rsidR="00C07E79" w:rsidRPr="00BE7140">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00C07E79" w:rsidRPr="00BE7140">
        <w:rPr>
          <w:rFonts w:ascii="Times New Roman" w:hAnsi="Times New Roman" w:cs="Times New Roman"/>
          <w:sz w:val="24"/>
          <w:szCs w:val="24"/>
        </w:rPr>
        <w:t>PSE Order we quoted above,</w:t>
      </w:r>
      <w:r w:rsidR="00E53F60">
        <w:rPr>
          <w:rStyle w:val="FootnoteReference"/>
          <w:rFonts w:cs="Times New Roman"/>
          <w:sz w:val="24"/>
          <w:szCs w:val="24"/>
        </w:rPr>
        <w:footnoteReference w:id="14"/>
      </w:r>
      <w:r w:rsidR="00C07E79" w:rsidRPr="00BE7140">
        <w:rPr>
          <w:rFonts w:ascii="Times New Roman" w:hAnsi="Times New Roman" w:cs="Times New Roman"/>
          <w:sz w:val="24"/>
          <w:szCs w:val="24"/>
        </w:rPr>
        <w:t xml:space="preserve"> where the Commission recognized that a BBB rating is sufficient to enable a utility to successfully finance to meet its public service obligations.  No more is necessary, particularly when that “more” is a</w:t>
      </w:r>
      <w:r w:rsidR="008B0EAA">
        <w:rPr>
          <w:rFonts w:ascii="Times New Roman" w:hAnsi="Times New Roman" w:cs="Times New Roman"/>
          <w:sz w:val="24"/>
          <w:szCs w:val="24"/>
        </w:rPr>
        <w:t xml:space="preserve">n A- rating </w:t>
      </w:r>
      <w:r w:rsidR="00384811">
        <w:rPr>
          <w:rFonts w:ascii="Times New Roman" w:hAnsi="Times New Roman" w:cs="Times New Roman"/>
          <w:sz w:val="24"/>
          <w:szCs w:val="24"/>
        </w:rPr>
        <w:t xml:space="preserve">purportedly justifying </w:t>
      </w:r>
      <w:r w:rsidR="008B0EAA">
        <w:rPr>
          <w:rFonts w:ascii="Times New Roman" w:hAnsi="Times New Roman" w:cs="Times New Roman"/>
          <w:sz w:val="24"/>
          <w:szCs w:val="24"/>
        </w:rPr>
        <w:t>a</w:t>
      </w:r>
      <w:r w:rsidR="00C07E79" w:rsidRPr="00BE7140">
        <w:rPr>
          <w:rFonts w:ascii="Times New Roman" w:hAnsi="Times New Roman" w:cs="Times New Roman"/>
          <w:sz w:val="24"/>
          <w:szCs w:val="24"/>
        </w:rPr>
        <w:t xml:space="preserve"> bloated</w:t>
      </w:r>
      <w:r>
        <w:rPr>
          <w:rFonts w:ascii="Times New Roman" w:hAnsi="Times New Roman" w:cs="Times New Roman"/>
          <w:sz w:val="24"/>
          <w:szCs w:val="24"/>
        </w:rPr>
        <w:t>, 52.1 percent</w:t>
      </w:r>
      <w:r w:rsidR="00C07E79" w:rsidRPr="00BE7140">
        <w:rPr>
          <w:rFonts w:ascii="Times New Roman" w:hAnsi="Times New Roman" w:cs="Times New Roman"/>
          <w:sz w:val="24"/>
          <w:szCs w:val="24"/>
        </w:rPr>
        <w:t xml:space="preserve"> equity ratio that increase</w:t>
      </w:r>
      <w:r w:rsidR="00C5635D" w:rsidRPr="00BE7140">
        <w:rPr>
          <w:rFonts w:ascii="Times New Roman" w:hAnsi="Times New Roman" w:cs="Times New Roman"/>
          <w:sz w:val="24"/>
          <w:szCs w:val="24"/>
        </w:rPr>
        <w:t>s</w:t>
      </w:r>
      <w:r w:rsidR="00C07E79" w:rsidRPr="00BE7140">
        <w:rPr>
          <w:rFonts w:ascii="Times New Roman" w:hAnsi="Times New Roman" w:cs="Times New Roman"/>
          <w:sz w:val="24"/>
          <w:szCs w:val="24"/>
        </w:rPr>
        <w:t xml:space="preserve"> the cost of capital unnecessarily</w:t>
      </w:r>
      <w:r w:rsidR="00C5635D" w:rsidRPr="00BE7140">
        <w:rPr>
          <w:rFonts w:ascii="Times New Roman" w:hAnsi="Times New Roman" w:cs="Times New Roman"/>
          <w:sz w:val="24"/>
          <w:szCs w:val="24"/>
        </w:rPr>
        <w:t xml:space="preserve"> and clearly benefit</w:t>
      </w:r>
      <w:r>
        <w:rPr>
          <w:rFonts w:ascii="Times New Roman" w:hAnsi="Times New Roman" w:cs="Times New Roman"/>
          <w:sz w:val="24"/>
          <w:szCs w:val="24"/>
        </w:rPr>
        <w:t>s</w:t>
      </w:r>
      <w:r w:rsidR="00C5635D" w:rsidRPr="00BE7140">
        <w:rPr>
          <w:rFonts w:ascii="Times New Roman" w:hAnsi="Times New Roman" w:cs="Times New Roman"/>
          <w:sz w:val="24"/>
          <w:szCs w:val="24"/>
        </w:rPr>
        <w:t xml:space="preserve"> PacifiCorp’s owner, MEHC</w:t>
      </w:r>
      <w:r w:rsidR="00C07E79" w:rsidRPr="00BE7140">
        <w:rPr>
          <w:rFonts w:ascii="Times New Roman" w:hAnsi="Times New Roman" w:cs="Times New Roman"/>
          <w:sz w:val="24"/>
          <w:szCs w:val="24"/>
        </w:rPr>
        <w:t>.</w:t>
      </w:r>
    </w:p>
    <w:p w:rsidR="007725C3" w:rsidRPr="007725C3" w:rsidRDefault="007725C3" w:rsidP="00BE7140">
      <w:pPr>
        <w:keepNext/>
        <w:spacing w:line="240" w:lineRule="auto"/>
        <w:ind w:left="2160" w:hanging="720"/>
        <w:contextualSpacing/>
        <w:rPr>
          <w:rFonts w:ascii="Times New Roman" w:hAnsi="Times New Roman" w:cs="Times New Roman"/>
          <w:b/>
          <w:sz w:val="24"/>
          <w:szCs w:val="24"/>
        </w:rPr>
      </w:pPr>
      <w:r w:rsidRPr="007725C3">
        <w:rPr>
          <w:rFonts w:ascii="Times New Roman" w:hAnsi="Times New Roman" w:cs="Times New Roman"/>
          <w:b/>
          <w:sz w:val="24"/>
          <w:szCs w:val="24"/>
        </w:rPr>
        <w:t>c.</w:t>
      </w:r>
      <w:r w:rsidRPr="007725C3">
        <w:rPr>
          <w:rFonts w:ascii="Times New Roman" w:hAnsi="Times New Roman" w:cs="Times New Roman"/>
          <w:b/>
          <w:sz w:val="24"/>
          <w:szCs w:val="24"/>
        </w:rPr>
        <w:tab/>
        <w:t xml:space="preserve">PacifiCorp’s Challenges to ICNU’s </w:t>
      </w:r>
      <w:r w:rsidR="000C0E4E">
        <w:rPr>
          <w:rFonts w:ascii="Times New Roman" w:hAnsi="Times New Roman" w:cs="Times New Roman"/>
          <w:b/>
          <w:sz w:val="24"/>
          <w:szCs w:val="24"/>
        </w:rPr>
        <w:t xml:space="preserve">Proposed </w:t>
      </w:r>
      <w:r w:rsidRPr="007725C3">
        <w:rPr>
          <w:rFonts w:ascii="Times New Roman" w:hAnsi="Times New Roman" w:cs="Times New Roman"/>
          <w:b/>
          <w:sz w:val="24"/>
          <w:szCs w:val="24"/>
        </w:rPr>
        <w:t>Capital Structure Adjustments Emphasize How Far PacifiCorp has Strayed From the Commission’s Capital Structure Standard</w:t>
      </w:r>
    </w:p>
    <w:p w:rsidR="007725C3" w:rsidRDefault="007725C3" w:rsidP="00171CF0">
      <w:pPr>
        <w:keepNext/>
        <w:spacing w:after="0" w:line="240" w:lineRule="auto"/>
        <w:contextualSpacing/>
        <w:rPr>
          <w:rFonts w:ascii="Times New Roman" w:hAnsi="Times New Roman" w:cs="Times New Roman"/>
          <w:sz w:val="24"/>
          <w:szCs w:val="24"/>
        </w:rPr>
      </w:pPr>
    </w:p>
    <w:p w:rsidR="007725C3" w:rsidRPr="00BE7140" w:rsidRDefault="00BE7140" w:rsidP="00BE71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7725C3" w:rsidRPr="00BE7140">
        <w:rPr>
          <w:rFonts w:ascii="Times New Roman" w:hAnsi="Times New Roman" w:cs="Times New Roman"/>
          <w:sz w:val="24"/>
          <w:szCs w:val="24"/>
        </w:rPr>
        <w:t xml:space="preserve">The Company challenges the Commission’s acceptance of ICNU’s proposed 49.1 percent equity ratio by questioning ICNU adjustments that remove certain items from PacifiCorp’s capitalization.  For example, the Company bickers </w:t>
      </w:r>
      <w:r w:rsidR="00B33246" w:rsidRPr="00BE7140">
        <w:rPr>
          <w:rFonts w:ascii="Times New Roman" w:hAnsi="Times New Roman" w:cs="Times New Roman"/>
          <w:sz w:val="24"/>
          <w:szCs w:val="24"/>
        </w:rPr>
        <w:t xml:space="preserve">with ICNU </w:t>
      </w:r>
      <w:r w:rsidR="00E53F60" w:rsidRPr="00BE7140">
        <w:rPr>
          <w:rFonts w:ascii="Times New Roman" w:hAnsi="Times New Roman" w:cs="Times New Roman"/>
          <w:sz w:val="24"/>
          <w:szCs w:val="24"/>
        </w:rPr>
        <w:t xml:space="preserve">because </w:t>
      </w:r>
      <w:r w:rsidR="0094412E">
        <w:rPr>
          <w:rFonts w:ascii="Times New Roman" w:hAnsi="Times New Roman" w:cs="Times New Roman"/>
          <w:sz w:val="24"/>
          <w:szCs w:val="24"/>
        </w:rPr>
        <w:t xml:space="preserve">its witness, </w:t>
      </w:r>
      <w:r w:rsidR="00E53F60" w:rsidRPr="00BE7140">
        <w:rPr>
          <w:rFonts w:ascii="Times New Roman" w:hAnsi="Times New Roman" w:cs="Times New Roman"/>
          <w:sz w:val="24"/>
          <w:szCs w:val="24"/>
        </w:rPr>
        <w:t>Mr. Gorman</w:t>
      </w:r>
      <w:r w:rsidR="0094412E">
        <w:rPr>
          <w:rFonts w:ascii="Times New Roman" w:hAnsi="Times New Roman" w:cs="Times New Roman"/>
          <w:sz w:val="24"/>
          <w:szCs w:val="24"/>
        </w:rPr>
        <w:t>,</w:t>
      </w:r>
      <w:r w:rsidR="00E53F60" w:rsidRPr="00BE7140">
        <w:rPr>
          <w:rFonts w:ascii="Times New Roman" w:hAnsi="Times New Roman" w:cs="Times New Roman"/>
          <w:sz w:val="24"/>
          <w:szCs w:val="24"/>
        </w:rPr>
        <w:t xml:space="preserve"> </w:t>
      </w:r>
      <w:r w:rsidR="00B33246" w:rsidRPr="00BE7140">
        <w:rPr>
          <w:rFonts w:ascii="Times New Roman" w:hAnsi="Times New Roman" w:cs="Times New Roman"/>
          <w:sz w:val="24"/>
          <w:szCs w:val="24"/>
        </w:rPr>
        <w:t>t</w:t>
      </w:r>
      <w:r w:rsidR="00E53F60" w:rsidRPr="00BE7140">
        <w:rPr>
          <w:rFonts w:ascii="Times New Roman" w:hAnsi="Times New Roman" w:cs="Times New Roman"/>
          <w:sz w:val="24"/>
          <w:szCs w:val="24"/>
        </w:rPr>
        <w:t>ook</w:t>
      </w:r>
      <w:r w:rsidR="007725C3" w:rsidRPr="00BE7140">
        <w:rPr>
          <w:rFonts w:ascii="Times New Roman" w:hAnsi="Times New Roman" w:cs="Times New Roman"/>
          <w:sz w:val="24"/>
          <w:szCs w:val="24"/>
        </w:rPr>
        <w:t xml:space="preserve"> out acquisition adjustments associated with generating plants serving the east control area, but not pollution control bonds associated with east control area plants.</w:t>
      </w:r>
      <w:r w:rsidR="007725C3" w:rsidRPr="007725C3">
        <w:rPr>
          <w:vertAlign w:val="superscript"/>
        </w:rPr>
        <w:footnoteReference w:id="15"/>
      </w:r>
      <w:r w:rsidR="007725C3" w:rsidRPr="00BE7140">
        <w:rPr>
          <w:rFonts w:ascii="Times New Roman" w:hAnsi="Times New Roman" w:cs="Times New Roman"/>
          <w:sz w:val="24"/>
          <w:szCs w:val="24"/>
        </w:rPr>
        <w:t xml:space="preserve">  </w:t>
      </w:r>
    </w:p>
    <w:p w:rsidR="007725C3" w:rsidRPr="00BE7140" w:rsidRDefault="00BE7140" w:rsidP="00BE71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7725C3" w:rsidRPr="00BE7140">
        <w:rPr>
          <w:rFonts w:ascii="Times New Roman" w:hAnsi="Times New Roman" w:cs="Times New Roman"/>
          <w:sz w:val="24"/>
          <w:szCs w:val="24"/>
        </w:rPr>
        <w:t>But, this just exposes the problem:  ICNU’s adjustment-based capital structure analysis can be very controversial and it turns the analysis into an allocation exercise, when the focus should be on compliance with the Commission’s “safety and economy” standard.  This problem materialized in this case:  like PacifiCorp, nowhere did ICNU’s witness address the economy of its recommended capital structure compared to other proposals.</w:t>
      </w:r>
    </w:p>
    <w:p w:rsidR="00F9192A" w:rsidRPr="00BE7140" w:rsidRDefault="00BE7140" w:rsidP="00BE7140">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E0F9B" w:rsidRPr="00BE7140">
        <w:rPr>
          <w:rFonts w:ascii="Times New Roman" w:hAnsi="Times New Roman" w:cs="Times New Roman"/>
          <w:sz w:val="24"/>
          <w:szCs w:val="24"/>
        </w:rPr>
        <w:t>In sum, the Commission should reject PacifiCorp’s Petition on capital structure</w:t>
      </w:r>
      <w:r w:rsidR="00384811">
        <w:rPr>
          <w:rFonts w:ascii="Times New Roman" w:hAnsi="Times New Roman" w:cs="Times New Roman"/>
          <w:sz w:val="24"/>
          <w:szCs w:val="24"/>
        </w:rPr>
        <w:t xml:space="preserve">:  The </w:t>
      </w:r>
      <w:r w:rsidR="001E0F9B" w:rsidRPr="00BE7140">
        <w:rPr>
          <w:rFonts w:ascii="Times New Roman" w:hAnsi="Times New Roman" w:cs="Times New Roman"/>
          <w:sz w:val="24"/>
          <w:szCs w:val="24"/>
        </w:rPr>
        <w:t>Commission applied the correct standard</w:t>
      </w:r>
      <w:r w:rsidR="00384811">
        <w:rPr>
          <w:rFonts w:ascii="Times New Roman" w:hAnsi="Times New Roman" w:cs="Times New Roman"/>
          <w:sz w:val="24"/>
          <w:szCs w:val="24"/>
        </w:rPr>
        <w:t>;</w:t>
      </w:r>
      <w:r w:rsidR="001E0F9B" w:rsidRPr="00BE7140">
        <w:rPr>
          <w:rFonts w:ascii="Times New Roman" w:hAnsi="Times New Roman" w:cs="Times New Roman"/>
          <w:sz w:val="24"/>
          <w:szCs w:val="24"/>
        </w:rPr>
        <w:t xml:space="preserve"> PacifiCorp’s case is based on the wrong standard</w:t>
      </w:r>
      <w:r w:rsidR="00384811">
        <w:rPr>
          <w:rFonts w:ascii="Times New Roman" w:hAnsi="Times New Roman" w:cs="Times New Roman"/>
          <w:sz w:val="24"/>
          <w:szCs w:val="24"/>
        </w:rPr>
        <w:t>;</w:t>
      </w:r>
      <w:r w:rsidR="001E0F9B" w:rsidRPr="00BE7140">
        <w:rPr>
          <w:rFonts w:ascii="Times New Roman" w:hAnsi="Times New Roman" w:cs="Times New Roman"/>
          <w:sz w:val="24"/>
          <w:szCs w:val="24"/>
        </w:rPr>
        <w:t xml:space="preserve"> the Company failed to </w:t>
      </w:r>
      <w:r w:rsidR="001E0F9B">
        <w:rPr>
          <w:rFonts w:ascii="Times New Roman" w:hAnsi="Times New Roman" w:cs="Times New Roman"/>
          <w:sz w:val="24"/>
          <w:szCs w:val="24"/>
        </w:rPr>
        <w:t xml:space="preserve">prove its proposed capital structure </w:t>
      </w:r>
      <w:r w:rsidR="001E0F9B" w:rsidRPr="00BE7140">
        <w:rPr>
          <w:rFonts w:ascii="Times New Roman" w:hAnsi="Times New Roman" w:cs="Times New Roman"/>
          <w:sz w:val="24"/>
          <w:szCs w:val="24"/>
        </w:rPr>
        <w:t xml:space="preserve">is safe </w:t>
      </w:r>
      <w:r w:rsidR="001E0F9B" w:rsidRPr="00BE7140">
        <w:rPr>
          <w:rFonts w:ascii="Times New Roman" w:hAnsi="Times New Roman" w:cs="Times New Roman"/>
          <w:i/>
          <w:sz w:val="24"/>
          <w:szCs w:val="24"/>
        </w:rPr>
        <w:t xml:space="preserve">and </w:t>
      </w:r>
      <w:r w:rsidR="001E0F9B" w:rsidRPr="00BE7140">
        <w:rPr>
          <w:rFonts w:ascii="Times New Roman" w:hAnsi="Times New Roman" w:cs="Times New Roman"/>
          <w:sz w:val="24"/>
          <w:szCs w:val="24"/>
        </w:rPr>
        <w:t>economical</w:t>
      </w:r>
      <w:r w:rsidR="00384811">
        <w:rPr>
          <w:rFonts w:ascii="Times New Roman" w:hAnsi="Times New Roman" w:cs="Times New Roman"/>
          <w:sz w:val="24"/>
          <w:szCs w:val="24"/>
        </w:rPr>
        <w:t>;</w:t>
      </w:r>
      <w:r w:rsidR="001E0F9B" w:rsidRPr="00BE7140">
        <w:rPr>
          <w:rFonts w:ascii="Times New Roman" w:hAnsi="Times New Roman" w:cs="Times New Roman"/>
          <w:sz w:val="24"/>
          <w:szCs w:val="24"/>
        </w:rPr>
        <w:t xml:space="preserve"> and the Company is benefited, not prejudiced, by the </w:t>
      </w:r>
      <w:r w:rsidR="001E0F9B">
        <w:rPr>
          <w:rFonts w:ascii="Times New Roman" w:hAnsi="Times New Roman" w:cs="Times New Roman"/>
          <w:sz w:val="24"/>
          <w:szCs w:val="24"/>
        </w:rPr>
        <w:t xml:space="preserve">Commission’s </w:t>
      </w:r>
      <w:r w:rsidR="001E0F9B" w:rsidRPr="00BE7140">
        <w:rPr>
          <w:rFonts w:ascii="Times New Roman" w:hAnsi="Times New Roman" w:cs="Times New Roman"/>
          <w:sz w:val="24"/>
          <w:szCs w:val="24"/>
        </w:rPr>
        <w:t>decision.</w:t>
      </w:r>
    </w:p>
    <w:p w:rsidR="008C7E2D" w:rsidRDefault="00F9192A" w:rsidP="008C7E2D">
      <w:pPr>
        <w:spacing w:line="240" w:lineRule="auto"/>
        <w:ind w:left="1440" w:hanging="720"/>
        <w:contextualSpacing/>
        <w:rPr>
          <w:rFonts w:ascii="Times New Roman" w:hAnsi="Times New Roman" w:cs="Times New Roman"/>
          <w:b/>
          <w:sz w:val="24"/>
          <w:szCs w:val="24"/>
        </w:rPr>
      </w:pPr>
      <w:r>
        <w:rPr>
          <w:rFonts w:ascii="Times New Roman" w:hAnsi="Times New Roman" w:cs="Times New Roman"/>
          <w:b/>
          <w:sz w:val="24"/>
          <w:szCs w:val="24"/>
        </w:rPr>
        <w:t>2</w:t>
      </w:r>
      <w:r w:rsidR="00BD566C">
        <w:rPr>
          <w:rFonts w:ascii="Times New Roman" w:hAnsi="Times New Roman" w:cs="Times New Roman"/>
          <w:b/>
          <w:sz w:val="24"/>
          <w:szCs w:val="24"/>
        </w:rPr>
        <w:t>.</w:t>
      </w:r>
      <w:r w:rsidR="00BD566C">
        <w:rPr>
          <w:rFonts w:ascii="Times New Roman" w:hAnsi="Times New Roman" w:cs="Times New Roman"/>
          <w:b/>
          <w:sz w:val="24"/>
          <w:szCs w:val="24"/>
        </w:rPr>
        <w:tab/>
        <w:t xml:space="preserve">The Commission’s Decision on </w:t>
      </w:r>
      <w:r w:rsidR="00132600">
        <w:rPr>
          <w:rFonts w:ascii="Times New Roman" w:hAnsi="Times New Roman" w:cs="Times New Roman"/>
          <w:b/>
          <w:sz w:val="24"/>
          <w:szCs w:val="24"/>
        </w:rPr>
        <w:t xml:space="preserve">Return on Common Equity </w:t>
      </w:r>
      <w:r w:rsidR="00BD566C">
        <w:rPr>
          <w:rFonts w:ascii="Times New Roman" w:hAnsi="Times New Roman" w:cs="Times New Roman"/>
          <w:b/>
          <w:sz w:val="24"/>
          <w:szCs w:val="24"/>
        </w:rPr>
        <w:t>is Well-Supported by the Record</w:t>
      </w:r>
    </w:p>
    <w:p w:rsidR="008C7E2D" w:rsidRDefault="008C7E2D" w:rsidP="00171CF0">
      <w:pPr>
        <w:spacing w:after="0" w:line="240" w:lineRule="auto"/>
        <w:contextualSpacing/>
        <w:rPr>
          <w:rFonts w:ascii="Times New Roman" w:hAnsi="Times New Roman" w:cs="Times New Roman"/>
          <w:sz w:val="24"/>
          <w:szCs w:val="24"/>
        </w:rPr>
      </w:pPr>
    </w:p>
    <w:p w:rsidR="00CC4C8B" w:rsidRPr="00BE7140" w:rsidRDefault="00BE7140" w:rsidP="00BE71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132600" w:rsidRPr="00BE7140">
        <w:rPr>
          <w:rFonts w:ascii="Times New Roman" w:hAnsi="Times New Roman" w:cs="Times New Roman"/>
          <w:sz w:val="24"/>
          <w:szCs w:val="24"/>
        </w:rPr>
        <w:t xml:space="preserve">PacifiCorp seeks reconsideration of the Commission’s decision </w:t>
      </w:r>
      <w:r w:rsidR="00703D75" w:rsidRPr="00BE7140">
        <w:rPr>
          <w:rFonts w:ascii="Times New Roman" w:hAnsi="Times New Roman" w:cs="Times New Roman"/>
          <w:sz w:val="24"/>
          <w:szCs w:val="24"/>
        </w:rPr>
        <w:t xml:space="preserve">that PacifiCorp’s </w:t>
      </w:r>
      <w:r w:rsidR="00132600" w:rsidRPr="00BE7140">
        <w:rPr>
          <w:rFonts w:ascii="Times New Roman" w:hAnsi="Times New Roman" w:cs="Times New Roman"/>
          <w:sz w:val="24"/>
          <w:szCs w:val="24"/>
        </w:rPr>
        <w:t>ROE</w:t>
      </w:r>
      <w:r w:rsidR="00703D75" w:rsidRPr="00BE7140">
        <w:rPr>
          <w:rFonts w:ascii="Times New Roman" w:hAnsi="Times New Roman" w:cs="Times New Roman"/>
          <w:sz w:val="24"/>
          <w:szCs w:val="24"/>
        </w:rPr>
        <w:t xml:space="preserve"> is 9.8 percent</w:t>
      </w:r>
      <w:r w:rsidR="00132600" w:rsidRPr="00BE7140">
        <w:rPr>
          <w:rFonts w:ascii="Times New Roman" w:hAnsi="Times New Roman" w:cs="Times New Roman"/>
          <w:sz w:val="24"/>
          <w:szCs w:val="24"/>
        </w:rPr>
        <w:t>, but nowhere in its Petition does PacifiCorp state what the ROE should be.  This is significant</w:t>
      </w:r>
      <w:r w:rsidR="00BD566C" w:rsidRPr="00BE7140">
        <w:rPr>
          <w:rFonts w:ascii="Times New Roman" w:hAnsi="Times New Roman" w:cs="Times New Roman"/>
          <w:sz w:val="24"/>
          <w:szCs w:val="24"/>
        </w:rPr>
        <w:t xml:space="preserve"> (and not surprising)</w:t>
      </w:r>
      <w:r w:rsidR="00132600" w:rsidRPr="00BE7140">
        <w:rPr>
          <w:rFonts w:ascii="Times New Roman" w:hAnsi="Times New Roman" w:cs="Times New Roman"/>
          <w:sz w:val="24"/>
          <w:szCs w:val="24"/>
        </w:rPr>
        <w:t>, because m</w:t>
      </w:r>
      <w:r w:rsidR="004305C7">
        <w:rPr>
          <w:rFonts w:ascii="Times New Roman" w:hAnsi="Times New Roman" w:cs="Times New Roman"/>
          <w:sz w:val="24"/>
          <w:szCs w:val="24"/>
        </w:rPr>
        <w:t>ost</w:t>
      </w:r>
      <w:r w:rsidR="00132600" w:rsidRPr="00BE7140">
        <w:rPr>
          <w:rFonts w:ascii="Times New Roman" w:hAnsi="Times New Roman" w:cs="Times New Roman"/>
          <w:sz w:val="24"/>
          <w:szCs w:val="24"/>
        </w:rPr>
        <w:t xml:space="preserve"> of the arguments the Company </w:t>
      </w:r>
      <w:r w:rsidR="00850C37" w:rsidRPr="00BE7140">
        <w:rPr>
          <w:rFonts w:ascii="Times New Roman" w:hAnsi="Times New Roman" w:cs="Times New Roman"/>
          <w:sz w:val="24"/>
          <w:szCs w:val="24"/>
        </w:rPr>
        <w:t xml:space="preserve">now </w:t>
      </w:r>
      <w:r w:rsidR="004305C7">
        <w:rPr>
          <w:rFonts w:ascii="Times New Roman" w:hAnsi="Times New Roman" w:cs="Times New Roman"/>
          <w:sz w:val="24"/>
          <w:szCs w:val="24"/>
        </w:rPr>
        <w:t>advances</w:t>
      </w:r>
      <w:r w:rsidR="00132600" w:rsidRPr="00BE7140">
        <w:rPr>
          <w:rFonts w:ascii="Times New Roman" w:hAnsi="Times New Roman" w:cs="Times New Roman"/>
          <w:sz w:val="24"/>
          <w:szCs w:val="24"/>
        </w:rPr>
        <w:t xml:space="preserve"> would</w:t>
      </w:r>
      <w:r w:rsidR="004305C7">
        <w:rPr>
          <w:rFonts w:ascii="Times New Roman" w:hAnsi="Times New Roman" w:cs="Times New Roman"/>
          <w:sz w:val="24"/>
          <w:szCs w:val="24"/>
        </w:rPr>
        <w:t xml:space="preserve">, if accepted, </w:t>
      </w:r>
      <w:r w:rsidR="00132600" w:rsidRPr="00BE7140">
        <w:rPr>
          <w:rFonts w:ascii="Times New Roman" w:hAnsi="Times New Roman" w:cs="Times New Roman"/>
          <w:sz w:val="24"/>
          <w:szCs w:val="24"/>
        </w:rPr>
        <w:t xml:space="preserve">justify an ROE much lower than the 10.6 percent ROE the Company tried </w:t>
      </w:r>
      <w:r w:rsidR="00A44E62" w:rsidRPr="00BE7140">
        <w:rPr>
          <w:rFonts w:ascii="Times New Roman" w:hAnsi="Times New Roman" w:cs="Times New Roman"/>
          <w:sz w:val="24"/>
          <w:szCs w:val="24"/>
        </w:rPr>
        <w:t xml:space="preserve">(and failed) </w:t>
      </w:r>
      <w:r w:rsidR="00132600" w:rsidRPr="00BE7140">
        <w:rPr>
          <w:rFonts w:ascii="Times New Roman" w:hAnsi="Times New Roman" w:cs="Times New Roman"/>
          <w:sz w:val="24"/>
          <w:szCs w:val="24"/>
        </w:rPr>
        <w:t>to support at hearing.</w:t>
      </w:r>
      <w:r w:rsidR="00BD566C" w:rsidRPr="00BE7140">
        <w:rPr>
          <w:rFonts w:ascii="Times New Roman" w:hAnsi="Times New Roman" w:cs="Times New Roman"/>
          <w:sz w:val="24"/>
          <w:szCs w:val="24"/>
        </w:rPr>
        <w:t xml:space="preserve">  </w:t>
      </w:r>
      <w:r w:rsidR="0095313E" w:rsidRPr="00BE7140">
        <w:rPr>
          <w:rFonts w:ascii="Times New Roman" w:hAnsi="Times New Roman" w:cs="Times New Roman"/>
          <w:sz w:val="24"/>
          <w:szCs w:val="24"/>
        </w:rPr>
        <w:t>T</w:t>
      </w:r>
      <w:r w:rsidR="00121788" w:rsidRPr="00BE7140">
        <w:rPr>
          <w:rFonts w:ascii="Times New Roman" w:hAnsi="Times New Roman" w:cs="Times New Roman"/>
          <w:sz w:val="24"/>
          <w:szCs w:val="24"/>
        </w:rPr>
        <w:t xml:space="preserve">he lack of </w:t>
      </w:r>
      <w:r w:rsidR="0095313E" w:rsidRPr="00BE7140">
        <w:rPr>
          <w:rFonts w:ascii="Times New Roman" w:hAnsi="Times New Roman" w:cs="Times New Roman"/>
          <w:sz w:val="24"/>
          <w:szCs w:val="24"/>
        </w:rPr>
        <w:t>a</w:t>
      </w:r>
      <w:r w:rsidR="00121788" w:rsidRPr="00BE7140">
        <w:rPr>
          <w:rFonts w:ascii="Times New Roman" w:hAnsi="Times New Roman" w:cs="Times New Roman"/>
          <w:sz w:val="24"/>
          <w:szCs w:val="24"/>
        </w:rPr>
        <w:t xml:space="preserve"> specific </w:t>
      </w:r>
      <w:r w:rsidR="00C07E79" w:rsidRPr="00BE7140">
        <w:rPr>
          <w:rFonts w:ascii="Times New Roman" w:hAnsi="Times New Roman" w:cs="Times New Roman"/>
          <w:sz w:val="24"/>
          <w:szCs w:val="24"/>
        </w:rPr>
        <w:t xml:space="preserve">ROE </w:t>
      </w:r>
      <w:r w:rsidR="00121788" w:rsidRPr="00BE7140">
        <w:rPr>
          <w:rFonts w:ascii="Times New Roman" w:hAnsi="Times New Roman" w:cs="Times New Roman"/>
          <w:sz w:val="24"/>
          <w:szCs w:val="24"/>
        </w:rPr>
        <w:t xml:space="preserve">recommendation </w:t>
      </w:r>
      <w:r w:rsidR="0095313E" w:rsidRPr="00BE7140">
        <w:rPr>
          <w:rFonts w:ascii="Times New Roman" w:hAnsi="Times New Roman" w:cs="Times New Roman"/>
          <w:sz w:val="24"/>
          <w:szCs w:val="24"/>
        </w:rPr>
        <w:t xml:space="preserve">in </w:t>
      </w:r>
      <w:r w:rsidR="00C07E79" w:rsidRPr="00BE7140">
        <w:rPr>
          <w:rFonts w:ascii="Times New Roman" w:hAnsi="Times New Roman" w:cs="Times New Roman"/>
          <w:sz w:val="24"/>
          <w:szCs w:val="24"/>
        </w:rPr>
        <w:t>the Company’s P</w:t>
      </w:r>
      <w:r w:rsidR="0095313E" w:rsidRPr="00BE7140">
        <w:rPr>
          <w:rFonts w:ascii="Times New Roman" w:hAnsi="Times New Roman" w:cs="Times New Roman"/>
          <w:sz w:val="24"/>
          <w:szCs w:val="24"/>
        </w:rPr>
        <w:t>etition</w:t>
      </w:r>
      <w:r w:rsidR="00121788" w:rsidRPr="00BE7140">
        <w:rPr>
          <w:rFonts w:ascii="Times New Roman" w:hAnsi="Times New Roman" w:cs="Times New Roman"/>
          <w:sz w:val="24"/>
          <w:szCs w:val="24"/>
        </w:rPr>
        <w:t xml:space="preserve"> </w:t>
      </w:r>
      <w:r w:rsidR="00696361" w:rsidRPr="00BE7140">
        <w:rPr>
          <w:rFonts w:ascii="Times New Roman" w:hAnsi="Times New Roman" w:cs="Times New Roman"/>
          <w:sz w:val="24"/>
          <w:szCs w:val="24"/>
        </w:rPr>
        <w:t xml:space="preserve">forces </w:t>
      </w:r>
      <w:r w:rsidR="00121788" w:rsidRPr="00BE7140">
        <w:rPr>
          <w:rFonts w:ascii="Times New Roman" w:hAnsi="Times New Roman" w:cs="Times New Roman"/>
          <w:sz w:val="24"/>
          <w:szCs w:val="24"/>
        </w:rPr>
        <w:t xml:space="preserve">Staff to respond to the </w:t>
      </w:r>
      <w:r w:rsidR="00C07E79" w:rsidRPr="00BE7140">
        <w:rPr>
          <w:rFonts w:ascii="Times New Roman" w:hAnsi="Times New Roman" w:cs="Times New Roman"/>
          <w:sz w:val="24"/>
          <w:szCs w:val="24"/>
        </w:rPr>
        <w:t xml:space="preserve">Company’s arguments </w:t>
      </w:r>
      <w:r w:rsidR="00121788" w:rsidRPr="00BE7140">
        <w:rPr>
          <w:rFonts w:ascii="Times New Roman" w:hAnsi="Times New Roman" w:cs="Times New Roman"/>
          <w:sz w:val="24"/>
          <w:szCs w:val="24"/>
        </w:rPr>
        <w:t xml:space="preserve">without being able </w:t>
      </w:r>
      <w:r w:rsidR="0095313E" w:rsidRPr="00BE7140">
        <w:rPr>
          <w:rFonts w:ascii="Times New Roman" w:hAnsi="Times New Roman" w:cs="Times New Roman"/>
          <w:sz w:val="24"/>
          <w:szCs w:val="24"/>
        </w:rPr>
        <w:t xml:space="preserve">to respond to </w:t>
      </w:r>
      <w:r w:rsidR="00121788" w:rsidRPr="00BE7140">
        <w:rPr>
          <w:rFonts w:ascii="Times New Roman" w:hAnsi="Times New Roman" w:cs="Times New Roman"/>
          <w:sz w:val="24"/>
          <w:szCs w:val="24"/>
        </w:rPr>
        <w:t>the specific rem</w:t>
      </w:r>
      <w:r w:rsidR="0095313E" w:rsidRPr="00BE7140">
        <w:rPr>
          <w:rFonts w:ascii="Times New Roman" w:hAnsi="Times New Roman" w:cs="Times New Roman"/>
          <w:sz w:val="24"/>
          <w:szCs w:val="24"/>
        </w:rPr>
        <w:t>edy sought by PacifiCorp</w:t>
      </w:r>
      <w:r w:rsidR="00121788" w:rsidRPr="00BE7140">
        <w:rPr>
          <w:rFonts w:ascii="Times New Roman" w:hAnsi="Times New Roman" w:cs="Times New Roman"/>
          <w:sz w:val="24"/>
          <w:szCs w:val="24"/>
        </w:rPr>
        <w:t xml:space="preserve">.   </w:t>
      </w:r>
    </w:p>
    <w:p w:rsidR="0094412E" w:rsidRDefault="00BE7140" w:rsidP="00BE71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C07E79" w:rsidRPr="00BE7140">
        <w:rPr>
          <w:rFonts w:ascii="Times New Roman" w:hAnsi="Times New Roman" w:cs="Times New Roman"/>
          <w:sz w:val="24"/>
          <w:szCs w:val="24"/>
        </w:rPr>
        <w:t>In any event</w:t>
      </w:r>
      <w:r w:rsidR="00CC4C8B" w:rsidRPr="00BE7140">
        <w:rPr>
          <w:rFonts w:ascii="Times New Roman" w:hAnsi="Times New Roman" w:cs="Times New Roman"/>
          <w:sz w:val="24"/>
          <w:szCs w:val="24"/>
        </w:rPr>
        <w:t>, like the Commission’s decision on capital structure, the Company is benefited, not prejudiced, by the Commission’s ROE determination in this case.  For example, the Commission rejected Staff’s cost of equity case on the basis that Staff did not demonstrate its proxy group was statistically reliable,</w:t>
      </w:r>
      <w:r w:rsidR="00CC4C8B" w:rsidRPr="00CC4C8B">
        <w:rPr>
          <w:vertAlign w:val="superscript"/>
        </w:rPr>
        <w:footnoteReference w:id="16"/>
      </w:r>
      <w:r w:rsidR="00CC4C8B" w:rsidRPr="00BE7140">
        <w:rPr>
          <w:rFonts w:ascii="Times New Roman" w:hAnsi="Times New Roman" w:cs="Times New Roman"/>
          <w:sz w:val="24"/>
          <w:szCs w:val="24"/>
        </w:rPr>
        <w:t xml:space="preserve"> yet the Commission used ICNU’s and PacifiCorp’s proxy group without requiring th</w:t>
      </w:r>
      <w:r w:rsidR="00B33246" w:rsidRPr="00BE7140">
        <w:rPr>
          <w:rFonts w:ascii="Times New Roman" w:hAnsi="Times New Roman" w:cs="Times New Roman"/>
          <w:sz w:val="24"/>
          <w:szCs w:val="24"/>
        </w:rPr>
        <w:t>ose parties</w:t>
      </w:r>
      <w:r w:rsidR="00CC4C8B" w:rsidRPr="00BE7140">
        <w:rPr>
          <w:rFonts w:ascii="Times New Roman" w:hAnsi="Times New Roman" w:cs="Times New Roman"/>
          <w:sz w:val="24"/>
          <w:szCs w:val="24"/>
        </w:rPr>
        <w:t xml:space="preserve"> to demonstrate th</w:t>
      </w:r>
      <w:r w:rsidR="009E1CC0">
        <w:rPr>
          <w:rFonts w:ascii="Times New Roman" w:hAnsi="Times New Roman" w:cs="Times New Roman"/>
          <w:sz w:val="24"/>
          <w:szCs w:val="24"/>
        </w:rPr>
        <w:t>at</w:t>
      </w:r>
      <w:r w:rsidR="00CC4C8B" w:rsidRPr="00BE7140">
        <w:rPr>
          <w:rFonts w:ascii="Times New Roman" w:hAnsi="Times New Roman" w:cs="Times New Roman"/>
          <w:sz w:val="24"/>
          <w:szCs w:val="24"/>
        </w:rPr>
        <w:t xml:space="preserve"> group </w:t>
      </w:r>
      <w:r w:rsidR="009E1CC0">
        <w:rPr>
          <w:rFonts w:ascii="Times New Roman" w:hAnsi="Times New Roman" w:cs="Times New Roman"/>
          <w:sz w:val="24"/>
          <w:szCs w:val="24"/>
        </w:rPr>
        <w:t>is</w:t>
      </w:r>
      <w:r w:rsidR="00CC4C8B" w:rsidRPr="00BE7140">
        <w:rPr>
          <w:rFonts w:ascii="Times New Roman" w:hAnsi="Times New Roman" w:cs="Times New Roman"/>
          <w:sz w:val="24"/>
          <w:szCs w:val="24"/>
        </w:rPr>
        <w:t xml:space="preserve"> statistically reliable.  PacifiCorp also </w:t>
      </w:r>
      <w:r w:rsidR="00185EFA">
        <w:rPr>
          <w:rFonts w:ascii="Times New Roman" w:hAnsi="Times New Roman" w:cs="Times New Roman"/>
          <w:sz w:val="24"/>
          <w:szCs w:val="24"/>
        </w:rPr>
        <w:t xml:space="preserve">insisted </w:t>
      </w:r>
      <w:r w:rsidR="00384811">
        <w:rPr>
          <w:rFonts w:ascii="Times New Roman" w:hAnsi="Times New Roman" w:cs="Times New Roman"/>
          <w:sz w:val="24"/>
          <w:szCs w:val="24"/>
        </w:rPr>
        <w:t xml:space="preserve">the Commission </w:t>
      </w:r>
      <w:r w:rsidR="00B33246" w:rsidRPr="00BE7140">
        <w:rPr>
          <w:rFonts w:ascii="Times New Roman" w:hAnsi="Times New Roman" w:cs="Times New Roman"/>
          <w:sz w:val="24"/>
          <w:szCs w:val="24"/>
        </w:rPr>
        <w:t xml:space="preserve">discount </w:t>
      </w:r>
      <w:r w:rsidR="00CC4C8B" w:rsidRPr="00BE7140">
        <w:rPr>
          <w:rFonts w:ascii="Times New Roman" w:hAnsi="Times New Roman" w:cs="Times New Roman"/>
          <w:sz w:val="24"/>
          <w:szCs w:val="24"/>
        </w:rPr>
        <w:t>ICNU’s 210 basis point range of ROEs as “of little practical use”.</w:t>
      </w:r>
      <w:r w:rsidR="00185EFA">
        <w:rPr>
          <w:rStyle w:val="FootnoteReference"/>
          <w:rFonts w:cs="Times New Roman"/>
          <w:szCs w:val="24"/>
        </w:rPr>
        <w:footnoteReference w:id="17"/>
      </w:r>
      <w:r w:rsidR="00CC4C8B" w:rsidRPr="00BE7140">
        <w:rPr>
          <w:rFonts w:ascii="Times New Roman" w:hAnsi="Times New Roman" w:cs="Times New Roman"/>
          <w:sz w:val="24"/>
          <w:szCs w:val="24"/>
        </w:rPr>
        <w:t xml:space="preserve">  </w:t>
      </w:r>
      <w:r w:rsidR="00B33246" w:rsidRPr="00BE7140">
        <w:rPr>
          <w:rFonts w:ascii="Times New Roman" w:hAnsi="Times New Roman" w:cs="Times New Roman"/>
          <w:sz w:val="24"/>
          <w:szCs w:val="24"/>
        </w:rPr>
        <w:t xml:space="preserve">If a 210 basis point range is a proper basis to discount ROE results, the </w:t>
      </w:r>
      <w:r w:rsidR="00384811">
        <w:rPr>
          <w:rFonts w:ascii="Times New Roman" w:hAnsi="Times New Roman" w:cs="Times New Roman"/>
          <w:sz w:val="24"/>
          <w:szCs w:val="24"/>
        </w:rPr>
        <w:t xml:space="preserve">Commission is fully justified in discounting PacifiCorp’s </w:t>
      </w:r>
      <w:r w:rsidR="00B33246" w:rsidRPr="00BE7140">
        <w:rPr>
          <w:rFonts w:ascii="Times New Roman" w:hAnsi="Times New Roman" w:cs="Times New Roman"/>
          <w:sz w:val="24"/>
          <w:szCs w:val="24"/>
        </w:rPr>
        <w:t xml:space="preserve">own </w:t>
      </w:r>
      <w:r w:rsidR="00B33246" w:rsidRPr="00BE7140">
        <w:rPr>
          <w:rFonts w:ascii="Times New Roman" w:hAnsi="Times New Roman" w:cs="Times New Roman"/>
          <w:sz w:val="24"/>
          <w:szCs w:val="24"/>
        </w:rPr>
        <w:lastRenderedPageBreak/>
        <w:t>case, which exhibited an ROE range of an alarming 598 basis points (had Dr. Hadaway not removed the results for Edison International, the range would have been a full 730 basis points).</w:t>
      </w:r>
      <w:r w:rsidR="00B33246" w:rsidRPr="00CC4C8B">
        <w:rPr>
          <w:vertAlign w:val="superscript"/>
        </w:rPr>
        <w:footnoteReference w:id="18"/>
      </w:r>
      <w:r w:rsidR="00121788" w:rsidRPr="00BE7140">
        <w:rPr>
          <w:rFonts w:ascii="Times New Roman" w:hAnsi="Times New Roman" w:cs="Times New Roman"/>
          <w:sz w:val="24"/>
          <w:szCs w:val="24"/>
        </w:rPr>
        <w:t xml:space="preserve">  </w:t>
      </w:r>
    </w:p>
    <w:p w:rsidR="00132600" w:rsidRPr="0078626C" w:rsidRDefault="0094412E" w:rsidP="00BE7140">
      <w:pPr>
        <w:pStyle w:val="ListParagraph"/>
        <w:numPr>
          <w:ilvl w:val="0"/>
          <w:numId w:val="1"/>
        </w:numPr>
        <w:spacing w:after="0" w:line="480" w:lineRule="auto"/>
        <w:rPr>
          <w:rFonts w:ascii="Times New Roman" w:hAnsi="Times New Roman" w:cs="Times New Roman"/>
          <w:sz w:val="24"/>
          <w:szCs w:val="24"/>
        </w:rPr>
      </w:pPr>
      <w:r w:rsidRPr="0078626C">
        <w:rPr>
          <w:rFonts w:ascii="Times New Roman" w:hAnsi="Times New Roman" w:cs="Times New Roman"/>
          <w:sz w:val="24"/>
          <w:szCs w:val="24"/>
        </w:rPr>
        <w:tab/>
      </w:r>
      <w:r w:rsidR="00121788" w:rsidRPr="0078626C">
        <w:rPr>
          <w:rFonts w:ascii="Times New Roman" w:hAnsi="Times New Roman" w:cs="Times New Roman"/>
          <w:sz w:val="24"/>
          <w:szCs w:val="24"/>
        </w:rPr>
        <w:t xml:space="preserve">Indeed, if any study is not </w:t>
      </w:r>
      <w:r w:rsidR="00696361" w:rsidRPr="0078626C">
        <w:rPr>
          <w:rFonts w:ascii="Times New Roman" w:hAnsi="Times New Roman" w:cs="Times New Roman"/>
          <w:sz w:val="24"/>
          <w:szCs w:val="24"/>
        </w:rPr>
        <w:t>“statistically</w:t>
      </w:r>
      <w:r w:rsidR="00121788" w:rsidRPr="0078626C">
        <w:rPr>
          <w:rFonts w:ascii="Times New Roman" w:hAnsi="Times New Roman" w:cs="Times New Roman"/>
          <w:sz w:val="24"/>
          <w:szCs w:val="24"/>
        </w:rPr>
        <w:t xml:space="preserve"> reliable</w:t>
      </w:r>
      <w:r w:rsidRPr="0078626C">
        <w:rPr>
          <w:rFonts w:ascii="Times New Roman" w:hAnsi="Times New Roman" w:cs="Times New Roman"/>
          <w:sz w:val="24"/>
          <w:szCs w:val="24"/>
        </w:rPr>
        <w:t>”</w:t>
      </w:r>
      <w:r w:rsidR="009E1CC0" w:rsidRPr="0078626C">
        <w:rPr>
          <w:rFonts w:ascii="Times New Roman" w:hAnsi="Times New Roman" w:cs="Times New Roman"/>
          <w:sz w:val="24"/>
          <w:szCs w:val="24"/>
        </w:rPr>
        <w:t>,</w:t>
      </w:r>
      <w:r w:rsidR="00121788" w:rsidRPr="0078626C">
        <w:rPr>
          <w:rFonts w:ascii="Times New Roman" w:hAnsi="Times New Roman" w:cs="Times New Roman"/>
          <w:sz w:val="24"/>
          <w:szCs w:val="24"/>
        </w:rPr>
        <w:t xml:space="preserve"> surely it is </w:t>
      </w:r>
      <w:r w:rsidR="00C07E79" w:rsidRPr="0078626C">
        <w:rPr>
          <w:rFonts w:ascii="Times New Roman" w:hAnsi="Times New Roman" w:cs="Times New Roman"/>
          <w:sz w:val="24"/>
          <w:szCs w:val="24"/>
        </w:rPr>
        <w:t xml:space="preserve">PacifiCorp’s, because it </w:t>
      </w:r>
      <w:r w:rsidR="00121788" w:rsidRPr="0078626C">
        <w:rPr>
          <w:rFonts w:ascii="Times New Roman" w:hAnsi="Times New Roman" w:cs="Times New Roman"/>
          <w:sz w:val="24"/>
          <w:szCs w:val="24"/>
        </w:rPr>
        <w:t>produces such divergent results.</w:t>
      </w:r>
      <w:r w:rsidR="0078626C" w:rsidRPr="0078626C">
        <w:rPr>
          <w:rFonts w:ascii="Times New Roman" w:hAnsi="Times New Roman" w:cs="Times New Roman"/>
          <w:sz w:val="24"/>
          <w:szCs w:val="24"/>
        </w:rPr>
        <w:t xml:space="preserve">  </w:t>
      </w:r>
      <w:r w:rsidR="009E1CC0" w:rsidRPr="0078626C">
        <w:rPr>
          <w:rFonts w:ascii="Times New Roman" w:hAnsi="Times New Roman" w:cs="Times New Roman"/>
          <w:sz w:val="24"/>
          <w:szCs w:val="24"/>
        </w:rPr>
        <w:t xml:space="preserve">In short, </w:t>
      </w:r>
      <w:r w:rsidR="00CC4C8B" w:rsidRPr="0078626C">
        <w:rPr>
          <w:rFonts w:ascii="Times New Roman" w:hAnsi="Times New Roman" w:cs="Times New Roman"/>
          <w:sz w:val="24"/>
          <w:szCs w:val="24"/>
        </w:rPr>
        <w:t xml:space="preserve">PacifiCorp’s Petition on ROE is as weak as the Company’s </w:t>
      </w:r>
      <w:r w:rsidR="00F9192A" w:rsidRPr="0078626C">
        <w:rPr>
          <w:rFonts w:ascii="Times New Roman" w:hAnsi="Times New Roman" w:cs="Times New Roman"/>
          <w:sz w:val="24"/>
          <w:szCs w:val="24"/>
        </w:rPr>
        <w:t xml:space="preserve">hearing </w:t>
      </w:r>
      <w:r w:rsidR="00CC4C8B" w:rsidRPr="0078626C">
        <w:rPr>
          <w:rFonts w:ascii="Times New Roman" w:hAnsi="Times New Roman" w:cs="Times New Roman"/>
          <w:sz w:val="24"/>
          <w:szCs w:val="24"/>
        </w:rPr>
        <w:t xml:space="preserve">evidence on that subject.  </w:t>
      </w:r>
      <w:r w:rsidR="00BD566C" w:rsidRPr="0078626C">
        <w:rPr>
          <w:rFonts w:ascii="Times New Roman" w:hAnsi="Times New Roman" w:cs="Times New Roman"/>
          <w:sz w:val="24"/>
          <w:szCs w:val="24"/>
        </w:rPr>
        <w:t xml:space="preserve">For the reasons that follow, the Commission should </w:t>
      </w:r>
      <w:r w:rsidR="004305C7" w:rsidRPr="0078626C">
        <w:rPr>
          <w:rFonts w:ascii="Times New Roman" w:hAnsi="Times New Roman" w:cs="Times New Roman"/>
          <w:sz w:val="24"/>
          <w:szCs w:val="24"/>
        </w:rPr>
        <w:t xml:space="preserve">again </w:t>
      </w:r>
      <w:r w:rsidR="00BD566C" w:rsidRPr="0078626C">
        <w:rPr>
          <w:rFonts w:ascii="Times New Roman" w:hAnsi="Times New Roman" w:cs="Times New Roman"/>
          <w:sz w:val="24"/>
          <w:szCs w:val="24"/>
        </w:rPr>
        <w:t xml:space="preserve">reject the Company’s </w:t>
      </w:r>
      <w:r w:rsidR="00185EFA">
        <w:rPr>
          <w:rFonts w:ascii="Times New Roman" w:hAnsi="Times New Roman" w:cs="Times New Roman"/>
          <w:sz w:val="24"/>
          <w:szCs w:val="24"/>
        </w:rPr>
        <w:t>case</w:t>
      </w:r>
      <w:r w:rsidR="00BD566C" w:rsidRPr="0078626C">
        <w:rPr>
          <w:rFonts w:ascii="Times New Roman" w:hAnsi="Times New Roman" w:cs="Times New Roman"/>
          <w:sz w:val="24"/>
          <w:szCs w:val="24"/>
        </w:rPr>
        <w:t xml:space="preserve"> on ROE.</w:t>
      </w:r>
    </w:p>
    <w:p w:rsidR="008C7E2D" w:rsidRDefault="00BD566C" w:rsidP="00BE7140">
      <w:pPr>
        <w:keepNext/>
        <w:spacing w:line="240" w:lineRule="auto"/>
        <w:ind w:left="2160" w:hanging="720"/>
        <w:contextualSpacing/>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sz w:val="24"/>
          <w:szCs w:val="24"/>
        </w:rPr>
        <w:tab/>
        <w:t xml:space="preserve">PacifiCorp </w:t>
      </w:r>
      <w:r w:rsidR="00CC4C8B">
        <w:rPr>
          <w:rFonts w:ascii="Times New Roman" w:hAnsi="Times New Roman" w:cs="Times New Roman"/>
          <w:b/>
          <w:sz w:val="24"/>
          <w:szCs w:val="24"/>
        </w:rPr>
        <w:t xml:space="preserve">Bases its Petition on </w:t>
      </w:r>
      <w:r w:rsidR="007725C3">
        <w:rPr>
          <w:rFonts w:ascii="Times New Roman" w:hAnsi="Times New Roman" w:cs="Times New Roman"/>
          <w:b/>
          <w:sz w:val="24"/>
          <w:szCs w:val="24"/>
        </w:rPr>
        <w:t>the Wrong “Tradition”</w:t>
      </w:r>
    </w:p>
    <w:p w:rsidR="008C7E2D" w:rsidRDefault="008C7E2D" w:rsidP="00BE7140">
      <w:pPr>
        <w:keepNext/>
        <w:spacing w:after="0" w:line="240" w:lineRule="auto"/>
        <w:contextualSpacing/>
        <w:rPr>
          <w:rFonts w:ascii="Times New Roman" w:hAnsi="Times New Roman" w:cs="Times New Roman"/>
          <w:sz w:val="24"/>
          <w:szCs w:val="24"/>
        </w:rPr>
      </w:pPr>
    </w:p>
    <w:p w:rsidR="007725C3" w:rsidRPr="00BE7140" w:rsidRDefault="00BE7140" w:rsidP="00BE71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132600" w:rsidRPr="00BE7140">
        <w:rPr>
          <w:rFonts w:ascii="Times New Roman" w:hAnsi="Times New Roman" w:cs="Times New Roman"/>
          <w:sz w:val="24"/>
          <w:szCs w:val="24"/>
        </w:rPr>
        <w:t>PacifiCorp begins its argument by citing a single case to support a claim that the Commission “traditionally” has looked to what has changed since the last cost of capital determination.</w:t>
      </w:r>
      <w:r w:rsidR="00132600">
        <w:rPr>
          <w:rStyle w:val="FootnoteReference"/>
          <w:rFonts w:cs="Times New Roman"/>
          <w:sz w:val="24"/>
          <w:szCs w:val="24"/>
        </w:rPr>
        <w:footnoteReference w:id="19"/>
      </w:r>
      <w:r w:rsidR="00132600" w:rsidRPr="00BE7140">
        <w:rPr>
          <w:rFonts w:ascii="Times New Roman" w:hAnsi="Times New Roman" w:cs="Times New Roman"/>
          <w:sz w:val="24"/>
          <w:szCs w:val="24"/>
        </w:rPr>
        <w:t xml:space="preserve">  This tactic of citing a single order to support </w:t>
      </w:r>
      <w:r w:rsidR="00703D75" w:rsidRPr="00BE7140">
        <w:rPr>
          <w:rFonts w:ascii="Times New Roman" w:hAnsi="Times New Roman" w:cs="Times New Roman"/>
          <w:sz w:val="24"/>
          <w:szCs w:val="24"/>
        </w:rPr>
        <w:t>“tradition”</w:t>
      </w:r>
      <w:r w:rsidR="00132600" w:rsidRPr="00BE7140">
        <w:rPr>
          <w:rFonts w:ascii="Times New Roman" w:hAnsi="Times New Roman" w:cs="Times New Roman"/>
          <w:sz w:val="24"/>
          <w:szCs w:val="24"/>
        </w:rPr>
        <w:t xml:space="preserve"> is </w:t>
      </w:r>
      <w:r w:rsidR="00FA20D3" w:rsidRPr="00BE7140">
        <w:rPr>
          <w:rFonts w:ascii="Times New Roman" w:hAnsi="Times New Roman" w:cs="Times New Roman"/>
          <w:sz w:val="24"/>
          <w:szCs w:val="24"/>
        </w:rPr>
        <w:t xml:space="preserve">identical to </w:t>
      </w:r>
      <w:r w:rsidR="00132600" w:rsidRPr="00BE7140">
        <w:rPr>
          <w:rFonts w:ascii="Times New Roman" w:hAnsi="Times New Roman" w:cs="Times New Roman"/>
          <w:sz w:val="24"/>
          <w:szCs w:val="24"/>
        </w:rPr>
        <w:t xml:space="preserve">PacifiCorp’s failed argument regarding the capital structure </w:t>
      </w:r>
      <w:r w:rsidR="00A44E62" w:rsidRPr="00BE7140">
        <w:rPr>
          <w:rFonts w:ascii="Times New Roman" w:hAnsi="Times New Roman" w:cs="Times New Roman"/>
          <w:sz w:val="24"/>
          <w:szCs w:val="24"/>
        </w:rPr>
        <w:t>“</w:t>
      </w:r>
      <w:r w:rsidR="00132600" w:rsidRPr="00BE7140">
        <w:rPr>
          <w:rFonts w:ascii="Times New Roman" w:hAnsi="Times New Roman" w:cs="Times New Roman"/>
          <w:sz w:val="24"/>
          <w:szCs w:val="24"/>
        </w:rPr>
        <w:t>standard</w:t>
      </w:r>
      <w:r w:rsidR="00A44E62" w:rsidRPr="00BE7140">
        <w:rPr>
          <w:rFonts w:ascii="Times New Roman" w:hAnsi="Times New Roman" w:cs="Times New Roman"/>
          <w:sz w:val="24"/>
          <w:szCs w:val="24"/>
        </w:rPr>
        <w:t>”</w:t>
      </w:r>
      <w:r w:rsidR="00132600" w:rsidRPr="00BE7140">
        <w:rPr>
          <w:rFonts w:ascii="Times New Roman" w:hAnsi="Times New Roman" w:cs="Times New Roman"/>
          <w:sz w:val="24"/>
          <w:szCs w:val="24"/>
        </w:rPr>
        <w:t xml:space="preserve">.  </w:t>
      </w:r>
    </w:p>
    <w:p w:rsidR="005C0264" w:rsidRPr="00BE7140" w:rsidRDefault="00BE7140" w:rsidP="00BE7140">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50C37" w:rsidRPr="00BE7140">
        <w:rPr>
          <w:rFonts w:ascii="Times New Roman" w:hAnsi="Times New Roman" w:cs="Times New Roman"/>
          <w:sz w:val="24"/>
          <w:szCs w:val="24"/>
        </w:rPr>
        <w:t>This time</w:t>
      </w:r>
      <w:r w:rsidR="00132600" w:rsidRPr="00BE7140">
        <w:rPr>
          <w:rFonts w:ascii="Times New Roman" w:hAnsi="Times New Roman" w:cs="Times New Roman"/>
          <w:sz w:val="24"/>
          <w:szCs w:val="24"/>
        </w:rPr>
        <w:t xml:space="preserve">, in addition to the fact the Company has simply not justified the existence of a “tradition” </w:t>
      </w:r>
      <w:r w:rsidR="00703D75" w:rsidRPr="00BE7140">
        <w:rPr>
          <w:rFonts w:ascii="Times New Roman" w:hAnsi="Times New Roman" w:cs="Times New Roman"/>
          <w:sz w:val="24"/>
          <w:szCs w:val="24"/>
        </w:rPr>
        <w:t>of any sort</w:t>
      </w:r>
      <w:r w:rsidR="00132600" w:rsidRPr="00BE7140">
        <w:rPr>
          <w:rFonts w:ascii="Times New Roman" w:hAnsi="Times New Roman" w:cs="Times New Roman"/>
          <w:sz w:val="24"/>
          <w:szCs w:val="24"/>
        </w:rPr>
        <w:t>, th</w:t>
      </w:r>
      <w:r w:rsidR="00703D75" w:rsidRPr="00BE7140">
        <w:rPr>
          <w:rFonts w:ascii="Times New Roman" w:hAnsi="Times New Roman" w:cs="Times New Roman"/>
          <w:sz w:val="24"/>
          <w:szCs w:val="24"/>
        </w:rPr>
        <w:t xml:space="preserve">e last PacifiCorp rate case </w:t>
      </w:r>
      <w:r w:rsidR="00A33331" w:rsidRPr="00BE7140">
        <w:rPr>
          <w:rFonts w:ascii="Times New Roman" w:hAnsi="Times New Roman" w:cs="Times New Roman"/>
          <w:sz w:val="24"/>
          <w:szCs w:val="24"/>
        </w:rPr>
        <w:t xml:space="preserve">where parties contested ROE </w:t>
      </w:r>
      <w:r w:rsidR="00703D75" w:rsidRPr="00BE7140">
        <w:rPr>
          <w:rFonts w:ascii="Times New Roman" w:hAnsi="Times New Roman" w:cs="Times New Roman"/>
          <w:sz w:val="24"/>
          <w:szCs w:val="24"/>
        </w:rPr>
        <w:t>was decided six years ago.</w:t>
      </w:r>
      <w:r w:rsidR="007725C3" w:rsidRPr="00BE7140">
        <w:rPr>
          <w:rFonts w:ascii="Times New Roman" w:hAnsi="Times New Roman" w:cs="Times New Roman"/>
          <w:sz w:val="24"/>
          <w:szCs w:val="24"/>
        </w:rPr>
        <w:t xml:space="preserve"> </w:t>
      </w:r>
      <w:r w:rsidR="00703D75" w:rsidRPr="00BE7140">
        <w:rPr>
          <w:rFonts w:ascii="Times New Roman" w:hAnsi="Times New Roman" w:cs="Times New Roman"/>
          <w:sz w:val="24"/>
          <w:szCs w:val="24"/>
        </w:rPr>
        <w:t xml:space="preserve"> </w:t>
      </w:r>
      <w:r w:rsidR="00AC3780" w:rsidRPr="00BE7140">
        <w:rPr>
          <w:rFonts w:ascii="Times New Roman" w:hAnsi="Times New Roman" w:cs="Times New Roman"/>
          <w:sz w:val="24"/>
          <w:szCs w:val="24"/>
        </w:rPr>
        <w:t>By comparison, t</w:t>
      </w:r>
      <w:r w:rsidR="00703D75" w:rsidRPr="00BE7140">
        <w:rPr>
          <w:rFonts w:ascii="Times New Roman" w:hAnsi="Times New Roman" w:cs="Times New Roman"/>
          <w:sz w:val="24"/>
          <w:szCs w:val="24"/>
        </w:rPr>
        <w:t>he</w:t>
      </w:r>
      <w:r w:rsidR="009E1CC0">
        <w:rPr>
          <w:rFonts w:ascii="Times New Roman" w:hAnsi="Times New Roman" w:cs="Times New Roman"/>
          <w:sz w:val="24"/>
          <w:szCs w:val="24"/>
        </w:rPr>
        <w:t>re was only an eighteen month</w:t>
      </w:r>
      <w:r w:rsidR="00703D75" w:rsidRPr="00BE7140">
        <w:rPr>
          <w:rFonts w:ascii="Times New Roman" w:hAnsi="Times New Roman" w:cs="Times New Roman"/>
          <w:sz w:val="24"/>
          <w:szCs w:val="24"/>
        </w:rPr>
        <w:t xml:space="preserve"> </w:t>
      </w:r>
      <w:r w:rsidR="009E1CC0" w:rsidRPr="009E1CC0">
        <w:rPr>
          <w:rFonts w:ascii="Times New Roman" w:hAnsi="Times New Roman" w:cs="Times New Roman"/>
          <w:sz w:val="24"/>
          <w:szCs w:val="24"/>
        </w:rPr>
        <w:t>gap between the cost of capital analys</w:t>
      </w:r>
      <w:r w:rsidR="009E1CC0">
        <w:rPr>
          <w:rFonts w:ascii="Times New Roman" w:hAnsi="Times New Roman" w:cs="Times New Roman"/>
          <w:sz w:val="24"/>
          <w:szCs w:val="24"/>
        </w:rPr>
        <w:t>e</w:t>
      </w:r>
      <w:r w:rsidR="009E1CC0" w:rsidRPr="009E1CC0">
        <w:rPr>
          <w:rFonts w:ascii="Times New Roman" w:hAnsi="Times New Roman" w:cs="Times New Roman"/>
          <w:sz w:val="24"/>
          <w:szCs w:val="24"/>
        </w:rPr>
        <w:t>s offered by the parties in th</w:t>
      </w:r>
      <w:r w:rsidR="009E1CC0">
        <w:rPr>
          <w:rFonts w:ascii="Times New Roman" w:hAnsi="Times New Roman" w:cs="Times New Roman"/>
          <w:sz w:val="24"/>
          <w:szCs w:val="24"/>
        </w:rPr>
        <w:t xml:space="preserve">e </w:t>
      </w:r>
      <w:r w:rsidR="00703D75" w:rsidRPr="00BE7140">
        <w:rPr>
          <w:rFonts w:ascii="Times New Roman" w:hAnsi="Times New Roman" w:cs="Times New Roman"/>
          <w:sz w:val="24"/>
          <w:szCs w:val="24"/>
        </w:rPr>
        <w:t xml:space="preserve">sole case the Company </w:t>
      </w:r>
      <w:r w:rsidR="0094412E">
        <w:rPr>
          <w:rFonts w:ascii="Times New Roman" w:hAnsi="Times New Roman" w:cs="Times New Roman"/>
          <w:sz w:val="24"/>
          <w:szCs w:val="24"/>
        </w:rPr>
        <w:t>says</w:t>
      </w:r>
      <w:r w:rsidR="004305C7">
        <w:rPr>
          <w:rFonts w:ascii="Times New Roman" w:hAnsi="Times New Roman" w:cs="Times New Roman"/>
          <w:sz w:val="24"/>
          <w:szCs w:val="24"/>
        </w:rPr>
        <w:t xml:space="preserve"> </w:t>
      </w:r>
      <w:r w:rsidR="0094412E">
        <w:rPr>
          <w:rFonts w:ascii="Times New Roman" w:hAnsi="Times New Roman" w:cs="Times New Roman"/>
          <w:sz w:val="24"/>
          <w:szCs w:val="24"/>
        </w:rPr>
        <w:t xml:space="preserve">constitutes </w:t>
      </w:r>
      <w:r w:rsidR="009E1CC0">
        <w:rPr>
          <w:rFonts w:ascii="Times New Roman" w:hAnsi="Times New Roman" w:cs="Times New Roman"/>
          <w:sz w:val="24"/>
          <w:szCs w:val="24"/>
        </w:rPr>
        <w:t xml:space="preserve">a </w:t>
      </w:r>
      <w:r w:rsidR="00703D75" w:rsidRPr="00BE7140">
        <w:rPr>
          <w:rFonts w:ascii="Times New Roman" w:hAnsi="Times New Roman" w:cs="Times New Roman"/>
          <w:sz w:val="24"/>
          <w:szCs w:val="24"/>
        </w:rPr>
        <w:t>“tradition”.</w:t>
      </w:r>
      <w:r w:rsidR="007725C3" w:rsidRPr="00BE7140">
        <w:rPr>
          <w:rFonts w:ascii="Times New Roman" w:hAnsi="Times New Roman" w:cs="Times New Roman"/>
          <w:sz w:val="24"/>
          <w:szCs w:val="24"/>
        </w:rPr>
        <w:t xml:space="preserve">  Staff knows of no </w:t>
      </w:r>
      <w:r w:rsidR="00B33246" w:rsidRPr="00BE7140">
        <w:rPr>
          <w:rFonts w:ascii="Times New Roman" w:hAnsi="Times New Roman" w:cs="Times New Roman"/>
          <w:sz w:val="24"/>
          <w:szCs w:val="24"/>
        </w:rPr>
        <w:t xml:space="preserve">instance </w:t>
      </w:r>
      <w:r w:rsidR="007725C3" w:rsidRPr="00BE7140">
        <w:rPr>
          <w:rFonts w:ascii="Times New Roman" w:hAnsi="Times New Roman" w:cs="Times New Roman"/>
          <w:sz w:val="24"/>
          <w:szCs w:val="24"/>
        </w:rPr>
        <w:t xml:space="preserve">in which the Commission </w:t>
      </w:r>
      <w:r w:rsidR="000F16C9" w:rsidRPr="00BE7140">
        <w:rPr>
          <w:rFonts w:ascii="Times New Roman" w:hAnsi="Times New Roman" w:cs="Times New Roman"/>
          <w:sz w:val="24"/>
          <w:szCs w:val="24"/>
        </w:rPr>
        <w:t xml:space="preserve">has </w:t>
      </w:r>
      <w:r w:rsidR="007725C3" w:rsidRPr="00BE7140">
        <w:rPr>
          <w:rFonts w:ascii="Times New Roman" w:hAnsi="Times New Roman" w:cs="Times New Roman"/>
          <w:sz w:val="24"/>
          <w:szCs w:val="24"/>
        </w:rPr>
        <w:t>required an examination of changed circumstances in a case such as this, whe</w:t>
      </w:r>
      <w:r w:rsidR="00B33246" w:rsidRPr="00BE7140">
        <w:rPr>
          <w:rFonts w:ascii="Times New Roman" w:hAnsi="Times New Roman" w:cs="Times New Roman"/>
          <w:sz w:val="24"/>
          <w:szCs w:val="24"/>
        </w:rPr>
        <w:t>re</w:t>
      </w:r>
      <w:r w:rsidR="007725C3" w:rsidRPr="00BE7140">
        <w:rPr>
          <w:rFonts w:ascii="Times New Roman" w:hAnsi="Times New Roman" w:cs="Times New Roman"/>
          <w:sz w:val="24"/>
          <w:szCs w:val="24"/>
        </w:rPr>
        <w:t xml:space="preserve"> many years have elapsed between ROE determinations.</w:t>
      </w:r>
    </w:p>
    <w:p w:rsidR="008C7E2D" w:rsidRPr="008C7E2D" w:rsidRDefault="00BD566C" w:rsidP="00880682">
      <w:pPr>
        <w:keepNext/>
        <w:spacing w:line="240" w:lineRule="auto"/>
        <w:ind w:left="2160" w:hanging="720"/>
        <w:contextualSpacing/>
        <w:rPr>
          <w:rFonts w:ascii="Times New Roman" w:hAnsi="Times New Roman" w:cs="Times New Roman"/>
          <w:b/>
          <w:sz w:val="24"/>
          <w:szCs w:val="24"/>
        </w:rPr>
      </w:pPr>
      <w:r>
        <w:rPr>
          <w:rFonts w:ascii="Times New Roman" w:hAnsi="Times New Roman" w:cs="Times New Roman"/>
          <w:b/>
          <w:sz w:val="24"/>
          <w:szCs w:val="24"/>
        </w:rPr>
        <w:lastRenderedPageBreak/>
        <w:t>b.</w:t>
      </w:r>
      <w:r>
        <w:rPr>
          <w:rFonts w:ascii="Times New Roman" w:hAnsi="Times New Roman" w:cs="Times New Roman"/>
          <w:b/>
          <w:sz w:val="24"/>
          <w:szCs w:val="24"/>
        </w:rPr>
        <w:tab/>
        <w:t>PacifiCorp’s Single-Minded Focus on Inter</w:t>
      </w:r>
      <w:r w:rsidR="00534BF1">
        <w:rPr>
          <w:rFonts w:ascii="Times New Roman" w:hAnsi="Times New Roman" w:cs="Times New Roman"/>
          <w:b/>
          <w:sz w:val="24"/>
          <w:szCs w:val="24"/>
        </w:rPr>
        <w:t>e</w:t>
      </w:r>
      <w:r>
        <w:rPr>
          <w:rFonts w:ascii="Times New Roman" w:hAnsi="Times New Roman" w:cs="Times New Roman"/>
          <w:b/>
          <w:sz w:val="24"/>
          <w:szCs w:val="24"/>
        </w:rPr>
        <w:t xml:space="preserve">st </w:t>
      </w:r>
      <w:r w:rsidR="00534BF1">
        <w:rPr>
          <w:rFonts w:ascii="Times New Roman" w:hAnsi="Times New Roman" w:cs="Times New Roman"/>
          <w:b/>
          <w:sz w:val="24"/>
          <w:szCs w:val="24"/>
        </w:rPr>
        <w:t>R</w:t>
      </w:r>
      <w:r>
        <w:rPr>
          <w:rFonts w:ascii="Times New Roman" w:hAnsi="Times New Roman" w:cs="Times New Roman"/>
          <w:b/>
          <w:sz w:val="24"/>
          <w:szCs w:val="24"/>
        </w:rPr>
        <w:t xml:space="preserve">ate Comparisons Between Periods is </w:t>
      </w:r>
      <w:r w:rsidR="00534BF1">
        <w:rPr>
          <w:rFonts w:ascii="Times New Roman" w:hAnsi="Times New Roman" w:cs="Times New Roman"/>
          <w:b/>
          <w:sz w:val="24"/>
          <w:szCs w:val="24"/>
        </w:rPr>
        <w:t>Flawed Because Market Risk Premiums Can Change Over Time</w:t>
      </w:r>
    </w:p>
    <w:p w:rsidR="008C7E2D" w:rsidRDefault="008C7E2D" w:rsidP="00880682">
      <w:pPr>
        <w:keepNext/>
        <w:spacing w:after="0" w:line="240" w:lineRule="auto"/>
        <w:contextualSpacing/>
        <w:rPr>
          <w:rFonts w:ascii="Times New Roman" w:hAnsi="Times New Roman" w:cs="Times New Roman"/>
          <w:sz w:val="24"/>
          <w:szCs w:val="24"/>
        </w:rPr>
      </w:pPr>
    </w:p>
    <w:p w:rsidR="001F3621" w:rsidRPr="00BE7140" w:rsidRDefault="00BE7140" w:rsidP="00BE7140">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34BF1" w:rsidRPr="00BE7140">
        <w:rPr>
          <w:rFonts w:ascii="Times New Roman" w:hAnsi="Times New Roman" w:cs="Times New Roman"/>
          <w:sz w:val="24"/>
          <w:szCs w:val="24"/>
        </w:rPr>
        <w:t xml:space="preserve">In its </w:t>
      </w:r>
      <w:r w:rsidR="00F9192A" w:rsidRPr="00BE7140">
        <w:rPr>
          <w:rFonts w:ascii="Times New Roman" w:hAnsi="Times New Roman" w:cs="Times New Roman"/>
          <w:sz w:val="24"/>
          <w:szCs w:val="24"/>
        </w:rPr>
        <w:t>ROE arguments</w:t>
      </w:r>
      <w:r w:rsidR="00534BF1" w:rsidRPr="00BE7140">
        <w:rPr>
          <w:rFonts w:ascii="Times New Roman" w:hAnsi="Times New Roman" w:cs="Times New Roman"/>
          <w:sz w:val="24"/>
          <w:szCs w:val="24"/>
        </w:rPr>
        <w:t xml:space="preserve">, </w:t>
      </w:r>
      <w:r w:rsidR="00703D75" w:rsidRPr="00BE7140">
        <w:rPr>
          <w:rFonts w:ascii="Times New Roman" w:hAnsi="Times New Roman" w:cs="Times New Roman"/>
          <w:sz w:val="24"/>
          <w:szCs w:val="24"/>
        </w:rPr>
        <w:t>PacifiCorp</w:t>
      </w:r>
      <w:r w:rsidR="00534BF1" w:rsidRPr="00BE7140">
        <w:rPr>
          <w:rFonts w:ascii="Times New Roman" w:hAnsi="Times New Roman" w:cs="Times New Roman"/>
          <w:sz w:val="24"/>
          <w:szCs w:val="24"/>
        </w:rPr>
        <w:t xml:space="preserve"> </w:t>
      </w:r>
      <w:r w:rsidR="00703D75" w:rsidRPr="00BE7140">
        <w:rPr>
          <w:rFonts w:ascii="Times New Roman" w:hAnsi="Times New Roman" w:cs="Times New Roman"/>
          <w:sz w:val="24"/>
          <w:szCs w:val="24"/>
        </w:rPr>
        <w:t>place</w:t>
      </w:r>
      <w:r w:rsidR="00534BF1" w:rsidRPr="00BE7140">
        <w:rPr>
          <w:rFonts w:ascii="Times New Roman" w:hAnsi="Times New Roman" w:cs="Times New Roman"/>
          <w:sz w:val="24"/>
          <w:szCs w:val="24"/>
        </w:rPr>
        <w:t>s</w:t>
      </w:r>
      <w:r w:rsidR="00703D75" w:rsidRPr="00BE7140">
        <w:rPr>
          <w:rFonts w:ascii="Times New Roman" w:hAnsi="Times New Roman" w:cs="Times New Roman"/>
          <w:sz w:val="24"/>
          <w:szCs w:val="24"/>
        </w:rPr>
        <w:t xml:space="preserve"> </w:t>
      </w:r>
      <w:r w:rsidR="00A01E73" w:rsidRPr="00BE7140">
        <w:rPr>
          <w:rFonts w:ascii="Times New Roman" w:hAnsi="Times New Roman" w:cs="Times New Roman"/>
          <w:sz w:val="24"/>
          <w:szCs w:val="24"/>
        </w:rPr>
        <w:t xml:space="preserve">almost exclusive </w:t>
      </w:r>
      <w:r w:rsidR="00703D75" w:rsidRPr="00BE7140">
        <w:rPr>
          <w:rFonts w:ascii="Times New Roman" w:hAnsi="Times New Roman" w:cs="Times New Roman"/>
          <w:sz w:val="24"/>
          <w:szCs w:val="24"/>
        </w:rPr>
        <w:t xml:space="preserve">reliance on the similarity between </w:t>
      </w:r>
      <w:r w:rsidR="00A47B97" w:rsidRPr="00BE7140">
        <w:rPr>
          <w:rFonts w:ascii="Times New Roman" w:hAnsi="Times New Roman" w:cs="Times New Roman"/>
          <w:sz w:val="24"/>
          <w:szCs w:val="24"/>
        </w:rPr>
        <w:t xml:space="preserve">interest rates for bonds today </w:t>
      </w:r>
      <w:r w:rsidR="00703D75" w:rsidRPr="00BE7140">
        <w:rPr>
          <w:rFonts w:ascii="Times New Roman" w:hAnsi="Times New Roman" w:cs="Times New Roman"/>
          <w:sz w:val="24"/>
          <w:szCs w:val="24"/>
        </w:rPr>
        <w:t xml:space="preserve">compared to </w:t>
      </w:r>
      <w:r w:rsidR="00A47B97" w:rsidRPr="00BE7140">
        <w:rPr>
          <w:rFonts w:ascii="Times New Roman" w:hAnsi="Times New Roman" w:cs="Times New Roman"/>
          <w:sz w:val="24"/>
          <w:szCs w:val="24"/>
        </w:rPr>
        <w:t>2006</w:t>
      </w:r>
      <w:r w:rsidR="00703D75" w:rsidRPr="00BE7140">
        <w:rPr>
          <w:rFonts w:ascii="Times New Roman" w:hAnsi="Times New Roman" w:cs="Times New Roman"/>
          <w:sz w:val="24"/>
          <w:szCs w:val="24"/>
        </w:rPr>
        <w:t xml:space="preserve">, in arguing that a </w:t>
      </w:r>
      <w:r w:rsidR="00A47B97" w:rsidRPr="00BE7140">
        <w:rPr>
          <w:rFonts w:ascii="Times New Roman" w:hAnsi="Times New Roman" w:cs="Times New Roman"/>
          <w:sz w:val="24"/>
          <w:szCs w:val="24"/>
        </w:rPr>
        <w:t xml:space="preserve">reduction </w:t>
      </w:r>
      <w:r w:rsidR="00703D75" w:rsidRPr="00BE7140">
        <w:rPr>
          <w:rFonts w:ascii="Times New Roman" w:hAnsi="Times New Roman" w:cs="Times New Roman"/>
          <w:sz w:val="24"/>
          <w:szCs w:val="24"/>
        </w:rPr>
        <w:t xml:space="preserve">from the 10.2 percent </w:t>
      </w:r>
      <w:r w:rsidR="00A47B97" w:rsidRPr="00BE7140">
        <w:rPr>
          <w:rFonts w:ascii="Times New Roman" w:hAnsi="Times New Roman" w:cs="Times New Roman"/>
          <w:sz w:val="24"/>
          <w:szCs w:val="24"/>
        </w:rPr>
        <w:t xml:space="preserve">ROE </w:t>
      </w:r>
      <w:r w:rsidR="00703D75" w:rsidRPr="00BE7140">
        <w:rPr>
          <w:rFonts w:ascii="Times New Roman" w:hAnsi="Times New Roman" w:cs="Times New Roman"/>
          <w:sz w:val="24"/>
          <w:szCs w:val="24"/>
        </w:rPr>
        <w:t xml:space="preserve">the Commission granted in 2006 </w:t>
      </w:r>
      <w:r w:rsidR="00A47B97" w:rsidRPr="00BE7140">
        <w:rPr>
          <w:rFonts w:ascii="Times New Roman" w:hAnsi="Times New Roman" w:cs="Times New Roman"/>
          <w:sz w:val="24"/>
          <w:szCs w:val="24"/>
        </w:rPr>
        <w:t xml:space="preserve">is </w:t>
      </w:r>
      <w:r w:rsidR="00703D75" w:rsidRPr="00BE7140">
        <w:rPr>
          <w:rFonts w:ascii="Times New Roman" w:hAnsi="Times New Roman" w:cs="Times New Roman"/>
          <w:sz w:val="24"/>
          <w:szCs w:val="24"/>
        </w:rPr>
        <w:t>inappropriate</w:t>
      </w:r>
      <w:r w:rsidR="00A47B97" w:rsidRPr="00BE7140">
        <w:rPr>
          <w:rFonts w:ascii="Times New Roman" w:hAnsi="Times New Roman" w:cs="Times New Roman"/>
          <w:sz w:val="24"/>
          <w:szCs w:val="24"/>
        </w:rPr>
        <w:t>.</w:t>
      </w:r>
      <w:r w:rsidR="00A01E73">
        <w:rPr>
          <w:rStyle w:val="FootnoteReference"/>
          <w:rFonts w:cs="Times New Roman"/>
          <w:sz w:val="24"/>
          <w:szCs w:val="24"/>
        </w:rPr>
        <w:footnoteReference w:id="20"/>
      </w:r>
      <w:r w:rsidR="00A47B97" w:rsidRPr="00BE7140">
        <w:rPr>
          <w:rFonts w:ascii="Times New Roman" w:hAnsi="Times New Roman" w:cs="Times New Roman"/>
          <w:sz w:val="24"/>
          <w:szCs w:val="24"/>
        </w:rPr>
        <w:t xml:space="preserve">  </w:t>
      </w:r>
      <w:r w:rsidR="00703D75" w:rsidRPr="00BE7140">
        <w:rPr>
          <w:rFonts w:ascii="Times New Roman" w:hAnsi="Times New Roman" w:cs="Times New Roman"/>
          <w:sz w:val="24"/>
          <w:szCs w:val="24"/>
        </w:rPr>
        <w:t>PacifiCorp</w:t>
      </w:r>
      <w:r w:rsidR="001F3621" w:rsidRPr="00BE7140">
        <w:rPr>
          <w:rFonts w:ascii="Times New Roman" w:hAnsi="Times New Roman" w:cs="Times New Roman"/>
          <w:sz w:val="24"/>
          <w:szCs w:val="24"/>
        </w:rPr>
        <w:t>’s argument</w:t>
      </w:r>
      <w:r w:rsidR="002B06A6" w:rsidRPr="00BE7140">
        <w:rPr>
          <w:rFonts w:ascii="Times New Roman" w:hAnsi="Times New Roman" w:cs="Times New Roman"/>
          <w:sz w:val="24"/>
          <w:szCs w:val="24"/>
        </w:rPr>
        <w:t>s are</w:t>
      </w:r>
      <w:r w:rsidR="00534BF1" w:rsidRPr="00BE7140">
        <w:rPr>
          <w:rFonts w:ascii="Times New Roman" w:hAnsi="Times New Roman" w:cs="Times New Roman"/>
          <w:sz w:val="24"/>
          <w:szCs w:val="24"/>
        </w:rPr>
        <w:t xml:space="preserve"> flawed because </w:t>
      </w:r>
      <w:r w:rsidR="002B06A6" w:rsidRPr="00BE7140">
        <w:rPr>
          <w:rFonts w:ascii="Times New Roman" w:hAnsi="Times New Roman" w:cs="Times New Roman"/>
          <w:sz w:val="24"/>
          <w:szCs w:val="24"/>
        </w:rPr>
        <w:t>the Company</w:t>
      </w:r>
      <w:r w:rsidR="00534BF1" w:rsidRPr="00BE7140">
        <w:rPr>
          <w:rFonts w:ascii="Times New Roman" w:hAnsi="Times New Roman" w:cs="Times New Roman"/>
          <w:sz w:val="24"/>
          <w:szCs w:val="24"/>
        </w:rPr>
        <w:t xml:space="preserve"> </w:t>
      </w:r>
      <w:r w:rsidR="00703D75" w:rsidRPr="00BE7140">
        <w:rPr>
          <w:rFonts w:ascii="Times New Roman" w:hAnsi="Times New Roman" w:cs="Times New Roman"/>
          <w:sz w:val="24"/>
          <w:szCs w:val="24"/>
        </w:rPr>
        <w:t>presuppos</w:t>
      </w:r>
      <w:r w:rsidR="001F3621" w:rsidRPr="00BE7140">
        <w:rPr>
          <w:rFonts w:ascii="Times New Roman" w:hAnsi="Times New Roman" w:cs="Times New Roman"/>
          <w:sz w:val="24"/>
          <w:szCs w:val="24"/>
        </w:rPr>
        <w:t>es</w:t>
      </w:r>
      <w:r w:rsidR="00703D75" w:rsidRPr="00BE7140">
        <w:rPr>
          <w:rFonts w:ascii="Times New Roman" w:hAnsi="Times New Roman" w:cs="Times New Roman"/>
          <w:sz w:val="24"/>
          <w:szCs w:val="24"/>
        </w:rPr>
        <w:t xml:space="preserve"> that </w:t>
      </w:r>
      <w:r w:rsidR="00A47B97" w:rsidRPr="00BE7140">
        <w:rPr>
          <w:rFonts w:ascii="Times New Roman" w:hAnsi="Times New Roman" w:cs="Times New Roman"/>
          <w:sz w:val="24"/>
          <w:szCs w:val="24"/>
        </w:rPr>
        <w:t>risk premiums are constant</w:t>
      </w:r>
      <w:r w:rsidR="00A01E73" w:rsidRPr="00BE7140">
        <w:rPr>
          <w:rFonts w:ascii="Times New Roman" w:hAnsi="Times New Roman" w:cs="Times New Roman"/>
          <w:sz w:val="24"/>
          <w:szCs w:val="24"/>
        </w:rPr>
        <w:t xml:space="preserve"> through time.  In fact, </w:t>
      </w:r>
      <w:r w:rsidR="00A47B97" w:rsidRPr="00BE7140">
        <w:rPr>
          <w:rFonts w:ascii="Times New Roman" w:hAnsi="Times New Roman" w:cs="Times New Roman"/>
          <w:sz w:val="24"/>
          <w:szCs w:val="24"/>
        </w:rPr>
        <w:t xml:space="preserve">interest rates may be the same </w:t>
      </w:r>
      <w:r w:rsidR="00A01E73" w:rsidRPr="00BE7140">
        <w:rPr>
          <w:rFonts w:ascii="Times New Roman" w:hAnsi="Times New Roman" w:cs="Times New Roman"/>
          <w:sz w:val="24"/>
          <w:szCs w:val="24"/>
        </w:rPr>
        <w:t xml:space="preserve">in different periods </w:t>
      </w:r>
      <w:r w:rsidR="00A47B97" w:rsidRPr="00BE7140">
        <w:rPr>
          <w:rFonts w:ascii="Times New Roman" w:hAnsi="Times New Roman" w:cs="Times New Roman"/>
          <w:sz w:val="24"/>
          <w:szCs w:val="24"/>
        </w:rPr>
        <w:t>but the market risk premium for utility stocks may have declined.</w:t>
      </w:r>
      <w:r w:rsidR="001F3621" w:rsidRPr="00BE7140">
        <w:rPr>
          <w:rFonts w:ascii="Times New Roman" w:hAnsi="Times New Roman" w:cs="Times New Roman"/>
          <w:sz w:val="24"/>
          <w:szCs w:val="24"/>
        </w:rPr>
        <w:t xml:space="preserve">  As Mr. Gorman testified:</w:t>
      </w:r>
    </w:p>
    <w:p w:rsidR="00D8671B" w:rsidRDefault="001F3621" w:rsidP="001F3621">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 simplistic inverse relationship between equity risk premiums and interest rates is not supported by academic research…researchers have found that the relationship changes over time and is influenced by changes in perception of risk of bond investments relative to equity investments, and no</w:t>
      </w:r>
      <w:r w:rsidR="00432EA6">
        <w:rPr>
          <w:rFonts w:ascii="Times New Roman" w:hAnsi="Times New Roman" w:cs="Times New Roman"/>
          <w:sz w:val="24"/>
          <w:szCs w:val="24"/>
        </w:rPr>
        <w:t>t</w:t>
      </w:r>
      <w:r>
        <w:rPr>
          <w:rFonts w:ascii="Times New Roman" w:hAnsi="Times New Roman" w:cs="Times New Roman"/>
          <w:sz w:val="24"/>
          <w:szCs w:val="24"/>
        </w:rPr>
        <w:t xml:space="preserve"> simply changes to interest rates.</w:t>
      </w:r>
      <w:r w:rsidR="00194B6F">
        <w:rPr>
          <w:rStyle w:val="FootnoteReference"/>
          <w:rFonts w:cs="Times New Roman"/>
          <w:sz w:val="24"/>
          <w:szCs w:val="24"/>
        </w:rPr>
        <w:footnoteReference w:id="21"/>
      </w:r>
    </w:p>
    <w:p w:rsidR="00194B6F" w:rsidRDefault="00194B6F" w:rsidP="00194B6F">
      <w:pPr>
        <w:spacing w:line="240" w:lineRule="auto"/>
        <w:contextualSpacing/>
        <w:rPr>
          <w:rFonts w:ascii="Times New Roman" w:hAnsi="Times New Roman" w:cs="Times New Roman"/>
          <w:sz w:val="24"/>
          <w:szCs w:val="24"/>
        </w:rPr>
      </w:pPr>
    </w:p>
    <w:p w:rsidR="00194B6F" w:rsidRDefault="00194B6F" w:rsidP="00171CF0">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Mr. Gorman </w:t>
      </w:r>
      <w:r w:rsidR="00850C37">
        <w:rPr>
          <w:rFonts w:ascii="Times New Roman" w:hAnsi="Times New Roman" w:cs="Times New Roman"/>
          <w:sz w:val="24"/>
          <w:szCs w:val="24"/>
        </w:rPr>
        <w:t xml:space="preserve">went </w:t>
      </w:r>
      <w:r>
        <w:rPr>
          <w:rFonts w:ascii="Times New Roman" w:hAnsi="Times New Roman" w:cs="Times New Roman"/>
          <w:sz w:val="24"/>
          <w:szCs w:val="24"/>
        </w:rPr>
        <w:t>on to explain that:</w:t>
      </w:r>
    </w:p>
    <w:p w:rsidR="00194B6F" w:rsidRPr="00031D42" w:rsidRDefault="00194B6F" w:rsidP="00194B6F">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 relative investment risk differential cannot be measured simply by observing nominal interest rates.  Changes in nominal interest rates are highly influenced by changes to inflation outlooks, which also change equity return expectations.  As such, the relevant factor needed to explain changes in equity risk premiums is the relative changes to the risk of equity versus debt securities investments, not simply interest rates.</w:t>
      </w:r>
      <w:r>
        <w:rPr>
          <w:rStyle w:val="FootnoteReference"/>
          <w:rFonts w:cs="Times New Roman"/>
          <w:sz w:val="24"/>
          <w:szCs w:val="24"/>
        </w:rPr>
        <w:footnoteReference w:id="22"/>
      </w:r>
    </w:p>
    <w:p w:rsidR="008C7E2D" w:rsidRDefault="00A01E73" w:rsidP="00BE714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p>
    <w:p w:rsidR="00121788" w:rsidRPr="00BE7140" w:rsidRDefault="00BE7140" w:rsidP="00BE7140">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94B6F" w:rsidRPr="00BE7140">
        <w:rPr>
          <w:rFonts w:ascii="Times New Roman" w:hAnsi="Times New Roman" w:cs="Times New Roman"/>
          <w:sz w:val="24"/>
          <w:szCs w:val="24"/>
        </w:rPr>
        <w:t xml:space="preserve">This evidence refutes the major thrust of </w:t>
      </w:r>
      <w:r w:rsidR="001F3621" w:rsidRPr="00BE7140">
        <w:rPr>
          <w:rFonts w:ascii="Times New Roman" w:hAnsi="Times New Roman" w:cs="Times New Roman"/>
          <w:sz w:val="24"/>
          <w:szCs w:val="24"/>
        </w:rPr>
        <w:t>PacifiCorp</w:t>
      </w:r>
      <w:r w:rsidR="00194B6F" w:rsidRPr="00BE7140">
        <w:rPr>
          <w:rFonts w:ascii="Times New Roman" w:hAnsi="Times New Roman" w:cs="Times New Roman"/>
          <w:sz w:val="24"/>
          <w:szCs w:val="24"/>
        </w:rPr>
        <w:t>’s ROE arguments</w:t>
      </w:r>
      <w:r w:rsidR="00850C37" w:rsidRPr="00BE7140">
        <w:rPr>
          <w:rFonts w:ascii="Times New Roman" w:hAnsi="Times New Roman" w:cs="Times New Roman"/>
          <w:sz w:val="24"/>
          <w:szCs w:val="24"/>
        </w:rPr>
        <w:t xml:space="preserve"> in its Petition</w:t>
      </w:r>
      <w:r w:rsidR="00194B6F" w:rsidRPr="00BE7140">
        <w:rPr>
          <w:rFonts w:ascii="Times New Roman" w:hAnsi="Times New Roman" w:cs="Times New Roman"/>
          <w:sz w:val="24"/>
          <w:szCs w:val="24"/>
        </w:rPr>
        <w:t xml:space="preserve">, and exposes the Company’s single-minded, unjustified reliance on interest rate/ROE comparisons.  </w:t>
      </w:r>
    </w:p>
    <w:p w:rsidR="001F3621" w:rsidRPr="00BE7140" w:rsidRDefault="00BE7140" w:rsidP="00BE7140">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C0264" w:rsidRPr="00BE7140">
        <w:rPr>
          <w:rFonts w:ascii="Times New Roman" w:hAnsi="Times New Roman" w:cs="Times New Roman"/>
          <w:sz w:val="24"/>
          <w:szCs w:val="24"/>
        </w:rPr>
        <w:t xml:space="preserve">Furthermore, </w:t>
      </w:r>
      <w:r w:rsidR="00AC3780" w:rsidRPr="00BE7140">
        <w:rPr>
          <w:rFonts w:ascii="Times New Roman" w:hAnsi="Times New Roman" w:cs="Times New Roman"/>
          <w:sz w:val="24"/>
          <w:szCs w:val="24"/>
        </w:rPr>
        <w:t xml:space="preserve">because </w:t>
      </w:r>
      <w:r w:rsidR="005C0264" w:rsidRPr="00BE7140">
        <w:rPr>
          <w:rFonts w:ascii="Times New Roman" w:hAnsi="Times New Roman" w:cs="Times New Roman"/>
          <w:sz w:val="24"/>
          <w:szCs w:val="24"/>
        </w:rPr>
        <w:t>PacifiCorp does not state the specific remedy it seeks if this is indeed the proper analysis</w:t>
      </w:r>
      <w:r w:rsidR="00AC3780" w:rsidRPr="00BE7140">
        <w:rPr>
          <w:rFonts w:ascii="Times New Roman" w:hAnsi="Times New Roman" w:cs="Times New Roman"/>
          <w:sz w:val="24"/>
          <w:szCs w:val="24"/>
        </w:rPr>
        <w:t xml:space="preserve">, </w:t>
      </w:r>
      <w:r w:rsidR="005C0264" w:rsidRPr="00BE7140">
        <w:rPr>
          <w:rFonts w:ascii="Times New Roman" w:hAnsi="Times New Roman" w:cs="Times New Roman"/>
          <w:sz w:val="24"/>
          <w:szCs w:val="24"/>
        </w:rPr>
        <w:t xml:space="preserve">we do not know whether the Company is </w:t>
      </w:r>
      <w:r w:rsidR="00AC3780" w:rsidRPr="00BE7140">
        <w:rPr>
          <w:rFonts w:ascii="Times New Roman" w:hAnsi="Times New Roman" w:cs="Times New Roman"/>
          <w:sz w:val="24"/>
          <w:szCs w:val="24"/>
        </w:rPr>
        <w:t xml:space="preserve">implicitly </w:t>
      </w:r>
      <w:r w:rsidR="005C0264" w:rsidRPr="00BE7140">
        <w:rPr>
          <w:rFonts w:ascii="Times New Roman" w:hAnsi="Times New Roman" w:cs="Times New Roman"/>
          <w:sz w:val="24"/>
          <w:szCs w:val="24"/>
        </w:rPr>
        <w:t xml:space="preserve">asserting </w:t>
      </w:r>
      <w:r w:rsidR="00AC3780" w:rsidRPr="00BE7140">
        <w:rPr>
          <w:rFonts w:ascii="Times New Roman" w:hAnsi="Times New Roman" w:cs="Times New Roman"/>
          <w:sz w:val="24"/>
          <w:szCs w:val="24"/>
        </w:rPr>
        <w:t xml:space="preserve">here </w:t>
      </w:r>
      <w:r w:rsidR="005C0264" w:rsidRPr="00BE7140">
        <w:rPr>
          <w:rFonts w:ascii="Times New Roman" w:hAnsi="Times New Roman" w:cs="Times New Roman"/>
          <w:sz w:val="24"/>
          <w:szCs w:val="24"/>
        </w:rPr>
        <w:t xml:space="preserve">that the Commission should now accept 10.2% as a fair ROE </w:t>
      </w:r>
      <w:r w:rsidR="00AC3780" w:rsidRPr="00BE7140">
        <w:rPr>
          <w:rFonts w:ascii="Times New Roman" w:hAnsi="Times New Roman" w:cs="Times New Roman"/>
          <w:sz w:val="24"/>
          <w:szCs w:val="24"/>
        </w:rPr>
        <w:t>for PacifiCorp</w:t>
      </w:r>
      <w:r w:rsidR="005C0264" w:rsidRPr="00BE7140">
        <w:rPr>
          <w:rFonts w:ascii="Times New Roman" w:hAnsi="Times New Roman" w:cs="Times New Roman"/>
          <w:sz w:val="24"/>
          <w:szCs w:val="24"/>
        </w:rPr>
        <w:t xml:space="preserve">.  </w:t>
      </w:r>
      <w:r w:rsidR="00AC3780" w:rsidRPr="00BE7140">
        <w:rPr>
          <w:rFonts w:ascii="Times New Roman" w:hAnsi="Times New Roman" w:cs="Times New Roman"/>
          <w:sz w:val="24"/>
          <w:szCs w:val="24"/>
        </w:rPr>
        <w:t xml:space="preserve">If so, the </w:t>
      </w:r>
      <w:r w:rsidR="00AC3780" w:rsidRPr="00BE7140">
        <w:rPr>
          <w:rFonts w:ascii="Times New Roman" w:hAnsi="Times New Roman" w:cs="Times New Roman"/>
          <w:sz w:val="24"/>
          <w:szCs w:val="24"/>
        </w:rPr>
        <w:lastRenderedPageBreak/>
        <w:t xml:space="preserve">Commission should reject such an assertion </w:t>
      </w:r>
      <w:r w:rsidR="000F16C9" w:rsidRPr="00BE7140">
        <w:rPr>
          <w:rFonts w:ascii="Times New Roman" w:hAnsi="Times New Roman" w:cs="Times New Roman"/>
          <w:sz w:val="24"/>
          <w:szCs w:val="24"/>
        </w:rPr>
        <w:t xml:space="preserve">for the additional reason that </w:t>
      </w:r>
      <w:r w:rsidR="00AC3780" w:rsidRPr="00BE7140">
        <w:rPr>
          <w:rFonts w:ascii="Times New Roman" w:hAnsi="Times New Roman" w:cs="Times New Roman"/>
          <w:sz w:val="24"/>
          <w:szCs w:val="24"/>
        </w:rPr>
        <w:t>the Company is impeaching its own witness</w:t>
      </w:r>
      <w:r w:rsidR="003C126C">
        <w:rPr>
          <w:rFonts w:ascii="Times New Roman" w:hAnsi="Times New Roman" w:cs="Times New Roman"/>
          <w:sz w:val="24"/>
          <w:szCs w:val="24"/>
        </w:rPr>
        <w:t>, and its own case</w:t>
      </w:r>
      <w:r w:rsidR="00AC3780" w:rsidRPr="00BE7140">
        <w:rPr>
          <w:rFonts w:ascii="Times New Roman" w:hAnsi="Times New Roman" w:cs="Times New Roman"/>
          <w:sz w:val="24"/>
          <w:szCs w:val="24"/>
        </w:rPr>
        <w:t>.</w:t>
      </w:r>
    </w:p>
    <w:p w:rsidR="008C7E2D" w:rsidRDefault="00534BF1" w:rsidP="00880682">
      <w:pPr>
        <w:keepNext/>
        <w:spacing w:line="240" w:lineRule="auto"/>
        <w:ind w:left="2160" w:hanging="720"/>
        <w:contextualSpacing/>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b/>
          <w:sz w:val="24"/>
          <w:szCs w:val="24"/>
        </w:rPr>
        <w:tab/>
        <w:t xml:space="preserve">The Commission Was Eminently Correct to Reject Dr. </w:t>
      </w:r>
      <w:r w:rsidR="00CC4C8B">
        <w:rPr>
          <w:rFonts w:ascii="Times New Roman" w:hAnsi="Times New Roman" w:cs="Times New Roman"/>
          <w:b/>
          <w:sz w:val="24"/>
          <w:szCs w:val="24"/>
        </w:rPr>
        <w:t>H</w:t>
      </w:r>
      <w:r>
        <w:rPr>
          <w:rFonts w:ascii="Times New Roman" w:hAnsi="Times New Roman" w:cs="Times New Roman"/>
          <w:b/>
          <w:sz w:val="24"/>
          <w:szCs w:val="24"/>
        </w:rPr>
        <w:t>adaway</w:t>
      </w:r>
      <w:r w:rsidR="00CC4C8B">
        <w:rPr>
          <w:rFonts w:ascii="Times New Roman" w:hAnsi="Times New Roman" w:cs="Times New Roman"/>
          <w:b/>
          <w:sz w:val="24"/>
          <w:szCs w:val="24"/>
        </w:rPr>
        <w:t>’</w:t>
      </w:r>
      <w:r>
        <w:rPr>
          <w:rFonts w:ascii="Times New Roman" w:hAnsi="Times New Roman" w:cs="Times New Roman"/>
          <w:b/>
          <w:sz w:val="24"/>
          <w:szCs w:val="24"/>
        </w:rPr>
        <w:t xml:space="preserve">s 6.0 Percent </w:t>
      </w:r>
      <w:r w:rsidR="00CC4C8B">
        <w:rPr>
          <w:rFonts w:ascii="Times New Roman" w:hAnsi="Times New Roman" w:cs="Times New Roman"/>
          <w:b/>
          <w:sz w:val="24"/>
          <w:szCs w:val="24"/>
        </w:rPr>
        <w:t xml:space="preserve">Dividend </w:t>
      </w:r>
      <w:r>
        <w:rPr>
          <w:rFonts w:ascii="Times New Roman" w:hAnsi="Times New Roman" w:cs="Times New Roman"/>
          <w:b/>
          <w:sz w:val="24"/>
          <w:szCs w:val="24"/>
        </w:rPr>
        <w:t>Growth Rate</w:t>
      </w:r>
    </w:p>
    <w:p w:rsidR="008C7E2D" w:rsidRDefault="008C7E2D" w:rsidP="00880682">
      <w:pPr>
        <w:keepNext/>
        <w:spacing w:after="0" w:line="240" w:lineRule="auto"/>
        <w:contextualSpacing/>
        <w:rPr>
          <w:rFonts w:ascii="Times New Roman" w:hAnsi="Times New Roman" w:cs="Times New Roman"/>
          <w:sz w:val="24"/>
          <w:szCs w:val="24"/>
        </w:rPr>
      </w:pPr>
    </w:p>
    <w:p w:rsidR="002B06A6" w:rsidRPr="00BE7140" w:rsidRDefault="00BE7140" w:rsidP="00BE71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194B6F" w:rsidRPr="00BE7140">
        <w:rPr>
          <w:rFonts w:ascii="Times New Roman" w:hAnsi="Times New Roman" w:cs="Times New Roman"/>
          <w:sz w:val="24"/>
          <w:szCs w:val="24"/>
        </w:rPr>
        <w:t xml:space="preserve">Having come up </w:t>
      </w:r>
      <w:r w:rsidR="00384811">
        <w:rPr>
          <w:rFonts w:ascii="Times New Roman" w:hAnsi="Times New Roman" w:cs="Times New Roman"/>
          <w:sz w:val="24"/>
          <w:szCs w:val="24"/>
        </w:rPr>
        <w:t xml:space="preserve">well </w:t>
      </w:r>
      <w:r w:rsidR="00194B6F" w:rsidRPr="00BE7140">
        <w:rPr>
          <w:rFonts w:ascii="Times New Roman" w:hAnsi="Times New Roman" w:cs="Times New Roman"/>
          <w:sz w:val="24"/>
          <w:szCs w:val="24"/>
        </w:rPr>
        <w:t xml:space="preserve">short </w:t>
      </w:r>
      <w:r w:rsidR="00384811">
        <w:rPr>
          <w:rFonts w:ascii="Times New Roman" w:hAnsi="Times New Roman" w:cs="Times New Roman"/>
          <w:sz w:val="24"/>
          <w:szCs w:val="24"/>
        </w:rPr>
        <w:t>i</w:t>
      </w:r>
      <w:r w:rsidR="00194B6F" w:rsidRPr="00BE7140">
        <w:rPr>
          <w:rFonts w:ascii="Times New Roman" w:hAnsi="Times New Roman" w:cs="Times New Roman"/>
          <w:sz w:val="24"/>
          <w:szCs w:val="24"/>
        </w:rPr>
        <w:t xml:space="preserve">n its overall </w:t>
      </w:r>
      <w:r w:rsidR="002E1975" w:rsidRPr="00BE7140">
        <w:rPr>
          <w:rFonts w:ascii="Times New Roman" w:hAnsi="Times New Roman" w:cs="Times New Roman"/>
          <w:sz w:val="24"/>
          <w:szCs w:val="24"/>
        </w:rPr>
        <w:t xml:space="preserve">attempt to justify </w:t>
      </w:r>
      <w:r w:rsidR="00194B6F" w:rsidRPr="00BE7140">
        <w:rPr>
          <w:rFonts w:ascii="Times New Roman" w:hAnsi="Times New Roman" w:cs="Times New Roman"/>
          <w:sz w:val="24"/>
          <w:szCs w:val="24"/>
        </w:rPr>
        <w:t>Commission reconsider</w:t>
      </w:r>
      <w:r w:rsidR="002E1975" w:rsidRPr="00BE7140">
        <w:rPr>
          <w:rFonts w:ascii="Times New Roman" w:hAnsi="Times New Roman" w:cs="Times New Roman"/>
          <w:sz w:val="24"/>
          <w:szCs w:val="24"/>
        </w:rPr>
        <w:t xml:space="preserve">ation of </w:t>
      </w:r>
      <w:r w:rsidR="00194B6F" w:rsidRPr="00BE7140">
        <w:rPr>
          <w:rFonts w:ascii="Times New Roman" w:hAnsi="Times New Roman" w:cs="Times New Roman"/>
          <w:sz w:val="24"/>
          <w:szCs w:val="24"/>
        </w:rPr>
        <w:t xml:space="preserve">ROE, PacifiCorp questions the </w:t>
      </w:r>
      <w:r w:rsidR="00F9192A" w:rsidRPr="00BE7140">
        <w:rPr>
          <w:rFonts w:ascii="Times New Roman" w:hAnsi="Times New Roman" w:cs="Times New Roman"/>
          <w:sz w:val="24"/>
          <w:szCs w:val="24"/>
        </w:rPr>
        <w:t xml:space="preserve">details of the </w:t>
      </w:r>
      <w:r w:rsidR="00194B6F" w:rsidRPr="00BE7140">
        <w:rPr>
          <w:rFonts w:ascii="Times New Roman" w:hAnsi="Times New Roman" w:cs="Times New Roman"/>
          <w:sz w:val="24"/>
          <w:szCs w:val="24"/>
        </w:rPr>
        <w:t xml:space="preserve">Commission’s analysis of growth rates in </w:t>
      </w:r>
      <w:r w:rsidR="00F9192A" w:rsidRPr="00BE7140">
        <w:rPr>
          <w:rFonts w:ascii="Times New Roman" w:hAnsi="Times New Roman" w:cs="Times New Roman"/>
          <w:sz w:val="24"/>
          <w:szCs w:val="24"/>
        </w:rPr>
        <w:t xml:space="preserve">considering </w:t>
      </w:r>
      <w:r w:rsidR="00194B6F" w:rsidRPr="00BE7140">
        <w:rPr>
          <w:rFonts w:ascii="Times New Roman" w:hAnsi="Times New Roman" w:cs="Times New Roman"/>
          <w:sz w:val="24"/>
          <w:szCs w:val="24"/>
        </w:rPr>
        <w:t xml:space="preserve">DCF </w:t>
      </w:r>
      <w:r w:rsidR="002B06A6" w:rsidRPr="00BE7140">
        <w:rPr>
          <w:rFonts w:ascii="Times New Roman" w:hAnsi="Times New Roman" w:cs="Times New Roman"/>
          <w:sz w:val="24"/>
          <w:szCs w:val="24"/>
        </w:rPr>
        <w:t>evidence</w:t>
      </w:r>
      <w:r w:rsidR="00194B6F" w:rsidRPr="00BE7140">
        <w:rPr>
          <w:rFonts w:ascii="Times New Roman" w:hAnsi="Times New Roman" w:cs="Times New Roman"/>
          <w:sz w:val="24"/>
          <w:szCs w:val="24"/>
        </w:rPr>
        <w:t>.</w:t>
      </w:r>
      <w:r w:rsidR="002E1975">
        <w:rPr>
          <w:rStyle w:val="FootnoteReference"/>
          <w:rFonts w:cs="Times New Roman"/>
          <w:sz w:val="24"/>
          <w:szCs w:val="24"/>
        </w:rPr>
        <w:footnoteReference w:id="23"/>
      </w:r>
      <w:r w:rsidR="00194B6F" w:rsidRPr="00BE7140">
        <w:rPr>
          <w:rFonts w:ascii="Times New Roman" w:hAnsi="Times New Roman" w:cs="Times New Roman"/>
          <w:sz w:val="24"/>
          <w:szCs w:val="24"/>
        </w:rPr>
        <w:t xml:space="preserve"> </w:t>
      </w:r>
      <w:r w:rsidR="002E1975" w:rsidRPr="00BE7140">
        <w:rPr>
          <w:rFonts w:ascii="Times New Roman" w:hAnsi="Times New Roman" w:cs="Times New Roman"/>
          <w:sz w:val="24"/>
          <w:szCs w:val="24"/>
        </w:rPr>
        <w:t xml:space="preserve"> </w:t>
      </w:r>
    </w:p>
    <w:p w:rsidR="002E1975" w:rsidRPr="00BE7140" w:rsidRDefault="00BE7140" w:rsidP="00BE71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2E1975" w:rsidRPr="00BE7140">
        <w:rPr>
          <w:rFonts w:ascii="Times New Roman" w:hAnsi="Times New Roman" w:cs="Times New Roman"/>
          <w:sz w:val="24"/>
          <w:szCs w:val="24"/>
        </w:rPr>
        <w:t>Once again</w:t>
      </w:r>
      <w:r w:rsidR="00194B6F" w:rsidRPr="00BE7140">
        <w:rPr>
          <w:rFonts w:ascii="Times New Roman" w:hAnsi="Times New Roman" w:cs="Times New Roman"/>
          <w:sz w:val="24"/>
          <w:szCs w:val="24"/>
        </w:rPr>
        <w:t xml:space="preserve">, PacifiCorp identifies an issue but </w:t>
      </w:r>
      <w:r w:rsidR="00AC3780" w:rsidRPr="00BE7140">
        <w:rPr>
          <w:rFonts w:ascii="Times New Roman" w:hAnsi="Times New Roman" w:cs="Times New Roman"/>
          <w:sz w:val="24"/>
          <w:szCs w:val="24"/>
        </w:rPr>
        <w:t xml:space="preserve">states </w:t>
      </w:r>
      <w:r w:rsidR="00A44E62" w:rsidRPr="00BE7140">
        <w:rPr>
          <w:rFonts w:ascii="Times New Roman" w:hAnsi="Times New Roman" w:cs="Times New Roman"/>
          <w:sz w:val="24"/>
          <w:szCs w:val="24"/>
        </w:rPr>
        <w:t>no</w:t>
      </w:r>
      <w:r w:rsidR="00AC3780" w:rsidRPr="00BE7140">
        <w:rPr>
          <w:rFonts w:ascii="Times New Roman" w:hAnsi="Times New Roman" w:cs="Times New Roman"/>
          <w:sz w:val="24"/>
          <w:szCs w:val="24"/>
        </w:rPr>
        <w:t xml:space="preserve"> specific </w:t>
      </w:r>
      <w:r w:rsidR="00194B6F" w:rsidRPr="00BE7140">
        <w:rPr>
          <w:rFonts w:ascii="Times New Roman" w:hAnsi="Times New Roman" w:cs="Times New Roman"/>
          <w:sz w:val="24"/>
          <w:szCs w:val="24"/>
        </w:rPr>
        <w:t xml:space="preserve">remedy.  In any event, the Company’s arguments </w:t>
      </w:r>
      <w:r w:rsidR="002B06A6" w:rsidRPr="00BE7140">
        <w:rPr>
          <w:rFonts w:ascii="Times New Roman" w:hAnsi="Times New Roman" w:cs="Times New Roman"/>
          <w:sz w:val="24"/>
          <w:szCs w:val="24"/>
        </w:rPr>
        <w:t xml:space="preserve">here </w:t>
      </w:r>
      <w:r w:rsidR="00194B6F" w:rsidRPr="00BE7140">
        <w:rPr>
          <w:rFonts w:ascii="Times New Roman" w:hAnsi="Times New Roman" w:cs="Times New Roman"/>
          <w:sz w:val="24"/>
          <w:szCs w:val="24"/>
        </w:rPr>
        <w:t xml:space="preserve">are off base, because </w:t>
      </w:r>
      <w:r w:rsidR="00E42B35" w:rsidRPr="00BE7140">
        <w:rPr>
          <w:rFonts w:ascii="Times New Roman" w:hAnsi="Times New Roman" w:cs="Times New Roman"/>
          <w:sz w:val="24"/>
          <w:szCs w:val="24"/>
        </w:rPr>
        <w:t xml:space="preserve">the </w:t>
      </w:r>
      <w:r w:rsidR="00194B6F" w:rsidRPr="00BE7140">
        <w:rPr>
          <w:rFonts w:ascii="Times New Roman" w:hAnsi="Times New Roman" w:cs="Times New Roman"/>
          <w:sz w:val="24"/>
          <w:szCs w:val="24"/>
        </w:rPr>
        <w:t xml:space="preserve">Commission was well within its discretion to reject PacifiCorp’s </w:t>
      </w:r>
      <w:r w:rsidR="002E1975" w:rsidRPr="00BE7140">
        <w:rPr>
          <w:rFonts w:ascii="Times New Roman" w:hAnsi="Times New Roman" w:cs="Times New Roman"/>
          <w:sz w:val="24"/>
          <w:szCs w:val="24"/>
        </w:rPr>
        <w:t xml:space="preserve">6.0 percent </w:t>
      </w:r>
      <w:r w:rsidR="005C0264" w:rsidRPr="00BE7140">
        <w:rPr>
          <w:rFonts w:ascii="Times New Roman" w:hAnsi="Times New Roman" w:cs="Times New Roman"/>
          <w:sz w:val="24"/>
          <w:szCs w:val="24"/>
        </w:rPr>
        <w:t xml:space="preserve">GDP </w:t>
      </w:r>
      <w:r w:rsidR="002E1975" w:rsidRPr="00BE7140">
        <w:rPr>
          <w:rFonts w:ascii="Times New Roman" w:hAnsi="Times New Roman" w:cs="Times New Roman"/>
          <w:sz w:val="24"/>
          <w:szCs w:val="24"/>
        </w:rPr>
        <w:t>growth rate</w:t>
      </w:r>
      <w:r w:rsidR="003C126C">
        <w:rPr>
          <w:rFonts w:ascii="Times New Roman" w:hAnsi="Times New Roman" w:cs="Times New Roman"/>
          <w:sz w:val="24"/>
          <w:szCs w:val="24"/>
        </w:rPr>
        <w:t xml:space="preserve">.  </w:t>
      </w:r>
      <w:r w:rsidR="00F9192A" w:rsidRPr="00BE7140">
        <w:rPr>
          <w:rFonts w:ascii="Times New Roman" w:hAnsi="Times New Roman" w:cs="Times New Roman"/>
          <w:sz w:val="24"/>
          <w:szCs w:val="24"/>
        </w:rPr>
        <w:t xml:space="preserve">Dr. Hadaway </w:t>
      </w:r>
      <w:r w:rsidR="00534BF1" w:rsidRPr="00BE7140">
        <w:rPr>
          <w:rFonts w:ascii="Times New Roman" w:hAnsi="Times New Roman" w:cs="Times New Roman"/>
          <w:sz w:val="24"/>
          <w:szCs w:val="24"/>
        </w:rPr>
        <w:t xml:space="preserve">offered </w:t>
      </w:r>
      <w:r w:rsidR="002E1975" w:rsidRPr="00BE7140">
        <w:rPr>
          <w:rFonts w:ascii="Times New Roman" w:hAnsi="Times New Roman" w:cs="Times New Roman"/>
          <w:sz w:val="24"/>
          <w:szCs w:val="24"/>
        </w:rPr>
        <w:t xml:space="preserve">no proof </w:t>
      </w:r>
      <w:r w:rsidR="00850C37" w:rsidRPr="00BE7140">
        <w:rPr>
          <w:rFonts w:ascii="Times New Roman" w:hAnsi="Times New Roman" w:cs="Times New Roman"/>
          <w:sz w:val="24"/>
          <w:szCs w:val="24"/>
        </w:rPr>
        <w:t xml:space="preserve">that </w:t>
      </w:r>
      <w:r w:rsidR="00F9192A" w:rsidRPr="00BE7140">
        <w:rPr>
          <w:rFonts w:ascii="Times New Roman" w:hAnsi="Times New Roman" w:cs="Times New Roman"/>
          <w:sz w:val="24"/>
          <w:szCs w:val="24"/>
        </w:rPr>
        <w:t xml:space="preserve">a 6.0 percent </w:t>
      </w:r>
      <w:r w:rsidR="002E1975" w:rsidRPr="00BE7140">
        <w:rPr>
          <w:rFonts w:ascii="Times New Roman" w:hAnsi="Times New Roman" w:cs="Times New Roman"/>
          <w:sz w:val="24"/>
          <w:szCs w:val="24"/>
        </w:rPr>
        <w:t>growth rate was sustainable over the long term.</w:t>
      </w:r>
      <w:r w:rsidR="002E1975">
        <w:rPr>
          <w:rStyle w:val="FootnoteReference"/>
          <w:rFonts w:cs="Times New Roman"/>
          <w:sz w:val="24"/>
          <w:szCs w:val="24"/>
        </w:rPr>
        <w:footnoteReference w:id="24"/>
      </w:r>
      <w:r w:rsidR="002E1975" w:rsidRPr="00BE7140">
        <w:rPr>
          <w:rFonts w:ascii="Times New Roman" w:hAnsi="Times New Roman" w:cs="Times New Roman"/>
          <w:sz w:val="24"/>
          <w:szCs w:val="24"/>
        </w:rPr>
        <w:t xml:space="preserve">  </w:t>
      </w:r>
      <w:r w:rsidR="00F9192A" w:rsidRPr="00BE7140">
        <w:rPr>
          <w:rFonts w:ascii="Times New Roman" w:hAnsi="Times New Roman" w:cs="Times New Roman"/>
          <w:sz w:val="24"/>
          <w:szCs w:val="24"/>
        </w:rPr>
        <w:t xml:space="preserve">And, </w:t>
      </w:r>
      <w:r w:rsidR="00534BF1" w:rsidRPr="00BE7140">
        <w:rPr>
          <w:rFonts w:ascii="Times New Roman" w:hAnsi="Times New Roman" w:cs="Times New Roman"/>
          <w:sz w:val="24"/>
          <w:szCs w:val="24"/>
        </w:rPr>
        <w:t>w</w:t>
      </w:r>
      <w:r w:rsidR="00850C37" w:rsidRPr="00BE7140">
        <w:rPr>
          <w:rFonts w:ascii="Times New Roman" w:hAnsi="Times New Roman" w:cs="Times New Roman"/>
          <w:sz w:val="24"/>
          <w:szCs w:val="24"/>
        </w:rPr>
        <w:t xml:space="preserve">hile </w:t>
      </w:r>
      <w:r w:rsidR="003C126C">
        <w:rPr>
          <w:rFonts w:ascii="Times New Roman" w:hAnsi="Times New Roman" w:cs="Times New Roman"/>
          <w:sz w:val="24"/>
          <w:szCs w:val="24"/>
        </w:rPr>
        <w:t>he</w:t>
      </w:r>
      <w:r w:rsidR="00850C37" w:rsidRPr="00BE7140">
        <w:rPr>
          <w:rFonts w:ascii="Times New Roman" w:hAnsi="Times New Roman" w:cs="Times New Roman"/>
          <w:sz w:val="24"/>
          <w:szCs w:val="24"/>
        </w:rPr>
        <w:t xml:space="preserve"> </w:t>
      </w:r>
      <w:r w:rsidR="004305C7">
        <w:rPr>
          <w:rFonts w:ascii="Times New Roman" w:hAnsi="Times New Roman" w:cs="Times New Roman"/>
          <w:sz w:val="24"/>
          <w:szCs w:val="24"/>
        </w:rPr>
        <w:t>wanted</w:t>
      </w:r>
      <w:r w:rsidR="00A654AE" w:rsidRPr="00BE7140">
        <w:rPr>
          <w:rFonts w:ascii="Times New Roman" w:hAnsi="Times New Roman" w:cs="Times New Roman"/>
          <w:sz w:val="24"/>
          <w:szCs w:val="24"/>
        </w:rPr>
        <w:t xml:space="preserve"> to give</w:t>
      </w:r>
      <w:r w:rsidR="002E1975" w:rsidRPr="00BE7140">
        <w:rPr>
          <w:rFonts w:ascii="Times New Roman" w:hAnsi="Times New Roman" w:cs="Times New Roman"/>
          <w:sz w:val="24"/>
          <w:szCs w:val="24"/>
        </w:rPr>
        <w:t xml:space="preserve"> more weight to more recent data,</w:t>
      </w:r>
      <w:r w:rsidR="002E1975">
        <w:rPr>
          <w:rStyle w:val="FootnoteReference"/>
          <w:rFonts w:cs="Times New Roman"/>
          <w:sz w:val="24"/>
          <w:szCs w:val="24"/>
        </w:rPr>
        <w:footnoteReference w:id="25"/>
      </w:r>
      <w:r w:rsidR="002E1975" w:rsidRPr="00BE7140">
        <w:rPr>
          <w:rFonts w:ascii="Times New Roman" w:hAnsi="Times New Roman" w:cs="Times New Roman"/>
          <w:sz w:val="24"/>
          <w:szCs w:val="24"/>
        </w:rPr>
        <w:t xml:space="preserve"> nowhere will the Commission find any rationale for </w:t>
      </w:r>
      <w:r w:rsidR="003C126C">
        <w:rPr>
          <w:rFonts w:ascii="Times New Roman" w:hAnsi="Times New Roman" w:cs="Times New Roman"/>
          <w:sz w:val="24"/>
          <w:szCs w:val="24"/>
        </w:rPr>
        <w:t>his</w:t>
      </w:r>
      <w:r w:rsidR="002E1975" w:rsidRPr="00BE7140">
        <w:rPr>
          <w:rFonts w:ascii="Times New Roman" w:hAnsi="Times New Roman" w:cs="Times New Roman"/>
          <w:sz w:val="24"/>
          <w:szCs w:val="24"/>
        </w:rPr>
        <w:t xml:space="preserve"> weighting selection, </w:t>
      </w:r>
      <w:r w:rsidR="003C126C">
        <w:rPr>
          <w:rFonts w:ascii="Times New Roman" w:hAnsi="Times New Roman" w:cs="Times New Roman"/>
          <w:sz w:val="24"/>
          <w:szCs w:val="24"/>
        </w:rPr>
        <w:t xml:space="preserve">or why his weighting section is </w:t>
      </w:r>
      <w:r w:rsidR="0094412E">
        <w:rPr>
          <w:rFonts w:ascii="Times New Roman" w:hAnsi="Times New Roman" w:cs="Times New Roman"/>
          <w:sz w:val="24"/>
          <w:szCs w:val="24"/>
        </w:rPr>
        <w:t>better than</w:t>
      </w:r>
      <w:r w:rsidR="003C126C">
        <w:rPr>
          <w:rFonts w:ascii="Times New Roman" w:hAnsi="Times New Roman" w:cs="Times New Roman"/>
          <w:sz w:val="24"/>
          <w:szCs w:val="24"/>
        </w:rPr>
        <w:t xml:space="preserve"> </w:t>
      </w:r>
      <w:r w:rsidR="002E1975" w:rsidRPr="00BE7140">
        <w:rPr>
          <w:rFonts w:ascii="Times New Roman" w:hAnsi="Times New Roman" w:cs="Times New Roman"/>
          <w:sz w:val="24"/>
          <w:szCs w:val="24"/>
        </w:rPr>
        <w:t>any other.</w:t>
      </w:r>
    </w:p>
    <w:p w:rsidR="004305C7" w:rsidRDefault="00BE7140" w:rsidP="00BE7140">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734BD" w:rsidRPr="00BE7140">
        <w:rPr>
          <w:rFonts w:ascii="Times New Roman" w:hAnsi="Times New Roman" w:cs="Times New Roman"/>
          <w:sz w:val="24"/>
          <w:szCs w:val="24"/>
        </w:rPr>
        <w:t>PacifiCorp</w:t>
      </w:r>
      <w:r w:rsidR="005C0264" w:rsidRPr="00BE7140">
        <w:rPr>
          <w:rFonts w:ascii="Times New Roman" w:hAnsi="Times New Roman" w:cs="Times New Roman"/>
          <w:sz w:val="24"/>
          <w:szCs w:val="24"/>
        </w:rPr>
        <w:t xml:space="preserve"> </w:t>
      </w:r>
      <w:r w:rsidR="00AC3780" w:rsidRPr="00BE7140">
        <w:rPr>
          <w:rFonts w:ascii="Times New Roman" w:hAnsi="Times New Roman" w:cs="Times New Roman"/>
          <w:sz w:val="24"/>
          <w:szCs w:val="24"/>
        </w:rPr>
        <w:t xml:space="preserve">goes on to </w:t>
      </w:r>
      <w:r w:rsidR="005C0264" w:rsidRPr="00BE7140">
        <w:rPr>
          <w:rFonts w:ascii="Times New Roman" w:hAnsi="Times New Roman" w:cs="Times New Roman"/>
          <w:sz w:val="24"/>
          <w:szCs w:val="24"/>
        </w:rPr>
        <w:t xml:space="preserve">criticize the </w:t>
      </w:r>
      <w:r w:rsidR="00AC3780" w:rsidRPr="00BE7140">
        <w:rPr>
          <w:rFonts w:ascii="Times New Roman" w:hAnsi="Times New Roman" w:cs="Times New Roman"/>
          <w:sz w:val="24"/>
          <w:szCs w:val="24"/>
        </w:rPr>
        <w:t>O</w:t>
      </w:r>
      <w:r w:rsidR="005C0264" w:rsidRPr="00BE7140">
        <w:rPr>
          <w:rFonts w:ascii="Times New Roman" w:hAnsi="Times New Roman" w:cs="Times New Roman"/>
          <w:sz w:val="24"/>
          <w:szCs w:val="24"/>
        </w:rPr>
        <w:t xml:space="preserve">rder for not using long-term growth rates in its decision.  However, Staff reads the </w:t>
      </w:r>
      <w:r w:rsidR="00AC3780" w:rsidRPr="00BE7140">
        <w:rPr>
          <w:rFonts w:ascii="Times New Roman" w:hAnsi="Times New Roman" w:cs="Times New Roman"/>
          <w:sz w:val="24"/>
          <w:szCs w:val="24"/>
        </w:rPr>
        <w:t>Order</w:t>
      </w:r>
      <w:r w:rsidR="005C0264" w:rsidRPr="00BE7140">
        <w:rPr>
          <w:rFonts w:ascii="Times New Roman" w:hAnsi="Times New Roman" w:cs="Times New Roman"/>
          <w:sz w:val="24"/>
          <w:szCs w:val="24"/>
        </w:rPr>
        <w:t xml:space="preserve"> </w:t>
      </w:r>
      <w:r w:rsidR="004305C7">
        <w:rPr>
          <w:rFonts w:ascii="Times New Roman" w:hAnsi="Times New Roman" w:cs="Times New Roman"/>
          <w:sz w:val="24"/>
          <w:szCs w:val="24"/>
        </w:rPr>
        <w:t xml:space="preserve">differently.  First, the Commission </w:t>
      </w:r>
      <w:r w:rsidR="005734BD" w:rsidRPr="00BE7140">
        <w:rPr>
          <w:rFonts w:ascii="Times New Roman" w:hAnsi="Times New Roman" w:cs="Times New Roman"/>
          <w:sz w:val="24"/>
          <w:szCs w:val="24"/>
        </w:rPr>
        <w:t>reject</w:t>
      </w:r>
      <w:r w:rsidR="004305C7">
        <w:rPr>
          <w:rFonts w:ascii="Times New Roman" w:hAnsi="Times New Roman" w:cs="Times New Roman"/>
          <w:sz w:val="24"/>
          <w:szCs w:val="24"/>
        </w:rPr>
        <w:t>ed</w:t>
      </w:r>
      <w:r w:rsidR="005734BD" w:rsidRPr="00BE7140">
        <w:rPr>
          <w:rFonts w:ascii="Times New Roman" w:hAnsi="Times New Roman" w:cs="Times New Roman"/>
          <w:sz w:val="24"/>
          <w:szCs w:val="24"/>
        </w:rPr>
        <w:t xml:space="preserve"> Dr. Hadaway’s use of historical growth rates in nominal GDP as a reasonable estimate of long</w:t>
      </w:r>
      <w:r w:rsidR="00AC3780" w:rsidRPr="00BE7140">
        <w:rPr>
          <w:rFonts w:ascii="Times New Roman" w:hAnsi="Times New Roman" w:cs="Times New Roman"/>
          <w:sz w:val="24"/>
          <w:szCs w:val="24"/>
        </w:rPr>
        <w:t>-</w:t>
      </w:r>
      <w:r w:rsidR="005734BD" w:rsidRPr="00BE7140">
        <w:rPr>
          <w:rFonts w:ascii="Times New Roman" w:hAnsi="Times New Roman" w:cs="Times New Roman"/>
          <w:sz w:val="24"/>
          <w:szCs w:val="24"/>
        </w:rPr>
        <w:t>term growth rates</w:t>
      </w:r>
      <w:r w:rsidR="003C126C">
        <w:rPr>
          <w:rFonts w:ascii="Times New Roman" w:hAnsi="Times New Roman" w:cs="Times New Roman"/>
          <w:sz w:val="24"/>
          <w:szCs w:val="24"/>
        </w:rPr>
        <w:t>, and</w:t>
      </w:r>
      <w:r w:rsidR="004305C7">
        <w:rPr>
          <w:rFonts w:ascii="Times New Roman" w:hAnsi="Times New Roman" w:cs="Times New Roman"/>
          <w:sz w:val="24"/>
          <w:szCs w:val="24"/>
        </w:rPr>
        <w:t xml:space="preserve"> then</w:t>
      </w:r>
      <w:r w:rsidR="003C126C">
        <w:rPr>
          <w:rFonts w:ascii="Times New Roman" w:hAnsi="Times New Roman" w:cs="Times New Roman"/>
          <w:sz w:val="24"/>
          <w:szCs w:val="24"/>
        </w:rPr>
        <w:t>, b</w:t>
      </w:r>
      <w:r w:rsidR="00AC3780" w:rsidRPr="00BE7140">
        <w:rPr>
          <w:rFonts w:ascii="Times New Roman" w:hAnsi="Times New Roman" w:cs="Times New Roman"/>
          <w:sz w:val="24"/>
          <w:szCs w:val="24"/>
        </w:rPr>
        <w:t>ecause t</w:t>
      </w:r>
      <w:r w:rsidR="005734BD" w:rsidRPr="00BE7140">
        <w:rPr>
          <w:rFonts w:ascii="Times New Roman" w:hAnsi="Times New Roman" w:cs="Times New Roman"/>
          <w:sz w:val="24"/>
          <w:szCs w:val="24"/>
        </w:rPr>
        <w:t xml:space="preserve">he Commission was uncertain if </w:t>
      </w:r>
      <w:r w:rsidR="00AC3780" w:rsidRPr="00BE7140">
        <w:rPr>
          <w:rFonts w:ascii="Times New Roman" w:hAnsi="Times New Roman" w:cs="Times New Roman"/>
          <w:sz w:val="24"/>
          <w:szCs w:val="24"/>
        </w:rPr>
        <w:t xml:space="preserve">such a </w:t>
      </w:r>
      <w:r w:rsidR="005734BD" w:rsidRPr="00BE7140">
        <w:rPr>
          <w:rFonts w:ascii="Times New Roman" w:hAnsi="Times New Roman" w:cs="Times New Roman"/>
          <w:sz w:val="24"/>
          <w:szCs w:val="24"/>
        </w:rPr>
        <w:t>growth rate can be sustained over the long-term</w:t>
      </w:r>
      <w:r w:rsidR="00AC3780" w:rsidRPr="00BE7140">
        <w:rPr>
          <w:rFonts w:ascii="Times New Roman" w:hAnsi="Times New Roman" w:cs="Times New Roman"/>
          <w:sz w:val="24"/>
          <w:szCs w:val="24"/>
        </w:rPr>
        <w:t>,</w:t>
      </w:r>
      <w:r w:rsidR="005734BD">
        <w:rPr>
          <w:rStyle w:val="FootnoteReference"/>
          <w:rFonts w:cs="Times New Roman"/>
          <w:sz w:val="24"/>
          <w:szCs w:val="24"/>
        </w:rPr>
        <w:footnoteReference w:id="26"/>
      </w:r>
      <w:r w:rsidR="005734BD" w:rsidRPr="00BE7140">
        <w:rPr>
          <w:rFonts w:ascii="Times New Roman" w:hAnsi="Times New Roman" w:cs="Times New Roman"/>
          <w:sz w:val="24"/>
          <w:szCs w:val="24"/>
        </w:rPr>
        <w:t xml:space="preserve"> the Commission accepted</w:t>
      </w:r>
      <w:r w:rsidR="005C0264" w:rsidRPr="00BE7140">
        <w:rPr>
          <w:rFonts w:ascii="Times New Roman" w:hAnsi="Times New Roman" w:cs="Times New Roman"/>
          <w:sz w:val="24"/>
          <w:szCs w:val="24"/>
        </w:rPr>
        <w:t xml:space="preserve"> Mr. Gorman’s use of </w:t>
      </w:r>
      <w:r w:rsidR="005C0264" w:rsidRPr="00BE7140">
        <w:rPr>
          <w:rFonts w:ascii="Times New Roman" w:hAnsi="Times New Roman" w:cs="Times New Roman"/>
          <w:i/>
          <w:sz w:val="24"/>
          <w:szCs w:val="24"/>
        </w:rPr>
        <w:t>Blue Chip Financial Forecast</w:t>
      </w:r>
      <w:r w:rsidR="005C0264" w:rsidRPr="00BE7140">
        <w:rPr>
          <w:rFonts w:ascii="Times New Roman" w:hAnsi="Times New Roman" w:cs="Times New Roman"/>
          <w:sz w:val="24"/>
          <w:szCs w:val="24"/>
        </w:rPr>
        <w:t xml:space="preserve"> as the surrogate for long-term growth rates</w:t>
      </w:r>
      <w:r w:rsidR="005734BD" w:rsidRPr="00BE7140">
        <w:rPr>
          <w:rFonts w:ascii="Times New Roman" w:hAnsi="Times New Roman" w:cs="Times New Roman"/>
          <w:sz w:val="24"/>
          <w:szCs w:val="24"/>
        </w:rPr>
        <w:t>.</w:t>
      </w:r>
      <w:r w:rsidR="005734BD">
        <w:rPr>
          <w:rStyle w:val="FootnoteReference"/>
          <w:rFonts w:cs="Times New Roman"/>
          <w:sz w:val="24"/>
          <w:szCs w:val="24"/>
        </w:rPr>
        <w:footnoteReference w:id="27"/>
      </w:r>
      <w:r w:rsidR="00AC3780" w:rsidRPr="00BE7140">
        <w:rPr>
          <w:rFonts w:ascii="Times New Roman" w:hAnsi="Times New Roman" w:cs="Times New Roman"/>
          <w:sz w:val="24"/>
          <w:szCs w:val="24"/>
        </w:rPr>
        <w:t xml:space="preserve">  </w:t>
      </w:r>
    </w:p>
    <w:p w:rsidR="0078626C" w:rsidRPr="00384811" w:rsidRDefault="004305C7" w:rsidP="00384811">
      <w:pPr>
        <w:pStyle w:val="ListParagraph"/>
        <w:numPr>
          <w:ilvl w:val="0"/>
          <w:numId w:val="1"/>
        </w:numPr>
        <w:spacing w:after="0" w:line="480" w:lineRule="auto"/>
        <w:rPr>
          <w:rFonts w:ascii="Times New Roman" w:hAnsi="Times New Roman" w:cs="Times New Roman"/>
          <w:b/>
          <w:sz w:val="24"/>
          <w:szCs w:val="24"/>
        </w:rPr>
      </w:pPr>
      <w:r w:rsidRPr="00384811">
        <w:rPr>
          <w:rFonts w:ascii="Times New Roman" w:hAnsi="Times New Roman" w:cs="Times New Roman"/>
          <w:sz w:val="24"/>
          <w:szCs w:val="24"/>
        </w:rPr>
        <w:lastRenderedPageBreak/>
        <w:tab/>
      </w:r>
      <w:r w:rsidR="00064E3A" w:rsidRPr="00384811">
        <w:rPr>
          <w:rFonts w:ascii="Times New Roman" w:hAnsi="Times New Roman" w:cs="Times New Roman"/>
          <w:sz w:val="24"/>
          <w:szCs w:val="24"/>
        </w:rPr>
        <w:t xml:space="preserve">PacifiCorp should not be seen to complain when its </w:t>
      </w:r>
      <w:r w:rsidR="000F16C9" w:rsidRPr="00384811">
        <w:rPr>
          <w:rFonts w:ascii="Times New Roman" w:hAnsi="Times New Roman" w:cs="Times New Roman"/>
          <w:sz w:val="24"/>
          <w:szCs w:val="24"/>
        </w:rPr>
        <w:t xml:space="preserve">use of </w:t>
      </w:r>
      <w:r w:rsidR="00064E3A" w:rsidRPr="00384811">
        <w:rPr>
          <w:rFonts w:ascii="Times New Roman" w:hAnsi="Times New Roman" w:cs="Times New Roman"/>
          <w:sz w:val="24"/>
          <w:szCs w:val="24"/>
        </w:rPr>
        <w:t xml:space="preserve">historical data was clearly lacking, and the Commission then </w:t>
      </w:r>
      <w:r w:rsidR="00095D49" w:rsidRPr="00384811">
        <w:rPr>
          <w:rFonts w:ascii="Times New Roman" w:hAnsi="Times New Roman" w:cs="Times New Roman"/>
          <w:sz w:val="24"/>
          <w:szCs w:val="24"/>
        </w:rPr>
        <w:t>accepted other evidence in</w:t>
      </w:r>
      <w:r w:rsidR="00064E3A" w:rsidRPr="00384811">
        <w:rPr>
          <w:rFonts w:ascii="Times New Roman" w:hAnsi="Times New Roman" w:cs="Times New Roman"/>
          <w:sz w:val="24"/>
          <w:szCs w:val="24"/>
        </w:rPr>
        <w:t xml:space="preserve"> the record </w:t>
      </w:r>
      <w:r w:rsidR="0094412E" w:rsidRPr="00384811">
        <w:rPr>
          <w:rFonts w:ascii="Times New Roman" w:hAnsi="Times New Roman" w:cs="Times New Roman"/>
          <w:sz w:val="24"/>
          <w:szCs w:val="24"/>
        </w:rPr>
        <w:t xml:space="preserve">to </w:t>
      </w:r>
      <w:r w:rsidR="00095D49" w:rsidRPr="00384811">
        <w:rPr>
          <w:rFonts w:ascii="Times New Roman" w:hAnsi="Times New Roman" w:cs="Times New Roman"/>
          <w:sz w:val="24"/>
          <w:szCs w:val="24"/>
        </w:rPr>
        <w:t>determine</w:t>
      </w:r>
      <w:r w:rsidR="0094412E" w:rsidRPr="00384811">
        <w:rPr>
          <w:rFonts w:ascii="Times New Roman" w:hAnsi="Times New Roman" w:cs="Times New Roman"/>
          <w:sz w:val="24"/>
          <w:szCs w:val="24"/>
        </w:rPr>
        <w:t xml:space="preserve"> </w:t>
      </w:r>
      <w:r w:rsidR="00064E3A" w:rsidRPr="00384811">
        <w:rPr>
          <w:rFonts w:ascii="Times New Roman" w:hAnsi="Times New Roman" w:cs="Times New Roman"/>
          <w:sz w:val="24"/>
          <w:szCs w:val="24"/>
        </w:rPr>
        <w:t>a reasonable forecast</w:t>
      </w:r>
      <w:r w:rsidR="000F16C9" w:rsidRPr="00384811">
        <w:rPr>
          <w:rFonts w:ascii="Times New Roman" w:hAnsi="Times New Roman" w:cs="Times New Roman"/>
          <w:sz w:val="24"/>
          <w:szCs w:val="24"/>
        </w:rPr>
        <w:t xml:space="preserve"> for long-term growth</w:t>
      </w:r>
      <w:r w:rsidR="00064E3A" w:rsidRPr="00384811">
        <w:rPr>
          <w:rFonts w:ascii="Times New Roman" w:hAnsi="Times New Roman" w:cs="Times New Roman"/>
          <w:sz w:val="24"/>
          <w:szCs w:val="24"/>
        </w:rPr>
        <w:t>.</w:t>
      </w:r>
    </w:p>
    <w:p w:rsidR="00BE7140" w:rsidRPr="008C7E2D" w:rsidRDefault="00534BF1" w:rsidP="00185EFA">
      <w:pPr>
        <w:spacing w:line="240" w:lineRule="auto"/>
        <w:ind w:left="2160" w:hanging="720"/>
        <w:contextualSpacing/>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The Commission Properly Gave Diminished Weight to CAPM Results</w:t>
      </w:r>
    </w:p>
    <w:p w:rsidR="00916BD3" w:rsidRPr="00BE7140" w:rsidRDefault="00BE7140" w:rsidP="00BE7140">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02409" w:rsidRPr="00BE7140">
        <w:rPr>
          <w:rFonts w:ascii="Times New Roman" w:hAnsi="Times New Roman" w:cs="Times New Roman"/>
          <w:sz w:val="24"/>
          <w:szCs w:val="24"/>
        </w:rPr>
        <w:t>PacifiCorp goes on to challenge the Commission’s use of CAPM results</w:t>
      </w:r>
      <w:r w:rsidR="00534BF1" w:rsidRPr="00BE7140">
        <w:rPr>
          <w:rFonts w:ascii="Times New Roman" w:hAnsi="Times New Roman" w:cs="Times New Roman"/>
          <w:sz w:val="24"/>
          <w:szCs w:val="24"/>
        </w:rPr>
        <w:t>, which t</w:t>
      </w:r>
      <w:r w:rsidR="00D02409" w:rsidRPr="00BE7140">
        <w:rPr>
          <w:rFonts w:ascii="Times New Roman" w:hAnsi="Times New Roman" w:cs="Times New Roman"/>
          <w:sz w:val="24"/>
          <w:szCs w:val="24"/>
        </w:rPr>
        <w:t xml:space="preserve">he Company thinks </w:t>
      </w:r>
      <w:r w:rsidR="00534BF1" w:rsidRPr="00BE7140">
        <w:rPr>
          <w:rFonts w:ascii="Times New Roman" w:hAnsi="Times New Roman" w:cs="Times New Roman"/>
          <w:sz w:val="24"/>
          <w:szCs w:val="24"/>
        </w:rPr>
        <w:t xml:space="preserve">is </w:t>
      </w:r>
      <w:r w:rsidR="00916BD3" w:rsidRPr="00BE7140">
        <w:rPr>
          <w:rFonts w:ascii="Times New Roman" w:hAnsi="Times New Roman" w:cs="Times New Roman"/>
          <w:sz w:val="24"/>
          <w:szCs w:val="24"/>
        </w:rPr>
        <w:t>inconsistent with a recent PSE rate order where the Commission said it would give CAPM results “diminished weight”, due to unusual financial circumstances.</w:t>
      </w:r>
      <w:r w:rsidR="00916BD3">
        <w:rPr>
          <w:rStyle w:val="FootnoteReference"/>
          <w:rFonts w:cs="Times New Roman"/>
          <w:sz w:val="24"/>
          <w:szCs w:val="24"/>
        </w:rPr>
        <w:footnoteReference w:id="28"/>
      </w:r>
      <w:r w:rsidR="00916BD3" w:rsidRPr="00BE7140">
        <w:rPr>
          <w:rFonts w:ascii="Times New Roman" w:hAnsi="Times New Roman" w:cs="Times New Roman"/>
          <w:sz w:val="24"/>
          <w:szCs w:val="24"/>
        </w:rPr>
        <w:t xml:space="preserve">  </w:t>
      </w:r>
    </w:p>
    <w:p w:rsidR="003C126C" w:rsidRDefault="00BE7140" w:rsidP="00BE7140">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16BD3" w:rsidRPr="00BE7140">
        <w:rPr>
          <w:rFonts w:ascii="Times New Roman" w:hAnsi="Times New Roman" w:cs="Times New Roman"/>
          <w:sz w:val="24"/>
          <w:szCs w:val="24"/>
        </w:rPr>
        <w:t xml:space="preserve">PacifiCorp is </w:t>
      </w:r>
      <w:r w:rsidR="002B06A6" w:rsidRPr="00BE7140">
        <w:rPr>
          <w:rFonts w:ascii="Times New Roman" w:hAnsi="Times New Roman" w:cs="Times New Roman"/>
          <w:sz w:val="24"/>
          <w:szCs w:val="24"/>
        </w:rPr>
        <w:t xml:space="preserve">attempting to </w:t>
      </w:r>
      <w:r w:rsidR="00916BD3" w:rsidRPr="00BE7140">
        <w:rPr>
          <w:rFonts w:ascii="Times New Roman" w:hAnsi="Times New Roman" w:cs="Times New Roman"/>
          <w:sz w:val="24"/>
          <w:szCs w:val="24"/>
        </w:rPr>
        <w:t>mak</w:t>
      </w:r>
      <w:r w:rsidR="002B06A6" w:rsidRPr="00BE7140">
        <w:rPr>
          <w:rFonts w:ascii="Times New Roman" w:hAnsi="Times New Roman" w:cs="Times New Roman"/>
          <w:sz w:val="24"/>
          <w:szCs w:val="24"/>
        </w:rPr>
        <w:t>e something out of nothing</w:t>
      </w:r>
      <w:r w:rsidR="00916BD3" w:rsidRPr="00BE7140">
        <w:rPr>
          <w:rFonts w:ascii="Times New Roman" w:hAnsi="Times New Roman" w:cs="Times New Roman"/>
          <w:sz w:val="24"/>
          <w:szCs w:val="24"/>
        </w:rPr>
        <w:t xml:space="preserve"> here</w:t>
      </w:r>
      <w:r w:rsidR="002B06A6" w:rsidRPr="00BE7140">
        <w:rPr>
          <w:rFonts w:ascii="Times New Roman" w:hAnsi="Times New Roman" w:cs="Times New Roman"/>
          <w:sz w:val="24"/>
          <w:szCs w:val="24"/>
        </w:rPr>
        <w:t>, because t</w:t>
      </w:r>
      <w:r w:rsidR="00916BD3" w:rsidRPr="00BE7140">
        <w:rPr>
          <w:rFonts w:ascii="Times New Roman" w:hAnsi="Times New Roman" w:cs="Times New Roman"/>
          <w:sz w:val="24"/>
          <w:szCs w:val="24"/>
        </w:rPr>
        <w:t xml:space="preserve">he Commission clearly stated in Order Paragraph 93 that </w:t>
      </w:r>
      <w:r w:rsidR="001D7C95" w:rsidRPr="00BE7140">
        <w:rPr>
          <w:rFonts w:ascii="Times New Roman" w:hAnsi="Times New Roman" w:cs="Times New Roman"/>
          <w:sz w:val="24"/>
          <w:szCs w:val="24"/>
        </w:rPr>
        <w:t>it</w:t>
      </w:r>
      <w:r w:rsidR="00916BD3" w:rsidRPr="00BE7140">
        <w:rPr>
          <w:rFonts w:ascii="Times New Roman" w:hAnsi="Times New Roman" w:cs="Times New Roman"/>
          <w:sz w:val="24"/>
          <w:szCs w:val="24"/>
        </w:rPr>
        <w:t xml:space="preserve"> was giving “substantial weight” </w:t>
      </w:r>
      <w:r w:rsidR="001E3D78" w:rsidRPr="00BE7140">
        <w:rPr>
          <w:rFonts w:ascii="Times New Roman" w:hAnsi="Times New Roman" w:cs="Times New Roman"/>
          <w:sz w:val="24"/>
          <w:szCs w:val="24"/>
        </w:rPr>
        <w:t xml:space="preserve">only </w:t>
      </w:r>
      <w:r w:rsidR="00916BD3" w:rsidRPr="00BE7140">
        <w:rPr>
          <w:rFonts w:ascii="Times New Roman" w:hAnsi="Times New Roman" w:cs="Times New Roman"/>
          <w:sz w:val="24"/>
          <w:szCs w:val="24"/>
        </w:rPr>
        <w:t>to ICNU’s DCF analysis and its critique of the Company’s analysis.  The Commission did not say it was giving “substantial weight” to CAPM results</w:t>
      </w:r>
      <w:r w:rsidR="00534BF1" w:rsidRPr="00BE7140">
        <w:rPr>
          <w:rFonts w:ascii="Times New Roman" w:hAnsi="Times New Roman" w:cs="Times New Roman"/>
          <w:sz w:val="24"/>
          <w:szCs w:val="24"/>
        </w:rPr>
        <w:t>.</w:t>
      </w:r>
      <w:r w:rsidR="003C126C">
        <w:rPr>
          <w:rFonts w:ascii="Times New Roman" w:hAnsi="Times New Roman" w:cs="Times New Roman"/>
          <w:sz w:val="24"/>
          <w:szCs w:val="24"/>
        </w:rPr>
        <w:t xml:space="preserve">  Rather</w:t>
      </w:r>
      <w:r w:rsidR="001E0F9B">
        <w:rPr>
          <w:rFonts w:ascii="Times New Roman" w:hAnsi="Times New Roman" w:cs="Times New Roman"/>
          <w:sz w:val="24"/>
          <w:szCs w:val="24"/>
        </w:rPr>
        <w:t xml:space="preserve">, </w:t>
      </w:r>
      <w:r w:rsidR="003C126C">
        <w:rPr>
          <w:rFonts w:ascii="Times New Roman" w:hAnsi="Times New Roman" w:cs="Times New Roman"/>
          <w:sz w:val="24"/>
          <w:szCs w:val="24"/>
        </w:rPr>
        <w:t>t</w:t>
      </w:r>
      <w:r w:rsidR="00916BD3" w:rsidRPr="003C126C">
        <w:rPr>
          <w:rFonts w:ascii="Times New Roman" w:hAnsi="Times New Roman" w:cs="Times New Roman"/>
          <w:sz w:val="24"/>
          <w:szCs w:val="24"/>
        </w:rPr>
        <w:t xml:space="preserve">he Commission </w:t>
      </w:r>
      <w:r w:rsidR="00B33246" w:rsidRPr="003C126C">
        <w:rPr>
          <w:rFonts w:ascii="Times New Roman" w:hAnsi="Times New Roman" w:cs="Times New Roman"/>
          <w:sz w:val="24"/>
          <w:szCs w:val="24"/>
        </w:rPr>
        <w:t xml:space="preserve">said </w:t>
      </w:r>
      <w:r w:rsidR="00916BD3" w:rsidRPr="003C126C">
        <w:rPr>
          <w:rFonts w:ascii="Times New Roman" w:hAnsi="Times New Roman" w:cs="Times New Roman"/>
          <w:sz w:val="24"/>
          <w:szCs w:val="24"/>
        </w:rPr>
        <w:t>CAPM results give “further weight to a lower adjustment”</w:t>
      </w:r>
      <w:r w:rsidR="003C126C">
        <w:rPr>
          <w:rFonts w:ascii="Times New Roman" w:hAnsi="Times New Roman" w:cs="Times New Roman"/>
          <w:sz w:val="24"/>
          <w:szCs w:val="24"/>
        </w:rPr>
        <w:t>.</w:t>
      </w:r>
      <w:r w:rsidR="00916BD3" w:rsidRPr="003C126C">
        <w:rPr>
          <w:rStyle w:val="FootnoteReference"/>
          <w:rFonts w:cs="Times New Roman"/>
          <w:sz w:val="24"/>
          <w:szCs w:val="24"/>
        </w:rPr>
        <w:footnoteReference w:id="29"/>
      </w:r>
      <w:r w:rsidR="00D02409" w:rsidRPr="003C126C">
        <w:rPr>
          <w:rFonts w:ascii="Times New Roman" w:hAnsi="Times New Roman" w:cs="Times New Roman"/>
          <w:sz w:val="24"/>
          <w:szCs w:val="24"/>
        </w:rPr>
        <w:t xml:space="preserve">  </w:t>
      </w:r>
      <w:r w:rsidR="003C126C">
        <w:rPr>
          <w:rFonts w:ascii="Times New Roman" w:hAnsi="Times New Roman" w:cs="Times New Roman"/>
          <w:sz w:val="24"/>
          <w:szCs w:val="24"/>
        </w:rPr>
        <w:t>This</w:t>
      </w:r>
      <w:r w:rsidR="00534BF1" w:rsidRPr="003C126C">
        <w:rPr>
          <w:rFonts w:ascii="Times New Roman" w:hAnsi="Times New Roman" w:cs="Times New Roman"/>
          <w:sz w:val="24"/>
          <w:szCs w:val="24"/>
        </w:rPr>
        <w:t xml:space="preserve"> simply </w:t>
      </w:r>
      <w:r w:rsidR="00916BD3" w:rsidRPr="003C126C">
        <w:rPr>
          <w:rFonts w:ascii="Times New Roman" w:hAnsi="Times New Roman" w:cs="Times New Roman"/>
          <w:sz w:val="24"/>
          <w:szCs w:val="24"/>
        </w:rPr>
        <w:t xml:space="preserve">reflects the “diminished weight” the Commission said it would give to CAPM results.  </w:t>
      </w:r>
    </w:p>
    <w:p w:rsidR="00A47B97" w:rsidRPr="003C126C" w:rsidRDefault="003C126C" w:rsidP="00BE7140">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E3D78" w:rsidRPr="003C126C">
        <w:rPr>
          <w:rFonts w:ascii="Times New Roman" w:hAnsi="Times New Roman" w:cs="Times New Roman"/>
          <w:sz w:val="24"/>
          <w:szCs w:val="24"/>
        </w:rPr>
        <w:t xml:space="preserve">In other words, </w:t>
      </w:r>
      <w:r w:rsidR="00916BD3" w:rsidRPr="003C126C">
        <w:rPr>
          <w:rFonts w:ascii="Times New Roman" w:hAnsi="Times New Roman" w:cs="Times New Roman"/>
          <w:sz w:val="24"/>
          <w:szCs w:val="24"/>
        </w:rPr>
        <w:t>“</w:t>
      </w:r>
      <w:r w:rsidR="001E3D78" w:rsidRPr="003C126C">
        <w:rPr>
          <w:rFonts w:ascii="Times New Roman" w:hAnsi="Times New Roman" w:cs="Times New Roman"/>
          <w:sz w:val="24"/>
          <w:szCs w:val="24"/>
        </w:rPr>
        <w:t>d</w:t>
      </w:r>
      <w:r w:rsidR="00916BD3" w:rsidRPr="003C126C">
        <w:rPr>
          <w:rFonts w:ascii="Times New Roman" w:hAnsi="Times New Roman" w:cs="Times New Roman"/>
          <w:sz w:val="24"/>
          <w:szCs w:val="24"/>
        </w:rPr>
        <w:t xml:space="preserve">iminished weight” does not mean “no weight whatsoever”.  If the Commission </w:t>
      </w:r>
      <w:r w:rsidR="001E3D78" w:rsidRPr="003C126C">
        <w:rPr>
          <w:rFonts w:ascii="Times New Roman" w:hAnsi="Times New Roman" w:cs="Times New Roman"/>
          <w:sz w:val="24"/>
          <w:szCs w:val="24"/>
        </w:rPr>
        <w:t xml:space="preserve">feels the </w:t>
      </w:r>
      <w:r w:rsidR="00916BD3" w:rsidRPr="003C126C">
        <w:rPr>
          <w:rFonts w:ascii="Times New Roman" w:hAnsi="Times New Roman" w:cs="Times New Roman"/>
          <w:sz w:val="24"/>
          <w:szCs w:val="24"/>
        </w:rPr>
        <w:t xml:space="preserve">need to say that more clearly to satisfy the Company, it </w:t>
      </w:r>
      <w:r w:rsidR="00B33246" w:rsidRPr="003C126C">
        <w:rPr>
          <w:rFonts w:ascii="Times New Roman" w:hAnsi="Times New Roman" w:cs="Times New Roman"/>
          <w:sz w:val="24"/>
          <w:szCs w:val="24"/>
        </w:rPr>
        <w:t>can</w:t>
      </w:r>
      <w:r w:rsidR="00916BD3" w:rsidRPr="003C126C">
        <w:rPr>
          <w:rFonts w:ascii="Times New Roman" w:hAnsi="Times New Roman" w:cs="Times New Roman"/>
          <w:sz w:val="24"/>
          <w:szCs w:val="24"/>
        </w:rPr>
        <w:t xml:space="preserve"> do so.</w:t>
      </w:r>
    </w:p>
    <w:p w:rsidR="008C7E2D" w:rsidRPr="003C126C" w:rsidRDefault="00534BF1" w:rsidP="008C7E2D">
      <w:pPr>
        <w:spacing w:line="240" w:lineRule="auto"/>
        <w:ind w:left="2160" w:hanging="720"/>
        <w:contextualSpacing/>
        <w:rPr>
          <w:rFonts w:ascii="Times New Roman" w:hAnsi="Times New Roman" w:cs="Times New Roman"/>
          <w:b/>
          <w:sz w:val="24"/>
          <w:szCs w:val="24"/>
        </w:rPr>
      </w:pPr>
      <w:r w:rsidRPr="003C126C">
        <w:rPr>
          <w:rFonts w:ascii="Times New Roman" w:hAnsi="Times New Roman" w:cs="Times New Roman"/>
          <w:b/>
          <w:sz w:val="24"/>
          <w:szCs w:val="24"/>
        </w:rPr>
        <w:t>e.</w:t>
      </w:r>
      <w:r w:rsidRPr="003C126C">
        <w:rPr>
          <w:rFonts w:ascii="Times New Roman" w:hAnsi="Times New Roman" w:cs="Times New Roman"/>
          <w:b/>
          <w:sz w:val="24"/>
          <w:szCs w:val="24"/>
        </w:rPr>
        <w:tab/>
        <w:t>The Commission Properly Rejected Dr. Hadaway’s R</w:t>
      </w:r>
      <w:r>
        <w:rPr>
          <w:rFonts w:ascii="Times New Roman" w:hAnsi="Times New Roman" w:cs="Times New Roman"/>
          <w:b/>
          <w:sz w:val="24"/>
          <w:szCs w:val="24"/>
        </w:rPr>
        <w:t>i</w:t>
      </w:r>
      <w:r w:rsidRPr="003C126C">
        <w:rPr>
          <w:rFonts w:ascii="Times New Roman" w:hAnsi="Times New Roman" w:cs="Times New Roman"/>
          <w:b/>
          <w:sz w:val="24"/>
          <w:szCs w:val="24"/>
        </w:rPr>
        <w:t xml:space="preserve">sk Premium Analysis Because it is Based on the Flawed Conclusion That Equity Risk Premium is “Constant in all Economic Conditions” </w:t>
      </w:r>
    </w:p>
    <w:p w:rsidR="008C7E2D" w:rsidRPr="003C126C" w:rsidRDefault="008C7E2D" w:rsidP="00BE7140">
      <w:pPr>
        <w:spacing w:after="0" w:line="240" w:lineRule="auto"/>
        <w:rPr>
          <w:rFonts w:ascii="Times New Roman" w:hAnsi="Times New Roman" w:cs="Times New Roman"/>
          <w:sz w:val="24"/>
          <w:szCs w:val="24"/>
        </w:rPr>
      </w:pPr>
    </w:p>
    <w:p w:rsidR="001E3D78" w:rsidRPr="00BE7140" w:rsidRDefault="00BE7140" w:rsidP="00BE7140">
      <w:pPr>
        <w:pStyle w:val="ListParagraph"/>
        <w:numPr>
          <w:ilvl w:val="0"/>
          <w:numId w:val="1"/>
        </w:numPr>
        <w:spacing w:line="480" w:lineRule="auto"/>
        <w:rPr>
          <w:rFonts w:ascii="Times New Roman" w:hAnsi="Times New Roman" w:cs="Times New Roman"/>
          <w:sz w:val="24"/>
          <w:szCs w:val="24"/>
        </w:rPr>
      </w:pPr>
      <w:r w:rsidRPr="003C126C">
        <w:rPr>
          <w:rFonts w:ascii="Times New Roman" w:hAnsi="Times New Roman" w:cs="Times New Roman"/>
          <w:sz w:val="24"/>
          <w:szCs w:val="24"/>
        </w:rPr>
        <w:tab/>
      </w:r>
      <w:r w:rsidR="00916BD3" w:rsidRPr="003C126C">
        <w:rPr>
          <w:rFonts w:ascii="Times New Roman" w:hAnsi="Times New Roman" w:cs="Times New Roman"/>
          <w:sz w:val="24"/>
          <w:szCs w:val="24"/>
        </w:rPr>
        <w:t xml:space="preserve">PacifiCorp </w:t>
      </w:r>
      <w:r w:rsidR="00B33246" w:rsidRPr="003C126C">
        <w:rPr>
          <w:rFonts w:ascii="Times New Roman" w:hAnsi="Times New Roman" w:cs="Times New Roman"/>
          <w:sz w:val="24"/>
          <w:szCs w:val="24"/>
        </w:rPr>
        <w:t>points to</w:t>
      </w:r>
      <w:r w:rsidR="00916BD3" w:rsidRPr="003C126C">
        <w:rPr>
          <w:rFonts w:ascii="Times New Roman" w:hAnsi="Times New Roman" w:cs="Times New Roman"/>
          <w:sz w:val="24"/>
          <w:szCs w:val="24"/>
        </w:rPr>
        <w:t xml:space="preserve"> Dr. Hadaway’s regression analysis in his risk premium model </w:t>
      </w:r>
      <w:r w:rsidR="00993832" w:rsidRPr="003C126C">
        <w:rPr>
          <w:rFonts w:ascii="Times New Roman" w:hAnsi="Times New Roman" w:cs="Times New Roman"/>
          <w:sz w:val="24"/>
          <w:szCs w:val="24"/>
        </w:rPr>
        <w:t xml:space="preserve">in his attempt </w:t>
      </w:r>
      <w:r w:rsidR="00916BD3" w:rsidRPr="003C126C">
        <w:rPr>
          <w:rFonts w:ascii="Times New Roman" w:hAnsi="Times New Roman" w:cs="Times New Roman"/>
          <w:sz w:val="24"/>
          <w:szCs w:val="24"/>
        </w:rPr>
        <w:t>to prove an inverse relationship between int</w:t>
      </w:r>
      <w:r w:rsidR="00916BD3" w:rsidRPr="00BE7140">
        <w:rPr>
          <w:rFonts w:ascii="Times New Roman" w:hAnsi="Times New Roman" w:cs="Times New Roman"/>
          <w:sz w:val="24"/>
          <w:szCs w:val="24"/>
        </w:rPr>
        <w:t>erest rates and equity risk premiums.</w:t>
      </w:r>
      <w:r w:rsidR="00916BD3">
        <w:rPr>
          <w:rStyle w:val="FootnoteReference"/>
          <w:rFonts w:cs="Times New Roman"/>
          <w:sz w:val="24"/>
          <w:szCs w:val="24"/>
        </w:rPr>
        <w:footnoteReference w:id="30"/>
      </w:r>
      <w:r w:rsidR="001E3D78" w:rsidRPr="00BE7140">
        <w:rPr>
          <w:rFonts w:ascii="Times New Roman" w:hAnsi="Times New Roman" w:cs="Times New Roman"/>
          <w:sz w:val="24"/>
          <w:szCs w:val="24"/>
        </w:rPr>
        <w:t xml:space="preserve">  </w:t>
      </w:r>
      <w:r w:rsidR="00993832" w:rsidRPr="00BE7140">
        <w:rPr>
          <w:rFonts w:ascii="Times New Roman" w:hAnsi="Times New Roman" w:cs="Times New Roman"/>
          <w:sz w:val="24"/>
          <w:szCs w:val="24"/>
        </w:rPr>
        <w:t xml:space="preserve">From this, </w:t>
      </w:r>
      <w:r w:rsidR="009E72CD" w:rsidRPr="00BE7140">
        <w:rPr>
          <w:rFonts w:ascii="Times New Roman" w:hAnsi="Times New Roman" w:cs="Times New Roman"/>
          <w:sz w:val="24"/>
          <w:szCs w:val="24"/>
        </w:rPr>
        <w:t>PacifiCorp concludes this equity risk premium is “</w:t>
      </w:r>
      <w:r w:rsidR="00993832" w:rsidRPr="00BE7140">
        <w:rPr>
          <w:rFonts w:ascii="Times New Roman" w:hAnsi="Times New Roman" w:cs="Times New Roman"/>
          <w:sz w:val="24"/>
          <w:szCs w:val="24"/>
        </w:rPr>
        <w:t>’</w:t>
      </w:r>
      <w:r w:rsidR="009E72CD" w:rsidRPr="00BE7140">
        <w:rPr>
          <w:rFonts w:ascii="Times New Roman" w:hAnsi="Times New Roman" w:cs="Times New Roman"/>
          <w:sz w:val="24"/>
          <w:szCs w:val="24"/>
        </w:rPr>
        <w:t xml:space="preserve">constant’ in all </w:t>
      </w:r>
      <w:r w:rsidR="009E72CD" w:rsidRPr="00BE7140">
        <w:rPr>
          <w:rFonts w:ascii="Times New Roman" w:hAnsi="Times New Roman" w:cs="Times New Roman"/>
          <w:sz w:val="24"/>
          <w:szCs w:val="24"/>
        </w:rPr>
        <w:lastRenderedPageBreak/>
        <w:t xml:space="preserve">economic conditions” and </w:t>
      </w:r>
      <w:r w:rsidR="00993832" w:rsidRPr="00BE7140">
        <w:rPr>
          <w:rFonts w:ascii="Times New Roman" w:hAnsi="Times New Roman" w:cs="Times New Roman"/>
          <w:sz w:val="24"/>
          <w:szCs w:val="24"/>
        </w:rPr>
        <w:t xml:space="preserve">argues </w:t>
      </w:r>
      <w:r w:rsidR="009E72CD" w:rsidRPr="00BE7140">
        <w:rPr>
          <w:rFonts w:ascii="Times New Roman" w:hAnsi="Times New Roman" w:cs="Times New Roman"/>
          <w:sz w:val="24"/>
          <w:szCs w:val="24"/>
        </w:rPr>
        <w:t xml:space="preserve">the Commission erred in not accepting </w:t>
      </w:r>
      <w:r w:rsidR="001D7C95" w:rsidRPr="00BE7140">
        <w:rPr>
          <w:rFonts w:ascii="Times New Roman" w:hAnsi="Times New Roman" w:cs="Times New Roman"/>
          <w:sz w:val="24"/>
          <w:szCs w:val="24"/>
        </w:rPr>
        <w:t>th</w:t>
      </w:r>
      <w:r w:rsidR="00993832" w:rsidRPr="00BE7140">
        <w:rPr>
          <w:rFonts w:ascii="Times New Roman" w:hAnsi="Times New Roman" w:cs="Times New Roman"/>
          <w:sz w:val="24"/>
          <w:szCs w:val="24"/>
        </w:rPr>
        <w:t xml:space="preserve">at as </w:t>
      </w:r>
      <w:r w:rsidR="002B06A6" w:rsidRPr="00BE7140">
        <w:rPr>
          <w:rFonts w:ascii="Times New Roman" w:hAnsi="Times New Roman" w:cs="Times New Roman"/>
          <w:sz w:val="24"/>
          <w:szCs w:val="24"/>
        </w:rPr>
        <w:t xml:space="preserve">uncontroverted </w:t>
      </w:r>
      <w:r w:rsidR="000F16C9" w:rsidRPr="00BE7140">
        <w:rPr>
          <w:rFonts w:ascii="Times New Roman" w:hAnsi="Times New Roman" w:cs="Times New Roman"/>
          <w:sz w:val="24"/>
          <w:szCs w:val="24"/>
        </w:rPr>
        <w:t>f</w:t>
      </w:r>
      <w:r w:rsidR="002B06A6" w:rsidRPr="00BE7140">
        <w:rPr>
          <w:rFonts w:ascii="Times New Roman" w:hAnsi="Times New Roman" w:cs="Times New Roman"/>
          <w:sz w:val="24"/>
          <w:szCs w:val="24"/>
        </w:rPr>
        <w:t>act</w:t>
      </w:r>
      <w:r w:rsidR="009E72CD" w:rsidRPr="00BE7140">
        <w:rPr>
          <w:rFonts w:ascii="Times New Roman" w:hAnsi="Times New Roman" w:cs="Times New Roman"/>
          <w:sz w:val="24"/>
          <w:szCs w:val="24"/>
        </w:rPr>
        <w:t>.</w:t>
      </w:r>
      <w:r w:rsidR="009E72CD" w:rsidRPr="009E72CD">
        <w:rPr>
          <w:vertAlign w:val="superscript"/>
        </w:rPr>
        <w:footnoteReference w:id="31"/>
      </w:r>
      <w:r w:rsidR="009E72CD" w:rsidRPr="00BE7140">
        <w:rPr>
          <w:rFonts w:ascii="Times New Roman" w:hAnsi="Times New Roman" w:cs="Times New Roman"/>
          <w:sz w:val="24"/>
          <w:szCs w:val="24"/>
        </w:rPr>
        <w:t xml:space="preserve">  </w:t>
      </w:r>
    </w:p>
    <w:p w:rsidR="00A47B97" w:rsidRPr="00BE7140" w:rsidRDefault="00BE7140" w:rsidP="00BE71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9E72CD" w:rsidRPr="00BE7140">
        <w:rPr>
          <w:rFonts w:ascii="Times New Roman" w:hAnsi="Times New Roman" w:cs="Times New Roman"/>
          <w:sz w:val="24"/>
          <w:szCs w:val="24"/>
        </w:rPr>
        <w:t xml:space="preserve">This remarkable </w:t>
      </w:r>
      <w:r w:rsidR="00CC4C8B" w:rsidRPr="00BE7140">
        <w:rPr>
          <w:rFonts w:ascii="Times New Roman" w:hAnsi="Times New Roman" w:cs="Times New Roman"/>
          <w:sz w:val="24"/>
          <w:szCs w:val="24"/>
        </w:rPr>
        <w:t xml:space="preserve">argument </w:t>
      </w:r>
      <w:r w:rsidR="00B33246" w:rsidRPr="00BE7140">
        <w:rPr>
          <w:rFonts w:ascii="Times New Roman" w:hAnsi="Times New Roman" w:cs="Times New Roman"/>
          <w:sz w:val="24"/>
          <w:szCs w:val="24"/>
        </w:rPr>
        <w:t xml:space="preserve">by PacifiCorp </w:t>
      </w:r>
      <w:r w:rsidR="009E72CD" w:rsidRPr="00BE7140">
        <w:rPr>
          <w:rFonts w:ascii="Times New Roman" w:hAnsi="Times New Roman" w:cs="Times New Roman"/>
          <w:sz w:val="24"/>
          <w:szCs w:val="24"/>
        </w:rPr>
        <w:t xml:space="preserve">is </w:t>
      </w:r>
      <w:r w:rsidR="00B33246" w:rsidRPr="00BE7140">
        <w:rPr>
          <w:rFonts w:ascii="Times New Roman" w:hAnsi="Times New Roman" w:cs="Times New Roman"/>
          <w:sz w:val="24"/>
          <w:szCs w:val="24"/>
        </w:rPr>
        <w:t xml:space="preserve">just </w:t>
      </w:r>
      <w:r w:rsidR="009E72CD" w:rsidRPr="00BE7140">
        <w:rPr>
          <w:rFonts w:ascii="Times New Roman" w:hAnsi="Times New Roman" w:cs="Times New Roman"/>
          <w:sz w:val="24"/>
          <w:szCs w:val="24"/>
        </w:rPr>
        <w:t xml:space="preserve">another example of what happens when the Company focuses </w:t>
      </w:r>
      <w:r w:rsidR="004305C7">
        <w:rPr>
          <w:rFonts w:ascii="Times New Roman" w:hAnsi="Times New Roman" w:cs="Times New Roman"/>
          <w:sz w:val="24"/>
          <w:szCs w:val="24"/>
        </w:rPr>
        <w:t xml:space="preserve">exclusively on a single aspect of </w:t>
      </w:r>
      <w:r w:rsidR="009E72CD" w:rsidRPr="00BE7140">
        <w:rPr>
          <w:rFonts w:ascii="Times New Roman" w:hAnsi="Times New Roman" w:cs="Times New Roman"/>
          <w:sz w:val="24"/>
          <w:szCs w:val="24"/>
        </w:rPr>
        <w:t>its own evidence.  As we explained earlier, Mr. Gorman offered substantial evidence explaining why PacifiCorp is wrong</w:t>
      </w:r>
      <w:r w:rsidR="001E3D78" w:rsidRPr="00BE7140">
        <w:rPr>
          <w:rFonts w:ascii="Times New Roman" w:hAnsi="Times New Roman" w:cs="Times New Roman"/>
          <w:sz w:val="24"/>
          <w:szCs w:val="24"/>
        </w:rPr>
        <w:t xml:space="preserve"> to conclude that equity risk premium is constant</w:t>
      </w:r>
      <w:r w:rsidR="009E72CD" w:rsidRPr="00BE7140">
        <w:rPr>
          <w:rFonts w:ascii="Times New Roman" w:hAnsi="Times New Roman" w:cs="Times New Roman"/>
          <w:sz w:val="24"/>
          <w:szCs w:val="24"/>
        </w:rPr>
        <w:t>.</w:t>
      </w:r>
      <w:r w:rsidR="009E72CD">
        <w:rPr>
          <w:rStyle w:val="FootnoteReference"/>
          <w:rFonts w:cs="Times New Roman"/>
          <w:sz w:val="24"/>
          <w:szCs w:val="24"/>
        </w:rPr>
        <w:footnoteReference w:id="32"/>
      </w:r>
      <w:r w:rsidR="009E72CD" w:rsidRPr="00BE7140">
        <w:rPr>
          <w:rFonts w:ascii="Times New Roman" w:hAnsi="Times New Roman" w:cs="Times New Roman"/>
          <w:sz w:val="24"/>
          <w:szCs w:val="24"/>
        </w:rPr>
        <w:t xml:space="preserve">  The Commission was eminently justified to </w:t>
      </w:r>
      <w:r w:rsidR="00EC37AE" w:rsidRPr="00BE7140">
        <w:rPr>
          <w:rFonts w:ascii="Times New Roman" w:hAnsi="Times New Roman" w:cs="Times New Roman"/>
          <w:sz w:val="24"/>
          <w:szCs w:val="24"/>
        </w:rPr>
        <w:t xml:space="preserve">reject </w:t>
      </w:r>
      <w:r w:rsidR="009E72CD" w:rsidRPr="00BE7140">
        <w:rPr>
          <w:rFonts w:ascii="Times New Roman" w:hAnsi="Times New Roman" w:cs="Times New Roman"/>
          <w:sz w:val="24"/>
          <w:szCs w:val="24"/>
        </w:rPr>
        <w:t xml:space="preserve">Dr. </w:t>
      </w:r>
      <w:r w:rsidR="00EC37AE" w:rsidRPr="00BE7140">
        <w:rPr>
          <w:rFonts w:ascii="Times New Roman" w:hAnsi="Times New Roman" w:cs="Times New Roman"/>
          <w:sz w:val="24"/>
          <w:szCs w:val="24"/>
        </w:rPr>
        <w:t>Hadaway’s risk premium study</w:t>
      </w:r>
      <w:r w:rsidR="001D6472" w:rsidRPr="00BE7140">
        <w:rPr>
          <w:rFonts w:ascii="Times New Roman" w:hAnsi="Times New Roman" w:cs="Times New Roman"/>
          <w:sz w:val="24"/>
          <w:szCs w:val="24"/>
        </w:rPr>
        <w:t xml:space="preserve">.  </w:t>
      </w:r>
    </w:p>
    <w:p w:rsidR="00A44E62" w:rsidRPr="00BE7140" w:rsidRDefault="00BE7140" w:rsidP="00BE7140">
      <w:pPr>
        <w:pStyle w:val="ListParagraph"/>
        <w:numPr>
          <w:ilvl w:val="0"/>
          <w:numId w:val="1"/>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ab/>
      </w:r>
      <w:r w:rsidR="009E72CD" w:rsidRPr="00BE7140">
        <w:rPr>
          <w:rFonts w:ascii="Times New Roman" w:hAnsi="Times New Roman" w:cs="Times New Roman"/>
          <w:sz w:val="24"/>
          <w:szCs w:val="24"/>
        </w:rPr>
        <w:t>In fact, th</w:t>
      </w:r>
      <w:r w:rsidR="00064E3A" w:rsidRPr="00BE7140">
        <w:rPr>
          <w:rFonts w:ascii="Times New Roman" w:hAnsi="Times New Roman" w:cs="Times New Roman"/>
          <w:sz w:val="24"/>
          <w:szCs w:val="24"/>
        </w:rPr>
        <w:t>e Company</w:t>
      </w:r>
      <w:r w:rsidR="000C0E4E">
        <w:rPr>
          <w:rFonts w:ascii="Times New Roman" w:hAnsi="Times New Roman" w:cs="Times New Roman"/>
          <w:sz w:val="24"/>
          <w:szCs w:val="24"/>
        </w:rPr>
        <w:t xml:space="preserve"> cannot reconcile its </w:t>
      </w:r>
      <w:r w:rsidR="009E72CD" w:rsidRPr="00BE7140">
        <w:rPr>
          <w:rFonts w:ascii="Times New Roman" w:hAnsi="Times New Roman" w:cs="Times New Roman"/>
          <w:sz w:val="24"/>
          <w:szCs w:val="24"/>
        </w:rPr>
        <w:t>new</w:t>
      </w:r>
      <w:r w:rsidR="00064E3A" w:rsidRPr="00BE7140">
        <w:rPr>
          <w:rFonts w:ascii="Times New Roman" w:hAnsi="Times New Roman" w:cs="Times New Roman"/>
          <w:sz w:val="24"/>
          <w:szCs w:val="24"/>
        </w:rPr>
        <w:t>,</w:t>
      </w:r>
      <w:r w:rsidR="009E72CD" w:rsidRPr="00BE7140">
        <w:rPr>
          <w:rFonts w:ascii="Times New Roman" w:hAnsi="Times New Roman" w:cs="Times New Roman"/>
          <w:sz w:val="24"/>
          <w:szCs w:val="24"/>
        </w:rPr>
        <w:t xml:space="preserve"> mechanistic use of risk premium with </w:t>
      </w:r>
      <w:r w:rsidR="000C0E4E">
        <w:rPr>
          <w:rFonts w:ascii="Times New Roman" w:hAnsi="Times New Roman" w:cs="Times New Roman"/>
          <w:sz w:val="24"/>
          <w:szCs w:val="24"/>
        </w:rPr>
        <w:t xml:space="preserve">its witnesses’ </w:t>
      </w:r>
      <w:r w:rsidR="00993832" w:rsidRPr="00BE7140">
        <w:rPr>
          <w:rFonts w:ascii="Times New Roman" w:hAnsi="Times New Roman" w:cs="Times New Roman"/>
          <w:sz w:val="24"/>
          <w:szCs w:val="24"/>
        </w:rPr>
        <w:t xml:space="preserve">use of more than one method to evaluate ROE, and his </w:t>
      </w:r>
      <w:r w:rsidR="009E72CD" w:rsidRPr="00BE7140">
        <w:rPr>
          <w:rFonts w:ascii="Times New Roman" w:hAnsi="Times New Roman" w:cs="Times New Roman"/>
          <w:sz w:val="24"/>
          <w:szCs w:val="24"/>
        </w:rPr>
        <w:t>testimony that the determination of ROE is a “matter of informed judgment”.</w:t>
      </w:r>
      <w:r w:rsidR="009E72CD">
        <w:rPr>
          <w:rStyle w:val="FootnoteReference"/>
          <w:rFonts w:cs="Times New Roman"/>
          <w:sz w:val="24"/>
          <w:szCs w:val="24"/>
        </w:rPr>
        <w:footnoteReference w:id="33"/>
      </w:r>
      <w:r w:rsidR="009E72CD" w:rsidRPr="00BE7140">
        <w:rPr>
          <w:rFonts w:ascii="Times New Roman" w:hAnsi="Times New Roman" w:cs="Times New Roman"/>
          <w:sz w:val="24"/>
          <w:szCs w:val="24"/>
        </w:rPr>
        <w:t xml:space="preserve">  The Commission was absolutely correct to reject Dr. Hadaway’s </w:t>
      </w:r>
      <w:r w:rsidR="001E3D78" w:rsidRPr="00BE7140">
        <w:rPr>
          <w:rFonts w:ascii="Times New Roman" w:hAnsi="Times New Roman" w:cs="Times New Roman"/>
          <w:sz w:val="24"/>
          <w:szCs w:val="24"/>
        </w:rPr>
        <w:t>overly</w:t>
      </w:r>
      <w:r w:rsidR="00064E3A" w:rsidRPr="00BE7140">
        <w:rPr>
          <w:rFonts w:ascii="Times New Roman" w:hAnsi="Times New Roman" w:cs="Times New Roman"/>
          <w:sz w:val="24"/>
          <w:szCs w:val="24"/>
        </w:rPr>
        <w:t>-m</w:t>
      </w:r>
      <w:r w:rsidR="001E3D78" w:rsidRPr="00BE7140">
        <w:rPr>
          <w:rFonts w:ascii="Times New Roman" w:hAnsi="Times New Roman" w:cs="Times New Roman"/>
          <w:sz w:val="24"/>
          <w:szCs w:val="24"/>
        </w:rPr>
        <w:t xml:space="preserve">echanical application of </w:t>
      </w:r>
      <w:r w:rsidR="009E72CD" w:rsidRPr="00BE7140">
        <w:rPr>
          <w:rFonts w:ascii="Times New Roman" w:hAnsi="Times New Roman" w:cs="Times New Roman"/>
          <w:sz w:val="24"/>
          <w:szCs w:val="24"/>
        </w:rPr>
        <w:t>risk premium analysis as purporting to offer “precision” based on future estimated projections.</w:t>
      </w:r>
      <w:r w:rsidR="009E72CD">
        <w:rPr>
          <w:rStyle w:val="FootnoteReference"/>
          <w:rFonts w:cs="Times New Roman"/>
          <w:sz w:val="24"/>
          <w:szCs w:val="24"/>
        </w:rPr>
        <w:footnoteReference w:id="34"/>
      </w:r>
      <w:r w:rsidR="009E72CD" w:rsidRPr="00BE7140">
        <w:rPr>
          <w:rFonts w:ascii="Times New Roman" w:hAnsi="Times New Roman" w:cs="Times New Roman"/>
          <w:sz w:val="24"/>
          <w:szCs w:val="24"/>
        </w:rPr>
        <w:t xml:space="preserve"> </w:t>
      </w:r>
    </w:p>
    <w:p w:rsidR="00BB272A" w:rsidRDefault="002B06A6" w:rsidP="00BE7140">
      <w:pPr>
        <w:spacing w:line="240" w:lineRule="auto"/>
        <w:ind w:left="2160" w:hanging="720"/>
        <w:contextualSpacing/>
        <w:rPr>
          <w:rFonts w:ascii="Times New Roman" w:hAnsi="Times New Roman" w:cs="Times New Roman"/>
          <w:b/>
          <w:sz w:val="24"/>
          <w:szCs w:val="24"/>
        </w:rPr>
      </w:pPr>
      <w:r>
        <w:rPr>
          <w:rFonts w:ascii="Times New Roman" w:hAnsi="Times New Roman" w:cs="Times New Roman"/>
          <w:b/>
          <w:sz w:val="24"/>
          <w:szCs w:val="24"/>
        </w:rPr>
        <w:t>f.</w:t>
      </w:r>
      <w:r>
        <w:rPr>
          <w:rFonts w:ascii="Times New Roman" w:hAnsi="Times New Roman" w:cs="Times New Roman"/>
          <w:b/>
          <w:sz w:val="24"/>
          <w:szCs w:val="24"/>
        </w:rPr>
        <w:tab/>
        <w:t xml:space="preserve">The Company’s Market Analysis Contradicts the Record </w:t>
      </w:r>
    </w:p>
    <w:p w:rsidR="00BB272A" w:rsidRDefault="00BB272A" w:rsidP="0055499B">
      <w:pPr>
        <w:spacing w:after="0" w:line="240" w:lineRule="auto"/>
        <w:contextualSpacing/>
        <w:rPr>
          <w:rFonts w:ascii="Times New Roman" w:hAnsi="Times New Roman" w:cs="Times New Roman"/>
          <w:sz w:val="24"/>
          <w:szCs w:val="24"/>
        </w:rPr>
      </w:pPr>
    </w:p>
    <w:p w:rsidR="00D36ADC" w:rsidRPr="00BE7140" w:rsidRDefault="00BE7140" w:rsidP="00BE7140">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36ADC" w:rsidRPr="00BE7140">
        <w:rPr>
          <w:rFonts w:ascii="Times New Roman" w:hAnsi="Times New Roman" w:cs="Times New Roman"/>
          <w:sz w:val="24"/>
          <w:szCs w:val="24"/>
        </w:rPr>
        <w:t>The Commission correctly concluded that financial markets have stabilized since the financial crisis and the evidence is that utility stocks are less volatile and are safer investments.</w:t>
      </w:r>
      <w:r w:rsidR="00D36ADC">
        <w:rPr>
          <w:rStyle w:val="FootnoteReference"/>
          <w:rFonts w:cs="Times New Roman"/>
          <w:sz w:val="24"/>
          <w:szCs w:val="24"/>
        </w:rPr>
        <w:footnoteReference w:id="35"/>
      </w:r>
      <w:r w:rsidR="00D36ADC" w:rsidRPr="00BE7140">
        <w:rPr>
          <w:rFonts w:ascii="Times New Roman" w:hAnsi="Times New Roman" w:cs="Times New Roman"/>
          <w:sz w:val="24"/>
          <w:szCs w:val="24"/>
        </w:rPr>
        <w:t xml:space="preserve">  The record amply supports these statements</w:t>
      </w:r>
      <w:r w:rsidR="000C0E4E">
        <w:rPr>
          <w:rFonts w:ascii="Times New Roman" w:hAnsi="Times New Roman" w:cs="Times New Roman"/>
          <w:sz w:val="24"/>
          <w:szCs w:val="24"/>
        </w:rPr>
        <w:t>,</w:t>
      </w:r>
      <w:r w:rsidR="00D36ADC">
        <w:rPr>
          <w:rStyle w:val="FootnoteReference"/>
          <w:rFonts w:cs="Times New Roman"/>
          <w:sz w:val="24"/>
          <w:szCs w:val="24"/>
        </w:rPr>
        <w:footnoteReference w:id="36"/>
      </w:r>
      <w:r w:rsidR="004305C7">
        <w:rPr>
          <w:rFonts w:ascii="Times New Roman" w:hAnsi="Times New Roman" w:cs="Times New Roman"/>
          <w:sz w:val="24"/>
          <w:szCs w:val="24"/>
        </w:rPr>
        <w:t xml:space="preserve"> which are </w:t>
      </w:r>
      <w:r w:rsidR="00177E3C">
        <w:rPr>
          <w:rFonts w:ascii="Times New Roman" w:hAnsi="Times New Roman" w:cs="Times New Roman"/>
          <w:sz w:val="24"/>
          <w:szCs w:val="24"/>
        </w:rPr>
        <w:t xml:space="preserve">also </w:t>
      </w:r>
      <w:r w:rsidR="004305C7">
        <w:rPr>
          <w:rFonts w:ascii="Times New Roman" w:hAnsi="Times New Roman" w:cs="Times New Roman"/>
          <w:sz w:val="24"/>
          <w:szCs w:val="24"/>
        </w:rPr>
        <w:t xml:space="preserve">consistent with the </w:t>
      </w:r>
      <w:r w:rsidR="00D36ADC" w:rsidRPr="00BE7140">
        <w:rPr>
          <w:rFonts w:ascii="Times New Roman" w:hAnsi="Times New Roman" w:cs="Times New Roman"/>
          <w:sz w:val="24"/>
          <w:szCs w:val="24"/>
        </w:rPr>
        <w:t>Commission</w:t>
      </w:r>
      <w:r w:rsidR="004305C7">
        <w:rPr>
          <w:rFonts w:ascii="Times New Roman" w:hAnsi="Times New Roman" w:cs="Times New Roman"/>
          <w:sz w:val="24"/>
          <w:szCs w:val="24"/>
        </w:rPr>
        <w:t xml:space="preserve">’s </w:t>
      </w:r>
      <w:r w:rsidR="00D36ADC" w:rsidRPr="00BE7140">
        <w:rPr>
          <w:rFonts w:ascii="Times New Roman" w:hAnsi="Times New Roman" w:cs="Times New Roman"/>
          <w:sz w:val="24"/>
          <w:szCs w:val="24"/>
        </w:rPr>
        <w:t>conclusion in an earlier, post-financial crisis rate order in Docket UE-090704.</w:t>
      </w:r>
      <w:r w:rsidR="00D36ADC">
        <w:rPr>
          <w:rStyle w:val="FootnoteReference"/>
          <w:rFonts w:cs="Times New Roman"/>
          <w:sz w:val="24"/>
          <w:szCs w:val="24"/>
        </w:rPr>
        <w:footnoteReference w:id="37"/>
      </w:r>
    </w:p>
    <w:p w:rsidR="00D36ADC" w:rsidRPr="00BE7140" w:rsidRDefault="00BE7140" w:rsidP="00BE71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2B06A6" w:rsidRPr="00BE7140">
        <w:rPr>
          <w:rFonts w:ascii="Times New Roman" w:hAnsi="Times New Roman" w:cs="Times New Roman"/>
          <w:sz w:val="24"/>
          <w:szCs w:val="24"/>
        </w:rPr>
        <w:t xml:space="preserve">Nonetheless, </w:t>
      </w:r>
      <w:r w:rsidR="00D36ADC" w:rsidRPr="00BE7140">
        <w:rPr>
          <w:rFonts w:ascii="Times New Roman" w:hAnsi="Times New Roman" w:cs="Times New Roman"/>
          <w:sz w:val="24"/>
          <w:szCs w:val="24"/>
        </w:rPr>
        <w:t xml:space="preserve">PacifiCorp </w:t>
      </w:r>
      <w:r w:rsidR="004305C7">
        <w:rPr>
          <w:rFonts w:ascii="Times New Roman" w:hAnsi="Times New Roman" w:cs="Times New Roman"/>
          <w:sz w:val="24"/>
          <w:szCs w:val="24"/>
        </w:rPr>
        <w:t>says</w:t>
      </w:r>
      <w:r w:rsidR="00B33246" w:rsidRPr="00BE7140">
        <w:rPr>
          <w:rFonts w:ascii="Times New Roman" w:hAnsi="Times New Roman" w:cs="Times New Roman"/>
          <w:sz w:val="24"/>
          <w:szCs w:val="24"/>
        </w:rPr>
        <w:t xml:space="preserve"> </w:t>
      </w:r>
      <w:r w:rsidR="00D36ADC" w:rsidRPr="00BE7140">
        <w:rPr>
          <w:rFonts w:ascii="Times New Roman" w:hAnsi="Times New Roman" w:cs="Times New Roman"/>
          <w:sz w:val="24"/>
          <w:szCs w:val="24"/>
        </w:rPr>
        <w:t>it is “contradictory” for the Commission to accept that utility stocks are less volatile now than before, and to also accept that markets have returned to more normal conditions.</w:t>
      </w:r>
      <w:r w:rsidR="00D36ADC" w:rsidRPr="00F9192A">
        <w:rPr>
          <w:vertAlign w:val="superscript"/>
        </w:rPr>
        <w:footnoteReference w:id="38"/>
      </w:r>
      <w:r w:rsidR="00D36ADC" w:rsidRPr="00BE7140">
        <w:rPr>
          <w:rFonts w:ascii="Times New Roman" w:hAnsi="Times New Roman" w:cs="Times New Roman"/>
          <w:sz w:val="24"/>
          <w:szCs w:val="24"/>
        </w:rPr>
        <w:t xml:space="preserve">  Apparently, PacifiCorp thinks the fact that utility stock prices have lagged the overall market means they are “riskier”, but the Company is looking at only half of the equation:  while utility stocks may not have rebounded like the market, they also did not “crater” like the general market, either.  This is an unambiguous indication utility stocks are less risky than non-utility stocks.</w:t>
      </w:r>
    </w:p>
    <w:p w:rsidR="00D36ADC" w:rsidRPr="00BE7140" w:rsidRDefault="00BE7140" w:rsidP="00BE71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D36ADC" w:rsidRPr="00BE7140">
        <w:rPr>
          <w:rFonts w:ascii="Times New Roman" w:hAnsi="Times New Roman" w:cs="Times New Roman"/>
          <w:sz w:val="24"/>
          <w:szCs w:val="24"/>
        </w:rPr>
        <w:t xml:space="preserve">In fact, PacifiCorp’s myopic view </w:t>
      </w:r>
      <w:r w:rsidR="00B33246" w:rsidRPr="00BE7140">
        <w:rPr>
          <w:rFonts w:ascii="Times New Roman" w:hAnsi="Times New Roman" w:cs="Times New Roman"/>
          <w:sz w:val="24"/>
          <w:szCs w:val="24"/>
        </w:rPr>
        <w:t xml:space="preserve">of the record </w:t>
      </w:r>
      <w:r w:rsidR="00D36ADC" w:rsidRPr="00BE7140">
        <w:rPr>
          <w:rFonts w:ascii="Times New Roman" w:hAnsi="Times New Roman" w:cs="Times New Roman"/>
          <w:sz w:val="24"/>
          <w:szCs w:val="24"/>
        </w:rPr>
        <w:t>leads the Company incorrectly to posit “investors can obtain a greater return now and in the near future by investing in non-utility stocks of equal risk…”</w:t>
      </w:r>
      <w:r w:rsidR="00D36ADC" w:rsidRPr="00F9192A">
        <w:rPr>
          <w:vertAlign w:val="superscript"/>
        </w:rPr>
        <w:footnoteReference w:id="39"/>
      </w:r>
      <w:r w:rsidR="00D36ADC" w:rsidRPr="00BE7140">
        <w:rPr>
          <w:rFonts w:ascii="Times New Roman" w:hAnsi="Times New Roman" w:cs="Times New Roman"/>
          <w:sz w:val="24"/>
          <w:szCs w:val="24"/>
        </w:rPr>
        <w:t xml:space="preserve">  </w:t>
      </w:r>
      <w:r w:rsidR="00064E3A" w:rsidRPr="00BE7140">
        <w:rPr>
          <w:rFonts w:ascii="Times New Roman" w:hAnsi="Times New Roman" w:cs="Times New Roman"/>
          <w:sz w:val="24"/>
          <w:szCs w:val="24"/>
        </w:rPr>
        <w:t xml:space="preserve">Because </w:t>
      </w:r>
      <w:r w:rsidR="00D36ADC" w:rsidRPr="00BE7140">
        <w:rPr>
          <w:rFonts w:ascii="Times New Roman" w:hAnsi="Times New Roman" w:cs="Times New Roman"/>
          <w:sz w:val="24"/>
          <w:szCs w:val="24"/>
        </w:rPr>
        <w:t>non-utility stocks have more risk, as the Commission correctly observed in Paragraph 81 of its Order: “</w:t>
      </w:r>
      <w:r w:rsidR="00BF4584" w:rsidRPr="00BE7140">
        <w:rPr>
          <w:rFonts w:ascii="Times New Roman" w:hAnsi="Times New Roman" w:cs="Times New Roman"/>
          <w:sz w:val="24"/>
          <w:szCs w:val="24"/>
        </w:rPr>
        <w:t>... (</w:t>
      </w:r>
      <w:r w:rsidR="00D36ADC" w:rsidRPr="00BE7140">
        <w:rPr>
          <w:rFonts w:ascii="Times New Roman" w:hAnsi="Times New Roman" w:cs="Times New Roman"/>
          <w:sz w:val="24"/>
          <w:szCs w:val="24"/>
        </w:rPr>
        <w:t xml:space="preserve">the) evidence is clear that utility stocks are less volatile than non-utility stocks…”   Less risk requires less return.  </w:t>
      </w:r>
    </w:p>
    <w:p w:rsidR="00D36ADC" w:rsidRPr="00BE7140" w:rsidRDefault="00BE7140" w:rsidP="00BE7140">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36ADC" w:rsidRPr="00BE7140">
        <w:rPr>
          <w:rFonts w:ascii="Times New Roman" w:hAnsi="Times New Roman" w:cs="Times New Roman"/>
          <w:sz w:val="24"/>
          <w:szCs w:val="24"/>
        </w:rPr>
        <w:t>In short, the Order is consistent and true to the record</w:t>
      </w:r>
      <w:r w:rsidR="00064E3A" w:rsidRPr="00BE7140">
        <w:rPr>
          <w:rFonts w:ascii="Times New Roman" w:hAnsi="Times New Roman" w:cs="Times New Roman"/>
          <w:sz w:val="24"/>
          <w:szCs w:val="24"/>
        </w:rPr>
        <w:t>, while</w:t>
      </w:r>
      <w:r w:rsidR="00D36ADC" w:rsidRPr="00BE7140">
        <w:rPr>
          <w:rFonts w:ascii="Times New Roman" w:hAnsi="Times New Roman" w:cs="Times New Roman"/>
          <w:sz w:val="24"/>
          <w:szCs w:val="24"/>
        </w:rPr>
        <w:t xml:space="preserve"> PacifiCorp’s Petition is the </w:t>
      </w:r>
      <w:r w:rsidR="002B06A6" w:rsidRPr="00BE7140">
        <w:rPr>
          <w:rFonts w:ascii="Times New Roman" w:hAnsi="Times New Roman" w:cs="Times New Roman"/>
          <w:sz w:val="24"/>
          <w:szCs w:val="24"/>
        </w:rPr>
        <w:t xml:space="preserve">exact </w:t>
      </w:r>
      <w:r w:rsidR="00D36ADC" w:rsidRPr="00BE7140">
        <w:rPr>
          <w:rFonts w:ascii="Times New Roman" w:hAnsi="Times New Roman" w:cs="Times New Roman"/>
          <w:sz w:val="24"/>
          <w:szCs w:val="24"/>
        </w:rPr>
        <w:t>opposite.</w:t>
      </w:r>
      <w:r w:rsidR="002B06A6" w:rsidRPr="00BE7140">
        <w:rPr>
          <w:rFonts w:ascii="Times New Roman" w:hAnsi="Times New Roman" w:cs="Times New Roman"/>
          <w:sz w:val="24"/>
          <w:szCs w:val="24"/>
        </w:rPr>
        <w:t xml:space="preserve">  For each of the foregoing reasons, the Commission should reject PacifiCorp’s Petition on cost of capital issues.</w:t>
      </w:r>
    </w:p>
    <w:p w:rsidR="00584F68" w:rsidRPr="00584F68" w:rsidRDefault="00584F68" w:rsidP="00BE7140">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Pr="00584F68">
        <w:rPr>
          <w:rFonts w:ascii="Times New Roman" w:hAnsi="Times New Roman" w:cs="Times New Roman"/>
          <w:b/>
          <w:sz w:val="24"/>
          <w:szCs w:val="24"/>
        </w:rPr>
        <w:t>Net Power Cost Issues</w:t>
      </w:r>
    </w:p>
    <w:p w:rsidR="00584F68" w:rsidRPr="00BE7140" w:rsidRDefault="00BE7140" w:rsidP="00BE7140">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84F68" w:rsidRPr="00BE7140">
        <w:rPr>
          <w:rFonts w:ascii="Times New Roman" w:hAnsi="Times New Roman" w:cs="Times New Roman"/>
          <w:sz w:val="24"/>
          <w:szCs w:val="24"/>
        </w:rPr>
        <w:t xml:space="preserve">PacifiCorp seeks reconsideration on </w:t>
      </w:r>
      <w:r w:rsidR="00064E3A" w:rsidRPr="00BE7140">
        <w:rPr>
          <w:rFonts w:ascii="Times New Roman" w:hAnsi="Times New Roman" w:cs="Times New Roman"/>
          <w:sz w:val="24"/>
          <w:szCs w:val="24"/>
        </w:rPr>
        <w:t xml:space="preserve">four </w:t>
      </w:r>
      <w:r w:rsidR="00584F68" w:rsidRPr="00BE7140">
        <w:rPr>
          <w:rFonts w:ascii="Times New Roman" w:hAnsi="Times New Roman" w:cs="Times New Roman"/>
          <w:sz w:val="24"/>
          <w:szCs w:val="24"/>
        </w:rPr>
        <w:t>net power cost (NPC) issues</w:t>
      </w:r>
      <w:r w:rsidR="00384811">
        <w:rPr>
          <w:rFonts w:ascii="Times New Roman" w:hAnsi="Times New Roman" w:cs="Times New Roman"/>
          <w:sz w:val="24"/>
          <w:szCs w:val="24"/>
        </w:rPr>
        <w:t xml:space="preserve">, including </w:t>
      </w:r>
      <w:r w:rsidR="00584F68" w:rsidRPr="00BE7140">
        <w:rPr>
          <w:rFonts w:ascii="Times New Roman" w:hAnsi="Times New Roman" w:cs="Times New Roman"/>
          <w:sz w:val="24"/>
          <w:szCs w:val="24"/>
        </w:rPr>
        <w:t xml:space="preserve">the DC Intertie adjustment, the adjustment for Arbitrage Revenues, </w:t>
      </w:r>
      <w:r w:rsidR="00384811">
        <w:rPr>
          <w:rFonts w:ascii="Times New Roman" w:hAnsi="Times New Roman" w:cs="Times New Roman"/>
          <w:sz w:val="24"/>
          <w:szCs w:val="24"/>
        </w:rPr>
        <w:t xml:space="preserve">and </w:t>
      </w:r>
      <w:r w:rsidR="00584F68" w:rsidRPr="00BE7140">
        <w:rPr>
          <w:rFonts w:ascii="Times New Roman" w:hAnsi="Times New Roman" w:cs="Times New Roman"/>
          <w:sz w:val="24"/>
          <w:szCs w:val="24"/>
        </w:rPr>
        <w:t>the exclusion of intra-hour wind integration expenses.</w:t>
      </w:r>
      <w:r w:rsidR="00384811">
        <w:rPr>
          <w:rStyle w:val="FootnoteReference"/>
          <w:rFonts w:cs="Times New Roman"/>
          <w:szCs w:val="24"/>
        </w:rPr>
        <w:footnoteReference w:id="40"/>
      </w:r>
      <w:r w:rsidR="00584F68" w:rsidRPr="00BE7140">
        <w:rPr>
          <w:rFonts w:ascii="Times New Roman" w:hAnsi="Times New Roman" w:cs="Times New Roman"/>
          <w:sz w:val="24"/>
          <w:szCs w:val="24"/>
        </w:rPr>
        <w:t xml:space="preserve">  For the reasons that follow, the Commission should reject PacifiCorp’s Petition on these issues, except for the calculation on NPC of removing intra-hour wind integration costs</w:t>
      </w:r>
      <w:r w:rsidR="003C126C">
        <w:rPr>
          <w:rFonts w:ascii="Times New Roman" w:hAnsi="Times New Roman" w:cs="Times New Roman"/>
          <w:sz w:val="24"/>
          <w:szCs w:val="24"/>
        </w:rPr>
        <w:t>.</w:t>
      </w:r>
      <w:r w:rsidR="00064E3A" w:rsidRPr="00BE7140">
        <w:rPr>
          <w:rFonts w:ascii="Times New Roman" w:hAnsi="Times New Roman" w:cs="Times New Roman"/>
          <w:sz w:val="24"/>
          <w:szCs w:val="24"/>
        </w:rPr>
        <w:t xml:space="preserve"> </w:t>
      </w:r>
      <w:r w:rsidR="003C126C">
        <w:rPr>
          <w:rFonts w:ascii="Times New Roman" w:hAnsi="Times New Roman" w:cs="Times New Roman"/>
          <w:sz w:val="24"/>
          <w:szCs w:val="24"/>
        </w:rPr>
        <w:t xml:space="preserve"> </w:t>
      </w:r>
      <w:r w:rsidR="00584F68" w:rsidRPr="00BE7140">
        <w:rPr>
          <w:rFonts w:ascii="Times New Roman" w:hAnsi="Times New Roman" w:cs="Times New Roman"/>
          <w:sz w:val="24"/>
          <w:szCs w:val="24"/>
        </w:rPr>
        <w:t xml:space="preserve">PacifiCorp’s point is well taken that the adjustment the </w:t>
      </w:r>
      <w:r w:rsidR="00584F68" w:rsidRPr="00BE7140">
        <w:rPr>
          <w:rFonts w:ascii="Times New Roman" w:hAnsi="Times New Roman" w:cs="Times New Roman"/>
          <w:sz w:val="24"/>
          <w:szCs w:val="24"/>
        </w:rPr>
        <w:lastRenderedPageBreak/>
        <w:t>Commission accepted is overstated by $46,418.  If the Commission considers this amount material,</w:t>
      </w:r>
      <w:r w:rsidR="00064E3A">
        <w:rPr>
          <w:rStyle w:val="FootnoteReference"/>
          <w:rFonts w:cs="Times New Roman"/>
          <w:sz w:val="24"/>
          <w:szCs w:val="24"/>
        </w:rPr>
        <w:footnoteReference w:id="41"/>
      </w:r>
      <w:r w:rsidR="00584F68" w:rsidRPr="00BE7140">
        <w:rPr>
          <w:rFonts w:ascii="Times New Roman" w:hAnsi="Times New Roman" w:cs="Times New Roman"/>
          <w:sz w:val="24"/>
          <w:szCs w:val="24"/>
        </w:rPr>
        <w:t xml:space="preserve"> it should grant the Petition to that extent. </w:t>
      </w:r>
    </w:p>
    <w:p w:rsidR="00584F68" w:rsidRPr="00584F68" w:rsidRDefault="00584F68" w:rsidP="00584F68">
      <w:pPr>
        <w:spacing w:line="240" w:lineRule="auto"/>
        <w:ind w:left="1440" w:hanging="720"/>
        <w:contextualSpacing/>
        <w:rPr>
          <w:rFonts w:ascii="Times New Roman" w:hAnsi="Times New Roman" w:cs="Times New Roman"/>
          <w:b/>
          <w:sz w:val="24"/>
          <w:szCs w:val="24"/>
        </w:rPr>
      </w:pPr>
      <w:r w:rsidRPr="00584F68">
        <w:rPr>
          <w:rFonts w:ascii="Times New Roman" w:hAnsi="Times New Roman" w:cs="Times New Roman"/>
          <w:b/>
          <w:sz w:val="24"/>
          <w:szCs w:val="24"/>
        </w:rPr>
        <w:t>1.</w:t>
      </w:r>
      <w:r w:rsidRPr="00584F68">
        <w:rPr>
          <w:rFonts w:ascii="Times New Roman" w:hAnsi="Times New Roman" w:cs="Times New Roman"/>
          <w:b/>
          <w:sz w:val="24"/>
          <w:szCs w:val="24"/>
        </w:rPr>
        <w:tab/>
        <w:t xml:space="preserve">DC Intertie – Actual Use is not the Issue: PacifiCorp’s Problem is That the Company Quantifies the Costs of the Intertie, But None of the Benefits </w:t>
      </w:r>
    </w:p>
    <w:p w:rsidR="00584F68" w:rsidRPr="00584F68" w:rsidRDefault="00584F68" w:rsidP="0055499B">
      <w:pPr>
        <w:spacing w:after="0" w:line="240" w:lineRule="auto"/>
        <w:contextualSpacing/>
        <w:rPr>
          <w:rFonts w:ascii="Times New Roman" w:hAnsi="Times New Roman" w:cs="Times New Roman"/>
          <w:sz w:val="24"/>
          <w:szCs w:val="24"/>
        </w:rPr>
      </w:pPr>
    </w:p>
    <w:p w:rsidR="00584F68" w:rsidRPr="00BE7140" w:rsidRDefault="00BE7140" w:rsidP="00BE71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584F68" w:rsidRPr="00BE7140">
        <w:rPr>
          <w:rFonts w:ascii="Times New Roman" w:hAnsi="Times New Roman" w:cs="Times New Roman"/>
          <w:sz w:val="24"/>
          <w:szCs w:val="24"/>
        </w:rPr>
        <w:t>PacifiCorp argues the Commission erred in accepting Staff’s adjustment removing of the DC Intertie, because the Company actually uses that contract on occasion.  PacifiCorp therefore argues the Commission’s statement in the Order that “the contract is not expected to be used during the rate year” is wrong.</w:t>
      </w:r>
      <w:r w:rsidR="00584F68" w:rsidRPr="00584F68">
        <w:rPr>
          <w:vertAlign w:val="superscript"/>
        </w:rPr>
        <w:footnoteReference w:id="42"/>
      </w:r>
      <w:r w:rsidR="00584F68" w:rsidRPr="00BE7140">
        <w:rPr>
          <w:rFonts w:ascii="Times New Roman" w:hAnsi="Times New Roman" w:cs="Times New Roman"/>
          <w:sz w:val="24"/>
          <w:szCs w:val="24"/>
        </w:rPr>
        <w:t xml:space="preserve">  While PacifiCorp concedes GRID does not model DC Intertie transactions, the Company also argues the Commission would be “inconsistent” if it failed to ignore the Company’s actual use of the Intertie.</w:t>
      </w:r>
      <w:r w:rsidR="00584F68" w:rsidRPr="00584F68">
        <w:rPr>
          <w:vertAlign w:val="superscript"/>
        </w:rPr>
        <w:footnoteReference w:id="43"/>
      </w:r>
    </w:p>
    <w:p w:rsidR="00584F68" w:rsidRPr="00BE7140" w:rsidRDefault="00BE7140" w:rsidP="00BE71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584F68" w:rsidRPr="00BE7140">
        <w:rPr>
          <w:rFonts w:ascii="Times New Roman" w:hAnsi="Times New Roman" w:cs="Times New Roman"/>
          <w:sz w:val="24"/>
          <w:szCs w:val="24"/>
        </w:rPr>
        <w:t xml:space="preserve">The Company misses the entire point of the DC Intertie adjustment, because whether the Company may actually carry out an occasional transaction on the Intertie disregards the key fact that in determining power supply costs in this case, PacifiCorp included no normalized benefits whatsoever associated with the annual expenses of the Intertie:  Zero.  </w:t>
      </w:r>
    </w:p>
    <w:p w:rsidR="00584F68" w:rsidRPr="00BE7140" w:rsidRDefault="00BE7140" w:rsidP="00BE71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584F68" w:rsidRPr="00BE7140">
        <w:rPr>
          <w:rFonts w:ascii="Times New Roman" w:hAnsi="Times New Roman" w:cs="Times New Roman"/>
          <w:sz w:val="24"/>
          <w:szCs w:val="24"/>
        </w:rPr>
        <w:t>As Staff testified, PacifiCorp wanted to pass on the entire costs of the Intertie to ratepayers without quantifying a single benefit.</w:t>
      </w:r>
      <w:r w:rsidR="00584F68" w:rsidRPr="00584F68">
        <w:rPr>
          <w:vertAlign w:val="superscript"/>
        </w:rPr>
        <w:footnoteReference w:id="44"/>
      </w:r>
      <w:r w:rsidR="00584F68" w:rsidRPr="00BE7140">
        <w:rPr>
          <w:rFonts w:ascii="Times New Roman" w:hAnsi="Times New Roman" w:cs="Times New Roman"/>
          <w:sz w:val="24"/>
          <w:szCs w:val="24"/>
        </w:rPr>
        <w:t xml:space="preserve">  That is an unfair mismatch of egregious proportions.  A proper adjustment would match the quantifiable benefits of the DC Intertie on a normalized basis (i.e., transactions utilizing the Intertie that would result in lower costs for customers) to the annual costs of the Intertie.  </w:t>
      </w:r>
    </w:p>
    <w:p w:rsidR="00584F68" w:rsidRPr="00BE7140" w:rsidRDefault="00BE7140" w:rsidP="00BE71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584F68" w:rsidRPr="00BE7140">
        <w:rPr>
          <w:rFonts w:ascii="Times New Roman" w:hAnsi="Times New Roman" w:cs="Times New Roman"/>
          <w:sz w:val="24"/>
          <w:szCs w:val="24"/>
        </w:rPr>
        <w:t xml:space="preserve">This is not an instance where “actual” should be given greater weight than GRID model results, as PacifiCorp tries to categorize it.  Rather, this is an instance where </w:t>
      </w:r>
      <w:r w:rsidR="00584F68" w:rsidRPr="00BE7140">
        <w:rPr>
          <w:rFonts w:ascii="Times New Roman" w:hAnsi="Times New Roman" w:cs="Times New Roman"/>
          <w:sz w:val="24"/>
          <w:szCs w:val="24"/>
        </w:rPr>
        <w:lastRenderedPageBreak/>
        <w:t xml:space="preserve">PacifiCorp offered a gross mismatch between costs and (no) benefits, and the Commission was correct in </w:t>
      </w:r>
      <w:r w:rsidR="00384811">
        <w:rPr>
          <w:rFonts w:ascii="Times New Roman" w:hAnsi="Times New Roman" w:cs="Times New Roman"/>
          <w:sz w:val="24"/>
          <w:szCs w:val="24"/>
        </w:rPr>
        <w:t>declining</w:t>
      </w:r>
      <w:r w:rsidR="00584F68" w:rsidRPr="00BE7140">
        <w:rPr>
          <w:rFonts w:ascii="Times New Roman" w:hAnsi="Times New Roman" w:cs="Times New Roman"/>
          <w:sz w:val="24"/>
          <w:szCs w:val="24"/>
        </w:rPr>
        <w:t xml:space="preserve"> that offer. </w:t>
      </w:r>
    </w:p>
    <w:p w:rsidR="00584F68" w:rsidRPr="00BE7140" w:rsidRDefault="00BE7140" w:rsidP="00BE7140">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84F68" w:rsidRPr="00BE7140">
        <w:rPr>
          <w:rFonts w:ascii="Times New Roman" w:hAnsi="Times New Roman" w:cs="Times New Roman"/>
          <w:sz w:val="24"/>
          <w:szCs w:val="24"/>
        </w:rPr>
        <w:t xml:space="preserve">In sum, at the core, PacifiCorp’s arguments reflect an unfair reading of the Order.  </w:t>
      </w:r>
      <w:r w:rsidR="000C0E4E">
        <w:rPr>
          <w:rFonts w:ascii="Times New Roman" w:hAnsi="Times New Roman" w:cs="Times New Roman"/>
          <w:sz w:val="24"/>
          <w:szCs w:val="24"/>
        </w:rPr>
        <w:t>First, t</w:t>
      </w:r>
      <w:r w:rsidR="00584F68" w:rsidRPr="00BE7140">
        <w:rPr>
          <w:rFonts w:ascii="Times New Roman" w:hAnsi="Times New Roman" w:cs="Times New Roman"/>
          <w:sz w:val="24"/>
          <w:szCs w:val="24"/>
        </w:rPr>
        <w:t xml:space="preserve">he Commission’s statement that “the contract is not expected to be used during the rate year” is eminently correct, because the GRID model runs sponsored by PacifiCorp reflect that precise expectation.  </w:t>
      </w:r>
      <w:r w:rsidR="000C0E4E">
        <w:rPr>
          <w:rFonts w:ascii="Times New Roman" w:hAnsi="Times New Roman" w:cs="Times New Roman"/>
          <w:sz w:val="24"/>
          <w:szCs w:val="24"/>
        </w:rPr>
        <w:t>Second, t</w:t>
      </w:r>
      <w:r w:rsidR="00584F68" w:rsidRPr="00BE7140">
        <w:rPr>
          <w:rFonts w:ascii="Times New Roman" w:hAnsi="Times New Roman" w:cs="Times New Roman"/>
          <w:sz w:val="24"/>
          <w:szCs w:val="24"/>
        </w:rPr>
        <w:t xml:space="preserve">he Commission is “consistent” in its Order by requiring a showing of benefits matching costs.  No utility should expect recovery of any cost unless it can show the benefits to the ratepayer match the cost.  PacifiCorp is no exception.  </w:t>
      </w:r>
    </w:p>
    <w:p w:rsidR="00584F68" w:rsidRPr="00584F68" w:rsidRDefault="00584F68" w:rsidP="004C3BD4">
      <w:pPr>
        <w:spacing w:line="240" w:lineRule="auto"/>
        <w:ind w:left="1440" w:hanging="720"/>
        <w:contextualSpacing/>
        <w:rPr>
          <w:rFonts w:ascii="Times New Roman" w:hAnsi="Times New Roman" w:cs="Times New Roman"/>
          <w:b/>
          <w:sz w:val="24"/>
          <w:szCs w:val="24"/>
        </w:rPr>
      </w:pPr>
      <w:r w:rsidRPr="00584F68">
        <w:rPr>
          <w:rFonts w:ascii="Times New Roman" w:hAnsi="Times New Roman" w:cs="Times New Roman"/>
          <w:b/>
          <w:sz w:val="24"/>
          <w:szCs w:val="24"/>
        </w:rPr>
        <w:t>2.</w:t>
      </w:r>
      <w:r w:rsidRPr="00584F68">
        <w:rPr>
          <w:rFonts w:ascii="Times New Roman" w:hAnsi="Times New Roman" w:cs="Times New Roman"/>
          <w:b/>
          <w:sz w:val="24"/>
          <w:szCs w:val="24"/>
        </w:rPr>
        <w:tab/>
        <w:t xml:space="preserve">Arbitrage Revenues – There is </w:t>
      </w:r>
      <w:r w:rsidR="003C126C">
        <w:rPr>
          <w:rFonts w:ascii="Times New Roman" w:hAnsi="Times New Roman" w:cs="Times New Roman"/>
          <w:b/>
          <w:sz w:val="24"/>
          <w:szCs w:val="24"/>
        </w:rPr>
        <w:t>N</w:t>
      </w:r>
      <w:r w:rsidRPr="00584F68">
        <w:rPr>
          <w:rFonts w:ascii="Times New Roman" w:hAnsi="Times New Roman" w:cs="Times New Roman"/>
          <w:b/>
          <w:sz w:val="24"/>
          <w:szCs w:val="24"/>
        </w:rPr>
        <w:t xml:space="preserve">o Reason </w:t>
      </w:r>
      <w:r w:rsidR="004C3BD4">
        <w:rPr>
          <w:rFonts w:ascii="Times New Roman" w:hAnsi="Times New Roman" w:cs="Times New Roman"/>
          <w:b/>
          <w:sz w:val="24"/>
          <w:szCs w:val="24"/>
        </w:rPr>
        <w:t xml:space="preserve">to Modify Arbitrage Revenues </w:t>
      </w:r>
      <w:r w:rsidRPr="00584F68">
        <w:rPr>
          <w:rFonts w:ascii="Times New Roman" w:hAnsi="Times New Roman" w:cs="Times New Roman"/>
          <w:b/>
          <w:sz w:val="24"/>
          <w:szCs w:val="24"/>
        </w:rPr>
        <w:t>by Considering Dissimilar Transactions or Otherwise Changing the Amount</w:t>
      </w:r>
    </w:p>
    <w:p w:rsidR="00584F68" w:rsidRPr="00584F68" w:rsidRDefault="00584F68" w:rsidP="0055499B">
      <w:pPr>
        <w:spacing w:after="0" w:line="240" w:lineRule="auto"/>
        <w:contextualSpacing/>
        <w:rPr>
          <w:rFonts w:ascii="Times New Roman" w:hAnsi="Times New Roman" w:cs="Times New Roman"/>
          <w:sz w:val="24"/>
          <w:szCs w:val="24"/>
        </w:rPr>
      </w:pPr>
    </w:p>
    <w:p w:rsidR="00584F68" w:rsidRPr="00BE7140" w:rsidRDefault="00BE7140" w:rsidP="00BE71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584F68" w:rsidRPr="00BE7140">
        <w:rPr>
          <w:rFonts w:ascii="Times New Roman" w:hAnsi="Times New Roman" w:cs="Times New Roman"/>
          <w:sz w:val="24"/>
          <w:szCs w:val="24"/>
        </w:rPr>
        <w:t xml:space="preserve">PacifiCorp </w:t>
      </w:r>
      <w:r w:rsidR="000C0E4E">
        <w:rPr>
          <w:rFonts w:ascii="Times New Roman" w:hAnsi="Times New Roman" w:cs="Times New Roman"/>
          <w:sz w:val="24"/>
          <w:szCs w:val="24"/>
        </w:rPr>
        <w:t xml:space="preserve">also </w:t>
      </w:r>
      <w:r w:rsidR="00584F68" w:rsidRPr="00BE7140">
        <w:rPr>
          <w:rFonts w:ascii="Times New Roman" w:hAnsi="Times New Roman" w:cs="Times New Roman"/>
          <w:sz w:val="24"/>
          <w:szCs w:val="24"/>
        </w:rPr>
        <w:t xml:space="preserve">takes exception to the Commission’s acceptance of Staff and ICNU’s adjustment to include revenues from arbitrage transactions.  According to the Company, the Commission </w:t>
      </w:r>
      <w:r w:rsidR="00F36141">
        <w:rPr>
          <w:rFonts w:ascii="Times New Roman" w:hAnsi="Times New Roman" w:cs="Times New Roman"/>
          <w:sz w:val="24"/>
          <w:szCs w:val="24"/>
        </w:rPr>
        <w:t xml:space="preserve">also </w:t>
      </w:r>
      <w:r w:rsidR="00584F68" w:rsidRPr="00BE7140">
        <w:rPr>
          <w:rFonts w:ascii="Times New Roman" w:hAnsi="Times New Roman" w:cs="Times New Roman"/>
          <w:sz w:val="24"/>
          <w:szCs w:val="24"/>
        </w:rPr>
        <w:t>should have included revenues from trading transactions, and/or it should have reflected a lower level of arbitrage revenues based on lower revenues in the recent past.</w:t>
      </w:r>
      <w:r w:rsidR="00584F68" w:rsidRPr="00584F68">
        <w:rPr>
          <w:vertAlign w:val="superscript"/>
        </w:rPr>
        <w:footnoteReference w:id="45"/>
      </w:r>
      <w:r w:rsidR="00584F68" w:rsidRPr="00BE7140">
        <w:rPr>
          <w:rFonts w:ascii="Times New Roman" w:hAnsi="Times New Roman" w:cs="Times New Roman"/>
          <w:sz w:val="24"/>
          <w:szCs w:val="24"/>
        </w:rPr>
        <w:t xml:space="preserve">  </w:t>
      </w:r>
    </w:p>
    <w:p w:rsidR="00584F68" w:rsidRPr="00BE7140" w:rsidRDefault="00BE7140" w:rsidP="00BE71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584F68" w:rsidRPr="00BE7140">
        <w:rPr>
          <w:rFonts w:ascii="Times New Roman" w:hAnsi="Times New Roman" w:cs="Times New Roman"/>
          <w:sz w:val="24"/>
          <w:szCs w:val="24"/>
        </w:rPr>
        <w:t xml:space="preserve">The Commission should reject </w:t>
      </w:r>
      <w:r w:rsidR="003C126C">
        <w:rPr>
          <w:rFonts w:ascii="Times New Roman" w:hAnsi="Times New Roman" w:cs="Times New Roman"/>
          <w:sz w:val="24"/>
          <w:szCs w:val="24"/>
        </w:rPr>
        <w:t xml:space="preserve">both of </w:t>
      </w:r>
      <w:r w:rsidR="00584F68" w:rsidRPr="00BE7140">
        <w:rPr>
          <w:rFonts w:ascii="Times New Roman" w:hAnsi="Times New Roman" w:cs="Times New Roman"/>
          <w:sz w:val="24"/>
          <w:szCs w:val="24"/>
        </w:rPr>
        <w:t xml:space="preserve">PacifiCorp’s arguments.  First, there is good reason for the Commission to </w:t>
      </w:r>
      <w:r w:rsidR="000C0E4E">
        <w:rPr>
          <w:rFonts w:ascii="Times New Roman" w:hAnsi="Times New Roman" w:cs="Times New Roman"/>
          <w:sz w:val="24"/>
          <w:szCs w:val="24"/>
        </w:rPr>
        <w:t xml:space="preserve">include arbitrage transaction and </w:t>
      </w:r>
      <w:r w:rsidR="00584F68" w:rsidRPr="00BE7140">
        <w:rPr>
          <w:rFonts w:ascii="Times New Roman" w:hAnsi="Times New Roman" w:cs="Times New Roman"/>
          <w:sz w:val="24"/>
          <w:szCs w:val="24"/>
        </w:rPr>
        <w:t>exclude trading transactions</w:t>
      </w:r>
      <w:r w:rsidR="000C0E4E">
        <w:rPr>
          <w:rFonts w:ascii="Times New Roman" w:hAnsi="Times New Roman" w:cs="Times New Roman"/>
          <w:sz w:val="24"/>
          <w:szCs w:val="24"/>
        </w:rPr>
        <w:t>.  A</w:t>
      </w:r>
      <w:r w:rsidR="00584F68" w:rsidRPr="00BE7140">
        <w:rPr>
          <w:rFonts w:ascii="Times New Roman" w:hAnsi="Times New Roman" w:cs="Times New Roman"/>
          <w:sz w:val="24"/>
          <w:szCs w:val="24"/>
        </w:rPr>
        <w:t>s Staff thoughtfully explained,</w:t>
      </w:r>
      <w:r w:rsidR="00584F68" w:rsidRPr="00584F68">
        <w:rPr>
          <w:vertAlign w:val="superscript"/>
        </w:rPr>
        <w:footnoteReference w:id="46"/>
      </w:r>
      <w:r w:rsidR="00584F68" w:rsidRPr="00BE7140">
        <w:rPr>
          <w:rFonts w:ascii="Times New Roman" w:hAnsi="Times New Roman" w:cs="Times New Roman"/>
          <w:sz w:val="24"/>
          <w:szCs w:val="24"/>
        </w:rPr>
        <w:t xml:space="preserve"> trading transactions are a completely different type of transaction than arbitrage transactions.  Arbitrage transactions are very low risk, non-speculative transactions that take advantage of different prices at various trading locations that can be reached using the Company’s transmission system.  The detailed data shows </w:t>
      </w:r>
      <w:r w:rsidR="00584F68" w:rsidRPr="00BE7140">
        <w:rPr>
          <w:rFonts w:ascii="Times New Roman" w:hAnsi="Times New Roman" w:cs="Times New Roman"/>
          <w:sz w:val="24"/>
          <w:szCs w:val="24"/>
        </w:rPr>
        <w:lastRenderedPageBreak/>
        <w:t xml:space="preserve">there is an immediate matching of sales to purchases or purchases to sales related to these </w:t>
      </w:r>
      <w:r w:rsidR="000C0E4E">
        <w:rPr>
          <w:rFonts w:ascii="Times New Roman" w:hAnsi="Times New Roman" w:cs="Times New Roman"/>
          <w:sz w:val="24"/>
          <w:szCs w:val="24"/>
        </w:rPr>
        <w:t xml:space="preserve">arbitrage </w:t>
      </w:r>
      <w:r w:rsidR="00584F68" w:rsidRPr="00BE7140">
        <w:rPr>
          <w:rFonts w:ascii="Times New Roman" w:hAnsi="Times New Roman" w:cs="Times New Roman"/>
          <w:sz w:val="24"/>
          <w:szCs w:val="24"/>
        </w:rPr>
        <w:t>transactions.</w:t>
      </w:r>
      <w:r w:rsidR="00064E3A">
        <w:rPr>
          <w:rStyle w:val="FootnoteReference"/>
          <w:rFonts w:cs="Times New Roman"/>
          <w:sz w:val="24"/>
          <w:szCs w:val="24"/>
        </w:rPr>
        <w:footnoteReference w:id="47"/>
      </w:r>
      <w:r w:rsidR="00584F68" w:rsidRPr="00BE7140">
        <w:rPr>
          <w:rFonts w:ascii="Times New Roman" w:hAnsi="Times New Roman" w:cs="Times New Roman"/>
          <w:sz w:val="24"/>
          <w:szCs w:val="24"/>
        </w:rPr>
        <w:t xml:space="preserve">  </w:t>
      </w:r>
    </w:p>
    <w:p w:rsidR="00584F68" w:rsidRPr="007F1AC1" w:rsidRDefault="00BE7140" w:rsidP="00BE714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584F68" w:rsidRPr="00BE7140">
        <w:rPr>
          <w:rFonts w:ascii="Times New Roman" w:hAnsi="Times New Roman" w:cs="Times New Roman"/>
          <w:sz w:val="24"/>
          <w:szCs w:val="24"/>
        </w:rPr>
        <w:t>By contrast, trading transactions may be risky, speculative transactions based on PacifiCorp’s present and future energy positions, and these transactions may not be related to a delivery point arbitrage at any particular time.  If PacifiCorp wants to enter into these trading transactions, the Company should remain responsible for both the costs and benefits.</w:t>
      </w:r>
      <w:r w:rsidR="00584F68" w:rsidRPr="00584F68">
        <w:rPr>
          <w:vertAlign w:val="superscript"/>
        </w:rPr>
        <w:footnoteReference w:id="48"/>
      </w:r>
      <w:r w:rsidR="00584F68" w:rsidRPr="00BE7140">
        <w:rPr>
          <w:rFonts w:ascii="Times New Roman" w:hAnsi="Times New Roman" w:cs="Times New Roman"/>
          <w:sz w:val="24"/>
          <w:szCs w:val="24"/>
        </w:rPr>
        <w:t xml:space="preserve">  </w:t>
      </w:r>
      <w:r w:rsidR="00584F68" w:rsidRPr="007F1AC1">
        <w:rPr>
          <w:rFonts w:ascii="Times New Roman" w:hAnsi="Times New Roman" w:cs="Times New Roman"/>
          <w:sz w:val="24"/>
          <w:szCs w:val="24"/>
        </w:rPr>
        <w:t xml:space="preserve">In </w:t>
      </w:r>
      <w:r w:rsidR="000C0E4E">
        <w:rPr>
          <w:rFonts w:ascii="Times New Roman" w:hAnsi="Times New Roman" w:cs="Times New Roman"/>
          <w:sz w:val="24"/>
          <w:szCs w:val="24"/>
        </w:rPr>
        <w:t>sum</w:t>
      </w:r>
      <w:r w:rsidR="00584F68" w:rsidRPr="007F1AC1">
        <w:rPr>
          <w:rFonts w:ascii="Times New Roman" w:hAnsi="Times New Roman" w:cs="Times New Roman"/>
          <w:sz w:val="24"/>
          <w:szCs w:val="24"/>
        </w:rPr>
        <w:t xml:space="preserve">, there is </w:t>
      </w:r>
      <w:r w:rsidR="000C0E4E">
        <w:rPr>
          <w:rFonts w:ascii="Times New Roman" w:hAnsi="Times New Roman" w:cs="Times New Roman"/>
          <w:sz w:val="24"/>
          <w:szCs w:val="24"/>
        </w:rPr>
        <w:t xml:space="preserve">good </w:t>
      </w:r>
      <w:r w:rsidR="00584F68" w:rsidRPr="007F1AC1">
        <w:rPr>
          <w:rFonts w:ascii="Times New Roman" w:hAnsi="Times New Roman" w:cs="Times New Roman"/>
          <w:sz w:val="24"/>
          <w:szCs w:val="24"/>
        </w:rPr>
        <w:t>reason to include arbitrage transactions, but not trading transactions.</w:t>
      </w:r>
    </w:p>
    <w:p w:rsidR="00584F68" w:rsidRPr="00BE7140" w:rsidRDefault="00BE7140" w:rsidP="00BE7140">
      <w:pPr>
        <w:pStyle w:val="ListParagraph"/>
        <w:numPr>
          <w:ilvl w:val="0"/>
          <w:numId w:val="1"/>
        </w:numPr>
        <w:spacing w:line="480" w:lineRule="auto"/>
        <w:rPr>
          <w:rFonts w:ascii="Times New Roman" w:hAnsi="Times New Roman" w:cs="Times New Roman"/>
          <w:sz w:val="24"/>
          <w:szCs w:val="24"/>
        </w:rPr>
      </w:pPr>
      <w:r w:rsidRPr="007F1AC1">
        <w:rPr>
          <w:rFonts w:ascii="Times New Roman" w:hAnsi="Times New Roman" w:cs="Times New Roman"/>
          <w:sz w:val="24"/>
          <w:szCs w:val="24"/>
        </w:rPr>
        <w:tab/>
      </w:r>
      <w:r w:rsidR="00584F68" w:rsidRPr="007F1AC1">
        <w:rPr>
          <w:rFonts w:ascii="Times New Roman" w:hAnsi="Times New Roman" w:cs="Times New Roman"/>
          <w:sz w:val="24"/>
          <w:szCs w:val="24"/>
        </w:rPr>
        <w:t>As to the appropriate level of arbitrage transactions, PacifiCorp opposes a four-year average.  However, the Company fails to offer the Commission an alternative calculation, or any rationale for what it thinks are “low sales numbers for the most recent year</w:t>
      </w:r>
      <w:r w:rsidR="00584F68" w:rsidRPr="00BE7140">
        <w:rPr>
          <w:rFonts w:ascii="Times New Roman" w:hAnsi="Times New Roman" w:cs="Times New Roman"/>
          <w:sz w:val="24"/>
          <w:szCs w:val="24"/>
        </w:rPr>
        <w:t>”</w:t>
      </w:r>
      <w:r w:rsidR="00584F68" w:rsidRPr="007F1AC1">
        <w:rPr>
          <w:rFonts w:ascii="Times New Roman" w:hAnsi="Times New Roman" w:cs="Times New Roman"/>
          <w:sz w:val="24"/>
          <w:szCs w:val="24"/>
        </w:rPr>
        <w:t>.</w:t>
      </w:r>
      <w:r w:rsidR="00383346" w:rsidRPr="00383346">
        <w:rPr>
          <w:rFonts w:ascii="Times New Roman" w:hAnsi="Times New Roman" w:cs="Times New Roman"/>
          <w:sz w:val="24"/>
          <w:szCs w:val="24"/>
          <w:vertAlign w:val="superscript"/>
        </w:rPr>
        <w:footnoteReference w:id="49"/>
      </w:r>
      <w:r w:rsidR="00584F68" w:rsidRPr="007F1AC1">
        <w:rPr>
          <w:rFonts w:ascii="Times New Roman" w:hAnsi="Times New Roman" w:cs="Times New Roman"/>
          <w:sz w:val="24"/>
          <w:szCs w:val="24"/>
        </w:rPr>
        <w:t xml:space="preserve">  Instead, the Company simply asks the Commission to “reconsider its adoption of Staff’s and ICNU’s pro</w:t>
      </w:r>
      <w:r w:rsidR="00584F68" w:rsidRPr="00BE7140">
        <w:rPr>
          <w:rFonts w:ascii="Times New Roman" w:hAnsi="Times New Roman" w:cs="Times New Roman"/>
          <w:sz w:val="24"/>
          <w:szCs w:val="24"/>
        </w:rPr>
        <w:t>posal on this issue.”</w:t>
      </w:r>
      <w:r w:rsidR="00584F68" w:rsidRPr="00584F68">
        <w:rPr>
          <w:vertAlign w:val="superscript"/>
        </w:rPr>
        <w:footnoteReference w:id="50"/>
      </w:r>
      <w:r w:rsidR="00584F68" w:rsidRPr="00BE7140">
        <w:rPr>
          <w:rFonts w:ascii="Times New Roman" w:hAnsi="Times New Roman" w:cs="Times New Roman"/>
          <w:sz w:val="24"/>
          <w:szCs w:val="24"/>
        </w:rPr>
        <w:t xml:space="preserve">  </w:t>
      </w:r>
    </w:p>
    <w:p w:rsidR="0078626C" w:rsidRPr="00F36141" w:rsidRDefault="00BE7140" w:rsidP="00F36141">
      <w:pPr>
        <w:pStyle w:val="ListParagraph"/>
        <w:numPr>
          <w:ilvl w:val="0"/>
          <w:numId w:val="1"/>
        </w:numPr>
        <w:spacing w:after="0" w:line="480" w:lineRule="auto"/>
        <w:rPr>
          <w:rFonts w:ascii="Times New Roman" w:hAnsi="Times New Roman" w:cs="Times New Roman"/>
          <w:b/>
          <w:sz w:val="24"/>
          <w:szCs w:val="24"/>
        </w:rPr>
      </w:pPr>
      <w:r w:rsidRPr="00F36141">
        <w:rPr>
          <w:rFonts w:ascii="Times New Roman" w:hAnsi="Times New Roman" w:cs="Times New Roman"/>
          <w:sz w:val="24"/>
          <w:szCs w:val="24"/>
        </w:rPr>
        <w:tab/>
      </w:r>
      <w:r w:rsidR="00584F68" w:rsidRPr="00F36141">
        <w:rPr>
          <w:rFonts w:ascii="Times New Roman" w:hAnsi="Times New Roman" w:cs="Times New Roman"/>
          <w:sz w:val="24"/>
          <w:szCs w:val="24"/>
        </w:rPr>
        <w:t>The Commission deserves better.  PacifiCorp had every opportunity to support its recommendation with an actual calculation so the Commission and the other parties could consider that alternative.  Because PacifiCorp offers no alternative calculation, Staff cannot respond further, other than to recommend the Commission reject PacifiCorp’s Petition on this adjustment as simply inadequate.</w:t>
      </w:r>
    </w:p>
    <w:p w:rsidR="00584F68" w:rsidRPr="00584F68" w:rsidRDefault="00584F68" w:rsidP="00880682">
      <w:pPr>
        <w:keepNext/>
        <w:spacing w:after="0" w:line="480" w:lineRule="auto"/>
        <w:ind w:firstLine="720"/>
        <w:contextualSpacing/>
        <w:rPr>
          <w:rFonts w:ascii="Times New Roman" w:hAnsi="Times New Roman" w:cs="Times New Roman"/>
          <w:b/>
          <w:sz w:val="24"/>
          <w:szCs w:val="24"/>
        </w:rPr>
      </w:pPr>
      <w:r w:rsidRPr="00584F68">
        <w:rPr>
          <w:rFonts w:ascii="Times New Roman" w:hAnsi="Times New Roman" w:cs="Times New Roman"/>
          <w:b/>
          <w:sz w:val="24"/>
          <w:szCs w:val="24"/>
        </w:rPr>
        <w:lastRenderedPageBreak/>
        <w:t>3.</w:t>
      </w:r>
      <w:r w:rsidRPr="00584F68">
        <w:rPr>
          <w:rFonts w:ascii="Times New Roman" w:hAnsi="Times New Roman" w:cs="Times New Roman"/>
          <w:b/>
          <w:sz w:val="24"/>
          <w:szCs w:val="24"/>
        </w:rPr>
        <w:tab/>
        <w:t>OATT-related Wind Integration Costs</w:t>
      </w:r>
    </w:p>
    <w:p w:rsidR="00584F68" w:rsidRPr="002F498A" w:rsidRDefault="002F498A" w:rsidP="002F498A">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84F68" w:rsidRPr="002F498A">
        <w:rPr>
          <w:rFonts w:ascii="Times New Roman" w:hAnsi="Times New Roman" w:cs="Times New Roman"/>
          <w:sz w:val="24"/>
          <w:szCs w:val="24"/>
        </w:rPr>
        <w:t>PacifiCorp effectively ignores the Commission’s finding that the Company has not proven intra-hour wind integration costs are known and measurable,</w:t>
      </w:r>
      <w:r w:rsidR="00584F68" w:rsidRPr="00584F68">
        <w:rPr>
          <w:vertAlign w:val="superscript"/>
        </w:rPr>
        <w:footnoteReference w:id="51"/>
      </w:r>
      <w:r w:rsidR="00584F68" w:rsidRPr="002F498A">
        <w:rPr>
          <w:rFonts w:ascii="Times New Roman" w:hAnsi="Times New Roman" w:cs="Times New Roman"/>
          <w:sz w:val="24"/>
          <w:szCs w:val="24"/>
        </w:rPr>
        <w:t xml:space="preserve"> and insists the Commission has violated the Constitution by failing to award the Company these costs, as they relate to the Company’s wholesale customers who are wind generators (i.e., non-owned wind generation).</w:t>
      </w:r>
      <w:r w:rsidR="00584F68" w:rsidRPr="00584F68">
        <w:rPr>
          <w:vertAlign w:val="superscript"/>
        </w:rPr>
        <w:footnoteReference w:id="52"/>
      </w:r>
      <w:r w:rsidR="00584F68" w:rsidRPr="002F498A">
        <w:rPr>
          <w:rFonts w:ascii="Times New Roman" w:hAnsi="Times New Roman" w:cs="Times New Roman"/>
          <w:sz w:val="24"/>
          <w:szCs w:val="24"/>
        </w:rPr>
        <w:t xml:space="preserve">  For the reasons that follow, PacifiCorp is wrong on both counts.  </w:t>
      </w:r>
    </w:p>
    <w:p w:rsidR="00584F68" w:rsidRDefault="00584F68" w:rsidP="004C3BD4">
      <w:pPr>
        <w:spacing w:line="240" w:lineRule="auto"/>
        <w:ind w:left="2160" w:hanging="720"/>
        <w:contextualSpacing/>
        <w:rPr>
          <w:rFonts w:ascii="Times New Roman" w:hAnsi="Times New Roman" w:cs="Times New Roman"/>
          <w:b/>
          <w:sz w:val="24"/>
          <w:szCs w:val="24"/>
        </w:rPr>
      </w:pPr>
      <w:r w:rsidRPr="00584F68">
        <w:rPr>
          <w:rFonts w:ascii="Times New Roman" w:hAnsi="Times New Roman" w:cs="Times New Roman"/>
          <w:b/>
          <w:sz w:val="24"/>
          <w:szCs w:val="24"/>
        </w:rPr>
        <w:t>a.</w:t>
      </w:r>
      <w:r w:rsidRPr="00584F68">
        <w:rPr>
          <w:rFonts w:ascii="Times New Roman" w:hAnsi="Times New Roman" w:cs="Times New Roman"/>
          <w:b/>
          <w:sz w:val="24"/>
          <w:szCs w:val="24"/>
        </w:rPr>
        <w:tab/>
        <w:t>The Wind Integration Costs at Issue are Not Known and Measureable</w:t>
      </w:r>
    </w:p>
    <w:p w:rsidR="004C3BD4" w:rsidRPr="00584F68" w:rsidRDefault="004C3BD4" w:rsidP="00DF1E7D">
      <w:pPr>
        <w:spacing w:after="0" w:line="240" w:lineRule="auto"/>
        <w:contextualSpacing/>
        <w:rPr>
          <w:rFonts w:ascii="Times New Roman" w:hAnsi="Times New Roman" w:cs="Times New Roman"/>
          <w:b/>
          <w:sz w:val="24"/>
          <w:szCs w:val="24"/>
        </w:rPr>
      </w:pPr>
    </w:p>
    <w:p w:rsidR="00584F68" w:rsidRPr="00DF1E7D" w:rsidRDefault="00DF1E7D" w:rsidP="00DF1E7D">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84F68" w:rsidRPr="00DF1E7D">
        <w:rPr>
          <w:rFonts w:ascii="Times New Roman" w:hAnsi="Times New Roman" w:cs="Times New Roman"/>
          <w:sz w:val="24"/>
          <w:szCs w:val="24"/>
        </w:rPr>
        <w:t xml:space="preserve">PacifiCorp does not contest the Commission’s finding that the Company has not demonstrated these costs are known and measureable.  </w:t>
      </w:r>
      <w:r w:rsidR="003C126C">
        <w:rPr>
          <w:rFonts w:ascii="Times New Roman" w:hAnsi="Times New Roman" w:cs="Times New Roman"/>
          <w:sz w:val="24"/>
          <w:szCs w:val="24"/>
        </w:rPr>
        <w:t xml:space="preserve">Instead, the Company </w:t>
      </w:r>
      <w:r w:rsidR="00144F90">
        <w:rPr>
          <w:rFonts w:ascii="Times New Roman" w:hAnsi="Times New Roman" w:cs="Times New Roman"/>
          <w:sz w:val="24"/>
          <w:szCs w:val="24"/>
        </w:rPr>
        <w:t>asserts</w:t>
      </w:r>
      <w:r w:rsidR="003C126C">
        <w:rPr>
          <w:rFonts w:ascii="Times New Roman" w:hAnsi="Times New Roman" w:cs="Times New Roman"/>
          <w:sz w:val="24"/>
          <w:szCs w:val="24"/>
        </w:rPr>
        <w:t xml:space="preserve"> the Commission did not reject the costs on th</w:t>
      </w:r>
      <w:r w:rsidR="00144F90">
        <w:rPr>
          <w:rFonts w:ascii="Times New Roman" w:hAnsi="Times New Roman" w:cs="Times New Roman"/>
          <w:sz w:val="24"/>
          <w:szCs w:val="24"/>
        </w:rPr>
        <w:t>at</w:t>
      </w:r>
      <w:r w:rsidR="003C126C">
        <w:rPr>
          <w:rFonts w:ascii="Times New Roman" w:hAnsi="Times New Roman" w:cs="Times New Roman"/>
          <w:sz w:val="24"/>
          <w:szCs w:val="24"/>
        </w:rPr>
        <w:t xml:space="preserve"> ground.</w:t>
      </w:r>
      <w:r w:rsidR="008B0EAA">
        <w:rPr>
          <w:rStyle w:val="FootnoteReference"/>
          <w:rFonts w:cs="Times New Roman"/>
          <w:szCs w:val="24"/>
        </w:rPr>
        <w:footnoteReference w:id="53"/>
      </w:r>
      <w:r w:rsidR="003C126C">
        <w:rPr>
          <w:rFonts w:ascii="Times New Roman" w:hAnsi="Times New Roman" w:cs="Times New Roman"/>
          <w:sz w:val="24"/>
          <w:szCs w:val="24"/>
        </w:rPr>
        <w:t xml:space="preserve">  </w:t>
      </w:r>
      <w:r w:rsidR="007F1AC1">
        <w:rPr>
          <w:rFonts w:ascii="Times New Roman" w:hAnsi="Times New Roman" w:cs="Times New Roman"/>
          <w:sz w:val="24"/>
          <w:szCs w:val="24"/>
        </w:rPr>
        <w:t xml:space="preserve">However, </w:t>
      </w:r>
      <w:r w:rsidR="003C126C">
        <w:rPr>
          <w:rFonts w:ascii="Times New Roman" w:hAnsi="Times New Roman" w:cs="Times New Roman"/>
          <w:sz w:val="24"/>
          <w:szCs w:val="24"/>
        </w:rPr>
        <w:t xml:space="preserve">Paragraph </w:t>
      </w:r>
      <w:r w:rsidR="00144F90">
        <w:rPr>
          <w:rFonts w:ascii="Times New Roman" w:hAnsi="Times New Roman" w:cs="Times New Roman"/>
          <w:sz w:val="24"/>
          <w:szCs w:val="24"/>
        </w:rPr>
        <w:t>128 of the Order plainly refutes th</w:t>
      </w:r>
      <w:r w:rsidR="00A3428E">
        <w:rPr>
          <w:rFonts w:ascii="Times New Roman" w:hAnsi="Times New Roman" w:cs="Times New Roman"/>
          <w:sz w:val="24"/>
          <w:szCs w:val="24"/>
        </w:rPr>
        <w:t xml:space="preserve">e Company’s </w:t>
      </w:r>
      <w:r w:rsidR="00144F90">
        <w:rPr>
          <w:rFonts w:ascii="Times New Roman" w:hAnsi="Times New Roman" w:cs="Times New Roman"/>
          <w:sz w:val="24"/>
          <w:szCs w:val="24"/>
        </w:rPr>
        <w:t>assertion, and t</w:t>
      </w:r>
      <w:r w:rsidR="00584F68" w:rsidRPr="00DF1E7D">
        <w:rPr>
          <w:rFonts w:ascii="Times New Roman" w:hAnsi="Times New Roman" w:cs="Times New Roman"/>
          <w:sz w:val="24"/>
          <w:szCs w:val="24"/>
        </w:rPr>
        <w:t xml:space="preserve">he record </w:t>
      </w:r>
      <w:r w:rsidR="00144F90">
        <w:rPr>
          <w:rFonts w:ascii="Times New Roman" w:hAnsi="Times New Roman" w:cs="Times New Roman"/>
          <w:sz w:val="24"/>
          <w:szCs w:val="24"/>
        </w:rPr>
        <w:t>amply supports the Order</w:t>
      </w:r>
      <w:r w:rsidR="007F1AC1">
        <w:rPr>
          <w:rFonts w:ascii="Times New Roman" w:hAnsi="Times New Roman" w:cs="Times New Roman"/>
          <w:sz w:val="24"/>
          <w:szCs w:val="24"/>
        </w:rPr>
        <w:t xml:space="preserve"> in that regard</w:t>
      </w:r>
      <w:r w:rsidR="00144F90">
        <w:rPr>
          <w:rFonts w:ascii="Times New Roman" w:hAnsi="Times New Roman" w:cs="Times New Roman"/>
          <w:sz w:val="24"/>
          <w:szCs w:val="24"/>
        </w:rPr>
        <w:t xml:space="preserve">; </w:t>
      </w:r>
      <w:r w:rsidR="00584F68" w:rsidRPr="00DF1E7D">
        <w:rPr>
          <w:rFonts w:ascii="Times New Roman" w:hAnsi="Times New Roman" w:cs="Times New Roman"/>
          <w:sz w:val="24"/>
          <w:szCs w:val="24"/>
        </w:rPr>
        <w:t>the</w:t>
      </w:r>
      <w:r w:rsidR="00144F90">
        <w:rPr>
          <w:rFonts w:ascii="Times New Roman" w:hAnsi="Times New Roman" w:cs="Times New Roman"/>
          <w:sz w:val="24"/>
          <w:szCs w:val="24"/>
        </w:rPr>
        <w:t xml:space="preserve"> Company’s portrayal of these </w:t>
      </w:r>
      <w:r w:rsidR="00584F68" w:rsidRPr="00DF1E7D">
        <w:rPr>
          <w:rFonts w:ascii="Times New Roman" w:hAnsi="Times New Roman" w:cs="Times New Roman"/>
          <w:sz w:val="24"/>
          <w:szCs w:val="24"/>
        </w:rPr>
        <w:t xml:space="preserve">costs </w:t>
      </w:r>
      <w:r w:rsidR="00144F90">
        <w:rPr>
          <w:rFonts w:ascii="Times New Roman" w:hAnsi="Times New Roman" w:cs="Times New Roman"/>
          <w:sz w:val="24"/>
          <w:szCs w:val="24"/>
        </w:rPr>
        <w:t>was</w:t>
      </w:r>
      <w:r w:rsidR="00584F68" w:rsidRPr="00DF1E7D">
        <w:rPr>
          <w:rFonts w:ascii="Times New Roman" w:hAnsi="Times New Roman" w:cs="Times New Roman"/>
          <w:sz w:val="24"/>
          <w:szCs w:val="24"/>
        </w:rPr>
        <w:t xml:space="preserve"> a moving target, with little opportunity for the parties to review them, thus failing the known and measurable standard.</w:t>
      </w:r>
      <w:r w:rsidR="00584F68" w:rsidRPr="00584F68">
        <w:rPr>
          <w:vertAlign w:val="superscript"/>
        </w:rPr>
        <w:footnoteReference w:id="54"/>
      </w:r>
      <w:r w:rsidR="00584F68" w:rsidRPr="00DF1E7D">
        <w:rPr>
          <w:rFonts w:ascii="Times New Roman" w:hAnsi="Times New Roman" w:cs="Times New Roman"/>
          <w:sz w:val="24"/>
          <w:szCs w:val="24"/>
        </w:rPr>
        <w:t xml:space="preserve">  This remains an independent basis for the Commission to reject these costs.  </w:t>
      </w:r>
    </w:p>
    <w:p w:rsidR="00584F68" w:rsidRPr="00584F68" w:rsidRDefault="00584F68" w:rsidP="00DF1E7D">
      <w:pPr>
        <w:keepNext/>
        <w:spacing w:line="240" w:lineRule="auto"/>
        <w:ind w:left="2160" w:hanging="720"/>
        <w:contextualSpacing/>
        <w:rPr>
          <w:rFonts w:ascii="Times New Roman" w:hAnsi="Times New Roman" w:cs="Times New Roman"/>
          <w:b/>
          <w:sz w:val="24"/>
          <w:szCs w:val="24"/>
        </w:rPr>
      </w:pPr>
      <w:r w:rsidRPr="00584F68">
        <w:rPr>
          <w:rFonts w:ascii="Times New Roman" w:hAnsi="Times New Roman" w:cs="Times New Roman"/>
          <w:b/>
          <w:sz w:val="24"/>
          <w:szCs w:val="24"/>
        </w:rPr>
        <w:t>b.</w:t>
      </w:r>
      <w:r w:rsidRPr="00584F68">
        <w:rPr>
          <w:rFonts w:ascii="Times New Roman" w:hAnsi="Times New Roman" w:cs="Times New Roman"/>
          <w:b/>
          <w:sz w:val="24"/>
          <w:szCs w:val="24"/>
        </w:rPr>
        <w:tab/>
        <w:t>The Commission’s Order Does Not Violate the Constitution Because PacifiCorp Does Not Use Intra-Hour Wind Integration Service to Serve Washington Retail Customers</w:t>
      </w:r>
    </w:p>
    <w:p w:rsidR="00584F68" w:rsidRPr="00584F68" w:rsidRDefault="00584F68" w:rsidP="0055499B">
      <w:pPr>
        <w:spacing w:after="0" w:line="240" w:lineRule="auto"/>
        <w:contextualSpacing/>
        <w:rPr>
          <w:rFonts w:ascii="Times New Roman" w:hAnsi="Times New Roman" w:cs="Times New Roman"/>
          <w:sz w:val="24"/>
          <w:szCs w:val="24"/>
        </w:rPr>
      </w:pPr>
    </w:p>
    <w:p w:rsidR="00584F68" w:rsidRPr="00DF1E7D" w:rsidRDefault="00DF1E7D" w:rsidP="00DF1E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584F68" w:rsidRPr="00DF1E7D">
        <w:rPr>
          <w:rFonts w:ascii="Times New Roman" w:hAnsi="Times New Roman" w:cs="Times New Roman"/>
          <w:sz w:val="24"/>
          <w:szCs w:val="24"/>
        </w:rPr>
        <w:t>If the Commission decides to reach PacifiCorp’s constitutional issue, focus</w:t>
      </w:r>
      <w:r w:rsidR="00144F90">
        <w:rPr>
          <w:rFonts w:ascii="Times New Roman" w:hAnsi="Times New Roman" w:cs="Times New Roman"/>
          <w:sz w:val="24"/>
          <w:szCs w:val="24"/>
        </w:rPr>
        <w:t>ing</w:t>
      </w:r>
      <w:r w:rsidR="00584F68" w:rsidRPr="00DF1E7D">
        <w:rPr>
          <w:rFonts w:ascii="Times New Roman" w:hAnsi="Times New Roman" w:cs="Times New Roman"/>
          <w:sz w:val="24"/>
          <w:szCs w:val="24"/>
        </w:rPr>
        <w:t xml:space="preserve"> on the nature of the costs at issue will lead the Commission down the correct legal path for resolving this issue.  </w:t>
      </w:r>
    </w:p>
    <w:p w:rsidR="00584F68" w:rsidRPr="00DF1E7D" w:rsidRDefault="00DF1E7D" w:rsidP="00DF1E7D">
      <w:pPr>
        <w:pStyle w:val="ListParagraph"/>
        <w:numPr>
          <w:ilvl w:val="0"/>
          <w:numId w:val="1"/>
        </w:numPr>
        <w:spacing w:line="480" w:lineRule="auto"/>
        <w:rPr>
          <w:rFonts w:ascii="Times New Roman" w:hAnsi="Times New Roman" w:cs="Times New Roman"/>
          <w:i/>
          <w:sz w:val="24"/>
          <w:szCs w:val="24"/>
        </w:rPr>
      </w:pPr>
      <w:r>
        <w:rPr>
          <w:rFonts w:ascii="Times New Roman" w:hAnsi="Times New Roman" w:cs="Times New Roman"/>
          <w:sz w:val="24"/>
          <w:szCs w:val="24"/>
        </w:rPr>
        <w:tab/>
      </w:r>
      <w:r w:rsidR="00584F68" w:rsidRPr="00DF1E7D">
        <w:rPr>
          <w:rFonts w:ascii="Times New Roman" w:hAnsi="Times New Roman" w:cs="Times New Roman"/>
          <w:sz w:val="24"/>
          <w:szCs w:val="24"/>
        </w:rPr>
        <w:t xml:space="preserve">The wind integration costs at issue here are costs PacifiCorp incurs to serve third-party wind generators in transporting their energy to the customers of those generators’ own </w:t>
      </w:r>
      <w:r w:rsidR="00584F68" w:rsidRPr="00DF1E7D">
        <w:rPr>
          <w:rFonts w:ascii="Times New Roman" w:hAnsi="Times New Roman" w:cs="Times New Roman"/>
          <w:sz w:val="24"/>
          <w:szCs w:val="24"/>
        </w:rPr>
        <w:lastRenderedPageBreak/>
        <w:t xml:space="preserve">choosing.  While PacifiCorp’s FERC-approved OATT tariff governs PacifiCorp’s provision of those services, the key fact is that PacifiCorp does not use the services of any of these wind generators to provide intrastate services, and that instantly distinguishes this case from </w:t>
      </w:r>
      <w:r w:rsidR="00584F68" w:rsidRPr="00DF1E7D">
        <w:rPr>
          <w:rFonts w:ascii="Times New Roman" w:hAnsi="Times New Roman" w:cs="Times New Roman"/>
          <w:i/>
          <w:sz w:val="24"/>
          <w:szCs w:val="24"/>
        </w:rPr>
        <w:t>Nantahala</w:t>
      </w:r>
      <w:r w:rsidR="00584F68" w:rsidRPr="00584F68">
        <w:rPr>
          <w:i/>
          <w:vertAlign w:val="superscript"/>
        </w:rPr>
        <w:footnoteReference w:id="55"/>
      </w:r>
      <w:r w:rsidR="00584F68" w:rsidRPr="00DF1E7D">
        <w:rPr>
          <w:rFonts w:ascii="Times New Roman" w:hAnsi="Times New Roman" w:cs="Times New Roman"/>
          <w:i/>
          <w:sz w:val="24"/>
          <w:szCs w:val="24"/>
        </w:rPr>
        <w:t xml:space="preserve"> </w:t>
      </w:r>
      <w:r w:rsidR="00584F68" w:rsidRPr="00DF1E7D">
        <w:rPr>
          <w:rFonts w:ascii="Times New Roman" w:hAnsi="Times New Roman" w:cs="Times New Roman"/>
          <w:sz w:val="24"/>
          <w:szCs w:val="24"/>
        </w:rPr>
        <w:t xml:space="preserve">and </w:t>
      </w:r>
      <w:r w:rsidR="00584F68" w:rsidRPr="00DF1E7D">
        <w:rPr>
          <w:rFonts w:ascii="Times New Roman" w:hAnsi="Times New Roman" w:cs="Times New Roman"/>
          <w:i/>
          <w:sz w:val="24"/>
          <w:szCs w:val="24"/>
        </w:rPr>
        <w:t>Mississippi Power &amp; Light.</w:t>
      </w:r>
      <w:r w:rsidR="00584F68" w:rsidRPr="00584F68">
        <w:rPr>
          <w:i/>
          <w:vertAlign w:val="superscript"/>
        </w:rPr>
        <w:footnoteReference w:id="56"/>
      </w:r>
      <w:r w:rsidR="00584F68" w:rsidRPr="00DF1E7D">
        <w:rPr>
          <w:rFonts w:ascii="Times New Roman" w:hAnsi="Times New Roman" w:cs="Times New Roman"/>
          <w:i/>
          <w:sz w:val="24"/>
          <w:szCs w:val="24"/>
        </w:rPr>
        <w:t xml:space="preserve"> </w:t>
      </w:r>
    </w:p>
    <w:p w:rsidR="00144F90" w:rsidRDefault="00DF1E7D" w:rsidP="00DF1E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b/>
      </w:r>
      <w:r w:rsidR="00584F68" w:rsidRPr="00DF1E7D">
        <w:rPr>
          <w:rFonts w:ascii="Times New Roman" w:hAnsi="Times New Roman" w:cs="Times New Roman"/>
          <w:sz w:val="24"/>
          <w:szCs w:val="24"/>
        </w:rPr>
        <w:t xml:space="preserve">In </w:t>
      </w:r>
      <w:r w:rsidR="00584F68" w:rsidRPr="00DF1E7D">
        <w:rPr>
          <w:rFonts w:ascii="Times New Roman" w:hAnsi="Times New Roman" w:cs="Times New Roman"/>
          <w:i/>
          <w:sz w:val="24"/>
          <w:szCs w:val="24"/>
        </w:rPr>
        <w:t>Nantahala</w:t>
      </w:r>
      <w:r w:rsidR="00584F68" w:rsidRPr="00DF1E7D">
        <w:rPr>
          <w:rFonts w:ascii="Times New Roman" w:hAnsi="Times New Roman" w:cs="Times New Roman"/>
          <w:sz w:val="24"/>
          <w:szCs w:val="24"/>
        </w:rPr>
        <w:t xml:space="preserve">, the utility was using low cost power from TVA to provide service to its intrastate customers.  The Court barred North Carolina from using more low cost power than FERC had allocated to the utility.  In </w:t>
      </w:r>
      <w:r w:rsidR="00584F68" w:rsidRPr="00DF1E7D">
        <w:rPr>
          <w:rFonts w:ascii="Times New Roman" w:hAnsi="Times New Roman" w:cs="Times New Roman"/>
          <w:i/>
          <w:sz w:val="24"/>
          <w:szCs w:val="24"/>
        </w:rPr>
        <w:t>Mississippi Power &amp; Light</w:t>
      </w:r>
      <w:r w:rsidR="00584F68" w:rsidRPr="00DF1E7D">
        <w:rPr>
          <w:rFonts w:ascii="Times New Roman" w:hAnsi="Times New Roman" w:cs="Times New Roman"/>
          <w:sz w:val="24"/>
          <w:szCs w:val="24"/>
        </w:rPr>
        <w:t>, the utility was using power under a contract with Grand Gulf to provide service to its intrastate customers.  The Court barred Mississippi from assuming the utility was obligated to purchase less Grand Gulf power than FERC had ordered the utility to purchase.</w:t>
      </w:r>
      <w:r w:rsidR="00584F68" w:rsidRPr="00584F68">
        <w:rPr>
          <w:vertAlign w:val="superscript"/>
        </w:rPr>
        <w:footnoteReference w:id="57"/>
      </w:r>
      <w:r w:rsidR="00584F68" w:rsidRPr="00DF1E7D">
        <w:rPr>
          <w:rFonts w:ascii="Times New Roman" w:hAnsi="Times New Roman" w:cs="Times New Roman"/>
          <w:sz w:val="24"/>
          <w:szCs w:val="24"/>
        </w:rPr>
        <w:t xml:space="preserve">  </w:t>
      </w:r>
    </w:p>
    <w:p w:rsidR="0078626C" w:rsidRPr="00F36141" w:rsidRDefault="00144F90" w:rsidP="00F36141">
      <w:pPr>
        <w:pStyle w:val="ListParagraph"/>
        <w:numPr>
          <w:ilvl w:val="0"/>
          <w:numId w:val="1"/>
        </w:numPr>
        <w:spacing w:after="0" w:line="480" w:lineRule="auto"/>
        <w:rPr>
          <w:rFonts w:ascii="Times New Roman" w:hAnsi="Times New Roman" w:cs="Times New Roman"/>
          <w:b/>
          <w:sz w:val="24"/>
          <w:szCs w:val="24"/>
        </w:rPr>
      </w:pPr>
      <w:r w:rsidRPr="00F36141">
        <w:rPr>
          <w:rFonts w:ascii="Times New Roman" w:hAnsi="Times New Roman" w:cs="Times New Roman"/>
          <w:sz w:val="24"/>
          <w:szCs w:val="24"/>
        </w:rPr>
        <w:tab/>
      </w:r>
      <w:r w:rsidR="00584F68" w:rsidRPr="00F36141">
        <w:rPr>
          <w:rFonts w:ascii="Times New Roman" w:hAnsi="Times New Roman" w:cs="Times New Roman"/>
          <w:sz w:val="24"/>
          <w:szCs w:val="24"/>
        </w:rPr>
        <w:t>In short, in each case, the Constitution was implicated only because the utility was using a FERC-regulated service or contract t</w:t>
      </w:r>
      <w:r w:rsidR="004C3BD4" w:rsidRPr="00F36141">
        <w:rPr>
          <w:rFonts w:ascii="Times New Roman" w:hAnsi="Times New Roman" w:cs="Times New Roman"/>
          <w:sz w:val="24"/>
          <w:szCs w:val="24"/>
        </w:rPr>
        <w:t xml:space="preserve">o provide intrastate service.  </w:t>
      </w:r>
      <w:r w:rsidR="00584F68" w:rsidRPr="00F36141">
        <w:rPr>
          <w:rFonts w:ascii="Times New Roman" w:hAnsi="Times New Roman" w:cs="Times New Roman"/>
          <w:sz w:val="24"/>
          <w:szCs w:val="24"/>
        </w:rPr>
        <w:t>By contrast, PacifiCorp does not use any of the FERC-regulated services it provides to the third-party wind generators at issue here to provide service to Washington retail customers, and therefore no constitutional issue is presented.</w:t>
      </w:r>
      <w:r w:rsidR="00383346" w:rsidRPr="00383346">
        <w:rPr>
          <w:rFonts w:ascii="Times New Roman" w:hAnsi="Times New Roman" w:cs="Times New Roman"/>
          <w:sz w:val="24"/>
          <w:szCs w:val="24"/>
          <w:vertAlign w:val="superscript"/>
        </w:rPr>
        <w:footnoteReference w:id="58"/>
      </w:r>
      <w:r w:rsidRPr="00F36141">
        <w:rPr>
          <w:rFonts w:ascii="Times New Roman" w:hAnsi="Times New Roman" w:cs="Times New Roman"/>
          <w:sz w:val="24"/>
          <w:szCs w:val="24"/>
        </w:rPr>
        <w:t xml:space="preserve">  </w:t>
      </w:r>
      <w:r w:rsidR="00584F68" w:rsidRPr="00F36141">
        <w:rPr>
          <w:rFonts w:ascii="Times New Roman" w:hAnsi="Times New Roman" w:cs="Times New Roman"/>
          <w:sz w:val="24"/>
          <w:szCs w:val="24"/>
        </w:rPr>
        <w:t>Therefore, the Commission should reject PacifiCorp’s Petition on this issue.</w:t>
      </w:r>
    </w:p>
    <w:p w:rsidR="00584F68" w:rsidRPr="00144F90" w:rsidRDefault="00584F68" w:rsidP="00880682">
      <w:pPr>
        <w:keepNext/>
        <w:spacing w:line="240" w:lineRule="auto"/>
        <w:ind w:left="2160" w:hanging="720"/>
        <w:contextualSpacing/>
        <w:rPr>
          <w:rFonts w:ascii="Times New Roman" w:hAnsi="Times New Roman" w:cs="Times New Roman"/>
          <w:b/>
          <w:sz w:val="24"/>
          <w:szCs w:val="24"/>
        </w:rPr>
      </w:pPr>
      <w:r w:rsidRPr="00144F90">
        <w:rPr>
          <w:rFonts w:ascii="Times New Roman" w:hAnsi="Times New Roman" w:cs="Times New Roman"/>
          <w:b/>
          <w:sz w:val="24"/>
          <w:szCs w:val="24"/>
        </w:rPr>
        <w:lastRenderedPageBreak/>
        <w:t>c.</w:t>
      </w:r>
      <w:r w:rsidRPr="00144F90">
        <w:rPr>
          <w:rFonts w:ascii="Times New Roman" w:hAnsi="Times New Roman" w:cs="Times New Roman"/>
          <w:b/>
          <w:sz w:val="24"/>
          <w:szCs w:val="24"/>
        </w:rPr>
        <w:tab/>
        <w:t>The Company Correctly Adjusts the Impact on NPC of the Commission’s Rejection</w:t>
      </w:r>
      <w:r w:rsidRPr="00584F68">
        <w:rPr>
          <w:rFonts w:ascii="Times New Roman" w:hAnsi="Times New Roman" w:cs="Times New Roman"/>
          <w:b/>
          <w:sz w:val="24"/>
          <w:szCs w:val="24"/>
        </w:rPr>
        <w:t xml:space="preserve"> </w:t>
      </w:r>
      <w:r w:rsidRPr="00144F90">
        <w:rPr>
          <w:rFonts w:ascii="Times New Roman" w:hAnsi="Times New Roman" w:cs="Times New Roman"/>
          <w:b/>
          <w:sz w:val="24"/>
          <w:szCs w:val="24"/>
        </w:rPr>
        <w:t>of Intra-Hour Wind Integration Costs</w:t>
      </w:r>
    </w:p>
    <w:p w:rsidR="00584F68" w:rsidRPr="00144F90" w:rsidRDefault="00584F68" w:rsidP="00880682">
      <w:pPr>
        <w:keepNext/>
        <w:spacing w:after="0" w:line="240" w:lineRule="auto"/>
        <w:contextualSpacing/>
        <w:rPr>
          <w:rFonts w:ascii="Times New Roman" w:hAnsi="Times New Roman" w:cs="Times New Roman"/>
          <w:sz w:val="24"/>
          <w:szCs w:val="24"/>
        </w:rPr>
      </w:pPr>
    </w:p>
    <w:p w:rsidR="00584F68" w:rsidRPr="00DF1E7D" w:rsidRDefault="00DF1E7D" w:rsidP="00DF1E7D">
      <w:pPr>
        <w:pStyle w:val="ListParagraph"/>
        <w:numPr>
          <w:ilvl w:val="0"/>
          <w:numId w:val="1"/>
        </w:numPr>
        <w:spacing w:line="480" w:lineRule="auto"/>
        <w:rPr>
          <w:rFonts w:ascii="Times New Roman" w:hAnsi="Times New Roman" w:cs="Times New Roman"/>
          <w:sz w:val="24"/>
          <w:szCs w:val="24"/>
        </w:rPr>
      </w:pPr>
      <w:r w:rsidRPr="00144F90">
        <w:rPr>
          <w:rFonts w:ascii="Times New Roman" w:hAnsi="Times New Roman" w:cs="Times New Roman"/>
          <w:sz w:val="24"/>
          <w:szCs w:val="24"/>
        </w:rPr>
        <w:tab/>
      </w:r>
      <w:r w:rsidR="00584F68" w:rsidRPr="00144F90">
        <w:rPr>
          <w:rFonts w:ascii="Times New Roman" w:hAnsi="Times New Roman" w:cs="Times New Roman"/>
          <w:sz w:val="24"/>
          <w:szCs w:val="24"/>
        </w:rPr>
        <w:t>PacifiCorp seeks reconsideration on the C</w:t>
      </w:r>
      <w:r w:rsidR="00584F68" w:rsidRPr="00DF1E7D">
        <w:rPr>
          <w:rFonts w:ascii="Times New Roman" w:hAnsi="Times New Roman" w:cs="Times New Roman"/>
          <w:sz w:val="24"/>
          <w:szCs w:val="24"/>
        </w:rPr>
        <w:t>ommission’s calculation of the impact on NPC of removing intra-hour wind integration costs.  PacifiCorp states the adjustment the Commission adopted should have been $472,274, a reduction of $46,418 from the $518,692 adjustment the Commission accepted.</w:t>
      </w:r>
      <w:r w:rsidR="00584F68" w:rsidRPr="00584F68">
        <w:rPr>
          <w:vertAlign w:val="superscript"/>
        </w:rPr>
        <w:footnoteReference w:id="59"/>
      </w:r>
    </w:p>
    <w:p w:rsidR="00584F68" w:rsidRPr="00DF1E7D" w:rsidRDefault="00DF1E7D" w:rsidP="00DF1E7D">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84F68" w:rsidRPr="00DF1E7D">
        <w:rPr>
          <w:rFonts w:ascii="Times New Roman" w:hAnsi="Times New Roman" w:cs="Times New Roman"/>
          <w:sz w:val="24"/>
          <w:szCs w:val="24"/>
        </w:rPr>
        <w:t xml:space="preserve">This small correction to the intra-hour integration cost adjustment in the Order appears appropriate to Staff.  The Staff adjustment the Commission accepted was based on amounts from the Company’s original filing.  Since then, the parties accepted (and the Commission approved) an ICNU adjustment to recalculate the integration costs using a GRID methodology.  A portion of this adjusted amount relates to non-owned, intra-hour wind integration costs.  Therefore, those costs have already been reduced by a small amount via the ICNU adjustment.  </w:t>
      </w:r>
    </w:p>
    <w:p w:rsidR="00D36ADC" w:rsidRDefault="00DF1E7D" w:rsidP="00DF1E7D">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84F68" w:rsidRPr="00DF1E7D">
        <w:rPr>
          <w:rFonts w:ascii="Times New Roman" w:hAnsi="Times New Roman" w:cs="Times New Roman"/>
          <w:sz w:val="24"/>
          <w:szCs w:val="24"/>
        </w:rPr>
        <w:t>The Company’s calculation of the $46,418 uses ratios associated with each project’s energy amounts to estimate the portion of the accepted adjustment that is related to the non-owned, intra-hour wind integration costs.  This approach seems reasonable to Staff, and therefore, Staff recommends the Commission grant reconsideration and reduce the $518,692 adjustment by $46,418, to $472,274, as recommended by PacifiCorp, should the Commission deem this amount material.</w:t>
      </w:r>
      <w:r w:rsidR="004D31DC">
        <w:rPr>
          <w:rFonts w:ascii="Times New Roman" w:hAnsi="Times New Roman" w:cs="Times New Roman"/>
          <w:sz w:val="24"/>
          <w:szCs w:val="24"/>
        </w:rPr>
        <w:t xml:space="preserve">  </w:t>
      </w:r>
    </w:p>
    <w:p w:rsidR="004D31DC" w:rsidRDefault="004D31DC" w:rsidP="004D31DC">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Federal income Tax Issues</w:t>
      </w:r>
    </w:p>
    <w:p w:rsidR="004D31DC" w:rsidRPr="004D31DC" w:rsidRDefault="004D31DC" w:rsidP="004D31DC">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4D31DC">
        <w:rPr>
          <w:rFonts w:ascii="Times New Roman" w:hAnsi="Times New Roman" w:cs="Times New Roman"/>
          <w:sz w:val="24"/>
          <w:szCs w:val="24"/>
        </w:rPr>
        <w:t xml:space="preserve">PacifiCorp seeks Commission reconsideration on federal income tax issues.  “At a minimum”, the Company seeks only a clarification of Commission policy on flow-through versus normalization, although the Company apparently hopes the Commission will also </w:t>
      </w:r>
      <w:r w:rsidRPr="004D31DC">
        <w:rPr>
          <w:rFonts w:ascii="Times New Roman" w:hAnsi="Times New Roman" w:cs="Times New Roman"/>
          <w:sz w:val="24"/>
          <w:szCs w:val="24"/>
        </w:rPr>
        <w:lastRenderedPageBreak/>
        <w:t>modify its Order to: 1) allow the Company to move to full normalization, or 2) mandate a policy of flow-through, with the sole exception being when normalization is required by the Internal Revenue Code (IRC).</w:t>
      </w:r>
      <w:r w:rsidRPr="00E361F8">
        <w:rPr>
          <w:vertAlign w:val="superscript"/>
        </w:rPr>
        <w:footnoteReference w:id="60"/>
      </w:r>
    </w:p>
    <w:p w:rsidR="004D31DC" w:rsidRPr="004D31DC" w:rsidRDefault="004D31DC" w:rsidP="004D31DC">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4D31DC">
        <w:rPr>
          <w:rFonts w:ascii="Times New Roman" w:hAnsi="Times New Roman" w:cs="Times New Roman"/>
          <w:sz w:val="24"/>
          <w:szCs w:val="24"/>
        </w:rPr>
        <w:t>PacifiCorp declares the Order unfairly penalizes the Company and fails to establish a clear and consistent tax policy.</w:t>
      </w:r>
      <w:r>
        <w:rPr>
          <w:rStyle w:val="FootnoteReference"/>
          <w:rFonts w:cs="Times New Roman"/>
          <w:sz w:val="24"/>
          <w:szCs w:val="24"/>
        </w:rPr>
        <w:footnoteReference w:id="61"/>
      </w:r>
      <w:r w:rsidRPr="004D31DC">
        <w:rPr>
          <w:rFonts w:ascii="Times New Roman" w:hAnsi="Times New Roman" w:cs="Times New Roman"/>
          <w:sz w:val="24"/>
          <w:szCs w:val="24"/>
        </w:rPr>
        <w:t xml:space="preserve">  Staff strongly disagrees with these declarations, which are based on misstatements and an unfair and biased reading of the record.  For the reasons that follow, the Commission should reject the Company’s Petition on tax issues.</w:t>
      </w:r>
    </w:p>
    <w:p w:rsidR="004D31DC" w:rsidRDefault="004D31DC" w:rsidP="004D31DC">
      <w:pPr>
        <w:spacing w:after="0" w:line="48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 xml:space="preserve">The </w:t>
      </w:r>
      <w:r w:rsidRPr="00934189">
        <w:rPr>
          <w:rFonts w:ascii="Times New Roman" w:hAnsi="Times New Roman" w:cs="Times New Roman"/>
          <w:b/>
          <w:sz w:val="24"/>
          <w:szCs w:val="24"/>
        </w:rPr>
        <w:t>Company</w:t>
      </w:r>
      <w:r>
        <w:rPr>
          <w:rFonts w:ascii="Times New Roman" w:hAnsi="Times New Roman" w:cs="Times New Roman"/>
          <w:b/>
          <w:sz w:val="24"/>
          <w:szCs w:val="24"/>
        </w:rPr>
        <w:t xml:space="preserve">’s Core </w:t>
      </w:r>
      <w:r w:rsidRPr="00934189">
        <w:rPr>
          <w:rFonts w:ascii="Times New Roman" w:hAnsi="Times New Roman" w:cs="Times New Roman"/>
          <w:b/>
          <w:sz w:val="24"/>
          <w:szCs w:val="24"/>
        </w:rPr>
        <w:t xml:space="preserve">Assertions </w:t>
      </w:r>
      <w:r>
        <w:rPr>
          <w:rFonts w:ascii="Times New Roman" w:hAnsi="Times New Roman" w:cs="Times New Roman"/>
          <w:b/>
          <w:sz w:val="24"/>
          <w:szCs w:val="24"/>
        </w:rPr>
        <w:t>in its Petition Are Incorrect</w:t>
      </w:r>
    </w:p>
    <w:p w:rsidR="004D31DC" w:rsidRDefault="007D5037" w:rsidP="007D503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D31DC">
        <w:rPr>
          <w:rFonts w:ascii="Times New Roman" w:hAnsi="Times New Roman" w:cs="Times New Roman"/>
          <w:sz w:val="24"/>
          <w:szCs w:val="24"/>
        </w:rPr>
        <w:t>Overall, PacifiCorp challenges the Order on tax issues by claiming the Order creates “serious policy issues”, “results in significant new uncertainty”, and fosters an “ad hoc” approach.</w:t>
      </w:r>
      <w:r w:rsidR="004D31DC">
        <w:rPr>
          <w:rStyle w:val="FootnoteReference"/>
          <w:rFonts w:cs="Times New Roman"/>
          <w:sz w:val="24"/>
          <w:szCs w:val="24"/>
        </w:rPr>
        <w:footnoteReference w:id="62"/>
      </w:r>
      <w:r w:rsidR="004D31DC">
        <w:rPr>
          <w:rFonts w:ascii="Times New Roman" w:hAnsi="Times New Roman" w:cs="Times New Roman"/>
          <w:sz w:val="24"/>
          <w:szCs w:val="24"/>
        </w:rPr>
        <w:t xml:space="preserve">  The Company further states that the so-called “change” in the tax treatment of regulatory assets associated with Chehalis and other deferred accounts (from flow-through to normalized) will require the Company to unexpectedly record income tax expense of approximately $5.4 million.</w:t>
      </w:r>
      <w:r w:rsidR="004D31DC">
        <w:rPr>
          <w:rStyle w:val="FootnoteReference"/>
          <w:rFonts w:cs="Times New Roman"/>
          <w:sz w:val="24"/>
          <w:szCs w:val="24"/>
        </w:rPr>
        <w:footnoteReference w:id="63"/>
      </w:r>
      <w:r w:rsidR="004D31DC">
        <w:rPr>
          <w:rFonts w:ascii="Times New Roman" w:hAnsi="Times New Roman" w:cs="Times New Roman"/>
          <w:sz w:val="24"/>
          <w:szCs w:val="24"/>
        </w:rPr>
        <w:t xml:space="preserve">  </w:t>
      </w:r>
    </w:p>
    <w:p w:rsidR="004D31DC" w:rsidRDefault="007D5037" w:rsidP="007D503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D31DC">
        <w:rPr>
          <w:rFonts w:ascii="Times New Roman" w:hAnsi="Times New Roman" w:cs="Times New Roman"/>
          <w:sz w:val="24"/>
          <w:szCs w:val="24"/>
        </w:rPr>
        <w:t xml:space="preserve">These statements simply are not true.  First, the $5.4 million is a rate base reduction, representing a portion of the ratemaking treatment in Staff Adjustment 7.9 to reflect flow-through tax treatment consistent with Commission policy and consistent with PacifiCorp adjustments in prior general rate cases. </w:t>
      </w:r>
      <w:r w:rsidR="00177E3C">
        <w:rPr>
          <w:rFonts w:ascii="Times New Roman" w:hAnsi="Times New Roman" w:cs="Times New Roman"/>
          <w:sz w:val="24"/>
          <w:szCs w:val="24"/>
        </w:rPr>
        <w:t xml:space="preserve"> </w:t>
      </w:r>
      <w:r w:rsidR="004D31DC">
        <w:rPr>
          <w:rFonts w:ascii="Times New Roman" w:hAnsi="Times New Roman" w:cs="Times New Roman"/>
          <w:sz w:val="24"/>
          <w:szCs w:val="24"/>
        </w:rPr>
        <w:t xml:space="preserve">The tax expense </w:t>
      </w:r>
      <w:r w:rsidR="00115C63">
        <w:rPr>
          <w:rFonts w:ascii="Times New Roman" w:hAnsi="Times New Roman" w:cs="Times New Roman"/>
          <w:sz w:val="24"/>
          <w:szCs w:val="24"/>
        </w:rPr>
        <w:t xml:space="preserve">and net operating income </w:t>
      </w:r>
      <w:r w:rsidR="004D31DC">
        <w:rPr>
          <w:rFonts w:ascii="Times New Roman" w:hAnsi="Times New Roman" w:cs="Times New Roman"/>
          <w:sz w:val="24"/>
          <w:szCs w:val="24"/>
        </w:rPr>
        <w:t>portion of the adjustment is correctly reflected in the Order as $0.3 million.</w:t>
      </w:r>
      <w:r w:rsidR="004D31DC">
        <w:rPr>
          <w:rStyle w:val="FootnoteReference"/>
          <w:rFonts w:cs="Times New Roman"/>
          <w:sz w:val="24"/>
          <w:szCs w:val="24"/>
        </w:rPr>
        <w:footnoteReference w:id="64"/>
      </w:r>
      <w:r w:rsidR="004D31DC">
        <w:rPr>
          <w:rFonts w:ascii="Times New Roman" w:hAnsi="Times New Roman" w:cs="Times New Roman"/>
          <w:sz w:val="24"/>
          <w:szCs w:val="24"/>
        </w:rPr>
        <w:t xml:space="preserve">  </w:t>
      </w:r>
    </w:p>
    <w:p w:rsidR="004D31DC" w:rsidRPr="00880682" w:rsidRDefault="00880682" w:rsidP="00880682">
      <w:pPr>
        <w:pStyle w:val="ListParagraph"/>
        <w:keepNext/>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D31DC" w:rsidRPr="00880682">
        <w:rPr>
          <w:rFonts w:ascii="Times New Roman" w:hAnsi="Times New Roman" w:cs="Times New Roman"/>
          <w:sz w:val="24"/>
          <w:szCs w:val="24"/>
        </w:rPr>
        <w:t>Second, the Order reflects a clear and consistent policy for federal income tax</w:t>
      </w:r>
      <w:r w:rsidR="004D31DC">
        <w:rPr>
          <w:rStyle w:val="FootnoteReference"/>
          <w:rFonts w:cs="Times New Roman"/>
          <w:sz w:val="24"/>
          <w:szCs w:val="24"/>
        </w:rPr>
        <w:footnoteReference w:id="65"/>
      </w:r>
      <w:r w:rsidR="004D31DC" w:rsidRPr="00880682">
        <w:rPr>
          <w:rFonts w:ascii="Times New Roman" w:hAnsi="Times New Roman" w:cs="Times New Roman"/>
          <w:sz w:val="24"/>
          <w:szCs w:val="24"/>
        </w:rPr>
        <w:t xml:space="preserve"> </w:t>
      </w:r>
    </w:p>
    <w:p w:rsidR="004D31DC" w:rsidRDefault="004D31DC" w:rsidP="004D31DC">
      <w:pPr>
        <w:pStyle w:val="ListParagraph"/>
        <w:numPr>
          <w:ilvl w:val="0"/>
          <w:numId w:val="15"/>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The general Commission policy calls for flow-through accounting for federal income taxes when permitted by the IRC, except;</w:t>
      </w:r>
      <w:r>
        <w:rPr>
          <w:rStyle w:val="FootnoteReference"/>
          <w:rFonts w:cs="Times New Roman"/>
          <w:sz w:val="24"/>
          <w:szCs w:val="24"/>
        </w:rPr>
        <w:footnoteReference w:id="66"/>
      </w:r>
    </w:p>
    <w:p w:rsidR="004D31DC" w:rsidRDefault="004D31DC" w:rsidP="004D31DC">
      <w:pPr>
        <w:pStyle w:val="ListParagraph"/>
        <w:spacing w:after="0" w:line="240" w:lineRule="auto"/>
        <w:ind w:left="1440"/>
        <w:rPr>
          <w:rFonts w:ascii="Times New Roman" w:hAnsi="Times New Roman" w:cs="Times New Roman"/>
          <w:sz w:val="24"/>
          <w:szCs w:val="24"/>
        </w:rPr>
      </w:pPr>
    </w:p>
    <w:p w:rsidR="004D31DC" w:rsidRDefault="004D31DC" w:rsidP="004D31DC">
      <w:pPr>
        <w:pStyle w:val="ListParagraph"/>
        <w:numPr>
          <w:ilvl w:val="0"/>
          <w:numId w:val="15"/>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Commission approval of deferred costs (which includes tax), is consistent with normalization.  In particular, normalization accounting for regulatory assets deferred by a utility pursuant to RCW 80.80.060(6) and WAC 480-100-435 is consistent with normalization; and</w:t>
      </w:r>
      <w:r>
        <w:rPr>
          <w:rStyle w:val="FootnoteReference"/>
          <w:rFonts w:cs="Times New Roman"/>
          <w:sz w:val="24"/>
          <w:szCs w:val="24"/>
        </w:rPr>
        <w:footnoteReference w:id="67"/>
      </w:r>
    </w:p>
    <w:p w:rsidR="004D31DC" w:rsidRDefault="004D31DC" w:rsidP="004D31DC">
      <w:pPr>
        <w:pStyle w:val="ListParagraph"/>
        <w:rPr>
          <w:rFonts w:ascii="Times New Roman" w:hAnsi="Times New Roman" w:cs="Times New Roman"/>
          <w:sz w:val="24"/>
          <w:szCs w:val="24"/>
        </w:rPr>
      </w:pPr>
    </w:p>
    <w:p w:rsidR="004D31DC" w:rsidRDefault="004D31DC" w:rsidP="004D31DC">
      <w:pPr>
        <w:pStyle w:val="ListParagraph"/>
        <w:numPr>
          <w:ilvl w:val="0"/>
          <w:numId w:val="15"/>
        </w:num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The Commission will consider appropriate federal tax accounting when an item, such as the Repairs Deduction, has a very significant impact on ratepayers and the utility.</w:t>
      </w:r>
    </w:p>
    <w:p w:rsidR="004D31DC" w:rsidRDefault="004D31DC" w:rsidP="004D31DC">
      <w:pPr>
        <w:spacing w:after="0" w:line="240" w:lineRule="auto"/>
        <w:contextualSpacing/>
        <w:rPr>
          <w:rFonts w:ascii="Times New Roman" w:hAnsi="Times New Roman" w:cs="Times New Roman"/>
          <w:sz w:val="24"/>
          <w:szCs w:val="24"/>
        </w:rPr>
      </w:pPr>
    </w:p>
    <w:p w:rsidR="004D31DC" w:rsidRPr="007D5037" w:rsidRDefault="007D5037" w:rsidP="007D503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D31DC" w:rsidRPr="007D5037">
        <w:rPr>
          <w:rFonts w:ascii="Times New Roman" w:hAnsi="Times New Roman" w:cs="Times New Roman"/>
          <w:sz w:val="24"/>
          <w:szCs w:val="24"/>
        </w:rPr>
        <w:t xml:space="preserve">PacifiCorp chooses to call </w:t>
      </w:r>
      <w:r w:rsidR="000C0E4E">
        <w:rPr>
          <w:rFonts w:ascii="Times New Roman" w:hAnsi="Times New Roman" w:cs="Times New Roman"/>
          <w:sz w:val="24"/>
          <w:szCs w:val="24"/>
        </w:rPr>
        <w:t>the third element above</w:t>
      </w:r>
      <w:r w:rsidR="004D31DC" w:rsidRPr="007D5037">
        <w:rPr>
          <w:rFonts w:ascii="Times New Roman" w:hAnsi="Times New Roman" w:cs="Times New Roman"/>
          <w:sz w:val="24"/>
          <w:szCs w:val="24"/>
        </w:rPr>
        <w:t xml:space="preserve"> an “ad hoc” policy, but the Company itself chose to bring the Repairs Deduction to the Commission for resolution.  It is therefore difficult to give credence to the Company’s tactics.</w:t>
      </w:r>
    </w:p>
    <w:p w:rsidR="004D31DC" w:rsidRPr="001F410C" w:rsidRDefault="004D31DC" w:rsidP="007D5037">
      <w:pPr>
        <w:keepNext/>
        <w:spacing w:after="0" w:line="480" w:lineRule="auto"/>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2.</w:t>
      </w:r>
      <w:r>
        <w:rPr>
          <w:rFonts w:ascii="Times New Roman" w:hAnsi="Times New Roman" w:cs="Times New Roman"/>
          <w:b/>
          <w:sz w:val="24"/>
          <w:szCs w:val="24"/>
        </w:rPr>
        <w:tab/>
        <w:t>The Commission’s Policy Works</w:t>
      </w:r>
    </w:p>
    <w:p w:rsidR="004D31DC" w:rsidRPr="007D5037" w:rsidRDefault="007D5037" w:rsidP="007D503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D31DC" w:rsidRPr="007D5037">
        <w:rPr>
          <w:rFonts w:ascii="Times New Roman" w:hAnsi="Times New Roman" w:cs="Times New Roman"/>
          <w:sz w:val="24"/>
          <w:szCs w:val="24"/>
        </w:rPr>
        <w:t>Only PacifiCorp seems to have issues with the Commission’s policy.  The following information from both Avista’s and PSE’s most recent general rate cases confirms that all existing regulatory assets and liabilities authorized in prior Commission decisions include deferred taxes relative to the deferred revenue or cost, consistent with normalization.  Staff is unaware of any problems for Avista or PSE due to application of Commission policy on deferred taxes:</w:t>
      </w:r>
      <w:r w:rsidR="004D31DC">
        <w:rPr>
          <w:rStyle w:val="FootnoteReference"/>
          <w:rFonts w:cs="Times New Roman"/>
          <w:sz w:val="24"/>
          <w:szCs w:val="24"/>
        </w:rPr>
        <w:footnoteReference w:id="68"/>
      </w:r>
      <w:r w:rsidR="004D31DC" w:rsidRPr="007D5037">
        <w:rPr>
          <w:rFonts w:ascii="Times New Roman" w:hAnsi="Times New Roman" w:cs="Times New Roman"/>
          <w:sz w:val="24"/>
          <w:szCs w:val="24"/>
        </w:rPr>
        <w:t xml:space="preserve">  </w:t>
      </w:r>
    </w:p>
    <w:p w:rsidR="004D31DC" w:rsidRDefault="004D31DC" w:rsidP="007D5037">
      <w:pPr>
        <w:spacing w:after="0" w:line="240" w:lineRule="auto"/>
        <w:ind w:left="720"/>
        <w:rPr>
          <w:rFonts w:ascii="Times New Roman" w:hAnsi="Times New Roman" w:cs="Times New Roman"/>
          <w:sz w:val="24"/>
          <w:szCs w:val="24"/>
        </w:rPr>
      </w:pPr>
      <w:r w:rsidRPr="00923B61">
        <w:rPr>
          <w:rFonts w:ascii="Times New Roman" w:hAnsi="Times New Roman" w:cs="Times New Roman"/>
          <w:b/>
          <w:sz w:val="24"/>
          <w:szCs w:val="24"/>
        </w:rPr>
        <w:t>Avista Docket UE-100467</w:t>
      </w:r>
      <w:r>
        <w:rPr>
          <w:rFonts w:ascii="Times New Roman" w:hAnsi="Times New Roman" w:cs="Times New Roman"/>
          <w:sz w:val="24"/>
          <w:szCs w:val="24"/>
        </w:rPr>
        <w:t xml:space="preserve">:  In this docket, Avista reflected </w:t>
      </w:r>
      <w:r w:rsidRPr="00923B61">
        <w:rPr>
          <w:rFonts w:ascii="Times New Roman" w:hAnsi="Times New Roman" w:cs="Times New Roman"/>
          <w:sz w:val="24"/>
          <w:szCs w:val="24"/>
        </w:rPr>
        <w:t xml:space="preserve">adjustments for existing regulatory assets including their associated accumulated deferred income tax related to three major deferrals CDA settlements, Spokane River Relicensing and Montana Riverbed Lease.  </w:t>
      </w:r>
      <w:r>
        <w:rPr>
          <w:rFonts w:ascii="Times New Roman" w:hAnsi="Times New Roman" w:cs="Times New Roman"/>
          <w:sz w:val="24"/>
          <w:szCs w:val="24"/>
        </w:rPr>
        <w:t xml:space="preserve">Avista witness Ms. Andrews described this treatment in her testimony, </w:t>
      </w:r>
      <w:r w:rsidRPr="00923B61">
        <w:rPr>
          <w:rFonts w:ascii="Times New Roman" w:hAnsi="Times New Roman" w:cs="Times New Roman"/>
          <w:sz w:val="24"/>
          <w:szCs w:val="24"/>
        </w:rPr>
        <w:t>Exhibit No. EMA-1T at 14</w:t>
      </w:r>
      <w:r w:rsidR="000C0E4E">
        <w:rPr>
          <w:rFonts w:ascii="Times New Roman" w:hAnsi="Times New Roman" w:cs="Times New Roman"/>
          <w:sz w:val="24"/>
          <w:szCs w:val="24"/>
        </w:rPr>
        <w:t>-</w:t>
      </w:r>
      <w:r w:rsidRPr="00923B61">
        <w:rPr>
          <w:rFonts w:ascii="Times New Roman" w:hAnsi="Times New Roman" w:cs="Times New Roman"/>
          <w:sz w:val="24"/>
          <w:szCs w:val="24"/>
        </w:rPr>
        <w:t>20</w:t>
      </w:r>
      <w:r w:rsidR="00582901">
        <w:rPr>
          <w:rFonts w:ascii="Times New Roman" w:hAnsi="Times New Roman" w:cs="Times New Roman"/>
          <w:sz w:val="24"/>
          <w:szCs w:val="24"/>
        </w:rPr>
        <w:t xml:space="preserve"> and Exhibit No. EMA-2 at 6</w:t>
      </w:r>
      <w:r w:rsidR="000C0E4E">
        <w:rPr>
          <w:rFonts w:ascii="Times New Roman" w:hAnsi="Times New Roman" w:cs="Times New Roman"/>
          <w:sz w:val="24"/>
          <w:szCs w:val="24"/>
        </w:rPr>
        <w:t>-</w:t>
      </w:r>
      <w:r w:rsidR="00582901">
        <w:rPr>
          <w:rFonts w:ascii="Times New Roman" w:hAnsi="Times New Roman" w:cs="Times New Roman"/>
          <w:sz w:val="24"/>
          <w:szCs w:val="24"/>
        </w:rPr>
        <w:t>7</w:t>
      </w:r>
      <w:r>
        <w:rPr>
          <w:rFonts w:ascii="Times New Roman" w:hAnsi="Times New Roman" w:cs="Times New Roman"/>
          <w:sz w:val="24"/>
          <w:szCs w:val="24"/>
        </w:rPr>
        <w:t>.  Staff includes th</w:t>
      </w:r>
      <w:r w:rsidR="000C0E4E">
        <w:rPr>
          <w:rFonts w:ascii="Times New Roman" w:hAnsi="Times New Roman" w:cs="Times New Roman"/>
          <w:sz w:val="24"/>
          <w:szCs w:val="24"/>
        </w:rPr>
        <w:t>ese</w:t>
      </w:r>
      <w:r>
        <w:rPr>
          <w:rFonts w:ascii="Times New Roman" w:hAnsi="Times New Roman" w:cs="Times New Roman"/>
          <w:sz w:val="24"/>
          <w:szCs w:val="24"/>
        </w:rPr>
        <w:t xml:space="preserve"> excerpt</w:t>
      </w:r>
      <w:r w:rsidR="000C0E4E">
        <w:rPr>
          <w:rFonts w:ascii="Times New Roman" w:hAnsi="Times New Roman" w:cs="Times New Roman"/>
          <w:sz w:val="24"/>
          <w:szCs w:val="24"/>
        </w:rPr>
        <w:t>s</w:t>
      </w:r>
      <w:r>
        <w:rPr>
          <w:rFonts w:ascii="Times New Roman" w:hAnsi="Times New Roman" w:cs="Times New Roman"/>
          <w:sz w:val="24"/>
          <w:szCs w:val="24"/>
        </w:rPr>
        <w:t xml:space="preserve"> in Attachment A</w:t>
      </w:r>
      <w:r w:rsidR="00F36141">
        <w:rPr>
          <w:rFonts w:ascii="Times New Roman" w:hAnsi="Times New Roman" w:cs="Times New Roman"/>
          <w:sz w:val="24"/>
          <w:szCs w:val="24"/>
        </w:rPr>
        <w:t xml:space="preserve"> at 1-11</w:t>
      </w:r>
      <w:r w:rsidRPr="00923B61">
        <w:rPr>
          <w:rFonts w:ascii="Times New Roman" w:hAnsi="Times New Roman" w:cs="Times New Roman"/>
          <w:sz w:val="24"/>
          <w:szCs w:val="24"/>
        </w:rPr>
        <w:t>.</w:t>
      </w:r>
    </w:p>
    <w:p w:rsidR="004D31DC" w:rsidRDefault="004D31DC" w:rsidP="007D5037">
      <w:pPr>
        <w:spacing w:after="0" w:line="240" w:lineRule="auto"/>
        <w:ind w:left="720"/>
        <w:rPr>
          <w:rFonts w:ascii="Times New Roman" w:hAnsi="Times New Roman" w:cs="Times New Roman"/>
          <w:b/>
          <w:sz w:val="24"/>
          <w:szCs w:val="24"/>
        </w:rPr>
      </w:pPr>
    </w:p>
    <w:p w:rsidR="004D31DC" w:rsidRDefault="004D31DC" w:rsidP="007D5037">
      <w:pPr>
        <w:spacing w:after="0" w:line="240" w:lineRule="auto"/>
        <w:ind w:left="720"/>
        <w:rPr>
          <w:rFonts w:ascii="Times New Roman" w:hAnsi="Times New Roman" w:cs="Times New Roman"/>
          <w:sz w:val="24"/>
          <w:szCs w:val="24"/>
        </w:rPr>
      </w:pPr>
      <w:r w:rsidRPr="00923B61">
        <w:rPr>
          <w:rFonts w:ascii="Times New Roman" w:hAnsi="Times New Roman" w:cs="Times New Roman"/>
          <w:b/>
          <w:sz w:val="24"/>
          <w:szCs w:val="24"/>
        </w:rPr>
        <w:lastRenderedPageBreak/>
        <w:t>PSE Docket UE-090704</w:t>
      </w:r>
      <w:r w:rsidRPr="00923B61">
        <w:rPr>
          <w:rFonts w:ascii="Times New Roman" w:hAnsi="Times New Roman" w:cs="Times New Roman"/>
          <w:sz w:val="24"/>
          <w:szCs w:val="24"/>
        </w:rPr>
        <w:t xml:space="preserve">.  </w:t>
      </w:r>
      <w:r>
        <w:rPr>
          <w:rFonts w:ascii="Times New Roman" w:hAnsi="Times New Roman" w:cs="Times New Roman"/>
          <w:sz w:val="24"/>
          <w:szCs w:val="24"/>
        </w:rPr>
        <w:t xml:space="preserve">In this docket, PSE </w:t>
      </w:r>
      <w:r w:rsidRPr="00923B61">
        <w:rPr>
          <w:rFonts w:ascii="Times New Roman" w:hAnsi="Times New Roman" w:cs="Times New Roman"/>
          <w:sz w:val="24"/>
          <w:szCs w:val="24"/>
        </w:rPr>
        <w:t xml:space="preserve">reflected regulatory assets net of accumulated deferred tax.  In Exhibit No. JHS-1T at 49 to 53, </w:t>
      </w:r>
      <w:r>
        <w:rPr>
          <w:rFonts w:ascii="Times New Roman" w:hAnsi="Times New Roman" w:cs="Times New Roman"/>
          <w:sz w:val="24"/>
          <w:szCs w:val="24"/>
        </w:rPr>
        <w:t xml:space="preserve">PSE witness </w:t>
      </w:r>
      <w:r w:rsidRPr="00923B61">
        <w:rPr>
          <w:rFonts w:ascii="Times New Roman" w:hAnsi="Times New Roman" w:cs="Times New Roman"/>
          <w:sz w:val="24"/>
          <w:szCs w:val="24"/>
        </w:rPr>
        <w:t xml:space="preserve">Mr. Story discusses regulatory assets </w:t>
      </w:r>
      <w:r>
        <w:rPr>
          <w:rFonts w:ascii="Times New Roman" w:hAnsi="Times New Roman" w:cs="Times New Roman"/>
          <w:sz w:val="24"/>
          <w:szCs w:val="24"/>
        </w:rPr>
        <w:t xml:space="preserve">previously authorized by the Commission, </w:t>
      </w:r>
      <w:r w:rsidRPr="00923B61">
        <w:rPr>
          <w:rFonts w:ascii="Times New Roman" w:hAnsi="Times New Roman" w:cs="Times New Roman"/>
          <w:sz w:val="24"/>
          <w:szCs w:val="24"/>
        </w:rPr>
        <w:t xml:space="preserve">as well as </w:t>
      </w:r>
      <w:r>
        <w:rPr>
          <w:rFonts w:ascii="Times New Roman" w:hAnsi="Times New Roman" w:cs="Times New Roman"/>
          <w:sz w:val="24"/>
          <w:szCs w:val="24"/>
        </w:rPr>
        <w:t xml:space="preserve">regulatory assets newly </w:t>
      </w:r>
      <w:r w:rsidRPr="00923B61">
        <w:rPr>
          <w:rFonts w:ascii="Times New Roman" w:hAnsi="Times New Roman" w:cs="Times New Roman"/>
          <w:sz w:val="24"/>
          <w:szCs w:val="24"/>
        </w:rPr>
        <w:t xml:space="preserve">proposed by the </w:t>
      </w:r>
      <w:r>
        <w:rPr>
          <w:rFonts w:ascii="Times New Roman" w:hAnsi="Times New Roman" w:cs="Times New Roman"/>
          <w:sz w:val="24"/>
          <w:szCs w:val="24"/>
        </w:rPr>
        <w:t>C</w:t>
      </w:r>
      <w:r w:rsidRPr="00923B61">
        <w:rPr>
          <w:rFonts w:ascii="Times New Roman" w:hAnsi="Times New Roman" w:cs="Times New Roman"/>
          <w:sz w:val="24"/>
          <w:szCs w:val="24"/>
        </w:rPr>
        <w:t>ompany</w:t>
      </w:r>
      <w:r>
        <w:rPr>
          <w:rFonts w:ascii="Times New Roman" w:hAnsi="Times New Roman" w:cs="Times New Roman"/>
          <w:sz w:val="24"/>
          <w:szCs w:val="24"/>
        </w:rPr>
        <w:t xml:space="preserve">, each </w:t>
      </w:r>
      <w:r w:rsidRPr="00923B61">
        <w:rPr>
          <w:rFonts w:ascii="Times New Roman" w:hAnsi="Times New Roman" w:cs="Times New Roman"/>
          <w:sz w:val="24"/>
          <w:szCs w:val="24"/>
        </w:rPr>
        <w:t>reflecting assets net of accumulated deferred income tax.</w:t>
      </w:r>
      <w:r>
        <w:rPr>
          <w:rFonts w:ascii="Times New Roman" w:hAnsi="Times New Roman" w:cs="Times New Roman"/>
          <w:sz w:val="24"/>
          <w:szCs w:val="24"/>
        </w:rPr>
        <w:t xml:space="preserve">  Staff includes this excerpt of Mr. Story’s testimony in Attachment A</w:t>
      </w:r>
      <w:r w:rsidR="00F36141">
        <w:rPr>
          <w:rFonts w:ascii="Times New Roman" w:hAnsi="Times New Roman" w:cs="Times New Roman"/>
          <w:sz w:val="24"/>
          <w:szCs w:val="24"/>
        </w:rPr>
        <w:t xml:space="preserve"> at 12-17.</w:t>
      </w:r>
    </w:p>
    <w:p w:rsidR="007D5037" w:rsidRDefault="007D5037" w:rsidP="007D5037">
      <w:pPr>
        <w:spacing w:after="0" w:line="240" w:lineRule="auto"/>
        <w:rPr>
          <w:rFonts w:ascii="Times New Roman" w:hAnsi="Times New Roman" w:cs="Times New Roman"/>
          <w:sz w:val="24"/>
          <w:szCs w:val="24"/>
        </w:rPr>
      </w:pPr>
    </w:p>
    <w:p w:rsidR="004D31DC" w:rsidRPr="007D5037" w:rsidRDefault="007D5037" w:rsidP="007D503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D31DC" w:rsidRPr="007D5037">
        <w:rPr>
          <w:rFonts w:ascii="Times New Roman" w:hAnsi="Times New Roman" w:cs="Times New Roman"/>
          <w:sz w:val="24"/>
          <w:szCs w:val="24"/>
        </w:rPr>
        <w:t xml:space="preserve">As shown in these examples, the Commissions policy has been clear and consistently applied by both Avista and Puget Sound Energy.  If there is any confusion, it is of PacifiCorp’s own making.  </w:t>
      </w:r>
    </w:p>
    <w:p w:rsidR="004D31DC" w:rsidRPr="007D5037" w:rsidRDefault="007D5037" w:rsidP="007D503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D31DC" w:rsidRPr="007D5037">
        <w:rPr>
          <w:rFonts w:ascii="Times New Roman" w:hAnsi="Times New Roman" w:cs="Times New Roman"/>
          <w:sz w:val="24"/>
          <w:szCs w:val="24"/>
        </w:rPr>
        <w:t>In fact, PacifiCorp has deferred regulatory assets net of accumulated deferred income tax, i.e., using normalization consistent with Commission policy, including Adjustment 3.4, SO2 Emission Allowance (Docket UE-940947) and Adjustment 8.3, Environmental Remediation (Docket UE-031658).</w:t>
      </w:r>
    </w:p>
    <w:p w:rsidR="004D31DC" w:rsidRPr="007D5037" w:rsidRDefault="007D5037" w:rsidP="007D503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D31DC" w:rsidRPr="007D5037">
        <w:rPr>
          <w:rFonts w:ascii="Times New Roman" w:hAnsi="Times New Roman" w:cs="Times New Roman"/>
          <w:sz w:val="24"/>
          <w:szCs w:val="24"/>
        </w:rPr>
        <w:t>Moreover, two other regulatory assets are before the Commission in this case, Adjustment 8.7 - Powerdale, with a revenue requirement of $0.1 million</w:t>
      </w:r>
      <w:r w:rsidR="004D31DC">
        <w:rPr>
          <w:rStyle w:val="FootnoteReference"/>
          <w:rFonts w:cs="Times New Roman"/>
          <w:sz w:val="24"/>
          <w:szCs w:val="24"/>
        </w:rPr>
        <w:footnoteReference w:id="69"/>
      </w:r>
      <w:r w:rsidR="004D31DC" w:rsidRPr="007D5037">
        <w:rPr>
          <w:rFonts w:ascii="Times New Roman" w:hAnsi="Times New Roman" w:cs="Times New Roman"/>
          <w:sz w:val="24"/>
          <w:szCs w:val="24"/>
        </w:rPr>
        <w:t>, and Adjustment 8.10 – Chehalis, with a revenue requirement of $4.2 million</w:t>
      </w:r>
      <w:r w:rsidR="00F36141">
        <w:rPr>
          <w:rFonts w:ascii="Times New Roman" w:hAnsi="Times New Roman" w:cs="Times New Roman"/>
          <w:sz w:val="24"/>
          <w:szCs w:val="24"/>
        </w:rPr>
        <w:t>.</w:t>
      </w:r>
      <w:r w:rsidR="004D31DC">
        <w:rPr>
          <w:rStyle w:val="FootnoteReference"/>
          <w:rFonts w:cs="Times New Roman"/>
          <w:sz w:val="24"/>
          <w:szCs w:val="24"/>
        </w:rPr>
        <w:footnoteReference w:id="70"/>
      </w:r>
      <w:r w:rsidR="004D31DC" w:rsidRPr="007D5037">
        <w:rPr>
          <w:rFonts w:ascii="Times New Roman" w:hAnsi="Times New Roman" w:cs="Times New Roman"/>
          <w:sz w:val="24"/>
          <w:szCs w:val="24"/>
        </w:rPr>
        <w:t xml:space="preserve">  These regulatory assets </w:t>
      </w:r>
      <w:r w:rsidR="00814257">
        <w:rPr>
          <w:rFonts w:ascii="Times New Roman" w:hAnsi="Times New Roman" w:cs="Times New Roman"/>
          <w:sz w:val="24"/>
          <w:szCs w:val="24"/>
        </w:rPr>
        <w:t xml:space="preserve">produce </w:t>
      </w:r>
      <w:r w:rsidR="004D31DC" w:rsidRPr="007D5037">
        <w:rPr>
          <w:rFonts w:ascii="Times New Roman" w:hAnsi="Times New Roman" w:cs="Times New Roman"/>
          <w:sz w:val="24"/>
          <w:szCs w:val="24"/>
        </w:rPr>
        <w:t>a $6.4 million decrease to rate base for accumulated deferred income tax.  Both PacifiCorp and Staff include this $6.4 million rate base reduction for accumulated deferred income tax, consistent with normalization, for these regulatory assets, and the Order confirms this treatment of taxes is consistent with normalization.</w:t>
      </w:r>
      <w:r w:rsidR="004D31DC">
        <w:rPr>
          <w:rStyle w:val="FootnoteReference"/>
          <w:rFonts w:cs="Times New Roman"/>
          <w:sz w:val="24"/>
          <w:szCs w:val="24"/>
        </w:rPr>
        <w:footnoteReference w:id="71"/>
      </w:r>
      <w:r w:rsidR="004D31DC" w:rsidRPr="007D5037">
        <w:rPr>
          <w:rFonts w:ascii="Times New Roman" w:hAnsi="Times New Roman" w:cs="Times New Roman"/>
          <w:sz w:val="24"/>
          <w:szCs w:val="24"/>
        </w:rPr>
        <w:t xml:space="preserve">  No adjustment was necessary to PacifiCorp’s revenue requirement to reflect the Commission’s decision.</w:t>
      </w:r>
    </w:p>
    <w:p w:rsidR="004D31DC" w:rsidRDefault="004D31DC" w:rsidP="00880682">
      <w:pPr>
        <w:keepNext/>
        <w:spacing w:after="0" w:line="240" w:lineRule="auto"/>
        <w:ind w:left="1440" w:hanging="720"/>
        <w:contextualSpacing/>
        <w:rPr>
          <w:rFonts w:ascii="Times New Roman" w:hAnsi="Times New Roman" w:cs="Times New Roman"/>
          <w:b/>
          <w:sz w:val="24"/>
          <w:szCs w:val="24"/>
        </w:rPr>
      </w:pPr>
      <w:r>
        <w:rPr>
          <w:rFonts w:ascii="Times New Roman" w:hAnsi="Times New Roman" w:cs="Times New Roman"/>
          <w:b/>
          <w:sz w:val="24"/>
          <w:szCs w:val="24"/>
        </w:rPr>
        <w:lastRenderedPageBreak/>
        <w:t>3.</w:t>
      </w:r>
      <w:r>
        <w:rPr>
          <w:rFonts w:ascii="Times New Roman" w:hAnsi="Times New Roman" w:cs="Times New Roman"/>
          <w:b/>
          <w:sz w:val="24"/>
          <w:szCs w:val="24"/>
        </w:rPr>
        <w:tab/>
        <w:t xml:space="preserve">The Order is Complete; </w:t>
      </w:r>
      <w:r w:rsidRPr="00463AB9">
        <w:rPr>
          <w:rFonts w:ascii="Times New Roman" w:hAnsi="Times New Roman" w:cs="Times New Roman"/>
          <w:b/>
          <w:sz w:val="24"/>
          <w:szCs w:val="24"/>
        </w:rPr>
        <w:t xml:space="preserve">PacifiCorp’s Contrary Argument </w:t>
      </w:r>
      <w:r w:rsidRPr="001020C4">
        <w:rPr>
          <w:rFonts w:ascii="Times New Roman" w:hAnsi="Times New Roman" w:cs="Times New Roman"/>
          <w:b/>
          <w:sz w:val="24"/>
          <w:szCs w:val="24"/>
        </w:rPr>
        <w:t>Defies the Definition of “Flow-Through”</w:t>
      </w:r>
    </w:p>
    <w:p w:rsidR="004D31DC" w:rsidRDefault="004D31DC" w:rsidP="00880682">
      <w:pPr>
        <w:keepNext/>
        <w:spacing w:after="0" w:line="240" w:lineRule="auto"/>
        <w:ind w:firstLine="720"/>
        <w:contextualSpacing/>
        <w:rPr>
          <w:rFonts w:ascii="Times New Roman" w:hAnsi="Times New Roman" w:cs="Times New Roman"/>
          <w:sz w:val="24"/>
          <w:szCs w:val="24"/>
        </w:rPr>
      </w:pPr>
    </w:p>
    <w:p w:rsidR="004D31DC" w:rsidRPr="007D5037" w:rsidRDefault="007D5037" w:rsidP="007D503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D31DC" w:rsidRPr="007D5037">
        <w:rPr>
          <w:rFonts w:ascii="Times New Roman" w:hAnsi="Times New Roman" w:cs="Times New Roman"/>
          <w:sz w:val="24"/>
          <w:szCs w:val="24"/>
        </w:rPr>
        <w:t xml:space="preserve">PacifiCorp suggests the “Order is incomplete because it did not address whether a deferral under RCW 80.80.060 is </w:t>
      </w:r>
      <w:r w:rsidR="004D31DC" w:rsidRPr="007D5037">
        <w:rPr>
          <w:rFonts w:ascii="Times New Roman" w:hAnsi="Times New Roman" w:cs="Times New Roman"/>
          <w:i/>
          <w:sz w:val="24"/>
          <w:szCs w:val="24"/>
        </w:rPr>
        <w:t>also</w:t>
      </w:r>
      <w:r w:rsidR="004D31DC" w:rsidRPr="007D5037">
        <w:rPr>
          <w:rFonts w:ascii="Times New Roman" w:hAnsi="Times New Roman" w:cs="Times New Roman"/>
          <w:sz w:val="24"/>
          <w:szCs w:val="24"/>
        </w:rPr>
        <w:t xml:space="preserve"> consistent with flow-through.”</w:t>
      </w:r>
      <w:r w:rsidR="004D31DC">
        <w:rPr>
          <w:rStyle w:val="FootnoteReference"/>
          <w:rFonts w:cs="Times New Roman"/>
          <w:sz w:val="24"/>
          <w:szCs w:val="24"/>
        </w:rPr>
        <w:footnoteReference w:id="72"/>
      </w:r>
      <w:r w:rsidR="004D31DC" w:rsidRPr="007D5037">
        <w:rPr>
          <w:rFonts w:ascii="Times New Roman" w:hAnsi="Times New Roman" w:cs="Times New Roman"/>
          <w:sz w:val="24"/>
          <w:szCs w:val="24"/>
        </w:rPr>
        <w:t xml:space="preserve">  However, no explanation is necessary, because federal income taxes deferred pursuant to that statute cannot, by definition, constitute flow-through, because flow-through means the utility is recognizing those taxes in the period they are incurred.  Deferring those taxes makes that impossible.  In short, deferral of the cost of an asset and its related taxes is inconsistent with flow-through accounting for income taxes, and the Order correctly reflects this basic principle.</w:t>
      </w:r>
    </w:p>
    <w:p w:rsidR="004D31DC" w:rsidRDefault="004D31DC" w:rsidP="007D5037">
      <w:pPr>
        <w:keepNext/>
        <w:spacing w:after="0" w:line="240" w:lineRule="auto"/>
        <w:ind w:left="1440" w:hanging="720"/>
        <w:contextualSpacing/>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 xml:space="preserve">Normalization for the </w:t>
      </w:r>
      <w:r w:rsidRPr="00F43673">
        <w:rPr>
          <w:rFonts w:ascii="Times New Roman" w:hAnsi="Times New Roman" w:cs="Times New Roman"/>
          <w:b/>
          <w:sz w:val="24"/>
          <w:szCs w:val="24"/>
        </w:rPr>
        <w:t>Repairs Deduction</w:t>
      </w:r>
      <w:r>
        <w:rPr>
          <w:rFonts w:ascii="Times New Roman" w:hAnsi="Times New Roman" w:cs="Times New Roman"/>
          <w:b/>
          <w:sz w:val="24"/>
          <w:szCs w:val="24"/>
        </w:rPr>
        <w:t xml:space="preserve"> is An Excellent Example Why the Commission’s Policy is Reasonable</w:t>
      </w:r>
    </w:p>
    <w:p w:rsidR="004D31DC" w:rsidRDefault="004D31DC" w:rsidP="007D5037">
      <w:pPr>
        <w:keepNext/>
        <w:spacing w:after="0" w:line="240" w:lineRule="auto"/>
        <w:contextualSpacing/>
        <w:rPr>
          <w:rFonts w:ascii="Times New Roman" w:hAnsi="Times New Roman" w:cs="Times New Roman"/>
          <w:sz w:val="24"/>
          <w:szCs w:val="24"/>
        </w:rPr>
      </w:pPr>
    </w:p>
    <w:p w:rsidR="004D31DC" w:rsidRPr="007D5037" w:rsidRDefault="007D5037" w:rsidP="007D503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D31DC" w:rsidRPr="007D5037">
        <w:rPr>
          <w:rFonts w:ascii="Times New Roman" w:hAnsi="Times New Roman" w:cs="Times New Roman"/>
          <w:sz w:val="24"/>
          <w:szCs w:val="24"/>
        </w:rPr>
        <w:t>The crux of the issue regarding the Repairs Deduction relates to the benefit the Company received by making this tax accounting change for years</w:t>
      </w:r>
      <w:r w:rsidR="00EB4458">
        <w:rPr>
          <w:rFonts w:ascii="Times New Roman" w:hAnsi="Times New Roman" w:cs="Times New Roman"/>
          <w:sz w:val="24"/>
          <w:szCs w:val="24"/>
        </w:rPr>
        <w:t xml:space="preserve"> </w:t>
      </w:r>
      <w:r w:rsidR="004D31DC" w:rsidRPr="007D5037">
        <w:rPr>
          <w:rFonts w:ascii="Times New Roman" w:hAnsi="Times New Roman" w:cs="Times New Roman"/>
          <w:sz w:val="24"/>
          <w:szCs w:val="24"/>
        </w:rPr>
        <w:t>1999 to 2009 and how the benefit should be recognized for ratemaking purposes. The result</w:t>
      </w:r>
      <w:r w:rsidR="000C0E4E">
        <w:rPr>
          <w:rFonts w:ascii="Times New Roman" w:hAnsi="Times New Roman" w:cs="Times New Roman"/>
          <w:sz w:val="24"/>
          <w:szCs w:val="24"/>
        </w:rPr>
        <w:t xml:space="preserve"> would be a one-time, </w:t>
      </w:r>
      <w:r w:rsidR="004D31DC" w:rsidRPr="007D5037">
        <w:rPr>
          <w:rFonts w:ascii="Times New Roman" w:hAnsi="Times New Roman" w:cs="Times New Roman"/>
          <w:sz w:val="24"/>
          <w:szCs w:val="24"/>
        </w:rPr>
        <w:t xml:space="preserve">$29.6 million </w:t>
      </w:r>
      <w:r w:rsidR="000C0E4E">
        <w:rPr>
          <w:rFonts w:ascii="Times New Roman" w:hAnsi="Times New Roman" w:cs="Times New Roman"/>
          <w:sz w:val="24"/>
          <w:szCs w:val="24"/>
        </w:rPr>
        <w:t xml:space="preserve">tax benefit for ratemaking purposes </w:t>
      </w:r>
      <w:r w:rsidR="004D31DC" w:rsidRPr="007D5037">
        <w:rPr>
          <w:rFonts w:ascii="Times New Roman" w:hAnsi="Times New Roman" w:cs="Times New Roman"/>
          <w:sz w:val="24"/>
          <w:szCs w:val="24"/>
        </w:rPr>
        <w:t>if the Commission were to include it in the test year on a flow-through basis.  Obviously, an item of that magnitude merits particular consideration, and the Company recognized this by bringing the matter to the Commission.</w:t>
      </w:r>
    </w:p>
    <w:p w:rsidR="004D31DC" w:rsidRPr="007D5037" w:rsidRDefault="007D5037" w:rsidP="007D503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D31DC" w:rsidRPr="007D5037">
        <w:rPr>
          <w:rFonts w:ascii="Times New Roman" w:hAnsi="Times New Roman" w:cs="Times New Roman"/>
          <w:sz w:val="24"/>
          <w:szCs w:val="24"/>
        </w:rPr>
        <w:t xml:space="preserve">Yet, </w:t>
      </w:r>
      <w:r w:rsidR="00F36141">
        <w:rPr>
          <w:rFonts w:ascii="Times New Roman" w:hAnsi="Times New Roman" w:cs="Times New Roman"/>
          <w:sz w:val="24"/>
          <w:szCs w:val="24"/>
        </w:rPr>
        <w:t xml:space="preserve">PacifiCorp </w:t>
      </w:r>
      <w:r w:rsidR="004D31DC" w:rsidRPr="007D5037">
        <w:rPr>
          <w:rFonts w:ascii="Times New Roman" w:hAnsi="Times New Roman" w:cs="Times New Roman"/>
          <w:sz w:val="24"/>
          <w:szCs w:val="24"/>
        </w:rPr>
        <w:t>somehow presumes the Company would simply enjoy 100 percent of these benefits, and the ratepayers would get nothing.</w:t>
      </w:r>
      <w:r w:rsidR="004D31DC">
        <w:rPr>
          <w:rStyle w:val="FootnoteReference"/>
          <w:rFonts w:cs="Times New Roman"/>
          <w:sz w:val="24"/>
          <w:szCs w:val="24"/>
        </w:rPr>
        <w:footnoteReference w:id="73"/>
      </w:r>
      <w:r w:rsidR="004D31DC" w:rsidRPr="007D5037">
        <w:rPr>
          <w:rFonts w:ascii="Times New Roman" w:hAnsi="Times New Roman" w:cs="Times New Roman"/>
          <w:sz w:val="24"/>
          <w:szCs w:val="24"/>
        </w:rPr>
        <w:t xml:space="preserve">  It is far more realistic to expect the Commission would do what it did in this case, and evaluate this extraordinary item to determine proper ratemaking treatment.  </w:t>
      </w:r>
    </w:p>
    <w:p w:rsidR="004D31DC" w:rsidRPr="007D5037" w:rsidRDefault="007D5037" w:rsidP="007D503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D31DC" w:rsidRPr="007D5037">
        <w:rPr>
          <w:rFonts w:ascii="Times New Roman" w:hAnsi="Times New Roman" w:cs="Times New Roman"/>
          <w:sz w:val="24"/>
          <w:szCs w:val="24"/>
        </w:rPr>
        <w:t xml:space="preserve">As to the merits, both Staff and Company proposed normalization treatment for the federal taxes associated with the Repairs Deduction, and the Commission was eminently </w:t>
      </w:r>
      <w:r w:rsidR="000C0E4E">
        <w:rPr>
          <w:rFonts w:ascii="Times New Roman" w:hAnsi="Times New Roman" w:cs="Times New Roman"/>
          <w:sz w:val="24"/>
          <w:szCs w:val="24"/>
        </w:rPr>
        <w:t xml:space="preserve">reasonable </w:t>
      </w:r>
      <w:r w:rsidR="004D31DC" w:rsidRPr="007D5037">
        <w:rPr>
          <w:rFonts w:ascii="Times New Roman" w:hAnsi="Times New Roman" w:cs="Times New Roman"/>
          <w:sz w:val="24"/>
          <w:szCs w:val="24"/>
        </w:rPr>
        <w:t xml:space="preserve">to accept that proposal.  Normalization for the Repairs Deduction allows the Company to recognize the </w:t>
      </w:r>
      <w:r w:rsidR="00814257">
        <w:rPr>
          <w:rFonts w:ascii="Times New Roman" w:hAnsi="Times New Roman" w:cs="Times New Roman"/>
          <w:sz w:val="24"/>
          <w:szCs w:val="24"/>
        </w:rPr>
        <w:t>deferred tax</w:t>
      </w:r>
      <w:r w:rsidR="004D31DC" w:rsidRPr="007D5037">
        <w:rPr>
          <w:rFonts w:ascii="Times New Roman" w:hAnsi="Times New Roman" w:cs="Times New Roman"/>
          <w:sz w:val="24"/>
          <w:szCs w:val="24"/>
        </w:rPr>
        <w:t xml:space="preserve"> in rate base, and amortization through net operating income over the life of that asset.  That treatment is </w:t>
      </w:r>
      <w:r w:rsidR="00D3064D">
        <w:rPr>
          <w:rFonts w:ascii="Times New Roman" w:hAnsi="Times New Roman" w:cs="Times New Roman"/>
          <w:sz w:val="24"/>
          <w:szCs w:val="24"/>
        </w:rPr>
        <w:t xml:space="preserve">also </w:t>
      </w:r>
      <w:r w:rsidR="004D31DC" w:rsidRPr="007D5037">
        <w:rPr>
          <w:rFonts w:ascii="Times New Roman" w:hAnsi="Times New Roman" w:cs="Times New Roman"/>
          <w:sz w:val="24"/>
          <w:szCs w:val="24"/>
        </w:rPr>
        <w:t>consistent with the Commission’s decision in Docket UE-090705</w:t>
      </w:r>
      <w:r w:rsidR="00D3064D">
        <w:rPr>
          <w:rFonts w:ascii="Times New Roman" w:hAnsi="Times New Roman" w:cs="Times New Roman"/>
          <w:sz w:val="24"/>
          <w:szCs w:val="24"/>
        </w:rPr>
        <w:t>,</w:t>
      </w:r>
      <w:r w:rsidR="004D31DC">
        <w:rPr>
          <w:rStyle w:val="FootnoteReference"/>
          <w:rFonts w:cs="Times New Roman"/>
          <w:sz w:val="24"/>
          <w:szCs w:val="24"/>
        </w:rPr>
        <w:footnoteReference w:id="74"/>
      </w:r>
      <w:r w:rsidR="004D31DC" w:rsidRPr="007D5037">
        <w:rPr>
          <w:rFonts w:ascii="Times New Roman" w:hAnsi="Times New Roman" w:cs="Times New Roman"/>
          <w:sz w:val="24"/>
          <w:szCs w:val="24"/>
        </w:rPr>
        <w:t xml:space="preserve"> where the Commission stated that Puget Sound Energy should include an adjustment to accumulated deferred income tax for the methodology change following its IRS audit.  PacifiCorp has no reason to complain about the same, consistent treatment.</w:t>
      </w:r>
    </w:p>
    <w:p w:rsidR="004D31DC" w:rsidRDefault="00615B74" w:rsidP="007D5037">
      <w:pPr>
        <w:keepNext/>
        <w:spacing w:after="0" w:line="240" w:lineRule="auto"/>
        <w:ind w:left="1440" w:hanging="720"/>
        <w:contextualSpacing/>
        <w:rPr>
          <w:rFonts w:ascii="Times New Roman" w:hAnsi="Times New Roman" w:cs="Times New Roman"/>
          <w:b/>
          <w:sz w:val="24"/>
          <w:szCs w:val="24"/>
        </w:rPr>
      </w:pPr>
      <w:r>
        <w:rPr>
          <w:rFonts w:ascii="Times New Roman" w:hAnsi="Times New Roman" w:cs="Times New Roman"/>
          <w:b/>
          <w:sz w:val="24"/>
          <w:szCs w:val="24"/>
        </w:rPr>
        <w:t>5</w:t>
      </w:r>
      <w:r w:rsidR="004D31DC" w:rsidRPr="001020C4">
        <w:rPr>
          <w:rFonts w:ascii="Times New Roman" w:hAnsi="Times New Roman" w:cs="Times New Roman"/>
          <w:b/>
          <w:sz w:val="24"/>
          <w:szCs w:val="24"/>
        </w:rPr>
        <w:t>.</w:t>
      </w:r>
      <w:r w:rsidR="004D31DC" w:rsidRPr="001020C4">
        <w:rPr>
          <w:rFonts w:ascii="Times New Roman" w:hAnsi="Times New Roman" w:cs="Times New Roman"/>
          <w:b/>
          <w:sz w:val="24"/>
          <w:szCs w:val="24"/>
        </w:rPr>
        <w:tab/>
        <w:t xml:space="preserve">The Commission Was Correct to Reject </w:t>
      </w:r>
      <w:r w:rsidR="004D31DC" w:rsidRPr="00463AB9">
        <w:rPr>
          <w:rFonts w:ascii="Times New Roman" w:hAnsi="Times New Roman" w:cs="Times New Roman"/>
          <w:b/>
          <w:sz w:val="24"/>
          <w:szCs w:val="24"/>
        </w:rPr>
        <w:t>P</w:t>
      </w:r>
      <w:r w:rsidR="004D31DC">
        <w:rPr>
          <w:rFonts w:ascii="Times New Roman" w:hAnsi="Times New Roman" w:cs="Times New Roman"/>
          <w:b/>
          <w:sz w:val="24"/>
          <w:szCs w:val="24"/>
        </w:rPr>
        <w:t xml:space="preserve">acifiCorp’s Request for </w:t>
      </w:r>
      <w:r w:rsidR="004D31DC" w:rsidRPr="000E475A">
        <w:rPr>
          <w:rFonts w:ascii="Times New Roman" w:hAnsi="Times New Roman" w:cs="Times New Roman"/>
          <w:b/>
          <w:sz w:val="24"/>
          <w:szCs w:val="24"/>
        </w:rPr>
        <w:t>Full Normalization</w:t>
      </w:r>
    </w:p>
    <w:p w:rsidR="004D31DC" w:rsidRDefault="004D31DC" w:rsidP="004D31DC">
      <w:pPr>
        <w:spacing w:after="0" w:line="240" w:lineRule="auto"/>
        <w:contextualSpacing/>
        <w:rPr>
          <w:rFonts w:ascii="Times New Roman" w:hAnsi="Times New Roman" w:cs="Times New Roman"/>
          <w:sz w:val="24"/>
          <w:szCs w:val="24"/>
        </w:rPr>
      </w:pPr>
    </w:p>
    <w:p w:rsidR="006B1CC9" w:rsidRDefault="007D503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D31DC" w:rsidRPr="007D5037">
        <w:rPr>
          <w:rFonts w:ascii="Times New Roman" w:hAnsi="Times New Roman" w:cs="Times New Roman"/>
          <w:sz w:val="24"/>
          <w:szCs w:val="24"/>
        </w:rPr>
        <w:t xml:space="preserve">PacifiCorp once again tries to persuade the Commission to adopt full normalization on the basis it has </w:t>
      </w:r>
      <w:r w:rsidR="00582901">
        <w:rPr>
          <w:rFonts w:ascii="Times New Roman" w:hAnsi="Times New Roman" w:cs="Times New Roman"/>
          <w:sz w:val="24"/>
          <w:szCs w:val="24"/>
        </w:rPr>
        <w:t xml:space="preserve">zero </w:t>
      </w:r>
      <w:r w:rsidR="004D31DC" w:rsidRPr="007D5037">
        <w:rPr>
          <w:rFonts w:ascii="Times New Roman" w:hAnsi="Times New Roman" w:cs="Times New Roman"/>
          <w:sz w:val="24"/>
          <w:szCs w:val="24"/>
        </w:rPr>
        <w:t>impact on customers.</w:t>
      </w:r>
      <w:r w:rsidR="004D31DC">
        <w:rPr>
          <w:rStyle w:val="FootnoteReference"/>
          <w:rFonts w:cs="Times New Roman"/>
          <w:sz w:val="24"/>
          <w:szCs w:val="24"/>
        </w:rPr>
        <w:footnoteReference w:id="75"/>
      </w:r>
      <w:r w:rsidR="004D31DC" w:rsidRPr="007D5037">
        <w:rPr>
          <w:rFonts w:ascii="Times New Roman" w:hAnsi="Times New Roman" w:cs="Times New Roman"/>
          <w:sz w:val="24"/>
          <w:szCs w:val="24"/>
        </w:rPr>
        <w:t xml:space="preserve">  Then, the Company does an about-face, and asserts the rate impact is $1.6 million.</w:t>
      </w:r>
      <w:r w:rsidR="004D31DC">
        <w:rPr>
          <w:rStyle w:val="FootnoteReference"/>
          <w:rFonts w:cs="Times New Roman"/>
          <w:sz w:val="24"/>
          <w:szCs w:val="24"/>
        </w:rPr>
        <w:footnoteReference w:id="76"/>
      </w:r>
      <w:r w:rsidR="004D31DC" w:rsidRPr="007D5037">
        <w:rPr>
          <w:rFonts w:ascii="Times New Roman" w:hAnsi="Times New Roman" w:cs="Times New Roman"/>
          <w:sz w:val="24"/>
          <w:szCs w:val="24"/>
        </w:rPr>
        <w:t xml:space="preserve">  PacifiCorp fails to explain this obvious discrepancy, but, even assuming the $1.6 million is correct, and even if the corresponding rate impact </w:t>
      </w:r>
      <w:r w:rsidR="00D3064D">
        <w:rPr>
          <w:rFonts w:ascii="Times New Roman" w:hAnsi="Times New Roman" w:cs="Times New Roman"/>
          <w:sz w:val="24"/>
          <w:szCs w:val="24"/>
        </w:rPr>
        <w:t xml:space="preserve">could be </w:t>
      </w:r>
      <w:r w:rsidR="004D31DC" w:rsidRPr="007D5037">
        <w:rPr>
          <w:rFonts w:ascii="Times New Roman" w:hAnsi="Times New Roman" w:cs="Times New Roman"/>
          <w:sz w:val="24"/>
          <w:szCs w:val="24"/>
        </w:rPr>
        <w:t>“negligible”,</w:t>
      </w:r>
      <w:r w:rsidR="004D31DC">
        <w:rPr>
          <w:rStyle w:val="FootnoteReference"/>
          <w:rFonts w:cs="Times New Roman"/>
          <w:sz w:val="24"/>
          <w:szCs w:val="24"/>
        </w:rPr>
        <w:footnoteReference w:id="77"/>
      </w:r>
      <w:r w:rsidR="004D31DC" w:rsidRPr="007D5037">
        <w:rPr>
          <w:rFonts w:ascii="Times New Roman" w:hAnsi="Times New Roman" w:cs="Times New Roman"/>
          <w:sz w:val="24"/>
          <w:szCs w:val="24"/>
        </w:rPr>
        <w:t xml:space="preserve"> that means the status quo (</w:t>
      </w:r>
      <w:r w:rsidR="00D3064D">
        <w:rPr>
          <w:rFonts w:ascii="Times New Roman" w:hAnsi="Times New Roman" w:cs="Times New Roman"/>
          <w:sz w:val="24"/>
          <w:szCs w:val="24"/>
        </w:rPr>
        <w:t xml:space="preserve">i.e., </w:t>
      </w:r>
      <w:r w:rsidR="004D31DC" w:rsidRPr="007D5037">
        <w:rPr>
          <w:rFonts w:ascii="Times New Roman" w:hAnsi="Times New Roman" w:cs="Times New Roman"/>
          <w:sz w:val="24"/>
          <w:szCs w:val="24"/>
        </w:rPr>
        <w:t>continuation of flow-through” for most items) has no impact, either.  Put another way, the Company</w:t>
      </w:r>
      <w:r w:rsidR="00814257">
        <w:rPr>
          <w:rFonts w:ascii="Times New Roman" w:hAnsi="Times New Roman" w:cs="Times New Roman"/>
          <w:sz w:val="24"/>
          <w:szCs w:val="24"/>
        </w:rPr>
        <w:t>’s evidence fails to provide</w:t>
      </w:r>
      <w:r w:rsidR="004D31DC" w:rsidRPr="007D5037">
        <w:rPr>
          <w:rFonts w:ascii="Times New Roman" w:hAnsi="Times New Roman" w:cs="Times New Roman"/>
          <w:sz w:val="24"/>
          <w:szCs w:val="24"/>
        </w:rPr>
        <w:t xml:space="preserve"> substantial reasons for going to full normalization.  </w:t>
      </w:r>
      <w:r w:rsidR="00582901" w:rsidRPr="007D5037">
        <w:rPr>
          <w:rFonts w:ascii="Times New Roman" w:hAnsi="Times New Roman" w:cs="Times New Roman"/>
          <w:sz w:val="24"/>
          <w:szCs w:val="24"/>
        </w:rPr>
        <w:t xml:space="preserve">  </w:t>
      </w:r>
    </w:p>
    <w:p w:rsidR="0078626C" w:rsidRDefault="00582901">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3064D">
        <w:rPr>
          <w:rFonts w:ascii="Times New Roman" w:hAnsi="Times New Roman" w:cs="Times New Roman"/>
          <w:sz w:val="24"/>
          <w:szCs w:val="24"/>
        </w:rPr>
        <w:t xml:space="preserve">In </w:t>
      </w:r>
      <w:r w:rsidR="00814257">
        <w:rPr>
          <w:rFonts w:ascii="Times New Roman" w:hAnsi="Times New Roman" w:cs="Times New Roman"/>
          <w:sz w:val="24"/>
          <w:szCs w:val="24"/>
        </w:rPr>
        <w:t xml:space="preserve">fact, </w:t>
      </w:r>
      <w:r w:rsidR="00D3064D">
        <w:rPr>
          <w:rFonts w:ascii="Times New Roman" w:hAnsi="Times New Roman" w:cs="Times New Roman"/>
          <w:sz w:val="24"/>
          <w:szCs w:val="24"/>
        </w:rPr>
        <w:t xml:space="preserve">full normalization will adversely </w:t>
      </w:r>
      <w:r w:rsidR="00675EB4">
        <w:rPr>
          <w:rFonts w:ascii="Times New Roman" w:hAnsi="Times New Roman" w:cs="Times New Roman"/>
          <w:sz w:val="24"/>
          <w:szCs w:val="24"/>
        </w:rPr>
        <w:t>impact</w:t>
      </w:r>
      <w:r w:rsidR="00D3064D">
        <w:rPr>
          <w:rFonts w:ascii="Times New Roman" w:hAnsi="Times New Roman" w:cs="Times New Roman"/>
          <w:sz w:val="24"/>
          <w:szCs w:val="24"/>
        </w:rPr>
        <w:t xml:space="preserve"> ratepayers.  </w:t>
      </w:r>
      <w:r w:rsidRPr="007D5037">
        <w:rPr>
          <w:rFonts w:ascii="Times New Roman" w:hAnsi="Times New Roman" w:cs="Times New Roman"/>
          <w:sz w:val="24"/>
          <w:szCs w:val="24"/>
        </w:rPr>
        <w:t xml:space="preserve">In general rate case filings over time, PacifiCorp has </w:t>
      </w:r>
      <w:r w:rsidR="00C22B4A">
        <w:rPr>
          <w:rFonts w:ascii="Times New Roman" w:hAnsi="Times New Roman" w:cs="Times New Roman"/>
          <w:sz w:val="24"/>
          <w:szCs w:val="24"/>
        </w:rPr>
        <w:t xml:space="preserve">offered </w:t>
      </w:r>
      <w:r w:rsidRPr="007D5037">
        <w:rPr>
          <w:rFonts w:ascii="Times New Roman" w:hAnsi="Times New Roman" w:cs="Times New Roman"/>
          <w:sz w:val="24"/>
          <w:szCs w:val="24"/>
        </w:rPr>
        <w:t xml:space="preserve">an adjustment, similar to </w:t>
      </w:r>
      <w:r w:rsidR="00C22B4A">
        <w:rPr>
          <w:rFonts w:ascii="Times New Roman" w:hAnsi="Times New Roman" w:cs="Times New Roman"/>
          <w:sz w:val="24"/>
          <w:szCs w:val="24"/>
        </w:rPr>
        <w:t>Adjustment 7.9</w:t>
      </w:r>
      <w:r w:rsidRPr="007D5037">
        <w:rPr>
          <w:rFonts w:ascii="Times New Roman" w:hAnsi="Times New Roman" w:cs="Times New Roman"/>
          <w:sz w:val="24"/>
          <w:szCs w:val="24"/>
        </w:rPr>
        <w:t xml:space="preserve">, to deferred income tax to recognize the Commission policy of flow-through tax treatment </w:t>
      </w:r>
      <w:r w:rsidRPr="007D5037">
        <w:rPr>
          <w:rFonts w:ascii="Times New Roman" w:hAnsi="Times New Roman" w:cs="Times New Roman"/>
          <w:sz w:val="24"/>
          <w:szCs w:val="24"/>
        </w:rPr>
        <w:lastRenderedPageBreak/>
        <w:t>when lawful.</w:t>
      </w:r>
      <w:r>
        <w:rPr>
          <w:rStyle w:val="FootnoteReference"/>
          <w:rFonts w:cs="Times New Roman"/>
          <w:sz w:val="24"/>
          <w:szCs w:val="24"/>
        </w:rPr>
        <w:footnoteReference w:id="78"/>
      </w:r>
      <w:r w:rsidRPr="007D5037">
        <w:rPr>
          <w:rFonts w:ascii="Times New Roman" w:hAnsi="Times New Roman" w:cs="Times New Roman"/>
          <w:sz w:val="24"/>
          <w:szCs w:val="24"/>
        </w:rPr>
        <w:t xml:space="preserve">  The Company typically makes this adjustment because, on a book basis, the Company reflects non-property related tax-book differences on a normalized basis.  Thus, an adjustment is necessary to reflect flow-through treatment.  This can be seen in past </w:t>
      </w:r>
      <w:r w:rsidR="00C22B4A">
        <w:rPr>
          <w:rFonts w:ascii="Times New Roman" w:hAnsi="Times New Roman" w:cs="Times New Roman"/>
          <w:sz w:val="24"/>
          <w:szCs w:val="24"/>
        </w:rPr>
        <w:t xml:space="preserve">rate </w:t>
      </w:r>
      <w:r w:rsidRPr="007D5037">
        <w:rPr>
          <w:rFonts w:ascii="Times New Roman" w:hAnsi="Times New Roman" w:cs="Times New Roman"/>
          <w:sz w:val="24"/>
          <w:szCs w:val="24"/>
        </w:rPr>
        <w:t>case</w:t>
      </w:r>
      <w:r w:rsidR="00C22B4A">
        <w:rPr>
          <w:rFonts w:ascii="Times New Roman" w:hAnsi="Times New Roman" w:cs="Times New Roman"/>
          <w:sz w:val="24"/>
          <w:szCs w:val="24"/>
        </w:rPr>
        <w:t xml:space="preserve"> filings</w:t>
      </w:r>
      <w:r w:rsidRPr="007D5037">
        <w:rPr>
          <w:rFonts w:ascii="Times New Roman" w:hAnsi="Times New Roman" w:cs="Times New Roman"/>
          <w:sz w:val="24"/>
          <w:szCs w:val="24"/>
        </w:rPr>
        <w:t xml:space="preserve"> </w:t>
      </w:r>
      <w:r w:rsidR="00C22B4A">
        <w:rPr>
          <w:rFonts w:ascii="Times New Roman" w:hAnsi="Times New Roman" w:cs="Times New Roman"/>
          <w:sz w:val="24"/>
          <w:szCs w:val="24"/>
        </w:rPr>
        <w:t xml:space="preserve">in addition to Adjustment 7.9 in this case </w:t>
      </w:r>
      <w:r w:rsidR="00D3064D">
        <w:rPr>
          <w:rFonts w:ascii="Times New Roman" w:hAnsi="Times New Roman" w:cs="Times New Roman"/>
          <w:sz w:val="24"/>
          <w:szCs w:val="24"/>
        </w:rPr>
        <w:t>(d</w:t>
      </w:r>
      <w:r w:rsidRPr="00D3064D">
        <w:rPr>
          <w:rFonts w:ascii="Times New Roman" w:hAnsi="Times New Roman" w:cs="Times New Roman"/>
          <w:sz w:val="24"/>
          <w:szCs w:val="24"/>
        </w:rPr>
        <w:t xml:space="preserve">ollars in </w:t>
      </w:r>
      <w:r w:rsidR="00D3064D">
        <w:rPr>
          <w:rFonts w:ascii="Times New Roman" w:hAnsi="Times New Roman" w:cs="Times New Roman"/>
          <w:sz w:val="24"/>
          <w:szCs w:val="24"/>
        </w:rPr>
        <w:t>m</w:t>
      </w:r>
      <w:r w:rsidRPr="00D3064D">
        <w:rPr>
          <w:rFonts w:ascii="Times New Roman" w:hAnsi="Times New Roman" w:cs="Times New Roman"/>
          <w:sz w:val="24"/>
          <w:szCs w:val="24"/>
        </w:rPr>
        <w:t>illions</w:t>
      </w:r>
      <w:r w:rsidR="00D3064D">
        <w:rPr>
          <w:rFonts w:ascii="Times New Roman" w:hAnsi="Times New Roman" w:cs="Times New Roman"/>
          <w:sz w:val="24"/>
          <w:szCs w:val="24"/>
        </w:rPr>
        <w:t>)</w:t>
      </w:r>
      <w:r w:rsidR="00F36141">
        <w:rPr>
          <w:rFonts w:ascii="Times New Roman" w:hAnsi="Times New Roman" w:cs="Times New Roman"/>
          <w:sz w:val="24"/>
          <w:szCs w:val="24"/>
        </w:rPr>
        <w:t>(official notice requested)</w:t>
      </w:r>
      <w:r w:rsidR="00D3064D">
        <w:rPr>
          <w:rFonts w:ascii="Times New Roman" w:hAnsi="Times New Roman" w:cs="Times New Roman"/>
          <w:sz w:val="24"/>
          <w:szCs w:val="24"/>
        </w:rPr>
        <w:t>:</w:t>
      </w:r>
    </w:p>
    <w:p w:rsidR="00582901" w:rsidRPr="00D3064D" w:rsidRDefault="00582901" w:rsidP="00582901">
      <w:pPr>
        <w:spacing w:after="0" w:line="240" w:lineRule="auto"/>
        <w:contextualSpacing/>
        <w:rPr>
          <w:rFonts w:ascii="Times New Roman" w:hAnsi="Times New Roman" w:cs="Times New Roman"/>
          <w:sz w:val="24"/>
          <w:szCs w:val="24"/>
        </w:rPr>
      </w:pPr>
    </w:p>
    <w:p w:rsidR="00582901" w:rsidRPr="00D3064D" w:rsidRDefault="00582901" w:rsidP="00582901">
      <w:pPr>
        <w:spacing w:after="0" w:line="480" w:lineRule="auto"/>
        <w:ind w:left="540" w:right="-252"/>
        <w:contextualSpacing/>
        <w:rPr>
          <w:rFonts w:ascii="Times New Roman" w:hAnsi="Times New Roman" w:cs="Times New Roman"/>
          <w:sz w:val="24"/>
          <w:szCs w:val="24"/>
        </w:rPr>
      </w:pPr>
      <w:r w:rsidRPr="00D3064D">
        <w:rPr>
          <w:rFonts w:ascii="Times New Roman" w:hAnsi="Times New Roman" w:cs="Times New Roman"/>
          <w:sz w:val="24"/>
          <w:szCs w:val="24"/>
          <w:u w:val="single"/>
        </w:rPr>
        <w:t>Docket</w:t>
      </w:r>
      <w:r w:rsidRPr="00D3064D">
        <w:rPr>
          <w:rFonts w:ascii="Times New Roman" w:hAnsi="Times New Roman" w:cs="Times New Roman"/>
          <w:sz w:val="24"/>
          <w:szCs w:val="24"/>
        </w:rPr>
        <w:tab/>
      </w:r>
      <w:r w:rsidRPr="00D3064D">
        <w:rPr>
          <w:rFonts w:ascii="Times New Roman" w:hAnsi="Times New Roman" w:cs="Times New Roman"/>
          <w:sz w:val="24"/>
          <w:szCs w:val="24"/>
        </w:rPr>
        <w:tab/>
      </w:r>
      <w:r w:rsidRPr="00D3064D">
        <w:rPr>
          <w:rFonts w:ascii="Times New Roman" w:hAnsi="Times New Roman" w:cs="Times New Roman"/>
          <w:sz w:val="24"/>
          <w:szCs w:val="24"/>
        </w:rPr>
        <w:tab/>
      </w:r>
      <w:r w:rsidRPr="00D3064D">
        <w:rPr>
          <w:rFonts w:ascii="Times New Roman" w:hAnsi="Times New Roman" w:cs="Times New Roman"/>
          <w:sz w:val="24"/>
          <w:szCs w:val="24"/>
          <w:u w:val="single"/>
        </w:rPr>
        <w:t>NOI</w:t>
      </w:r>
      <w:r w:rsidRPr="00D3064D">
        <w:rPr>
          <w:rFonts w:ascii="Times New Roman" w:hAnsi="Times New Roman" w:cs="Times New Roman"/>
          <w:sz w:val="24"/>
          <w:szCs w:val="24"/>
        </w:rPr>
        <w:tab/>
      </w:r>
      <w:r w:rsidRPr="00D3064D">
        <w:rPr>
          <w:rFonts w:ascii="Times New Roman" w:hAnsi="Times New Roman" w:cs="Times New Roman"/>
          <w:sz w:val="24"/>
          <w:szCs w:val="24"/>
        </w:rPr>
        <w:tab/>
      </w:r>
      <w:r w:rsidRPr="00D3064D">
        <w:rPr>
          <w:rFonts w:ascii="Times New Roman" w:hAnsi="Times New Roman" w:cs="Times New Roman"/>
          <w:sz w:val="24"/>
          <w:szCs w:val="24"/>
          <w:u w:val="single"/>
        </w:rPr>
        <w:t>Rate Base</w:t>
      </w:r>
      <w:r w:rsidRPr="00D3064D">
        <w:rPr>
          <w:rFonts w:ascii="Times New Roman" w:hAnsi="Times New Roman" w:cs="Times New Roman"/>
          <w:sz w:val="24"/>
          <w:szCs w:val="24"/>
        </w:rPr>
        <w:tab/>
      </w:r>
      <w:r w:rsidRPr="00D3064D">
        <w:rPr>
          <w:rFonts w:ascii="Times New Roman" w:hAnsi="Times New Roman" w:cs="Times New Roman"/>
          <w:sz w:val="24"/>
          <w:szCs w:val="24"/>
          <w:u w:val="single"/>
        </w:rPr>
        <w:t>Rev Req</w:t>
      </w:r>
      <w:r w:rsidRPr="00D3064D">
        <w:rPr>
          <w:rFonts w:ascii="Times New Roman" w:hAnsi="Times New Roman" w:cs="Times New Roman"/>
          <w:sz w:val="24"/>
          <w:szCs w:val="24"/>
        </w:rPr>
        <w:tab/>
      </w:r>
      <w:r w:rsidRPr="00D3064D">
        <w:rPr>
          <w:rFonts w:ascii="Times New Roman" w:hAnsi="Times New Roman" w:cs="Times New Roman"/>
          <w:sz w:val="24"/>
          <w:szCs w:val="24"/>
          <w:u w:val="single"/>
        </w:rPr>
        <w:t xml:space="preserve">Adjustment </w:t>
      </w:r>
    </w:p>
    <w:p w:rsidR="00582901" w:rsidRPr="00D3064D" w:rsidRDefault="00582901" w:rsidP="00582901">
      <w:pPr>
        <w:spacing w:after="0" w:line="480" w:lineRule="auto"/>
        <w:ind w:left="540" w:right="-252"/>
        <w:contextualSpacing/>
        <w:rPr>
          <w:rFonts w:ascii="Times New Roman" w:hAnsi="Times New Roman" w:cs="Times New Roman"/>
          <w:sz w:val="24"/>
          <w:szCs w:val="24"/>
        </w:rPr>
      </w:pPr>
      <w:r w:rsidRPr="00D3064D">
        <w:rPr>
          <w:rFonts w:ascii="Times New Roman" w:hAnsi="Times New Roman" w:cs="Times New Roman"/>
          <w:sz w:val="24"/>
          <w:szCs w:val="24"/>
        </w:rPr>
        <w:t>UE-100749</w:t>
      </w:r>
      <w:r w:rsidRPr="00D3064D">
        <w:rPr>
          <w:rFonts w:ascii="Times New Roman" w:hAnsi="Times New Roman" w:cs="Times New Roman"/>
          <w:sz w:val="24"/>
          <w:szCs w:val="24"/>
        </w:rPr>
        <w:tab/>
      </w:r>
      <w:r w:rsidRPr="00D3064D">
        <w:rPr>
          <w:rFonts w:ascii="Times New Roman" w:hAnsi="Times New Roman" w:cs="Times New Roman"/>
          <w:sz w:val="24"/>
          <w:szCs w:val="24"/>
        </w:rPr>
        <w:tab/>
        <w:t>$0.3</w:t>
      </w:r>
      <w:r w:rsidRPr="00D3064D">
        <w:rPr>
          <w:rFonts w:ascii="Times New Roman" w:hAnsi="Times New Roman" w:cs="Times New Roman"/>
          <w:sz w:val="24"/>
          <w:szCs w:val="24"/>
        </w:rPr>
        <w:tab/>
      </w:r>
      <w:r w:rsidRPr="00D3064D">
        <w:rPr>
          <w:rFonts w:ascii="Times New Roman" w:hAnsi="Times New Roman" w:cs="Times New Roman"/>
          <w:sz w:val="24"/>
          <w:szCs w:val="24"/>
        </w:rPr>
        <w:tab/>
        <w:t xml:space="preserve">   $(5.4)</w:t>
      </w:r>
      <w:r w:rsidRPr="00D3064D">
        <w:rPr>
          <w:rFonts w:ascii="Times New Roman" w:hAnsi="Times New Roman" w:cs="Times New Roman"/>
          <w:sz w:val="24"/>
          <w:szCs w:val="24"/>
        </w:rPr>
        <w:tab/>
        <w:t xml:space="preserve">  $(1.2)</w:t>
      </w:r>
      <w:r w:rsidRPr="00D3064D">
        <w:rPr>
          <w:rFonts w:ascii="Times New Roman" w:hAnsi="Times New Roman" w:cs="Times New Roman"/>
          <w:sz w:val="24"/>
          <w:szCs w:val="24"/>
        </w:rPr>
        <w:tab/>
      </w:r>
      <w:r w:rsidRPr="00D3064D">
        <w:rPr>
          <w:rFonts w:ascii="Times New Roman" w:hAnsi="Times New Roman" w:cs="Times New Roman"/>
          <w:sz w:val="24"/>
          <w:szCs w:val="24"/>
        </w:rPr>
        <w:tab/>
        <w:t>7.9</w:t>
      </w:r>
      <w:r w:rsidR="00C22B4A">
        <w:rPr>
          <w:rStyle w:val="FootnoteReference"/>
          <w:rFonts w:cs="Times New Roman"/>
          <w:szCs w:val="24"/>
        </w:rPr>
        <w:footnoteReference w:id="79"/>
      </w:r>
    </w:p>
    <w:p w:rsidR="00582901" w:rsidRPr="00D3064D" w:rsidRDefault="00582901" w:rsidP="00582901">
      <w:pPr>
        <w:spacing w:after="0" w:line="480" w:lineRule="auto"/>
        <w:ind w:left="540" w:right="-252"/>
        <w:contextualSpacing/>
        <w:rPr>
          <w:rFonts w:ascii="Times New Roman" w:hAnsi="Times New Roman" w:cs="Times New Roman"/>
          <w:sz w:val="24"/>
          <w:szCs w:val="24"/>
        </w:rPr>
      </w:pPr>
      <w:r w:rsidRPr="00D3064D">
        <w:rPr>
          <w:rFonts w:ascii="Times New Roman" w:hAnsi="Times New Roman" w:cs="Times New Roman"/>
          <w:sz w:val="24"/>
          <w:szCs w:val="24"/>
        </w:rPr>
        <w:t>UE</w:t>
      </w:r>
      <w:r w:rsidR="00C22B4A">
        <w:rPr>
          <w:rFonts w:ascii="Times New Roman" w:hAnsi="Times New Roman" w:cs="Times New Roman"/>
          <w:sz w:val="24"/>
          <w:szCs w:val="24"/>
        </w:rPr>
        <w:t>-</w:t>
      </w:r>
      <w:r w:rsidRPr="00D3064D">
        <w:rPr>
          <w:rFonts w:ascii="Times New Roman" w:hAnsi="Times New Roman" w:cs="Times New Roman"/>
          <w:sz w:val="24"/>
          <w:szCs w:val="24"/>
        </w:rPr>
        <w:t>090205</w:t>
      </w:r>
      <w:r w:rsidRPr="00D3064D">
        <w:rPr>
          <w:rFonts w:ascii="Times New Roman" w:hAnsi="Times New Roman" w:cs="Times New Roman"/>
          <w:sz w:val="24"/>
          <w:szCs w:val="24"/>
        </w:rPr>
        <w:tab/>
      </w:r>
      <w:r w:rsidRPr="00D3064D">
        <w:rPr>
          <w:rFonts w:ascii="Times New Roman" w:hAnsi="Times New Roman" w:cs="Times New Roman"/>
          <w:sz w:val="24"/>
          <w:szCs w:val="24"/>
        </w:rPr>
        <w:tab/>
        <w:t>$2.1</w:t>
      </w:r>
      <w:r w:rsidRPr="00D3064D">
        <w:rPr>
          <w:rFonts w:ascii="Times New Roman" w:hAnsi="Times New Roman" w:cs="Times New Roman"/>
          <w:sz w:val="24"/>
          <w:szCs w:val="24"/>
        </w:rPr>
        <w:tab/>
      </w:r>
      <w:r w:rsidRPr="00D3064D">
        <w:rPr>
          <w:rFonts w:ascii="Times New Roman" w:hAnsi="Times New Roman" w:cs="Times New Roman"/>
          <w:sz w:val="24"/>
          <w:szCs w:val="24"/>
        </w:rPr>
        <w:tab/>
        <w:t xml:space="preserve">   $(2.9)</w:t>
      </w:r>
      <w:r w:rsidRPr="00D3064D">
        <w:rPr>
          <w:rFonts w:ascii="Times New Roman" w:hAnsi="Times New Roman" w:cs="Times New Roman"/>
          <w:sz w:val="24"/>
          <w:szCs w:val="24"/>
        </w:rPr>
        <w:tab/>
        <w:t xml:space="preserve">  $(4.2)</w:t>
      </w:r>
      <w:r w:rsidRPr="00D3064D">
        <w:rPr>
          <w:rFonts w:ascii="Times New Roman" w:hAnsi="Times New Roman" w:cs="Times New Roman"/>
          <w:sz w:val="24"/>
          <w:szCs w:val="24"/>
        </w:rPr>
        <w:tab/>
      </w:r>
      <w:r w:rsidRPr="00D3064D">
        <w:rPr>
          <w:rFonts w:ascii="Times New Roman" w:hAnsi="Times New Roman" w:cs="Times New Roman"/>
          <w:sz w:val="24"/>
          <w:szCs w:val="24"/>
        </w:rPr>
        <w:tab/>
        <w:t>PacifiCorp 7.5/6</w:t>
      </w:r>
      <w:r w:rsidR="00F36141">
        <w:rPr>
          <w:rStyle w:val="FootnoteReference"/>
          <w:rFonts w:cs="Times New Roman"/>
          <w:szCs w:val="24"/>
        </w:rPr>
        <w:footnoteReference w:id="80"/>
      </w:r>
    </w:p>
    <w:p w:rsidR="00582901" w:rsidRPr="00D3064D" w:rsidRDefault="00582901" w:rsidP="00582901">
      <w:pPr>
        <w:spacing w:after="0" w:line="480" w:lineRule="auto"/>
        <w:ind w:left="540" w:right="-252"/>
        <w:contextualSpacing/>
        <w:rPr>
          <w:rFonts w:ascii="Times New Roman" w:hAnsi="Times New Roman" w:cs="Times New Roman"/>
          <w:sz w:val="24"/>
          <w:szCs w:val="24"/>
        </w:rPr>
      </w:pPr>
      <w:proofErr w:type="spellStart"/>
      <w:r w:rsidRPr="00D3064D">
        <w:rPr>
          <w:rFonts w:ascii="Times New Roman" w:hAnsi="Times New Roman" w:cs="Times New Roman"/>
          <w:sz w:val="24"/>
          <w:szCs w:val="24"/>
        </w:rPr>
        <w:t>UE</w:t>
      </w:r>
      <w:proofErr w:type="spellEnd"/>
      <w:r w:rsidRPr="00D3064D">
        <w:rPr>
          <w:rFonts w:ascii="Times New Roman" w:hAnsi="Times New Roman" w:cs="Times New Roman"/>
          <w:sz w:val="24"/>
          <w:szCs w:val="24"/>
        </w:rPr>
        <w:t>-061546</w:t>
      </w:r>
      <w:r w:rsidRPr="00D3064D">
        <w:rPr>
          <w:rFonts w:ascii="Times New Roman" w:hAnsi="Times New Roman" w:cs="Times New Roman"/>
          <w:sz w:val="24"/>
          <w:szCs w:val="24"/>
        </w:rPr>
        <w:tab/>
      </w:r>
      <w:r w:rsidRPr="00D3064D">
        <w:rPr>
          <w:rFonts w:ascii="Times New Roman" w:hAnsi="Times New Roman" w:cs="Times New Roman"/>
          <w:sz w:val="24"/>
          <w:szCs w:val="24"/>
        </w:rPr>
        <w:tab/>
        <w:t>$1.2</w:t>
      </w:r>
      <w:r w:rsidRPr="00D3064D">
        <w:rPr>
          <w:rFonts w:ascii="Times New Roman" w:hAnsi="Times New Roman" w:cs="Times New Roman"/>
          <w:sz w:val="24"/>
          <w:szCs w:val="24"/>
        </w:rPr>
        <w:tab/>
      </w:r>
      <w:r w:rsidRPr="00D3064D">
        <w:rPr>
          <w:rFonts w:ascii="Times New Roman" w:hAnsi="Times New Roman" w:cs="Times New Roman"/>
          <w:sz w:val="24"/>
          <w:szCs w:val="24"/>
        </w:rPr>
        <w:tab/>
        <w:t>$(10.5)</w:t>
      </w:r>
      <w:r w:rsidRPr="00D3064D">
        <w:rPr>
          <w:rFonts w:ascii="Times New Roman" w:hAnsi="Times New Roman" w:cs="Times New Roman"/>
          <w:sz w:val="24"/>
          <w:szCs w:val="24"/>
        </w:rPr>
        <w:tab/>
      </w:r>
      <w:r w:rsidRPr="00D3064D">
        <w:rPr>
          <w:rFonts w:ascii="Times New Roman" w:hAnsi="Times New Roman" w:cs="Times New Roman"/>
          <w:sz w:val="24"/>
          <w:szCs w:val="24"/>
        </w:rPr>
        <w:tab/>
        <w:t xml:space="preserve">  $(3</w:t>
      </w:r>
      <w:r w:rsidR="00E25F62">
        <w:rPr>
          <w:rFonts w:ascii="Times New Roman" w:hAnsi="Times New Roman" w:cs="Times New Roman"/>
          <w:sz w:val="24"/>
          <w:szCs w:val="24"/>
        </w:rPr>
        <w:t>.3)</w:t>
      </w:r>
      <w:r w:rsidR="00E25F62">
        <w:rPr>
          <w:rFonts w:ascii="Times New Roman" w:hAnsi="Times New Roman" w:cs="Times New Roman"/>
          <w:sz w:val="24"/>
          <w:szCs w:val="24"/>
        </w:rPr>
        <w:tab/>
      </w:r>
      <w:r w:rsidR="00E25F62">
        <w:rPr>
          <w:rFonts w:ascii="Times New Roman" w:hAnsi="Times New Roman" w:cs="Times New Roman"/>
          <w:sz w:val="24"/>
          <w:szCs w:val="24"/>
        </w:rPr>
        <w:tab/>
        <w:t>PacifiCorp 7.5</w:t>
      </w:r>
      <w:r w:rsidR="00F36141">
        <w:rPr>
          <w:rStyle w:val="FootnoteReference"/>
          <w:rFonts w:cs="Times New Roman"/>
          <w:szCs w:val="24"/>
        </w:rPr>
        <w:footnoteReference w:id="81"/>
      </w:r>
    </w:p>
    <w:p w:rsidR="00582901" w:rsidRPr="007D5037" w:rsidRDefault="00E25F62" w:rsidP="00582901">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t>These dollars reflect the amoun</w:t>
      </w:r>
      <w:r w:rsidR="00582901" w:rsidRPr="007D5037">
        <w:rPr>
          <w:rFonts w:ascii="Times New Roman" w:hAnsi="Times New Roman" w:cs="Times New Roman"/>
          <w:sz w:val="24"/>
          <w:szCs w:val="24"/>
        </w:rPr>
        <w:t>t</w:t>
      </w:r>
      <w:r w:rsidR="00582901" w:rsidRPr="00D3064D">
        <w:rPr>
          <w:rFonts w:ascii="Times New Roman" w:hAnsi="Times New Roman" w:cs="Times New Roman"/>
          <w:sz w:val="24"/>
          <w:szCs w:val="24"/>
        </w:rPr>
        <w:t>s removed to reflect flow</w:t>
      </w:r>
      <w:r w:rsidR="00C22B4A">
        <w:rPr>
          <w:rFonts w:ascii="Times New Roman" w:hAnsi="Times New Roman" w:cs="Times New Roman"/>
          <w:sz w:val="24"/>
          <w:szCs w:val="24"/>
        </w:rPr>
        <w:t>-</w:t>
      </w:r>
      <w:r w:rsidR="00582901" w:rsidRPr="00D3064D">
        <w:rPr>
          <w:rFonts w:ascii="Times New Roman" w:hAnsi="Times New Roman" w:cs="Times New Roman"/>
          <w:sz w:val="24"/>
          <w:szCs w:val="24"/>
        </w:rPr>
        <w:t xml:space="preserve">through treatment, when such treatment was consistent with the IRC.  The Commission’s acceptance of Staff Adjustment 7.9 in this case is consistent with this policy.  It is also evident, in each of the cases shown above, </w:t>
      </w:r>
      <w:r w:rsidR="00D3064D">
        <w:rPr>
          <w:rFonts w:ascii="Times New Roman" w:hAnsi="Times New Roman" w:cs="Times New Roman"/>
          <w:sz w:val="24"/>
          <w:szCs w:val="24"/>
        </w:rPr>
        <w:t xml:space="preserve">that </w:t>
      </w:r>
      <w:r w:rsidR="00582901" w:rsidRPr="00D3064D">
        <w:rPr>
          <w:rFonts w:ascii="Times New Roman" w:hAnsi="Times New Roman" w:cs="Times New Roman"/>
          <w:sz w:val="24"/>
          <w:szCs w:val="24"/>
        </w:rPr>
        <w:t>ratepayers benefit from the use of flow-through income tax tre</w:t>
      </w:r>
      <w:r w:rsidR="00582901">
        <w:rPr>
          <w:rFonts w:ascii="Times New Roman" w:hAnsi="Times New Roman" w:cs="Times New Roman"/>
          <w:sz w:val="24"/>
          <w:szCs w:val="24"/>
        </w:rPr>
        <w:t xml:space="preserve">atment based on the </w:t>
      </w:r>
      <w:r w:rsidR="00C22B4A">
        <w:rPr>
          <w:rFonts w:ascii="Times New Roman" w:hAnsi="Times New Roman" w:cs="Times New Roman"/>
          <w:sz w:val="24"/>
          <w:szCs w:val="24"/>
        </w:rPr>
        <w:t xml:space="preserve">accompanying </w:t>
      </w:r>
      <w:r w:rsidR="00582901">
        <w:rPr>
          <w:rFonts w:ascii="Times New Roman" w:hAnsi="Times New Roman" w:cs="Times New Roman"/>
          <w:sz w:val="24"/>
          <w:szCs w:val="24"/>
        </w:rPr>
        <w:t>revenue requirement reduction</w:t>
      </w:r>
      <w:r w:rsidR="000B56BC">
        <w:rPr>
          <w:rFonts w:ascii="Times New Roman" w:hAnsi="Times New Roman" w:cs="Times New Roman"/>
          <w:sz w:val="24"/>
          <w:szCs w:val="24"/>
        </w:rPr>
        <w:t>.  If a full normalization policy existed, these adjustments would not have been made.</w:t>
      </w:r>
    </w:p>
    <w:p w:rsidR="004D31DC" w:rsidRDefault="00582901" w:rsidP="004D31DC">
      <w:pPr>
        <w:spacing w:after="0" w:line="240" w:lineRule="auto"/>
        <w:ind w:left="1440" w:hanging="720"/>
        <w:contextualSpacing/>
        <w:rPr>
          <w:rFonts w:ascii="Times New Roman" w:hAnsi="Times New Roman" w:cs="Times New Roman"/>
          <w:b/>
          <w:sz w:val="24"/>
          <w:szCs w:val="24"/>
        </w:rPr>
      </w:pPr>
      <w:r>
        <w:rPr>
          <w:rFonts w:ascii="Times New Roman" w:hAnsi="Times New Roman" w:cs="Times New Roman"/>
          <w:b/>
          <w:sz w:val="24"/>
          <w:szCs w:val="24"/>
        </w:rPr>
        <w:t>7</w:t>
      </w:r>
      <w:r w:rsidR="004D31DC">
        <w:rPr>
          <w:rFonts w:ascii="Times New Roman" w:hAnsi="Times New Roman" w:cs="Times New Roman"/>
          <w:b/>
          <w:sz w:val="24"/>
          <w:szCs w:val="24"/>
        </w:rPr>
        <w:t>.</w:t>
      </w:r>
      <w:r w:rsidR="004D31DC">
        <w:rPr>
          <w:rFonts w:ascii="Times New Roman" w:hAnsi="Times New Roman" w:cs="Times New Roman"/>
          <w:b/>
          <w:sz w:val="24"/>
          <w:szCs w:val="24"/>
        </w:rPr>
        <w:tab/>
      </w:r>
      <w:r w:rsidR="004D31DC" w:rsidRPr="00A01367">
        <w:rPr>
          <w:rFonts w:ascii="Times New Roman" w:hAnsi="Times New Roman" w:cs="Times New Roman"/>
          <w:b/>
          <w:sz w:val="24"/>
          <w:szCs w:val="24"/>
        </w:rPr>
        <w:t xml:space="preserve">PacifiCorp </w:t>
      </w:r>
      <w:r w:rsidR="004D31DC">
        <w:rPr>
          <w:rFonts w:ascii="Times New Roman" w:hAnsi="Times New Roman" w:cs="Times New Roman"/>
          <w:b/>
          <w:sz w:val="24"/>
          <w:szCs w:val="24"/>
        </w:rPr>
        <w:t xml:space="preserve">is Wrong to </w:t>
      </w:r>
      <w:r w:rsidR="004D31DC" w:rsidRPr="00A01367">
        <w:rPr>
          <w:rFonts w:ascii="Times New Roman" w:hAnsi="Times New Roman" w:cs="Times New Roman"/>
          <w:b/>
          <w:sz w:val="24"/>
          <w:szCs w:val="24"/>
        </w:rPr>
        <w:t>Claim th</w:t>
      </w:r>
      <w:r w:rsidR="004D31DC">
        <w:rPr>
          <w:rFonts w:ascii="Times New Roman" w:hAnsi="Times New Roman" w:cs="Times New Roman"/>
          <w:b/>
          <w:sz w:val="24"/>
          <w:szCs w:val="24"/>
        </w:rPr>
        <w:t>e</w:t>
      </w:r>
      <w:r w:rsidR="004D31DC" w:rsidRPr="00A01367">
        <w:rPr>
          <w:rFonts w:ascii="Times New Roman" w:hAnsi="Times New Roman" w:cs="Times New Roman"/>
          <w:b/>
          <w:sz w:val="24"/>
          <w:szCs w:val="24"/>
        </w:rPr>
        <w:t xml:space="preserve"> Order </w:t>
      </w:r>
      <w:r w:rsidR="004D31DC">
        <w:rPr>
          <w:rFonts w:ascii="Times New Roman" w:hAnsi="Times New Roman" w:cs="Times New Roman"/>
          <w:b/>
          <w:sz w:val="24"/>
          <w:szCs w:val="24"/>
        </w:rPr>
        <w:t>W</w:t>
      </w:r>
      <w:r w:rsidR="004D31DC" w:rsidRPr="00A01367">
        <w:rPr>
          <w:rFonts w:ascii="Times New Roman" w:hAnsi="Times New Roman" w:cs="Times New Roman"/>
          <w:b/>
          <w:sz w:val="24"/>
          <w:szCs w:val="24"/>
        </w:rPr>
        <w:t xml:space="preserve">ill Require an Unexpected </w:t>
      </w:r>
      <w:r w:rsidR="004D31DC">
        <w:rPr>
          <w:rFonts w:ascii="Times New Roman" w:hAnsi="Times New Roman" w:cs="Times New Roman"/>
          <w:b/>
          <w:sz w:val="24"/>
          <w:szCs w:val="24"/>
        </w:rPr>
        <w:t>$</w:t>
      </w:r>
      <w:r w:rsidR="004D31DC" w:rsidRPr="00A01367">
        <w:rPr>
          <w:rFonts w:ascii="Times New Roman" w:hAnsi="Times New Roman" w:cs="Times New Roman"/>
          <w:b/>
          <w:sz w:val="24"/>
          <w:szCs w:val="24"/>
        </w:rPr>
        <w:t>5.4 Million in Income Tax Expense</w:t>
      </w:r>
    </w:p>
    <w:p w:rsidR="004D31DC" w:rsidRDefault="004D31DC" w:rsidP="004D31DC">
      <w:pPr>
        <w:spacing w:after="0" w:line="240" w:lineRule="auto"/>
        <w:rPr>
          <w:rFonts w:ascii="Times New Roman" w:hAnsi="Times New Roman" w:cs="Times New Roman"/>
          <w:sz w:val="24"/>
          <w:szCs w:val="24"/>
        </w:rPr>
      </w:pPr>
    </w:p>
    <w:p w:rsidR="00D3064D" w:rsidRDefault="007D5037" w:rsidP="007D503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D31DC" w:rsidRPr="007D5037">
        <w:rPr>
          <w:rFonts w:ascii="Times New Roman" w:hAnsi="Times New Roman" w:cs="Times New Roman"/>
          <w:sz w:val="24"/>
          <w:szCs w:val="24"/>
        </w:rPr>
        <w:t>Throughout its Petition, PacifiCorp refers to a $5.4 million income tax expense adjustment it must endure related to regulatory assets.</w:t>
      </w:r>
      <w:r w:rsidR="004D31DC">
        <w:rPr>
          <w:rStyle w:val="FootnoteReference"/>
          <w:rFonts w:cs="Times New Roman"/>
          <w:sz w:val="24"/>
          <w:szCs w:val="24"/>
        </w:rPr>
        <w:footnoteReference w:id="82"/>
      </w:r>
      <w:r w:rsidR="004D31DC" w:rsidRPr="007D5037">
        <w:rPr>
          <w:rFonts w:ascii="Times New Roman" w:hAnsi="Times New Roman" w:cs="Times New Roman"/>
          <w:sz w:val="24"/>
          <w:szCs w:val="24"/>
        </w:rPr>
        <w:t xml:space="preserve">  The Company is mistaken.  The $5.4 million represents the rate base decrease included in Staff Adjustment 7.9.  This </w:t>
      </w:r>
      <w:r w:rsidR="004D31DC" w:rsidRPr="007D5037">
        <w:rPr>
          <w:rFonts w:ascii="Times New Roman" w:hAnsi="Times New Roman" w:cs="Times New Roman"/>
          <w:sz w:val="24"/>
          <w:szCs w:val="24"/>
        </w:rPr>
        <w:lastRenderedPageBreak/>
        <w:t>adjustment recognizes flow-through for book</w:t>
      </w:r>
      <w:r w:rsidR="00582901">
        <w:rPr>
          <w:rFonts w:ascii="Times New Roman" w:hAnsi="Times New Roman" w:cs="Times New Roman"/>
          <w:sz w:val="24"/>
          <w:szCs w:val="24"/>
        </w:rPr>
        <w:t>-</w:t>
      </w:r>
      <w:r w:rsidR="004D31DC" w:rsidRPr="007D5037">
        <w:rPr>
          <w:rFonts w:ascii="Times New Roman" w:hAnsi="Times New Roman" w:cs="Times New Roman"/>
          <w:sz w:val="24"/>
          <w:szCs w:val="24"/>
        </w:rPr>
        <w:t>tax differences that are lawful and not deferred by Commission order</w:t>
      </w:r>
      <w:r w:rsidR="00F36141">
        <w:rPr>
          <w:rFonts w:ascii="Times New Roman" w:hAnsi="Times New Roman" w:cs="Times New Roman"/>
          <w:sz w:val="24"/>
          <w:szCs w:val="24"/>
        </w:rPr>
        <w:t>.</w:t>
      </w:r>
      <w:r w:rsidR="004D31DC">
        <w:rPr>
          <w:rStyle w:val="FootnoteReference"/>
          <w:rFonts w:cs="Times New Roman"/>
          <w:sz w:val="24"/>
          <w:szCs w:val="24"/>
        </w:rPr>
        <w:footnoteReference w:id="83"/>
      </w:r>
      <w:r w:rsidR="004D31DC" w:rsidRPr="007D5037">
        <w:rPr>
          <w:rFonts w:ascii="Times New Roman" w:hAnsi="Times New Roman" w:cs="Times New Roman"/>
          <w:sz w:val="24"/>
          <w:szCs w:val="24"/>
        </w:rPr>
        <w:t xml:space="preserve">  It represents taxes related primarily to recurring accrued liabilities </w:t>
      </w:r>
      <w:r w:rsidR="00582901">
        <w:rPr>
          <w:rFonts w:ascii="Times New Roman" w:hAnsi="Times New Roman" w:cs="Times New Roman"/>
          <w:sz w:val="24"/>
          <w:szCs w:val="24"/>
        </w:rPr>
        <w:t>which</w:t>
      </w:r>
      <w:r w:rsidR="004D31DC" w:rsidRPr="007D5037">
        <w:rPr>
          <w:rFonts w:ascii="Times New Roman" w:hAnsi="Times New Roman" w:cs="Times New Roman"/>
          <w:sz w:val="24"/>
          <w:szCs w:val="24"/>
        </w:rPr>
        <w:t xml:space="preserve"> create book</w:t>
      </w:r>
      <w:r w:rsidR="00582901">
        <w:rPr>
          <w:rFonts w:ascii="Times New Roman" w:hAnsi="Times New Roman" w:cs="Times New Roman"/>
          <w:sz w:val="24"/>
          <w:szCs w:val="24"/>
        </w:rPr>
        <w:t>-</w:t>
      </w:r>
      <w:r w:rsidR="004D31DC" w:rsidRPr="007D5037">
        <w:rPr>
          <w:rFonts w:ascii="Times New Roman" w:hAnsi="Times New Roman" w:cs="Times New Roman"/>
          <w:sz w:val="24"/>
          <w:szCs w:val="24"/>
        </w:rPr>
        <w:t>tax difference</w:t>
      </w:r>
      <w:r w:rsidR="00582901">
        <w:rPr>
          <w:rFonts w:ascii="Times New Roman" w:hAnsi="Times New Roman" w:cs="Times New Roman"/>
          <w:sz w:val="24"/>
          <w:szCs w:val="24"/>
        </w:rPr>
        <w:t>s</w:t>
      </w:r>
      <w:r w:rsidR="004D31DC" w:rsidRPr="007D5037">
        <w:rPr>
          <w:rFonts w:ascii="Times New Roman" w:hAnsi="Times New Roman" w:cs="Times New Roman"/>
          <w:sz w:val="24"/>
          <w:szCs w:val="24"/>
        </w:rPr>
        <w:t xml:space="preserve"> because </w:t>
      </w:r>
      <w:r w:rsidR="00582901">
        <w:rPr>
          <w:rFonts w:ascii="Times New Roman" w:hAnsi="Times New Roman" w:cs="Times New Roman"/>
          <w:sz w:val="24"/>
          <w:szCs w:val="24"/>
        </w:rPr>
        <w:t>these liabilities</w:t>
      </w:r>
      <w:r w:rsidR="004D31DC" w:rsidRPr="007D5037">
        <w:rPr>
          <w:rFonts w:ascii="Times New Roman" w:hAnsi="Times New Roman" w:cs="Times New Roman"/>
          <w:sz w:val="24"/>
          <w:szCs w:val="24"/>
        </w:rPr>
        <w:t xml:space="preserve"> are accrued for book purposes but not paid or recognized for tax purposes.  The net operating income amount is $0.3 million with a revenue requirement of $1.2 million.</w:t>
      </w:r>
      <w:r w:rsidR="00582901">
        <w:rPr>
          <w:rStyle w:val="FootnoteReference"/>
          <w:rFonts w:cs="Times New Roman"/>
          <w:szCs w:val="24"/>
        </w:rPr>
        <w:footnoteReference w:id="84"/>
      </w:r>
      <w:r w:rsidR="004D31DC" w:rsidRPr="007D5037">
        <w:rPr>
          <w:rFonts w:ascii="Times New Roman" w:hAnsi="Times New Roman" w:cs="Times New Roman"/>
          <w:sz w:val="24"/>
          <w:szCs w:val="24"/>
        </w:rPr>
        <w:t xml:space="preserve">  </w:t>
      </w:r>
    </w:p>
    <w:p w:rsidR="004D31DC" w:rsidRPr="007D5037" w:rsidRDefault="00D3064D" w:rsidP="007D503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D31DC" w:rsidRPr="007D5037">
        <w:rPr>
          <w:rFonts w:ascii="Times New Roman" w:hAnsi="Times New Roman" w:cs="Times New Roman"/>
          <w:sz w:val="24"/>
          <w:szCs w:val="24"/>
        </w:rPr>
        <w:t xml:space="preserve">In short, regulatory assets simply are not included in that $5.4 million rate base portion of this adjustment.  </w:t>
      </w:r>
      <w:r w:rsidR="00EB4458">
        <w:rPr>
          <w:rFonts w:ascii="Times New Roman" w:hAnsi="Times New Roman" w:cs="Times New Roman"/>
          <w:sz w:val="24"/>
          <w:szCs w:val="24"/>
        </w:rPr>
        <w:t xml:space="preserve">As stated above, both PacifiCorp and Staff have consistently included the regulatory assets and </w:t>
      </w:r>
      <w:r w:rsidR="00E25FFC">
        <w:rPr>
          <w:rFonts w:ascii="Times New Roman" w:hAnsi="Times New Roman" w:cs="Times New Roman"/>
          <w:sz w:val="24"/>
          <w:szCs w:val="24"/>
        </w:rPr>
        <w:t xml:space="preserve">their </w:t>
      </w:r>
      <w:r w:rsidR="00EB4458">
        <w:rPr>
          <w:rFonts w:ascii="Times New Roman" w:hAnsi="Times New Roman" w:cs="Times New Roman"/>
          <w:sz w:val="24"/>
          <w:szCs w:val="24"/>
        </w:rPr>
        <w:t>related deferred taxes</w:t>
      </w:r>
      <w:r w:rsidR="00E25FFC">
        <w:rPr>
          <w:rFonts w:ascii="Times New Roman" w:hAnsi="Times New Roman" w:cs="Times New Roman"/>
          <w:sz w:val="24"/>
          <w:szCs w:val="24"/>
        </w:rPr>
        <w:t xml:space="preserve"> in this case</w:t>
      </w:r>
      <w:r w:rsidR="00C22B4A">
        <w:rPr>
          <w:rFonts w:ascii="Times New Roman" w:hAnsi="Times New Roman" w:cs="Times New Roman"/>
          <w:sz w:val="24"/>
          <w:szCs w:val="24"/>
        </w:rPr>
        <w:t>,</w:t>
      </w:r>
      <w:r w:rsidR="00E25FFC">
        <w:rPr>
          <w:rFonts w:ascii="Times New Roman" w:hAnsi="Times New Roman" w:cs="Times New Roman"/>
          <w:sz w:val="24"/>
          <w:szCs w:val="24"/>
        </w:rPr>
        <w:t xml:space="preserve"> including</w:t>
      </w:r>
      <w:r w:rsidR="00EB4458">
        <w:rPr>
          <w:rFonts w:ascii="Times New Roman" w:hAnsi="Times New Roman" w:cs="Times New Roman"/>
          <w:sz w:val="24"/>
          <w:szCs w:val="24"/>
        </w:rPr>
        <w:t xml:space="preserve"> Adj</w:t>
      </w:r>
      <w:r w:rsidR="00E25FFC">
        <w:rPr>
          <w:rFonts w:ascii="Times New Roman" w:hAnsi="Times New Roman" w:cs="Times New Roman"/>
          <w:sz w:val="24"/>
          <w:szCs w:val="24"/>
        </w:rPr>
        <w:t>ustment</w:t>
      </w:r>
      <w:r w:rsidR="00EB4458">
        <w:rPr>
          <w:rFonts w:ascii="Times New Roman" w:hAnsi="Times New Roman" w:cs="Times New Roman"/>
          <w:sz w:val="24"/>
          <w:szCs w:val="24"/>
        </w:rPr>
        <w:t xml:space="preserve"> 8.10</w:t>
      </w:r>
      <w:r w:rsidR="00C22B4A">
        <w:rPr>
          <w:rFonts w:ascii="Times New Roman" w:hAnsi="Times New Roman" w:cs="Times New Roman"/>
          <w:sz w:val="24"/>
          <w:szCs w:val="24"/>
        </w:rPr>
        <w:t xml:space="preserve"> –</w:t>
      </w:r>
      <w:r w:rsidR="00EB4458">
        <w:rPr>
          <w:rFonts w:ascii="Times New Roman" w:hAnsi="Times New Roman" w:cs="Times New Roman"/>
          <w:sz w:val="24"/>
          <w:szCs w:val="24"/>
        </w:rPr>
        <w:t xml:space="preserve"> Chehalis</w:t>
      </w:r>
      <w:r w:rsidR="00C22B4A">
        <w:rPr>
          <w:rFonts w:ascii="Times New Roman" w:hAnsi="Times New Roman" w:cs="Times New Roman"/>
          <w:sz w:val="24"/>
          <w:szCs w:val="24"/>
        </w:rPr>
        <w:t>,</w:t>
      </w:r>
      <w:r w:rsidR="00EB4458">
        <w:rPr>
          <w:rFonts w:ascii="Times New Roman" w:hAnsi="Times New Roman" w:cs="Times New Roman"/>
          <w:sz w:val="24"/>
          <w:szCs w:val="24"/>
        </w:rPr>
        <w:t xml:space="preserve"> and Adj</w:t>
      </w:r>
      <w:r w:rsidR="00E25FFC">
        <w:rPr>
          <w:rFonts w:ascii="Times New Roman" w:hAnsi="Times New Roman" w:cs="Times New Roman"/>
          <w:sz w:val="24"/>
          <w:szCs w:val="24"/>
        </w:rPr>
        <w:t>ustment</w:t>
      </w:r>
      <w:r w:rsidR="00EB4458">
        <w:rPr>
          <w:rFonts w:ascii="Times New Roman" w:hAnsi="Times New Roman" w:cs="Times New Roman"/>
          <w:sz w:val="24"/>
          <w:szCs w:val="24"/>
        </w:rPr>
        <w:t xml:space="preserve"> 8.7</w:t>
      </w:r>
      <w:r w:rsidR="00C22B4A">
        <w:rPr>
          <w:rFonts w:ascii="Times New Roman" w:hAnsi="Times New Roman" w:cs="Times New Roman"/>
          <w:sz w:val="24"/>
          <w:szCs w:val="24"/>
        </w:rPr>
        <w:t xml:space="preserve"> - P</w:t>
      </w:r>
      <w:r w:rsidR="00EB4458">
        <w:rPr>
          <w:rFonts w:ascii="Times New Roman" w:hAnsi="Times New Roman" w:cs="Times New Roman"/>
          <w:sz w:val="24"/>
          <w:szCs w:val="24"/>
        </w:rPr>
        <w:t>owerdale.  The Order confirms this treatment is consistent with normaliza</w:t>
      </w:r>
      <w:r w:rsidR="00E25FFC">
        <w:rPr>
          <w:rFonts w:ascii="Times New Roman" w:hAnsi="Times New Roman" w:cs="Times New Roman"/>
          <w:sz w:val="24"/>
          <w:szCs w:val="24"/>
        </w:rPr>
        <w:t>tion</w:t>
      </w:r>
      <w:r>
        <w:rPr>
          <w:rFonts w:ascii="Times New Roman" w:hAnsi="Times New Roman" w:cs="Times New Roman"/>
          <w:sz w:val="24"/>
          <w:szCs w:val="24"/>
        </w:rPr>
        <w:t>,</w:t>
      </w:r>
      <w:r w:rsidR="00E25FFC">
        <w:rPr>
          <w:rFonts w:ascii="Times New Roman" w:hAnsi="Times New Roman" w:cs="Times New Roman"/>
          <w:sz w:val="24"/>
          <w:szCs w:val="24"/>
        </w:rPr>
        <w:t xml:space="preserve"> and no adjustment by the Company is necessary to reflect the</w:t>
      </w:r>
      <w:r w:rsidR="00C22B4A">
        <w:rPr>
          <w:rFonts w:ascii="Times New Roman" w:hAnsi="Times New Roman" w:cs="Times New Roman"/>
          <w:sz w:val="24"/>
          <w:szCs w:val="24"/>
        </w:rPr>
        <w:t>se</w:t>
      </w:r>
      <w:r w:rsidR="00E25FFC">
        <w:rPr>
          <w:rFonts w:ascii="Times New Roman" w:hAnsi="Times New Roman" w:cs="Times New Roman"/>
          <w:sz w:val="24"/>
          <w:szCs w:val="24"/>
        </w:rPr>
        <w:t xml:space="preserve"> regulatory assets.</w:t>
      </w:r>
    </w:p>
    <w:p w:rsidR="00D3064D" w:rsidRPr="00880682" w:rsidRDefault="00880682" w:rsidP="0088068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22B4A" w:rsidRPr="00880682">
        <w:rPr>
          <w:rFonts w:ascii="Times New Roman" w:hAnsi="Times New Roman" w:cs="Times New Roman"/>
          <w:sz w:val="24"/>
          <w:szCs w:val="24"/>
        </w:rPr>
        <w:t xml:space="preserve">Put more simply, </w:t>
      </w:r>
      <w:r w:rsidR="004D31DC" w:rsidRPr="00880682">
        <w:rPr>
          <w:rFonts w:ascii="Times New Roman" w:hAnsi="Times New Roman" w:cs="Times New Roman"/>
          <w:sz w:val="24"/>
          <w:szCs w:val="24"/>
        </w:rPr>
        <w:t>the Company’s $5.4 million claim is from the perspective of Commission adoption of full normalization, which is not the correct perspective.</w:t>
      </w:r>
    </w:p>
    <w:p w:rsidR="004D31DC" w:rsidRDefault="00582901" w:rsidP="004D31DC">
      <w:pPr>
        <w:spacing w:after="0" w:line="480" w:lineRule="auto"/>
        <w:ind w:firstLine="720"/>
        <w:contextualSpacing/>
        <w:rPr>
          <w:rFonts w:ascii="Times New Roman" w:hAnsi="Times New Roman" w:cs="Times New Roman"/>
          <w:b/>
          <w:sz w:val="24"/>
          <w:szCs w:val="24"/>
        </w:rPr>
      </w:pPr>
      <w:r>
        <w:rPr>
          <w:rFonts w:ascii="Times New Roman" w:hAnsi="Times New Roman" w:cs="Times New Roman"/>
          <w:b/>
          <w:sz w:val="24"/>
          <w:szCs w:val="24"/>
        </w:rPr>
        <w:t>8</w:t>
      </w:r>
      <w:r w:rsidR="004D31DC">
        <w:rPr>
          <w:rFonts w:ascii="Times New Roman" w:hAnsi="Times New Roman" w:cs="Times New Roman"/>
          <w:b/>
          <w:sz w:val="24"/>
          <w:szCs w:val="24"/>
        </w:rPr>
        <w:t>.</w:t>
      </w:r>
      <w:r w:rsidR="004D31DC">
        <w:rPr>
          <w:rFonts w:ascii="Times New Roman" w:hAnsi="Times New Roman" w:cs="Times New Roman"/>
          <w:b/>
          <w:sz w:val="24"/>
          <w:szCs w:val="24"/>
        </w:rPr>
        <w:tab/>
        <w:t>The Company Mischaracterizes the</w:t>
      </w:r>
      <w:r w:rsidR="004D31DC" w:rsidRPr="00B123AA">
        <w:rPr>
          <w:rFonts w:ascii="Times New Roman" w:hAnsi="Times New Roman" w:cs="Times New Roman"/>
          <w:b/>
          <w:sz w:val="24"/>
          <w:szCs w:val="24"/>
        </w:rPr>
        <w:t xml:space="preserve"> Grid West Loan</w:t>
      </w:r>
    </w:p>
    <w:p w:rsidR="004D31DC" w:rsidRPr="007D5037" w:rsidRDefault="007D5037" w:rsidP="007D503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D31DC" w:rsidRPr="007D5037">
        <w:rPr>
          <w:rFonts w:ascii="Times New Roman" w:hAnsi="Times New Roman" w:cs="Times New Roman"/>
          <w:sz w:val="24"/>
          <w:szCs w:val="24"/>
        </w:rPr>
        <w:t>In its Petition, the Company repeatedly refers to the Grid West Loan is an example of flow-through tax treatment of a regulatory asset</w:t>
      </w:r>
      <w:r w:rsidR="004D31DC">
        <w:rPr>
          <w:rStyle w:val="FootnoteReference"/>
          <w:rFonts w:cs="Times New Roman"/>
          <w:sz w:val="24"/>
          <w:szCs w:val="24"/>
        </w:rPr>
        <w:footnoteReference w:id="85"/>
      </w:r>
      <w:r w:rsidR="004D31DC" w:rsidRPr="007D5037">
        <w:rPr>
          <w:rFonts w:ascii="Times New Roman" w:hAnsi="Times New Roman" w:cs="Times New Roman"/>
          <w:sz w:val="24"/>
          <w:szCs w:val="24"/>
        </w:rPr>
        <w:t>, but the Company is wrong.  The Commission authorized PacifiCorp to defer the Grid West Loan in Docket UE-060703.  PacifiCorp included an adjustment for the deferral in the ensuing rate case, Docket UE-061546.  As Company witness Mr. Wrigley described this adjustment:  “This adjustment includes the rate base, expenses and taxes associated with the Grid West loan.”</w:t>
      </w:r>
      <w:r w:rsidR="004D31DC">
        <w:rPr>
          <w:rStyle w:val="FootnoteReference"/>
          <w:rFonts w:cs="Times New Roman"/>
          <w:sz w:val="24"/>
          <w:szCs w:val="24"/>
        </w:rPr>
        <w:footnoteReference w:id="86"/>
      </w:r>
      <w:r w:rsidR="004D31DC" w:rsidRPr="007D5037">
        <w:rPr>
          <w:rFonts w:ascii="Times New Roman" w:hAnsi="Times New Roman" w:cs="Times New Roman"/>
          <w:sz w:val="24"/>
          <w:szCs w:val="24"/>
        </w:rPr>
        <w:t xml:space="preserve">  The Company’s own adjustment in that case included the tax benefit of the amortization expense </w:t>
      </w:r>
      <w:r w:rsidR="004D31DC" w:rsidRPr="007D5037">
        <w:rPr>
          <w:rFonts w:ascii="Times New Roman" w:hAnsi="Times New Roman" w:cs="Times New Roman"/>
          <w:sz w:val="24"/>
          <w:szCs w:val="24"/>
        </w:rPr>
        <w:lastRenderedPageBreak/>
        <w:t>which is indicative of normalization</w:t>
      </w:r>
      <w:r w:rsidR="00F36141">
        <w:rPr>
          <w:rFonts w:ascii="Times New Roman" w:hAnsi="Times New Roman" w:cs="Times New Roman"/>
          <w:sz w:val="24"/>
          <w:szCs w:val="24"/>
        </w:rPr>
        <w:t>,</w:t>
      </w:r>
      <w:r w:rsidR="004D31DC" w:rsidRPr="007D5037">
        <w:rPr>
          <w:rFonts w:ascii="Times New Roman" w:hAnsi="Times New Roman" w:cs="Times New Roman"/>
          <w:sz w:val="24"/>
          <w:szCs w:val="24"/>
        </w:rPr>
        <w:t xml:space="preserve"> because the costs being amortized were incurred in a prior period.  Under flow-through, there would have been no tax effect </w:t>
      </w:r>
      <w:r w:rsidR="00115C63">
        <w:rPr>
          <w:rFonts w:ascii="Times New Roman" w:hAnsi="Times New Roman" w:cs="Times New Roman"/>
          <w:sz w:val="24"/>
          <w:szCs w:val="24"/>
        </w:rPr>
        <w:t>on</w:t>
      </w:r>
      <w:r w:rsidR="004D31DC" w:rsidRPr="007D5037">
        <w:rPr>
          <w:rFonts w:ascii="Times New Roman" w:hAnsi="Times New Roman" w:cs="Times New Roman"/>
          <w:sz w:val="24"/>
          <w:szCs w:val="24"/>
        </w:rPr>
        <w:t xml:space="preserve"> the adjustment.</w:t>
      </w:r>
    </w:p>
    <w:p w:rsidR="004D31DC" w:rsidRPr="007D5037" w:rsidRDefault="007D5037" w:rsidP="007D503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D31DC" w:rsidRPr="007D5037">
        <w:rPr>
          <w:rFonts w:ascii="Times New Roman" w:hAnsi="Times New Roman" w:cs="Times New Roman"/>
          <w:sz w:val="24"/>
          <w:szCs w:val="24"/>
        </w:rPr>
        <w:t xml:space="preserve">In any event, the Company’s Grid West Loan adjustment in Docket UE-061546 was uncontested, so however </w:t>
      </w:r>
      <w:r w:rsidR="00D3064D">
        <w:rPr>
          <w:rFonts w:ascii="Times New Roman" w:hAnsi="Times New Roman" w:cs="Times New Roman"/>
          <w:sz w:val="24"/>
          <w:szCs w:val="24"/>
        </w:rPr>
        <w:t xml:space="preserve">federal income taxes were </w:t>
      </w:r>
      <w:r w:rsidR="004D31DC" w:rsidRPr="007D5037">
        <w:rPr>
          <w:rFonts w:ascii="Times New Roman" w:hAnsi="Times New Roman" w:cs="Times New Roman"/>
          <w:sz w:val="24"/>
          <w:szCs w:val="24"/>
        </w:rPr>
        <w:t xml:space="preserve">treated </w:t>
      </w:r>
      <w:r w:rsidR="00D3064D">
        <w:rPr>
          <w:rFonts w:ascii="Times New Roman" w:hAnsi="Times New Roman" w:cs="Times New Roman"/>
          <w:sz w:val="24"/>
          <w:szCs w:val="24"/>
        </w:rPr>
        <w:t xml:space="preserve">in that adjustment </w:t>
      </w:r>
      <w:r w:rsidR="004D31DC" w:rsidRPr="007D5037">
        <w:rPr>
          <w:rFonts w:ascii="Times New Roman" w:hAnsi="Times New Roman" w:cs="Times New Roman"/>
          <w:sz w:val="24"/>
          <w:szCs w:val="24"/>
        </w:rPr>
        <w:t>cannot constitute a Commission decision on the merits.  Moreover, the tax effect is negligible.  While the Company did not include an adjustment for Grid West in this case (even though it is amortized through July 2011), the tax effect is negligible; deferred income tax expense of $16,430 and accumulated deferred income tax of $33,636.</w:t>
      </w:r>
      <w:r w:rsidR="00F36141">
        <w:rPr>
          <w:rStyle w:val="FootnoteReference"/>
          <w:rFonts w:cs="Times New Roman"/>
          <w:szCs w:val="24"/>
        </w:rPr>
        <w:footnoteReference w:id="87"/>
      </w:r>
      <w:r w:rsidR="004D31DC" w:rsidRPr="007D5037">
        <w:rPr>
          <w:rFonts w:ascii="Times New Roman" w:hAnsi="Times New Roman" w:cs="Times New Roman"/>
          <w:sz w:val="24"/>
          <w:szCs w:val="24"/>
        </w:rPr>
        <w:t xml:space="preserve">  </w:t>
      </w:r>
    </w:p>
    <w:p w:rsidR="004D31DC" w:rsidRDefault="00582901" w:rsidP="007D5037">
      <w:pPr>
        <w:spacing w:after="0" w:line="240" w:lineRule="auto"/>
        <w:ind w:left="1440" w:hanging="720"/>
        <w:contextualSpacing/>
        <w:rPr>
          <w:rFonts w:ascii="Times New Roman" w:hAnsi="Times New Roman" w:cs="Times New Roman"/>
          <w:b/>
          <w:sz w:val="24"/>
          <w:szCs w:val="24"/>
        </w:rPr>
      </w:pPr>
      <w:r>
        <w:rPr>
          <w:rFonts w:ascii="Times New Roman" w:hAnsi="Times New Roman" w:cs="Times New Roman"/>
          <w:b/>
          <w:sz w:val="24"/>
          <w:szCs w:val="24"/>
        </w:rPr>
        <w:t>9</w:t>
      </w:r>
      <w:r w:rsidR="004D31DC">
        <w:rPr>
          <w:rFonts w:ascii="Times New Roman" w:hAnsi="Times New Roman" w:cs="Times New Roman"/>
          <w:b/>
          <w:sz w:val="24"/>
          <w:szCs w:val="24"/>
        </w:rPr>
        <w:t>.</w:t>
      </w:r>
      <w:r w:rsidR="004D31DC">
        <w:rPr>
          <w:rFonts w:ascii="Times New Roman" w:hAnsi="Times New Roman" w:cs="Times New Roman"/>
          <w:b/>
          <w:sz w:val="24"/>
          <w:szCs w:val="24"/>
        </w:rPr>
        <w:tab/>
        <w:t xml:space="preserve">Staff’s Comments on </w:t>
      </w:r>
      <w:r w:rsidR="004D31DC" w:rsidRPr="00FB030E">
        <w:rPr>
          <w:rFonts w:ascii="Times New Roman" w:hAnsi="Times New Roman" w:cs="Times New Roman"/>
          <w:b/>
          <w:sz w:val="24"/>
          <w:szCs w:val="24"/>
        </w:rPr>
        <w:t xml:space="preserve">Exhibit 1 to PacifiCorp’s Petition </w:t>
      </w:r>
    </w:p>
    <w:p w:rsidR="007D5037" w:rsidRDefault="007D5037" w:rsidP="007D5037">
      <w:pPr>
        <w:spacing w:after="0" w:line="240" w:lineRule="auto"/>
        <w:contextualSpacing/>
        <w:rPr>
          <w:rFonts w:ascii="Times New Roman" w:hAnsi="Times New Roman" w:cs="Times New Roman"/>
          <w:b/>
          <w:sz w:val="24"/>
          <w:szCs w:val="24"/>
        </w:rPr>
      </w:pPr>
    </w:p>
    <w:p w:rsidR="004D31DC" w:rsidRPr="007D5037" w:rsidRDefault="007D5037" w:rsidP="007D503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D31DC" w:rsidRPr="007D5037">
        <w:rPr>
          <w:rFonts w:ascii="Times New Roman" w:hAnsi="Times New Roman" w:cs="Times New Roman"/>
          <w:sz w:val="24"/>
          <w:szCs w:val="24"/>
        </w:rPr>
        <w:t>In Docket UE-061546, the Company offered Adjustment 7.5, Flow-Through Deferred Tax , reflecting flow-through for all other adjustments, where normalization is neither required by the IRC or by the Commission.  This adjustment is provided in the chart above, comparing the effect of flow-through among rate cases.  PacifiCorp uses this adjustment to support its discussion about the Grid West Loan and regulatory assets.</w:t>
      </w:r>
      <w:r w:rsidR="004D31DC">
        <w:rPr>
          <w:rStyle w:val="FootnoteReference"/>
          <w:rFonts w:cs="Times New Roman"/>
          <w:sz w:val="24"/>
          <w:szCs w:val="24"/>
        </w:rPr>
        <w:footnoteReference w:id="88"/>
      </w:r>
      <w:r w:rsidR="004D31DC" w:rsidRPr="007D5037">
        <w:rPr>
          <w:rFonts w:ascii="Times New Roman" w:hAnsi="Times New Roman" w:cs="Times New Roman"/>
          <w:sz w:val="24"/>
          <w:szCs w:val="24"/>
        </w:rPr>
        <w:t xml:space="preserve">  That is not proper, because Exhibit 1 of PacifiCorp’s Petition represents the restatement made by the Company</w:t>
      </w:r>
      <w:r w:rsidR="001033C0">
        <w:rPr>
          <w:rFonts w:ascii="Times New Roman" w:hAnsi="Times New Roman" w:cs="Times New Roman"/>
          <w:sz w:val="24"/>
          <w:szCs w:val="24"/>
        </w:rPr>
        <w:t>,</w:t>
      </w:r>
      <w:r w:rsidR="004D31DC" w:rsidRPr="007D5037">
        <w:rPr>
          <w:rFonts w:ascii="Times New Roman" w:hAnsi="Times New Roman" w:cs="Times New Roman"/>
          <w:sz w:val="24"/>
          <w:szCs w:val="24"/>
        </w:rPr>
        <w:t xml:space="preserve"> as in all past general rate cases, to reflect Commission policy of flow-through treatment of those items PacifiCorp normalizes in its unadjusted results of operations.  </w:t>
      </w:r>
    </w:p>
    <w:p w:rsidR="004D31DC" w:rsidRDefault="007D5037" w:rsidP="007D503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D31DC" w:rsidRPr="007D5037">
        <w:rPr>
          <w:rFonts w:ascii="Times New Roman" w:hAnsi="Times New Roman" w:cs="Times New Roman"/>
          <w:sz w:val="24"/>
          <w:szCs w:val="24"/>
        </w:rPr>
        <w:t>In other words, Exhibit 1 is comparable to Staff Adjustment 7.9 in this case, and it is not related to the Grid West Loan or any other regulatory asset.</w:t>
      </w:r>
    </w:p>
    <w:p w:rsidR="0078626C" w:rsidRDefault="00615B74" w:rsidP="0084703B">
      <w:pPr>
        <w:pStyle w:val="ListParagraph"/>
        <w:keepNext/>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II.</w:t>
      </w:r>
      <w:r>
        <w:rPr>
          <w:rFonts w:ascii="Times New Roman" w:hAnsi="Times New Roman" w:cs="Times New Roman"/>
          <w:b/>
          <w:sz w:val="24"/>
          <w:szCs w:val="24"/>
        </w:rPr>
        <w:tab/>
        <w:t>C</w:t>
      </w:r>
      <w:bookmarkStart w:id="0" w:name="_GoBack"/>
      <w:bookmarkEnd w:id="0"/>
      <w:r>
        <w:rPr>
          <w:rFonts w:ascii="Times New Roman" w:hAnsi="Times New Roman" w:cs="Times New Roman"/>
          <w:b/>
          <w:sz w:val="24"/>
          <w:szCs w:val="24"/>
        </w:rPr>
        <w:t>ONCLUSION</w:t>
      </w:r>
    </w:p>
    <w:p w:rsidR="00615B74" w:rsidRPr="007D5037" w:rsidRDefault="00615B74" w:rsidP="007D5037">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b/>
        <w:t>For the reasons stated above, the Commission should deny PacifiCorp’s Petition for Reconsideration, except for the $46,418 reduction related to the intra-hour wind integration cost disallowance, should the Commission deem that amount material.</w:t>
      </w:r>
    </w:p>
    <w:p w:rsidR="009303D7" w:rsidRDefault="009303D7" w:rsidP="009303D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85CDA">
        <w:rPr>
          <w:rFonts w:ascii="Times New Roman" w:hAnsi="Times New Roman" w:cs="Times New Roman"/>
          <w:sz w:val="24"/>
          <w:szCs w:val="24"/>
        </w:rPr>
        <w:t xml:space="preserve">DATED this </w:t>
      </w:r>
      <w:r>
        <w:rPr>
          <w:rFonts w:ascii="Times New Roman" w:hAnsi="Times New Roman" w:cs="Times New Roman"/>
          <w:sz w:val="24"/>
          <w:szCs w:val="24"/>
        </w:rPr>
        <w:t>14</w:t>
      </w:r>
      <w:r w:rsidRPr="00B738B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D85CDA">
        <w:rPr>
          <w:rFonts w:ascii="Times New Roman" w:hAnsi="Times New Roman" w:cs="Times New Roman"/>
          <w:sz w:val="24"/>
          <w:szCs w:val="24"/>
        </w:rPr>
        <w:t xml:space="preserve">day of </w:t>
      </w:r>
      <w:r>
        <w:rPr>
          <w:rFonts w:ascii="Times New Roman" w:hAnsi="Times New Roman" w:cs="Times New Roman"/>
          <w:sz w:val="24"/>
          <w:szCs w:val="24"/>
        </w:rPr>
        <w:t>April</w:t>
      </w:r>
      <w:r w:rsidRPr="00D85CDA">
        <w:rPr>
          <w:rFonts w:ascii="Times New Roman" w:hAnsi="Times New Roman" w:cs="Times New Roman"/>
          <w:sz w:val="24"/>
          <w:szCs w:val="24"/>
        </w:rPr>
        <w:t xml:space="preserve"> 2011.</w:t>
      </w:r>
    </w:p>
    <w:p w:rsidR="009303D7" w:rsidRPr="00D85CDA" w:rsidRDefault="009303D7" w:rsidP="009303D7">
      <w:pPr>
        <w:spacing w:after="0" w:line="240" w:lineRule="auto"/>
        <w:rPr>
          <w:rFonts w:ascii="Times New Roman" w:hAnsi="Times New Roman" w:cs="Times New Roman"/>
          <w:sz w:val="24"/>
          <w:szCs w:val="24"/>
        </w:rPr>
      </w:pPr>
    </w:p>
    <w:p w:rsidR="009303D7" w:rsidRPr="00D85CDA" w:rsidRDefault="009303D7" w:rsidP="009303D7">
      <w:pPr>
        <w:spacing w:after="0" w:line="240" w:lineRule="auto"/>
        <w:ind w:left="4320"/>
        <w:jc w:val="both"/>
        <w:rPr>
          <w:rFonts w:ascii="Times New Roman" w:hAnsi="Times New Roman" w:cs="Times New Roman"/>
          <w:sz w:val="24"/>
          <w:szCs w:val="24"/>
        </w:rPr>
      </w:pPr>
      <w:r w:rsidRPr="00D85CDA">
        <w:rPr>
          <w:rFonts w:ascii="Times New Roman" w:hAnsi="Times New Roman" w:cs="Times New Roman"/>
          <w:sz w:val="24"/>
          <w:szCs w:val="24"/>
        </w:rPr>
        <w:t xml:space="preserve">ROBERT M. MCKENNA </w:t>
      </w:r>
    </w:p>
    <w:p w:rsidR="009303D7" w:rsidRPr="00D85CDA" w:rsidRDefault="009303D7" w:rsidP="009303D7">
      <w:pPr>
        <w:spacing w:after="0" w:line="240" w:lineRule="auto"/>
        <w:ind w:left="4320"/>
        <w:jc w:val="both"/>
        <w:rPr>
          <w:rFonts w:ascii="Times New Roman" w:hAnsi="Times New Roman" w:cs="Times New Roman"/>
          <w:sz w:val="24"/>
          <w:szCs w:val="24"/>
        </w:rPr>
      </w:pPr>
      <w:r w:rsidRPr="00D85CDA">
        <w:rPr>
          <w:rFonts w:ascii="Times New Roman" w:hAnsi="Times New Roman" w:cs="Times New Roman"/>
          <w:sz w:val="24"/>
          <w:szCs w:val="24"/>
        </w:rPr>
        <w:t>Attorney General</w:t>
      </w:r>
    </w:p>
    <w:p w:rsidR="009303D7" w:rsidRPr="00D85CDA" w:rsidRDefault="009303D7" w:rsidP="009303D7">
      <w:pPr>
        <w:spacing w:after="0" w:line="240" w:lineRule="auto"/>
        <w:ind w:left="4320"/>
        <w:jc w:val="both"/>
        <w:rPr>
          <w:rFonts w:ascii="Times New Roman" w:hAnsi="Times New Roman" w:cs="Times New Roman"/>
          <w:sz w:val="24"/>
          <w:szCs w:val="24"/>
        </w:rPr>
      </w:pPr>
    </w:p>
    <w:p w:rsidR="009303D7" w:rsidRPr="00D85CDA" w:rsidRDefault="009303D7" w:rsidP="009303D7">
      <w:pPr>
        <w:spacing w:after="0" w:line="240" w:lineRule="auto"/>
        <w:ind w:left="4320"/>
        <w:jc w:val="both"/>
        <w:rPr>
          <w:rFonts w:ascii="Times New Roman" w:hAnsi="Times New Roman" w:cs="Times New Roman"/>
          <w:sz w:val="24"/>
          <w:szCs w:val="24"/>
        </w:rPr>
      </w:pPr>
    </w:p>
    <w:p w:rsidR="009303D7" w:rsidRPr="00D85CDA" w:rsidRDefault="009303D7" w:rsidP="009303D7">
      <w:pPr>
        <w:spacing w:after="0" w:line="240" w:lineRule="auto"/>
        <w:ind w:left="4320"/>
        <w:jc w:val="both"/>
        <w:rPr>
          <w:rFonts w:ascii="Times New Roman" w:hAnsi="Times New Roman" w:cs="Times New Roman"/>
          <w:sz w:val="24"/>
          <w:szCs w:val="24"/>
        </w:rPr>
      </w:pPr>
      <w:r w:rsidRPr="00D85CDA">
        <w:rPr>
          <w:rFonts w:ascii="Times New Roman" w:hAnsi="Times New Roman" w:cs="Times New Roman"/>
          <w:sz w:val="24"/>
          <w:szCs w:val="24"/>
        </w:rPr>
        <w:t>_______________________________</w:t>
      </w:r>
    </w:p>
    <w:p w:rsidR="009303D7" w:rsidRPr="00D85CDA" w:rsidRDefault="009303D7" w:rsidP="009303D7">
      <w:pPr>
        <w:spacing w:after="0" w:line="240" w:lineRule="auto"/>
        <w:ind w:left="4320"/>
        <w:jc w:val="both"/>
        <w:rPr>
          <w:rFonts w:ascii="Times New Roman" w:hAnsi="Times New Roman" w:cs="Times New Roman"/>
          <w:sz w:val="24"/>
          <w:szCs w:val="24"/>
        </w:rPr>
      </w:pPr>
      <w:r w:rsidRPr="00D85CDA">
        <w:rPr>
          <w:rFonts w:ascii="Times New Roman" w:hAnsi="Times New Roman" w:cs="Times New Roman"/>
          <w:sz w:val="24"/>
          <w:szCs w:val="24"/>
        </w:rPr>
        <w:t xml:space="preserve">DONALD T. TROTTER </w:t>
      </w:r>
    </w:p>
    <w:p w:rsidR="009303D7" w:rsidRPr="00D85CDA" w:rsidRDefault="009303D7" w:rsidP="009303D7">
      <w:pPr>
        <w:spacing w:after="0" w:line="240" w:lineRule="auto"/>
        <w:ind w:left="4320"/>
        <w:jc w:val="both"/>
        <w:rPr>
          <w:rFonts w:ascii="Times New Roman" w:hAnsi="Times New Roman" w:cs="Times New Roman"/>
          <w:sz w:val="24"/>
          <w:szCs w:val="24"/>
        </w:rPr>
      </w:pPr>
      <w:r w:rsidRPr="00D85CDA">
        <w:rPr>
          <w:rFonts w:ascii="Times New Roman" w:hAnsi="Times New Roman" w:cs="Times New Roman"/>
          <w:sz w:val="24"/>
          <w:szCs w:val="24"/>
        </w:rPr>
        <w:t>Assistant Attorney General</w:t>
      </w:r>
    </w:p>
    <w:p w:rsidR="009303D7" w:rsidRPr="00D85CDA" w:rsidRDefault="009303D7" w:rsidP="009303D7">
      <w:pPr>
        <w:spacing w:after="0" w:line="240" w:lineRule="auto"/>
        <w:ind w:left="4320"/>
        <w:jc w:val="both"/>
        <w:rPr>
          <w:rFonts w:ascii="Times New Roman" w:hAnsi="Times New Roman" w:cs="Times New Roman"/>
          <w:sz w:val="24"/>
          <w:szCs w:val="24"/>
        </w:rPr>
      </w:pPr>
      <w:r w:rsidRPr="00D85CDA">
        <w:rPr>
          <w:rFonts w:ascii="Times New Roman" w:hAnsi="Times New Roman" w:cs="Times New Roman"/>
          <w:sz w:val="24"/>
          <w:szCs w:val="24"/>
        </w:rPr>
        <w:t>Counsel for Washington Utilities and</w:t>
      </w:r>
    </w:p>
    <w:p w:rsidR="009303D7" w:rsidRPr="00D85CDA" w:rsidRDefault="009303D7" w:rsidP="009303D7">
      <w:pPr>
        <w:spacing w:after="0" w:line="240" w:lineRule="auto"/>
        <w:ind w:left="4320"/>
        <w:jc w:val="both"/>
        <w:rPr>
          <w:rFonts w:ascii="Times New Roman" w:hAnsi="Times New Roman" w:cs="Times New Roman"/>
          <w:sz w:val="24"/>
          <w:szCs w:val="24"/>
        </w:rPr>
      </w:pPr>
      <w:r w:rsidRPr="00D85CDA">
        <w:rPr>
          <w:rFonts w:ascii="Times New Roman" w:hAnsi="Times New Roman" w:cs="Times New Roman"/>
          <w:sz w:val="24"/>
          <w:szCs w:val="24"/>
        </w:rPr>
        <w:t>Transportation Commission Staff</w:t>
      </w:r>
    </w:p>
    <w:p w:rsidR="009303D7" w:rsidRPr="00031D42" w:rsidRDefault="009303D7" w:rsidP="00DF1E7D">
      <w:pPr>
        <w:spacing w:after="0" w:line="240" w:lineRule="auto"/>
        <w:contextualSpacing/>
        <w:rPr>
          <w:rFonts w:ascii="Times New Roman" w:hAnsi="Times New Roman" w:cs="Times New Roman"/>
          <w:sz w:val="24"/>
          <w:szCs w:val="24"/>
        </w:rPr>
      </w:pPr>
    </w:p>
    <w:sectPr w:rsidR="009303D7" w:rsidRPr="00031D42" w:rsidSect="002C19AD">
      <w:footerReference w:type="default" r:id="rId9"/>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315" w:rsidRDefault="00B41315" w:rsidP="00132600">
      <w:pPr>
        <w:spacing w:after="0" w:line="240" w:lineRule="auto"/>
      </w:pPr>
      <w:r>
        <w:separator/>
      </w:r>
    </w:p>
  </w:endnote>
  <w:endnote w:type="continuationSeparator" w:id="0">
    <w:p w:rsidR="00B41315" w:rsidRDefault="00B41315" w:rsidP="0013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FA" w:rsidRDefault="00185EFA">
    <w:pPr>
      <w:pStyle w:val="Footer"/>
      <w:rPr>
        <w:rFonts w:ascii="Times New Roman" w:hAnsi="Times New Roman" w:cs="Times New Roman"/>
        <w:sz w:val="20"/>
        <w:szCs w:val="20"/>
      </w:rPr>
    </w:pPr>
  </w:p>
  <w:p w:rsidR="00185EFA" w:rsidRDefault="00185EFA">
    <w:pPr>
      <w:pStyle w:val="Footer"/>
      <w:rPr>
        <w:rFonts w:ascii="Times New Roman" w:hAnsi="Times New Roman" w:cs="Times New Roman"/>
        <w:sz w:val="20"/>
        <w:szCs w:val="20"/>
      </w:rPr>
    </w:pPr>
    <w:r>
      <w:rPr>
        <w:rFonts w:ascii="Times New Roman" w:hAnsi="Times New Roman" w:cs="Times New Roman"/>
        <w:sz w:val="20"/>
        <w:szCs w:val="20"/>
      </w:rPr>
      <w:t xml:space="preserve">COMMISSION STAFF RESPONSE TO </w:t>
    </w:r>
  </w:p>
  <w:p w:rsidR="00185EFA" w:rsidRPr="00EA0F2B" w:rsidRDefault="00185EFA">
    <w:pPr>
      <w:pStyle w:val="Footer"/>
      <w:rPr>
        <w:rFonts w:ascii="Times New Roman" w:hAnsi="Times New Roman" w:cs="Times New Roman"/>
        <w:sz w:val="20"/>
        <w:szCs w:val="20"/>
      </w:rPr>
    </w:pPr>
    <w:r>
      <w:rPr>
        <w:rFonts w:ascii="Times New Roman" w:hAnsi="Times New Roman" w:cs="Times New Roman"/>
        <w:sz w:val="20"/>
        <w:szCs w:val="20"/>
      </w:rPr>
      <w:t xml:space="preserve">PACIFICORP PETITION FOR RECONSIDERATION - </w:t>
    </w:r>
    <w:r w:rsidRPr="00EA0F2B">
      <w:rPr>
        <w:rFonts w:ascii="Times New Roman" w:hAnsi="Times New Roman" w:cs="Times New Roman"/>
        <w:sz w:val="20"/>
        <w:szCs w:val="20"/>
      </w:rPr>
      <w:fldChar w:fldCharType="begin"/>
    </w:r>
    <w:r w:rsidRPr="00EA0F2B">
      <w:rPr>
        <w:rFonts w:ascii="Times New Roman" w:hAnsi="Times New Roman" w:cs="Times New Roman"/>
        <w:sz w:val="20"/>
        <w:szCs w:val="20"/>
      </w:rPr>
      <w:instrText xml:space="preserve"> PAGE   \* MERGEFORMAT </w:instrText>
    </w:r>
    <w:r w:rsidRPr="00EA0F2B">
      <w:rPr>
        <w:rFonts w:ascii="Times New Roman" w:hAnsi="Times New Roman" w:cs="Times New Roman"/>
        <w:sz w:val="20"/>
        <w:szCs w:val="20"/>
      </w:rPr>
      <w:fldChar w:fldCharType="separate"/>
    </w:r>
    <w:r w:rsidR="0084703B">
      <w:rPr>
        <w:rFonts w:ascii="Times New Roman" w:hAnsi="Times New Roman" w:cs="Times New Roman"/>
        <w:noProof/>
        <w:sz w:val="20"/>
        <w:szCs w:val="20"/>
      </w:rPr>
      <w:t>24</w:t>
    </w:r>
    <w:r w:rsidRPr="00EA0F2B">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315" w:rsidRDefault="00B41315" w:rsidP="00132600">
      <w:pPr>
        <w:spacing w:after="0" w:line="240" w:lineRule="auto"/>
      </w:pPr>
      <w:r>
        <w:separator/>
      </w:r>
    </w:p>
  </w:footnote>
  <w:footnote w:type="continuationSeparator" w:id="0">
    <w:p w:rsidR="00B41315" w:rsidRDefault="00B41315" w:rsidP="00132600">
      <w:pPr>
        <w:spacing w:after="0" w:line="240" w:lineRule="auto"/>
      </w:pPr>
      <w:r>
        <w:continuationSeparator/>
      </w:r>
    </w:p>
  </w:footnote>
  <w:footnote w:id="1">
    <w:p w:rsidR="00185EFA" w:rsidRPr="008D20A7" w:rsidRDefault="00185EFA" w:rsidP="003870CF">
      <w:pPr>
        <w:pStyle w:val="FootnoteText"/>
        <w:rPr>
          <w:rFonts w:cs="Times New Roman"/>
        </w:rPr>
      </w:pPr>
      <w:r>
        <w:rPr>
          <w:rStyle w:val="FootnoteReference"/>
        </w:rPr>
        <w:footnoteRef/>
      </w:r>
      <w:r>
        <w:t xml:space="preserve"> </w:t>
      </w:r>
      <w:r w:rsidRPr="008D20A7">
        <w:rPr>
          <w:rFonts w:cs="Times New Roman"/>
        </w:rPr>
        <w:t>Order 06, “Final Order Rejecting Tariff Sheets; Authorizing Increased Rates; and Requiring Compliance Filing” (March 25, 2011).</w:t>
      </w:r>
    </w:p>
  </w:footnote>
  <w:footnote w:id="2">
    <w:p w:rsidR="00185EFA" w:rsidRPr="008D20A7" w:rsidRDefault="00185EFA" w:rsidP="007725C3">
      <w:pPr>
        <w:pStyle w:val="FootnoteText"/>
        <w:rPr>
          <w:rFonts w:cs="Times New Roman"/>
        </w:rPr>
      </w:pPr>
      <w:r w:rsidRPr="008D20A7">
        <w:rPr>
          <w:rStyle w:val="FootnoteReference"/>
          <w:rFonts w:cs="Times New Roman"/>
        </w:rPr>
        <w:footnoteRef/>
      </w:r>
      <w:r w:rsidRPr="008D20A7">
        <w:rPr>
          <w:rFonts w:cs="Times New Roman"/>
        </w:rPr>
        <w:t xml:space="preserve"> PacifiCorp Petition at 28, ¶ 65.</w:t>
      </w:r>
    </w:p>
  </w:footnote>
  <w:footnote w:id="3">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RCW 80.04.130(4): At any hearing involving any change to any schedule … the effect of which is to increase any rate … the burden of proof to show such increase is reasonable shall be upon the public service company.</w:t>
      </w:r>
    </w:p>
  </w:footnote>
  <w:footnote w:id="4">
    <w:p w:rsidR="00185EFA" w:rsidRPr="008D20A7" w:rsidRDefault="00185EFA" w:rsidP="00D3064D">
      <w:pPr>
        <w:pStyle w:val="FootnoteText"/>
        <w:rPr>
          <w:rFonts w:cs="Times New Roman"/>
        </w:rPr>
      </w:pPr>
      <w:r w:rsidRPr="008D20A7">
        <w:rPr>
          <w:rStyle w:val="FootnoteReference"/>
          <w:rFonts w:cs="Times New Roman"/>
        </w:rPr>
        <w:footnoteRef/>
      </w:r>
      <w:r w:rsidRPr="008D20A7">
        <w:rPr>
          <w:rFonts w:cs="Times New Roman"/>
        </w:rPr>
        <w:t xml:space="preserve"> </w:t>
      </w:r>
      <w:r w:rsidRPr="008D20A7">
        <w:rPr>
          <w:rFonts w:cs="Times New Roman"/>
          <w:i/>
        </w:rPr>
        <w:t xml:space="preserve">Utilities and Transp. Comm’n v. Puget Sound Energy, </w:t>
      </w:r>
      <w:r w:rsidRPr="008D20A7">
        <w:rPr>
          <w:rFonts w:cs="Times New Roman"/>
        </w:rPr>
        <w:t>Dockets UE-090704 and UG-090705, Order 11 at 105 ¶ 303 (April 2, 2010).</w:t>
      </w:r>
    </w:p>
  </w:footnote>
  <w:footnote w:id="5">
    <w:p w:rsidR="00185EFA" w:rsidRPr="008D20A7" w:rsidRDefault="00185EFA" w:rsidP="007725C3">
      <w:pPr>
        <w:pStyle w:val="FootnoteText"/>
        <w:rPr>
          <w:rFonts w:cs="Times New Roman"/>
        </w:rPr>
      </w:pPr>
      <w:r w:rsidRPr="008D20A7">
        <w:rPr>
          <w:rStyle w:val="FootnoteReference"/>
          <w:rFonts w:cs="Times New Roman"/>
        </w:rPr>
        <w:footnoteRef/>
      </w:r>
      <w:r w:rsidRPr="008D20A7">
        <w:rPr>
          <w:rFonts w:cs="Times New Roman"/>
        </w:rPr>
        <w:t xml:space="preserve"> See Elgin, Exhibit No. KLE-1T at 5:1-11 and 13:3-5.  </w:t>
      </w:r>
    </w:p>
  </w:footnote>
  <w:footnote w:id="6">
    <w:p w:rsidR="00185EFA" w:rsidRPr="008D20A7" w:rsidRDefault="00185EFA" w:rsidP="007725C3">
      <w:pPr>
        <w:pStyle w:val="FootnoteText"/>
        <w:rPr>
          <w:rFonts w:cs="Times New Roman"/>
        </w:rPr>
      </w:pPr>
      <w:r w:rsidRPr="008D20A7">
        <w:rPr>
          <w:rStyle w:val="FootnoteReference"/>
          <w:rFonts w:cs="Times New Roman"/>
        </w:rPr>
        <w:footnoteRef/>
      </w:r>
      <w:r w:rsidRPr="008D20A7">
        <w:rPr>
          <w:rFonts w:cs="Times New Roman"/>
        </w:rPr>
        <w:t xml:space="preserve"> Exhibit No. BNW-13 at 2, item (d).</w:t>
      </w:r>
    </w:p>
  </w:footnote>
  <w:footnote w:id="7">
    <w:p w:rsidR="00185EFA" w:rsidRPr="008D20A7" w:rsidRDefault="00185EFA" w:rsidP="008D20A7">
      <w:pPr>
        <w:pStyle w:val="FootnoteText"/>
        <w:tabs>
          <w:tab w:val="left" w:pos="360"/>
        </w:tabs>
        <w:rPr>
          <w:rFonts w:cs="Times New Roman"/>
        </w:rPr>
      </w:pPr>
      <w:r w:rsidRPr="008D20A7">
        <w:rPr>
          <w:rStyle w:val="FootnoteReference"/>
          <w:rFonts w:cs="Times New Roman"/>
        </w:rPr>
        <w:footnoteRef/>
      </w:r>
      <w:r w:rsidRPr="008D20A7">
        <w:rPr>
          <w:rFonts w:cs="Times New Roman"/>
        </w:rPr>
        <w:t xml:space="preserve"> Id.</w:t>
      </w:r>
      <w:r w:rsidR="008D20A7" w:rsidRPr="008D20A7">
        <w:rPr>
          <w:rFonts w:cs="Times New Roman"/>
        </w:rPr>
        <w:t>,</w:t>
      </w:r>
      <w:r w:rsidRPr="008D20A7">
        <w:rPr>
          <w:rFonts w:cs="Times New Roman"/>
        </w:rPr>
        <w:t xml:space="preserve"> citing </w:t>
      </w:r>
      <w:r w:rsidRPr="008D20A7">
        <w:rPr>
          <w:rFonts w:cs="Times New Roman"/>
          <w:i/>
        </w:rPr>
        <w:t xml:space="preserve">Utilities and Transp. Comm’n v. PacifiCorp, </w:t>
      </w:r>
      <w:r w:rsidRPr="008D20A7">
        <w:rPr>
          <w:rFonts w:cs="Times New Roman"/>
        </w:rPr>
        <w:t xml:space="preserve">Docket UE-050684, Order 04 at 82, ¶ 230 (April 17, 2006).  </w:t>
      </w:r>
    </w:p>
  </w:footnote>
  <w:footnote w:id="8">
    <w:p w:rsidR="00185EFA" w:rsidRPr="008D20A7" w:rsidRDefault="00185EFA" w:rsidP="007725C3">
      <w:pPr>
        <w:pStyle w:val="FootnoteText"/>
        <w:rPr>
          <w:rFonts w:cs="Times New Roman"/>
        </w:rPr>
      </w:pPr>
      <w:r w:rsidRPr="008D20A7">
        <w:rPr>
          <w:rStyle w:val="FootnoteReference"/>
          <w:rFonts w:cs="Times New Roman"/>
        </w:rPr>
        <w:footnoteRef/>
      </w:r>
      <w:r w:rsidRPr="008D20A7">
        <w:rPr>
          <w:rFonts w:cs="Times New Roman"/>
        </w:rPr>
        <w:t xml:space="preserve"> Staff Initial Brief at 39-40, ¶¶ 159-162; Staff Reply Brief at 3-4, ¶¶ 9-11.</w:t>
      </w:r>
    </w:p>
  </w:footnote>
  <w:footnote w:id="9">
    <w:p w:rsidR="00185EFA" w:rsidRPr="008D20A7" w:rsidRDefault="00185EFA" w:rsidP="007725C3">
      <w:pPr>
        <w:pStyle w:val="FootnoteText"/>
        <w:rPr>
          <w:rFonts w:cs="Times New Roman"/>
        </w:rPr>
      </w:pPr>
      <w:r w:rsidRPr="008D20A7">
        <w:rPr>
          <w:rStyle w:val="FootnoteReference"/>
          <w:rFonts w:cs="Times New Roman"/>
        </w:rPr>
        <w:footnoteRef/>
      </w:r>
      <w:r w:rsidRPr="008D20A7">
        <w:rPr>
          <w:rFonts w:cs="Times New Roman"/>
        </w:rPr>
        <w:t xml:space="preserve"> PacifiCorp Petition at 30, ¶ 71.</w:t>
      </w:r>
    </w:p>
  </w:footnote>
  <w:footnote w:id="10">
    <w:p w:rsidR="00185EFA" w:rsidRPr="008D20A7" w:rsidRDefault="00185EFA" w:rsidP="007725C3">
      <w:pPr>
        <w:pStyle w:val="FootnoteText"/>
        <w:rPr>
          <w:rFonts w:cs="Times New Roman"/>
        </w:rPr>
      </w:pPr>
      <w:r w:rsidRPr="008D20A7">
        <w:rPr>
          <w:rStyle w:val="FootnoteReference"/>
          <w:rFonts w:cs="Times New Roman"/>
        </w:rPr>
        <w:footnoteRef/>
      </w:r>
      <w:r w:rsidRPr="008D20A7">
        <w:rPr>
          <w:rFonts w:cs="Times New Roman"/>
        </w:rPr>
        <w:t xml:space="preserve"> Id.</w:t>
      </w:r>
    </w:p>
  </w:footnote>
  <w:footnote w:id="11">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PacifiCorp tried to rely on a “study” (Mr. Williams’ Exhibit No. BNW-19), but it did not withstand scrutiny.  See Staff Initial Brief at 50-51, ¶¶ 202-07.</w:t>
      </w:r>
    </w:p>
  </w:footnote>
  <w:footnote w:id="12">
    <w:p w:rsidR="00185EFA" w:rsidRPr="008D20A7" w:rsidRDefault="00185EFA" w:rsidP="007725C3">
      <w:pPr>
        <w:pStyle w:val="FootnoteText"/>
        <w:rPr>
          <w:rFonts w:cs="Times New Roman"/>
        </w:rPr>
      </w:pPr>
      <w:r w:rsidRPr="008D20A7">
        <w:rPr>
          <w:rStyle w:val="FootnoteReference"/>
          <w:rFonts w:cs="Times New Roman"/>
        </w:rPr>
        <w:footnoteRef/>
      </w:r>
      <w:r w:rsidRPr="008D20A7">
        <w:rPr>
          <w:rFonts w:cs="Times New Roman"/>
        </w:rPr>
        <w:t xml:space="preserve"> Williams, Exhibit No. BNW-17 at 1 (per S&amp;P): “predominance of ratings is in the ‘BBB’ category, firmly investment grade.”</w:t>
      </w:r>
    </w:p>
  </w:footnote>
  <w:footnote w:id="13">
    <w:p w:rsidR="00185EFA" w:rsidRPr="008D20A7" w:rsidRDefault="00185EFA" w:rsidP="007725C3">
      <w:pPr>
        <w:pStyle w:val="FootnoteText"/>
        <w:rPr>
          <w:rFonts w:cs="Times New Roman"/>
        </w:rPr>
      </w:pPr>
      <w:r w:rsidRPr="008D20A7">
        <w:rPr>
          <w:rStyle w:val="FootnoteReference"/>
          <w:rFonts w:cs="Times New Roman"/>
        </w:rPr>
        <w:footnoteRef/>
      </w:r>
      <w:r w:rsidRPr="008D20A7">
        <w:rPr>
          <w:rFonts w:cs="Times New Roman"/>
        </w:rPr>
        <w:t xml:space="preserve"> Actually, nowhere in its Petition does PacifiCorp state the equity ratio it recommends the Commission adopt on reconsideration.  We assume it is 52.1 percent.</w:t>
      </w:r>
    </w:p>
  </w:footnote>
  <w:footnote w:id="14">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See ¶ 6, supra.</w:t>
      </w:r>
    </w:p>
  </w:footnote>
  <w:footnote w:id="15">
    <w:p w:rsidR="00185EFA" w:rsidRPr="008D20A7" w:rsidRDefault="00185EFA" w:rsidP="007725C3">
      <w:pPr>
        <w:pStyle w:val="FootnoteText"/>
        <w:rPr>
          <w:rFonts w:cs="Times New Roman"/>
        </w:rPr>
      </w:pPr>
      <w:r w:rsidRPr="008D20A7">
        <w:rPr>
          <w:rStyle w:val="FootnoteReference"/>
          <w:rFonts w:cs="Times New Roman"/>
        </w:rPr>
        <w:footnoteRef/>
      </w:r>
      <w:r w:rsidRPr="008D20A7">
        <w:rPr>
          <w:rFonts w:cs="Times New Roman"/>
        </w:rPr>
        <w:t xml:space="preserve"> PacifiCorp Petition at 29, ¶ 68.</w:t>
      </w:r>
    </w:p>
  </w:footnote>
  <w:footnote w:id="16">
    <w:p w:rsidR="00185EFA" w:rsidRPr="008D20A7" w:rsidRDefault="00185EFA" w:rsidP="00CC4C8B">
      <w:pPr>
        <w:pStyle w:val="FootnoteText"/>
        <w:rPr>
          <w:rFonts w:cs="Times New Roman"/>
        </w:rPr>
      </w:pPr>
      <w:r w:rsidRPr="008D20A7">
        <w:rPr>
          <w:rStyle w:val="FootnoteReference"/>
          <w:rFonts w:cs="Times New Roman"/>
        </w:rPr>
        <w:footnoteRef/>
      </w:r>
      <w:r w:rsidRPr="008D20A7">
        <w:rPr>
          <w:rFonts w:cs="Times New Roman"/>
        </w:rPr>
        <w:t xml:space="preserve"> Order at 33, ¶ 78.  It is not surprising that neither PacifiCorp nor ICNU defended the statistical reliability of their sample group.  As Staff testified:  “I don’t believe a statistical study is an appropriate analysis, and indeed, Dr. Hadaway did not perform any statistical analysis either. … It’s just something you can’t do.”  Elgin, TR 720:15-18. He went on to explain it is</w:t>
      </w:r>
      <w:r w:rsidR="00FD27A7">
        <w:rPr>
          <w:rFonts w:cs="Times New Roman"/>
        </w:rPr>
        <w:t xml:space="preserve"> important</w:t>
      </w:r>
      <w:r w:rsidRPr="008D20A7">
        <w:rPr>
          <w:rFonts w:cs="Times New Roman"/>
        </w:rPr>
        <w:t xml:space="preserve"> to carefully evaluate the critical financial information of a company, as an investor would.  Only Staff provided such an evaluation in this case.</w:t>
      </w:r>
    </w:p>
  </w:footnote>
  <w:footnote w:id="17">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PacifiCorp Initial Brief at 12-13, ¶ 32, quoting </w:t>
      </w:r>
      <w:r w:rsidRPr="008D20A7">
        <w:rPr>
          <w:rFonts w:cs="Times New Roman"/>
          <w:i/>
        </w:rPr>
        <w:t>Utilities and Transp. Comm’n v. PacifiCorp</w:t>
      </w:r>
      <w:r w:rsidRPr="008D20A7">
        <w:rPr>
          <w:rFonts w:cs="Times New Roman"/>
        </w:rPr>
        <w:t>, Docket UE-050684, Order 04 (April 17, 2006) at 93, n. 384..</w:t>
      </w:r>
    </w:p>
  </w:footnote>
  <w:footnote w:id="18">
    <w:p w:rsidR="00185EFA" w:rsidRPr="008D20A7" w:rsidRDefault="00185EFA" w:rsidP="00CC4C8B">
      <w:pPr>
        <w:pStyle w:val="FootnoteText"/>
        <w:rPr>
          <w:rFonts w:cs="Times New Roman"/>
        </w:rPr>
      </w:pPr>
      <w:r w:rsidRPr="008D20A7">
        <w:rPr>
          <w:rStyle w:val="FootnoteReference"/>
          <w:rFonts w:cs="Times New Roman"/>
        </w:rPr>
        <w:footnoteRef/>
      </w:r>
      <w:r w:rsidRPr="008D20A7">
        <w:rPr>
          <w:rFonts w:cs="Times New Roman"/>
        </w:rPr>
        <w:t xml:space="preserve"> See the evidence described in Staff Reply Brief at 2, second bullet (the figure “201” is a typographical error; it should read “210”). </w:t>
      </w:r>
    </w:p>
  </w:footnote>
  <w:footnote w:id="19">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PacifiCorp Petition at 21, ¶¶ 49-50.</w:t>
      </w:r>
    </w:p>
  </w:footnote>
  <w:footnote w:id="20">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PacifiCorp Petition at 21-22, ¶¶ 51-52.</w:t>
      </w:r>
    </w:p>
  </w:footnote>
  <w:footnote w:id="21">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Gorman, Exhibit No. MPG-1Tat 49:18 to 50:2.</w:t>
      </w:r>
    </w:p>
  </w:footnote>
  <w:footnote w:id="22">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Gorman, Exhibit No. MPG-1Tat 50:11-16.</w:t>
      </w:r>
    </w:p>
  </w:footnote>
  <w:footnote w:id="23">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PacifiCorp Petition at 23, ¶¶ 55-56.</w:t>
      </w:r>
    </w:p>
  </w:footnote>
  <w:footnote w:id="24">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Order at 35, ¶ 82.</w:t>
      </w:r>
    </w:p>
  </w:footnote>
  <w:footnote w:id="25">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Hadaway, Exhibit No. SCH-5. </w:t>
      </w:r>
    </w:p>
  </w:footnote>
  <w:footnote w:id="26">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Order at 35, ¶ 82.</w:t>
      </w:r>
    </w:p>
  </w:footnote>
  <w:footnote w:id="27">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Id.</w:t>
      </w:r>
    </w:p>
  </w:footnote>
  <w:footnote w:id="28">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PacifiCorp Petition at 25, ¶ 62, quoting </w:t>
      </w:r>
      <w:r w:rsidRPr="008D20A7">
        <w:rPr>
          <w:rFonts w:cs="Times New Roman"/>
          <w:i/>
        </w:rPr>
        <w:t xml:space="preserve">Utilities and Transp. Comm’n v. Puget Sound Energy, </w:t>
      </w:r>
      <w:r w:rsidRPr="008D20A7">
        <w:rPr>
          <w:rFonts w:cs="Times New Roman"/>
        </w:rPr>
        <w:t>Docket UE-090704, Order 11 at 105, n. 369 (April 2, 2010).</w:t>
      </w:r>
    </w:p>
  </w:footnote>
  <w:footnote w:id="29">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Order at ¶ 93.</w:t>
      </w:r>
    </w:p>
  </w:footnote>
  <w:footnote w:id="30">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PacifiCorp Petition at 27, ¶¶ 62-64.</w:t>
      </w:r>
    </w:p>
  </w:footnote>
  <w:footnote w:id="31">
    <w:p w:rsidR="00185EFA" w:rsidRPr="008D20A7" w:rsidRDefault="00185EFA" w:rsidP="009E72CD">
      <w:pPr>
        <w:pStyle w:val="FootnoteText"/>
        <w:rPr>
          <w:rFonts w:cs="Times New Roman"/>
        </w:rPr>
      </w:pPr>
      <w:r w:rsidRPr="008D20A7">
        <w:rPr>
          <w:rStyle w:val="FootnoteReference"/>
          <w:rFonts w:cs="Times New Roman"/>
        </w:rPr>
        <w:footnoteRef/>
      </w:r>
      <w:r w:rsidRPr="008D20A7">
        <w:rPr>
          <w:rFonts w:cs="Times New Roman"/>
        </w:rPr>
        <w:t xml:space="preserve"> PacifiCorp Petition at 27, ¶ 63.</w:t>
      </w:r>
    </w:p>
  </w:footnote>
  <w:footnote w:id="32">
    <w:p w:rsidR="00185EFA" w:rsidRPr="008D20A7" w:rsidRDefault="00185EFA">
      <w:pPr>
        <w:pStyle w:val="FootnoteText"/>
        <w:rPr>
          <w:rFonts w:cs="Times New Roman"/>
        </w:rPr>
      </w:pPr>
      <w:r w:rsidRPr="008D20A7">
        <w:rPr>
          <w:rStyle w:val="FootnoteReference"/>
          <w:rFonts w:cs="Times New Roman"/>
        </w:rPr>
        <w:footnoteRef/>
      </w:r>
      <w:r w:rsidR="000C0908">
        <w:rPr>
          <w:rFonts w:cs="Times New Roman"/>
        </w:rPr>
        <w:t xml:space="preserve"> See ¶ 25</w:t>
      </w:r>
      <w:r w:rsidRPr="008D20A7">
        <w:rPr>
          <w:rFonts w:cs="Times New Roman"/>
        </w:rPr>
        <w:t xml:space="preserve">, supra.   </w:t>
      </w:r>
    </w:p>
  </w:footnote>
  <w:footnote w:id="33">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Hadaway, Exhibit No. SCH-1T at 4:11-12.</w:t>
      </w:r>
      <w:r w:rsidRPr="008D20A7" w:rsidDel="000F16C9">
        <w:rPr>
          <w:rFonts w:cs="Times New Roman"/>
        </w:rPr>
        <w:t xml:space="preserve"> </w:t>
      </w:r>
    </w:p>
  </w:footnote>
  <w:footnote w:id="34">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Order at 36, ¶ 86.</w:t>
      </w:r>
    </w:p>
  </w:footnote>
  <w:footnote w:id="35">
    <w:p w:rsidR="00185EFA" w:rsidRPr="008D20A7" w:rsidRDefault="00185EFA" w:rsidP="00D36ADC">
      <w:pPr>
        <w:pStyle w:val="FootnoteText"/>
        <w:rPr>
          <w:rFonts w:cs="Times New Roman"/>
        </w:rPr>
      </w:pPr>
      <w:r w:rsidRPr="008D20A7">
        <w:rPr>
          <w:rStyle w:val="FootnoteReference"/>
          <w:rFonts w:cs="Times New Roman"/>
        </w:rPr>
        <w:footnoteRef/>
      </w:r>
      <w:r w:rsidRPr="008D20A7">
        <w:rPr>
          <w:rFonts w:cs="Times New Roman"/>
        </w:rPr>
        <w:t xml:space="preserve"> Order at 34-35, ¶ 81.</w:t>
      </w:r>
    </w:p>
  </w:footnote>
  <w:footnote w:id="36">
    <w:p w:rsidR="00185EFA" w:rsidRPr="008D20A7" w:rsidRDefault="00185EFA" w:rsidP="00D36ADC">
      <w:pPr>
        <w:pStyle w:val="FootnoteText"/>
        <w:rPr>
          <w:rFonts w:cs="Times New Roman"/>
        </w:rPr>
      </w:pPr>
      <w:r w:rsidRPr="008D20A7">
        <w:rPr>
          <w:rStyle w:val="FootnoteReference"/>
          <w:rFonts w:cs="Times New Roman"/>
        </w:rPr>
        <w:footnoteRef/>
      </w:r>
      <w:r w:rsidRPr="008D20A7">
        <w:rPr>
          <w:rFonts w:cs="Times New Roman"/>
        </w:rPr>
        <w:t xml:space="preserve"> E.g., Elgin, Exhibit No. KLE-1T at 8:11-17 and at 9:17-22.</w:t>
      </w:r>
    </w:p>
  </w:footnote>
  <w:footnote w:id="37">
    <w:p w:rsidR="00185EFA" w:rsidRPr="008D20A7" w:rsidRDefault="00185EFA" w:rsidP="00D36ADC">
      <w:pPr>
        <w:pStyle w:val="FootnoteText"/>
        <w:rPr>
          <w:rFonts w:cs="Times New Roman"/>
        </w:rPr>
      </w:pPr>
      <w:r w:rsidRPr="008D20A7">
        <w:rPr>
          <w:rStyle w:val="FootnoteReference"/>
          <w:rFonts w:cs="Times New Roman"/>
        </w:rPr>
        <w:footnoteRef/>
      </w:r>
      <w:r w:rsidRPr="008D20A7">
        <w:rPr>
          <w:rFonts w:cs="Times New Roman"/>
        </w:rPr>
        <w:t xml:space="preserve"> </w:t>
      </w:r>
      <w:r w:rsidRPr="008D20A7">
        <w:rPr>
          <w:rFonts w:cs="Times New Roman"/>
          <w:i/>
        </w:rPr>
        <w:t xml:space="preserve">Utilities and Transp. Comm’n v. Puget Sound Energy, </w:t>
      </w:r>
      <w:r w:rsidRPr="008D20A7">
        <w:rPr>
          <w:rFonts w:cs="Times New Roman"/>
        </w:rPr>
        <w:t>Docket UE-090704, Order 11 at 100, ¶ 281 (April 2, 2010):  “Our record also shows that the capital markets have substantially recovered from the distortions caused by the financial crisis and now again reflect cost characteristics similar to, if not lower than, those extant before the onset of the crisis.”</w:t>
      </w:r>
    </w:p>
  </w:footnote>
  <w:footnote w:id="38">
    <w:p w:rsidR="00185EFA" w:rsidRPr="008D20A7" w:rsidRDefault="00185EFA" w:rsidP="00D36ADC">
      <w:pPr>
        <w:pStyle w:val="FootnoteText"/>
        <w:rPr>
          <w:rFonts w:cs="Times New Roman"/>
        </w:rPr>
      </w:pPr>
      <w:r w:rsidRPr="008D20A7">
        <w:rPr>
          <w:rStyle w:val="FootnoteReference"/>
          <w:rFonts w:cs="Times New Roman"/>
        </w:rPr>
        <w:footnoteRef/>
      </w:r>
      <w:r w:rsidRPr="008D20A7">
        <w:rPr>
          <w:rFonts w:cs="Times New Roman"/>
        </w:rPr>
        <w:t xml:space="preserve"> PacifiCorp Petition at 25-26 ¶¶ 60-61, referring to the Order at 34-35, ¶ 81.</w:t>
      </w:r>
    </w:p>
  </w:footnote>
  <w:footnote w:id="39">
    <w:p w:rsidR="00185EFA" w:rsidRPr="008D20A7" w:rsidRDefault="00185EFA" w:rsidP="00D36ADC">
      <w:pPr>
        <w:pStyle w:val="FootnoteText"/>
        <w:rPr>
          <w:rFonts w:cs="Times New Roman"/>
        </w:rPr>
      </w:pPr>
      <w:r w:rsidRPr="008D20A7">
        <w:rPr>
          <w:rStyle w:val="FootnoteReference"/>
          <w:rFonts w:cs="Times New Roman"/>
        </w:rPr>
        <w:footnoteRef/>
      </w:r>
      <w:r w:rsidRPr="008D20A7">
        <w:rPr>
          <w:rFonts w:cs="Times New Roman"/>
        </w:rPr>
        <w:t xml:space="preserve"> PacifiCorp Petition at 25, ¶ 61.</w:t>
      </w:r>
    </w:p>
  </w:footnote>
  <w:footnote w:id="40">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PacifiCorp also challenges the Minimum Loading and Derating adjustment. Staff takes no position on that issue.</w:t>
      </w:r>
    </w:p>
  </w:footnote>
  <w:footnote w:id="41">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On page 7 of its Petition, ¶ 15, last two lines, PacifiCorp considers amounts greater than this to have “negligible rate impact”.</w:t>
      </w:r>
    </w:p>
  </w:footnote>
  <w:footnote w:id="42">
    <w:p w:rsidR="00185EFA" w:rsidRPr="008D20A7" w:rsidRDefault="00185EFA" w:rsidP="00584F68">
      <w:pPr>
        <w:pStyle w:val="FootnoteText"/>
        <w:rPr>
          <w:rFonts w:cs="Times New Roman"/>
        </w:rPr>
      </w:pPr>
      <w:r w:rsidRPr="008D20A7">
        <w:rPr>
          <w:rStyle w:val="FootnoteReference"/>
          <w:rFonts w:cs="Times New Roman"/>
        </w:rPr>
        <w:footnoteRef/>
      </w:r>
      <w:r w:rsidRPr="008D20A7">
        <w:rPr>
          <w:rFonts w:cs="Times New Roman"/>
        </w:rPr>
        <w:t xml:space="preserve"> PacifiCorp Petition at 13-14, ¶ 31, quoting the Order at 55, ¶ 149.</w:t>
      </w:r>
    </w:p>
  </w:footnote>
  <w:footnote w:id="43">
    <w:p w:rsidR="00185EFA" w:rsidRPr="008D20A7" w:rsidRDefault="00185EFA" w:rsidP="00584F68">
      <w:pPr>
        <w:pStyle w:val="FootnoteText"/>
        <w:rPr>
          <w:rFonts w:cs="Times New Roman"/>
        </w:rPr>
      </w:pPr>
      <w:r w:rsidRPr="008D20A7">
        <w:rPr>
          <w:rStyle w:val="FootnoteReference"/>
          <w:rFonts w:cs="Times New Roman"/>
        </w:rPr>
        <w:footnoteRef/>
      </w:r>
      <w:r w:rsidRPr="008D20A7">
        <w:rPr>
          <w:rFonts w:cs="Times New Roman"/>
        </w:rPr>
        <w:t xml:space="preserve"> PacifiCorp Petition at 14, ¶ 32.</w:t>
      </w:r>
    </w:p>
  </w:footnote>
  <w:footnote w:id="44">
    <w:p w:rsidR="00185EFA" w:rsidRPr="008D20A7" w:rsidRDefault="00185EFA" w:rsidP="00584F68">
      <w:pPr>
        <w:pStyle w:val="FootnoteText"/>
        <w:rPr>
          <w:rFonts w:cs="Times New Roman"/>
        </w:rPr>
      </w:pPr>
      <w:r w:rsidRPr="008D20A7">
        <w:rPr>
          <w:rStyle w:val="FootnoteReference"/>
          <w:rFonts w:cs="Times New Roman"/>
        </w:rPr>
        <w:footnoteRef/>
      </w:r>
      <w:r w:rsidRPr="008D20A7">
        <w:rPr>
          <w:rFonts w:cs="Times New Roman"/>
        </w:rPr>
        <w:t xml:space="preserve"> Buckley, Exhibit No. APB-1CT at 19:1-13.</w:t>
      </w:r>
    </w:p>
  </w:footnote>
  <w:footnote w:id="45">
    <w:p w:rsidR="00185EFA" w:rsidRPr="008D20A7" w:rsidRDefault="00185EFA" w:rsidP="00584F68">
      <w:pPr>
        <w:pStyle w:val="FootnoteText"/>
        <w:rPr>
          <w:rFonts w:cs="Times New Roman"/>
        </w:rPr>
      </w:pPr>
      <w:r w:rsidRPr="008D20A7">
        <w:rPr>
          <w:rStyle w:val="FootnoteReference"/>
          <w:rFonts w:cs="Times New Roman"/>
        </w:rPr>
        <w:footnoteRef/>
      </w:r>
      <w:r w:rsidRPr="008D20A7">
        <w:rPr>
          <w:rFonts w:cs="Times New Roman"/>
        </w:rPr>
        <w:t xml:space="preserve"> PacifiCorp Petition at 14-15, ¶¶ 33-34.</w:t>
      </w:r>
    </w:p>
  </w:footnote>
  <w:footnote w:id="46">
    <w:p w:rsidR="00185EFA" w:rsidRPr="008D20A7" w:rsidRDefault="00185EFA" w:rsidP="00584F68">
      <w:pPr>
        <w:pStyle w:val="FootnoteText"/>
        <w:rPr>
          <w:rFonts w:cs="Times New Roman"/>
        </w:rPr>
      </w:pPr>
      <w:r w:rsidRPr="008D20A7">
        <w:rPr>
          <w:rStyle w:val="FootnoteReference"/>
          <w:rFonts w:cs="Times New Roman"/>
        </w:rPr>
        <w:footnoteRef/>
      </w:r>
      <w:r w:rsidRPr="008D20A7">
        <w:rPr>
          <w:rFonts w:cs="Times New Roman"/>
        </w:rPr>
        <w:t xml:space="preserve"> Buckley, Exhibit No. APB-1CT at 6:3 to 9:2.</w:t>
      </w:r>
    </w:p>
  </w:footnote>
  <w:footnote w:id="47">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Buckley, Exhibit No. APB-1CT at 7:19-22 (Total MWhs bought generally match total MWhs sold). </w:t>
      </w:r>
    </w:p>
  </w:footnote>
  <w:footnote w:id="48">
    <w:p w:rsidR="00185EFA" w:rsidRPr="008D20A7" w:rsidRDefault="00185EFA" w:rsidP="00584F68">
      <w:pPr>
        <w:pStyle w:val="FootnoteText"/>
        <w:rPr>
          <w:rFonts w:cs="Times New Roman"/>
        </w:rPr>
      </w:pPr>
      <w:r w:rsidRPr="008D20A7">
        <w:rPr>
          <w:rStyle w:val="FootnoteReference"/>
          <w:rFonts w:cs="Times New Roman"/>
        </w:rPr>
        <w:footnoteRef/>
      </w:r>
      <w:r w:rsidRPr="008D20A7">
        <w:rPr>
          <w:rFonts w:cs="Times New Roman"/>
        </w:rPr>
        <w:t xml:space="preserve"> Buckley, Exhibit No. APB-1CT at 8:17-22.</w:t>
      </w:r>
    </w:p>
  </w:footnote>
  <w:footnote w:id="49">
    <w:p w:rsidR="00185EFA" w:rsidRPr="008D20A7" w:rsidRDefault="00185EFA" w:rsidP="00584F68">
      <w:pPr>
        <w:pStyle w:val="FootnoteText"/>
        <w:rPr>
          <w:rFonts w:cs="Times New Roman"/>
        </w:rPr>
      </w:pPr>
      <w:r w:rsidRPr="008D20A7">
        <w:rPr>
          <w:rStyle w:val="FootnoteReference"/>
          <w:rFonts w:cs="Times New Roman"/>
        </w:rPr>
        <w:footnoteRef/>
      </w:r>
      <w:r w:rsidRPr="008D20A7">
        <w:rPr>
          <w:rFonts w:cs="Times New Roman"/>
        </w:rPr>
        <w:t xml:space="preserve"> PacifiCorp Petition at 15, ¶ 34.</w:t>
      </w:r>
    </w:p>
  </w:footnote>
  <w:footnote w:id="50">
    <w:p w:rsidR="00185EFA" w:rsidRPr="008D20A7" w:rsidRDefault="00185EFA" w:rsidP="00584F68">
      <w:pPr>
        <w:pStyle w:val="FootnoteText"/>
        <w:rPr>
          <w:rFonts w:cs="Times New Roman"/>
        </w:rPr>
      </w:pPr>
      <w:r w:rsidRPr="008D20A7">
        <w:rPr>
          <w:rStyle w:val="FootnoteReference"/>
          <w:rFonts w:cs="Times New Roman"/>
        </w:rPr>
        <w:footnoteRef/>
      </w:r>
      <w:r w:rsidRPr="008D20A7">
        <w:rPr>
          <w:rFonts w:cs="Times New Roman"/>
        </w:rPr>
        <w:t xml:space="preserve"> Id.</w:t>
      </w:r>
    </w:p>
  </w:footnote>
  <w:footnote w:id="51">
    <w:p w:rsidR="00185EFA" w:rsidRPr="008D20A7" w:rsidRDefault="00185EFA" w:rsidP="00584F68">
      <w:pPr>
        <w:pStyle w:val="FootnoteText"/>
        <w:rPr>
          <w:rFonts w:cs="Times New Roman"/>
        </w:rPr>
      </w:pPr>
      <w:r w:rsidRPr="008D20A7">
        <w:rPr>
          <w:rStyle w:val="FootnoteReference"/>
          <w:rFonts w:cs="Times New Roman"/>
        </w:rPr>
        <w:footnoteRef/>
      </w:r>
      <w:r w:rsidRPr="008D20A7">
        <w:rPr>
          <w:rFonts w:cs="Times New Roman"/>
        </w:rPr>
        <w:t xml:space="preserve"> PacifiCorp Petition at 15, ¶ 35.</w:t>
      </w:r>
    </w:p>
  </w:footnote>
  <w:footnote w:id="52">
    <w:p w:rsidR="00185EFA" w:rsidRPr="008D20A7" w:rsidRDefault="00185EFA" w:rsidP="00584F68">
      <w:pPr>
        <w:pStyle w:val="FootnoteText"/>
        <w:rPr>
          <w:rFonts w:cs="Times New Roman"/>
        </w:rPr>
      </w:pPr>
      <w:r w:rsidRPr="008D20A7">
        <w:rPr>
          <w:rStyle w:val="FootnoteReference"/>
          <w:rFonts w:cs="Times New Roman"/>
        </w:rPr>
        <w:footnoteRef/>
      </w:r>
      <w:r w:rsidRPr="008D20A7">
        <w:rPr>
          <w:rFonts w:cs="Times New Roman"/>
        </w:rPr>
        <w:t xml:space="preserve"> PacifiCorp Petition at 15-18, ¶¶ 35-41.</w:t>
      </w:r>
    </w:p>
  </w:footnote>
  <w:footnote w:id="53">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PacifiCorp Petition at 15, ¶ 36, first sentence.</w:t>
      </w:r>
    </w:p>
  </w:footnote>
  <w:footnote w:id="54">
    <w:p w:rsidR="00185EFA" w:rsidRPr="008D20A7" w:rsidRDefault="00185EFA" w:rsidP="00584F68">
      <w:pPr>
        <w:pStyle w:val="FootnoteText"/>
        <w:rPr>
          <w:rFonts w:cs="Times New Roman"/>
        </w:rPr>
      </w:pPr>
      <w:r w:rsidRPr="008D20A7">
        <w:rPr>
          <w:rStyle w:val="FootnoteReference"/>
          <w:rFonts w:cs="Times New Roman"/>
        </w:rPr>
        <w:footnoteRef/>
      </w:r>
      <w:r w:rsidRPr="008D20A7">
        <w:rPr>
          <w:rFonts w:cs="Times New Roman"/>
        </w:rPr>
        <w:t xml:space="preserve"> E.g., Buckley, Exhibit No. APB-1CT at 22:8 to 23:2. </w:t>
      </w:r>
    </w:p>
  </w:footnote>
  <w:footnote w:id="55">
    <w:p w:rsidR="00185EFA" w:rsidRPr="008D20A7" w:rsidRDefault="00185EFA" w:rsidP="00584F68">
      <w:pPr>
        <w:pStyle w:val="FootnoteText"/>
        <w:rPr>
          <w:rFonts w:cs="Times New Roman"/>
        </w:rPr>
      </w:pPr>
      <w:r w:rsidRPr="008D20A7">
        <w:rPr>
          <w:rStyle w:val="FootnoteReference"/>
          <w:rFonts w:cs="Times New Roman"/>
        </w:rPr>
        <w:footnoteRef/>
      </w:r>
      <w:r w:rsidRPr="008D20A7">
        <w:rPr>
          <w:rFonts w:cs="Times New Roman"/>
        </w:rPr>
        <w:t xml:space="preserve"> </w:t>
      </w:r>
      <w:r w:rsidRPr="008D20A7">
        <w:rPr>
          <w:rFonts w:cs="Times New Roman"/>
          <w:i/>
        </w:rPr>
        <w:t>Nantahala Power &amp; Light Co. v. Thornberg</w:t>
      </w:r>
      <w:r w:rsidRPr="008D20A7">
        <w:rPr>
          <w:rFonts w:cs="Times New Roman"/>
        </w:rPr>
        <w:t>, 476 U.S. 953 (1986).</w:t>
      </w:r>
    </w:p>
  </w:footnote>
  <w:footnote w:id="56">
    <w:p w:rsidR="00185EFA" w:rsidRPr="008D20A7" w:rsidRDefault="00185EFA" w:rsidP="00584F68">
      <w:pPr>
        <w:pStyle w:val="FootnoteText"/>
        <w:rPr>
          <w:rFonts w:cs="Times New Roman"/>
        </w:rPr>
      </w:pPr>
      <w:r w:rsidRPr="008D20A7">
        <w:rPr>
          <w:rStyle w:val="FootnoteReference"/>
          <w:rFonts w:cs="Times New Roman"/>
        </w:rPr>
        <w:footnoteRef/>
      </w:r>
      <w:r w:rsidRPr="008D20A7">
        <w:rPr>
          <w:rFonts w:cs="Times New Roman"/>
        </w:rPr>
        <w:t xml:space="preserve"> </w:t>
      </w:r>
      <w:r w:rsidRPr="008D20A7">
        <w:rPr>
          <w:rFonts w:cs="Times New Roman"/>
          <w:i/>
        </w:rPr>
        <w:t>Mississippi Power &amp; Light Co. v. Mississippi</w:t>
      </w:r>
      <w:r w:rsidRPr="008D20A7">
        <w:rPr>
          <w:rFonts w:cs="Times New Roman"/>
        </w:rPr>
        <w:t>, 487 U.S. 354 (1988).</w:t>
      </w:r>
    </w:p>
  </w:footnote>
  <w:footnote w:id="57">
    <w:p w:rsidR="00185EFA" w:rsidRPr="008D20A7" w:rsidRDefault="00185EFA" w:rsidP="00584F68">
      <w:pPr>
        <w:pStyle w:val="FootnoteText"/>
        <w:rPr>
          <w:rFonts w:cs="Times New Roman"/>
        </w:rPr>
      </w:pPr>
      <w:r w:rsidRPr="008D20A7">
        <w:rPr>
          <w:rStyle w:val="FootnoteReference"/>
          <w:rFonts w:cs="Times New Roman"/>
        </w:rPr>
        <w:footnoteRef/>
      </w:r>
      <w:r w:rsidRPr="008D20A7">
        <w:rPr>
          <w:rFonts w:cs="Times New Roman"/>
        </w:rPr>
        <w:t xml:space="preserve"> In </w:t>
      </w:r>
      <w:r w:rsidRPr="008D20A7">
        <w:rPr>
          <w:rFonts w:cs="Times New Roman"/>
          <w:i/>
        </w:rPr>
        <w:t>Mississippi Power &amp; Light</w:t>
      </w:r>
      <w:r w:rsidRPr="008D20A7">
        <w:rPr>
          <w:rFonts w:cs="Times New Roman"/>
        </w:rPr>
        <w:t xml:space="preserve">, 487 U.S. at 373, the Court focused on the essence of the constitutional problem as follows:  “In </w:t>
      </w:r>
      <w:r w:rsidRPr="008D20A7">
        <w:rPr>
          <w:rFonts w:cs="Times New Roman"/>
          <w:i/>
        </w:rPr>
        <w:t>Nantahala</w:t>
      </w:r>
      <w:r w:rsidRPr="008D20A7">
        <w:rPr>
          <w:rFonts w:cs="Times New Roman"/>
        </w:rPr>
        <w:t>, the state court attempted to approve retail rates based on the assumption that Nantahala was entitled to more low-cost power than FERC had allocated to it.  Here the state court seeks to permit the State to set rates based on an assumption that MP&amp;L is obligated to purchase less Grand Gulf power than FERC has ordered it to purchase.”  Because PacifiCorp does not use the OATT-related wind generation costs at issue to serve its retail customers in Washington, no similar problem faces the Commission in this case.</w:t>
      </w:r>
    </w:p>
  </w:footnote>
  <w:footnote w:id="58">
    <w:p w:rsidR="00185EFA" w:rsidRPr="008D20A7" w:rsidRDefault="00185EFA" w:rsidP="00584F68">
      <w:pPr>
        <w:pStyle w:val="FootnoteText"/>
        <w:rPr>
          <w:rFonts w:cs="Times New Roman"/>
        </w:rPr>
      </w:pPr>
      <w:r w:rsidRPr="008D20A7">
        <w:rPr>
          <w:rStyle w:val="FootnoteReference"/>
          <w:rFonts w:cs="Times New Roman"/>
        </w:rPr>
        <w:footnoteRef/>
      </w:r>
      <w:r w:rsidRPr="008D20A7">
        <w:rPr>
          <w:rFonts w:cs="Times New Roman"/>
        </w:rPr>
        <w:t xml:space="preserve"> As we mentioned in Staff’s Reply Brief at 23, n. 106, it may well be that, sometime in the future, the Company will need to allocate the costs and revenues for this activity to interstate, similar to how utilities in the telecommunications industry use accounting separations to address these jurisdictional issues.</w:t>
      </w:r>
    </w:p>
  </w:footnote>
  <w:footnote w:id="59">
    <w:p w:rsidR="00185EFA" w:rsidRPr="008D20A7" w:rsidRDefault="00185EFA" w:rsidP="00584F68">
      <w:pPr>
        <w:pStyle w:val="FootnoteText"/>
        <w:rPr>
          <w:rFonts w:cs="Times New Roman"/>
        </w:rPr>
      </w:pPr>
      <w:r w:rsidRPr="008D20A7">
        <w:rPr>
          <w:rStyle w:val="FootnoteReference"/>
          <w:rFonts w:cs="Times New Roman"/>
        </w:rPr>
        <w:footnoteRef/>
      </w:r>
      <w:r w:rsidRPr="008D20A7">
        <w:rPr>
          <w:rFonts w:cs="Times New Roman"/>
        </w:rPr>
        <w:t xml:space="preserve"> PacifiCorp Petition at 19, ¶ 45.</w:t>
      </w:r>
    </w:p>
  </w:footnote>
  <w:footnote w:id="60">
    <w:p w:rsidR="00185EFA" w:rsidRPr="008D20A7"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PacifiCorp Petition at 2, ¶ 4.</w:t>
      </w:r>
    </w:p>
  </w:footnote>
  <w:footnote w:id="61">
    <w:p w:rsidR="00185EFA" w:rsidRPr="008D20A7" w:rsidRDefault="00185EFA" w:rsidP="004D31DC">
      <w:pPr>
        <w:pStyle w:val="EndnoteText"/>
        <w:rPr>
          <w:rFonts w:ascii="Times New Roman" w:hAnsi="Times New Roman" w:cs="Times New Roman"/>
        </w:rPr>
      </w:pPr>
      <w:r w:rsidRPr="008D20A7">
        <w:rPr>
          <w:rStyle w:val="FootnoteReference"/>
          <w:rFonts w:cs="Times New Roman"/>
        </w:rPr>
        <w:footnoteRef/>
      </w:r>
      <w:r w:rsidRPr="008D20A7">
        <w:rPr>
          <w:rFonts w:ascii="Times New Roman" w:hAnsi="Times New Roman" w:cs="Times New Roman"/>
        </w:rPr>
        <w:t xml:space="preserve"> Id.</w:t>
      </w:r>
    </w:p>
  </w:footnote>
  <w:footnote w:id="62">
    <w:p w:rsidR="00185EFA" w:rsidRPr="008D20A7"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PacifiCorp Petition at 4, ¶ 8.</w:t>
      </w:r>
    </w:p>
  </w:footnote>
  <w:footnote w:id="63">
    <w:p w:rsidR="00185EFA" w:rsidRPr="008D20A7"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Id. and at 5, ¶ 9.</w:t>
      </w:r>
    </w:p>
  </w:footnote>
  <w:footnote w:id="64">
    <w:p w:rsidR="00185EFA" w:rsidRPr="008D20A7"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Order at 127, line 45 (Appendix A).</w:t>
      </w:r>
    </w:p>
  </w:footnote>
  <w:footnote w:id="65">
    <w:p w:rsidR="00185EFA" w:rsidRPr="008D20A7"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Breda, Exhibit No. KHB-1T at 7:8 to 8:14; Exhibit No. KHB-5T at 1:14-21; See also Staff Initial Brief at 31-32, ¶¶ 127-131.</w:t>
      </w:r>
    </w:p>
  </w:footnote>
  <w:footnote w:id="66">
    <w:p w:rsidR="00185EFA" w:rsidRPr="008D20A7"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w:t>
      </w:r>
      <w:r w:rsidR="008D20A7" w:rsidRPr="008D20A7">
        <w:rPr>
          <w:rFonts w:cs="Times New Roman"/>
        </w:rPr>
        <w:t>Order</w:t>
      </w:r>
      <w:r w:rsidRPr="008D20A7">
        <w:rPr>
          <w:rFonts w:cs="Times New Roman"/>
        </w:rPr>
        <w:t xml:space="preserve"> at 94, ¶ 277.  </w:t>
      </w:r>
    </w:p>
  </w:footnote>
  <w:footnote w:id="67">
    <w:p w:rsidR="00185EFA" w:rsidRPr="008D20A7"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Id. at 95, ¶ 281.</w:t>
      </w:r>
    </w:p>
  </w:footnote>
  <w:footnote w:id="68">
    <w:p w:rsidR="00185EFA" w:rsidRPr="008D20A7"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Staff request the Commission take official notice of this information. </w:t>
      </w:r>
    </w:p>
  </w:footnote>
  <w:footnote w:id="69">
    <w:p w:rsidR="00185EFA" w:rsidRPr="008D20A7" w:rsidRDefault="00185EFA" w:rsidP="004D31DC">
      <w:pPr>
        <w:pStyle w:val="FootnoteText"/>
        <w:rPr>
          <w:rFonts w:cs="Times New Roman"/>
        </w:rPr>
      </w:pPr>
      <w:r w:rsidRPr="008D20A7">
        <w:rPr>
          <w:rStyle w:val="FootnoteReference"/>
          <w:rFonts w:cs="Times New Roman"/>
        </w:rPr>
        <w:footnoteRef/>
      </w:r>
      <w:r w:rsidR="008D20A7" w:rsidRPr="008D20A7">
        <w:rPr>
          <w:rFonts w:cs="Times New Roman"/>
        </w:rPr>
        <w:t xml:space="preserve"> </w:t>
      </w:r>
      <w:r w:rsidRPr="008D20A7">
        <w:rPr>
          <w:rFonts w:cs="Times New Roman"/>
        </w:rPr>
        <w:t xml:space="preserve">Order at 127, line 58 (Appendix A). </w:t>
      </w:r>
    </w:p>
  </w:footnote>
  <w:footnote w:id="70">
    <w:p w:rsidR="00185EFA" w:rsidRPr="008D20A7"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Id. at 127, line 61 (Appendix A).</w:t>
      </w:r>
    </w:p>
  </w:footnote>
  <w:footnote w:id="71">
    <w:p w:rsidR="00185EFA" w:rsidRPr="008D20A7"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Order at 96</w:t>
      </w:r>
      <w:r w:rsidR="00B16ED7">
        <w:rPr>
          <w:rFonts w:cs="Times New Roman"/>
        </w:rPr>
        <w:t>,</w:t>
      </w:r>
      <w:r w:rsidRPr="008D20A7">
        <w:rPr>
          <w:rFonts w:cs="Times New Roman"/>
        </w:rPr>
        <w:t xml:space="preserve"> ¶ 281.</w:t>
      </w:r>
    </w:p>
  </w:footnote>
  <w:footnote w:id="72">
    <w:p w:rsidR="00185EFA" w:rsidRPr="008D20A7"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PacifiCorp Petition at 9, ¶ 21.</w:t>
      </w:r>
    </w:p>
  </w:footnote>
  <w:footnote w:id="73">
    <w:p w:rsidR="00185EFA" w:rsidRPr="008D20A7"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PacifiCorp Petition at 2-3, ¶ 5.</w:t>
      </w:r>
    </w:p>
  </w:footnote>
  <w:footnote w:id="74">
    <w:p w:rsidR="00185EFA" w:rsidRPr="008D20A7"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w:t>
      </w:r>
      <w:r w:rsidRPr="008D20A7">
        <w:rPr>
          <w:rFonts w:cs="Times New Roman"/>
          <w:i/>
        </w:rPr>
        <w:t>Utilities &amp; Transp. Comm’n v. Puget Sound Energy, Inc</w:t>
      </w:r>
      <w:r w:rsidRPr="008D20A7">
        <w:rPr>
          <w:rFonts w:cs="Times New Roman"/>
        </w:rPr>
        <w:t>, Dockets UE-090704 and UG-090705, Order 12 at 70, ¶ 197 (April 8, 2010).</w:t>
      </w:r>
    </w:p>
  </w:footnote>
  <w:footnote w:id="75">
    <w:p w:rsidR="00185EFA" w:rsidRPr="008D20A7"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PacifiCorp Petition at 6 ¶ 14</w:t>
      </w:r>
    </w:p>
  </w:footnote>
  <w:footnote w:id="76">
    <w:p w:rsidR="00185EFA" w:rsidRPr="008D20A7"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PacifiCorp Petition at 7, ¶ 15.</w:t>
      </w:r>
    </w:p>
  </w:footnote>
  <w:footnote w:id="77">
    <w:p w:rsidR="00185EFA" w:rsidRPr="008D20A7"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PacifiCorp Petition at 7, ¶ 15.</w:t>
      </w:r>
    </w:p>
  </w:footnote>
  <w:footnote w:id="78">
    <w:p w:rsidR="00185EFA" w:rsidRPr="008D20A7" w:rsidRDefault="00185EFA" w:rsidP="00582901">
      <w:pPr>
        <w:pStyle w:val="FootnoteText"/>
        <w:rPr>
          <w:rFonts w:cs="Times New Roman"/>
        </w:rPr>
      </w:pPr>
      <w:r w:rsidRPr="008D20A7">
        <w:rPr>
          <w:rStyle w:val="FootnoteReference"/>
          <w:rFonts w:cs="Times New Roman"/>
        </w:rPr>
        <w:footnoteRef/>
      </w:r>
      <w:r w:rsidRPr="008D20A7">
        <w:rPr>
          <w:rFonts w:cs="Times New Roman"/>
        </w:rPr>
        <w:t xml:space="preserve"> Regulatory assets and liabilities are then treated by the Company as separate ratemaking adjustments.</w:t>
      </w:r>
    </w:p>
  </w:footnote>
  <w:footnote w:id="79">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Order at 127, line 45 (Appendix A).</w:t>
      </w:r>
    </w:p>
  </w:footnote>
  <w:footnote w:id="80">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Attachment A at 18-22:  Docket UE-090205, Testimony of Bryce Dalley, Exhibit No. RBD-1T, pages 1 and 26, and Exhibit No. RBD-3, page 7.0.</w:t>
      </w:r>
    </w:p>
  </w:footnote>
  <w:footnote w:id="81">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Attachment A at </w:t>
      </w:r>
      <w:r w:rsidR="00353AFC">
        <w:rPr>
          <w:rFonts w:cs="Times New Roman"/>
        </w:rPr>
        <w:t>23-</w:t>
      </w:r>
      <w:r w:rsidRPr="008D20A7">
        <w:rPr>
          <w:rFonts w:cs="Times New Roman"/>
        </w:rPr>
        <w:t xml:space="preserve">28:  Docket </w:t>
      </w:r>
      <w:proofErr w:type="spellStart"/>
      <w:r w:rsidRPr="008D20A7">
        <w:rPr>
          <w:rFonts w:cs="Times New Roman"/>
        </w:rPr>
        <w:t>UE</w:t>
      </w:r>
      <w:proofErr w:type="spellEnd"/>
      <w:r w:rsidRPr="008D20A7">
        <w:rPr>
          <w:rFonts w:cs="Times New Roman"/>
        </w:rPr>
        <w:t>-061546, Testimony of Paul M. Wrigley, Exhibit No. PMW-1T, pages 1, 18 and 20, and Exhibit No. PNW-4, page 7.0.</w:t>
      </w:r>
    </w:p>
  </w:footnote>
  <w:footnote w:id="82">
    <w:p w:rsidR="00185EFA" w:rsidRPr="008D20A7"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E.g., PacifiCorp Petition at 5, ¶ 9, at 9, ¶ 20 and at 10, ¶ 23.</w:t>
      </w:r>
    </w:p>
  </w:footnote>
  <w:footnote w:id="83">
    <w:p w:rsidR="00185EFA" w:rsidRPr="008D20A7"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Order at 95 ¶ 279.</w:t>
      </w:r>
    </w:p>
  </w:footnote>
  <w:footnote w:id="84">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PacifiCorp Petition at 127, line 45 (Appendix A).</w:t>
      </w:r>
    </w:p>
  </w:footnote>
  <w:footnote w:id="85">
    <w:p w:rsidR="00185EFA" w:rsidRPr="008D20A7"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E.g., PacifiCorp Petition at 9, ¶ 20.</w:t>
      </w:r>
    </w:p>
  </w:footnote>
  <w:footnote w:id="86">
    <w:p w:rsidR="00185EFA" w:rsidRPr="008D20A7"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Docket UE-061546, Wrigley, Exhibit No. PMW-1T at 20.  Staff requests the Commission take official notice of this document, which is excerpted in Attachment A at 31. </w:t>
      </w:r>
    </w:p>
  </w:footnote>
  <w:footnote w:id="87">
    <w:p w:rsidR="00185EFA" w:rsidRPr="008D20A7" w:rsidRDefault="00185EFA">
      <w:pPr>
        <w:pStyle w:val="FootnoteText"/>
        <w:rPr>
          <w:rFonts w:cs="Times New Roman"/>
        </w:rPr>
      </w:pPr>
      <w:r w:rsidRPr="008D20A7">
        <w:rPr>
          <w:rStyle w:val="FootnoteReference"/>
          <w:rFonts w:cs="Times New Roman"/>
        </w:rPr>
        <w:footnoteRef/>
      </w:r>
      <w:r w:rsidRPr="008D20A7">
        <w:rPr>
          <w:rFonts w:cs="Times New Roman"/>
        </w:rPr>
        <w:t xml:space="preserve"> Fuller, Exhibit No. RF-15.</w:t>
      </w:r>
    </w:p>
  </w:footnote>
  <w:footnote w:id="88">
    <w:p w:rsidR="00185EFA" w:rsidRPr="00A221E9" w:rsidRDefault="00185EFA" w:rsidP="004D31DC">
      <w:pPr>
        <w:pStyle w:val="FootnoteText"/>
        <w:rPr>
          <w:rFonts w:cs="Times New Roman"/>
        </w:rPr>
      </w:pPr>
      <w:r w:rsidRPr="008D20A7">
        <w:rPr>
          <w:rStyle w:val="FootnoteReference"/>
          <w:rFonts w:cs="Times New Roman"/>
        </w:rPr>
        <w:footnoteRef/>
      </w:r>
      <w:r w:rsidRPr="008D20A7">
        <w:rPr>
          <w:rFonts w:cs="Times New Roman"/>
        </w:rPr>
        <w:t xml:space="preserve"> PacifiCorp Petition, Exhibit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506"/>
    <w:multiLevelType w:val="hybridMultilevel"/>
    <w:tmpl w:val="53D0A366"/>
    <w:lvl w:ilvl="0" w:tplc="1690D296">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66376B"/>
    <w:multiLevelType w:val="hybridMultilevel"/>
    <w:tmpl w:val="A66A9CC4"/>
    <w:lvl w:ilvl="0" w:tplc="1690D296">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5718C8"/>
    <w:multiLevelType w:val="hybridMultilevel"/>
    <w:tmpl w:val="BF769AFE"/>
    <w:lvl w:ilvl="0" w:tplc="1690D296">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F94A9E"/>
    <w:multiLevelType w:val="hybridMultilevel"/>
    <w:tmpl w:val="C854DD6C"/>
    <w:lvl w:ilvl="0" w:tplc="1690D296">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B64FDF"/>
    <w:multiLevelType w:val="hybridMultilevel"/>
    <w:tmpl w:val="D5722562"/>
    <w:lvl w:ilvl="0" w:tplc="1690D296">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2D24D4"/>
    <w:multiLevelType w:val="hybridMultilevel"/>
    <w:tmpl w:val="2F02C878"/>
    <w:lvl w:ilvl="0" w:tplc="1690D296">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C845CD"/>
    <w:multiLevelType w:val="hybridMultilevel"/>
    <w:tmpl w:val="215E6858"/>
    <w:lvl w:ilvl="0" w:tplc="1690D296">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B1783C"/>
    <w:multiLevelType w:val="hybridMultilevel"/>
    <w:tmpl w:val="D8640A72"/>
    <w:lvl w:ilvl="0" w:tplc="1690D296">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E54D4E"/>
    <w:multiLevelType w:val="hybridMultilevel"/>
    <w:tmpl w:val="DE26E804"/>
    <w:lvl w:ilvl="0" w:tplc="1690D296">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C62300"/>
    <w:multiLevelType w:val="hybridMultilevel"/>
    <w:tmpl w:val="DEDC35E6"/>
    <w:lvl w:ilvl="0" w:tplc="1690D296">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DA436A9"/>
    <w:multiLevelType w:val="hybridMultilevel"/>
    <w:tmpl w:val="7BBA13C0"/>
    <w:lvl w:ilvl="0" w:tplc="1690D296">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8111CDA"/>
    <w:multiLevelType w:val="hybridMultilevel"/>
    <w:tmpl w:val="1F8A675E"/>
    <w:lvl w:ilvl="0" w:tplc="1690D296">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7427C2D"/>
    <w:multiLevelType w:val="hybridMultilevel"/>
    <w:tmpl w:val="36A6FB16"/>
    <w:lvl w:ilvl="0" w:tplc="1690D296">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CF476DC"/>
    <w:multiLevelType w:val="hybridMultilevel"/>
    <w:tmpl w:val="5FBC034C"/>
    <w:lvl w:ilvl="0" w:tplc="1690D296">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0C07F01"/>
    <w:multiLevelType w:val="hybridMultilevel"/>
    <w:tmpl w:val="235022B2"/>
    <w:lvl w:ilvl="0" w:tplc="1690D296">
      <w:start w:val="1"/>
      <w:numFmt w:val="decimal"/>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311572D"/>
    <w:multiLevelType w:val="hybridMultilevel"/>
    <w:tmpl w:val="3C503E54"/>
    <w:lvl w:ilvl="0" w:tplc="1690D296">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56F1548"/>
    <w:multiLevelType w:val="hybridMultilevel"/>
    <w:tmpl w:val="740C87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8BA753B"/>
    <w:multiLevelType w:val="hybridMultilevel"/>
    <w:tmpl w:val="3490FAE4"/>
    <w:lvl w:ilvl="0" w:tplc="1690D296">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F211D61"/>
    <w:multiLevelType w:val="hybridMultilevel"/>
    <w:tmpl w:val="7200026E"/>
    <w:lvl w:ilvl="0" w:tplc="1690D296">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3F127BC"/>
    <w:multiLevelType w:val="hybridMultilevel"/>
    <w:tmpl w:val="0CF42902"/>
    <w:lvl w:ilvl="0" w:tplc="EA1E1E46">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9841875"/>
    <w:multiLevelType w:val="hybridMultilevel"/>
    <w:tmpl w:val="EDB0326C"/>
    <w:lvl w:ilvl="0" w:tplc="1690D296">
      <w:start w:val="1"/>
      <w:numFmt w:val="decimal"/>
      <w:lvlText w:val="%1"/>
      <w:lvlJc w:val="left"/>
      <w:pPr>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5"/>
  </w:num>
  <w:num w:numId="3">
    <w:abstractNumId w:val="20"/>
  </w:num>
  <w:num w:numId="4">
    <w:abstractNumId w:val="8"/>
  </w:num>
  <w:num w:numId="5">
    <w:abstractNumId w:val="3"/>
  </w:num>
  <w:num w:numId="6">
    <w:abstractNumId w:val="18"/>
  </w:num>
  <w:num w:numId="7">
    <w:abstractNumId w:val="17"/>
  </w:num>
  <w:num w:numId="8">
    <w:abstractNumId w:val="10"/>
  </w:num>
  <w:num w:numId="9">
    <w:abstractNumId w:val="9"/>
  </w:num>
  <w:num w:numId="10">
    <w:abstractNumId w:val="11"/>
  </w:num>
  <w:num w:numId="11">
    <w:abstractNumId w:val="1"/>
  </w:num>
  <w:num w:numId="12">
    <w:abstractNumId w:val="6"/>
  </w:num>
  <w:num w:numId="13">
    <w:abstractNumId w:val="0"/>
  </w:num>
  <w:num w:numId="14">
    <w:abstractNumId w:val="2"/>
  </w:num>
  <w:num w:numId="15">
    <w:abstractNumId w:val="16"/>
  </w:num>
  <w:num w:numId="16">
    <w:abstractNumId w:val="19"/>
  </w:num>
  <w:num w:numId="17">
    <w:abstractNumId w:val="15"/>
  </w:num>
  <w:num w:numId="18">
    <w:abstractNumId w:val="13"/>
  </w:num>
  <w:num w:numId="19">
    <w:abstractNumId w:val="7"/>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671B"/>
    <w:rsid w:val="00024E07"/>
    <w:rsid w:val="00031D42"/>
    <w:rsid w:val="0005231F"/>
    <w:rsid w:val="00064E3A"/>
    <w:rsid w:val="000659AC"/>
    <w:rsid w:val="00095D49"/>
    <w:rsid w:val="000B56BC"/>
    <w:rsid w:val="000C0908"/>
    <w:rsid w:val="000C0E4E"/>
    <w:rsid w:val="000F16C9"/>
    <w:rsid w:val="001033C0"/>
    <w:rsid w:val="00115C63"/>
    <w:rsid w:val="00115E26"/>
    <w:rsid w:val="00121788"/>
    <w:rsid w:val="00132600"/>
    <w:rsid w:val="00144F90"/>
    <w:rsid w:val="00171CF0"/>
    <w:rsid w:val="00177E3C"/>
    <w:rsid w:val="00185EFA"/>
    <w:rsid w:val="0019238C"/>
    <w:rsid w:val="00194B6F"/>
    <w:rsid w:val="001B2A02"/>
    <w:rsid w:val="001B4900"/>
    <w:rsid w:val="001D6472"/>
    <w:rsid w:val="001D7C95"/>
    <w:rsid w:val="001E0F9B"/>
    <w:rsid w:val="001E3D78"/>
    <w:rsid w:val="001F3621"/>
    <w:rsid w:val="0023246D"/>
    <w:rsid w:val="00244C15"/>
    <w:rsid w:val="00276A82"/>
    <w:rsid w:val="002A7481"/>
    <w:rsid w:val="002B06A6"/>
    <w:rsid w:val="002B21F0"/>
    <w:rsid w:val="002C19AD"/>
    <w:rsid w:val="002D696B"/>
    <w:rsid w:val="002E1975"/>
    <w:rsid w:val="002F498A"/>
    <w:rsid w:val="00303ADF"/>
    <w:rsid w:val="00325B1A"/>
    <w:rsid w:val="0033298A"/>
    <w:rsid w:val="00353AFC"/>
    <w:rsid w:val="00366D2D"/>
    <w:rsid w:val="00383346"/>
    <w:rsid w:val="00384811"/>
    <w:rsid w:val="003870CF"/>
    <w:rsid w:val="00391C4F"/>
    <w:rsid w:val="003C126C"/>
    <w:rsid w:val="003F1B6B"/>
    <w:rsid w:val="00410E8F"/>
    <w:rsid w:val="004226B5"/>
    <w:rsid w:val="00424608"/>
    <w:rsid w:val="004305C7"/>
    <w:rsid w:val="00432EA6"/>
    <w:rsid w:val="00495C52"/>
    <w:rsid w:val="004A45C7"/>
    <w:rsid w:val="004C3BD4"/>
    <w:rsid w:val="004D31DC"/>
    <w:rsid w:val="004F0AD5"/>
    <w:rsid w:val="00511D5A"/>
    <w:rsid w:val="00534BF1"/>
    <w:rsid w:val="0055499B"/>
    <w:rsid w:val="005734BD"/>
    <w:rsid w:val="00582901"/>
    <w:rsid w:val="00584F68"/>
    <w:rsid w:val="005A206F"/>
    <w:rsid w:val="005C0264"/>
    <w:rsid w:val="00615B74"/>
    <w:rsid w:val="00675EB4"/>
    <w:rsid w:val="006849B6"/>
    <w:rsid w:val="00693F49"/>
    <w:rsid w:val="00696361"/>
    <w:rsid w:val="006B1CC9"/>
    <w:rsid w:val="006F0D7F"/>
    <w:rsid w:val="00703D75"/>
    <w:rsid w:val="00765381"/>
    <w:rsid w:val="007725C3"/>
    <w:rsid w:val="0078626C"/>
    <w:rsid w:val="007D5037"/>
    <w:rsid w:val="007D59B6"/>
    <w:rsid w:val="007F1AC1"/>
    <w:rsid w:val="00814257"/>
    <w:rsid w:val="0083428F"/>
    <w:rsid w:val="0084703B"/>
    <w:rsid w:val="00850C37"/>
    <w:rsid w:val="008515BC"/>
    <w:rsid w:val="00880682"/>
    <w:rsid w:val="008B0EAA"/>
    <w:rsid w:val="008B63AF"/>
    <w:rsid w:val="008C7E2D"/>
    <w:rsid w:val="008D14D1"/>
    <w:rsid w:val="008D20A7"/>
    <w:rsid w:val="008E62AF"/>
    <w:rsid w:val="009132CB"/>
    <w:rsid w:val="00916BD3"/>
    <w:rsid w:val="009219B8"/>
    <w:rsid w:val="009303D7"/>
    <w:rsid w:val="00931970"/>
    <w:rsid w:val="00936215"/>
    <w:rsid w:val="00941AC6"/>
    <w:rsid w:val="0094412E"/>
    <w:rsid w:val="0095287F"/>
    <w:rsid w:val="0095313E"/>
    <w:rsid w:val="0098280E"/>
    <w:rsid w:val="00993832"/>
    <w:rsid w:val="009E1CC0"/>
    <w:rsid w:val="009E72CD"/>
    <w:rsid w:val="00A01E73"/>
    <w:rsid w:val="00A33331"/>
    <w:rsid w:val="00A3428E"/>
    <w:rsid w:val="00A44E62"/>
    <w:rsid w:val="00A47B97"/>
    <w:rsid w:val="00A55C6E"/>
    <w:rsid w:val="00A654AE"/>
    <w:rsid w:val="00AB01C7"/>
    <w:rsid w:val="00AB6F09"/>
    <w:rsid w:val="00AB7E90"/>
    <w:rsid w:val="00AC3780"/>
    <w:rsid w:val="00AC6DA0"/>
    <w:rsid w:val="00B0401F"/>
    <w:rsid w:val="00B16ED7"/>
    <w:rsid w:val="00B30BBB"/>
    <w:rsid w:val="00B33246"/>
    <w:rsid w:val="00B41315"/>
    <w:rsid w:val="00B83317"/>
    <w:rsid w:val="00BB272A"/>
    <w:rsid w:val="00BD566C"/>
    <w:rsid w:val="00BE0D4B"/>
    <w:rsid w:val="00BE7140"/>
    <w:rsid w:val="00BF4584"/>
    <w:rsid w:val="00C07E79"/>
    <w:rsid w:val="00C22B4A"/>
    <w:rsid w:val="00C31624"/>
    <w:rsid w:val="00C5635D"/>
    <w:rsid w:val="00C713A8"/>
    <w:rsid w:val="00C73CB5"/>
    <w:rsid w:val="00C87022"/>
    <w:rsid w:val="00CC4C8B"/>
    <w:rsid w:val="00D02409"/>
    <w:rsid w:val="00D3064D"/>
    <w:rsid w:val="00D36ADC"/>
    <w:rsid w:val="00D4067B"/>
    <w:rsid w:val="00D67D70"/>
    <w:rsid w:val="00D811F3"/>
    <w:rsid w:val="00D8671B"/>
    <w:rsid w:val="00D92EA3"/>
    <w:rsid w:val="00DD1C54"/>
    <w:rsid w:val="00DF1E7D"/>
    <w:rsid w:val="00E25F62"/>
    <w:rsid w:val="00E25FFC"/>
    <w:rsid w:val="00E42B35"/>
    <w:rsid w:val="00E53F60"/>
    <w:rsid w:val="00E60F70"/>
    <w:rsid w:val="00E7340C"/>
    <w:rsid w:val="00EA0F2B"/>
    <w:rsid w:val="00EA3C1A"/>
    <w:rsid w:val="00EA6589"/>
    <w:rsid w:val="00EB4458"/>
    <w:rsid w:val="00EB4D60"/>
    <w:rsid w:val="00EC37AE"/>
    <w:rsid w:val="00EE702B"/>
    <w:rsid w:val="00F0054F"/>
    <w:rsid w:val="00F226F7"/>
    <w:rsid w:val="00F36141"/>
    <w:rsid w:val="00F54608"/>
    <w:rsid w:val="00F561CD"/>
    <w:rsid w:val="00F9192A"/>
    <w:rsid w:val="00FA20D3"/>
    <w:rsid w:val="00FB28E0"/>
    <w:rsid w:val="00FD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AF"/>
    <w:rPr>
      <w:color w:val="808080"/>
    </w:rPr>
  </w:style>
  <w:style w:type="paragraph" w:styleId="BalloonText">
    <w:name w:val="Balloon Text"/>
    <w:basedOn w:val="Normal"/>
    <w:link w:val="BalloonTextChar"/>
    <w:uiPriority w:val="99"/>
    <w:semiHidden/>
    <w:unhideWhenUsed/>
    <w:rsid w:val="008E6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2AF"/>
    <w:rPr>
      <w:rFonts w:ascii="Tahoma" w:hAnsi="Tahoma" w:cs="Tahoma"/>
      <w:sz w:val="16"/>
      <w:szCs w:val="16"/>
    </w:rPr>
  </w:style>
  <w:style w:type="paragraph" w:styleId="FootnoteText">
    <w:name w:val="footnote text"/>
    <w:basedOn w:val="Normal"/>
    <w:link w:val="FootnoteTextChar"/>
    <w:uiPriority w:val="99"/>
    <w:unhideWhenUsed/>
    <w:rsid w:val="0033298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33298A"/>
    <w:rPr>
      <w:rFonts w:ascii="Times New Roman" w:hAnsi="Times New Roman"/>
      <w:sz w:val="20"/>
      <w:szCs w:val="20"/>
    </w:rPr>
  </w:style>
  <w:style w:type="character" w:styleId="FootnoteReference">
    <w:name w:val="footnote reference"/>
    <w:basedOn w:val="DefaultParagraphFont"/>
    <w:uiPriority w:val="99"/>
    <w:unhideWhenUsed/>
    <w:rsid w:val="00B0401F"/>
    <w:rPr>
      <w:rFonts w:ascii="Times New Roman" w:hAnsi="Times New Roman"/>
      <w:sz w:val="20"/>
      <w:vertAlign w:val="superscript"/>
    </w:rPr>
  </w:style>
  <w:style w:type="character" w:styleId="CommentReference">
    <w:name w:val="annotation reference"/>
    <w:basedOn w:val="DefaultParagraphFont"/>
    <w:uiPriority w:val="99"/>
    <w:semiHidden/>
    <w:unhideWhenUsed/>
    <w:rsid w:val="00850C37"/>
    <w:rPr>
      <w:sz w:val="16"/>
      <w:szCs w:val="16"/>
    </w:rPr>
  </w:style>
  <w:style w:type="paragraph" w:styleId="CommentText">
    <w:name w:val="annotation text"/>
    <w:basedOn w:val="Normal"/>
    <w:link w:val="CommentTextChar"/>
    <w:uiPriority w:val="99"/>
    <w:semiHidden/>
    <w:unhideWhenUsed/>
    <w:rsid w:val="00850C37"/>
    <w:pPr>
      <w:spacing w:line="240" w:lineRule="auto"/>
    </w:pPr>
    <w:rPr>
      <w:sz w:val="20"/>
      <w:szCs w:val="20"/>
    </w:rPr>
  </w:style>
  <w:style w:type="character" w:customStyle="1" w:styleId="CommentTextChar">
    <w:name w:val="Comment Text Char"/>
    <w:basedOn w:val="DefaultParagraphFont"/>
    <w:link w:val="CommentText"/>
    <w:uiPriority w:val="99"/>
    <w:semiHidden/>
    <w:rsid w:val="00850C37"/>
    <w:rPr>
      <w:sz w:val="20"/>
      <w:szCs w:val="20"/>
    </w:rPr>
  </w:style>
  <w:style w:type="paragraph" w:styleId="CommentSubject">
    <w:name w:val="annotation subject"/>
    <w:basedOn w:val="CommentText"/>
    <w:next w:val="CommentText"/>
    <w:link w:val="CommentSubjectChar"/>
    <w:uiPriority w:val="99"/>
    <w:semiHidden/>
    <w:unhideWhenUsed/>
    <w:rsid w:val="00850C37"/>
    <w:rPr>
      <w:b/>
      <w:bCs/>
    </w:rPr>
  </w:style>
  <w:style w:type="character" w:customStyle="1" w:styleId="CommentSubjectChar">
    <w:name w:val="Comment Subject Char"/>
    <w:basedOn w:val="CommentTextChar"/>
    <w:link w:val="CommentSubject"/>
    <w:uiPriority w:val="99"/>
    <w:semiHidden/>
    <w:rsid w:val="00850C37"/>
    <w:rPr>
      <w:b/>
      <w:bCs/>
      <w:sz w:val="20"/>
      <w:szCs w:val="20"/>
    </w:rPr>
  </w:style>
  <w:style w:type="paragraph" w:styleId="ListParagraph">
    <w:name w:val="List Paragraph"/>
    <w:basedOn w:val="Normal"/>
    <w:uiPriority w:val="34"/>
    <w:qFormat/>
    <w:rsid w:val="009303D7"/>
    <w:pPr>
      <w:ind w:left="720"/>
      <w:contextualSpacing/>
    </w:pPr>
  </w:style>
  <w:style w:type="paragraph" w:styleId="Header">
    <w:name w:val="header"/>
    <w:basedOn w:val="Normal"/>
    <w:link w:val="HeaderChar"/>
    <w:uiPriority w:val="99"/>
    <w:unhideWhenUsed/>
    <w:rsid w:val="00EA0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F2B"/>
  </w:style>
  <w:style w:type="paragraph" w:styleId="Footer">
    <w:name w:val="footer"/>
    <w:basedOn w:val="Normal"/>
    <w:link w:val="FooterChar"/>
    <w:uiPriority w:val="99"/>
    <w:unhideWhenUsed/>
    <w:rsid w:val="00EA0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F2B"/>
  </w:style>
  <w:style w:type="paragraph" w:styleId="EndnoteText">
    <w:name w:val="endnote text"/>
    <w:basedOn w:val="Normal"/>
    <w:link w:val="EndnoteTextChar"/>
    <w:uiPriority w:val="99"/>
    <w:unhideWhenUsed/>
    <w:rsid w:val="004D31DC"/>
    <w:pPr>
      <w:spacing w:after="0" w:line="240" w:lineRule="auto"/>
    </w:pPr>
    <w:rPr>
      <w:sz w:val="20"/>
      <w:szCs w:val="20"/>
    </w:rPr>
  </w:style>
  <w:style w:type="character" w:customStyle="1" w:styleId="EndnoteTextChar">
    <w:name w:val="Endnote Text Char"/>
    <w:basedOn w:val="DefaultParagraphFont"/>
    <w:link w:val="EndnoteText"/>
    <w:uiPriority w:val="99"/>
    <w:rsid w:val="004D31D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26047">
      <w:bodyDiv w:val="1"/>
      <w:marLeft w:val="0"/>
      <w:marRight w:val="0"/>
      <w:marTop w:val="0"/>
      <w:marBottom w:val="0"/>
      <w:divBdr>
        <w:top w:val="none" w:sz="0" w:space="0" w:color="auto"/>
        <w:left w:val="none" w:sz="0" w:space="0" w:color="auto"/>
        <w:bottom w:val="none" w:sz="0" w:space="0" w:color="auto"/>
        <w:right w:val="none" w:sz="0" w:space="0" w:color="auto"/>
      </w:divBdr>
    </w:div>
    <w:div w:id="1073938857">
      <w:bodyDiv w:val="1"/>
      <w:marLeft w:val="0"/>
      <w:marRight w:val="0"/>
      <w:marTop w:val="0"/>
      <w:marBottom w:val="0"/>
      <w:divBdr>
        <w:top w:val="none" w:sz="0" w:space="0" w:color="auto"/>
        <w:left w:val="none" w:sz="0" w:space="0" w:color="auto"/>
        <w:bottom w:val="none" w:sz="0" w:space="0" w:color="auto"/>
        <w:right w:val="none" w:sz="0" w:space="0" w:color="auto"/>
      </w:divBdr>
    </w:div>
    <w:div w:id="1481845039">
      <w:bodyDiv w:val="1"/>
      <w:marLeft w:val="0"/>
      <w:marRight w:val="0"/>
      <w:marTop w:val="0"/>
      <w:marBottom w:val="0"/>
      <w:divBdr>
        <w:top w:val="none" w:sz="0" w:space="0" w:color="auto"/>
        <w:left w:val="none" w:sz="0" w:space="0" w:color="auto"/>
        <w:bottom w:val="none" w:sz="0" w:space="0" w:color="auto"/>
        <w:right w:val="none" w:sz="0" w:space="0" w:color="auto"/>
      </w:divBdr>
    </w:div>
    <w:div w:id="15141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2011-04-14T07:00:00+00:00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88B6F-2978-4AB5-ABAD-DFF472D13C16}"/>
</file>

<file path=customXml/itemProps2.xml><?xml version="1.0" encoding="utf-8"?>
<ds:datastoreItem xmlns:ds="http://schemas.openxmlformats.org/officeDocument/2006/customXml" ds:itemID="{C731855A-6AE3-4069-BE5B-AD398AFA2DC9}"/>
</file>

<file path=customXml/itemProps3.xml><?xml version="1.0" encoding="utf-8"?>
<ds:datastoreItem xmlns:ds="http://schemas.openxmlformats.org/officeDocument/2006/customXml" ds:itemID="{D73D527F-2A9A-4546-A7F5-528A8AC9C7CC}"/>
</file>

<file path=customXml/itemProps4.xml><?xml version="1.0" encoding="utf-8"?>
<ds:datastoreItem xmlns:ds="http://schemas.openxmlformats.org/officeDocument/2006/customXml" ds:itemID="{74290838-9D96-4C27-B851-F7B7E721D603}"/>
</file>

<file path=customXml/itemProps5.xml><?xml version="1.0" encoding="utf-8"?>
<ds:datastoreItem xmlns:ds="http://schemas.openxmlformats.org/officeDocument/2006/customXml" ds:itemID="{0A6D0FEC-3826-45BD-BCC1-EF207EDD2549}"/>
</file>

<file path=docProps/app.xml><?xml version="1.0" encoding="utf-8"?>
<Properties xmlns="http://schemas.openxmlformats.org/officeDocument/2006/extended-properties" xmlns:vt="http://schemas.openxmlformats.org/officeDocument/2006/docPropsVTypes">
  <Template>Normal.dotm</Template>
  <TotalTime>12</TotalTime>
  <Pages>28</Pages>
  <Words>6534</Words>
  <Characters>37248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Ken Elgin</dc:creator>
  <cp:keywords/>
  <dc:description/>
  <cp:lastModifiedBy>Krista Gross</cp:lastModifiedBy>
  <cp:revision>10</cp:revision>
  <cp:lastPrinted>2011-04-14T22:02:00Z</cp:lastPrinted>
  <dcterms:created xsi:type="dcterms:W3CDTF">2011-04-14T21:06:00Z</dcterms:created>
  <dcterms:modified xsi:type="dcterms:W3CDTF">2011-04-14T22:03:00Z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