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F0" w:rsidRDefault="009056F0" w:rsidP="00C85E71">
      <w:pPr>
        <w:jc w:val="center"/>
        <w:rPr>
          <w:b/>
        </w:rPr>
      </w:pPr>
      <w:r>
        <w:rPr>
          <w:b/>
        </w:rPr>
        <w:t>BEFORE THE WASHINGTON</w:t>
      </w:r>
    </w:p>
    <w:p w:rsidR="009056F0" w:rsidRPr="009A15DF" w:rsidRDefault="009056F0" w:rsidP="009A15DF">
      <w:pPr>
        <w:jc w:val="center"/>
        <w:rPr>
          <w:b/>
        </w:rPr>
      </w:pPr>
      <w:r w:rsidRPr="00A658BE">
        <w:rPr>
          <w:b/>
        </w:rPr>
        <w:t>UTILITIES AND TRANSPORTATION</w:t>
      </w:r>
      <w:r>
        <w:rPr>
          <w:b/>
        </w:rPr>
        <w:t xml:space="preserve"> </w:t>
      </w:r>
      <w:r w:rsidRPr="00A658BE">
        <w:rPr>
          <w:b/>
        </w:rPr>
        <w:t>COMMISSION</w:t>
      </w:r>
    </w:p>
    <w:p w:rsidR="009056F0" w:rsidRDefault="009056F0" w:rsidP="009056F0"/>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9056F0" w:rsidRPr="00994CEC" w:rsidTr="009056F0">
        <w:tc>
          <w:tcPr>
            <w:tcW w:w="4500" w:type="dxa"/>
            <w:tcBorders>
              <w:bottom w:val="single" w:sz="6" w:space="0" w:color="auto"/>
              <w:right w:val="single" w:sz="6" w:space="0" w:color="auto"/>
            </w:tcBorders>
          </w:tcPr>
          <w:p w:rsidR="009056F0" w:rsidRDefault="009056F0" w:rsidP="00AD309C">
            <w:pPr>
              <w:tabs>
                <w:tab w:val="left" w:pos="2160"/>
              </w:tabs>
              <w:spacing w:line="264" w:lineRule="auto"/>
              <w:rPr>
                <w:bCs/>
                <w:sz w:val="25"/>
                <w:szCs w:val="25"/>
              </w:rPr>
            </w:pPr>
          </w:p>
          <w:p w:rsidR="009056F0" w:rsidRPr="002D372E" w:rsidRDefault="009056F0" w:rsidP="004714E9">
            <w:pPr>
              <w:pStyle w:val="Default"/>
              <w:rPr>
                <w:noProof/>
              </w:rPr>
            </w:pPr>
            <w:r w:rsidRPr="002D372E">
              <w:rPr>
                <w:noProof/>
              </w:rPr>
              <w:t>WASHINGTON UTILITIES AND TRANSPORTATION COMMISSION,</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b/>
              <w:t>Complainant,</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v.</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AVISTA CORPORATION, d/b/a AVISTA UTILITIES,</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b/>
              <w:t>Respondent.</w:t>
            </w:r>
          </w:p>
          <w:p w:rsidR="009056F0" w:rsidRPr="00994CEC" w:rsidRDefault="009056F0" w:rsidP="00B10D0B">
            <w:pPr>
              <w:pStyle w:val="Default"/>
            </w:pPr>
          </w:p>
        </w:tc>
        <w:tc>
          <w:tcPr>
            <w:tcW w:w="4860" w:type="dxa"/>
            <w:tcBorders>
              <w:left w:val="nil"/>
              <w:bottom w:val="nil"/>
            </w:tcBorders>
          </w:tcPr>
          <w:p w:rsidR="009056F0" w:rsidRPr="00994CEC" w:rsidRDefault="009056F0"/>
          <w:p w:rsidR="009056F0" w:rsidRDefault="009056F0" w:rsidP="00AD309C">
            <w:pPr>
              <w:rPr>
                <w:sz w:val="25"/>
                <w:szCs w:val="25"/>
              </w:rPr>
            </w:pPr>
            <w:r>
              <w:rPr>
                <w:sz w:val="25"/>
                <w:szCs w:val="25"/>
              </w:rPr>
              <w:t xml:space="preserve">DOCKETS </w:t>
            </w:r>
            <w:r w:rsidRPr="002D372E">
              <w:rPr>
                <w:noProof/>
                <w:sz w:val="25"/>
                <w:szCs w:val="25"/>
              </w:rPr>
              <w:t xml:space="preserve">UE-160228 </w:t>
            </w:r>
            <w:r>
              <w:rPr>
                <w:noProof/>
                <w:sz w:val="25"/>
                <w:szCs w:val="25"/>
              </w:rPr>
              <w:t>and UG</w:t>
            </w:r>
            <w:r>
              <w:rPr>
                <w:noProof/>
                <w:sz w:val="25"/>
                <w:szCs w:val="25"/>
              </w:rPr>
              <w:noBreakHyphen/>
            </w:r>
            <w:r w:rsidRPr="002D372E">
              <w:rPr>
                <w:noProof/>
                <w:sz w:val="25"/>
                <w:szCs w:val="25"/>
              </w:rPr>
              <w:t>160229</w:t>
            </w:r>
          </w:p>
          <w:p w:rsidR="009056F0" w:rsidRDefault="009056F0" w:rsidP="009E7452"/>
          <w:p w:rsidR="009056F0" w:rsidRDefault="009056F0" w:rsidP="009E7452"/>
          <w:p w:rsidR="009056F0" w:rsidRDefault="00897E84" w:rsidP="009E7452">
            <w:r>
              <w:t>PUBLIC COUNSEL AND THE ENERGY PROJECT’S RESPONSE TO STAFF’S MOTION TO STRIKE, OR ALTERNATIVE MOTION FOR SURREBUTTAL</w:t>
            </w:r>
          </w:p>
          <w:p w:rsidR="009056F0" w:rsidRPr="00994CEC" w:rsidRDefault="009056F0" w:rsidP="009E7452"/>
        </w:tc>
      </w:tr>
    </w:tbl>
    <w:p w:rsidR="009056F0" w:rsidRDefault="009056F0" w:rsidP="00D43DDE"/>
    <w:p w:rsidR="009056F0" w:rsidRDefault="00914A2F" w:rsidP="00D43DDE">
      <w:pPr>
        <w:pStyle w:val="ParNumber"/>
        <w:spacing w:line="480" w:lineRule="auto"/>
      </w:pPr>
      <w:r>
        <w:tab/>
      </w:r>
      <w:r w:rsidR="00EE5E4E">
        <w:t>Public Counsel and The Energy Project support Commission Staff’s Motion to Strike Avista’s rebuttal testimony concerning deferred accounting treatment for its advanced metering infrastructure (AMI) costs</w:t>
      </w:r>
      <w:r w:rsidR="009056F0">
        <w:t>.</w:t>
      </w:r>
      <w:r w:rsidR="00EE5E4E">
        <w:t xml:space="preserve">  This response does not repeat the sections of testimony that should be stricken, but rather refers to, and incorporates by reference</w:t>
      </w:r>
      <w:r w:rsidR="00A918C8">
        <w:t>s,</w:t>
      </w:r>
      <w:r w:rsidR="00EE5E4E">
        <w:t xml:space="preserve"> Staff’s Motion</w:t>
      </w:r>
      <w:r w:rsidR="00083164">
        <w:t xml:space="preserve"> to Strike.</w:t>
      </w:r>
    </w:p>
    <w:p w:rsidR="00083164" w:rsidRDefault="00083164" w:rsidP="00D43DDE">
      <w:pPr>
        <w:pStyle w:val="ParNumber"/>
        <w:spacing w:line="480" w:lineRule="auto"/>
      </w:pPr>
      <w:r>
        <w:tab/>
        <w:t xml:space="preserve">If Staff’s Motion to Strike is denied, Public Counsel and The Energy Project support Staff’s alternative Motion for Surrebuttal. </w:t>
      </w:r>
      <w:r w:rsidR="00A918C8">
        <w:t xml:space="preserve"> </w:t>
      </w:r>
      <w:r>
        <w:t>Avista’s new proposal presented in rebuttal leaves parties without an adequate opportunity to respond.  Although parties may cross Avista’s witnesses with respect to the proposal to defer AMI costs, parties are not able to present their point of view or critique of the proposal.  Parties are also not able, at this stage of the proceeding, to present alternative proposals or recommendations in response to Avista’s proposals.  As a result, surrebuttal is appropriate, if the late-offered proposal is not stricken.</w:t>
      </w:r>
    </w:p>
    <w:p w:rsidR="00083164" w:rsidRPr="00994CEC" w:rsidRDefault="00083164" w:rsidP="00D43DDE">
      <w:pPr>
        <w:pStyle w:val="ParNumber"/>
        <w:spacing w:line="480" w:lineRule="auto"/>
      </w:pPr>
      <w:r>
        <w:tab/>
      </w:r>
      <w:r w:rsidR="009E37C3">
        <w:t xml:space="preserve">Staff’s proposal of either oral or written surrebuttal provides parties the opportunity to respond to Avista’s proposal.  </w:t>
      </w:r>
      <w:r>
        <w:t xml:space="preserve">Public Counsel and The Energy </w:t>
      </w:r>
      <w:r w:rsidR="009E37C3">
        <w:t>Project propose</w:t>
      </w:r>
      <w:r>
        <w:t xml:space="preserve"> that parties be </w:t>
      </w:r>
      <w:r>
        <w:lastRenderedPageBreak/>
        <w:t xml:space="preserve">given the opportunity </w:t>
      </w:r>
      <w:r w:rsidR="009E37C3">
        <w:t>for oral surrebuttal at the evidentiary hearin</w:t>
      </w:r>
      <w:r w:rsidR="00A918C8">
        <w:t>g beginning on October 12, </w:t>
      </w:r>
      <w:r w:rsidR="002D25B1">
        <w:t>2016, as this would be most efficient.</w:t>
      </w:r>
      <w:r w:rsidR="009E37C3">
        <w:t xml:space="preserve">  In the alternative, </w:t>
      </w:r>
      <w:r w:rsidR="002D25B1">
        <w:t>parties should be granted the opportunity for written surrebuttal one week after the hearing concludes.</w:t>
      </w:r>
    </w:p>
    <w:p w:rsidR="009056F0" w:rsidRDefault="00914A2F" w:rsidP="006A19BB">
      <w:pPr>
        <w:pStyle w:val="ParNumber"/>
      </w:pPr>
      <w:r>
        <w:tab/>
      </w:r>
      <w:r w:rsidR="009056F0" w:rsidRPr="00C23D1E">
        <w:t xml:space="preserve">DATED this </w:t>
      </w:r>
      <w:r w:rsidR="002D25B1">
        <w:t>5</w:t>
      </w:r>
      <w:r w:rsidR="009056F0" w:rsidRPr="009056F0">
        <w:rPr>
          <w:vertAlign w:val="superscript"/>
        </w:rPr>
        <w:t>th</w:t>
      </w:r>
      <w:r w:rsidR="009056F0" w:rsidRPr="00C23D1E">
        <w:t xml:space="preserve"> day </w:t>
      </w:r>
      <w:r w:rsidR="009056F0">
        <w:t xml:space="preserve">of </w:t>
      </w:r>
      <w:r w:rsidR="002D25B1">
        <w:rPr>
          <w:noProof/>
        </w:rPr>
        <w:t>October</w:t>
      </w:r>
      <w:r w:rsidR="009056F0" w:rsidRPr="002D372E">
        <w:rPr>
          <w:noProof/>
        </w:rPr>
        <w:t>, 2016</w:t>
      </w:r>
      <w:r w:rsidR="009056F0" w:rsidRPr="00C23D1E">
        <w:t>.</w:t>
      </w:r>
    </w:p>
    <w:p w:rsidR="009056F0" w:rsidRDefault="009056F0" w:rsidP="00D43DDE">
      <w:pPr>
        <w:pStyle w:val="CourtName"/>
        <w:spacing w:line="480" w:lineRule="exact"/>
        <w:ind w:firstLine="720"/>
        <w:jc w:val="left"/>
      </w:pPr>
    </w:p>
    <w:p w:rsidR="009056F0" w:rsidRDefault="009056F0" w:rsidP="00D43DDE">
      <w:pPr>
        <w:ind w:left="2160"/>
      </w:pPr>
      <w:r>
        <w:tab/>
      </w:r>
      <w:r>
        <w:tab/>
      </w:r>
      <w:r>
        <w:tab/>
      </w:r>
      <w:r>
        <w:tab/>
        <w:t>ROBERT W. FERGUSON</w:t>
      </w:r>
    </w:p>
    <w:p w:rsidR="009056F0" w:rsidRDefault="009056F0" w:rsidP="00D43DDE">
      <w:pPr>
        <w:ind w:left="2160"/>
      </w:pPr>
      <w:r>
        <w:tab/>
      </w:r>
      <w:r>
        <w:tab/>
      </w:r>
      <w:r>
        <w:tab/>
      </w:r>
      <w:r>
        <w:tab/>
        <w:t>Attorney General</w:t>
      </w:r>
    </w:p>
    <w:p w:rsidR="009056F0" w:rsidRDefault="009056F0" w:rsidP="00D43DDE">
      <w:pPr>
        <w:ind w:left="2160"/>
      </w:pPr>
    </w:p>
    <w:p w:rsidR="009056F0" w:rsidRDefault="009056F0" w:rsidP="00D43DDE">
      <w:pPr>
        <w:ind w:left="2160"/>
      </w:pPr>
    </w:p>
    <w:p w:rsidR="009056F0" w:rsidRPr="009056F0" w:rsidRDefault="009056F0" w:rsidP="00D43DDE">
      <w:pPr>
        <w:ind w:left="2160"/>
        <w:rPr>
          <w:u w:val="single"/>
        </w:rPr>
      </w:pPr>
      <w:r>
        <w:tab/>
      </w:r>
      <w:r>
        <w:tab/>
      </w:r>
      <w:r>
        <w:tab/>
      </w:r>
      <w:r>
        <w:tab/>
      </w:r>
      <w:r w:rsidRPr="009056F0">
        <w:rPr>
          <w:u w:val="single"/>
        </w:rPr>
        <w:tab/>
      </w:r>
      <w:r w:rsidRPr="009056F0">
        <w:rPr>
          <w:u w:val="single"/>
        </w:rPr>
        <w:tab/>
      </w:r>
      <w:r w:rsidRPr="009056F0">
        <w:rPr>
          <w:u w:val="single"/>
        </w:rPr>
        <w:tab/>
      </w:r>
      <w:r w:rsidRPr="009056F0">
        <w:rPr>
          <w:u w:val="single"/>
        </w:rPr>
        <w:tab/>
      </w:r>
    </w:p>
    <w:p w:rsidR="009056F0" w:rsidRPr="009056F0" w:rsidRDefault="009056F0" w:rsidP="00D43DDE">
      <w:pPr>
        <w:ind w:left="2160"/>
        <w:rPr>
          <w:caps/>
        </w:rPr>
      </w:pPr>
      <w:r>
        <w:tab/>
      </w:r>
      <w:r>
        <w:tab/>
      </w:r>
      <w:r>
        <w:tab/>
      </w:r>
      <w:r w:rsidRPr="009056F0">
        <w:rPr>
          <w:caps/>
        </w:rPr>
        <w:tab/>
      </w:r>
      <w:r w:rsidR="002D25B1">
        <w:rPr>
          <w:caps/>
          <w:noProof/>
        </w:rPr>
        <w:t>LISA W. GAFKEN</w:t>
      </w:r>
    </w:p>
    <w:p w:rsidR="009056F0" w:rsidRDefault="009056F0" w:rsidP="00D43DDE">
      <w:pPr>
        <w:ind w:left="2160"/>
      </w:pPr>
      <w:r>
        <w:tab/>
      </w:r>
      <w:r>
        <w:tab/>
      </w:r>
      <w:r>
        <w:tab/>
      </w:r>
      <w:r>
        <w:tab/>
      </w:r>
      <w:r w:rsidRPr="002D372E">
        <w:rPr>
          <w:noProof/>
        </w:rPr>
        <w:t>Assistant Attorney General</w:t>
      </w:r>
    </w:p>
    <w:p w:rsidR="009056F0" w:rsidRDefault="009056F0" w:rsidP="002D25B1">
      <w:pPr>
        <w:ind w:left="2160"/>
      </w:pPr>
      <w:r>
        <w:tab/>
      </w:r>
      <w:r>
        <w:tab/>
      </w:r>
      <w:r>
        <w:tab/>
      </w:r>
      <w:r>
        <w:tab/>
        <w:t>Public Counsel Unit</w:t>
      </w:r>
      <w:r w:rsidR="002D25B1">
        <w:t xml:space="preserve"> Chief</w:t>
      </w:r>
    </w:p>
    <w:p w:rsidR="002D25B1" w:rsidRDefault="002D25B1" w:rsidP="002D25B1">
      <w:pPr>
        <w:ind w:left="2160"/>
      </w:pPr>
      <w:bookmarkStart w:id="0" w:name="_GoBack"/>
      <w:bookmarkEnd w:id="0"/>
    </w:p>
    <w:p w:rsidR="002D25B1" w:rsidRDefault="002D25B1" w:rsidP="002D25B1">
      <w:pPr>
        <w:ind w:left="2160"/>
      </w:pPr>
    </w:p>
    <w:p w:rsidR="002D25B1" w:rsidRDefault="002D25B1" w:rsidP="002D25B1">
      <w:pPr>
        <w:ind w:left="2160"/>
      </w:pPr>
      <w:r>
        <w:tab/>
      </w:r>
      <w:r>
        <w:tab/>
      </w:r>
      <w:r>
        <w:tab/>
      </w:r>
      <w:r>
        <w:tab/>
        <w:t>Attorney at Law</w:t>
      </w:r>
    </w:p>
    <w:p w:rsidR="002D25B1" w:rsidRDefault="002D25B1" w:rsidP="002D25B1">
      <w:pPr>
        <w:ind w:left="2160"/>
      </w:pPr>
    </w:p>
    <w:p w:rsidR="002D25B1" w:rsidRDefault="002D25B1" w:rsidP="002D25B1">
      <w:pPr>
        <w:ind w:left="2160"/>
      </w:pPr>
    </w:p>
    <w:p w:rsidR="002D25B1" w:rsidRDefault="002D25B1" w:rsidP="002D25B1">
      <w:pPr>
        <w:ind w:left="2160"/>
      </w:pPr>
      <w:r>
        <w:tab/>
      </w:r>
      <w:r>
        <w:tab/>
      </w:r>
      <w:r>
        <w:tab/>
      </w:r>
      <w:r>
        <w:tab/>
        <w:t>_________________________</w:t>
      </w:r>
    </w:p>
    <w:p w:rsidR="002D25B1" w:rsidRDefault="002D25B1" w:rsidP="002D25B1">
      <w:r>
        <w:tab/>
      </w:r>
      <w:r>
        <w:tab/>
      </w:r>
      <w:r>
        <w:tab/>
      </w:r>
      <w:r>
        <w:tab/>
      </w:r>
      <w:r>
        <w:tab/>
      </w:r>
      <w:r>
        <w:tab/>
      </w:r>
      <w:r>
        <w:tab/>
        <w:t>RONALD ROSEMAN</w:t>
      </w:r>
    </w:p>
    <w:p w:rsidR="002D25B1" w:rsidRDefault="002D25B1" w:rsidP="002D25B1">
      <w:pPr>
        <w:sectPr w:rsidR="002D25B1" w:rsidSect="009056F0">
          <w:headerReference w:type="default" r:id="rId9"/>
          <w:footerReference w:type="default" r:id="rId10"/>
          <w:pgSz w:w="12240" w:h="15840" w:code="1"/>
          <w:pgMar w:top="1440" w:right="1440" w:bottom="1440" w:left="1440" w:header="720" w:footer="720" w:gutter="0"/>
          <w:pgNumType w:start="1"/>
          <w:cols w:space="720"/>
        </w:sectPr>
      </w:pPr>
      <w:r>
        <w:tab/>
      </w:r>
      <w:r>
        <w:tab/>
      </w:r>
      <w:r>
        <w:tab/>
      </w:r>
      <w:r>
        <w:tab/>
      </w:r>
      <w:r>
        <w:tab/>
      </w:r>
      <w:r>
        <w:tab/>
      </w:r>
      <w:r>
        <w:tab/>
        <w:t>Attorney for The Energy Project</w:t>
      </w:r>
    </w:p>
    <w:p w:rsidR="009056F0" w:rsidRDefault="009056F0" w:rsidP="00D43DDE"/>
    <w:sectPr w:rsidR="009056F0" w:rsidSect="009056F0">
      <w:headerReference w:type="default" r:id="rId11"/>
      <w:footerReference w:type="defaul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4C" w:rsidRDefault="00FE164C">
      <w:r>
        <w:separator/>
      </w:r>
    </w:p>
  </w:endnote>
  <w:endnote w:type="continuationSeparator" w:id="0">
    <w:p w:rsidR="00FE164C" w:rsidRDefault="00FE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9056F0" w:rsidTr="00234256">
      <w:tc>
        <w:tcPr>
          <w:tcW w:w="3780" w:type="dxa"/>
        </w:tcPr>
        <w:p w:rsidR="00C90F1F" w:rsidRPr="00C90F1F" w:rsidRDefault="00C90F1F" w:rsidP="00C90F1F">
          <w:pPr>
            <w:rPr>
              <w:sz w:val="20"/>
              <w:szCs w:val="20"/>
            </w:rPr>
          </w:pPr>
          <w:r w:rsidRPr="00C90F1F">
            <w:rPr>
              <w:sz w:val="20"/>
              <w:szCs w:val="20"/>
            </w:rPr>
            <w:t>PUBLIC COUNSEL AND THE ENERGY PROJECT’S RESPON</w:t>
          </w:r>
          <w:r>
            <w:rPr>
              <w:sz w:val="20"/>
              <w:szCs w:val="20"/>
            </w:rPr>
            <w:t>SE TO STAFF’S MOTION TO STRIKE</w:t>
          </w:r>
        </w:p>
        <w:p w:rsidR="009056F0" w:rsidRPr="00C90F1F" w:rsidRDefault="009056F0" w:rsidP="00A918C8">
          <w:pPr>
            <w:pStyle w:val="Footer"/>
            <w:rPr>
              <w:caps/>
              <w:szCs w:val="20"/>
            </w:rPr>
          </w:pPr>
          <w:r w:rsidRPr="00C90F1F">
            <w:rPr>
              <w:caps/>
              <w:szCs w:val="20"/>
            </w:rPr>
            <w:t xml:space="preserve">DOCKET </w:t>
          </w:r>
          <w:r w:rsidRPr="00C90F1F">
            <w:rPr>
              <w:caps/>
              <w:noProof/>
              <w:szCs w:val="20"/>
            </w:rPr>
            <w:t xml:space="preserve">UE-160228 </w:t>
          </w:r>
          <w:r w:rsidR="00A918C8">
            <w:rPr>
              <w:noProof/>
              <w:szCs w:val="20"/>
            </w:rPr>
            <w:t xml:space="preserve">and </w:t>
          </w:r>
          <w:r w:rsidRPr="00C90F1F">
            <w:rPr>
              <w:caps/>
              <w:noProof/>
              <w:szCs w:val="20"/>
            </w:rPr>
            <w:t>UG-160229</w:t>
          </w:r>
        </w:p>
      </w:tc>
      <w:tc>
        <w:tcPr>
          <w:tcW w:w="1440" w:type="dxa"/>
        </w:tcPr>
        <w:p w:rsidR="009056F0" w:rsidRPr="00C90F1F" w:rsidRDefault="009056F0" w:rsidP="00234256">
          <w:pPr>
            <w:pStyle w:val="Footer"/>
            <w:jc w:val="center"/>
            <w:rPr>
              <w:szCs w:val="20"/>
            </w:rPr>
          </w:pPr>
          <w:r w:rsidRPr="00C90F1F">
            <w:rPr>
              <w:szCs w:val="20"/>
            </w:rPr>
            <w:fldChar w:fldCharType="begin"/>
          </w:r>
          <w:r w:rsidRPr="00C90F1F">
            <w:rPr>
              <w:szCs w:val="20"/>
            </w:rPr>
            <w:instrText xml:space="preserve"> PAGE  \* MERGEFORMAT </w:instrText>
          </w:r>
          <w:r w:rsidRPr="00C90F1F">
            <w:rPr>
              <w:szCs w:val="20"/>
            </w:rPr>
            <w:fldChar w:fldCharType="separate"/>
          </w:r>
          <w:r w:rsidR="00C40FE9">
            <w:rPr>
              <w:noProof/>
              <w:szCs w:val="20"/>
            </w:rPr>
            <w:t>1</w:t>
          </w:r>
          <w:r w:rsidRPr="00C90F1F">
            <w:rPr>
              <w:szCs w:val="20"/>
            </w:rPr>
            <w:fldChar w:fldCharType="end"/>
          </w:r>
        </w:p>
      </w:tc>
      <w:tc>
        <w:tcPr>
          <w:tcW w:w="4248" w:type="dxa"/>
        </w:tcPr>
        <w:p w:rsidR="009056F0" w:rsidRPr="00C90F1F" w:rsidRDefault="009056F0">
          <w:pPr>
            <w:pStyle w:val="Footer"/>
            <w:jc w:val="center"/>
            <w:rPr>
              <w:caps/>
              <w:szCs w:val="20"/>
            </w:rPr>
          </w:pPr>
          <w:r w:rsidRPr="00C90F1F">
            <w:rPr>
              <w:caps/>
              <w:szCs w:val="20"/>
            </w:rPr>
            <w:t>attorney general Of Washington</w:t>
          </w:r>
        </w:p>
        <w:p w:rsidR="009056F0" w:rsidRPr="00C90F1F" w:rsidRDefault="009056F0">
          <w:pPr>
            <w:pStyle w:val="Footer"/>
            <w:jc w:val="center"/>
            <w:rPr>
              <w:caps/>
              <w:szCs w:val="20"/>
            </w:rPr>
          </w:pPr>
          <w:r w:rsidRPr="00C90F1F">
            <w:rPr>
              <w:caps/>
              <w:szCs w:val="20"/>
            </w:rPr>
            <w:t>Public Counsel</w:t>
          </w:r>
        </w:p>
        <w:p w:rsidR="009056F0" w:rsidRPr="00C90F1F" w:rsidRDefault="009056F0">
          <w:pPr>
            <w:pStyle w:val="Footer"/>
            <w:jc w:val="center"/>
            <w:rPr>
              <w:caps/>
              <w:szCs w:val="20"/>
            </w:rPr>
          </w:pPr>
          <w:r w:rsidRPr="00C90F1F">
            <w:rPr>
              <w:caps/>
              <w:szCs w:val="20"/>
            </w:rPr>
            <w:t>800 fifth Avenue</w:t>
          </w:r>
          <w:r w:rsidRPr="00C90F1F">
            <w:rPr>
              <w:szCs w:val="20"/>
            </w:rPr>
            <w:t xml:space="preserve">, </w:t>
          </w:r>
          <w:r w:rsidRPr="00C90F1F">
            <w:rPr>
              <w:caps/>
              <w:szCs w:val="20"/>
            </w:rPr>
            <w:t>Suite 2000</w:t>
          </w:r>
        </w:p>
        <w:p w:rsidR="009056F0" w:rsidRPr="00C90F1F" w:rsidRDefault="009056F0">
          <w:pPr>
            <w:pStyle w:val="Footer"/>
            <w:jc w:val="center"/>
            <w:rPr>
              <w:caps/>
              <w:szCs w:val="20"/>
            </w:rPr>
          </w:pPr>
          <w:r w:rsidRPr="00C90F1F">
            <w:rPr>
              <w:caps/>
              <w:szCs w:val="20"/>
            </w:rPr>
            <w:t>Seattle, Wa 98104-3188</w:t>
          </w:r>
        </w:p>
        <w:p w:rsidR="009056F0" w:rsidRPr="00C90F1F" w:rsidRDefault="009056F0">
          <w:pPr>
            <w:pStyle w:val="Footer"/>
            <w:jc w:val="center"/>
            <w:rPr>
              <w:szCs w:val="20"/>
            </w:rPr>
          </w:pPr>
          <w:r w:rsidRPr="00C90F1F">
            <w:rPr>
              <w:caps/>
              <w:szCs w:val="20"/>
            </w:rPr>
            <w:t>(206) 464-7744</w:t>
          </w:r>
        </w:p>
      </w:tc>
    </w:tr>
  </w:tbl>
  <w:p w:rsidR="009056F0" w:rsidRDefault="00905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234256" w:rsidRDefault="00E642BE" w:rsidP="00BF1A10">
          <w:pPr>
            <w:pStyle w:val="Footer"/>
            <w:rPr>
              <w:caps/>
              <w:szCs w:val="20"/>
            </w:rPr>
          </w:pPr>
        </w:p>
        <w:p w:rsidR="00E642BE" w:rsidRPr="00234256" w:rsidRDefault="00E642BE" w:rsidP="00BF1A10">
          <w:pPr>
            <w:pStyle w:val="Footer"/>
            <w:rPr>
              <w:caps/>
              <w:szCs w:val="20"/>
            </w:rPr>
          </w:pPr>
          <w:r w:rsidRPr="00234256">
            <w:rPr>
              <w:caps/>
              <w:szCs w:val="20"/>
            </w:rPr>
            <w:t xml:space="preserve">DOCKET </w:t>
          </w:r>
          <w:r w:rsidR="004714E9">
            <w:rPr>
              <w:caps/>
              <w:noProof/>
              <w:szCs w:val="20"/>
            </w:rPr>
            <w:t>«lmCause»</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9056F0">
            <w:rPr>
              <w:noProof/>
              <w:szCs w:val="20"/>
            </w:rPr>
            <w:t>1</w:t>
          </w:r>
          <w:r w:rsidRPr="00234256">
            <w:rPr>
              <w:szCs w:val="20"/>
            </w:rPr>
            <w:fldChar w:fldCharType="end"/>
          </w:r>
        </w:p>
      </w:tc>
      <w:tc>
        <w:tcPr>
          <w:tcW w:w="4248" w:type="dxa"/>
        </w:tcPr>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4C" w:rsidRDefault="00FE164C">
      <w:r>
        <w:separator/>
      </w:r>
    </w:p>
  </w:footnote>
  <w:footnote w:type="continuationSeparator" w:id="0">
    <w:p w:rsidR="00FE164C" w:rsidRDefault="00FE164C">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F0" w:rsidRDefault="00AB4D88">
    <w:r>
      <w:rPr>
        <w:noProof/>
      </w:rPr>
      <mc:AlternateContent>
        <mc:Choice Requires="wps">
          <w:drawing>
            <wp:anchor distT="0" distB="0" distL="114300" distR="114300" simplePos="0" relativeHeight="251661312" behindDoc="0" locked="0" layoutInCell="0" allowOverlap="1" wp14:anchorId="06A5DFAF" wp14:editId="2482DDD9">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usdV/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AB4D88">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33921"/>
    <w:rsid w:val="00056A04"/>
    <w:rsid w:val="0006105D"/>
    <w:rsid w:val="00064474"/>
    <w:rsid w:val="000778A7"/>
    <w:rsid w:val="00083164"/>
    <w:rsid w:val="000C5724"/>
    <w:rsid w:val="000F049F"/>
    <w:rsid w:val="00147249"/>
    <w:rsid w:val="001479C6"/>
    <w:rsid w:val="00157C27"/>
    <w:rsid w:val="0017328E"/>
    <w:rsid w:val="001958F7"/>
    <w:rsid w:val="00196471"/>
    <w:rsid w:val="001C005B"/>
    <w:rsid w:val="001D7339"/>
    <w:rsid w:val="001E0061"/>
    <w:rsid w:val="00207717"/>
    <w:rsid w:val="00216B9F"/>
    <w:rsid w:val="00220B6E"/>
    <w:rsid w:val="00227EBA"/>
    <w:rsid w:val="00233BF2"/>
    <w:rsid w:val="00234256"/>
    <w:rsid w:val="0024777D"/>
    <w:rsid w:val="00266A33"/>
    <w:rsid w:val="00287D1A"/>
    <w:rsid w:val="002941CF"/>
    <w:rsid w:val="002B1F7A"/>
    <w:rsid w:val="002C5403"/>
    <w:rsid w:val="002C7CBF"/>
    <w:rsid w:val="002D25B1"/>
    <w:rsid w:val="002E6A53"/>
    <w:rsid w:val="00331744"/>
    <w:rsid w:val="0033535A"/>
    <w:rsid w:val="00372F69"/>
    <w:rsid w:val="00374849"/>
    <w:rsid w:val="003907AD"/>
    <w:rsid w:val="003B4CB5"/>
    <w:rsid w:val="003C7318"/>
    <w:rsid w:val="003F0D9F"/>
    <w:rsid w:val="0040044D"/>
    <w:rsid w:val="00434C15"/>
    <w:rsid w:val="004378C5"/>
    <w:rsid w:val="004714E9"/>
    <w:rsid w:val="00497147"/>
    <w:rsid w:val="004B2297"/>
    <w:rsid w:val="004C78AC"/>
    <w:rsid w:val="004E0A4E"/>
    <w:rsid w:val="004E3569"/>
    <w:rsid w:val="004E693A"/>
    <w:rsid w:val="005051D9"/>
    <w:rsid w:val="00583C9B"/>
    <w:rsid w:val="005A31BE"/>
    <w:rsid w:val="005B3830"/>
    <w:rsid w:val="005D1B68"/>
    <w:rsid w:val="00605374"/>
    <w:rsid w:val="006931DE"/>
    <w:rsid w:val="006A19BB"/>
    <w:rsid w:val="006D7119"/>
    <w:rsid w:val="0073748D"/>
    <w:rsid w:val="00765284"/>
    <w:rsid w:val="00797C11"/>
    <w:rsid w:val="007A4DAC"/>
    <w:rsid w:val="007B4A92"/>
    <w:rsid w:val="008022CD"/>
    <w:rsid w:val="00803B53"/>
    <w:rsid w:val="00876ECE"/>
    <w:rsid w:val="00897E84"/>
    <w:rsid w:val="008B2CAE"/>
    <w:rsid w:val="008C5228"/>
    <w:rsid w:val="008D0B70"/>
    <w:rsid w:val="009056F0"/>
    <w:rsid w:val="00914A2F"/>
    <w:rsid w:val="00920721"/>
    <w:rsid w:val="009533C7"/>
    <w:rsid w:val="00994CEC"/>
    <w:rsid w:val="009A15DF"/>
    <w:rsid w:val="009A73E2"/>
    <w:rsid w:val="009B68A8"/>
    <w:rsid w:val="009E37C3"/>
    <w:rsid w:val="009E4588"/>
    <w:rsid w:val="009E7452"/>
    <w:rsid w:val="00A04A22"/>
    <w:rsid w:val="00A1075B"/>
    <w:rsid w:val="00A46B79"/>
    <w:rsid w:val="00A658BE"/>
    <w:rsid w:val="00A91145"/>
    <w:rsid w:val="00A918C8"/>
    <w:rsid w:val="00AB2165"/>
    <w:rsid w:val="00AB4D88"/>
    <w:rsid w:val="00AD309C"/>
    <w:rsid w:val="00B10D0B"/>
    <w:rsid w:val="00B36ABB"/>
    <w:rsid w:val="00B83445"/>
    <w:rsid w:val="00B84F33"/>
    <w:rsid w:val="00BF1A10"/>
    <w:rsid w:val="00BF5577"/>
    <w:rsid w:val="00C23D1E"/>
    <w:rsid w:val="00C40FE9"/>
    <w:rsid w:val="00C55D1B"/>
    <w:rsid w:val="00C75A1E"/>
    <w:rsid w:val="00C84678"/>
    <w:rsid w:val="00C85E71"/>
    <w:rsid w:val="00C90F1F"/>
    <w:rsid w:val="00C93616"/>
    <w:rsid w:val="00CD5B2D"/>
    <w:rsid w:val="00CF0BD4"/>
    <w:rsid w:val="00D25AC2"/>
    <w:rsid w:val="00D35BCA"/>
    <w:rsid w:val="00D43DDE"/>
    <w:rsid w:val="00D9788A"/>
    <w:rsid w:val="00DC6651"/>
    <w:rsid w:val="00DD0B80"/>
    <w:rsid w:val="00E14F6A"/>
    <w:rsid w:val="00E176EA"/>
    <w:rsid w:val="00E642BE"/>
    <w:rsid w:val="00EC4270"/>
    <w:rsid w:val="00EC62D1"/>
    <w:rsid w:val="00ED1346"/>
    <w:rsid w:val="00EE5E4E"/>
    <w:rsid w:val="00F25B1E"/>
    <w:rsid w:val="00F850CC"/>
    <w:rsid w:val="00FD7CE9"/>
    <w:rsid w:val="00FE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B45DD1-06DE-45B0-AC48-60579759DECB}">
  <ds:schemaRefs>
    <ds:schemaRef ds:uri="http://schemas.openxmlformats.org/officeDocument/2006/bibliography"/>
  </ds:schemaRefs>
</ds:datastoreItem>
</file>

<file path=customXml/itemProps2.xml><?xml version="1.0" encoding="utf-8"?>
<ds:datastoreItem xmlns:ds="http://schemas.openxmlformats.org/officeDocument/2006/customXml" ds:itemID="{E448999B-C807-499B-B051-AD145B65FED5}"/>
</file>

<file path=customXml/itemProps3.xml><?xml version="1.0" encoding="utf-8"?>
<ds:datastoreItem xmlns:ds="http://schemas.openxmlformats.org/officeDocument/2006/customXml" ds:itemID="{FB49D431-0998-4C6C-ADBA-F057D73B9685}"/>
</file>

<file path=customXml/itemProps4.xml><?xml version="1.0" encoding="utf-8"?>
<ds:datastoreItem xmlns:ds="http://schemas.openxmlformats.org/officeDocument/2006/customXml" ds:itemID="{63B3B48C-46F6-478F-830A-EB8A1D08B519}"/>
</file>

<file path=customXml/itemProps5.xml><?xml version="1.0" encoding="utf-8"?>
<ds:datastoreItem xmlns:ds="http://schemas.openxmlformats.org/officeDocument/2006/customXml" ds:itemID="{6A2DA515-4C92-4063-BFA6-E14B33A3ED75}"/>
</file>

<file path=docProps/app.xml><?xml version="1.0" encoding="utf-8"?>
<Properties xmlns="http://schemas.openxmlformats.org/officeDocument/2006/extended-properties" xmlns:vt="http://schemas.openxmlformats.org/officeDocument/2006/docPropsVTypes">
  <Template>Normal.dotm</Template>
  <TotalTime>28</TotalTime>
  <Pages>2</Pages>
  <Words>293</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10703020</dc:subject>
  <dc:creator>Office of the Attorney General</dc:creator>
  <cp:lastModifiedBy>Mak, Chanda (ATG)</cp:lastModifiedBy>
  <cp:revision>7</cp:revision>
  <cp:lastPrinted>2009-10-19T17:19:00Z</cp:lastPrinted>
  <dcterms:created xsi:type="dcterms:W3CDTF">2016-10-05T18:10:00Z</dcterms:created>
  <dcterms:modified xsi:type="dcterms:W3CDTF">2016-10-05T19:08:00Z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